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B102" w14:textId="77777777" w:rsidR="0048364F" w:rsidRPr="00CF4E04" w:rsidRDefault="00193461" w:rsidP="000502F7">
      <w:pPr>
        <w:rPr>
          <w:sz w:val="28"/>
        </w:rPr>
      </w:pPr>
      <w:r w:rsidRPr="00CF4E04">
        <w:rPr>
          <w:noProof/>
          <w:lang w:eastAsia="en-AU"/>
        </w:rPr>
        <w:drawing>
          <wp:inline distT="0" distB="0" distL="0" distR="0" wp14:anchorId="6CF96FED" wp14:editId="3847C3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E606F38" w14:textId="77777777" w:rsidR="0048364F" w:rsidRPr="00CF4E04" w:rsidRDefault="0048364F" w:rsidP="0048364F">
      <w:pPr>
        <w:rPr>
          <w:sz w:val="19"/>
        </w:rPr>
      </w:pPr>
    </w:p>
    <w:p w14:paraId="0497B1DB" w14:textId="77777777" w:rsidR="0048364F" w:rsidRPr="00CF4E04" w:rsidRDefault="00B40DE8" w:rsidP="0048364F">
      <w:pPr>
        <w:pStyle w:val="ShortT"/>
      </w:pPr>
      <w:bookmarkStart w:id="0" w:name="_Hlk105598151"/>
      <w:r w:rsidRPr="00CF4E04">
        <w:t>Australian Radiation Protection and Nuclear Safety Amendment (</w:t>
      </w:r>
      <w:r w:rsidR="00176251" w:rsidRPr="00CF4E04">
        <w:t>2022</w:t>
      </w:r>
      <w:r w:rsidRPr="00CF4E04">
        <w:t xml:space="preserve"> Measures No. </w:t>
      </w:r>
      <w:r w:rsidR="00176251" w:rsidRPr="00CF4E04">
        <w:t>1</w:t>
      </w:r>
      <w:r w:rsidRPr="00CF4E04">
        <w:t xml:space="preserve">) </w:t>
      </w:r>
      <w:r w:rsidR="003B6DE9" w:rsidRPr="00CF4E04">
        <w:t>Regulations 2</w:t>
      </w:r>
      <w:r w:rsidR="00176251" w:rsidRPr="00CF4E04">
        <w:t>022</w:t>
      </w:r>
      <w:bookmarkEnd w:id="0"/>
    </w:p>
    <w:p w14:paraId="4A8ED16F" w14:textId="77777777" w:rsidR="00B665AF" w:rsidRPr="00CF4E04" w:rsidRDefault="00B665AF" w:rsidP="00205F27">
      <w:pPr>
        <w:pStyle w:val="SignCoverPageStart"/>
        <w:spacing w:before="240"/>
        <w:rPr>
          <w:szCs w:val="22"/>
        </w:rPr>
      </w:pPr>
      <w:r w:rsidRPr="00CF4E04">
        <w:rPr>
          <w:szCs w:val="22"/>
        </w:rPr>
        <w:t>I, General the Honourable David Hurley AC DSC (Retd), Governor</w:t>
      </w:r>
      <w:r w:rsidR="00CF4E04">
        <w:rPr>
          <w:szCs w:val="22"/>
        </w:rPr>
        <w:noBreakHyphen/>
      </w:r>
      <w:r w:rsidRPr="00CF4E04">
        <w:rPr>
          <w:szCs w:val="22"/>
        </w:rPr>
        <w:t>General of the Commonwealth of Australia, acting with the advice of the Federal Executive Council, make the following regulations.</w:t>
      </w:r>
    </w:p>
    <w:p w14:paraId="640575F9" w14:textId="0BF33B06" w:rsidR="00B665AF" w:rsidRPr="00CF4E04" w:rsidRDefault="00B665AF" w:rsidP="00205F27">
      <w:pPr>
        <w:keepNext/>
        <w:spacing w:before="720" w:line="240" w:lineRule="atLeast"/>
        <w:ind w:right="397"/>
        <w:jc w:val="both"/>
        <w:rPr>
          <w:szCs w:val="22"/>
        </w:rPr>
      </w:pPr>
      <w:r w:rsidRPr="00CF4E04">
        <w:rPr>
          <w:szCs w:val="22"/>
        </w:rPr>
        <w:t xml:space="preserve">Dated </w:t>
      </w:r>
      <w:r w:rsidRPr="00CF4E04">
        <w:rPr>
          <w:szCs w:val="22"/>
        </w:rPr>
        <w:tab/>
      </w:r>
      <w:r w:rsidRPr="00CF4E04">
        <w:rPr>
          <w:szCs w:val="22"/>
        </w:rPr>
        <w:tab/>
      </w:r>
      <w:r w:rsidRPr="00CF4E04">
        <w:rPr>
          <w:szCs w:val="22"/>
        </w:rPr>
        <w:tab/>
      </w:r>
      <w:r w:rsidRPr="00CF4E04">
        <w:rPr>
          <w:szCs w:val="22"/>
        </w:rPr>
        <w:tab/>
      </w:r>
      <w:r w:rsidRPr="00CF4E04">
        <w:rPr>
          <w:szCs w:val="22"/>
        </w:rPr>
        <w:fldChar w:fldCharType="begin"/>
      </w:r>
      <w:r w:rsidRPr="00CF4E04">
        <w:rPr>
          <w:szCs w:val="22"/>
        </w:rPr>
        <w:instrText xml:space="preserve"> DOCPROPERTY  DateMade </w:instrText>
      </w:r>
      <w:r w:rsidRPr="00CF4E04">
        <w:rPr>
          <w:szCs w:val="22"/>
        </w:rPr>
        <w:fldChar w:fldCharType="separate"/>
      </w:r>
      <w:r w:rsidR="00373BAB">
        <w:rPr>
          <w:szCs w:val="22"/>
        </w:rPr>
        <w:t>5 August 2</w:t>
      </w:r>
      <w:r w:rsidR="00BC0FE9">
        <w:rPr>
          <w:szCs w:val="22"/>
        </w:rPr>
        <w:t>022</w:t>
      </w:r>
      <w:r w:rsidRPr="00CF4E04">
        <w:rPr>
          <w:szCs w:val="22"/>
        </w:rPr>
        <w:fldChar w:fldCharType="end"/>
      </w:r>
    </w:p>
    <w:p w14:paraId="408BCBD1" w14:textId="77777777" w:rsidR="00B665AF" w:rsidRPr="00CF4E04" w:rsidRDefault="00B665AF" w:rsidP="00205F27">
      <w:pPr>
        <w:keepNext/>
        <w:tabs>
          <w:tab w:val="left" w:pos="3402"/>
        </w:tabs>
        <w:spacing w:before="1080" w:line="300" w:lineRule="atLeast"/>
        <w:ind w:left="397" w:right="397"/>
        <w:jc w:val="right"/>
        <w:rPr>
          <w:szCs w:val="22"/>
        </w:rPr>
      </w:pPr>
      <w:r w:rsidRPr="00CF4E04">
        <w:rPr>
          <w:szCs w:val="22"/>
        </w:rPr>
        <w:t>David Hurley</w:t>
      </w:r>
    </w:p>
    <w:p w14:paraId="4E16DC27" w14:textId="77777777" w:rsidR="00B665AF" w:rsidRPr="00CF4E04" w:rsidRDefault="00B665AF" w:rsidP="00205F27">
      <w:pPr>
        <w:keepNext/>
        <w:tabs>
          <w:tab w:val="left" w:pos="3402"/>
        </w:tabs>
        <w:spacing w:line="300" w:lineRule="atLeast"/>
        <w:ind w:left="397" w:right="397"/>
        <w:jc w:val="right"/>
        <w:rPr>
          <w:szCs w:val="22"/>
        </w:rPr>
      </w:pPr>
      <w:r w:rsidRPr="00CF4E04">
        <w:rPr>
          <w:szCs w:val="22"/>
        </w:rPr>
        <w:t>Governor</w:t>
      </w:r>
      <w:r w:rsidR="00CF4E04">
        <w:rPr>
          <w:szCs w:val="22"/>
        </w:rPr>
        <w:noBreakHyphen/>
      </w:r>
      <w:r w:rsidRPr="00CF4E04">
        <w:rPr>
          <w:szCs w:val="22"/>
        </w:rPr>
        <w:t>General</w:t>
      </w:r>
    </w:p>
    <w:p w14:paraId="5E08AC18" w14:textId="77777777" w:rsidR="00B665AF" w:rsidRPr="00CF4E04" w:rsidRDefault="00B665AF" w:rsidP="00205F27">
      <w:pPr>
        <w:keepNext/>
        <w:tabs>
          <w:tab w:val="left" w:pos="3402"/>
        </w:tabs>
        <w:spacing w:before="840" w:after="1080" w:line="300" w:lineRule="atLeast"/>
        <w:ind w:right="397"/>
        <w:rPr>
          <w:szCs w:val="22"/>
        </w:rPr>
      </w:pPr>
      <w:r w:rsidRPr="00CF4E04">
        <w:rPr>
          <w:szCs w:val="22"/>
        </w:rPr>
        <w:t>By His Excellency’s Command</w:t>
      </w:r>
    </w:p>
    <w:p w14:paraId="0DBEEC17" w14:textId="77777777" w:rsidR="00B665AF" w:rsidRPr="00CF4E04" w:rsidRDefault="007F2B22" w:rsidP="00205F27">
      <w:pPr>
        <w:keepNext/>
        <w:tabs>
          <w:tab w:val="left" w:pos="3402"/>
        </w:tabs>
        <w:spacing w:before="480" w:line="300" w:lineRule="atLeast"/>
        <w:ind w:right="397"/>
        <w:rPr>
          <w:b/>
          <w:szCs w:val="22"/>
        </w:rPr>
      </w:pPr>
      <w:r w:rsidRPr="00CF4E04">
        <w:rPr>
          <w:szCs w:val="22"/>
        </w:rPr>
        <w:t>Ged Kearney</w:t>
      </w:r>
    </w:p>
    <w:p w14:paraId="7073D9E3" w14:textId="77777777" w:rsidR="00B665AF" w:rsidRPr="00CF4E04" w:rsidRDefault="007F2B22" w:rsidP="007F2B22">
      <w:pPr>
        <w:pStyle w:val="SignCoverPageEnd"/>
        <w:rPr>
          <w:szCs w:val="22"/>
        </w:rPr>
      </w:pPr>
      <w:r w:rsidRPr="00CF4E04">
        <w:rPr>
          <w:szCs w:val="22"/>
        </w:rPr>
        <w:t>Assistant Minister for Health and Aged Care</w:t>
      </w:r>
      <w:r w:rsidRPr="00CF4E04">
        <w:rPr>
          <w:szCs w:val="22"/>
        </w:rPr>
        <w:br/>
        <w:t>Parliamentary Secretary to the Minister for Health and Aged Care</w:t>
      </w:r>
    </w:p>
    <w:p w14:paraId="277AC7C3" w14:textId="77777777" w:rsidR="00B665AF" w:rsidRPr="00CF4E04" w:rsidRDefault="00B665AF" w:rsidP="00205F27"/>
    <w:p w14:paraId="2C4E45B4" w14:textId="77777777" w:rsidR="00B665AF" w:rsidRPr="00CF4E04" w:rsidRDefault="00B665AF" w:rsidP="00205F27"/>
    <w:p w14:paraId="51D4D744" w14:textId="77777777" w:rsidR="00B665AF" w:rsidRPr="00CF4E04" w:rsidRDefault="00B665AF" w:rsidP="00205F27"/>
    <w:p w14:paraId="6D53337A" w14:textId="77777777" w:rsidR="0048364F" w:rsidRPr="0084697B" w:rsidRDefault="0048364F" w:rsidP="0048364F">
      <w:pPr>
        <w:pStyle w:val="Header"/>
        <w:tabs>
          <w:tab w:val="clear" w:pos="4150"/>
          <w:tab w:val="clear" w:pos="8307"/>
        </w:tabs>
      </w:pPr>
      <w:r w:rsidRPr="0084697B">
        <w:rPr>
          <w:rStyle w:val="CharAmSchNo"/>
        </w:rPr>
        <w:t xml:space="preserve"> </w:t>
      </w:r>
      <w:r w:rsidRPr="0084697B">
        <w:rPr>
          <w:rStyle w:val="CharAmSchText"/>
        </w:rPr>
        <w:t xml:space="preserve"> </w:t>
      </w:r>
    </w:p>
    <w:p w14:paraId="2BEABF1D" w14:textId="77777777" w:rsidR="0048364F" w:rsidRPr="0084697B" w:rsidRDefault="0048364F" w:rsidP="0048364F">
      <w:pPr>
        <w:pStyle w:val="Header"/>
        <w:tabs>
          <w:tab w:val="clear" w:pos="4150"/>
          <w:tab w:val="clear" w:pos="8307"/>
        </w:tabs>
      </w:pPr>
      <w:r w:rsidRPr="0084697B">
        <w:rPr>
          <w:rStyle w:val="CharAmPartNo"/>
        </w:rPr>
        <w:t xml:space="preserve"> </w:t>
      </w:r>
      <w:r w:rsidRPr="0084697B">
        <w:rPr>
          <w:rStyle w:val="CharAmPartText"/>
        </w:rPr>
        <w:t xml:space="preserve"> </w:t>
      </w:r>
    </w:p>
    <w:p w14:paraId="67B295AC" w14:textId="77777777" w:rsidR="0048364F" w:rsidRPr="00CF4E04" w:rsidRDefault="0048364F" w:rsidP="0048364F">
      <w:pPr>
        <w:sectPr w:rsidR="0048364F" w:rsidRPr="00CF4E04" w:rsidSect="0091275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924D508" w14:textId="77777777" w:rsidR="00220A0C" w:rsidRPr="00CF4E04" w:rsidRDefault="0048364F" w:rsidP="0048364F">
      <w:pPr>
        <w:outlineLvl w:val="0"/>
        <w:rPr>
          <w:sz w:val="36"/>
        </w:rPr>
      </w:pPr>
      <w:r w:rsidRPr="00CF4E04">
        <w:rPr>
          <w:sz w:val="36"/>
        </w:rPr>
        <w:lastRenderedPageBreak/>
        <w:t>Contents</w:t>
      </w:r>
    </w:p>
    <w:p w14:paraId="250D5CD0" w14:textId="668B823D" w:rsidR="00A02D17" w:rsidRPr="00CF4E04" w:rsidRDefault="00A02D17">
      <w:pPr>
        <w:pStyle w:val="TOC5"/>
        <w:rPr>
          <w:rFonts w:asciiTheme="minorHAnsi" w:eastAsiaTheme="minorEastAsia" w:hAnsiTheme="minorHAnsi" w:cstheme="minorBidi"/>
          <w:noProof/>
          <w:kern w:val="0"/>
          <w:sz w:val="22"/>
          <w:szCs w:val="22"/>
        </w:rPr>
      </w:pPr>
      <w:r w:rsidRPr="00CF4E04">
        <w:fldChar w:fldCharType="begin"/>
      </w:r>
      <w:r w:rsidRPr="00CF4E04">
        <w:instrText xml:space="preserve"> TOC \o "1-9" </w:instrText>
      </w:r>
      <w:r w:rsidRPr="00CF4E04">
        <w:fldChar w:fldCharType="separate"/>
      </w:r>
      <w:r w:rsidRPr="00CF4E04">
        <w:rPr>
          <w:noProof/>
        </w:rPr>
        <w:t>1</w:t>
      </w:r>
      <w:r w:rsidRPr="00CF4E04">
        <w:rPr>
          <w:noProof/>
        </w:rPr>
        <w:tab/>
        <w:t>Name</w:t>
      </w:r>
      <w:r w:rsidRPr="00CF4E04">
        <w:rPr>
          <w:noProof/>
        </w:rPr>
        <w:tab/>
      </w:r>
      <w:r w:rsidRPr="00CF4E04">
        <w:rPr>
          <w:noProof/>
        </w:rPr>
        <w:fldChar w:fldCharType="begin"/>
      </w:r>
      <w:r w:rsidRPr="00CF4E04">
        <w:rPr>
          <w:noProof/>
        </w:rPr>
        <w:instrText xml:space="preserve"> PAGEREF _Toc99628124 \h </w:instrText>
      </w:r>
      <w:r w:rsidRPr="00CF4E04">
        <w:rPr>
          <w:noProof/>
        </w:rPr>
      </w:r>
      <w:r w:rsidRPr="00CF4E04">
        <w:rPr>
          <w:noProof/>
        </w:rPr>
        <w:fldChar w:fldCharType="separate"/>
      </w:r>
      <w:r w:rsidR="00742976">
        <w:rPr>
          <w:noProof/>
        </w:rPr>
        <w:t>1</w:t>
      </w:r>
      <w:r w:rsidRPr="00CF4E04">
        <w:rPr>
          <w:noProof/>
        </w:rPr>
        <w:fldChar w:fldCharType="end"/>
      </w:r>
    </w:p>
    <w:p w14:paraId="0CAE674A" w14:textId="3AD0352B" w:rsidR="00A02D17" w:rsidRPr="00CF4E04" w:rsidRDefault="00A02D17">
      <w:pPr>
        <w:pStyle w:val="TOC5"/>
        <w:rPr>
          <w:rFonts w:asciiTheme="minorHAnsi" w:eastAsiaTheme="minorEastAsia" w:hAnsiTheme="minorHAnsi" w:cstheme="minorBidi"/>
          <w:noProof/>
          <w:kern w:val="0"/>
          <w:sz w:val="22"/>
          <w:szCs w:val="22"/>
        </w:rPr>
      </w:pPr>
      <w:r w:rsidRPr="00CF4E04">
        <w:rPr>
          <w:noProof/>
        </w:rPr>
        <w:t>2</w:t>
      </w:r>
      <w:r w:rsidRPr="00CF4E04">
        <w:rPr>
          <w:noProof/>
        </w:rPr>
        <w:tab/>
        <w:t>Commencement</w:t>
      </w:r>
      <w:r w:rsidRPr="00CF4E04">
        <w:rPr>
          <w:noProof/>
        </w:rPr>
        <w:tab/>
      </w:r>
      <w:r w:rsidRPr="00CF4E04">
        <w:rPr>
          <w:noProof/>
        </w:rPr>
        <w:fldChar w:fldCharType="begin"/>
      </w:r>
      <w:r w:rsidRPr="00CF4E04">
        <w:rPr>
          <w:noProof/>
        </w:rPr>
        <w:instrText xml:space="preserve"> PAGEREF _Toc99628125 \h </w:instrText>
      </w:r>
      <w:r w:rsidRPr="00CF4E04">
        <w:rPr>
          <w:noProof/>
        </w:rPr>
      </w:r>
      <w:r w:rsidRPr="00CF4E04">
        <w:rPr>
          <w:noProof/>
        </w:rPr>
        <w:fldChar w:fldCharType="separate"/>
      </w:r>
      <w:r w:rsidR="00742976">
        <w:rPr>
          <w:noProof/>
        </w:rPr>
        <w:t>1</w:t>
      </w:r>
      <w:r w:rsidRPr="00CF4E04">
        <w:rPr>
          <w:noProof/>
        </w:rPr>
        <w:fldChar w:fldCharType="end"/>
      </w:r>
    </w:p>
    <w:p w14:paraId="19BD3F8D" w14:textId="3A4585ED" w:rsidR="00A02D17" w:rsidRPr="00CF4E04" w:rsidRDefault="00A02D17">
      <w:pPr>
        <w:pStyle w:val="TOC5"/>
        <w:rPr>
          <w:rFonts w:asciiTheme="minorHAnsi" w:eastAsiaTheme="minorEastAsia" w:hAnsiTheme="minorHAnsi" w:cstheme="minorBidi"/>
          <w:noProof/>
          <w:kern w:val="0"/>
          <w:sz w:val="22"/>
          <w:szCs w:val="22"/>
        </w:rPr>
      </w:pPr>
      <w:r w:rsidRPr="00CF4E04">
        <w:rPr>
          <w:noProof/>
        </w:rPr>
        <w:t>3</w:t>
      </w:r>
      <w:r w:rsidRPr="00CF4E04">
        <w:rPr>
          <w:noProof/>
        </w:rPr>
        <w:tab/>
        <w:t>Authority</w:t>
      </w:r>
      <w:r w:rsidRPr="00CF4E04">
        <w:rPr>
          <w:noProof/>
        </w:rPr>
        <w:tab/>
      </w:r>
      <w:r w:rsidRPr="00CF4E04">
        <w:rPr>
          <w:noProof/>
        </w:rPr>
        <w:fldChar w:fldCharType="begin"/>
      </w:r>
      <w:r w:rsidRPr="00CF4E04">
        <w:rPr>
          <w:noProof/>
        </w:rPr>
        <w:instrText xml:space="preserve"> PAGEREF _Toc99628126 \h </w:instrText>
      </w:r>
      <w:r w:rsidRPr="00CF4E04">
        <w:rPr>
          <w:noProof/>
        </w:rPr>
      </w:r>
      <w:r w:rsidRPr="00CF4E04">
        <w:rPr>
          <w:noProof/>
        </w:rPr>
        <w:fldChar w:fldCharType="separate"/>
      </w:r>
      <w:r w:rsidR="00742976">
        <w:rPr>
          <w:noProof/>
        </w:rPr>
        <w:t>1</w:t>
      </w:r>
      <w:r w:rsidRPr="00CF4E04">
        <w:rPr>
          <w:noProof/>
        </w:rPr>
        <w:fldChar w:fldCharType="end"/>
      </w:r>
    </w:p>
    <w:p w14:paraId="0C3BCA82" w14:textId="74ADE904" w:rsidR="00A02D17" w:rsidRPr="00CF4E04" w:rsidRDefault="00A02D17">
      <w:pPr>
        <w:pStyle w:val="TOC5"/>
        <w:rPr>
          <w:rFonts w:asciiTheme="minorHAnsi" w:eastAsiaTheme="minorEastAsia" w:hAnsiTheme="minorHAnsi" w:cstheme="minorBidi"/>
          <w:noProof/>
          <w:kern w:val="0"/>
          <w:sz w:val="22"/>
          <w:szCs w:val="22"/>
        </w:rPr>
      </w:pPr>
      <w:r w:rsidRPr="00CF4E04">
        <w:rPr>
          <w:noProof/>
        </w:rPr>
        <w:t>4</w:t>
      </w:r>
      <w:r w:rsidRPr="00CF4E04">
        <w:rPr>
          <w:noProof/>
        </w:rPr>
        <w:tab/>
        <w:t>Schedules</w:t>
      </w:r>
      <w:r w:rsidRPr="00CF4E04">
        <w:rPr>
          <w:noProof/>
        </w:rPr>
        <w:tab/>
      </w:r>
      <w:r w:rsidRPr="00CF4E04">
        <w:rPr>
          <w:noProof/>
        </w:rPr>
        <w:fldChar w:fldCharType="begin"/>
      </w:r>
      <w:r w:rsidRPr="00CF4E04">
        <w:rPr>
          <w:noProof/>
        </w:rPr>
        <w:instrText xml:space="preserve"> PAGEREF _Toc99628127 \h </w:instrText>
      </w:r>
      <w:r w:rsidRPr="00CF4E04">
        <w:rPr>
          <w:noProof/>
        </w:rPr>
      </w:r>
      <w:r w:rsidRPr="00CF4E04">
        <w:rPr>
          <w:noProof/>
        </w:rPr>
        <w:fldChar w:fldCharType="separate"/>
      </w:r>
      <w:r w:rsidR="00742976">
        <w:rPr>
          <w:noProof/>
        </w:rPr>
        <w:t>1</w:t>
      </w:r>
      <w:r w:rsidRPr="00CF4E04">
        <w:rPr>
          <w:noProof/>
        </w:rPr>
        <w:fldChar w:fldCharType="end"/>
      </w:r>
    </w:p>
    <w:p w14:paraId="6CD49F3C" w14:textId="4C690443" w:rsidR="00A02D17" w:rsidRPr="00CF4E04" w:rsidRDefault="00A02D17">
      <w:pPr>
        <w:pStyle w:val="TOC6"/>
        <w:rPr>
          <w:rFonts w:asciiTheme="minorHAnsi" w:eastAsiaTheme="minorEastAsia" w:hAnsiTheme="minorHAnsi" w:cstheme="minorBidi"/>
          <w:b w:val="0"/>
          <w:noProof/>
          <w:kern w:val="0"/>
          <w:sz w:val="22"/>
          <w:szCs w:val="22"/>
        </w:rPr>
      </w:pPr>
      <w:r w:rsidRPr="00CF4E04">
        <w:rPr>
          <w:noProof/>
        </w:rPr>
        <w:t>Schedule 1—Amendments</w:t>
      </w:r>
      <w:r w:rsidRPr="00CF4E04">
        <w:rPr>
          <w:b w:val="0"/>
          <w:noProof/>
          <w:sz w:val="18"/>
        </w:rPr>
        <w:tab/>
      </w:r>
      <w:r w:rsidRPr="00CF4E04">
        <w:rPr>
          <w:b w:val="0"/>
          <w:noProof/>
          <w:sz w:val="18"/>
        </w:rPr>
        <w:fldChar w:fldCharType="begin"/>
      </w:r>
      <w:r w:rsidRPr="00CF4E04">
        <w:rPr>
          <w:b w:val="0"/>
          <w:noProof/>
          <w:sz w:val="18"/>
        </w:rPr>
        <w:instrText xml:space="preserve"> PAGEREF _Toc99628128 \h </w:instrText>
      </w:r>
      <w:r w:rsidRPr="00CF4E04">
        <w:rPr>
          <w:b w:val="0"/>
          <w:noProof/>
          <w:sz w:val="18"/>
        </w:rPr>
      </w:r>
      <w:r w:rsidRPr="00CF4E04">
        <w:rPr>
          <w:b w:val="0"/>
          <w:noProof/>
          <w:sz w:val="18"/>
        </w:rPr>
        <w:fldChar w:fldCharType="separate"/>
      </w:r>
      <w:r w:rsidR="00742976">
        <w:rPr>
          <w:b w:val="0"/>
          <w:noProof/>
          <w:sz w:val="18"/>
        </w:rPr>
        <w:t>2</w:t>
      </w:r>
      <w:r w:rsidRPr="00CF4E04">
        <w:rPr>
          <w:b w:val="0"/>
          <w:noProof/>
          <w:sz w:val="18"/>
        </w:rPr>
        <w:fldChar w:fldCharType="end"/>
      </w:r>
    </w:p>
    <w:p w14:paraId="33EDC1F9" w14:textId="59265F95" w:rsidR="00A02D17" w:rsidRPr="00CF4E04" w:rsidRDefault="00A02D17">
      <w:pPr>
        <w:pStyle w:val="TOC9"/>
        <w:rPr>
          <w:rFonts w:asciiTheme="minorHAnsi" w:eastAsiaTheme="minorEastAsia" w:hAnsiTheme="minorHAnsi" w:cstheme="minorBidi"/>
          <w:i w:val="0"/>
          <w:noProof/>
          <w:kern w:val="0"/>
          <w:sz w:val="22"/>
          <w:szCs w:val="22"/>
        </w:rPr>
      </w:pPr>
      <w:r w:rsidRPr="00CF4E04">
        <w:rPr>
          <w:noProof/>
        </w:rPr>
        <w:t xml:space="preserve">Australian Radiation Protection and Nuclear Safety </w:t>
      </w:r>
      <w:r w:rsidR="003B6DE9" w:rsidRPr="00CF4E04">
        <w:rPr>
          <w:noProof/>
        </w:rPr>
        <w:t>Regulations 2</w:t>
      </w:r>
      <w:r w:rsidRPr="00CF4E04">
        <w:rPr>
          <w:noProof/>
        </w:rPr>
        <w:t>018</w:t>
      </w:r>
      <w:r w:rsidRPr="00CF4E04">
        <w:rPr>
          <w:i w:val="0"/>
          <w:noProof/>
          <w:sz w:val="18"/>
        </w:rPr>
        <w:tab/>
      </w:r>
      <w:r w:rsidRPr="00CF4E04">
        <w:rPr>
          <w:i w:val="0"/>
          <w:noProof/>
          <w:sz w:val="18"/>
        </w:rPr>
        <w:fldChar w:fldCharType="begin"/>
      </w:r>
      <w:r w:rsidRPr="00CF4E04">
        <w:rPr>
          <w:i w:val="0"/>
          <w:noProof/>
          <w:sz w:val="18"/>
        </w:rPr>
        <w:instrText xml:space="preserve"> PAGEREF _Toc99628129 \h </w:instrText>
      </w:r>
      <w:r w:rsidRPr="00CF4E04">
        <w:rPr>
          <w:i w:val="0"/>
          <w:noProof/>
          <w:sz w:val="18"/>
        </w:rPr>
      </w:r>
      <w:r w:rsidRPr="00CF4E04">
        <w:rPr>
          <w:i w:val="0"/>
          <w:noProof/>
          <w:sz w:val="18"/>
        </w:rPr>
        <w:fldChar w:fldCharType="separate"/>
      </w:r>
      <w:r w:rsidR="00742976">
        <w:rPr>
          <w:i w:val="0"/>
          <w:noProof/>
          <w:sz w:val="18"/>
        </w:rPr>
        <w:t>2</w:t>
      </w:r>
      <w:r w:rsidRPr="00CF4E04">
        <w:rPr>
          <w:i w:val="0"/>
          <w:noProof/>
          <w:sz w:val="18"/>
        </w:rPr>
        <w:fldChar w:fldCharType="end"/>
      </w:r>
    </w:p>
    <w:p w14:paraId="43374CFE" w14:textId="77777777" w:rsidR="0048364F" w:rsidRPr="00CF4E04" w:rsidRDefault="00A02D17" w:rsidP="0048364F">
      <w:r w:rsidRPr="00CF4E04">
        <w:fldChar w:fldCharType="end"/>
      </w:r>
    </w:p>
    <w:p w14:paraId="3B917674" w14:textId="77777777" w:rsidR="0048364F" w:rsidRPr="00CF4E04" w:rsidRDefault="0048364F" w:rsidP="0048364F">
      <w:pPr>
        <w:sectPr w:rsidR="0048364F" w:rsidRPr="00CF4E04" w:rsidSect="0091275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67A133C" w14:textId="77777777" w:rsidR="0048364F" w:rsidRPr="00CF4E04" w:rsidRDefault="0048364F" w:rsidP="0048364F">
      <w:pPr>
        <w:pStyle w:val="ActHead5"/>
      </w:pPr>
      <w:bookmarkStart w:id="1" w:name="_Toc99628124"/>
      <w:r w:rsidRPr="0084697B">
        <w:rPr>
          <w:rStyle w:val="CharSectno"/>
        </w:rPr>
        <w:lastRenderedPageBreak/>
        <w:t>1</w:t>
      </w:r>
      <w:r w:rsidRPr="00CF4E04">
        <w:t xml:space="preserve">  </w:t>
      </w:r>
      <w:r w:rsidR="004F676E" w:rsidRPr="00CF4E04">
        <w:t>Name</w:t>
      </w:r>
      <w:bookmarkEnd w:id="1"/>
    </w:p>
    <w:p w14:paraId="2440CF7F" w14:textId="77777777" w:rsidR="0048364F" w:rsidRPr="00CF4E04" w:rsidRDefault="0048364F" w:rsidP="0048364F">
      <w:pPr>
        <w:pStyle w:val="subsection"/>
      </w:pPr>
      <w:r w:rsidRPr="00CF4E04">
        <w:tab/>
      </w:r>
      <w:r w:rsidRPr="00CF4E04">
        <w:tab/>
      </w:r>
      <w:r w:rsidR="00B40DE8" w:rsidRPr="00CF4E04">
        <w:t>This instrument is</w:t>
      </w:r>
      <w:r w:rsidRPr="00CF4E04">
        <w:t xml:space="preserve"> the </w:t>
      </w:r>
      <w:r w:rsidR="003B6DE9" w:rsidRPr="00CF4E04">
        <w:rPr>
          <w:i/>
          <w:noProof/>
        </w:rPr>
        <w:t>Australian Radiation Protection and Nuclear Safety Amendment (2022 Measures No. 1) Regulations 2022</w:t>
      </w:r>
      <w:r w:rsidRPr="00CF4E04">
        <w:t>.</w:t>
      </w:r>
    </w:p>
    <w:p w14:paraId="656507C9" w14:textId="77777777" w:rsidR="004F676E" w:rsidRPr="00CF4E04" w:rsidRDefault="0048364F" w:rsidP="005452CC">
      <w:pPr>
        <w:pStyle w:val="ActHead5"/>
      </w:pPr>
      <w:bookmarkStart w:id="2" w:name="_Toc99628125"/>
      <w:r w:rsidRPr="0084697B">
        <w:rPr>
          <w:rStyle w:val="CharSectno"/>
        </w:rPr>
        <w:t>2</w:t>
      </w:r>
      <w:r w:rsidRPr="00CF4E04">
        <w:t xml:space="preserve">  Commencement</w:t>
      </w:r>
      <w:bookmarkEnd w:id="2"/>
    </w:p>
    <w:p w14:paraId="6FE8A340" w14:textId="77777777" w:rsidR="005452CC" w:rsidRPr="00CF4E04" w:rsidRDefault="005452CC" w:rsidP="00320D5E">
      <w:pPr>
        <w:pStyle w:val="subsection"/>
      </w:pPr>
      <w:r w:rsidRPr="00CF4E04">
        <w:tab/>
        <w:t>(1)</w:t>
      </w:r>
      <w:r w:rsidRPr="00CF4E04">
        <w:tab/>
        <w:t xml:space="preserve">Each provision of </w:t>
      </w:r>
      <w:r w:rsidR="00B40DE8" w:rsidRPr="00CF4E04">
        <w:t>this instrument</w:t>
      </w:r>
      <w:r w:rsidRPr="00CF4E04">
        <w:t xml:space="preserve"> specified in column 1 of the table commences, or is taken to have commenced, in accordance with column 2 of the table. Any other statement in column 2 has effect according to its terms.</w:t>
      </w:r>
    </w:p>
    <w:p w14:paraId="4ACBCA68" w14:textId="77777777" w:rsidR="005452CC" w:rsidRPr="00CF4E04" w:rsidRDefault="005452CC" w:rsidP="00320D5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F4E04" w14:paraId="10F9D3BB" w14:textId="77777777" w:rsidTr="00AD7252">
        <w:trPr>
          <w:tblHeader/>
        </w:trPr>
        <w:tc>
          <w:tcPr>
            <w:tcW w:w="8364" w:type="dxa"/>
            <w:gridSpan w:val="3"/>
            <w:tcBorders>
              <w:top w:val="single" w:sz="12" w:space="0" w:color="auto"/>
              <w:bottom w:val="single" w:sz="6" w:space="0" w:color="auto"/>
            </w:tcBorders>
            <w:shd w:val="clear" w:color="auto" w:fill="auto"/>
            <w:hideMark/>
          </w:tcPr>
          <w:p w14:paraId="0720D0E0" w14:textId="77777777" w:rsidR="005452CC" w:rsidRPr="00CF4E04" w:rsidRDefault="005452CC" w:rsidP="00320D5E">
            <w:pPr>
              <w:pStyle w:val="TableHeading"/>
            </w:pPr>
            <w:r w:rsidRPr="00CF4E04">
              <w:t>Commencement information</w:t>
            </w:r>
          </w:p>
        </w:tc>
      </w:tr>
      <w:tr w:rsidR="005452CC" w:rsidRPr="00CF4E04" w14:paraId="15C22C24" w14:textId="77777777" w:rsidTr="00AD7252">
        <w:trPr>
          <w:tblHeader/>
        </w:trPr>
        <w:tc>
          <w:tcPr>
            <w:tcW w:w="2127" w:type="dxa"/>
            <w:tcBorders>
              <w:top w:val="single" w:sz="6" w:space="0" w:color="auto"/>
              <w:bottom w:val="single" w:sz="6" w:space="0" w:color="auto"/>
            </w:tcBorders>
            <w:shd w:val="clear" w:color="auto" w:fill="auto"/>
            <w:hideMark/>
          </w:tcPr>
          <w:p w14:paraId="5B3C62CE" w14:textId="77777777" w:rsidR="005452CC" w:rsidRPr="00CF4E04" w:rsidRDefault="005452CC" w:rsidP="00320D5E">
            <w:pPr>
              <w:pStyle w:val="TableHeading"/>
            </w:pPr>
            <w:r w:rsidRPr="00CF4E04">
              <w:t>Column 1</w:t>
            </w:r>
          </w:p>
        </w:tc>
        <w:tc>
          <w:tcPr>
            <w:tcW w:w="4394" w:type="dxa"/>
            <w:tcBorders>
              <w:top w:val="single" w:sz="6" w:space="0" w:color="auto"/>
              <w:bottom w:val="single" w:sz="6" w:space="0" w:color="auto"/>
            </w:tcBorders>
            <w:shd w:val="clear" w:color="auto" w:fill="auto"/>
            <w:hideMark/>
          </w:tcPr>
          <w:p w14:paraId="36A769AE" w14:textId="77777777" w:rsidR="005452CC" w:rsidRPr="00CF4E04" w:rsidRDefault="005452CC" w:rsidP="00320D5E">
            <w:pPr>
              <w:pStyle w:val="TableHeading"/>
            </w:pPr>
            <w:r w:rsidRPr="00CF4E04">
              <w:t>Column 2</w:t>
            </w:r>
          </w:p>
        </w:tc>
        <w:tc>
          <w:tcPr>
            <w:tcW w:w="1843" w:type="dxa"/>
            <w:tcBorders>
              <w:top w:val="single" w:sz="6" w:space="0" w:color="auto"/>
              <w:bottom w:val="single" w:sz="6" w:space="0" w:color="auto"/>
            </w:tcBorders>
            <w:shd w:val="clear" w:color="auto" w:fill="auto"/>
            <w:hideMark/>
          </w:tcPr>
          <w:p w14:paraId="4F8E00D1" w14:textId="77777777" w:rsidR="005452CC" w:rsidRPr="00CF4E04" w:rsidRDefault="005452CC" w:rsidP="00320D5E">
            <w:pPr>
              <w:pStyle w:val="TableHeading"/>
            </w:pPr>
            <w:r w:rsidRPr="00CF4E04">
              <w:t>Column 3</w:t>
            </w:r>
          </w:p>
        </w:tc>
      </w:tr>
      <w:tr w:rsidR="005452CC" w:rsidRPr="00CF4E04" w14:paraId="5F1A1A8F" w14:textId="77777777" w:rsidTr="00AD7252">
        <w:trPr>
          <w:tblHeader/>
        </w:trPr>
        <w:tc>
          <w:tcPr>
            <w:tcW w:w="2127" w:type="dxa"/>
            <w:tcBorders>
              <w:top w:val="single" w:sz="6" w:space="0" w:color="auto"/>
              <w:bottom w:val="single" w:sz="12" w:space="0" w:color="auto"/>
            </w:tcBorders>
            <w:shd w:val="clear" w:color="auto" w:fill="auto"/>
            <w:hideMark/>
          </w:tcPr>
          <w:p w14:paraId="55242F3A" w14:textId="77777777" w:rsidR="005452CC" w:rsidRPr="00CF4E04" w:rsidRDefault="005452CC" w:rsidP="00320D5E">
            <w:pPr>
              <w:pStyle w:val="TableHeading"/>
            </w:pPr>
            <w:r w:rsidRPr="00CF4E04">
              <w:t>Provisions</w:t>
            </w:r>
          </w:p>
        </w:tc>
        <w:tc>
          <w:tcPr>
            <w:tcW w:w="4394" w:type="dxa"/>
            <w:tcBorders>
              <w:top w:val="single" w:sz="6" w:space="0" w:color="auto"/>
              <w:bottom w:val="single" w:sz="12" w:space="0" w:color="auto"/>
            </w:tcBorders>
            <w:shd w:val="clear" w:color="auto" w:fill="auto"/>
            <w:hideMark/>
          </w:tcPr>
          <w:p w14:paraId="6834AF37" w14:textId="77777777" w:rsidR="005452CC" w:rsidRPr="00CF4E04" w:rsidRDefault="005452CC" w:rsidP="00320D5E">
            <w:pPr>
              <w:pStyle w:val="TableHeading"/>
            </w:pPr>
            <w:r w:rsidRPr="00CF4E04">
              <w:t>Commencement</w:t>
            </w:r>
          </w:p>
        </w:tc>
        <w:tc>
          <w:tcPr>
            <w:tcW w:w="1843" w:type="dxa"/>
            <w:tcBorders>
              <w:top w:val="single" w:sz="6" w:space="0" w:color="auto"/>
              <w:bottom w:val="single" w:sz="12" w:space="0" w:color="auto"/>
            </w:tcBorders>
            <w:shd w:val="clear" w:color="auto" w:fill="auto"/>
            <w:hideMark/>
          </w:tcPr>
          <w:p w14:paraId="4832C771" w14:textId="77777777" w:rsidR="005452CC" w:rsidRPr="00CF4E04" w:rsidRDefault="005452CC" w:rsidP="00320D5E">
            <w:pPr>
              <w:pStyle w:val="TableHeading"/>
            </w:pPr>
            <w:r w:rsidRPr="00CF4E04">
              <w:t>Date/Details</w:t>
            </w:r>
          </w:p>
        </w:tc>
      </w:tr>
      <w:tr w:rsidR="005452CC" w:rsidRPr="00CF4E04" w14:paraId="5F0A27AD" w14:textId="77777777" w:rsidTr="00AD7252">
        <w:tc>
          <w:tcPr>
            <w:tcW w:w="2127" w:type="dxa"/>
            <w:tcBorders>
              <w:top w:val="single" w:sz="12" w:space="0" w:color="auto"/>
              <w:bottom w:val="single" w:sz="12" w:space="0" w:color="auto"/>
            </w:tcBorders>
            <w:shd w:val="clear" w:color="auto" w:fill="auto"/>
            <w:hideMark/>
          </w:tcPr>
          <w:p w14:paraId="0779B7FE" w14:textId="77777777" w:rsidR="005452CC" w:rsidRPr="00CF4E04" w:rsidRDefault="005452CC" w:rsidP="00AD7252">
            <w:pPr>
              <w:pStyle w:val="Tabletext"/>
            </w:pPr>
            <w:r w:rsidRPr="00CF4E04">
              <w:t xml:space="preserve">1.  </w:t>
            </w:r>
            <w:r w:rsidR="00AD7252" w:rsidRPr="00CF4E04">
              <w:t xml:space="preserve">The whole of </w:t>
            </w:r>
            <w:r w:rsidR="00B40DE8" w:rsidRPr="00CF4E04">
              <w:t>this instrument</w:t>
            </w:r>
          </w:p>
        </w:tc>
        <w:tc>
          <w:tcPr>
            <w:tcW w:w="4394" w:type="dxa"/>
            <w:tcBorders>
              <w:top w:val="single" w:sz="12" w:space="0" w:color="auto"/>
              <w:bottom w:val="single" w:sz="12" w:space="0" w:color="auto"/>
            </w:tcBorders>
            <w:shd w:val="clear" w:color="auto" w:fill="auto"/>
            <w:hideMark/>
          </w:tcPr>
          <w:p w14:paraId="63944F28" w14:textId="77777777" w:rsidR="005452CC" w:rsidRPr="00CF4E04" w:rsidRDefault="002665DD" w:rsidP="005452CC">
            <w:pPr>
              <w:pStyle w:val="Tabletext"/>
            </w:pPr>
            <w:r w:rsidRPr="00CF4E04">
              <w:t>The day after this instrument is registered.</w:t>
            </w:r>
          </w:p>
        </w:tc>
        <w:tc>
          <w:tcPr>
            <w:tcW w:w="1843" w:type="dxa"/>
            <w:tcBorders>
              <w:top w:val="single" w:sz="12" w:space="0" w:color="auto"/>
              <w:bottom w:val="single" w:sz="12" w:space="0" w:color="auto"/>
            </w:tcBorders>
            <w:shd w:val="clear" w:color="auto" w:fill="auto"/>
          </w:tcPr>
          <w:p w14:paraId="4BADA119" w14:textId="65E1E4FD" w:rsidR="005452CC" w:rsidRPr="00CF4E04" w:rsidRDefault="00E82E52">
            <w:pPr>
              <w:pStyle w:val="Tabletext"/>
            </w:pPr>
            <w:r>
              <w:t>10 August 2022</w:t>
            </w:r>
            <w:bookmarkStart w:id="3" w:name="_GoBack"/>
            <w:bookmarkEnd w:id="3"/>
          </w:p>
        </w:tc>
      </w:tr>
    </w:tbl>
    <w:p w14:paraId="23A111C2" w14:textId="77777777" w:rsidR="005452CC" w:rsidRPr="00CF4E04" w:rsidRDefault="005452CC" w:rsidP="00320D5E">
      <w:pPr>
        <w:pStyle w:val="notetext"/>
      </w:pPr>
      <w:r w:rsidRPr="00CF4E04">
        <w:rPr>
          <w:snapToGrid w:val="0"/>
          <w:lang w:eastAsia="en-US"/>
        </w:rPr>
        <w:t>Note:</w:t>
      </w:r>
      <w:r w:rsidRPr="00CF4E04">
        <w:rPr>
          <w:snapToGrid w:val="0"/>
          <w:lang w:eastAsia="en-US"/>
        </w:rPr>
        <w:tab/>
        <w:t xml:space="preserve">This table relates only to the provisions of </w:t>
      </w:r>
      <w:r w:rsidR="00B40DE8" w:rsidRPr="00CF4E04">
        <w:rPr>
          <w:snapToGrid w:val="0"/>
          <w:lang w:eastAsia="en-US"/>
        </w:rPr>
        <w:t>this instrument</w:t>
      </w:r>
      <w:r w:rsidRPr="00CF4E04">
        <w:t xml:space="preserve"> </w:t>
      </w:r>
      <w:r w:rsidRPr="00CF4E04">
        <w:rPr>
          <w:snapToGrid w:val="0"/>
          <w:lang w:eastAsia="en-US"/>
        </w:rPr>
        <w:t xml:space="preserve">as originally made. It will not be amended to deal with any later amendments of </w:t>
      </w:r>
      <w:r w:rsidR="00B40DE8" w:rsidRPr="00CF4E04">
        <w:rPr>
          <w:snapToGrid w:val="0"/>
          <w:lang w:eastAsia="en-US"/>
        </w:rPr>
        <w:t>this instrument</w:t>
      </w:r>
      <w:r w:rsidRPr="00CF4E04">
        <w:rPr>
          <w:snapToGrid w:val="0"/>
          <w:lang w:eastAsia="en-US"/>
        </w:rPr>
        <w:t>.</w:t>
      </w:r>
    </w:p>
    <w:p w14:paraId="75330741" w14:textId="77777777" w:rsidR="005452CC" w:rsidRPr="00CF4E04" w:rsidRDefault="005452CC" w:rsidP="004F676E">
      <w:pPr>
        <w:pStyle w:val="subsection"/>
      </w:pPr>
      <w:r w:rsidRPr="00CF4E04">
        <w:tab/>
        <w:t>(2)</w:t>
      </w:r>
      <w:r w:rsidRPr="00CF4E04">
        <w:tab/>
        <w:t xml:space="preserve">Any information in column 3 of the table is not part of </w:t>
      </w:r>
      <w:r w:rsidR="00B40DE8" w:rsidRPr="00CF4E04">
        <w:t>this instrument</w:t>
      </w:r>
      <w:r w:rsidRPr="00CF4E04">
        <w:t xml:space="preserve">. Information may be inserted in this column, or information in it may be edited, in any published version of </w:t>
      </w:r>
      <w:r w:rsidR="00B40DE8" w:rsidRPr="00CF4E04">
        <w:t>this instrument</w:t>
      </w:r>
      <w:r w:rsidRPr="00CF4E04">
        <w:t>.</w:t>
      </w:r>
    </w:p>
    <w:p w14:paraId="41AA4944" w14:textId="77777777" w:rsidR="00BF6650" w:rsidRPr="00CF4E04" w:rsidRDefault="00BF6650" w:rsidP="00BF6650">
      <w:pPr>
        <w:pStyle w:val="ActHead5"/>
      </w:pPr>
      <w:bookmarkStart w:id="4" w:name="_Toc99628126"/>
      <w:r w:rsidRPr="0084697B">
        <w:rPr>
          <w:rStyle w:val="CharSectno"/>
        </w:rPr>
        <w:t>3</w:t>
      </w:r>
      <w:r w:rsidRPr="00CF4E04">
        <w:t xml:space="preserve">  Authority</w:t>
      </w:r>
      <w:bookmarkEnd w:id="4"/>
    </w:p>
    <w:p w14:paraId="3CC98AE6" w14:textId="77777777" w:rsidR="00BF6650" w:rsidRPr="00CF4E04" w:rsidRDefault="00BF6650" w:rsidP="00BF6650">
      <w:pPr>
        <w:pStyle w:val="subsection"/>
      </w:pPr>
      <w:r w:rsidRPr="00CF4E04">
        <w:tab/>
      </w:r>
      <w:r w:rsidRPr="00CF4E04">
        <w:tab/>
      </w:r>
      <w:r w:rsidR="00B40DE8" w:rsidRPr="00CF4E04">
        <w:t>This instrument is</w:t>
      </w:r>
      <w:r w:rsidRPr="00CF4E04">
        <w:t xml:space="preserve"> made under the </w:t>
      </w:r>
      <w:r w:rsidR="00425797" w:rsidRPr="00CF4E04">
        <w:rPr>
          <w:i/>
        </w:rPr>
        <w:t>Australian Radiation Protection and Nuclear Safety Act 1998</w:t>
      </w:r>
      <w:r w:rsidR="00546FA3" w:rsidRPr="00CF4E04">
        <w:t>.</w:t>
      </w:r>
    </w:p>
    <w:p w14:paraId="1AE26130" w14:textId="77777777" w:rsidR="00557C7A" w:rsidRPr="00CF4E04" w:rsidRDefault="00BF6650" w:rsidP="00557C7A">
      <w:pPr>
        <w:pStyle w:val="ActHead5"/>
      </w:pPr>
      <w:bookmarkStart w:id="5" w:name="_Toc99628127"/>
      <w:r w:rsidRPr="0084697B">
        <w:rPr>
          <w:rStyle w:val="CharSectno"/>
        </w:rPr>
        <w:t>4</w:t>
      </w:r>
      <w:r w:rsidR="00557C7A" w:rsidRPr="00CF4E04">
        <w:t xml:space="preserve">  </w:t>
      </w:r>
      <w:r w:rsidR="00083F48" w:rsidRPr="00CF4E04">
        <w:t>Schedules</w:t>
      </w:r>
      <w:bookmarkEnd w:id="5"/>
    </w:p>
    <w:p w14:paraId="79B73AC9" w14:textId="77777777" w:rsidR="00557C7A" w:rsidRPr="00CF4E04" w:rsidRDefault="00557C7A" w:rsidP="00557C7A">
      <w:pPr>
        <w:pStyle w:val="subsection"/>
      </w:pPr>
      <w:r w:rsidRPr="00CF4E04">
        <w:tab/>
      </w:r>
      <w:r w:rsidRPr="00CF4E04">
        <w:tab/>
      </w:r>
      <w:r w:rsidR="00083F48" w:rsidRPr="00CF4E04">
        <w:t xml:space="preserve">Each </w:t>
      </w:r>
      <w:r w:rsidR="00160BD7" w:rsidRPr="00CF4E04">
        <w:t>instrument</w:t>
      </w:r>
      <w:r w:rsidR="00083F48" w:rsidRPr="00CF4E04">
        <w:t xml:space="preserve"> that is specified in a Schedule to </w:t>
      </w:r>
      <w:r w:rsidR="00B40DE8" w:rsidRPr="00CF4E04">
        <w:t>this instrument</w:t>
      </w:r>
      <w:r w:rsidR="00083F48" w:rsidRPr="00CF4E04">
        <w:t xml:space="preserve"> is amended or repealed as set out in the applicable items in the Schedule concerned, and any other item in a Schedule to </w:t>
      </w:r>
      <w:r w:rsidR="00B40DE8" w:rsidRPr="00CF4E04">
        <w:t>this instrument</w:t>
      </w:r>
      <w:r w:rsidR="00083F48" w:rsidRPr="00CF4E04">
        <w:t xml:space="preserve"> has effect according to its terms.</w:t>
      </w:r>
    </w:p>
    <w:p w14:paraId="055734BF" w14:textId="77777777" w:rsidR="0048364F" w:rsidRPr="00CF4E04" w:rsidRDefault="000F00A3" w:rsidP="009C5989">
      <w:pPr>
        <w:pStyle w:val="ActHead6"/>
        <w:pageBreakBefore/>
      </w:pPr>
      <w:bookmarkStart w:id="6" w:name="_Toc99628128"/>
      <w:bookmarkStart w:id="7" w:name="opcAmSched"/>
      <w:bookmarkStart w:id="8" w:name="opcCurrentFind"/>
      <w:r w:rsidRPr="0084697B">
        <w:rPr>
          <w:rStyle w:val="CharAmSchNo"/>
        </w:rPr>
        <w:lastRenderedPageBreak/>
        <w:t>Schedule 1</w:t>
      </w:r>
      <w:r w:rsidR="0048364F" w:rsidRPr="00CF4E04">
        <w:t>—</w:t>
      </w:r>
      <w:r w:rsidR="00460499" w:rsidRPr="0084697B">
        <w:rPr>
          <w:rStyle w:val="CharAmSchText"/>
        </w:rPr>
        <w:t>Amendments</w:t>
      </w:r>
      <w:bookmarkEnd w:id="6"/>
    </w:p>
    <w:bookmarkEnd w:id="7"/>
    <w:bookmarkEnd w:id="8"/>
    <w:p w14:paraId="7D8F4372" w14:textId="77777777" w:rsidR="0004044E" w:rsidRPr="0084697B" w:rsidRDefault="0004044E" w:rsidP="0004044E">
      <w:pPr>
        <w:pStyle w:val="Header"/>
      </w:pPr>
      <w:r w:rsidRPr="0084697B">
        <w:rPr>
          <w:rStyle w:val="CharAmPartNo"/>
        </w:rPr>
        <w:t xml:space="preserve"> </w:t>
      </w:r>
      <w:r w:rsidRPr="0084697B">
        <w:rPr>
          <w:rStyle w:val="CharAmPartText"/>
        </w:rPr>
        <w:t xml:space="preserve"> </w:t>
      </w:r>
    </w:p>
    <w:p w14:paraId="7C1B783A" w14:textId="77777777" w:rsidR="0084172C" w:rsidRPr="00CF4E04" w:rsidRDefault="00425797" w:rsidP="00EA0D36">
      <w:pPr>
        <w:pStyle w:val="ActHead9"/>
      </w:pPr>
      <w:bookmarkStart w:id="9" w:name="_Toc99628129"/>
      <w:r w:rsidRPr="00CF4E04">
        <w:t xml:space="preserve">Australian Radiation Protection and Nuclear Safety </w:t>
      </w:r>
      <w:r w:rsidR="003B6DE9" w:rsidRPr="00CF4E04">
        <w:t>Regulations 2</w:t>
      </w:r>
      <w:r w:rsidRPr="00CF4E04">
        <w:t>018</w:t>
      </w:r>
      <w:bookmarkEnd w:id="9"/>
    </w:p>
    <w:p w14:paraId="44E0472D" w14:textId="77777777" w:rsidR="00976EE9" w:rsidRPr="00CF4E04" w:rsidRDefault="008C7195" w:rsidP="00976EE9">
      <w:pPr>
        <w:pStyle w:val="ItemHead"/>
      </w:pPr>
      <w:r w:rsidRPr="00CF4E04">
        <w:t>1</w:t>
      </w:r>
      <w:r w:rsidR="00976EE9" w:rsidRPr="00CF4E04">
        <w:t xml:space="preserve">  </w:t>
      </w:r>
      <w:r w:rsidR="0049126F" w:rsidRPr="00CF4E04">
        <w:t>Section 4</w:t>
      </w:r>
    </w:p>
    <w:p w14:paraId="6B1757CC" w14:textId="77777777" w:rsidR="00976EE9" w:rsidRPr="00CF4E04" w:rsidRDefault="00976EE9" w:rsidP="00976EE9">
      <w:pPr>
        <w:pStyle w:val="Item"/>
      </w:pPr>
      <w:r w:rsidRPr="00CF4E04">
        <w:t>Insert:</w:t>
      </w:r>
    </w:p>
    <w:p w14:paraId="79900DC4" w14:textId="77777777" w:rsidR="00976EE9" w:rsidRPr="00CF4E04" w:rsidRDefault="00976EE9" w:rsidP="00976EE9">
      <w:pPr>
        <w:pStyle w:val="Definition"/>
      </w:pPr>
      <w:r w:rsidRPr="00CF4E04">
        <w:rPr>
          <w:b/>
          <w:i/>
        </w:rPr>
        <w:t>AS/NZS IEC 62471:2011</w:t>
      </w:r>
      <w:r w:rsidRPr="00CF4E04">
        <w:t xml:space="preserve"> means the Australian/New Zealand Standard AS/NZS IEC 62471:2011 </w:t>
      </w:r>
      <w:r w:rsidRPr="00CF4E04">
        <w:rPr>
          <w:i/>
        </w:rPr>
        <w:t>Photobiological safety of lamp</w:t>
      </w:r>
      <w:r w:rsidR="00CB6486" w:rsidRPr="00CF4E04">
        <w:rPr>
          <w:i/>
        </w:rPr>
        <w:t>s</w:t>
      </w:r>
      <w:r w:rsidRPr="00CF4E04">
        <w:rPr>
          <w:i/>
        </w:rPr>
        <w:t xml:space="preserve"> and lamp systems</w:t>
      </w:r>
      <w:r w:rsidRPr="00CF4E04">
        <w:t xml:space="preserve">, published jointly by, or on behalf of, Standards Australia and Standards New Zealand, as existing on </w:t>
      </w:r>
      <w:r w:rsidR="00642F82" w:rsidRPr="00CF4E04">
        <w:t>8 December</w:t>
      </w:r>
      <w:r w:rsidRPr="00CF4E04">
        <w:t xml:space="preserve"> 2018.</w:t>
      </w:r>
    </w:p>
    <w:p w14:paraId="266CFE55" w14:textId="77777777" w:rsidR="002A17C2" w:rsidRPr="00CF4E04" w:rsidRDefault="008C7195" w:rsidP="002A17C2">
      <w:pPr>
        <w:pStyle w:val="ItemHead"/>
      </w:pPr>
      <w:r w:rsidRPr="00CF4E04">
        <w:t>2</w:t>
      </w:r>
      <w:r w:rsidR="002A17C2" w:rsidRPr="00CF4E04">
        <w:t xml:space="preserve">  </w:t>
      </w:r>
      <w:r w:rsidR="0049126F" w:rsidRPr="00CF4E04">
        <w:t>Section 4</w:t>
      </w:r>
      <w:r w:rsidR="002A17C2" w:rsidRPr="00CF4E04">
        <w:t xml:space="preserve"> (table </w:t>
      </w:r>
      <w:r w:rsidR="0049126F" w:rsidRPr="00CF4E04">
        <w:t>item 2</w:t>
      </w:r>
      <w:r w:rsidR="002A17C2" w:rsidRPr="00CF4E04">
        <w:t xml:space="preserve">6 in the definition of </w:t>
      </w:r>
      <w:r w:rsidR="002A17C2" w:rsidRPr="00CF4E04">
        <w:rPr>
          <w:i/>
        </w:rPr>
        <w:t>Group 1</w:t>
      </w:r>
      <w:r w:rsidR="002A17C2" w:rsidRPr="00CF4E04">
        <w:t>)</w:t>
      </w:r>
    </w:p>
    <w:p w14:paraId="3E65CC89" w14:textId="77777777" w:rsidR="002A17C2" w:rsidRPr="00CF4E04" w:rsidRDefault="002A17C2" w:rsidP="002A17C2">
      <w:pPr>
        <w:pStyle w:val="Item"/>
      </w:pPr>
      <w:r w:rsidRPr="00CF4E04">
        <w:t>Repeal the item, substitute:</w:t>
      </w:r>
    </w:p>
    <w:p w14:paraId="62646C73" w14:textId="77777777" w:rsidR="00113677" w:rsidRPr="00CF4E04" w:rsidRDefault="00113677" w:rsidP="0011367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05"/>
        <w:gridCol w:w="8024"/>
      </w:tblGrid>
      <w:tr w:rsidR="002A17C2" w:rsidRPr="00CF4E04" w14:paraId="2895D137" w14:textId="77777777" w:rsidTr="002A17C2">
        <w:tc>
          <w:tcPr>
            <w:tcW w:w="296" w:type="pct"/>
            <w:tcBorders>
              <w:top w:val="nil"/>
              <w:bottom w:val="single" w:sz="2" w:space="0" w:color="auto"/>
            </w:tcBorders>
            <w:shd w:val="clear" w:color="auto" w:fill="auto"/>
          </w:tcPr>
          <w:p w14:paraId="41A158F6" w14:textId="77777777" w:rsidR="002A17C2" w:rsidRPr="00CF4E04" w:rsidRDefault="002A17C2" w:rsidP="002A17C2">
            <w:pPr>
              <w:pStyle w:val="Tabletext"/>
            </w:pPr>
            <w:r w:rsidRPr="00CF4E04">
              <w:t>26</w:t>
            </w:r>
          </w:p>
        </w:tc>
        <w:tc>
          <w:tcPr>
            <w:tcW w:w="4704" w:type="pct"/>
            <w:tcBorders>
              <w:top w:val="nil"/>
              <w:bottom w:val="single" w:sz="2" w:space="0" w:color="auto"/>
            </w:tcBorders>
            <w:shd w:val="clear" w:color="auto" w:fill="auto"/>
          </w:tcPr>
          <w:p w14:paraId="65DE9F65" w14:textId="77777777" w:rsidR="002A17C2" w:rsidRPr="00CF4E04" w:rsidRDefault="002A17C2" w:rsidP="002A17C2">
            <w:pPr>
              <w:pStyle w:val="Tabletext"/>
            </w:pPr>
            <w:r w:rsidRPr="00CF4E04">
              <w:t xml:space="preserve">Controlled apparatus that produces ionizing radiation and is not mentioned in another item of this table or in the definition of </w:t>
            </w:r>
            <w:r w:rsidRPr="00CF4E04">
              <w:rPr>
                <w:b/>
                <w:i/>
              </w:rPr>
              <w:t>Group 2</w:t>
            </w:r>
            <w:r w:rsidRPr="00CF4E04">
              <w:t xml:space="preserve"> or </w:t>
            </w:r>
            <w:r w:rsidRPr="00CF4E04">
              <w:rPr>
                <w:b/>
                <w:i/>
              </w:rPr>
              <w:t>Group 3</w:t>
            </w:r>
            <w:r w:rsidRPr="00CF4E04">
              <w:t xml:space="preserve">, dealings with which do not have the potential for accidental exposure likely to exceed the dose limits mentioned in </w:t>
            </w:r>
            <w:r w:rsidR="00B23B05" w:rsidRPr="00CF4E04">
              <w:t>sections 7</w:t>
            </w:r>
            <w:r w:rsidRPr="00CF4E04">
              <w:t>7 and 79</w:t>
            </w:r>
          </w:p>
        </w:tc>
      </w:tr>
      <w:tr w:rsidR="002A17C2" w:rsidRPr="00CF4E04" w14:paraId="662E291B" w14:textId="77777777" w:rsidTr="002A17C2">
        <w:tc>
          <w:tcPr>
            <w:tcW w:w="296" w:type="pct"/>
            <w:tcBorders>
              <w:top w:val="single" w:sz="2" w:space="0" w:color="auto"/>
              <w:bottom w:val="nil"/>
            </w:tcBorders>
            <w:shd w:val="clear" w:color="auto" w:fill="auto"/>
          </w:tcPr>
          <w:p w14:paraId="1687F78F" w14:textId="77777777" w:rsidR="002A17C2" w:rsidRPr="00CF4E04" w:rsidRDefault="002A17C2" w:rsidP="002A17C2">
            <w:pPr>
              <w:pStyle w:val="Tabletext"/>
            </w:pPr>
            <w:r w:rsidRPr="00CF4E04">
              <w:t>27</w:t>
            </w:r>
          </w:p>
        </w:tc>
        <w:tc>
          <w:tcPr>
            <w:tcW w:w="4704" w:type="pct"/>
            <w:tcBorders>
              <w:top w:val="single" w:sz="2" w:space="0" w:color="auto"/>
              <w:bottom w:val="nil"/>
            </w:tcBorders>
            <w:shd w:val="clear" w:color="auto" w:fill="auto"/>
          </w:tcPr>
          <w:p w14:paraId="7930F4D9" w14:textId="77777777" w:rsidR="002A17C2" w:rsidRPr="00CF4E04" w:rsidRDefault="002A17C2" w:rsidP="002A17C2">
            <w:pPr>
              <w:pStyle w:val="Tabletext"/>
            </w:pPr>
            <w:r w:rsidRPr="00CF4E04">
              <w:t>Controlled apparatus that produces non</w:t>
            </w:r>
            <w:r w:rsidR="00CF4E04">
              <w:noBreakHyphen/>
            </w:r>
            <w:r w:rsidRPr="00CF4E04">
              <w:t>ionizing radiation and is not mentioned in another item of this table</w:t>
            </w:r>
          </w:p>
        </w:tc>
      </w:tr>
    </w:tbl>
    <w:p w14:paraId="13EBEFD1" w14:textId="77777777" w:rsidR="00524562" w:rsidRPr="00CF4E04" w:rsidRDefault="008C7195" w:rsidP="00524562">
      <w:pPr>
        <w:pStyle w:val="ItemHead"/>
      </w:pPr>
      <w:r w:rsidRPr="00CF4E04">
        <w:t>3</w:t>
      </w:r>
      <w:r w:rsidR="00524562" w:rsidRPr="00CF4E04">
        <w:t xml:space="preserve">  </w:t>
      </w:r>
      <w:r w:rsidR="0049126F" w:rsidRPr="00CF4E04">
        <w:t>Section 4</w:t>
      </w:r>
    </w:p>
    <w:p w14:paraId="5D5BD3D4" w14:textId="77777777" w:rsidR="00524562" w:rsidRPr="00CF4E04" w:rsidRDefault="00524562" w:rsidP="00524562">
      <w:pPr>
        <w:pStyle w:val="Item"/>
      </w:pPr>
      <w:r w:rsidRPr="00CF4E04">
        <w:t>Insert:</w:t>
      </w:r>
    </w:p>
    <w:p w14:paraId="26DA60FB" w14:textId="77777777" w:rsidR="00524562" w:rsidRPr="00CF4E04" w:rsidRDefault="00524562" w:rsidP="00524562">
      <w:pPr>
        <w:pStyle w:val="Definition"/>
      </w:pPr>
      <w:r w:rsidRPr="00CF4E04">
        <w:rPr>
          <w:b/>
          <w:i/>
        </w:rPr>
        <w:t xml:space="preserve">GSR </w:t>
      </w:r>
      <w:r w:rsidR="0049126F" w:rsidRPr="00CF4E04">
        <w:rPr>
          <w:b/>
          <w:i/>
        </w:rPr>
        <w:t>Part 3</w:t>
      </w:r>
      <w:r w:rsidRPr="00CF4E04">
        <w:t xml:space="preserve"> means </w:t>
      </w:r>
      <w:r w:rsidRPr="00CF4E04">
        <w:rPr>
          <w:i/>
        </w:rPr>
        <w:t xml:space="preserve">Radiation Protection and Safety of Radiation Sources: International Basic Safety Standards—IAEA Safety Standards Series No. GSR </w:t>
      </w:r>
      <w:r w:rsidR="0049126F" w:rsidRPr="00CF4E04">
        <w:rPr>
          <w:i/>
        </w:rPr>
        <w:t>Part 3</w:t>
      </w:r>
      <w:r w:rsidRPr="00CF4E04">
        <w:t xml:space="preserve">, published by the International Atomic Energy Agency, as existing on </w:t>
      </w:r>
      <w:r w:rsidR="000F00A3" w:rsidRPr="00CF4E04">
        <w:t>1 March</w:t>
      </w:r>
      <w:r w:rsidR="008F4B1A" w:rsidRPr="00CF4E04">
        <w:t xml:space="preserve"> 2022</w:t>
      </w:r>
      <w:r w:rsidRPr="00CF4E04">
        <w:t>.</w:t>
      </w:r>
    </w:p>
    <w:p w14:paraId="22C7456B" w14:textId="77777777" w:rsidR="00524562" w:rsidRPr="00CF4E04" w:rsidRDefault="00524562" w:rsidP="00524562">
      <w:pPr>
        <w:pStyle w:val="notetext"/>
      </w:pPr>
      <w:r w:rsidRPr="00CF4E04">
        <w:t>Note:</w:t>
      </w:r>
      <w:r w:rsidRPr="00CF4E04">
        <w:tab/>
        <w:t xml:space="preserve">GSR </w:t>
      </w:r>
      <w:r w:rsidR="0049126F" w:rsidRPr="00CF4E04">
        <w:t>Part 3</w:t>
      </w:r>
      <w:r w:rsidRPr="00CF4E04">
        <w:t xml:space="preserve"> could in </w:t>
      </w:r>
      <w:r w:rsidR="000277DA" w:rsidRPr="00CF4E04">
        <w:t>2022</w:t>
      </w:r>
      <w:r w:rsidRPr="00CF4E04">
        <w:t xml:space="preserve"> be viewed on the International Atomic Energy Agency’s website (https://www.iaea.org).</w:t>
      </w:r>
    </w:p>
    <w:p w14:paraId="51BED13E" w14:textId="77777777" w:rsidR="00005E60" w:rsidRPr="00CF4E04" w:rsidRDefault="00005E60" w:rsidP="00005E60">
      <w:pPr>
        <w:pStyle w:val="Definition"/>
      </w:pPr>
      <w:r w:rsidRPr="00CF4E04">
        <w:rPr>
          <w:b/>
          <w:i/>
        </w:rPr>
        <w:t>incident</w:t>
      </w:r>
      <w:r w:rsidRPr="00CF4E04">
        <w:t xml:space="preserve"> means:</w:t>
      </w:r>
    </w:p>
    <w:p w14:paraId="206E1A48" w14:textId="77777777" w:rsidR="00005E60" w:rsidRPr="00CF4E04" w:rsidRDefault="00005E60" w:rsidP="00005E60">
      <w:pPr>
        <w:pStyle w:val="paragraph"/>
      </w:pPr>
      <w:r w:rsidRPr="00CF4E04">
        <w:tab/>
        <w:t>(a)</w:t>
      </w:r>
      <w:r w:rsidRPr="00CF4E04">
        <w:tab/>
        <w:t>any unintended event, including an operating error, equipment failure, initiating event, accident precursor, near miss or other mishap; or</w:t>
      </w:r>
    </w:p>
    <w:p w14:paraId="3AF2FF11" w14:textId="77777777" w:rsidR="00005E60" w:rsidRPr="00CF4E04" w:rsidRDefault="00005E60" w:rsidP="00005E60">
      <w:pPr>
        <w:pStyle w:val="paragraph"/>
      </w:pPr>
      <w:r w:rsidRPr="00CF4E04">
        <w:tab/>
        <w:t>(b)</w:t>
      </w:r>
      <w:r w:rsidRPr="00CF4E04">
        <w:tab/>
        <w:t>any unauthorised act, whether or not malicious;</w:t>
      </w:r>
    </w:p>
    <w:p w14:paraId="173010E3" w14:textId="77777777" w:rsidR="00005E60" w:rsidRPr="00CF4E04" w:rsidRDefault="00005E60" w:rsidP="00005E60">
      <w:pPr>
        <w:pStyle w:val="subsection2"/>
      </w:pPr>
      <w:r w:rsidRPr="00CF4E04">
        <w:t>the consequences or potential consequences of which are not negligible.</w:t>
      </w:r>
    </w:p>
    <w:p w14:paraId="2A04828C" w14:textId="77777777" w:rsidR="00976EE9" w:rsidRPr="00CF4E04" w:rsidRDefault="008C7195" w:rsidP="00976EE9">
      <w:pPr>
        <w:pStyle w:val="ItemHead"/>
      </w:pPr>
      <w:r w:rsidRPr="00CF4E04">
        <w:t>4</w:t>
      </w:r>
      <w:r w:rsidR="00976EE9" w:rsidRPr="00CF4E04">
        <w:t xml:space="preserve">  </w:t>
      </w:r>
      <w:r w:rsidR="0049126F" w:rsidRPr="00CF4E04">
        <w:t>Section 4</w:t>
      </w:r>
      <w:r w:rsidR="00976EE9" w:rsidRPr="00CF4E04">
        <w:t xml:space="preserve"> (</w:t>
      </w:r>
      <w:r w:rsidR="0049126F" w:rsidRPr="00CF4E04">
        <w:t>paragraph (</w:t>
      </w:r>
      <w:r w:rsidR="00976EE9" w:rsidRPr="00CF4E04">
        <w:t xml:space="preserve">d) of the definition of </w:t>
      </w:r>
      <w:r w:rsidR="00976EE9" w:rsidRPr="00CF4E04">
        <w:rPr>
          <w:i/>
        </w:rPr>
        <w:t>non</w:t>
      </w:r>
      <w:r w:rsidR="00CF4E04">
        <w:rPr>
          <w:i/>
        </w:rPr>
        <w:noBreakHyphen/>
      </w:r>
      <w:r w:rsidR="00976EE9" w:rsidRPr="00CF4E04">
        <w:rPr>
          <w:i/>
        </w:rPr>
        <w:t>ionizing radiation exposure limits</w:t>
      </w:r>
      <w:r w:rsidR="00976EE9" w:rsidRPr="00CF4E04">
        <w:t>)</w:t>
      </w:r>
    </w:p>
    <w:p w14:paraId="0A11038A" w14:textId="77777777" w:rsidR="00976EE9" w:rsidRPr="00CF4E04" w:rsidRDefault="00976EE9" w:rsidP="00976EE9">
      <w:pPr>
        <w:pStyle w:val="Item"/>
      </w:pPr>
      <w:r w:rsidRPr="00CF4E04">
        <w:t>Omit “</w:t>
      </w:r>
      <w:r w:rsidR="00AE1C45" w:rsidRPr="00CF4E04">
        <w:t xml:space="preserve">the </w:t>
      </w:r>
      <w:r w:rsidRPr="00CF4E04">
        <w:t xml:space="preserve">Australian/New Zealand Standard AS/NZS IEC 62471:2011 </w:t>
      </w:r>
      <w:r w:rsidRPr="00CF4E04">
        <w:rPr>
          <w:i/>
        </w:rPr>
        <w:t>Photobiological safety of lamp and lamp systems</w:t>
      </w:r>
      <w:r w:rsidRPr="00CF4E04">
        <w:t xml:space="preserve">, published jointly by, or on behalf of, Standards Australia and Standards New Zealand, as existing on </w:t>
      </w:r>
      <w:r w:rsidR="00642F82" w:rsidRPr="00CF4E04">
        <w:t>8 December</w:t>
      </w:r>
      <w:r w:rsidRPr="00CF4E04">
        <w:t xml:space="preserve"> 2018”, substitute “AS/NZS IEC 62471:2011”.</w:t>
      </w:r>
    </w:p>
    <w:p w14:paraId="49C16DF8" w14:textId="77777777" w:rsidR="00976EE9" w:rsidRPr="00CF4E04" w:rsidRDefault="008C7195" w:rsidP="00976EE9">
      <w:pPr>
        <w:pStyle w:val="ItemHead"/>
      </w:pPr>
      <w:r w:rsidRPr="00CF4E04">
        <w:t>5</w:t>
      </w:r>
      <w:r w:rsidR="00976EE9" w:rsidRPr="00CF4E04">
        <w:t xml:space="preserve">  </w:t>
      </w:r>
      <w:r w:rsidR="0049126F" w:rsidRPr="00CF4E04">
        <w:t>Section 4</w:t>
      </w:r>
    </w:p>
    <w:p w14:paraId="1CA49CB6" w14:textId="77777777" w:rsidR="00976EE9" w:rsidRPr="00CF4E04" w:rsidRDefault="00976EE9" w:rsidP="00976EE9">
      <w:pPr>
        <w:pStyle w:val="Item"/>
      </w:pPr>
      <w:r w:rsidRPr="00CF4E04">
        <w:t>Insert:</w:t>
      </w:r>
    </w:p>
    <w:p w14:paraId="721CAEE2" w14:textId="77777777" w:rsidR="00005E60" w:rsidRPr="00CF4E04" w:rsidRDefault="00005E60" w:rsidP="00005E60">
      <w:pPr>
        <w:pStyle w:val="Definition"/>
      </w:pPr>
      <w:r w:rsidRPr="00CF4E04">
        <w:rPr>
          <w:b/>
          <w:i/>
        </w:rPr>
        <w:t>notifiable incident</w:t>
      </w:r>
      <w:r w:rsidRPr="00CF4E04">
        <w:t xml:space="preserve"> means any of the following:</w:t>
      </w:r>
    </w:p>
    <w:p w14:paraId="516DF9DA" w14:textId="77777777" w:rsidR="00005E60" w:rsidRPr="00CF4E04" w:rsidRDefault="00005E60" w:rsidP="00005E60">
      <w:pPr>
        <w:pStyle w:val="paragraph"/>
      </w:pPr>
      <w:r w:rsidRPr="00CF4E04">
        <w:lastRenderedPageBreak/>
        <w:tab/>
        <w:t>(a)</w:t>
      </w:r>
      <w:r w:rsidRPr="00CF4E04">
        <w:tab/>
        <w:t>an incident</w:t>
      </w:r>
      <w:r w:rsidR="00FC6EA8" w:rsidRPr="00CF4E04">
        <w:t xml:space="preserve"> </w:t>
      </w:r>
      <w:r w:rsidR="005A0AB1" w:rsidRPr="00CF4E04">
        <w:t xml:space="preserve">that exposes a person to a dose of </w:t>
      </w:r>
      <w:r w:rsidR="00FC6EA8" w:rsidRPr="00CF4E04">
        <w:t xml:space="preserve">ionizing radiation that exceeds </w:t>
      </w:r>
      <w:r w:rsidR="008F4B1A" w:rsidRPr="00CF4E04">
        <w:t xml:space="preserve">an </w:t>
      </w:r>
      <w:r w:rsidR="00FC6EA8" w:rsidRPr="00CF4E04">
        <w:t xml:space="preserve">effective dose limit mentioned in section 77 or </w:t>
      </w:r>
      <w:r w:rsidR="008F4B1A" w:rsidRPr="00CF4E04">
        <w:t xml:space="preserve">an </w:t>
      </w:r>
      <w:r w:rsidR="00FC6EA8" w:rsidRPr="00CF4E04">
        <w:t>equivalent dose limit mentioned in section 79</w:t>
      </w:r>
      <w:r w:rsidRPr="00CF4E04">
        <w:t>;</w:t>
      </w:r>
    </w:p>
    <w:p w14:paraId="031713D0" w14:textId="77777777" w:rsidR="00005E60" w:rsidRPr="00CF4E04" w:rsidRDefault="00005E60" w:rsidP="00005E60">
      <w:pPr>
        <w:pStyle w:val="paragraph"/>
      </w:pPr>
      <w:r w:rsidRPr="00CF4E04">
        <w:tab/>
        <w:t>(b)</w:t>
      </w:r>
      <w:r w:rsidRPr="00CF4E04">
        <w:tab/>
      </w:r>
      <w:r w:rsidR="005A0AB1" w:rsidRPr="00CF4E04">
        <w:t xml:space="preserve">an incident involving </w:t>
      </w:r>
      <w:r w:rsidRPr="00CF4E04">
        <w:t>a diagnostic or interventional medical procedure resulting in an observable acute radiation effect;</w:t>
      </w:r>
    </w:p>
    <w:p w14:paraId="275FD075" w14:textId="77777777" w:rsidR="00B856C8" w:rsidRPr="00CF4E04" w:rsidRDefault="00005E60" w:rsidP="00005E60">
      <w:pPr>
        <w:pStyle w:val="paragraph"/>
      </w:pPr>
      <w:r w:rsidRPr="00CF4E04">
        <w:tab/>
        <w:t>(c)</w:t>
      </w:r>
      <w:r w:rsidRPr="00CF4E04">
        <w:tab/>
        <w:t xml:space="preserve">an incident </w:t>
      </w:r>
      <w:r w:rsidR="00B856C8" w:rsidRPr="00CF4E04">
        <w:t>involving</w:t>
      </w:r>
      <w:r w:rsidRPr="00CF4E04">
        <w:t xml:space="preserve"> exposure to non</w:t>
      </w:r>
      <w:r w:rsidR="00CF4E04">
        <w:noBreakHyphen/>
      </w:r>
      <w:r w:rsidRPr="00CF4E04">
        <w:t xml:space="preserve">ionizing radiation from controlled apparatus </w:t>
      </w:r>
      <w:r w:rsidR="00B856C8" w:rsidRPr="00CF4E04">
        <w:t>that:</w:t>
      </w:r>
    </w:p>
    <w:p w14:paraId="21CCCD55" w14:textId="77777777" w:rsidR="00B856C8" w:rsidRPr="00CF4E04" w:rsidRDefault="00B856C8" w:rsidP="00B856C8">
      <w:pPr>
        <w:pStyle w:val="paragraphsub"/>
      </w:pPr>
      <w:r w:rsidRPr="00CF4E04">
        <w:tab/>
        <w:t>(i)</w:t>
      </w:r>
      <w:r w:rsidRPr="00CF4E04">
        <w:tab/>
        <w:t>exceeds the non</w:t>
      </w:r>
      <w:r w:rsidR="00CF4E04">
        <w:noBreakHyphen/>
      </w:r>
      <w:r w:rsidRPr="00CF4E04">
        <w:t>ionizing radiation exposure limits; or</w:t>
      </w:r>
    </w:p>
    <w:p w14:paraId="48EE0288" w14:textId="77777777" w:rsidR="00005E60" w:rsidRPr="00CF4E04" w:rsidRDefault="00B856C8" w:rsidP="00B856C8">
      <w:pPr>
        <w:pStyle w:val="paragraphsub"/>
      </w:pPr>
      <w:r w:rsidRPr="00CF4E04">
        <w:tab/>
        <w:t>(ii)</w:t>
      </w:r>
      <w:r w:rsidRPr="00CF4E04">
        <w:tab/>
        <w:t xml:space="preserve">results </w:t>
      </w:r>
      <w:r w:rsidR="00005E60" w:rsidRPr="00CF4E04">
        <w:t>in noticeable eye or skin damage;</w:t>
      </w:r>
    </w:p>
    <w:p w14:paraId="6DE3EE46" w14:textId="77777777" w:rsidR="00005E60" w:rsidRPr="00CF4E04" w:rsidRDefault="00005E60" w:rsidP="00005E60">
      <w:pPr>
        <w:pStyle w:val="paragraph"/>
      </w:pPr>
      <w:r w:rsidRPr="00CF4E04">
        <w:tab/>
        <w:t>(d)</w:t>
      </w:r>
      <w:r w:rsidRPr="00CF4E04">
        <w:tab/>
        <w:t>a theft or loss of controlled material or controlled apparatus, other than controlled material or controlled apparatus in Group 1;</w:t>
      </w:r>
    </w:p>
    <w:p w14:paraId="5C38EF96" w14:textId="77777777" w:rsidR="00005E60" w:rsidRPr="00CF4E04" w:rsidRDefault="00005E60" w:rsidP="00005E60">
      <w:pPr>
        <w:pStyle w:val="paragraph"/>
      </w:pPr>
      <w:r w:rsidRPr="00CF4E04">
        <w:tab/>
        <w:t>(e)</w:t>
      </w:r>
      <w:r w:rsidRPr="00CF4E04">
        <w:tab/>
        <w:t xml:space="preserve">an incident involving the release of controlled material if the result of the activity value division steps for the controlled material is </w:t>
      </w:r>
      <w:r w:rsidR="00B856C8" w:rsidRPr="00CF4E04">
        <w:t xml:space="preserve">greater than </w:t>
      </w:r>
      <w:r w:rsidRPr="00CF4E04">
        <w:t>10</w:t>
      </w:r>
      <w:r w:rsidRPr="00CF4E04">
        <w:rPr>
          <w:vertAlign w:val="superscript"/>
        </w:rPr>
        <w:t>4</w:t>
      </w:r>
      <w:r w:rsidRPr="00CF4E04">
        <w:t>;</w:t>
      </w:r>
    </w:p>
    <w:p w14:paraId="0F4C2696" w14:textId="77777777" w:rsidR="00DC4A0B" w:rsidRPr="00CF4E04" w:rsidRDefault="005A0AB1" w:rsidP="00005E60">
      <w:pPr>
        <w:pStyle w:val="paragraph"/>
      </w:pPr>
      <w:r w:rsidRPr="00CF4E04">
        <w:tab/>
        <w:t>(f)</w:t>
      </w:r>
      <w:r w:rsidRPr="00CF4E04">
        <w:tab/>
        <w:t xml:space="preserve">an incident involving transport of </w:t>
      </w:r>
      <w:r w:rsidR="00C42FD8" w:rsidRPr="00CF4E04">
        <w:t xml:space="preserve">a package of </w:t>
      </w:r>
      <w:r w:rsidRPr="00CF4E04">
        <w:t>controlled material</w:t>
      </w:r>
      <w:r w:rsidR="00DC4A0B" w:rsidRPr="00CF4E04">
        <w:t xml:space="preserve"> if:</w:t>
      </w:r>
    </w:p>
    <w:p w14:paraId="7770FAD7" w14:textId="77777777" w:rsidR="005A0AB1" w:rsidRPr="00CF4E04" w:rsidRDefault="00DC4A0B" w:rsidP="00DC4A0B">
      <w:pPr>
        <w:pStyle w:val="paragraphsub"/>
      </w:pPr>
      <w:r w:rsidRPr="00CF4E04">
        <w:tab/>
        <w:t>(i)</w:t>
      </w:r>
      <w:r w:rsidRPr="00CF4E04">
        <w:tab/>
      </w:r>
      <w:r w:rsidR="0031387A" w:rsidRPr="00CF4E04">
        <w:t xml:space="preserve">the result of the activity value division steps </w:t>
      </w:r>
      <w:r w:rsidRPr="00CF4E04">
        <w:t xml:space="preserve">for the controlled material </w:t>
      </w:r>
      <w:r w:rsidR="0031387A" w:rsidRPr="00CF4E04">
        <w:t>is greater than 10</w:t>
      </w:r>
      <w:r w:rsidR="0031387A" w:rsidRPr="00CF4E04">
        <w:rPr>
          <w:vertAlign w:val="superscript"/>
        </w:rPr>
        <w:t>4</w:t>
      </w:r>
      <w:r w:rsidRPr="00CF4E04">
        <w:t>; and</w:t>
      </w:r>
    </w:p>
    <w:p w14:paraId="44540CB5" w14:textId="77777777" w:rsidR="00C42FD8" w:rsidRPr="00CF4E04" w:rsidRDefault="00C42FD8" w:rsidP="00C42FD8">
      <w:pPr>
        <w:pStyle w:val="paragraphsub"/>
      </w:pPr>
      <w:r w:rsidRPr="00CF4E04">
        <w:tab/>
        <w:t>(</w:t>
      </w:r>
      <w:r w:rsidR="00DC4A0B" w:rsidRPr="00CF4E04">
        <w:t>i</w:t>
      </w:r>
      <w:r w:rsidRPr="00CF4E04">
        <w:t>i)</w:t>
      </w:r>
      <w:r w:rsidRPr="00CF4E04">
        <w:tab/>
        <w:t>the package is damaged in such a way that safety provisions are degraded</w:t>
      </w:r>
      <w:r w:rsidR="00DC4A0B" w:rsidRPr="00CF4E04">
        <w:t>.</w:t>
      </w:r>
    </w:p>
    <w:p w14:paraId="6778464E" w14:textId="77777777" w:rsidR="00524562" w:rsidRPr="00CF4E04" w:rsidRDefault="00524562" w:rsidP="00524562">
      <w:pPr>
        <w:pStyle w:val="Definition"/>
      </w:pPr>
      <w:r w:rsidRPr="00CF4E04">
        <w:rPr>
          <w:b/>
          <w:i/>
        </w:rPr>
        <w:t>solid clearance material</w:t>
      </w:r>
      <w:r w:rsidRPr="00CF4E04">
        <w:t xml:space="preserve">: </w:t>
      </w:r>
      <w:r w:rsidR="00800C29" w:rsidRPr="00CF4E04">
        <w:t xml:space="preserve">see </w:t>
      </w:r>
      <w:r w:rsidR="0049126F" w:rsidRPr="00CF4E04">
        <w:t>sub</w:t>
      </w:r>
      <w:r w:rsidR="000F00A3" w:rsidRPr="00CF4E04">
        <w:t>section 6</w:t>
      </w:r>
      <w:r w:rsidR="00800C29" w:rsidRPr="00CF4E04">
        <w:t>5(</w:t>
      </w:r>
      <w:r w:rsidR="00215267" w:rsidRPr="00CF4E04">
        <w:t>7</w:t>
      </w:r>
      <w:r w:rsidR="00800C29" w:rsidRPr="00CF4E04">
        <w:t>).</w:t>
      </w:r>
    </w:p>
    <w:p w14:paraId="0C2E1447" w14:textId="77777777" w:rsidR="00524562" w:rsidRPr="00CF4E04" w:rsidRDefault="00524562" w:rsidP="00524562">
      <w:pPr>
        <w:pStyle w:val="Definition"/>
      </w:pPr>
      <w:r w:rsidRPr="00CF4E04">
        <w:rPr>
          <w:b/>
          <w:i/>
        </w:rPr>
        <w:t>solid clearance value</w:t>
      </w:r>
      <w:r w:rsidR="00800C29" w:rsidRPr="00CF4E04">
        <w:t xml:space="preserve">: see </w:t>
      </w:r>
      <w:r w:rsidR="0049126F" w:rsidRPr="00CF4E04">
        <w:t>sub</w:t>
      </w:r>
      <w:r w:rsidR="000F00A3" w:rsidRPr="00CF4E04">
        <w:t>section 6</w:t>
      </w:r>
      <w:r w:rsidR="00800C29" w:rsidRPr="00CF4E04">
        <w:t>5(</w:t>
      </w:r>
      <w:r w:rsidR="00215267" w:rsidRPr="00CF4E04">
        <w:t>8)</w:t>
      </w:r>
      <w:r w:rsidR="00800C29" w:rsidRPr="00CF4E04">
        <w:t>.</w:t>
      </w:r>
    </w:p>
    <w:p w14:paraId="5ECC9785" w14:textId="77777777" w:rsidR="00DC4A0B" w:rsidRPr="00CF4E04" w:rsidRDefault="008C7195" w:rsidP="00DC4A0B">
      <w:pPr>
        <w:pStyle w:val="ItemHead"/>
      </w:pPr>
      <w:r w:rsidRPr="00CF4E04">
        <w:t>6</w:t>
      </w:r>
      <w:r w:rsidR="00DC4A0B" w:rsidRPr="00CF4E04">
        <w:t xml:space="preserve">  At the end of </w:t>
      </w:r>
      <w:r w:rsidR="00C614AD" w:rsidRPr="00CF4E04">
        <w:t>section 5</w:t>
      </w:r>
    </w:p>
    <w:p w14:paraId="69DDBE34" w14:textId="77777777" w:rsidR="00DC4A0B" w:rsidRPr="00CF4E04" w:rsidRDefault="00DC4A0B" w:rsidP="00DC4A0B">
      <w:pPr>
        <w:pStyle w:val="Item"/>
      </w:pPr>
      <w:r w:rsidRPr="00CF4E04">
        <w:t>Add:</w:t>
      </w:r>
    </w:p>
    <w:p w14:paraId="7AD6B883" w14:textId="77777777" w:rsidR="00EB566E" w:rsidRPr="00CF4E04" w:rsidRDefault="00EB566E" w:rsidP="00EB566E">
      <w:pPr>
        <w:pStyle w:val="subsection"/>
      </w:pPr>
      <w:r w:rsidRPr="00CF4E04">
        <w:tab/>
        <w:t>(</w:t>
      </w:r>
      <w:r w:rsidR="00DC4A0B" w:rsidRPr="00CF4E04">
        <w:t>3</w:t>
      </w:r>
      <w:r w:rsidRPr="00CF4E04">
        <w:t>)</w:t>
      </w:r>
      <w:r w:rsidRPr="00CF4E04">
        <w:tab/>
      </w:r>
      <w:r w:rsidR="0049126F" w:rsidRPr="00CF4E04">
        <w:t>Subsection</w:t>
      </w:r>
      <w:r w:rsidR="00DC4A0B" w:rsidRPr="00CF4E04">
        <w:t>s</w:t>
      </w:r>
      <w:r w:rsidR="0049126F" w:rsidRPr="00CF4E04">
        <w:t> (</w:t>
      </w:r>
      <w:r w:rsidRPr="00CF4E04">
        <w:t>1)</w:t>
      </w:r>
      <w:r w:rsidR="00DC4A0B" w:rsidRPr="00CF4E04">
        <w:t xml:space="preserve"> and (2) do</w:t>
      </w:r>
      <w:r w:rsidRPr="00CF4E04">
        <w:t xml:space="preserve"> not apply for the purposes of </w:t>
      </w:r>
      <w:r w:rsidR="0049126F" w:rsidRPr="00CF4E04">
        <w:t>subsections 6</w:t>
      </w:r>
      <w:r w:rsidRPr="00CF4E04">
        <w:t>5(</w:t>
      </w:r>
      <w:r w:rsidR="00215267" w:rsidRPr="00CF4E04">
        <w:t>7</w:t>
      </w:r>
      <w:r w:rsidRPr="00CF4E04">
        <w:t>) to (</w:t>
      </w:r>
      <w:r w:rsidR="00215267" w:rsidRPr="00CF4E04">
        <w:t>9</w:t>
      </w:r>
      <w:r w:rsidRPr="00CF4E04">
        <w:t>).</w:t>
      </w:r>
    </w:p>
    <w:p w14:paraId="1A7181D0" w14:textId="77777777" w:rsidR="00471A66" w:rsidRPr="00CF4E04" w:rsidRDefault="00471A66" w:rsidP="00471A66">
      <w:pPr>
        <w:pStyle w:val="notetext"/>
      </w:pPr>
      <w:r w:rsidRPr="00CF4E04">
        <w:t>Note:</w:t>
      </w:r>
      <w:r w:rsidR="00DF7CFC" w:rsidRPr="00CF4E04">
        <w:tab/>
      </w:r>
      <w:r w:rsidR="0049126F" w:rsidRPr="00CF4E04">
        <w:t>Subsections 6</w:t>
      </w:r>
      <w:r w:rsidRPr="00CF4E04">
        <w:t>5(</w:t>
      </w:r>
      <w:r w:rsidR="00215267" w:rsidRPr="00CF4E04">
        <w:t>7</w:t>
      </w:r>
      <w:r w:rsidRPr="00CF4E04">
        <w:t>) to (</w:t>
      </w:r>
      <w:r w:rsidR="00215267" w:rsidRPr="00CF4E04">
        <w:t>9</w:t>
      </w:r>
      <w:r w:rsidRPr="00CF4E04">
        <w:t xml:space="preserve">) </w:t>
      </w:r>
      <w:r w:rsidR="00DF7CFC" w:rsidRPr="00CF4E04">
        <w:t xml:space="preserve">deal with the activity concentration of progeny nuclides </w:t>
      </w:r>
      <w:r w:rsidR="006A4248" w:rsidRPr="00CF4E04">
        <w:t xml:space="preserve">in relation to solid clearance material </w:t>
      </w:r>
      <w:r w:rsidR="00DF7CFC" w:rsidRPr="00CF4E04">
        <w:t xml:space="preserve">by reference to GSR </w:t>
      </w:r>
      <w:r w:rsidR="0049126F" w:rsidRPr="00CF4E04">
        <w:t>Part 3</w:t>
      </w:r>
      <w:r w:rsidR="00DF7CFC" w:rsidRPr="00CF4E04">
        <w:t>.</w:t>
      </w:r>
    </w:p>
    <w:p w14:paraId="0F8DC4BC" w14:textId="77777777" w:rsidR="00C23B10" w:rsidRPr="00CF4E04" w:rsidRDefault="008C7195" w:rsidP="00C23B10">
      <w:pPr>
        <w:pStyle w:val="ItemHead"/>
      </w:pPr>
      <w:r w:rsidRPr="00CF4E04">
        <w:t>7</w:t>
      </w:r>
      <w:r w:rsidR="00C23B10" w:rsidRPr="00CF4E04">
        <w:t xml:space="preserve">  </w:t>
      </w:r>
      <w:r w:rsidR="00642F82" w:rsidRPr="00CF4E04">
        <w:t>Subsection 4</w:t>
      </w:r>
      <w:r w:rsidR="00C23B10" w:rsidRPr="00CF4E04">
        <w:t>4(1) (</w:t>
      </w:r>
      <w:r w:rsidR="00205F27" w:rsidRPr="00CF4E04">
        <w:t>paragraphs (</w:t>
      </w:r>
      <w:r w:rsidR="00C23B10" w:rsidRPr="00CF4E04">
        <w:t xml:space="preserve">a), (g) and (h) of table </w:t>
      </w:r>
      <w:r w:rsidR="00642F82" w:rsidRPr="00CF4E04">
        <w:t>item 7</w:t>
      </w:r>
      <w:r w:rsidR="00836483" w:rsidRPr="00CF4E04">
        <w:t>, column headed “Description of dealing”</w:t>
      </w:r>
      <w:r w:rsidR="00C23B10" w:rsidRPr="00CF4E04">
        <w:t>)</w:t>
      </w:r>
    </w:p>
    <w:p w14:paraId="4CC10E4D" w14:textId="77777777" w:rsidR="00C23B10" w:rsidRPr="00CF4E04" w:rsidRDefault="00C23B10" w:rsidP="00C23B10">
      <w:pPr>
        <w:pStyle w:val="Item"/>
      </w:pPr>
      <w:r w:rsidRPr="00CF4E04">
        <w:t>Repeal the paragraphs.</w:t>
      </w:r>
    </w:p>
    <w:p w14:paraId="254E8E0B" w14:textId="77777777" w:rsidR="00C23B10" w:rsidRPr="00CF4E04" w:rsidRDefault="008C7195" w:rsidP="00C23B10">
      <w:pPr>
        <w:pStyle w:val="ItemHead"/>
      </w:pPr>
      <w:r w:rsidRPr="00CF4E04">
        <w:t>8</w:t>
      </w:r>
      <w:r w:rsidR="00C23B10" w:rsidRPr="00CF4E04">
        <w:t xml:space="preserve">  </w:t>
      </w:r>
      <w:r w:rsidR="00642F82" w:rsidRPr="00CF4E04">
        <w:t>Subsection 4</w:t>
      </w:r>
      <w:r w:rsidR="00C23B10" w:rsidRPr="00CF4E04">
        <w:t>4(1) (</w:t>
      </w:r>
      <w:r w:rsidR="0049126F" w:rsidRPr="00CF4E04">
        <w:t>paragraph (</w:t>
      </w:r>
      <w:r w:rsidR="00C23B10" w:rsidRPr="00CF4E04">
        <w:t xml:space="preserve">i) of table </w:t>
      </w:r>
      <w:r w:rsidR="00642F82" w:rsidRPr="00CF4E04">
        <w:t>item 7</w:t>
      </w:r>
      <w:r w:rsidR="00836483" w:rsidRPr="00CF4E04">
        <w:t>, column headed “Description of dealing”</w:t>
      </w:r>
      <w:r w:rsidR="00C23B10" w:rsidRPr="00CF4E04">
        <w:t>)</w:t>
      </w:r>
    </w:p>
    <w:p w14:paraId="51AC0F51" w14:textId="77777777" w:rsidR="00C23B10" w:rsidRPr="00CF4E04" w:rsidRDefault="00C23B10" w:rsidP="00C23B10">
      <w:pPr>
        <w:pStyle w:val="Item"/>
      </w:pPr>
      <w:r w:rsidRPr="00CF4E04">
        <w:t>Omit “communications”, substitute “detection and ranging”.</w:t>
      </w:r>
    </w:p>
    <w:p w14:paraId="50D46FAA" w14:textId="77777777" w:rsidR="00836483" w:rsidRPr="00CF4E04" w:rsidRDefault="008C7195" w:rsidP="00836483">
      <w:pPr>
        <w:pStyle w:val="ItemHead"/>
      </w:pPr>
      <w:r w:rsidRPr="00CF4E04">
        <w:t>9</w:t>
      </w:r>
      <w:r w:rsidR="00836483" w:rsidRPr="00CF4E04">
        <w:t xml:space="preserve">  </w:t>
      </w:r>
      <w:r w:rsidR="00642F82" w:rsidRPr="00CF4E04">
        <w:t>Subsection 4</w:t>
      </w:r>
      <w:r w:rsidR="00836483" w:rsidRPr="00CF4E04">
        <w:t xml:space="preserve">4(1) (at the end of the cell at table </w:t>
      </w:r>
      <w:r w:rsidR="00642F82" w:rsidRPr="00CF4E04">
        <w:t>item 7</w:t>
      </w:r>
      <w:r w:rsidR="00836483" w:rsidRPr="00CF4E04">
        <w:t>, column headed “Description of dealing”)</w:t>
      </w:r>
    </w:p>
    <w:p w14:paraId="00CCB36A" w14:textId="77777777" w:rsidR="00836483" w:rsidRPr="00CF4E04" w:rsidRDefault="00836483" w:rsidP="00836483">
      <w:pPr>
        <w:pStyle w:val="Item"/>
      </w:pPr>
      <w:r w:rsidRPr="00CF4E04">
        <w:t>Add:</w:t>
      </w:r>
    </w:p>
    <w:p w14:paraId="480B9724" w14:textId="77777777" w:rsidR="00836483" w:rsidRPr="00CF4E04" w:rsidRDefault="00836483" w:rsidP="00836483">
      <w:pPr>
        <w:pStyle w:val="Tablea"/>
      </w:pPr>
      <w:r w:rsidRPr="00CF4E04">
        <w:t>; (q) a range finde</w:t>
      </w:r>
      <w:r w:rsidR="00976EE9" w:rsidRPr="00CF4E04">
        <w:t>r</w:t>
      </w:r>
      <w:r w:rsidRPr="00CF4E04">
        <w:t xml:space="preserve"> with power less than 5 milliwatts;</w:t>
      </w:r>
    </w:p>
    <w:p w14:paraId="7FB20B4E" w14:textId="77777777" w:rsidR="00836483" w:rsidRPr="00CF4E04" w:rsidRDefault="00836483" w:rsidP="00113677">
      <w:pPr>
        <w:pStyle w:val="Tablea"/>
      </w:pPr>
      <w:r w:rsidRPr="00CF4E04">
        <w:t>(r) an optical light source that:</w:t>
      </w:r>
    </w:p>
    <w:p w14:paraId="6C68A2B9" w14:textId="77777777" w:rsidR="00836483" w:rsidRPr="00CF4E04" w:rsidRDefault="00836483" w:rsidP="00836483">
      <w:pPr>
        <w:pStyle w:val="Tablei"/>
      </w:pPr>
      <w:r w:rsidRPr="00CF4E04">
        <w:t>(i) emits infra</w:t>
      </w:r>
      <w:r w:rsidR="00CF4E04">
        <w:noBreakHyphen/>
      </w:r>
      <w:r w:rsidRPr="00CF4E04">
        <w:t>red or visible light at a level not exceeding the exposure limits mentioned in AS/NZS IEC 62471:201</w:t>
      </w:r>
      <w:r w:rsidR="00976EE9" w:rsidRPr="00CF4E04">
        <w:t>1</w:t>
      </w:r>
      <w:r w:rsidRPr="00CF4E04">
        <w:t>; and</w:t>
      </w:r>
    </w:p>
    <w:p w14:paraId="053788EC" w14:textId="77777777" w:rsidR="00836483" w:rsidRPr="00CF4E04" w:rsidRDefault="00836483" w:rsidP="00836483">
      <w:pPr>
        <w:pStyle w:val="Tablei"/>
      </w:pPr>
      <w:r w:rsidRPr="00CF4E04">
        <w:t>(ii) is not a laser product</w:t>
      </w:r>
    </w:p>
    <w:p w14:paraId="3E8C86FF" w14:textId="77777777" w:rsidR="00C23B10" w:rsidRPr="00CF4E04" w:rsidRDefault="008C7195" w:rsidP="00C23B10">
      <w:pPr>
        <w:pStyle w:val="ItemHead"/>
      </w:pPr>
      <w:r w:rsidRPr="00CF4E04">
        <w:t>10</w:t>
      </w:r>
      <w:r w:rsidR="00C23B10" w:rsidRPr="00CF4E04">
        <w:t xml:space="preserve">  </w:t>
      </w:r>
      <w:r w:rsidR="00642F82" w:rsidRPr="00CF4E04">
        <w:t>Subsection 4</w:t>
      </w:r>
      <w:r w:rsidR="00C23B10" w:rsidRPr="00CF4E04">
        <w:t>4(1) (at the end of the table)</w:t>
      </w:r>
    </w:p>
    <w:p w14:paraId="3023C67F" w14:textId="77777777" w:rsidR="00C23B10" w:rsidRPr="00CF4E04" w:rsidRDefault="00C23B10" w:rsidP="00C23B10">
      <w:pPr>
        <w:pStyle w:val="Item"/>
      </w:pPr>
      <w:r w:rsidRPr="00CF4E04">
        <w:t>Add:</w:t>
      </w:r>
    </w:p>
    <w:p w14:paraId="6782B227" w14:textId="77777777" w:rsidR="00113677" w:rsidRPr="00CF4E04" w:rsidRDefault="00113677" w:rsidP="00113677">
      <w:pPr>
        <w:pStyle w:val="Tabletext"/>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428"/>
        <w:gridCol w:w="8101"/>
      </w:tblGrid>
      <w:tr w:rsidR="00C23B10" w:rsidRPr="00CF4E04" w14:paraId="7B33BA2F" w14:textId="77777777" w:rsidTr="00113677">
        <w:tc>
          <w:tcPr>
            <w:tcW w:w="251" w:type="pct"/>
            <w:tcBorders>
              <w:top w:val="nil"/>
              <w:bottom w:val="single" w:sz="4" w:space="0" w:color="auto"/>
            </w:tcBorders>
            <w:shd w:val="clear" w:color="auto" w:fill="auto"/>
          </w:tcPr>
          <w:p w14:paraId="1BF96EF7" w14:textId="77777777" w:rsidR="00C23B10" w:rsidRPr="00CF4E04" w:rsidRDefault="00C23B10" w:rsidP="00EC568F">
            <w:pPr>
              <w:pStyle w:val="Tabletext"/>
            </w:pPr>
            <w:r w:rsidRPr="00CF4E04">
              <w:lastRenderedPageBreak/>
              <w:t>1</w:t>
            </w:r>
            <w:r w:rsidR="00836483" w:rsidRPr="00CF4E04">
              <w:t>0</w:t>
            </w:r>
          </w:p>
        </w:tc>
        <w:tc>
          <w:tcPr>
            <w:tcW w:w="4749" w:type="pct"/>
            <w:tcBorders>
              <w:top w:val="nil"/>
              <w:bottom w:val="single" w:sz="4" w:space="0" w:color="auto"/>
            </w:tcBorders>
            <w:shd w:val="clear" w:color="auto" w:fill="auto"/>
          </w:tcPr>
          <w:p w14:paraId="4B22C9AE" w14:textId="77777777" w:rsidR="00C23B10" w:rsidRPr="00CF4E04" w:rsidRDefault="00C23B10" w:rsidP="00EC568F">
            <w:pPr>
              <w:pStyle w:val="Tabletext"/>
            </w:pPr>
            <w:r w:rsidRPr="00CF4E04">
              <w:t>The dealing is with a gaseous tritium light device that:</w:t>
            </w:r>
          </w:p>
          <w:p w14:paraId="109FEAC9" w14:textId="77777777" w:rsidR="00C23B10" w:rsidRPr="00CF4E04" w:rsidRDefault="00C23B10" w:rsidP="00EC568F">
            <w:pPr>
              <w:pStyle w:val="Tablea"/>
            </w:pPr>
            <w:r w:rsidRPr="00CF4E04">
              <w:t>(a) is used solely for safety purposes; and</w:t>
            </w:r>
          </w:p>
          <w:p w14:paraId="61FEDAF0" w14:textId="77777777" w:rsidR="00C23B10" w:rsidRPr="00CF4E04" w:rsidRDefault="00C23B10" w:rsidP="00113677">
            <w:pPr>
              <w:pStyle w:val="Tablea"/>
            </w:pPr>
            <w:r w:rsidRPr="00CF4E04">
              <w:t xml:space="preserve">(b) includes </w:t>
            </w:r>
            <w:r w:rsidR="006B4415" w:rsidRPr="00CF4E04">
              <w:t xml:space="preserve">not greater than </w:t>
            </w:r>
            <w:r w:rsidRPr="00CF4E04">
              <w:t>74 GBq of tritium;</w:t>
            </w:r>
          </w:p>
          <w:p w14:paraId="092212B1" w14:textId="77777777" w:rsidR="00C23B10" w:rsidRPr="00CF4E04" w:rsidRDefault="00C23B10" w:rsidP="00EC568F">
            <w:pPr>
              <w:pStyle w:val="Tabletext"/>
            </w:pPr>
            <w:r w:rsidRPr="00CF4E04">
              <w:t>and no other controlled apparatus or controlled material</w:t>
            </w:r>
          </w:p>
        </w:tc>
      </w:tr>
      <w:tr w:rsidR="00C23B10" w:rsidRPr="00CF4E04" w14:paraId="103771A6" w14:textId="77777777" w:rsidTr="00EC568F">
        <w:tc>
          <w:tcPr>
            <w:tcW w:w="251" w:type="pct"/>
            <w:tcBorders>
              <w:top w:val="single" w:sz="4" w:space="0" w:color="auto"/>
              <w:bottom w:val="single" w:sz="4" w:space="0" w:color="auto"/>
            </w:tcBorders>
            <w:shd w:val="clear" w:color="auto" w:fill="auto"/>
          </w:tcPr>
          <w:p w14:paraId="0A7A8B86" w14:textId="77777777" w:rsidR="00C23B10" w:rsidRPr="00CF4E04" w:rsidRDefault="00C23B10" w:rsidP="00EC568F">
            <w:pPr>
              <w:pStyle w:val="Tabletext"/>
            </w:pPr>
            <w:r w:rsidRPr="00CF4E04">
              <w:t>1</w:t>
            </w:r>
            <w:r w:rsidR="00836483" w:rsidRPr="00CF4E04">
              <w:t>1</w:t>
            </w:r>
          </w:p>
        </w:tc>
        <w:tc>
          <w:tcPr>
            <w:tcW w:w="4749" w:type="pct"/>
            <w:tcBorders>
              <w:top w:val="single" w:sz="4" w:space="0" w:color="auto"/>
              <w:bottom w:val="single" w:sz="4" w:space="0" w:color="auto"/>
            </w:tcBorders>
            <w:shd w:val="clear" w:color="auto" w:fill="auto"/>
          </w:tcPr>
          <w:p w14:paraId="1A473D44" w14:textId="77777777" w:rsidR="00C23B10" w:rsidRPr="00CF4E04" w:rsidRDefault="00C23B10" w:rsidP="00EC568F">
            <w:pPr>
              <w:pStyle w:val="Tabletext"/>
            </w:pPr>
            <w:r w:rsidRPr="00CF4E04">
              <w:t>The dealing is with an electron capture detector or similar device used in gas chromatography containing:</w:t>
            </w:r>
          </w:p>
          <w:p w14:paraId="3A062C46" w14:textId="77777777" w:rsidR="00C23B10" w:rsidRPr="00CF4E04" w:rsidRDefault="00C23B10" w:rsidP="00EC568F">
            <w:pPr>
              <w:pStyle w:val="Tablea"/>
            </w:pPr>
            <w:r w:rsidRPr="00CF4E04">
              <w:t>(a) a nickel</w:t>
            </w:r>
            <w:r w:rsidR="00CF4E04">
              <w:noBreakHyphen/>
            </w:r>
            <w:r w:rsidRPr="00CF4E04">
              <w:t xml:space="preserve">63 sealed source with activity </w:t>
            </w:r>
            <w:r w:rsidR="006B4415" w:rsidRPr="00CF4E04">
              <w:t xml:space="preserve">not greater than </w:t>
            </w:r>
            <w:r w:rsidRPr="00CF4E04">
              <w:t>750 MBq; or</w:t>
            </w:r>
          </w:p>
          <w:p w14:paraId="19DD59B7" w14:textId="77777777" w:rsidR="00C23B10" w:rsidRPr="00CF4E04" w:rsidRDefault="00C23B10" w:rsidP="00EC568F">
            <w:pPr>
              <w:pStyle w:val="Tablea"/>
            </w:pPr>
            <w:r w:rsidRPr="00CF4E04">
              <w:t xml:space="preserve">(b) a tritium source with activity not </w:t>
            </w:r>
            <w:r w:rsidR="006B4415" w:rsidRPr="00CF4E04">
              <w:t xml:space="preserve">greater </w:t>
            </w:r>
            <w:r w:rsidRPr="00CF4E04">
              <w:t>than 20 GBq;</w:t>
            </w:r>
          </w:p>
          <w:p w14:paraId="5BC7849D" w14:textId="77777777" w:rsidR="00C23B10" w:rsidRPr="00CF4E04" w:rsidRDefault="00C23B10" w:rsidP="00113677">
            <w:pPr>
              <w:pStyle w:val="Tabletext"/>
            </w:pPr>
            <w:r w:rsidRPr="00CF4E04">
              <w:t>and no other controlled apparatus or controlled material</w:t>
            </w:r>
          </w:p>
        </w:tc>
      </w:tr>
      <w:tr w:rsidR="00C23B10" w:rsidRPr="00CF4E04" w14:paraId="48A931D6" w14:textId="77777777" w:rsidTr="00EC568F">
        <w:tc>
          <w:tcPr>
            <w:tcW w:w="251" w:type="pct"/>
            <w:tcBorders>
              <w:top w:val="single" w:sz="4" w:space="0" w:color="auto"/>
              <w:bottom w:val="nil"/>
            </w:tcBorders>
            <w:shd w:val="clear" w:color="auto" w:fill="auto"/>
          </w:tcPr>
          <w:p w14:paraId="3A0FB563" w14:textId="77777777" w:rsidR="00C23B10" w:rsidRPr="00CF4E04" w:rsidRDefault="00C23B10" w:rsidP="00EC568F">
            <w:pPr>
              <w:pStyle w:val="Tabletext"/>
            </w:pPr>
            <w:r w:rsidRPr="00CF4E04">
              <w:t>1</w:t>
            </w:r>
            <w:r w:rsidR="00836483" w:rsidRPr="00CF4E04">
              <w:t>2</w:t>
            </w:r>
          </w:p>
        </w:tc>
        <w:tc>
          <w:tcPr>
            <w:tcW w:w="4749" w:type="pct"/>
            <w:tcBorders>
              <w:top w:val="single" w:sz="4" w:space="0" w:color="auto"/>
              <w:bottom w:val="nil"/>
            </w:tcBorders>
            <w:shd w:val="clear" w:color="auto" w:fill="auto"/>
          </w:tcPr>
          <w:p w14:paraId="07AE66C4" w14:textId="77777777" w:rsidR="00C23B10" w:rsidRPr="00CF4E04" w:rsidRDefault="00C23B10" w:rsidP="00EC568F">
            <w:pPr>
              <w:pStyle w:val="Tabletext"/>
            </w:pPr>
            <w:r w:rsidRPr="00CF4E04">
              <w:t>The dealing is with lighting products that include krypton</w:t>
            </w:r>
            <w:r w:rsidR="00CF4E04">
              <w:noBreakHyphen/>
            </w:r>
            <w:r w:rsidRPr="00CF4E04">
              <w:t>85 and no other controlled apparatus or controlled material</w:t>
            </w:r>
          </w:p>
        </w:tc>
      </w:tr>
    </w:tbl>
    <w:p w14:paraId="1DE9C745" w14:textId="77777777" w:rsidR="00221763" w:rsidRPr="00CF4E04" w:rsidRDefault="008C7195" w:rsidP="00221763">
      <w:pPr>
        <w:pStyle w:val="ItemHead"/>
      </w:pPr>
      <w:r w:rsidRPr="00CF4E04">
        <w:t>11</w:t>
      </w:r>
      <w:r w:rsidR="00221763" w:rsidRPr="00CF4E04">
        <w:t xml:space="preserve">  </w:t>
      </w:r>
      <w:r w:rsidR="00642F82" w:rsidRPr="00CF4E04">
        <w:t>Subsection 4</w:t>
      </w:r>
      <w:r w:rsidR="00221763" w:rsidRPr="00CF4E04">
        <w:t>4(2) (heading)</w:t>
      </w:r>
    </w:p>
    <w:p w14:paraId="2C8E6474" w14:textId="77777777" w:rsidR="00221763" w:rsidRPr="00CF4E04" w:rsidRDefault="00221763" w:rsidP="00221763">
      <w:pPr>
        <w:pStyle w:val="Item"/>
      </w:pPr>
      <w:r w:rsidRPr="00CF4E04">
        <w:t>Omit “</w:t>
      </w:r>
      <w:r w:rsidRPr="00CF4E04">
        <w:rPr>
          <w:i/>
        </w:rPr>
        <w:t>excessive</w:t>
      </w:r>
      <w:r w:rsidRPr="00CF4E04">
        <w:t>”, substitute “</w:t>
      </w:r>
      <w:r w:rsidRPr="00CF4E04">
        <w:rPr>
          <w:i/>
        </w:rPr>
        <w:t>non</w:t>
      </w:r>
      <w:r w:rsidR="00CF4E04">
        <w:rPr>
          <w:i/>
        </w:rPr>
        <w:noBreakHyphen/>
      </w:r>
      <w:r w:rsidRPr="00CF4E04">
        <w:rPr>
          <w:i/>
        </w:rPr>
        <w:t>trivial</w:t>
      </w:r>
      <w:r w:rsidRPr="00CF4E04">
        <w:t>”.</w:t>
      </w:r>
    </w:p>
    <w:p w14:paraId="6DB08D6E" w14:textId="77777777" w:rsidR="00221763" w:rsidRPr="00CF4E04" w:rsidRDefault="008C7195" w:rsidP="00221763">
      <w:pPr>
        <w:pStyle w:val="ItemHead"/>
      </w:pPr>
      <w:r w:rsidRPr="00CF4E04">
        <w:t>12</w:t>
      </w:r>
      <w:r w:rsidR="00221763" w:rsidRPr="00CF4E04">
        <w:t xml:space="preserve">  </w:t>
      </w:r>
      <w:r w:rsidR="00B23B05" w:rsidRPr="00CF4E04">
        <w:t>Paragraph 4</w:t>
      </w:r>
      <w:r w:rsidR="00221763" w:rsidRPr="00CF4E04">
        <w:t>4(2)(a)</w:t>
      </w:r>
    </w:p>
    <w:p w14:paraId="292EA641" w14:textId="77777777" w:rsidR="00221763" w:rsidRPr="00CF4E04" w:rsidRDefault="00221763" w:rsidP="00221763">
      <w:pPr>
        <w:pStyle w:val="Item"/>
      </w:pPr>
      <w:r w:rsidRPr="00CF4E04">
        <w:t>Repeal the paragraph, substitute:</w:t>
      </w:r>
    </w:p>
    <w:p w14:paraId="7DACD7A9" w14:textId="77777777" w:rsidR="00221763" w:rsidRPr="00CF4E04" w:rsidRDefault="00221763" w:rsidP="00221763">
      <w:pPr>
        <w:pStyle w:val="paragraph"/>
      </w:pPr>
      <w:r w:rsidRPr="00CF4E04">
        <w:tab/>
        <w:t>(a)</w:t>
      </w:r>
      <w:r w:rsidRPr="00CF4E04">
        <w:tab/>
        <w:t>under reasonably foreseeable circumstances, the effective dose to an individual is likely to be greater than 10 microsieverts</w:t>
      </w:r>
      <w:r w:rsidR="00683D89" w:rsidRPr="00CF4E04">
        <w:t xml:space="preserve"> in a year</w:t>
      </w:r>
      <w:r w:rsidRPr="00CF4E04">
        <w:t>; or</w:t>
      </w:r>
    </w:p>
    <w:p w14:paraId="6ADA7C9B" w14:textId="77777777" w:rsidR="00221763" w:rsidRPr="00CF4E04" w:rsidRDefault="008C7195" w:rsidP="00221763">
      <w:pPr>
        <w:pStyle w:val="ItemHead"/>
      </w:pPr>
      <w:r w:rsidRPr="00CF4E04">
        <w:t>13</w:t>
      </w:r>
      <w:r w:rsidR="00221763" w:rsidRPr="00CF4E04">
        <w:t xml:space="preserve">  </w:t>
      </w:r>
      <w:r w:rsidR="00B23B05" w:rsidRPr="00CF4E04">
        <w:t>Paragraph 4</w:t>
      </w:r>
      <w:r w:rsidR="00221763" w:rsidRPr="00CF4E04">
        <w:t>4(2)(b)</w:t>
      </w:r>
    </w:p>
    <w:p w14:paraId="5AEB3D38" w14:textId="77777777" w:rsidR="00221763" w:rsidRPr="00CF4E04" w:rsidRDefault="00221763" w:rsidP="00221763">
      <w:pPr>
        <w:pStyle w:val="Item"/>
      </w:pPr>
      <w:r w:rsidRPr="00CF4E04">
        <w:t xml:space="preserve">Omit “a dose greater than the effective dose limit worked out under </w:t>
      </w:r>
      <w:r w:rsidR="00B23B05" w:rsidRPr="00CF4E04">
        <w:t>sections 7</w:t>
      </w:r>
      <w:r w:rsidRPr="00CF4E04">
        <w:t>7 and 78”, substitute “an effective dose</w:t>
      </w:r>
      <w:r w:rsidR="00683D89" w:rsidRPr="00CF4E04">
        <w:t xml:space="preserve"> to an individual</w:t>
      </w:r>
      <w:r w:rsidRPr="00CF4E04">
        <w:t xml:space="preserve"> greater than 1 mSv </w:t>
      </w:r>
      <w:r w:rsidR="00683D89" w:rsidRPr="00CF4E04">
        <w:t>in a year</w:t>
      </w:r>
      <w:r w:rsidRPr="00CF4E04">
        <w:t>”.</w:t>
      </w:r>
    </w:p>
    <w:p w14:paraId="0D987160" w14:textId="77777777" w:rsidR="00221763" w:rsidRPr="00CF4E04" w:rsidRDefault="008C7195" w:rsidP="00221763">
      <w:pPr>
        <w:pStyle w:val="ItemHead"/>
      </w:pPr>
      <w:r w:rsidRPr="00CF4E04">
        <w:t>14</w:t>
      </w:r>
      <w:r w:rsidR="00221763" w:rsidRPr="00CF4E04">
        <w:t xml:space="preserve">  </w:t>
      </w:r>
      <w:r w:rsidR="00B23B05" w:rsidRPr="00CF4E04">
        <w:t>Paragraph 4</w:t>
      </w:r>
      <w:r w:rsidR="00221763" w:rsidRPr="00CF4E04">
        <w:t>4(4)(a)</w:t>
      </w:r>
    </w:p>
    <w:p w14:paraId="2C423629" w14:textId="77777777" w:rsidR="00221763" w:rsidRPr="00CF4E04" w:rsidRDefault="00221763" w:rsidP="00221763">
      <w:pPr>
        <w:pStyle w:val="Item"/>
      </w:pPr>
      <w:r w:rsidRPr="00CF4E04">
        <w:t>Repeal the paragraph, substitute:</w:t>
      </w:r>
    </w:p>
    <w:p w14:paraId="032484E9" w14:textId="77777777" w:rsidR="00221763" w:rsidRPr="00CF4E04" w:rsidRDefault="00221763" w:rsidP="00221763">
      <w:pPr>
        <w:pStyle w:val="paragraph"/>
      </w:pPr>
      <w:r w:rsidRPr="00CF4E04">
        <w:tab/>
        <w:t>(a)</w:t>
      </w:r>
      <w:r w:rsidRPr="00CF4E04">
        <w:tab/>
        <w:t xml:space="preserve">under reasonably foreseeable circumstances, the effective dose to an individual is likely to be not </w:t>
      </w:r>
      <w:r w:rsidR="005274C6" w:rsidRPr="00CF4E04">
        <w:t>greater</w:t>
      </w:r>
      <w:r w:rsidRPr="00CF4E04">
        <w:t xml:space="preserve"> than 10 microsieverts</w:t>
      </w:r>
      <w:r w:rsidR="00683D89" w:rsidRPr="00CF4E04">
        <w:t xml:space="preserve"> in a year</w:t>
      </w:r>
      <w:r w:rsidRPr="00CF4E04">
        <w:t>; or</w:t>
      </w:r>
    </w:p>
    <w:p w14:paraId="2B0B9319" w14:textId="77777777" w:rsidR="00221763" w:rsidRPr="00CF4E04" w:rsidRDefault="008C7195" w:rsidP="00221763">
      <w:pPr>
        <w:pStyle w:val="ItemHead"/>
      </w:pPr>
      <w:r w:rsidRPr="00CF4E04">
        <w:t>15</w:t>
      </w:r>
      <w:r w:rsidR="00221763" w:rsidRPr="00CF4E04">
        <w:t xml:space="preserve">  </w:t>
      </w:r>
      <w:r w:rsidR="00B23B05" w:rsidRPr="00CF4E04">
        <w:t>Paragraph 4</w:t>
      </w:r>
      <w:r w:rsidR="00221763" w:rsidRPr="00CF4E04">
        <w:t>4(4)(b)</w:t>
      </w:r>
    </w:p>
    <w:p w14:paraId="7616DF40" w14:textId="77777777" w:rsidR="00221763" w:rsidRPr="00CF4E04" w:rsidRDefault="00221763" w:rsidP="00221763">
      <w:pPr>
        <w:pStyle w:val="Item"/>
      </w:pPr>
      <w:r w:rsidRPr="00CF4E04">
        <w:t xml:space="preserve">Omit “a dose greater than the effective dose limit worked out under </w:t>
      </w:r>
      <w:r w:rsidR="00B23B05" w:rsidRPr="00CF4E04">
        <w:t>sections 7</w:t>
      </w:r>
      <w:r w:rsidRPr="00CF4E04">
        <w:t xml:space="preserve">7 and 78”, substitute “an effective dose </w:t>
      </w:r>
      <w:r w:rsidR="00683D89" w:rsidRPr="00CF4E04">
        <w:t xml:space="preserve">to an individual </w:t>
      </w:r>
      <w:r w:rsidRPr="00CF4E04">
        <w:t xml:space="preserve">greater than 1 mSv </w:t>
      </w:r>
      <w:r w:rsidR="00683D89" w:rsidRPr="00CF4E04">
        <w:t>in a year</w:t>
      </w:r>
      <w:r w:rsidRPr="00CF4E04">
        <w:t>”.</w:t>
      </w:r>
    </w:p>
    <w:p w14:paraId="667FA1CB" w14:textId="77777777" w:rsidR="00DE2546" w:rsidRPr="00CF4E04" w:rsidRDefault="008C7195" w:rsidP="00DE2546">
      <w:pPr>
        <w:pStyle w:val="ItemHead"/>
      </w:pPr>
      <w:r w:rsidRPr="00CF4E04">
        <w:t>16</w:t>
      </w:r>
      <w:r w:rsidR="00DE2546" w:rsidRPr="00CF4E04">
        <w:t xml:space="preserve">  </w:t>
      </w:r>
      <w:r w:rsidR="0049126F" w:rsidRPr="00CF4E04">
        <w:t>Section 4</w:t>
      </w:r>
      <w:r w:rsidR="00DE2546" w:rsidRPr="00CF4E04">
        <w:t xml:space="preserve">9 (table </w:t>
      </w:r>
      <w:r w:rsidR="0049126F" w:rsidRPr="00CF4E04">
        <w:t>item 1</w:t>
      </w:r>
      <w:r w:rsidR="00DE2546" w:rsidRPr="00CF4E04">
        <w:t>, column headed “Fee ($)”)</w:t>
      </w:r>
    </w:p>
    <w:p w14:paraId="496ED937" w14:textId="77777777" w:rsidR="00DE2546" w:rsidRPr="00CF4E04" w:rsidRDefault="00DE2546" w:rsidP="00DE2546">
      <w:pPr>
        <w:pStyle w:val="Item"/>
      </w:pPr>
      <w:r w:rsidRPr="00CF4E04">
        <w:t>Omit “10,098”, substitute “10,299”.</w:t>
      </w:r>
    </w:p>
    <w:p w14:paraId="3C8FDF1C" w14:textId="77777777" w:rsidR="00DE2546" w:rsidRPr="00CF4E04" w:rsidRDefault="008C7195" w:rsidP="00DE2546">
      <w:pPr>
        <w:pStyle w:val="ItemHead"/>
      </w:pPr>
      <w:r w:rsidRPr="00CF4E04">
        <w:t>17</w:t>
      </w:r>
      <w:r w:rsidR="00DE2546" w:rsidRPr="00CF4E04">
        <w:t xml:space="preserve">  </w:t>
      </w:r>
      <w:r w:rsidR="0049126F" w:rsidRPr="00CF4E04">
        <w:t>Section 4</w:t>
      </w:r>
      <w:r w:rsidR="00DE2546" w:rsidRPr="00CF4E04">
        <w:t xml:space="preserve">9 (table </w:t>
      </w:r>
      <w:r w:rsidR="0049126F" w:rsidRPr="00CF4E04">
        <w:t>item 2</w:t>
      </w:r>
      <w:r w:rsidR="00DE2546" w:rsidRPr="00CF4E04">
        <w:t>, column headed “Fee ($)”)</w:t>
      </w:r>
    </w:p>
    <w:p w14:paraId="766EFDA0" w14:textId="77777777" w:rsidR="00DE2546" w:rsidRPr="00CF4E04" w:rsidRDefault="00DE2546" w:rsidP="00DE2546">
      <w:pPr>
        <w:pStyle w:val="Item"/>
      </w:pPr>
      <w:r w:rsidRPr="00CF4E04">
        <w:t>Omit “11,220”, substitute “11,444”.</w:t>
      </w:r>
    </w:p>
    <w:p w14:paraId="1B04D5C5" w14:textId="77777777" w:rsidR="00DE2546" w:rsidRPr="00CF4E04" w:rsidRDefault="008C7195" w:rsidP="00DE2546">
      <w:pPr>
        <w:pStyle w:val="ItemHead"/>
      </w:pPr>
      <w:r w:rsidRPr="00CF4E04">
        <w:t>18</w:t>
      </w:r>
      <w:r w:rsidR="00DE2546" w:rsidRPr="00CF4E04">
        <w:t xml:space="preserve">  </w:t>
      </w:r>
      <w:r w:rsidR="0049126F" w:rsidRPr="00CF4E04">
        <w:t>Section 4</w:t>
      </w:r>
      <w:r w:rsidR="00DE2546" w:rsidRPr="00CF4E04">
        <w:t xml:space="preserve">9 (table </w:t>
      </w:r>
      <w:r w:rsidR="00B23B05" w:rsidRPr="00CF4E04">
        <w:t>item 3</w:t>
      </w:r>
      <w:r w:rsidR="00DE2546" w:rsidRPr="00CF4E04">
        <w:t>, column headed “Fee ($)”)</w:t>
      </w:r>
    </w:p>
    <w:p w14:paraId="238996BF" w14:textId="77777777" w:rsidR="00DE2546" w:rsidRPr="00CF4E04" w:rsidRDefault="00DE2546" w:rsidP="00DE2546">
      <w:pPr>
        <w:pStyle w:val="Item"/>
      </w:pPr>
      <w:r w:rsidRPr="00CF4E04">
        <w:t>Omit “795”, substitute “810”.</w:t>
      </w:r>
    </w:p>
    <w:p w14:paraId="7068EF5B" w14:textId="77777777" w:rsidR="00DE2546" w:rsidRPr="00CF4E04" w:rsidRDefault="008C7195" w:rsidP="00DE2546">
      <w:pPr>
        <w:pStyle w:val="ItemHead"/>
      </w:pPr>
      <w:r w:rsidRPr="00CF4E04">
        <w:t>19</w:t>
      </w:r>
      <w:r w:rsidR="00DE2546" w:rsidRPr="00CF4E04">
        <w:t xml:space="preserve">  </w:t>
      </w:r>
      <w:r w:rsidR="0049126F" w:rsidRPr="00CF4E04">
        <w:t>Section 4</w:t>
      </w:r>
      <w:r w:rsidR="00DE2546" w:rsidRPr="00CF4E04">
        <w:t xml:space="preserve">9 (table </w:t>
      </w:r>
      <w:r w:rsidR="00B23B05" w:rsidRPr="00CF4E04">
        <w:t>item 4</w:t>
      </w:r>
      <w:r w:rsidR="00DE2546" w:rsidRPr="00CF4E04">
        <w:t>, column headed “Fee ($)”)</w:t>
      </w:r>
    </w:p>
    <w:p w14:paraId="04B36B53" w14:textId="77777777" w:rsidR="00DE2546" w:rsidRPr="00CF4E04" w:rsidRDefault="00DE2546" w:rsidP="00DE2546">
      <w:pPr>
        <w:pStyle w:val="Item"/>
      </w:pPr>
      <w:r w:rsidRPr="00CF4E04">
        <w:t>Omit “2,346”, substitute “2,392”.</w:t>
      </w:r>
    </w:p>
    <w:p w14:paraId="72290CF7" w14:textId="77777777" w:rsidR="00DE2546" w:rsidRPr="00CF4E04" w:rsidRDefault="008C7195" w:rsidP="00DE2546">
      <w:pPr>
        <w:pStyle w:val="ItemHead"/>
      </w:pPr>
      <w:r w:rsidRPr="00CF4E04">
        <w:t>20</w:t>
      </w:r>
      <w:r w:rsidR="00DE2546" w:rsidRPr="00CF4E04">
        <w:t xml:space="preserve">  </w:t>
      </w:r>
      <w:r w:rsidR="0049126F" w:rsidRPr="00CF4E04">
        <w:t>Section 4</w:t>
      </w:r>
      <w:r w:rsidR="00DE2546" w:rsidRPr="00CF4E04">
        <w:t xml:space="preserve">9 (table </w:t>
      </w:r>
      <w:r w:rsidR="00B23B05" w:rsidRPr="00CF4E04">
        <w:t>item 5</w:t>
      </w:r>
      <w:r w:rsidR="00DE2546" w:rsidRPr="00CF4E04">
        <w:t>, column headed “Fee ($)”)</w:t>
      </w:r>
    </w:p>
    <w:p w14:paraId="2BE35A51" w14:textId="77777777" w:rsidR="00DE2546" w:rsidRPr="00CF4E04" w:rsidRDefault="00DE2546" w:rsidP="00DE2546">
      <w:pPr>
        <w:pStyle w:val="Item"/>
      </w:pPr>
      <w:r w:rsidRPr="00CF4E04">
        <w:t>Omit “8,772”, substitute “8,947”.</w:t>
      </w:r>
    </w:p>
    <w:p w14:paraId="4C0C8F32" w14:textId="77777777" w:rsidR="00D82D23" w:rsidRPr="00CF4E04" w:rsidRDefault="008C7195" w:rsidP="00D82D23">
      <w:pPr>
        <w:pStyle w:val="ItemHead"/>
      </w:pPr>
      <w:r w:rsidRPr="00CF4E04">
        <w:lastRenderedPageBreak/>
        <w:t>21</w:t>
      </w:r>
      <w:r w:rsidR="00D82D23" w:rsidRPr="00CF4E04">
        <w:t xml:space="preserve">  </w:t>
      </w:r>
      <w:r w:rsidR="00B23B05" w:rsidRPr="00CF4E04">
        <w:t>Paragraph 5</w:t>
      </w:r>
      <w:r w:rsidR="00D82D23" w:rsidRPr="00CF4E04">
        <w:t>0(2)(a)</w:t>
      </w:r>
    </w:p>
    <w:p w14:paraId="18DE4CBB" w14:textId="77777777" w:rsidR="00D82D23" w:rsidRPr="00CF4E04" w:rsidRDefault="00D82D23" w:rsidP="00D82D23">
      <w:pPr>
        <w:pStyle w:val="Item"/>
      </w:pPr>
      <w:r w:rsidRPr="00CF4E04">
        <w:t>Repeal the paragraph, substitute:</w:t>
      </w:r>
    </w:p>
    <w:p w14:paraId="23325410" w14:textId="77777777" w:rsidR="00D82D23" w:rsidRPr="00CF4E04" w:rsidRDefault="00D82D23" w:rsidP="00D82D23">
      <w:pPr>
        <w:pStyle w:val="paragraph"/>
      </w:pPr>
      <w:r w:rsidRPr="00CF4E04">
        <w:tab/>
        <w:t>(a)</w:t>
      </w:r>
      <w:r w:rsidRPr="00CF4E04">
        <w:tab/>
        <w:t>$171 for each hour, or part of an hour, spent in assessing the application, less</w:t>
      </w:r>
      <w:r w:rsidR="007763DF" w:rsidRPr="00CF4E04">
        <w:t xml:space="preserve"> </w:t>
      </w:r>
      <w:r w:rsidR="00054EF0" w:rsidRPr="00CF4E04">
        <w:t>$10,299</w:t>
      </w:r>
      <w:r w:rsidRPr="00CF4E04">
        <w:t>; and</w:t>
      </w:r>
    </w:p>
    <w:p w14:paraId="5CCFB125" w14:textId="77777777" w:rsidR="00E9598A" w:rsidRPr="00CF4E04" w:rsidRDefault="008C7195" w:rsidP="00E9598A">
      <w:pPr>
        <w:pStyle w:val="ItemHead"/>
      </w:pPr>
      <w:r w:rsidRPr="00CF4E04">
        <w:t>22</w:t>
      </w:r>
      <w:r w:rsidR="00E9598A" w:rsidRPr="00CF4E04">
        <w:t xml:space="preserve">  After </w:t>
      </w:r>
      <w:r w:rsidR="00642F82" w:rsidRPr="00CF4E04">
        <w:t>paragraph 5</w:t>
      </w:r>
      <w:r w:rsidR="00E9598A" w:rsidRPr="00CF4E04">
        <w:t>3(e)</w:t>
      </w:r>
    </w:p>
    <w:p w14:paraId="26CBAF49" w14:textId="77777777" w:rsidR="00E9598A" w:rsidRPr="00CF4E04" w:rsidRDefault="00E9598A" w:rsidP="00E9598A">
      <w:pPr>
        <w:pStyle w:val="Item"/>
      </w:pPr>
      <w:r w:rsidRPr="00CF4E04">
        <w:t>Insert:</w:t>
      </w:r>
    </w:p>
    <w:p w14:paraId="6F104B00" w14:textId="77777777" w:rsidR="00E9598A" w:rsidRPr="00CF4E04" w:rsidRDefault="00E9598A" w:rsidP="00E9598A">
      <w:pPr>
        <w:pStyle w:val="paragraph"/>
      </w:pPr>
      <w:r w:rsidRPr="00CF4E04">
        <w:tab/>
        <w:t>(ea)</w:t>
      </w:r>
      <w:r w:rsidRPr="00CF4E04">
        <w:tab/>
        <w:t>whether the applicant has shown that the applicant has considered interactions between technical, human and organisational factors in the management of safety;</w:t>
      </w:r>
    </w:p>
    <w:p w14:paraId="5F1A23C7" w14:textId="77777777" w:rsidR="00E9598A" w:rsidRPr="00CF4E04" w:rsidRDefault="008C7195" w:rsidP="00E9598A">
      <w:pPr>
        <w:pStyle w:val="ItemHead"/>
      </w:pPr>
      <w:r w:rsidRPr="00CF4E04">
        <w:t>23</w:t>
      </w:r>
      <w:r w:rsidR="00E9598A" w:rsidRPr="00CF4E04">
        <w:t xml:space="preserve">  After </w:t>
      </w:r>
      <w:r w:rsidR="00642F82" w:rsidRPr="00CF4E04">
        <w:t>paragraph 5</w:t>
      </w:r>
      <w:r w:rsidR="00E9598A" w:rsidRPr="00CF4E04">
        <w:t>4(e)</w:t>
      </w:r>
    </w:p>
    <w:p w14:paraId="08DB6EF9" w14:textId="77777777" w:rsidR="00E9598A" w:rsidRPr="00CF4E04" w:rsidRDefault="00E9598A" w:rsidP="00E9598A">
      <w:pPr>
        <w:pStyle w:val="Item"/>
      </w:pPr>
      <w:r w:rsidRPr="00CF4E04">
        <w:t>Insert:</w:t>
      </w:r>
    </w:p>
    <w:p w14:paraId="653D0C97" w14:textId="77777777" w:rsidR="00E9598A" w:rsidRPr="00CF4E04" w:rsidRDefault="00E9598A" w:rsidP="00E9598A">
      <w:pPr>
        <w:pStyle w:val="paragraph"/>
      </w:pPr>
      <w:r w:rsidRPr="00CF4E04">
        <w:tab/>
        <w:t>(ea)</w:t>
      </w:r>
      <w:r w:rsidRPr="00CF4E04">
        <w:tab/>
        <w:t>whether the applicant has shown that the applicant has considered interactions between technical, human and organisational factors in the management of safety;</w:t>
      </w:r>
    </w:p>
    <w:p w14:paraId="7218D74B" w14:textId="77777777" w:rsidR="00BA6EA8" w:rsidRPr="00CF4E04" w:rsidRDefault="008C7195" w:rsidP="00BA6EA8">
      <w:pPr>
        <w:pStyle w:val="ItemHead"/>
      </w:pPr>
      <w:r w:rsidRPr="00CF4E04">
        <w:t>24</w:t>
      </w:r>
      <w:r w:rsidR="00BA6EA8" w:rsidRPr="00CF4E04">
        <w:t xml:space="preserve">  After </w:t>
      </w:r>
      <w:r w:rsidR="00C614AD" w:rsidRPr="00CF4E04">
        <w:t>section 5</w:t>
      </w:r>
      <w:r w:rsidR="00BA6EA8" w:rsidRPr="00CF4E04">
        <w:t>7</w:t>
      </w:r>
    </w:p>
    <w:p w14:paraId="3E083B4D" w14:textId="77777777" w:rsidR="00BA6EA8" w:rsidRPr="00CF4E04" w:rsidRDefault="00BA6EA8" w:rsidP="00BA6EA8">
      <w:pPr>
        <w:pStyle w:val="Item"/>
      </w:pPr>
      <w:r w:rsidRPr="00CF4E04">
        <w:t>Insert:</w:t>
      </w:r>
    </w:p>
    <w:p w14:paraId="5CD7D7E8" w14:textId="77777777" w:rsidR="00BA6EA8" w:rsidRPr="00CF4E04" w:rsidRDefault="00BA6EA8" w:rsidP="00BA6EA8">
      <w:pPr>
        <w:pStyle w:val="ActHead5"/>
      </w:pPr>
      <w:bookmarkStart w:id="10" w:name="_Toc99628130"/>
      <w:r w:rsidRPr="0084697B">
        <w:rPr>
          <w:rStyle w:val="CharSectno"/>
        </w:rPr>
        <w:t>57A</w:t>
      </w:r>
      <w:r w:rsidRPr="00CF4E04">
        <w:t xml:space="preserve">  Preventing and minimising human error and organisational failures</w:t>
      </w:r>
      <w:bookmarkEnd w:id="10"/>
    </w:p>
    <w:p w14:paraId="5F82BE70" w14:textId="77777777" w:rsidR="00BA6EA8" w:rsidRPr="00CF4E04" w:rsidRDefault="00BA6EA8" w:rsidP="00BA6EA8">
      <w:pPr>
        <w:pStyle w:val="subsection"/>
      </w:pPr>
      <w:r w:rsidRPr="00CF4E04">
        <w:tab/>
        <w:t>(1)</w:t>
      </w:r>
      <w:r w:rsidRPr="00CF4E04">
        <w:tab/>
        <w:t>The holder of a licence must take all reasonably practicable steps to prevent and minimise human errors and organisational failures involving controlled materials, controlled apparatus or controlled facilities described in the licence.</w:t>
      </w:r>
    </w:p>
    <w:p w14:paraId="35D0C2C1" w14:textId="77777777" w:rsidR="00BA6EA8" w:rsidRPr="00CF4E04" w:rsidRDefault="00BA6EA8" w:rsidP="00BA6EA8">
      <w:pPr>
        <w:pStyle w:val="subsection"/>
      </w:pPr>
      <w:r w:rsidRPr="00CF4E04">
        <w:tab/>
        <w:t>(2)</w:t>
      </w:r>
      <w:r w:rsidRPr="00CF4E04">
        <w:tab/>
        <w:t>In doing so, the holder must take into account human and organisational factors.</w:t>
      </w:r>
    </w:p>
    <w:p w14:paraId="24CC2774" w14:textId="77777777" w:rsidR="00AE444B" w:rsidRPr="00CF4E04" w:rsidRDefault="008C7195" w:rsidP="00AE444B">
      <w:pPr>
        <w:pStyle w:val="ItemHead"/>
      </w:pPr>
      <w:r w:rsidRPr="00CF4E04">
        <w:t>25</w:t>
      </w:r>
      <w:r w:rsidR="00AE444B" w:rsidRPr="00CF4E04">
        <w:t xml:space="preserve">  </w:t>
      </w:r>
      <w:r w:rsidR="0049126F" w:rsidRPr="00CF4E04">
        <w:t>Section 5</w:t>
      </w:r>
      <w:r w:rsidR="00AE444B" w:rsidRPr="00CF4E04">
        <w:t>8 (heading)</w:t>
      </w:r>
    </w:p>
    <w:p w14:paraId="47124F9A" w14:textId="77777777" w:rsidR="00AE444B" w:rsidRPr="00CF4E04" w:rsidRDefault="00AE444B" w:rsidP="00AE444B">
      <w:pPr>
        <w:pStyle w:val="Item"/>
      </w:pPr>
      <w:r w:rsidRPr="00CF4E04">
        <w:t>Omit “</w:t>
      </w:r>
      <w:r w:rsidRPr="00CF4E04">
        <w:rPr>
          <w:b/>
        </w:rPr>
        <w:t>accidents</w:t>
      </w:r>
      <w:r w:rsidRPr="00CF4E04">
        <w:t>”, substitute “</w:t>
      </w:r>
      <w:r w:rsidRPr="00CF4E04">
        <w:rPr>
          <w:b/>
        </w:rPr>
        <w:t>incidents</w:t>
      </w:r>
      <w:r w:rsidRPr="00CF4E04">
        <w:t>”.</w:t>
      </w:r>
    </w:p>
    <w:p w14:paraId="2484A535" w14:textId="77777777" w:rsidR="00331EF7" w:rsidRPr="00CF4E04" w:rsidRDefault="008C7195" w:rsidP="00331EF7">
      <w:pPr>
        <w:pStyle w:val="ItemHead"/>
      </w:pPr>
      <w:r w:rsidRPr="00CF4E04">
        <w:t>26</w:t>
      </w:r>
      <w:r w:rsidR="00331EF7" w:rsidRPr="00CF4E04">
        <w:t xml:space="preserve">  Subsection 58(1) (heading)</w:t>
      </w:r>
    </w:p>
    <w:p w14:paraId="0FC2A910" w14:textId="77777777" w:rsidR="00331EF7" w:rsidRPr="00CF4E04" w:rsidRDefault="00331EF7" w:rsidP="00331EF7">
      <w:pPr>
        <w:pStyle w:val="Item"/>
      </w:pPr>
      <w:r w:rsidRPr="00CF4E04">
        <w:t>Omit “</w:t>
      </w:r>
      <w:r w:rsidRPr="00CF4E04">
        <w:rPr>
          <w:i/>
        </w:rPr>
        <w:t>accidents</w:t>
      </w:r>
      <w:r w:rsidRPr="00CF4E04">
        <w:t>”, substitute “</w:t>
      </w:r>
      <w:r w:rsidRPr="00CF4E04">
        <w:rPr>
          <w:i/>
        </w:rPr>
        <w:t>incidents</w:t>
      </w:r>
      <w:r w:rsidRPr="00CF4E04">
        <w:t>”.</w:t>
      </w:r>
    </w:p>
    <w:p w14:paraId="39DC973D" w14:textId="77777777" w:rsidR="00AE444B" w:rsidRPr="00CF4E04" w:rsidRDefault="008C7195" w:rsidP="00AE444B">
      <w:pPr>
        <w:pStyle w:val="ItemHead"/>
      </w:pPr>
      <w:r w:rsidRPr="00CF4E04">
        <w:t>27</w:t>
      </w:r>
      <w:r w:rsidR="00AE444B" w:rsidRPr="00CF4E04">
        <w:t xml:space="preserve">  </w:t>
      </w:r>
      <w:r w:rsidR="00B23B05" w:rsidRPr="00CF4E04">
        <w:t>Sub</w:t>
      </w:r>
      <w:r w:rsidR="00C614AD" w:rsidRPr="00CF4E04">
        <w:t>section 5</w:t>
      </w:r>
      <w:r w:rsidR="00AE444B" w:rsidRPr="00CF4E04">
        <w:t>8(1)</w:t>
      </w:r>
    </w:p>
    <w:p w14:paraId="5EA2E37D" w14:textId="77777777" w:rsidR="00AE444B" w:rsidRPr="00CF4E04" w:rsidRDefault="00AE444B" w:rsidP="00AE444B">
      <w:pPr>
        <w:pStyle w:val="Item"/>
      </w:pPr>
      <w:r w:rsidRPr="00CF4E04">
        <w:t>Omit “</w:t>
      </w:r>
      <w:r w:rsidR="00331EF7" w:rsidRPr="00CF4E04">
        <w:t xml:space="preserve">prevent </w:t>
      </w:r>
      <w:r w:rsidRPr="00CF4E04">
        <w:t>accident</w:t>
      </w:r>
      <w:r w:rsidR="0028638E" w:rsidRPr="00CF4E04">
        <w:t>s</w:t>
      </w:r>
      <w:r w:rsidRPr="00CF4E04">
        <w:t>”, substitute “</w:t>
      </w:r>
      <w:r w:rsidR="00331EF7" w:rsidRPr="00CF4E04">
        <w:t xml:space="preserve">prevent </w:t>
      </w:r>
      <w:r w:rsidRPr="00CF4E04">
        <w:t>incidents”.</w:t>
      </w:r>
    </w:p>
    <w:p w14:paraId="29FE1491" w14:textId="77777777" w:rsidR="00331EF7" w:rsidRPr="00CF4E04" w:rsidRDefault="008C7195" w:rsidP="00331EF7">
      <w:pPr>
        <w:pStyle w:val="ItemHead"/>
      </w:pPr>
      <w:r w:rsidRPr="00CF4E04">
        <w:t>28</w:t>
      </w:r>
      <w:r w:rsidR="00331EF7" w:rsidRPr="00CF4E04">
        <w:t xml:space="preserve">  Subsection 58(2) (heading)</w:t>
      </w:r>
    </w:p>
    <w:p w14:paraId="1367D692" w14:textId="77777777" w:rsidR="00331EF7" w:rsidRPr="00CF4E04" w:rsidRDefault="00331EF7" w:rsidP="00331EF7">
      <w:pPr>
        <w:pStyle w:val="Item"/>
      </w:pPr>
      <w:r w:rsidRPr="00CF4E04">
        <w:t>Omit “</w:t>
      </w:r>
      <w:r w:rsidRPr="00CF4E04">
        <w:rPr>
          <w:i/>
        </w:rPr>
        <w:t>an accident</w:t>
      </w:r>
      <w:r w:rsidRPr="00CF4E04">
        <w:t>”, substitute “</w:t>
      </w:r>
      <w:r w:rsidRPr="00CF4E04">
        <w:rPr>
          <w:i/>
        </w:rPr>
        <w:t>a notifiable incident</w:t>
      </w:r>
      <w:r w:rsidRPr="00CF4E04">
        <w:t>”.</w:t>
      </w:r>
    </w:p>
    <w:p w14:paraId="119F54FE" w14:textId="77777777" w:rsidR="00AE444B" w:rsidRPr="00CF4E04" w:rsidRDefault="008C7195" w:rsidP="00AE444B">
      <w:pPr>
        <w:pStyle w:val="ItemHead"/>
      </w:pPr>
      <w:r w:rsidRPr="00CF4E04">
        <w:t>29</w:t>
      </w:r>
      <w:r w:rsidR="00AE444B" w:rsidRPr="00CF4E04">
        <w:t xml:space="preserve">  </w:t>
      </w:r>
      <w:r w:rsidR="00B23B05" w:rsidRPr="00CF4E04">
        <w:t>Sub</w:t>
      </w:r>
      <w:r w:rsidR="00C614AD" w:rsidRPr="00CF4E04">
        <w:t>section 5</w:t>
      </w:r>
      <w:r w:rsidR="00AE444B" w:rsidRPr="00CF4E04">
        <w:t>8(2)</w:t>
      </w:r>
    </w:p>
    <w:p w14:paraId="288C3F5C" w14:textId="77777777" w:rsidR="00AE444B" w:rsidRPr="00CF4E04" w:rsidRDefault="00AE444B" w:rsidP="00AE444B">
      <w:pPr>
        <w:pStyle w:val="Item"/>
      </w:pPr>
      <w:r w:rsidRPr="00CF4E04">
        <w:t>Omit “</w:t>
      </w:r>
      <w:r w:rsidR="00331EF7" w:rsidRPr="00CF4E04">
        <w:t xml:space="preserve">If </w:t>
      </w:r>
      <w:r w:rsidRPr="00CF4E04">
        <w:t>an accident”, substitute “</w:t>
      </w:r>
      <w:r w:rsidR="00331EF7" w:rsidRPr="00CF4E04">
        <w:t xml:space="preserve">If </w:t>
      </w:r>
      <w:r w:rsidRPr="00CF4E04">
        <w:t>a notifiable incident”.</w:t>
      </w:r>
    </w:p>
    <w:p w14:paraId="276770E8" w14:textId="77777777" w:rsidR="00AE444B" w:rsidRPr="00CF4E04" w:rsidRDefault="008C7195" w:rsidP="00AE444B">
      <w:pPr>
        <w:pStyle w:val="ItemHead"/>
      </w:pPr>
      <w:r w:rsidRPr="00CF4E04">
        <w:t>30</w:t>
      </w:r>
      <w:r w:rsidR="00AE444B" w:rsidRPr="00CF4E04">
        <w:t xml:space="preserve">  Paragraphs 58(3)(a) and (b)</w:t>
      </w:r>
    </w:p>
    <w:p w14:paraId="46634EDF" w14:textId="77777777" w:rsidR="00AE444B" w:rsidRPr="00CF4E04" w:rsidRDefault="00AE444B" w:rsidP="00AE444B">
      <w:pPr>
        <w:pStyle w:val="Item"/>
      </w:pPr>
      <w:r w:rsidRPr="00CF4E04">
        <w:t>Omit “accident”, substitute “notifiable incident”.</w:t>
      </w:r>
    </w:p>
    <w:p w14:paraId="6AD58BA3" w14:textId="77777777" w:rsidR="00AE444B" w:rsidRPr="00CF4E04" w:rsidRDefault="008C7195" w:rsidP="00AE444B">
      <w:pPr>
        <w:pStyle w:val="ItemHead"/>
      </w:pPr>
      <w:r w:rsidRPr="00CF4E04">
        <w:t>31</w:t>
      </w:r>
      <w:r w:rsidR="00AE444B" w:rsidRPr="00CF4E04">
        <w:t xml:space="preserve">  At the end of </w:t>
      </w:r>
      <w:r w:rsidR="000F00A3" w:rsidRPr="00CF4E04">
        <w:t>sub</w:t>
      </w:r>
      <w:r w:rsidR="00C614AD" w:rsidRPr="00CF4E04">
        <w:t>section 5</w:t>
      </w:r>
      <w:r w:rsidR="00AE444B" w:rsidRPr="00CF4E04">
        <w:t>8(3)</w:t>
      </w:r>
    </w:p>
    <w:p w14:paraId="1D5AE91F" w14:textId="77777777" w:rsidR="00AE444B" w:rsidRPr="00CF4E04" w:rsidRDefault="00AE444B" w:rsidP="00AE444B">
      <w:pPr>
        <w:pStyle w:val="Item"/>
      </w:pPr>
      <w:r w:rsidRPr="00CF4E04">
        <w:t>Add:</w:t>
      </w:r>
    </w:p>
    <w:p w14:paraId="43AE1C4F" w14:textId="77777777" w:rsidR="00AE444B" w:rsidRPr="00CF4E04" w:rsidRDefault="00AE444B" w:rsidP="00AE444B">
      <w:pPr>
        <w:pStyle w:val="paragraph"/>
      </w:pPr>
      <w:r w:rsidRPr="00CF4E04">
        <w:lastRenderedPageBreak/>
        <w:tab/>
        <w:t>; and (c)</w:t>
      </w:r>
      <w:r w:rsidRPr="00CF4E04">
        <w:tab/>
        <w:t xml:space="preserve">to manage the </w:t>
      </w:r>
      <w:r w:rsidR="003D4DCE" w:rsidRPr="00CF4E04">
        <w:t xml:space="preserve">notifiable </w:t>
      </w:r>
      <w:r w:rsidRPr="00CF4E04">
        <w:t>incident in a way that facilitates investigation and learning.</w:t>
      </w:r>
    </w:p>
    <w:p w14:paraId="0980D892" w14:textId="77777777" w:rsidR="00021863" w:rsidRPr="00CF4E04" w:rsidRDefault="008C7195" w:rsidP="00021863">
      <w:pPr>
        <w:pStyle w:val="ItemHead"/>
      </w:pPr>
      <w:r w:rsidRPr="00CF4E04">
        <w:t>32</w:t>
      </w:r>
      <w:r w:rsidR="00021863" w:rsidRPr="00CF4E04">
        <w:t xml:space="preserve">  </w:t>
      </w:r>
      <w:r w:rsidR="00B23B05" w:rsidRPr="00CF4E04">
        <w:t>Paragraph 5</w:t>
      </w:r>
      <w:r w:rsidR="00021863" w:rsidRPr="00CF4E04">
        <w:t>8(4)(a)</w:t>
      </w:r>
    </w:p>
    <w:p w14:paraId="2F0112A9" w14:textId="77777777" w:rsidR="00021863" w:rsidRPr="00CF4E04" w:rsidRDefault="00021863" w:rsidP="00021863">
      <w:pPr>
        <w:pStyle w:val="Item"/>
      </w:pPr>
      <w:r w:rsidRPr="00CF4E04">
        <w:t>Omit “accident” (wherever occurring), substitute “notifiable incident”.</w:t>
      </w:r>
    </w:p>
    <w:p w14:paraId="5735AB05" w14:textId="77777777" w:rsidR="00AE444B" w:rsidRPr="00CF4E04" w:rsidRDefault="008C7195" w:rsidP="00AE444B">
      <w:pPr>
        <w:pStyle w:val="ItemHead"/>
      </w:pPr>
      <w:r w:rsidRPr="00CF4E04">
        <w:t>33</w:t>
      </w:r>
      <w:r w:rsidR="00AE444B" w:rsidRPr="00CF4E04">
        <w:t xml:space="preserve">  </w:t>
      </w:r>
      <w:r w:rsidR="00B23B05" w:rsidRPr="00CF4E04">
        <w:t>Paragraph 5</w:t>
      </w:r>
      <w:r w:rsidR="00AE444B" w:rsidRPr="00CF4E04">
        <w:t>8(4)(b)</w:t>
      </w:r>
    </w:p>
    <w:p w14:paraId="40EEBF8D" w14:textId="77777777" w:rsidR="00AE444B" w:rsidRPr="00CF4E04" w:rsidRDefault="00AE444B" w:rsidP="00AE444B">
      <w:pPr>
        <w:pStyle w:val="Item"/>
      </w:pPr>
      <w:r w:rsidRPr="00CF4E04">
        <w:t>Repeal the paragraph, substitute:</w:t>
      </w:r>
    </w:p>
    <w:p w14:paraId="22374ACF" w14:textId="77777777" w:rsidR="00AE444B" w:rsidRPr="00CF4E04" w:rsidRDefault="00AE444B" w:rsidP="00AE444B">
      <w:pPr>
        <w:pStyle w:val="paragraph"/>
      </w:pPr>
      <w:r w:rsidRPr="00CF4E04">
        <w:tab/>
        <w:t>(b)</w:t>
      </w:r>
      <w:r w:rsidRPr="00CF4E04">
        <w:tab/>
        <w:t>give the CEO a written report about the notifiable incident, including the causes of the notifiable incident, within:</w:t>
      </w:r>
    </w:p>
    <w:p w14:paraId="3E3D9EB9" w14:textId="77777777" w:rsidR="00AE444B" w:rsidRPr="00CF4E04" w:rsidRDefault="00AE444B" w:rsidP="00AE444B">
      <w:pPr>
        <w:pStyle w:val="paragraphsub"/>
      </w:pPr>
      <w:r w:rsidRPr="00CF4E04">
        <w:tab/>
        <w:t>(i)</w:t>
      </w:r>
      <w:r w:rsidRPr="00CF4E04">
        <w:tab/>
        <w:t>14 days of the notifiable incident happening; or</w:t>
      </w:r>
    </w:p>
    <w:p w14:paraId="5CFEE989" w14:textId="77777777" w:rsidR="00AE444B" w:rsidRPr="00CF4E04" w:rsidRDefault="00AE444B" w:rsidP="00AE444B">
      <w:pPr>
        <w:pStyle w:val="paragraphsub"/>
      </w:pPr>
      <w:r w:rsidRPr="00CF4E04">
        <w:tab/>
        <w:t>(ii)</w:t>
      </w:r>
      <w:r w:rsidRPr="00CF4E04">
        <w:tab/>
        <w:t>if the CEO extends the period—the extended period; and</w:t>
      </w:r>
    </w:p>
    <w:p w14:paraId="3A520DCD" w14:textId="77777777" w:rsidR="00AE444B" w:rsidRPr="00CF4E04" w:rsidRDefault="008C7195" w:rsidP="00AE444B">
      <w:pPr>
        <w:pStyle w:val="ItemHead"/>
      </w:pPr>
      <w:r w:rsidRPr="00CF4E04">
        <w:t>34</w:t>
      </w:r>
      <w:r w:rsidR="00AE444B" w:rsidRPr="00CF4E04">
        <w:t xml:space="preserve">  </w:t>
      </w:r>
      <w:r w:rsidR="00B23B05" w:rsidRPr="00CF4E04">
        <w:t>Subparagraphs 5</w:t>
      </w:r>
      <w:r w:rsidR="00AE444B" w:rsidRPr="00CF4E04">
        <w:t>8(4)(c)(i) and (d)(i)</w:t>
      </w:r>
    </w:p>
    <w:p w14:paraId="78E853ED" w14:textId="77777777" w:rsidR="00AE444B" w:rsidRPr="00CF4E04" w:rsidRDefault="00AE444B" w:rsidP="00AE444B">
      <w:pPr>
        <w:pStyle w:val="Item"/>
      </w:pPr>
      <w:r w:rsidRPr="00CF4E04">
        <w:t>Omit “accident”, substitute “notifiable incident”.</w:t>
      </w:r>
    </w:p>
    <w:p w14:paraId="03E89EDE" w14:textId="77777777" w:rsidR="00AE444B" w:rsidRPr="00CF4E04" w:rsidRDefault="008C7195" w:rsidP="00AE444B">
      <w:pPr>
        <w:pStyle w:val="ItemHead"/>
      </w:pPr>
      <w:r w:rsidRPr="00CF4E04">
        <w:t>35</w:t>
      </w:r>
      <w:r w:rsidR="00AE444B" w:rsidRPr="00CF4E04">
        <w:t xml:space="preserve">  </w:t>
      </w:r>
      <w:r w:rsidR="00B23B05" w:rsidRPr="00CF4E04">
        <w:t>Sub</w:t>
      </w:r>
      <w:r w:rsidR="00C614AD" w:rsidRPr="00CF4E04">
        <w:t>section 5</w:t>
      </w:r>
      <w:r w:rsidR="00AE444B" w:rsidRPr="00CF4E04">
        <w:t>8(5)</w:t>
      </w:r>
    </w:p>
    <w:p w14:paraId="0E235031" w14:textId="77777777" w:rsidR="00AE444B" w:rsidRPr="00CF4E04" w:rsidRDefault="00AE444B" w:rsidP="00AE444B">
      <w:pPr>
        <w:pStyle w:val="Item"/>
      </w:pPr>
      <w:r w:rsidRPr="00CF4E04">
        <w:t>Omit “accident” (wherever occurring), substitute “notifiable incident”.</w:t>
      </w:r>
    </w:p>
    <w:p w14:paraId="7BC81B59" w14:textId="77777777" w:rsidR="00AE444B" w:rsidRPr="00CF4E04" w:rsidRDefault="008C7195" w:rsidP="00AE444B">
      <w:pPr>
        <w:pStyle w:val="ItemHead"/>
      </w:pPr>
      <w:r w:rsidRPr="00CF4E04">
        <w:t>36</w:t>
      </w:r>
      <w:r w:rsidR="00AE444B" w:rsidRPr="00CF4E04">
        <w:t xml:space="preserve">  </w:t>
      </w:r>
      <w:r w:rsidR="00B23B05" w:rsidRPr="00CF4E04">
        <w:t>Sub</w:t>
      </w:r>
      <w:r w:rsidR="00C614AD" w:rsidRPr="00CF4E04">
        <w:t>section 5</w:t>
      </w:r>
      <w:r w:rsidR="00AE444B" w:rsidRPr="00CF4E04">
        <w:t>8(6)</w:t>
      </w:r>
    </w:p>
    <w:p w14:paraId="46CE2456" w14:textId="77777777" w:rsidR="00AE444B" w:rsidRPr="00CF4E04" w:rsidRDefault="00AE444B" w:rsidP="00AE444B">
      <w:pPr>
        <w:pStyle w:val="Item"/>
      </w:pPr>
      <w:r w:rsidRPr="00CF4E04">
        <w:t>After “subparagraphs”, insert “(4)(b)(i),”.</w:t>
      </w:r>
    </w:p>
    <w:p w14:paraId="6D54CC95" w14:textId="77777777" w:rsidR="00021863" w:rsidRPr="00CF4E04" w:rsidRDefault="008C7195" w:rsidP="00021863">
      <w:pPr>
        <w:pStyle w:val="ItemHead"/>
      </w:pPr>
      <w:r w:rsidRPr="00CF4E04">
        <w:t>37</w:t>
      </w:r>
      <w:r w:rsidR="00021863" w:rsidRPr="00CF4E04">
        <w:t xml:space="preserve">  At the end of </w:t>
      </w:r>
      <w:r w:rsidR="00C614AD" w:rsidRPr="00CF4E04">
        <w:t>section 5</w:t>
      </w:r>
      <w:r w:rsidR="00021863" w:rsidRPr="00CF4E04">
        <w:t>8</w:t>
      </w:r>
    </w:p>
    <w:p w14:paraId="69396C0F" w14:textId="77777777" w:rsidR="00021863" w:rsidRPr="00CF4E04" w:rsidRDefault="00021863" w:rsidP="00021863">
      <w:pPr>
        <w:pStyle w:val="Item"/>
      </w:pPr>
      <w:r w:rsidRPr="00CF4E04">
        <w:t>Add:</w:t>
      </w:r>
    </w:p>
    <w:p w14:paraId="5AF36612" w14:textId="77777777" w:rsidR="00021863" w:rsidRPr="00CF4E04" w:rsidRDefault="00021863" w:rsidP="00021863">
      <w:pPr>
        <w:pStyle w:val="subsection"/>
      </w:pPr>
      <w:r w:rsidRPr="00CF4E04">
        <w:tab/>
        <w:t>(7)</w:t>
      </w:r>
      <w:r w:rsidRPr="00CF4E04">
        <w:tab/>
        <w:t xml:space="preserve">However, </w:t>
      </w:r>
      <w:r w:rsidR="00205F27" w:rsidRPr="00CF4E04">
        <w:t>subsections (</w:t>
      </w:r>
      <w:r w:rsidRPr="00CF4E04">
        <w:t>4) and (5) do not apply to the extent that the licence makes other arrangements for a matter mentioned in the subsections.</w:t>
      </w:r>
    </w:p>
    <w:p w14:paraId="469FAC96" w14:textId="77777777" w:rsidR="00951A7A" w:rsidRPr="00CF4E04" w:rsidRDefault="008C7195" w:rsidP="00951A7A">
      <w:pPr>
        <w:pStyle w:val="ItemHead"/>
      </w:pPr>
      <w:r w:rsidRPr="00CF4E04">
        <w:t>38</w:t>
      </w:r>
      <w:r w:rsidR="00951A7A" w:rsidRPr="00CF4E04">
        <w:t xml:space="preserve">  After </w:t>
      </w:r>
      <w:r w:rsidR="00B23B05" w:rsidRPr="00CF4E04">
        <w:t>paragraph 6</w:t>
      </w:r>
      <w:r w:rsidR="00951A7A" w:rsidRPr="00CF4E04">
        <w:t>0(1)(a)</w:t>
      </w:r>
    </w:p>
    <w:p w14:paraId="76ACCD7B" w14:textId="77777777" w:rsidR="00951A7A" w:rsidRPr="00CF4E04" w:rsidRDefault="00951A7A" w:rsidP="00951A7A">
      <w:pPr>
        <w:pStyle w:val="Item"/>
      </w:pPr>
      <w:r w:rsidRPr="00CF4E04">
        <w:t>Insert:</w:t>
      </w:r>
    </w:p>
    <w:p w14:paraId="5E53E377" w14:textId="77777777" w:rsidR="00951A7A" w:rsidRPr="00CF4E04" w:rsidRDefault="00951A7A" w:rsidP="00951A7A">
      <w:pPr>
        <w:pStyle w:val="paragraph"/>
      </w:pPr>
      <w:r w:rsidRPr="00CF4E04">
        <w:tab/>
        <w:t>(aa)</w:t>
      </w:r>
      <w:r w:rsidRPr="00CF4E04">
        <w:tab/>
        <w:t>ensuring that such plans and arrangements consider human and organisational factors to reduce human error and organisational failures; and</w:t>
      </w:r>
    </w:p>
    <w:p w14:paraId="534A28C4" w14:textId="77777777" w:rsidR="00951A7A" w:rsidRPr="00CF4E04" w:rsidRDefault="008C7195" w:rsidP="00951A7A">
      <w:pPr>
        <w:pStyle w:val="ItemHead"/>
      </w:pPr>
      <w:r w:rsidRPr="00CF4E04">
        <w:t>39</w:t>
      </w:r>
      <w:r w:rsidR="00951A7A" w:rsidRPr="00CF4E04">
        <w:t xml:space="preserve">  At the end of </w:t>
      </w:r>
      <w:r w:rsidR="0049126F" w:rsidRPr="00CF4E04">
        <w:t>sub</w:t>
      </w:r>
      <w:r w:rsidR="000F00A3" w:rsidRPr="00CF4E04">
        <w:t>section 6</w:t>
      </w:r>
      <w:r w:rsidR="00951A7A" w:rsidRPr="00CF4E04">
        <w:t>0(1)</w:t>
      </w:r>
    </w:p>
    <w:p w14:paraId="5F0ACD8E" w14:textId="77777777" w:rsidR="00951A7A" w:rsidRPr="00CF4E04" w:rsidRDefault="00951A7A" w:rsidP="00951A7A">
      <w:pPr>
        <w:pStyle w:val="Item"/>
      </w:pPr>
      <w:r w:rsidRPr="00CF4E04">
        <w:t>Add:</w:t>
      </w:r>
    </w:p>
    <w:p w14:paraId="3C7C9F12" w14:textId="77777777" w:rsidR="00951A7A" w:rsidRPr="00CF4E04" w:rsidRDefault="00951A7A" w:rsidP="00951A7A">
      <w:pPr>
        <w:pStyle w:val="paragraph"/>
      </w:pPr>
      <w:r w:rsidRPr="00CF4E04">
        <w:tab/>
        <w:t>; and (d)</w:t>
      </w:r>
      <w:r w:rsidRPr="00CF4E04">
        <w:tab/>
        <w:t>ensuring that such safety analysis reports consider human and organisational factors to reduce human error and organisational failures.</w:t>
      </w:r>
    </w:p>
    <w:p w14:paraId="13EF5141" w14:textId="77777777" w:rsidR="00951A7A" w:rsidRPr="00CF4E04" w:rsidRDefault="008C7195" w:rsidP="00951A7A">
      <w:pPr>
        <w:pStyle w:val="ItemHead"/>
      </w:pPr>
      <w:r w:rsidRPr="00CF4E04">
        <w:t>40</w:t>
      </w:r>
      <w:r w:rsidR="00951A7A" w:rsidRPr="00CF4E04">
        <w:t xml:space="preserve">  After </w:t>
      </w:r>
      <w:r w:rsidR="00B23B05" w:rsidRPr="00CF4E04">
        <w:t>paragraph 6</w:t>
      </w:r>
      <w:r w:rsidR="00951A7A" w:rsidRPr="00CF4E04">
        <w:t>0(2)(a)</w:t>
      </w:r>
    </w:p>
    <w:p w14:paraId="5F0CEAAD" w14:textId="77777777" w:rsidR="00951A7A" w:rsidRPr="00CF4E04" w:rsidRDefault="00951A7A" w:rsidP="00951A7A">
      <w:pPr>
        <w:pStyle w:val="Item"/>
      </w:pPr>
      <w:r w:rsidRPr="00CF4E04">
        <w:t>Insert:</w:t>
      </w:r>
    </w:p>
    <w:p w14:paraId="0D93D44E" w14:textId="77777777" w:rsidR="00951A7A" w:rsidRPr="00CF4E04" w:rsidRDefault="00951A7A" w:rsidP="00951A7A">
      <w:pPr>
        <w:pStyle w:val="paragraph"/>
      </w:pPr>
      <w:r w:rsidRPr="00CF4E04">
        <w:tab/>
        <w:t>(aa)</w:t>
      </w:r>
      <w:r w:rsidRPr="00CF4E04">
        <w:tab/>
        <w:t>ensuring that such plans and arrangements consider human and organisational factors to reduce human error and organisational failures; and</w:t>
      </w:r>
    </w:p>
    <w:p w14:paraId="7B44658F" w14:textId="77777777" w:rsidR="007D0314" w:rsidRPr="00CF4E04" w:rsidRDefault="008C7195" w:rsidP="00783BF1">
      <w:pPr>
        <w:pStyle w:val="ItemHead"/>
      </w:pPr>
      <w:r w:rsidRPr="00CF4E04">
        <w:t>41</w:t>
      </w:r>
      <w:r w:rsidR="00783BF1" w:rsidRPr="00CF4E04">
        <w:t xml:space="preserve">  </w:t>
      </w:r>
      <w:r w:rsidR="00B23B05" w:rsidRPr="00CF4E04">
        <w:t>Section 6</w:t>
      </w:r>
      <w:r w:rsidR="00783BF1" w:rsidRPr="00CF4E04">
        <w:t>1 (note)</w:t>
      </w:r>
    </w:p>
    <w:p w14:paraId="09F92C1E" w14:textId="77777777" w:rsidR="00783BF1" w:rsidRPr="00CF4E04" w:rsidRDefault="00783BF1" w:rsidP="00783BF1">
      <w:pPr>
        <w:pStyle w:val="Item"/>
      </w:pPr>
      <w:r w:rsidRPr="00CF4E04">
        <w:t>Omit “</w:t>
      </w:r>
      <w:r w:rsidR="00005E60" w:rsidRPr="00CF4E04">
        <w:t>an accident for the purposes of preventing a reoccurrence of the accident</w:t>
      </w:r>
      <w:r w:rsidRPr="00CF4E04">
        <w:t>”, substitute “</w:t>
      </w:r>
      <w:r w:rsidR="00005E60" w:rsidRPr="00CF4E04">
        <w:t xml:space="preserve">a notifiable incident for the purposes of preventing a reoccurrence of the </w:t>
      </w:r>
      <w:r w:rsidRPr="00CF4E04">
        <w:t>notifiable incident”.</w:t>
      </w:r>
    </w:p>
    <w:p w14:paraId="371E3678" w14:textId="77777777" w:rsidR="00AB767D" w:rsidRPr="00CF4E04" w:rsidRDefault="008C7195" w:rsidP="00AB767D">
      <w:pPr>
        <w:pStyle w:val="ItemHead"/>
      </w:pPr>
      <w:r w:rsidRPr="00CF4E04">
        <w:lastRenderedPageBreak/>
        <w:t>42</w:t>
      </w:r>
      <w:r w:rsidR="00AB767D" w:rsidRPr="00CF4E04">
        <w:t xml:space="preserve">  </w:t>
      </w:r>
      <w:r w:rsidR="00B23B05" w:rsidRPr="00CF4E04">
        <w:t>Sub</w:t>
      </w:r>
      <w:r w:rsidR="000F00A3" w:rsidRPr="00CF4E04">
        <w:t>section 6</w:t>
      </w:r>
      <w:r w:rsidR="00AB767D" w:rsidRPr="00CF4E04">
        <w:t>5(5)</w:t>
      </w:r>
    </w:p>
    <w:p w14:paraId="1D1C5C95" w14:textId="77777777" w:rsidR="00AB767D" w:rsidRPr="00CF4E04" w:rsidRDefault="00AB767D" w:rsidP="00AB767D">
      <w:pPr>
        <w:pStyle w:val="Item"/>
      </w:pPr>
      <w:r w:rsidRPr="00CF4E04">
        <w:t>Repeal the subsection, substitute:</w:t>
      </w:r>
    </w:p>
    <w:p w14:paraId="64188270" w14:textId="77777777" w:rsidR="00AB767D" w:rsidRPr="00CF4E04" w:rsidRDefault="00AB767D" w:rsidP="00AB767D">
      <w:pPr>
        <w:pStyle w:val="SubsectionHead"/>
      </w:pPr>
      <w:r w:rsidRPr="00CF4E04">
        <w:t>Exceptions</w:t>
      </w:r>
    </w:p>
    <w:p w14:paraId="1B50F960" w14:textId="77777777" w:rsidR="0025445F" w:rsidRPr="00CF4E04" w:rsidRDefault="00AB767D" w:rsidP="00215267">
      <w:pPr>
        <w:pStyle w:val="subsection"/>
      </w:pPr>
      <w:bookmarkStart w:id="11" w:name="_Hlk105598434"/>
      <w:r w:rsidRPr="00CF4E04">
        <w:tab/>
        <w:t>(5)</w:t>
      </w:r>
      <w:r w:rsidRPr="00CF4E04">
        <w:tab/>
      </w:r>
      <w:r w:rsidR="00215267" w:rsidRPr="00CF4E04">
        <w:t>S</w:t>
      </w:r>
      <w:r w:rsidR="00205F27" w:rsidRPr="00CF4E04">
        <w:t>ubsections (</w:t>
      </w:r>
      <w:r w:rsidR="0025445F" w:rsidRPr="00CF4E04">
        <w:t>1), (2), (3) and (4) do not apply to the extent that the licence makes other arrangements for a matter mentioned in the subsections</w:t>
      </w:r>
      <w:r w:rsidR="00215267" w:rsidRPr="00CF4E04">
        <w:t>.</w:t>
      </w:r>
    </w:p>
    <w:p w14:paraId="0C7BA6EE" w14:textId="77777777" w:rsidR="00AB767D" w:rsidRPr="00CF4E04" w:rsidRDefault="00215267" w:rsidP="00215267">
      <w:pPr>
        <w:pStyle w:val="subsection"/>
      </w:pPr>
      <w:r w:rsidRPr="00CF4E04">
        <w:tab/>
        <w:t>(6)</w:t>
      </w:r>
      <w:r w:rsidRPr="00CF4E04">
        <w:tab/>
        <w:t>Su</w:t>
      </w:r>
      <w:r w:rsidR="00205F27" w:rsidRPr="00CF4E04">
        <w:t>bsections (</w:t>
      </w:r>
      <w:r w:rsidR="0025445F" w:rsidRPr="00CF4E04">
        <w:t xml:space="preserve">1), (2) and (3) do not apply </w:t>
      </w:r>
      <w:r w:rsidR="00AB767D" w:rsidRPr="00CF4E04">
        <w:t>in relation to</w:t>
      </w:r>
      <w:r w:rsidR="006B7202" w:rsidRPr="00CF4E04">
        <w:t xml:space="preserve"> controlled material that is</w:t>
      </w:r>
      <w:r w:rsidR="00AB767D" w:rsidRPr="00CF4E04">
        <w:t xml:space="preserve"> solid clearance material</w:t>
      </w:r>
      <w:r w:rsidR="0025445F" w:rsidRPr="00CF4E04">
        <w:t>.</w:t>
      </w:r>
    </w:p>
    <w:bookmarkEnd w:id="11"/>
    <w:p w14:paraId="7EBF9DC6" w14:textId="77777777" w:rsidR="004A3EAE" w:rsidRPr="00CF4E04" w:rsidRDefault="004A3EAE" w:rsidP="004A3EAE">
      <w:pPr>
        <w:pStyle w:val="SubsectionHead"/>
      </w:pPr>
      <w:r w:rsidRPr="00CF4E04">
        <w:t>Solid clearance material</w:t>
      </w:r>
    </w:p>
    <w:p w14:paraId="1814A04E" w14:textId="77777777" w:rsidR="004A3EAE" w:rsidRPr="00CF4E04" w:rsidRDefault="004A3EAE" w:rsidP="004A3EAE">
      <w:pPr>
        <w:pStyle w:val="subsection"/>
      </w:pPr>
      <w:r w:rsidRPr="00CF4E04">
        <w:tab/>
        <w:t>(</w:t>
      </w:r>
      <w:r w:rsidR="00215267" w:rsidRPr="00CF4E04">
        <w:t>7</w:t>
      </w:r>
      <w:r w:rsidRPr="00CF4E04">
        <w:t>)</w:t>
      </w:r>
      <w:r w:rsidRPr="00CF4E04">
        <w:tab/>
        <w:t xml:space="preserve">Controlled material is </w:t>
      </w:r>
      <w:r w:rsidRPr="00CF4E04">
        <w:rPr>
          <w:b/>
          <w:i/>
        </w:rPr>
        <w:t>solid clearance material</w:t>
      </w:r>
      <w:r w:rsidRPr="00CF4E04">
        <w:t xml:space="preserve"> if</w:t>
      </w:r>
      <w:r w:rsidR="00EB566E" w:rsidRPr="00CF4E04">
        <w:t>:</w:t>
      </w:r>
    </w:p>
    <w:p w14:paraId="6A568F0C" w14:textId="77777777" w:rsidR="00DF6BBE" w:rsidRPr="00CF4E04" w:rsidRDefault="00DF6BBE" w:rsidP="00DF6BBE">
      <w:pPr>
        <w:pStyle w:val="paragraph"/>
      </w:pPr>
      <w:r w:rsidRPr="00CF4E04">
        <w:tab/>
        <w:t>(a)</w:t>
      </w:r>
      <w:r w:rsidRPr="00CF4E04">
        <w:tab/>
        <w:t>the material is in solid form; and</w:t>
      </w:r>
    </w:p>
    <w:p w14:paraId="15BAC0D7" w14:textId="77777777" w:rsidR="00DF6BBE" w:rsidRPr="00CF4E04" w:rsidRDefault="00DF6BBE" w:rsidP="00DF6BBE">
      <w:pPr>
        <w:pStyle w:val="paragraph"/>
      </w:pPr>
      <w:r w:rsidRPr="00CF4E04">
        <w:tab/>
        <w:t>(b)</w:t>
      </w:r>
      <w:r w:rsidRPr="00CF4E04">
        <w:tab/>
        <w:t>the total of the results of dividing the activity concentration of each nuclide of artificial origin in the material by the solid clearance value for the nuclide is not greater than one; and</w:t>
      </w:r>
    </w:p>
    <w:p w14:paraId="3884A6C9" w14:textId="77777777" w:rsidR="00DF6BBE" w:rsidRPr="00CF4E04" w:rsidRDefault="00DF6BBE" w:rsidP="00DF6BBE">
      <w:pPr>
        <w:pStyle w:val="paragraph"/>
      </w:pPr>
      <w:r w:rsidRPr="00CF4E04">
        <w:tab/>
        <w:t>(c)</w:t>
      </w:r>
      <w:r w:rsidRPr="00CF4E04">
        <w:tab/>
        <w:t xml:space="preserve">the activity concentration of each nuclide of natural origin in the material is not greater than the level for the nuclide set out in in Table I.3 in Schedule I to GSR </w:t>
      </w:r>
      <w:r w:rsidR="0049126F" w:rsidRPr="00CF4E04">
        <w:t>Part 3</w:t>
      </w:r>
      <w:r w:rsidRPr="00CF4E04">
        <w:t>.</w:t>
      </w:r>
    </w:p>
    <w:p w14:paraId="53FF4D14" w14:textId="77777777" w:rsidR="00DF6BBE" w:rsidRPr="00CF4E04" w:rsidRDefault="00DF6BBE" w:rsidP="00DF6BBE">
      <w:pPr>
        <w:pStyle w:val="subsection"/>
      </w:pPr>
      <w:r w:rsidRPr="00CF4E04">
        <w:tab/>
        <w:t>(</w:t>
      </w:r>
      <w:r w:rsidR="00215267" w:rsidRPr="00CF4E04">
        <w:t>8</w:t>
      </w:r>
      <w:r w:rsidRPr="00CF4E04">
        <w:t>)</w:t>
      </w:r>
      <w:r w:rsidRPr="00CF4E04">
        <w:tab/>
        <w:t xml:space="preserve">The </w:t>
      </w:r>
      <w:r w:rsidRPr="00CF4E04">
        <w:rPr>
          <w:b/>
          <w:i/>
        </w:rPr>
        <w:t>solid clearance value</w:t>
      </w:r>
      <w:r w:rsidRPr="00CF4E04">
        <w:t>, for a nuclide in controlled material, is:</w:t>
      </w:r>
    </w:p>
    <w:p w14:paraId="043CCCDD" w14:textId="77777777" w:rsidR="00DF6BBE" w:rsidRPr="00CF4E04" w:rsidRDefault="00DF6BBE" w:rsidP="00DF6BBE">
      <w:pPr>
        <w:pStyle w:val="paragraph"/>
      </w:pPr>
      <w:r w:rsidRPr="00CF4E04">
        <w:tab/>
        <w:t>(a)</w:t>
      </w:r>
      <w:r w:rsidRPr="00CF4E04">
        <w:tab/>
        <w:t xml:space="preserve">if the weight of the controlled material exceeds 1 tonne and Table I.2 in Schedule I to GSR </w:t>
      </w:r>
      <w:r w:rsidR="0049126F" w:rsidRPr="00CF4E04">
        <w:t>Part 3</w:t>
      </w:r>
      <w:r w:rsidRPr="00CF4E04">
        <w:t xml:space="preserve"> sets out an activity concentration</w:t>
      </w:r>
      <w:r w:rsidR="001F5422" w:rsidRPr="00CF4E04">
        <w:t xml:space="preserve"> level</w:t>
      </w:r>
      <w:r w:rsidRPr="00CF4E04">
        <w:t xml:space="preserve"> for the nuclide—that activity concentration</w:t>
      </w:r>
      <w:r w:rsidR="001F5422" w:rsidRPr="00CF4E04">
        <w:t xml:space="preserve"> level</w:t>
      </w:r>
      <w:r w:rsidRPr="00CF4E04">
        <w:t>; or</w:t>
      </w:r>
    </w:p>
    <w:p w14:paraId="2B8BF089" w14:textId="77777777" w:rsidR="00DF6BBE" w:rsidRPr="00CF4E04" w:rsidRDefault="00DF6BBE" w:rsidP="00DF6BBE">
      <w:pPr>
        <w:pStyle w:val="paragraph"/>
      </w:pPr>
      <w:r w:rsidRPr="00CF4E04">
        <w:tab/>
        <w:t>(b)</w:t>
      </w:r>
      <w:r w:rsidRPr="00CF4E04">
        <w:tab/>
        <w:t xml:space="preserve">otherwise—the activity concentration </w:t>
      </w:r>
      <w:r w:rsidR="001F5422" w:rsidRPr="00CF4E04">
        <w:t xml:space="preserve">level </w:t>
      </w:r>
      <w:r w:rsidRPr="00CF4E04">
        <w:t xml:space="preserve">for the nuclide set out in Table I.1 in Schedule I to GSR </w:t>
      </w:r>
      <w:r w:rsidR="0049126F" w:rsidRPr="00CF4E04">
        <w:t>Part 3</w:t>
      </w:r>
      <w:r w:rsidRPr="00CF4E04">
        <w:t>.</w:t>
      </w:r>
    </w:p>
    <w:p w14:paraId="32977EBA" w14:textId="77777777" w:rsidR="00DF6BBE" w:rsidRPr="00CF4E04" w:rsidRDefault="00DF6BBE" w:rsidP="00DF6BBE">
      <w:pPr>
        <w:pStyle w:val="subsection"/>
      </w:pPr>
      <w:r w:rsidRPr="00CF4E04">
        <w:tab/>
        <w:t>(</w:t>
      </w:r>
      <w:r w:rsidR="00215267" w:rsidRPr="00CF4E04">
        <w:t>9</w:t>
      </w:r>
      <w:r w:rsidRPr="00CF4E04">
        <w:t>)</w:t>
      </w:r>
      <w:r w:rsidRPr="00CF4E04">
        <w:tab/>
        <w:t xml:space="preserve">For the purposes of dividing the activity concentration of a nuclide by the solid clearance value for the nuclide in accordance with </w:t>
      </w:r>
      <w:r w:rsidR="0049126F" w:rsidRPr="00CF4E04">
        <w:t>paragraph (</w:t>
      </w:r>
      <w:r w:rsidR="00215267" w:rsidRPr="00CF4E04">
        <w:t>7</w:t>
      </w:r>
      <w:r w:rsidRPr="00CF4E04">
        <w:t>)(b), the activity concentration of the nuclide is taken to be nil if:</w:t>
      </w:r>
    </w:p>
    <w:p w14:paraId="78E57FEE" w14:textId="77777777" w:rsidR="00DF6BBE" w:rsidRPr="00CF4E04" w:rsidRDefault="00DF6BBE" w:rsidP="00DF6BBE">
      <w:pPr>
        <w:pStyle w:val="paragraph"/>
      </w:pPr>
      <w:r w:rsidRPr="00CF4E04">
        <w:tab/>
        <w:t>(a)</w:t>
      </w:r>
      <w:r w:rsidRPr="00CF4E04">
        <w:tab/>
        <w:t>all of the following apply:</w:t>
      </w:r>
    </w:p>
    <w:p w14:paraId="1769CFEA" w14:textId="77777777" w:rsidR="00DF6BBE" w:rsidRPr="00CF4E04" w:rsidRDefault="00DF6BBE" w:rsidP="00DF6BBE">
      <w:pPr>
        <w:pStyle w:val="paragraphsub"/>
      </w:pPr>
      <w:r w:rsidRPr="00CF4E04">
        <w:tab/>
        <w:t>(i)</w:t>
      </w:r>
      <w:r w:rsidRPr="00CF4E04">
        <w:tab/>
        <w:t xml:space="preserve">the solid clearance value is </w:t>
      </w:r>
      <w:r w:rsidR="00EB566E" w:rsidRPr="00CF4E04">
        <w:t>an activity concentration</w:t>
      </w:r>
      <w:r w:rsidR="00AC099A" w:rsidRPr="00CF4E04">
        <w:t xml:space="preserve"> level</w:t>
      </w:r>
      <w:r w:rsidR="00EB566E" w:rsidRPr="00CF4E04">
        <w:t xml:space="preserve"> </w:t>
      </w:r>
      <w:r w:rsidRPr="00CF4E04">
        <w:t xml:space="preserve">set out in Table I.2 in Schedule I to GSR </w:t>
      </w:r>
      <w:r w:rsidR="0049126F" w:rsidRPr="00CF4E04">
        <w:t>Part 3</w:t>
      </w:r>
      <w:r w:rsidRPr="00CF4E04">
        <w:t>;</w:t>
      </w:r>
    </w:p>
    <w:p w14:paraId="515A00A0" w14:textId="77777777" w:rsidR="00DF6BBE" w:rsidRPr="00CF4E04" w:rsidRDefault="00DF6BBE" w:rsidP="00DF6BBE">
      <w:pPr>
        <w:pStyle w:val="paragraphsub"/>
      </w:pPr>
      <w:r w:rsidRPr="00CF4E04">
        <w:tab/>
        <w:t>(ii)</w:t>
      </w:r>
      <w:r w:rsidRPr="00CF4E04">
        <w:tab/>
        <w:t>the nuclide is a progeny nuclide mentioned in note a to that table;</w:t>
      </w:r>
    </w:p>
    <w:p w14:paraId="04D6D1F2" w14:textId="77777777" w:rsidR="00DF6BBE" w:rsidRPr="00CF4E04" w:rsidRDefault="00DF6BBE" w:rsidP="00DF6BBE">
      <w:pPr>
        <w:pStyle w:val="paragraphsub"/>
      </w:pPr>
      <w:r w:rsidRPr="00CF4E04">
        <w:tab/>
        <w:t>(iii)</w:t>
      </w:r>
      <w:r w:rsidRPr="00CF4E04">
        <w:tab/>
        <w:t xml:space="preserve">the nuclide is </w:t>
      </w:r>
      <w:r w:rsidR="006A1DCC" w:rsidRPr="00CF4E04">
        <w:t xml:space="preserve">included </w:t>
      </w:r>
      <w:r w:rsidR="00EB566E" w:rsidRPr="00CF4E04">
        <w:t>in</w:t>
      </w:r>
      <w:r w:rsidRPr="00CF4E04">
        <w:t xml:space="preserve"> secular equilibrium with the corresponding parent nuclide mentioned in that note; or</w:t>
      </w:r>
    </w:p>
    <w:p w14:paraId="4040DFE5" w14:textId="77777777" w:rsidR="00DF6BBE" w:rsidRPr="00CF4E04" w:rsidRDefault="00DF6BBE" w:rsidP="00DF6BBE">
      <w:pPr>
        <w:pStyle w:val="paragraph"/>
      </w:pPr>
      <w:r w:rsidRPr="00CF4E04">
        <w:tab/>
        <w:t>(b)</w:t>
      </w:r>
      <w:r w:rsidRPr="00CF4E04">
        <w:tab/>
        <w:t>all of the following apply:</w:t>
      </w:r>
    </w:p>
    <w:p w14:paraId="13DA29C3" w14:textId="77777777" w:rsidR="00DF6BBE" w:rsidRPr="00CF4E04" w:rsidRDefault="00DF6BBE" w:rsidP="00DF6BBE">
      <w:pPr>
        <w:pStyle w:val="paragraphsub"/>
      </w:pPr>
      <w:r w:rsidRPr="00CF4E04">
        <w:tab/>
        <w:t>(i)</w:t>
      </w:r>
      <w:r w:rsidRPr="00CF4E04">
        <w:tab/>
        <w:t xml:space="preserve">the solid clearance value is </w:t>
      </w:r>
      <w:r w:rsidR="00EB566E" w:rsidRPr="00CF4E04">
        <w:t xml:space="preserve">an activity concentration </w:t>
      </w:r>
      <w:r w:rsidR="00AC099A" w:rsidRPr="00CF4E04">
        <w:t xml:space="preserve">level </w:t>
      </w:r>
      <w:r w:rsidR="00EB566E" w:rsidRPr="00CF4E04">
        <w:t xml:space="preserve">set out in Table I.1 in Schedule I to GSR </w:t>
      </w:r>
      <w:r w:rsidR="0049126F" w:rsidRPr="00CF4E04">
        <w:t>Part 3</w:t>
      </w:r>
      <w:r w:rsidR="00EB566E" w:rsidRPr="00CF4E04">
        <w:t>;</w:t>
      </w:r>
    </w:p>
    <w:p w14:paraId="3380E1F3" w14:textId="77777777" w:rsidR="00EB566E" w:rsidRPr="00CF4E04" w:rsidRDefault="00EB566E" w:rsidP="00DF6BBE">
      <w:pPr>
        <w:pStyle w:val="paragraphsub"/>
      </w:pPr>
      <w:r w:rsidRPr="00CF4E04">
        <w:tab/>
        <w:t>(ii)</w:t>
      </w:r>
      <w:r w:rsidRPr="00CF4E04">
        <w:tab/>
        <w:t>the nuclide is a progeny nuclide mentioned in note b to that table;</w:t>
      </w:r>
    </w:p>
    <w:p w14:paraId="72690562" w14:textId="77777777" w:rsidR="00EB566E" w:rsidRPr="00CF4E04" w:rsidRDefault="00EB566E" w:rsidP="00DF6BBE">
      <w:pPr>
        <w:pStyle w:val="paragraphsub"/>
      </w:pPr>
      <w:r w:rsidRPr="00CF4E04">
        <w:tab/>
        <w:t>(iii)</w:t>
      </w:r>
      <w:r w:rsidRPr="00CF4E04">
        <w:tab/>
        <w:t xml:space="preserve">the nuclide is </w:t>
      </w:r>
      <w:r w:rsidR="006A1DCC" w:rsidRPr="00CF4E04">
        <w:t xml:space="preserve">included </w:t>
      </w:r>
      <w:r w:rsidRPr="00CF4E04">
        <w:t>in secular equilibrium with the corresponding parent nuclide mentioned in that note.</w:t>
      </w:r>
    </w:p>
    <w:p w14:paraId="42008633" w14:textId="77777777" w:rsidR="00783BF1" w:rsidRPr="00CF4E04" w:rsidRDefault="008C7195" w:rsidP="00783BF1">
      <w:pPr>
        <w:pStyle w:val="ItemHead"/>
      </w:pPr>
      <w:r w:rsidRPr="00CF4E04">
        <w:t>43</w:t>
      </w:r>
      <w:r w:rsidR="00783BF1" w:rsidRPr="00CF4E04">
        <w:t xml:space="preserve">  In the appropriate position in </w:t>
      </w:r>
      <w:r w:rsidR="00B23B05" w:rsidRPr="00CF4E04">
        <w:t>Part 8</w:t>
      </w:r>
    </w:p>
    <w:p w14:paraId="29292746" w14:textId="77777777" w:rsidR="00783BF1" w:rsidRPr="00CF4E04" w:rsidRDefault="00783BF1" w:rsidP="00783BF1">
      <w:pPr>
        <w:pStyle w:val="Item"/>
      </w:pPr>
      <w:r w:rsidRPr="00CF4E04">
        <w:t>Insert:</w:t>
      </w:r>
    </w:p>
    <w:p w14:paraId="2AD46C9E" w14:textId="77777777" w:rsidR="00783BF1" w:rsidRPr="00CF4E04" w:rsidRDefault="00B23B05" w:rsidP="00783BF1">
      <w:pPr>
        <w:pStyle w:val="ActHead3"/>
      </w:pPr>
      <w:bookmarkStart w:id="12" w:name="_Toc99628131"/>
      <w:r w:rsidRPr="0084697B">
        <w:rPr>
          <w:rStyle w:val="CharDivNo"/>
        </w:rPr>
        <w:lastRenderedPageBreak/>
        <w:t>Division 4</w:t>
      </w:r>
      <w:r w:rsidR="00783BF1" w:rsidRPr="00CF4E04">
        <w:t>—</w:t>
      </w:r>
      <w:r w:rsidR="008A435C" w:rsidRPr="0084697B">
        <w:rPr>
          <w:rStyle w:val="CharDivText"/>
        </w:rPr>
        <w:t xml:space="preserve">Australian Radiation Protection and Nuclear Safety Amendment (2022 Measures No. 1) </w:t>
      </w:r>
      <w:r w:rsidR="003B6DE9" w:rsidRPr="0084697B">
        <w:rPr>
          <w:rStyle w:val="CharDivText"/>
        </w:rPr>
        <w:t>Regulations 2</w:t>
      </w:r>
      <w:r w:rsidR="008A435C" w:rsidRPr="0084697B">
        <w:rPr>
          <w:rStyle w:val="CharDivText"/>
        </w:rPr>
        <w:t>022</w:t>
      </w:r>
      <w:bookmarkEnd w:id="12"/>
    </w:p>
    <w:p w14:paraId="3257A81D" w14:textId="77777777" w:rsidR="00EB7B04" w:rsidRPr="00CF4E04" w:rsidRDefault="00783BF1" w:rsidP="00783BF1">
      <w:pPr>
        <w:pStyle w:val="ActHead5"/>
      </w:pPr>
      <w:bookmarkStart w:id="13" w:name="_Toc99628132"/>
      <w:r w:rsidRPr="0084697B">
        <w:rPr>
          <w:rStyle w:val="CharSectno"/>
        </w:rPr>
        <w:t>92</w:t>
      </w:r>
      <w:r w:rsidRPr="00CF4E04">
        <w:t xml:space="preserve">  </w:t>
      </w:r>
      <w:r w:rsidR="00EB7B04" w:rsidRPr="00CF4E04">
        <w:t>Definitions</w:t>
      </w:r>
      <w:bookmarkEnd w:id="13"/>
    </w:p>
    <w:p w14:paraId="67D93BA5" w14:textId="77777777" w:rsidR="00EB7B04" w:rsidRPr="00CF4E04" w:rsidRDefault="00EB7B04" w:rsidP="00EB7B04">
      <w:pPr>
        <w:pStyle w:val="subsection"/>
      </w:pPr>
      <w:r w:rsidRPr="00CF4E04">
        <w:tab/>
      </w:r>
      <w:r w:rsidRPr="00CF4E04">
        <w:tab/>
        <w:t>In this Division:</w:t>
      </w:r>
    </w:p>
    <w:p w14:paraId="13D2245A" w14:textId="77777777" w:rsidR="00EB7B04" w:rsidRPr="00CF4E04" w:rsidRDefault="00EB7B04" w:rsidP="00EB7B04">
      <w:pPr>
        <w:pStyle w:val="Definition"/>
      </w:pPr>
      <w:r w:rsidRPr="00CF4E04">
        <w:rPr>
          <w:b/>
          <w:i/>
        </w:rPr>
        <w:t>amending instrument</w:t>
      </w:r>
      <w:r w:rsidRPr="00CF4E04">
        <w:t xml:space="preserve"> means the </w:t>
      </w:r>
      <w:r w:rsidR="008A435C" w:rsidRPr="00CF4E04">
        <w:rPr>
          <w:i/>
        </w:rPr>
        <w:t xml:space="preserve">Australian Radiation Protection and Nuclear Safety Amendment (2022 Measures No. 1) </w:t>
      </w:r>
      <w:r w:rsidR="003B6DE9" w:rsidRPr="00CF4E04">
        <w:rPr>
          <w:i/>
        </w:rPr>
        <w:t>Regulations 2</w:t>
      </w:r>
      <w:r w:rsidR="008A435C" w:rsidRPr="00CF4E04">
        <w:rPr>
          <w:i/>
        </w:rPr>
        <w:t>022</w:t>
      </w:r>
      <w:r w:rsidRPr="00CF4E04">
        <w:t>.</w:t>
      </w:r>
    </w:p>
    <w:p w14:paraId="7FC94A63" w14:textId="77777777" w:rsidR="00EB7B04" w:rsidRPr="00CF4E04" w:rsidRDefault="00EB7B04" w:rsidP="00EB7B04">
      <w:pPr>
        <w:pStyle w:val="Definition"/>
      </w:pPr>
      <w:r w:rsidRPr="00CF4E04">
        <w:rPr>
          <w:b/>
          <w:i/>
        </w:rPr>
        <w:t>commencement time</w:t>
      </w:r>
      <w:r w:rsidRPr="00CF4E04">
        <w:rPr>
          <w:b/>
        </w:rPr>
        <w:t xml:space="preserve"> </w:t>
      </w:r>
      <w:r w:rsidRPr="00CF4E04">
        <w:t>means the commencement of the amending instrument.</w:t>
      </w:r>
    </w:p>
    <w:p w14:paraId="6837B2EC" w14:textId="77777777" w:rsidR="00683D89" w:rsidRPr="00CF4E04" w:rsidRDefault="00683D89" w:rsidP="001601C2">
      <w:pPr>
        <w:pStyle w:val="ActHead5"/>
      </w:pPr>
      <w:bookmarkStart w:id="14" w:name="_Toc99628133"/>
      <w:r w:rsidRPr="0084697B">
        <w:rPr>
          <w:rStyle w:val="CharSectno"/>
        </w:rPr>
        <w:t>93</w:t>
      </w:r>
      <w:r w:rsidRPr="00CF4E04">
        <w:t xml:space="preserve">  Exempt</w:t>
      </w:r>
      <w:r w:rsidR="00935613" w:rsidRPr="00CF4E04">
        <w:t xml:space="preserve"> dealings with controlled material or controlled apparatus</w:t>
      </w:r>
      <w:bookmarkEnd w:id="14"/>
    </w:p>
    <w:p w14:paraId="3BD7E46C" w14:textId="77777777" w:rsidR="00683D89" w:rsidRPr="00CF4E04" w:rsidRDefault="00683D89" w:rsidP="00683D89">
      <w:pPr>
        <w:pStyle w:val="subsection"/>
      </w:pPr>
      <w:r w:rsidRPr="00CF4E04">
        <w:tab/>
      </w:r>
      <w:r w:rsidR="00B30208" w:rsidRPr="00CF4E04">
        <w:t>(1)</w:t>
      </w:r>
      <w:r w:rsidRPr="00CF4E04">
        <w:tab/>
      </w:r>
      <w:r w:rsidR="00B30208" w:rsidRPr="00CF4E04">
        <w:t xml:space="preserve">A declaration that was in force under </w:t>
      </w:r>
      <w:r w:rsidR="0049126F" w:rsidRPr="00CF4E04">
        <w:t>subsection 4</w:t>
      </w:r>
      <w:r w:rsidR="00B30208" w:rsidRPr="00CF4E04">
        <w:t xml:space="preserve">4(2) immediately before the commencement time has effect, after the commencement time, as if it had been made under </w:t>
      </w:r>
      <w:r w:rsidR="0049126F" w:rsidRPr="00CF4E04">
        <w:t>subsection 4</w:t>
      </w:r>
      <w:r w:rsidR="00B30208" w:rsidRPr="00CF4E04">
        <w:t>4(2) as amended by the amending instrument.</w:t>
      </w:r>
    </w:p>
    <w:p w14:paraId="6462D128" w14:textId="77777777" w:rsidR="00B30208" w:rsidRPr="00CF4E04" w:rsidRDefault="00B30208" w:rsidP="00B30208">
      <w:pPr>
        <w:pStyle w:val="subsection"/>
      </w:pPr>
      <w:r w:rsidRPr="00CF4E04">
        <w:tab/>
        <w:t>(2)</w:t>
      </w:r>
      <w:r w:rsidRPr="00CF4E04">
        <w:tab/>
        <w:t xml:space="preserve">A declaration that was in force under </w:t>
      </w:r>
      <w:r w:rsidR="0049126F" w:rsidRPr="00CF4E04">
        <w:t>subsection 4</w:t>
      </w:r>
      <w:r w:rsidRPr="00CF4E04">
        <w:t xml:space="preserve">4(4) immediately before the commencement time has effect, after the commencement time, as if it had been made under </w:t>
      </w:r>
      <w:r w:rsidR="0049126F" w:rsidRPr="00CF4E04">
        <w:t>subsection 4</w:t>
      </w:r>
      <w:r w:rsidRPr="00CF4E04">
        <w:t>4(4) as amended by the amending instrument.</w:t>
      </w:r>
    </w:p>
    <w:p w14:paraId="3DFEE823" w14:textId="77777777" w:rsidR="001601C2" w:rsidRPr="00CF4E04" w:rsidRDefault="00683D89" w:rsidP="001601C2">
      <w:pPr>
        <w:pStyle w:val="ActHead5"/>
      </w:pPr>
      <w:bookmarkStart w:id="15" w:name="_Toc99628134"/>
      <w:r w:rsidRPr="0084697B">
        <w:rPr>
          <w:rStyle w:val="CharSectno"/>
        </w:rPr>
        <w:t>94</w:t>
      </w:r>
      <w:r w:rsidR="001601C2" w:rsidRPr="00CF4E04">
        <w:t xml:space="preserve">  Fees</w:t>
      </w:r>
      <w:bookmarkEnd w:id="15"/>
    </w:p>
    <w:p w14:paraId="771C632C" w14:textId="77777777" w:rsidR="00682794" w:rsidRPr="00CF4E04" w:rsidRDefault="00682794" w:rsidP="001601C2">
      <w:pPr>
        <w:pStyle w:val="subsection"/>
      </w:pPr>
      <w:r w:rsidRPr="00CF4E04">
        <w:tab/>
        <w:t>(1)</w:t>
      </w:r>
      <w:r w:rsidRPr="00CF4E04">
        <w:tab/>
        <w:t xml:space="preserve">The amendments of </w:t>
      </w:r>
      <w:r w:rsidR="00642F82" w:rsidRPr="00CF4E04">
        <w:t>section 4</w:t>
      </w:r>
      <w:r w:rsidRPr="00CF4E04">
        <w:t>9 made by the amending instrument apply in relation to applications made after the commencement time.</w:t>
      </w:r>
    </w:p>
    <w:p w14:paraId="171594BC" w14:textId="77777777" w:rsidR="001601C2" w:rsidRPr="00CF4E04" w:rsidRDefault="001601C2" w:rsidP="001601C2">
      <w:pPr>
        <w:pStyle w:val="subsection"/>
      </w:pPr>
      <w:r w:rsidRPr="00CF4E04">
        <w:tab/>
      </w:r>
      <w:r w:rsidR="00EF4691" w:rsidRPr="00CF4E04">
        <w:t>(</w:t>
      </w:r>
      <w:r w:rsidR="00682794" w:rsidRPr="00CF4E04">
        <w:t>2</w:t>
      </w:r>
      <w:r w:rsidR="00EF4691" w:rsidRPr="00CF4E04">
        <w:t>)</w:t>
      </w:r>
      <w:r w:rsidRPr="00CF4E04">
        <w:tab/>
      </w:r>
      <w:r w:rsidR="0049126F" w:rsidRPr="00CF4E04">
        <w:t>Section 5</w:t>
      </w:r>
      <w:r w:rsidRPr="00CF4E04">
        <w:t>0</w:t>
      </w:r>
      <w:r w:rsidR="00EF4691" w:rsidRPr="00CF4E04">
        <w:t xml:space="preserve">, as amended by </w:t>
      </w:r>
      <w:r w:rsidRPr="00CF4E04">
        <w:t>the amending instrument</w:t>
      </w:r>
      <w:r w:rsidR="00EF4691" w:rsidRPr="00CF4E04">
        <w:t>, applies</w:t>
      </w:r>
      <w:r w:rsidRPr="00CF4E04">
        <w:t xml:space="preserve"> in relation to applications made after the commencement time.</w:t>
      </w:r>
    </w:p>
    <w:p w14:paraId="31F7AC9E" w14:textId="77777777" w:rsidR="00EE4965" w:rsidRPr="00CF4E04" w:rsidRDefault="00EE4965" w:rsidP="00EE4965">
      <w:pPr>
        <w:pStyle w:val="subsection"/>
      </w:pPr>
      <w:bookmarkStart w:id="16" w:name="_Toc99628135"/>
      <w:r w:rsidRPr="00CF4E04">
        <w:tab/>
        <w:t>(3)</w:t>
      </w:r>
      <w:r w:rsidRPr="00CF4E04">
        <w:tab/>
        <w:t>Despite the amendments of section 50 by the amending instrument, that section continues to apply, in relation to applications made before the commencement time, as if:</w:t>
      </w:r>
    </w:p>
    <w:p w14:paraId="05A5E558" w14:textId="77777777" w:rsidR="00EE4965" w:rsidRPr="00CF4E04" w:rsidRDefault="00EE4965" w:rsidP="00EE4965">
      <w:pPr>
        <w:pStyle w:val="paragraph"/>
      </w:pPr>
      <w:r w:rsidRPr="00CF4E04">
        <w:tab/>
        <w:t>(a)</w:t>
      </w:r>
      <w:r w:rsidRPr="00CF4E04">
        <w:tab/>
        <w:t>those amendments had not been made; and</w:t>
      </w:r>
    </w:p>
    <w:p w14:paraId="485C206F" w14:textId="77777777" w:rsidR="00EE4965" w:rsidRPr="00CF4E04" w:rsidRDefault="00EE4965" w:rsidP="00EE4965">
      <w:pPr>
        <w:pStyle w:val="paragraph"/>
      </w:pPr>
      <w:r w:rsidRPr="00CF4E04">
        <w:tab/>
        <w:t>(b)</w:t>
      </w:r>
      <w:r w:rsidRPr="00CF4E04">
        <w:tab/>
        <w:t>the fee for each hour, or part of an hour, spent after the commencement time in assessing the application were $171.</w:t>
      </w:r>
    </w:p>
    <w:p w14:paraId="11551666" w14:textId="77777777" w:rsidR="00E9598A" w:rsidRPr="00CF4E04" w:rsidRDefault="00683D89" w:rsidP="00783BF1">
      <w:pPr>
        <w:pStyle w:val="ActHead5"/>
      </w:pPr>
      <w:r w:rsidRPr="0084697B">
        <w:rPr>
          <w:rStyle w:val="CharSectno"/>
        </w:rPr>
        <w:t>95</w:t>
      </w:r>
      <w:r w:rsidR="00EB7B04" w:rsidRPr="00CF4E04">
        <w:t xml:space="preserve">  </w:t>
      </w:r>
      <w:r w:rsidR="00E9598A" w:rsidRPr="00CF4E04">
        <w:t>Licence applications</w:t>
      </w:r>
      <w:bookmarkEnd w:id="16"/>
    </w:p>
    <w:p w14:paraId="0848F2E4" w14:textId="77777777" w:rsidR="00E9598A" w:rsidRPr="00CF4E04" w:rsidRDefault="00E9598A" w:rsidP="00E9598A">
      <w:pPr>
        <w:pStyle w:val="subsection"/>
      </w:pPr>
      <w:r w:rsidRPr="00CF4E04">
        <w:tab/>
      </w:r>
      <w:r w:rsidRPr="00CF4E04">
        <w:tab/>
        <w:t xml:space="preserve">The amendments of </w:t>
      </w:r>
      <w:r w:rsidR="0049126F" w:rsidRPr="00CF4E04">
        <w:t>sections 5</w:t>
      </w:r>
      <w:r w:rsidRPr="00CF4E04">
        <w:t>3 and 54 made by the amending instrument apply in relation to applications for licences made after the commencement time.</w:t>
      </w:r>
    </w:p>
    <w:p w14:paraId="719AD244" w14:textId="77777777" w:rsidR="00783BF1" w:rsidRPr="00CF4E04" w:rsidRDefault="00683D89" w:rsidP="00783BF1">
      <w:pPr>
        <w:pStyle w:val="ActHead5"/>
      </w:pPr>
      <w:bookmarkStart w:id="17" w:name="_Toc99628136"/>
      <w:r w:rsidRPr="0084697B">
        <w:rPr>
          <w:rStyle w:val="CharSectno"/>
        </w:rPr>
        <w:t>96</w:t>
      </w:r>
      <w:r w:rsidR="00E9598A" w:rsidRPr="00CF4E04">
        <w:t xml:space="preserve">  </w:t>
      </w:r>
      <w:r w:rsidR="00783BF1" w:rsidRPr="00CF4E04">
        <w:t>Licence conditions</w:t>
      </w:r>
      <w:bookmarkEnd w:id="17"/>
    </w:p>
    <w:p w14:paraId="5B8178CE" w14:textId="77777777" w:rsidR="001717F8" w:rsidRPr="00CF4E04" w:rsidRDefault="001717F8" w:rsidP="001717F8">
      <w:pPr>
        <w:pStyle w:val="SubsectionHead"/>
      </w:pPr>
      <w:r w:rsidRPr="00CF4E04">
        <w:t>Preventing and minimising human error and organisational failures</w:t>
      </w:r>
    </w:p>
    <w:p w14:paraId="11046BA7" w14:textId="77777777" w:rsidR="001717F8" w:rsidRPr="00CF4E04" w:rsidRDefault="001717F8" w:rsidP="001717F8">
      <w:pPr>
        <w:pStyle w:val="subsection"/>
      </w:pPr>
      <w:r w:rsidRPr="00CF4E04">
        <w:tab/>
        <w:t>(1)</w:t>
      </w:r>
      <w:r w:rsidRPr="00CF4E04">
        <w:tab/>
      </w:r>
      <w:r w:rsidR="0049126F" w:rsidRPr="00CF4E04">
        <w:t>Section 5</w:t>
      </w:r>
      <w:r w:rsidRPr="00CF4E04">
        <w:t>7A, as inserted by the amending instrument, applies in relation to licences issued before, at or after the commencement time.</w:t>
      </w:r>
    </w:p>
    <w:p w14:paraId="71A29FF6" w14:textId="77777777" w:rsidR="001717F8" w:rsidRPr="00CF4E04" w:rsidRDefault="001717F8" w:rsidP="001717F8">
      <w:pPr>
        <w:pStyle w:val="SubsectionHead"/>
      </w:pPr>
      <w:r w:rsidRPr="00CF4E04">
        <w:t>Preventing, controlling and minimising incidents</w:t>
      </w:r>
    </w:p>
    <w:p w14:paraId="06DF8659" w14:textId="77777777" w:rsidR="00783BF1" w:rsidRPr="00CF4E04" w:rsidRDefault="00783BF1" w:rsidP="00783BF1">
      <w:pPr>
        <w:pStyle w:val="subsection"/>
      </w:pPr>
      <w:r w:rsidRPr="00CF4E04">
        <w:tab/>
      </w:r>
      <w:r w:rsidR="00BA6EA8" w:rsidRPr="00CF4E04">
        <w:t>(</w:t>
      </w:r>
      <w:r w:rsidR="001717F8" w:rsidRPr="00CF4E04">
        <w:t>2</w:t>
      </w:r>
      <w:r w:rsidR="00BA6EA8" w:rsidRPr="00CF4E04">
        <w:t>)</w:t>
      </w:r>
      <w:r w:rsidRPr="00CF4E04">
        <w:tab/>
        <w:t xml:space="preserve">The amendments of </w:t>
      </w:r>
      <w:r w:rsidR="00C614AD" w:rsidRPr="00CF4E04">
        <w:t>section 5</w:t>
      </w:r>
      <w:r w:rsidRPr="00CF4E04">
        <w:t xml:space="preserve">8 made by the </w:t>
      </w:r>
      <w:r w:rsidR="00EB7B04" w:rsidRPr="00CF4E04">
        <w:t xml:space="preserve">amending instrument </w:t>
      </w:r>
      <w:r w:rsidRPr="00CF4E04">
        <w:t>apply in relation to:</w:t>
      </w:r>
    </w:p>
    <w:p w14:paraId="4831C00D" w14:textId="77777777" w:rsidR="00783BF1" w:rsidRPr="00CF4E04" w:rsidRDefault="00783BF1" w:rsidP="00783BF1">
      <w:pPr>
        <w:pStyle w:val="paragraph"/>
      </w:pPr>
      <w:r w:rsidRPr="00CF4E04">
        <w:tab/>
        <w:t>(a)</w:t>
      </w:r>
      <w:r w:rsidRPr="00CF4E04">
        <w:tab/>
        <w:t xml:space="preserve">licences issued before, at or after the commencement </w:t>
      </w:r>
      <w:r w:rsidR="00EB7B04" w:rsidRPr="00CF4E04">
        <w:t>time</w:t>
      </w:r>
      <w:r w:rsidRPr="00CF4E04">
        <w:t>; and</w:t>
      </w:r>
    </w:p>
    <w:p w14:paraId="37A183A5" w14:textId="77777777" w:rsidR="00783BF1" w:rsidRPr="00CF4E04" w:rsidRDefault="00783BF1" w:rsidP="00783BF1">
      <w:pPr>
        <w:pStyle w:val="paragraph"/>
      </w:pPr>
      <w:r w:rsidRPr="00CF4E04">
        <w:lastRenderedPageBreak/>
        <w:tab/>
        <w:t>(b)</w:t>
      </w:r>
      <w:r w:rsidRPr="00CF4E04">
        <w:tab/>
        <w:t xml:space="preserve">incidents and notifiable incidents that happen after </w:t>
      </w:r>
      <w:r w:rsidR="00EB7B04" w:rsidRPr="00CF4E04">
        <w:t>the commencement time</w:t>
      </w:r>
      <w:r w:rsidRPr="00CF4E04">
        <w:t>.</w:t>
      </w:r>
    </w:p>
    <w:p w14:paraId="4A443160" w14:textId="77777777" w:rsidR="001717F8" w:rsidRPr="00CF4E04" w:rsidRDefault="001717F8" w:rsidP="001717F8">
      <w:pPr>
        <w:pStyle w:val="SubsectionHead"/>
      </w:pPr>
      <w:r w:rsidRPr="00CF4E04">
        <w:t>Managing safety</w:t>
      </w:r>
    </w:p>
    <w:p w14:paraId="352700F3" w14:textId="77777777" w:rsidR="008A435C" w:rsidRPr="00CF4E04" w:rsidRDefault="008A435C" w:rsidP="008A435C">
      <w:pPr>
        <w:pStyle w:val="subsection"/>
      </w:pPr>
      <w:r w:rsidRPr="00CF4E04">
        <w:tab/>
        <w:t>(3)</w:t>
      </w:r>
      <w:r w:rsidRPr="00CF4E04">
        <w:tab/>
        <w:t>Paragraphs 60(1)(aa) and (d)</w:t>
      </w:r>
      <w:r w:rsidR="006F4E75" w:rsidRPr="00CF4E04">
        <w:t xml:space="preserve"> and (2)(</w:t>
      </w:r>
      <w:r w:rsidR="00113ECF" w:rsidRPr="00CF4E04">
        <w:t>aa</w:t>
      </w:r>
      <w:r w:rsidR="006F4E75" w:rsidRPr="00CF4E04">
        <w:t>)</w:t>
      </w:r>
      <w:r w:rsidRPr="00CF4E04">
        <w:t>, as inserted by the amending instrument</w:t>
      </w:r>
      <w:r w:rsidR="00A14C2B" w:rsidRPr="00CF4E04">
        <w:t>,</w:t>
      </w:r>
      <w:r w:rsidRPr="00CF4E04">
        <w:t xml:space="preserve"> apply in relation to licences granted after the commencement time.</w:t>
      </w:r>
    </w:p>
    <w:p w14:paraId="345C3249" w14:textId="77777777" w:rsidR="008A435C" w:rsidRPr="00CF4E04" w:rsidRDefault="008A435C" w:rsidP="008A435C">
      <w:pPr>
        <w:pStyle w:val="subsection"/>
      </w:pPr>
      <w:r w:rsidRPr="00CF4E04">
        <w:tab/>
        <w:t>(4)</w:t>
      </w:r>
      <w:r w:rsidRPr="00CF4E04">
        <w:tab/>
        <w:t xml:space="preserve">In relation to licences granted before the commencement time, those paragraphs apply from the first time after the commencement time that the holder of the licence is required under </w:t>
      </w:r>
      <w:r w:rsidR="000F00A3" w:rsidRPr="00CF4E04">
        <w:t>section 6</w:t>
      </w:r>
      <w:r w:rsidRPr="00CF4E04">
        <w:t xml:space="preserve">1 to review and update the plans and arrangements, and safety analysis reports, mentioned in </w:t>
      </w:r>
      <w:r w:rsidR="000F00A3" w:rsidRPr="00CF4E04">
        <w:t>section 6</w:t>
      </w:r>
      <w:r w:rsidRPr="00CF4E04">
        <w:t>0 in relation to the licence.</w:t>
      </w:r>
    </w:p>
    <w:p w14:paraId="5001E359" w14:textId="77777777" w:rsidR="001717F8" w:rsidRPr="00CF4E04" w:rsidRDefault="001717F8" w:rsidP="001717F8">
      <w:pPr>
        <w:pStyle w:val="SubsectionHead"/>
      </w:pPr>
      <w:r w:rsidRPr="00CF4E04">
        <w:t xml:space="preserve">Review and </w:t>
      </w:r>
      <w:r w:rsidR="00DB507C" w:rsidRPr="00CF4E04">
        <w:t>disposal</w:t>
      </w:r>
      <w:r w:rsidRPr="00CF4E04">
        <w:t xml:space="preserve"> requirements</w:t>
      </w:r>
    </w:p>
    <w:p w14:paraId="737BBC73" w14:textId="77777777" w:rsidR="00951A7A" w:rsidRPr="00CF4E04" w:rsidRDefault="00E85430" w:rsidP="00E85430">
      <w:pPr>
        <w:pStyle w:val="subsection"/>
      </w:pPr>
      <w:r w:rsidRPr="00CF4E04">
        <w:tab/>
        <w:t>(5)</w:t>
      </w:r>
      <w:r w:rsidRPr="00CF4E04">
        <w:tab/>
        <w:t>The amendments of section 65 made by the amending instrument apply in relation to licences issued before, at or after the commencement time.</w:t>
      </w:r>
    </w:p>
    <w:sectPr w:rsidR="00951A7A" w:rsidRPr="00CF4E04" w:rsidSect="0091275C">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9D53" w14:textId="77777777" w:rsidR="00CF4E04" w:rsidRDefault="00CF4E04" w:rsidP="0048364F">
      <w:pPr>
        <w:spacing w:line="240" w:lineRule="auto"/>
      </w:pPr>
      <w:r>
        <w:separator/>
      </w:r>
    </w:p>
  </w:endnote>
  <w:endnote w:type="continuationSeparator" w:id="0">
    <w:p w14:paraId="4493F9D8" w14:textId="77777777" w:rsidR="00CF4E04" w:rsidRDefault="00CF4E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17DF" w14:textId="77777777" w:rsidR="00CF4E04" w:rsidRPr="0091275C" w:rsidRDefault="0091275C" w:rsidP="0091275C">
    <w:pPr>
      <w:pStyle w:val="Footer"/>
      <w:tabs>
        <w:tab w:val="clear" w:pos="4153"/>
        <w:tab w:val="clear" w:pos="8306"/>
        <w:tab w:val="center" w:pos="4150"/>
        <w:tab w:val="right" w:pos="8307"/>
      </w:tabs>
      <w:spacing w:before="120"/>
      <w:rPr>
        <w:i/>
        <w:sz w:val="18"/>
      </w:rPr>
    </w:pPr>
    <w:r w:rsidRPr="0091275C">
      <w:rPr>
        <w:i/>
        <w:sz w:val="18"/>
      </w:rPr>
      <w:t>OPC65458 -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ABB1" w14:textId="77777777" w:rsidR="00CF4E04" w:rsidRDefault="00CF4E04" w:rsidP="00E97334"/>
  <w:p w14:paraId="545D87FB" w14:textId="77777777" w:rsidR="00CF4E04" w:rsidRPr="0091275C" w:rsidRDefault="0091275C" w:rsidP="0091275C">
    <w:pPr>
      <w:rPr>
        <w:rFonts w:cs="Times New Roman"/>
        <w:i/>
        <w:sz w:val="18"/>
      </w:rPr>
    </w:pPr>
    <w:r w:rsidRPr="0091275C">
      <w:rPr>
        <w:rFonts w:cs="Times New Roman"/>
        <w:i/>
        <w:sz w:val="18"/>
      </w:rPr>
      <w:t>OPC65458 -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DCC9" w14:textId="77777777" w:rsidR="00CF4E04" w:rsidRPr="0091275C" w:rsidRDefault="0091275C" w:rsidP="0091275C">
    <w:pPr>
      <w:pStyle w:val="Footer"/>
      <w:tabs>
        <w:tab w:val="clear" w:pos="4153"/>
        <w:tab w:val="clear" w:pos="8306"/>
        <w:tab w:val="center" w:pos="4150"/>
        <w:tab w:val="right" w:pos="8307"/>
      </w:tabs>
      <w:spacing w:before="120"/>
      <w:rPr>
        <w:i/>
        <w:sz w:val="18"/>
      </w:rPr>
    </w:pPr>
    <w:r w:rsidRPr="0091275C">
      <w:rPr>
        <w:i/>
        <w:sz w:val="18"/>
      </w:rPr>
      <w:t>OPC65458 -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23A2" w14:textId="77777777" w:rsidR="00CF4E04" w:rsidRPr="00E33C1C" w:rsidRDefault="00CF4E0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4E04" w14:paraId="0C5E78CF" w14:textId="77777777" w:rsidTr="0084697B">
      <w:tc>
        <w:tcPr>
          <w:tcW w:w="709" w:type="dxa"/>
          <w:tcBorders>
            <w:top w:val="nil"/>
            <w:left w:val="nil"/>
            <w:bottom w:val="nil"/>
            <w:right w:val="nil"/>
          </w:tcBorders>
        </w:tcPr>
        <w:p w14:paraId="6CC3F4D6" w14:textId="77777777" w:rsidR="00CF4E04" w:rsidRDefault="00CF4E04" w:rsidP="00320D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494A0AA" w14:textId="0CA5527D" w:rsidR="00CF4E04" w:rsidRDefault="00CF4E04" w:rsidP="00320D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FE9">
            <w:rPr>
              <w:i/>
              <w:sz w:val="18"/>
            </w:rPr>
            <w:t>Australian Radiation Protection and Nuclear Safety Amendment (2022 Measures No. 1) Regulations 2022</w:t>
          </w:r>
          <w:r w:rsidRPr="007A1328">
            <w:rPr>
              <w:i/>
              <w:sz w:val="18"/>
            </w:rPr>
            <w:fldChar w:fldCharType="end"/>
          </w:r>
        </w:p>
      </w:tc>
      <w:tc>
        <w:tcPr>
          <w:tcW w:w="1384" w:type="dxa"/>
          <w:tcBorders>
            <w:top w:val="nil"/>
            <w:left w:val="nil"/>
            <w:bottom w:val="nil"/>
            <w:right w:val="nil"/>
          </w:tcBorders>
        </w:tcPr>
        <w:p w14:paraId="44E47B64" w14:textId="77777777" w:rsidR="00CF4E04" w:rsidRDefault="00CF4E04" w:rsidP="00320D5E">
          <w:pPr>
            <w:spacing w:line="0" w:lineRule="atLeast"/>
            <w:jc w:val="right"/>
            <w:rPr>
              <w:sz w:val="18"/>
            </w:rPr>
          </w:pPr>
        </w:p>
      </w:tc>
    </w:tr>
  </w:tbl>
  <w:p w14:paraId="1F4D49A2" w14:textId="77777777" w:rsidR="00CF4E04" w:rsidRPr="0091275C" w:rsidRDefault="0091275C" w:rsidP="0091275C">
    <w:pPr>
      <w:rPr>
        <w:rFonts w:cs="Times New Roman"/>
        <w:i/>
        <w:sz w:val="18"/>
      </w:rPr>
    </w:pPr>
    <w:r w:rsidRPr="0091275C">
      <w:rPr>
        <w:rFonts w:cs="Times New Roman"/>
        <w:i/>
        <w:sz w:val="18"/>
      </w:rPr>
      <w:t>OPC65458 -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BBFD" w14:textId="77777777" w:rsidR="00CF4E04" w:rsidRPr="00E33C1C" w:rsidRDefault="00CF4E0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F4E04" w14:paraId="237B3AE7" w14:textId="77777777" w:rsidTr="0084697B">
      <w:tc>
        <w:tcPr>
          <w:tcW w:w="1383" w:type="dxa"/>
          <w:tcBorders>
            <w:top w:val="nil"/>
            <w:left w:val="nil"/>
            <w:bottom w:val="nil"/>
            <w:right w:val="nil"/>
          </w:tcBorders>
        </w:tcPr>
        <w:p w14:paraId="3E4883FF" w14:textId="77777777" w:rsidR="00CF4E04" w:rsidRDefault="00CF4E04" w:rsidP="00320D5E">
          <w:pPr>
            <w:spacing w:line="0" w:lineRule="atLeast"/>
            <w:rPr>
              <w:sz w:val="18"/>
            </w:rPr>
          </w:pPr>
        </w:p>
      </w:tc>
      <w:tc>
        <w:tcPr>
          <w:tcW w:w="6379" w:type="dxa"/>
          <w:tcBorders>
            <w:top w:val="nil"/>
            <w:left w:val="nil"/>
            <w:bottom w:val="nil"/>
            <w:right w:val="nil"/>
          </w:tcBorders>
        </w:tcPr>
        <w:p w14:paraId="7EFC921E" w14:textId="498A2B08" w:rsidR="00CF4E04" w:rsidRDefault="00CF4E04" w:rsidP="00320D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FE9">
            <w:rPr>
              <w:i/>
              <w:sz w:val="18"/>
            </w:rPr>
            <w:t>Australian Radiation Protection and Nuclear Safety Amendment (2022 Measures No. 1) Regulations 2022</w:t>
          </w:r>
          <w:r w:rsidRPr="007A1328">
            <w:rPr>
              <w:i/>
              <w:sz w:val="18"/>
            </w:rPr>
            <w:fldChar w:fldCharType="end"/>
          </w:r>
        </w:p>
      </w:tc>
      <w:tc>
        <w:tcPr>
          <w:tcW w:w="710" w:type="dxa"/>
          <w:tcBorders>
            <w:top w:val="nil"/>
            <w:left w:val="nil"/>
            <w:bottom w:val="nil"/>
            <w:right w:val="nil"/>
          </w:tcBorders>
        </w:tcPr>
        <w:p w14:paraId="3A7E89DA" w14:textId="77777777" w:rsidR="00CF4E04" w:rsidRDefault="00CF4E04" w:rsidP="00320D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8F6711" w14:textId="77777777" w:rsidR="00CF4E04" w:rsidRPr="0091275C" w:rsidRDefault="0091275C" w:rsidP="0091275C">
    <w:pPr>
      <w:rPr>
        <w:rFonts w:cs="Times New Roman"/>
        <w:i/>
        <w:sz w:val="18"/>
      </w:rPr>
    </w:pPr>
    <w:r w:rsidRPr="0091275C">
      <w:rPr>
        <w:rFonts w:cs="Times New Roman"/>
        <w:i/>
        <w:sz w:val="18"/>
      </w:rPr>
      <w:t>OPC65458 -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422A" w14:textId="77777777" w:rsidR="00CF4E04" w:rsidRPr="00E33C1C" w:rsidRDefault="00CF4E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4E04" w14:paraId="6D95B8FB" w14:textId="77777777" w:rsidTr="0084697B">
      <w:tc>
        <w:tcPr>
          <w:tcW w:w="709" w:type="dxa"/>
          <w:tcBorders>
            <w:top w:val="nil"/>
            <w:left w:val="nil"/>
            <w:bottom w:val="nil"/>
            <w:right w:val="nil"/>
          </w:tcBorders>
        </w:tcPr>
        <w:p w14:paraId="502D30C7" w14:textId="77777777" w:rsidR="00CF4E04" w:rsidRDefault="00CF4E04" w:rsidP="00320D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B5354E" w14:textId="47863A14" w:rsidR="00CF4E04" w:rsidRDefault="00CF4E04" w:rsidP="00320D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FE9">
            <w:rPr>
              <w:i/>
              <w:sz w:val="18"/>
            </w:rPr>
            <w:t>Australian Radiation Protection and Nuclear Safety Amendment (2022 Measures No. 1) Regulations 2022</w:t>
          </w:r>
          <w:r w:rsidRPr="007A1328">
            <w:rPr>
              <w:i/>
              <w:sz w:val="18"/>
            </w:rPr>
            <w:fldChar w:fldCharType="end"/>
          </w:r>
        </w:p>
      </w:tc>
      <w:tc>
        <w:tcPr>
          <w:tcW w:w="1384" w:type="dxa"/>
          <w:tcBorders>
            <w:top w:val="nil"/>
            <w:left w:val="nil"/>
            <w:bottom w:val="nil"/>
            <w:right w:val="nil"/>
          </w:tcBorders>
        </w:tcPr>
        <w:p w14:paraId="72CAEA91" w14:textId="77777777" w:rsidR="00CF4E04" w:rsidRDefault="00CF4E04" w:rsidP="00320D5E">
          <w:pPr>
            <w:spacing w:line="0" w:lineRule="atLeast"/>
            <w:jc w:val="right"/>
            <w:rPr>
              <w:sz w:val="18"/>
            </w:rPr>
          </w:pPr>
        </w:p>
      </w:tc>
    </w:tr>
  </w:tbl>
  <w:p w14:paraId="23E65C36" w14:textId="77777777" w:rsidR="00CF4E04" w:rsidRPr="0091275C" w:rsidRDefault="0091275C" w:rsidP="0091275C">
    <w:pPr>
      <w:rPr>
        <w:rFonts w:cs="Times New Roman"/>
        <w:i/>
        <w:sz w:val="18"/>
      </w:rPr>
    </w:pPr>
    <w:r w:rsidRPr="0091275C">
      <w:rPr>
        <w:rFonts w:cs="Times New Roman"/>
        <w:i/>
        <w:sz w:val="18"/>
      </w:rPr>
      <w:t>OPC65458 -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B336" w14:textId="77777777" w:rsidR="00CF4E04" w:rsidRPr="00E33C1C" w:rsidRDefault="00CF4E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F4E04" w14:paraId="789467CF" w14:textId="77777777" w:rsidTr="00320D5E">
      <w:tc>
        <w:tcPr>
          <w:tcW w:w="1384" w:type="dxa"/>
          <w:tcBorders>
            <w:top w:val="nil"/>
            <w:left w:val="nil"/>
            <w:bottom w:val="nil"/>
            <w:right w:val="nil"/>
          </w:tcBorders>
        </w:tcPr>
        <w:p w14:paraId="1419044C" w14:textId="77777777" w:rsidR="00CF4E04" w:rsidRDefault="00CF4E04" w:rsidP="00320D5E">
          <w:pPr>
            <w:spacing w:line="0" w:lineRule="atLeast"/>
            <w:rPr>
              <w:sz w:val="18"/>
            </w:rPr>
          </w:pPr>
        </w:p>
      </w:tc>
      <w:tc>
        <w:tcPr>
          <w:tcW w:w="6379" w:type="dxa"/>
          <w:tcBorders>
            <w:top w:val="nil"/>
            <w:left w:val="nil"/>
            <w:bottom w:val="nil"/>
            <w:right w:val="nil"/>
          </w:tcBorders>
        </w:tcPr>
        <w:p w14:paraId="1EC69DD2" w14:textId="4EA35A7C" w:rsidR="00CF4E04" w:rsidRDefault="00CF4E04" w:rsidP="00320D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FE9">
            <w:rPr>
              <w:i/>
              <w:sz w:val="18"/>
            </w:rPr>
            <w:t>Australian Radiation Protection and Nuclear Safety Amendment (2022 Measures No. 1) Regulations 2022</w:t>
          </w:r>
          <w:r w:rsidRPr="007A1328">
            <w:rPr>
              <w:i/>
              <w:sz w:val="18"/>
            </w:rPr>
            <w:fldChar w:fldCharType="end"/>
          </w:r>
        </w:p>
      </w:tc>
      <w:tc>
        <w:tcPr>
          <w:tcW w:w="709" w:type="dxa"/>
          <w:tcBorders>
            <w:top w:val="nil"/>
            <w:left w:val="nil"/>
            <w:bottom w:val="nil"/>
            <w:right w:val="nil"/>
          </w:tcBorders>
        </w:tcPr>
        <w:p w14:paraId="44A13C55" w14:textId="77777777" w:rsidR="00CF4E04" w:rsidRDefault="00CF4E04" w:rsidP="00320D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05F75B8" w14:textId="77777777" w:rsidR="00CF4E04" w:rsidRPr="0091275C" w:rsidRDefault="0091275C" w:rsidP="0091275C">
    <w:pPr>
      <w:rPr>
        <w:rFonts w:cs="Times New Roman"/>
        <w:i/>
        <w:sz w:val="18"/>
      </w:rPr>
    </w:pPr>
    <w:r w:rsidRPr="0091275C">
      <w:rPr>
        <w:rFonts w:cs="Times New Roman"/>
        <w:i/>
        <w:sz w:val="18"/>
      </w:rPr>
      <w:t>OPC65458 -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496E" w14:textId="77777777" w:rsidR="00CF4E04" w:rsidRPr="00E33C1C" w:rsidRDefault="00CF4E0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F4E04" w14:paraId="6A7CB55D" w14:textId="77777777" w:rsidTr="007A6863">
      <w:tc>
        <w:tcPr>
          <w:tcW w:w="1384" w:type="dxa"/>
          <w:tcBorders>
            <w:top w:val="nil"/>
            <w:left w:val="nil"/>
            <w:bottom w:val="nil"/>
            <w:right w:val="nil"/>
          </w:tcBorders>
        </w:tcPr>
        <w:p w14:paraId="2E34F567" w14:textId="77777777" w:rsidR="00CF4E04" w:rsidRDefault="00CF4E04" w:rsidP="00320D5E">
          <w:pPr>
            <w:spacing w:line="0" w:lineRule="atLeast"/>
            <w:rPr>
              <w:sz w:val="18"/>
            </w:rPr>
          </w:pPr>
        </w:p>
      </w:tc>
      <w:tc>
        <w:tcPr>
          <w:tcW w:w="6379" w:type="dxa"/>
          <w:tcBorders>
            <w:top w:val="nil"/>
            <w:left w:val="nil"/>
            <w:bottom w:val="nil"/>
            <w:right w:val="nil"/>
          </w:tcBorders>
        </w:tcPr>
        <w:p w14:paraId="40B72E62" w14:textId="1D1D3C17" w:rsidR="00CF4E04" w:rsidRDefault="00CF4E04" w:rsidP="00320D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FE9">
            <w:rPr>
              <w:i/>
              <w:sz w:val="18"/>
            </w:rPr>
            <w:t>Australian Radiation Protection and Nuclear Safety Amendment (2022 Measures No. 1) Regulations 2022</w:t>
          </w:r>
          <w:r w:rsidRPr="007A1328">
            <w:rPr>
              <w:i/>
              <w:sz w:val="18"/>
            </w:rPr>
            <w:fldChar w:fldCharType="end"/>
          </w:r>
        </w:p>
      </w:tc>
      <w:tc>
        <w:tcPr>
          <w:tcW w:w="709" w:type="dxa"/>
          <w:tcBorders>
            <w:top w:val="nil"/>
            <w:left w:val="nil"/>
            <w:bottom w:val="nil"/>
            <w:right w:val="nil"/>
          </w:tcBorders>
        </w:tcPr>
        <w:p w14:paraId="4E7B47C2" w14:textId="77777777" w:rsidR="00CF4E04" w:rsidRDefault="00CF4E04" w:rsidP="00320D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D46B376" w14:textId="77777777" w:rsidR="00CF4E04" w:rsidRPr="0091275C" w:rsidRDefault="0091275C" w:rsidP="0091275C">
    <w:pPr>
      <w:rPr>
        <w:rFonts w:cs="Times New Roman"/>
        <w:i/>
        <w:sz w:val="18"/>
      </w:rPr>
    </w:pPr>
    <w:r w:rsidRPr="0091275C">
      <w:rPr>
        <w:rFonts w:cs="Times New Roman"/>
        <w:i/>
        <w:sz w:val="18"/>
      </w:rPr>
      <w:t>OPC65458 -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E2FD" w14:textId="77777777" w:rsidR="00CF4E04" w:rsidRDefault="00CF4E04" w:rsidP="0048364F">
      <w:pPr>
        <w:spacing w:line="240" w:lineRule="auto"/>
      </w:pPr>
      <w:r>
        <w:separator/>
      </w:r>
    </w:p>
  </w:footnote>
  <w:footnote w:type="continuationSeparator" w:id="0">
    <w:p w14:paraId="07B0D826" w14:textId="77777777" w:rsidR="00CF4E04" w:rsidRDefault="00CF4E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300" w14:textId="77777777" w:rsidR="00CF4E04" w:rsidRPr="005F1388" w:rsidRDefault="00CF4E0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A12B" w14:textId="77777777" w:rsidR="00CF4E04" w:rsidRPr="005F1388" w:rsidRDefault="00CF4E0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C33C" w14:textId="77777777" w:rsidR="00CF4E04" w:rsidRPr="005F1388" w:rsidRDefault="00CF4E0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18C5" w14:textId="77777777" w:rsidR="00CF4E04" w:rsidRPr="00ED79B6" w:rsidRDefault="00CF4E0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B4F3" w14:textId="77777777" w:rsidR="00CF4E04" w:rsidRPr="00ED79B6" w:rsidRDefault="00CF4E0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6CD2" w14:textId="77777777" w:rsidR="00CF4E04" w:rsidRPr="00ED79B6" w:rsidRDefault="00CF4E0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503C" w14:textId="75BCAC5A" w:rsidR="00CF4E04" w:rsidRPr="00A961C4" w:rsidRDefault="00CF4E04" w:rsidP="0048364F">
    <w:pPr>
      <w:rPr>
        <w:b/>
        <w:sz w:val="20"/>
      </w:rPr>
    </w:pPr>
    <w:r>
      <w:rPr>
        <w:b/>
        <w:sz w:val="20"/>
      </w:rPr>
      <w:fldChar w:fldCharType="begin"/>
    </w:r>
    <w:r>
      <w:rPr>
        <w:b/>
        <w:sz w:val="20"/>
      </w:rPr>
      <w:instrText xml:space="preserve"> STYLEREF CharAmSchNo </w:instrText>
    </w:r>
    <w:r>
      <w:rPr>
        <w:b/>
        <w:sz w:val="20"/>
      </w:rPr>
      <w:fldChar w:fldCharType="separate"/>
    </w:r>
    <w:r w:rsidR="00E82E5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82E52">
      <w:rPr>
        <w:noProof/>
        <w:sz w:val="20"/>
      </w:rPr>
      <w:t>Amendments</w:t>
    </w:r>
    <w:r>
      <w:rPr>
        <w:sz w:val="20"/>
      </w:rPr>
      <w:fldChar w:fldCharType="end"/>
    </w:r>
  </w:p>
  <w:p w14:paraId="5351F3EC" w14:textId="7AE7792A" w:rsidR="00CF4E04" w:rsidRPr="00A961C4" w:rsidRDefault="00CF4E0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A0794AE" w14:textId="77777777" w:rsidR="00CF4E04" w:rsidRPr="00A961C4" w:rsidRDefault="00CF4E0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7B0A" w14:textId="03FB4155" w:rsidR="00CF4E04" w:rsidRPr="00A961C4" w:rsidRDefault="00CF4E0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74EF849" w14:textId="4FB971EF" w:rsidR="00CF4E04" w:rsidRPr="00A961C4" w:rsidRDefault="00CF4E0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B97F790" w14:textId="77777777" w:rsidR="00CF4E04" w:rsidRPr="00A961C4" w:rsidRDefault="00CF4E0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6CC" w14:textId="77777777" w:rsidR="00CF4E04" w:rsidRPr="00A961C4" w:rsidRDefault="00CF4E0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E8"/>
    <w:rsid w:val="000000CC"/>
    <w:rsid w:val="00000263"/>
    <w:rsid w:val="00005E60"/>
    <w:rsid w:val="000113BC"/>
    <w:rsid w:val="000136AF"/>
    <w:rsid w:val="00021863"/>
    <w:rsid w:val="00025797"/>
    <w:rsid w:val="00027459"/>
    <w:rsid w:val="000277DA"/>
    <w:rsid w:val="00036E24"/>
    <w:rsid w:val="000370E6"/>
    <w:rsid w:val="0004044E"/>
    <w:rsid w:val="00046A45"/>
    <w:rsid w:val="00046F47"/>
    <w:rsid w:val="000502F7"/>
    <w:rsid w:val="0005120E"/>
    <w:rsid w:val="00054577"/>
    <w:rsid w:val="00054EF0"/>
    <w:rsid w:val="000614BF"/>
    <w:rsid w:val="0006443B"/>
    <w:rsid w:val="00064F95"/>
    <w:rsid w:val="00065B34"/>
    <w:rsid w:val="0006798D"/>
    <w:rsid w:val="0007169C"/>
    <w:rsid w:val="000742F1"/>
    <w:rsid w:val="00077593"/>
    <w:rsid w:val="00083F48"/>
    <w:rsid w:val="0009536F"/>
    <w:rsid w:val="000A2C56"/>
    <w:rsid w:val="000A40B9"/>
    <w:rsid w:val="000A4677"/>
    <w:rsid w:val="000A4FD6"/>
    <w:rsid w:val="000A6B15"/>
    <w:rsid w:val="000A7DF9"/>
    <w:rsid w:val="000C00F4"/>
    <w:rsid w:val="000C209F"/>
    <w:rsid w:val="000D05EF"/>
    <w:rsid w:val="000D5485"/>
    <w:rsid w:val="000F00A3"/>
    <w:rsid w:val="000F21C1"/>
    <w:rsid w:val="000F3305"/>
    <w:rsid w:val="00105D72"/>
    <w:rsid w:val="0010745C"/>
    <w:rsid w:val="00113677"/>
    <w:rsid w:val="00113ECF"/>
    <w:rsid w:val="00117277"/>
    <w:rsid w:val="00130735"/>
    <w:rsid w:val="00134C55"/>
    <w:rsid w:val="00140815"/>
    <w:rsid w:val="001447B7"/>
    <w:rsid w:val="001529CA"/>
    <w:rsid w:val="00154A4E"/>
    <w:rsid w:val="00155FD2"/>
    <w:rsid w:val="001601C2"/>
    <w:rsid w:val="00160BD7"/>
    <w:rsid w:val="00162086"/>
    <w:rsid w:val="001643C9"/>
    <w:rsid w:val="00165568"/>
    <w:rsid w:val="00166082"/>
    <w:rsid w:val="00166C2F"/>
    <w:rsid w:val="001716C9"/>
    <w:rsid w:val="001717F8"/>
    <w:rsid w:val="00172085"/>
    <w:rsid w:val="00176251"/>
    <w:rsid w:val="001820C6"/>
    <w:rsid w:val="00184261"/>
    <w:rsid w:val="00190BA1"/>
    <w:rsid w:val="00190DF5"/>
    <w:rsid w:val="00193461"/>
    <w:rsid w:val="001939E1"/>
    <w:rsid w:val="00195382"/>
    <w:rsid w:val="001A3B9F"/>
    <w:rsid w:val="001A6409"/>
    <w:rsid w:val="001A65C0"/>
    <w:rsid w:val="001B6456"/>
    <w:rsid w:val="001B7A5D"/>
    <w:rsid w:val="001C3110"/>
    <w:rsid w:val="001C3C16"/>
    <w:rsid w:val="001C4C08"/>
    <w:rsid w:val="001C69C4"/>
    <w:rsid w:val="001C718D"/>
    <w:rsid w:val="001D79BA"/>
    <w:rsid w:val="001E0A8D"/>
    <w:rsid w:val="001E251F"/>
    <w:rsid w:val="001E3590"/>
    <w:rsid w:val="001E7407"/>
    <w:rsid w:val="001F4225"/>
    <w:rsid w:val="001F5422"/>
    <w:rsid w:val="00201D27"/>
    <w:rsid w:val="0020300C"/>
    <w:rsid w:val="00205F27"/>
    <w:rsid w:val="00213FD9"/>
    <w:rsid w:val="00215267"/>
    <w:rsid w:val="00220A0C"/>
    <w:rsid w:val="00221763"/>
    <w:rsid w:val="00223E4A"/>
    <w:rsid w:val="002302EA"/>
    <w:rsid w:val="00240749"/>
    <w:rsid w:val="002468D7"/>
    <w:rsid w:val="0025445F"/>
    <w:rsid w:val="002665DD"/>
    <w:rsid w:val="002719E5"/>
    <w:rsid w:val="00275CC3"/>
    <w:rsid w:val="0028102F"/>
    <w:rsid w:val="00285CDD"/>
    <w:rsid w:val="0028638E"/>
    <w:rsid w:val="0029061E"/>
    <w:rsid w:val="00291167"/>
    <w:rsid w:val="00297ECB"/>
    <w:rsid w:val="002A028E"/>
    <w:rsid w:val="002A17C2"/>
    <w:rsid w:val="002A2D9A"/>
    <w:rsid w:val="002C152A"/>
    <w:rsid w:val="002D043A"/>
    <w:rsid w:val="0031289A"/>
    <w:rsid w:val="0031387A"/>
    <w:rsid w:val="0031642B"/>
    <w:rsid w:val="0031713F"/>
    <w:rsid w:val="00320D5E"/>
    <w:rsid w:val="00321913"/>
    <w:rsid w:val="00324EE6"/>
    <w:rsid w:val="003316DC"/>
    <w:rsid w:val="00331EF7"/>
    <w:rsid w:val="00332E0D"/>
    <w:rsid w:val="003415D3"/>
    <w:rsid w:val="00342E40"/>
    <w:rsid w:val="00346335"/>
    <w:rsid w:val="00350670"/>
    <w:rsid w:val="00352B0F"/>
    <w:rsid w:val="003561B0"/>
    <w:rsid w:val="003646F3"/>
    <w:rsid w:val="00367960"/>
    <w:rsid w:val="003733F1"/>
    <w:rsid w:val="00373BAB"/>
    <w:rsid w:val="003742AE"/>
    <w:rsid w:val="0038616B"/>
    <w:rsid w:val="00386887"/>
    <w:rsid w:val="003A15AC"/>
    <w:rsid w:val="003A4C08"/>
    <w:rsid w:val="003A56EB"/>
    <w:rsid w:val="003B023B"/>
    <w:rsid w:val="003B0627"/>
    <w:rsid w:val="003B6DE9"/>
    <w:rsid w:val="003C5F2B"/>
    <w:rsid w:val="003D0BAC"/>
    <w:rsid w:val="003D0BFE"/>
    <w:rsid w:val="003D4DCE"/>
    <w:rsid w:val="003D5700"/>
    <w:rsid w:val="003F043D"/>
    <w:rsid w:val="003F0F5A"/>
    <w:rsid w:val="003F54E3"/>
    <w:rsid w:val="00400A30"/>
    <w:rsid w:val="004022CA"/>
    <w:rsid w:val="004116CD"/>
    <w:rsid w:val="00413B34"/>
    <w:rsid w:val="00414ADE"/>
    <w:rsid w:val="00424CA9"/>
    <w:rsid w:val="00425797"/>
    <w:rsid w:val="004257BB"/>
    <w:rsid w:val="004261D9"/>
    <w:rsid w:val="00437268"/>
    <w:rsid w:val="004404E4"/>
    <w:rsid w:val="0044291A"/>
    <w:rsid w:val="00450281"/>
    <w:rsid w:val="0045079D"/>
    <w:rsid w:val="004525B0"/>
    <w:rsid w:val="00453CC0"/>
    <w:rsid w:val="00455B29"/>
    <w:rsid w:val="0045657B"/>
    <w:rsid w:val="00460499"/>
    <w:rsid w:val="00471A66"/>
    <w:rsid w:val="00472011"/>
    <w:rsid w:val="00474835"/>
    <w:rsid w:val="00477100"/>
    <w:rsid w:val="004803CD"/>
    <w:rsid w:val="004819C7"/>
    <w:rsid w:val="0048364F"/>
    <w:rsid w:val="00490F2E"/>
    <w:rsid w:val="0049126F"/>
    <w:rsid w:val="00493A10"/>
    <w:rsid w:val="00496DB3"/>
    <w:rsid w:val="00496F22"/>
    <w:rsid w:val="00496F97"/>
    <w:rsid w:val="004A3EAE"/>
    <w:rsid w:val="004A475B"/>
    <w:rsid w:val="004A53EA"/>
    <w:rsid w:val="004B54B5"/>
    <w:rsid w:val="004C2EF2"/>
    <w:rsid w:val="004D55D8"/>
    <w:rsid w:val="004F1FAC"/>
    <w:rsid w:val="004F4FA8"/>
    <w:rsid w:val="004F5E02"/>
    <w:rsid w:val="004F676E"/>
    <w:rsid w:val="005021EE"/>
    <w:rsid w:val="00511765"/>
    <w:rsid w:val="00516B8D"/>
    <w:rsid w:val="00524562"/>
    <w:rsid w:val="0052686F"/>
    <w:rsid w:val="005274C6"/>
    <w:rsid w:val="0052756C"/>
    <w:rsid w:val="00530230"/>
    <w:rsid w:val="00530CC9"/>
    <w:rsid w:val="00536CD1"/>
    <w:rsid w:val="00537FBC"/>
    <w:rsid w:val="00541D73"/>
    <w:rsid w:val="00543469"/>
    <w:rsid w:val="005452CC"/>
    <w:rsid w:val="005465E7"/>
    <w:rsid w:val="00546FA3"/>
    <w:rsid w:val="00550A3B"/>
    <w:rsid w:val="00551037"/>
    <w:rsid w:val="00554243"/>
    <w:rsid w:val="0055747E"/>
    <w:rsid w:val="00557C7A"/>
    <w:rsid w:val="00562A58"/>
    <w:rsid w:val="00564CFF"/>
    <w:rsid w:val="00565258"/>
    <w:rsid w:val="00570334"/>
    <w:rsid w:val="0057299F"/>
    <w:rsid w:val="0058095C"/>
    <w:rsid w:val="00581211"/>
    <w:rsid w:val="00584811"/>
    <w:rsid w:val="00593AA6"/>
    <w:rsid w:val="00594161"/>
    <w:rsid w:val="00594512"/>
    <w:rsid w:val="00594749"/>
    <w:rsid w:val="005A0AB1"/>
    <w:rsid w:val="005A482B"/>
    <w:rsid w:val="005B3907"/>
    <w:rsid w:val="005B4067"/>
    <w:rsid w:val="005B4099"/>
    <w:rsid w:val="005B7597"/>
    <w:rsid w:val="005C23AC"/>
    <w:rsid w:val="005C2BAF"/>
    <w:rsid w:val="005C36E0"/>
    <w:rsid w:val="005C3F41"/>
    <w:rsid w:val="005D168D"/>
    <w:rsid w:val="005D5EA1"/>
    <w:rsid w:val="005D60B6"/>
    <w:rsid w:val="005D7A7F"/>
    <w:rsid w:val="005E61D3"/>
    <w:rsid w:val="005F7738"/>
    <w:rsid w:val="00600219"/>
    <w:rsid w:val="00603041"/>
    <w:rsid w:val="00606F20"/>
    <w:rsid w:val="00607441"/>
    <w:rsid w:val="00613EAD"/>
    <w:rsid w:val="00613F89"/>
    <w:rsid w:val="006158AC"/>
    <w:rsid w:val="0061626C"/>
    <w:rsid w:val="0061655B"/>
    <w:rsid w:val="00621138"/>
    <w:rsid w:val="00636EBE"/>
    <w:rsid w:val="006375C6"/>
    <w:rsid w:val="00640402"/>
    <w:rsid w:val="00640F78"/>
    <w:rsid w:val="00642F82"/>
    <w:rsid w:val="006437E8"/>
    <w:rsid w:val="006464B4"/>
    <w:rsid w:val="00646E7B"/>
    <w:rsid w:val="00652DB9"/>
    <w:rsid w:val="00655D6A"/>
    <w:rsid w:val="00656DE9"/>
    <w:rsid w:val="00661794"/>
    <w:rsid w:val="006632AC"/>
    <w:rsid w:val="00664D94"/>
    <w:rsid w:val="00665BB9"/>
    <w:rsid w:val="00676312"/>
    <w:rsid w:val="00677CC2"/>
    <w:rsid w:val="00681B3E"/>
    <w:rsid w:val="00682794"/>
    <w:rsid w:val="00683D89"/>
    <w:rsid w:val="00685F42"/>
    <w:rsid w:val="006866A1"/>
    <w:rsid w:val="0069207B"/>
    <w:rsid w:val="0069509A"/>
    <w:rsid w:val="006977BF"/>
    <w:rsid w:val="00697C3A"/>
    <w:rsid w:val="006A146D"/>
    <w:rsid w:val="006A1DCC"/>
    <w:rsid w:val="006A4248"/>
    <w:rsid w:val="006A4309"/>
    <w:rsid w:val="006B0E55"/>
    <w:rsid w:val="006B1032"/>
    <w:rsid w:val="006B4415"/>
    <w:rsid w:val="006B7006"/>
    <w:rsid w:val="006B7202"/>
    <w:rsid w:val="006C7F8C"/>
    <w:rsid w:val="006D7AB9"/>
    <w:rsid w:val="006E5701"/>
    <w:rsid w:val="006F3FA9"/>
    <w:rsid w:val="006F4E75"/>
    <w:rsid w:val="00700B2C"/>
    <w:rsid w:val="0071096C"/>
    <w:rsid w:val="00713084"/>
    <w:rsid w:val="00717C96"/>
    <w:rsid w:val="00720FC2"/>
    <w:rsid w:val="00731E00"/>
    <w:rsid w:val="00732E9D"/>
    <w:rsid w:val="0073491A"/>
    <w:rsid w:val="00736EAF"/>
    <w:rsid w:val="007405D6"/>
    <w:rsid w:val="00742976"/>
    <w:rsid w:val="007440B7"/>
    <w:rsid w:val="00747993"/>
    <w:rsid w:val="00760FDA"/>
    <w:rsid w:val="007634AD"/>
    <w:rsid w:val="007708C1"/>
    <w:rsid w:val="007715C9"/>
    <w:rsid w:val="00773A28"/>
    <w:rsid w:val="00774EDD"/>
    <w:rsid w:val="00775009"/>
    <w:rsid w:val="007757EC"/>
    <w:rsid w:val="007763DF"/>
    <w:rsid w:val="00783A4E"/>
    <w:rsid w:val="00783BF1"/>
    <w:rsid w:val="00794702"/>
    <w:rsid w:val="007A115D"/>
    <w:rsid w:val="007A35E6"/>
    <w:rsid w:val="007A6863"/>
    <w:rsid w:val="007B1650"/>
    <w:rsid w:val="007B38CB"/>
    <w:rsid w:val="007B3B81"/>
    <w:rsid w:val="007D0314"/>
    <w:rsid w:val="007D45C1"/>
    <w:rsid w:val="007D7A1F"/>
    <w:rsid w:val="007E0B3F"/>
    <w:rsid w:val="007E2B2A"/>
    <w:rsid w:val="007E7D4A"/>
    <w:rsid w:val="007F2B22"/>
    <w:rsid w:val="007F48ED"/>
    <w:rsid w:val="007F7947"/>
    <w:rsid w:val="00800AB0"/>
    <w:rsid w:val="00800C29"/>
    <w:rsid w:val="00804C6A"/>
    <w:rsid w:val="00812F45"/>
    <w:rsid w:val="00823B55"/>
    <w:rsid w:val="00836483"/>
    <w:rsid w:val="00836E86"/>
    <w:rsid w:val="0084172C"/>
    <w:rsid w:val="00842569"/>
    <w:rsid w:val="0084697B"/>
    <w:rsid w:val="008504CE"/>
    <w:rsid w:val="008534F6"/>
    <w:rsid w:val="00856370"/>
    <w:rsid w:val="00856A31"/>
    <w:rsid w:val="008754D0"/>
    <w:rsid w:val="00877D48"/>
    <w:rsid w:val="008816F0"/>
    <w:rsid w:val="00881872"/>
    <w:rsid w:val="0088345B"/>
    <w:rsid w:val="0089661E"/>
    <w:rsid w:val="008A16A5"/>
    <w:rsid w:val="008A435C"/>
    <w:rsid w:val="008B05C9"/>
    <w:rsid w:val="008B2517"/>
    <w:rsid w:val="008B3C94"/>
    <w:rsid w:val="008B5D42"/>
    <w:rsid w:val="008C0494"/>
    <w:rsid w:val="008C2B5D"/>
    <w:rsid w:val="008C7195"/>
    <w:rsid w:val="008D0EE0"/>
    <w:rsid w:val="008D16DA"/>
    <w:rsid w:val="008D5B99"/>
    <w:rsid w:val="008D6651"/>
    <w:rsid w:val="008D71EA"/>
    <w:rsid w:val="008D7A27"/>
    <w:rsid w:val="008E3638"/>
    <w:rsid w:val="008E4702"/>
    <w:rsid w:val="008E69AA"/>
    <w:rsid w:val="008F4B1A"/>
    <w:rsid w:val="008F4F1C"/>
    <w:rsid w:val="00903B92"/>
    <w:rsid w:val="0091055B"/>
    <w:rsid w:val="0091275C"/>
    <w:rsid w:val="009128C5"/>
    <w:rsid w:val="00915119"/>
    <w:rsid w:val="00922764"/>
    <w:rsid w:val="00924350"/>
    <w:rsid w:val="009311CD"/>
    <w:rsid w:val="00932377"/>
    <w:rsid w:val="00935613"/>
    <w:rsid w:val="009408EA"/>
    <w:rsid w:val="00943102"/>
    <w:rsid w:val="0094523D"/>
    <w:rsid w:val="00951A7A"/>
    <w:rsid w:val="009559E6"/>
    <w:rsid w:val="00957782"/>
    <w:rsid w:val="00960932"/>
    <w:rsid w:val="00961216"/>
    <w:rsid w:val="00964A1D"/>
    <w:rsid w:val="0097379F"/>
    <w:rsid w:val="00976A63"/>
    <w:rsid w:val="00976EE9"/>
    <w:rsid w:val="00983419"/>
    <w:rsid w:val="00994821"/>
    <w:rsid w:val="009B42A7"/>
    <w:rsid w:val="009B5571"/>
    <w:rsid w:val="009B64E1"/>
    <w:rsid w:val="009C2EC4"/>
    <w:rsid w:val="009C3431"/>
    <w:rsid w:val="009C5989"/>
    <w:rsid w:val="009D08DA"/>
    <w:rsid w:val="009D2458"/>
    <w:rsid w:val="00A02D17"/>
    <w:rsid w:val="00A06860"/>
    <w:rsid w:val="00A07BA1"/>
    <w:rsid w:val="00A136F5"/>
    <w:rsid w:val="00A14C2B"/>
    <w:rsid w:val="00A15287"/>
    <w:rsid w:val="00A16EA9"/>
    <w:rsid w:val="00A231E2"/>
    <w:rsid w:val="00A23531"/>
    <w:rsid w:val="00A2550D"/>
    <w:rsid w:val="00A31EA9"/>
    <w:rsid w:val="00A4169B"/>
    <w:rsid w:val="00A445F2"/>
    <w:rsid w:val="00A46ACD"/>
    <w:rsid w:val="00A50D55"/>
    <w:rsid w:val="00A5165B"/>
    <w:rsid w:val="00A5256C"/>
    <w:rsid w:val="00A52FDA"/>
    <w:rsid w:val="00A53510"/>
    <w:rsid w:val="00A53AA5"/>
    <w:rsid w:val="00A54F53"/>
    <w:rsid w:val="00A55E6D"/>
    <w:rsid w:val="00A64912"/>
    <w:rsid w:val="00A66E97"/>
    <w:rsid w:val="00A67909"/>
    <w:rsid w:val="00A70A74"/>
    <w:rsid w:val="00A753BC"/>
    <w:rsid w:val="00A77188"/>
    <w:rsid w:val="00A90EA8"/>
    <w:rsid w:val="00A91BE8"/>
    <w:rsid w:val="00AA0343"/>
    <w:rsid w:val="00AA13FF"/>
    <w:rsid w:val="00AA2A5C"/>
    <w:rsid w:val="00AA39BA"/>
    <w:rsid w:val="00AB767D"/>
    <w:rsid w:val="00AB78E9"/>
    <w:rsid w:val="00AC099A"/>
    <w:rsid w:val="00AC5A89"/>
    <w:rsid w:val="00AD1668"/>
    <w:rsid w:val="00AD3467"/>
    <w:rsid w:val="00AD5641"/>
    <w:rsid w:val="00AD7252"/>
    <w:rsid w:val="00AE0F9B"/>
    <w:rsid w:val="00AE1C45"/>
    <w:rsid w:val="00AE444B"/>
    <w:rsid w:val="00AF1448"/>
    <w:rsid w:val="00AF55FF"/>
    <w:rsid w:val="00B032D8"/>
    <w:rsid w:val="00B14212"/>
    <w:rsid w:val="00B23B05"/>
    <w:rsid w:val="00B23F77"/>
    <w:rsid w:val="00B30208"/>
    <w:rsid w:val="00B33B3C"/>
    <w:rsid w:val="00B40D74"/>
    <w:rsid w:val="00B40DE8"/>
    <w:rsid w:val="00B50152"/>
    <w:rsid w:val="00B52663"/>
    <w:rsid w:val="00B55574"/>
    <w:rsid w:val="00B56DCB"/>
    <w:rsid w:val="00B665AF"/>
    <w:rsid w:val="00B75C51"/>
    <w:rsid w:val="00B770B9"/>
    <w:rsid w:val="00B770D2"/>
    <w:rsid w:val="00B856C8"/>
    <w:rsid w:val="00B94F68"/>
    <w:rsid w:val="00BA390B"/>
    <w:rsid w:val="00BA47A3"/>
    <w:rsid w:val="00BA5026"/>
    <w:rsid w:val="00BA6EA8"/>
    <w:rsid w:val="00BB6597"/>
    <w:rsid w:val="00BB6E79"/>
    <w:rsid w:val="00BC0FE9"/>
    <w:rsid w:val="00BC698B"/>
    <w:rsid w:val="00BC69AB"/>
    <w:rsid w:val="00BC7936"/>
    <w:rsid w:val="00BD1FFA"/>
    <w:rsid w:val="00BE3752"/>
    <w:rsid w:val="00BE3B31"/>
    <w:rsid w:val="00BE719A"/>
    <w:rsid w:val="00BE720A"/>
    <w:rsid w:val="00BF417D"/>
    <w:rsid w:val="00BF6650"/>
    <w:rsid w:val="00C0033C"/>
    <w:rsid w:val="00C00CFD"/>
    <w:rsid w:val="00C0424E"/>
    <w:rsid w:val="00C067E5"/>
    <w:rsid w:val="00C113BE"/>
    <w:rsid w:val="00C164CA"/>
    <w:rsid w:val="00C23B10"/>
    <w:rsid w:val="00C30792"/>
    <w:rsid w:val="00C3223E"/>
    <w:rsid w:val="00C42BF8"/>
    <w:rsid w:val="00C42FD8"/>
    <w:rsid w:val="00C460AE"/>
    <w:rsid w:val="00C50043"/>
    <w:rsid w:val="00C50A0F"/>
    <w:rsid w:val="00C613E9"/>
    <w:rsid w:val="00C614AD"/>
    <w:rsid w:val="00C661CD"/>
    <w:rsid w:val="00C70645"/>
    <w:rsid w:val="00C711B4"/>
    <w:rsid w:val="00C71C98"/>
    <w:rsid w:val="00C72FEC"/>
    <w:rsid w:val="00C7573B"/>
    <w:rsid w:val="00C76CF3"/>
    <w:rsid w:val="00C80ED4"/>
    <w:rsid w:val="00C853FE"/>
    <w:rsid w:val="00C91F4A"/>
    <w:rsid w:val="00CA19A1"/>
    <w:rsid w:val="00CA7844"/>
    <w:rsid w:val="00CB58EF"/>
    <w:rsid w:val="00CB6486"/>
    <w:rsid w:val="00CB7656"/>
    <w:rsid w:val="00CC076D"/>
    <w:rsid w:val="00CC1850"/>
    <w:rsid w:val="00CD7434"/>
    <w:rsid w:val="00CE5622"/>
    <w:rsid w:val="00CE7D64"/>
    <w:rsid w:val="00CF0BB2"/>
    <w:rsid w:val="00CF122A"/>
    <w:rsid w:val="00CF4E04"/>
    <w:rsid w:val="00CF4E5A"/>
    <w:rsid w:val="00D05AD4"/>
    <w:rsid w:val="00D12E97"/>
    <w:rsid w:val="00D13441"/>
    <w:rsid w:val="00D20665"/>
    <w:rsid w:val="00D243A3"/>
    <w:rsid w:val="00D2529C"/>
    <w:rsid w:val="00D3200B"/>
    <w:rsid w:val="00D33440"/>
    <w:rsid w:val="00D47CDF"/>
    <w:rsid w:val="00D50C9D"/>
    <w:rsid w:val="00D52EFE"/>
    <w:rsid w:val="00D56A0D"/>
    <w:rsid w:val="00D5767F"/>
    <w:rsid w:val="00D63551"/>
    <w:rsid w:val="00D63EF6"/>
    <w:rsid w:val="00D66518"/>
    <w:rsid w:val="00D70881"/>
    <w:rsid w:val="00D70DFB"/>
    <w:rsid w:val="00D71EEA"/>
    <w:rsid w:val="00D735CD"/>
    <w:rsid w:val="00D75EC9"/>
    <w:rsid w:val="00D766DF"/>
    <w:rsid w:val="00D82D23"/>
    <w:rsid w:val="00D836C9"/>
    <w:rsid w:val="00D92988"/>
    <w:rsid w:val="00D93506"/>
    <w:rsid w:val="00D93BE5"/>
    <w:rsid w:val="00D95891"/>
    <w:rsid w:val="00DB0B44"/>
    <w:rsid w:val="00DB507C"/>
    <w:rsid w:val="00DB5CB4"/>
    <w:rsid w:val="00DB6C5B"/>
    <w:rsid w:val="00DC2A7C"/>
    <w:rsid w:val="00DC4A0B"/>
    <w:rsid w:val="00DD3402"/>
    <w:rsid w:val="00DD402A"/>
    <w:rsid w:val="00DE0E82"/>
    <w:rsid w:val="00DE149E"/>
    <w:rsid w:val="00DE2546"/>
    <w:rsid w:val="00DE50AC"/>
    <w:rsid w:val="00DE5198"/>
    <w:rsid w:val="00DF4516"/>
    <w:rsid w:val="00DF6BBE"/>
    <w:rsid w:val="00DF7CFC"/>
    <w:rsid w:val="00DF7DBF"/>
    <w:rsid w:val="00E05704"/>
    <w:rsid w:val="00E07665"/>
    <w:rsid w:val="00E12F1A"/>
    <w:rsid w:val="00E15561"/>
    <w:rsid w:val="00E21CFB"/>
    <w:rsid w:val="00E22935"/>
    <w:rsid w:val="00E25FA3"/>
    <w:rsid w:val="00E27221"/>
    <w:rsid w:val="00E30BB8"/>
    <w:rsid w:val="00E4689A"/>
    <w:rsid w:val="00E54292"/>
    <w:rsid w:val="00E60191"/>
    <w:rsid w:val="00E74DC7"/>
    <w:rsid w:val="00E82E52"/>
    <w:rsid w:val="00E8423D"/>
    <w:rsid w:val="00E844EB"/>
    <w:rsid w:val="00E85430"/>
    <w:rsid w:val="00E856EE"/>
    <w:rsid w:val="00E87699"/>
    <w:rsid w:val="00E90AA1"/>
    <w:rsid w:val="00E90B68"/>
    <w:rsid w:val="00E92E27"/>
    <w:rsid w:val="00E9586B"/>
    <w:rsid w:val="00E9598A"/>
    <w:rsid w:val="00E97334"/>
    <w:rsid w:val="00EA0D36"/>
    <w:rsid w:val="00EB566E"/>
    <w:rsid w:val="00EB5B20"/>
    <w:rsid w:val="00EB7B04"/>
    <w:rsid w:val="00EC568F"/>
    <w:rsid w:val="00EC5ECB"/>
    <w:rsid w:val="00EC6EFB"/>
    <w:rsid w:val="00ED2BC7"/>
    <w:rsid w:val="00ED4928"/>
    <w:rsid w:val="00EE13A5"/>
    <w:rsid w:val="00EE2C60"/>
    <w:rsid w:val="00EE311A"/>
    <w:rsid w:val="00EE337C"/>
    <w:rsid w:val="00EE3749"/>
    <w:rsid w:val="00EE4965"/>
    <w:rsid w:val="00EE6190"/>
    <w:rsid w:val="00EF2E3A"/>
    <w:rsid w:val="00EF4691"/>
    <w:rsid w:val="00EF6402"/>
    <w:rsid w:val="00F00AAB"/>
    <w:rsid w:val="00F025DF"/>
    <w:rsid w:val="00F047E2"/>
    <w:rsid w:val="00F04D57"/>
    <w:rsid w:val="00F078DC"/>
    <w:rsid w:val="00F1175D"/>
    <w:rsid w:val="00F13E86"/>
    <w:rsid w:val="00F201C2"/>
    <w:rsid w:val="00F253A5"/>
    <w:rsid w:val="00F2783C"/>
    <w:rsid w:val="00F32FCB"/>
    <w:rsid w:val="00F37439"/>
    <w:rsid w:val="00F50BE8"/>
    <w:rsid w:val="00F645CC"/>
    <w:rsid w:val="00F65040"/>
    <w:rsid w:val="00F6709F"/>
    <w:rsid w:val="00F677A9"/>
    <w:rsid w:val="00F723BD"/>
    <w:rsid w:val="00F732EA"/>
    <w:rsid w:val="00F757F1"/>
    <w:rsid w:val="00F82EFE"/>
    <w:rsid w:val="00F8493A"/>
    <w:rsid w:val="00F84CF5"/>
    <w:rsid w:val="00F8612E"/>
    <w:rsid w:val="00F8767B"/>
    <w:rsid w:val="00F90F6B"/>
    <w:rsid w:val="00FA20C1"/>
    <w:rsid w:val="00FA420B"/>
    <w:rsid w:val="00FA4272"/>
    <w:rsid w:val="00FB3A03"/>
    <w:rsid w:val="00FB7EB6"/>
    <w:rsid w:val="00FC04B3"/>
    <w:rsid w:val="00FC1AAC"/>
    <w:rsid w:val="00FC6EA8"/>
    <w:rsid w:val="00FD3DA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2CD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B6DE9"/>
    <w:pPr>
      <w:spacing w:line="260" w:lineRule="atLeast"/>
    </w:pPr>
    <w:rPr>
      <w:sz w:val="22"/>
    </w:rPr>
  </w:style>
  <w:style w:type="paragraph" w:styleId="Heading1">
    <w:name w:val="heading 1"/>
    <w:basedOn w:val="Normal"/>
    <w:next w:val="Normal"/>
    <w:link w:val="Heading1Char"/>
    <w:uiPriority w:val="9"/>
    <w:qFormat/>
    <w:rsid w:val="003B6DE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DE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DE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DE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6DE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6DE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6DE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B6DE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B6DE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6DE9"/>
  </w:style>
  <w:style w:type="paragraph" w:customStyle="1" w:styleId="OPCParaBase">
    <w:name w:val="OPCParaBase"/>
    <w:qFormat/>
    <w:rsid w:val="003B6DE9"/>
    <w:pPr>
      <w:spacing w:line="260" w:lineRule="atLeast"/>
    </w:pPr>
    <w:rPr>
      <w:rFonts w:eastAsia="Times New Roman" w:cs="Times New Roman"/>
      <w:sz w:val="22"/>
      <w:lang w:eastAsia="en-AU"/>
    </w:rPr>
  </w:style>
  <w:style w:type="paragraph" w:customStyle="1" w:styleId="ShortT">
    <w:name w:val="ShortT"/>
    <w:basedOn w:val="OPCParaBase"/>
    <w:next w:val="Normal"/>
    <w:qFormat/>
    <w:rsid w:val="003B6DE9"/>
    <w:pPr>
      <w:spacing w:line="240" w:lineRule="auto"/>
    </w:pPr>
    <w:rPr>
      <w:b/>
      <w:sz w:val="40"/>
    </w:rPr>
  </w:style>
  <w:style w:type="paragraph" w:customStyle="1" w:styleId="ActHead1">
    <w:name w:val="ActHead 1"/>
    <w:aliases w:val="c"/>
    <w:basedOn w:val="OPCParaBase"/>
    <w:next w:val="Normal"/>
    <w:qFormat/>
    <w:rsid w:val="003B6D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6D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6D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6D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6D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6D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6D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6D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6D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6DE9"/>
  </w:style>
  <w:style w:type="paragraph" w:customStyle="1" w:styleId="Blocks">
    <w:name w:val="Blocks"/>
    <w:aliases w:val="bb"/>
    <w:basedOn w:val="OPCParaBase"/>
    <w:qFormat/>
    <w:rsid w:val="003B6DE9"/>
    <w:pPr>
      <w:spacing w:line="240" w:lineRule="auto"/>
    </w:pPr>
    <w:rPr>
      <w:sz w:val="24"/>
    </w:rPr>
  </w:style>
  <w:style w:type="paragraph" w:customStyle="1" w:styleId="BoxText">
    <w:name w:val="BoxText"/>
    <w:aliases w:val="bt"/>
    <w:basedOn w:val="OPCParaBase"/>
    <w:qFormat/>
    <w:rsid w:val="003B6D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6DE9"/>
    <w:rPr>
      <w:b/>
    </w:rPr>
  </w:style>
  <w:style w:type="paragraph" w:customStyle="1" w:styleId="BoxHeadItalic">
    <w:name w:val="BoxHeadItalic"/>
    <w:aliases w:val="bhi"/>
    <w:basedOn w:val="BoxText"/>
    <w:next w:val="BoxStep"/>
    <w:qFormat/>
    <w:rsid w:val="003B6DE9"/>
    <w:rPr>
      <w:i/>
    </w:rPr>
  </w:style>
  <w:style w:type="paragraph" w:customStyle="1" w:styleId="BoxList">
    <w:name w:val="BoxList"/>
    <w:aliases w:val="bl"/>
    <w:basedOn w:val="BoxText"/>
    <w:qFormat/>
    <w:rsid w:val="003B6DE9"/>
    <w:pPr>
      <w:ind w:left="1559" w:hanging="425"/>
    </w:pPr>
  </w:style>
  <w:style w:type="paragraph" w:customStyle="1" w:styleId="BoxNote">
    <w:name w:val="BoxNote"/>
    <w:aliases w:val="bn"/>
    <w:basedOn w:val="BoxText"/>
    <w:qFormat/>
    <w:rsid w:val="003B6DE9"/>
    <w:pPr>
      <w:tabs>
        <w:tab w:val="left" w:pos="1985"/>
      </w:tabs>
      <w:spacing w:before="122" w:line="198" w:lineRule="exact"/>
      <w:ind w:left="2948" w:hanging="1814"/>
    </w:pPr>
    <w:rPr>
      <w:sz w:val="18"/>
    </w:rPr>
  </w:style>
  <w:style w:type="paragraph" w:customStyle="1" w:styleId="BoxPara">
    <w:name w:val="BoxPara"/>
    <w:aliases w:val="bp"/>
    <w:basedOn w:val="BoxText"/>
    <w:qFormat/>
    <w:rsid w:val="003B6DE9"/>
    <w:pPr>
      <w:tabs>
        <w:tab w:val="right" w:pos="2268"/>
      </w:tabs>
      <w:ind w:left="2552" w:hanging="1418"/>
    </w:pPr>
  </w:style>
  <w:style w:type="paragraph" w:customStyle="1" w:styleId="BoxStep">
    <w:name w:val="BoxStep"/>
    <w:aliases w:val="bs"/>
    <w:basedOn w:val="BoxText"/>
    <w:qFormat/>
    <w:rsid w:val="003B6DE9"/>
    <w:pPr>
      <w:ind w:left="1985" w:hanging="851"/>
    </w:pPr>
  </w:style>
  <w:style w:type="character" w:customStyle="1" w:styleId="CharAmPartNo">
    <w:name w:val="CharAmPartNo"/>
    <w:basedOn w:val="OPCCharBase"/>
    <w:qFormat/>
    <w:rsid w:val="003B6DE9"/>
  </w:style>
  <w:style w:type="character" w:customStyle="1" w:styleId="CharAmPartText">
    <w:name w:val="CharAmPartText"/>
    <w:basedOn w:val="OPCCharBase"/>
    <w:qFormat/>
    <w:rsid w:val="003B6DE9"/>
  </w:style>
  <w:style w:type="character" w:customStyle="1" w:styleId="CharAmSchNo">
    <w:name w:val="CharAmSchNo"/>
    <w:basedOn w:val="OPCCharBase"/>
    <w:qFormat/>
    <w:rsid w:val="003B6DE9"/>
  </w:style>
  <w:style w:type="character" w:customStyle="1" w:styleId="CharAmSchText">
    <w:name w:val="CharAmSchText"/>
    <w:basedOn w:val="OPCCharBase"/>
    <w:qFormat/>
    <w:rsid w:val="003B6DE9"/>
  </w:style>
  <w:style w:type="character" w:customStyle="1" w:styleId="CharBoldItalic">
    <w:name w:val="CharBoldItalic"/>
    <w:basedOn w:val="OPCCharBase"/>
    <w:uiPriority w:val="1"/>
    <w:qFormat/>
    <w:rsid w:val="003B6DE9"/>
    <w:rPr>
      <w:b/>
      <w:i/>
    </w:rPr>
  </w:style>
  <w:style w:type="character" w:customStyle="1" w:styleId="CharChapNo">
    <w:name w:val="CharChapNo"/>
    <w:basedOn w:val="OPCCharBase"/>
    <w:uiPriority w:val="1"/>
    <w:qFormat/>
    <w:rsid w:val="003B6DE9"/>
  </w:style>
  <w:style w:type="character" w:customStyle="1" w:styleId="CharChapText">
    <w:name w:val="CharChapText"/>
    <w:basedOn w:val="OPCCharBase"/>
    <w:uiPriority w:val="1"/>
    <w:qFormat/>
    <w:rsid w:val="003B6DE9"/>
  </w:style>
  <w:style w:type="character" w:customStyle="1" w:styleId="CharDivNo">
    <w:name w:val="CharDivNo"/>
    <w:basedOn w:val="OPCCharBase"/>
    <w:uiPriority w:val="1"/>
    <w:qFormat/>
    <w:rsid w:val="003B6DE9"/>
  </w:style>
  <w:style w:type="character" w:customStyle="1" w:styleId="CharDivText">
    <w:name w:val="CharDivText"/>
    <w:basedOn w:val="OPCCharBase"/>
    <w:uiPriority w:val="1"/>
    <w:qFormat/>
    <w:rsid w:val="003B6DE9"/>
  </w:style>
  <w:style w:type="character" w:customStyle="1" w:styleId="CharItalic">
    <w:name w:val="CharItalic"/>
    <w:basedOn w:val="OPCCharBase"/>
    <w:uiPriority w:val="1"/>
    <w:qFormat/>
    <w:rsid w:val="003B6DE9"/>
    <w:rPr>
      <w:i/>
    </w:rPr>
  </w:style>
  <w:style w:type="character" w:customStyle="1" w:styleId="CharPartNo">
    <w:name w:val="CharPartNo"/>
    <w:basedOn w:val="OPCCharBase"/>
    <w:uiPriority w:val="1"/>
    <w:qFormat/>
    <w:rsid w:val="003B6DE9"/>
  </w:style>
  <w:style w:type="character" w:customStyle="1" w:styleId="CharPartText">
    <w:name w:val="CharPartText"/>
    <w:basedOn w:val="OPCCharBase"/>
    <w:uiPriority w:val="1"/>
    <w:qFormat/>
    <w:rsid w:val="003B6DE9"/>
  </w:style>
  <w:style w:type="character" w:customStyle="1" w:styleId="CharSectno">
    <w:name w:val="CharSectno"/>
    <w:basedOn w:val="OPCCharBase"/>
    <w:qFormat/>
    <w:rsid w:val="003B6DE9"/>
  </w:style>
  <w:style w:type="character" w:customStyle="1" w:styleId="CharSubdNo">
    <w:name w:val="CharSubdNo"/>
    <w:basedOn w:val="OPCCharBase"/>
    <w:uiPriority w:val="1"/>
    <w:qFormat/>
    <w:rsid w:val="003B6DE9"/>
  </w:style>
  <w:style w:type="character" w:customStyle="1" w:styleId="CharSubdText">
    <w:name w:val="CharSubdText"/>
    <w:basedOn w:val="OPCCharBase"/>
    <w:uiPriority w:val="1"/>
    <w:qFormat/>
    <w:rsid w:val="003B6DE9"/>
  </w:style>
  <w:style w:type="paragraph" w:customStyle="1" w:styleId="CTA--">
    <w:name w:val="CTA --"/>
    <w:basedOn w:val="OPCParaBase"/>
    <w:next w:val="Normal"/>
    <w:rsid w:val="003B6DE9"/>
    <w:pPr>
      <w:spacing w:before="60" w:line="240" w:lineRule="atLeast"/>
      <w:ind w:left="142" w:hanging="142"/>
    </w:pPr>
    <w:rPr>
      <w:sz w:val="20"/>
    </w:rPr>
  </w:style>
  <w:style w:type="paragraph" w:customStyle="1" w:styleId="CTA-">
    <w:name w:val="CTA -"/>
    <w:basedOn w:val="OPCParaBase"/>
    <w:rsid w:val="003B6DE9"/>
    <w:pPr>
      <w:spacing w:before="60" w:line="240" w:lineRule="atLeast"/>
      <w:ind w:left="85" w:hanging="85"/>
    </w:pPr>
    <w:rPr>
      <w:sz w:val="20"/>
    </w:rPr>
  </w:style>
  <w:style w:type="paragraph" w:customStyle="1" w:styleId="CTA---">
    <w:name w:val="CTA ---"/>
    <w:basedOn w:val="OPCParaBase"/>
    <w:next w:val="Normal"/>
    <w:rsid w:val="003B6DE9"/>
    <w:pPr>
      <w:spacing w:before="60" w:line="240" w:lineRule="atLeast"/>
      <w:ind w:left="198" w:hanging="198"/>
    </w:pPr>
    <w:rPr>
      <w:sz w:val="20"/>
    </w:rPr>
  </w:style>
  <w:style w:type="paragraph" w:customStyle="1" w:styleId="CTA----">
    <w:name w:val="CTA ----"/>
    <w:basedOn w:val="OPCParaBase"/>
    <w:next w:val="Normal"/>
    <w:rsid w:val="003B6DE9"/>
    <w:pPr>
      <w:spacing w:before="60" w:line="240" w:lineRule="atLeast"/>
      <w:ind w:left="255" w:hanging="255"/>
    </w:pPr>
    <w:rPr>
      <w:sz w:val="20"/>
    </w:rPr>
  </w:style>
  <w:style w:type="paragraph" w:customStyle="1" w:styleId="CTA1a">
    <w:name w:val="CTA 1(a)"/>
    <w:basedOn w:val="OPCParaBase"/>
    <w:rsid w:val="003B6DE9"/>
    <w:pPr>
      <w:tabs>
        <w:tab w:val="right" w:pos="414"/>
      </w:tabs>
      <w:spacing w:before="40" w:line="240" w:lineRule="atLeast"/>
      <w:ind w:left="675" w:hanging="675"/>
    </w:pPr>
    <w:rPr>
      <w:sz w:val="20"/>
    </w:rPr>
  </w:style>
  <w:style w:type="paragraph" w:customStyle="1" w:styleId="CTA1ai">
    <w:name w:val="CTA 1(a)(i)"/>
    <w:basedOn w:val="OPCParaBase"/>
    <w:rsid w:val="003B6DE9"/>
    <w:pPr>
      <w:tabs>
        <w:tab w:val="right" w:pos="1004"/>
      </w:tabs>
      <w:spacing w:before="40" w:line="240" w:lineRule="atLeast"/>
      <w:ind w:left="1253" w:hanging="1253"/>
    </w:pPr>
    <w:rPr>
      <w:sz w:val="20"/>
    </w:rPr>
  </w:style>
  <w:style w:type="paragraph" w:customStyle="1" w:styleId="CTA2a">
    <w:name w:val="CTA 2(a)"/>
    <w:basedOn w:val="OPCParaBase"/>
    <w:rsid w:val="003B6DE9"/>
    <w:pPr>
      <w:tabs>
        <w:tab w:val="right" w:pos="482"/>
      </w:tabs>
      <w:spacing w:before="40" w:line="240" w:lineRule="atLeast"/>
      <w:ind w:left="748" w:hanging="748"/>
    </w:pPr>
    <w:rPr>
      <w:sz w:val="20"/>
    </w:rPr>
  </w:style>
  <w:style w:type="paragraph" w:customStyle="1" w:styleId="CTA2ai">
    <w:name w:val="CTA 2(a)(i)"/>
    <w:basedOn w:val="OPCParaBase"/>
    <w:rsid w:val="003B6DE9"/>
    <w:pPr>
      <w:tabs>
        <w:tab w:val="right" w:pos="1089"/>
      </w:tabs>
      <w:spacing w:before="40" w:line="240" w:lineRule="atLeast"/>
      <w:ind w:left="1327" w:hanging="1327"/>
    </w:pPr>
    <w:rPr>
      <w:sz w:val="20"/>
    </w:rPr>
  </w:style>
  <w:style w:type="paragraph" w:customStyle="1" w:styleId="CTA3a">
    <w:name w:val="CTA 3(a)"/>
    <w:basedOn w:val="OPCParaBase"/>
    <w:rsid w:val="003B6DE9"/>
    <w:pPr>
      <w:tabs>
        <w:tab w:val="right" w:pos="556"/>
      </w:tabs>
      <w:spacing w:before="40" w:line="240" w:lineRule="atLeast"/>
      <w:ind w:left="805" w:hanging="805"/>
    </w:pPr>
    <w:rPr>
      <w:sz w:val="20"/>
    </w:rPr>
  </w:style>
  <w:style w:type="paragraph" w:customStyle="1" w:styleId="CTA3ai">
    <w:name w:val="CTA 3(a)(i)"/>
    <w:basedOn w:val="OPCParaBase"/>
    <w:rsid w:val="003B6DE9"/>
    <w:pPr>
      <w:tabs>
        <w:tab w:val="right" w:pos="1140"/>
      </w:tabs>
      <w:spacing w:before="40" w:line="240" w:lineRule="atLeast"/>
      <w:ind w:left="1361" w:hanging="1361"/>
    </w:pPr>
    <w:rPr>
      <w:sz w:val="20"/>
    </w:rPr>
  </w:style>
  <w:style w:type="paragraph" w:customStyle="1" w:styleId="CTA4a">
    <w:name w:val="CTA 4(a)"/>
    <w:basedOn w:val="OPCParaBase"/>
    <w:rsid w:val="003B6DE9"/>
    <w:pPr>
      <w:tabs>
        <w:tab w:val="right" w:pos="624"/>
      </w:tabs>
      <w:spacing w:before="40" w:line="240" w:lineRule="atLeast"/>
      <w:ind w:left="873" w:hanging="873"/>
    </w:pPr>
    <w:rPr>
      <w:sz w:val="20"/>
    </w:rPr>
  </w:style>
  <w:style w:type="paragraph" w:customStyle="1" w:styleId="CTA4ai">
    <w:name w:val="CTA 4(a)(i)"/>
    <w:basedOn w:val="OPCParaBase"/>
    <w:rsid w:val="003B6DE9"/>
    <w:pPr>
      <w:tabs>
        <w:tab w:val="right" w:pos="1213"/>
      </w:tabs>
      <w:spacing w:before="40" w:line="240" w:lineRule="atLeast"/>
      <w:ind w:left="1452" w:hanging="1452"/>
    </w:pPr>
    <w:rPr>
      <w:sz w:val="20"/>
    </w:rPr>
  </w:style>
  <w:style w:type="paragraph" w:customStyle="1" w:styleId="CTACAPS">
    <w:name w:val="CTA CAPS"/>
    <w:basedOn w:val="OPCParaBase"/>
    <w:rsid w:val="003B6DE9"/>
    <w:pPr>
      <w:spacing w:before="60" w:line="240" w:lineRule="atLeast"/>
    </w:pPr>
    <w:rPr>
      <w:sz w:val="20"/>
    </w:rPr>
  </w:style>
  <w:style w:type="paragraph" w:customStyle="1" w:styleId="CTAright">
    <w:name w:val="CTA right"/>
    <w:basedOn w:val="OPCParaBase"/>
    <w:rsid w:val="003B6DE9"/>
    <w:pPr>
      <w:spacing w:before="60" w:line="240" w:lineRule="auto"/>
      <w:jc w:val="right"/>
    </w:pPr>
    <w:rPr>
      <w:sz w:val="20"/>
    </w:rPr>
  </w:style>
  <w:style w:type="paragraph" w:customStyle="1" w:styleId="subsection">
    <w:name w:val="subsection"/>
    <w:aliases w:val="ss,Subsection"/>
    <w:basedOn w:val="OPCParaBase"/>
    <w:link w:val="subsectionChar"/>
    <w:rsid w:val="003B6DE9"/>
    <w:pPr>
      <w:tabs>
        <w:tab w:val="right" w:pos="1021"/>
      </w:tabs>
      <w:spacing w:before="180" w:line="240" w:lineRule="auto"/>
      <w:ind w:left="1134" w:hanging="1134"/>
    </w:pPr>
  </w:style>
  <w:style w:type="paragraph" w:customStyle="1" w:styleId="Definition">
    <w:name w:val="Definition"/>
    <w:aliases w:val="dd"/>
    <w:basedOn w:val="OPCParaBase"/>
    <w:rsid w:val="003B6DE9"/>
    <w:pPr>
      <w:spacing w:before="180" w:line="240" w:lineRule="auto"/>
      <w:ind w:left="1134"/>
    </w:pPr>
  </w:style>
  <w:style w:type="paragraph" w:customStyle="1" w:styleId="ETAsubitem">
    <w:name w:val="ETA(subitem)"/>
    <w:basedOn w:val="OPCParaBase"/>
    <w:rsid w:val="003B6DE9"/>
    <w:pPr>
      <w:tabs>
        <w:tab w:val="right" w:pos="340"/>
      </w:tabs>
      <w:spacing w:before="60" w:line="240" w:lineRule="auto"/>
      <w:ind w:left="454" w:hanging="454"/>
    </w:pPr>
    <w:rPr>
      <w:sz w:val="20"/>
    </w:rPr>
  </w:style>
  <w:style w:type="paragraph" w:customStyle="1" w:styleId="ETApara">
    <w:name w:val="ETA(para)"/>
    <w:basedOn w:val="OPCParaBase"/>
    <w:rsid w:val="003B6DE9"/>
    <w:pPr>
      <w:tabs>
        <w:tab w:val="right" w:pos="754"/>
      </w:tabs>
      <w:spacing w:before="60" w:line="240" w:lineRule="auto"/>
      <w:ind w:left="828" w:hanging="828"/>
    </w:pPr>
    <w:rPr>
      <w:sz w:val="20"/>
    </w:rPr>
  </w:style>
  <w:style w:type="paragraph" w:customStyle="1" w:styleId="ETAsubpara">
    <w:name w:val="ETA(subpara)"/>
    <w:basedOn w:val="OPCParaBase"/>
    <w:rsid w:val="003B6DE9"/>
    <w:pPr>
      <w:tabs>
        <w:tab w:val="right" w:pos="1083"/>
      </w:tabs>
      <w:spacing w:before="60" w:line="240" w:lineRule="auto"/>
      <w:ind w:left="1191" w:hanging="1191"/>
    </w:pPr>
    <w:rPr>
      <w:sz w:val="20"/>
    </w:rPr>
  </w:style>
  <w:style w:type="paragraph" w:customStyle="1" w:styleId="ETAsub-subpara">
    <w:name w:val="ETA(sub-subpara)"/>
    <w:basedOn w:val="OPCParaBase"/>
    <w:rsid w:val="003B6DE9"/>
    <w:pPr>
      <w:tabs>
        <w:tab w:val="right" w:pos="1412"/>
      </w:tabs>
      <w:spacing w:before="60" w:line="240" w:lineRule="auto"/>
      <w:ind w:left="1525" w:hanging="1525"/>
    </w:pPr>
    <w:rPr>
      <w:sz w:val="20"/>
    </w:rPr>
  </w:style>
  <w:style w:type="paragraph" w:customStyle="1" w:styleId="Formula">
    <w:name w:val="Formula"/>
    <w:basedOn w:val="OPCParaBase"/>
    <w:rsid w:val="003B6DE9"/>
    <w:pPr>
      <w:spacing w:line="240" w:lineRule="auto"/>
      <w:ind w:left="1134"/>
    </w:pPr>
    <w:rPr>
      <w:sz w:val="20"/>
    </w:rPr>
  </w:style>
  <w:style w:type="paragraph" w:styleId="Header">
    <w:name w:val="header"/>
    <w:basedOn w:val="OPCParaBase"/>
    <w:link w:val="HeaderChar"/>
    <w:unhideWhenUsed/>
    <w:rsid w:val="003B6D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6DE9"/>
    <w:rPr>
      <w:rFonts w:eastAsia="Times New Roman" w:cs="Times New Roman"/>
      <w:sz w:val="16"/>
      <w:lang w:eastAsia="en-AU"/>
    </w:rPr>
  </w:style>
  <w:style w:type="paragraph" w:customStyle="1" w:styleId="House">
    <w:name w:val="House"/>
    <w:basedOn w:val="OPCParaBase"/>
    <w:rsid w:val="003B6DE9"/>
    <w:pPr>
      <w:spacing w:line="240" w:lineRule="auto"/>
    </w:pPr>
    <w:rPr>
      <w:sz w:val="28"/>
    </w:rPr>
  </w:style>
  <w:style w:type="paragraph" w:customStyle="1" w:styleId="Item">
    <w:name w:val="Item"/>
    <w:aliases w:val="i"/>
    <w:basedOn w:val="OPCParaBase"/>
    <w:next w:val="ItemHead"/>
    <w:rsid w:val="003B6DE9"/>
    <w:pPr>
      <w:keepLines/>
      <w:spacing w:before="80" w:line="240" w:lineRule="auto"/>
      <w:ind w:left="709"/>
    </w:pPr>
  </w:style>
  <w:style w:type="paragraph" w:customStyle="1" w:styleId="ItemHead">
    <w:name w:val="ItemHead"/>
    <w:aliases w:val="ih"/>
    <w:basedOn w:val="OPCParaBase"/>
    <w:next w:val="Item"/>
    <w:rsid w:val="003B6D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6DE9"/>
    <w:pPr>
      <w:spacing w:line="240" w:lineRule="auto"/>
    </w:pPr>
    <w:rPr>
      <w:b/>
      <w:sz w:val="32"/>
    </w:rPr>
  </w:style>
  <w:style w:type="paragraph" w:customStyle="1" w:styleId="notedraft">
    <w:name w:val="note(draft)"/>
    <w:aliases w:val="nd"/>
    <w:basedOn w:val="OPCParaBase"/>
    <w:rsid w:val="003B6DE9"/>
    <w:pPr>
      <w:spacing w:before="240" w:line="240" w:lineRule="auto"/>
      <w:ind w:left="284" w:hanging="284"/>
    </w:pPr>
    <w:rPr>
      <w:i/>
      <w:sz w:val="24"/>
    </w:rPr>
  </w:style>
  <w:style w:type="paragraph" w:customStyle="1" w:styleId="notemargin">
    <w:name w:val="note(margin)"/>
    <w:aliases w:val="nm"/>
    <w:basedOn w:val="OPCParaBase"/>
    <w:rsid w:val="003B6DE9"/>
    <w:pPr>
      <w:tabs>
        <w:tab w:val="left" w:pos="709"/>
      </w:tabs>
      <w:spacing w:before="122" w:line="198" w:lineRule="exact"/>
      <w:ind w:left="709" w:hanging="709"/>
    </w:pPr>
    <w:rPr>
      <w:sz w:val="18"/>
    </w:rPr>
  </w:style>
  <w:style w:type="paragraph" w:customStyle="1" w:styleId="noteToPara">
    <w:name w:val="noteToPara"/>
    <w:aliases w:val="ntp"/>
    <w:basedOn w:val="OPCParaBase"/>
    <w:rsid w:val="003B6DE9"/>
    <w:pPr>
      <w:spacing w:before="122" w:line="198" w:lineRule="exact"/>
      <w:ind w:left="2353" w:hanging="709"/>
    </w:pPr>
    <w:rPr>
      <w:sz w:val="18"/>
    </w:rPr>
  </w:style>
  <w:style w:type="paragraph" w:customStyle="1" w:styleId="noteParlAmend">
    <w:name w:val="note(ParlAmend)"/>
    <w:aliases w:val="npp"/>
    <w:basedOn w:val="OPCParaBase"/>
    <w:next w:val="ParlAmend"/>
    <w:rsid w:val="003B6DE9"/>
    <w:pPr>
      <w:spacing w:line="240" w:lineRule="auto"/>
      <w:jc w:val="right"/>
    </w:pPr>
    <w:rPr>
      <w:rFonts w:ascii="Arial" w:hAnsi="Arial"/>
      <w:b/>
      <w:i/>
    </w:rPr>
  </w:style>
  <w:style w:type="paragraph" w:customStyle="1" w:styleId="Page1">
    <w:name w:val="Page1"/>
    <w:basedOn w:val="OPCParaBase"/>
    <w:rsid w:val="003B6DE9"/>
    <w:pPr>
      <w:spacing w:before="5600" w:line="240" w:lineRule="auto"/>
    </w:pPr>
    <w:rPr>
      <w:b/>
      <w:sz w:val="32"/>
    </w:rPr>
  </w:style>
  <w:style w:type="paragraph" w:customStyle="1" w:styleId="PageBreak">
    <w:name w:val="PageBreak"/>
    <w:aliases w:val="pb"/>
    <w:basedOn w:val="OPCParaBase"/>
    <w:rsid w:val="003B6DE9"/>
    <w:pPr>
      <w:spacing w:line="240" w:lineRule="auto"/>
    </w:pPr>
    <w:rPr>
      <w:sz w:val="20"/>
    </w:rPr>
  </w:style>
  <w:style w:type="paragraph" w:customStyle="1" w:styleId="paragraphsub">
    <w:name w:val="paragraph(sub)"/>
    <w:aliases w:val="aa"/>
    <w:basedOn w:val="OPCParaBase"/>
    <w:rsid w:val="003B6DE9"/>
    <w:pPr>
      <w:tabs>
        <w:tab w:val="right" w:pos="1985"/>
      </w:tabs>
      <w:spacing w:before="40" w:line="240" w:lineRule="auto"/>
      <w:ind w:left="2098" w:hanging="2098"/>
    </w:pPr>
  </w:style>
  <w:style w:type="paragraph" w:customStyle="1" w:styleId="paragraphsub-sub">
    <w:name w:val="paragraph(sub-sub)"/>
    <w:aliases w:val="aaa"/>
    <w:basedOn w:val="OPCParaBase"/>
    <w:rsid w:val="003B6DE9"/>
    <w:pPr>
      <w:tabs>
        <w:tab w:val="right" w:pos="2722"/>
      </w:tabs>
      <w:spacing w:before="40" w:line="240" w:lineRule="auto"/>
      <w:ind w:left="2835" w:hanging="2835"/>
    </w:pPr>
  </w:style>
  <w:style w:type="paragraph" w:customStyle="1" w:styleId="paragraph">
    <w:name w:val="paragraph"/>
    <w:aliases w:val="a"/>
    <w:basedOn w:val="OPCParaBase"/>
    <w:rsid w:val="003B6DE9"/>
    <w:pPr>
      <w:tabs>
        <w:tab w:val="right" w:pos="1531"/>
      </w:tabs>
      <w:spacing w:before="40" w:line="240" w:lineRule="auto"/>
      <w:ind w:left="1644" w:hanging="1644"/>
    </w:pPr>
  </w:style>
  <w:style w:type="paragraph" w:customStyle="1" w:styleId="ParlAmend">
    <w:name w:val="ParlAmend"/>
    <w:aliases w:val="pp"/>
    <w:basedOn w:val="OPCParaBase"/>
    <w:rsid w:val="003B6DE9"/>
    <w:pPr>
      <w:spacing w:before="240" w:line="240" w:lineRule="atLeast"/>
      <w:ind w:hanging="567"/>
    </w:pPr>
    <w:rPr>
      <w:sz w:val="24"/>
    </w:rPr>
  </w:style>
  <w:style w:type="paragraph" w:customStyle="1" w:styleId="Penalty">
    <w:name w:val="Penalty"/>
    <w:basedOn w:val="OPCParaBase"/>
    <w:rsid w:val="003B6DE9"/>
    <w:pPr>
      <w:tabs>
        <w:tab w:val="left" w:pos="2977"/>
      </w:tabs>
      <w:spacing w:before="180" w:line="240" w:lineRule="auto"/>
      <w:ind w:left="1985" w:hanging="851"/>
    </w:pPr>
  </w:style>
  <w:style w:type="paragraph" w:customStyle="1" w:styleId="Portfolio">
    <w:name w:val="Portfolio"/>
    <w:basedOn w:val="OPCParaBase"/>
    <w:rsid w:val="003B6DE9"/>
    <w:pPr>
      <w:spacing w:line="240" w:lineRule="auto"/>
    </w:pPr>
    <w:rPr>
      <w:i/>
      <w:sz w:val="20"/>
    </w:rPr>
  </w:style>
  <w:style w:type="paragraph" w:customStyle="1" w:styleId="Preamble">
    <w:name w:val="Preamble"/>
    <w:basedOn w:val="OPCParaBase"/>
    <w:next w:val="Normal"/>
    <w:rsid w:val="003B6D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6DE9"/>
    <w:pPr>
      <w:spacing w:line="240" w:lineRule="auto"/>
    </w:pPr>
    <w:rPr>
      <w:i/>
      <w:sz w:val="20"/>
    </w:rPr>
  </w:style>
  <w:style w:type="paragraph" w:customStyle="1" w:styleId="Session">
    <w:name w:val="Session"/>
    <w:basedOn w:val="OPCParaBase"/>
    <w:rsid w:val="003B6DE9"/>
    <w:pPr>
      <w:spacing w:line="240" w:lineRule="auto"/>
    </w:pPr>
    <w:rPr>
      <w:sz w:val="28"/>
    </w:rPr>
  </w:style>
  <w:style w:type="paragraph" w:customStyle="1" w:styleId="Sponsor">
    <w:name w:val="Sponsor"/>
    <w:basedOn w:val="OPCParaBase"/>
    <w:rsid w:val="003B6DE9"/>
    <w:pPr>
      <w:spacing w:line="240" w:lineRule="auto"/>
    </w:pPr>
    <w:rPr>
      <w:i/>
    </w:rPr>
  </w:style>
  <w:style w:type="paragraph" w:customStyle="1" w:styleId="Subitem">
    <w:name w:val="Subitem"/>
    <w:aliases w:val="iss"/>
    <w:basedOn w:val="OPCParaBase"/>
    <w:rsid w:val="003B6DE9"/>
    <w:pPr>
      <w:spacing w:before="180" w:line="240" w:lineRule="auto"/>
      <w:ind w:left="709" w:hanging="709"/>
    </w:pPr>
  </w:style>
  <w:style w:type="paragraph" w:customStyle="1" w:styleId="SubitemHead">
    <w:name w:val="SubitemHead"/>
    <w:aliases w:val="issh"/>
    <w:basedOn w:val="OPCParaBase"/>
    <w:rsid w:val="003B6D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6DE9"/>
    <w:pPr>
      <w:spacing w:before="40" w:line="240" w:lineRule="auto"/>
      <w:ind w:left="1134"/>
    </w:pPr>
  </w:style>
  <w:style w:type="paragraph" w:customStyle="1" w:styleId="SubsectionHead">
    <w:name w:val="SubsectionHead"/>
    <w:aliases w:val="ssh"/>
    <w:basedOn w:val="OPCParaBase"/>
    <w:next w:val="subsection"/>
    <w:rsid w:val="003B6DE9"/>
    <w:pPr>
      <w:keepNext/>
      <w:keepLines/>
      <w:spacing w:before="240" w:line="240" w:lineRule="auto"/>
      <w:ind w:left="1134"/>
    </w:pPr>
    <w:rPr>
      <w:i/>
    </w:rPr>
  </w:style>
  <w:style w:type="paragraph" w:customStyle="1" w:styleId="Tablea">
    <w:name w:val="Table(a)"/>
    <w:aliases w:val="ta"/>
    <w:basedOn w:val="OPCParaBase"/>
    <w:rsid w:val="003B6DE9"/>
    <w:pPr>
      <w:spacing w:before="60" w:line="240" w:lineRule="auto"/>
      <w:ind w:left="284" w:hanging="284"/>
    </w:pPr>
    <w:rPr>
      <w:sz w:val="20"/>
    </w:rPr>
  </w:style>
  <w:style w:type="paragraph" w:customStyle="1" w:styleId="TableAA">
    <w:name w:val="Table(AA)"/>
    <w:aliases w:val="taaa"/>
    <w:basedOn w:val="OPCParaBase"/>
    <w:rsid w:val="003B6D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6D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6DE9"/>
    <w:pPr>
      <w:spacing w:before="60" w:line="240" w:lineRule="atLeast"/>
    </w:pPr>
    <w:rPr>
      <w:sz w:val="20"/>
    </w:rPr>
  </w:style>
  <w:style w:type="paragraph" w:customStyle="1" w:styleId="TLPBoxTextnote">
    <w:name w:val="TLPBoxText(note"/>
    <w:aliases w:val="right)"/>
    <w:basedOn w:val="OPCParaBase"/>
    <w:rsid w:val="003B6D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6D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6DE9"/>
    <w:pPr>
      <w:spacing w:before="122" w:line="198" w:lineRule="exact"/>
      <w:ind w:left="1985" w:hanging="851"/>
      <w:jc w:val="right"/>
    </w:pPr>
    <w:rPr>
      <w:sz w:val="18"/>
    </w:rPr>
  </w:style>
  <w:style w:type="paragraph" w:customStyle="1" w:styleId="TLPTableBullet">
    <w:name w:val="TLPTableBullet"/>
    <w:aliases w:val="ttb"/>
    <w:basedOn w:val="OPCParaBase"/>
    <w:rsid w:val="003B6DE9"/>
    <w:pPr>
      <w:spacing w:line="240" w:lineRule="exact"/>
      <w:ind w:left="284" w:hanging="284"/>
    </w:pPr>
    <w:rPr>
      <w:sz w:val="20"/>
    </w:rPr>
  </w:style>
  <w:style w:type="paragraph" w:styleId="TOC1">
    <w:name w:val="toc 1"/>
    <w:basedOn w:val="Normal"/>
    <w:next w:val="Normal"/>
    <w:uiPriority w:val="39"/>
    <w:unhideWhenUsed/>
    <w:rsid w:val="003B6DE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B6DE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B6DE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B6DE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B6DE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B6DE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B6DE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B6DE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B6DE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B6DE9"/>
    <w:pPr>
      <w:keepLines/>
      <w:spacing w:before="240" w:after="120" w:line="240" w:lineRule="auto"/>
      <w:ind w:left="794"/>
    </w:pPr>
    <w:rPr>
      <w:b/>
      <w:kern w:val="28"/>
      <w:sz w:val="20"/>
    </w:rPr>
  </w:style>
  <w:style w:type="paragraph" w:customStyle="1" w:styleId="TofSectsHeading">
    <w:name w:val="TofSects(Heading)"/>
    <w:basedOn w:val="OPCParaBase"/>
    <w:rsid w:val="003B6DE9"/>
    <w:pPr>
      <w:spacing w:before="240" w:after="120" w:line="240" w:lineRule="auto"/>
    </w:pPr>
    <w:rPr>
      <w:b/>
      <w:sz w:val="24"/>
    </w:rPr>
  </w:style>
  <w:style w:type="paragraph" w:customStyle="1" w:styleId="TofSectsSection">
    <w:name w:val="TofSects(Section)"/>
    <w:basedOn w:val="OPCParaBase"/>
    <w:rsid w:val="003B6DE9"/>
    <w:pPr>
      <w:keepLines/>
      <w:spacing w:before="40" w:line="240" w:lineRule="auto"/>
      <w:ind w:left="1588" w:hanging="794"/>
    </w:pPr>
    <w:rPr>
      <w:kern w:val="28"/>
      <w:sz w:val="18"/>
    </w:rPr>
  </w:style>
  <w:style w:type="paragraph" w:customStyle="1" w:styleId="TofSectsSubdiv">
    <w:name w:val="TofSects(Subdiv)"/>
    <w:basedOn w:val="OPCParaBase"/>
    <w:rsid w:val="003B6DE9"/>
    <w:pPr>
      <w:keepLines/>
      <w:spacing w:before="80" w:line="240" w:lineRule="auto"/>
      <w:ind w:left="1588" w:hanging="794"/>
    </w:pPr>
    <w:rPr>
      <w:kern w:val="28"/>
    </w:rPr>
  </w:style>
  <w:style w:type="paragraph" w:customStyle="1" w:styleId="WRStyle">
    <w:name w:val="WR Style"/>
    <w:aliases w:val="WR"/>
    <w:basedOn w:val="OPCParaBase"/>
    <w:rsid w:val="003B6DE9"/>
    <w:pPr>
      <w:spacing w:before="240" w:line="240" w:lineRule="auto"/>
      <w:ind w:left="284" w:hanging="284"/>
    </w:pPr>
    <w:rPr>
      <w:b/>
      <w:i/>
      <w:kern w:val="28"/>
      <w:sz w:val="24"/>
    </w:rPr>
  </w:style>
  <w:style w:type="paragraph" w:customStyle="1" w:styleId="notepara">
    <w:name w:val="note(para)"/>
    <w:aliases w:val="na"/>
    <w:basedOn w:val="OPCParaBase"/>
    <w:rsid w:val="003B6DE9"/>
    <w:pPr>
      <w:spacing w:before="40" w:line="198" w:lineRule="exact"/>
      <w:ind w:left="2354" w:hanging="369"/>
    </w:pPr>
    <w:rPr>
      <w:sz w:val="18"/>
    </w:rPr>
  </w:style>
  <w:style w:type="paragraph" w:styleId="Footer">
    <w:name w:val="footer"/>
    <w:link w:val="FooterChar"/>
    <w:rsid w:val="003B6D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6DE9"/>
    <w:rPr>
      <w:rFonts w:eastAsia="Times New Roman" w:cs="Times New Roman"/>
      <w:sz w:val="22"/>
      <w:szCs w:val="24"/>
      <w:lang w:eastAsia="en-AU"/>
    </w:rPr>
  </w:style>
  <w:style w:type="character" w:styleId="LineNumber">
    <w:name w:val="line number"/>
    <w:basedOn w:val="OPCCharBase"/>
    <w:uiPriority w:val="99"/>
    <w:unhideWhenUsed/>
    <w:rsid w:val="003B6DE9"/>
    <w:rPr>
      <w:sz w:val="16"/>
    </w:rPr>
  </w:style>
  <w:style w:type="table" w:customStyle="1" w:styleId="CFlag">
    <w:name w:val="CFlag"/>
    <w:basedOn w:val="TableNormal"/>
    <w:uiPriority w:val="99"/>
    <w:rsid w:val="003B6DE9"/>
    <w:rPr>
      <w:rFonts w:eastAsia="Times New Roman" w:cs="Times New Roman"/>
      <w:lang w:eastAsia="en-AU"/>
    </w:rPr>
    <w:tblPr/>
  </w:style>
  <w:style w:type="paragraph" w:styleId="BalloonText">
    <w:name w:val="Balloon Text"/>
    <w:basedOn w:val="Normal"/>
    <w:link w:val="BalloonTextChar"/>
    <w:uiPriority w:val="99"/>
    <w:unhideWhenUsed/>
    <w:rsid w:val="003B6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6DE9"/>
    <w:rPr>
      <w:rFonts w:ascii="Tahoma" w:hAnsi="Tahoma" w:cs="Tahoma"/>
      <w:sz w:val="16"/>
      <w:szCs w:val="16"/>
    </w:rPr>
  </w:style>
  <w:style w:type="table" w:styleId="TableGrid">
    <w:name w:val="Table Grid"/>
    <w:basedOn w:val="TableNormal"/>
    <w:uiPriority w:val="59"/>
    <w:rsid w:val="003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B6DE9"/>
    <w:rPr>
      <w:b/>
      <w:sz w:val="28"/>
      <w:szCs w:val="32"/>
    </w:rPr>
  </w:style>
  <w:style w:type="paragraph" w:customStyle="1" w:styleId="LegislationMadeUnder">
    <w:name w:val="LegislationMadeUnder"/>
    <w:basedOn w:val="OPCParaBase"/>
    <w:next w:val="Normal"/>
    <w:rsid w:val="003B6DE9"/>
    <w:rPr>
      <w:i/>
      <w:sz w:val="32"/>
      <w:szCs w:val="32"/>
    </w:rPr>
  </w:style>
  <w:style w:type="paragraph" w:customStyle="1" w:styleId="SignCoverPageEnd">
    <w:name w:val="SignCoverPageEnd"/>
    <w:basedOn w:val="OPCParaBase"/>
    <w:next w:val="Normal"/>
    <w:rsid w:val="003B6D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6DE9"/>
    <w:pPr>
      <w:pBdr>
        <w:top w:val="single" w:sz="4" w:space="1" w:color="auto"/>
      </w:pBdr>
      <w:spacing w:before="360"/>
      <w:ind w:right="397"/>
      <w:jc w:val="both"/>
    </w:pPr>
  </w:style>
  <w:style w:type="paragraph" w:customStyle="1" w:styleId="NotesHeading1">
    <w:name w:val="NotesHeading 1"/>
    <w:basedOn w:val="OPCParaBase"/>
    <w:next w:val="Normal"/>
    <w:rsid w:val="003B6DE9"/>
    <w:rPr>
      <w:b/>
      <w:sz w:val="28"/>
      <w:szCs w:val="28"/>
    </w:rPr>
  </w:style>
  <w:style w:type="paragraph" w:customStyle="1" w:styleId="NotesHeading2">
    <w:name w:val="NotesHeading 2"/>
    <w:basedOn w:val="OPCParaBase"/>
    <w:next w:val="Normal"/>
    <w:rsid w:val="003B6DE9"/>
    <w:rPr>
      <w:b/>
      <w:sz w:val="28"/>
      <w:szCs w:val="28"/>
    </w:rPr>
  </w:style>
  <w:style w:type="paragraph" w:customStyle="1" w:styleId="ENotesText">
    <w:name w:val="ENotesText"/>
    <w:aliases w:val="Ent"/>
    <w:basedOn w:val="OPCParaBase"/>
    <w:next w:val="Normal"/>
    <w:rsid w:val="003B6DE9"/>
    <w:pPr>
      <w:spacing w:before="120"/>
    </w:pPr>
  </w:style>
  <w:style w:type="paragraph" w:customStyle="1" w:styleId="CompiledActNo">
    <w:name w:val="CompiledActNo"/>
    <w:basedOn w:val="OPCParaBase"/>
    <w:next w:val="Normal"/>
    <w:rsid w:val="003B6DE9"/>
    <w:rPr>
      <w:b/>
      <w:sz w:val="24"/>
      <w:szCs w:val="24"/>
    </w:rPr>
  </w:style>
  <w:style w:type="paragraph" w:customStyle="1" w:styleId="CompiledMadeUnder">
    <w:name w:val="CompiledMadeUnder"/>
    <w:basedOn w:val="OPCParaBase"/>
    <w:next w:val="Normal"/>
    <w:rsid w:val="003B6DE9"/>
    <w:rPr>
      <w:i/>
      <w:sz w:val="24"/>
      <w:szCs w:val="24"/>
    </w:rPr>
  </w:style>
  <w:style w:type="paragraph" w:customStyle="1" w:styleId="Paragraphsub-sub-sub">
    <w:name w:val="Paragraph(sub-sub-sub)"/>
    <w:aliases w:val="aaaa"/>
    <w:basedOn w:val="OPCParaBase"/>
    <w:rsid w:val="003B6D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6D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6D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6D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6D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6DE9"/>
    <w:pPr>
      <w:spacing w:before="60" w:line="240" w:lineRule="auto"/>
    </w:pPr>
    <w:rPr>
      <w:rFonts w:cs="Arial"/>
      <w:sz w:val="20"/>
      <w:szCs w:val="22"/>
    </w:rPr>
  </w:style>
  <w:style w:type="paragraph" w:customStyle="1" w:styleId="NoteToSubpara">
    <w:name w:val="NoteToSubpara"/>
    <w:aliases w:val="nts"/>
    <w:basedOn w:val="OPCParaBase"/>
    <w:rsid w:val="003B6DE9"/>
    <w:pPr>
      <w:spacing w:before="40" w:line="198" w:lineRule="exact"/>
      <w:ind w:left="2835" w:hanging="709"/>
    </w:pPr>
    <w:rPr>
      <w:sz w:val="18"/>
    </w:rPr>
  </w:style>
  <w:style w:type="paragraph" w:customStyle="1" w:styleId="ENoteTableHeading">
    <w:name w:val="ENoteTableHeading"/>
    <w:aliases w:val="enth"/>
    <w:basedOn w:val="OPCParaBase"/>
    <w:rsid w:val="003B6DE9"/>
    <w:pPr>
      <w:keepNext/>
      <w:spacing w:before="60" w:line="240" w:lineRule="atLeast"/>
    </w:pPr>
    <w:rPr>
      <w:rFonts w:ascii="Arial" w:hAnsi="Arial"/>
      <w:b/>
      <w:sz w:val="16"/>
    </w:rPr>
  </w:style>
  <w:style w:type="paragraph" w:customStyle="1" w:styleId="ENoteTTi">
    <w:name w:val="ENoteTTi"/>
    <w:aliases w:val="entti"/>
    <w:basedOn w:val="OPCParaBase"/>
    <w:rsid w:val="003B6DE9"/>
    <w:pPr>
      <w:keepNext/>
      <w:spacing w:before="60" w:line="240" w:lineRule="atLeast"/>
      <w:ind w:left="170"/>
    </w:pPr>
    <w:rPr>
      <w:sz w:val="16"/>
    </w:rPr>
  </w:style>
  <w:style w:type="paragraph" w:customStyle="1" w:styleId="ENotesHeading1">
    <w:name w:val="ENotesHeading 1"/>
    <w:aliases w:val="Enh1"/>
    <w:basedOn w:val="OPCParaBase"/>
    <w:next w:val="Normal"/>
    <w:rsid w:val="003B6DE9"/>
    <w:pPr>
      <w:spacing w:before="120"/>
      <w:outlineLvl w:val="1"/>
    </w:pPr>
    <w:rPr>
      <w:b/>
      <w:sz w:val="28"/>
      <w:szCs w:val="28"/>
    </w:rPr>
  </w:style>
  <w:style w:type="paragraph" w:customStyle="1" w:styleId="ENotesHeading2">
    <w:name w:val="ENotesHeading 2"/>
    <w:aliases w:val="Enh2"/>
    <w:basedOn w:val="OPCParaBase"/>
    <w:next w:val="Normal"/>
    <w:rsid w:val="003B6DE9"/>
    <w:pPr>
      <w:spacing w:before="120" w:after="120"/>
      <w:outlineLvl w:val="2"/>
    </w:pPr>
    <w:rPr>
      <w:b/>
      <w:sz w:val="24"/>
      <w:szCs w:val="28"/>
    </w:rPr>
  </w:style>
  <w:style w:type="paragraph" w:customStyle="1" w:styleId="ENoteTTIndentHeading">
    <w:name w:val="ENoteTTIndentHeading"/>
    <w:aliases w:val="enTTHi"/>
    <w:basedOn w:val="OPCParaBase"/>
    <w:rsid w:val="003B6D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6DE9"/>
    <w:pPr>
      <w:spacing w:before="60" w:line="240" w:lineRule="atLeast"/>
    </w:pPr>
    <w:rPr>
      <w:sz w:val="16"/>
    </w:rPr>
  </w:style>
  <w:style w:type="paragraph" w:customStyle="1" w:styleId="MadeunderText">
    <w:name w:val="MadeunderText"/>
    <w:basedOn w:val="OPCParaBase"/>
    <w:next w:val="Normal"/>
    <w:rsid w:val="003B6DE9"/>
    <w:pPr>
      <w:spacing w:before="240"/>
    </w:pPr>
    <w:rPr>
      <w:sz w:val="24"/>
      <w:szCs w:val="24"/>
    </w:rPr>
  </w:style>
  <w:style w:type="paragraph" w:customStyle="1" w:styleId="ENotesHeading3">
    <w:name w:val="ENotesHeading 3"/>
    <w:aliases w:val="Enh3"/>
    <w:basedOn w:val="OPCParaBase"/>
    <w:next w:val="Normal"/>
    <w:rsid w:val="003B6DE9"/>
    <w:pPr>
      <w:keepNext/>
      <w:spacing w:before="120" w:line="240" w:lineRule="auto"/>
      <w:outlineLvl w:val="4"/>
    </w:pPr>
    <w:rPr>
      <w:b/>
      <w:szCs w:val="24"/>
    </w:rPr>
  </w:style>
  <w:style w:type="character" w:customStyle="1" w:styleId="CharSubPartTextCASA">
    <w:name w:val="CharSubPartText(CASA)"/>
    <w:basedOn w:val="OPCCharBase"/>
    <w:uiPriority w:val="1"/>
    <w:rsid w:val="003B6DE9"/>
  </w:style>
  <w:style w:type="character" w:customStyle="1" w:styleId="CharSubPartNoCASA">
    <w:name w:val="CharSubPartNo(CASA)"/>
    <w:basedOn w:val="OPCCharBase"/>
    <w:uiPriority w:val="1"/>
    <w:rsid w:val="003B6DE9"/>
  </w:style>
  <w:style w:type="paragraph" w:customStyle="1" w:styleId="ENoteTTIndentHeadingSub">
    <w:name w:val="ENoteTTIndentHeadingSub"/>
    <w:aliases w:val="enTTHis"/>
    <w:basedOn w:val="OPCParaBase"/>
    <w:rsid w:val="003B6DE9"/>
    <w:pPr>
      <w:keepNext/>
      <w:spacing w:before="60" w:line="240" w:lineRule="atLeast"/>
      <w:ind w:left="340"/>
    </w:pPr>
    <w:rPr>
      <w:b/>
      <w:sz w:val="16"/>
    </w:rPr>
  </w:style>
  <w:style w:type="paragraph" w:customStyle="1" w:styleId="ENoteTTiSub">
    <w:name w:val="ENoteTTiSub"/>
    <w:aliases w:val="enttis"/>
    <w:basedOn w:val="OPCParaBase"/>
    <w:rsid w:val="003B6DE9"/>
    <w:pPr>
      <w:keepNext/>
      <w:spacing w:before="60" w:line="240" w:lineRule="atLeast"/>
      <w:ind w:left="340"/>
    </w:pPr>
    <w:rPr>
      <w:sz w:val="16"/>
    </w:rPr>
  </w:style>
  <w:style w:type="paragraph" w:customStyle="1" w:styleId="SubDivisionMigration">
    <w:name w:val="SubDivisionMigration"/>
    <w:aliases w:val="sdm"/>
    <w:basedOn w:val="OPCParaBase"/>
    <w:rsid w:val="003B6D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6DE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B6DE9"/>
    <w:pPr>
      <w:spacing w:before="122" w:line="240" w:lineRule="auto"/>
      <w:ind w:left="1985" w:hanging="851"/>
    </w:pPr>
    <w:rPr>
      <w:sz w:val="18"/>
    </w:rPr>
  </w:style>
  <w:style w:type="paragraph" w:customStyle="1" w:styleId="FreeForm">
    <w:name w:val="FreeForm"/>
    <w:rsid w:val="003B6DE9"/>
    <w:rPr>
      <w:rFonts w:ascii="Arial" w:hAnsi="Arial"/>
      <w:sz w:val="22"/>
    </w:rPr>
  </w:style>
  <w:style w:type="paragraph" w:customStyle="1" w:styleId="SOText">
    <w:name w:val="SO Text"/>
    <w:aliases w:val="sot"/>
    <w:link w:val="SOTextChar"/>
    <w:rsid w:val="003B6D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6DE9"/>
    <w:rPr>
      <w:sz w:val="22"/>
    </w:rPr>
  </w:style>
  <w:style w:type="paragraph" w:customStyle="1" w:styleId="SOTextNote">
    <w:name w:val="SO TextNote"/>
    <w:aliases w:val="sont"/>
    <w:basedOn w:val="SOText"/>
    <w:qFormat/>
    <w:rsid w:val="003B6DE9"/>
    <w:pPr>
      <w:spacing w:before="122" w:line="198" w:lineRule="exact"/>
      <w:ind w:left="1843" w:hanging="709"/>
    </w:pPr>
    <w:rPr>
      <w:sz w:val="18"/>
    </w:rPr>
  </w:style>
  <w:style w:type="paragraph" w:customStyle="1" w:styleId="SOPara">
    <w:name w:val="SO Para"/>
    <w:aliases w:val="soa"/>
    <w:basedOn w:val="SOText"/>
    <w:link w:val="SOParaChar"/>
    <w:qFormat/>
    <w:rsid w:val="003B6DE9"/>
    <w:pPr>
      <w:tabs>
        <w:tab w:val="right" w:pos="1786"/>
      </w:tabs>
      <w:spacing w:before="40"/>
      <w:ind w:left="2070" w:hanging="936"/>
    </w:pPr>
  </w:style>
  <w:style w:type="character" w:customStyle="1" w:styleId="SOParaChar">
    <w:name w:val="SO Para Char"/>
    <w:aliases w:val="soa Char"/>
    <w:basedOn w:val="DefaultParagraphFont"/>
    <w:link w:val="SOPara"/>
    <w:rsid w:val="003B6DE9"/>
    <w:rPr>
      <w:sz w:val="22"/>
    </w:rPr>
  </w:style>
  <w:style w:type="paragraph" w:customStyle="1" w:styleId="FileName">
    <w:name w:val="FileName"/>
    <w:basedOn w:val="Normal"/>
    <w:rsid w:val="003B6DE9"/>
  </w:style>
  <w:style w:type="paragraph" w:customStyle="1" w:styleId="TableHeading">
    <w:name w:val="TableHeading"/>
    <w:aliases w:val="th"/>
    <w:basedOn w:val="OPCParaBase"/>
    <w:next w:val="Tabletext"/>
    <w:rsid w:val="003B6DE9"/>
    <w:pPr>
      <w:keepNext/>
      <w:spacing w:before="60" w:line="240" w:lineRule="atLeast"/>
    </w:pPr>
    <w:rPr>
      <w:b/>
      <w:sz w:val="20"/>
    </w:rPr>
  </w:style>
  <w:style w:type="paragraph" w:customStyle="1" w:styleId="SOHeadBold">
    <w:name w:val="SO HeadBold"/>
    <w:aliases w:val="sohb"/>
    <w:basedOn w:val="SOText"/>
    <w:next w:val="SOText"/>
    <w:link w:val="SOHeadBoldChar"/>
    <w:qFormat/>
    <w:rsid w:val="003B6DE9"/>
    <w:rPr>
      <w:b/>
    </w:rPr>
  </w:style>
  <w:style w:type="character" w:customStyle="1" w:styleId="SOHeadBoldChar">
    <w:name w:val="SO HeadBold Char"/>
    <w:aliases w:val="sohb Char"/>
    <w:basedOn w:val="DefaultParagraphFont"/>
    <w:link w:val="SOHeadBold"/>
    <w:rsid w:val="003B6DE9"/>
    <w:rPr>
      <w:b/>
      <w:sz w:val="22"/>
    </w:rPr>
  </w:style>
  <w:style w:type="paragraph" w:customStyle="1" w:styleId="SOHeadItalic">
    <w:name w:val="SO HeadItalic"/>
    <w:aliases w:val="sohi"/>
    <w:basedOn w:val="SOText"/>
    <w:next w:val="SOText"/>
    <w:link w:val="SOHeadItalicChar"/>
    <w:qFormat/>
    <w:rsid w:val="003B6DE9"/>
    <w:rPr>
      <w:i/>
    </w:rPr>
  </w:style>
  <w:style w:type="character" w:customStyle="1" w:styleId="SOHeadItalicChar">
    <w:name w:val="SO HeadItalic Char"/>
    <w:aliases w:val="sohi Char"/>
    <w:basedOn w:val="DefaultParagraphFont"/>
    <w:link w:val="SOHeadItalic"/>
    <w:rsid w:val="003B6DE9"/>
    <w:rPr>
      <w:i/>
      <w:sz w:val="22"/>
    </w:rPr>
  </w:style>
  <w:style w:type="paragraph" w:customStyle="1" w:styleId="SOBullet">
    <w:name w:val="SO Bullet"/>
    <w:aliases w:val="sotb"/>
    <w:basedOn w:val="SOText"/>
    <w:link w:val="SOBulletChar"/>
    <w:qFormat/>
    <w:rsid w:val="003B6DE9"/>
    <w:pPr>
      <w:ind w:left="1559" w:hanging="425"/>
    </w:pPr>
  </w:style>
  <w:style w:type="character" w:customStyle="1" w:styleId="SOBulletChar">
    <w:name w:val="SO Bullet Char"/>
    <w:aliases w:val="sotb Char"/>
    <w:basedOn w:val="DefaultParagraphFont"/>
    <w:link w:val="SOBullet"/>
    <w:rsid w:val="003B6DE9"/>
    <w:rPr>
      <w:sz w:val="22"/>
    </w:rPr>
  </w:style>
  <w:style w:type="paragraph" w:customStyle="1" w:styleId="SOBulletNote">
    <w:name w:val="SO BulletNote"/>
    <w:aliases w:val="sonb"/>
    <w:basedOn w:val="SOTextNote"/>
    <w:link w:val="SOBulletNoteChar"/>
    <w:qFormat/>
    <w:rsid w:val="003B6DE9"/>
    <w:pPr>
      <w:tabs>
        <w:tab w:val="left" w:pos="1560"/>
      </w:tabs>
      <w:ind w:left="2268" w:hanging="1134"/>
    </w:pPr>
  </w:style>
  <w:style w:type="character" w:customStyle="1" w:styleId="SOBulletNoteChar">
    <w:name w:val="SO BulletNote Char"/>
    <w:aliases w:val="sonb Char"/>
    <w:basedOn w:val="DefaultParagraphFont"/>
    <w:link w:val="SOBulletNote"/>
    <w:rsid w:val="003B6DE9"/>
    <w:rPr>
      <w:sz w:val="18"/>
    </w:rPr>
  </w:style>
  <w:style w:type="paragraph" w:customStyle="1" w:styleId="SOText2">
    <w:name w:val="SO Text2"/>
    <w:aliases w:val="sot2"/>
    <w:basedOn w:val="Normal"/>
    <w:next w:val="SOText"/>
    <w:link w:val="SOText2Char"/>
    <w:rsid w:val="003B6D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6DE9"/>
    <w:rPr>
      <w:sz w:val="22"/>
    </w:rPr>
  </w:style>
  <w:style w:type="paragraph" w:customStyle="1" w:styleId="SubPartCASA">
    <w:name w:val="SubPart(CASA)"/>
    <w:aliases w:val="csp"/>
    <w:basedOn w:val="OPCParaBase"/>
    <w:next w:val="ActHead3"/>
    <w:rsid w:val="003B6DE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B6DE9"/>
    <w:rPr>
      <w:rFonts w:eastAsia="Times New Roman" w:cs="Times New Roman"/>
      <w:sz w:val="22"/>
      <w:lang w:eastAsia="en-AU"/>
    </w:rPr>
  </w:style>
  <w:style w:type="character" w:customStyle="1" w:styleId="notetextChar">
    <w:name w:val="note(text) Char"/>
    <w:aliases w:val="n Char"/>
    <w:basedOn w:val="DefaultParagraphFont"/>
    <w:link w:val="notetext"/>
    <w:rsid w:val="003B6DE9"/>
    <w:rPr>
      <w:rFonts w:eastAsia="Times New Roman" w:cs="Times New Roman"/>
      <w:sz w:val="18"/>
      <w:lang w:eastAsia="en-AU"/>
    </w:rPr>
  </w:style>
  <w:style w:type="character" w:customStyle="1" w:styleId="Heading1Char">
    <w:name w:val="Heading 1 Char"/>
    <w:basedOn w:val="DefaultParagraphFont"/>
    <w:link w:val="Heading1"/>
    <w:uiPriority w:val="9"/>
    <w:rsid w:val="003B6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D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6D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B6D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B6D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B6D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B6D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B6D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B6DE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B6DE9"/>
  </w:style>
  <w:style w:type="character" w:customStyle="1" w:styleId="charlegsubtitle1">
    <w:name w:val="charlegsubtitle1"/>
    <w:basedOn w:val="DefaultParagraphFont"/>
    <w:rsid w:val="003B6DE9"/>
    <w:rPr>
      <w:rFonts w:ascii="Arial" w:hAnsi="Arial" w:cs="Arial" w:hint="default"/>
      <w:b/>
      <w:bCs/>
      <w:sz w:val="28"/>
      <w:szCs w:val="28"/>
    </w:rPr>
  </w:style>
  <w:style w:type="paragraph" w:styleId="Index1">
    <w:name w:val="index 1"/>
    <w:basedOn w:val="Normal"/>
    <w:next w:val="Normal"/>
    <w:autoRedefine/>
    <w:rsid w:val="003B6DE9"/>
    <w:pPr>
      <w:ind w:left="240" w:hanging="240"/>
    </w:pPr>
  </w:style>
  <w:style w:type="paragraph" w:styleId="Index2">
    <w:name w:val="index 2"/>
    <w:basedOn w:val="Normal"/>
    <w:next w:val="Normal"/>
    <w:autoRedefine/>
    <w:rsid w:val="003B6DE9"/>
    <w:pPr>
      <w:ind w:left="480" w:hanging="240"/>
    </w:pPr>
  </w:style>
  <w:style w:type="paragraph" w:styleId="Index3">
    <w:name w:val="index 3"/>
    <w:basedOn w:val="Normal"/>
    <w:next w:val="Normal"/>
    <w:autoRedefine/>
    <w:rsid w:val="003B6DE9"/>
    <w:pPr>
      <w:ind w:left="720" w:hanging="240"/>
    </w:pPr>
  </w:style>
  <w:style w:type="paragraph" w:styleId="Index4">
    <w:name w:val="index 4"/>
    <w:basedOn w:val="Normal"/>
    <w:next w:val="Normal"/>
    <w:autoRedefine/>
    <w:rsid w:val="003B6DE9"/>
    <w:pPr>
      <w:ind w:left="960" w:hanging="240"/>
    </w:pPr>
  </w:style>
  <w:style w:type="paragraph" w:styleId="Index5">
    <w:name w:val="index 5"/>
    <w:basedOn w:val="Normal"/>
    <w:next w:val="Normal"/>
    <w:autoRedefine/>
    <w:rsid w:val="003B6DE9"/>
    <w:pPr>
      <w:ind w:left="1200" w:hanging="240"/>
    </w:pPr>
  </w:style>
  <w:style w:type="paragraph" w:styleId="Index6">
    <w:name w:val="index 6"/>
    <w:basedOn w:val="Normal"/>
    <w:next w:val="Normal"/>
    <w:autoRedefine/>
    <w:rsid w:val="003B6DE9"/>
    <w:pPr>
      <w:ind w:left="1440" w:hanging="240"/>
    </w:pPr>
  </w:style>
  <w:style w:type="paragraph" w:styleId="Index7">
    <w:name w:val="index 7"/>
    <w:basedOn w:val="Normal"/>
    <w:next w:val="Normal"/>
    <w:autoRedefine/>
    <w:rsid w:val="003B6DE9"/>
    <w:pPr>
      <w:ind w:left="1680" w:hanging="240"/>
    </w:pPr>
  </w:style>
  <w:style w:type="paragraph" w:styleId="Index8">
    <w:name w:val="index 8"/>
    <w:basedOn w:val="Normal"/>
    <w:next w:val="Normal"/>
    <w:autoRedefine/>
    <w:rsid w:val="003B6DE9"/>
    <w:pPr>
      <w:ind w:left="1920" w:hanging="240"/>
    </w:pPr>
  </w:style>
  <w:style w:type="paragraph" w:styleId="Index9">
    <w:name w:val="index 9"/>
    <w:basedOn w:val="Normal"/>
    <w:next w:val="Normal"/>
    <w:autoRedefine/>
    <w:rsid w:val="003B6DE9"/>
    <w:pPr>
      <w:ind w:left="2160" w:hanging="240"/>
    </w:pPr>
  </w:style>
  <w:style w:type="paragraph" w:styleId="NormalIndent">
    <w:name w:val="Normal Indent"/>
    <w:basedOn w:val="Normal"/>
    <w:rsid w:val="003B6DE9"/>
    <w:pPr>
      <w:ind w:left="720"/>
    </w:pPr>
  </w:style>
  <w:style w:type="paragraph" w:styleId="FootnoteText">
    <w:name w:val="footnote text"/>
    <w:basedOn w:val="Normal"/>
    <w:link w:val="FootnoteTextChar"/>
    <w:rsid w:val="003B6DE9"/>
    <w:rPr>
      <w:sz w:val="20"/>
    </w:rPr>
  </w:style>
  <w:style w:type="character" w:customStyle="1" w:styleId="FootnoteTextChar">
    <w:name w:val="Footnote Text Char"/>
    <w:basedOn w:val="DefaultParagraphFont"/>
    <w:link w:val="FootnoteText"/>
    <w:rsid w:val="003B6DE9"/>
  </w:style>
  <w:style w:type="paragraph" w:styleId="CommentText">
    <w:name w:val="annotation text"/>
    <w:basedOn w:val="Normal"/>
    <w:link w:val="CommentTextChar"/>
    <w:rsid w:val="003B6DE9"/>
    <w:rPr>
      <w:sz w:val="20"/>
    </w:rPr>
  </w:style>
  <w:style w:type="character" w:customStyle="1" w:styleId="CommentTextChar">
    <w:name w:val="Comment Text Char"/>
    <w:basedOn w:val="DefaultParagraphFont"/>
    <w:link w:val="CommentText"/>
    <w:rsid w:val="003B6DE9"/>
  </w:style>
  <w:style w:type="paragraph" w:styleId="IndexHeading">
    <w:name w:val="index heading"/>
    <w:basedOn w:val="Normal"/>
    <w:next w:val="Index1"/>
    <w:rsid w:val="003B6DE9"/>
    <w:rPr>
      <w:rFonts w:ascii="Arial" w:hAnsi="Arial" w:cs="Arial"/>
      <w:b/>
      <w:bCs/>
    </w:rPr>
  </w:style>
  <w:style w:type="paragraph" w:styleId="Caption">
    <w:name w:val="caption"/>
    <w:basedOn w:val="Normal"/>
    <w:next w:val="Normal"/>
    <w:qFormat/>
    <w:rsid w:val="003B6DE9"/>
    <w:pPr>
      <w:spacing w:before="120" w:after="120"/>
    </w:pPr>
    <w:rPr>
      <w:b/>
      <w:bCs/>
      <w:sz w:val="20"/>
    </w:rPr>
  </w:style>
  <w:style w:type="paragraph" w:styleId="TableofFigures">
    <w:name w:val="table of figures"/>
    <w:basedOn w:val="Normal"/>
    <w:next w:val="Normal"/>
    <w:rsid w:val="003B6DE9"/>
    <w:pPr>
      <w:ind w:left="480" w:hanging="480"/>
    </w:pPr>
  </w:style>
  <w:style w:type="paragraph" w:styleId="EnvelopeAddress">
    <w:name w:val="envelope address"/>
    <w:basedOn w:val="Normal"/>
    <w:rsid w:val="003B6D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6DE9"/>
    <w:rPr>
      <w:rFonts w:ascii="Arial" w:hAnsi="Arial" w:cs="Arial"/>
      <w:sz w:val="20"/>
    </w:rPr>
  </w:style>
  <w:style w:type="character" w:styleId="FootnoteReference">
    <w:name w:val="footnote reference"/>
    <w:basedOn w:val="DefaultParagraphFont"/>
    <w:rsid w:val="003B6DE9"/>
    <w:rPr>
      <w:rFonts w:ascii="Times New Roman" w:hAnsi="Times New Roman"/>
      <w:sz w:val="20"/>
      <w:vertAlign w:val="superscript"/>
    </w:rPr>
  </w:style>
  <w:style w:type="character" w:styleId="CommentReference">
    <w:name w:val="annotation reference"/>
    <w:basedOn w:val="DefaultParagraphFont"/>
    <w:rsid w:val="003B6DE9"/>
    <w:rPr>
      <w:sz w:val="16"/>
      <w:szCs w:val="16"/>
    </w:rPr>
  </w:style>
  <w:style w:type="character" w:styleId="PageNumber">
    <w:name w:val="page number"/>
    <w:basedOn w:val="DefaultParagraphFont"/>
    <w:rsid w:val="003B6DE9"/>
  </w:style>
  <w:style w:type="character" w:styleId="EndnoteReference">
    <w:name w:val="endnote reference"/>
    <w:basedOn w:val="DefaultParagraphFont"/>
    <w:rsid w:val="003B6DE9"/>
    <w:rPr>
      <w:vertAlign w:val="superscript"/>
    </w:rPr>
  </w:style>
  <w:style w:type="paragraph" w:styleId="EndnoteText">
    <w:name w:val="endnote text"/>
    <w:basedOn w:val="Normal"/>
    <w:link w:val="EndnoteTextChar"/>
    <w:rsid w:val="003B6DE9"/>
    <w:rPr>
      <w:sz w:val="20"/>
    </w:rPr>
  </w:style>
  <w:style w:type="character" w:customStyle="1" w:styleId="EndnoteTextChar">
    <w:name w:val="Endnote Text Char"/>
    <w:basedOn w:val="DefaultParagraphFont"/>
    <w:link w:val="EndnoteText"/>
    <w:rsid w:val="003B6DE9"/>
  </w:style>
  <w:style w:type="paragraph" w:styleId="TableofAuthorities">
    <w:name w:val="table of authorities"/>
    <w:basedOn w:val="Normal"/>
    <w:next w:val="Normal"/>
    <w:rsid w:val="003B6DE9"/>
    <w:pPr>
      <w:ind w:left="240" w:hanging="240"/>
    </w:pPr>
  </w:style>
  <w:style w:type="paragraph" w:styleId="MacroText">
    <w:name w:val="macro"/>
    <w:link w:val="MacroTextChar"/>
    <w:rsid w:val="003B6D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B6DE9"/>
    <w:rPr>
      <w:rFonts w:ascii="Courier New" w:eastAsia="Times New Roman" w:hAnsi="Courier New" w:cs="Courier New"/>
      <w:lang w:eastAsia="en-AU"/>
    </w:rPr>
  </w:style>
  <w:style w:type="paragraph" w:styleId="TOAHeading">
    <w:name w:val="toa heading"/>
    <w:basedOn w:val="Normal"/>
    <w:next w:val="Normal"/>
    <w:rsid w:val="003B6DE9"/>
    <w:pPr>
      <w:spacing w:before="120"/>
    </w:pPr>
    <w:rPr>
      <w:rFonts w:ascii="Arial" w:hAnsi="Arial" w:cs="Arial"/>
      <w:b/>
      <w:bCs/>
    </w:rPr>
  </w:style>
  <w:style w:type="paragraph" w:styleId="List">
    <w:name w:val="List"/>
    <w:basedOn w:val="Normal"/>
    <w:rsid w:val="003B6DE9"/>
    <w:pPr>
      <w:ind w:left="283" w:hanging="283"/>
    </w:pPr>
  </w:style>
  <w:style w:type="paragraph" w:styleId="ListBullet">
    <w:name w:val="List Bullet"/>
    <w:basedOn w:val="Normal"/>
    <w:autoRedefine/>
    <w:rsid w:val="003B6DE9"/>
    <w:pPr>
      <w:tabs>
        <w:tab w:val="num" w:pos="360"/>
      </w:tabs>
      <w:ind w:left="360" w:hanging="360"/>
    </w:pPr>
  </w:style>
  <w:style w:type="paragraph" w:styleId="ListNumber">
    <w:name w:val="List Number"/>
    <w:basedOn w:val="Normal"/>
    <w:rsid w:val="003B6DE9"/>
    <w:pPr>
      <w:tabs>
        <w:tab w:val="num" w:pos="360"/>
      </w:tabs>
      <w:ind w:left="360" w:hanging="360"/>
    </w:pPr>
  </w:style>
  <w:style w:type="paragraph" w:styleId="List2">
    <w:name w:val="List 2"/>
    <w:basedOn w:val="Normal"/>
    <w:rsid w:val="003B6DE9"/>
    <w:pPr>
      <w:ind w:left="566" w:hanging="283"/>
    </w:pPr>
  </w:style>
  <w:style w:type="paragraph" w:styleId="List3">
    <w:name w:val="List 3"/>
    <w:basedOn w:val="Normal"/>
    <w:rsid w:val="003B6DE9"/>
    <w:pPr>
      <w:ind w:left="849" w:hanging="283"/>
    </w:pPr>
  </w:style>
  <w:style w:type="paragraph" w:styleId="List4">
    <w:name w:val="List 4"/>
    <w:basedOn w:val="Normal"/>
    <w:rsid w:val="003B6DE9"/>
    <w:pPr>
      <w:ind w:left="1132" w:hanging="283"/>
    </w:pPr>
  </w:style>
  <w:style w:type="paragraph" w:styleId="List5">
    <w:name w:val="List 5"/>
    <w:basedOn w:val="Normal"/>
    <w:rsid w:val="003B6DE9"/>
    <w:pPr>
      <w:ind w:left="1415" w:hanging="283"/>
    </w:pPr>
  </w:style>
  <w:style w:type="paragraph" w:styleId="ListBullet2">
    <w:name w:val="List Bullet 2"/>
    <w:basedOn w:val="Normal"/>
    <w:autoRedefine/>
    <w:rsid w:val="003B6DE9"/>
    <w:pPr>
      <w:tabs>
        <w:tab w:val="num" w:pos="360"/>
      </w:tabs>
    </w:pPr>
  </w:style>
  <w:style w:type="paragraph" w:styleId="ListBullet3">
    <w:name w:val="List Bullet 3"/>
    <w:basedOn w:val="Normal"/>
    <w:autoRedefine/>
    <w:rsid w:val="003B6DE9"/>
    <w:pPr>
      <w:tabs>
        <w:tab w:val="num" w:pos="926"/>
      </w:tabs>
      <w:ind w:left="926" w:hanging="360"/>
    </w:pPr>
  </w:style>
  <w:style w:type="paragraph" w:styleId="ListBullet4">
    <w:name w:val="List Bullet 4"/>
    <w:basedOn w:val="Normal"/>
    <w:autoRedefine/>
    <w:rsid w:val="003B6DE9"/>
    <w:pPr>
      <w:tabs>
        <w:tab w:val="num" w:pos="1209"/>
      </w:tabs>
      <w:ind w:left="1209" w:hanging="360"/>
    </w:pPr>
  </w:style>
  <w:style w:type="paragraph" w:styleId="ListBullet5">
    <w:name w:val="List Bullet 5"/>
    <w:basedOn w:val="Normal"/>
    <w:autoRedefine/>
    <w:rsid w:val="003B6DE9"/>
    <w:pPr>
      <w:tabs>
        <w:tab w:val="num" w:pos="1492"/>
      </w:tabs>
      <w:ind w:left="1492" w:hanging="360"/>
    </w:pPr>
  </w:style>
  <w:style w:type="paragraph" w:styleId="ListNumber2">
    <w:name w:val="List Number 2"/>
    <w:basedOn w:val="Normal"/>
    <w:rsid w:val="003B6DE9"/>
    <w:pPr>
      <w:tabs>
        <w:tab w:val="num" w:pos="643"/>
      </w:tabs>
      <w:ind w:left="643" w:hanging="360"/>
    </w:pPr>
  </w:style>
  <w:style w:type="paragraph" w:styleId="ListNumber3">
    <w:name w:val="List Number 3"/>
    <w:basedOn w:val="Normal"/>
    <w:rsid w:val="003B6DE9"/>
    <w:pPr>
      <w:tabs>
        <w:tab w:val="num" w:pos="926"/>
      </w:tabs>
      <w:ind w:left="926" w:hanging="360"/>
    </w:pPr>
  </w:style>
  <w:style w:type="paragraph" w:styleId="ListNumber4">
    <w:name w:val="List Number 4"/>
    <w:basedOn w:val="Normal"/>
    <w:rsid w:val="003B6DE9"/>
    <w:pPr>
      <w:tabs>
        <w:tab w:val="num" w:pos="1209"/>
      </w:tabs>
      <w:ind w:left="1209" w:hanging="360"/>
    </w:pPr>
  </w:style>
  <w:style w:type="paragraph" w:styleId="ListNumber5">
    <w:name w:val="List Number 5"/>
    <w:basedOn w:val="Normal"/>
    <w:rsid w:val="003B6DE9"/>
    <w:pPr>
      <w:tabs>
        <w:tab w:val="num" w:pos="1492"/>
      </w:tabs>
      <w:ind w:left="1492" w:hanging="360"/>
    </w:pPr>
  </w:style>
  <w:style w:type="paragraph" w:styleId="Title">
    <w:name w:val="Title"/>
    <w:basedOn w:val="Normal"/>
    <w:link w:val="TitleChar"/>
    <w:qFormat/>
    <w:rsid w:val="003B6DE9"/>
    <w:pPr>
      <w:spacing w:before="240" w:after="60"/>
    </w:pPr>
    <w:rPr>
      <w:rFonts w:ascii="Arial" w:hAnsi="Arial" w:cs="Arial"/>
      <w:b/>
      <w:bCs/>
      <w:sz w:val="40"/>
      <w:szCs w:val="40"/>
    </w:rPr>
  </w:style>
  <w:style w:type="character" w:customStyle="1" w:styleId="TitleChar">
    <w:name w:val="Title Char"/>
    <w:basedOn w:val="DefaultParagraphFont"/>
    <w:link w:val="Title"/>
    <w:rsid w:val="003B6DE9"/>
    <w:rPr>
      <w:rFonts w:ascii="Arial" w:hAnsi="Arial" w:cs="Arial"/>
      <w:b/>
      <w:bCs/>
      <w:sz w:val="40"/>
      <w:szCs w:val="40"/>
    </w:rPr>
  </w:style>
  <w:style w:type="paragraph" w:styleId="Closing">
    <w:name w:val="Closing"/>
    <w:basedOn w:val="Normal"/>
    <w:link w:val="ClosingChar"/>
    <w:rsid w:val="003B6DE9"/>
    <w:pPr>
      <w:ind w:left="4252"/>
    </w:pPr>
  </w:style>
  <w:style w:type="character" w:customStyle="1" w:styleId="ClosingChar">
    <w:name w:val="Closing Char"/>
    <w:basedOn w:val="DefaultParagraphFont"/>
    <w:link w:val="Closing"/>
    <w:rsid w:val="003B6DE9"/>
    <w:rPr>
      <w:sz w:val="22"/>
    </w:rPr>
  </w:style>
  <w:style w:type="paragraph" w:styleId="Signature">
    <w:name w:val="Signature"/>
    <w:basedOn w:val="Normal"/>
    <w:link w:val="SignatureChar"/>
    <w:rsid w:val="003B6DE9"/>
    <w:pPr>
      <w:ind w:left="4252"/>
    </w:pPr>
  </w:style>
  <w:style w:type="character" w:customStyle="1" w:styleId="SignatureChar">
    <w:name w:val="Signature Char"/>
    <w:basedOn w:val="DefaultParagraphFont"/>
    <w:link w:val="Signature"/>
    <w:rsid w:val="003B6DE9"/>
    <w:rPr>
      <w:sz w:val="22"/>
    </w:rPr>
  </w:style>
  <w:style w:type="paragraph" w:styleId="BodyText">
    <w:name w:val="Body Text"/>
    <w:basedOn w:val="Normal"/>
    <w:link w:val="BodyTextChar"/>
    <w:rsid w:val="003B6DE9"/>
    <w:pPr>
      <w:spacing w:after="120"/>
    </w:pPr>
  </w:style>
  <w:style w:type="character" w:customStyle="1" w:styleId="BodyTextChar">
    <w:name w:val="Body Text Char"/>
    <w:basedOn w:val="DefaultParagraphFont"/>
    <w:link w:val="BodyText"/>
    <w:rsid w:val="003B6DE9"/>
    <w:rPr>
      <w:sz w:val="22"/>
    </w:rPr>
  </w:style>
  <w:style w:type="paragraph" w:styleId="BodyTextIndent">
    <w:name w:val="Body Text Indent"/>
    <w:basedOn w:val="Normal"/>
    <w:link w:val="BodyTextIndentChar"/>
    <w:rsid w:val="003B6DE9"/>
    <w:pPr>
      <w:spacing w:after="120"/>
      <w:ind w:left="283"/>
    </w:pPr>
  </w:style>
  <w:style w:type="character" w:customStyle="1" w:styleId="BodyTextIndentChar">
    <w:name w:val="Body Text Indent Char"/>
    <w:basedOn w:val="DefaultParagraphFont"/>
    <w:link w:val="BodyTextIndent"/>
    <w:rsid w:val="003B6DE9"/>
    <w:rPr>
      <w:sz w:val="22"/>
    </w:rPr>
  </w:style>
  <w:style w:type="paragraph" w:styleId="ListContinue">
    <w:name w:val="List Continue"/>
    <w:basedOn w:val="Normal"/>
    <w:rsid w:val="003B6DE9"/>
    <w:pPr>
      <w:spacing w:after="120"/>
      <w:ind w:left="283"/>
    </w:pPr>
  </w:style>
  <w:style w:type="paragraph" w:styleId="ListContinue2">
    <w:name w:val="List Continue 2"/>
    <w:basedOn w:val="Normal"/>
    <w:rsid w:val="003B6DE9"/>
    <w:pPr>
      <w:spacing w:after="120"/>
      <w:ind w:left="566"/>
    </w:pPr>
  </w:style>
  <w:style w:type="paragraph" w:styleId="ListContinue3">
    <w:name w:val="List Continue 3"/>
    <w:basedOn w:val="Normal"/>
    <w:rsid w:val="003B6DE9"/>
    <w:pPr>
      <w:spacing w:after="120"/>
      <w:ind w:left="849"/>
    </w:pPr>
  </w:style>
  <w:style w:type="paragraph" w:styleId="ListContinue4">
    <w:name w:val="List Continue 4"/>
    <w:basedOn w:val="Normal"/>
    <w:rsid w:val="003B6DE9"/>
    <w:pPr>
      <w:spacing w:after="120"/>
      <w:ind w:left="1132"/>
    </w:pPr>
  </w:style>
  <w:style w:type="paragraph" w:styleId="ListContinue5">
    <w:name w:val="List Continue 5"/>
    <w:basedOn w:val="Normal"/>
    <w:rsid w:val="003B6DE9"/>
    <w:pPr>
      <w:spacing w:after="120"/>
      <w:ind w:left="1415"/>
    </w:pPr>
  </w:style>
  <w:style w:type="paragraph" w:styleId="MessageHeader">
    <w:name w:val="Message Header"/>
    <w:basedOn w:val="Normal"/>
    <w:link w:val="MessageHeaderChar"/>
    <w:rsid w:val="003B6D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B6DE9"/>
    <w:rPr>
      <w:rFonts w:ascii="Arial" w:hAnsi="Arial" w:cs="Arial"/>
      <w:sz w:val="22"/>
      <w:shd w:val="pct20" w:color="auto" w:fill="auto"/>
    </w:rPr>
  </w:style>
  <w:style w:type="paragraph" w:styleId="Subtitle">
    <w:name w:val="Subtitle"/>
    <w:basedOn w:val="Normal"/>
    <w:link w:val="SubtitleChar"/>
    <w:qFormat/>
    <w:rsid w:val="003B6DE9"/>
    <w:pPr>
      <w:spacing w:after="60"/>
      <w:jc w:val="center"/>
      <w:outlineLvl w:val="1"/>
    </w:pPr>
    <w:rPr>
      <w:rFonts w:ascii="Arial" w:hAnsi="Arial" w:cs="Arial"/>
    </w:rPr>
  </w:style>
  <w:style w:type="character" w:customStyle="1" w:styleId="SubtitleChar">
    <w:name w:val="Subtitle Char"/>
    <w:basedOn w:val="DefaultParagraphFont"/>
    <w:link w:val="Subtitle"/>
    <w:rsid w:val="003B6DE9"/>
    <w:rPr>
      <w:rFonts w:ascii="Arial" w:hAnsi="Arial" w:cs="Arial"/>
      <w:sz w:val="22"/>
    </w:rPr>
  </w:style>
  <w:style w:type="paragraph" w:styleId="Salutation">
    <w:name w:val="Salutation"/>
    <w:basedOn w:val="Normal"/>
    <w:next w:val="Normal"/>
    <w:link w:val="SalutationChar"/>
    <w:rsid w:val="003B6DE9"/>
  </w:style>
  <w:style w:type="character" w:customStyle="1" w:styleId="SalutationChar">
    <w:name w:val="Salutation Char"/>
    <w:basedOn w:val="DefaultParagraphFont"/>
    <w:link w:val="Salutation"/>
    <w:rsid w:val="003B6DE9"/>
    <w:rPr>
      <w:sz w:val="22"/>
    </w:rPr>
  </w:style>
  <w:style w:type="paragraph" w:styleId="Date">
    <w:name w:val="Date"/>
    <w:basedOn w:val="Normal"/>
    <w:next w:val="Normal"/>
    <w:link w:val="DateChar"/>
    <w:rsid w:val="003B6DE9"/>
  </w:style>
  <w:style w:type="character" w:customStyle="1" w:styleId="DateChar">
    <w:name w:val="Date Char"/>
    <w:basedOn w:val="DefaultParagraphFont"/>
    <w:link w:val="Date"/>
    <w:rsid w:val="003B6DE9"/>
    <w:rPr>
      <w:sz w:val="22"/>
    </w:rPr>
  </w:style>
  <w:style w:type="paragraph" w:styleId="BodyTextFirstIndent">
    <w:name w:val="Body Text First Indent"/>
    <w:basedOn w:val="BodyText"/>
    <w:link w:val="BodyTextFirstIndentChar"/>
    <w:rsid w:val="003B6DE9"/>
    <w:pPr>
      <w:ind w:firstLine="210"/>
    </w:pPr>
  </w:style>
  <w:style w:type="character" w:customStyle="1" w:styleId="BodyTextFirstIndentChar">
    <w:name w:val="Body Text First Indent Char"/>
    <w:basedOn w:val="BodyTextChar"/>
    <w:link w:val="BodyTextFirstIndent"/>
    <w:rsid w:val="003B6DE9"/>
    <w:rPr>
      <w:sz w:val="22"/>
    </w:rPr>
  </w:style>
  <w:style w:type="paragraph" w:styleId="BodyTextFirstIndent2">
    <w:name w:val="Body Text First Indent 2"/>
    <w:basedOn w:val="BodyTextIndent"/>
    <w:link w:val="BodyTextFirstIndent2Char"/>
    <w:rsid w:val="003B6DE9"/>
    <w:pPr>
      <w:ind w:firstLine="210"/>
    </w:pPr>
  </w:style>
  <w:style w:type="character" w:customStyle="1" w:styleId="BodyTextFirstIndent2Char">
    <w:name w:val="Body Text First Indent 2 Char"/>
    <w:basedOn w:val="BodyTextIndentChar"/>
    <w:link w:val="BodyTextFirstIndent2"/>
    <w:rsid w:val="003B6DE9"/>
    <w:rPr>
      <w:sz w:val="22"/>
    </w:rPr>
  </w:style>
  <w:style w:type="paragraph" w:styleId="BodyText2">
    <w:name w:val="Body Text 2"/>
    <w:basedOn w:val="Normal"/>
    <w:link w:val="BodyText2Char"/>
    <w:rsid w:val="003B6DE9"/>
    <w:pPr>
      <w:spacing w:after="120" w:line="480" w:lineRule="auto"/>
    </w:pPr>
  </w:style>
  <w:style w:type="character" w:customStyle="1" w:styleId="BodyText2Char">
    <w:name w:val="Body Text 2 Char"/>
    <w:basedOn w:val="DefaultParagraphFont"/>
    <w:link w:val="BodyText2"/>
    <w:rsid w:val="003B6DE9"/>
    <w:rPr>
      <w:sz w:val="22"/>
    </w:rPr>
  </w:style>
  <w:style w:type="paragraph" w:styleId="BodyText3">
    <w:name w:val="Body Text 3"/>
    <w:basedOn w:val="Normal"/>
    <w:link w:val="BodyText3Char"/>
    <w:rsid w:val="003B6DE9"/>
    <w:pPr>
      <w:spacing w:after="120"/>
    </w:pPr>
    <w:rPr>
      <w:sz w:val="16"/>
      <w:szCs w:val="16"/>
    </w:rPr>
  </w:style>
  <w:style w:type="character" w:customStyle="1" w:styleId="BodyText3Char">
    <w:name w:val="Body Text 3 Char"/>
    <w:basedOn w:val="DefaultParagraphFont"/>
    <w:link w:val="BodyText3"/>
    <w:rsid w:val="003B6DE9"/>
    <w:rPr>
      <w:sz w:val="16"/>
      <w:szCs w:val="16"/>
    </w:rPr>
  </w:style>
  <w:style w:type="paragraph" w:styleId="BodyTextIndent2">
    <w:name w:val="Body Text Indent 2"/>
    <w:basedOn w:val="Normal"/>
    <w:link w:val="BodyTextIndent2Char"/>
    <w:rsid w:val="003B6DE9"/>
    <w:pPr>
      <w:spacing w:after="120" w:line="480" w:lineRule="auto"/>
      <w:ind w:left="283"/>
    </w:pPr>
  </w:style>
  <w:style w:type="character" w:customStyle="1" w:styleId="BodyTextIndent2Char">
    <w:name w:val="Body Text Indent 2 Char"/>
    <w:basedOn w:val="DefaultParagraphFont"/>
    <w:link w:val="BodyTextIndent2"/>
    <w:rsid w:val="003B6DE9"/>
    <w:rPr>
      <w:sz w:val="22"/>
    </w:rPr>
  </w:style>
  <w:style w:type="paragraph" w:styleId="BodyTextIndent3">
    <w:name w:val="Body Text Indent 3"/>
    <w:basedOn w:val="Normal"/>
    <w:link w:val="BodyTextIndent3Char"/>
    <w:rsid w:val="003B6DE9"/>
    <w:pPr>
      <w:spacing w:after="120"/>
      <w:ind w:left="283"/>
    </w:pPr>
    <w:rPr>
      <w:sz w:val="16"/>
      <w:szCs w:val="16"/>
    </w:rPr>
  </w:style>
  <w:style w:type="character" w:customStyle="1" w:styleId="BodyTextIndent3Char">
    <w:name w:val="Body Text Indent 3 Char"/>
    <w:basedOn w:val="DefaultParagraphFont"/>
    <w:link w:val="BodyTextIndent3"/>
    <w:rsid w:val="003B6DE9"/>
    <w:rPr>
      <w:sz w:val="16"/>
      <w:szCs w:val="16"/>
    </w:rPr>
  </w:style>
  <w:style w:type="paragraph" w:styleId="BlockText">
    <w:name w:val="Block Text"/>
    <w:basedOn w:val="Normal"/>
    <w:rsid w:val="003B6DE9"/>
    <w:pPr>
      <w:spacing w:after="120"/>
      <w:ind w:left="1440" w:right="1440"/>
    </w:pPr>
  </w:style>
  <w:style w:type="character" w:styleId="Hyperlink">
    <w:name w:val="Hyperlink"/>
    <w:basedOn w:val="DefaultParagraphFont"/>
    <w:rsid w:val="003B6DE9"/>
    <w:rPr>
      <w:color w:val="0000FF"/>
      <w:u w:val="single"/>
    </w:rPr>
  </w:style>
  <w:style w:type="character" w:styleId="FollowedHyperlink">
    <w:name w:val="FollowedHyperlink"/>
    <w:basedOn w:val="DefaultParagraphFont"/>
    <w:rsid w:val="003B6DE9"/>
    <w:rPr>
      <w:color w:val="800080"/>
      <w:u w:val="single"/>
    </w:rPr>
  </w:style>
  <w:style w:type="character" w:styleId="Strong">
    <w:name w:val="Strong"/>
    <w:basedOn w:val="DefaultParagraphFont"/>
    <w:qFormat/>
    <w:rsid w:val="003B6DE9"/>
    <w:rPr>
      <w:b/>
      <w:bCs/>
    </w:rPr>
  </w:style>
  <w:style w:type="character" w:styleId="Emphasis">
    <w:name w:val="Emphasis"/>
    <w:basedOn w:val="DefaultParagraphFont"/>
    <w:qFormat/>
    <w:rsid w:val="003B6DE9"/>
    <w:rPr>
      <w:i/>
      <w:iCs/>
    </w:rPr>
  </w:style>
  <w:style w:type="paragraph" w:styleId="DocumentMap">
    <w:name w:val="Document Map"/>
    <w:basedOn w:val="Normal"/>
    <w:link w:val="DocumentMapChar"/>
    <w:rsid w:val="003B6DE9"/>
    <w:pPr>
      <w:shd w:val="clear" w:color="auto" w:fill="000080"/>
    </w:pPr>
    <w:rPr>
      <w:rFonts w:ascii="Tahoma" w:hAnsi="Tahoma" w:cs="Tahoma"/>
    </w:rPr>
  </w:style>
  <w:style w:type="character" w:customStyle="1" w:styleId="DocumentMapChar">
    <w:name w:val="Document Map Char"/>
    <w:basedOn w:val="DefaultParagraphFont"/>
    <w:link w:val="DocumentMap"/>
    <w:rsid w:val="003B6DE9"/>
    <w:rPr>
      <w:rFonts w:ascii="Tahoma" w:hAnsi="Tahoma" w:cs="Tahoma"/>
      <w:sz w:val="22"/>
      <w:shd w:val="clear" w:color="auto" w:fill="000080"/>
    </w:rPr>
  </w:style>
  <w:style w:type="paragraph" w:styleId="PlainText">
    <w:name w:val="Plain Text"/>
    <w:basedOn w:val="Normal"/>
    <w:link w:val="PlainTextChar"/>
    <w:rsid w:val="003B6DE9"/>
    <w:rPr>
      <w:rFonts w:ascii="Courier New" w:hAnsi="Courier New" w:cs="Courier New"/>
      <w:sz w:val="20"/>
    </w:rPr>
  </w:style>
  <w:style w:type="character" w:customStyle="1" w:styleId="PlainTextChar">
    <w:name w:val="Plain Text Char"/>
    <w:basedOn w:val="DefaultParagraphFont"/>
    <w:link w:val="PlainText"/>
    <w:rsid w:val="003B6DE9"/>
    <w:rPr>
      <w:rFonts w:ascii="Courier New" w:hAnsi="Courier New" w:cs="Courier New"/>
    </w:rPr>
  </w:style>
  <w:style w:type="paragraph" w:styleId="E-mailSignature">
    <w:name w:val="E-mail Signature"/>
    <w:basedOn w:val="Normal"/>
    <w:link w:val="E-mailSignatureChar"/>
    <w:rsid w:val="003B6DE9"/>
  </w:style>
  <w:style w:type="character" w:customStyle="1" w:styleId="E-mailSignatureChar">
    <w:name w:val="E-mail Signature Char"/>
    <w:basedOn w:val="DefaultParagraphFont"/>
    <w:link w:val="E-mailSignature"/>
    <w:rsid w:val="003B6DE9"/>
    <w:rPr>
      <w:sz w:val="22"/>
    </w:rPr>
  </w:style>
  <w:style w:type="paragraph" w:styleId="NormalWeb">
    <w:name w:val="Normal (Web)"/>
    <w:basedOn w:val="Normal"/>
    <w:rsid w:val="003B6DE9"/>
  </w:style>
  <w:style w:type="character" w:styleId="HTMLAcronym">
    <w:name w:val="HTML Acronym"/>
    <w:basedOn w:val="DefaultParagraphFont"/>
    <w:rsid w:val="003B6DE9"/>
  </w:style>
  <w:style w:type="paragraph" w:styleId="HTMLAddress">
    <w:name w:val="HTML Address"/>
    <w:basedOn w:val="Normal"/>
    <w:link w:val="HTMLAddressChar"/>
    <w:rsid w:val="003B6DE9"/>
    <w:rPr>
      <w:i/>
      <w:iCs/>
    </w:rPr>
  </w:style>
  <w:style w:type="character" w:customStyle="1" w:styleId="HTMLAddressChar">
    <w:name w:val="HTML Address Char"/>
    <w:basedOn w:val="DefaultParagraphFont"/>
    <w:link w:val="HTMLAddress"/>
    <w:rsid w:val="003B6DE9"/>
    <w:rPr>
      <w:i/>
      <w:iCs/>
      <w:sz w:val="22"/>
    </w:rPr>
  </w:style>
  <w:style w:type="character" w:styleId="HTMLCite">
    <w:name w:val="HTML Cite"/>
    <w:basedOn w:val="DefaultParagraphFont"/>
    <w:rsid w:val="003B6DE9"/>
    <w:rPr>
      <w:i/>
      <w:iCs/>
    </w:rPr>
  </w:style>
  <w:style w:type="character" w:styleId="HTMLCode">
    <w:name w:val="HTML Code"/>
    <w:basedOn w:val="DefaultParagraphFont"/>
    <w:rsid w:val="003B6DE9"/>
    <w:rPr>
      <w:rFonts w:ascii="Courier New" w:hAnsi="Courier New" w:cs="Courier New"/>
      <w:sz w:val="20"/>
      <w:szCs w:val="20"/>
    </w:rPr>
  </w:style>
  <w:style w:type="character" w:styleId="HTMLDefinition">
    <w:name w:val="HTML Definition"/>
    <w:basedOn w:val="DefaultParagraphFont"/>
    <w:rsid w:val="003B6DE9"/>
    <w:rPr>
      <w:i/>
      <w:iCs/>
    </w:rPr>
  </w:style>
  <w:style w:type="character" w:styleId="HTMLKeyboard">
    <w:name w:val="HTML Keyboard"/>
    <w:basedOn w:val="DefaultParagraphFont"/>
    <w:rsid w:val="003B6DE9"/>
    <w:rPr>
      <w:rFonts w:ascii="Courier New" w:hAnsi="Courier New" w:cs="Courier New"/>
      <w:sz w:val="20"/>
      <w:szCs w:val="20"/>
    </w:rPr>
  </w:style>
  <w:style w:type="paragraph" w:styleId="HTMLPreformatted">
    <w:name w:val="HTML Preformatted"/>
    <w:basedOn w:val="Normal"/>
    <w:link w:val="HTMLPreformattedChar"/>
    <w:rsid w:val="003B6DE9"/>
    <w:rPr>
      <w:rFonts w:ascii="Courier New" w:hAnsi="Courier New" w:cs="Courier New"/>
      <w:sz w:val="20"/>
    </w:rPr>
  </w:style>
  <w:style w:type="character" w:customStyle="1" w:styleId="HTMLPreformattedChar">
    <w:name w:val="HTML Preformatted Char"/>
    <w:basedOn w:val="DefaultParagraphFont"/>
    <w:link w:val="HTMLPreformatted"/>
    <w:rsid w:val="003B6DE9"/>
    <w:rPr>
      <w:rFonts w:ascii="Courier New" w:hAnsi="Courier New" w:cs="Courier New"/>
    </w:rPr>
  </w:style>
  <w:style w:type="character" w:styleId="HTMLSample">
    <w:name w:val="HTML Sample"/>
    <w:basedOn w:val="DefaultParagraphFont"/>
    <w:rsid w:val="003B6DE9"/>
    <w:rPr>
      <w:rFonts w:ascii="Courier New" w:hAnsi="Courier New" w:cs="Courier New"/>
    </w:rPr>
  </w:style>
  <w:style w:type="character" w:styleId="HTMLTypewriter">
    <w:name w:val="HTML Typewriter"/>
    <w:basedOn w:val="DefaultParagraphFont"/>
    <w:rsid w:val="003B6DE9"/>
    <w:rPr>
      <w:rFonts w:ascii="Courier New" w:hAnsi="Courier New" w:cs="Courier New"/>
      <w:sz w:val="20"/>
      <w:szCs w:val="20"/>
    </w:rPr>
  </w:style>
  <w:style w:type="character" w:styleId="HTMLVariable">
    <w:name w:val="HTML Variable"/>
    <w:basedOn w:val="DefaultParagraphFont"/>
    <w:rsid w:val="003B6DE9"/>
    <w:rPr>
      <w:i/>
      <w:iCs/>
    </w:rPr>
  </w:style>
  <w:style w:type="paragraph" w:styleId="CommentSubject">
    <w:name w:val="annotation subject"/>
    <w:basedOn w:val="CommentText"/>
    <w:next w:val="CommentText"/>
    <w:link w:val="CommentSubjectChar"/>
    <w:rsid w:val="003B6DE9"/>
    <w:rPr>
      <w:b/>
      <w:bCs/>
    </w:rPr>
  </w:style>
  <w:style w:type="character" w:customStyle="1" w:styleId="CommentSubjectChar">
    <w:name w:val="Comment Subject Char"/>
    <w:basedOn w:val="CommentTextChar"/>
    <w:link w:val="CommentSubject"/>
    <w:rsid w:val="003B6DE9"/>
    <w:rPr>
      <w:b/>
      <w:bCs/>
    </w:rPr>
  </w:style>
  <w:style w:type="numbering" w:styleId="1ai">
    <w:name w:val="Outline List 1"/>
    <w:basedOn w:val="NoList"/>
    <w:rsid w:val="003B6DE9"/>
    <w:pPr>
      <w:numPr>
        <w:numId w:val="14"/>
      </w:numPr>
    </w:pPr>
  </w:style>
  <w:style w:type="numbering" w:styleId="111111">
    <w:name w:val="Outline List 2"/>
    <w:basedOn w:val="NoList"/>
    <w:rsid w:val="003B6DE9"/>
    <w:pPr>
      <w:numPr>
        <w:numId w:val="15"/>
      </w:numPr>
    </w:pPr>
  </w:style>
  <w:style w:type="numbering" w:styleId="ArticleSection">
    <w:name w:val="Outline List 3"/>
    <w:basedOn w:val="NoList"/>
    <w:rsid w:val="003B6DE9"/>
    <w:pPr>
      <w:numPr>
        <w:numId w:val="17"/>
      </w:numPr>
    </w:pPr>
  </w:style>
  <w:style w:type="table" w:styleId="TableSimple1">
    <w:name w:val="Table Simple 1"/>
    <w:basedOn w:val="TableNormal"/>
    <w:rsid w:val="003B6DE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6DE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6D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B6D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6D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6DE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6DE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6DE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6DE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6DE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6DE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6DE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6DE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6DE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6DE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B6D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6DE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6DE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6DE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6D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6D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6DE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6DE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6DE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6DE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6DE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6D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6D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6D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6DE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6D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B6DE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6DE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6DE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B6DE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6DE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B6D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6DE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6DE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6DE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6DE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6DE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B6DE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B6DE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30954">
      <w:bodyDiv w:val="1"/>
      <w:marLeft w:val="0"/>
      <w:marRight w:val="0"/>
      <w:marTop w:val="0"/>
      <w:marBottom w:val="0"/>
      <w:divBdr>
        <w:top w:val="none" w:sz="0" w:space="0" w:color="auto"/>
        <w:left w:val="none" w:sz="0" w:space="0" w:color="auto"/>
        <w:bottom w:val="none" w:sz="0" w:space="0" w:color="auto"/>
        <w:right w:val="none" w:sz="0" w:space="0" w:color="auto"/>
      </w:divBdr>
    </w:div>
    <w:div w:id="5661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2952</Words>
  <Characters>13435</Characters>
  <Application>Microsoft Office Word</Application>
  <DocSecurity>2</DocSecurity>
  <PresentationFormat/>
  <Lines>2687</Lines>
  <Paragraphs>2048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2022-08-09T02:09:00Z</dcterms:created>
  <dcterms:modified xsi:type="dcterms:W3CDTF">2022-08-09T02:09:00Z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Radiation Protection and Nuclear Safety Amendment (2022 Measures No. 1)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OPC65458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rimID">
    <vt:lpwstr>PC:D22/6948</vt:lpwstr>
  </property>
</Properties>
</file>