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8" w:rsidRPr="006E4F58" w:rsidRDefault="006E4F58" w:rsidP="006E4F58">
      <w:pPr>
        <w:keepNext/>
        <w:widowControl w:val="0"/>
        <w:spacing w:before="240" w:after="240"/>
        <w:outlineLvl w:val="1"/>
        <w:rPr>
          <w:rFonts w:eastAsia="Times New Roman" w:cs="Arial"/>
          <w:b/>
          <w:bCs/>
          <w:sz w:val="28"/>
        </w:rPr>
      </w:pPr>
      <w:bookmarkStart w:id="0" w:name="_Toc102402789"/>
      <w:r w:rsidRPr="006E4F58">
        <w:rPr>
          <w:rFonts w:eastAsia="Times New Roman" w:cs="Arial"/>
          <w:b/>
          <w:bCs/>
          <w:sz w:val="28"/>
        </w:rPr>
        <w:t xml:space="preserve">Standard 4.2.7 – Primary Production and Processing </w:t>
      </w:r>
      <w:r w:rsidRPr="006E4F58">
        <w:rPr>
          <w:rFonts w:eastAsia="Times New Roman" w:cs="Arial"/>
          <w:b/>
          <w:bCs/>
          <w:color w:val="000000"/>
          <w:sz w:val="28"/>
        </w:rPr>
        <w:t>Standard for Berries</w:t>
      </w:r>
      <w:bookmarkEnd w:id="0"/>
      <w:r w:rsidRPr="006E4F58" w:rsidDel="004D5F9D">
        <w:rPr>
          <w:rFonts w:eastAsia="Times New Roman" w:cs="Arial"/>
          <w:b/>
          <w:bCs/>
          <w:sz w:val="28"/>
        </w:rPr>
        <w:t xml:space="preserve"> </w:t>
      </w:r>
    </w:p>
    <w:p w:rsidR="006E4F58" w:rsidRPr="006E4F58" w:rsidRDefault="006E4F58" w:rsidP="006E4F58">
      <w:pPr>
        <w:widowControl w:val="0"/>
        <w:rPr>
          <w:rFonts w:eastAsia="Times New Roman" w:cs="Times New Roman"/>
          <w:b/>
          <w:szCs w:val="24"/>
          <w:lang w:val="en-AU" w:eastAsia="en-GB"/>
        </w:rPr>
      </w:pPr>
      <w:r w:rsidRPr="006E4F58">
        <w:rPr>
          <w:rFonts w:eastAsia="Times New Roman" w:cs="Times New Roman"/>
          <w:b/>
          <w:szCs w:val="24"/>
          <w:lang w:val="en-AU" w:eastAsia="en-GB"/>
        </w:rPr>
        <w:t>1.</w:t>
      </w:r>
      <w:r w:rsidRPr="006E4F58">
        <w:rPr>
          <w:rFonts w:eastAsia="Times New Roman" w:cs="Times New Roman"/>
          <w:b/>
          <w:szCs w:val="24"/>
          <w:lang w:val="en-AU" w:eastAsia="en-GB"/>
        </w:rPr>
        <w:tab/>
        <w:t>Authority</w:t>
      </w:r>
    </w:p>
    <w:p w:rsidR="006E4F58" w:rsidRPr="006E4F58" w:rsidRDefault="006E4F58" w:rsidP="006E4F58">
      <w:pPr>
        <w:widowControl w:val="0"/>
        <w:rPr>
          <w:rFonts w:eastAsia="Times New Roman" w:cs="Times New Roman"/>
          <w:szCs w:val="24"/>
          <w:lang w:val="en-AU" w:eastAsia="en-GB"/>
        </w:rPr>
      </w:pPr>
    </w:p>
    <w:p w:rsidR="006E4F58" w:rsidRPr="006E4F58" w:rsidRDefault="006E4F58" w:rsidP="006E4F58">
      <w:pPr>
        <w:autoSpaceDE w:val="0"/>
        <w:autoSpaceDN w:val="0"/>
        <w:adjustRightInd w:val="0"/>
        <w:rPr>
          <w:rFonts w:eastAsia="Calibri" w:cs="Arial"/>
          <w:bCs/>
          <w:lang w:val="en-AU"/>
        </w:rPr>
      </w:pPr>
      <w:r w:rsidRPr="006E4F58">
        <w:rPr>
          <w:rFonts w:eastAsia="Calibri" w:cs="Arial"/>
          <w:bCs/>
          <w:lang w:val="en-AU"/>
        </w:rPr>
        <w:t xml:space="preserve">Section 13 of the </w:t>
      </w:r>
      <w:r w:rsidRPr="006E4F58">
        <w:rPr>
          <w:rFonts w:eastAsia="Calibri" w:cs="Arial"/>
          <w:bCs/>
          <w:i/>
          <w:lang w:val="en-AU"/>
        </w:rPr>
        <w:t>Food Standards Australia New Zealand Act 1991</w:t>
      </w:r>
      <w:r w:rsidRPr="006E4F58">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6E4F58">
        <w:rPr>
          <w:rFonts w:eastAsia="Calibri" w:cs="Arial"/>
          <w:bCs/>
          <w:i/>
          <w:lang w:val="en-AU"/>
        </w:rPr>
        <w:t>Australia New Zealand Food Standards Code</w:t>
      </w:r>
      <w:r w:rsidRPr="006E4F58">
        <w:rPr>
          <w:rFonts w:eastAsia="Calibri" w:cs="Arial"/>
          <w:bCs/>
          <w:lang w:val="en-AU"/>
        </w:rPr>
        <w:t xml:space="preserve"> (the Code). </w:t>
      </w:r>
    </w:p>
    <w:p w:rsidR="006E4F58" w:rsidRPr="006E4F58" w:rsidRDefault="006E4F58" w:rsidP="006E4F58">
      <w:pPr>
        <w:autoSpaceDE w:val="0"/>
        <w:autoSpaceDN w:val="0"/>
        <w:adjustRightInd w:val="0"/>
        <w:rPr>
          <w:rFonts w:eastAsia="Calibri" w:cs="Arial"/>
          <w:bCs/>
          <w:lang w:val="en-AU"/>
        </w:rPr>
      </w:pPr>
    </w:p>
    <w:p w:rsidR="006E4F58" w:rsidRPr="006E4F58" w:rsidRDefault="006E4F58" w:rsidP="006E4F58">
      <w:pPr>
        <w:autoSpaceDE w:val="0"/>
        <w:autoSpaceDN w:val="0"/>
        <w:adjustRightInd w:val="0"/>
        <w:rPr>
          <w:rFonts w:eastAsia="Calibri" w:cs="Arial"/>
          <w:bCs/>
          <w:color w:val="000000"/>
          <w:lang w:val="en-AU"/>
        </w:rPr>
      </w:pPr>
      <w:r w:rsidRPr="006E4F58">
        <w:rPr>
          <w:rFonts w:eastAsia="Calibri" w:cs="Arial"/>
          <w:bCs/>
          <w:color w:val="000000"/>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6E4F58" w:rsidRPr="006E4F58" w:rsidRDefault="006E4F58" w:rsidP="006E4F58">
      <w:pPr>
        <w:autoSpaceDE w:val="0"/>
        <w:autoSpaceDN w:val="0"/>
        <w:adjustRightInd w:val="0"/>
        <w:rPr>
          <w:rFonts w:eastAsia="Calibri" w:cs="Arial"/>
          <w:bCs/>
          <w:color w:val="000000"/>
          <w:lang w:val="en-AU"/>
        </w:rPr>
      </w:pPr>
    </w:p>
    <w:p w:rsidR="006E4F58" w:rsidRPr="006E4F58" w:rsidRDefault="006E4F58" w:rsidP="006E4F58">
      <w:pPr>
        <w:autoSpaceDE w:val="0"/>
        <w:autoSpaceDN w:val="0"/>
        <w:adjustRightInd w:val="0"/>
        <w:rPr>
          <w:rFonts w:eastAsia="Times New Roman" w:cs="Times New Roman"/>
          <w:color w:val="000000"/>
          <w:szCs w:val="24"/>
          <w:lang w:bidi="en-US"/>
        </w:rPr>
      </w:pPr>
      <w:r w:rsidRPr="006E4F58">
        <w:rPr>
          <w:rFonts w:eastAsia="Calibri" w:cs="Arial"/>
          <w:bCs/>
          <w:lang w:val="en-AU"/>
        </w:rPr>
        <w:t xml:space="preserve">The Authority prepared Proposal P1052 – Primary Production and Processing requirements for Horticulture (berries, leafy vegetables and melons). The Authority considered the Proposal in accordance with Division 2 of Part 3 and has approved a number of draft measures including </w:t>
      </w:r>
      <w:r w:rsidRPr="006E4F58">
        <w:rPr>
          <w:rFonts w:eastAsia="Times New Roman" w:cs="Times New Roman"/>
          <w:szCs w:val="24"/>
          <w:lang w:bidi="en-US"/>
        </w:rPr>
        <w:t xml:space="preserve">Standard </w:t>
      </w:r>
      <w:r w:rsidRPr="006E4F58">
        <w:rPr>
          <w:rFonts w:eastAsia="Times New Roman" w:cs="Times New Roman"/>
          <w:color w:val="000000"/>
          <w:szCs w:val="24"/>
          <w:lang w:bidi="en-US"/>
        </w:rPr>
        <w:t xml:space="preserve">4.2.7 </w:t>
      </w:r>
      <w:r w:rsidRPr="006E4F58">
        <w:rPr>
          <w:rFonts w:eastAsia="Times New Roman" w:cs="Times New Roman"/>
          <w:szCs w:val="24"/>
          <w:lang w:bidi="en-US"/>
        </w:rPr>
        <w:t xml:space="preserve">– </w:t>
      </w:r>
      <w:r w:rsidRPr="006E4F58">
        <w:rPr>
          <w:rFonts w:eastAsia="Times New Roman" w:cs="Times New Roman"/>
          <w:i/>
          <w:szCs w:val="24"/>
          <w:lang w:bidi="en-US"/>
        </w:rPr>
        <w:t xml:space="preserve">Primary Production and Processing </w:t>
      </w:r>
      <w:r w:rsidRPr="006E4F58">
        <w:rPr>
          <w:rFonts w:eastAsia="Times New Roman" w:cs="Times New Roman"/>
          <w:i/>
          <w:color w:val="000000"/>
          <w:szCs w:val="24"/>
          <w:lang w:bidi="en-US"/>
        </w:rPr>
        <w:t>Standard for Berries</w:t>
      </w:r>
      <w:r w:rsidRPr="006E4F58">
        <w:rPr>
          <w:rFonts w:eastAsia="Times New Roman" w:cs="Times New Roman"/>
          <w:color w:val="000000"/>
          <w:szCs w:val="24"/>
          <w:lang w:bidi="en-US"/>
        </w:rPr>
        <w:t>.</w:t>
      </w:r>
    </w:p>
    <w:p w:rsidR="006E4F58" w:rsidRPr="006E4F58" w:rsidRDefault="006E4F58" w:rsidP="006E4F58">
      <w:pPr>
        <w:autoSpaceDE w:val="0"/>
        <w:autoSpaceDN w:val="0"/>
        <w:adjustRightInd w:val="0"/>
        <w:rPr>
          <w:rFonts w:eastAsia="Calibri" w:cs="Arial"/>
          <w:bCs/>
          <w:color w:val="000000"/>
          <w:lang w:val="en-AU"/>
        </w:rPr>
      </w:pPr>
    </w:p>
    <w:p w:rsidR="006E4F58" w:rsidRPr="006E4F58" w:rsidRDefault="006E4F58" w:rsidP="006E4F58">
      <w:pPr>
        <w:widowControl w:val="0"/>
        <w:rPr>
          <w:rFonts w:eastAsia="Times New Roman" w:cs="Times New Roman"/>
          <w:b/>
          <w:szCs w:val="24"/>
          <w:lang w:val="en-AU" w:eastAsia="en-GB"/>
        </w:rPr>
      </w:pPr>
      <w:r w:rsidRPr="006E4F58">
        <w:rPr>
          <w:rFonts w:eastAsia="Times New Roman" w:cs="Times New Roman"/>
          <w:b/>
          <w:szCs w:val="24"/>
          <w:lang w:val="en-AU" w:eastAsia="en-GB"/>
        </w:rPr>
        <w:t>2.</w:t>
      </w:r>
      <w:r w:rsidRPr="006E4F58">
        <w:rPr>
          <w:rFonts w:eastAsia="Times New Roman" w:cs="Times New Roman"/>
          <w:b/>
          <w:szCs w:val="24"/>
          <w:lang w:val="en-AU" w:eastAsia="en-GB"/>
        </w:rPr>
        <w:tab/>
        <w:t>Standard is a legislative instrument</w:t>
      </w:r>
    </w:p>
    <w:p w:rsidR="006E4F58" w:rsidRPr="006E4F58" w:rsidRDefault="006E4F58" w:rsidP="006E4F58">
      <w:pPr>
        <w:widowControl w:val="0"/>
        <w:rPr>
          <w:rFonts w:eastAsia="Times New Roman" w:cs="Times New Roman"/>
          <w:b/>
          <w:szCs w:val="24"/>
          <w:lang w:val="en-AU" w:eastAsia="en-GB"/>
        </w:rPr>
      </w:pPr>
    </w:p>
    <w:p w:rsidR="006E4F58" w:rsidRPr="006E4F58" w:rsidRDefault="006E4F58" w:rsidP="006E4F58">
      <w:pPr>
        <w:widowControl w:val="0"/>
        <w:rPr>
          <w:rFonts w:eastAsia="Times New Roman" w:cs="Arial"/>
        </w:rPr>
      </w:pPr>
      <w:r w:rsidRPr="006E4F58">
        <w:rPr>
          <w:rFonts w:eastAsia="Times New Roman" w:cs="Arial"/>
          <w:szCs w:val="24"/>
          <w:lang w:bidi="en-US"/>
        </w:rPr>
        <w:t xml:space="preserve">The approved draft Standard is a legislative instrument for the purposes of the </w:t>
      </w:r>
      <w:r w:rsidRPr="006E4F58">
        <w:rPr>
          <w:rFonts w:eastAsia="Times New Roman" w:cs="Arial"/>
          <w:i/>
          <w:iCs/>
          <w:szCs w:val="24"/>
          <w:lang w:bidi="en-US"/>
        </w:rPr>
        <w:t>Legislation Act 2003</w:t>
      </w:r>
      <w:r w:rsidRPr="006E4F58">
        <w:rPr>
          <w:rFonts w:eastAsia="Times New Roman" w:cs="Arial"/>
          <w:szCs w:val="24"/>
          <w:lang w:bidi="en-US"/>
        </w:rPr>
        <w:t xml:space="preserve"> (see section 94 of the FSANZ Act) and is publicly available on the Federal Register of Legislation (</w:t>
      </w:r>
      <w:hyperlink r:id="rId9" w:history="1">
        <w:r w:rsidRPr="006E4F58">
          <w:rPr>
            <w:rFonts w:eastAsia="Times New Roman" w:cs="Arial"/>
            <w:color w:val="3333FF"/>
            <w:szCs w:val="24"/>
            <w:u w:val="single"/>
            <w:lang w:bidi="en-US"/>
          </w:rPr>
          <w:t>www.legislation.gov.au</w:t>
        </w:r>
      </w:hyperlink>
      <w:r w:rsidRPr="006E4F58">
        <w:rPr>
          <w:rFonts w:eastAsia="Times New Roman" w:cs="Arial"/>
          <w:szCs w:val="24"/>
          <w:lang w:bidi="en-US"/>
        </w:rPr>
        <w:t>).</w:t>
      </w:r>
    </w:p>
    <w:p w:rsidR="006E4F58" w:rsidRPr="006E4F58" w:rsidRDefault="006E4F58" w:rsidP="006E4F58">
      <w:pPr>
        <w:widowControl w:val="0"/>
        <w:rPr>
          <w:rFonts w:eastAsia="Times New Roman" w:cs="Arial"/>
          <w:szCs w:val="24"/>
          <w:lang w:bidi="en-US"/>
        </w:rPr>
      </w:pPr>
    </w:p>
    <w:p w:rsidR="006E4F58" w:rsidRPr="006E4F58" w:rsidRDefault="006E4F58" w:rsidP="006E4F58">
      <w:pPr>
        <w:widowControl w:val="0"/>
        <w:rPr>
          <w:rFonts w:eastAsia="Times New Roman" w:cs="Arial"/>
          <w:szCs w:val="24"/>
          <w:lang w:bidi="en-US"/>
        </w:rPr>
      </w:pPr>
      <w:r w:rsidRPr="006E4F58">
        <w:rPr>
          <w:rFonts w:eastAsia="Times New Roman" w:cs="Arial"/>
          <w:szCs w:val="24"/>
          <w:lang w:bidi="en-US"/>
        </w:rPr>
        <w:t xml:space="preserve">This instrument is not subject to the disallowance or sunsetting provisions of the </w:t>
      </w:r>
      <w:r w:rsidRPr="006E4F58">
        <w:rPr>
          <w:rFonts w:eastAsia="Times New Roman" w:cs="Arial"/>
          <w:i/>
          <w:iCs/>
          <w:szCs w:val="24"/>
          <w:lang w:bidi="en-US"/>
        </w:rPr>
        <w:t xml:space="preserve">Legislation Act 2003. </w:t>
      </w:r>
      <w:r w:rsidRPr="006E4F58">
        <w:rPr>
          <w:rFonts w:eastAsia="Times New Roman" w:cs="Arial"/>
          <w:szCs w:val="24"/>
          <w:lang w:bidi="en-US"/>
        </w:rPr>
        <w:t>Subsections</w:t>
      </w:r>
      <w:r w:rsidRPr="006E4F58">
        <w:rPr>
          <w:rFonts w:eastAsia="Times New Roman" w:cs="Arial"/>
          <w:i/>
          <w:iCs/>
          <w:szCs w:val="24"/>
          <w:lang w:bidi="en-US"/>
        </w:rPr>
        <w:t xml:space="preserve"> </w:t>
      </w:r>
      <w:r w:rsidRPr="006E4F58">
        <w:rPr>
          <w:rFonts w:eastAsia="Times New Roman" w:cs="Arial"/>
          <w:szCs w:val="24"/>
          <w:lang w:bidi="en-US"/>
        </w:rPr>
        <w:t>44(1) and 54(1) of that Act</w:t>
      </w:r>
      <w:r w:rsidRPr="006E4F58">
        <w:rPr>
          <w:rFonts w:eastAsia="Times New Roman" w:cs="Arial"/>
          <w:i/>
          <w:iCs/>
          <w:szCs w:val="24"/>
          <w:lang w:bidi="en-US"/>
        </w:rPr>
        <w:t xml:space="preserve"> </w:t>
      </w:r>
      <w:r w:rsidRPr="006E4F58">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6E4F58">
        <w:rPr>
          <w:rFonts w:eastAsia="Times New Roman" w:cs="Arial"/>
          <w:i/>
          <w:iCs/>
          <w:szCs w:val="24"/>
          <w:lang w:bidi="en-US"/>
        </w:rPr>
        <w:t>Legislation (Exemptions and other Matters) Regulation 2015</w:t>
      </w:r>
      <w:r w:rsidRPr="006E4F58">
        <w:rPr>
          <w:rFonts w:eastAsia="Times New Roman" w:cs="Arial"/>
          <w:szCs w:val="24"/>
          <w:lang w:bidi="en-US"/>
        </w:rPr>
        <w:t xml:space="preserve"> </w:t>
      </w:r>
      <w:r w:rsidRPr="006E4F58">
        <w:rPr>
          <w:rFonts w:eastAsia="Times New Roman" w:cs="Arial"/>
          <w:szCs w:val="24"/>
          <w:lang w:val="en" w:bidi="en-US"/>
        </w:rPr>
        <w:t xml:space="preserve">also exempts from sunsetting legislative instruments </w:t>
      </w:r>
      <w:r w:rsidRPr="006E4F58">
        <w:rPr>
          <w:rFonts w:eastAsia="Times New Roman" w:cs="Arial"/>
          <w:szCs w:val="24"/>
          <w:shd w:val="clear" w:color="auto" w:fill="FFFFFF"/>
          <w:lang w:bidi="en-US"/>
        </w:rPr>
        <w:t xml:space="preserve">a primary purpose of which is to </w:t>
      </w:r>
      <w:r w:rsidRPr="006E4F58">
        <w:rPr>
          <w:rFonts w:eastAsia="Times New Roman" w:cs="Arial"/>
          <w:szCs w:val="24"/>
          <w:lang w:bidi="en-US"/>
        </w:rPr>
        <w:t>give effect to an international obligation of Australia.</w:t>
      </w:r>
    </w:p>
    <w:p w:rsidR="006E4F58" w:rsidRPr="006E4F58" w:rsidRDefault="006E4F58" w:rsidP="006E4F58">
      <w:pPr>
        <w:widowControl w:val="0"/>
        <w:rPr>
          <w:rFonts w:eastAsia="Times New Roman" w:cs="Arial"/>
          <w:color w:val="0000CC"/>
          <w:szCs w:val="24"/>
          <w:lang w:bidi="en-US"/>
        </w:rPr>
      </w:pPr>
    </w:p>
    <w:p w:rsidR="006E4F58" w:rsidRPr="006E4F58" w:rsidRDefault="006E4F58" w:rsidP="006E4F58">
      <w:pPr>
        <w:widowControl w:val="0"/>
        <w:rPr>
          <w:rFonts w:eastAsia="Calibri" w:cs="Arial"/>
        </w:rPr>
      </w:pPr>
      <w:r w:rsidRPr="006E4F58">
        <w:rPr>
          <w:rFonts w:eastAsia="Times New Roman" w:cs="Arial"/>
          <w:szCs w:val="24"/>
          <w:lang w:bidi="en-US"/>
        </w:rPr>
        <w:t xml:space="preserve">The </w:t>
      </w:r>
      <w:r w:rsidRPr="006E4F58">
        <w:rPr>
          <w:rFonts w:eastAsia="Times New Roman" w:cs="Arial"/>
          <w:szCs w:val="24"/>
          <w:lang w:val="en-AU" w:bidi="en-US"/>
        </w:rPr>
        <w:t>FSANZ Act</w:t>
      </w:r>
      <w:r w:rsidRPr="006E4F58">
        <w:rPr>
          <w:rFonts w:eastAsia="Times New Roman" w:cs="Arial"/>
          <w:i/>
          <w:iCs/>
          <w:szCs w:val="24"/>
          <w:lang w:val="en-AU" w:bidi="en-US"/>
        </w:rPr>
        <w:t xml:space="preserve"> </w:t>
      </w:r>
      <w:r w:rsidRPr="006E4F58">
        <w:rPr>
          <w:rFonts w:eastAsia="Times New Roman" w:cs="Arial"/>
          <w:szCs w:val="24"/>
          <w:lang w:val="en-AU" w:bidi="en-US"/>
        </w:rPr>
        <w:t xml:space="preserve">gives effect to </w:t>
      </w:r>
      <w:r w:rsidRPr="006E4F58">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6E4F58">
        <w:rPr>
          <w:rFonts w:eastAsia="Times New Roman" w:cs="Arial"/>
          <w:szCs w:val="24"/>
          <w:lang w:val="en-AU" w:bidi="en-US"/>
        </w:rPr>
        <w:t>That Act also</w:t>
      </w:r>
      <w:r w:rsidRPr="006E4F58">
        <w:rPr>
          <w:rFonts w:eastAsia="Times New Roman" w:cs="Arial"/>
          <w:i/>
          <w:iCs/>
          <w:szCs w:val="24"/>
          <w:lang w:val="en-AU" w:bidi="en-US"/>
        </w:rPr>
        <w:t xml:space="preserve"> </w:t>
      </w:r>
      <w:r w:rsidRPr="006E4F58">
        <w:rPr>
          <w:rFonts w:eastAsia="Times New Roman" w:cs="Arial"/>
          <w:szCs w:val="24"/>
          <w:lang w:val="en-AU" w:bidi="en-US"/>
        </w:rPr>
        <w:t xml:space="preserve">gives effect to Australia’s obligations under an international agreement between Australia and New Zealand. For these purposes, the Act </w:t>
      </w:r>
      <w:r w:rsidRPr="006E4F58">
        <w:rPr>
          <w:rFonts w:eastAsia="Times New Roman" w:cs="Arial"/>
          <w:szCs w:val="24"/>
          <w:lang w:bidi="en-US"/>
        </w:rPr>
        <w:t xml:space="preserve">establishes the Authority to </w:t>
      </w:r>
      <w:r w:rsidRPr="006E4F58">
        <w:rPr>
          <w:rFonts w:eastAsia="Times New Roman" w:cs="Arial"/>
          <w:szCs w:val="24"/>
          <w:lang w:val="en-AU" w:bidi="en-US"/>
        </w:rPr>
        <w:t xml:space="preserve">develop food standards </w:t>
      </w:r>
      <w:r w:rsidRPr="006E4F58">
        <w:rPr>
          <w:rFonts w:eastAsia="Times New Roman" w:cs="Arial"/>
          <w:szCs w:val="24"/>
          <w:lang w:bidi="en-US"/>
        </w:rPr>
        <w:t xml:space="preserve">for consideration and endorsement by the Food Ministers Meeting (FMM). The FMM is established under the Food Regulation Agreement and the </w:t>
      </w:r>
      <w:r w:rsidRPr="006E4F58">
        <w:rPr>
          <w:rFonts w:eastAsia="Times New Roman" w:cs="Arial"/>
          <w:szCs w:val="24"/>
          <w:lang w:val="en-AU" w:bidi="en-US"/>
        </w:rPr>
        <w:t>international agreement between Australia and New Zealand</w:t>
      </w:r>
      <w:r w:rsidRPr="006E4F58">
        <w:rPr>
          <w:rFonts w:eastAsia="Times New Roman" w:cs="Arial"/>
          <w:szCs w:val="24"/>
          <w:lang w:bidi="en-US"/>
        </w:rPr>
        <w:t xml:space="preserve">, and consists of New Zealand, Commonwealth and State/Territory members. If endorsed by the FMM, </w:t>
      </w:r>
      <w:r w:rsidRPr="006E4F58">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rsidR="006E4F58" w:rsidRPr="006E4F58" w:rsidRDefault="006E4F58" w:rsidP="006E4F58">
      <w:pPr>
        <w:autoSpaceDE w:val="0"/>
        <w:autoSpaceDN w:val="0"/>
        <w:adjustRightInd w:val="0"/>
        <w:rPr>
          <w:rFonts w:eastAsia="Calibri" w:cs="Arial"/>
          <w:bCs/>
          <w:lang w:val="en-AU"/>
        </w:rPr>
      </w:pPr>
    </w:p>
    <w:p w:rsidR="006E4F58" w:rsidRPr="006E4F58" w:rsidRDefault="006E4F58" w:rsidP="006E4F58">
      <w:pPr>
        <w:keepNext/>
        <w:widowControl w:val="0"/>
        <w:rPr>
          <w:rFonts w:eastAsia="Times New Roman" w:cs="Times New Roman"/>
          <w:b/>
          <w:szCs w:val="24"/>
          <w:lang w:val="en-AU" w:eastAsia="en-GB"/>
        </w:rPr>
      </w:pPr>
      <w:r w:rsidRPr="006E4F58">
        <w:rPr>
          <w:rFonts w:eastAsia="Times New Roman" w:cs="Times New Roman"/>
          <w:b/>
          <w:szCs w:val="24"/>
          <w:lang w:val="en-AU" w:eastAsia="en-GB"/>
        </w:rPr>
        <w:lastRenderedPageBreak/>
        <w:t>3.</w:t>
      </w:r>
      <w:r w:rsidRPr="006E4F58">
        <w:rPr>
          <w:rFonts w:eastAsia="Times New Roman" w:cs="Times New Roman"/>
          <w:b/>
          <w:szCs w:val="24"/>
          <w:lang w:val="en-AU" w:eastAsia="en-GB"/>
        </w:rPr>
        <w:tab/>
        <w:t xml:space="preserve">Purpose </w:t>
      </w:r>
    </w:p>
    <w:p w:rsidR="006E4F58" w:rsidRPr="006E4F58" w:rsidRDefault="006E4F58" w:rsidP="006E4F58">
      <w:pPr>
        <w:keepNext/>
        <w:widowControl w:val="0"/>
        <w:rPr>
          <w:rFonts w:eastAsia="Times New Roman" w:cs="Times New Roman"/>
          <w:szCs w:val="24"/>
          <w:lang w:val="en-AU" w:eastAsia="en-GB"/>
        </w:rPr>
      </w:pPr>
    </w:p>
    <w:p w:rsidR="006E4F58" w:rsidRPr="006E4F58" w:rsidRDefault="006E4F58" w:rsidP="006E4F58">
      <w:pPr>
        <w:autoSpaceDE w:val="0"/>
        <w:autoSpaceDN w:val="0"/>
        <w:adjustRightInd w:val="0"/>
        <w:rPr>
          <w:rFonts w:eastAsia="Times New Roman" w:cs="Arial"/>
          <w:szCs w:val="24"/>
          <w:lang w:eastAsia="en-GB"/>
        </w:rPr>
      </w:pPr>
      <w:r w:rsidRPr="006E4F58">
        <w:rPr>
          <w:rFonts w:eastAsia="Times New Roman" w:cs="Times New Roman"/>
          <w:szCs w:val="24"/>
          <w:lang w:bidi="en-US"/>
        </w:rPr>
        <w:t>The Authority approved the draft Standard to minimise food safety risks associated with the primary production and processing of fresh berries in Australia</w:t>
      </w:r>
      <w:r w:rsidRPr="006E4F58">
        <w:rPr>
          <w:rFonts w:eastAsia="Times New Roman" w:cs="Arial"/>
          <w:szCs w:val="24"/>
          <w:lang w:eastAsia="en-GB"/>
        </w:rPr>
        <w:t>.</w:t>
      </w:r>
    </w:p>
    <w:p w:rsidR="006E4F58" w:rsidRPr="006E4F58" w:rsidRDefault="006E4F58" w:rsidP="006E4F58">
      <w:pPr>
        <w:autoSpaceDE w:val="0"/>
        <w:autoSpaceDN w:val="0"/>
        <w:adjustRightInd w:val="0"/>
        <w:rPr>
          <w:rFonts w:eastAsia="Calibri" w:cs="Arial"/>
          <w:b/>
          <w:bCs/>
          <w:sz w:val="28"/>
          <w:szCs w:val="28"/>
        </w:rPr>
      </w:pPr>
    </w:p>
    <w:p w:rsidR="006E4F58" w:rsidRPr="006E4F58" w:rsidRDefault="006E4F58" w:rsidP="006E4F58">
      <w:pPr>
        <w:widowControl w:val="0"/>
        <w:rPr>
          <w:rFonts w:eastAsia="Calibri" w:cs="Times New Roman"/>
          <w:szCs w:val="24"/>
        </w:rPr>
      </w:pPr>
      <w:r w:rsidRPr="006E4F58">
        <w:rPr>
          <w:rFonts w:eastAsia="Calibri" w:cs="Times New Roman"/>
          <w:szCs w:val="24"/>
        </w:rPr>
        <w:t xml:space="preserve">Berries contaminated by pathogenic microorganisms present an unacceptable health risk to consumers.  In recent years, outbreaks of foodborne illness have been associated with the consumption of berries both in Australia and overseas. </w:t>
      </w:r>
    </w:p>
    <w:p w:rsidR="006E4F58" w:rsidRPr="006E4F58" w:rsidRDefault="006E4F58" w:rsidP="006E4F58">
      <w:pPr>
        <w:widowControl w:val="0"/>
        <w:rPr>
          <w:rFonts w:eastAsia="Calibri" w:cs="Times New Roman"/>
          <w:szCs w:val="24"/>
        </w:rPr>
      </w:pPr>
    </w:p>
    <w:p w:rsidR="006E4F58" w:rsidRPr="006E4F58" w:rsidRDefault="006E4F58" w:rsidP="006E4F58">
      <w:pPr>
        <w:widowControl w:val="0"/>
        <w:rPr>
          <w:rFonts w:eastAsia="Calibri" w:cs="Times New Roman"/>
          <w:szCs w:val="24"/>
        </w:rPr>
      </w:pPr>
      <w:r w:rsidRPr="006E4F58">
        <w:rPr>
          <w:rFonts w:eastAsia="Calibri" w:cs="Times New Roman"/>
          <w:szCs w:val="24"/>
        </w:rPr>
        <w:t xml:space="preserve">The food regulatory measures in the approved draft Standard, along with existing measures in the Code, address the public health and safety problem identified with berries in the most cost-effective manner. </w:t>
      </w:r>
    </w:p>
    <w:p w:rsidR="006E4F58" w:rsidRPr="006E4F58" w:rsidRDefault="006E4F58" w:rsidP="006E4F58">
      <w:pPr>
        <w:widowControl w:val="0"/>
        <w:rPr>
          <w:rFonts w:eastAsia="Calibri" w:cs="Times New Roman"/>
          <w:szCs w:val="24"/>
        </w:rPr>
      </w:pPr>
    </w:p>
    <w:p w:rsidR="006E4F58" w:rsidRPr="006E4F58" w:rsidRDefault="006E4F58" w:rsidP="006E4F58">
      <w:pPr>
        <w:widowControl w:val="0"/>
        <w:rPr>
          <w:rFonts w:eastAsia="Times New Roman" w:cs="Times New Roman"/>
          <w:b/>
          <w:szCs w:val="24"/>
          <w:lang w:val="en-AU" w:eastAsia="en-GB"/>
        </w:rPr>
      </w:pPr>
      <w:r w:rsidRPr="006E4F58">
        <w:rPr>
          <w:rFonts w:eastAsia="Times New Roman" w:cs="Times New Roman"/>
          <w:b/>
          <w:szCs w:val="24"/>
          <w:lang w:val="en-AU" w:eastAsia="en-GB"/>
        </w:rPr>
        <w:t>4.</w:t>
      </w:r>
      <w:r w:rsidRPr="006E4F58">
        <w:rPr>
          <w:rFonts w:eastAsia="Times New Roman" w:cs="Times New Roman"/>
          <w:b/>
          <w:szCs w:val="24"/>
          <w:lang w:val="en-AU" w:eastAsia="en-GB"/>
        </w:rPr>
        <w:tab/>
        <w:t>Documents incorporated by reference</w:t>
      </w:r>
    </w:p>
    <w:p w:rsidR="006E4F58" w:rsidRPr="006E4F58" w:rsidRDefault="006E4F58" w:rsidP="006E4F58">
      <w:pPr>
        <w:widowControl w:val="0"/>
        <w:rPr>
          <w:rFonts w:eastAsia="Times New Roman" w:cs="Times New Roman"/>
          <w:szCs w:val="24"/>
          <w:lang w:val="en-AU" w:eastAsia="en-GB"/>
        </w:rPr>
      </w:pPr>
    </w:p>
    <w:p w:rsidR="006E4F58" w:rsidRPr="006E4F58" w:rsidRDefault="006E4F58" w:rsidP="006E4F58">
      <w:pPr>
        <w:autoSpaceDE w:val="0"/>
        <w:autoSpaceDN w:val="0"/>
        <w:adjustRightInd w:val="0"/>
        <w:rPr>
          <w:rFonts w:eastAsia="Calibri" w:cs="Arial"/>
          <w:bCs/>
          <w:lang w:val="en-AU"/>
        </w:rPr>
      </w:pPr>
      <w:r w:rsidRPr="006E4F58">
        <w:rPr>
          <w:rFonts w:eastAsia="Calibri" w:cs="Arial"/>
          <w:bCs/>
          <w:lang w:val="en-AU"/>
        </w:rPr>
        <w:t>The</w:t>
      </w:r>
      <w:r w:rsidRPr="006E4F58" w:rsidDel="00F47123">
        <w:rPr>
          <w:rFonts w:eastAsia="Calibri" w:cs="Arial"/>
          <w:bCs/>
          <w:lang w:val="en-AU"/>
        </w:rPr>
        <w:t xml:space="preserve"> </w:t>
      </w:r>
      <w:r w:rsidRPr="006E4F58">
        <w:rPr>
          <w:rFonts w:eastAsia="Calibri" w:cs="Arial"/>
          <w:bCs/>
          <w:lang w:val="en-AU"/>
        </w:rPr>
        <w:t>approved draft Standard does not incorporate any documents by reference.</w:t>
      </w:r>
    </w:p>
    <w:p w:rsidR="006E4F58" w:rsidRPr="006E4F58" w:rsidRDefault="006E4F58" w:rsidP="006E4F58">
      <w:pPr>
        <w:widowControl w:val="0"/>
        <w:rPr>
          <w:rFonts w:eastAsia="Times New Roman" w:cs="Times New Roman"/>
          <w:szCs w:val="24"/>
          <w:lang w:val="en-AU" w:eastAsia="en-GB"/>
        </w:rPr>
      </w:pPr>
    </w:p>
    <w:p w:rsidR="006E4F58" w:rsidRPr="006E4F58" w:rsidRDefault="006E4F58" w:rsidP="006E4F58">
      <w:pPr>
        <w:widowControl w:val="0"/>
        <w:rPr>
          <w:rFonts w:eastAsia="Times New Roman" w:cs="Times New Roman"/>
          <w:b/>
          <w:szCs w:val="24"/>
          <w:lang w:val="en-AU" w:eastAsia="en-GB"/>
        </w:rPr>
      </w:pPr>
      <w:r w:rsidRPr="006E4F58">
        <w:rPr>
          <w:rFonts w:eastAsia="Times New Roman" w:cs="Times New Roman"/>
          <w:b/>
          <w:szCs w:val="24"/>
          <w:lang w:val="en-AU" w:eastAsia="en-GB"/>
        </w:rPr>
        <w:t>5.</w:t>
      </w:r>
      <w:r w:rsidRPr="006E4F58">
        <w:rPr>
          <w:rFonts w:eastAsia="Times New Roman" w:cs="Times New Roman"/>
          <w:b/>
          <w:szCs w:val="24"/>
          <w:lang w:val="en-AU" w:eastAsia="en-GB"/>
        </w:rPr>
        <w:tab/>
        <w:t>Consultation</w:t>
      </w:r>
    </w:p>
    <w:p w:rsidR="006E4F58" w:rsidRPr="006E4F58" w:rsidRDefault="006E4F58" w:rsidP="006E4F58">
      <w:pPr>
        <w:widowControl w:val="0"/>
        <w:rPr>
          <w:rFonts w:eastAsia="Times New Roman" w:cs="Times New Roman"/>
          <w:szCs w:val="24"/>
          <w:lang w:val="en-AU" w:eastAsia="en-GB"/>
        </w:rPr>
      </w:pPr>
    </w:p>
    <w:p w:rsidR="006E4F58" w:rsidRPr="006E4F58" w:rsidRDefault="006E4F58" w:rsidP="006E4F58">
      <w:pPr>
        <w:widowControl w:val="0"/>
        <w:rPr>
          <w:rFonts w:eastAsia="Times New Roman" w:cs="Times New Roman"/>
          <w:lang w:bidi="en-US"/>
        </w:rPr>
      </w:pPr>
      <w:r w:rsidRPr="006E4F58">
        <w:rPr>
          <w:rFonts w:eastAsia="Times New Roman" w:cs="Times New Roman"/>
          <w:lang w:bidi="en-US"/>
        </w:rPr>
        <w:t xml:space="preserve">In accordance with the procedure in </w:t>
      </w:r>
      <w:r w:rsidRPr="006E4F58">
        <w:rPr>
          <w:rFonts w:eastAsia="Calibri" w:cs="Arial"/>
          <w:bCs/>
          <w:color w:val="000000"/>
          <w:lang w:val="en-AU"/>
        </w:rPr>
        <w:t xml:space="preserve">Division 2 of Part 3 </w:t>
      </w:r>
      <w:r w:rsidRPr="006E4F58">
        <w:rPr>
          <w:rFonts w:eastAsia="Times New Roman" w:cs="Times New Roman"/>
          <w:lang w:bidi="en-US"/>
        </w:rPr>
        <w:t xml:space="preserve">of the FSANZ Act, the Authority’s consideration of Proposal P1052 included two rounds of public consultation following an assessment, </w:t>
      </w:r>
      <w:r w:rsidRPr="006E4F58">
        <w:rPr>
          <w:rFonts w:eastAsia="Times New Roman" w:cs="Times New Roman"/>
          <w:szCs w:val="24"/>
          <w:lang w:bidi="en-US"/>
        </w:rPr>
        <w:t>targeted communication with key stakeholders,</w:t>
      </w:r>
      <w:r w:rsidRPr="006E4F58">
        <w:rPr>
          <w:rFonts w:eastAsia="Times New Roman" w:cs="Times New Roman"/>
          <w:lang w:bidi="en-US"/>
        </w:rPr>
        <w:t xml:space="preserve"> and the preparation of three draft standards and associated assessment summaries. </w:t>
      </w:r>
    </w:p>
    <w:p w:rsidR="006E4F58" w:rsidRPr="006E4F58" w:rsidRDefault="006E4F58" w:rsidP="006E4F58">
      <w:pPr>
        <w:widowControl w:val="0"/>
        <w:rPr>
          <w:rFonts w:eastAsia="Times New Roman" w:cs="Times New Roman"/>
          <w:lang w:bidi="en-US"/>
        </w:rPr>
      </w:pPr>
    </w:p>
    <w:p w:rsidR="006E4F58" w:rsidRPr="006E4F58" w:rsidRDefault="006E4F58" w:rsidP="006E4F58">
      <w:pPr>
        <w:widowControl w:val="0"/>
        <w:rPr>
          <w:rFonts w:eastAsia="Times New Roman" w:cs="Times New Roman"/>
          <w:lang w:bidi="en-US"/>
        </w:rPr>
      </w:pPr>
      <w:r w:rsidRPr="006E4F58">
        <w:rPr>
          <w:rFonts w:eastAsia="Times New Roman" w:cs="Times New Roman"/>
          <w:lang w:bidi="en-US"/>
        </w:rPr>
        <w:t>The first call for submissions</w:t>
      </w:r>
      <w:r w:rsidRPr="006E4F58">
        <w:rPr>
          <w:rFonts w:eastAsia="Times New Roman" w:cs="Arial"/>
          <w:lang w:bidi="en-US"/>
        </w:rPr>
        <w:t xml:space="preserve"> was held between February and </w:t>
      </w:r>
      <w:r w:rsidRPr="006E4F58">
        <w:rPr>
          <w:rFonts w:eastAsia="Times New Roman" w:cs="Arial"/>
          <w:shd w:val="clear" w:color="auto" w:fill="FFFFFF"/>
          <w:lang w:bidi="en-US"/>
        </w:rPr>
        <w:t>March 2020</w:t>
      </w:r>
      <w:r w:rsidRPr="006E4F58">
        <w:rPr>
          <w:rFonts w:eastAsia="Times New Roman" w:cs="Arial"/>
          <w:lang w:bidi="en-US"/>
        </w:rPr>
        <w:t>. Targete</w:t>
      </w:r>
      <w:r w:rsidRPr="006E4F58">
        <w:rPr>
          <w:rFonts w:eastAsia="Times New Roman" w:cs="Times New Roman"/>
          <w:lang w:bidi="en-US"/>
        </w:rPr>
        <w:t>d consultation was undertaken in December 2020–January 2021. The second call for submissions was held between November 2021 and February 2022.</w:t>
      </w:r>
    </w:p>
    <w:p w:rsidR="006E4F58" w:rsidRPr="006E4F58" w:rsidRDefault="006E4F58" w:rsidP="006E4F58">
      <w:pPr>
        <w:widowControl w:val="0"/>
        <w:rPr>
          <w:rFonts w:eastAsia="Times New Roman" w:cs="Times New Roman"/>
          <w:lang w:bidi="en-US"/>
        </w:rPr>
      </w:pPr>
    </w:p>
    <w:p w:rsidR="006E4F58" w:rsidRPr="006E4F58" w:rsidRDefault="006E4F58" w:rsidP="006E4F58">
      <w:pPr>
        <w:widowControl w:val="0"/>
        <w:rPr>
          <w:rFonts w:eastAsia="Times New Roman" w:cs="Times New Roman"/>
          <w:szCs w:val="24"/>
          <w:lang w:bidi="en-US"/>
        </w:rPr>
      </w:pPr>
      <w:r w:rsidRPr="006E4F58">
        <w:rPr>
          <w:rFonts w:eastAsia="Times New Roman" w:cs="Times New Roman"/>
          <w:szCs w:val="24"/>
          <w:lang w:bidi="en-US"/>
        </w:rPr>
        <w:t>A Standards Development Advisory Group was established with representatives from the industry sector and State, Territory and federal government agencies to provide ongoing advice to FSANZ throughout the standard development process. A Horticulture Implementation Working Group comprised of State, Territory and federal government regulators was established by the Implementation Sub-committee for Food Regulation to work with FSANZ and ensure a nationally consistent approach to implementation of the standards.</w:t>
      </w:r>
    </w:p>
    <w:p w:rsidR="006E4F58" w:rsidRPr="006E4F58" w:rsidRDefault="006E4F58" w:rsidP="006E4F58">
      <w:pPr>
        <w:widowControl w:val="0"/>
        <w:rPr>
          <w:rFonts w:eastAsia="Calibri" w:cs="Times New Roman"/>
          <w:szCs w:val="24"/>
          <w:lang w:bidi="en-US"/>
        </w:rPr>
      </w:pPr>
    </w:p>
    <w:p w:rsidR="006E4F58" w:rsidRPr="006E4F58" w:rsidRDefault="006E4F58" w:rsidP="006E4F58">
      <w:pPr>
        <w:widowControl w:val="0"/>
        <w:rPr>
          <w:rFonts w:eastAsia="Calibri" w:cs="Times New Roman"/>
          <w:szCs w:val="24"/>
          <w:lang w:bidi="en-US"/>
        </w:rPr>
      </w:pPr>
      <w:r w:rsidRPr="006E4F58">
        <w:rPr>
          <w:rFonts w:eastAsia="Calibri" w:cs="Times New Roman"/>
          <w:color w:val="000000"/>
          <w:szCs w:val="24"/>
          <w:lang w:bidi="en-US"/>
        </w:rPr>
        <w:t xml:space="preserve">A Decision Regulation Impact Statement (DRIS) was prepared by the Authority and has been approved by The Office of Best Practice Regulation (Reference - </w:t>
      </w:r>
      <w:r w:rsidRPr="006E4F58">
        <w:rPr>
          <w:rFonts w:eastAsia="Times New Roman" w:cs="Times New Roman"/>
          <w:color w:val="000000"/>
          <w:sz w:val="21"/>
          <w:szCs w:val="21"/>
          <w:shd w:val="clear" w:color="auto" w:fill="FFFFFF"/>
          <w:lang w:bidi="en-US"/>
        </w:rPr>
        <w:t>OBPR22-01822)</w:t>
      </w:r>
      <w:r w:rsidRPr="006E4F58">
        <w:rPr>
          <w:rFonts w:eastAsia="Calibri" w:cs="Times New Roman"/>
          <w:color w:val="000000"/>
          <w:szCs w:val="24"/>
          <w:lang w:bidi="en-US"/>
        </w:rPr>
        <w:t>.</w:t>
      </w:r>
    </w:p>
    <w:p w:rsidR="006E4F58" w:rsidRPr="006E4F58" w:rsidRDefault="006E4F58" w:rsidP="006E4F58">
      <w:pPr>
        <w:widowControl w:val="0"/>
        <w:rPr>
          <w:rFonts w:eastAsia="Calibri" w:cs="Times New Roman"/>
          <w:szCs w:val="24"/>
        </w:rPr>
      </w:pPr>
    </w:p>
    <w:p w:rsidR="006E4F58" w:rsidRPr="006E4F58" w:rsidRDefault="006E4F58" w:rsidP="006E4F58">
      <w:pPr>
        <w:rPr>
          <w:rFonts w:eastAsia="Calibri" w:cs="Arial"/>
          <w:b/>
          <w:bCs/>
          <w:lang w:val="en-AU"/>
        </w:rPr>
      </w:pPr>
      <w:r w:rsidRPr="006E4F58">
        <w:rPr>
          <w:rFonts w:eastAsia="Calibri" w:cs="Arial"/>
          <w:b/>
          <w:bCs/>
          <w:lang w:val="en-AU"/>
        </w:rPr>
        <w:t>6.</w:t>
      </w:r>
      <w:r w:rsidRPr="006E4F58">
        <w:rPr>
          <w:rFonts w:eastAsia="Calibri" w:cs="Arial"/>
          <w:b/>
          <w:bCs/>
          <w:lang w:val="en-AU"/>
        </w:rPr>
        <w:tab/>
        <w:t>Statement of compatibility with human rights</w:t>
      </w:r>
    </w:p>
    <w:p w:rsidR="006E4F58" w:rsidRPr="006E4F58" w:rsidRDefault="006E4F58" w:rsidP="006E4F58">
      <w:pPr>
        <w:widowControl w:val="0"/>
        <w:rPr>
          <w:rFonts w:eastAsia="Calibri" w:cs="Times New Roman"/>
          <w:szCs w:val="24"/>
          <w:lang w:val="en-AU"/>
        </w:rPr>
      </w:pPr>
    </w:p>
    <w:p w:rsidR="006E4F58" w:rsidRPr="006E4F58" w:rsidRDefault="006E4F58" w:rsidP="006E4F58">
      <w:pPr>
        <w:widowControl w:val="0"/>
        <w:rPr>
          <w:rFonts w:eastAsia="Calibri" w:cs="Times New Roman"/>
          <w:szCs w:val="24"/>
          <w:lang w:val="en-AU"/>
        </w:rPr>
      </w:pPr>
      <w:r w:rsidRPr="006E4F58">
        <w:rPr>
          <w:rFonts w:eastAsia="Calibri" w:cs="Times New Roman"/>
          <w:szCs w:val="24"/>
          <w:lang w:val="en-AU"/>
        </w:rPr>
        <w:t xml:space="preserve">This instrument is exempt from the requirements for a statement of compatibility with human rights as it is a non-disallowable instrument under section 94 of the </w:t>
      </w:r>
      <w:r w:rsidRPr="006E4F58">
        <w:rPr>
          <w:rFonts w:eastAsia="Calibri" w:cs="Times New Roman"/>
          <w:i/>
          <w:szCs w:val="24"/>
          <w:lang w:val="en-AU"/>
        </w:rPr>
        <w:t>Legislation Act 2003</w:t>
      </w:r>
      <w:r w:rsidRPr="006E4F58">
        <w:rPr>
          <w:rFonts w:eastAsia="Calibri" w:cs="Times New Roman"/>
          <w:szCs w:val="24"/>
          <w:lang w:val="en-AU"/>
        </w:rPr>
        <w:t>.</w:t>
      </w:r>
    </w:p>
    <w:p w:rsidR="006E4F58" w:rsidRPr="006E4F58" w:rsidRDefault="006E4F58" w:rsidP="006E4F58">
      <w:pPr>
        <w:widowControl w:val="0"/>
        <w:rPr>
          <w:rFonts w:eastAsia="Calibri" w:cs="Times New Roman"/>
          <w:szCs w:val="24"/>
          <w:lang w:val="en-AU"/>
        </w:rPr>
      </w:pPr>
    </w:p>
    <w:p w:rsidR="006E4F58" w:rsidRPr="006E4F58" w:rsidRDefault="006E4F58" w:rsidP="006E4F58">
      <w:pPr>
        <w:keepNext/>
        <w:widowControl w:val="0"/>
        <w:rPr>
          <w:rFonts w:eastAsia="Times New Roman" w:cs="Times New Roman"/>
          <w:b/>
          <w:szCs w:val="24"/>
          <w:lang w:val="en-AU" w:eastAsia="en-GB"/>
        </w:rPr>
      </w:pPr>
      <w:r w:rsidRPr="006E4F58">
        <w:rPr>
          <w:rFonts w:eastAsia="Times New Roman" w:cs="Times New Roman"/>
          <w:b/>
          <w:szCs w:val="24"/>
          <w:lang w:bidi="en-US"/>
        </w:rPr>
        <w:t>7.</w:t>
      </w:r>
      <w:r w:rsidRPr="006E4F58">
        <w:rPr>
          <w:rFonts w:eastAsia="Times New Roman" w:cs="Times New Roman"/>
          <w:b/>
          <w:szCs w:val="24"/>
          <w:lang w:bidi="en-US"/>
        </w:rPr>
        <w:tab/>
        <w:t xml:space="preserve">Approved </w:t>
      </w:r>
      <w:r w:rsidRPr="006E4F58">
        <w:rPr>
          <w:rFonts w:eastAsia="Times New Roman" w:cs="Times New Roman"/>
          <w:b/>
          <w:szCs w:val="24"/>
          <w:lang w:val="en-AU" w:eastAsia="en-GB"/>
        </w:rPr>
        <w:t>Draft Standard</w:t>
      </w:r>
    </w:p>
    <w:p w:rsidR="006E4F58" w:rsidRPr="006E4F58" w:rsidRDefault="006E4F58" w:rsidP="006E4F58">
      <w:pPr>
        <w:autoSpaceDE w:val="0"/>
        <w:autoSpaceDN w:val="0"/>
        <w:adjustRightInd w:val="0"/>
        <w:contextualSpacing/>
        <w:rPr>
          <w:rFonts w:eastAsia="Calibri" w:cs="Arial"/>
          <w:b/>
          <w:sz w:val="28"/>
          <w:szCs w:val="28"/>
        </w:rPr>
      </w:pPr>
    </w:p>
    <w:p w:rsidR="006E4F58" w:rsidRPr="006E4F58" w:rsidRDefault="006E4F58" w:rsidP="006E4F58">
      <w:pPr>
        <w:widowControl w:val="0"/>
        <w:autoSpaceDE w:val="0"/>
        <w:autoSpaceDN w:val="0"/>
        <w:adjustRightInd w:val="0"/>
        <w:rPr>
          <w:rFonts w:eastAsia="Calibri" w:cs="Arial"/>
          <w:bCs/>
          <w:szCs w:val="24"/>
          <w:lang w:bidi="en-US"/>
        </w:rPr>
      </w:pPr>
      <w:r w:rsidRPr="006E4F58">
        <w:rPr>
          <w:rFonts w:eastAsia="Calibri" w:cs="Arial"/>
          <w:bCs/>
          <w:szCs w:val="24"/>
          <w:lang w:bidi="en-US"/>
        </w:rPr>
        <w:t>Standard 4.2.7 is a new Standard to be incorporated into the Code. The purpose of each provision in the Standard is explained below</w:t>
      </w:r>
    </w:p>
    <w:p w:rsidR="006E4F58" w:rsidRPr="006E4F58" w:rsidRDefault="006E4F58" w:rsidP="006E4F58">
      <w:pPr>
        <w:widowControl w:val="0"/>
        <w:autoSpaceDE w:val="0"/>
        <w:autoSpaceDN w:val="0"/>
        <w:adjustRightInd w:val="0"/>
        <w:rPr>
          <w:rFonts w:eastAsia="Calibri" w:cs="Arial"/>
          <w:bCs/>
          <w:szCs w:val="24"/>
          <w:lang w:bidi="en-US"/>
        </w:rPr>
      </w:pPr>
    </w:p>
    <w:p w:rsidR="006E4F58" w:rsidRPr="006E4F58" w:rsidRDefault="006E4F58" w:rsidP="006E4F58">
      <w:pPr>
        <w:widowControl w:val="0"/>
        <w:rPr>
          <w:rFonts w:eastAsia="Times New Roman" w:cs="Times New Roman"/>
          <w:szCs w:val="24"/>
          <w:lang w:bidi="en-US"/>
        </w:rPr>
      </w:pPr>
      <w:r w:rsidRPr="006E4F58">
        <w:rPr>
          <w:rFonts w:eastAsia="Calibri" w:cs="Arial"/>
          <w:bCs/>
          <w:szCs w:val="24"/>
          <w:lang w:bidi="en-US"/>
        </w:rPr>
        <w:t xml:space="preserve">Note 1 </w:t>
      </w:r>
      <w:r w:rsidRPr="006E4F58">
        <w:rPr>
          <w:rFonts w:eastAsia="Times New Roman" w:cs="Times New Roman"/>
          <w:szCs w:val="24"/>
          <w:lang w:bidi="en-US"/>
        </w:rPr>
        <w:t xml:space="preserve">explains that the instrument is a standard under the FSANZ Act, and that </w:t>
      </w:r>
      <w:r w:rsidRPr="006E4F58">
        <w:rPr>
          <w:rFonts w:eastAsia="Calibri" w:cs="Arial"/>
          <w:bCs/>
        </w:rPr>
        <w:t xml:space="preserve">the </w:t>
      </w:r>
      <w:r w:rsidRPr="006E4F58">
        <w:rPr>
          <w:rFonts w:eastAsia="Times New Roman" w:cs="Times New Roman"/>
          <w:szCs w:val="24"/>
          <w:lang w:bidi="en-US"/>
        </w:rPr>
        <w:t xml:space="preserve">Standard and the other standards together make up the Code. </w:t>
      </w:r>
    </w:p>
    <w:p w:rsidR="006E4F58" w:rsidRPr="006E4F58" w:rsidRDefault="006E4F58" w:rsidP="006E4F58">
      <w:pPr>
        <w:widowControl w:val="0"/>
        <w:rPr>
          <w:rFonts w:eastAsia="Times New Roman" w:cs="Times New Roman"/>
          <w:szCs w:val="24"/>
          <w:lang w:bidi="en-US"/>
        </w:rPr>
      </w:pPr>
    </w:p>
    <w:p w:rsidR="006E4F58" w:rsidRPr="006E4F58" w:rsidRDefault="006E4F58" w:rsidP="006E4F58">
      <w:pPr>
        <w:widowControl w:val="0"/>
        <w:rPr>
          <w:rFonts w:eastAsia="Calibri" w:cs="Arial"/>
          <w:szCs w:val="24"/>
          <w:lang w:bidi="en-US"/>
        </w:rPr>
      </w:pPr>
      <w:r w:rsidRPr="006E4F58">
        <w:rPr>
          <w:rFonts w:eastAsia="Times New Roman" w:cs="Times New Roman"/>
          <w:szCs w:val="24"/>
          <w:lang w:bidi="en-US"/>
        </w:rPr>
        <w:t xml:space="preserve">Note 2 </w:t>
      </w:r>
      <w:r w:rsidRPr="006E4F58">
        <w:rPr>
          <w:rFonts w:eastAsia="Times New Roman" w:cs="Times New Roman"/>
          <w:color w:val="000000"/>
          <w:szCs w:val="24"/>
          <w:lang w:bidi="en-US"/>
        </w:rPr>
        <w:t xml:space="preserve">explains that </w:t>
      </w:r>
      <w:r w:rsidRPr="006E4F58">
        <w:rPr>
          <w:rFonts w:eastAsia="Times New Roman" w:cs="Times New Roman"/>
          <w:szCs w:val="24"/>
          <w:lang w:bidi="en-US"/>
        </w:rPr>
        <w:t>the Standard applies only in Australia</w:t>
      </w:r>
      <w:r w:rsidRPr="006E4F58">
        <w:rPr>
          <w:rFonts w:eastAsia="Calibri" w:cs="Arial"/>
          <w:szCs w:val="24"/>
          <w:lang w:bidi="en-US"/>
        </w:rPr>
        <w:t>.</w:t>
      </w:r>
    </w:p>
    <w:p w:rsidR="006E4F58" w:rsidRPr="006E4F58" w:rsidRDefault="006E4F58" w:rsidP="006E4F58">
      <w:pPr>
        <w:widowControl w:val="0"/>
        <w:rPr>
          <w:rFonts w:eastAsia="Calibri" w:cs="Arial"/>
          <w:szCs w:val="24"/>
          <w:lang w:bidi="en-US"/>
        </w:rPr>
      </w:pPr>
    </w:p>
    <w:p w:rsidR="006E4F58" w:rsidRPr="006E4F58" w:rsidRDefault="006E4F58" w:rsidP="006E4F58">
      <w:pPr>
        <w:widowControl w:val="0"/>
        <w:rPr>
          <w:rFonts w:eastAsia="Times New Roman" w:cs="Times New Roman"/>
          <w:b/>
          <w:bCs/>
          <w:szCs w:val="24"/>
          <w:lang w:bidi="en-US"/>
        </w:rPr>
      </w:pPr>
      <w:r w:rsidRPr="006E4F58">
        <w:rPr>
          <w:rFonts w:eastAsia="Times New Roman" w:cs="Times New Roman"/>
          <w:b/>
          <w:bCs/>
          <w:szCs w:val="24"/>
          <w:lang w:bidi="en-US"/>
        </w:rPr>
        <w:lastRenderedPageBreak/>
        <w:t xml:space="preserve">Section 1: </w:t>
      </w:r>
      <w:r w:rsidRPr="006E4F58">
        <w:rPr>
          <w:rFonts w:eastAsia="Times New Roman" w:cs="Times New Roman"/>
          <w:szCs w:val="24"/>
          <w:lang w:bidi="en-US"/>
        </w:rPr>
        <w:t xml:space="preserve">This section establishes that the name of the instrument is </w:t>
      </w:r>
      <w:r w:rsidRPr="006E4F58">
        <w:rPr>
          <w:rFonts w:eastAsia="Calibri" w:cs="Arial"/>
          <w:szCs w:val="24"/>
        </w:rPr>
        <w:t xml:space="preserve">the </w:t>
      </w:r>
      <w:r w:rsidRPr="006E4F58">
        <w:rPr>
          <w:rFonts w:eastAsia="Times New Roman" w:cs="Times New Roman"/>
          <w:i/>
          <w:iCs/>
          <w:szCs w:val="24"/>
          <w:lang w:bidi="en-US"/>
        </w:rPr>
        <w:t>Australia New Zealand Food Standards Code</w:t>
      </w:r>
      <w:r w:rsidRPr="006E4F58">
        <w:rPr>
          <w:rFonts w:eastAsia="Times New Roman" w:cs="Times New Roman"/>
          <w:szCs w:val="24"/>
          <w:lang w:bidi="en-US"/>
        </w:rPr>
        <w:t xml:space="preserve"> – Standard </w:t>
      </w:r>
      <w:r w:rsidRPr="006E4F58">
        <w:rPr>
          <w:rFonts w:eastAsia="Times New Roman" w:cs="Times New Roman"/>
          <w:color w:val="000000"/>
          <w:szCs w:val="24"/>
          <w:lang w:bidi="en-US"/>
        </w:rPr>
        <w:t xml:space="preserve">4.2.7 </w:t>
      </w:r>
      <w:r w:rsidRPr="006E4F58">
        <w:rPr>
          <w:rFonts w:eastAsia="Times New Roman" w:cs="Times New Roman"/>
          <w:szCs w:val="24"/>
          <w:lang w:bidi="en-US"/>
        </w:rPr>
        <w:t xml:space="preserve">– </w:t>
      </w:r>
      <w:r w:rsidRPr="006E4F58">
        <w:rPr>
          <w:rFonts w:eastAsia="Times New Roman" w:cs="Times New Roman"/>
          <w:i/>
          <w:iCs/>
          <w:szCs w:val="24"/>
          <w:lang w:bidi="en-US"/>
        </w:rPr>
        <w:t xml:space="preserve">Primary Production and Processing </w:t>
      </w:r>
      <w:r w:rsidRPr="006E4F58">
        <w:rPr>
          <w:rFonts w:eastAsia="Times New Roman" w:cs="Times New Roman"/>
          <w:i/>
          <w:iCs/>
          <w:color w:val="000000"/>
          <w:szCs w:val="24"/>
          <w:lang w:bidi="en-US"/>
        </w:rPr>
        <w:t>Standard for Berries.</w:t>
      </w:r>
    </w:p>
    <w:p w:rsidR="006E4F58" w:rsidRPr="006E4F58" w:rsidRDefault="006E4F58" w:rsidP="006E4F58">
      <w:pPr>
        <w:widowControl w:val="0"/>
        <w:rPr>
          <w:rFonts w:eastAsia="Calibri" w:cs="Arial"/>
          <w:bCs/>
          <w:szCs w:val="24"/>
          <w:lang w:bidi="en-US"/>
        </w:rPr>
      </w:pPr>
    </w:p>
    <w:p w:rsidR="006E4F58" w:rsidRPr="006E4F58" w:rsidRDefault="006E4F58" w:rsidP="006E4F58">
      <w:pPr>
        <w:widowControl w:val="0"/>
        <w:rPr>
          <w:rFonts w:eastAsia="Times New Roman" w:cs="Times New Roman"/>
          <w:szCs w:val="24"/>
          <w:lang w:bidi="en-US"/>
        </w:rPr>
      </w:pPr>
      <w:r w:rsidRPr="006E4F58">
        <w:rPr>
          <w:rFonts w:eastAsia="Times New Roman" w:cs="Times New Roman"/>
          <w:szCs w:val="24"/>
          <w:lang w:bidi="en-US"/>
        </w:rPr>
        <w:t>The note to section 1 explains that the Standard will commence on the date that is 30 months following the date of gazettal, being the date specified in accordance with section 92 of the FSANZ Act.</w:t>
      </w:r>
    </w:p>
    <w:p w:rsidR="006E4F58" w:rsidRPr="006E4F58" w:rsidRDefault="006E4F58" w:rsidP="006E4F58">
      <w:pPr>
        <w:widowControl w:val="0"/>
        <w:rPr>
          <w:rFonts w:eastAsia="Times New Roman" w:cs="Times New Roman"/>
          <w:szCs w:val="24"/>
          <w:lang w:bidi="en-US"/>
        </w:rPr>
      </w:pPr>
    </w:p>
    <w:p w:rsidR="006E4F58" w:rsidRPr="006E4F58" w:rsidRDefault="006E4F58" w:rsidP="006E4F58">
      <w:pPr>
        <w:widowControl w:val="0"/>
        <w:rPr>
          <w:rFonts w:eastAsia="Calibri" w:cs="Arial"/>
          <w:szCs w:val="24"/>
          <w:lang w:bidi="en-US"/>
        </w:rPr>
      </w:pPr>
      <w:r w:rsidRPr="006E4F58">
        <w:rPr>
          <w:rFonts w:eastAsia="Calibri" w:cs="Arial"/>
          <w:b/>
          <w:bCs/>
          <w:szCs w:val="24"/>
          <w:lang w:bidi="en-US"/>
        </w:rPr>
        <w:t>S</w:t>
      </w:r>
      <w:r w:rsidRPr="006E4F58">
        <w:rPr>
          <w:rFonts w:eastAsia="Times New Roman" w:cs="Times New Roman"/>
          <w:b/>
          <w:bCs/>
          <w:szCs w:val="24"/>
          <w:lang w:bidi="en-US"/>
        </w:rPr>
        <w:t>ection 2:</w:t>
      </w:r>
      <w:r w:rsidRPr="006E4F58">
        <w:rPr>
          <w:rFonts w:eastAsia="Times New Roman" w:cs="Times New Roman"/>
          <w:szCs w:val="24"/>
          <w:lang w:bidi="en-US"/>
        </w:rPr>
        <w:tab/>
        <w:t xml:space="preserve">This section </w:t>
      </w:r>
      <w:r w:rsidRPr="006E4F58">
        <w:rPr>
          <w:rFonts w:eastAsia="Calibri" w:cs="Arial"/>
          <w:szCs w:val="24"/>
        </w:rPr>
        <w:t xml:space="preserve">sets out the definitions </w:t>
      </w:r>
      <w:r w:rsidRPr="006E4F58">
        <w:rPr>
          <w:rFonts w:eastAsia="Times New Roman" w:cs="Times New Roman"/>
          <w:kern w:val="32"/>
          <w:szCs w:val="24"/>
          <w:lang w:bidi="en-US"/>
        </w:rPr>
        <w:t>for key words and phrases used in the Standard, or signposts to where those definitions are provided in other standards in the Code</w:t>
      </w:r>
      <w:r w:rsidRPr="006E4F58">
        <w:rPr>
          <w:rFonts w:eastAsia="Calibri" w:cs="Arial"/>
          <w:szCs w:val="24"/>
          <w:lang w:bidi="en-US"/>
        </w:rPr>
        <w:t xml:space="preserve">. </w:t>
      </w:r>
    </w:p>
    <w:p w:rsidR="006E4F58" w:rsidRPr="006E4F58" w:rsidRDefault="006E4F58" w:rsidP="006E4F58">
      <w:pPr>
        <w:autoSpaceDE w:val="0"/>
        <w:autoSpaceDN w:val="0"/>
        <w:adjustRightInd w:val="0"/>
        <w:rPr>
          <w:rFonts w:eastAsia="Calibri" w:cs="Arial"/>
        </w:rPr>
      </w:pPr>
    </w:p>
    <w:p w:rsidR="006E4F58" w:rsidRPr="006E4F58" w:rsidRDefault="006E4F58" w:rsidP="006E4F58">
      <w:pPr>
        <w:autoSpaceDE w:val="0"/>
        <w:autoSpaceDN w:val="0"/>
        <w:adjustRightInd w:val="0"/>
        <w:ind w:left="567"/>
        <w:rPr>
          <w:rFonts w:eastAsia="Calibri" w:cs="Arial"/>
        </w:rPr>
      </w:pPr>
      <w:r w:rsidRPr="006E4F58">
        <w:rPr>
          <w:rFonts w:eastAsia="Calibri" w:cs="Arial"/>
          <w:b/>
        </w:rPr>
        <w:t>Berries</w:t>
      </w:r>
      <w:r w:rsidRPr="006E4F58">
        <w:rPr>
          <w:rFonts w:eastAsia="Times New Roman" w:cs="Times New Roman"/>
          <w:szCs w:val="24"/>
          <w:lang w:bidi="en-US"/>
        </w:rPr>
        <w:t xml:space="preserve"> means fresh berries and includes strawberries, blueberries, and berries of the genus </w:t>
      </w:r>
      <w:r w:rsidRPr="006E4F58">
        <w:rPr>
          <w:rFonts w:eastAsia="Times New Roman" w:cs="Times New Roman"/>
          <w:i/>
          <w:szCs w:val="24"/>
          <w:lang w:bidi="en-US"/>
        </w:rPr>
        <w:t>Rubus</w:t>
      </w:r>
      <w:r w:rsidRPr="006E4F58">
        <w:rPr>
          <w:rFonts w:eastAsia="Times New Roman" w:cs="Times New Roman"/>
          <w:szCs w:val="24"/>
          <w:lang w:bidi="en-US"/>
        </w:rPr>
        <w:t xml:space="preserve">. The definition is inclusive in that the specific products listed in it are intended as examples of berries, rather than constituting an exhaustive list. </w:t>
      </w:r>
    </w:p>
    <w:p w:rsidR="006E4F58" w:rsidRPr="006E4F58" w:rsidRDefault="006E4F58" w:rsidP="006E4F58">
      <w:pPr>
        <w:autoSpaceDE w:val="0"/>
        <w:autoSpaceDN w:val="0"/>
        <w:adjustRightInd w:val="0"/>
        <w:ind w:left="567"/>
        <w:rPr>
          <w:rFonts w:eastAsia="Calibri" w:cs="Arial"/>
        </w:rPr>
      </w:pPr>
    </w:p>
    <w:p w:rsidR="006E4F58" w:rsidRPr="006E4F58" w:rsidRDefault="006E4F58" w:rsidP="006E4F58">
      <w:pPr>
        <w:autoSpaceDE w:val="0"/>
        <w:autoSpaceDN w:val="0"/>
        <w:adjustRightInd w:val="0"/>
        <w:ind w:left="567"/>
        <w:rPr>
          <w:rFonts w:eastAsia="Calibri" w:cs="Arial"/>
        </w:rPr>
      </w:pPr>
      <w:r w:rsidRPr="006E4F58">
        <w:rPr>
          <w:rFonts w:eastAsia="Calibri" w:cs="Arial"/>
          <w:b/>
        </w:rPr>
        <w:t>Growing site</w:t>
      </w:r>
      <w:r w:rsidRPr="006E4F58">
        <w:rPr>
          <w:rFonts w:eastAsia="Calibri" w:cs="Arial"/>
        </w:rPr>
        <w:t xml:space="preserve"> means </w:t>
      </w:r>
      <w:r w:rsidRPr="006E4F58">
        <w:rPr>
          <w:rFonts w:eastAsia="Times New Roman" w:cs="Times New Roman"/>
          <w:szCs w:val="24"/>
          <w:lang w:bidi="en-US"/>
        </w:rPr>
        <w:t xml:space="preserve">any site used to grow </w:t>
      </w:r>
      <w:r w:rsidRPr="006E4F58">
        <w:rPr>
          <w:rFonts w:eastAsia="Times New Roman" w:cs="Times New Roman"/>
          <w:color w:val="000000"/>
          <w:szCs w:val="24"/>
          <w:lang w:bidi="en-US"/>
        </w:rPr>
        <w:t xml:space="preserve">berries; </w:t>
      </w:r>
      <w:r w:rsidRPr="006E4F58">
        <w:rPr>
          <w:rFonts w:eastAsia="Times New Roman" w:cs="Times New Roman"/>
          <w:szCs w:val="24"/>
          <w:lang w:bidi="en-US"/>
        </w:rPr>
        <w:t xml:space="preserve">and includes an open, partially enclosed or enclosed planting area. </w:t>
      </w:r>
      <w:r w:rsidRPr="006E4F58">
        <w:rPr>
          <w:rFonts w:eastAsia="Calibri" w:cs="Arial"/>
        </w:rPr>
        <w:t xml:space="preserve">The definition clarifies that the Standard applies to open fields as well as other cropping arrangements in fully or partially enclosed structures, such as hydroponic set ups. </w:t>
      </w:r>
    </w:p>
    <w:p w:rsidR="006E4F58" w:rsidRPr="006E4F58" w:rsidRDefault="006E4F58" w:rsidP="006E4F58">
      <w:pPr>
        <w:autoSpaceDE w:val="0"/>
        <w:autoSpaceDN w:val="0"/>
        <w:adjustRightInd w:val="0"/>
        <w:ind w:left="567"/>
        <w:rPr>
          <w:rFonts w:eastAsia="Calibri" w:cs="Arial"/>
        </w:rPr>
      </w:pPr>
    </w:p>
    <w:p w:rsidR="006E4F58" w:rsidRPr="006E4F58" w:rsidRDefault="006E4F58" w:rsidP="006E4F58">
      <w:pPr>
        <w:autoSpaceDE w:val="0"/>
        <w:autoSpaceDN w:val="0"/>
        <w:adjustRightInd w:val="0"/>
        <w:ind w:left="567"/>
        <w:rPr>
          <w:rFonts w:eastAsia="Calibri" w:cs="Arial"/>
        </w:rPr>
      </w:pPr>
      <w:r w:rsidRPr="006E4F58">
        <w:rPr>
          <w:rFonts w:eastAsia="Calibri" w:cs="Arial"/>
          <w:b/>
        </w:rPr>
        <w:t>Harvest</w:t>
      </w:r>
      <w:r w:rsidRPr="006E4F58">
        <w:rPr>
          <w:rFonts w:eastAsia="Calibri" w:cs="Arial"/>
        </w:rPr>
        <w:t xml:space="preserve"> means </w:t>
      </w:r>
      <w:r w:rsidRPr="006E4F58">
        <w:rPr>
          <w:rFonts w:eastAsia="Times New Roman" w:cs="Times New Roman"/>
          <w:szCs w:val="24"/>
          <w:lang w:bidi="en-US"/>
        </w:rPr>
        <w:t xml:space="preserve">all activities related to the collection and removal </w:t>
      </w:r>
      <w:r w:rsidRPr="006E4F58">
        <w:rPr>
          <w:rFonts w:eastAsia="Times New Roman" w:cs="Times New Roman"/>
          <w:color w:val="000000"/>
          <w:szCs w:val="24"/>
          <w:lang w:bidi="en-US"/>
        </w:rPr>
        <w:t xml:space="preserve">of berries from </w:t>
      </w:r>
      <w:r w:rsidRPr="006E4F58">
        <w:rPr>
          <w:rFonts w:eastAsia="Times New Roman" w:cs="Times New Roman"/>
          <w:szCs w:val="24"/>
          <w:lang w:bidi="en-US"/>
        </w:rPr>
        <w:t>a growing site; and includes picking, cutting, field packing (including packaging for retail sale), and transport from the growing site to the next step in the supply chain.</w:t>
      </w:r>
      <w:r w:rsidRPr="006E4F58">
        <w:rPr>
          <w:rFonts w:eastAsia="Calibri" w:cs="Arial"/>
        </w:rPr>
        <w:t xml:space="preserve"> </w:t>
      </w:r>
    </w:p>
    <w:p w:rsidR="006E4F58" w:rsidRPr="006E4F58" w:rsidRDefault="006E4F58" w:rsidP="006E4F58">
      <w:pPr>
        <w:autoSpaceDE w:val="0"/>
        <w:autoSpaceDN w:val="0"/>
        <w:adjustRightInd w:val="0"/>
        <w:ind w:left="567"/>
        <w:rPr>
          <w:rFonts w:eastAsia="Calibri" w:cs="Arial"/>
        </w:rPr>
      </w:pPr>
    </w:p>
    <w:p w:rsidR="006E4F58" w:rsidRPr="006E4F58" w:rsidRDefault="006E4F58" w:rsidP="006E4F58">
      <w:pPr>
        <w:autoSpaceDE w:val="0"/>
        <w:autoSpaceDN w:val="0"/>
        <w:adjustRightInd w:val="0"/>
        <w:ind w:left="567"/>
        <w:rPr>
          <w:rFonts w:eastAsia="Calibri" w:cs="Arial"/>
        </w:rPr>
      </w:pPr>
      <w:r w:rsidRPr="006E4F58">
        <w:rPr>
          <w:rFonts w:eastAsia="Calibri" w:cs="Arial"/>
          <w:b/>
        </w:rPr>
        <w:t>Premises and equipment</w:t>
      </w:r>
      <w:r w:rsidRPr="006E4F58">
        <w:rPr>
          <w:rFonts w:eastAsia="Calibri" w:cs="Arial"/>
        </w:rPr>
        <w:t xml:space="preserve"> means equipment, infrastructure, structures and vehicles that: are used by a primary horticulture producer or by a primary horticulture processor; and have direct or indirect contact with </w:t>
      </w:r>
      <w:r w:rsidRPr="006E4F58">
        <w:rPr>
          <w:rFonts w:eastAsia="Calibri" w:cs="Arial"/>
          <w:color w:val="000000"/>
        </w:rPr>
        <w:t xml:space="preserve">berries. </w:t>
      </w:r>
      <w:r w:rsidRPr="006E4F58">
        <w:rPr>
          <w:rFonts w:eastAsia="Calibri" w:cs="Arial"/>
        </w:rPr>
        <w:t xml:space="preserve">Examples of ‘indirect contact’ include pipes used to carry irrigation water, and equipment that may be placed on a food contact surface. </w:t>
      </w:r>
    </w:p>
    <w:p w:rsidR="006E4F58" w:rsidRPr="006E4F58" w:rsidRDefault="006E4F58" w:rsidP="006E4F58">
      <w:pPr>
        <w:autoSpaceDE w:val="0"/>
        <w:autoSpaceDN w:val="0"/>
        <w:adjustRightInd w:val="0"/>
        <w:ind w:left="567"/>
        <w:rPr>
          <w:rFonts w:eastAsia="Calibri" w:cs="Arial"/>
        </w:rPr>
      </w:pPr>
    </w:p>
    <w:p w:rsidR="006E4F58" w:rsidRPr="006E4F58" w:rsidRDefault="006E4F58" w:rsidP="006E4F58">
      <w:pPr>
        <w:autoSpaceDE w:val="0"/>
        <w:autoSpaceDN w:val="0"/>
        <w:adjustRightInd w:val="0"/>
        <w:ind w:left="567"/>
        <w:rPr>
          <w:rFonts w:eastAsia="Calibri" w:cs="Arial"/>
          <w:color w:val="000000"/>
        </w:rPr>
      </w:pPr>
      <w:r w:rsidRPr="006E4F58">
        <w:rPr>
          <w:rFonts w:eastAsia="Calibri" w:cs="Arial"/>
          <w:b/>
          <w:color w:val="000000"/>
        </w:rPr>
        <w:t>Primary horticulture producer</w:t>
      </w:r>
      <w:r w:rsidRPr="006E4F58">
        <w:rPr>
          <w:rFonts w:eastAsia="Calibri" w:cs="Arial"/>
          <w:color w:val="000000"/>
        </w:rPr>
        <w:t xml:space="preserve"> means a </w:t>
      </w:r>
      <w:r w:rsidRPr="006E4F58">
        <w:rPr>
          <w:rFonts w:eastAsia="Times New Roman" w:cs="Times New Roman"/>
          <w:color w:val="000000"/>
          <w:szCs w:val="24"/>
          <w:lang w:bidi="en-US"/>
        </w:rPr>
        <w:t>business, enterprise or activity that is involved in the growing and / or harvesting of berries.</w:t>
      </w:r>
      <w:r w:rsidRPr="006E4F58">
        <w:rPr>
          <w:rFonts w:eastAsia="Calibri" w:cs="Arial"/>
          <w:color w:val="000000"/>
        </w:rPr>
        <w:t xml:space="preserve"> </w:t>
      </w:r>
    </w:p>
    <w:p w:rsidR="006E4F58" w:rsidRPr="006E4F58" w:rsidRDefault="006E4F58" w:rsidP="006E4F58">
      <w:pPr>
        <w:autoSpaceDE w:val="0"/>
        <w:autoSpaceDN w:val="0"/>
        <w:adjustRightInd w:val="0"/>
        <w:ind w:left="567"/>
        <w:rPr>
          <w:rFonts w:eastAsia="Calibri" w:cs="Arial"/>
        </w:rPr>
      </w:pPr>
    </w:p>
    <w:p w:rsidR="006E4F58" w:rsidRPr="006E4F58" w:rsidRDefault="006E4F58" w:rsidP="006E4F58">
      <w:pPr>
        <w:autoSpaceDE w:val="0"/>
        <w:autoSpaceDN w:val="0"/>
        <w:adjustRightInd w:val="0"/>
        <w:ind w:left="567"/>
        <w:rPr>
          <w:rFonts w:eastAsia="Calibri" w:cs="Arial"/>
          <w:color w:val="000000"/>
        </w:rPr>
      </w:pPr>
      <w:r w:rsidRPr="006E4F58">
        <w:rPr>
          <w:rFonts w:eastAsia="Calibri" w:cs="Arial"/>
          <w:b/>
          <w:color w:val="000000"/>
        </w:rPr>
        <w:t>Primary horticulture processor</w:t>
      </w:r>
      <w:r w:rsidRPr="006E4F58">
        <w:rPr>
          <w:rFonts w:eastAsia="Calibri" w:cs="Arial"/>
          <w:color w:val="000000"/>
        </w:rPr>
        <w:t xml:space="preserve"> means a business, enterprise or activity that is involved in one or more of the following activities in relation to berries</w:t>
      </w:r>
      <w:r w:rsidRPr="006E4F58">
        <w:rPr>
          <w:rFonts w:eastAsia="Times New Roman" w:cs="Times New Roman"/>
          <w:color w:val="000000"/>
          <w:szCs w:val="24"/>
          <w:lang w:bidi="en-US"/>
        </w:rPr>
        <w:t>,</w:t>
      </w:r>
      <w:r w:rsidRPr="006E4F58">
        <w:rPr>
          <w:rFonts w:eastAsia="Calibri" w:cs="Arial"/>
          <w:color w:val="000000"/>
        </w:rPr>
        <w:t xml:space="preserve"> that have been harvested: washing, trimming, sorting, sanitising, storing, combining products, packing, and transport between primary processing premises. Primary processing is intended to include minimal post-harvest processing activities and does not include further processing or manufacturing activities such as freezing, drying, cooking, canning or blending berries with other ingredients. Transport other than transport from primary processing facilities is not included. Chapter 3 would already apply to these further processing and transport activities.</w:t>
      </w:r>
    </w:p>
    <w:p w:rsidR="006E4F58" w:rsidRPr="006E4F58" w:rsidRDefault="006E4F58" w:rsidP="006E4F58">
      <w:pPr>
        <w:autoSpaceDE w:val="0"/>
        <w:autoSpaceDN w:val="0"/>
        <w:adjustRightInd w:val="0"/>
        <w:ind w:left="567"/>
        <w:rPr>
          <w:rFonts w:eastAsia="Calibri" w:cs="Arial"/>
          <w:b/>
          <w:color w:val="000000"/>
        </w:rPr>
      </w:pPr>
    </w:p>
    <w:p w:rsidR="006E4F58" w:rsidRPr="006E4F58" w:rsidRDefault="006E4F58" w:rsidP="006E4F58">
      <w:pPr>
        <w:autoSpaceDE w:val="0"/>
        <w:autoSpaceDN w:val="0"/>
        <w:adjustRightInd w:val="0"/>
        <w:ind w:left="567"/>
        <w:rPr>
          <w:rFonts w:eastAsia="Calibri" w:cs="Arial"/>
          <w:b/>
        </w:rPr>
      </w:pPr>
      <w:r w:rsidRPr="006E4F58">
        <w:rPr>
          <w:rFonts w:eastAsia="Calibri" w:cs="Arial"/>
          <w:b/>
          <w:color w:val="000000"/>
        </w:rPr>
        <w:t>Relevant activity</w:t>
      </w:r>
      <w:r w:rsidRPr="006E4F58">
        <w:rPr>
          <w:rFonts w:eastAsia="Times New Roman" w:cs="Times New Roman"/>
          <w:bCs/>
          <w:color w:val="000000"/>
          <w:szCs w:val="24"/>
          <w:lang w:bidi="en-US"/>
        </w:rPr>
        <w:t xml:space="preserve"> </w:t>
      </w:r>
      <w:r w:rsidRPr="006E4F58">
        <w:rPr>
          <w:rFonts w:eastAsia="Calibri" w:cs="Arial"/>
          <w:color w:val="000000"/>
        </w:rPr>
        <w:t xml:space="preserve">means, </w:t>
      </w:r>
      <w:r w:rsidRPr="006E4F58">
        <w:rPr>
          <w:rFonts w:eastAsia="Times New Roman" w:cs="Times New Roman"/>
          <w:color w:val="000000"/>
          <w:szCs w:val="24"/>
          <w:lang w:bidi="en-US"/>
        </w:rPr>
        <w:t xml:space="preserve">in relation to a primary horticulture producer, the growing and/or harvesting of berries. In relation to a primary horticulture processor, relevant activities mean the </w:t>
      </w:r>
      <w:r w:rsidRPr="006E4F58">
        <w:rPr>
          <w:rFonts w:eastAsia="Calibri" w:cs="Arial"/>
          <w:color w:val="000000"/>
        </w:rPr>
        <w:t xml:space="preserve">following activities with harvested berries: washing, trimming, sorting, sanitising, storing, combining products, packing, and transport between primary processing premises. The definition is provided to clarify which activities relate to certain requirements in the Standard. Primary processing relevant activities are intended to include minimal post-harvest processing activities and not to include further processing </w:t>
      </w:r>
      <w:r w:rsidRPr="006E4F58">
        <w:rPr>
          <w:rFonts w:eastAsia="Calibri" w:cs="Arial"/>
        </w:rPr>
        <w:t xml:space="preserve">or </w:t>
      </w:r>
      <w:r w:rsidRPr="006E4F58">
        <w:rPr>
          <w:rFonts w:eastAsia="Calibri" w:cs="Arial"/>
          <w:color w:val="000000"/>
        </w:rPr>
        <w:t>manufacturing</w:t>
      </w:r>
      <w:r w:rsidRPr="006E4F58">
        <w:rPr>
          <w:rFonts w:eastAsia="Calibri" w:cs="Arial"/>
        </w:rPr>
        <w:t xml:space="preserve"> </w:t>
      </w:r>
      <w:r w:rsidRPr="006E4F58">
        <w:rPr>
          <w:rFonts w:eastAsia="Calibri" w:cs="Arial"/>
          <w:color w:val="000000"/>
        </w:rPr>
        <w:t xml:space="preserve">activities such as freezing, drying, cooking, canning or blending berries with other ingredients. Chapter 3 would already apply to these further processing activities. Transport other than transport from primary processing </w:t>
      </w:r>
      <w:r w:rsidRPr="006E4F58">
        <w:rPr>
          <w:rFonts w:eastAsia="Calibri" w:cs="Arial"/>
        </w:rPr>
        <w:t xml:space="preserve">facilities is </w:t>
      </w:r>
      <w:r w:rsidRPr="006E4F58">
        <w:rPr>
          <w:rFonts w:eastAsia="Calibri" w:cs="Arial"/>
        </w:rPr>
        <w:lastRenderedPageBreak/>
        <w:t>not included in the definition. Chapter 3 would already apply to these transport activities.</w:t>
      </w:r>
    </w:p>
    <w:p w:rsidR="006E4F58" w:rsidRPr="006E4F58" w:rsidRDefault="006E4F58" w:rsidP="006E4F58">
      <w:pPr>
        <w:autoSpaceDE w:val="0"/>
        <w:autoSpaceDN w:val="0"/>
        <w:adjustRightInd w:val="0"/>
        <w:rPr>
          <w:rFonts w:eastAsia="Calibri" w:cs="Arial"/>
        </w:rPr>
      </w:pPr>
    </w:p>
    <w:p w:rsidR="006E4F58" w:rsidRPr="006E4F58" w:rsidRDefault="006E4F58" w:rsidP="006E4F58">
      <w:pPr>
        <w:autoSpaceDE w:val="0"/>
        <w:autoSpaceDN w:val="0"/>
        <w:adjustRightInd w:val="0"/>
        <w:rPr>
          <w:rFonts w:eastAsia="Times New Roman" w:cs="Times New Roman"/>
          <w:szCs w:val="24"/>
          <w:lang w:bidi="en-US"/>
        </w:rPr>
      </w:pPr>
      <w:r w:rsidRPr="006E4F58">
        <w:rPr>
          <w:rFonts w:eastAsia="Calibri" w:cs="Arial"/>
        </w:rPr>
        <w:t>The</w:t>
      </w:r>
      <w:r w:rsidRPr="006E4F58">
        <w:rPr>
          <w:rFonts w:eastAsia="Calibri" w:cs="Arial"/>
          <w:b/>
        </w:rPr>
        <w:t xml:space="preserve"> </w:t>
      </w:r>
      <w:r w:rsidRPr="006E4F58">
        <w:rPr>
          <w:rFonts w:eastAsia="Calibri" w:cs="Arial"/>
        </w:rPr>
        <w:t xml:space="preserve">Notes to section </w:t>
      </w:r>
      <w:r w:rsidRPr="006E4F58">
        <w:rPr>
          <w:rFonts w:eastAsia="Times New Roman" w:cs="Times New Roman"/>
          <w:szCs w:val="24"/>
          <w:lang w:bidi="en-US"/>
        </w:rPr>
        <w:t>4.2.7—</w:t>
      </w:r>
      <w:r w:rsidRPr="006E4F58">
        <w:rPr>
          <w:rFonts w:eastAsia="Calibri" w:cs="Arial"/>
        </w:rPr>
        <w:t>2</w:t>
      </w:r>
      <w:r w:rsidRPr="006E4F58">
        <w:rPr>
          <w:rFonts w:eastAsia="Times New Roman" w:cs="Times New Roman"/>
          <w:b/>
          <w:szCs w:val="24"/>
          <w:lang w:bidi="en-US"/>
        </w:rPr>
        <w:t xml:space="preserve"> </w:t>
      </w:r>
      <w:r w:rsidRPr="006E4F58">
        <w:rPr>
          <w:rFonts w:eastAsia="Times New Roman" w:cs="Times New Roman"/>
          <w:szCs w:val="24"/>
          <w:lang w:bidi="en-US"/>
        </w:rPr>
        <w:t xml:space="preserve">signpost relevant definitions contained in other parts of the Code. Note 1 refers readers to the definition of </w:t>
      </w:r>
      <w:r w:rsidRPr="006E4F58">
        <w:rPr>
          <w:rFonts w:eastAsia="Times New Roman" w:cs="Times New Roman"/>
          <w:i/>
          <w:szCs w:val="24"/>
          <w:lang w:bidi="en-US"/>
        </w:rPr>
        <w:t>relevant authority</w:t>
      </w:r>
      <w:r w:rsidRPr="006E4F58" w:rsidDel="00520E7B">
        <w:rPr>
          <w:rFonts w:eastAsia="Times New Roman" w:cs="Times New Roman"/>
          <w:szCs w:val="24"/>
          <w:lang w:bidi="en-US"/>
        </w:rPr>
        <w:t xml:space="preserve"> </w:t>
      </w:r>
      <w:r w:rsidRPr="006E4F58">
        <w:rPr>
          <w:rFonts w:eastAsia="Times New Roman" w:cs="Times New Roman"/>
          <w:szCs w:val="24"/>
          <w:lang w:bidi="en-US"/>
        </w:rPr>
        <w:t>in section 1.1.2—2(3)</w:t>
      </w:r>
      <w:r w:rsidRPr="006E4F58">
        <w:rPr>
          <w:rFonts w:eastAsia="Times New Roman" w:cs="Times New Roman"/>
          <w:i/>
          <w:szCs w:val="24"/>
          <w:lang w:bidi="en-US"/>
        </w:rPr>
        <w:t xml:space="preserve">. </w:t>
      </w:r>
      <w:r w:rsidRPr="006E4F58">
        <w:rPr>
          <w:rFonts w:eastAsia="Times New Roman" w:cs="Times New Roman"/>
          <w:szCs w:val="24"/>
          <w:lang w:bidi="en-US"/>
        </w:rPr>
        <w:t xml:space="preserve">Note 2 refers readers to the definition of </w:t>
      </w:r>
      <w:r w:rsidRPr="006E4F58">
        <w:rPr>
          <w:rFonts w:eastAsia="Times New Roman" w:cs="Times New Roman"/>
          <w:i/>
          <w:szCs w:val="24"/>
          <w:lang w:bidi="en-US"/>
        </w:rPr>
        <w:t>inputs</w:t>
      </w:r>
      <w:r w:rsidRPr="006E4F58" w:rsidDel="00520E7B">
        <w:rPr>
          <w:rFonts w:eastAsia="Times New Roman" w:cs="Times New Roman"/>
          <w:szCs w:val="24"/>
          <w:lang w:bidi="en-US"/>
        </w:rPr>
        <w:t xml:space="preserve"> </w:t>
      </w:r>
      <w:r w:rsidRPr="006E4F58">
        <w:rPr>
          <w:rFonts w:eastAsia="Times New Roman" w:cs="Times New Roman"/>
          <w:szCs w:val="24"/>
          <w:lang w:bidi="en-US"/>
        </w:rPr>
        <w:t>in clause 1 of Standard 4.1.1</w:t>
      </w:r>
      <w:r w:rsidRPr="006E4F58">
        <w:rPr>
          <w:rFonts w:eastAsia="Times New Roman" w:cs="Times New Roman"/>
          <w:i/>
          <w:szCs w:val="24"/>
          <w:lang w:bidi="en-US"/>
        </w:rPr>
        <w:t>.</w:t>
      </w:r>
      <w:r w:rsidRPr="006E4F58">
        <w:rPr>
          <w:rFonts w:eastAsia="Times New Roman" w:cs="Times New Roman"/>
          <w:szCs w:val="24"/>
          <w:lang w:bidi="en-US"/>
        </w:rPr>
        <w:t xml:space="preserve"> Note 3 refers readers to clause 3 of Standard 4.1.1, which sets out when a food will be unacceptable for the purposes of the Standard.</w:t>
      </w:r>
    </w:p>
    <w:p w:rsidR="006E4F58" w:rsidRPr="006E4F58" w:rsidRDefault="006E4F58" w:rsidP="006E4F58">
      <w:pPr>
        <w:autoSpaceDE w:val="0"/>
        <w:autoSpaceDN w:val="0"/>
        <w:adjustRightInd w:val="0"/>
        <w:rPr>
          <w:rFonts w:eastAsia="Times New Roman" w:cs="Times New Roman"/>
          <w:szCs w:val="24"/>
          <w:lang w:bidi="en-US"/>
        </w:rPr>
      </w:pPr>
    </w:p>
    <w:p w:rsidR="006E4F58" w:rsidRPr="006E4F58" w:rsidRDefault="006E4F58" w:rsidP="006E4F58">
      <w:pPr>
        <w:autoSpaceDE w:val="0"/>
        <w:autoSpaceDN w:val="0"/>
        <w:adjustRightInd w:val="0"/>
        <w:rPr>
          <w:rFonts w:eastAsia="Calibri" w:cs="Arial"/>
          <w:szCs w:val="24"/>
        </w:rPr>
      </w:pPr>
      <w:r w:rsidRPr="006E4F58">
        <w:rPr>
          <w:rFonts w:eastAsia="Calibri" w:cs="Arial"/>
          <w:b/>
          <w:bCs/>
          <w:szCs w:val="24"/>
          <w:lang w:bidi="en-US"/>
        </w:rPr>
        <w:t>S</w:t>
      </w:r>
      <w:r w:rsidRPr="006E4F58">
        <w:rPr>
          <w:rFonts w:eastAsia="Times New Roman" w:cs="Times New Roman"/>
          <w:b/>
          <w:bCs/>
          <w:szCs w:val="24"/>
          <w:lang w:bidi="en-US"/>
        </w:rPr>
        <w:t xml:space="preserve">ection 3: </w:t>
      </w:r>
      <w:r w:rsidRPr="006E4F58">
        <w:rPr>
          <w:rFonts w:eastAsia="Times New Roman" w:cs="Times New Roman"/>
          <w:color w:val="000000"/>
          <w:szCs w:val="24"/>
          <w:lang w:bidi="en-US"/>
        </w:rPr>
        <w:t xml:space="preserve">This provision </w:t>
      </w:r>
      <w:r w:rsidRPr="006E4F58">
        <w:rPr>
          <w:rFonts w:eastAsia="Calibri" w:cs="Arial"/>
          <w:szCs w:val="24"/>
        </w:rPr>
        <w:t>deals with the application of the Standard.</w:t>
      </w:r>
    </w:p>
    <w:p w:rsidR="006E4F58" w:rsidRPr="006E4F58" w:rsidRDefault="006E4F58" w:rsidP="006E4F58">
      <w:pPr>
        <w:autoSpaceDE w:val="0"/>
        <w:autoSpaceDN w:val="0"/>
        <w:adjustRightInd w:val="0"/>
        <w:rPr>
          <w:rFonts w:eastAsia="Calibri" w:cs="Arial"/>
        </w:rPr>
      </w:pPr>
    </w:p>
    <w:p w:rsidR="006E4F58" w:rsidRPr="006E4F58" w:rsidRDefault="006E4F58" w:rsidP="006E4F58">
      <w:pPr>
        <w:autoSpaceDE w:val="0"/>
        <w:autoSpaceDN w:val="0"/>
        <w:adjustRightInd w:val="0"/>
        <w:rPr>
          <w:rFonts w:eastAsia="Calibri" w:cs="Arial"/>
        </w:rPr>
      </w:pPr>
      <w:r w:rsidRPr="006E4F58">
        <w:rPr>
          <w:rFonts w:eastAsia="Calibri" w:cs="Arial"/>
        </w:rPr>
        <w:t xml:space="preserve">Subsection (1) provides that the Standard applies only to primary horticulture producers and primary horticulture processors in Australia. The Standard does not apply to activities that are not captured by the definition of ‘primary horticulture producer’ and of ‘primary horticulture processor’. </w:t>
      </w:r>
    </w:p>
    <w:p w:rsidR="006E4F58" w:rsidRPr="006E4F58" w:rsidRDefault="006E4F58" w:rsidP="006E4F58">
      <w:pPr>
        <w:autoSpaceDE w:val="0"/>
        <w:autoSpaceDN w:val="0"/>
        <w:adjustRightInd w:val="0"/>
        <w:rPr>
          <w:rFonts w:eastAsia="Calibri" w:cs="Arial"/>
        </w:rPr>
      </w:pPr>
    </w:p>
    <w:p w:rsidR="006E4F58" w:rsidRPr="006E4F58" w:rsidRDefault="006E4F58" w:rsidP="006E4F58">
      <w:pPr>
        <w:autoSpaceDE w:val="0"/>
        <w:autoSpaceDN w:val="0"/>
        <w:adjustRightInd w:val="0"/>
        <w:rPr>
          <w:rFonts w:eastAsia="Calibri" w:cs="Arial"/>
          <w:color w:val="000000"/>
        </w:rPr>
      </w:pPr>
      <w:r w:rsidRPr="006E4F58">
        <w:rPr>
          <w:rFonts w:eastAsia="Calibri" w:cs="Arial"/>
        </w:rPr>
        <w:t xml:space="preserve">Subsection (2) provides that the Standard does not apply to the retail sale </w:t>
      </w:r>
      <w:r w:rsidRPr="006E4F58">
        <w:rPr>
          <w:rFonts w:eastAsia="Calibri" w:cs="Arial"/>
          <w:color w:val="000000"/>
        </w:rPr>
        <w:t xml:space="preserve">of berries. Chapter 3 of the Code already applies to retail activities. </w:t>
      </w:r>
    </w:p>
    <w:p w:rsidR="006E4F58" w:rsidRPr="006E4F58" w:rsidRDefault="006E4F58" w:rsidP="006E4F58">
      <w:pPr>
        <w:autoSpaceDE w:val="0"/>
        <w:autoSpaceDN w:val="0"/>
        <w:adjustRightInd w:val="0"/>
        <w:rPr>
          <w:rFonts w:eastAsia="Calibri" w:cs="Arial"/>
        </w:rPr>
      </w:pPr>
    </w:p>
    <w:p w:rsidR="006E4F58" w:rsidRPr="006E4F58" w:rsidRDefault="006E4F58" w:rsidP="006E4F58">
      <w:pPr>
        <w:autoSpaceDE w:val="0"/>
        <w:autoSpaceDN w:val="0"/>
        <w:adjustRightInd w:val="0"/>
        <w:rPr>
          <w:rFonts w:eastAsia="Calibri" w:cs="Arial"/>
        </w:rPr>
      </w:pPr>
      <w:r w:rsidRPr="006E4F58">
        <w:rPr>
          <w:rFonts w:eastAsia="Calibri" w:cs="Arial"/>
        </w:rPr>
        <w:t xml:space="preserve">Subsection (3) provides that the Standard does not apply to manufacturing activities of harvested berries, which include but are not limited to cooking, freezing, drying, preserving, blending or juicing of harvested berries or the addition of other foods to harvested berries. Chapter 3 of the Code already applies to manufacturing activities. </w:t>
      </w:r>
    </w:p>
    <w:p w:rsidR="006E4F58" w:rsidRPr="006E4F58" w:rsidRDefault="006E4F58" w:rsidP="006E4F58">
      <w:pPr>
        <w:autoSpaceDE w:val="0"/>
        <w:autoSpaceDN w:val="0"/>
        <w:adjustRightInd w:val="0"/>
        <w:rPr>
          <w:rFonts w:eastAsia="Calibri" w:cs="Arial"/>
        </w:rPr>
      </w:pPr>
    </w:p>
    <w:p w:rsidR="006E4F58" w:rsidRPr="006E4F58" w:rsidRDefault="006E4F58" w:rsidP="006E4F58">
      <w:pPr>
        <w:widowControl w:val="0"/>
        <w:spacing w:after="120"/>
        <w:rPr>
          <w:rFonts w:eastAsia="Calibri" w:cs="Arial"/>
          <w:szCs w:val="24"/>
        </w:rPr>
      </w:pPr>
      <w:r w:rsidRPr="006E4F58">
        <w:rPr>
          <w:rFonts w:eastAsia="Calibri" w:cs="Arial"/>
          <w:b/>
          <w:bCs/>
          <w:szCs w:val="24"/>
          <w:lang w:bidi="en-US"/>
        </w:rPr>
        <w:t>S</w:t>
      </w:r>
      <w:r w:rsidRPr="006E4F58">
        <w:rPr>
          <w:rFonts w:eastAsia="Times New Roman" w:cs="Times New Roman"/>
          <w:b/>
          <w:bCs/>
          <w:szCs w:val="24"/>
          <w:lang w:bidi="en-US"/>
        </w:rPr>
        <w:t xml:space="preserve">ection 4: </w:t>
      </w:r>
      <w:r w:rsidRPr="006E4F58">
        <w:rPr>
          <w:rFonts w:eastAsia="Times New Roman" w:cs="Times New Roman"/>
          <w:color w:val="000000"/>
          <w:szCs w:val="24"/>
          <w:lang w:bidi="en-US"/>
        </w:rPr>
        <w:t xml:space="preserve">This provision </w:t>
      </w:r>
      <w:r w:rsidRPr="006E4F58">
        <w:rPr>
          <w:rFonts w:eastAsia="Calibri" w:cs="Arial"/>
          <w:szCs w:val="24"/>
        </w:rPr>
        <w:t>sets out notification requirements for primary horticulture producers and primary horticulture processors</w:t>
      </w:r>
      <w:r w:rsidRPr="006E4F58">
        <w:rPr>
          <w:rFonts w:eastAsia="Times New Roman" w:cs="Arial"/>
          <w:szCs w:val="24"/>
          <w:lang w:val="en-US" w:bidi="en-US"/>
        </w:rPr>
        <w:t xml:space="preserve"> of berries</w:t>
      </w:r>
      <w:r w:rsidRPr="006E4F58">
        <w:rPr>
          <w:rFonts w:eastAsia="Calibri" w:cs="Arial"/>
          <w:szCs w:val="24"/>
        </w:rPr>
        <w:t xml:space="preserve">. </w:t>
      </w:r>
    </w:p>
    <w:p w:rsidR="006E4F58" w:rsidRPr="006E4F58" w:rsidRDefault="006E4F58" w:rsidP="006E4F58">
      <w:pPr>
        <w:widowControl w:val="0"/>
        <w:spacing w:after="120"/>
        <w:rPr>
          <w:rFonts w:eastAsia="Times New Roman" w:cs="Arial"/>
          <w:szCs w:val="24"/>
          <w:lang w:val="en-US" w:bidi="en-US"/>
        </w:rPr>
      </w:pPr>
      <w:r w:rsidRPr="006E4F58">
        <w:rPr>
          <w:rFonts w:eastAsia="Calibri" w:cs="Arial"/>
        </w:rPr>
        <w:t>Subsection 4.2.7</w:t>
      </w:r>
      <w:r w:rsidRPr="006E4F58">
        <w:rPr>
          <w:rFonts w:eastAsia="Times New Roman" w:cs="Times New Roman"/>
          <w:bCs/>
          <w:szCs w:val="24"/>
          <w:lang w:bidi="en-US"/>
        </w:rPr>
        <w:t xml:space="preserve">—4(1) </w:t>
      </w:r>
      <w:r w:rsidRPr="006E4F58">
        <w:rPr>
          <w:rFonts w:eastAsia="Times New Roman" w:cs="Arial"/>
          <w:szCs w:val="24"/>
          <w:lang w:val="en-US" w:bidi="en-US"/>
        </w:rPr>
        <w:t xml:space="preserve">requires a </w:t>
      </w:r>
      <w:r w:rsidRPr="006E4F58">
        <w:rPr>
          <w:rFonts w:eastAsia="Calibri" w:cs="Arial"/>
        </w:rPr>
        <w:t xml:space="preserve">primary horticulture producer </w:t>
      </w:r>
      <w:r w:rsidRPr="006E4F58">
        <w:rPr>
          <w:rFonts w:eastAsia="Times New Roman" w:cs="Arial"/>
          <w:szCs w:val="24"/>
          <w:lang w:val="en-US" w:bidi="en-US"/>
        </w:rPr>
        <w:t xml:space="preserve">and a </w:t>
      </w:r>
      <w:r w:rsidRPr="006E4F58">
        <w:rPr>
          <w:rFonts w:eastAsia="Calibri" w:cs="Arial"/>
        </w:rPr>
        <w:t>primary horticulture processor</w:t>
      </w:r>
      <w:r w:rsidRPr="006E4F58" w:rsidDel="00CC3377">
        <w:rPr>
          <w:rFonts w:eastAsia="Times New Roman" w:cs="Arial"/>
          <w:szCs w:val="24"/>
          <w:lang w:val="en-US" w:bidi="en-US"/>
        </w:rPr>
        <w:t xml:space="preserve"> </w:t>
      </w:r>
      <w:r w:rsidRPr="006E4F58">
        <w:rPr>
          <w:rFonts w:eastAsia="Times New Roman" w:cs="Arial"/>
          <w:szCs w:val="24"/>
          <w:lang w:val="en-US" w:bidi="en-US"/>
        </w:rPr>
        <w:t xml:space="preserve">to provide </w:t>
      </w:r>
      <w:r w:rsidRPr="006E4F58">
        <w:rPr>
          <w:rFonts w:eastAsia="Times New Roman" w:cs="Arial"/>
          <w:b/>
          <w:szCs w:val="24"/>
          <w:lang w:val="en-US" w:bidi="en-US"/>
        </w:rPr>
        <w:t>specified information</w:t>
      </w:r>
      <w:r w:rsidRPr="006E4F58">
        <w:rPr>
          <w:rFonts w:eastAsia="Times New Roman" w:cs="Arial"/>
          <w:szCs w:val="24"/>
          <w:lang w:val="en-US" w:bidi="en-US"/>
        </w:rPr>
        <w:t xml:space="preserve"> to the relevant authority of business activities related to berries, before engaging in a relevant activity. The term ‘relevant activity is defined by </w:t>
      </w:r>
      <w:r w:rsidRPr="006E4F58">
        <w:rPr>
          <w:rFonts w:eastAsia="Calibri" w:cs="Arial"/>
          <w:szCs w:val="24"/>
          <w:lang w:bidi="en-US"/>
        </w:rPr>
        <w:t>s</w:t>
      </w:r>
      <w:r w:rsidRPr="006E4F58">
        <w:rPr>
          <w:rFonts w:eastAsia="Times New Roman" w:cs="Times New Roman"/>
          <w:szCs w:val="24"/>
          <w:lang w:bidi="en-US"/>
        </w:rPr>
        <w:t>ection 4.2.7—2.</w:t>
      </w:r>
    </w:p>
    <w:p w:rsidR="006E4F58" w:rsidRPr="006E4F58" w:rsidRDefault="006E4F58" w:rsidP="006E4F58">
      <w:pPr>
        <w:widowControl w:val="0"/>
        <w:spacing w:after="120"/>
        <w:rPr>
          <w:rFonts w:eastAsia="Times New Roman" w:cs="Arial"/>
          <w:szCs w:val="24"/>
          <w:lang w:val="en-US" w:bidi="en-US"/>
        </w:rPr>
      </w:pPr>
      <w:r w:rsidRPr="006E4F58">
        <w:rPr>
          <w:rFonts w:eastAsia="Times New Roman" w:cs="Arial"/>
          <w:szCs w:val="24"/>
          <w:lang w:val="en-US" w:bidi="en-US"/>
        </w:rPr>
        <w:t>Subsection 4.2.7</w:t>
      </w:r>
      <w:r w:rsidRPr="006E4F58">
        <w:rPr>
          <w:rFonts w:eastAsia="Times New Roman" w:cs="Times New Roman"/>
          <w:bCs/>
          <w:szCs w:val="24"/>
          <w:lang w:bidi="en-US"/>
        </w:rPr>
        <w:t>—</w:t>
      </w:r>
      <w:r w:rsidRPr="006E4F58">
        <w:rPr>
          <w:rFonts w:eastAsia="Times New Roman" w:cs="Arial"/>
          <w:szCs w:val="24"/>
          <w:lang w:val="en-US" w:bidi="en-US"/>
        </w:rPr>
        <w:t>4(2) sets out what ‘specified information’ means for the purposes of the section. It means:</w:t>
      </w:r>
    </w:p>
    <w:p w:rsidR="006E4F58" w:rsidRPr="006E4F58" w:rsidRDefault="006E4F58" w:rsidP="006E4F58">
      <w:pPr>
        <w:widowControl w:val="0"/>
        <w:numPr>
          <w:ilvl w:val="0"/>
          <w:numId w:val="14"/>
        </w:numPr>
        <w:autoSpaceDE w:val="0"/>
        <w:autoSpaceDN w:val="0"/>
        <w:adjustRightInd w:val="0"/>
        <w:contextualSpacing/>
        <w:rPr>
          <w:rFonts w:eastAsia="Calibri" w:cs="Arial"/>
        </w:rPr>
      </w:pPr>
      <w:r w:rsidRPr="006E4F58">
        <w:rPr>
          <w:rFonts w:eastAsia="Calibri" w:cs="Arial"/>
        </w:rPr>
        <w:t xml:space="preserve">the contact details of the primary horticulture producer </w:t>
      </w:r>
      <w:r w:rsidRPr="006E4F58">
        <w:rPr>
          <w:rFonts w:eastAsia="Times New Roman" w:cs="Arial"/>
          <w:szCs w:val="24"/>
          <w:lang w:val="en-US" w:bidi="en-US"/>
        </w:rPr>
        <w:t xml:space="preserve">or </w:t>
      </w:r>
      <w:r w:rsidRPr="006E4F58">
        <w:rPr>
          <w:rFonts w:eastAsia="Calibri" w:cs="Arial"/>
        </w:rPr>
        <w:t xml:space="preserve">primary horticulture processor including the name of their business and the name and business address of the proprietor of their business; and </w:t>
      </w:r>
    </w:p>
    <w:p w:rsidR="006E4F58" w:rsidRPr="006E4F58" w:rsidRDefault="006E4F58" w:rsidP="006E4F58">
      <w:pPr>
        <w:widowControl w:val="0"/>
        <w:numPr>
          <w:ilvl w:val="0"/>
          <w:numId w:val="14"/>
        </w:numPr>
        <w:autoSpaceDE w:val="0"/>
        <w:autoSpaceDN w:val="0"/>
        <w:adjustRightInd w:val="0"/>
        <w:contextualSpacing/>
        <w:rPr>
          <w:rFonts w:eastAsia="Calibri" w:cs="Arial"/>
        </w:rPr>
      </w:pPr>
      <w:r w:rsidRPr="006E4F58">
        <w:rPr>
          <w:rFonts w:eastAsia="Calibri" w:cs="Arial"/>
        </w:rPr>
        <w:t xml:space="preserve">a description of activities that the primary horticulture producer </w:t>
      </w:r>
      <w:r w:rsidRPr="006E4F58">
        <w:rPr>
          <w:rFonts w:eastAsia="Times New Roman" w:cs="Arial"/>
          <w:szCs w:val="24"/>
          <w:lang w:val="en-US" w:bidi="en-US"/>
        </w:rPr>
        <w:t xml:space="preserve">or </w:t>
      </w:r>
      <w:r w:rsidRPr="006E4F58">
        <w:rPr>
          <w:rFonts w:eastAsia="Calibri" w:cs="Arial"/>
        </w:rPr>
        <w:t xml:space="preserve">primary horticulture processor will undertake in relation to berries; and </w:t>
      </w:r>
    </w:p>
    <w:p w:rsidR="006E4F58" w:rsidRPr="006E4F58" w:rsidRDefault="006E4F58" w:rsidP="006E4F58">
      <w:pPr>
        <w:widowControl w:val="0"/>
        <w:numPr>
          <w:ilvl w:val="0"/>
          <w:numId w:val="14"/>
        </w:numPr>
        <w:autoSpaceDE w:val="0"/>
        <w:autoSpaceDN w:val="0"/>
        <w:adjustRightInd w:val="0"/>
        <w:contextualSpacing/>
        <w:rPr>
          <w:rFonts w:eastAsia="Calibri" w:cs="Arial"/>
        </w:rPr>
      </w:pPr>
      <w:r w:rsidRPr="006E4F58">
        <w:rPr>
          <w:rFonts w:eastAsia="Calibri" w:cs="Arial"/>
        </w:rPr>
        <w:t xml:space="preserve">the location or locations of each of the above-mentioned activities that are within the jurisdiction of the relevant authority. </w:t>
      </w:r>
    </w:p>
    <w:p w:rsidR="006E4F58" w:rsidRPr="006E4F58" w:rsidRDefault="006E4F58" w:rsidP="006E4F58">
      <w:pPr>
        <w:autoSpaceDE w:val="0"/>
        <w:autoSpaceDN w:val="0"/>
        <w:adjustRightInd w:val="0"/>
        <w:ind w:left="284"/>
        <w:rPr>
          <w:rFonts w:eastAsia="Calibri" w:cs="Arial"/>
        </w:rPr>
      </w:pPr>
    </w:p>
    <w:p w:rsidR="006E4F58" w:rsidRPr="006E4F58" w:rsidRDefault="006E4F58" w:rsidP="006E4F58">
      <w:pPr>
        <w:widowControl w:val="0"/>
        <w:spacing w:after="120"/>
        <w:rPr>
          <w:rFonts w:eastAsia="Times New Roman" w:cs="Arial"/>
          <w:szCs w:val="24"/>
          <w:lang w:val="en-US" w:bidi="en-US"/>
        </w:rPr>
      </w:pPr>
      <w:r w:rsidRPr="006E4F58">
        <w:rPr>
          <w:rFonts w:eastAsia="Times New Roman" w:cs="Arial"/>
          <w:szCs w:val="24"/>
          <w:lang w:val="en-US" w:bidi="en-US"/>
        </w:rPr>
        <w:t>Subsection 4.2.7</w:t>
      </w:r>
      <w:r w:rsidRPr="006E4F58">
        <w:rPr>
          <w:rFonts w:eastAsia="Times New Roman" w:cs="Times New Roman"/>
          <w:bCs/>
          <w:szCs w:val="24"/>
          <w:lang w:bidi="en-US"/>
        </w:rPr>
        <w:t>—4(</w:t>
      </w:r>
      <w:r w:rsidRPr="006E4F58">
        <w:rPr>
          <w:rFonts w:eastAsia="Times New Roman" w:cs="Arial"/>
          <w:szCs w:val="24"/>
          <w:lang w:val="en-US" w:bidi="en-US"/>
        </w:rPr>
        <w:t xml:space="preserve">3) requires a </w:t>
      </w:r>
      <w:r w:rsidRPr="006E4F58">
        <w:rPr>
          <w:rFonts w:eastAsia="Calibri" w:cs="Arial"/>
        </w:rPr>
        <w:t xml:space="preserve">primary horticulture producer </w:t>
      </w:r>
      <w:r w:rsidRPr="006E4F58">
        <w:rPr>
          <w:rFonts w:eastAsia="Times New Roman" w:cs="Arial"/>
          <w:szCs w:val="24"/>
          <w:lang w:val="en-US" w:bidi="en-US"/>
        </w:rPr>
        <w:t xml:space="preserve">or a </w:t>
      </w:r>
      <w:r w:rsidRPr="006E4F58">
        <w:rPr>
          <w:rFonts w:eastAsia="Calibri" w:cs="Arial"/>
        </w:rPr>
        <w:t>primary horticulture processor</w:t>
      </w:r>
      <w:r w:rsidRPr="006E4F58">
        <w:rPr>
          <w:rFonts w:eastAsia="Times New Roman" w:cs="Arial"/>
          <w:szCs w:val="24"/>
          <w:lang w:val="en-US" w:bidi="en-US"/>
        </w:rPr>
        <w:t xml:space="preserve"> to update their notified specified information. If a </w:t>
      </w:r>
      <w:r w:rsidRPr="006E4F58">
        <w:rPr>
          <w:rFonts w:eastAsia="Calibri" w:cs="Arial"/>
        </w:rPr>
        <w:t xml:space="preserve">primary horticulture producer </w:t>
      </w:r>
      <w:r w:rsidRPr="006E4F58">
        <w:rPr>
          <w:rFonts w:eastAsia="Times New Roman" w:cs="Arial"/>
          <w:szCs w:val="24"/>
          <w:lang w:val="en-US" w:bidi="en-US"/>
        </w:rPr>
        <w:t xml:space="preserve">or a </w:t>
      </w:r>
      <w:r w:rsidRPr="006E4F58">
        <w:rPr>
          <w:rFonts w:eastAsia="Calibri" w:cs="Arial"/>
        </w:rPr>
        <w:t xml:space="preserve">primary horticulture processor changes </w:t>
      </w:r>
      <w:r w:rsidRPr="006E4F58">
        <w:rPr>
          <w:rFonts w:eastAsia="Times New Roman" w:cs="Arial"/>
          <w:szCs w:val="24"/>
          <w:lang w:val="en-US" w:bidi="en-US"/>
        </w:rPr>
        <w:t>their notified contact details, activities relating to berries and/or the location of such activities as described, they must notify the relevant authority before that change occurs.</w:t>
      </w:r>
    </w:p>
    <w:p w:rsidR="006E4F58" w:rsidRPr="006E4F58" w:rsidRDefault="006E4F58" w:rsidP="006E4F58">
      <w:pPr>
        <w:autoSpaceDE w:val="0"/>
        <w:autoSpaceDN w:val="0"/>
        <w:adjustRightInd w:val="0"/>
        <w:rPr>
          <w:rFonts w:eastAsia="Times New Roman" w:cs="Arial"/>
          <w:szCs w:val="24"/>
          <w:lang w:val="en-US" w:bidi="en-US"/>
        </w:rPr>
      </w:pPr>
    </w:p>
    <w:p w:rsidR="006E4F58" w:rsidRPr="006E4F58" w:rsidRDefault="006E4F58" w:rsidP="006E4F58">
      <w:pPr>
        <w:autoSpaceDE w:val="0"/>
        <w:autoSpaceDN w:val="0"/>
        <w:adjustRightInd w:val="0"/>
        <w:rPr>
          <w:rFonts w:eastAsia="Calibri" w:cs="Arial"/>
          <w:color w:val="000000"/>
        </w:rPr>
      </w:pPr>
      <w:r w:rsidRPr="006E4F58">
        <w:rPr>
          <w:rFonts w:eastAsia="Calibri" w:cs="Arial"/>
          <w:b/>
          <w:bCs/>
        </w:rPr>
        <w:t>Section 5</w:t>
      </w:r>
      <w:r w:rsidRPr="006E4F58">
        <w:rPr>
          <w:rFonts w:eastAsia="Times New Roman" w:cs="Times New Roman"/>
          <w:b/>
          <w:color w:val="000000"/>
          <w:szCs w:val="24"/>
          <w:lang w:bidi="en-US"/>
        </w:rPr>
        <w:t>:</w:t>
      </w:r>
      <w:r w:rsidRPr="006E4F58">
        <w:rPr>
          <w:rFonts w:eastAsia="Times New Roman" w:cs="Times New Roman"/>
          <w:color w:val="000000"/>
          <w:szCs w:val="24"/>
          <w:lang w:bidi="en-US"/>
        </w:rPr>
        <w:t xml:space="preserve"> This provision </w:t>
      </w:r>
      <w:r w:rsidRPr="006E4F58">
        <w:rPr>
          <w:rFonts w:eastAsia="Calibri" w:cs="Arial"/>
          <w:bCs/>
        </w:rPr>
        <w:t xml:space="preserve">requires a </w:t>
      </w:r>
      <w:r w:rsidRPr="006E4F58">
        <w:rPr>
          <w:rFonts w:eastAsia="Times New Roman" w:cs="Times New Roman"/>
          <w:szCs w:val="24"/>
          <w:lang w:bidi="en-US"/>
        </w:rPr>
        <w:t xml:space="preserve">primary horticulture producer and a </w:t>
      </w:r>
      <w:r w:rsidRPr="006E4F58">
        <w:rPr>
          <w:rFonts w:eastAsia="Times New Roman" w:cs="Times New Roman"/>
          <w:color w:val="000000"/>
          <w:szCs w:val="24"/>
          <w:lang w:bidi="en-US"/>
        </w:rPr>
        <w:t xml:space="preserve">primary horticulture processor to </w:t>
      </w:r>
      <w:r w:rsidRPr="006E4F58">
        <w:rPr>
          <w:rFonts w:eastAsia="Calibri" w:cs="Arial"/>
          <w:color w:val="000000"/>
        </w:rPr>
        <w:t xml:space="preserve">have a system in place that identifies the growing site of berries which they grew or received, and from whom berries were received, and to whom they were supplied (with retail sale excluded). The intent is that the system would enable the business to trace the produce one step back and one step forward, as a minimum. The requirement includes identification of the growing site to provide traceability to a specific site if berries are grown by or received from a business that has multiple growing sites. The required information will </w:t>
      </w:r>
      <w:r w:rsidRPr="006E4F58">
        <w:rPr>
          <w:rFonts w:eastAsia="Calibri" w:cs="Arial"/>
          <w:color w:val="000000"/>
        </w:rPr>
        <w:lastRenderedPageBreak/>
        <w:t xml:space="preserve">enable a rapid response and removal of unsafe produce if a food safety issue arises and/or a product recall is required.   </w:t>
      </w:r>
    </w:p>
    <w:p w:rsidR="006E4F58" w:rsidRPr="006E4F58" w:rsidRDefault="006E4F58" w:rsidP="006E4F58">
      <w:pPr>
        <w:autoSpaceDE w:val="0"/>
        <w:autoSpaceDN w:val="0"/>
        <w:adjustRightInd w:val="0"/>
        <w:rPr>
          <w:rFonts w:eastAsia="Calibri" w:cs="Arial"/>
          <w:bCs/>
        </w:rPr>
      </w:pPr>
    </w:p>
    <w:p w:rsidR="006E4F58" w:rsidRPr="006E4F58" w:rsidRDefault="006E4F58" w:rsidP="006E4F58">
      <w:pPr>
        <w:autoSpaceDE w:val="0"/>
        <w:autoSpaceDN w:val="0"/>
        <w:adjustRightInd w:val="0"/>
        <w:rPr>
          <w:rFonts w:eastAsia="Calibri" w:cs="Arial"/>
          <w:bCs/>
        </w:rPr>
      </w:pPr>
      <w:r w:rsidRPr="006E4F58">
        <w:rPr>
          <w:rFonts w:eastAsia="Calibri" w:cs="Arial"/>
          <w:b/>
          <w:bCs/>
        </w:rPr>
        <w:t>Section 6</w:t>
      </w:r>
      <w:r w:rsidRPr="006E4F58">
        <w:rPr>
          <w:rFonts w:eastAsia="Times New Roman" w:cs="Times New Roman"/>
          <w:b/>
          <w:color w:val="000000"/>
          <w:szCs w:val="24"/>
          <w:lang w:bidi="en-US"/>
        </w:rPr>
        <w:t>:</w:t>
      </w:r>
      <w:r w:rsidRPr="006E4F58">
        <w:rPr>
          <w:rFonts w:eastAsia="Times New Roman" w:cs="Times New Roman"/>
          <w:color w:val="000000"/>
          <w:szCs w:val="24"/>
          <w:lang w:bidi="en-US"/>
        </w:rPr>
        <w:t xml:space="preserve"> This provision </w:t>
      </w:r>
      <w:r w:rsidRPr="006E4F58">
        <w:rPr>
          <w:rFonts w:eastAsia="Calibri" w:cs="Arial"/>
          <w:bCs/>
        </w:rPr>
        <w:t>requires a primary producer and a primary processor of berries to take all reasonable measures to ensure inputs do not make berries</w:t>
      </w:r>
      <w:r w:rsidRPr="006E4F58">
        <w:rPr>
          <w:rFonts w:eastAsia="Calibri" w:cs="Arial"/>
        </w:rPr>
        <w:t xml:space="preserve"> </w:t>
      </w:r>
      <w:r w:rsidRPr="006E4F58">
        <w:rPr>
          <w:rFonts w:eastAsia="Calibri" w:cs="Arial"/>
          <w:bCs/>
        </w:rPr>
        <w:t>unacceptable. The specified inputs are soil, soil amendments (including manure, human biosolids, compost, and plant bio-waste), fertilisers and water. ‘Water’ is intended to include recycled water, but is not intended to include falling rain.</w:t>
      </w:r>
    </w:p>
    <w:p w:rsidR="006E4F58" w:rsidRPr="006E4F58" w:rsidRDefault="006E4F58" w:rsidP="006E4F58">
      <w:pPr>
        <w:autoSpaceDE w:val="0"/>
        <w:autoSpaceDN w:val="0"/>
        <w:adjustRightInd w:val="0"/>
        <w:rPr>
          <w:rFonts w:eastAsia="Calibri" w:cs="Arial"/>
          <w:bCs/>
        </w:rPr>
      </w:pPr>
    </w:p>
    <w:p w:rsidR="006E4F58" w:rsidRPr="006E4F58" w:rsidRDefault="006E4F58" w:rsidP="006E4F58">
      <w:pPr>
        <w:widowControl w:val="0"/>
        <w:autoSpaceDE w:val="0"/>
        <w:autoSpaceDN w:val="0"/>
        <w:adjustRightInd w:val="0"/>
        <w:rPr>
          <w:rFonts w:eastAsia="Times New Roman" w:cs="Arial"/>
          <w:szCs w:val="24"/>
          <w:lang w:bidi="en-US"/>
        </w:rPr>
      </w:pPr>
      <w:r w:rsidRPr="006E4F58">
        <w:rPr>
          <w:rFonts w:eastAsia="Calibri" w:cs="Arial"/>
          <w:b/>
          <w:bCs/>
        </w:rPr>
        <w:t xml:space="preserve">Section 7: </w:t>
      </w:r>
      <w:r w:rsidRPr="006E4F58">
        <w:rPr>
          <w:rFonts w:eastAsia="Calibri" w:cs="Arial"/>
          <w:bCs/>
        </w:rPr>
        <w:t xml:space="preserve">These provisions deal with premises and equipment. </w:t>
      </w:r>
      <w:r w:rsidRPr="006E4F58">
        <w:rPr>
          <w:rFonts w:eastAsia="Calibri" w:cs="Arial"/>
          <w:bCs/>
          <w:color w:val="000000"/>
        </w:rPr>
        <w:t xml:space="preserve">Subsection (1) </w:t>
      </w:r>
      <w:r w:rsidRPr="006E4F58">
        <w:rPr>
          <w:rFonts w:eastAsia="Times New Roman" w:cs="Arial"/>
          <w:color w:val="000000"/>
          <w:szCs w:val="24"/>
          <w:lang w:val="en-US" w:bidi="en-US"/>
        </w:rPr>
        <w:t xml:space="preserve">requires </w:t>
      </w:r>
      <w:r w:rsidRPr="006E4F58">
        <w:rPr>
          <w:rFonts w:eastAsia="Times New Roman" w:cs="Arial"/>
          <w:szCs w:val="24"/>
          <w:lang w:val="en-US" w:bidi="en-US"/>
        </w:rPr>
        <w:t xml:space="preserve">a </w:t>
      </w:r>
      <w:r w:rsidRPr="006E4F58">
        <w:rPr>
          <w:rFonts w:eastAsia="Times New Roman" w:cs="Times New Roman"/>
          <w:szCs w:val="24"/>
          <w:lang w:bidi="en-US"/>
        </w:rPr>
        <w:t xml:space="preserve">primary horticulture producer and a primary horticulture processor to </w:t>
      </w:r>
      <w:r w:rsidRPr="006E4F58">
        <w:rPr>
          <w:rFonts w:eastAsia="Times New Roman" w:cs="Arial"/>
          <w:szCs w:val="24"/>
          <w:lang w:val="en-US" w:bidi="en-US"/>
        </w:rPr>
        <w:t xml:space="preserve">take all reasonable measures to ensure that premises and equipment are designed, constructed, maintained and operated in a way that allows for effective cleaning and sanitisation of the premises and equipment; and does not make </w:t>
      </w:r>
      <w:r w:rsidRPr="006E4F58">
        <w:rPr>
          <w:rFonts w:eastAsia="Times New Roman" w:cs="Arial"/>
          <w:color w:val="000000"/>
          <w:szCs w:val="24"/>
          <w:lang w:val="en-US" w:bidi="en-US"/>
        </w:rPr>
        <w:t>berries unacceptable</w:t>
      </w:r>
      <w:r w:rsidRPr="006E4F58">
        <w:rPr>
          <w:rFonts w:eastAsia="Times New Roman" w:cs="Arial"/>
          <w:szCs w:val="24"/>
          <w:lang w:val="en-US" w:bidi="en-US"/>
        </w:rPr>
        <w:t>. Subsection (2) of each provision requires a</w:t>
      </w:r>
      <w:r w:rsidRPr="006E4F58">
        <w:rPr>
          <w:rFonts w:eastAsia="Times New Roman" w:cs="Times New Roman"/>
          <w:szCs w:val="24"/>
          <w:lang w:bidi="en-US"/>
        </w:rPr>
        <w:t xml:space="preserve"> primary horticulture producer and a primary horticulture processor to ensure that premises and equipment are maintained, cleaned and if necessary sanitised; each to the extent needed to ensure that </w:t>
      </w:r>
      <w:r w:rsidRPr="006E4F58">
        <w:rPr>
          <w:rFonts w:eastAsia="Times New Roman" w:cs="Arial"/>
          <w:color w:val="000000"/>
          <w:szCs w:val="24"/>
          <w:lang w:val="en-US" w:bidi="en-US"/>
        </w:rPr>
        <w:t xml:space="preserve">berries </w:t>
      </w:r>
      <w:r w:rsidRPr="006E4F58">
        <w:rPr>
          <w:rFonts w:eastAsia="Times New Roman" w:cs="Times New Roman"/>
          <w:color w:val="000000"/>
          <w:szCs w:val="24"/>
          <w:lang w:bidi="en-US"/>
        </w:rPr>
        <w:t xml:space="preserve">are </w:t>
      </w:r>
      <w:r w:rsidRPr="006E4F58">
        <w:rPr>
          <w:rFonts w:eastAsia="Times New Roman" w:cs="Times New Roman"/>
          <w:szCs w:val="24"/>
          <w:lang w:bidi="en-US"/>
        </w:rPr>
        <w:t xml:space="preserve">not made unacceptable. The intent of these provisions is that </w:t>
      </w:r>
      <w:r w:rsidRPr="006E4F58">
        <w:rPr>
          <w:rFonts w:eastAsia="Times New Roman" w:cs="Arial"/>
          <w:szCs w:val="24"/>
          <w:lang w:bidi="en-US"/>
        </w:rPr>
        <w:t xml:space="preserve">premises and equipment, including transport vehicles, do not present a source of product contamination, damage or other adverse outcome. </w:t>
      </w:r>
    </w:p>
    <w:p w:rsidR="006E4F58" w:rsidRPr="006E4F58" w:rsidRDefault="006E4F58" w:rsidP="006E4F58">
      <w:pPr>
        <w:widowControl w:val="0"/>
        <w:autoSpaceDE w:val="0"/>
        <w:autoSpaceDN w:val="0"/>
        <w:adjustRightInd w:val="0"/>
        <w:spacing w:after="120"/>
        <w:rPr>
          <w:rFonts w:eastAsia="Times New Roman" w:cs="Arial"/>
          <w:szCs w:val="24"/>
          <w:lang w:val="en-US" w:bidi="en-US"/>
        </w:rPr>
      </w:pPr>
    </w:p>
    <w:p w:rsidR="006E4F58" w:rsidRPr="006E4F58" w:rsidRDefault="006E4F58" w:rsidP="006E4F58">
      <w:pPr>
        <w:widowControl w:val="0"/>
        <w:spacing w:after="120"/>
        <w:rPr>
          <w:rFonts w:eastAsia="Times New Roman" w:cs="Arial"/>
          <w:szCs w:val="24"/>
          <w:lang w:bidi="en-US"/>
        </w:rPr>
      </w:pPr>
      <w:r w:rsidRPr="006E4F58">
        <w:rPr>
          <w:rFonts w:eastAsia="Calibri" w:cs="Arial"/>
          <w:b/>
          <w:bCs/>
        </w:rPr>
        <w:t xml:space="preserve">Section 8: </w:t>
      </w:r>
      <w:r w:rsidRPr="006E4F58">
        <w:rPr>
          <w:rFonts w:eastAsia="Calibri" w:cs="Arial"/>
          <w:bCs/>
        </w:rPr>
        <w:t>These provisions require a</w:t>
      </w:r>
      <w:r w:rsidRPr="006E4F58">
        <w:rPr>
          <w:rFonts w:eastAsia="Times New Roman" w:cs="Times New Roman"/>
          <w:szCs w:val="24"/>
          <w:lang w:bidi="en-US"/>
        </w:rPr>
        <w:t xml:space="preserve"> primary horticulture producer and a primary horticulture processor to ensure </w:t>
      </w:r>
      <w:r w:rsidRPr="006E4F58">
        <w:rPr>
          <w:rFonts w:eastAsia="Calibri" w:cs="Arial"/>
          <w:bCs/>
        </w:rPr>
        <w:t>that p</w:t>
      </w:r>
      <w:r w:rsidRPr="006E4F58">
        <w:rPr>
          <w:rFonts w:eastAsia="Times New Roman" w:cs="Arial"/>
          <w:szCs w:val="24"/>
          <w:lang w:bidi="en-US"/>
        </w:rPr>
        <w:t xml:space="preserve">ersons </w:t>
      </w:r>
      <w:r w:rsidRPr="006E4F58">
        <w:rPr>
          <w:rFonts w:eastAsia="Times New Roman" w:cs="Arial"/>
          <w:szCs w:val="24"/>
          <w:lang w:val="en-US" w:bidi="en-US"/>
        </w:rPr>
        <w:t xml:space="preserve">engaged in; or supervising a person engaged in, relevant activities listed </w:t>
      </w:r>
      <w:r w:rsidRPr="006E4F58">
        <w:rPr>
          <w:rFonts w:eastAsia="Times New Roman" w:cs="Arial"/>
          <w:color w:val="000000"/>
          <w:szCs w:val="24"/>
          <w:lang w:val="en-US" w:bidi="en-US"/>
        </w:rPr>
        <w:t xml:space="preserve">for </w:t>
      </w:r>
      <w:r w:rsidRPr="006E4F58">
        <w:rPr>
          <w:rFonts w:eastAsia="Times New Roman" w:cs="Arial"/>
          <w:color w:val="000000"/>
          <w:szCs w:val="24"/>
          <w:lang w:bidi="en-US"/>
        </w:rPr>
        <w:t xml:space="preserve">berries have </w:t>
      </w:r>
      <w:r w:rsidRPr="006E4F58">
        <w:rPr>
          <w:rFonts w:eastAsia="Times New Roman" w:cs="Arial"/>
          <w:szCs w:val="24"/>
          <w:lang w:bidi="en-US"/>
        </w:rPr>
        <w:t xml:space="preserve">skills and knowledge in both food safety and food hygiene commensurate with their work. The purpose of this provision is to ensure those people do not make the product unacceptable through contamination or other adverse outcomes. </w:t>
      </w:r>
    </w:p>
    <w:p w:rsidR="006E4F58" w:rsidRPr="006E4F58" w:rsidRDefault="006E4F58" w:rsidP="006E4F58">
      <w:pPr>
        <w:autoSpaceDE w:val="0"/>
        <w:autoSpaceDN w:val="0"/>
        <w:adjustRightInd w:val="0"/>
        <w:rPr>
          <w:rFonts w:eastAsia="Calibri" w:cs="Arial"/>
          <w:b/>
          <w:bCs/>
        </w:rPr>
      </w:pPr>
    </w:p>
    <w:p w:rsidR="006E4F58" w:rsidRPr="006E4F58" w:rsidRDefault="006E4F58" w:rsidP="006E4F58">
      <w:pPr>
        <w:autoSpaceDE w:val="0"/>
        <w:autoSpaceDN w:val="0"/>
        <w:adjustRightInd w:val="0"/>
        <w:rPr>
          <w:rFonts w:eastAsia="Calibri" w:cs="Arial"/>
        </w:rPr>
      </w:pPr>
      <w:r w:rsidRPr="006E4F58">
        <w:rPr>
          <w:rFonts w:eastAsia="Calibri" w:cs="Arial"/>
          <w:b/>
          <w:bCs/>
        </w:rPr>
        <w:t xml:space="preserve">Section 9: </w:t>
      </w:r>
      <w:r w:rsidRPr="006E4F58">
        <w:rPr>
          <w:rFonts w:eastAsia="Calibri" w:cs="Arial"/>
          <w:bCs/>
        </w:rPr>
        <w:t xml:space="preserve">These </w:t>
      </w:r>
      <w:r w:rsidRPr="006E4F58">
        <w:rPr>
          <w:rFonts w:eastAsia="Times New Roman" w:cs="Times New Roman"/>
          <w:color w:val="000000"/>
          <w:szCs w:val="24"/>
          <w:lang w:bidi="en-US"/>
        </w:rPr>
        <w:t>provision</w:t>
      </w:r>
      <w:r w:rsidRPr="006E4F58">
        <w:rPr>
          <w:rFonts w:eastAsia="Calibri" w:cs="Arial"/>
          <w:bCs/>
        </w:rPr>
        <w:t>s</w:t>
      </w:r>
      <w:r w:rsidRPr="006E4F58">
        <w:rPr>
          <w:rFonts w:eastAsia="Calibri" w:cs="Arial"/>
          <w:b/>
          <w:bCs/>
        </w:rPr>
        <w:t xml:space="preserve"> </w:t>
      </w:r>
      <w:r w:rsidRPr="006E4F58">
        <w:rPr>
          <w:rFonts w:eastAsia="Calibri" w:cs="Arial"/>
          <w:bCs/>
        </w:rPr>
        <w:t>require a</w:t>
      </w:r>
      <w:r w:rsidRPr="006E4F58">
        <w:rPr>
          <w:rFonts w:eastAsia="Times New Roman" w:cs="Times New Roman"/>
          <w:szCs w:val="24"/>
          <w:lang w:bidi="en-US"/>
        </w:rPr>
        <w:t xml:space="preserve"> primary horticulture producer and a primary </w:t>
      </w:r>
      <w:r w:rsidRPr="006E4F58">
        <w:rPr>
          <w:rFonts w:eastAsia="Times New Roman" w:cs="Times New Roman"/>
          <w:color w:val="000000"/>
          <w:szCs w:val="24"/>
          <w:lang w:bidi="en-US"/>
        </w:rPr>
        <w:t xml:space="preserve">horticulture processor </w:t>
      </w:r>
      <w:r w:rsidRPr="006E4F58">
        <w:rPr>
          <w:rFonts w:eastAsia="Calibri" w:cs="Arial"/>
          <w:bCs/>
          <w:color w:val="000000"/>
        </w:rPr>
        <w:t xml:space="preserve">to take all reasonable measures to </w:t>
      </w:r>
      <w:r w:rsidRPr="006E4F58">
        <w:rPr>
          <w:rFonts w:eastAsia="Times New Roman" w:cs="Times New Roman"/>
          <w:color w:val="000000"/>
          <w:szCs w:val="24"/>
          <w:lang w:bidi="en-US"/>
        </w:rPr>
        <w:t xml:space="preserve">ensure that personnel and visitors exercise personal hygiene and health practices that do not make </w:t>
      </w:r>
      <w:r w:rsidRPr="006E4F58">
        <w:rPr>
          <w:rFonts w:eastAsia="Times New Roman" w:cs="Arial"/>
          <w:color w:val="000000"/>
          <w:szCs w:val="24"/>
          <w:lang w:bidi="en-US"/>
        </w:rPr>
        <w:t xml:space="preserve">berries </w:t>
      </w:r>
      <w:r w:rsidRPr="006E4F58">
        <w:rPr>
          <w:rFonts w:eastAsia="Times New Roman" w:cs="Times New Roman"/>
          <w:color w:val="000000"/>
          <w:szCs w:val="24"/>
          <w:lang w:bidi="en-US"/>
        </w:rPr>
        <w:t>unacceptable. The intent is that personnel and visitors do not present a source of product contamination or other adverse product outcome from illness or poor hygiene practices.</w:t>
      </w:r>
    </w:p>
    <w:p w:rsidR="006E4F58" w:rsidRPr="006E4F58" w:rsidRDefault="006E4F58" w:rsidP="006E4F58">
      <w:pPr>
        <w:autoSpaceDE w:val="0"/>
        <w:autoSpaceDN w:val="0"/>
        <w:adjustRightInd w:val="0"/>
        <w:rPr>
          <w:rFonts w:eastAsia="Calibri" w:cs="Arial"/>
          <w:bCs/>
        </w:rPr>
      </w:pPr>
    </w:p>
    <w:p w:rsidR="006E4F58" w:rsidRPr="006E4F58" w:rsidRDefault="006E4F58" w:rsidP="006E4F58">
      <w:pPr>
        <w:autoSpaceDE w:val="0"/>
        <w:autoSpaceDN w:val="0"/>
        <w:adjustRightInd w:val="0"/>
        <w:rPr>
          <w:rFonts w:eastAsia="Calibri" w:cs="Times New Roman"/>
          <w:bCs/>
          <w:color w:val="000000"/>
        </w:rPr>
      </w:pPr>
      <w:r w:rsidRPr="006E4F58">
        <w:rPr>
          <w:rFonts w:eastAsia="Calibri" w:cs="Arial"/>
          <w:b/>
          <w:bCs/>
        </w:rPr>
        <w:t xml:space="preserve">Section 10: </w:t>
      </w:r>
      <w:r w:rsidRPr="006E4F58">
        <w:rPr>
          <w:rFonts w:eastAsia="Calibri" w:cs="Arial"/>
          <w:bCs/>
        </w:rPr>
        <w:t xml:space="preserve">These provisions </w:t>
      </w:r>
      <w:r w:rsidRPr="006E4F58">
        <w:rPr>
          <w:rFonts w:eastAsia="Calibri" w:cs="Arial"/>
          <w:bCs/>
          <w:color w:val="000000"/>
        </w:rPr>
        <w:t xml:space="preserve">prohibit a primary horticulture producer or a primary horticulture processor from selling or supplying berries for human consumption if they ought reasonably know, or ought reasonably suspect, that the relevant food is unacceptable. This requirement is intended to prevent </w:t>
      </w:r>
      <w:r w:rsidRPr="006E4F58">
        <w:rPr>
          <w:rFonts w:eastAsia="Calibri" w:cs="Arial"/>
          <w:color w:val="000000"/>
        </w:rPr>
        <w:t>the introduction or transfer of unacceptable berries through</w:t>
      </w:r>
      <w:r w:rsidRPr="006E4F58">
        <w:rPr>
          <w:rFonts w:eastAsia="Calibri" w:cs="Times New Roman"/>
          <w:bCs/>
          <w:color w:val="000000"/>
        </w:rPr>
        <w:t xml:space="preserve"> the fresh food supply chain.</w:t>
      </w:r>
    </w:p>
    <w:p w:rsidR="006E4F58" w:rsidRPr="006E4F58" w:rsidRDefault="006E4F58" w:rsidP="006E4F58">
      <w:pPr>
        <w:widowControl w:val="0"/>
        <w:rPr>
          <w:rFonts w:eastAsia="Times New Roman" w:cs="Times New Roman"/>
          <w:szCs w:val="24"/>
          <w:lang w:bidi="en-US"/>
        </w:rPr>
      </w:pPr>
    </w:p>
    <w:p w:rsidR="006E4F58" w:rsidRPr="006E4F58" w:rsidRDefault="006E4F58" w:rsidP="006E4F58">
      <w:pPr>
        <w:rPr>
          <w:rFonts w:eastAsia="Times New Roman" w:cs="Times New Roman"/>
          <w:szCs w:val="24"/>
          <w:lang w:bidi="en-US"/>
        </w:rPr>
      </w:pPr>
      <w:bookmarkStart w:id="1" w:name="_GoBack"/>
      <w:bookmarkEnd w:id="1"/>
    </w:p>
    <w:sectPr w:rsidR="006E4F58" w:rsidRPr="006E4F58"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7E" w:rsidRDefault="002E287E" w:rsidP="009D5E12">
      <w:r>
        <w:separator/>
      </w:r>
    </w:p>
  </w:endnote>
  <w:endnote w:type="continuationSeparator" w:id="0">
    <w:p w:rsidR="002E287E" w:rsidRDefault="002E287E" w:rsidP="009D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7E" w:rsidRDefault="002E287E" w:rsidP="009D5E12">
      <w:r>
        <w:separator/>
      </w:r>
    </w:p>
  </w:footnote>
  <w:footnote w:type="continuationSeparator" w:id="0">
    <w:p w:rsidR="002E287E" w:rsidRDefault="002E287E" w:rsidP="009D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9868D3"/>
    <w:multiLevelType w:val="hybridMultilevel"/>
    <w:tmpl w:val="4C22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1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4464F"/>
    <w:rsid w:val="002E287E"/>
    <w:rsid w:val="0033021F"/>
    <w:rsid w:val="00341D25"/>
    <w:rsid w:val="003A01FB"/>
    <w:rsid w:val="00404702"/>
    <w:rsid w:val="00441D77"/>
    <w:rsid w:val="00443F05"/>
    <w:rsid w:val="00486619"/>
    <w:rsid w:val="004D3868"/>
    <w:rsid w:val="004E6694"/>
    <w:rsid w:val="0054036E"/>
    <w:rsid w:val="005B578D"/>
    <w:rsid w:val="005C1996"/>
    <w:rsid w:val="006B6900"/>
    <w:rsid w:val="006D473E"/>
    <w:rsid w:val="006E4F58"/>
    <w:rsid w:val="007201F8"/>
    <w:rsid w:val="00793DE6"/>
    <w:rsid w:val="007F6456"/>
    <w:rsid w:val="00830393"/>
    <w:rsid w:val="00833D5A"/>
    <w:rsid w:val="00860EE7"/>
    <w:rsid w:val="00877A81"/>
    <w:rsid w:val="008931F6"/>
    <w:rsid w:val="008E2339"/>
    <w:rsid w:val="00935023"/>
    <w:rsid w:val="009806A5"/>
    <w:rsid w:val="009D5E12"/>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3497"/>
  <w15:chartTrackingRefBased/>
  <w15:docId w15:val="{E8341E01-78C5-4A83-8BC6-34E649CC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slation.gov.au"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ttachement xmlns="5759555f-5bed-45a4-a4c2-4e28e2623455">true</Attachement>
    <Related_x0020_project xmlns="ec50576e-4a27-4780-a1e1-e59563bc70b8" xsi:nil="true"/>
    <Links xmlns="5759555f-5bed-45a4-a4c2-4e28e2623455" xsi:nil="true"/>
    <Abstract xmlns="5759555f-5bed-45a4-a4c2-4e28e2623455" xsi:nil="true"/>
    <_dlc_DocId xmlns="5759555f-5bed-45a4-a4c2-4e28e2623455">MMF7YEMDTSDN-199-16997</_dlc_DocId>
    <a41428b017d04df981d58ffdf035d7b8 xmlns="ec50576e-4a27-4780-a1e1-e59563bc70b8">
      <Terms xmlns="http://schemas.microsoft.com/office/infopath/2007/PartnerControls"/>
    </a41428b017d04df981d58ffdf035d7b8>
    <_dlc_DocIdUrl xmlns="5759555f-5bed-45a4-a4c2-4e28e2623455">
      <Url>http://fsintranet/Sections/pss/_layouts/15/DocIdRedir.aspx?ID=MMF7YEMDTSDN-199-16997</Url>
      <Description>MMF7YEMDTSDN-199-16997</Description>
    </_dlc_DocIdUrl>
    <Hyperlink xmlns="5759555f-5bed-45a4-a4c2-4e28e2623455">
      <Url xsi:nil="true"/>
      <Description xsi:nil="true"/>
    </Hyperlink>
    <TaxCatchAll xmlns="ec50576e-4a27-4780-a1e1-e59563bc70b8">
      <Value>531</Value>
    </TaxCatchAll>
    <Agenda xmlns="5759555f-5bed-45a4-a4c2-4e28e2623455" xsi:nil="true"/>
  </documentManagement>
</p:properties>
</file>

<file path=customXml/itemProps1.xml><?xml version="1.0" encoding="utf-8"?>
<ds:datastoreItem xmlns:ds="http://schemas.openxmlformats.org/officeDocument/2006/customXml" ds:itemID="{8D864C31-B8DC-43BC-BF8B-CBF9EF22DB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F69E19-2719-4225-A334-C78F0BBAC828}">
  <ds:schemaRefs>
    <ds:schemaRef ds:uri="http://schemas.openxmlformats.org/officeDocument/2006/bibliography"/>
  </ds:schemaRefs>
</ds:datastoreItem>
</file>

<file path=customXml/itemProps3.xml><?xml version="1.0" encoding="utf-8"?>
<ds:datastoreItem xmlns:ds="http://schemas.openxmlformats.org/officeDocument/2006/customXml" ds:itemID="{402969AA-8457-499C-B0FE-8DE8ED2B01CE}"/>
</file>

<file path=customXml/itemProps4.xml><?xml version="1.0" encoding="utf-8"?>
<ds:datastoreItem xmlns:ds="http://schemas.openxmlformats.org/officeDocument/2006/customXml" ds:itemID="{AE96205C-6E2D-476C-AEB3-2959BEB2C17B}"/>
</file>

<file path=customXml/itemProps5.xml><?xml version="1.0" encoding="utf-8"?>
<ds:datastoreItem xmlns:ds="http://schemas.openxmlformats.org/officeDocument/2006/customXml" ds:itemID="{3D492F8B-36DD-4DD4-8F73-84410A4ECBD4}"/>
</file>

<file path=customXml/itemProps6.xml><?xml version="1.0" encoding="utf-8"?>
<ds:datastoreItem xmlns:ds="http://schemas.openxmlformats.org/officeDocument/2006/customXml" ds:itemID="{1CA3140B-27BE-4B16-8B79-A43F4A2FC533}"/>
</file>

<file path=customXml/itemProps7.xml><?xml version="1.0" encoding="utf-8"?>
<ds:datastoreItem xmlns:ds="http://schemas.openxmlformats.org/officeDocument/2006/customXml" ds:itemID="{EABCE42E-9F94-4A7F-B196-F5BF93FB725C}"/>
</file>

<file path=customXml/itemProps8.xml><?xml version="1.0" encoding="utf-8"?>
<ds:datastoreItem xmlns:ds="http://schemas.openxmlformats.org/officeDocument/2006/customXml" ds:itemID="{8A5F2DDF-7C12-4129-AD23-49A474FB6F62}"/>
</file>

<file path=docProps/app.xml><?xml version="1.0" encoding="utf-8"?>
<Properties xmlns="http://schemas.openxmlformats.org/officeDocument/2006/extended-properties" xmlns:vt="http://schemas.openxmlformats.org/officeDocument/2006/docPropsVTypes">
  <Template>Normal</Template>
  <TotalTime>2</TotalTime>
  <Pages>5</Pages>
  <Words>2276</Words>
  <Characters>12976</Characters>
  <Application>Microsoft Office Word</Application>
  <DocSecurity>0</DocSecurity>
  <Lines>108</Lines>
  <Paragraphs>30</Paragraphs>
  <ScaleCrop>false</ScaleCrop>
  <Company>Food Standards Australia New Zealand</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3</cp:revision>
  <dcterms:created xsi:type="dcterms:W3CDTF">2022-08-10T02:37:00Z</dcterms:created>
  <dcterms:modified xsi:type="dcterms:W3CDTF">2022-08-10T02:39:00Z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2b565b87-6f18-442f-8fb9-4777008022ba</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DisposalClass">
    <vt:lpwstr/>
  </property>
  <property fmtid="{D5CDD505-2E9C-101B-9397-08002B2CF9AE}" pid="9" name="_dlc_DocIdItemGuid">
    <vt:lpwstr>3d35279b-0078-4844-aa13-751137091351</vt:lpwstr>
  </property>
  <property fmtid="{D5CDD505-2E9C-101B-9397-08002B2CF9AE}" pid="10" name="BCS_">
    <vt:lpwstr>531;#Instruments|4a8ff5e5-1f0e-4751-ab44-bc0d33b46a80</vt:lpwstr>
  </property>
</Properties>
</file>