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4C5" w:rsidRPr="00A214C5" w:rsidRDefault="00A214C5" w:rsidP="00A214C5">
      <w:pPr>
        <w:widowControl w:val="0"/>
        <w:rPr>
          <w:rFonts w:eastAsia="Times New Roman" w:cs="Times New Roman"/>
          <w:b/>
          <w:szCs w:val="24"/>
          <w:lang w:val="en-AU" w:eastAsia="en-GB" w:bidi="en-US"/>
        </w:rPr>
      </w:pPr>
      <w:bookmarkStart w:id="0" w:name="_GoBack"/>
      <w:bookmarkEnd w:id="0"/>
      <w:r w:rsidRPr="00A214C5">
        <w:rPr>
          <w:rFonts w:eastAsia="Times New Roman" w:cs="Times New Roman"/>
          <w:b/>
          <w:szCs w:val="24"/>
          <w:lang w:val="en-AU" w:eastAsia="en-GB" w:bidi="en-US"/>
        </w:rPr>
        <w:t>1.</w:t>
      </w:r>
      <w:r w:rsidRPr="00A214C5">
        <w:rPr>
          <w:rFonts w:eastAsia="Times New Roman" w:cs="Times New Roman"/>
          <w:b/>
          <w:szCs w:val="24"/>
          <w:lang w:val="en-AU" w:eastAsia="en-GB" w:bidi="en-US"/>
        </w:rPr>
        <w:tab/>
        <w:t>Authority</w:t>
      </w:r>
    </w:p>
    <w:p w:rsidR="00A214C5" w:rsidRPr="00A214C5" w:rsidRDefault="00A214C5" w:rsidP="00A214C5">
      <w:pPr>
        <w:widowControl w:val="0"/>
        <w:rPr>
          <w:rFonts w:eastAsia="Times New Roman" w:cs="Times New Roman"/>
          <w:szCs w:val="24"/>
          <w:lang w:val="en-AU" w:eastAsia="en-GB" w:bidi="en-US"/>
        </w:rPr>
      </w:pPr>
    </w:p>
    <w:p w:rsidR="00A214C5" w:rsidRPr="00A214C5" w:rsidRDefault="00A214C5" w:rsidP="00A214C5">
      <w:pPr>
        <w:widowControl w:val="0"/>
        <w:autoSpaceDE w:val="0"/>
        <w:autoSpaceDN w:val="0"/>
        <w:adjustRightInd w:val="0"/>
        <w:rPr>
          <w:rFonts w:eastAsia="Calibri" w:cs="Arial"/>
          <w:bCs/>
          <w:szCs w:val="24"/>
          <w:lang w:val="en-AU" w:bidi="en-US"/>
        </w:rPr>
      </w:pPr>
      <w:r w:rsidRPr="00A214C5">
        <w:rPr>
          <w:rFonts w:eastAsia="Calibri" w:cs="Arial"/>
          <w:bCs/>
          <w:szCs w:val="24"/>
          <w:lang w:val="en-AU" w:bidi="en-US"/>
        </w:rPr>
        <w:t xml:space="preserve">Section 13 of the </w:t>
      </w:r>
      <w:r w:rsidRPr="00A214C5">
        <w:rPr>
          <w:rFonts w:eastAsia="Calibri" w:cs="Arial"/>
          <w:bCs/>
          <w:i/>
          <w:szCs w:val="24"/>
          <w:lang w:val="en-AU" w:bidi="en-US"/>
        </w:rPr>
        <w:t>Food Standards Australia New Zealand Act 1991</w:t>
      </w:r>
      <w:r w:rsidRPr="00A214C5">
        <w:rPr>
          <w:rFonts w:eastAsia="Calibri" w:cs="Arial"/>
          <w:bCs/>
          <w:szCs w:val="24"/>
          <w:lang w:val="en-AU" w:bidi="en-US"/>
        </w:rPr>
        <w:t xml:space="preserve"> (the FSANZ Act) provides that the functions of Food Standards Australia New Zealand (the Authority) include the development of standards and variations of standards for inclusion in the </w:t>
      </w:r>
      <w:r w:rsidRPr="00A214C5">
        <w:rPr>
          <w:rFonts w:eastAsia="Calibri" w:cs="Arial"/>
          <w:bCs/>
          <w:i/>
          <w:szCs w:val="24"/>
          <w:lang w:val="en-AU" w:bidi="en-US"/>
        </w:rPr>
        <w:t>Australia New Zealand Food Standards Code</w:t>
      </w:r>
      <w:r w:rsidRPr="00A214C5">
        <w:rPr>
          <w:rFonts w:eastAsia="Calibri" w:cs="Arial"/>
          <w:bCs/>
          <w:szCs w:val="24"/>
          <w:lang w:val="en-AU" w:bidi="en-US"/>
        </w:rPr>
        <w:t xml:space="preserve"> (the Code).</w:t>
      </w:r>
    </w:p>
    <w:p w:rsidR="00A214C5" w:rsidRPr="00A214C5" w:rsidRDefault="00A214C5" w:rsidP="00A214C5">
      <w:pPr>
        <w:widowControl w:val="0"/>
        <w:autoSpaceDE w:val="0"/>
        <w:autoSpaceDN w:val="0"/>
        <w:adjustRightInd w:val="0"/>
        <w:rPr>
          <w:rFonts w:eastAsia="Calibri" w:cs="Arial"/>
          <w:bCs/>
          <w:szCs w:val="24"/>
          <w:lang w:val="en-AU" w:bidi="en-US"/>
        </w:rPr>
      </w:pPr>
    </w:p>
    <w:p w:rsidR="00A214C5" w:rsidRPr="00A214C5" w:rsidRDefault="00A214C5" w:rsidP="00A214C5">
      <w:pPr>
        <w:widowControl w:val="0"/>
        <w:autoSpaceDE w:val="0"/>
        <w:autoSpaceDN w:val="0"/>
        <w:adjustRightInd w:val="0"/>
        <w:rPr>
          <w:rFonts w:eastAsia="Calibri" w:cs="Arial"/>
          <w:bCs/>
          <w:szCs w:val="24"/>
          <w:lang w:val="en-AU" w:bidi="en-US"/>
        </w:rPr>
      </w:pPr>
      <w:r w:rsidRPr="00A214C5">
        <w:rPr>
          <w:rFonts w:eastAsia="Calibri" w:cs="Arial"/>
          <w:bCs/>
          <w:szCs w:val="24"/>
          <w:lang w:val="en-AU" w:bidi="en-U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A214C5" w:rsidRPr="00A214C5" w:rsidRDefault="00A214C5" w:rsidP="00A214C5">
      <w:pPr>
        <w:widowControl w:val="0"/>
        <w:autoSpaceDE w:val="0"/>
        <w:autoSpaceDN w:val="0"/>
        <w:adjustRightInd w:val="0"/>
        <w:rPr>
          <w:rFonts w:eastAsia="Calibri" w:cs="Arial"/>
          <w:bCs/>
          <w:szCs w:val="24"/>
          <w:lang w:val="en-AU" w:bidi="en-US"/>
        </w:rPr>
      </w:pPr>
    </w:p>
    <w:p w:rsidR="00A214C5" w:rsidRPr="00A214C5" w:rsidRDefault="00A214C5" w:rsidP="00A214C5">
      <w:pPr>
        <w:widowControl w:val="0"/>
        <w:autoSpaceDE w:val="0"/>
        <w:autoSpaceDN w:val="0"/>
        <w:adjustRightInd w:val="0"/>
        <w:rPr>
          <w:rFonts w:eastAsia="Calibri" w:cs="Arial"/>
          <w:bCs/>
          <w:szCs w:val="24"/>
          <w:lang w:val="en-AU" w:bidi="en-US"/>
        </w:rPr>
      </w:pPr>
      <w:r w:rsidRPr="00A214C5">
        <w:rPr>
          <w:rFonts w:eastAsia="Calibri" w:cs="Arial"/>
          <w:bCs/>
          <w:szCs w:val="24"/>
          <w:lang w:val="en-AU" w:bidi="en-US"/>
        </w:rPr>
        <w:t xml:space="preserve">The Authority had originally prepared Proposal P1030 to permit formulated supplementary sports foods, electrolyte drinks and electrolyte drink bases to carry health claims on their labels and in advertising; and to transfer the regulation of electrolyte drinks and electrolyte drink bases from Part 2.6 to Part 2.9 of the Code. </w:t>
      </w:r>
      <w:r w:rsidRPr="00A214C5">
        <w:rPr>
          <w:rFonts w:eastAsia="Times New Roman" w:cs="Times New Roman"/>
          <w:szCs w:val="24"/>
          <w:lang w:bidi="en-US"/>
        </w:rPr>
        <w:t>The Authority had considered the Proposal in accordance with Division 2 of Part 3 of the FSANZ Act and prepared a draft variation (the call for submissions (CFS) draft variation).</w:t>
      </w:r>
    </w:p>
    <w:p w:rsidR="00A214C5" w:rsidRPr="00A214C5" w:rsidRDefault="00A214C5" w:rsidP="00A214C5">
      <w:pPr>
        <w:widowControl w:val="0"/>
        <w:autoSpaceDE w:val="0"/>
        <w:autoSpaceDN w:val="0"/>
        <w:adjustRightInd w:val="0"/>
        <w:rPr>
          <w:rFonts w:eastAsia="Calibri" w:cs="Arial"/>
          <w:bCs/>
          <w:szCs w:val="24"/>
          <w:lang w:val="en-AU" w:bidi="en-US"/>
        </w:rPr>
      </w:pPr>
    </w:p>
    <w:p w:rsidR="00A214C5" w:rsidRPr="00A214C5" w:rsidRDefault="00A214C5" w:rsidP="00A214C5">
      <w:pPr>
        <w:widowControl w:val="0"/>
        <w:autoSpaceDE w:val="0"/>
        <w:autoSpaceDN w:val="0"/>
        <w:adjustRightInd w:val="0"/>
        <w:rPr>
          <w:rFonts w:eastAsia="Calibri" w:cs="Arial"/>
          <w:bCs/>
          <w:szCs w:val="24"/>
          <w:lang w:val="en-AU" w:bidi="en-US"/>
        </w:rPr>
      </w:pPr>
      <w:r w:rsidRPr="00A214C5">
        <w:rPr>
          <w:rFonts w:eastAsia="Calibri" w:cs="Arial"/>
          <w:bCs/>
          <w:szCs w:val="24"/>
          <w:lang w:val="en-AU" w:bidi="en-US"/>
        </w:rPr>
        <w:t xml:space="preserve">The Authority then called for submissions on the draft variation in 2014 under section 61 of the FSANZ Act and had regard to all submissions made during the CFS in accordance with subsection 63(2) of the Act. Consequently, the Authority had further considered the Proposal in accordance with Division 2 of Part 3 of the FSANZ Act; and revised the scope and direction of the Proposal to limit its focus on the composition and labelling of electrolyte drinks. The Authority also proposed that the regulation of electrolyte drinks and electrolyte drink bases would remain in Part 2.6 of the Code and not be transferred to Part 2.9 as originally proposed. Following further consideration of the Proposal in accordance with Division 2 of Part 3, the Authority proposed a number of amendments to the draft variation. </w:t>
      </w:r>
    </w:p>
    <w:p w:rsidR="00A214C5" w:rsidRPr="00A214C5" w:rsidRDefault="00A214C5" w:rsidP="00A214C5">
      <w:pPr>
        <w:widowControl w:val="0"/>
        <w:autoSpaceDE w:val="0"/>
        <w:autoSpaceDN w:val="0"/>
        <w:adjustRightInd w:val="0"/>
        <w:rPr>
          <w:rFonts w:eastAsia="Calibri" w:cs="Arial"/>
          <w:bCs/>
          <w:szCs w:val="24"/>
          <w:lang w:val="en-AU" w:bidi="en-US"/>
        </w:rPr>
      </w:pPr>
    </w:p>
    <w:p w:rsidR="00A214C5" w:rsidRPr="00A214C5" w:rsidRDefault="00A214C5" w:rsidP="00A214C5">
      <w:pPr>
        <w:widowControl w:val="0"/>
        <w:autoSpaceDE w:val="0"/>
        <w:autoSpaceDN w:val="0"/>
        <w:adjustRightInd w:val="0"/>
        <w:rPr>
          <w:rFonts w:eastAsia="Calibri" w:cs="Arial"/>
          <w:bCs/>
          <w:szCs w:val="24"/>
          <w:lang w:val="en-AU" w:bidi="en-US"/>
        </w:rPr>
      </w:pPr>
      <w:r w:rsidRPr="00A214C5">
        <w:rPr>
          <w:rFonts w:eastAsia="Calibri" w:cs="Arial"/>
          <w:bCs/>
          <w:szCs w:val="24"/>
          <w:lang w:val="en-AU" w:bidi="en-US"/>
        </w:rPr>
        <w:t>The Authority undertook further consultation with stakeholders in May 2021 on the proposed amendments to the draft variation and has had regard to all submissions made during that consultation in addition to submissions received in 2014. The Authority then further considered the Proposal in accordance with Division 2 of Part 3 of the FSANZ Act and approved the draft variation with amendments (the approved draft variation).</w:t>
      </w:r>
    </w:p>
    <w:p w:rsidR="00A214C5" w:rsidRPr="00A214C5" w:rsidRDefault="00A214C5" w:rsidP="00A214C5">
      <w:pPr>
        <w:widowControl w:val="0"/>
        <w:autoSpaceDE w:val="0"/>
        <w:autoSpaceDN w:val="0"/>
        <w:adjustRightInd w:val="0"/>
        <w:rPr>
          <w:rFonts w:eastAsia="Calibri" w:cs="Arial"/>
          <w:bCs/>
          <w:szCs w:val="24"/>
          <w:lang w:val="en-AU" w:bidi="en-US"/>
        </w:rPr>
      </w:pPr>
    </w:p>
    <w:p w:rsidR="00A214C5" w:rsidRPr="00A214C5" w:rsidRDefault="00A214C5" w:rsidP="00A214C5">
      <w:pPr>
        <w:widowControl w:val="0"/>
        <w:autoSpaceDE w:val="0"/>
        <w:autoSpaceDN w:val="0"/>
        <w:adjustRightInd w:val="0"/>
        <w:rPr>
          <w:rFonts w:eastAsia="Calibri" w:cs="Arial"/>
          <w:bCs/>
          <w:szCs w:val="24"/>
          <w:lang w:val="en-AU" w:bidi="en-US"/>
        </w:rPr>
      </w:pPr>
      <w:r w:rsidRPr="00A214C5">
        <w:rPr>
          <w:rFonts w:eastAsia="Calibri" w:cs="Arial"/>
          <w:bCs/>
          <w:szCs w:val="24"/>
          <w:lang w:val="en-AU" w:bidi="en-US"/>
        </w:rPr>
        <w:t xml:space="preserve">Following consideration by the </w:t>
      </w:r>
      <w:r w:rsidRPr="00A214C5">
        <w:rPr>
          <w:rFonts w:eastAsia="Times New Roman" w:cs="Helvetica"/>
          <w:szCs w:val="24"/>
          <w:lang w:val="en-AU" w:bidi="en-US"/>
        </w:rPr>
        <w:t xml:space="preserve">Australia and New Zealand Ministerial Forum on Food </w:t>
      </w:r>
      <w:r w:rsidRPr="00A214C5">
        <w:rPr>
          <w:rFonts w:eastAsia="Times New Roman" w:cs="Arial"/>
          <w:szCs w:val="24"/>
          <w:lang w:bidi="en-US"/>
        </w:rPr>
        <w:t>Regulation (also known as the Food Ministers’ Meeting)</w:t>
      </w:r>
      <w:r w:rsidRPr="00A214C5">
        <w:rPr>
          <w:rFonts w:eastAsia="Calibri" w:cs="Arial"/>
          <w:bCs/>
          <w:szCs w:val="24"/>
          <w:lang w:val="en-AU" w:bidi="en-US"/>
        </w:rPr>
        <w:t xml:space="preserve">, section 92 of the FSANZ Act stipulates that the Authority must publish a notice about the standard or draft variation of a standard. </w:t>
      </w:r>
    </w:p>
    <w:p w:rsidR="00A214C5" w:rsidRPr="00A214C5" w:rsidRDefault="00A214C5" w:rsidP="00A214C5">
      <w:pPr>
        <w:widowControl w:val="0"/>
        <w:autoSpaceDE w:val="0"/>
        <w:autoSpaceDN w:val="0"/>
        <w:adjustRightInd w:val="0"/>
        <w:rPr>
          <w:rFonts w:eastAsia="Calibri" w:cs="Arial"/>
          <w:bCs/>
          <w:szCs w:val="24"/>
          <w:lang w:val="en-AU" w:bidi="en-US"/>
        </w:rPr>
      </w:pPr>
    </w:p>
    <w:p w:rsidR="00A214C5" w:rsidRPr="00A214C5" w:rsidRDefault="00A214C5" w:rsidP="00A214C5">
      <w:pPr>
        <w:widowControl w:val="0"/>
        <w:autoSpaceDE w:val="0"/>
        <w:autoSpaceDN w:val="0"/>
        <w:adjustRightInd w:val="0"/>
        <w:rPr>
          <w:rFonts w:eastAsia="Calibri" w:cs="Arial"/>
          <w:color w:val="000000"/>
          <w:szCs w:val="24"/>
          <w:lang w:val="en-AU" w:bidi="en-US"/>
        </w:rPr>
      </w:pPr>
      <w:r w:rsidRPr="00A214C5">
        <w:rPr>
          <w:rFonts w:eastAsia="Calibri" w:cs="Arial"/>
          <w:bCs/>
          <w:color w:val="000000"/>
          <w:szCs w:val="24"/>
          <w:lang w:val="en-AU" w:bidi="en-US"/>
        </w:rPr>
        <w:t>Section 94 of the FSANZ Act specifies that a</w:t>
      </w:r>
      <w:r w:rsidRPr="00A214C5">
        <w:rPr>
          <w:rFonts w:eastAsia="Calibri" w:cs="Arial"/>
          <w:color w:val="000000"/>
          <w:szCs w:val="24"/>
          <w:lang w:val="en-AU" w:bidi="en-US"/>
        </w:rPr>
        <w:t xml:space="preserve"> standard, or a variation of a standard, in relation to which a notice is published under section 92 is a legislative instrument, but is not subject to parliamentary disallowance or sunsetting under the </w:t>
      </w:r>
      <w:r w:rsidRPr="00A214C5">
        <w:rPr>
          <w:rFonts w:eastAsia="Calibri" w:cs="Arial"/>
          <w:i/>
          <w:color w:val="000000"/>
          <w:szCs w:val="24"/>
          <w:lang w:val="en-AU" w:bidi="en-US"/>
        </w:rPr>
        <w:t>Legislation Act 2003</w:t>
      </w:r>
      <w:r w:rsidRPr="00A214C5">
        <w:rPr>
          <w:rFonts w:eastAsia="Calibri" w:cs="Arial"/>
          <w:color w:val="000000"/>
          <w:szCs w:val="24"/>
          <w:lang w:val="en-AU" w:bidi="en-US"/>
        </w:rPr>
        <w:t>.</w:t>
      </w:r>
    </w:p>
    <w:p w:rsidR="00A214C5" w:rsidRPr="00A214C5" w:rsidRDefault="00A214C5" w:rsidP="00A214C5">
      <w:pPr>
        <w:widowControl w:val="0"/>
        <w:rPr>
          <w:rFonts w:eastAsia="Times New Roman" w:cs="Times New Roman"/>
          <w:szCs w:val="24"/>
          <w:lang w:val="en-AU" w:eastAsia="en-GB" w:bidi="en-US"/>
        </w:rPr>
      </w:pPr>
    </w:p>
    <w:p w:rsidR="00A214C5" w:rsidRPr="00A214C5" w:rsidRDefault="00A214C5" w:rsidP="00A214C5">
      <w:pPr>
        <w:widowControl w:val="0"/>
        <w:rPr>
          <w:rFonts w:eastAsia="Times New Roman" w:cs="Times New Roman"/>
          <w:b/>
          <w:szCs w:val="24"/>
          <w:lang w:val="en-AU" w:eastAsia="en-GB" w:bidi="en-US"/>
        </w:rPr>
      </w:pPr>
      <w:r w:rsidRPr="00A214C5">
        <w:rPr>
          <w:rFonts w:eastAsia="Times New Roman" w:cs="Times New Roman"/>
          <w:b/>
          <w:szCs w:val="24"/>
          <w:lang w:val="en-AU" w:eastAsia="en-GB" w:bidi="en-US"/>
        </w:rPr>
        <w:t>2.</w:t>
      </w:r>
      <w:r w:rsidRPr="00A214C5">
        <w:rPr>
          <w:rFonts w:eastAsia="Times New Roman" w:cs="Times New Roman"/>
          <w:b/>
          <w:szCs w:val="24"/>
          <w:lang w:val="en-AU" w:eastAsia="en-GB" w:bidi="en-US"/>
        </w:rPr>
        <w:tab/>
        <w:t>Variation is a legislative instrument</w:t>
      </w:r>
    </w:p>
    <w:p w:rsidR="00A214C5" w:rsidRPr="00A214C5" w:rsidRDefault="00A214C5" w:rsidP="00A214C5">
      <w:pPr>
        <w:widowControl w:val="0"/>
        <w:rPr>
          <w:rFonts w:eastAsia="Times New Roman" w:cs="Times New Roman"/>
          <w:b/>
          <w:szCs w:val="24"/>
          <w:lang w:val="en-AU" w:eastAsia="en-GB" w:bidi="en-US"/>
        </w:rPr>
      </w:pPr>
    </w:p>
    <w:p w:rsidR="00A214C5" w:rsidRPr="00A214C5" w:rsidRDefault="00A214C5" w:rsidP="00A214C5">
      <w:pPr>
        <w:widowControl w:val="0"/>
        <w:rPr>
          <w:rFonts w:eastAsia="Times New Roman" w:cs="Arial"/>
          <w:szCs w:val="24"/>
          <w:lang w:bidi="en-US"/>
        </w:rPr>
      </w:pPr>
      <w:r w:rsidRPr="00A214C5">
        <w:rPr>
          <w:rFonts w:eastAsia="Times New Roman" w:cs="Arial"/>
          <w:szCs w:val="24"/>
          <w:lang w:bidi="en-US"/>
        </w:rPr>
        <w:t xml:space="preserve">The approved draft variation is a legislative instrument for the purposes of the </w:t>
      </w:r>
      <w:r w:rsidRPr="00A214C5">
        <w:rPr>
          <w:rFonts w:eastAsia="Times New Roman" w:cs="Arial"/>
          <w:i/>
          <w:iCs/>
          <w:szCs w:val="24"/>
          <w:lang w:bidi="en-US"/>
        </w:rPr>
        <w:t>Legislation Act 2003</w:t>
      </w:r>
      <w:r w:rsidRPr="00A214C5">
        <w:rPr>
          <w:rFonts w:eastAsia="Times New Roman" w:cs="Arial"/>
          <w:szCs w:val="24"/>
          <w:lang w:bidi="en-US"/>
        </w:rPr>
        <w:t xml:space="preserve"> (see section 94 of the FSANZ Act) and is publicly available on the Federal Register of Legislation (</w:t>
      </w:r>
      <w:hyperlink r:id="rId9" w:history="1">
        <w:r w:rsidRPr="00A214C5">
          <w:rPr>
            <w:rFonts w:eastAsia="Times New Roman" w:cs="Arial"/>
            <w:color w:val="3333FF"/>
            <w:szCs w:val="24"/>
            <w:u w:val="single"/>
            <w:lang w:bidi="en-US"/>
          </w:rPr>
          <w:t>www.legislation.gov.au</w:t>
        </w:r>
      </w:hyperlink>
      <w:r w:rsidRPr="00A214C5">
        <w:rPr>
          <w:rFonts w:eastAsia="Times New Roman" w:cs="Arial"/>
          <w:szCs w:val="24"/>
          <w:lang w:bidi="en-US"/>
        </w:rPr>
        <w:t>).</w:t>
      </w:r>
    </w:p>
    <w:p w:rsidR="00A214C5" w:rsidRPr="00A214C5" w:rsidRDefault="00A214C5" w:rsidP="00A214C5">
      <w:pPr>
        <w:widowControl w:val="0"/>
        <w:rPr>
          <w:rFonts w:eastAsia="Times New Roman" w:cs="Arial"/>
          <w:szCs w:val="24"/>
          <w:lang w:bidi="en-US"/>
        </w:rPr>
      </w:pPr>
    </w:p>
    <w:p w:rsidR="00A214C5" w:rsidRPr="00A214C5" w:rsidRDefault="00A214C5" w:rsidP="00A214C5">
      <w:pPr>
        <w:widowControl w:val="0"/>
        <w:rPr>
          <w:rFonts w:eastAsia="Times New Roman" w:cs="Arial"/>
          <w:szCs w:val="24"/>
          <w:lang w:bidi="en-US"/>
        </w:rPr>
      </w:pPr>
      <w:r w:rsidRPr="00A214C5">
        <w:rPr>
          <w:rFonts w:eastAsia="Times New Roman" w:cs="Arial"/>
          <w:szCs w:val="24"/>
          <w:lang w:bidi="en-US"/>
        </w:rPr>
        <w:t xml:space="preserve">This instrument is not subject to the disallowance or sunsetting provisions of the </w:t>
      </w:r>
      <w:r w:rsidRPr="00A214C5">
        <w:rPr>
          <w:rFonts w:eastAsia="Times New Roman" w:cs="Arial"/>
          <w:i/>
          <w:iCs/>
          <w:szCs w:val="24"/>
          <w:lang w:bidi="en-US"/>
        </w:rPr>
        <w:t xml:space="preserve">Legislation Act 2003. </w:t>
      </w:r>
      <w:r w:rsidRPr="00A214C5">
        <w:rPr>
          <w:rFonts w:eastAsia="Times New Roman" w:cs="Arial"/>
          <w:szCs w:val="24"/>
          <w:lang w:bidi="en-US"/>
        </w:rPr>
        <w:t>Subsections</w:t>
      </w:r>
      <w:r w:rsidRPr="00A214C5">
        <w:rPr>
          <w:rFonts w:eastAsia="Times New Roman" w:cs="Arial"/>
          <w:i/>
          <w:iCs/>
          <w:szCs w:val="24"/>
          <w:lang w:bidi="en-US"/>
        </w:rPr>
        <w:t xml:space="preserve"> </w:t>
      </w:r>
      <w:r w:rsidRPr="00A214C5">
        <w:rPr>
          <w:rFonts w:eastAsia="Times New Roman" w:cs="Arial"/>
          <w:szCs w:val="24"/>
          <w:lang w:bidi="en-US"/>
        </w:rPr>
        <w:t>44(1) and 54(1) of that Act</w:t>
      </w:r>
      <w:r w:rsidRPr="00A214C5">
        <w:rPr>
          <w:rFonts w:eastAsia="Times New Roman" w:cs="Arial"/>
          <w:i/>
          <w:iCs/>
          <w:szCs w:val="24"/>
          <w:lang w:bidi="en-US"/>
        </w:rPr>
        <w:t xml:space="preserve"> </w:t>
      </w:r>
      <w:r w:rsidRPr="00A214C5">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w:t>
      </w:r>
      <w:r w:rsidRPr="00A214C5">
        <w:rPr>
          <w:rFonts w:eastAsia="Times New Roman" w:cs="Arial"/>
          <w:szCs w:val="24"/>
          <w:lang w:bidi="en-US"/>
        </w:rPr>
        <w:lastRenderedPageBreak/>
        <w:t xml:space="preserve">instrument to be made for the purposes of the scheme. Regulation 11 of the </w:t>
      </w:r>
      <w:r w:rsidRPr="00A214C5">
        <w:rPr>
          <w:rFonts w:eastAsia="Times New Roman" w:cs="Arial"/>
          <w:i/>
          <w:iCs/>
          <w:szCs w:val="24"/>
          <w:lang w:bidi="en-US"/>
        </w:rPr>
        <w:t>Legislation (Exemptions and other Matters) Regulation 2015</w:t>
      </w:r>
      <w:r w:rsidRPr="00A214C5">
        <w:rPr>
          <w:rFonts w:eastAsia="Times New Roman" w:cs="Arial"/>
          <w:szCs w:val="24"/>
          <w:lang w:bidi="en-US"/>
        </w:rPr>
        <w:t xml:space="preserve"> </w:t>
      </w:r>
      <w:r w:rsidRPr="00A214C5">
        <w:rPr>
          <w:rFonts w:eastAsia="Times New Roman" w:cs="Arial"/>
          <w:szCs w:val="24"/>
          <w:lang w:val="en" w:bidi="en-US"/>
        </w:rPr>
        <w:t xml:space="preserve">also exempts from sunsetting legislative instruments </w:t>
      </w:r>
      <w:r w:rsidRPr="00A214C5">
        <w:rPr>
          <w:rFonts w:eastAsia="Times New Roman" w:cs="Arial"/>
          <w:szCs w:val="24"/>
          <w:shd w:val="clear" w:color="auto" w:fill="FFFFFF"/>
          <w:lang w:bidi="en-US"/>
        </w:rPr>
        <w:t xml:space="preserve">a primary purpose of which is to </w:t>
      </w:r>
      <w:r w:rsidRPr="00A214C5">
        <w:rPr>
          <w:rFonts w:eastAsia="Times New Roman" w:cs="Arial"/>
          <w:szCs w:val="24"/>
          <w:lang w:bidi="en-US"/>
        </w:rPr>
        <w:t>give effect to an international obligation of Australia.</w:t>
      </w:r>
    </w:p>
    <w:p w:rsidR="00A214C5" w:rsidRPr="00A214C5" w:rsidRDefault="00A214C5" w:rsidP="00A214C5">
      <w:pPr>
        <w:widowControl w:val="0"/>
        <w:rPr>
          <w:rFonts w:eastAsia="Times New Roman" w:cs="Arial"/>
          <w:color w:val="0000CC"/>
          <w:szCs w:val="24"/>
          <w:lang w:bidi="en-US"/>
        </w:rPr>
      </w:pPr>
    </w:p>
    <w:p w:rsidR="00A214C5" w:rsidRPr="00A214C5" w:rsidRDefault="00A214C5" w:rsidP="00A214C5">
      <w:pPr>
        <w:widowControl w:val="0"/>
        <w:rPr>
          <w:rFonts w:eastAsia="Times New Roman" w:cs="Times New Roman"/>
          <w:b/>
          <w:szCs w:val="24"/>
          <w:lang w:val="en-AU" w:eastAsia="en-GB" w:bidi="en-US"/>
        </w:rPr>
      </w:pPr>
      <w:r w:rsidRPr="00A214C5">
        <w:rPr>
          <w:rFonts w:eastAsia="Times New Roman" w:cs="Arial"/>
          <w:szCs w:val="24"/>
          <w:lang w:bidi="en-US"/>
        </w:rPr>
        <w:t xml:space="preserve">The </w:t>
      </w:r>
      <w:r w:rsidRPr="00A214C5">
        <w:rPr>
          <w:rFonts w:eastAsia="Times New Roman" w:cs="Arial"/>
          <w:szCs w:val="24"/>
          <w:lang w:val="en-AU" w:bidi="en-US"/>
        </w:rPr>
        <w:t>FSANZ Act</w:t>
      </w:r>
      <w:r w:rsidRPr="00A214C5">
        <w:rPr>
          <w:rFonts w:eastAsia="Times New Roman" w:cs="Arial"/>
          <w:i/>
          <w:iCs/>
          <w:szCs w:val="24"/>
          <w:lang w:val="en-AU" w:bidi="en-US"/>
        </w:rPr>
        <w:t xml:space="preserve"> </w:t>
      </w:r>
      <w:r w:rsidRPr="00A214C5">
        <w:rPr>
          <w:rFonts w:eastAsia="Times New Roman" w:cs="Arial"/>
          <w:szCs w:val="24"/>
          <w:lang w:val="en-AU" w:bidi="en-US"/>
        </w:rPr>
        <w:t xml:space="preserve">gives effect to </w:t>
      </w:r>
      <w:r w:rsidRPr="00A214C5">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A214C5">
        <w:rPr>
          <w:rFonts w:eastAsia="Times New Roman" w:cs="Arial"/>
          <w:szCs w:val="24"/>
          <w:lang w:val="en-AU" w:bidi="en-US"/>
        </w:rPr>
        <w:t>That Act also</w:t>
      </w:r>
      <w:r w:rsidRPr="00A214C5">
        <w:rPr>
          <w:rFonts w:eastAsia="Times New Roman" w:cs="Arial"/>
          <w:i/>
          <w:iCs/>
          <w:szCs w:val="24"/>
          <w:lang w:val="en-AU" w:bidi="en-US"/>
        </w:rPr>
        <w:t xml:space="preserve"> </w:t>
      </w:r>
      <w:r w:rsidRPr="00A214C5">
        <w:rPr>
          <w:rFonts w:eastAsia="Times New Roman" w:cs="Arial"/>
          <w:szCs w:val="24"/>
          <w:lang w:val="en-AU" w:bidi="en-US"/>
        </w:rPr>
        <w:t xml:space="preserve">gives effect to Australia’s obligations under an international agreement between Australia and New Zealand. For these purposes, the Act </w:t>
      </w:r>
      <w:r w:rsidRPr="00A214C5">
        <w:rPr>
          <w:rFonts w:eastAsia="Times New Roman" w:cs="Arial"/>
          <w:szCs w:val="24"/>
          <w:lang w:bidi="en-US"/>
        </w:rPr>
        <w:t xml:space="preserve">establishes the Authority to </w:t>
      </w:r>
      <w:r w:rsidRPr="00A214C5">
        <w:rPr>
          <w:rFonts w:eastAsia="Times New Roman" w:cs="Arial"/>
          <w:szCs w:val="24"/>
          <w:lang w:val="en-AU" w:bidi="en-US"/>
        </w:rPr>
        <w:t xml:space="preserve">develop food standards </w:t>
      </w:r>
      <w:r w:rsidRPr="00A214C5">
        <w:rPr>
          <w:rFonts w:eastAsia="Times New Roman" w:cs="Arial"/>
          <w:szCs w:val="24"/>
          <w:lang w:bidi="en-US"/>
        </w:rPr>
        <w:t xml:space="preserve">for consideration and endorsement by the Food Ministers Meeting (FMM). The FMM is established under the Food Regulation Agreement and the </w:t>
      </w:r>
      <w:r w:rsidRPr="00A214C5">
        <w:rPr>
          <w:rFonts w:eastAsia="Times New Roman" w:cs="Arial"/>
          <w:szCs w:val="24"/>
          <w:lang w:val="en-AU" w:bidi="en-US"/>
        </w:rPr>
        <w:t>international agreement between Australia and New Zealand</w:t>
      </w:r>
      <w:r w:rsidRPr="00A214C5">
        <w:rPr>
          <w:rFonts w:eastAsia="Times New Roman" w:cs="Arial"/>
          <w:szCs w:val="24"/>
          <w:lang w:bidi="en-US"/>
        </w:rPr>
        <w:t xml:space="preserve">, and consists of New Zealand, Commonwealth and State/Territory members. If endorsed by the FMM, </w:t>
      </w:r>
      <w:r w:rsidRPr="00A214C5">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rsidR="00A214C5" w:rsidRPr="00A214C5" w:rsidRDefault="00A214C5" w:rsidP="00A214C5">
      <w:pPr>
        <w:widowControl w:val="0"/>
        <w:rPr>
          <w:rFonts w:eastAsia="Times New Roman" w:cs="Times New Roman"/>
          <w:b/>
          <w:szCs w:val="24"/>
          <w:lang w:val="en-AU" w:eastAsia="en-GB" w:bidi="en-US"/>
        </w:rPr>
      </w:pPr>
    </w:p>
    <w:p w:rsidR="00A214C5" w:rsidRPr="00A214C5" w:rsidRDefault="00A214C5" w:rsidP="00A214C5">
      <w:pPr>
        <w:widowControl w:val="0"/>
        <w:rPr>
          <w:rFonts w:eastAsia="Times New Roman" w:cs="Times New Roman"/>
          <w:b/>
          <w:szCs w:val="24"/>
          <w:lang w:val="en-AU" w:eastAsia="en-GB" w:bidi="en-US"/>
        </w:rPr>
      </w:pPr>
      <w:r w:rsidRPr="00A214C5">
        <w:rPr>
          <w:rFonts w:eastAsia="Times New Roman" w:cs="Times New Roman"/>
          <w:b/>
          <w:szCs w:val="24"/>
          <w:lang w:val="en-AU" w:eastAsia="en-GB" w:bidi="en-US"/>
        </w:rPr>
        <w:t>3.</w:t>
      </w:r>
      <w:r w:rsidRPr="00A214C5">
        <w:rPr>
          <w:rFonts w:eastAsia="Times New Roman" w:cs="Times New Roman"/>
          <w:b/>
          <w:szCs w:val="24"/>
          <w:lang w:val="en-AU" w:eastAsia="en-GB" w:bidi="en-US"/>
        </w:rPr>
        <w:tab/>
        <w:t xml:space="preserve">Purpose </w:t>
      </w:r>
    </w:p>
    <w:p w:rsidR="00A214C5" w:rsidRPr="00A214C5" w:rsidRDefault="00A214C5" w:rsidP="00A214C5">
      <w:pPr>
        <w:widowControl w:val="0"/>
        <w:rPr>
          <w:rFonts w:eastAsia="Times New Roman" w:cs="Times New Roman"/>
          <w:szCs w:val="24"/>
          <w:lang w:val="en-AU" w:eastAsia="en-GB" w:bidi="en-US"/>
        </w:rPr>
      </w:pPr>
    </w:p>
    <w:p w:rsidR="00A214C5" w:rsidRPr="00A214C5" w:rsidRDefault="00A214C5" w:rsidP="00A214C5">
      <w:pPr>
        <w:widowControl w:val="0"/>
        <w:rPr>
          <w:rFonts w:eastAsia="Times New Roman" w:cs="Times New Roman"/>
          <w:szCs w:val="24"/>
          <w:lang w:val="en-AU" w:eastAsia="en-GB" w:bidi="en-US"/>
        </w:rPr>
      </w:pPr>
      <w:r w:rsidRPr="00A214C5">
        <w:rPr>
          <w:rFonts w:eastAsia="Times New Roman" w:cs="Times New Roman"/>
          <w:szCs w:val="24"/>
          <w:lang w:val="en-AU" w:eastAsia="en-GB" w:bidi="en-US"/>
        </w:rPr>
        <w:t xml:space="preserve">The Authority has approved a draft variation that amends Standards 1.1.2, 1.2.1 and 2.6.2 of the Code to </w:t>
      </w:r>
      <w:r w:rsidRPr="00A214C5">
        <w:rPr>
          <w:rFonts w:eastAsia="Calibri" w:cs="Arial"/>
          <w:bCs/>
          <w:szCs w:val="24"/>
          <w:lang w:val="en-AU" w:bidi="en-US"/>
        </w:rPr>
        <w:t>enhance the regulation of the composition and labelling of electrolyte drinks and electrolyte drink bases</w:t>
      </w:r>
      <w:r w:rsidRPr="00A214C5">
        <w:rPr>
          <w:rFonts w:eastAsia="Times New Roman" w:cs="Times New Roman"/>
          <w:szCs w:val="24"/>
          <w:lang w:val="en-AU" w:eastAsia="en-GB" w:bidi="en-US"/>
        </w:rPr>
        <w:t xml:space="preserve">. This includes amending the definition of ‘electrolyte drink’; reducing the minimum level of carbohydrate; and setting out revised </w:t>
      </w:r>
      <w:r w:rsidRPr="00A214C5">
        <w:rPr>
          <w:rFonts w:eastAsia="Times New Roman" w:cs="Times New Roman"/>
          <w:szCs w:val="24"/>
          <w:lang w:bidi="en-US"/>
        </w:rPr>
        <w:t xml:space="preserve">requirements and limitations for claims </w:t>
      </w:r>
      <w:r w:rsidRPr="00A214C5">
        <w:rPr>
          <w:rFonts w:eastAsia="Times New Roman" w:cs="Times New Roman"/>
          <w:szCs w:val="24"/>
          <w:lang w:val="en-AU" w:eastAsia="en-GB" w:bidi="en-US"/>
        </w:rPr>
        <w:t>that may be made in relation to</w:t>
      </w:r>
      <w:r w:rsidRPr="00A214C5">
        <w:rPr>
          <w:rFonts w:eastAsia="Times New Roman" w:cs="Times New Roman"/>
          <w:szCs w:val="24"/>
          <w:lang w:bidi="en-US"/>
        </w:rPr>
        <w:t xml:space="preserve"> electrolyte drinks and electrolyte drink bases, such as nutrition content claims and health claims</w:t>
      </w:r>
      <w:r w:rsidRPr="00A214C5">
        <w:rPr>
          <w:rFonts w:eastAsia="Calibri" w:cs="Arial"/>
          <w:bCs/>
          <w:szCs w:val="24"/>
          <w:lang w:val="en-AU" w:bidi="en-US"/>
        </w:rPr>
        <w:t xml:space="preserve">. </w:t>
      </w:r>
    </w:p>
    <w:p w:rsidR="00A214C5" w:rsidRPr="00A214C5" w:rsidRDefault="00A214C5" w:rsidP="00A214C5">
      <w:pPr>
        <w:widowControl w:val="0"/>
        <w:rPr>
          <w:rFonts w:eastAsia="Times New Roman" w:cs="Times New Roman"/>
          <w:szCs w:val="24"/>
          <w:lang w:val="en-AU" w:eastAsia="en-GB" w:bidi="en-US"/>
        </w:rPr>
      </w:pPr>
    </w:p>
    <w:p w:rsidR="00A214C5" w:rsidRPr="00A214C5" w:rsidRDefault="00A214C5" w:rsidP="00A214C5">
      <w:pPr>
        <w:widowControl w:val="0"/>
        <w:rPr>
          <w:rFonts w:eastAsia="Times New Roman" w:cs="Times New Roman"/>
          <w:b/>
          <w:szCs w:val="24"/>
          <w:lang w:val="en-AU" w:eastAsia="en-GB" w:bidi="en-US"/>
        </w:rPr>
      </w:pPr>
      <w:r w:rsidRPr="00A214C5">
        <w:rPr>
          <w:rFonts w:eastAsia="Times New Roman" w:cs="Times New Roman"/>
          <w:b/>
          <w:szCs w:val="24"/>
          <w:lang w:val="en-AU" w:eastAsia="en-GB" w:bidi="en-US"/>
        </w:rPr>
        <w:t>4.</w:t>
      </w:r>
      <w:r w:rsidRPr="00A214C5">
        <w:rPr>
          <w:rFonts w:eastAsia="Times New Roman" w:cs="Times New Roman"/>
          <w:b/>
          <w:szCs w:val="24"/>
          <w:lang w:val="en-AU" w:eastAsia="en-GB" w:bidi="en-US"/>
        </w:rPr>
        <w:tab/>
        <w:t xml:space="preserve">Documents incorporated by reference </w:t>
      </w:r>
    </w:p>
    <w:p w:rsidR="00A214C5" w:rsidRPr="00A214C5" w:rsidRDefault="00A214C5" w:rsidP="00A214C5">
      <w:pPr>
        <w:widowControl w:val="0"/>
        <w:rPr>
          <w:rFonts w:eastAsia="Times New Roman" w:cs="Times New Roman"/>
          <w:szCs w:val="24"/>
          <w:lang w:val="en-AU" w:eastAsia="en-GB" w:bidi="en-US"/>
        </w:rPr>
      </w:pPr>
    </w:p>
    <w:p w:rsidR="00A214C5" w:rsidRPr="00A214C5" w:rsidRDefault="00A214C5" w:rsidP="00A214C5">
      <w:pPr>
        <w:widowControl w:val="0"/>
        <w:autoSpaceDE w:val="0"/>
        <w:autoSpaceDN w:val="0"/>
        <w:adjustRightInd w:val="0"/>
        <w:rPr>
          <w:rFonts w:eastAsia="Calibri" w:cs="Arial"/>
          <w:bCs/>
          <w:szCs w:val="24"/>
          <w:lang w:val="en-AU" w:bidi="en-US"/>
        </w:rPr>
      </w:pPr>
      <w:r w:rsidRPr="00A214C5">
        <w:rPr>
          <w:rFonts w:eastAsia="Calibri" w:cs="Arial"/>
          <w:bCs/>
          <w:szCs w:val="24"/>
          <w:lang w:val="en-AU" w:bidi="en-US"/>
        </w:rPr>
        <w:t xml:space="preserve">The </w:t>
      </w:r>
      <w:r w:rsidRPr="00A214C5">
        <w:rPr>
          <w:rFonts w:eastAsia="Times New Roman" w:cs="Arial"/>
          <w:szCs w:val="24"/>
          <w:lang w:bidi="en-US"/>
        </w:rPr>
        <w:t xml:space="preserve">approved draft variation does </w:t>
      </w:r>
      <w:r w:rsidRPr="00A214C5">
        <w:rPr>
          <w:rFonts w:eastAsia="Calibri" w:cs="Arial"/>
          <w:bCs/>
          <w:szCs w:val="24"/>
          <w:lang w:val="en-AU" w:bidi="en-US"/>
        </w:rPr>
        <w:t xml:space="preserve">not incorporate any documents by reference. </w:t>
      </w:r>
    </w:p>
    <w:p w:rsidR="00A214C5" w:rsidRPr="00A214C5" w:rsidRDefault="00A214C5" w:rsidP="00A214C5">
      <w:pPr>
        <w:widowControl w:val="0"/>
        <w:autoSpaceDE w:val="0"/>
        <w:autoSpaceDN w:val="0"/>
        <w:adjustRightInd w:val="0"/>
        <w:rPr>
          <w:rFonts w:eastAsia="Calibri" w:cs="Arial"/>
          <w:bCs/>
          <w:szCs w:val="24"/>
          <w:lang w:val="en-AU" w:bidi="en-US"/>
        </w:rPr>
      </w:pPr>
    </w:p>
    <w:p w:rsidR="00A214C5" w:rsidRPr="00A214C5" w:rsidRDefault="00A214C5" w:rsidP="00A214C5">
      <w:pPr>
        <w:widowControl w:val="0"/>
        <w:rPr>
          <w:rFonts w:eastAsia="Times New Roman" w:cs="Times New Roman"/>
          <w:b/>
          <w:szCs w:val="24"/>
          <w:lang w:val="en-AU" w:eastAsia="en-GB" w:bidi="en-US"/>
        </w:rPr>
      </w:pPr>
      <w:r w:rsidRPr="00A214C5">
        <w:rPr>
          <w:rFonts w:eastAsia="Times New Roman" w:cs="Times New Roman"/>
          <w:b/>
          <w:szCs w:val="24"/>
          <w:lang w:val="en-AU" w:eastAsia="en-GB" w:bidi="en-US"/>
        </w:rPr>
        <w:t>5.</w:t>
      </w:r>
      <w:r w:rsidRPr="00A214C5">
        <w:rPr>
          <w:rFonts w:eastAsia="Times New Roman" w:cs="Times New Roman"/>
          <w:b/>
          <w:szCs w:val="24"/>
          <w:lang w:val="en-AU" w:eastAsia="en-GB" w:bidi="en-US"/>
        </w:rPr>
        <w:tab/>
        <w:t>Consultation</w:t>
      </w:r>
    </w:p>
    <w:p w:rsidR="00A214C5" w:rsidRPr="00A214C5" w:rsidRDefault="00A214C5" w:rsidP="00A214C5">
      <w:pPr>
        <w:widowControl w:val="0"/>
        <w:rPr>
          <w:rFonts w:eastAsia="Times New Roman" w:cs="Times New Roman"/>
          <w:szCs w:val="24"/>
          <w:lang w:val="en-AU" w:eastAsia="en-GB" w:bidi="en-US"/>
        </w:rPr>
      </w:pPr>
    </w:p>
    <w:p w:rsidR="00A214C5" w:rsidRPr="00A214C5" w:rsidRDefault="00A214C5" w:rsidP="00A214C5">
      <w:pPr>
        <w:widowControl w:val="0"/>
        <w:rPr>
          <w:rFonts w:eastAsia="Times New Roman" w:cs="Times New Roman"/>
          <w:szCs w:val="24"/>
          <w:lang w:bidi="en-US"/>
        </w:rPr>
      </w:pPr>
      <w:r w:rsidRPr="00A214C5">
        <w:rPr>
          <w:rFonts w:eastAsia="Calibri" w:cs="Arial"/>
          <w:bCs/>
          <w:szCs w:val="24"/>
          <w:lang w:val="en-AU" w:bidi="en-US"/>
        </w:rPr>
        <w:t>The Authority</w:t>
      </w:r>
      <w:r w:rsidRPr="00A214C5">
        <w:rPr>
          <w:rFonts w:eastAsia="Times New Roman" w:cs="Times New Roman"/>
          <w:szCs w:val="24"/>
          <w:lang w:bidi="en-US"/>
        </w:rPr>
        <w:t xml:space="preserve">’s consideration of Proposal P1030 included two rounds of public comment: a call for submissions issued in accordance with the procedure in Division 2 of Part 3 of the FSANZ Act; and a subsequent public consultation paper. The first detailed and sought submissions on: the Authority’s assessment; the draft variation prepared as a result of that assessment; and associated reports. The second sought submissions on the Authority’s further assessment after consideration of submissions received and on a proposed amended draft variation. Submissions were called for on 18 August 2014 and again on 28 May 2021; each for a six-week duration. </w:t>
      </w:r>
    </w:p>
    <w:p w:rsidR="00A214C5" w:rsidRPr="00A214C5" w:rsidRDefault="00A214C5" w:rsidP="00A214C5">
      <w:pPr>
        <w:widowControl w:val="0"/>
        <w:rPr>
          <w:rFonts w:eastAsia="Times New Roman" w:cs="Times New Roman"/>
          <w:szCs w:val="24"/>
          <w:lang w:val="en-AU" w:bidi="en-US"/>
        </w:rPr>
      </w:pPr>
    </w:p>
    <w:p w:rsidR="00A214C5" w:rsidRPr="00A214C5" w:rsidRDefault="00A214C5" w:rsidP="00A214C5">
      <w:pPr>
        <w:widowControl w:val="0"/>
        <w:autoSpaceDE w:val="0"/>
        <w:autoSpaceDN w:val="0"/>
        <w:adjustRightInd w:val="0"/>
        <w:rPr>
          <w:rFonts w:eastAsia="Times New Roman" w:cs="Arial"/>
          <w:szCs w:val="24"/>
          <w:lang w:bidi="en-US"/>
        </w:rPr>
      </w:pPr>
      <w:r w:rsidRPr="00A214C5">
        <w:rPr>
          <w:rFonts w:eastAsia="Times New Roman" w:cs="Times New Roman"/>
          <w:szCs w:val="24"/>
          <w:lang w:bidi="en-US"/>
        </w:rPr>
        <w:t xml:space="preserve">The Office of Best Practice Regulation (OBPR) had previously exempted FSANZ from the need to undertake a formal Regulation Impact Statement (RIS) in relation to the regulatory changes proposed in response to the original Proposal (ID: 16662). As the Proposal had undergone significant change in direction since the CFS in 2014, FSANZ sought further advice from the OPBR, who subsequently confirmed they are satisfied that the amendments to the draft variation proposed post CFS are deregulatory and likely to only have a minor effect on consumers, businesses, and government (ID: 43269). </w:t>
      </w:r>
    </w:p>
    <w:p w:rsidR="00A214C5" w:rsidRPr="00A214C5" w:rsidRDefault="00A214C5" w:rsidP="00A214C5">
      <w:pPr>
        <w:widowControl w:val="0"/>
        <w:rPr>
          <w:rFonts w:eastAsia="Times New Roman" w:cs="Times New Roman"/>
          <w:color w:val="FF0000"/>
          <w:szCs w:val="24"/>
          <w:lang w:val="en-AU" w:eastAsia="en-GB" w:bidi="en-US"/>
        </w:rPr>
      </w:pPr>
    </w:p>
    <w:p w:rsidR="00A214C5" w:rsidRPr="00A214C5" w:rsidRDefault="00A214C5" w:rsidP="00A214C5">
      <w:pPr>
        <w:widowControl w:val="0"/>
        <w:rPr>
          <w:rFonts w:eastAsia="Calibri" w:cs="Arial"/>
          <w:b/>
          <w:bCs/>
          <w:szCs w:val="24"/>
          <w:lang w:val="en-AU" w:bidi="en-US"/>
        </w:rPr>
      </w:pPr>
      <w:r w:rsidRPr="00A214C5">
        <w:rPr>
          <w:rFonts w:eastAsia="Calibri" w:cs="Arial"/>
          <w:b/>
          <w:bCs/>
          <w:szCs w:val="24"/>
          <w:lang w:val="en-AU" w:bidi="en-US"/>
        </w:rPr>
        <w:t>6.</w:t>
      </w:r>
      <w:r w:rsidRPr="00A214C5">
        <w:rPr>
          <w:rFonts w:eastAsia="Calibri" w:cs="Arial"/>
          <w:b/>
          <w:bCs/>
          <w:szCs w:val="24"/>
          <w:lang w:val="en-AU" w:bidi="en-US"/>
        </w:rPr>
        <w:tab/>
        <w:t>Statement of compatibility with human rights</w:t>
      </w:r>
    </w:p>
    <w:p w:rsidR="00A214C5" w:rsidRPr="00A214C5" w:rsidRDefault="00A214C5" w:rsidP="00A214C5">
      <w:pPr>
        <w:widowControl w:val="0"/>
        <w:rPr>
          <w:rFonts w:eastAsia="Calibri" w:cs="Times New Roman"/>
          <w:szCs w:val="24"/>
          <w:lang w:val="en-AU" w:bidi="en-US"/>
        </w:rPr>
      </w:pPr>
    </w:p>
    <w:p w:rsidR="00A214C5" w:rsidRPr="00A214C5" w:rsidRDefault="00A214C5" w:rsidP="00A214C5">
      <w:pPr>
        <w:widowControl w:val="0"/>
        <w:rPr>
          <w:rFonts w:eastAsia="Calibri" w:cs="Times New Roman"/>
          <w:szCs w:val="24"/>
          <w:lang w:val="en-AU" w:bidi="en-US"/>
        </w:rPr>
      </w:pPr>
      <w:r w:rsidRPr="00A214C5">
        <w:rPr>
          <w:rFonts w:eastAsia="Calibri" w:cs="Times New Roman"/>
          <w:szCs w:val="24"/>
          <w:lang w:val="en-AU" w:bidi="en-US"/>
        </w:rPr>
        <w:t xml:space="preserve">This instrument is exempt from the requirements for a statement of compatibility with human rights as it is a non-disallowable instrument under section 44 of the </w:t>
      </w:r>
      <w:r w:rsidRPr="00A214C5">
        <w:rPr>
          <w:rFonts w:eastAsia="Calibri" w:cs="Times New Roman"/>
          <w:i/>
          <w:szCs w:val="24"/>
          <w:lang w:val="en-AU" w:bidi="en-US"/>
        </w:rPr>
        <w:t>Legislation Act 2003</w:t>
      </w:r>
      <w:r w:rsidRPr="00A214C5">
        <w:rPr>
          <w:rFonts w:eastAsia="Calibri" w:cs="Times New Roman"/>
          <w:szCs w:val="24"/>
          <w:lang w:val="en-AU" w:bidi="en-US"/>
        </w:rPr>
        <w:t>.</w:t>
      </w:r>
    </w:p>
    <w:p w:rsidR="00A214C5" w:rsidRPr="00A214C5" w:rsidRDefault="00A214C5" w:rsidP="00A214C5">
      <w:pPr>
        <w:widowControl w:val="0"/>
        <w:rPr>
          <w:rFonts w:eastAsia="Calibri" w:cs="Times New Roman"/>
          <w:szCs w:val="24"/>
          <w:lang w:val="en-AU" w:bidi="en-US"/>
        </w:rPr>
      </w:pPr>
    </w:p>
    <w:p w:rsidR="00A214C5" w:rsidRPr="00A214C5" w:rsidRDefault="00A214C5" w:rsidP="00A214C5">
      <w:pPr>
        <w:widowControl w:val="0"/>
        <w:rPr>
          <w:rFonts w:eastAsia="Times New Roman" w:cs="Times New Roman"/>
          <w:b/>
          <w:szCs w:val="24"/>
          <w:lang w:val="en-AU" w:eastAsia="en-GB" w:bidi="en-US"/>
        </w:rPr>
      </w:pPr>
      <w:r w:rsidRPr="00A214C5">
        <w:rPr>
          <w:rFonts w:eastAsia="Times New Roman" w:cs="Times New Roman"/>
          <w:b/>
          <w:szCs w:val="24"/>
          <w:lang w:bidi="en-US"/>
        </w:rPr>
        <w:lastRenderedPageBreak/>
        <w:t>7.</w:t>
      </w:r>
      <w:r w:rsidRPr="00A214C5">
        <w:rPr>
          <w:rFonts w:eastAsia="Times New Roman" w:cs="Times New Roman"/>
          <w:b/>
          <w:szCs w:val="24"/>
          <w:lang w:bidi="en-US"/>
        </w:rPr>
        <w:tab/>
      </w:r>
      <w:r w:rsidRPr="00A214C5">
        <w:rPr>
          <w:rFonts w:eastAsia="Times New Roman" w:cs="Times New Roman"/>
          <w:b/>
          <w:szCs w:val="24"/>
          <w:lang w:val="en-AU" w:eastAsia="en-GB" w:bidi="en-US"/>
        </w:rPr>
        <w:t>Variation</w:t>
      </w:r>
    </w:p>
    <w:p w:rsidR="00A214C5" w:rsidRPr="00A214C5" w:rsidRDefault="00A214C5" w:rsidP="00A214C5">
      <w:pPr>
        <w:widowControl w:val="0"/>
        <w:rPr>
          <w:rFonts w:eastAsia="Times New Roman" w:cs="Times New Roman"/>
          <w:b/>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b/>
          <w:szCs w:val="24"/>
          <w:lang w:bidi="en-US"/>
        </w:rPr>
        <w:t>Standard 1.1.2 – Definitions used throughout the Code</w:t>
      </w:r>
      <w:r w:rsidRPr="00A214C5">
        <w:rPr>
          <w:rFonts w:eastAsia="Times New Roman" w:cs="Times New Roman"/>
          <w:szCs w:val="24"/>
          <w:lang w:bidi="en-US"/>
        </w:rPr>
        <w:t xml:space="preserve"> </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b/>
          <w:szCs w:val="24"/>
          <w:lang w:bidi="en-US"/>
        </w:rPr>
        <w:t>Item [1]</w:t>
      </w:r>
      <w:r w:rsidRPr="00A214C5">
        <w:rPr>
          <w:rFonts w:eastAsia="Times New Roman" w:cs="Times New Roman"/>
          <w:szCs w:val="24"/>
          <w:lang w:bidi="en-US"/>
        </w:rPr>
        <w:t xml:space="preserve"> of the Schedule to the variation amends the definition of ‘electrolyte drink’ in subsection 1.1.2—3(2). </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The new definition is: </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ind w:left="567"/>
        <w:rPr>
          <w:rFonts w:eastAsia="Times New Roman" w:cs="Times New Roman"/>
          <w:szCs w:val="24"/>
          <w:lang w:bidi="en-US"/>
        </w:rPr>
      </w:pPr>
      <w:r w:rsidRPr="00A214C5">
        <w:rPr>
          <w:rFonts w:eastAsia="Times New Roman" w:cs="Times New Roman"/>
          <w:szCs w:val="24"/>
          <w:lang w:bidi="en-US"/>
        </w:rPr>
        <w:t>‘</w:t>
      </w:r>
      <w:r w:rsidRPr="00A214C5">
        <w:rPr>
          <w:rFonts w:eastAsia="Times New Roman" w:cs="Times New Roman"/>
          <w:b/>
          <w:i/>
          <w:szCs w:val="24"/>
          <w:lang w:bidi="en-US"/>
        </w:rPr>
        <w:t>electrolyte drink</w:t>
      </w:r>
      <w:r w:rsidRPr="00A214C5">
        <w:rPr>
          <w:rFonts w:eastAsia="Times New Roman" w:cs="Times New Roman"/>
          <w:szCs w:val="24"/>
          <w:lang w:bidi="en-US"/>
        </w:rPr>
        <w:t xml:space="preserve"> means a drink formulated for the rapid replacement of fluid, carbohydrate and electrolytes during or after 60 minutes or more of sustained strenuous physical activity.’</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b/>
          <w:szCs w:val="24"/>
          <w:lang w:bidi="en-US"/>
        </w:rPr>
      </w:pPr>
      <w:r w:rsidRPr="00A214C5">
        <w:rPr>
          <w:rFonts w:eastAsia="Times New Roman" w:cs="Times New Roman"/>
          <w:b/>
          <w:szCs w:val="24"/>
          <w:lang w:bidi="en-US"/>
        </w:rPr>
        <w:t xml:space="preserve">Standard 1.2.1 – Requirements to have labels or otherwise provide information </w:t>
      </w:r>
    </w:p>
    <w:p w:rsidR="00A214C5" w:rsidRPr="00A214C5" w:rsidRDefault="00A214C5" w:rsidP="00A214C5">
      <w:pPr>
        <w:widowControl w:val="0"/>
        <w:rPr>
          <w:rFonts w:eastAsia="Times New Roman" w:cs="Times New Roman"/>
          <w:b/>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b/>
          <w:szCs w:val="24"/>
          <w:lang w:bidi="en-US"/>
        </w:rPr>
        <w:t xml:space="preserve">Item [2] </w:t>
      </w:r>
      <w:r w:rsidRPr="00A214C5">
        <w:rPr>
          <w:rFonts w:eastAsia="Times New Roman" w:cs="Times New Roman"/>
          <w:szCs w:val="24"/>
          <w:lang w:bidi="en-US"/>
        </w:rPr>
        <w:t xml:space="preserve">of the Schedule to the variation amends Standard 1.2.1. The item amends the reference in paragraph 1.2.1—8(1)(t) to declarations and information requirements in Standard 2.6.2 for electrolyte drinks and electrolyte drink bases as a consequence of amendments made to Standard 2.6.2 (see </w:t>
      </w:r>
      <w:r w:rsidRPr="00A214C5">
        <w:rPr>
          <w:rFonts w:eastAsia="Times New Roman" w:cs="Times New Roman"/>
          <w:b/>
          <w:szCs w:val="24"/>
          <w:lang w:bidi="en-US"/>
        </w:rPr>
        <w:t>item [3]</w:t>
      </w:r>
      <w:r w:rsidRPr="00A214C5">
        <w:rPr>
          <w:rFonts w:eastAsia="Times New Roman" w:cs="Times New Roman"/>
          <w:szCs w:val="24"/>
          <w:lang w:bidi="en-US"/>
        </w:rPr>
        <w:t xml:space="preserve"> below), including the numbering of relevant provisions in that Standard.</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b/>
          <w:szCs w:val="24"/>
          <w:lang w:bidi="en-US"/>
        </w:rPr>
      </w:pPr>
      <w:r w:rsidRPr="00A214C5">
        <w:rPr>
          <w:rFonts w:eastAsia="Times New Roman" w:cs="Times New Roman"/>
          <w:b/>
          <w:szCs w:val="24"/>
          <w:lang w:bidi="en-US"/>
        </w:rPr>
        <w:t xml:space="preserve">Standard 2.6.2 – Non-alcoholic beverages and brewed soft drinks </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b/>
          <w:szCs w:val="24"/>
          <w:lang w:bidi="en-US"/>
        </w:rPr>
        <w:t>Item [3]</w:t>
      </w:r>
      <w:r w:rsidRPr="00A214C5">
        <w:rPr>
          <w:rFonts w:eastAsia="Times New Roman" w:cs="Times New Roman"/>
          <w:szCs w:val="24"/>
          <w:lang w:bidi="en-US"/>
        </w:rPr>
        <w:t xml:space="preserve"> of the Schedule to the variation amends Standard 2.6.2 as follows.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b/>
          <w:szCs w:val="24"/>
          <w:lang w:bidi="en-US"/>
        </w:rPr>
        <w:t>Subitem [3.1]</w:t>
      </w:r>
      <w:r w:rsidRPr="00A214C5">
        <w:rPr>
          <w:rFonts w:eastAsia="Times New Roman" w:cs="Times New Roman"/>
          <w:szCs w:val="24"/>
          <w:lang w:bidi="en-US"/>
        </w:rPr>
        <w:t xml:space="preserve"> inserts the heading of the first of four new Divisions in Standard 2.6.2 after </w:t>
      </w:r>
      <w:r w:rsidRPr="00A214C5">
        <w:rPr>
          <w:rFonts w:eastAsia="Times New Roman" w:cs="Times New Roman"/>
          <w:i/>
          <w:szCs w:val="24"/>
          <w:lang w:bidi="en-US"/>
        </w:rPr>
        <w:t>Note 2</w:t>
      </w:r>
      <w:r w:rsidRPr="00A214C5">
        <w:rPr>
          <w:rFonts w:eastAsia="Times New Roman" w:cs="Times New Roman"/>
          <w:szCs w:val="24"/>
          <w:lang w:bidi="en-US"/>
        </w:rPr>
        <w:t xml:space="preserve"> to that Standard: ‘</w:t>
      </w:r>
      <w:r w:rsidRPr="00A214C5">
        <w:rPr>
          <w:rFonts w:eastAsia="Times New Roman" w:cs="Times New Roman"/>
          <w:b/>
          <w:szCs w:val="24"/>
          <w:lang w:bidi="en-US"/>
        </w:rPr>
        <w:t>Division 1 Preliminary</w:t>
      </w:r>
      <w:r w:rsidRPr="00A214C5">
        <w:rPr>
          <w:rFonts w:eastAsia="Times New Roman" w:cs="Times New Roman"/>
          <w:szCs w:val="24"/>
          <w:lang w:bidi="en-US"/>
        </w:rPr>
        <w:t>’. Division 1 encompasses sections 2.6.2—1 and 2.6.2—2.</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b/>
          <w:szCs w:val="24"/>
          <w:lang w:bidi="en-US"/>
        </w:rPr>
        <w:t>Subitem [3.2]</w:t>
      </w:r>
      <w:r w:rsidRPr="00A214C5">
        <w:rPr>
          <w:rFonts w:eastAsia="Times New Roman" w:cs="Times New Roman"/>
          <w:szCs w:val="24"/>
          <w:lang w:bidi="en-US"/>
        </w:rPr>
        <w:t xml:space="preserve"> replaces section 2.6.2—2 with a new section containing three new </w:t>
      </w:r>
      <w:r w:rsidRPr="00A214C5">
        <w:rPr>
          <w:rFonts w:eastAsia="Times New Roman" w:cs="Times New Roman"/>
          <w:i/>
          <w:szCs w:val="24"/>
          <w:lang w:bidi="en-US"/>
        </w:rPr>
        <w:t>Notes</w:t>
      </w:r>
      <w:r w:rsidRPr="00A214C5">
        <w:rPr>
          <w:rFonts w:eastAsia="Times New Roman" w:cs="Times New Roman"/>
          <w:szCs w:val="24"/>
          <w:lang w:bidi="en-US"/>
        </w:rPr>
        <w:t>, each of which sets out the definitions of certain terms from sections 1.1.2—2, 1.1.2—3 and 1.1.2—9 respectively.</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This subitem also inserts the following Division heading after section 2.6.2—2: ‘</w:t>
      </w:r>
      <w:r w:rsidRPr="00A214C5">
        <w:rPr>
          <w:rFonts w:eastAsia="Times New Roman" w:cs="Times New Roman"/>
          <w:b/>
          <w:szCs w:val="24"/>
          <w:lang w:bidi="en-US"/>
        </w:rPr>
        <w:t>Division 2 Packaged water</w:t>
      </w:r>
      <w:r w:rsidRPr="00A214C5">
        <w:rPr>
          <w:rFonts w:eastAsia="Times New Roman" w:cs="Times New Roman"/>
          <w:szCs w:val="24"/>
          <w:lang w:bidi="en-US"/>
        </w:rPr>
        <w:t>’. Division 2 encompasses sections 2.6.2—3 to 2.6.2—5 inclusive.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b/>
          <w:szCs w:val="24"/>
          <w:lang w:bidi="en-US"/>
        </w:rPr>
        <w:t>Subitem [3.3]</w:t>
      </w:r>
      <w:r w:rsidRPr="00A214C5">
        <w:rPr>
          <w:rFonts w:eastAsia="Times New Roman" w:cs="Times New Roman"/>
          <w:szCs w:val="24"/>
          <w:lang w:bidi="en-US"/>
        </w:rPr>
        <w:t xml:space="preserve"> inserts the following Division heading after section 2.6.2—5: ‘</w:t>
      </w:r>
      <w:r w:rsidRPr="00A214C5">
        <w:rPr>
          <w:rFonts w:eastAsia="Times New Roman" w:cs="Times New Roman"/>
          <w:b/>
          <w:szCs w:val="24"/>
          <w:lang w:bidi="en-US"/>
        </w:rPr>
        <w:t>Division 3 Non-alcoholic beverages and brewed soft drinks</w:t>
      </w:r>
      <w:r w:rsidRPr="00A214C5">
        <w:rPr>
          <w:rFonts w:eastAsia="Times New Roman" w:cs="Times New Roman"/>
          <w:szCs w:val="24"/>
          <w:lang w:bidi="en-US"/>
        </w:rPr>
        <w:t>’. Division 3 encompasses sections 2.6.2—6 to 2.6.2—9 inclusive.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b/>
          <w:szCs w:val="24"/>
          <w:lang w:bidi="en-US"/>
        </w:rPr>
        <w:t>Subitem [3.4]</w:t>
      </w:r>
      <w:r w:rsidRPr="00A214C5">
        <w:rPr>
          <w:rFonts w:eastAsia="Times New Roman" w:cs="Times New Roman"/>
          <w:szCs w:val="24"/>
          <w:lang w:bidi="en-US"/>
        </w:rPr>
        <w:t xml:space="preserve"> replaces sections 2.6.2—9 to 2.6.2—13 inclusive, with new provisions: sections 2.6.2—9 to 2.6.2—18.</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Section 2.6.2—9</w:t>
      </w:r>
      <w:r w:rsidRPr="00A214C5">
        <w:rPr>
          <w:rFonts w:eastAsia="Times New Roman" w:cs="Times New Roman"/>
          <w:szCs w:val="24"/>
          <w:lang w:bidi="en-US"/>
        </w:rPr>
        <w:t xml:space="preserve"> requires that a food sold as a formulated beverage must be a formulated beverage. This is the same requirement as currently set out in section 2.6.2—13. As a formulated beverage is a non-alcoholic beverage, section 2.6.2—13 was moved up in the Standard (and renumbered accordingly) to be located with other provisions relating to non-alcoholic beverages and brewed soft drinks in Division 3 of the Standard.</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This subitem also inserts the following Division heading after section 2.6.2—9: ‘</w:t>
      </w:r>
      <w:r w:rsidRPr="00A214C5">
        <w:rPr>
          <w:rFonts w:eastAsia="Times New Roman" w:cs="Times New Roman"/>
          <w:i/>
          <w:szCs w:val="24"/>
          <w:lang w:bidi="en-US"/>
        </w:rPr>
        <w:t>Division 4 Electrolyte drinks and electrolyte drink bases</w:t>
      </w:r>
      <w:r w:rsidRPr="00A214C5">
        <w:rPr>
          <w:rFonts w:eastAsia="Times New Roman" w:cs="Times New Roman"/>
          <w:szCs w:val="24"/>
          <w:lang w:bidi="en-US"/>
        </w:rPr>
        <w:t xml:space="preserve">’. Division 4 encompasses sections 2.6.2— 10 to 2.6.2—18 inclusive. </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Section 2.6.2—10</w:t>
      </w:r>
      <w:r w:rsidRPr="00A214C5">
        <w:rPr>
          <w:rFonts w:eastAsia="Times New Roman" w:cs="Times New Roman"/>
          <w:szCs w:val="24"/>
          <w:lang w:bidi="en-US"/>
        </w:rPr>
        <w:t xml:space="preserve"> contains the following preliminary provisions applying to electrolyte drinks and electrolyte drink bases.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2.6.2—10(1) sets out the definition of ‘prescribed electrolyte’ for the purposes of</w:t>
      </w: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Division 4. ‘Prescribed electrolyte’ means any of the following:</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sodium;</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potassium;</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calcium;</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magnesium;</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chloride.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This definition has been provided because some of the substances listed as ‘prescribed</w:t>
      </w: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electrolytes’ for the purposes of Division 4 are also ‘minerals’ for the purposes of requirements elsewhere in the Code.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Subsection 2.6.2—10(2) clarifies that for an electrolyte drink base, the compositional and declaration requirements in Division 4 apply to the electrolyte drink base as </w:t>
      </w:r>
      <w:r w:rsidRPr="00A214C5">
        <w:rPr>
          <w:rFonts w:eastAsia="Times New Roman" w:cs="Times New Roman"/>
          <w:szCs w:val="24"/>
          <w:u w:val="single"/>
          <w:lang w:bidi="en-US"/>
        </w:rPr>
        <w:t>ready to drink</w:t>
      </w:r>
      <w:r w:rsidRPr="00A214C5">
        <w:rPr>
          <w:rFonts w:eastAsia="Times New Roman" w:cs="Times New Roman"/>
          <w:szCs w:val="24"/>
          <w:lang w:bidi="en-US"/>
        </w:rPr>
        <w:t>.</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Section 2.6.2—11</w:t>
      </w:r>
      <w:r w:rsidRPr="00A214C5">
        <w:rPr>
          <w:rFonts w:eastAsia="Times New Roman" w:cs="Times New Roman"/>
          <w:szCs w:val="24"/>
          <w:lang w:bidi="en-US"/>
        </w:rPr>
        <w:t xml:space="preserve"> sets out the following compositional requirements for electrolyte drinks and electrolyte drink bases.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2.6.2—11(1) requires that a food sold as an electrolyte drink or an electrolyte drink base must be an electrolyte drink or an electrolyte drink base respectively.</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2.6.2—11(2) sets out the mandatory compositional requirements for electrolyte drinks and electrolyte drink bases. This subsection requires that an electrolyte drink or electrolyte drink base must contain:</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no less than 10 mmol/L of sodium; and</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no less than 20 g/L and no more than 100 g/L in total of the following:</w:t>
      </w:r>
    </w:p>
    <w:p w:rsidR="00A214C5" w:rsidRPr="00A214C5" w:rsidRDefault="00A214C5" w:rsidP="00A214C5">
      <w:pPr>
        <w:widowControl w:val="0"/>
        <w:numPr>
          <w:ilvl w:val="0"/>
          <w:numId w:val="15"/>
        </w:numPr>
        <w:contextualSpacing/>
        <w:rPr>
          <w:rFonts w:eastAsia="Times New Roman" w:cs="Times New Roman"/>
          <w:szCs w:val="24"/>
          <w:lang w:bidi="en-US"/>
        </w:rPr>
      </w:pPr>
      <w:r w:rsidRPr="00A214C5">
        <w:rPr>
          <w:rFonts w:eastAsia="Times New Roman" w:cs="Times New Roman"/>
          <w:szCs w:val="24"/>
          <w:lang w:bidi="en-US"/>
        </w:rPr>
        <w:t>dextrose;</w:t>
      </w:r>
    </w:p>
    <w:p w:rsidR="00A214C5" w:rsidRPr="00A214C5" w:rsidRDefault="00A214C5" w:rsidP="00A214C5">
      <w:pPr>
        <w:widowControl w:val="0"/>
        <w:numPr>
          <w:ilvl w:val="0"/>
          <w:numId w:val="15"/>
        </w:numPr>
        <w:contextualSpacing/>
        <w:rPr>
          <w:rFonts w:eastAsia="Times New Roman" w:cs="Times New Roman"/>
          <w:szCs w:val="24"/>
          <w:lang w:bidi="en-US"/>
        </w:rPr>
      </w:pPr>
      <w:r w:rsidRPr="00A214C5">
        <w:rPr>
          <w:rFonts w:eastAsia="Times New Roman" w:cs="Times New Roman"/>
          <w:szCs w:val="24"/>
          <w:lang w:bidi="en-US"/>
        </w:rPr>
        <w:t>fructose;</w:t>
      </w:r>
    </w:p>
    <w:p w:rsidR="00A214C5" w:rsidRPr="00A214C5" w:rsidRDefault="00A214C5" w:rsidP="00A214C5">
      <w:pPr>
        <w:widowControl w:val="0"/>
        <w:numPr>
          <w:ilvl w:val="0"/>
          <w:numId w:val="15"/>
        </w:numPr>
        <w:contextualSpacing/>
        <w:rPr>
          <w:rFonts w:eastAsia="Times New Roman" w:cs="Times New Roman"/>
          <w:szCs w:val="24"/>
          <w:lang w:bidi="en-US"/>
        </w:rPr>
      </w:pPr>
      <w:r w:rsidRPr="00A214C5">
        <w:rPr>
          <w:rFonts w:eastAsia="Times New Roman" w:cs="Times New Roman"/>
          <w:szCs w:val="24"/>
          <w:lang w:bidi="en-US"/>
        </w:rPr>
        <w:t>glucose syrup;</w:t>
      </w:r>
    </w:p>
    <w:p w:rsidR="00A214C5" w:rsidRPr="00A214C5" w:rsidRDefault="00A214C5" w:rsidP="00A214C5">
      <w:pPr>
        <w:widowControl w:val="0"/>
        <w:numPr>
          <w:ilvl w:val="0"/>
          <w:numId w:val="15"/>
        </w:numPr>
        <w:contextualSpacing/>
        <w:rPr>
          <w:rFonts w:eastAsia="Times New Roman" w:cs="Times New Roman"/>
          <w:szCs w:val="24"/>
          <w:lang w:bidi="en-US"/>
        </w:rPr>
      </w:pPr>
      <w:r w:rsidRPr="00A214C5">
        <w:rPr>
          <w:rFonts w:eastAsia="Times New Roman" w:cs="Times New Roman"/>
          <w:szCs w:val="24"/>
          <w:lang w:bidi="en-US"/>
        </w:rPr>
        <w:t>maltodextrin;</w:t>
      </w:r>
    </w:p>
    <w:p w:rsidR="00A214C5" w:rsidRPr="00A214C5" w:rsidRDefault="00A214C5" w:rsidP="00A214C5">
      <w:pPr>
        <w:widowControl w:val="0"/>
        <w:numPr>
          <w:ilvl w:val="0"/>
          <w:numId w:val="15"/>
        </w:numPr>
        <w:contextualSpacing/>
        <w:rPr>
          <w:rFonts w:eastAsia="Times New Roman" w:cs="Times New Roman"/>
          <w:szCs w:val="24"/>
          <w:lang w:bidi="en-US"/>
        </w:rPr>
      </w:pPr>
      <w:r w:rsidRPr="00A214C5">
        <w:rPr>
          <w:rFonts w:eastAsia="Times New Roman" w:cs="Times New Roman"/>
          <w:szCs w:val="24"/>
          <w:lang w:bidi="en-US"/>
        </w:rPr>
        <w:t>sucrose; and</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no more than 50% of total carbohydrate as fructose.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2.6.2—11(3) sets out the discretionary compositional requirements for electrolyte drinks and electrolyte drink bases. This subsection allows an electrolyte drink or electrolyte drink base to contain:</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calcium phosphates;</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potassium phosphates;</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calcium citrates;</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potassium citrates;</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sodium citrates;</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potassium carbonates, including potassium bicarbonate;</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potassium chloride;</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calcium chloride;</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sodium chloride;</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calcium lactate;</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magnesium lactate;</w:t>
      </w:r>
    </w:p>
    <w:p w:rsidR="00A214C5" w:rsidRPr="00A214C5" w:rsidRDefault="00A214C5" w:rsidP="00A214C5">
      <w:pPr>
        <w:widowControl w:val="0"/>
        <w:numPr>
          <w:ilvl w:val="0"/>
          <w:numId w:val="14"/>
        </w:numPr>
        <w:contextualSpacing/>
        <w:rPr>
          <w:rFonts w:eastAsia="Times New Roman" w:cs="Times New Roman"/>
          <w:szCs w:val="24"/>
          <w:lang w:bidi="en-US"/>
        </w:rPr>
      </w:pPr>
      <w:r w:rsidRPr="00A214C5">
        <w:rPr>
          <w:rFonts w:eastAsia="Times New Roman" w:cs="Times New Roman"/>
          <w:szCs w:val="24"/>
          <w:lang w:bidi="en-US"/>
        </w:rPr>
        <w:t>magnesium sulphate.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lastRenderedPageBreak/>
        <w:t>Section 2.6.2—12</w:t>
      </w:r>
      <w:r w:rsidRPr="00A214C5">
        <w:rPr>
          <w:rFonts w:eastAsia="Times New Roman" w:cs="Times New Roman"/>
          <w:szCs w:val="24"/>
          <w:lang w:bidi="en-US"/>
        </w:rPr>
        <w:t xml:space="preserve"> sets out the following labelling requirements for electrolyte drinks and electrolyte drink bases.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2.6.2—12(1) provides that ‘Electrolyte drink’ is a prescribed name for an electrolyte drink and an electrolyte drink base.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The ‘prescribed name’ of a food is a term defined in subsection 1.1.2—2(3) [see </w:t>
      </w:r>
      <w:r w:rsidRPr="00A214C5">
        <w:rPr>
          <w:rFonts w:eastAsia="Times New Roman" w:cs="Times New Roman"/>
          <w:b/>
          <w:szCs w:val="24"/>
          <w:lang w:bidi="en-US"/>
        </w:rPr>
        <w:t>subitem 3.2</w:t>
      </w:r>
      <w:r w:rsidRPr="00A214C5">
        <w:rPr>
          <w:rFonts w:eastAsia="Times New Roman" w:cs="Times New Roman"/>
          <w:szCs w:val="24"/>
          <w:lang w:bidi="en-US"/>
        </w:rPr>
        <w:t xml:space="preserve"> of the approved draft variation]. The labelling provisions in Standard 1.2.1 and section 1.2.2— 2 require that, if a food has a prescribed name, that name must be used in the labelling of the food.</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2.6.2—12(2) requires the following information to be provided for the labelling</w:t>
      </w: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provisions: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numPr>
          <w:ilvl w:val="0"/>
          <w:numId w:val="16"/>
        </w:numPr>
        <w:contextualSpacing/>
        <w:rPr>
          <w:rFonts w:eastAsia="Times New Roman" w:cs="Times New Roman"/>
          <w:szCs w:val="24"/>
          <w:lang w:bidi="en-US"/>
        </w:rPr>
      </w:pPr>
      <w:r w:rsidRPr="00A214C5">
        <w:rPr>
          <w:rFonts w:eastAsia="Times New Roman" w:cs="Times New Roman"/>
          <w:szCs w:val="24"/>
          <w:lang w:bidi="en-US"/>
        </w:rPr>
        <w:t>the recommended volume and frequency of use (paragraph 2.6.2—12(2)(a)); and</w:t>
      </w:r>
    </w:p>
    <w:p w:rsidR="00A214C5" w:rsidRPr="00A214C5" w:rsidRDefault="00A214C5" w:rsidP="00A214C5">
      <w:pPr>
        <w:widowControl w:val="0"/>
        <w:numPr>
          <w:ilvl w:val="0"/>
          <w:numId w:val="16"/>
        </w:numPr>
        <w:contextualSpacing/>
        <w:rPr>
          <w:rFonts w:eastAsia="Times New Roman" w:cs="Times New Roman"/>
          <w:szCs w:val="24"/>
          <w:lang w:bidi="en-US"/>
        </w:rPr>
      </w:pPr>
      <w:r w:rsidRPr="00A214C5">
        <w:rPr>
          <w:rFonts w:eastAsia="Times New Roman" w:cs="Times New Roman"/>
          <w:szCs w:val="24"/>
          <w:lang w:bidi="en-US"/>
        </w:rPr>
        <w:t>the nutrition information panel (NIP) must also declare the average quantity per serving and per unit quantity of all of the following (paragraph 2.6.2—12(2)(b)):</w:t>
      </w:r>
    </w:p>
    <w:p w:rsidR="00A214C5" w:rsidRPr="00A214C5" w:rsidRDefault="00A214C5" w:rsidP="00A214C5">
      <w:pPr>
        <w:widowControl w:val="0"/>
        <w:numPr>
          <w:ilvl w:val="0"/>
          <w:numId w:val="17"/>
        </w:numPr>
        <w:contextualSpacing/>
        <w:rPr>
          <w:rFonts w:eastAsia="Times New Roman" w:cs="Times New Roman"/>
          <w:szCs w:val="24"/>
          <w:lang w:bidi="en-US"/>
        </w:rPr>
      </w:pPr>
      <w:r w:rsidRPr="00A214C5">
        <w:rPr>
          <w:rFonts w:eastAsia="Times New Roman" w:cs="Times New Roman"/>
          <w:szCs w:val="24"/>
          <w:lang w:bidi="en-US"/>
        </w:rPr>
        <w:t>each type of monosaccharide present; and</w:t>
      </w:r>
    </w:p>
    <w:p w:rsidR="00A214C5" w:rsidRPr="00A214C5" w:rsidRDefault="00A214C5" w:rsidP="00A214C5">
      <w:pPr>
        <w:widowControl w:val="0"/>
        <w:numPr>
          <w:ilvl w:val="0"/>
          <w:numId w:val="17"/>
        </w:numPr>
        <w:contextualSpacing/>
        <w:rPr>
          <w:rFonts w:eastAsia="Times New Roman" w:cs="Times New Roman"/>
          <w:szCs w:val="24"/>
          <w:lang w:bidi="en-US"/>
        </w:rPr>
      </w:pPr>
      <w:r w:rsidRPr="00A214C5">
        <w:rPr>
          <w:rFonts w:eastAsia="Times New Roman" w:cs="Times New Roman"/>
          <w:szCs w:val="24"/>
          <w:lang w:bidi="en-US"/>
        </w:rPr>
        <w:t>each type of disaccharide present; and</w:t>
      </w:r>
    </w:p>
    <w:p w:rsidR="00A214C5" w:rsidRPr="00A214C5" w:rsidRDefault="00A214C5" w:rsidP="00A214C5">
      <w:pPr>
        <w:widowControl w:val="0"/>
        <w:numPr>
          <w:ilvl w:val="0"/>
          <w:numId w:val="17"/>
        </w:numPr>
        <w:contextualSpacing/>
        <w:rPr>
          <w:rFonts w:eastAsia="Times New Roman" w:cs="Times New Roman"/>
          <w:szCs w:val="24"/>
          <w:lang w:bidi="en-US"/>
        </w:rPr>
      </w:pPr>
      <w:r w:rsidRPr="00A214C5">
        <w:rPr>
          <w:rFonts w:eastAsia="Times New Roman" w:cs="Times New Roman"/>
          <w:szCs w:val="24"/>
          <w:lang w:bidi="en-US"/>
        </w:rPr>
        <w:t xml:space="preserve">subject to subsection 2.6.2—12(3) (see below), each prescribed electrolyte present (other than sodium), expressed in milligrams or both milligrams and millimoles. </w:t>
      </w:r>
      <w:r w:rsidRPr="00A214C5">
        <w:rPr>
          <w:rFonts w:eastAsia="Times New Roman" w:cs="Times New Roman"/>
          <w:szCs w:val="24"/>
          <w:lang w:bidi="en-US"/>
        </w:rPr>
        <w:cr/>
      </w: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‘Average quantity’ and ‘unit quantity’ are terms defined in subsection 1.1.2—2(3) [see </w:t>
      </w:r>
      <w:r w:rsidRPr="00A214C5">
        <w:rPr>
          <w:rFonts w:eastAsia="Times New Roman" w:cs="Times New Roman"/>
          <w:b/>
          <w:szCs w:val="24"/>
          <w:lang w:bidi="en-US"/>
        </w:rPr>
        <w:t>subitem 3.2</w:t>
      </w:r>
      <w:r w:rsidRPr="00A214C5">
        <w:rPr>
          <w:rFonts w:eastAsia="Times New Roman" w:cs="Times New Roman"/>
          <w:szCs w:val="24"/>
          <w:lang w:bidi="en-US"/>
        </w:rPr>
        <w:t xml:space="preserve"> of the approved draft variation].</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There are </w:t>
      </w:r>
      <w:r w:rsidRPr="00A214C5">
        <w:rPr>
          <w:rFonts w:eastAsia="Times New Roman" w:cs="Times New Roman"/>
          <w:i/>
          <w:szCs w:val="24"/>
          <w:lang w:bidi="en-US"/>
        </w:rPr>
        <w:t>Notes</w:t>
      </w:r>
      <w:r w:rsidRPr="00A214C5">
        <w:rPr>
          <w:rFonts w:eastAsia="Times New Roman" w:cs="Times New Roman"/>
          <w:szCs w:val="24"/>
          <w:lang w:bidi="en-US"/>
        </w:rPr>
        <w:t xml:space="preserve"> to paragraph 2.6.2—12(2)(b).</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Note 1</w:t>
      </w:r>
      <w:r w:rsidRPr="00A214C5">
        <w:rPr>
          <w:rFonts w:eastAsia="Times New Roman" w:cs="Times New Roman"/>
          <w:szCs w:val="24"/>
          <w:lang w:bidi="en-US"/>
        </w:rPr>
        <w:t xml:space="preserve"> explains that labelling provisions are set out in Standard 1.2.1.</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Note 2</w:t>
      </w:r>
      <w:r w:rsidRPr="00A214C5">
        <w:rPr>
          <w:rFonts w:eastAsia="Times New Roman" w:cs="Times New Roman"/>
          <w:szCs w:val="24"/>
          <w:lang w:bidi="en-US"/>
        </w:rPr>
        <w:t xml:space="preserve"> explains that section 1.2.8—5 provides that packaged food (unless exempted) must include an NIP; and Standard 1.2.8 also contains other requirements relating to NIPs, for example, information that must be included and how to express that information in an NIP (see sections 1.2.8—6 and 1.2.8—7). This </w:t>
      </w:r>
      <w:r w:rsidRPr="00A214C5">
        <w:rPr>
          <w:rFonts w:eastAsia="Times New Roman" w:cs="Times New Roman"/>
          <w:i/>
          <w:szCs w:val="24"/>
          <w:lang w:bidi="en-US"/>
        </w:rPr>
        <w:t>Note</w:t>
      </w:r>
      <w:r w:rsidRPr="00A214C5">
        <w:rPr>
          <w:rFonts w:eastAsia="Times New Roman" w:cs="Times New Roman"/>
          <w:szCs w:val="24"/>
          <w:lang w:bidi="en-US"/>
        </w:rPr>
        <w:t xml:space="preserve"> also explains that the requirements set out in paragraph 2.6.2—12(2)(b) </w:t>
      </w:r>
      <w:r w:rsidRPr="00A214C5">
        <w:rPr>
          <w:rFonts w:eastAsia="Times New Roman" w:cs="Times New Roman"/>
          <w:i/>
          <w:szCs w:val="24"/>
          <w:lang w:bidi="en-US"/>
        </w:rPr>
        <w:t>are in addition to</w:t>
      </w:r>
      <w:r w:rsidRPr="00A214C5">
        <w:rPr>
          <w:rFonts w:eastAsia="Times New Roman" w:cs="Times New Roman"/>
          <w:szCs w:val="24"/>
          <w:lang w:bidi="en-US"/>
        </w:rPr>
        <w:t xml:space="preserve"> those other requirements.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Note 3</w:t>
      </w:r>
      <w:r w:rsidRPr="00A214C5">
        <w:rPr>
          <w:rFonts w:eastAsia="Times New Roman" w:cs="Times New Roman"/>
          <w:szCs w:val="24"/>
          <w:lang w:bidi="en-US"/>
        </w:rPr>
        <w:t xml:space="preserve"> explains that subparagraph 1.2.8—6(1)(d)(iii) requires that an NIP must contain (among other information) the average quantity of sodium, expressed in milligrams or both milligrams and millimoles for a serving of the food and a unit quantity of the food.</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2.6.2—12(3) provides that the requirement in subparagraph 2.6.2—12(2)(b)(iii) applies only in relation to an electrolyte drink or an electrolyte drink base to which a substance listed in subsection 2.6.2—11(3) has been added.</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The effect of both subparagraph 2.6.2—12(2)(b)(iii) and subsection 2.6.2—12(3) is that where a substance listed in subsection 2.6.2—11(3) has been added to an electrolyte drink or electrolyte drink base, the average quantity per serving and per unit quantity of each prescribed electrolyte that is present in the electrolyte drink or electrolyte drink base must be declared. These quantities are based on the </w:t>
      </w:r>
      <w:r w:rsidRPr="00A214C5">
        <w:rPr>
          <w:rFonts w:eastAsia="Times New Roman" w:cs="Times New Roman"/>
          <w:i/>
          <w:szCs w:val="24"/>
          <w:lang w:bidi="en-US"/>
        </w:rPr>
        <w:t>total amount</w:t>
      </w:r>
      <w:r w:rsidRPr="00A214C5">
        <w:rPr>
          <w:rFonts w:eastAsia="Times New Roman" w:cs="Times New Roman"/>
          <w:szCs w:val="24"/>
          <w:lang w:bidi="en-US"/>
        </w:rPr>
        <w:t xml:space="preserve"> of a prescribed electrolyte that is present in the electrolyte drink or electrolyte drink base, i.e. the amount of the prescribed electrolyte derived from </w:t>
      </w:r>
      <w:r w:rsidRPr="00A214C5">
        <w:rPr>
          <w:rFonts w:eastAsia="Times New Roman" w:cs="Times New Roman"/>
          <w:i/>
          <w:szCs w:val="24"/>
          <w:lang w:bidi="en-US"/>
        </w:rPr>
        <w:t>all sources</w:t>
      </w:r>
      <w:r w:rsidRPr="00A214C5">
        <w:rPr>
          <w:rFonts w:eastAsia="Times New Roman" w:cs="Times New Roman"/>
          <w:szCs w:val="24"/>
          <w:lang w:bidi="en-US"/>
        </w:rPr>
        <w:t xml:space="preserve"> added to the electrolyte drink or electrolyte drink base—i.e., derived from a substance listed in 2.6.2—11(3) and from any other substance such as an intense sweetener.</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Section 2.6.2—13</w:t>
      </w:r>
      <w:r w:rsidRPr="00A214C5">
        <w:rPr>
          <w:rFonts w:eastAsia="Times New Roman" w:cs="Times New Roman"/>
          <w:szCs w:val="24"/>
          <w:lang w:bidi="en-US"/>
        </w:rPr>
        <w:t xml:space="preserve"> sets out the following labelling requirements for electrolyte drinks and </w:t>
      </w:r>
      <w:r w:rsidRPr="00A214C5">
        <w:rPr>
          <w:rFonts w:eastAsia="Times New Roman" w:cs="Times New Roman"/>
          <w:szCs w:val="24"/>
          <w:lang w:bidi="en-US"/>
        </w:rPr>
        <w:lastRenderedPageBreak/>
        <w:t>electrolyte drink bases in small packages.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2.6.2—13(1) clarifies that requirements in this section apply to an electrolyte drink or electrolyte drink base: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numPr>
          <w:ilvl w:val="0"/>
          <w:numId w:val="18"/>
        </w:numPr>
        <w:contextualSpacing/>
        <w:rPr>
          <w:rFonts w:eastAsia="Times New Roman" w:cs="Times New Roman"/>
          <w:szCs w:val="24"/>
          <w:lang w:bidi="en-US"/>
        </w:rPr>
      </w:pPr>
      <w:r w:rsidRPr="00A214C5">
        <w:rPr>
          <w:rFonts w:eastAsia="Times New Roman" w:cs="Times New Roman"/>
          <w:szCs w:val="24"/>
          <w:lang w:bidi="en-US"/>
        </w:rPr>
        <w:t>that is in a small package; and</w:t>
      </w:r>
    </w:p>
    <w:p w:rsidR="00A214C5" w:rsidRPr="00A214C5" w:rsidRDefault="00A214C5" w:rsidP="00A214C5">
      <w:pPr>
        <w:widowControl w:val="0"/>
        <w:numPr>
          <w:ilvl w:val="0"/>
          <w:numId w:val="18"/>
        </w:numPr>
        <w:contextualSpacing/>
        <w:rPr>
          <w:rFonts w:eastAsia="Times New Roman" w:cs="Times New Roman"/>
          <w:szCs w:val="24"/>
          <w:lang w:bidi="en-US"/>
        </w:rPr>
      </w:pPr>
      <w:r w:rsidRPr="00A214C5">
        <w:rPr>
          <w:rFonts w:eastAsia="Times New Roman" w:cs="Times New Roman"/>
          <w:szCs w:val="24"/>
          <w:lang w:bidi="en-US"/>
        </w:rPr>
        <w:t>about which a claim requiring nutrition information is made; and</w:t>
      </w:r>
    </w:p>
    <w:p w:rsidR="00A214C5" w:rsidRPr="00A214C5" w:rsidRDefault="00A214C5" w:rsidP="00A214C5">
      <w:pPr>
        <w:widowControl w:val="0"/>
        <w:numPr>
          <w:ilvl w:val="0"/>
          <w:numId w:val="18"/>
        </w:numPr>
        <w:contextualSpacing/>
        <w:rPr>
          <w:rFonts w:eastAsia="Times New Roman" w:cs="Times New Roman"/>
          <w:szCs w:val="24"/>
          <w:lang w:bidi="en-US"/>
        </w:rPr>
      </w:pPr>
      <w:r w:rsidRPr="00A214C5">
        <w:rPr>
          <w:rFonts w:eastAsia="Times New Roman" w:cs="Times New Roman"/>
          <w:szCs w:val="24"/>
          <w:lang w:bidi="en-US"/>
        </w:rPr>
        <w:t>the claim relates to a prescribed electrolyte.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The terms ‘small package’ and ‘claim requiring nutrition information’ are defined in</w:t>
      </w: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subsection 1.1.2—2(3) [see </w:t>
      </w:r>
      <w:r w:rsidRPr="00A214C5">
        <w:rPr>
          <w:rFonts w:eastAsia="Times New Roman" w:cs="Times New Roman"/>
          <w:b/>
          <w:szCs w:val="24"/>
          <w:lang w:bidi="en-US"/>
        </w:rPr>
        <w:t>subitem 3.2</w:t>
      </w:r>
      <w:r w:rsidRPr="00A214C5">
        <w:rPr>
          <w:rFonts w:eastAsia="Times New Roman" w:cs="Times New Roman"/>
          <w:szCs w:val="24"/>
          <w:lang w:bidi="en-US"/>
        </w:rPr>
        <w:t xml:space="preserve"> of the approved draft variation]. </w:t>
      </w:r>
      <w:r w:rsidRPr="00A214C5">
        <w:rPr>
          <w:rFonts w:eastAsia="Times New Roman" w:cs="Times New Roman"/>
          <w:szCs w:val="24"/>
          <w:lang w:bidi="en-US"/>
        </w:rPr>
        <w:cr/>
      </w: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2.6.2—13(2) provides that for the labelling provisions, the required information includes the average quantity per serving of each prescribed electrolyte present, expressed in milligrams or both milligrams and millimoles.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There are two </w:t>
      </w:r>
      <w:r w:rsidRPr="00A214C5">
        <w:rPr>
          <w:rFonts w:eastAsia="Times New Roman" w:cs="Times New Roman"/>
          <w:i/>
          <w:szCs w:val="24"/>
          <w:lang w:bidi="en-US"/>
        </w:rPr>
        <w:t>Notes</w:t>
      </w:r>
      <w:r w:rsidRPr="00A214C5">
        <w:rPr>
          <w:rFonts w:eastAsia="Times New Roman" w:cs="Times New Roman"/>
          <w:szCs w:val="24"/>
          <w:lang w:bidi="en-US"/>
        </w:rPr>
        <w:t xml:space="preserve"> to subsection 2.6.2—13(2).</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Note 1</w:t>
      </w:r>
      <w:r w:rsidRPr="00A214C5">
        <w:rPr>
          <w:rFonts w:eastAsia="Times New Roman" w:cs="Times New Roman"/>
          <w:szCs w:val="24"/>
          <w:lang w:bidi="en-US"/>
        </w:rPr>
        <w:t xml:space="preserve"> explains that labelling provisions are contained in Standard 1.2.1. </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Note 2</w:t>
      </w:r>
      <w:r w:rsidRPr="00A214C5">
        <w:rPr>
          <w:rFonts w:eastAsia="Times New Roman" w:cs="Times New Roman"/>
          <w:szCs w:val="24"/>
          <w:lang w:bidi="en-US"/>
        </w:rPr>
        <w:t xml:space="preserve"> explains that the requirements of subsection 2.6.2—13(2) are in addition to the requirements set out in section 1.2.8—14. Section 1.2.8—14 sets out requirements for food for sale in a small package where a claim requiring nutrition information is made in relation to the food.</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Subsection 2.6.2—13(3) provides that paragraph 1.2.8—14(1)(b) does not apply to a claim requiring nutrition information that is made about a prescribed electrolyte. </w:t>
      </w:r>
      <w:r w:rsidRPr="00A214C5">
        <w:rPr>
          <w:rFonts w:eastAsia="Times New Roman" w:cs="Times New Roman"/>
          <w:szCs w:val="20"/>
          <w:lang w:bidi="en-US"/>
        </w:rPr>
        <w:t xml:space="preserve">Paragraph </w:t>
      </w:r>
      <w:r w:rsidRPr="00A214C5">
        <w:rPr>
          <w:rFonts w:eastAsia="Times New Roman" w:cs="Times New Roman"/>
          <w:szCs w:val="24"/>
          <w:lang w:bidi="en-US"/>
        </w:rPr>
        <w:t xml:space="preserve">1.2.8—14(1)(b) sets out nutrition information requirements for food for sale in a small package where a claim requiring nutrition information is made about a matter listed in Column 1 of the table to section S13—2 (such as sodium or a mineral with a Recommended Dietary Intake). Subsection 2.6.2—13(3) provides that these nutrition information requirements do not apply when a claim requiring nutrition information is made about a </w:t>
      </w:r>
      <w:r w:rsidRPr="00A214C5">
        <w:rPr>
          <w:rFonts w:eastAsia="Times New Roman" w:cs="Times New Roman"/>
          <w:i/>
          <w:szCs w:val="24"/>
          <w:lang w:bidi="en-US"/>
        </w:rPr>
        <w:t>prescribed electrolyte</w:t>
      </w:r>
      <w:r w:rsidRPr="00A214C5">
        <w:rPr>
          <w:rFonts w:eastAsia="Times New Roman" w:cs="Times New Roman"/>
          <w:szCs w:val="24"/>
          <w:lang w:bidi="en-US"/>
        </w:rPr>
        <w:t xml:space="preserve"> in an electrolyte drink or electrolyte drink base in a small package.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The </w:t>
      </w:r>
      <w:r w:rsidRPr="00A214C5">
        <w:rPr>
          <w:rFonts w:eastAsia="Times New Roman" w:cs="Times New Roman"/>
          <w:i/>
          <w:szCs w:val="24"/>
          <w:lang w:bidi="en-US"/>
        </w:rPr>
        <w:t>Note</w:t>
      </w:r>
      <w:r w:rsidRPr="00A214C5">
        <w:rPr>
          <w:rFonts w:eastAsia="Times New Roman" w:cs="Times New Roman"/>
          <w:szCs w:val="24"/>
          <w:lang w:bidi="en-US"/>
        </w:rPr>
        <w:t xml:space="preserve"> to subsection 2.6.2—13(3) explains that paragraph 1.2.8—14(1)(b) sets out nutrition information requirements for food for sale in a small package where a claim requiring nutrition information is made about a matter listed in Column 1 of the table to section S13—2 (such as sodium or a mineral with a Recommended dietary intake (RDI)).</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Section 2.6.2—14</w:t>
      </w:r>
      <w:r w:rsidRPr="00A214C5">
        <w:rPr>
          <w:rFonts w:eastAsia="Times New Roman" w:cs="Times New Roman"/>
          <w:szCs w:val="24"/>
          <w:lang w:bidi="en-US"/>
        </w:rPr>
        <w:t xml:space="preserve"> contains the following prohibitions related to RDI information for electrolyte drinks and electrolyte drink bases.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2.6.2—14(1) provides that an RDI must not be stated or declared in relation to an electrolyte drink or electrolyte drink base.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2.6.2—14(2) provides that section 1.2.8—9 does not apply to an electrolyte drink or electrolyte drink base.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The </w:t>
      </w:r>
      <w:r w:rsidRPr="00A214C5">
        <w:rPr>
          <w:rFonts w:eastAsia="Times New Roman" w:cs="Times New Roman"/>
          <w:i/>
          <w:szCs w:val="24"/>
          <w:lang w:bidi="en-US"/>
        </w:rPr>
        <w:t>Note</w:t>
      </w:r>
      <w:r w:rsidRPr="00A214C5">
        <w:rPr>
          <w:rFonts w:eastAsia="Times New Roman" w:cs="Times New Roman"/>
          <w:szCs w:val="24"/>
          <w:lang w:bidi="en-US"/>
        </w:rPr>
        <w:t xml:space="preserve"> to subsection 2.6.2—14(2) explains that section 1.2.8—9 relates to minerals with an RDI (among other things). As stated above, some of the substances listed as ‘prescribed electrolytes’ in section 2.6.2—10 are also minerals with an RDI for the purposes of section 1.2.8—9, for example, calcium and magnesium (see also the table to section S1—3).</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Section 2.6.2—15 contains the following requirements and limitations for making nutrition content claims made about electrolyte drinks and electrolyte drink bases. </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‘Nutrition content claim’ is defined in section 1.1.2—9 [see </w:t>
      </w:r>
      <w:r w:rsidRPr="00A214C5">
        <w:rPr>
          <w:rFonts w:eastAsia="Times New Roman" w:cs="Times New Roman"/>
          <w:b/>
          <w:szCs w:val="24"/>
          <w:lang w:bidi="en-US"/>
        </w:rPr>
        <w:t>subitem 3.2</w:t>
      </w:r>
      <w:r w:rsidRPr="00A214C5">
        <w:rPr>
          <w:rFonts w:eastAsia="Times New Roman" w:cs="Times New Roman"/>
          <w:szCs w:val="24"/>
          <w:lang w:bidi="en-US"/>
        </w:rPr>
        <w:t xml:space="preserve"> of the approved draft variation].</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2.6.2—15(1) provides that a nutrition content claim must not be made about an electrolyte drink or electrolyte drink base unless both of the following conditions are satisfied:</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numPr>
          <w:ilvl w:val="0"/>
          <w:numId w:val="18"/>
        </w:numPr>
        <w:contextualSpacing/>
        <w:rPr>
          <w:rFonts w:eastAsia="Times New Roman" w:cs="Times New Roman"/>
          <w:szCs w:val="24"/>
          <w:lang w:bidi="en-US"/>
        </w:rPr>
      </w:pPr>
      <w:r w:rsidRPr="00A214C5">
        <w:rPr>
          <w:rFonts w:eastAsia="Times New Roman" w:cs="Times New Roman"/>
          <w:szCs w:val="24"/>
          <w:lang w:bidi="en-US"/>
        </w:rPr>
        <w:t>subject to paragraph 2.6.2—15(2)(b), the claim is made in accordance with Division 4</w:t>
      </w:r>
    </w:p>
    <w:p w:rsidR="00A214C5" w:rsidRPr="00A214C5" w:rsidRDefault="00A214C5" w:rsidP="00A214C5">
      <w:pPr>
        <w:widowControl w:val="0"/>
        <w:ind w:left="720"/>
        <w:contextualSpacing/>
        <w:rPr>
          <w:rFonts w:eastAsia="Times New Roman" w:cs="Times New Roman"/>
          <w:szCs w:val="24"/>
          <w:lang w:bidi="en-US"/>
        </w:rPr>
      </w:pPr>
      <w:r w:rsidRPr="00A214C5">
        <w:rPr>
          <w:rFonts w:eastAsia="Times New Roman" w:cs="Times New Roman"/>
          <w:szCs w:val="24"/>
          <w:lang w:bidi="en-US"/>
        </w:rPr>
        <w:t>of Standard 1.2.7 (Requirements for nutrition content claims); and</w:t>
      </w:r>
    </w:p>
    <w:p w:rsidR="00A214C5" w:rsidRPr="00A214C5" w:rsidRDefault="00A214C5" w:rsidP="00A214C5">
      <w:pPr>
        <w:widowControl w:val="0"/>
        <w:numPr>
          <w:ilvl w:val="0"/>
          <w:numId w:val="19"/>
        </w:numPr>
        <w:contextualSpacing/>
        <w:rPr>
          <w:rFonts w:eastAsia="Times New Roman" w:cs="Times New Roman"/>
          <w:szCs w:val="24"/>
          <w:lang w:bidi="en-US"/>
        </w:rPr>
      </w:pPr>
      <w:r w:rsidRPr="00A214C5">
        <w:rPr>
          <w:rFonts w:eastAsia="Times New Roman" w:cs="Times New Roman"/>
          <w:szCs w:val="24"/>
          <w:lang w:bidi="en-US"/>
        </w:rPr>
        <w:t>the claim is about any of the following:</w:t>
      </w:r>
    </w:p>
    <w:p w:rsidR="00A214C5" w:rsidRPr="00A214C5" w:rsidRDefault="00A214C5" w:rsidP="00A214C5">
      <w:pPr>
        <w:widowControl w:val="0"/>
        <w:numPr>
          <w:ilvl w:val="0"/>
          <w:numId w:val="20"/>
        </w:numPr>
        <w:contextualSpacing/>
        <w:rPr>
          <w:rFonts w:eastAsia="Times New Roman" w:cs="Times New Roman"/>
          <w:szCs w:val="24"/>
          <w:lang w:bidi="en-US"/>
        </w:rPr>
      </w:pPr>
      <w:r w:rsidRPr="00A214C5">
        <w:rPr>
          <w:rFonts w:eastAsia="Times New Roman" w:cs="Times New Roman"/>
          <w:szCs w:val="24"/>
          <w:lang w:bidi="en-US"/>
        </w:rPr>
        <w:t>sugar or sugars content; or</w:t>
      </w:r>
    </w:p>
    <w:p w:rsidR="00A214C5" w:rsidRPr="00A214C5" w:rsidRDefault="00A214C5" w:rsidP="00A214C5">
      <w:pPr>
        <w:widowControl w:val="0"/>
        <w:numPr>
          <w:ilvl w:val="0"/>
          <w:numId w:val="20"/>
        </w:numPr>
        <w:contextualSpacing/>
        <w:rPr>
          <w:rFonts w:eastAsia="Times New Roman" w:cs="Times New Roman"/>
          <w:szCs w:val="24"/>
          <w:lang w:bidi="en-US"/>
        </w:rPr>
      </w:pPr>
      <w:r w:rsidRPr="00A214C5">
        <w:rPr>
          <w:rFonts w:eastAsia="Times New Roman" w:cs="Times New Roman"/>
          <w:szCs w:val="24"/>
          <w:lang w:bidi="en-US"/>
        </w:rPr>
        <w:t>carbohydrate content; or</w:t>
      </w:r>
    </w:p>
    <w:p w:rsidR="00A214C5" w:rsidRPr="00A214C5" w:rsidRDefault="00A214C5" w:rsidP="00A214C5">
      <w:pPr>
        <w:widowControl w:val="0"/>
        <w:numPr>
          <w:ilvl w:val="0"/>
          <w:numId w:val="20"/>
        </w:numPr>
        <w:contextualSpacing/>
        <w:rPr>
          <w:rFonts w:eastAsia="Times New Roman" w:cs="Times New Roman"/>
          <w:szCs w:val="24"/>
          <w:lang w:bidi="en-US"/>
        </w:rPr>
      </w:pPr>
      <w:r w:rsidRPr="00A214C5">
        <w:rPr>
          <w:rFonts w:eastAsia="Times New Roman" w:cs="Times New Roman"/>
          <w:szCs w:val="24"/>
          <w:lang w:bidi="en-US"/>
        </w:rPr>
        <w:t>energy; or</w:t>
      </w:r>
    </w:p>
    <w:p w:rsidR="00A214C5" w:rsidRPr="00A214C5" w:rsidRDefault="00A214C5" w:rsidP="00A214C5">
      <w:pPr>
        <w:widowControl w:val="0"/>
        <w:numPr>
          <w:ilvl w:val="0"/>
          <w:numId w:val="20"/>
        </w:numPr>
        <w:contextualSpacing/>
        <w:rPr>
          <w:rFonts w:eastAsia="Times New Roman" w:cs="Times New Roman"/>
          <w:szCs w:val="24"/>
          <w:lang w:bidi="en-US"/>
        </w:rPr>
      </w:pPr>
      <w:r w:rsidRPr="00A214C5">
        <w:rPr>
          <w:rFonts w:eastAsia="Times New Roman" w:cs="Times New Roman"/>
          <w:szCs w:val="24"/>
          <w:lang w:bidi="en-US"/>
        </w:rPr>
        <w:t>the presence of one or more prescribed electrolytes.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‘Sugar’ is defined in subsection 1.1.2—2(2) and ‘sugars’ is defined in subsection 1.1.2—2(3) [see </w:t>
      </w:r>
      <w:r w:rsidRPr="00A214C5">
        <w:rPr>
          <w:rFonts w:eastAsia="Times New Roman" w:cs="Times New Roman"/>
          <w:b/>
          <w:szCs w:val="24"/>
          <w:lang w:bidi="en-US"/>
        </w:rPr>
        <w:t>subitem 3.2</w:t>
      </w:r>
      <w:r w:rsidRPr="00A214C5">
        <w:rPr>
          <w:rFonts w:eastAsia="Times New Roman" w:cs="Times New Roman"/>
          <w:szCs w:val="24"/>
          <w:lang w:bidi="en-US"/>
        </w:rPr>
        <w:t xml:space="preserve"> of the approved draft variation].</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2.6.2—15(2) provides that if a nutrition content claim is made under subparagraph 2.6.2—15(1)(b)(iv) i.e., the claim is about the presence of one or more prescribed electrolytes: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numPr>
          <w:ilvl w:val="0"/>
          <w:numId w:val="19"/>
        </w:numPr>
        <w:contextualSpacing/>
        <w:rPr>
          <w:rFonts w:eastAsia="Times New Roman" w:cs="Times New Roman"/>
          <w:szCs w:val="24"/>
          <w:lang w:bidi="en-US"/>
        </w:rPr>
      </w:pPr>
      <w:r w:rsidRPr="00A214C5">
        <w:rPr>
          <w:rFonts w:eastAsia="Times New Roman" w:cs="Times New Roman"/>
          <w:szCs w:val="24"/>
          <w:lang w:bidi="en-US"/>
        </w:rPr>
        <w:t>the claim must only state that the electrolyte drink or electrolyte drink base contains</w:t>
      </w:r>
    </w:p>
    <w:p w:rsidR="00A214C5" w:rsidRPr="00A214C5" w:rsidRDefault="00A214C5" w:rsidP="00A214C5">
      <w:pPr>
        <w:widowControl w:val="0"/>
        <w:ind w:left="153" w:firstLine="567"/>
        <w:rPr>
          <w:rFonts w:eastAsia="Times New Roman" w:cs="Times New Roman"/>
          <w:szCs w:val="24"/>
          <w:lang w:bidi="en-US"/>
        </w:rPr>
      </w:pPr>
      <w:r w:rsidRPr="00A214C5">
        <w:rPr>
          <w:rFonts w:eastAsia="Times New Roman" w:cs="Times New Roman"/>
          <w:szCs w:val="24"/>
          <w:lang w:bidi="en-US"/>
        </w:rPr>
        <w:t>one or both of the following:</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numPr>
          <w:ilvl w:val="0"/>
          <w:numId w:val="21"/>
        </w:numPr>
        <w:contextualSpacing/>
        <w:rPr>
          <w:rFonts w:eastAsia="Times New Roman" w:cs="Times New Roman"/>
          <w:szCs w:val="24"/>
          <w:lang w:bidi="en-US"/>
        </w:rPr>
      </w:pPr>
      <w:r w:rsidRPr="00A214C5">
        <w:rPr>
          <w:rFonts w:eastAsia="Times New Roman" w:cs="Times New Roman"/>
          <w:szCs w:val="24"/>
          <w:lang w:bidi="en-US"/>
        </w:rPr>
        <w:t>electrolytes (for example, ‘Contains electrolytes’);</w:t>
      </w:r>
    </w:p>
    <w:p w:rsidR="00A214C5" w:rsidRPr="00A214C5" w:rsidRDefault="00A214C5" w:rsidP="00A214C5">
      <w:pPr>
        <w:widowControl w:val="0"/>
        <w:numPr>
          <w:ilvl w:val="0"/>
          <w:numId w:val="21"/>
        </w:numPr>
        <w:contextualSpacing/>
        <w:rPr>
          <w:rFonts w:eastAsia="Times New Roman" w:cs="Times New Roman"/>
          <w:szCs w:val="24"/>
          <w:lang w:bidi="en-US"/>
        </w:rPr>
      </w:pPr>
      <w:r w:rsidRPr="00A214C5">
        <w:rPr>
          <w:rFonts w:eastAsia="Times New Roman" w:cs="Times New Roman"/>
          <w:szCs w:val="24"/>
          <w:lang w:bidi="en-US"/>
        </w:rPr>
        <w:t>a prescribed electrolyte that is present in the food, provided that the claim also states that the prescribed electrolyte is an electrolyte (for example, ‘This food contains the electrolytes: calcium and sodium’); and</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numPr>
          <w:ilvl w:val="0"/>
          <w:numId w:val="19"/>
        </w:numPr>
        <w:contextualSpacing/>
        <w:rPr>
          <w:rFonts w:eastAsia="Times New Roman" w:cs="Times New Roman"/>
          <w:szCs w:val="24"/>
          <w:lang w:bidi="en-US"/>
        </w:rPr>
      </w:pPr>
      <w:r w:rsidRPr="00A214C5">
        <w:rPr>
          <w:rFonts w:eastAsia="Times New Roman" w:cs="Times New Roman"/>
          <w:szCs w:val="24"/>
          <w:lang w:bidi="en-US"/>
        </w:rPr>
        <w:t>any conditions for nutrition content claims in Standard 1.2.7 relating to a prescribed</w:t>
      </w:r>
    </w:p>
    <w:p w:rsidR="00A214C5" w:rsidRPr="00A214C5" w:rsidRDefault="00A214C5" w:rsidP="00A214C5">
      <w:pPr>
        <w:widowControl w:val="0"/>
        <w:ind w:left="153" w:firstLine="567"/>
        <w:rPr>
          <w:rFonts w:eastAsia="Times New Roman" w:cs="Times New Roman"/>
          <w:szCs w:val="24"/>
          <w:lang w:bidi="en-US"/>
        </w:rPr>
      </w:pPr>
      <w:r w:rsidRPr="00A214C5">
        <w:rPr>
          <w:rFonts w:eastAsia="Times New Roman" w:cs="Times New Roman"/>
          <w:szCs w:val="24"/>
          <w:lang w:bidi="en-US"/>
        </w:rPr>
        <w:t>electrolyte present in the food do not apply to the nutrition content claim (this is</w:t>
      </w:r>
    </w:p>
    <w:p w:rsidR="00A214C5" w:rsidRPr="00A214C5" w:rsidRDefault="00A214C5" w:rsidP="00A214C5">
      <w:pPr>
        <w:widowControl w:val="0"/>
        <w:ind w:left="153" w:firstLine="567"/>
        <w:rPr>
          <w:rFonts w:eastAsia="Times New Roman" w:cs="Times New Roman"/>
          <w:szCs w:val="24"/>
          <w:lang w:bidi="en-US"/>
        </w:rPr>
      </w:pPr>
      <w:r w:rsidRPr="00A214C5">
        <w:rPr>
          <w:rFonts w:eastAsia="Times New Roman" w:cs="Times New Roman"/>
          <w:szCs w:val="24"/>
          <w:lang w:bidi="en-US"/>
        </w:rPr>
        <w:t>because, as stated above, some substances listed as ‘prescribed electrolytes’ in</w:t>
      </w:r>
    </w:p>
    <w:p w:rsidR="00A214C5" w:rsidRPr="00A214C5" w:rsidRDefault="00A214C5" w:rsidP="00A214C5">
      <w:pPr>
        <w:widowControl w:val="0"/>
        <w:ind w:left="720"/>
        <w:rPr>
          <w:rFonts w:eastAsia="Times New Roman" w:cs="Times New Roman"/>
          <w:szCs w:val="24"/>
          <w:lang w:bidi="en-US"/>
        </w:rPr>
      </w:pPr>
      <w:r w:rsidRPr="00A214C5">
        <w:rPr>
          <w:rFonts w:eastAsia="Times New Roman" w:cs="Times New Roman"/>
          <w:szCs w:val="24"/>
          <w:lang w:bidi="en-US"/>
        </w:rPr>
        <w:t xml:space="preserve">section 2.6.2—10 are also ‘minerals’ for the purposes of requirements elsewhere in the Code, for example, Standard 1.2.7). </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i/>
          <w:szCs w:val="24"/>
          <w:lang w:bidi="en-US"/>
        </w:rPr>
        <w:t>Section 2.6.2—16</w:t>
      </w:r>
      <w:r w:rsidRPr="00A214C5">
        <w:rPr>
          <w:rFonts w:eastAsia="Times New Roman" w:cs="Times New Roman"/>
          <w:szCs w:val="24"/>
          <w:lang w:bidi="en-US"/>
        </w:rPr>
        <w:t xml:space="preserve"> contains the following requirements and limitations for health claims made about electrolyte drinks and electrolyte drink bases.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Subsection 2.6.2—16(1) provides that Standard 1.2.7 does not apply to a health claim made about an electrolyte drink or electrolyte drink base. </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‘Health claim’ is defined in subsection 1.1.2—2(3) [see </w:t>
      </w:r>
      <w:r w:rsidRPr="00A214C5">
        <w:rPr>
          <w:rFonts w:eastAsia="Times New Roman" w:cs="Times New Roman"/>
          <w:b/>
          <w:szCs w:val="24"/>
          <w:lang w:bidi="en-US"/>
        </w:rPr>
        <w:t>subitem 3.2</w:t>
      </w:r>
      <w:r w:rsidRPr="00A214C5">
        <w:rPr>
          <w:rFonts w:eastAsia="Times New Roman" w:cs="Times New Roman"/>
          <w:szCs w:val="24"/>
          <w:lang w:bidi="en-US"/>
        </w:rPr>
        <w:t xml:space="preserve"> of the approved draft variation].</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2.6.2—16(2) only allows health claims to be made if both of the following conditions are satisfied:</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numPr>
          <w:ilvl w:val="0"/>
          <w:numId w:val="22"/>
        </w:numPr>
        <w:contextualSpacing/>
        <w:rPr>
          <w:rFonts w:eastAsia="Times New Roman" w:cs="Times New Roman"/>
          <w:szCs w:val="24"/>
          <w:lang w:bidi="en-US"/>
        </w:rPr>
      </w:pPr>
      <w:r w:rsidRPr="00A214C5">
        <w:rPr>
          <w:rFonts w:eastAsia="Times New Roman" w:cs="Times New Roman"/>
          <w:szCs w:val="24"/>
          <w:lang w:bidi="en-US"/>
        </w:rPr>
        <w:t>the food has an average osmolality of 200–340 mOsmol/kg; and</w:t>
      </w:r>
    </w:p>
    <w:p w:rsidR="00A214C5" w:rsidRPr="00A214C5" w:rsidRDefault="00A214C5" w:rsidP="00A214C5">
      <w:pPr>
        <w:widowControl w:val="0"/>
        <w:numPr>
          <w:ilvl w:val="0"/>
          <w:numId w:val="22"/>
        </w:numPr>
        <w:contextualSpacing/>
        <w:rPr>
          <w:rFonts w:eastAsia="Times New Roman" w:cs="Times New Roman"/>
          <w:szCs w:val="24"/>
          <w:lang w:bidi="en-US"/>
        </w:rPr>
      </w:pPr>
      <w:r w:rsidRPr="00A214C5">
        <w:rPr>
          <w:rFonts w:eastAsia="Times New Roman" w:cs="Times New Roman"/>
          <w:szCs w:val="24"/>
          <w:lang w:bidi="en-US"/>
        </w:rPr>
        <w:t>the claim is about any of the following:</w:t>
      </w:r>
    </w:p>
    <w:p w:rsidR="00A214C5" w:rsidRPr="00A214C5" w:rsidRDefault="00A214C5" w:rsidP="00A214C5">
      <w:pPr>
        <w:widowControl w:val="0"/>
        <w:ind w:left="720"/>
        <w:contextualSpacing/>
        <w:rPr>
          <w:rFonts w:eastAsia="Times New Roman" w:cs="Times New Roman"/>
          <w:szCs w:val="24"/>
          <w:lang w:bidi="en-US"/>
        </w:rPr>
      </w:pPr>
    </w:p>
    <w:p w:rsidR="00A214C5" w:rsidRPr="00A214C5" w:rsidRDefault="00A214C5" w:rsidP="00A214C5">
      <w:pPr>
        <w:widowControl w:val="0"/>
        <w:numPr>
          <w:ilvl w:val="0"/>
          <w:numId w:val="23"/>
        </w:numPr>
        <w:contextualSpacing/>
        <w:rPr>
          <w:rFonts w:eastAsia="Times New Roman" w:cs="Times New Roman"/>
          <w:szCs w:val="24"/>
          <w:lang w:bidi="en-US"/>
        </w:rPr>
      </w:pPr>
      <w:r w:rsidRPr="00A214C5">
        <w:rPr>
          <w:rFonts w:eastAsia="Times New Roman" w:cs="Times New Roman"/>
          <w:szCs w:val="24"/>
          <w:lang w:bidi="en-US"/>
        </w:rPr>
        <w:t>rapid rehydration in association with words to the effect of ‘after at least 60 minutes or more of strenuous physical activity’;</w:t>
      </w:r>
    </w:p>
    <w:p w:rsidR="00A214C5" w:rsidRPr="00A214C5" w:rsidRDefault="00A214C5" w:rsidP="00A214C5">
      <w:pPr>
        <w:widowControl w:val="0"/>
        <w:numPr>
          <w:ilvl w:val="0"/>
          <w:numId w:val="23"/>
        </w:numPr>
        <w:contextualSpacing/>
        <w:rPr>
          <w:rFonts w:eastAsia="Times New Roman" w:cs="Times New Roman"/>
          <w:szCs w:val="24"/>
          <w:lang w:bidi="en-US"/>
        </w:rPr>
      </w:pPr>
      <w:r w:rsidRPr="00A214C5">
        <w:rPr>
          <w:rFonts w:eastAsia="Times New Roman" w:cs="Times New Roman"/>
          <w:szCs w:val="24"/>
          <w:lang w:bidi="en-US"/>
        </w:rPr>
        <w:t xml:space="preserve">rapid hydration in association with words to the effect of ‘during at least 60 </w:t>
      </w:r>
      <w:r w:rsidRPr="00A214C5">
        <w:rPr>
          <w:rFonts w:eastAsia="Times New Roman" w:cs="Times New Roman"/>
          <w:szCs w:val="24"/>
          <w:lang w:bidi="en-US"/>
        </w:rPr>
        <w:lastRenderedPageBreak/>
        <w:t>minutes or more of strenuous physical activity’;</w:t>
      </w:r>
    </w:p>
    <w:p w:rsidR="00A214C5" w:rsidRPr="00A214C5" w:rsidRDefault="00A214C5" w:rsidP="00A214C5">
      <w:pPr>
        <w:widowControl w:val="0"/>
        <w:numPr>
          <w:ilvl w:val="0"/>
          <w:numId w:val="23"/>
        </w:numPr>
        <w:contextualSpacing/>
        <w:rPr>
          <w:rFonts w:eastAsia="Times New Roman" w:cs="Times New Roman"/>
          <w:szCs w:val="24"/>
          <w:lang w:bidi="en-US"/>
        </w:rPr>
      </w:pPr>
      <w:r w:rsidRPr="00A214C5">
        <w:rPr>
          <w:rFonts w:eastAsia="Times New Roman" w:cs="Times New Roman"/>
          <w:szCs w:val="24"/>
          <w:lang w:bidi="en-US"/>
        </w:rPr>
        <w:t>contribution to the maintenance of performance by rapid hydration in association with words to the effect of ‘during at least 60 minutes or more of strenuous physical activity’.</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2.6.2—16(3) requires that where a health claim is made under subsection 2.6.2— 16(2), the amount of time must be expressed only as a quantifiable amount of time. For example, ‘60 minutes’ or ‘sixty minutes’; ‘1 hour’ or ‘one hour’.</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2.6.2—16(4) clarifies that, subject to subsection 2.6.2—16(3), nothing in section 2.6.2—16 is to be taken to prescribe the words that must be used when making a health claim under this section. For example, one may state ‘exercise’ instead of ‘physical activity’.</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Section 2.6.2—17 contains the following requirements for making a claim in relation to the tonicity of an electrolyte drink. </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‘Claim’ is defined in subsection 1.1.2—2(3) [see </w:t>
      </w:r>
      <w:r w:rsidRPr="00A214C5">
        <w:rPr>
          <w:rFonts w:eastAsia="Times New Roman" w:cs="Times New Roman"/>
          <w:b/>
          <w:szCs w:val="24"/>
          <w:lang w:bidi="en-US"/>
        </w:rPr>
        <w:t>subitem 3.2</w:t>
      </w:r>
      <w:r w:rsidRPr="00A214C5">
        <w:rPr>
          <w:rFonts w:eastAsia="Times New Roman" w:cs="Times New Roman"/>
          <w:szCs w:val="24"/>
          <w:lang w:bidi="en-US"/>
        </w:rPr>
        <w:t xml:space="preserve"> of the approved draft variation].</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2.6.2—17(1) only allows a claim to be made that an electrolyte drink is isotonic if</w:t>
      </w: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the electrolyte drink has an average osmolality of 250–340 mOsmol/kg.</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Subsection 2.6.2—17(2) requires that, for the labelling provisions, a declaration of the osmolality of the electrolyte drink, (expressed in mOsm/L) be made if a claim is made that an electrolyte drink is isotonic, hypertonic or hypotonic.</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The </w:t>
      </w:r>
      <w:r w:rsidRPr="00A214C5">
        <w:rPr>
          <w:rFonts w:eastAsia="Times New Roman" w:cs="Times New Roman"/>
          <w:i/>
          <w:szCs w:val="24"/>
          <w:lang w:bidi="en-US"/>
        </w:rPr>
        <w:t>Note</w:t>
      </w:r>
      <w:r w:rsidRPr="00A214C5">
        <w:rPr>
          <w:rFonts w:eastAsia="Times New Roman" w:cs="Times New Roman"/>
          <w:szCs w:val="24"/>
          <w:lang w:bidi="en-US"/>
        </w:rPr>
        <w:t xml:space="preserve"> to subsection 2.6.2—17(2) explains that the labelling provisions are set out in Standard 1.2.1.</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Section 2.6.2—18 states that subsection 1.2.8—6(12) does not apply to a claim requiring nutrition information that is made in relation to salt or sodium in an electrolyte drink or electrolyte drink base.</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The </w:t>
      </w:r>
      <w:r w:rsidRPr="00A214C5">
        <w:rPr>
          <w:rFonts w:eastAsia="Times New Roman" w:cs="Times New Roman"/>
          <w:i/>
          <w:szCs w:val="24"/>
          <w:lang w:bidi="en-US"/>
        </w:rPr>
        <w:t>Note</w:t>
      </w:r>
      <w:r w:rsidRPr="00A214C5">
        <w:rPr>
          <w:rFonts w:eastAsia="Times New Roman" w:cs="Times New Roman"/>
          <w:szCs w:val="24"/>
          <w:lang w:bidi="en-US"/>
        </w:rPr>
        <w:t xml:space="preserve"> to section 2.6.2—18 explains that subsection 1.2.8—6(12) provides that, if a claim requiring nutrition information is made in relation to salt or sodium in a food product, the NIP for that product must include a declaration of the average quantity of potassium in accordance with section S12—3.</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b/>
          <w:i/>
          <w:szCs w:val="24"/>
          <w:lang w:bidi="en-US"/>
        </w:rPr>
      </w:pPr>
      <w:r w:rsidRPr="00A214C5">
        <w:rPr>
          <w:rFonts w:eastAsia="Times New Roman" w:cs="Times New Roman"/>
          <w:b/>
          <w:i/>
          <w:szCs w:val="24"/>
          <w:lang w:bidi="en-US"/>
        </w:rPr>
        <w:t>Transitional arrangements</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The above variations will commence or take effect on the date of gazettal. See </w:t>
      </w:r>
      <w:r w:rsidRPr="00A214C5">
        <w:rPr>
          <w:rFonts w:eastAsia="Times New Roman" w:cs="Times New Roman"/>
          <w:b/>
          <w:szCs w:val="24"/>
          <w:lang w:bidi="en-US"/>
        </w:rPr>
        <w:t>clause 3</w:t>
      </w:r>
      <w:r w:rsidRPr="00A214C5">
        <w:rPr>
          <w:rFonts w:eastAsia="Times New Roman" w:cs="Times New Roman"/>
          <w:szCs w:val="24"/>
          <w:lang w:bidi="en-US"/>
        </w:rPr>
        <w:t xml:space="preserve"> of</w:t>
      </w: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the instrument of variation.</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The stock-in-trade exemption provided by section 1.1.1—9 of Standard 1.1.1 will not apply to</w:t>
      </w: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 xml:space="preserve">any of the above variations. See </w:t>
      </w:r>
      <w:r w:rsidRPr="00A214C5">
        <w:rPr>
          <w:rFonts w:eastAsia="Times New Roman" w:cs="Times New Roman"/>
          <w:b/>
          <w:szCs w:val="24"/>
          <w:lang w:bidi="en-US"/>
        </w:rPr>
        <w:t>clause 4</w:t>
      </w:r>
      <w:r w:rsidRPr="00A214C5">
        <w:rPr>
          <w:rFonts w:eastAsia="Times New Roman" w:cs="Times New Roman"/>
          <w:szCs w:val="24"/>
          <w:lang w:bidi="en-US"/>
        </w:rPr>
        <w:t xml:space="preserve"> of the instrument of variation.</w:t>
      </w:r>
    </w:p>
    <w:p w:rsidR="00A214C5" w:rsidRPr="00A214C5" w:rsidRDefault="00A214C5" w:rsidP="00A214C5">
      <w:pPr>
        <w:widowControl w:val="0"/>
        <w:rPr>
          <w:rFonts w:eastAsia="Times New Roman" w:cs="Times New Roman"/>
          <w:szCs w:val="24"/>
          <w:lang w:bidi="en-US"/>
        </w:rPr>
      </w:pPr>
    </w:p>
    <w:p w:rsidR="00A214C5" w:rsidRPr="00A214C5" w:rsidRDefault="00A214C5" w:rsidP="00A214C5">
      <w:pPr>
        <w:widowControl w:val="0"/>
        <w:rPr>
          <w:rFonts w:eastAsia="Times New Roman" w:cs="Times New Roman"/>
          <w:szCs w:val="24"/>
          <w:lang w:bidi="en-US"/>
        </w:rPr>
      </w:pPr>
      <w:r w:rsidRPr="00A214C5">
        <w:rPr>
          <w:rFonts w:eastAsia="Times New Roman" w:cs="Times New Roman"/>
          <w:b/>
          <w:szCs w:val="24"/>
          <w:lang w:bidi="en-US"/>
        </w:rPr>
        <w:t>Clause 4</w:t>
      </w:r>
      <w:r w:rsidRPr="00A214C5">
        <w:rPr>
          <w:rFonts w:eastAsia="Times New Roman" w:cs="Times New Roman"/>
          <w:szCs w:val="24"/>
          <w:lang w:bidi="en-US"/>
        </w:rPr>
        <w:t xml:space="preserve"> provides a transitional arrangement where, during a 24 month transition period</w:t>
      </w:r>
    </w:p>
    <w:p w:rsidR="00A214C5" w:rsidRPr="00A214C5" w:rsidRDefault="00A214C5" w:rsidP="00A214C5">
      <w:pPr>
        <w:widowControl w:val="0"/>
        <w:rPr>
          <w:rFonts w:eastAsia="Times New Roman" w:cs="Times New Roman"/>
          <w:szCs w:val="24"/>
          <w:lang w:bidi="en-US"/>
        </w:rPr>
      </w:pPr>
      <w:r w:rsidRPr="00A214C5">
        <w:rPr>
          <w:rFonts w:eastAsia="Times New Roman" w:cs="Times New Roman"/>
          <w:szCs w:val="24"/>
          <w:lang w:bidi="en-US"/>
        </w:rPr>
        <w:t>commencing on the date of gazettal, an electrolyte drink or electrolyte drink base may be sold if the electrolyte drink or electrolyte drink base complies with either the Code as in force without the amendments made by the approved draft variation; or the Code as amended by the approved draft variation. The intent is to provide a 24 month transitional arrangement that</w:t>
      </w:r>
    </w:p>
    <w:p w:rsidR="00A214C5" w:rsidRPr="00A214C5" w:rsidRDefault="00A214C5" w:rsidP="00A214C5">
      <w:pPr>
        <w:widowControl w:val="0"/>
        <w:rPr>
          <w:rFonts w:eastAsia="Times New Roman" w:cs="Times New Roman"/>
          <w:bCs/>
          <w:szCs w:val="24"/>
          <w:lang w:bidi="en-US"/>
        </w:rPr>
      </w:pPr>
      <w:r w:rsidRPr="00A214C5">
        <w:rPr>
          <w:rFonts w:eastAsia="Times New Roman" w:cs="Times New Roman"/>
          <w:szCs w:val="24"/>
          <w:lang w:bidi="en-US"/>
        </w:rPr>
        <w:t xml:space="preserve">covers both stock-in-trade at the time of the commencement of the variations, as well as </w:t>
      </w:r>
      <w:r w:rsidRPr="00A214C5">
        <w:rPr>
          <w:rFonts w:eastAsia="Times New Roman" w:cs="Times New Roman"/>
          <w:bCs/>
          <w:szCs w:val="24"/>
          <w:lang w:bidi="en-US"/>
        </w:rPr>
        <w:t>electrolyte drinks or electrolyte drink bases that are packaged, labelled and made available for sale before the end of the transition period.</w:t>
      </w:r>
    </w:p>
    <w:p w:rsidR="00A214C5" w:rsidRPr="00A214C5" w:rsidRDefault="00A214C5" w:rsidP="00A214C5">
      <w:pPr>
        <w:keepNext/>
        <w:widowControl w:val="0"/>
        <w:spacing w:before="240" w:after="240"/>
        <w:ind w:left="851" w:hanging="851"/>
        <w:outlineLvl w:val="1"/>
        <w:rPr>
          <w:rFonts w:eastAsia="Times New Roman" w:cs="Arial"/>
          <w:b/>
          <w:bCs/>
          <w:sz w:val="28"/>
        </w:rPr>
      </w:pPr>
      <w:r w:rsidRPr="00A214C5">
        <w:rPr>
          <w:rFonts w:eastAsia="Times New Roman" w:cs="Arial"/>
          <w:b/>
          <w:bCs/>
          <w:sz w:val="28"/>
        </w:rPr>
        <w:br w:type="page"/>
      </w:r>
    </w:p>
    <w:p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1F" w:rsidRDefault="00FF111F" w:rsidP="00A214C5">
      <w:r>
        <w:separator/>
      </w:r>
    </w:p>
  </w:endnote>
  <w:endnote w:type="continuationSeparator" w:id="0">
    <w:p w:rsidR="00FF111F" w:rsidRDefault="00FF111F" w:rsidP="00A2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1F" w:rsidRDefault="00FF111F" w:rsidP="00A214C5">
      <w:r>
        <w:separator/>
      </w:r>
    </w:p>
  </w:footnote>
  <w:footnote w:type="continuationSeparator" w:id="0">
    <w:p w:rsidR="00FF111F" w:rsidRDefault="00FF111F" w:rsidP="00A21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61C"/>
    <w:multiLevelType w:val="hybridMultilevel"/>
    <w:tmpl w:val="527E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56F7"/>
    <w:multiLevelType w:val="hybridMultilevel"/>
    <w:tmpl w:val="32A2E138"/>
    <w:lvl w:ilvl="0" w:tplc="E10E56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7D6E41"/>
    <w:multiLevelType w:val="hybridMultilevel"/>
    <w:tmpl w:val="8D62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660CF"/>
    <w:multiLevelType w:val="hybridMultilevel"/>
    <w:tmpl w:val="85F477D8"/>
    <w:lvl w:ilvl="0" w:tplc="E10E56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8B4D0C"/>
    <w:multiLevelType w:val="hybridMultilevel"/>
    <w:tmpl w:val="300E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D4A58"/>
    <w:multiLevelType w:val="hybridMultilevel"/>
    <w:tmpl w:val="AD2C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C4987"/>
    <w:multiLevelType w:val="hybridMultilevel"/>
    <w:tmpl w:val="E5244AC6"/>
    <w:lvl w:ilvl="0" w:tplc="E10E56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D13FCE"/>
    <w:multiLevelType w:val="hybridMultilevel"/>
    <w:tmpl w:val="F2C06F10"/>
    <w:lvl w:ilvl="0" w:tplc="E10E56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CE0E05"/>
    <w:multiLevelType w:val="hybridMultilevel"/>
    <w:tmpl w:val="F1D4FA02"/>
    <w:lvl w:ilvl="0" w:tplc="E10E56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ED7428"/>
    <w:multiLevelType w:val="hybridMultilevel"/>
    <w:tmpl w:val="0A5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13"/>
  </w:num>
  <w:num w:numId="9">
    <w:abstractNumId w:val="8"/>
  </w:num>
  <w:num w:numId="10">
    <w:abstractNumId w:val="10"/>
  </w:num>
  <w:num w:numId="11">
    <w:abstractNumId w:val="13"/>
  </w:num>
  <w:num w:numId="12">
    <w:abstractNumId w:val="8"/>
  </w:num>
  <w:num w:numId="13">
    <w:abstractNumId w:val="10"/>
  </w:num>
  <w:num w:numId="14">
    <w:abstractNumId w:val="5"/>
  </w:num>
  <w:num w:numId="15">
    <w:abstractNumId w:val="1"/>
  </w:num>
  <w:num w:numId="16">
    <w:abstractNumId w:val="12"/>
  </w:num>
  <w:num w:numId="17">
    <w:abstractNumId w:val="3"/>
  </w:num>
  <w:num w:numId="18">
    <w:abstractNumId w:val="4"/>
  </w:num>
  <w:num w:numId="19">
    <w:abstractNumId w:val="2"/>
  </w:num>
  <w:num w:numId="20">
    <w:abstractNumId w:val="9"/>
  </w:num>
  <w:num w:numId="21">
    <w:abstractNumId w:val="6"/>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C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14C5"/>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111F"/>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03EDA"/>
  <w15:chartTrackingRefBased/>
  <w15:docId w15:val="{78532BD9-3554-4CED-96B3-AA19D0D7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6.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gislation.gov.au" TargetMode="Externa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MMF7YEMDTSDN-199-16994</_dlc_DocId>
    <_dlc_DocIdUrl xmlns="5759555f-5bed-45a4-a4c2-4e28e2623455">
      <Url>http://fsintranet/Sections/pss/_layouts/15/DocIdRedir.aspx?ID=MMF7YEMDTSDN-199-16994</Url>
      <Description>MMF7YEMDTSDN-199-16994</Description>
    </_dlc_DocIdUrl>
  </documentManagement>
</p:properties>
</file>

<file path=customXml/itemProps1.xml><?xml version="1.0" encoding="utf-8"?>
<ds:datastoreItem xmlns:ds="http://schemas.openxmlformats.org/officeDocument/2006/customXml" ds:itemID="{30C3391B-CDB7-4CEB-9B88-E6E1C5254FF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0460DA4-6384-4A22-8AF8-F1302D6DB30F}">
  <ds:schemaRefs>
    <ds:schemaRef ds:uri="http://schemas.openxmlformats.org/officeDocument/2006/bibliography"/>
  </ds:schemaRefs>
</ds:datastoreItem>
</file>

<file path=customXml/itemProps3.xml><?xml version="1.0" encoding="utf-8"?>
<ds:datastoreItem xmlns:ds="http://schemas.openxmlformats.org/officeDocument/2006/customXml" ds:itemID="{0DBCF58B-D3F9-4A36-999C-8FC616B9EFBC}"/>
</file>

<file path=customXml/itemProps4.xml><?xml version="1.0" encoding="utf-8"?>
<ds:datastoreItem xmlns:ds="http://schemas.openxmlformats.org/officeDocument/2006/customXml" ds:itemID="{DF990315-D952-4310-B363-6ECC1B28FC9E}"/>
</file>

<file path=customXml/itemProps5.xml><?xml version="1.0" encoding="utf-8"?>
<ds:datastoreItem xmlns:ds="http://schemas.openxmlformats.org/officeDocument/2006/customXml" ds:itemID="{BF83E4C8-ED9E-40CA-9074-9991C690F5A2}"/>
</file>

<file path=customXml/itemProps6.xml><?xml version="1.0" encoding="utf-8"?>
<ds:datastoreItem xmlns:ds="http://schemas.openxmlformats.org/officeDocument/2006/customXml" ds:itemID="{84B3DFDD-58F2-46A8-AA7C-302F2025BAE6}"/>
</file>

<file path=customXml/itemProps7.xml><?xml version="1.0" encoding="utf-8"?>
<ds:datastoreItem xmlns:ds="http://schemas.openxmlformats.org/officeDocument/2006/customXml" ds:itemID="{65096649-C36E-4EAB-B911-E95F6A0C600A}"/>
</file>

<file path=customXml/itemProps8.xml><?xml version="1.0" encoding="utf-8"?>
<ds:datastoreItem xmlns:ds="http://schemas.openxmlformats.org/officeDocument/2006/customXml" ds:itemID="{12B73C1A-BDB2-4576-8D68-43A664A249A2}"/>
</file>

<file path=docProps/app.xml><?xml version="1.0" encoding="utf-8"?>
<Properties xmlns="http://schemas.openxmlformats.org/officeDocument/2006/extended-properties" xmlns:vt="http://schemas.openxmlformats.org/officeDocument/2006/docPropsVTypes">
  <Template>Normal</Template>
  <TotalTime>1</TotalTime>
  <Pages>9</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2022-08-09T00:35:00Z</dcterms:created>
  <dcterms:modified xsi:type="dcterms:W3CDTF">2022-08-09T00:36:00Z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5d456c59-ec49-4f7d-9948-e038f2ba1da3</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fffc1555-24ae-47d0-ae4a-314e67ae7c4a</vt:lpwstr>
  </property>
  <property fmtid="{D5CDD505-2E9C-101B-9397-08002B2CF9AE}" pid="9" name="DisposalClass">
    <vt:lpwstr/>
  </property>
  <property fmtid="{D5CDD505-2E9C-101B-9397-08002B2CF9AE}" pid="10" name="BCS_">
    <vt:lpwstr>531;#Instruments|4a8ff5e5-1f0e-4751-ab44-bc0d33b46a80</vt:lpwstr>
  </property>
</Properties>
</file>