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531F" w14:textId="77777777" w:rsidR="00CC6D02" w:rsidRPr="001F3124" w:rsidRDefault="00CC6D02" w:rsidP="00CC6D02">
      <w:pPr>
        <w:widowControl w:val="0"/>
        <w:rPr>
          <w:rFonts w:eastAsia="Times New Roman" w:cs="Times New Roman"/>
          <w:b/>
          <w:lang w:bidi="en-US"/>
        </w:rPr>
      </w:pPr>
      <w:r w:rsidRPr="001F3124">
        <w:rPr>
          <w:rFonts w:eastAsia="Times New Roman" w:cs="Times New Roman"/>
          <w:b/>
          <w:lang w:bidi="en-US"/>
        </w:rPr>
        <w:t>Food Standards (</w:t>
      </w:r>
      <w:r w:rsidRPr="001F3124">
        <w:rPr>
          <w:rFonts w:eastAsia="Times New Roman" w:cs="Times New Roman"/>
          <w:b/>
          <w:lang w:eastAsia="en-GB"/>
        </w:rPr>
        <w:t xml:space="preserve">Proposal P1052 – Primary Production and Processing </w:t>
      </w:r>
      <w:r>
        <w:rPr>
          <w:rFonts w:eastAsia="Times New Roman" w:cs="Times New Roman"/>
          <w:b/>
          <w:lang w:eastAsia="en-GB"/>
        </w:rPr>
        <w:t>R</w:t>
      </w:r>
      <w:r w:rsidRPr="001F3124">
        <w:rPr>
          <w:rFonts w:eastAsia="Times New Roman" w:cs="Times New Roman"/>
          <w:b/>
          <w:lang w:eastAsia="en-GB"/>
        </w:rPr>
        <w:t>equirements for Horticulture (Berries, Leafy Vegetables and Melons) – Consequential Amendments</w:t>
      </w:r>
      <w:r w:rsidRPr="001F3124">
        <w:rPr>
          <w:rFonts w:eastAsia="Times New Roman" w:cs="Times New Roman"/>
          <w:b/>
          <w:lang w:val="en-AU" w:eastAsia="en-GB"/>
        </w:rPr>
        <w:t>) Variation</w:t>
      </w:r>
    </w:p>
    <w:p w14:paraId="31D79C5C" w14:textId="77777777" w:rsidR="00CC6D02" w:rsidRPr="001F3124" w:rsidRDefault="00CC6D02" w:rsidP="00CC6D02">
      <w:pPr>
        <w:widowControl w:val="0"/>
        <w:rPr>
          <w:rFonts w:eastAsia="Times New Roman" w:cs="Times New Roman"/>
          <w:szCs w:val="24"/>
          <w:lang w:bidi="en-US"/>
        </w:rPr>
      </w:pPr>
    </w:p>
    <w:p w14:paraId="379655EE" w14:textId="77777777" w:rsidR="00CC6D02" w:rsidRPr="001F3124" w:rsidRDefault="00CC6D02" w:rsidP="00CC6D02">
      <w:pPr>
        <w:widowControl w:val="0"/>
        <w:rPr>
          <w:rFonts w:eastAsia="Times New Roman" w:cs="Times New Roman"/>
          <w:b/>
          <w:szCs w:val="24"/>
          <w:lang w:val="en-AU" w:eastAsia="en-GB"/>
        </w:rPr>
      </w:pPr>
      <w:r w:rsidRPr="001F3124">
        <w:rPr>
          <w:rFonts w:eastAsia="Times New Roman" w:cs="Times New Roman"/>
          <w:b/>
          <w:szCs w:val="24"/>
          <w:lang w:val="en-AU" w:eastAsia="en-GB"/>
        </w:rPr>
        <w:t>1.</w:t>
      </w:r>
      <w:r w:rsidRPr="001F3124">
        <w:rPr>
          <w:rFonts w:eastAsia="Times New Roman" w:cs="Times New Roman"/>
          <w:b/>
          <w:szCs w:val="24"/>
          <w:lang w:val="en-AU" w:eastAsia="en-GB"/>
        </w:rPr>
        <w:tab/>
        <w:t>Authority</w:t>
      </w:r>
    </w:p>
    <w:p w14:paraId="1D6B6381" w14:textId="77777777" w:rsidR="00CC6D02" w:rsidRPr="001F3124" w:rsidRDefault="00CC6D02" w:rsidP="00CC6D02">
      <w:pPr>
        <w:widowControl w:val="0"/>
        <w:rPr>
          <w:rFonts w:eastAsia="Times New Roman" w:cs="Times New Roman"/>
          <w:szCs w:val="24"/>
          <w:lang w:val="en-AU" w:eastAsia="en-GB"/>
        </w:rPr>
      </w:pPr>
    </w:p>
    <w:p w14:paraId="3BD50FC0" w14:textId="77777777" w:rsidR="00CC6D02" w:rsidRPr="001F3124" w:rsidRDefault="00CC6D02" w:rsidP="00CC6D02">
      <w:pPr>
        <w:widowControl w:val="0"/>
        <w:spacing w:after="240"/>
        <w:rPr>
          <w:rFonts w:eastAsia="Times New Roman" w:cs="Times New Roman"/>
          <w:szCs w:val="24"/>
          <w:lang w:bidi="en-US"/>
        </w:rPr>
      </w:pPr>
      <w:r w:rsidRPr="001F3124">
        <w:rPr>
          <w:rFonts w:eastAsia="Times New Roman" w:cs="Times New Roman"/>
          <w:szCs w:val="24"/>
          <w:lang w:bidi="en-US"/>
        </w:rPr>
        <w:t xml:space="preserve">Section 13 of the </w:t>
      </w:r>
      <w:r w:rsidRPr="001F3124">
        <w:rPr>
          <w:rFonts w:eastAsia="Times New Roman" w:cs="Times New Roman"/>
          <w:i/>
          <w:szCs w:val="24"/>
          <w:lang w:bidi="en-US"/>
        </w:rPr>
        <w:t>Food Standards Australia New Zealand Act 1991</w:t>
      </w:r>
      <w:r w:rsidRPr="001F3124">
        <w:rPr>
          <w:rFonts w:eastAsia="Times New Roman" w:cs="Times New Roman"/>
          <w:szCs w:val="24"/>
          <w:lang w:bidi="en-US"/>
        </w:rPr>
        <w:t xml:space="preserve"> (the FSANZ Act) provides that the functions of Food Standards Australia New Zealand (the Authority</w:t>
      </w:r>
      <w:r w:rsidRPr="001F3124" w:rsidDel="008D0E05">
        <w:rPr>
          <w:rFonts w:eastAsia="Times New Roman" w:cs="Times New Roman"/>
          <w:szCs w:val="24"/>
          <w:lang w:bidi="en-US"/>
        </w:rPr>
        <w:t>)</w:t>
      </w:r>
      <w:r w:rsidRPr="001F3124">
        <w:rPr>
          <w:rFonts w:eastAsia="Times New Roman" w:cs="Times New Roman"/>
          <w:szCs w:val="24"/>
          <w:lang w:bidi="en-US"/>
        </w:rPr>
        <w:t xml:space="preserve"> include the development of standards and variations of standards for inclusion in the </w:t>
      </w:r>
      <w:r w:rsidRPr="001F3124">
        <w:rPr>
          <w:rFonts w:eastAsia="Times New Roman" w:cs="Times New Roman"/>
          <w:i/>
          <w:szCs w:val="24"/>
          <w:lang w:bidi="en-US"/>
        </w:rPr>
        <w:t>Australia New Zealand Food Standards Code</w:t>
      </w:r>
      <w:r w:rsidRPr="001F3124">
        <w:rPr>
          <w:rFonts w:eastAsia="Times New Roman" w:cs="Times New Roman"/>
          <w:szCs w:val="24"/>
          <w:lang w:bidi="en-US"/>
        </w:rPr>
        <w:t xml:space="preserve"> (the Code).</w:t>
      </w:r>
    </w:p>
    <w:p w14:paraId="77CA01F4" w14:textId="77777777" w:rsidR="00CC6D02" w:rsidRPr="001F3124" w:rsidRDefault="00CC6D02" w:rsidP="00CC6D02">
      <w:pPr>
        <w:widowControl w:val="0"/>
        <w:spacing w:after="240"/>
        <w:rPr>
          <w:rFonts w:eastAsia="Times New Roman" w:cs="Times New Roman"/>
          <w:szCs w:val="24"/>
          <w:lang w:bidi="en-US"/>
        </w:rPr>
      </w:pPr>
      <w:r w:rsidRPr="001F3124">
        <w:rPr>
          <w:rFonts w:eastAsia="Times New Roman" w:cs="Times New Roman"/>
          <w:szCs w:val="24"/>
          <w:lang w:bidi="en-US"/>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1BB9D93D" w14:textId="77777777" w:rsidR="00CC6D02" w:rsidRPr="001F3124" w:rsidRDefault="00CC6D02" w:rsidP="00CC6D02">
      <w:pPr>
        <w:widowControl w:val="0"/>
        <w:rPr>
          <w:rFonts w:eastAsia="Times New Roman" w:cs="Times New Roman"/>
          <w:szCs w:val="24"/>
          <w:lang w:val="en-AU" w:eastAsia="en-GB"/>
        </w:rPr>
      </w:pPr>
      <w:r w:rsidRPr="001F3124">
        <w:rPr>
          <w:rFonts w:eastAsia="Times New Roman" w:cs="Times New Roman"/>
          <w:szCs w:val="24"/>
          <w:lang w:bidi="en-US"/>
        </w:rPr>
        <w:t>The Authority prepared Proposal P1052 to consider mandating the use of primary production and processing requirements for horticulture (berries, leafy vegetables and melons). The Authority considered the Proposal in accordance with Division 2 of Part 3</w:t>
      </w:r>
      <w:r>
        <w:rPr>
          <w:rFonts w:eastAsia="Times New Roman" w:cs="Times New Roman"/>
          <w:szCs w:val="24"/>
          <w:lang w:bidi="en-US"/>
        </w:rPr>
        <w:t>;</w:t>
      </w:r>
      <w:r w:rsidRPr="001F3124">
        <w:rPr>
          <w:rFonts w:eastAsia="Times New Roman" w:cs="Times New Roman"/>
          <w:szCs w:val="24"/>
          <w:lang w:bidi="en-US"/>
        </w:rPr>
        <w:t xml:space="preserve"> and has </w:t>
      </w:r>
      <w:r>
        <w:rPr>
          <w:rFonts w:eastAsia="Times New Roman" w:cs="Times New Roman"/>
          <w:szCs w:val="24"/>
          <w:lang w:bidi="en-US"/>
        </w:rPr>
        <w:t>approved</w:t>
      </w:r>
      <w:r w:rsidRPr="001F3124">
        <w:rPr>
          <w:rFonts w:eastAsia="Times New Roman" w:cs="Times New Roman"/>
          <w:szCs w:val="24"/>
          <w:lang w:bidi="en-US"/>
        </w:rPr>
        <w:t xml:space="preserve"> three </w:t>
      </w:r>
      <w:r>
        <w:rPr>
          <w:rFonts w:eastAsia="Times New Roman" w:cs="Times New Roman"/>
          <w:szCs w:val="24"/>
          <w:lang w:bidi="en-US"/>
        </w:rPr>
        <w:t xml:space="preserve">new </w:t>
      </w:r>
      <w:r w:rsidRPr="001F3124">
        <w:rPr>
          <w:rFonts w:eastAsia="Times New Roman" w:cs="Times New Roman"/>
          <w:szCs w:val="24"/>
          <w:lang w:bidi="en-US"/>
        </w:rPr>
        <w:t>draft standards</w:t>
      </w:r>
      <w:r w:rsidRPr="001F3124">
        <w:rPr>
          <w:rFonts w:eastAsia="Calibri" w:cs="Arial"/>
          <w:bCs/>
          <w:lang w:val="en-AU"/>
        </w:rPr>
        <w:t xml:space="preserve"> and </w:t>
      </w:r>
      <w:r>
        <w:rPr>
          <w:rFonts w:eastAsia="Calibri" w:cs="Arial"/>
          <w:bCs/>
          <w:lang w:val="en-AU"/>
        </w:rPr>
        <w:t>this</w:t>
      </w:r>
      <w:r w:rsidRPr="001F3124">
        <w:rPr>
          <w:rFonts w:eastAsia="Calibri" w:cs="Arial"/>
          <w:bCs/>
          <w:lang w:val="en-AU"/>
        </w:rPr>
        <w:t xml:space="preserve"> draft consequential variation to Standard 1.1.1</w:t>
      </w:r>
      <w:r w:rsidRPr="001F3124">
        <w:rPr>
          <w:rFonts w:eastAsia="Times New Roman" w:cs="Times New Roman"/>
          <w:szCs w:val="24"/>
          <w:lang w:val="en-AU" w:eastAsia="en-GB"/>
        </w:rPr>
        <w:t>.</w:t>
      </w:r>
    </w:p>
    <w:p w14:paraId="43CFCCB5" w14:textId="77777777" w:rsidR="00CC6D02" w:rsidRPr="001F3124" w:rsidRDefault="00CC6D02" w:rsidP="00CC6D02">
      <w:pPr>
        <w:widowControl w:val="0"/>
        <w:rPr>
          <w:rFonts w:eastAsia="Times New Roman" w:cs="Times New Roman"/>
          <w:szCs w:val="24"/>
          <w:lang w:val="en-AU" w:eastAsia="en-GB"/>
        </w:rPr>
      </w:pPr>
    </w:p>
    <w:p w14:paraId="15ED038A" w14:textId="77777777" w:rsidR="00CC6D02" w:rsidRPr="00BA50CF" w:rsidRDefault="00CC6D02" w:rsidP="00CC6D02">
      <w:pPr>
        <w:widowControl w:val="0"/>
        <w:rPr>
          <w:rFonts w:eastAsia="Times New Roman" w:cs="Times New Roman"/>
          <w:b/>
          <w:szCs w:val="24"/>
          <w:lang w:val="en-AU" w:eastAsia="en-GB"/>
        </w:rPr>
      </w:pPr>
      <w:r w:rsidRPr="00BA50CF">
        <w:rPr>
          <w:rFonts w:eastAsia="Times New Roman" w:cs="Times New Roman"/>
          <w:b/>
          <w:szCs w:val="24"/>
          <w:lang w:val="en-AU" w:eastAsia="en-GB"/>
        </w:rPr>
        <w:t>2.</w:t>
      </w:r>
      <w:r w:rsidRPr="00BA50CF">
        <w:rPr>
          <w:rFonts w:eastAsia="Times New Roman" w:cs="Times New Roman"/>
          <w:b/>
          <w:szCs w:val="24"/>
          <w:lang w:val="en-AU" w:eastAsia="en-GB"/>
        </w:rPr>
        <w:tab/>
        <w:t>Variation is a legislative instrument</w:t>
      </w:r>
    </w:p>
    <w:p w14:paraId="40AD790F" w14:textId="77777777" w:rsidR="00CC6D02" w:rsidRPr="00BA50CF" w:rsidRDefault="00CC6D02" w:rsidP="00CC6D02">
      <w:pPr>
        <w:widowControl w:val="0"/>
        <w:rPr>
          <w:rFonts w:eastAsia="Times New Roman" w:cs="Times New Roman"/>
          <w:b/>
          <w:szCs w:val="24"/>
          <w:lang w:val="en-AU" w:eastAsia="en-GB"/>
        </w:rPr>
      </w:pPr>
    </w:p>
    <w:p w14:paraId="5A0A0991" w14:textId="77777777" w:rsidR="00CC6D02" w:rsidRPr="00BA50CF" w:rsidRDefault="00CC6D02" w:rsidP="00CC6D02">
      <w:pPr>
        <w:widowControl w:val="0"/>
        <w:rPr>
          <w:rFonts w:eastAsia="Times New Roman" w:cs="Arial"/>
        </w:rPr>
      </w:pPr>
      <w:r w:rsidRPr="00BA50CF">
        <w:rPr>
          <w:rFonts w:eastAsia="Times New Roman" w:cs="Arial"/>
          <w:szCs w:val="24"/>
          <w:lang w:bidi="en-US"/>
        </w:rPr>
        <w:t xml:space="preserve">The approved draft </w:t>
      </w:r>
      <w:r>
        <w:rPr>
          <w:rFonts w:eastAsia="Times New Roman" w:cs="Arial"/>
          <w:szCs w:val="24"/>
          <w:lang w:bidi="en-US"/>
        </w:rPr>
        <w:t xml:space="preserve">consequential </w:t>
      </w:r>
      <w:r w:rsidRPr="00BA50CF">
        <w:rPr>
          <w:rFonts w:eastAsia="Times New Roman" w:cs="Arial"/>
          <w:szCs w:val="24"/>
          <w:lang w:bidi="en-US"/>
        </w:rPr>
        <w:t xml:space="preserve">variation is a legislative instrument for the purposes of the </w:t>
      </w:r>
      <w:r w:rsidRPr="00BA50CF">
        <w:rPr>
          <w:rFonts w:eastAsia="Times New Roman" w:cs="Arial"/>
          <w:i/>
          <w:iCs/>
          <w:szCs w:val="24"/>
          <w:lang w:bidi="en-US"/>
        </w:rPr>
        <w:t>Legislation Act 2003</w:t>
      </w:r>
      <w:r w:rsidRPr="00BA50CF">
        <w:rPr>
          <w:rFonts w:eastAsia="Times New Roman" w:cs="Arial"/>
          <w:szCs w:val="24"/>
          <w:lang w:bidi="en-US"/>
        </w:rPr>
        <w:t xml:space="preserve"> (see section 94 of the FSANZ Act) and is publicly available on the Federal Register of Legislation (</w:t>
      </w:r>
      <w:hyperlink r:id="rId6" w:history="1">
        <w:r w:rsidRPr="00BA50CF">
          <w:rPr>
            <w:rFonts w:eastAsia="Times New Roman" w:cs="Arial"/>
            <w:color w:val="3333FF"/>
            <w:szCs w:val="24"/>
            <w:u w:val="single"/>
            <w:lang w:bidi="en-US"/>
          </w:rPr>
          <w:t>www.legislation.gov.au</w:t>
        </w:r>
      </w:hyperlink>
      <w:r w:rsidRPr="00BA50CF">
        <w:rPr>
          <w:rFonts w:eastAsia="Times New Roman" w:cs="Arial"/>
          <w:szCs w:val="24"/>
          <w:lang w:bidi="en-US"/>
        </w:rPr>
        <w:t>).</w:t>
      </w:r>
    </w:p>
    <w:p w14:paraId="4E1DE6B4" w14:textId="77777777" w:rsidR="00CC6D02" w:rsidRPr="00BA50CF" w:rsidRDefault="00CC6D02" w:rsidP="00CC6D02">
      <w:pPr>
        <w:widowControl w:val="0"/>
        <w:rPr>
          <w:rFonts w:eastAsia="Times New Roman" w:cs="Arial"/>
          <w:szCs w:val="24"/>
          <w:lang w:bidi="en-US"/>
        </w:rPr>
      </w:pPr>
    </w:p>
    <w:p w14:paraId="6C2857DC" w14:textId="77777777" w:rsidR="00CC6D02" w:rsidRPr="00BA50CF" w:rsidRDefault="00CC6D02" w:rsidP="00CC6D02">
      <w:pPr>
        <w:widowControl w:val="0"/>
        <w:rPr>
          <w:rFonts w:eastAsia="Times New Roman" w:cs="Arial"/>
          <w:szCs w:val="24"/>
          <w:lang w:bidi="en-US"/>
        </w:rPr>
      </w:pPr>
      <w:r w:rsidRPr="00BA50CF">
        <w:rPr>
          <w:rFonts w:eastAsia="Times New Roman" w:cs="Arial"/>
          <w:szCs w:val="24"/>
          <w:lang w:bidi="en-US"/>
        </w:rPr>
        <w:t xml:space="preserve">This instrument is not subject to the disallowance or sunsetting provisions of the </w:t>
      </w:r>
      <w:r w:rsidRPr="00BA50CF">
        <w:rPr>
          <w:rFonts w:eastAsia="Times New Roman" w:cs="Arial"/>
          <w:i/>
          <w:iCs/>
          <w:szCs w:val="24"/>
          <w:lang w:bidi="en-US"/>
        </w:rPr>
        <w:t xml:space="preserve">Legislation Act 2003. </w:t>
      </w:r>
      <w:r w:rsidRPr="00BA50CF">
        <w:rPr>
          <w:rFonts w:eastAsia="Times New Roman" w:cs="Arial"/>
          <w:szCs w:val="24"/>
          <w:lang w:bidi="en-US"/>
        </w:rPr>
        <w:t>Subsections</w:t>
      </w:r>
      <w:r w:rsidRPr="00BA50CF">
        <w:rPr>
          <w:rFonts w:eastAsia="Times New Roman" w:cs="Arial"/>
          <w:i/>
          <w:iCs/>
          <w:szCs w:val="24"/>
          <w:lang w:bidi="en-US"/>
        </w:rPr>
        <w:t xml:space="preserve"> </w:t>
      </w:r>
      <w:r w:rsidRPr="00BA50CF">
        <w:rPr>
          <w:rFonts w:eastAsia="Times New Roman" w:cs="Arial"/>
          <w:szCs w:val="24"/>
          <w:lang w:bidi="en-US"/>
        </w:rPr>
        <w:t>44(1) and 54(1) of that Act</w:t>
      </w:r>
      <w:r w:rsidRPr="00BA50CF">
        <w:rPr>
          <w:rFonts w:eastAsia="Times New Roman" w:cs="Arial"/>
          <w:i/>
          <w:iCs/>
          <w:szCs w:val="24"/>
          <w:lang w:bidi="en-US"/>
        </w:rPr>
        <w:t xml:space="preserve"> </w:t>
      </w:r>
      <w:r w:rsidRPr="00BA50CF">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BA50CF">
        <w:rPr>
          <w:rFonts w:eastAsia="Times New Roman" w:cs="Arial"/>
          <w:i/>
          <w:iCs/>
          <w:szCs w:val="24"/>
          <w:lang w:bidi="en-US"/>
        </w:rPr>
        <w:t>Legislation (Exemptions and other Matters) Regulation 2015</w:t>
      </w:r>
      <w:r w:rsidRPr="00BA50CF">
        <w:rPr>
          <w:rFonts w:eastAsia="Times New Roman" w:cs="Arial"/>
          <w:szCs w:val="24"/>
          <w:lang w:bidi="en-US"/>
        </w:rPr>
        <w:t xml:space="preserve"> </w:t>
      </w:r>
      <w:r w:rsidRPr="00BA50CF">
        <w:rPr>
          <w:rFonts w:eastAsia="Times New Roman" w:cs="Arial"/>
          <w:szCs w:val="24"/>
          <w:lang w:val="en" w:bidi="en-US"/>
        </w:rPr>
        <w:t xml:space="preserve">also exempts from sunsetting legislative instruments </w:t>
      </w:r>
      <w:r w:rsidRPr="00BA50CF">
        <w:rPr>
          <w:rFonts w:eastAsia="Times New Roman" w:cs="Arial"/>
          <w:szCs w:val="24"/>
          <w:shd w:val="clear" w:color="auto" w:fill="FFFFFF"/>
          <w:lang w:bidi="en-US"/>
        </w:rPr>
        <w:t xml:space="preserve">a primary purpose of which is to </w:t>
      </w:r>
      <w:r w:rsidRPr="00BA50CF">
        <w:rPr>
          <w:rFonts w:eastAsia="Times New Roman" w:cs="Arial"/>
          <w:szCs w:val="24"/>
          <w:lang w:bidi="en-US"/>
        </w:rPr>
        <w:t>give effect to an international obligation of Australia.</w:t>
      </w:r>
    </w:p>
    <w:p w14:paraId="62BF9645" w14:textId="77777777" w:rsidR="00CC6D02" w:rsidRPr="00BA50CF" w:rsidRDefault="00CC6D02" w:rsidP="00CC6D02">
      <w:pPr>
        <w:widowControl w:val="0"/>
        <w:rPr>
          <w:rFonts w:eastAsia="Times New Roman" w:cs="Arial"/>
          <w:color w:val="0000CC"/>
          <w:szCs w:val="24"/>
          <w:lang w:bidi="en-US"/>
        </w:rPr>
      </w:pPr>
    </w:p>
    <w:p w14:paraId="6AF4BEF0" w14:textId="77777777" w:rsidR="00CC6D02" w:rsidRPr="00BA50CF" w:rsidRDefault="00CC6D02" w:rsidP="00CC6D02">
      <w:pPr>
        <w:widowControl w:val="0"/>
        <w:rPr>
          <w:rFonts w:eastAsia="Times New Roman" w:cs="Times New Roman"/>
          <w:b/>
          <w:szCs w:val="24"/>
          <w:lang w:val="en-AU" w:eastAsia="en-GB"/>
        </w:rPr>
      </w:pPr>
      <w:r w:rsidRPr="00BA50CF">
        <w:rPr>
          <w:rFonts w:eastAsia="Times New Roman" w:cs="Arial"/>
          <w:szCs w:val="24"/>
          <w:lang w:bidi="en-US"/>
        </w:rPr>
        <w:t xml:space="preserve">The </w:t>
      </w:r>
      <w:r w:rsidRPr="00BA50CF">
        <w:rPr>
          <w:rFonts w:eastAsia="Times New Roman" w:cs="Arial"/>
          <w:szCs w:val="24"/>
          <w:lang w:val="en-AU" w:bidi="en-US"/>
        </w:rPr>
        <w:t>FSANZ Act</w:t>
      </w:r>
      <w:r w:rsidRPr="00BA50CF">
        <w:rPr>
          <w:rFonts w:eastAsia="Times New Roman" w:cs="Arial"/>
          <w:i/>
          <w:iCs/>
          <w:szCs w:val="24"/>
          <w:lang w:val="en-AU" w:bidi="en-US"/>
        </w:rPr>
        <w:t xml:space="preserve"> </w:t>
      </w:r>
      <w:r w:rsidRPr="00BA50CF">
        <w:rPr>
          <w:rFonts w:eastAsia="Times New Roman" w:cs="Arial"/>
          <w:szCs w:val="24"/>
          <w:lang w:val="en-AU" w:bidi="en-US"/>
        </w:rPr>
        <w:t xml:space="preserve">gives effect to </w:t>
      </w:r>
      <w:r w:rsidRPr="00BA50CF">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BA50CF">
        <w:rPr>
          <w:rFonts w:eastAsia="Times New Roman" w:cs="Arial"/>
          <w:szCs w:val="24"/>
          <w:lang w:val="en-AU" w:bidi="en-US"/>
        </w:rPr>
        <w:t>That Act also</w:t>
      </w:r>
      <w:r w:rsidRPr="00BA50CF">
        <w:rPr>
          <w:rFonts w:eastAsia="Times New Roman" w:cs="Arial"/>
          <w:i/>
          <w:iCs/>
          <w:szCs w:val="24"/>
          <w:lang w:val="en-AU" w:bidi="en-US"/>
        </w:rPr>
        <w:t xml:space="preserve"> </w:t>
      </w:r>
      <w:r w:rsidRPr="00BA50CF">
        <w:rPr>
          <w:rFonts w:eastAsia="Times New Roman" w:cs="Arial"/>
          <w:szCs w:val="24"/>
          <w:lang w:val="en-AU" w:bidi="en-US"/>
        </w:rPr>
        <w:t xml:space="preserve">gives effect to Australia’s obligations under an international agreement between Australia and New Zealand. For these purposes, the Act </w:t>
      </w:r>
      <w:r w:rsidRPr="00BA50CF">
        <w:rPr>
          <w:rFonts w:eastAsia="Times New Roman" w:cs="Arial"/>
          <w:szCs w:val="24"/>
          <w:lang w:bidi="en-US"/>
        </w:rPr>
        <w:t xml:space="preserve">establishes the Authority to </w:t>
      </w:r>
      <w:r w:rsidRPr="00BA50CF">
        <w:rPr>
          <w:rFonts w:eastAsia="Times New Roman" w:cs="Arial"/>
          <w:szCs w:val="24"/>
          <w:lang w:val="en-AU" w:bidi="en-US"/>
        </w:rPr>
        <w:t xml:space="preserve">develop food standards </w:t>
      </w:r>
      <w:r w:rsidRPr="00BA50CF">
        <w:rPr>
          <w:rFonts w:eastAsia="Times New Roman" w:cs="Arial"/>
          <w:szCs w:val="24"/>
          <w:lang w:bidi="en-US"/>
        </w:rPr>
        <w:t xml:space="preserve">for consideration and endorsement by the Food Ministers Meeting (FMM). The FMM is established under the Food Regulation Agreement and the </w:t>
      </w:r>
      <w:r w:rsidRPr="00BA50CF">
        <w:rPr>
          <w:rFonts w:eastAsia="Times New Roman" w:cs="Arial"/>
          <w:szCs w:val="24"/>
          <w:lang w:val="en-AU" w:bidi="en-US"/>
        </w:rPr>
        <w:t>international agreement between Australia and New Zealand</w:t>
      </w:r>
      <w:r w:rsidRPr="00BA50CF">
        <w:rPr>
          <w:rFonts w:eastAsia="Times New Roman" w:cs="Arial"/>
          <w:szCs w:val="24"/>
          <w:lang w:bidi="en-US"/>
        </w:rPr>
        <w:t xml:space="preserve">, and consists of New Zealand, Commonwealth and State/Territory members. If endorsed by the FMM, </w:t>
      </w:r>
      <w:r w:rsidRPr="00BA50CF">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A4DF047" w14:textId="77777777" w:rsidR="00CC6D02" w:rsidRPr="00BA50CF" w:rsidRDefault="00CC6D02" w:rsidP="00CC6D02">
      <w:pPr>
        <w:autoSpaceDE w:val="0"/>
        <w:autoSpaceDN w:val="0"/>
        <w:adjustRightInd w:val="0"/>
        <w:rPr>
          <w:rFonts w:eastAsia="Calibri" w:cs="Arial"/>
        </w:rPr>
      </w:pPr>
    </w:p>
    <w:p w14:paraId="2B07ADA2" w14:textId="77777777" w:rsidR="00CC6D02" w:rsidRPr="001F3124" w:rsidRDefault="00CC6D02" w:rsidP="00CC6D02">
      <w:pPr>
        <w:widowControl w:val="0"/>
        <w:spacing w:after="240"/>
        <w:rPr>
          <w:rFonts w:eastAsia="Times New Roman" w:cs="Times New Roman"/>
          <w:szCs w:val="24"/>
          <w:lang w:bidi="en-US"/>
        </w:rPr>
      </w:pPr>
      <w:r>
        <w:rPr>
          <w:rFonts w:eastAsia="Times New Roman" w:cs="Times New Roman"/>
          <w:b/>
          <w:szCs w:val="24"/>
          <w:lang w:bidi="en-US"/>
        </w:rPr>
        <w:t>3</w:t>
      </w:r>
      <w:r w:rsidRPr="001F3124">
        <w:rPr>
          <w:rFonts w:eastAsia="Times New Roman" w:cs="Times New Roman"/>
          <w:b/>
          <w:szCs w:val="24"/>
          <w:lang w:bidi="en-US"/>
        </w:rPr>
        <w:t>.</w:t>
      </w:r>
      <w:r w:rsidRPr="001F3124">
        <w:rPr>
          <w:rFonts w:eastAsia="Times New Roman" w:cs="Times New Roman"/>
          <w:b/>
          <w:szCs w:val="24"/>
          <w:lang w:bidi="en-US"/>
        </w:rPr>
        <w:tab/>
        <w:t>Purpose</w:t>
      </w:r>
    </w:p>
    <w:p w14:paraId="609CF186" w14:textId="77777777" w:rsidR="00CC6D02" w:rsidRPr="001F3124" w:rsidRDefault="00CC6D02" w:rsidP="00CC6D02">
      <w:pPr>
        <w:widowControl w:val="0"/>
        <w:spacing w:after="240"/>
        <w:rPr>
          <w:rFonts w:eastAsia="Times New Roman" w:cs="Times New Roman"/>
          <w:lang w:val="en-AU" w:eastAsia="en-GB"/>
        </w:rPr>
      </w:pPr>
      <w:r w:rsidRPr="001F3124">
        <w:rPr>
          <w:rFonts w:eastAsia="Times New Roman" w:cs="Times New Roman"/>
          <w:lang w:val="en-AU" w:eastAsia="en-GB"/>
        </w:rPr>
        <w:t xml:space="preserve">The Authority has </w:t>
      </w:r>
      <w:r>
        <w:rPr>
          <w:rFonts w:eastAsia="Times New Roman" w:cs="Times New Roman"/>
          <w:lang w:val="en-AU" w:eastAsia="en-GB"/>
        </w:rPr>
        <w:t>approved</w:t>
      </w:r>
      <w:r w:rsidRPr="001F3124">
        <w:rPr>
          <w:rFonts w:eastAsia="Times New Roman" w:cs="Times New Roman"/>
          <w:lang w:val="en-AU" w:eastAsia="en-GB"/>
        </w:rPr>
        <w:t xml:space="preserve"> a draft </w:t>
      </w:r>
      <w:r>
        <w:rPr>
          <w:rFonts w:eastAsia="Times New Roman" w:cs="Times New Roman"/>
          <w:lang w:val="en-AU" w:eastAsia="en-GB"/>
        </w:rPr>
        <w:t xml:space="preserve">consequential </w:t>
      </w:r>
      <w:r w:rsidRPr="001F3124">
        <w:rPr>
          <w:rFonts w:eastAsia="Times New Roman" w:cs="Times New Roman"/>
          <w:lang w:val="en-AU" w:eastAsia="en-GB"/>
        </w:rPr>
        <w:t xml:space="preserve">variation called </w:t>
      </w:r>
      <w:r w:rsidRPr="001F3124">
        <w:rPr>
          <w:rFonts w:eastAsia="Times New Roman" w:cs="Times New Roman"/>
          <w:i/>
          <w:lang w:bidi="en-US"/>
        </w:rPr>
        <w:t>Food Standards (</w:t>
      </w:r>
      <w:r w:rsidRPr="001F3124">
        <w:rPr>
          <w:rFonts w:eastAsia="Times New Roman" w:cs="Times New Roman"/>
          <w:i/>
          <w:lang w:eastAsia="en-GB"/>
        </w:rPr>
        <w:t xml:space="preserve">Proposal P1052 – Primary Production and Processing </w:t>
      </w:r>
      <w:r>
        <w:rPr>
          <w:rFonts w:eastAsia="Times New Roman" w:cs="Times New Roman"/>
          <w:i/>
          <w:lang w:eastAsia="en-GB"/>
        </w:rPr>
        <w:t>R</w:t>
      </w:r>
      <w:r w:rsidRPr="001F3124">
        <w:rPr>
          <w:rFonts w:eastAsia="Times New Roman" w:cs="Times New Roman"/>
          <w:i/>
          <w:lang w:eastAsia="en-GB"/>
        </w:rPr>
        <w:t>equirements for Horticulture (Berries, Leafy Vegetables and Melons) – Consequential Amendments</w:t>
      </w:r>
      <w:r w:rsidRPr="001F3124">
        <w:rPr>
          <w:rFonts w:eastAsia="Times New Roman" w:cs="Times New Roman"/>
          <w:i/>
          <w:lang w:val="en-AU" w:eastAsia="en-GB"/>
        </w:rPr>
        <w:t>) Variation</w:t>
      </w:r>
      <w:r w:rsidRPr="001F3124">
        <w:rPr>
          <w:rFonts w:eastAsia="Times New Roman" w:cs="Times New Roman"/>
          <w:szCs w:val="24"/>
          <w:lang w:bidi="en-US"/>
        </w:rPr>
        <w:t xml:space="preserve"> </w:t>
      </w:r>
      <w:r w:rsidRPr="001F3124">
        <w:rPr>
          <w:rFonts w:eastAsia="Times New Roman" w:cs="Times New Roman"/>
          <w:lang w:val="en-AU" w:eastAsia="en-GB"/>
        </w:rPr>
        <w:t xml:space="preserve">to make a consequential </w:t>
      </w:r>
      <w:r w:rsidRPr="001F3124">
        <w:rPr>
          <w:rFonts w:eastAsia="Times New Roman" w:cs="Times New Roman"/>
          <w:lang w:val="en-AU" w:eastAsia="en-GB"/>
        </w:rPr>
        <w:lastRenderedPageBreak/>
        <w:t xml:space="preserve">amendment to Standard 1.1.1 to account for the commencement of </w:t>
      </w:r>
      <w:r>
        <w:rPr>
          <w:rFonts w:eastAsia="Times New Roman" w:cs="Times New Roman"/>
          <w:lang w:val="en-AU" w:eastAsia="en-GB"/>
        </w:rPr>
        <w:t xml:space="preserve">approved new </w:t>
      </w:r>
      <w:r w:rsidRPr="001F3124">
        <w:rPr>
          <w:rFonts w:eastAsia="Times New Roman" w:cs="Times New Roman"/>
          <w:lang w:val="en-AU" w:eastAsia="en-GB"/>
        </w:rPr>
        <w:t>Standards 4.2.7, 4.2.8 and 4.2.9.</w:t>
      </w:r>
    </w:p>
    <w:p w14:paraId="7FEA7B11" w14:textId="77777777" w:rsidR="00CC6D02" w:rsidRPr="001F3124" w:rsidRDefault="00CC6D02" w:rsidP="00CC6D02">
      <w:pPr>
        <w:widowControl w:val="0"/>
        <w:spacing w:after="240"/>
        <w:rPr>
          <w:rFonts w:eastAsia="Times New Roman" w:cs="Times New Roman"/>
          <w:szCs w:val="24"/>
          <w:lang w:val="en-AU" w:eastAsia="en-GB"/>
        </w:rPr>
      </w:pPr>
      <w:r>
        <w:rPr>
          <w:rFonts w:eastAsia="Times New Roman" w:cs="Times New Roman"/>
          <w:b/>
          <w:szCs w:val="24"/>
          <w:lang w:val="en-AU" w:eastAsia="en-GB"/>
        </w:rPr>
        <w:t>4</w:t>
      </w:r>
      <w:r w:rsidRPr="001F3124">
        <w:rPr>
          <w:rFonts w:eastAsia="Times New Roman" w:cs="Times New Roman"/>
          <w:b/>
          <w:szCs w:val="24"/>
          <w:lang w:val="en-AU" w:eastAsia="en-GB"/>
        </w:rPr>
        <w:t>.</w:t>
      </w:r>
      <w:r w:rsidRPr="001F3124">
        <w:rPr>
          <w:rFonts w:eastAsia="Times New Roman" w:cs="Times New Roman"/>
          <w:b/>
          <w:szCs w:val="24"/>
          <w:lang w:val="en-AU" w:eastAsia="en-GB"/>
        </w:rPr>
        <w:tab/>
        <w:t>Documents incorporated by reference</w:t>
      </w:r>
    </w:p>
    <w:p w14:paraId="61802FC3" w14:textId="77777777" w:rsidR="00CC6D02" w:rsidRPr="001F3124" w:rsidRDefault="00CC6D02" w:rsidP="00CC6D02">
      <w:pPr>
        <w:widowControl w:val="0"/>
        <w:spacing w:after="240"/>
        <w:rPr>
          <w:rFonts w:eastAsia="Times New Roman" w:cs="Times New Roman"/>
          <w:b/>
          <w:szCs w:val="24"/>
          <w:lang w:bidi="en-US"/>
        </w:rPr>
      </w:pPr>
      <w:r w:rsidRPr="001F3124">
        <w:rPr>
          <w:rFonts w:eastAsia="Calibri" w:cs="Arial"/>
          <w:bCs/>
          <w:lang w:val="en-AU"/>
        </w:rPr>
        <w:t xml:space="preserve">The </w:t>
      </w:r>
      <w:r>
        <w:rPr>
          <w:rFonts w:eastAsia="Calibri" w:cs="Arial"/>
          <w:bCs/>
          <w:lang w:val="en-AU"/>
        </w:rPr>
        <w:t xml:space="preserve">approved </w:t>
      </w:r>
      <w:r w:rsidRPr="001F3124">
        <w:rPr>
          <w:rFonts w:eastAsia="Calibri" w:cs="Arial"/>
          <w:bCs/>
          <w:lang w:val="en-AU"/>
        </w:rPr>
        <w:t>consequential variation does not incorporate any documents by reference.</w:t>
      </w:r>
      <w:r w:rsidRPr="001F3124">
        <w:rPr>
          <w:rFonts w:eastAsia="Times New Roman" w:cs="Times New Roman"/>
          <w:b/>
          <w:szCs w:val="24"/>
          <w:lang w:bidi="en-US"/>
        </w:rPr>
        <w:t xml:space="preserve"> </w:t>
      </w:r>
    </w:p>
    <w:p w14:paraId="0DB53DF6" w14:textId="77777777" w:rsidR="00CC6D02" w:rsidRPr="001F3124" w:rsidRDefault="00CC6D02" w:rsidP="00CC6D02">
      <w:pPr>
        <w:widowControl w:val="0"/>
        <w:rPr>
          <w:rFonts w:eastAsia="Times New Roman" w:cs="Times New Roman"/>
          <w:b/>
          <w:szCs w:val="24"/>
          <w:lang w:val="en-AU" w:eastAsia="en-GB"/>
        </w:rPr>
      </w:pPr>
      <w:r>
        <w:rPr>
          <w:rFonts w:eastAsia="Times New Roman" w:cs="Times New Roman"/>
          <w:b/>
          <w:szCs w:val="24"/>
          <w:lang w:val="en-AU" w:eastAsia="en-GB"/>
        </w:rPr>
        <w:t>5</w:t>
      </w:r>
      <w:r w:rsidRPr="001F3124">
        <w:rPr>
          <w:rFonts w:eastAsia="Times New Roman" w:cs="Times New Roman"/>
          <w:b/>
          <w:szCs w:val="24"/>
          <w:lang w:val="en-AU" w:eastAsia="en-GB"/>
        </w:rPr>
        <w:t>.</w:t>
      </w:r>
      <w:r w:rsidRPr="001F3124">
        <w:rPr>
          <w:rFonts w:eastAsia="Times New Roman" w:cs="Times New Roman"/>
          <w:b/>
          <w:szCs w:val="24"/>
          <w:lang w:val="en-AU" w:eastAsia="en-GB"/>
        </w:rPr>
        <w:tab/>
        <w:t>Consultation</w:t>
      </w:r>
    </w:p>
    <w:p w14:paraId="7D16ABFA" w14:textId="77777777" w:rsidR="00CC6D02" w:rsidRPr="001F3124" w:rsidRDefault="00CC6D02" w:rsidP="00CC6D02">
      <w:pPr>
        <w:widowControl w:val="0"/>
        <w:rPr>
          <w:rFonts w:eastAsia="Times New Roman" w:cs="Times New Roman"/>
          <w:b/>
          <w:szCs w:val="24"/>
          <w:lang w:val="en-AU" w:eastAsia="en-GB"/>
        </w:rPr>
      </w:pPr>
    </w:p>
    <w:p w14:paraId="69D09D10" w14:textId="77777777" w:rsidR="00CC6D02" w:rsidRPr="001F3124" w:rsidRDefault="00CC6D02" w:rsidP="00CC6D02">
      <w:pPr>
        <w:widowControl w:val="0"/>
        <w:rPr>
          <w:rFonts w:eastAsia="Times New Roman" w:cs="Times New Roman"/>
          <w:lang w:bidi="en-US"/>
        </w:rPr>
      </w:pPr>
      <w:r w:rsidRPr="001F3124">
        <w:rPr>
          <w:rFonts w:eastAsia="Times New Roman" w:cs="Times New Roman"/>
          <w:lang w:bidi="en-US"/>
        </w:rPr>
        <w:t xml:space="preserve">In accordance with the procedure in </w:t>
      </w:r>
      <w:r w:rsidRPr="001F3124">
        <w:rPr>
          <w:rFonts w:eastAsia="Calibri" w:cs="Arial"/>
          <w:bCs/>
          <w:color w:val="000000"/>
          <w:lang w:val="en-AU"/>
        </w:rPr>
        <w:t xml:space="preserve">Division 2 of Part 3 </w:t>
      </w:r>
      <w:r w:rsidRPr="001F3124">
        <w:rPr>
          <w:rFonts w:eastAsia="Times New Roman" w:cs="Times New Roman"/>
          <w:lang w:bidi="en-US"/>
        </w:rPr>
        <w:t>of the FSANZ Act, the Authority’s consideration of Proposal P1052 included two rounds of public consultation following an assessment</w:t>
      </w:r>
      <w:r>
        <w:rPr>
          <w:rFonts w:eastAsia="Times New Roman" w:cs="Times New Roman"/>
          <w:lang w:bidi="en-US"/>
        </w:rPr>
        <w:t>;</w:t>
      </w:r>
      <w:r w:rsidRPr="001F3124">
        <w:rPr>
          <w:rFonts w:eastAsia="Times New Roman" w:cs="Times New Roman"/>
          <w:lang w:bidi="en-US"/>
        </w:rPr>
        <w:t xml:space="preserve"> </w:t>
      </w:r>
      <w:r w:rsidRPr="001F3124">
        <w:rPr>
          <w:rFonts w:eastAsia="Times New Roman" w:cs="Times New Roman"/>
          <w:szCs w:val="24"/>
          <w:lang w:bidi="en-US"/>
        </w:rPr>
        <w:t>targeted communication with key stakeholders</w:t>
      </w:r>
      <w:r>
        <w:rPr>
          <w:rFonts w:eastAsia="Times New Roman" w:cs="Times New Roman"/>
          <w:szCs w:val="24"/>
          <w:lang w:bidi="en-US"/>
        </w:rPr>
        <w:t>;</w:t>
      </w:r>
      <w:r w:rsidRPr="001F3124">
        <w:rPr>
          <w:rFonts w:eastAsia="Times New Roman" w:cs="Times New Roman"/>
          <w:lang w:bidi="en-US"/>
        </w:rPr>
        <w:t xml:space="preserve"> and the preparation of three draft standards</w:t>
      </w:r>
      <w:r>
        <w:rPr>
          <w:rFonts w:eastAsia="Times New Roman" w:cs="Times New Roman"/>
          <w:lang w:bidi="en-US"/>
        </w:rPr>
        <w:t xml:space="preserve">, </w:t>
      </w:r>
      <w:r>
        <w:rPr>
          <w:rFonts w:eastAsia="Calibri" w:cs="Arial"/>
          <w:bCs/>
          <w:lang w:val="en-AU"/>
        </w:rPr>
        <w:t>a</w:t>
      </w:r>
      <w:r w:rsidRPr="001F3124">
        <w:rPr>
          <w:rFonts w:eastAsia="Calibri" w:cs="Arial"/>
          <w:bCs/>
          <w:lang w:val="en-AU"/>
        </w:rPr>
        <w:t xml:space="preserve"> draft consequential variation</w:t>
      </w:r>
      <w:r>
        <w:rPr>
          <w:rFonts w:eastAsia="Calibri" w:cs="Arial"/>
          <w:bCs/>
          <w:lang w:val="en-AU"/>
        </w:rPr>
        <w:t>,</w:t>
      </w:r>
      <w:r w:rsidRPr="001F3124">
        <w:rPr>
          <w:rFonts w:eastAsia="Times New Roman" w:cs="Times New Roman"/>
          <w:lang w:bidi="en-US"/>
        </w:rPr>
        <w:t xml:space="preserve"> and associated assessment summaries. </w:t>
      </w:r>
    </w:p>
    <w:p w14:paraId="032669C6" w14:textId="77777777" w:rsidR="00CC6D02" w:rsidRPr="001F3124" w:rsidRDefault="00CC6D02" w:rsidP="00CC6D02">
      <w:pPr>
        <w:widowControl w:val="0"/>
        <w:rPr>
          <w:rFonts w:eastAsia="Times New Roman" w:cs="Times New Roman"/>
          <w:lang w:bidi="en-US"/>
        </w:rPr>
      </w:pPr>
    </w:p>
    <w:p w14:paraId="73B4872D" w14:textId="77777777" w:rsidR="00CC6D02" w:rsidRPr="001F3124" w:rsidRDefault="00CC6D02" w:rsidP="00CC6D02">
      <w:pPr>
        <w:widowControl w:val="0"/>
        <w:rPr>
          <w:rFonts w:eastAsia="Times New Roman" w:cs="Times New Roman"/>
          <w:lang w:bidi="en-US"/>
        </w:rPr>
      </w:pPr>
      <w:r w:rsidRPr="001F3124">
        <w:rPr>
          <w:rFonts w:eastAsia="Times New Roman" w:cs="Times New Roman"/>
          <w:lang w:bidi="en-US"/>
        </w:rPr>
        <w:t>The first call for submissions</w:t>
      </w:r>
      <w:r w:rsidRPr="001F3124">
        <w:rPr>
          <w:rFonts w:eastAsia="Times New Roman" w:cs="Arial"/>
          <w:lang w:bidi="en-US"/>
        </w:rPr>
        <w:t xml:space="preserve"> was held between February and </w:t>
      </w:r>
      <w:r w:rsidRPr="001F3124">
        <w:rPr>
          <w:rFonts w:eastAsia="Times New Roman" w:cs="Arial"/>
          <w:shd w:val="clear" w:color="auto" w:fill="FFFFFF"/>
          <w:lang w:bidi="en-US"/>
        </w:rPr>
        <w:t>March 2020</w:t>
      </w:r>
      <w:r w:rsidRPr="001F3124">
        <w:rPr>
          <w:rFonts w:eastAsia="Times New Roman" w:cs="Arial"/>
          <w:lang w:bidi="en-US"/>
        </w:rPr>
        <w:t>. Targete</w:t>
      </w:r>
      <w:r w:rsidRPr="001F3124">
        <w:rPr>
          <w:rFonts w:eastAsia="Times New Roman" w:cs="Times New Roman"/>
          <w:lang w:bidi="en-US"/>
        </w:rPr>
        <w:t>d consultation was undertaken in December 2020–January 2021. The second call for submissions was held between November 2021 and February 2022.</w:t>
      </w:r>
    </w:p>
    <w:p w14:paraId="6FB2B6AB" w14:textId="77777777" w:rsidR="00CC6D02" w:rsidRPr="001F3124" w:rsidRDefault="00CC6D02" w:rsidP="00CC6D02">
      <w:pPr>
        <w:widowControl w:val="0"/>
        <w:rPr>
          <w:rFonts w:eastAsia="Times New Roman" w:cs="Times New Roman"/>
          <w:lang w:bidi="en-US"/>
        </w:rPr>
      </w:pPr>
    </w:p>
    <w:p w14:paraId="3616AF7D"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 xml:space="preserve">A Standards Development Advisory Group was established with representatives from the industry sector and State, Territory and </w:t>
      </w:r>
      <w:r>
        <w:rPr>
          <w:rFonts w:eastAsia="Times New Roman" w:cs="Times New Roman"/>
          <w:szCs w:val="24"/>
          <w:lang w:bidi="en-US"/>
        </w:rPr>
        <w:t>Commonwealth</w:t>
      </w:r>
      <w:r w:rsidRPr="001F3124">
        <w:rPr>
          <w:rFonts w:eastAsia="Times New Roman" w:cs="Times New Roman"/>
          <w:szCs w:val="24"/>
          <w:lang w:bidi="en-US"/>
        </w:rPr>
        <w:t xml:space="preserve"> government agencies to provide ongoing advice to FSANZ throughout the standard development process. A Horticulture Implementation Working Group comprised of State, Territory and </w:t>
      </w:r>
      <w:r>
        <w:rPr>
          <w:rFonts w:eastAsia="Times New Roman" w:cs="Times New Roman"/>
          <w:szCs w:val="24"/>
          <w:lang w:bidi="en-US"/>
        </w:rPr>
        <w:t>Commonwealth</w:t>
      </w:r>
      <w:r w:rsidRPr="001F3124">
        <w:rPr>
          <w:rFonts w:eastAsia="Times New Roman" w:cs="Times New Roman"/>
          <w:szCs w:val="24"/>
          <w:lang w:bidi="en-US"/>
        </w:rPr>
        <w:t xml:space="preserve"> government regulators was established by the Implementation Sub-committee for Food Regulation to work with FSANZ and ensure a nationally consistent approach to implementation of the standards.</w:t>
      </w:r>
    </w:p>
    <w:p w14:paraId="1F572182" w14:textId="77777777" w:rsidR="00CC6D02" w:rsidRPr="001F3124" w:rsidRDefault="00CC6D02" w:rsidP="00CC6D02">
      <w:pPr>
        <w:widowControl w:val="0"/>
        <w:rPr>
          <w:rFonts w:eastAsia="Calibri" w:cs="Times New Roman"/>
          <w:szCs w:val="24"/>
          <w:lang w:bidi="en-US"/>
        </w:rPr>
      </w:pPr>
    </w:p>
    <w:p w14:paraId="6CAD3C8F" w14:textId="77777777" w:rsidR="00CC6D02" w:rsidRPr="001F3124" w:rsidRDefault="00CC6D02" w:rsidP="00CC6D02">
      <w:pPr>
        <w:widowControl w:val="0"/>
        <w:rPr>
          <w:rFonts w:eastAsia="Times New Roman" w:cs="Times New Roman"/>
          <w:b/>
          <w:szCs w:val="24"/>
          <w:lang w:val="en-AU" w:eastAsia="en-GB"/>
        </w:rPr>
      </w:pPr>
      <w:r w:rsidRPr="001F3124">
        <w:rPr>
          <w:rFonts w:eastAsia="Calibri" w:cs="Times New Roman"/>
          <w:color w:val="000000"/>
          <w:szCs w:val="24"/>
          <w:lang w:bidi="en-US"/>
        </w:rPr>
        <w:t xml:space="preserve">A Decision Regulation Impact Statement (DRIS) was prepared by the Authority and has been approved by The Office of Best Practice Regulation (Reference - </w:t>
      </w:r>
      <w:r w:rsidRPr="001F3124">
        <w:rPr>
          <w:rFonts w:eastAsia="Times New Roman" w:cs="Times New Roman"/>
          <w:color w:val="000000"/>
          <w:sz w:val="21"/>
          <w:szCs w:val="21"/>
          <w:shd w:val="clear" w:color="auto" w:fill="FFFFFF"/>
          <w:lang w:bidi="en-US"/>
        </w:rPr>
        <w:t>OBPR22-01822)</w:t>
      </w:r>
      <w:r w:rsidRPr="001F3124">
        <w:rPr>
          <w:rFonts w:eastAsia="Calibri" w:cs="Times New Roman"/>
          <w:color w:val="000000"/>
          <w:szCs w:val="24"/>
          <w:lang w:bidi="en-US"/>
        </w:rPr>
        <w:t>.</w:t>
      </w:r>
    </w:p>
    <w:p w14:paraId="4CF92CF7" w14:textId="77777777" w:rsidR="00CC6D02" w:rsidRPr="001F3124" w:rsidRDefault="00CC6D02" w:rsidP="00CC6D02">
      <w:pPr>
        <w:widowControl w:val="0"/>
        <w:rPr>
          <w:rFonts w:eastAsia="Times New Roman" w:cs="Times New Roman"/>
          <w:szCs w:val="24"/>
          <w:lang w:val="en-AU" w:eastAsia="en-GB"/>
        </w:rPr>
      </w:pPr>
    </w:p>
    <w:p w14:paraId="0E3ED2AE" w14:textId="77777777" w:rsidR="00CC6D02" w:rsidRPr="001F3124" w:rsidRDefault="00CC6D02" w:rsidP="00CC6D02">
      <w:pPr>
        <w:rPr>
          <w:rFonts w:eastAsia="Calibri" w:cs="Arial"/>
          <w:b/>
          <w:bCs/>
          <w:lang w:val="en-AU"/>
        </w:rPr>
      </w:pPr>
      <w:r>
        <w:rPr>
          <w:rFonts w:eastAsia="Calibri" w:cs="Arial"/>
          <w:b/>
          <w:bCs/>
          <w:lang w:val="en-AU"/>
        </w:rPr>
        <w:t>6</w:t>
      </w:r>
      <w:r w:rsidRPr="001F3124">
        <w:rPr>
          <w:rFonts w:eastAsia="Calibri" w:cs="Arial"/>
          <w:b/>
          <w:bCs/>
          <w:lang w:val="en-AU"/>
        </w:rPr>
        <w:t>.</w:t>
      </w:r>
      <w:r w:rsidRPr="001F3124">
        <w:rPr>
          <w:rFonts w:eastAsia="Calibri" w:cs="Arial"/>
          <w:b/>
          <w:bCs/>
          <w:lang w:val="en-AU"/>
        </w:rPr>
        <w:tab/>
        <w:t>Statement of compatibility with human rights</w:t>
      </w:r>
    </w:p>
    <w:p w14:paraId="1B25139D" w14:textId="77777777" w:rsidR="00CC6D02" w:rsidRPr="001F3124" w:rsidRDefault="00CC6D02" w:rsidP="00CC6D02">
      <w:pPr>
        <w:widowControl w:val="0"/>
        <w:rPr>
          <w:rFonts w:eastAsia="Calibri" w:cs="Times New Roman"/>
          <w:szCs w:val="24"/>
          <w:lang w:val="en-AU"/>
        </w:rPr>
      </w:pPr>
    </w:p>
    <w:p w14:paraId="786E1C90" w14:textId="77777777" w:rsidR="00CC6D02" w:rsidRPr="001F3124" w:rsidRDefault="00CC6D02" w:rsidP="00CC6D02">
      <w:pPr>
        <w:widowControl w:val="0"/>
        <w:spacing w:after="240"/>
        <w:rPr>
          <w:rFonts w:eastAsia="Times New Roman" w:cs="Times New Roman"/>
          <w:b/>
          <w:szCs w:val="24"/>
          <w:lang w:bidi="en-US"/>
        </w:rPr>
      </w:pPr>
      <w:r w:rsidRPr="001F3124">
        <w:rPr>
          <w:rFonts w:eastAsia="Calibri" w:cs="Times New Roman"/>
          <w:szCs w:val="24"/>
          <w:lang w:val="en-AU"/>
        </w:rPr>
        <w:t xml:space="preserve">This instrument is exempt from the requirements for a statement of compatibility with human rights as it is a non-disallowable instrument under section </w:t>
      </w:r>
      <w:r>
        <w:rPr>
          <w:rFonts w:eastAsia="Calibri" w:cs="Times New Roman"/>
          <w:szCs w:val="24"/>
          <w:lang w:val="en-AU"/>
        </w:rPr>
        <w:t>4</w:t>
      </w:r>
      <w:r w:rsidRPr="001F3124">
        <w:rPr>
          <w:rFonts w:eastAsia="Calibri" w:cs="Times New Roman"/>
          <w:szCs w:val="24"/>
          <w:lang w:val="en-AU"/>
        </w:rPr>
        <w:t xml:space="preserve">4 </w:t>
      </w:r>
      <w:r w:rsidRPr="00BA50CF">
        <w:rPr>
          <w:rFonts w:eastAsia="Times New Roman" w:cs="Arial"/>
          <w:szCs w:val="24"/>
          <w:lang w:bidi="en-US"/>
        </w:rPr>
        <w:t xml:space="preserve">of the </w:t>
      </w:r>
      <w:r w:rsidRPr="00BA50CF">
        <w:rPr>
          <w:rFonts w:eastAsia="Times New Roman" w:cs="Arial"/>
          <w:i/>
          <w:iCs/>
          <w:szCs w:val="24"/>
          <w:lang w:bidi="en-US"/>
        </w:rPr>
        <w:t>Legislation Act 2003</w:t>
      </w:r>
      <w:r w:rsidRPr="001F3124">
        <w:rPr>
          <w:rFonts w:eastAsia="Calibri" w:cs="Times New Roman"/>
          <w:szCs w:val="24"/>
          <w:lang w:val="en-AU"/>
        </w:rPr>
        <w:t>.</w:t>
      </w:r>
      <w:r w:rsidRPr="001F3124">
        <w:rPr>
          <w:rFonts w:eastAsia="Times New Roman" w:cs="Times New Roman"/>
          <w:b/>
          <w:szCs w:val="24"/>
          <w:lang w:bidi="en-US"/>
        </w:rPr>
        <w:t xml:space="preserve"> </w:t>
      </w:r>
    </w:p>
    <w:p w14:paraId="334AB8CC" w14:textId="77777777" w:rsidR="00CC6D02" w:rsidRPr="001F3124" w:rsidRDefault="00CC6D02" w:rsidP="00CC6D02">
      <w:pPr>
        <w:widowControl w:val="0"/>
        <w:rPr>
          <w:rFonts w:eastAsia="Times New Roman" w:cs="Times New Roman"/>
          <w:b/>
          <w:szCs w:val="24"/>
          <w:lang w:val="en-AU" w:eastAsia="en-GB"/>
        </w:rPr>
      </w:pPr>
      <w:r>
        <w:rPr>
          <w:rFonts w:eastAsia="Times New Roman" w:cs="Times New Roman"/>
          <w:b/>
          <w:szCs w:val="24"/>
          <w:lang w:bidi="en-US"/>
        </w:rPr>
        <w:t>7</w:t>
      </w:r>
      <w:r w:rsidRPr="001F3124">
        <w:rPr>
          <w:rFonts w:eastAsia="Times New Roman" w:cs="Times New Roman"/>
          <w:b/>
          <w:szCs w:val="24"/>
          <w:lang w:bidi="en-US"/>
        </w:rPr>
        <w:t>.</w:t>
      </w:r>
      <w:r w:rsidRPr="001F3124">
        <w:rPr>
          <w:rFonts w:eastAsia="Times New Roman" w:cs="Times New Roman"/>
          <w:b/>
          <w:szCs w:val="24"/>
          <w:lang w:bidi="en-US"/>
        </w:rPr>
        <w:tab/>
      </w:r>
      <w:r w:rsidRPr="001F3124">
        <w:rPr>
          <w:rFonts w:eastAsia="Times New Roman" w:cs="Times New Roman"/>
          <w:b/>
          <w:szCs w:val="24"/>
          <w:lang w:val="en-AU" w:eastAsia="en-GB"/>
        </w:rPr>
        <w:t>Variation</w:t>
      </w:r>
      <w:r w:rsidRPr="001F3124">
        <w:rPr>
          <w:rFonts w:eastAsia="Times New Roman" w:cs="Times New Roman"/>
          <w:b/>
          <w:szCs w:val="24"/>
          <w:lang w:val="en-AU" w:eastAsia="en-GB"/>
        </w:rPr>
        <w:br/>
      </w:r>
    </w:p>
    <w:p w14:paraId="54A046F2"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 xml:space="preserve">Clause 1 provides that the name of the </w:t>
      </w:r>
      <w:r>
        <w:rPr>
          <w:rFonts w:eastAsia="Times New Roman" w:cs="Times New Roman"/>
          <w:szCs w:val="24"/>
          <w:lang w:bidi="en-US"/>
        </w:rPr>
        <w:t>V</w:t>
      </w:r>
      <w:r w:rsidRPr="001F3124">
        <w:rPr>
          <w:rFonts w:eastAsia="Times New Roman" w:cs="Times New Roman"/>
          <w:szCs w:val="24"/>
          <w:lang w:bidi="en-US"/>
        </w:rPr>
        <w:t xml:space="preserve">ariation is </w:t>
      </w:r>
      <w:r w:rsidRPr="001F3124">
        <w:rPr>
          <w:rFonts w:eastAsia="Times New Roman" w:cs="Times New Roman"/>
          <w:i/>
          <w:lang w:bidi="en-US"/>
        </w:rPr>
        <w:t>Food Standards (</w:t>
      </w:r>
      <w:r w:rsidRPr="001F3124">
        <w:rPr>
          <w:rFonts w:eastAsia="Times New Roman" w:cs="Times New Roman"/>
          <w:i/>
          <w:lang w:eastAsia="en-GB"/>
        </w:rPr>
        <w:t xml:space="preserve">Proposal P1052 – Primary Production and Processing </w:t>
      </w:r>
      <w:r>
        <w:rPr>
          <w:rFonts w:eastAsia="Times New Roman" w:cs="Times New Roman"/>
          <w:i/>
          <w:lang w:eastAsia="en-GB"/>
        </w:rPr>
        <w:t>R</w:t>
      </w:r>
      <w:r w:rsidRPr="001F3124">
        <w:rPr>
          <w:rFonts w:eastAsia="Times New Roman" w:cs="Times New Roman"/>
          <w:i/>
          <w:lang w:eastAsia="en-GB"/>
        </w:rPr>
        <w:t>equirements for Horticulture (Berries, Leafy Vegetables and Melons</w:t>
      </w:r>
      <w:r>
        <w:rPr>
          <w:rFonts w:eastAsia="Times New Roman" w:cs="Times New Roman"/>
          <w:i/>
          <w:lang w:eastAsia="en-GB"/>
        </w:rPr>
        <w:t>)</w:t>
      </w:r>
      <w:r w:rsidRPr="001F3124">
        <w:rPr>
          <w:rFonts w:eastAsia="Times New Roman" w:cs="Times New Roman"/>
          <w:i/>
          <w:lang w:eastAsia="en-GB"/>
        </w:rPr>
        <w:t xml:space="preserve"> – Consequential Amendments</w:t>
      </w:r>
      <w:r w:rsidRPr="001F3124">
        <w:rPr>
          <w:rFonts w:eastAsia="Times New Roman" w:cs="Times New Roman"/>
          <w:i/>
          <w:lang w:val="en-AU" w:eastAsia="en-GB"/>
        </w:rPr>
        <w:t>) Variation</w:t>
      </w:r>
      <w:r w:rsidRPr="001F3124">
        <w:rPr>
          <w:rFonts w:eastAsia="Times New Roman" w:cs="Times New Roman"/>
          <w:i/>
          <w:szCs w:val="24"/>
          <w:lang w:bidi="en-US"/>
        </w:rPr>
        <w:t>.</w:t>
      </w:r>
    </w:p>
    <w:p w14:paraId="23CE8DC7" w14:textId="77777777" w:rsidR="00CC6D02" w:rsidRPr="001F3124" w:rsidRDefault="00CC6D02" w:rsidP="00CC6D02">
      <w:pPr>
        <w:widowControl w:val="0"/>
        <w:rPr>
          <w:rFonts w:eastAsia="Times New Roman" w:cs="Times New Roman"/>
          <w:szCs w:val="24"/>
          <w:lang w:bidi="en-US"/>
        </w:rPr>
      </w:pPr>
    </w:p>
    <w:p w14:paraId="4621D94B"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 xml:space="preserve">Clause 2 provides that the Schedule to the </w:t>
      </w:r>
      <w:r>
        <w:rPr>
          <w:rFonts w:eastAsia="Times New Roman" w:cs="Times New Roman"/>
          <w:szCs w:val="24"/>
          <w:lang w:bidi="en-US"/>
        </w:rPr>
        <w:t>V</w:t>
      </w:r>
      <w:r w:rsidRPr="001F3124">
        <w:rPr>
          <w:rFonts w:eastAsia="Times New Roman" w:cs="Times New Roman"/>
          <w:szCs w:val="24"/>
          <w:lang w:bidi="en-US"/>
        </w:rPr>
        <w:t>ariation</w:t>
      </w:r>
      <w:r>
        <w:rPr>
          <w:rFonts w:eastAsia="Times New Roman" w:cs="Times New Roman"/>
          <w:szCs w:val="24"/>
          <w:lang w:bidi="en-US"/>
        </w:rPr>
        <w:t xml:space="preserve"> varies a standard in the Code</w:t>
      </w:r>
      <w:r w:rsidRPr="001F3124">
        <w:rPr>
          <w:rFonts w:eastAsia="Times New Roman" w:cs="Times New Roman"/>
          <w:szCs w:val="24"/>
          <w:lang w:bidi="en-US"/>
        </w:rPr>
        <w:t>.</w:t>
      </w:r>
    </w:p>
    <w:p w14:paraId="1B99EF76" w14:textId="77777777" w:rsidR="00CC6D02" w:rsidRPr="001F3124" w:rsidRDefault="00CC6D02" w:rsidP="00CC6D02">
      <w:pPr>
        <w:widowControl w:val="0"/>
        <w:rPr>
          <w:rFonts w:eastAsia="Times New Roman" w:cs="Times New Roman"/>
          <w:szCs w:val="24"/>
          <w:lang w:bidi="en-US"/>
        </w:rPr>
      </w:pPr>
    </w:p>
    <w:p w14:paraId="7B8433D7"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 xml:space="preserve">Clause 3 provides that the </w:t>
      </w:r>
      <w:r>
        <w:rPr>
          <w:rFonts w:eastAsia="Times New Roman" w:cs="Times New Roman"/>
          <w:szCs w:val="24"/>
          <w:lang w:bidi="en-US"/>
        </w:rPr>
        <w:t>V</w:t>
      </w:r>
      <w:r w:rsidRPr="001F3124">
        <w:rPr>
          <w:rFonts w:eastAsia="Times New Roman" w:cs="Times New Roman"/>
          <w:szCs w:val="24"/>
          <w:lang w:bidi="en-US"/>
        </w:rPr>
        <w:t>ariation commence</w:t>
      </w:r>
      <w:r>
        <w:rPr>
          <w:rFonts w:eastAsia="Times New Roman" w:cs="Times New Roman"/>
          <w:szCs w:val="24"/>
          <w:lang w:bidi="en-US"/>
        </w:rPr>
        <w:t>s</w:t>
      </w:r>
      <w:r w:rsidRPr="001F3124">
        <w:rPr>
          <w:rFonts w:eastAsia="Times New Roman" w:cs="Times New Roman"/>
          <w:szCs w:val="24"/>
          <w:lang w:bidi="en-US"/>
        </w:rPr>
        <w:t xml:space="preserve"> immediately after </w:t>
      </w:r>
      <w:r>
        <w:rPr>
          <w:rFonts w:eastAsia="Times New Roman" w:cs="Times New Roman"/>
          <w:szCs w:val="24"/>
          <w:lang w:bidi="en-US"/>
        </w:rPr>
        <w:t xml:space="preserve">all of the approved new standards, i.e. </w:t>
      </w:r>
      <w:r w:rsidRPr="001F3124">
        <w:rPr>
          <w:rFonts w:eastAsia="Times New Roman" w:cs="Times New Roman"/>
          <w:szCs w:val="24"/>
          <w:lang w:bidi="en-US"/>
        </w:rPr>
        <w:t xml:space="preserve">Standards </w:t>
      </w:r>
      <w:r w:rsidRPr="001F3124">
        <w:rPr>
          <w:rFonts w:eastAsia="Times New Roman" w:cs="Times New Roman"/>
          <w:lang w:val="en-AU" w:eastAsia="en-GB"/>
        </w:rPr>
        <w:t>4.2.7, 4.2.8 and 4.2.9</w:t>
      </w:r>
      <w:r>
        <w:rPr>
          <w:rFonts w:eastAsia="Times New Roman" w:cs="Times New Roman"/>
          <w:lang w:val="en-AU" w:eastAsia="en-GB"/>
        </w:rPr>
        <w:t>,</w:t>
      </w:r>
      <w:r w:rsidRPr="001F3124">
        <w:rPr>
          <w:rFonts w:eastAsia="Times New Roman" w:cs="Times New Roman"/>
          <w:szCs w:val="24"/>
          <w:lang w:bidi="en-US"/>
        </w:rPr>
        <w:t xml:space="preserve"> take effect.</w:t>
      </w:r>
    </w:p>
    <w:p w14:paraId="19C5C53B" w14:textId="77777777" w:rsidR="00CC6D02" w:rsidRPr="001F3124" w:rsidRDefault="00CC6D02" w:rsidP="00CC6D02">
      <w:pPr>
        <w:widowControl w:val="0"/>
        <w:rPr>
          <w:rFonts w:eastAsia="Times New Roman" w:cs="Times New Roman"/>
          <w:szCs w:val="24"/>
          <w:lang w:bidi="en-US"/>
        </w:rPr>
      </w:pPr>
    </w:p>
    <w:p w14:paraId="532C214E"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val="en-AU" w:eastAsia="en-GB"/>
        </w:rPr>
        <w:t xml:space="preserve">Item [1] of the </w:t>
      </w:r>
      <w:r>
        <w:rPr>
          <w:rFonts w:eastAsia="Times New Roman" w:cs="Times New Roman"/>
          <w:szCs w:val="24"/>
          <w:lang w:val="en-AU" w:eastAsia="en-GB"/>
        </w:rPr>
        <w:t xml:space="preserve">Schedule to the </w:t>
      </w:r>
      <w:r w:rsidRPr="001F3124">
        <w:rPr>
          <w:rFonts w:eastAsia="Times New Roman" w:cs="Times New Roman"/>
          <w:szCs w:val="24"/>
          <w:lang w:val="en-AU" w:eastAsia="en-GB"/>
        </w:rPr>
        <w:t>Variation amends subsection 1.1.1—2(2) by omitting the reference to ‘</w:t>
      </w:r>
      <w:r w:rsidRPr="001F3124">
        <w:rPr>
          <w:rFonts w:eastAsia="Times New Roman" w:cs="Times New Roman"/>
          <w:szCs w:val="24"/>
          <w:lang w:bidi="en-US"/>
        </w:rPr>
        <w:t xml:space="preserve">Standard 4.2.6 Production and Processing Standard for Seed Sprouts’ in the list of standards in that subsection and replacing that reference with </w:t>
      </w:r>
      <w:r>
        <w:rPr>
          <w:rFonts w:eastAsia="Times New Roman" w:cs="Times New Roman"/>
          <w:szCs w:val="24"/>
          <w:lang w:bidi="en-US"/>
        </w:rPr>
        <w:t>the following</w:t>
      </w:r>
      <w:r w:rsidRPr="001F3124">
        <w:rPr>
          <w:rFonts w:eastAsia="Times New Roman" w:cs="Times New Roman"/>
          <w:szCs w:val="24"/>
          <w:lang w:bidi="en-US"/>
        </w:rPr>
        <w:t>:</w:t>
      </w:r>
    </w:p>
    <w:p w14:paraId="5F068201" w14:textId="77777777" w:rsidR="00CC6D02" w:rsidRPr="001F3124" w:rsidRDefault="00CC6D02" w:rsidP="00CC6D02">
      <w:pPr>
        <w:widowControl w:val="0"/>
        <w:rPr>
          <w:rFonts w:eastAsia="Times New Roman" w:cs="Times New Roman"/>
          <w:szCs w:val="24"/>
          <w:lang w:bidi="en-US"/>
        </w:rPr>
      </w:pPr>
    </w:p>
    <w:p w14:paraId="17B643F2" w14:textId="77777777" w:rsidR="00CC6D02" w:rsidRPr="001F3124" w:rsidRDefault="00CC6D02" w:rsidP="00CC6D02">
      <w:pPr>
        <w:widowControl w:val="0"/>
        <w:rPr>
          <w:rFonts w:eastAsia="Times New Roman" w:cs="Times New Roman"/>
          <w:szCs w:val="24"/>
          <w:lang w:bidi="en-US"/>
        </w:rPr>
      </w:pPr>
      <w:r>
        <w:rPr>
          <w:rFonts w:eastAsia="Times New Roman" w:cs="Times New Roman"/>
          <w:szCs w:val="24"/>
          <w:lang w:bidi="en-US"/>
        </w:rPr>
        <w:t>‘</w:t>
      </w:r>
      <w:r w:rsidRPr="001F3124">
        <w:rPr>
          <w:rFonts w:eastAsia="Times New Roman" w:cs="Times New Roman"/>
          <w:szCs w:val="24"/>
          <w:lang w:bidi="en-US"/>
        </w:rPr>
        <w:t>Standard 4.2.6</w:t>
      </w:r>
      <w:r w:rsidRPr="001F3124">
        <w:rPr>
          <w:rFonts w:eastAsia="Times New Roman" w:cs="Times New Roman"/>
          <w:szCs w:val="24"/>
          <w:lang w:bidi="en-US"/>
        </w:rPr>
        <w:tab/>
        <w:t>Production and Processing Standard for Seed Sprouts</w:t>
      </w:r>
    </w:p>
    <w:p w14:paraId="46595DC0"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Standard 4.2.7</w:t>
      </w:r>
      <w:r w:rsidRPr="001F3124">
        <w:rPr>
          <w:rFonts w:eastAsia="Times New Roman" w:cs="Times New Roman"/>
          <w:szCs w:val="24"/>
          <w:lang w:bidi="en-US"/>
        </w:rPr>
        <w:tab/>
        <w:t>Primary Production and Processing Standard for Berries</w:t>
      </w:r>
    </w:p>
    <w:p w14:paraId="6D6E697C"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Standard 4.2.8</w:t>
      </w:r>
      <w:r w:rsidRPr="001F3124">
        <w:rPr>
          <w:rFonts w:eastAsia="Times New Roman" w:cs="Times New Roman"/>
          <w:szCs w:val="24"/>
          <w:lang w:bidi="en-US"/>
        </w:rPr>
        <w:tab/>
        <w:t>Primary Production and Processing Standard for Leafy Vegetables</w:t>
      </w:r>
    </w:p>
    <w:p w14:paraId="3FD1B8FA" w14:textId="77777777" w:rsidR="00CC6D02" w:rsidRPr="001F3124" w:rsidRDefault="00CC6D02" w:rsidP="00CC6D02">
      <w:pPr>
        <w:widowControl w:val="0"/>
        <w:rPr>
          <w:rFonts w:eastAsia="Times New Roman" w:cs="Times New Roman"/>
          <w:szCs w:val="24"/>
          <w:lang w:bidi="en-US"/>
        </w:rPr>
      </w:pPr>
      <w:r w:rsidRPr="001F3124">
        <w:rPr>
          <w:rFonts w:eastAsia="Times New Roman" w:cs="Times New Roman"/>
          <w:szCs w:val="24"/>
          <w:lang w:bidi="en-US"/>
        </w:rPr>
        <w:t>Standard 4.2.9</w:t>
      </w:r>
      <w:r w:rsidRPr="001F3124">
        <w:rPr>
          <w:rFonts w:eastAsia="Times New Roman" w:cs="Times New Roman"/>
          <w:szCs w:val="24"/>
          <w:lang w:bidi="en-US"/>
        </w:rPr>
        <w:tab/>
        <w:t>Primary Production and Processing Standard for Melons</w:t>
      </w:r>
      <w:r>
        <w:rPr>
          <w:rFonts w:eastAsia="Times New Roman" w:cs="Times New Roman"/>
          <w:szCs w:val="24"/>
          <w:lang w:bidi="en-US"/>
        </w:rPr>
        <w:t>’.</w:t>
      </w:r>
    </w:p>
    <w:p w14:paraId="6BB21D45" w14:textId="77777777" w:rsidR="00CC6D02" w:rsidRPr="001F3124" w:rsidRDefault="00CC6D02" w:rsidP="00CC6D02">
      <w:pPr>
        <w:widowControl w:val="0"/>
        <w:rPr>
          <w:rFonts w:eastAsia="Times New Roman" w:cs="Times New Roman"/>
          <w:szCs w:val="24"/>
          <w:lang w:bidi="en-US"/>
        </w:rPr>
      </w:pPr>
    </w:p>
    <w:p w14:paraId="2B19C0BA" w14:textId="77777777" w:rsidR="00CC6D02" w:rsidRPr="001F3124" w:rsidRDefault="00CC6D02" w:rsidP="00CC6D02">
      <w:pPr>
        <w:widowControl w:val="0"/>
        <w:rPr>
          <w:rFonts w:eastAsia="Times New Roman" w:cs="Times New Roman"/>
          <w:szCs w:val="24"/>
          <w:lang w:val="en-AU" w:eastAsia="en-GB"/>
        </w:rPr>
      </w:pPr>
      <w:r w:rsidRPr="001F3124">
        <w:rPr>
          <w:rFonts w:eastAsia="Times New Roman" w:cs="Times New Roman"/>
          <w:szCs w:val="24"/>
          <w:lang w:val="en-AU" w:eastAsia="en-GB"/>
        </w:rPr>
        <w:t xml:space="preserve">Subsection 1.1.1—2(2) lists all the </w:t>
      </w:r>
      <w:r>
        <w:rPr>
          <w:rFonts w:eastAsia="Times New Roman" w:cs="Times New Roman"/>
          <w:szCs w:val="24"/>
          <w:lang w:val="en-AU" w:eastAsia="en-GB"/>
        </w:rPr>
        <w:t>s</w:t>
      </w:r>
      <w:r w:rsidRPr="001F3124">
        <w:rPr>
          <w:rFonts w:eastAsia="Times New Roman" w:cs="Times New Roman"/>
          <w:szCs w:val="24"/>
          <w:lang w:val="en-AU" w:eastAsia="en-GB"/>
        </w:rPr>
        <w:t xml:space="preserve">tandards of the Code arranged into Chapters, Parts and </w:t>
      </w:r>
      <w:r w:rsidRPr="001F3124">
        <w:rPr>
          <w:rFonts w:eastAsia="Times New Roman" w:cs="Times New Roman"/>
          <w:szCs w:val="24"/>
          <w:lang w:val="en-AU" w:eastAsia="en-GB"/>
        </w:rPr>
        <w:lastRenderedPageBreak/>
        <w:t xml:space="preserve">a set of Schedules. The list does not currently contain references to the </w:t>
      </w:r>
      <w:r>
        <w:rPr>
          <w:rFonts w:eastAsia="Times New Roman" w:cs="Times New Roman"/>
          <w:szCs w:val="24"/>
          <w:lang w:val="en-AU" w:eastAsia="en-GB"/>
        </w:rPr>
        <w:t xml:space="preserve">approved </w:t>
      </w:r>
      <w:r w:rsidRPr="001F3124">
        <w:rPr>
          <w:rFonts w:eastAsia="Times New Roman" w:cs="Times New Roman"/>
          <w:szCs w:val="24"/>
          <w:lang w:val="en-AU" w:eastAsia="en-GB"/>
        </w:rPr>
        <w:t xml:space="preserve">new </w:t>
      </w:r>
      <w:r>
        <w:rPr>
          <w:rFonts w:eastAsia="Times New Roman" w:cs="Times New Roman"/>
          <w:szCs w:val="24"/>
          <w:lang w:val="en-AU" w:eastAsia="en-GB"/>
        </w:rPr>
        <w:t>s</w:t>
      </w:r>
      <w:r w:rsidRPr="001F3124">
        <w:rPr>
          <w:rFonts w:eastAsia="Times New Roman" w:cs="Times New Roman"/>
          <w:szCs w:val="24"/>
          <w:lang w:val="en-AU" w:eastAsia="en-GB"/>
        </w:rPr>
        <w:t>tandards.</w:t>
      </w:r>
    </w:p>
    <w:p w14:paraId="16035F56" w14:textId="77777777" w:rsidR="00CC6D02" w:rsidRPr="001F3124" w:rsidRDefault="00CC6D02" w:rsidP="00CC6D02">
      <w:pPr>
        <w:widowControl w:val="0"/>
        <w:rPr>
          <w:rFonts w:eastAsia="Times New Roman" w:cs="Times New Roman"/>
          <w:szCs w:val="24"/>
          <w:lang w:val="en-AU" w:eastAsia="en-GB"/>
        </w:rPr>
      </w:pPr>
    </w:p>
    <w:p w14:paraId="1A6D2FD3" w14:textId="77777777" w:rsidR="00CC6D02" w:rsidRPr="001F3124" w:rsidRDefault="00CC6D02" w:rsidP="00CC6D02">
      <w:pPr>
        <w:widowControl w:val="0"/>
        <w:rPr>
          <w:rFonts w:eastAsia="Times New Roman" w:cs="Times New Roman"/>
          <w:szCs w:val="24"/>
          <w:lang w:val="en-AU" w:eastAsia="en-GB"/>
        </w:rPr>
      </w:pPr>
      <w:r w:rsidRPr="001F3124">
        <w:rPr>
          <w:rFonts w:eastAsia="Times New Roman" w:cs="Times New Roman"/>
          <w:szCs w:val="24"/>
          <w:lang w:val="en-AU" w:eastAsia="en-GB"/>
        </w:rPr>
        <w:t xml:space="preserve">The effect of this amendment is that the </w:t>
      </w:r>
      <w:r>
        <w:rPr>
          <w:rFonts w:eastAsia="Times New Roman" w:cs="Times New Roman"/>
          <w:szCs w:val="24"/>
          <w:lang w:val="en-AU" w:eastAsia="en-GB"/>
        </w:rPr>
        <w:t xml:space="preserve">approved </w:t>
      </w:r>
      <w:r w:rsidRPr="001F3124">
        <w:rPr>
          <w:rFonts w:eastAsia="Times New Roman" w:cs="Times New Roman"/>
          <w:szCs w:val="24"/>
          <w:lang w:val="en-AU" w:eastAsia="en-GB"/>
        </w:rPr>
        <w:t xml:space="preserve">new </w:t>
      </w:r>
      <w:r>
        <w:rPr>
          <w:rFonts w:eastAsia="Times New Roman" w:cs="Times New Roman"/>
          <w:szCs w:val="24"/>
          <w:lang w:val="en-AU" w:eastAsia="en-GB"/>
        </w:rPr>
        <w:t>s</w:t>
      </w:r>
      <w:r w:rsidRPr="001F3124">
        <w:rPr>
          <w:rFonts w:eastAsia="Times New Roman" w:cs="Times New Roman"/>
          <w:szCs w:val="24"/>
          <w:lang w:val="en-AU" w:eastAsia="en-GB"/>
        </w:rPr>
        <w:t xml:space="preserve">tandards </w:t>
      </w:r>
      <w:r>
        <w:rPr>
          <w:rFonts w:eastAsia="Times New Roman" w:cs="Times New Roman"/>
          <w:szCs w:val="24"/>
          <w:lang w:val="en-AU" w:eastAsia="en-GB"/>
        </w:rPr>
        <w:t>will be</w:t>
      </w:r>
      <w:r w:rsidRPr="001F3124">
        <w:rPr>
          <w:rFonts w:eastAsia="Times New Roman" w:cs="Times New Roman"/>
          <w:szCs w:val="24"/>
          <w:lang w:val="en-AU" w:eastAsia="en-GB"/>
        </w:rPr>
        <w:t xml:space="preserve"> listed in subsection 1.1.1—2(2), under Chapter 4 (Primary </w:t>
      </w:r>
      <w:r>
        <w:rPr>
          <w:rFonts w:eastAsia="Times New Roman" w:cs="Times New Roman"/>
          <w:szCs w:val="24"/>
          <w:lang w:val="en-AU" w:eastAsia="en-GB"/>
        </w:rPr>
        <w:t>p</w:t>
      </w:r>
      <w:r w:rsidRPr="001F3124">
        <w:rPr>
          <w:rFonts w:eastAsia="Times New Roman" w:cs="Times New Roman"/>
          <w:szCs w:val="24"/>
          <w:lang w:val="en-AU" w:eastAsia="en-GB"/>
        </w:rPr>
        <w:t xml:space="preserve">roduction </w:t>
      </w:r>
      <w:r>
        <w:rPr>
          <w:rFonts w:eastAsia="Times New Roman" w:cs="Times New Roman"/>
          <w:szCs w:val="24"/>
          <w:lang w:val="en-AU" w:eastAsia="en-GB"/>
        </w:rPr>
        <w:t>s</w:t>
      </w:r>
      <w:r w:rsidRPr="001F3124">
        <w:rPr>
          <w:rFonts w:eastAsia="Times New Roman" w:cs="Times New Roman"/>
          <w:szCs w:val="24"/>
          <w:lang w:val="en-AU" w:eastAsia="en-GB"/>
        </w:rPr>
        <w:t xml:space="preserve">tandards), in numerical order according to the number of the relevant </w:t>
      </w:r>
      <w:r>
        <w:rPr>
          <w:rFonts w:eastAsia="Times New Roman" w:cs="Times New Roman"/>
          <w:szCs w:val="24"/>
          <w:lang w:val="en-AU" w:eastAsia="en-GB"/>
        </w:rPr>
        <w:t>s</w:t>
      </w:r>
      <w:r w:rsidRPr="001F3124">
        <w:rPr>
          <w:rFonts w:eastAsia="Times New Roman" w:cs="Times New Roman"/>
          <w:szCs w:val="24"/>
          <w:lang w:val="en-AU" w:eastAsia="en-GB"/>
        </w:rPr>
        <w:t>tandard.</w:t>
      </w:r>
    </w:p>
    <w:p w14:paraId="69D0735D" w14:textId="77777777" w:rsidR="00CC6D02" w:rsidRPr="001F3124" w:rsidRDefault="00CC6D02" w:rsidP="00CC6D02">
      <w:pPr>
        <w:widowControl w:val="0"/>
        <w:rPr>
          <w:rFonts w:eastAsia="Times New Roman" w:cs="Times New Roman"/>
          <w:szCs w:val="24"/>
          <w:lang w:val="en-AU" w:eastAsia="en-GB"/>
        </w:rPr>
      </w:pPr>
    </w:p>
    <w:p w14:paraId="64DD96E9"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906837675">
    <w:abstractNumId w:val="0"/>
  </w:num>
  <w:num w:numId="2" w16cid:durableId="1493371040">
    <w:abstractNumId w:val="0"/>
  </w:num>
  <w:num w:numId="3" w16cid:durableId="1419129625">
    <w:abstractNumId w:val="0"/>
  </w:num>
  <w:num w:numId="4" w16cid:durableId="1858420042">
    <w:abstractNumId w:val="0"/>
  </w:num>
  <w:num w:numId="5" w16cid:durableId="187524409">
    <w:abstractNumId w:val="0"/>
  </w:num>
  <w:num w:numId="6" w16cid:durableId="1732461182">
    <w:abstractNumId w:val="0"/>
  </w:num>
  <w:num w:numId="7" w16cid:durableId="1834878335">
    <w:abstractNumId w:val="0"/>
  </w:num>
  <w:num w:numId="8" w16cid:durableId="19936232">
    <w:abstractNumId w:val="3"/>
  </w:num>
  <w:num w:numId="9" w16cid:durableId="1139617998">
    <w:abstractNumId w:val="1"/>
  </w:num>
  <w:num w:numId="10" w16cid:durableId="631598629">
    <w:abstractNumId w:val="2"/>
  </w:num>
  <w:num w:numId="11" w16cid:durableId="285815703">
    <w:abstractNumId w:val="3"/>
  </w:num>
  <w:num w:numId="12" w16cid:durableId="461768627">
    <w:abstractNumId w:val="1"/>
  </w:num>
  <w:num w:numId="13" w16cid:durableId="92368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0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C6D0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0072"/>
  <w15:chartTrackingRefBased/>
  <w15:docId w15:val="{FAD045A5-1E6F-481E-AA29-CD14269A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CC6D02"/>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5694</Characters>
  <Application>Microsoft Office Word</Application>
  <DocSecurity>0</DocSecurity>
  <Lines>47</Lines>
  <Paragraphs>13</Paragraphs>
  <ScaleCrop>false</ScaleCrop>
  <Company>Food Standards Australia New Zealand</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1</cp:revision>
  <dcterms:created xsi:type="dcterms:W3CDTF">2022-10-09T23:51:00Z</dcterms:created>
  <dcterms:modified xsi:type="dcterms:W3CDTF">2022-10-09T23:52:00Z</dcterms:modified>
</cp:coreProperties>
</file>