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0FE5" w14:textId="77777777" w:rsidR="0045692F" w:rsidRPr="0045692F" w:rsidRDefault="0045692F" w:rsidP="0045692F">
      <w:pPr>
        <w:spacing w:after="0" w:line="240" w:lineRule="auto"/>
        <w:rPr>
          <w:rFonts w:ascii="Times New Roman" w:eastAsia="Times New Roman" w:hAnsi="Times New Roman" w:cs="Times New Roman"/>
          <w:sz w:val="28"/>
          <w:szCs w:val="24"/>
          <w:lang w:eastAsia="en-AU"/>
        </w:rPr>
      </w:pPr>
      <w:bookmarkStart w:id="0" w:name="_Ref93068785"/>
      <w:r w:rsidRPr="0045692F">
        <w:rPr>
          <w:rFonts w:ascii="Times New Roman" w:eastAsia="Times New Roman" w:hAnsi="Times New Roman" w:cs="Times New Roman"/>
          <w:noProof/>
          <w:sz w:val="24"/>
          <w:szCs w:val="24"/>
          <w:lang w:eastAsia="en-AU"/>
        </w:rPr>
        <w:drawing>
          <wp:inline distT="0" distB="0" distL="0" distR="0" wp14:anchorId="0A5C3E5D" wp14:editId="0FD11B1A">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2207ABE" w14:textId="77777777" w:rsidR="0045692F" w:rsidRPr="0045692F" w:rsidRDefault="0045692F" w:rsidP="0045692F">
      <w:pPr>
        <w:spacing w:after="0" w:line="240" w:lineRule="auto"/>
        <w:rPr>
          <w:rFonts w:ascii="Times New Roman" w:eastAsia="Times New Roman" w:hAnsi="Times New Roman" w:cs="Times New Roman"/>
          <w:sz w:val="19"/>
          <w:szCs w:val="24"/>
          <w:lang w:eastAsia="en-AU"/>
        </w:rPr>
      </w:pPr>
    </w:p>
    <w:p w14:paraId="5311877D" w14:textId="1972C156" w:rsidR="0045692F" w:rsidRPr="0045692F" w:rsidRDefault="0045692F" w:rsidP="003D0AC6">
      <w:pPr>
        <w:pStyle w:val="ttTitleofInstrument"/>
      </w:pPr>
      <w:r w:rsidRPr="0045692F">
        <w:t>Agricultural and Veterinary Chemicals Code (</w:t>
      </w:r>
      <w:r w:rsidR="00661CEC">
        <w:t>Allowable Variation in Concentrations of Constituents in Agricultural Chemical Products) Standard</w:t>
      </w:r>
      <w:r w:rsidRPr="0045692F">
        <w:t xml:space="preserve"> 2022</w:t>
      </w:r>
    </w:p>
    <w:p w14:paraId="6287B6A7" w14:textId="1D421082" w:rsidR="0045692F" w:rsidRPr="0045692F" w:rsidRDefault="00162563" w:rsidP="0045692F">
      <w:pPr>
        <w:pBdr>
          <w:top w:val="single" w:sz="4" w:space="1" w:color="auto"/>
        </w:pBdr>
        <w:spacing w:before="240" w:after="0" w:line="260" w:lineRule="atLeast"/>
        <w:ind w:right="91"/>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 </w:t>
      </w:r>
      <w:r w:rsidR="00465C25">
        <w:rPr>
          <w:rFonts w:ascii="Times New Roman" w:eastAsia="Times New Roman" w:hAnsi="Times New Roman" w:cs="Times New Roman"/>
          <w:lang w:eastAsia="en-AU"/>
        </w:rPr>
        <w:t>Sheila Logan</w:t>
      </w:r>
      <w:r w:rsidR="0045692F" w:rsidRPr="0045692F">
        <w:rPr>
          <w:rFonts w:ascii="Times New Roman" w:eastAsia="Times New Roman" w:hAnsi="Times New Roman" w:cs="Times New Roman"/>
          <w:lang w:eastAsia="en-AU"/>
        </w:rPr>
        <w:t>, Delegate of the Australian Pesticides and Veterinary Medicines Authority, make the following instrument.</w:t>
      </w:r>
    </w:p>
    <w:p w14:paraId="0B770242" w14:textId="3CCC5FAC" w:rsidR="0045692F" w:rsidRPr="0045692F" w:rsidRDefault="0045692F" w:rsidP="0045692F">
      <w:pPr>
        <w:keepNext/>
        <w:spacing w:before="300" w:after="0" w:line="240" w:lineRule="atLeast"/>
        <w:ind w:right="397"/>
        <w:jc w:val="both"/>
        <w:rPr>
          <w:rFonts w:ascii="Times New Roman" w:eastAsia="Times New Roman" w:hAnsi="Times New Roman" w:cs="Times New Roman"/>
          <w:sz w:val="24"/>
          <w:lang w:eastAsia="en-AU"/>
        </w:rPr>
      </w:pPr>
      <w:r w:rsidRPr="0045692F">
        <w:rPr>
          <w:rFonts w:ascii="Times New Roman" w:eastAsia="Times New Roman" w:hAnsi="Times New Roman" w:cs="Times New Roman"/>
          <w:sz w:val="24"/>
          <w:lang w:eastAsia="en-AU"/>
        </w:rPr>
        <w:t>Dated</w:t>
      </w:r>
      <w:r w:rsidRPr="0045692F">
        <w:rPr>
          <w:rFonts w:ascii="Times New Roman" w:eastAsia="Times New Roman" w:hAnsi="Times New Roman" w:cs="Times New Roman"/>
          <w:sz w:val="24"/>
          <w:lang w:eastAsia="en-AU"/>
        </w:rPr>
        <w:tab/>
      </w:r>
      <w:r w:rsidRPr="0045692F">
        <w:rPr>
          <w:rFonts w:ascii="Times New Roman" w:eastAsia="Times New Roman" w:hAnsi="Times New Roman" w:cs="Times New Roman"/>
          <w:sz w:val="24"/>
          <w:lang w:eastAsia="en-AU"/>
        </w:rPr>
        <w:tab/>
      </w:r>
      <w:r w:rsidR="008536B1">
        <w:rPr>
          <w:rFonts w:ascii="Times New Roman" w:eastAsia="Times New Roman" w:hAnsi="Times New Roman" w:cs="Times New Roman"/>
          <w:sz w:val="24"/>
          <w:lang w:eastAsia="en-AU"/>
        </w:rPr>
        <w:t>9 August 2022</w:t>
      </w:r>
      <w:r w:rsidRPr="0045692F">
        <w:rPr>
          <w:rFonts w:ascii="Times New Roman" w:eastAsia="Times New Roman" w:hAnsi="Times New Roman" w:cs="Times New Roman"/>
          <w:sz w:val="24"/>
          <w:lang w:eastAsia="en-AU"/>
        </w:rPr>
        <w:tab/>
      </w:r>
      <w:r w:rsidRPr="0045692F">
        <w:rPr>
          <w:rFonts w:ascii="Times New Roman" w:eastAsia="Times New Roman" w:hAnsi="Times New Roman" w:cs="Times New Roman"/>
          <w:sz w:val="24"/>
          <w:lang w:eastAsia="en-AU"/>
        </w:rPr>
        <w:tab/>
      </w:r>
    </w:p>
    <w:p w14:paraId="6F9E4C6E" w14:textId="77777777" w:rsidR="00162563" w:rsidRDefault="00162563"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p>
    <w:p w14:paraId="26E7097B" w14:textId="77777777" w:rsidR="00162563" w:rsidRDefault="00162563"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p>
    <w:p w14:paraId="08636E5B" w14:textId="77777777" w:rsidR="00162563" w:rsidRDefault="00162563"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p>
    <w:p w14:paraId="698D5526" w14:textId="77777777" w:rsidR="00162563" w:rsidRDefault="00162563"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p>
    <w:p w14:paraId="6E088691" w14:textId="3DF0EEAA" w:rsidR="00162563" w:rsidRDefault="00DC5E38"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r>
        <w:rPr>
          <w:rFonts w:ascii="Times New Roman" w:eastAsia="Times New Roman" w:hAnsi="Times New Roman" w:cs="Times New Roman"/>
          <w:szCs w:val="20"/>
          <w:lang w:eastAsia="en-AU"/>
        </w:rPr>
        <w:t>Sheila Logan</w:t>
      </w:r>
    </w:p>
    <w:p w14:paraId="581F5ADE" w14:textId="77777777" w:rsidR="0045692F" w:rsidRPr="0045692F" w:rsidRDefault="0045692F" w:rsidP="0045692F">
      <w:pPr>
        <w:keepNext/>
        <w:pBdr>
          <w:bottom w:val="single" w:sz="4" w:space="12" w:color="auto"/>
        </w:pBdr>
        <w:tabs>
          <w:tab w:val="left" w:pos="3402"/>
        </w:tabs>
        <w:spacing w:after="0" w:line="300" w:lineRule="atLeast"/>
        <w:ind w:right="91"/>
        <w:rPr>
          <w:rFonts w:ascii="Times New Roman" w:eastAsia="Times New Roman" w:hAnsi="Times New Roman" w:cs="Times New Roman"/>
          <w:szCs w:val="20"/>
          <w:lang w:eastAsia="en-AU"/>
        </w:rPr>
      </w:pPr>
      <w:r w:rsidRPr="0045692F">
        <w:rPr>
          <w:rFonts w:ascii="Times New Roman" w:eastAsia="Times New Roman" w:hAnsi="Times New Roman" w:cs="Times New Roman"/>
          <w:szCs w:val="20"/>
          <w:lang w:eastAsia="en-AU"/>
        </w:rPr>
        <w:t>Delegate</w:t>
      </w:r>
    </w:p>
    <w:p w14:paraId="45EDC998" w14:textId="77777777" w:rsidR="0045692F" w:rsidRPr="0045692F" w:rsidRDefault="0045692F" w:rsidP="0045692F">
      <w:pPr>
        <w:spacing w:after="0" w:line="240" w:lineRule="auto"/>
        <w:rPr>
          <w:rFonts w:ascii="Times New Roman" w:eastAsia="Times New Roman" w:hAnsi="Times New Roman" w:cs="Times New Roman"/>
          <w:sz w:val="24"/>
          <w:szCs w:val="24"/>
          <w:lang w:eastAsia="en-AU"/>
        </w:rPr>
      </w:pPr>
      <w:r w:rsidRPr="0045692F">
        <w:rPr>
          <w:rFonts w:ascii="Times New Roman" w:eastAsia="Times New Roman" w:hAnsi="Times New Roman" w:cs="Times New Roman"/>
          <w:sz w:val="24"/>
          <w:szCs w:val="24"/>
          <w:lang w:eastAsia="en-AU"/>
        </w:rPr>
        <w:br w:type="page"/>
      </w:r>
    </w:p>
    <w:p w14:paraId="4E5BA8FB" w14:textId="77777777" w:rsidR="0045692F" w:rsidRPr="0045692F" w:rsidRDefault="00294173" w:rsidP="00294173">
      <w:pPr>
        <w:pStyle w:val="h2Part"/>
      </w:pPr>
      <w:r>
        <w:lastRenderedPageBreak/>
        <w:t>Part 1</w:t>
      </w:r>
      <w:r w:rsidR="0045692F" w:rsidRPr="0045692F">
        <w:tab/>
        <w:t>Introduction</w:t>
      </w:r>
      <w:bookmarkEnd w:id="0"/>
    </w:p>
    <w:p w14:paraId="2D6E7A14" w14:textId="1BF835B9" w:rsidR="0045692F" w:rsidRPr="0045692F" w:rsidRDefault="005D0056" w:rsidP="0045692F">
      <w:pPr>
        <w:keepNext/>
        <w:keepLines/>
        <w:spacing w:before="360" w:after="60" w:line="240" w:lineRule="auto"/>
        <w:ind w:left="964" w:hanging="964"/>
        <w:outlineLvl w:val="4"/>
        <w:rPr>
          <w:rFonts w:ascii="Arial" w:eastAsia="Times New Roman" w:hAnsi="Arial" w:cs="Arial"/>
          <w:b/>
          <w:bCs/>
          <w:kern w:val="32"/>
          <w:sz w:val="24"/>
          <w:szCs w:val="32"/>
          <w:lang w:eastAsia="en-AU"/>
        </w:rPr>
      </w:pPr>
      <w:r>
        <w:rPr>
          <w:rFonts w:ascii="Arial" w:eastAsia="Times New Roman" w:hAnsi="Arial" w:cs="Arial"/>
          <w:b/>
          <w:bCs/>
          <w:kern w:val="32"/>
          <w:sz w:val="24"/>
          <w:szCs w:val="32"/>
          <w:lang w:eastAsia="en-AU"/>
        </w:rPr>
        <w:t>1</w:t>
      </w:r>
      <w:r w:rsidR="0045692F" w:rsidRPr="0045692F">
        <w:rPr>
          <w:rFonts w:ascii="Arial" w:eastAsia="Times New Roman" w:hAnsi="Arial" w:cs="Arial"/>
          <w:b/>
          <w:bCs/>
          <w:kern w:val="32"/>
          <w:sz w:val="24"/>
          <w:szCs w:val="32"/>
          <w:lang w:eastAsia="en-AU"/>
        </w:rPr>
        <w:tab/>
        <w:t>Preamble</w:t>
      </w:r>
    </w:p>
    <w:p w14:paraId="1ABBB608" w14:textId="2056F744" w:rsidR="00EA1919" w:rsidRDefault="0045692F" w:rsidP="0045692F">
      <w:pPr>
        <w:tabs>
          <w:tab w:val="right" w:pos="851"/>
        </w:tabs>
        <w:spacing w:before="80" w:after="100" w:line="260" w:lineRule="exact"/>
        <w:ind w:left="964" w:hanging="964"/>
        <w:rPr>
          <w:rFonts w:ascii="Arial" w:eastAsia="Times New Roman" w:hAnsi="Arial" w:cs="Arial"/>
          <w:szCs w:val="24"/>
          <w:lang w:eastAsia="en-AU"/>
        </w:rPr>
      </w:pPr>
      <w:r w:rsidRPr="0045692F">
        <w:rPr>
          <w:rFonts w:ascii="Times New Roman" w:eastAsia="Times New Roman" w:hAnsi="Times New Roman" w:cs="Times New Roman"/>
          <w:sz w:val="24"/>
          <w:szCs w:val="24"/>
          <w:lang w:eastAsia="en-AU"/>
        </w:rPr>
        <w:tab/>
      </w:r>
      <w:r w:rsidRPr="0045692F">
        <w:rPr>
          <w:rFonts w:ascii="Arial" w:eastAsia="Times New Roman" w:hAnsi="Arial" w:cs="Arial"/>
          <w:sz w:val="24"/>
          <w:szCs w:val="24"/>
          <w:lang w:eastAsia="en-AU"/>
        </w:rPr>
        <w:tab/>
      </w:r>
      <w:r w:rsidRPr="0045692F">
        <w:rPr>
          <w:rFonts w:ascii="Arial" w:eastAsia="Times New Roman" w:hAnsi="Arial" w:cs="Arial"/>
          <w:szCs w:val="24"/>
          <w:lang w:eastAsia="en-AU"/>
        </w:rPr>
        <w:t xml:space="preserve"> </w:t>
      </w:r>
    </w:p>
    <w:p w14:paraId="5EFDEDF8" w14:textId="77777777" w:rsidR="00CA2F07" w:rsidRDefault="00EA1919" w:rsidP="0045692F">
      <w:pPr>
        <w:tabs>
          <w:tab w:val="right" w:pos="851"/>
        </w:tabs>
        <w:spacing w:before="80" w:after="100" w:line="260" w:lineRule="exact"/>
        <w:ind w:left="964" w:hanging="964"/>
        <w:rPr>
          <w:rFonts w:ascii="Arial" w:eastAsia="Times New Roman" w:hAnsi="Arial" w:cs="Arial"/>
          <w:szCs w:val="24"/>
          <w:lang w:eastAsia="en-AU"/>
        </w:rPr>
      </w:pPr>
      <w:r>
        <w:rPr>
          <w:rFonts w:ascii="Arial" w:eastAsia="Times New Roman" w:hAnsi="Arial" w:cs="Arial"/>
          <w:szCs w:val="24"/>
          <w:lang w:eastAsia="en-AU"/>
        </w:rPr>
        <w:tab/>
      </w:r>
      <w:r>
        <w:rPr>
          <w:rFonts w:ascii="Arial" w:eastAsia="Times New Roman" w:hAnsi="Arial" w:cs="Arial"/>
          <w:szCs w:val="24"/>
          <w:lang w:eastAsia="en-AU"/>
        </w:rPr>
        <w:tab/>
        <w:t>Section 5AA</w:t>
      </w:r>
      <w:r w:rsidR="00CA2F07">
        <w:rPr>
          <w:rFonts w:ascii="Arial" w:eastAsia="Times New Roman" w:hAnsi="Arial" w:cs="Arial"/>
          <w:szCs w:val="24"/>
          <w:lang w:eastAsia="en-AU"/>
        </w:rPr>
        <w:t>(1)</w:t>
      </w:r>
      <w:r>
        <w:rPr>
          <w:rFonts w:ascii="Arial" w:eastAsia="Times New Roman" w:hAnsi="Arial" w:cs="Arial"/>
          <w:szCs w:val="24"/>
          <w:lang w:eastAsia="en-AU"/>
        </w:rPr>
        <w:t xml:space="preserve"> of the Code states that a registered chemical product must comply with the relevant particulars entered into the Register for the product. </w:t>
      </w:r>
      <w:r w:rsidR="00CA2F07">
        <w:rPr>
          <w:rFonts w:ascii="Arial" w:eastAsia="Times New Roman" w:hAnsi="Arial" w:cs="Arial"/>
          <w:szCs w:val="24"/>
          <w:lang w:eastAsia="en-AU"/>
        </w:rPr>
        <w:t xml:space="preserve">Section 5AA(3) further states that the concentration of the constituents of a chemical product must not differ from the concentrations entered into the Register by more than the extent prescribed by regulations in force for the purposes of section 83(1)(b) of the Code. </w:t>
      </w:r>
    </w:p>
    <w:p w14:paraId="40AACA3E" w14:textId="7E2CF10F" w:rsidR="00EA1919" w:rsidRDefault="00CA2F07" w:rsidP="0045692F">
      <w:pPr>
        <w:tabs>
          <w:tab w:val="right" w:pos="851"/>
        </w:tabs>
        <w:spacing w:before="80" w:after="100" w:line="260" w:lineRule="exact"/>
        <w:ind w:left="964" w:hanging="964"/>
        <w:rPr>
          <w:rFonts w:ascii="Arial" w:eastAsia="Times New Roman" w:hAnsi="Arial" w:cs="Arial"/>
          <w:szCs w:val="24"/>
          <w:lang w:eastAsia="en-AU"/>
        </w:rPr>
      </w:pPr>
      <w:r>
        <w:rPr>
          <w:rFonts w:ascii="Arial" w:eastAsia="Times New Roman" w:hAnsi="Arial" w:cs="Arial"/>
          <w:szCs w:val="24"/>
          <w:lang w:eastAsia="en-AU"/>
        </w:rPr>
        <w:tab/>
      </w:r>
      <w:r>
        <w:rPr>
          <w:rFonts w:ascii="Arial" w:eastAsia="Times New Roman" w:hAnsi="Arial" w:cs="Arial"/>
          <w:szCs w:val="24"/>
          <w:lang w:eastAsia="en-AU"/>
        </w:rPr>
        <w:tab/>
        <w:t>Regulation 41(2) of the Regulations</w:t>
      </w:r>
      <w:r w:rsidR="00574A07">
        <w:rPr>
          <w:rFonts w:ascii="Arial" w:eastAsia="Times New Roman" w:hAnsi="Arial" w:cs="Arial"/>
          <w:szCs w:val="24"/>
          <w:lang w:eastAsia="en-AU"/>
        </w:rPr>
        <w:t>, made for the purposes of section 83(1)(b) of the Code,</w:t>
      </w:r>
      <w:r>
        <w:rPr>
          <w:rFonts w:ascii="Arial" w:eastAsia="Times New Roman" w:hAnsi="Arial" w:cs="Arial"/>
          <w:szCs w:val="24"/>
          <w:lang w:eastAsia="en-AU"/>
        </w:rPr>
        <w:t xml:space="preserve"> states that the prescribed extent of the variation in the concentrations of constituents is the extent permitted by the standards prescribed by Regulation 42 of the Regulations. </w:t>
      </w:r>
    </w:p>
    <w:p w14:paraId="1D7DD7E5" w14:textId="719BDD5F" w:rsidR="00CA2F07" w:rsidRDefault="00EA1919" w:rsidP="0045692F">
      <w:pPr>
        <w:tabs>
          <w:tab w:val="right" w:pos="851"/>
        </w:tabs>
        <w:spacing w:before="80" w:after="100" w:line="260" w:lineRule="exact"/>
        <w:ind w:left="964" w:hanging="964"/>
        <w:rPr>
          <w:rFonts w:ascii="Arial" w:eastAsia="Times New Roman" w:hAnsi="Arial" w:cs="Arial"/>
          <w:lang w:eastAsia="en-AU"/>
        </w:rPr>
      </w:pPr>
      <w:r>
        <w:rPr>
          <w:rFonts w:ascii="Arial" w:eastAsia="Times New Roman" w:hAnsi="Arial" w:cs="Arial"/>
          <w:szCs w:val="24"/>
          <w:lang w:eastAsia="en-AU"/>
        </w:rPr>
        <w:tab/>
      </w:r>
      <w:r>
        <w:rPr>
          <w:rFonts w:ascii="Arial" w:eastAsia="Times New Roman" w:hAnsi="Arial" w:cs="Arial"/>
          <w:szCs w:val="24"/>
          <w:lang w:eastAsia="en-AU"/>
        </w:rPr>
        <w:tab/>
      </w:r>
      <w:r w:rsidR="0045692F" w:rsidRPr="0045692F">
        <w:rPr>
          <w:rFonts w:ascii="Arial" w:eastAsia="Times New Roman" w:hAnsi="Arial" w:cs="Arial"/>
          <w:szCs w:val="24"/>
          <w:lang w:eastAsia="en-AU"/>
        </w:rPr>
        <w:t xml:space="preserve">Regulation 42(3) of the Regulations states that a standard made under section 6E(1) is prescribed for a </w:t>
      </w:r>
      <w:r w:rsidR="00574A07">
        <w:rPr>
          <w:rFonts w:ascii="Arial" w:eastAsia="Times New Roman" w:hAnsi="Arial" w:cs="Arial"/>
          <w:szCs w:val="24"/>
          <w:lang w:eastAsia="en-AU"/>
        </w:rPr>
        <w:t xml:space="preserve">constituent in a chemical product or for a </w:t>
      </w:r>
      <w:r w:rsidR="0045692F" w:rsidRPr="0045692F">
        <w:rPr>
          <w:rFonts w:ascii="Arial" w:eastAsia="Times New Roman" w:hAnsi="Arial" w:cs="Arial"/>
          <w:szCs w:val="24"/>
          <w:lang w:eastAsia="en-AU"/>
        </w:rPr>
        <w:t>chemical product</w:t>
      </w:r>
      <w:r w:rsidR="00574A07">
        <w:rPr>
          <w:rFonts w:ascii="Arial" w:eastAsia="Times New Roman" w:hAnsi="Arial" w:cs="Arial"/>
          <w:szCs w:val="24"/>
          <w:lang w:eastAsia="en-AU"/>
        </w:rPr>
        <w:t>,</w:t>
      </w:r>
      <w:r w:rsidR="00574A07" w:rsidRPr="00574A07">
        <w:rPr>
          <w:rFonts w:ascii="Arial" w:eastAsia="Times New Roman" w:hAnsi="Arial" w:cs="Arial"/>
          <w:szCs w:val="24"/>
          <w:lang w:eastAsia="en-AU"/>
        </w:rPr>
        <w:t xml:space="preserve"> </w:t>
      </w:r>
      <w:r w:rsidR="00574A07">
        <w:rPr>
          <w:rFonts w:ascii="Arial" w:eastAsia="Times New Roman" w:hAnsi="Arial" w:cs="Arial"/>
          <w:szCs w:val="24"/>
          <w:lang w:eastAsia="en-AU"/>
        </w:rPr>
        <w:t xml:space="preserve">provided that it is not already dealt with in an order under section 7 of the </w:t>
      </w:r>
      <w:r w:rsidR="00574A07" w:rsidRPr="00956F2B">
        <w:rPr>
          <w:rFonts w:ascii="Arial" w:eastAsia="Times New Roman" w:hAnsi="Arial" w:cs="Arial"/>
          <w:i/>
          <w:szCs w:val="24"/>
          <w:lang w:eastAsia="en-AU"/>
        </w:rPr>
        <w:t>Agricultural and Veterinary Chemicals Code Act 1994</w:t>
      </w:r>
      <w:r w:rsidR="0045692F" w:rsidRPr="0045692F">
        <w:rPr>
          <w:rFonts w:ascii="Arial" w:eastAsia="Times New Roman" w:hAnsi="Arial" w:cs="Arial"/>
          <w:szCs w:val="24"/>
          <w:lang w:eastAsia="en-AU"/>
        </w:rPr>
        <w:t>.</w:t>
      </w:r>
      <w:r w:rsidR="00CA2F07" w:rsidRPr="00CA2F07">
        <w:rPr>
          <w:rFonts w:ascii="Arial" w:eastAsia="Times New Roman" w:hAnsi="Arial" w:cs="Arial"/>
          <w:lang w:eastAsia="en-AU"/>
        </w:rPr>
        <w:t xml:space="preserve"> </w:t>
      </w:r>
    </w:p>
    <w:p w14:paraId="024E2364" w14:textId="73603470" w:rsidR="0045692F" w:rsidRDefault="00CA2F07" w:rsidP="0045692F">
      <w:pPr>
        <w:tabs>
          <w:tab w:val="right" w:pos="851"/>
        </w:tabs>
        <w:spacing w:before="80" w:after="100" w:line="260" w:lineRule="exact"/>
        <w:ind w:left="964" w:hanging="964"/>
        <w:rPr>
          <w:rFonts w:ascii="Arial" w:eastAsia="Times New Roman" w:hAnsi="Arial" w:cs="Arial"/>
          <w:szCs w:val="24"/>
          <w:lang w:eastAsia="en-AU"/>
        </w:rPr>
      </w:pPr>
      <w:r>
        <w:rPr>
          <w:rFonts w:ascii="Arial" w:eastAsia="Times New Roman" w:hAnsi="Arial" w:cs="Arial"/>
          <w:lang w:eastAsia="en-AU"/>
        </w:rPr>
        <w:tab/>
      </w:r>
      <w:r>
        <w:rPr>
          <w:rFonts w:ascii="Arial" w:eastAsia="Times New Roman" w:hAnsi="Arial" w:cs="Arial"/>
          <w:lang w:eastAsia="en-AU"/>
        </w:rPr>
        <w:tab/>
      </w:r>
      <w:r w:rsidRPr="0045692F">
        <w:rPr>
          <w:rFonts w:ascii="Arial" w:eastAsia="Times New Roman" w:hAnsi="Arial" w:cs="Arial"/>
          <w:lang w:eastAsia="en-AU"/>
        </w:rPr>
        <w:t xml:space="preserve">This Instrument </w:t>
      </w:r>
      <w:r>
        <w:rPr>
          <w:rFonts w:ascii="Arial" w:eastAsia="Times New Roman" w:hAnsi="Arial" w:cs="Arial"/>
          <w:lang w:eastAsia="en-AU"/>
        </w:rPr>
        <w:t>prescribes the extent to which the concentrations of constituents</w:t>
      </w:r>
      <w:r w:rsidR="00413499">
        <w:rPr>
          <w:rFonts w:ascii="Arial" w:eastAsia="Times New Roman" w:hAnsi="Arial" w:cs="Arial"/>
          <w:lang w:eastAsia="en-AU"/>
        </w:rPr>
        <w:t>, including both active constituents, and non-active constituents (commonly referred to as excipients)</w:t>
      </w:r>
      <w:r>
        <w:rPr>
          <w:rFonts w:ascii="Arial" w:eastAsia="Times New Roman" w:hAnsi="Arial" w:cs="Arial"/>
          <w:lang w:eastAsia="en-AU"/>
        </w:rPr>
        <w:t xml:space="preserve"> in</w:t>
      </w:r>
      <w:r w:rsidRPr="0045692F">
        <w:rPr>
          <w:rFonts w:ascii="Arial" w:eastAsia="Times New Roman" w:hAnsi="Arial" w:cs="Arial"/>
          <w:szCs w:val="24"/>
          <w:lang w:eastAsia="en-AU"/>
        </w:rPr>
        <w:t xml:space="preserve"> </w:t>
      </w:r>
      <w:r w:rsidR="00147E35">
        <w:rPr>
          <w:rFonts w:ascii="Arial" w:eastAsia="Times New Roman" w:hAnsi="Arial" w:cs="Arial"/>
          <w:szCs w:val="24"/>
          <w:lang w:eastAsia="en-AU"/>
        </w:rPr>
        <w:t xml:space="preserve">registered </w:t>
      </w:r>
      <w:r w:rsidRPr="0045692F">
        <w:rPr>
          <w:rFonts w:ascii="Arial" w:eastAsia="Times New Roman" w:hAnsi="Arial" w:cs="Arial"/>
          <w:szCs w:val="24"/>
          <w:lang w:eastAsia="en-AU"/>
        </w:rPr>
        <w:t>agricultural chemical products</w:t>
      </w:r>
      <w:r>
        <w:rPr>
          <w:rFonts w:ascii="Arial" w:eastAsia="Times New Roman" w:hAnsi="Arial" w:cs="Arial"/>
          <w:szCs w:val="24"/>
          <w:lang w:eastAsia="en-AU"/>
        </w:rPr>
        <w:t xml:space="preserve"> may differ from the concentrations entered into the Register</w:t>
      </w:r>
      <w:r w:rsidR="00147E35">
        <w:rPr>
          <w:rFonts w:ascii="Arial" w:eastAsia="Times New Roman" w:hAnsi="Arial" w:cs="Arial"/>
          <w:szCs w:val="24"/>
          <w:lang w:eastAsia="en-AU"/>
        </w:rPr>
        <w:t xml:space="preserve"> when measured using a suitable validated analytical method</w:t>
      </w:r>
      <w:r w:rsidRPr="0045692F">
        <w:rPr>
          <w:rFonts w:ascii="Arial" w:eastAsia="Times New Roman" w:hAnsi="Arial" w:cs="Arial"/>
          <w:szCs w:val="24"/>
          <w:lang w:eastAsia="en-AU"/>
        </w:rPr>
        <w:t>.</w:t>
      </w:r>
      <w:r>
        <w:rPr>
          <w:rFonts w:ascii="Arial" w:eastAsia="Times New Roman" w:hAnsi="Arial" w:cs="Arial"/>
          <w:szCs w:val="24"/>
          <w:lang w:eastAsia="en-AU"/>
        </w:rPr>
        <w:t xml:space="preserve"> I</w:t>
      </w:r>
      <w:r w:rsidR="0062610F">
        <w:rPr>
          <w:rFonts w:ascii="Arial" w:eastAsia="Times New Roman" w:hAnsi="Arial" w:cs="Arial"/>
          <w:szCs w:val="24"/>
          <w:lang w:eastAsia="en-AU"/>
        </w:rPr>
        <w:t>t is made under section 6E</w:t>
      </w:r>
      <w:r>
        <w:rPr>
          <w:rFonts w:ascii="Arial" w:eastAsia="Times New Roman" w:hAnsi="Arial" w:cs="Arial"/>
          <w:szCs w:val="24"/>
          <w:lang w:eastAsia="en-AU"/>
        </w:rPr>
        <w:t xml:space="preserve"> </w:t>
      </w:r>
      <w:r w:rsidRPr="0045692F">
        <w:rPr>
          <w:rFonts w:ascii="Arial" w:eastAsia="Times New Roman" w:hAnsi="Arial" w:cs="Arial"/>
          <w:szCs w:val="24"/>
          <w:lang w:eastAsia="en-AU"/>
        </w:rPr>
        <w:t>of the Code following the procedures set out in regulation 8AF of the Regulations.</w:t>
      </w:r>
    </w:p>
    <w:p w14:paraId="324FAB4D" w14:textId="5BD7ECCE" w:rsidR="00147E35" w:rsidRDefault="00147E35" w:rsidP="0045692F">
      <w:pPr>
        <w:tabs>
          <w:tab w:val="right" w:pos="851"/>
        </w:tabs>
        <w:spacing w:before="80" w:after="100" w:line="260" w:lineRule="exact"/>
        <w:ind w:left="964" w:hanging="964"/>
        <w:rPr>
          <w:rFonts w:ascii="Arial" w:eastAsia="Times New Roman" w:hAnsi="Arial" w:cs="Arial"/>
          <w:szCs w:val="24"/>
          <w:lang w:eastAsia="en-AU"/>
        </w:rPr>
      </w:pPr>
      <w:r>
        <w:rPr>
          <w:rFonts w:ascii="Arial" w:eastAsia="Times New Roman" w:hAnsi="Arial" w:cs="Arial"/>
          <w:szCs w:val="24"/>
          <w:lang w:eastAsia="en-AU"/>
        </w:rPr>
        <w:tab/>
      </w:r>
      <w:r>
        <w:rPr>
          <w:rFonts w:ascii="Arial" w:eastAsia="Times New Roman" w:hAnsi="Arial" w:cs="Arial"/>
          <w:szCs w:val="24"/>
          <w:lang w:eastAsia="en-AU"/>
        </w:rPr>
        <w:tab/>
        <w:t>This Instrument does not permit the deliberate variation of the nominal or ‘target’ concentrations of the constituents in a registered agricultural chemical product without recourse to an appropriate application to the APVMA for variation of the relevant particulars, even where such a change of the nominal concentration is within the tolerances defined within the Instrument</w:t>
      </w:r>
      <w:r w:rsidRPr="0045692F">
        <w:rPr>
          <w:rFonts w:ascii="Arial" w:eastAsia="Times New Roman" w:hAnsi="Arial" w:cs="Arial"/>
          <w:szCs w:val="24"/>
          <w:lang w:eastAsia="en-AU"/>
        </w:rPr>
        <w:t>.</w:t>
      </w:r>
      <w:r>
        <w:rPr>
          <w:rFonts w:ascii="Arial" w:eastAsia="Times New Roman" w:hAnsi="Arial" w:cs="Arial"/>
          <w:szCs w:val="24"/>
          <w:lang w:eastAsia="en-AU"/>
        </w:rPr>
        <w:t xml:space="preserve"> This Instrument </w:t>
      </w:r>
      <w:r w:rsidR="00101FE8">
        <w:rPr>
          <w:rFonts w:ascii="Arial" w:eastAsia="Times New Roman" w:hAnsi="Arial" w:cs="Arial"/>
          <w:szCs w:val="24"/>
          <w:lang w:eastAsia="en-AU"/>
        </w:rPr>
        <w:t xml:space="preserve">manages </w:t>
      </w:r>
      <w:r>
        <w:rPr>
          <w:rFonts w:ascii="Arial" w:eastAsia="Times New Roman" w:hAnsi="Arial" w:cs="Arial"/>
          <w:szCs w:val="24"/>
          <w:lang w:eastAsia="en-AU"/>
        </w:rPr>
        <w:t xml:space="preserve">variations in concentrations from the nominal value that arise from normal variability in manufacturing processes and/or analytical methods. </w:t>
      </w:r>
    </w:p>
    <w:p w14:paraId="5C8FF16F" w14:textId="0290D9DA" w:rsidR="00147E35" w:rsidRDefault="00147E35" w:rsidP="0045692F">
      <w:pPr>
        <w:tabs>
          <w:tab w:val="right" w:pos="851"/>
        </w:tabs>
        <w:spacing w:before="80" w:after="100" w:line="260" w:lineRule="exact"/>
        <w:ind w:left="964" w:hanging="964"/>
        <w:rPr>
          <w:rFonts w:ascii="Arial" w:eastAsia="Times New Roman" w:hAnsi="Arial" w:cs="Arial"/>
          <w:szCs w:val="24"/>
          <w:lang w:eastAsia="en-AU"/>
        </w:rPr>
      </w:pPr>
      <w:r>
        <w:rPr>
          <w:rFonts w:ascii="Arial" w:eastAsia="Times New Roman" w:hAnsi="Arial" w:cs="Arial"/>
          <w:szCs w:val="24"/>
          <w:lang w:eastAsia="en-AU"/>
        </w:rPr>
        <w:tab/>
      </w:r>
      <w:r>
        <w:rPr>
          <w:rFonts w:ascii="Arial" w:eastAsia="Times New Roman" w:hAnsi="Arial" w:cs="Arial"/>
          <w:szCs w:val="24"/>
          <w:lang w:eastAsia="en-AU"/>
        </w:rPr>
        <w:tab/>
        <w:t xml:space="preserve">Further, this Instrument does not in itself provide any guidance or prescription on changes or differences in concentrations in constituents in agricultural chemical products that meet the definition of ‘closely similar’ as set out in Clause 1.2(1) of Schedule 6 of the Regulations. </w:t>
      </w:r>
    </w:p>
    <w:p w14:paraId="0AB069CE" w14:textId="77777777" w:rsidR="0045692F" w:rsidRPr="0045692F" w:rsidRDefault="0045692F" w:rsidP="0045692F">
      <w:pPr>
        <w:keepNext/>
        <w:keepLines/>
        <w:spacing w:before="360" w:after="60" w:line="240" w:lineRule="auto"/>
        <w:ind w:left="964" w:hanging="964"/>
        <w:outlineLvl w:val="4"/>
        <w:rPr>
          <w:rFonts w:ascii="Arial" w:eastAsia="Times New Roman" w:hAnsi="Arial" w:cs="Arial"/>
          <w:b/>
          <w:bCs/>
          <w:kern w:val="32"/>
          <w:sz w:val="24"/>
          <w:szCs w:val="32"/>
          <w:lang w:eastAsia="en-AU"/>
        </w:rPr>
      </w:pPr>
      <w:r w:rsidRPr="0045692F">
        <w:rPr>
          <w:rFonts w:ascii="Arial" w:eastAsia="Times New Roman" w:hAnsi="Arial" w:cs="Arial"/>
          <w:b/>
          <w:bCs/>
          <w:kern w:val="32"/>
          <w:sz w:val="24"/>
          <w:szCs w:val="32"/>
          <w:lang w:eastAsia="en-AU"/>
        </w:rPr>
        <w:t>2</w:t>
      </w:r>
      <w:r w:rsidRPr="0045692F">
        <w:rPr>
          <w:rFonts w:ascii="Arial" w:eastAsia="Times New Roman" w:hAnsi="Arial" w:cs="Arial"/>
          <w:b/>
          <w:bCs/>
          <w:kern w:val="32"/>
          <w:sz w:val="24"/>
          <w:szCs w:val="32"/>
          <w:lang w:eastAsia="en-AU"/>
        </w:rPr>
        <w:tab/>
        <w:t>Name of instrument and power</w:t>
      </w:r>
    </w:p>
    <w:p w14:paraId="2CD7B957" w14:textId="39C6FA6F" w:rsidR="0045692F" w:rsidRPr="0045692F" w:rsidRDefault="0045692F" w:rsidP="0045692F">
      <w:pPr>
        <w:tabs>
          <w:tab w:val="right" w:pos="851"/>
        </w:tabs>
        <w:spacing w:before="80" w:after="100" w:line="260" w:lineRule="exact"/>
        <w:ind w:left="964" w:hanging="964"/>
        <w:rPr>
          <w:rFonts w:ascii="Arial" w:eastAsia="Times New Roman" w:hAnsi="Arial" w:cs="Arial"/>
          <w:lang w:eastAsia="en-AU"/>
        </w:rPr>
      </w:pPr>
      <w:r w:rsidRPr="0045692F">
        <w:rPr>
          <w:rFonts w:ascii="Arial" w:eastAsia="Times New Roman" w:hAnsi="Arial" w:cs="Arial"/>
          <w:lang w:eastAsia="en-AU"/>
        </w:rPr>
        <w:tab/>
      </w:r>
      <w:r w:rsidRPr="0045692F">
        <w:rPr>
          <w:rFonts w:ascii="Arial" w:eastAsia="Times New Roman" w:hAnsi="Arial" w:cs="Arial"/>
          <w:lang w:eastAsia="en-AU"/>
        </w:rPr>
        <w:tab/>
        <w:t xml:space="preserve">This Instrument is the </w:t>
      </w:r>
      <w:r w:rsidR="00AD5E18">
        <w:rPr>
          <w:rFonts w:ascii="Arial" w:eastAsia="Times New Roman" w:hAnsi="Arial" w:cs="Arial"/>
          <w:i/>
          <w:noProof/>
          <w:lang w:eastAsia="en-AU"/>
        </w:rPr>
        <w:t>Agricultural and Veterinary Chemicals Code (Allowable Variation in Concentrations of Constituents in Agricultural Chemical Products) Standard 2022</w:t>
      </w:r>
      <w:r w:rsidR="00095545">
        <w:rPr>
          <w:rFonts w:ascii="Arial" w:eastAsia="Times New Roman" w:hAnsi="Arial" w:cs="Arial"/>
          <w:lang w:eastAsia="en-AU"/>
        </w:rPr>
        <w:t xml:space="preserve"> and is made under section 6E</w:t>
      </w:r>
      <w:r w:rsidRPr="0045692F">
        <w:rPr>
          <w:rFonts w:ascii="Arial" w:eastAsia="Times New Roman" w:hAnsi="Arial" w:cs="Arial"/>
          <w:lang w:eastAsia="en-AU"/>
        </w:rPr>
        <w:t xml:space="preserve"> of the Code. </w:t>
      </w:r>
    </w:p>
    <w:p w14:paraId="6AEDFD3C" w14:textId="77777777" w:rsidR="0045692F" w:rsidRPr="0045692F" w:rsidRDefault="0045692F" w:rsidP="0045692F">
      <w:pPr>
        <w:keepNext/>
        <w:keepLines/>
        <w:spacing w:before="360" w:after="60" w:line="240" w:lineRule="auto"/>
        <w:ind w:left="964" w:hanging="964"/>
        <w:outlineLvl w:val="4"/>
        <w:rPr>
          <w:rFonts w:ascii="Arial" w:eastAsia="Times New Roman" w:hAnsi="Arial" w:cs="Arial"/>
          <w:b/>
          <w:bCs/>
          <w:kern w:val="32"/>
          <w:sz w:val="24"/>
          <w:szCs w:val="32"/>
          <w:lang w:eastAsia="en-AU"/>
        </w:rPr>
      </w:pPr>
      <w:r w:rsidRPr="0045692F">
        <w:rPr>
          <w:rFonts w:ascii="Arial" w:eastAsia="Times New Roman" w:hAnsi="Arial" w:cs="Arial"/>
          <w:b/>
          <w:bCs/>
          <w:kern w:val="32"/>
          <w:sz w:val="24"/>
          <w:szCs w:val="32"/>
          <w:lang w:eastAsia="en-AU"/>
        </w:rPr>
        <w:t>3</w:t>
      </w:r>
      <w:r w:rsidRPr="0045692F">
        <w:rPr>
          <w:rFonts w:ascii="Arial" w:eastAsia="Times New Roman" w:hAnsi="Arial" w:cs="Arial"/>
          <w:b/>
          <w:bCs/>
          <w:kern w:val="32"/>
          <w:sz w:val="24"/>
          <w:szCs w:val="32"/>
          <w:lang w:eastAsia="en-AU"/>
        </w:rPr>
        <w:tab/>
        <w:t>Commencement</w:t>
      </w:r>
    </w:p>
    <w:p w14:paraId="4718D20E" w14:textId="77777777" w:rsidR="0045692F" w:rsidRPr="0045692F" w:rsidRDefault="0045692F" w:rsidP="0045692F">
      <w:pPr>
        <w:tabs>
          <w:tab w:val="right" w:pos="851"/>
        </w:tabs>
        <w:spacing w:before="80" w:after="100" w:line="260" w:lineRule="exact"/>
        <w:ind w:left="964" w:hanging="964"/>
        <w:rPr>
          <w:rFonts w:ascii="Arial" w:eastAsia="Times New Roman" w:hAnsi="Arial" w:cs="Arial"/>
          <w:lang w:eastAsia="en-AU"/>
        </w:rPr>
      </w:pPr>
      <w:r w:rsidRPr="0045692F">
        <w:rPr>
          <w:rFonts w:ascii="Arial" w:eastAsia="Times New Roman" w:hAnsi="Arial" w:cs="Arial"/>
          <w:lang w:eastAsia="en-AU"/>
        </w:rPr>
        <w:tab/>
      </w:r>
      <w:r w:rsidRPr="0045692F">
        <w:rPr>
          <w:rFonts w:ascii="Arial" w:eastAsia="Times New Roman" w:hAnsi="Arial" w:cs="Arial"/>
          <w:lang w:eastAsia="en-AU"/>
        </w:rPr>
        <w:tab/>
        <w:t>This Instrument commences on the day after the day it is registered.</w:t>
      </w:r>
    </w:p>
    <w:p w14:paraId="1E3F50DC" w14:textId="77777777" w:rsidR="0045692F" w:rsidRPr="0045692F" w:rsidRDefault="0045692F" w:rsidP="0045692F">
      <w:pPr>
        <w:keepNext/>
        <w:keepLines/>
        <w:spacing w:before="360" w:after="60" w:line="240" w:lineRule="auto"/>
        <w:ind w:left="964" w:hanging="964"/>
        <w:outlineLvl w:val="4"/>
        <w:rPr>
          <w:rFonts w:ascii="Arial" w:eastAsia="Times New Roman" w:hAnsi="Arial" w:cs="Arial"/>
          <w:b/>
          <w:bCs/>
          <w:kern w:val="32"/>
          <w:sz w:val="24"/>
          <w:szCs w:val="32"/>
          <w:lang w:eastAsia="en-AU"/>
        </w:rPr>
      </w:pPr>
      <w:r w:rsidRPr="0045692F">
        <w:rPr>
          <w:rFonts w:ascii="Arial" w:eastAsia="Times New Roman" w:hAnsi="Arial" w:cs="Arial"/>
          <w:b/>
          <w:bCs/>
          <w:kern w:val="32"/>
          <w:sz w:val="24"/>
          <w:szCs w:val="32"/>
          <w:lang w:eastAsia="en-AU"/>
        </w:rPr>
        <w:t>4</w:t>
      </w:r>
      <w:r w:rsidRPr="0045692F">
        <w:rPr>
          <w:rFonts w:ascii="Arial" w:eastAsia="Times New Roman" w:hAnsi="Arial" w:cs="Arial"/>
          <w:b/>
          <w:bCs/>
          <w:kern w:val="32"/>
          <w:sz w:val="24"/>
          <w:szCs w:val="32"/>
          <w:lang w:eastAsia="en-AU"/>
        </w:rPr>
        <w:tab/>
        <w:t>Definitions</w:t>
      </w:r>
    </w:p>
    <w:p w14:paraId="7E0DBF5E" w14:textId="77777777" w:rsidR="0045692F" w:rsidRPr="0045692F" w:rsidRDefault="0045692F" w:rsidP="0045692F">
      <w:pPr>
        <w:numPr>
          <w:ilvl w:val="0"/>
          <w:numId w:val="6"/>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Unless the contrary intention appears:</w:t>
      </w:r>
    </w:p>
    <w:p w14:paraId="707362DF" w14:textId="77777777" w:rsidR="0045692F" w:rsidRPr="0045692F" w:rsidRDefault="0045692F" w:rsidP="0045692F">
      <w:pPr>
        <w:numPr>
          <w:ilvl w:val="1"/>
          <w:numId w:val="6"/>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lastRenderedPageBreak/>
        <w:t>words and expressions that are used in the Code have the same meaning in this Instrument; and</w:t>
      </w:r>
    </w:p>
    <w:p w14:paraId="15A4EA3E" w14:textId="77777777" w:rsidR="0045692F" w:rsidRPr="0045692F" w:rsidRDefault="0045692F" w:rsidP="0045692F">
      <w:pPr>
        <w:numPr>
          <w:ilvl w:val="1"/>
          <w:numId w:val="6"/>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words and expressions that are used in the Regulations have the same meaning in this Instrument.</w:t>
      </w:r>
    </w:p>
    <w:p w14:paraId="72BB0F48" w14:textId="77777777" w:rsidR="0045692F" w:rsidRPr="0045692F" w:rsidRDefault="0045692F" w:rsidP="0045692F">
      <w:pPr>
        <w:numPr>
          <w:ilvl w:val="0"/>
          <w:numId w:val="6"/>
        </w:numPr>
        <w:tabs>
          <w:tab w:val="right" w:pos="851"/>
        </w:tabs>
        <w:spacing w:before="80" w:after="100" w:line="260" w:lineRule="exact"/>
        <w:rPr>
          <w:rFonts w:ascii="Arial" w:eastAsia="Times New Roman" w:hAnsi="Arial" w:cs="Arial"/>
          <w:lang w:eastAsia="en-AU"/>
        </w:rPr>
      </w:pPr>
      <w:r w:rsidRPr="0045692F">
        <w:rPr>
          <w:rFonts w:ascii="Arial" w:eastAsia="Times New Roman" w:hAnsi="Arial" w:cs="Arial"/>
          <w:lang w:eastAsia="en-AU"/>
        </w:rPr>
        <w:t>In this Instrument:</w:t>
      </w:r>
      <w:r w:rsidRPr="0045692F">
        <w:rPr>
          <w:rFonts w:ascii="Arial" w:eastAsia="Times New Roman" w:hAnsi="Arial" w:cs="Arial"/>
          <w:lang w:eastAsia="en-AU"/>
        </w:rPr>
        <w:tab/>
      </w:r>
    </w:p>
    <w:p w14:paraId="466F40A8" w14:textId="4BFA20B9" w:rsidR="00413499" w:rsidRPr="00840017" w:rsidRDefault="00413499" w:rsidP="0045692F">
      <w:pPr>
        <w:spacing w:before="80" w:after="100" w:line="260" w:lineRule="exact"/>
        <w:ind w:left="964"/>
        <w:rPr>
          <w:rFonts w:ascii="Arial" w:eastAsia="Times New Roman" w:hAnsi="Arial" w:cs="Arial"/>
          <w:lang w:eastAsia="en-AU"/>
        </w:rPr>
      </w:pPr>
      <w:r>
        <w:rPr>
          <w:rFonts w:ascii="Arial" w:eastAsia="Times New Roman" w:hAnsi="Arial" w:cs="Arial"/>
          <w:b/>
          <w:i/>
          <w:lang w:eastAsia="en-AU"/>
        </w:rPr>
        <w:t>Active constituent</w:t>
      </w:r>
      <w:r w:rsidR="00840017">
        <w:rPr>
          <w:rFonts w:ascii="Arial" w:eastAsia="Times New Roman" w:hAnsi="Arial" w:cs="Arial"/>
          <w:b/>
          <w:lang w:eastAsia="en-AU"/>
        </w:rPr>
        <w:t xml:space="preserve"> </w:t>
      </w:r>
      <w:r w:rsidR="00695F01" w:rsidRPr="00695F01">
        <w:rPr>
          <w:rFonts w:ascii="Arial" w:eastAsia="Times New Roman" w:hAnsi="Arial" w:cs="Arial"/>
          <w:lang w:eastAsia="en-AU"/>
        </w:rPr>
        <w:t>has the meaning given in section 3 of the Code and for the purpose of this Instrument</w:t>
      </w:r>
      <w:r w:rsidR="00695F01">
        <w:rPr>
          <w:rFonts w:ascii="Arial" w:eastAsia="Times New Roman" w:hAnsi="Arial" w:cs="Arial"/>
          <w:b/>
          <w:lang w:eastAsia="en-AU"/>
        </w:rPr>
        <w:t xml:space="preserve"> </w:t>
      </w:r>
      <w:r w:rsidR="00840017">
        <w:rPr>
          <w:rFonts w:ascii="Arial" w:eastAsia="Times New Roman" w:hAnsi="Arial" w:cs="Arial"/>
          <w:lang w:eastAsia="en-AU"/>
        </w:rPr>
        <w:t>means the constituent, or one of the constituents, of a</w:t>
      </w:r>
      <w:r w:rsidR="00695F01">
        <w:rPr>
          <w:rFonts w:ascii="Arial" w:eastAsia="Times New Roman" w:hAnsi="Arial" w:cs="Arial"/>
          <w:lang w:eastAsia="en-AU"/>
        </w:rPr>
        <w:t>n</w:t>
      </w:r>
      <w:r w:rsidR="00840017">
        <w:rPr>
          <w:rFonts w:ascii="Arial" w:eastAsia="Times New Roman" w:hAnsi="Arial" w:cs="Arial"/>
          <w:lang w:eastAsia="en-AU"/>
        </w:rPr>
        <w:t xml:space="preserve"> </w:t>
      </w:r>
      <w:r w:rsidR="00695F01">
        <w:rPr>
          <w:rFonts w:ascii="Arial" w:eastAsia="Times New Roman" w:hAnsi="Arial" w:cs="Arial"/>
          <w:lang w:eastAsia="en-AU"/>
        </w:rPr>
        <w:t xml:space="preserve">agricultural </w:t>
      </w:r>
      <w:r w:rsidR="00840017">
        <w:rPr>
          <w:rFonts w:ascii="Arial" w:eastAsia="Times New Roman" w:hAnsi="Arial" w:cs="Arial"/>
          <w:lang w:eastAsia="en-AU"/>
        </w:rPr>
        <w:t xml:space="preserve">chemical product </w:t>
      </w:r>
      <w:r w:rsidR="00695F01">
        <w:rPr>
          <w:rFonts w:ascii="Arial" w:eastAsia="Times New Roman" w:hAnsi="Arial" w:cs="Arial"/>
          <w:lang w:eastAsia="en-AU"/>
        </w:rPr>
        <w:t xml:space="preserve">that is, or are together, responsible for the biological or other effect identifying the product as an agricultural chemical product. </w:t>
      </w:r>
    </w:p>
    <w:p w14:paraId="3E5C5912" w14:textId="75CB10DF" w:rsidR="00413499" w:rsidRDefault="0045692F" w:rsidP="00840017">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Code</w:t>
      </w:r>
      <w:r w:rsidRPr="0045692F">
        <w:rPr>
          <w:rFonts w:ascii="Arial" w:eastAsia="Times New Roman" w:hAnsi="Arial" w:cs="Arial"/>
          <w:lang w:eastAsia="en-AU"/>
        </w:rPr>
        <w:t xml:space="preserve"> means the Agricultural and Veterinary Chemicals Code scheduled to the </w:t>
      </w:r>
      <w:r w:rsidRPr="0045692F">
        <w:rPr>
          <w:rFonts w:ascii="Arial" w:eastAsia="Times New Roman" w:hAnsi="Arial" w:cs="Arial"/>
          <w:i/>
          <w:lang w:eastAsia="en-AU"/>
        </w:rPr>
        <w:t>Agricultural and Veterinary Chemicals Code Act 1994</w:t>
      </w:r>
      <w:r w:rsidRPr="0045692F">
        <w:rPr>
          <w:rFonts w:ascii="Arial" w:eastAsia="Times New Roman" w:hAnsi="Arial" w:cs="Arial"/>
          <w:lang w:eastAsia="en-AU"/>
        </w:rPr>
        <w:t>.</w:t>
      </w:r>
      <w:r w:rsidR="00413499">
        <w:rPr>
          <w:rFonts w:ascii="Arial" w:eastAsia="Times New Roman" w:hAnsi="Arial" w:cs="Arial"/>
          <w:lang w:eastAsia="en-AU"/>
        </w:rPr>
        <w:t xml:space="preserve"> </w:t>
      </w:r>
    </w:p>
    <w:p w14:paraId="0A53445C" w14:textId="1F4AACF9" w:rsidR="00840017" w:rsidRDefault="00840017" w:rsidP="00840017">
      <w:pPr>
        <w:spacing w:before="80" w:after="100" w:line="260" w:lineRule="exact"/>
        <w:ind w:left="964"/>
        <w:rPr>
          <w:rFonts w:ascii="Arial" w:eastAsia="Times New Roman" w:hAnsi="Arial" w:cs="Arial"/>
          <w:lang w:eastAsia="en-AU"/>
        </w:rPr>
      </w:pPr>
      <w:r>
        <w:rPr>
          <w:rFonts w:ascii="Arial" w:eastAsia="Times New Roman" w:hAnsi="Arial" w:cs="Arial"/>
          <w:b/>
          <w:i/>
          <w:lang w:eastAsia="en-AU"/>
        </w:rPr>
        <w:t>Declared content</w:t>
      </w:r>
      <w:r w:rsidR="00101FE8">
        <w:rPr>
          <w:rFonts w:ascii="Arial" w:eastAsia="Times New Roman" w:hAnsi="Arial" w:cs="Arial"/>
          <w:b/>
          <w:i/>
          <w:lang w:eastAsia="en-AU"/>
        </w:rPr>
        <w:t xml:space="preserve">, declared concentration, nominal content </w:t>
      </w:r>
      <w:r w:rsidR="00101FE8" w:rsidRPr="00101FE8">
        <w:rPr>
          <w:rFonts w:ascii="Arial" w:eastAsia="Times New Roman" w:hAnsi="Arial" w:cs="Arial"/>
          <w:lang w:eastAsia="en-AU"/>
        </w:rPr>
        <w:t>or</w:t>
      </w:r>
      <w:r w:rsidR="00101FE8">
        <w:rPr>
          <w:rFonts w:ascii="Arial" w:eastAsia="Times New Roman" w:hAnsi="Arial" w:cs="Arial"/>
          <w:b/>
          <w:i/>
          <w:lang w:eastAsia="en-AU"/>
        </w:rPr>
        <w:t xml:space="preserve"> nominal concentration</w:t>
      </w:r>
      <w:r>
        <w:rPr>
          <w:rFonts w:ascii="Arial" w:eastAsia="Times New Roman" w:hAnsi="Arial" w:cs="Arial"/>
          <w:b/>
          <w:lang w:eastAsia="en-AU"/>
        </w:rPr>
        <w:t xml:space="preserve"> </w:t>
      </w:r>
      <w:r w:rsidR="00101FE8">
        <w:rPr>
          <w:rFonts w:ascii="Arial" w:eastAsia="Times New Roman" w:hAnsi="Arial" w:cs="Arial"/>
          <w:lang w:eastAsia="en-AU"/>
        </w:rPr>
        <w:t>all refer to</w:t>
      </w:r>
      <w:r>
        <w:rPr>
          <w:rFonts w:ascii="Arial" w:eastAsia="Times New Roman" w:hAnsi="Arial" w:cs="Arial"/>
          <w:lang w:eastAsia="en-AU"/>
        </w:rPr>
        <w:t xml:space="preserve"> </w:t>
      </w:r>
      <w:r w:rsidR="00E8351D">
        <w:rPr>
          <w:rFonts w:ascii="Arial" w:eastAsia="Times New Roman" w:hAnsi="Arial" w:cs="Arial"/>
          <w:lang w:eastAsia="en-AU"/>
        </w:rPr>
        <w:t xml:space="preserve">the expected, mean, or </w:t>
      </w:r>
      <w:r w:rsidR="00101FE8">
        <w:rPr>
          <w:rFonts w:ascii="Arial" w:eastAsia="Times New Roman" w:hAnsi="Arial" w:cs="Arial"/>
          <w:lang w:eastAsia="en-AU"/>
        </w:rPr>
        <w:t xml:space="preserve">target </w:t>
      </w:r>
      <w:r w:rsidR="00E8351D">
        <w:rPr>
          <w:rFonts w:ascii="Arial" w:eastAsia="Times New Roman" w:hAnsi="Arial" w:cs="Arial"/>
          <w:lang w:eastAsia="en-AU"/>
        </w:rPr>
        <w:t>concentration of a constituent stated or referred to in the appropriate section of an application form for registration or variation of an agricultural chemical product by an applicant for a constituent in their product. In addition, for active constituents or constituents included in a Schedule of the Poison</w:t>
      </w:r>
      <w:r w:rsidR="00854C65">
        <w:rPr>
          <w:rFonts w:ascii="Arial" w:eastAsia="Times New Roman" w:hAnsi="Arial" w:cs="Arial"/>
          <w:lang w:eastAsia="en-AU"/>
        </w:rPr>
        <w:t>s</w:t>
      </w:r>
      <w:r w:rsidR="00E8351D">
        <w:rPr>
          <w:rFonts w:ascii="Arial" w:eastAsia="Times New Roman" w:hAnsi="Arial" w:cs="Arial"/>
          <w:lang w:eastAsia="en-AU"/>
        </w:rPr>
        <w:t xml:space="preserve"> Standard, declared content refers to the concentration listed in a constituent statement on a product label. </w:t>
      </w:r>
    </w:p>
    <w:p w14:paraId="62452625" w14:textId="3E4C3DEF" w:rsidR="00EF79A3" w:rsidRDefault="00EF79A3" w:rsidP="00840017">
      <w:pPr>
        <w:spacing w:before="80" w:after="100" w:line="260" w:lineRule="exact"/>
        <w:ind w:left="964"/>
        <w:rPr>
          <w:rFonts w:ascii="Arial" w:eastAsia="Times New Roman" w:hAnsi="Arial" w:cs="Arial"/>
          <w:lang w:eastAsia="en-AU"/>
        </w:rPr>
      </w:pPr>
      <w:r>
        <w:rPr>
          <w:rFonts w:ascii="Arial" w:eastAsia="Times New Roman" w:hAnsi="Arial" w:cs="Arial"/>
          <w:b/>
          <w:i/>
          <w:lang w:eastAsia="en-AU"/>
        </w:rPr>
        <w:t xml:space="preserve">Heterogeneous formulation </w:t>
      </w:r>
      <w:r>
        <w:rPr>
          <w:rFonts w:ascii="Arial" w:eastAsia="Times New Roman" w:hAnsi="Arial" w:cs="Arial"/>
          <w:lang w:eastAsia="en-AU"/>
        </w:rPr>
        <w:t>means</w:t>
      </w:r>
      <w:r w:rsidR="00095545">
        <w:rPr>
          <w:rFonts w:ascii="Arial" w:eastAsia="Times New Roman" w:hAnsi="Arial" w:cs="Arial"/>
          <w:lang w:eastAsia="en-AU"/>
        </w:rPr>
        <w:t xml:space="preserve"> formulation types with a higher degree of spatial variability of particle size and chemical composition, as determined by the APVMA from time to time. It includes as examples, but is not limited to, the water dispersible granule (WG) and granular (GR) formulation types. </w:t>
      </w:r>
    </w:p>
    <w:p w14:paraId="072476F7" w14:textId="73394410" w:rsidR="00EF79A3" w:rsidRPr="00EF79A3" w:rsidRDefault="00EF79A3" w:rsidP="00840017">
      <w:pPr>
        <w:spacing w:before="80" w:after="100" w:line="260" w:lineRule="exact"/>
        <w:ind w:left="964"/>
        <w:rPr>
          <w:rFonts w:ascii="Arial" w:eastAsia="Times New Roman" w:hAnsi="Arial" w:cs="Arial"/>
          <w:lang w:eastAsia="en-AU"/>
        </w:rPr>
      </w:pPr>
      <w:r>
        <w:rPr>
          <w:rFonts w:ascii="Arial" w:eastAsia="Times New Roman" w:hAnsi="Arial" w:cs="Arial"/>
          <w:b/>
          <w:i/>
          <w:lang w:eastAsia="en-AU"/>
        </w:rPr>
        <w:t xml:space="preserve">Homogeneous formulation </w:t>
      </w:r>
      <w:r>
        <w:rPr>
          <w:rFonts w:ascii="Arial" w:eastAsia="Times New Roman" w:hAnsi="Arial" w:cs="Arial"/>
          <w:lang w:eastAsia="en-AU"/>
        </w:rPr>
        <w:t xml:space="preserve">means </w:t>
      </w:r>
      <w:r w:rsidR="00095545">
        <w:rPr>
          <w:rFonts w:ascii="Arial" w:eastAsia="Times New Roman" w:hAnsi="Arial" w:cs="Arial"/>
          <w:lang w:eastAsia="en-AU"/>
        </w:rPr>
        <w:t>formulation types with a lower degree of spatial variability of particle size and chemical composition, as determined by the APVMA from time to time. It includes as examples, but is not limited</w:t>
      </w:r>
      <w:r w:rsidR="00585BB2">
        <w:rPr>
          <w:rFonts w:ascii="Arial" w:eastAsia="Times New Roman" w:hAnsi="Arial" w:cs="Arial"/>
          <w:lang w:eastAsia="en-AU"/>
        </w:rPr>
        <w:t xml:space="preserve"> to</w:t>
      </w:r>
      <w:r w:rsidR="00095545">
        <w:rPr>
          <w:rFonts w:ascii="Arial" w:eastAsia="Times New Roman" w:hAnsi="Arial" w:cs="Arial"/>
          <w:lang w:eastAsia="en-AU"/>
        </w:rPr>
        <w:t xml:space="preserve">, the soluble concentrate (SL) and emulsifiable concentrate (EC) formulation types. </w:t>
      </w:r>
    </w:p>
    <w:p w14:paraId="0A203C3C" w14:textId="64CC7E45" w:rsidR="00B016C6" w:rsidRDefault="00B016C6" w:rsidP="0045692F">
      <w:pPr>
        <w:spacing w:before="80" w:after="100" w:line="260" w:lineRule="exact"/>
        <w:ind w:left="964"/>
        <w:rPr>
          <w:rFonts w:ascii="Arial" w:eastAsia="Times New Roman" w:hAnsi="Arial" w:cs="Arial"/>
          <w:lang w:eastAsia="en-AU"/>
        </w:rPr>
      </w:pPr>
      <w:r>
        <w:rPr>
          <w:rFonts w:ascii="Arial" w:eastAsia="Times New Roman" w:hAnsi="Arial" w:cs="Arial"/>
          <w:b/>
          <w:i/>
          <w:lang w:eastAsia="en-AU"/>
        </w:rPr>
        <w:t>Non-active constituent</w:t>
      </w:r>
      <w:r>
        <w:rPr>
          <w:rFonts w:ascii="Arial" w:eastAsia="Times New Roman" w:hAnsi="Arial" w:cs="Arial"/>
          <w:b/>
          <w:lang w:eastAsia="en-AU"/>
        </w:rPr>
        <w:t xml:space="preserve"> </w:t>
      </w:r>
      <w:r>
        <w:rPr>
          <w:rFonts w:ascii="Arial" w:eastAsia="Times New Roman" w:hAnsi="Arial" w:cs="Arial"/>
          <w:lang w:eastAsia="en-AU"/>
        </w:rPr>
        <w:t xml:space="preserve">means any constituent of a registered chemical product other than an active constituent. </w:t>
      </w:r>
      <w:r w:rsidR="00695F01">
        <w:rPr>
          <w:rFonts w:ascii="Arial" w:eastAsia="Times New Roman" w:hAnsi="Arial" w:cs="Arial"/>
          <w:lang w:eastAsia="en-AU"/>
        </w:rPr>
        <w:t>Non-active constituents are a</w:t>
      </w:r>
      <w:r w:rsidR="00603CD4">
        <w:rPr>
          <w:rFonts w:ascii="Arial" w:eastAsia="Times New Roman" w:hAnsi="Arial" w:cs="Arial"/>
          <w:lang w:eastAsia="en-AU"/>
        </w:rPr>
        <w:t>lso commonly referred to as exci</w:t>
      </w:r>
      <w:r w:rsidR="00695F01">
        <w:rPr>
          <w:rFonts w:ascii="Arial" w:eastAsia="Times New Roman" w:hAnsi="Arial" w:cs="Arial"/>
          <w:lang w:eastAsia="en-AU"/>
        </w:rPr>
        <w:t xml:space="preserve">pients. </w:t>
      </w:r>
    </w:p>
    <w:p w14:paraId="77CF1CB9" w14:textId="33CF7C0E" w:rsidR="0010466F" w:rsidRPr="0010466F" w:rsidRDefault="0010466F" w:rsidP="0045692F">
      <w:pPr>
        <w:spacing w:before="80" w:after="100" w:line="260" w:lineRule="exact"/>
        <w:ind w:left="964"/>
        <w:rPr>
          <w:rFonts w:ascii="Arial" w:eastAsia="Times New Roman" w:hAnsi="Arial" w:cs="Arial"/>
          <w:lang w:eastAsia="en-AU"/>
        </w:rPr>
      </w:pPr>
      <w:r>
        <w:rPr>
          <w:rFonts w:ascii="Arial" w:eastAsia="Times New Roman" w:hAnsi="Arial" w:cs="Arial"/>
          <w:b/>
          <w:i/>
          <w:lang w:eastAsia="en-AU"/>
        </w:rPr>
        <w:t>Poison</w:t>
      </w:r>
      <w:r w:rsidR="00511338">
        <w:rPr>
          <w:rFonts w:ascii="Arial" w:eastAsia="Times New Roman" w:hAnsi="Arial" w:cs="Arial"/>
          <w:b/>
          <w:i/>
          <w:lang w:eastAsia="en-AU"/>
        </w:rPr>
        <w:t>s</w:t>
      </w:r>
      <w:r>
        <w:rPr>
          <w:rFonts w:ascii="Arial" w:eastAsia="Times New Roman" w:hAnsi="Arial" w:cs="Arial"/>
          <w:b/>
          <w:i/>
          <w:lang w:eastAsia="en-AU"/>
        </w:rPr>
        <w:t xml:space="preserve"> Standard</w:t>
      </w:r>
      <w:r>
        <w:rPr>
          <w:rFonts w:ascii="Arial" w:eastAsia="Times New Roman" w:hAnsi="Arial" w:cs="Arial"/>
          <w:lang w:eastAsia="en-AU"/>
        </w:rPr>
        <w:t xml:space="preserve"> means the legislative instrument published by the Therapeutic Goods Administration and containing the decisions made by the Scheduling Delegate regarding the classification of medicines and chemicals into Schedules for inclusion in relevant legislation of the states and territories. It is also known as the Standard for the Uniform Scheduling of Medicines and Poisons. </w:t>
      </w:r>
    </w:p>
    <w:p w14:paraId="0C737735" w14:textId="0A53E3F7" w:rsidR="00DE39A1" w:rsidRPr="00DE39A1" w:rsidRDefault="00DE39A1" w:rsidP="0045692F">
      <w:pPr>
        <w:spacing w:before="80" w:after="100" w:line="260" w:lineRule="exact"/>
        <w:ind w:left="964"/>
        <w:rPr>
          <w:rFonts w:ascii="Arial" w:hAnsi="Arial" w:cs="Arial"/>
        </w:rPr>
      </w:pPr>
      <w:r>
        <w:rPr>
          <w:rFonts w:ascii="Arial" w:eastAsia="Times New Roman" w:hAnsi="Arial" w:cs="Arial"/>
          <w:b/>
          <w:i/>
          <w:lang w:eastAsia="en-AU"/>
        </w:rPr>
        <w:t>Register</w:t>
      </w:r>
      <w:r>
        <w:rPr>
          <w:rFonts w:ascii="Arial" w:eastAsia="Times New Roman" w:hAnsi="Arial" w:cs="Arial"/>
          <w:b/>
          <w:lang w:eastAsia="en-AU"/>
        </w:rPr>
        <w:t xml:space="preserve"> </w:t>
      </w:r>
      <w:r w:rsidR="002869A4" w:rsidRPr="002869A4">
        <w:rPr>
          <w:rFonts w:ascii="Arial" w:eastAsia="Times New Roman" w:hAnsi="Arial" w:cs="Arial"/>
          <w:lang w:eastAsia="en-AU"/>
        </w:rPr>
        <w:t>has the meaning given in the Code.</w:t>
      </w:r>
      <w:r w:rsidR="002869A4">
        <w:rPr>
          <w:rFonts w:ascii="Arial" w:eastAsia="Times New Roman" w:hAnsi="Arial" w:cs="Arial"/>
          <w:b/>
          <w:lang w:eastAsia="en-AU"/>
        </w:rPr>
        <w:t xml:space="preserve"> </w:t>
      </w:r>
    </w:p>
    <w:p w14:paraId="3FB886D9" w14:textId="267B0468" w:rsidR="00EA1919" w:rsidRDefault="00EA1919" w:rsidP="00EA1919">
      <w:pPr>
        <w:spacing w:before="80" w:after="100" w:line="260" w:lineRule="exact"/>
        <w:ind w:left="964"/>
        <w:rPr>
          <w:rFonts w:ascii="Arial" w:eastAsia="Times New Roman" w:hAnsi="Arial" w:cs="Arial"/>
          <w:lang w:eastAsia="en-AU"/>
        </w:rPr>
      </w:pPr>
      <w:r w:rsidRPr="0045692F">
        <w:rPr>
          <w:rFonts w:ascii="Arial" w:eastAsia="Times New Roman" w:hAnsi="Arial" w:cs="Arial"/>
          <w:b/>
          <w:i/>
          <w:lang w:eastAsia="en-AU"/>
        </w:rPr>
        <w:t>Regulations</w:t>
      </w:r>
      <w:r w:rsidR="002869A4">
        <w:rPr>
          <w:rFonts w:ascii="Arial" w:eastAsia="Times New Roman" w:hAnsi="Arial" w:cs="Arial"/>
          <w:lang w:eastAsia="en-AU"/>
        </w:rPr>
        <w:t xml:space="preserve"> me</w:t>
      </w:r>
      <w:r w:rsidRPr="0045692F">
        <w:rPr>
          <w:rFonts w:ascii="Arial" w:eastAsia="Times New Roman" w:hAnsi="Arial" w:cs="Arial"/>
          <w:lang w:eastAsia="en-AU"/>
        </w:rPr>
        <w:t xml:space="preserve">ans the </w:t>
      </w:r>
      <w:r w:rsidRPr="0045692F">
        <w:rPr>
          <w:rFonts w:ascii="Arial" w:eastAsia="Times New Roman" w:hAnsi="Arial" w:cs="Arial"/>
          <w:i/>
          <w:lang w:eastAsia="en-AU"/>
        </w:rPr>
        <w:t>Agricultural and Veterinary Chemicals Code Regulations 1995</w:t>
      </w:r>
      <w:r w:rsidRPr="0045692F">
        <w:rPr>
          <w:rFonts w:ascii="Arial" w:eastAsia="Times New Roman" w:hAnsi="Arial" w:cs="Arial"/>
          <w:lang w:eastAsia="en-AU"/>
        </w:rPr>
        <w:t>.</w:t>
      </w:r>
    </w:p>
    <w:p w14:paraId="34C54532" w14:textId="2F05D1B0" w:rsidR="00413499" w:rsidRDefault="002869A4" w:rsidP="005650F9">
      <w:pPr>
        <w:spacing w:before="80" w:after="100" w:line="260" w:lineRule="exact"/>
        <w:ind w:left="964"/>
        <w:rPr>
          <w:rFonts w:ascii="Arial" w:eastAsia="Times New Roman" w:hAnsi="Arial" w:cs="Arial"/>
          <w:lang w:eastAsia="en-AU"/>
        </w:rPr>
      </w:pPr>
      <w:r>
        <w:rPr>
          <w:rFonts w:ascii="Arial" w:eastAsia="Times New Roman" w:hAnsi="Arial" w:cs="Arial"/>
          <w:b/>
          <w:i/>
          <w:lang w:eastAsia="en-AU"/>
        </w:rPr>
        <w:t xml:space="preserve">Relevant particulars </w:t>
      </w:r>
      <w:r>
        <w:rPr>
          <w:rFonts w:ascii="Arial" w:eastAsia="Times New Roman" w:hAnsi="Arial" w:cs="Arial"/>
          <w:lang w:eastAsia="en-AU"/>
        </w:rPr>
        <w:t xml:space="preserve">has the meaning given in the Code. </w:t>
      </w:r>
      <w:r w:rsidR="00956B26">
        <w:rPr>
          <w:rFonts w:ascii="Arial" w:eastAsia="Times New Roman" w:hAnsi="Arial" w:cs="Arial"/>
          <w:lang w:eastAsia="en-AU"/>
        </w:rPr>
        <w:t xml:space="preserve">For the purposes of this Instrument, relevant particulars generally means the concentration of a constituent in an agricultural chemical product. </w:t>
      </w:r>
    </w:p>
    <w:p w14:paraId="3DF194A0" w14:textId="3C24D316" w:rsidR="00413499" w:rsidRDefault="00147E35" w:rsidP="00095545">
      <w:pPr>
        <w:spacing w:before="80" w:after="100" w:line="260" w:lineRule="exact"/>
        <w:ind w:left="964"/>
        <w:rPr>
          <w:rFonts w:ascii="Arial" w:hAnsi="Arial" w:cs="Arial"/>
        </w:rPr>
      </w:pPr>
      <w:r>
        <w:rPr>
          <w:rFonts w:ascii="Arial" w:eastAsia="Times New Roman" w:hAnsi="Arial" w:cs="Arial"/>
          <w:b/>
          <w:i/>
          <w:lang w:eastAsia="en-AU"/>
        </w:rPr>
        <w:t>Validated analytical method</w:t>
      </w:r>
      <w:r>
        <w:rPr>
          <w:rFonts w:ascii="Arial" w:eastAsia="Times New Roman" w:hAnsi="Arial" w:cs="Arial"/>
          <w:lang w:eastAsia="en-AU"/>
        </w:rPr>
        <w:t xml:space="preserve"> </w:t>
      </w:r>
      <w:r w:rsidR="00DB6231">
        <w:rPr>
          <w:rFonts w:ascii="Arial" w:hAnsi="Arial" w:cs="Arial"/>
        </w:rPr>
        <w:t xml:space="preserve">means an analytical method validated in accordance with the APVMA </w:t>
      </w:r>
      <w:r w:rsidR="00B36BA7">
        <w:rPr>
          <w:rFonts w:ascii="Arial" w:hAnsi="Arial" w:cs="Arial"/>
        </w:rPr>
        <w:t>guidance</w:t>
      </w:r>
      <w:r w:rsidR="00F95E6C">
        <w:rPr>
          <w:rFonts w:ascii="Arial" w:hAnsi="Arial" w:cs="Arial"/>
        </w:rPr>
        <w:t xml:space="preserve"> document</w:t>
      </w:r>
      <w:r w:rsidR="00B36BA7">
        <w:rPr>
          <w:rFonts w:ascii="Arial" w:hAnsi="Arial" w:cs="Arial"/>
        </w:rPr>
        <w:t xml:space="preserve"> </w:t>
      </w:r>
      <w:r w:rsidR="00DB6231">
        <w:rPr>
          <w:rFonts w:ascii="Arial" w:hAnsi="Arial" w:cs="Arial"/>
        </w:rPr>
        <w:t>on validation of analytical methods</w:t>
      </w:r>
      <w:r w:rsidR="00B36BA7">
        <w:rPr>
          <w:rFonts w:ascii="Arial" w:hAnsi="Arial" w:cs="Arial"/>
        </w:rPr>
        <w:t xml:space="preserve">, </w:t>
      </w:r>
      <w:r w:rsidR="00585BB2">
        <w:rPr>
          <w:rFonts w:ascii="Arial" w:hAnsi="Arial" w:cs="Arial"/>
        </w:rPr>
        <w:t>which is incorporated by reference into this Instrument</w:t>
      </w:r>
      <w:r w:rsidR="00B36BA7">
        <w:rPr>
          <w:rFonts w:ascii="Arial" w:hAnsi="Arial" w:cs="Arial"/>
        </w:rPr>
        <w:t xml:space="preserve"> as in force from time to time</w:t>
      </w:r>
      <w:r w:rsidR="00DB6231">
        <w:rPr>
          <w:rFonts w:ascii="Arial" w:hAnsi="Arial" w:cs="Arial"/>
        </w:rPr>
        <w:t>.</w:t>
      </w:r>
      <w:r w:rsidR="00B36BA7">
        <w:rPr>
          <w:rFonts w:ascii="Arial" w:hAnsi="Arial" w:cs="Arial"/>
        </w:rPr>
        <w:t xml:space="preserve"> </w:t>
      </w:r>
    </w:p>
    <w:p w14:paraId="0EB39945" w14:textId="27C69DF0" w:rsidR="00B36BA7" w:rsidRDefault="00B36BA7" w:rsidP="00095545">
      <w:pPr>
        <w:spacing w:before="80" w:after="100" w:line="260" w:lineRule="exact"/>
        <w:ind w:left="964"/>
        <w:rPr>
          <w:rFonts w:ascii="Arial" w:eastAsia="Times New Roman" w:hAnsi="Arial" w:cs="Arial"/>
          <w:lang w:eastAsia="en-AU"/>
        </w:rPr>
      </w:pPr>
      <w:r w:rsidRPr="00527337">
        <w:t>Note:</w:t>
      </w:r>
      <w:r>
        <w:tab/>
      </w:r>
      <w:r w:rsidRPr="00527337">
        <w:t>The document</w:t>
      </w:r>
      <w:r>
        <w:t xml:space="preserve">, </w:t>
      </w:r>
      <w:r w:rsidRPr="00527337">
        <w:rPr>
          <w:i/>
          <w:iCs/>
        </w:rPr>
        <w:t>Validation of analytical methods for active constituents and agricultural products</w:t>
      </w:r>
      <w:r>
        <w:t xml:space="preserve">, is able to </w:t>
      </w:r>
      <w:r w:rsidRPr="00527337">
        <w:t xml:space="preserve">be viewed or downloaded free of charge from the APVMA’s website </w:t>
      </w:r>
      <w:r w:rsidR="00F95E6C">
        <w:t>(</w:t>
      </w:r>
      <w:r w:rsidR="00F95E6C" w:rsidRPr="005D0056">
        <w:t>https://apvma.gov.au/</w:t>
      </w:r>
      <w:r w:rsidR="00F95E6C">
        <w:t>)</w:t>
      </w:r>
      <w:r w:rsidRPr="00527337">
        <w:t>.</w:t>
      </w:r>
      <w:r>
        <w:t xml:space="preserve"> </w:t>
      </w:r>
    </w:p>
    <w:p w14:paraId="2090E654" w14:textId="6AC7CF80" w:rsidR="00601B57" w:rsidRDefault="00601B57" w:rsidP="0045692F">
      <w:pPr>
        <w:spacing w:before="80" w:after="100" w:line="260" w:lineRule="exact"/>
        <w:ind w:left="964"/>
        <w:rPr>
          <w:rFonts w:ascii="Arial" w:eastAsia="Times New Roman" w:hAnsi="Arial" w:cs="Arial"/>
          <w:lang w:eastAsia="en-AU"/>
        </w:rPr>
        <w:sectPr w:rsidR="00601B57" w:rsidSect="00294173">
          <w:headerReference w:type="even" r:id="rId10"/>
          <w:headerReference w:type="default" r:id="rId11"/>
          <w:pgSz w:w="11906" w:h="16838" w:code="9"/>
          <w:pgMar w:top="1440" w:right="1440" w:bottom="1440" w:left="1440" w:header="709" w:footer="709" w:gutter="0"/>
          <w:cols w:space="708"/>
          <w:titlePg/>
          <w:docGrid w:linePitch="360"/>
        </w:sectPr>
      </w:pPr>
    </w:p>
    <w:p w14:paraId="2AE67785" w14:textId="40F45B43" w:rsidR="0045692F" w:rsidRPr="0045692F" w:rsidRDefault="0045692F" w:rsidP="00987058">
      <w:pPr>
        <w:spacing w:before="80" w:after="100" w:line="260" w:lineRule="exact"/>
        <w:rPr>
          <w:rFonts w:ascii="Arial" w:eastAsia="Times New Roman" w:hAnsi="Arial" w:cs="Arial"/>
          <w:lang w:eastAsia="en-AU"/>
        </w:rPr>
      </w:pPr>
    </w:p>
    <w:p w14:paraId="6683FC1C" w14:textId="2B001DBB" w:rsidR="0045692F" w:rsidRPr="0045692F" w:rsidRDefault="000948F1" w:rsidP="000948F1">
      <w:pPr>
        <w:pStyle w:val="h2Part"/>
      </w:pPr>
      <w:bookmarkStart w:id="1" w:name="_Ref93068868"/>
      <w:r>
        <w:t>Part 2</w:t>
      </w:r>
      <w:r w:rsidR="0045692F" w:rsidRPr="0045692F">
        <w:tab/>
      </w:r>
      <w:bookmarkEnd w:id="1"/>
      <w:r w:rsidR="00EA1919">
        <w:t xml:space="preserve">Allowable variations </w:t>
      </w:r>
      <w:r w:rsidR="00413499">
        <w:t>for concentrations of</w:t>
      </w:r>
      <w:r w:rsidR="00EA1919">
        <w:t xml:space="preserve"> constituents in agricultural chemical products</w:t>
      </w:r>
    </w:p>
    <w:p w14:paraId="6ECCAD8E" w14:textId="6DCBF86E" w:rsidR="0045692F" w:rsidRPr="00574A07" w:rsidRDefault="00B24835" w:rsidP="00296103">
      <w:pPr>
        <w:pStyle w:val="ListParagraph"/>
        <w:keepNext/>
        <w:keepLines/>
        <w:numPr>
          <w:ilvl w:val="0"/>
          <w:numId w:val="9"/>
        </w:numPr>
        <w:spacing w:before="360" w:after="60"/>
        <w:ind w:hanging="720"/>
        <w:outlineLvl w:val="4"/>
        <w:rPr>
          <w:rFonts w:ascii="Arial" w:hAnsi="Arial" w:cs="Arial"/>
          <w:b/>
          <w:bCs/>
          <w:kern w:val="32"/>
          <w:szCs w:val="32"/>
        </w:rPr>
      </w:pPr>
      <w:r w:rsidRPr="00574A07">
        <w:rPr>
          <w:rFonts w:ascii="Arial" w:hAnsi="Arial" w:cs="Arial"/>
          <w:b/>
          <w:bCs/>
          <w:kern w:val="32"/>
          <w:szCs w:val="32"/>
        </w:rPr>
        <w:t xml:space="preserve">Prescribed extent of allowable variation </w:t>
      </w:r>
      <w:r w:rsidR="00413499" w:rsidRPr="00574A07">
        <w:rPr>
          <w:rFonts w:ascii="Arial" w:hAnsi="Arial" w:cs="Arial"/>
          <w:b/>
          <w:bCs/>
          <w:kern w:val="32"/>
          <w:szCs w:val="32"/>
        </w:rPr>
        <w:t xml:space="preserve">for </w:t>
      </w:r>
      <w:r w:rsidR="00987058" w:rsidRPr="00574A07">
        <w:rPr>
          <w:rFonts w:ascii="Arial" w:hAnsi="Arial" w:cs="Arial"/>
          <w:b/>
          <w:bCs/>
          <w:kern w:val="32"/>
          <w:szCs w:val="32"/>
        </w:rPr>
        <w:t xml:space="preserve">concentrations of active </w:t>
      </w:r>
      <w:r w:rsidR="00413499" w:rsidRPr="00574A07">
        <w:rPr>
          <w:rFonts w:ascii="Arial" w:hAnsi="Arial" w:cs="Arial"/>
          <w:b/>
          <w:bCs/>
          <w:kern w:val="32"/>
          <w:szCs w:val="32"/>
        </w:rPr>
        <w:t>constituents in agricultural chemical products</w:t>
      </w:r>
    </w:p>
    <w:p w14:paraId="25AEBFBF" w14:textId="40915CCD" w:rsidR="00413499" w:rsidRPr="00413499" w:rsidRDefault="00413499" w:rsidP="00413499">
      <w:pPr>
        <w:keepNext/>
        <w:keepLines/>
        <w:spacing w:before="360" w:after="60" w:line="240" w:lineRule="auto"/>
        <w:ind w:left="964" w:hanging="964"/>
        <w:outlineLvl w:val="4"/>
        <w:rPr>
          <w:rFonts w:ascii="Arial" w:eastAsia="Times New Roman" w:hAnsi="Arial" w:cs="Arial"/>
          <w:bCs/>
          <w:kern w:val="32"/>
          <w:lang w:eastAsia="en-AU"/>
        </w:rPr>
      </w:pPr>
    </w:p>
    <w:p w14:paraId="3BED32FC" w14:textId="0520BE3C" w:rsidR="00413499" w:rsidRPr="00413499" w:rsidRDefault="00413499" w:rsidP="00574A07">
      <w:pPr>
        <w:numPr>
          <w:ilvl w:val="0"/>
          <w:numId w:val="10"/>
        </w:numPr>
        <w:tabs>
          <w:tab w:val="right" w:pos="851"/>
        </w:tabs>
        <w:spacing w:before="80" w:after="100" w:line="260" w:lineRule="exact"/>
        <w:rPr>
          <w:rFonts w:ascii="Arial" w:eastAsia="Times New Roman" w:hAnsi="Arial" w:cs="Arial"/>
          <w:lang w:eastAsia="en-AU"/>
        </w:rPr>
      </w:pPr>
      <w:r>
        <w:rPr>
          <w:rFonts w:ascii="Arial" w:eastAsia="Times New Roman" w:hAnsi="Arial" w:cs="Arial"/>
          <w:bCs/>
          <w:kern w:val="32"/>
          <w:lang w:eastAsia="en-AU"/>
        </w:rPr>
        <w:t xml:space="preserve">The standard allowable variations from the concentration declared and recorded in the Register for active constituents in agricultural chemical products are given in the table below. </w:t>
      </w:r>
    </w:p>
    <w:p w14:paraId="542EC2BC" w14:textId="461D7D92" w:rsidR="00413499" w:rsidRDefault="00413499" w:rsidP="00413499">
      <w:pPr>
        <w:tabs>
          <w:tab w:val="right" w:pos="851"/>
        </w:tabs>
        <w:spacing w:before="80" w:after="100" w:line="260" w:lineRule="exact"/>
        <w:ind w:left="960"/>
        <w:rPr>
          <w:rFonts w:ascii="Arial" w:eastAsia="Times New Roman" w:hAnsi="Arial" w:cs="Arial"/>
          <w:bCs/>
          <w:kern w:val="32"/>
          <w:lang w:eastAsia="en-AU"/>
        </w:rPr>
      </w:pPr>
    </w:p>
    <w:tbl>
      <w:tblPr>
        <w:tblW w:w="9026" w:type="dxa"/>
        <w:tblInd w:w="-8" w:type="dxa"/>
        <w:tblBorders>
          <w:top w:val="single" w:sz="6" w:space="0" w:color="E1E1E1"/>
          <w:left w:val="single" w:sz="6" w:space="0" w:color="E1E1E1"/>
          <w:bottom w:val="single" w:sz="6" w:space="0" w:color="E1E1E1"/>
          <w:right w:val="single" w:sz="6" w:space="0" w:color="E1E1E1"/>
        </w:tblBorders>
        <w:shd w:val="clear" w:color="auto" w:fill="FFFFFF"/>
        <w:tblCellMar>
          <w:top w:w="15" w:type="dxa"/>
          <w:left w:w="15" w:type="dxa"/>
          <w:bottom w:w="15" w:type="dxa"/>
          <w:right w:w="15" w:type="dxa"/>
        </w:tblCellMar>
        <w:tblLook w:val="04A0" w:firstRow="1" w:lastRow="0" w:firstColumn="1" w:lastColumn="0" w:noHBand="0" w:noVBand="1"/>
      </w:tblPr>
      <w:tblGrid>
        <w:gridCol w:w="3060"/>
        <w:gridCol w:w="5966"/>
      </w:tblGrid>
      <w:tr w:rsidR="00EF79A3" w:rsidRPr="00413499" w14:paraId="70F714AB"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BFBFBF" w:themeFill="background1" w:themeFillShade="BF"/>
            <w:tcMar>
              <w:top w:w="154" w:type="dxa"/>
              <w:left w:w="171" w:type="dxa"/>
              <w:bottom w:w="154" w:type="dxa"/>
              <w:right w:w="171" w:type="dxa"/>
            </w:tcMar>
            <w:hideMark/>
          </w:tcPr>
          <w:p w14:paraId="4EBADCD1" w14:textId="77777777" w:rsidR="00413499" w:rsidRPr="00413499" w:rsidRDefault="00413499" w:rsidP="00FE49CC">
            <w:pPr>
              <w:spacing w:after="0" w:line="240" w:lineRule="auto"/>
              <w:rPr>
                <w:rFonts w:ascii="Arial" w:eastAsia="Times New Roman" w:hAnsi="Arial" w:cs="Arial"/>
                <w:b/>
                <w:sz w:val="20"/>
                <w:szCs w:val="20"/>
                <w:lang w:eastAsia="en-AU"/>
              </w:rPr>
            </w:pPr>
            <w:r w:rsidRPr="00413499">
              <w:rPr>
                <w:rFonts w:ascii="Arial" w:eastAsia="Times New Roman" w:hAnsi="Arial" w:cs="Arial"/>
                <w:b/>
                <w:sz w:val="20"/>
                <w:szCs w:val="20"/>
                <w:lang w:eastAsia="en-AU"/>
              </w:rPr>
              <w:t>Declared content g/kg or g/L</w:t>
            </w:r>
          </w:p>
        </w:tc>
        <w:tc>
          <w:tcPr>
            <w:tcW w:w="0" w:type="auto"/>
            <w:tcBorders>
              <w:top w:val="single" w:sz="6" w:space="0" w:color="E1E1E1"/>
              <w:left w:val="single" w:sz="6" w:space="0" w:color="E1E1E1"/>
              <w:bottom w:val="single" w:sz="6" w:space="0" w:color="E1E1E1"/>
              <w:right w:val="single" w:sz="6" w:space="0" w:color="E1E1E1"/>
            </w:tcBorders>
            <w:shd w:val="clear" w:color="auto" w:fill="BFBFBF" w:themeFill="background1" w:themeFillShade="BF"/>
            <w:tcMar>
              <w:top w:w="154" w:type="dxa"/>
              <w:left w:w="171" w:type="dxa"/>
              <w:bottom w:w="154" w:type="dxa"/>
              <w:right w:w="171" w:type="dxa"/>
            </w:tcMar>
            <w:hideMark/>
          </w:tcPr>
          <w:p w14:paraId="71B612AB" w14:textId="77777777" w:rsidR="00413499" w:rsidRPr="00413499" w:rsidRDefault="00413499" w:rsidP="00FE49CC">
            <w:pPr>
              <w:spacing w:after="0" w:line="240" w:lineRule="auto"/>
              <w:rPr>
                <w:rFonts w:ascii="Arial" w:eastAsia="Times New Roman" w:hAnsi="Arial" w:cs="Arial"/>
                <w:b/>
                <w:sz w:val="20"/>
                <w:szCs w:val="20"/>
                <w:lang w:eastAsia="en-AU"/>
              </w:rPr>
            </w:pPr>
            <w:r w:rsidRPr="00413499">
              <w:rPr>
                <w:rFonts w:ascii="Arial" w:eastAsia="Times New Roman" w:hAnsi="Arial" w:cs="Arial"/>
                <w:b/>
                <w:sz w:val="20"/>
                <w:szCs w:val="20"/>
                <w:lang w:eastAsia="en-AU"/>
              </w:rPr>
              <w:t>Allowable variation</w:t>
            </w:r>
          </w:p>
        </w:tc>
      </w:tr>
      <w:tr w:rsidR="00EF79A3" w:rsidRPr="00413499" w14:paraId="01512A1F"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51E0C959" w14:textId="77777777"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Up to 25</w:t>
            </w:r>
          </w:p>
        </w:t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37994475" w14:textId="31FF7C9A"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±1</w:t>
            </w:r>
            <w:r w:rsidR="00EF79A3">
              <w:rPr>
                <w:rFonts w:ascii="Arial" w:eastAsia="Times New Roman" w:hAnsi="Arial" w:cs="Arial"/>
                <w:color w:val="353735"/>
                <w:sz w:val="20"/>
                <w:szCs w:val="20"/>
                <w:lang w:eastAsia="en-AU"/>
              </w:rPr>
              <w:t>5% of the declared content for homogeneous formulations</w:t>
            </w:r>
            <w:r w:rsidRPr="00413499">
              <w:rPr>
                <w:rFonts w:ascii="Arial" w:eastAsia="Times New Roman" w:hAnsi="Arial" w:cs="Arial"/>
                <w:color w:val="353735"/>
                <w:sz w:val="20"/>
                <w:szCs w:val="20"/>
                <w:lang w:eastAsia="en-AU"/>
              </w:rPr>
              <w:t xml:space="preserve"> or</w:t>
            </w:r>
          </w:p>
          <w:p w14:paraId="0DE41047" w14:textId="3A4F8D2B" w:rsidR="00413499" w:rsidRPr="00413499" w:rsidRDefault="009038FC" w:rsidP="00EF79A3">
            <w:pPr>
              <w:spacing w:after="0" w:line="240" w:lineRule="auto"/>
              <w:rPr>
                <w:rFonts w:ascii="Arial" w:eastAsia="Times New Roman" w:hAnsi="Arial" w:cs="Arial"/>
                <w:color w:val="353735"/>
                <w:sz w:val="20"/>
                <w:szCs w:val="20"/>
                <w:lang w:eastAsia="en-AU"/>
              </w:rPr>
            </w:pPr>
            <w:r>
              <w:rPr>
                <w:rFonts w:ascii="Arial" w:eastAsia="Times New Roman" w:hAnsi="Arial" w:cs="Arial"/>
                <w:color w:val="353735"/>
                <w:sz w:val="20"/>
                <w:szCs w:val="20"/>
                <w:lang w:eastAsia="en-AU"/>
              </w:rPr>
              <w:t>±25% for heterogeneous</w:t>
            </w:r>
            <w:r w:rsidR="00413499" w:rsidRPr="00413499">
              <w:rPr>
                <w:rFonts w:ascii="Arial" w:eastAsia="Times New Roman" w:hAnsi="Arial" w:cs="Arial"/>
                <w:color w:val="353735"/>
                <w:sz w:val="20"/>
                <w:szCs w:val="20"/>
                <w:lang w:eastAsia="en-AU"/>
              </w:rPr>
              <w:t xml:space="preserve"> formulations </w:t>
            </w:r>
          </w:p>
        </w:tc>
      </w:tr>
      <w:tr w:rsidR="00EF79A3" w:rsidRPr="00413499" w14:paraId="5AA3DB27"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4" w:type="dxa"/>
              <w:left w:w="171" w:type="dxa"/>
              <w:bottom w:w="154" w:type="dxa"/>
              <w:right w:w="171" w:type="dxa"/>
            </w:tcMar>
            <w:hideMark/>
          </w:tcPr>
          <w:p w14:paraId="21C98ED3" w14:textId="77777777"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Above 25 up to 100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4" w:type="dxa"/>
              <w:left w:w="171" w:type="dxa"/>
              <w:bottom w:w="154" w:type="dxa"/>
              <w:right w:w="171" w:type="dxa"/>
            </w:tcMar>
            <w:hideMark/>
          </w:tcPr>
          <w:p w14:paraId="4C790AE5" w14:textId="77777777"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±10% of the declared content</w:t>
            </w:r>
          </w:p>
        </w:tc>
      </w:tr>
      <w:tr w:rsidR="00EF79A3" w:rsidRPr="00413499" w14:paraId="67B45608"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5B1B5529" w14:textId="77777777"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Above 100 up to 250</w:t>
            </w:r>
          </w:p>
        </w:t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429EF89C" w14:textId="77777777"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±6% of the declared content</w:t>
            </w:r>
          </w:p>
        </w:tc>
      </w:tr>
      <w:tr w:rsidR="00EF79A3" w:rsidRPr="00413499" w14:paraId="7E24E9AF"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4" w:type="dxa"/>
              <w:left w:w="171" w:type="dxa"/>
              <w:bottom w:w="154" w:type="dxa"/>
              <w:right w:w="171" w:type="dxa"/>
            </w:tcMar>
            <w:hideMark/>
          </w:tcPr>
          <w:p w14:paraId="0C555730" w14:textId="77777777"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Above 250 up to 500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4" w:type="dxa"/>
              <w:left w:w="171" w:type="dxa"/>
              <w:bottom w:w="154" w:type="dxa"/>
              <w:right w:w="171" w:type="dxa"/>
            </w:tcMar>
            <w:hideMark/>
          </w:tcPr>
          <w:p w14:paraId="40FE7D97" w14:textId="77777777"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±5% of the declared content</w:t>
            </w:r>
          </w:p>
        </w:tc>
      </w:tr>
      <w:tr w:rsidR="00EF79A3" w:rsidRPr="00413499" w14:paraId="2A5D8E0B"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6925EAFD" w14:textId="77777777"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Above 500</w:t>
            </w:r>
          </w:p>
        </w:t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6EB4D508" w14:textId="77777777" w:rsidR="00413499" w:rsidRPr="00413499" w:rsidRDefault="00413499" w:rsidP="00FE49CC">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±25 g/kg or g/L</w:t>
            </w:r>
          </w:p>
        </w:tc>
      </w:tr>
    </w:tbl>
    <w:p w14:paraId="7DC3617A" w14:textId="6A96B71A" w:rsidR="00413499" w:rsidRPr="00413499" w:rsidRDefault="00413499" w:rsidP="00413499">
      <w:pPr>
        <w:shd w:val="clear" w:color="auto" w:fill="FFFFFF"/>
        <w:spacing w:after="120" w:line="240" w:lineRule="auto"/>
        <w:rPr>
          <w:rFonts w:ascii="Arial" w:eastAsia="Times New Roman" w:hAnsi="Arial" w:cs="Arial"/>
          <w:color w:val="353735"/>
          <w:sz w:val="21"/>
          <w:szCs w:val="21"/>
          <w:lang w:eastAsia="en-AU"/>
        </w:rPr>
      </w:pPr>
      <w:r w:rsidRPr="00413499">
        <w:rPr>
          <w:rFonts w:ascii="Arial" w:eastAsia="Times New Roman" w:hAnsi="Arial" w:cs="Arial"/>
          <w:color w:val="353735"/>
          <w:sz w:val="16"/>
          <w:szCs w:val="16"/>
          <w:lang w:eastAsia="en-AU"/>
        </w:rPr>
        <w:t xml:space="preserve">Note: In each range the upper limit is included. </w:t>
      </w:r>
    </w:p>
    <w:p w14:paraId="3953C59D" w14:textId="3065AE26" w:rsidR="0045692F" w:rsidRDefault="00413499" w:rsidP="00574A07">
      <w:pPr>
        <w:numPr>
          <w:ilvl w:val="0"/>
          <w:numId w:val="10"/>
        </w:numPr>
        <w:tabs>
          <w:tab w:val="right" w:pos="851"/>
        </w:tabs>
        <w:spacing w:before="80" w:after="100" w:line="260" w:lineRule="exact"/>
        <w:rPr>
          <w:rFonts w:ascii="Arial" w:eastAsia="Times New Roman" w:hAnsi="Arial" w:cs="Arial"/>
          <w:lang w:eastAsia="en-AU"/>
        </w:rPr>
      </w:pPr>
      <w:r w:rsidRPr="00413499">
        <w:rPr>
          <w:rFonts w:ascii="Arial" w:eastAsia="Times New Roman" w:hAnsi="Arial" w:cs="Arial"/>
          <w:lang w:eastAsia="en-AU"/>
        </w:rPr>
        <w:t>Applicants may propose alternative allowable variati</w:t>
      </w:r>
      <w:r w:rsidR="00574A07">
        <w:rPr>
          <w:rFonts w:ascii="Arial" w:eastAsia="Times New Roman" w:hAnsi="Arial" w:cs="Arial"/>
          <w:lang w:eastAsia="en-AU"/>
        </w:rPr>
        <w:t xml:space="preserve">ons from those in the table at </w:t>
      </w:r>
      <w:r w:rsidRPr="00413499">
        <w:rPr>
          <w:rFonts w:ascii="Arial" w:eastAsia="Times New Roman" w:hAnsi="Arial" w:cs="Arial"/>
          <w:lang w:eastAsia="en-AU"/>
        </w:rPr>
        <w:t>1</w:t>
      </w:r>
      <w:r w:rsidR="00574A07">
        <w:rPr>
          <w:rFonts w:ascii="Arial" w:eastAsia="Times New Roman" w:hAnsi="Arial" w:cs="Arial"/>
          <w:lang w:eastAsia="en-AU"/>
        </w:rPr>
        <w:t>(a</w:t>
      </w:r>
      <w:r w:rsidRPr="00413499">
        <w:rPr>
          <w:rFonts w:ascii="Arial" w:eastAsia="Times New Roman" w:hAnsi="Arial" w:cs="Arial"/>
          <w:lang w:eastAsia="en-AU"/>
        </w:rPr>
        <w:t xml:space="preserve">) above, provided an appropriate scientific justification is provided, and the APVMA is satisfied that the alternative allowable variation would still ensure that the product complied with the safety, efficacy and trade criteria as defined in sections 5A, 5B and 5C of the Code. </w:t>
      </w:r>
    </w:p>
    <w:p w14:paraId="034B7362" w14:textId="4D16E02A" w:rsidR="009D3924" w:rsidRDefault="009D3924" w:rsidP="00413499">
      <w:pPr>
        <w:tabs>
          <w:tab w:val="right" w:pos="851"/>
        </w:tabs>
        <w:spacing w:before="80" w:after="100" w:line="260" w:lineRule="exact"/>
        <w:ind w:left="960"/>
        <w:rPr>
          <w:rFonts w:ascii="Arial" w:eastAsia="Times New Roman" w:hAnsi="Arial" w:cs="Arial"/>
          <w:lang w:eastAsia="en-AU"/>
        </w:rPr>
      </w:pPr>
      <w:r>
        <w:rPr>
          <w:rFonts w:ascii="Arial" w:eastAsia="Times New Roman" w:hAnsi="Arial" w:cs="Arial"/>
          <w:lang w:eastAsia="en-AU"/>
        </w:rPr>
        <w:br w:type="page"/>
      </w:r>
    </w:p>
    <w:p w14:paraId="01A2852D" w14:textId="77777777" w:rsidR="00413499" w:rsidRPr="00413499" w:rsidRDefault="00413499" w:rsidP="00413499">
      <w:pPr>
        <w:tabs>
          <w:tab w:val="right" w:pos="851"/>
        </w:tabs>
        <w:spacing w:before="80" w:after="100" w:line="260" w:lineRule="exact"/>
        <w:ind w:left="960"/>
        <w:rPr>
          <w:rFonts w:ascii="Arial" w:eastAsia="Times New Roman" w:hAnsi="Arial" w:cs="Arial"/>
          <w:lang w:eastAsia="en-AU"/>
        </w:rPr>
      </w:pPr>
    </w:p>
    <w:p w14:paraId="0C51B31D" w14:textId="11BC5206" w:rsidR="00413499" w:rsidRPr="00574A07" w:rsidRDefault="00413499" w:rsidP="00296103">
      <w:pPr>
        <w:pStyle w:val="ListParagraph"/>
        <w:numPr>
          <w:ilvl w:val="0"/>
          <w:numId w:val="9"/>
        </w:numPr>
        <w:tabs>
          <w:tab w:val="right" w:pos="851"/>
        </w:tabs>
        <w:spacing w:before="80" w:after="100" w:line="260" w:lineRule="exact"/>
        <w:ind w:left="851" w:hanging="851"/>
        <w:rPr>
          <w:rFonts w:ascii="Arial" w:hAnsi="Arial" w:cs="Arial"/>
          <w:b/>
          <w:bCs/>
          <w:kern w:val="32"/>
        </w:rPr>
      </w:pPr>
      <w:r w:rsidRPr="00574A07">
        <w:rPr>
          <w:rFonts w:ascii="Arial" w:hAnsi="Arial" w:cs="Arial"/>
          <w:b/>
          <w:bCs/>
          <w:kern w:val="32"/>
        </w:rPr>
        <w:t xml:space="preserve">Prescribed extent of allowable variation for </w:t>
      </w:r>
      <w:r w:rsidR="00987058" w:rsidRPr="00574A07">
        <w:rPr>
          <w:rFonts w:ascii="Arial" w:hAnsi="Arial" w:cs="Arial"/>
          <w:b/>
          <w:bCs/>
          <w:kern w:val="32"/>
        </w:rPr>
        <w:t xml:space="preserve">concentrations of </w:t>
      </w:r>
      <w:r w:rsidRPr="00574A07">
        <w:rPr>
          <w:rFonts w:ascii="Arial" w:hAnsi="Arial" w:cs="Arial"/>
          <w:b/>
          <w:bCs/>
          <w:kern w:val="32"/>
        </w:rPr>
        <w:t>non-active constituents in agricultural chemical products</w:t>
      </w:r>
    </w:p>
    <w:p w14:paraId="0AA8BBDF" w14:textId="77777777" w:rsidR="00574A07" w:rsidRPr="00574A07" w:rsidRDefault="00574A07" w:rsidP="00574A07">
      <w:pPr>
        <w:keepNext/>
        <w:keepLines/>
        <w:spacing w:before="360" w:after="60"/>
        <w:outlineLvl w:val="4"/>
        <w:rPr>
          <w:rFonts w:ascii="Arial" w:hAnsi="Arial" w:cs="Arial"/>
          <w:bCs/>
          <w:kern w:val="32"/>
        </w:rPr>
      </w:pPr>
    </w:p>
    <w:p w14:paraId="1FF18DA8" w14:textId="269A5B2E" w:rsidR="0045692F" w:rsidRPr="00574A07" w:rsidRDefault="00413499" w:rsidP="00574A07">
      <w:pPr>
        <w:pStyle w:val="ListParagraph"/>
        <w:keepNext/>
        <w:keepLines/>
        <w:numPr>
          <w:ilvl w:val="0"/>
          <w:numId w:val="12"/>
        </w:numPr>
        <w:spacing w:before="360" w:after="60"/>
        <w:outlineLvl w:val="4"/>
        <w:rPr>
          <w:rFonts w:ascii="Arial" w:hAnsi="Arial" w:cs="Arial"/>
          <w:bCs/>
          <w:kern w:val="32"/>
          <w:sz w:val="22"/>
          <w:szCs w:val="22"/>
        </w:rPr>
      </w:pPr>
      <w:r w:rsidRPr="00574A07">
        <w:rPr>
          <w:rFonts w:ascii="Arial" w:hAnsi="Arial" w:cs="Arial"/>
          <w:bCs/>
          <w:kern w:val="32"/>
          <w:sz w:val="22"/>
          <w:szCs w:val="22"/>
        </w:rPr>
        <w:t xml:space="preserve">The standard allowable variations from the concentration declared and recorded in the Register for non-active constituents in agricultural chemical products are given in the table below. </w:t>
      </w:r>
    </w:p>
    <w:p w14:paraId="78870FFE" w14:textId="77777777" w:rsidR="00540E17" w:rsidRPr="00574A07" w:rsidRDefault="00540E17" w:rsidP="00540E17">
      <w:pPr>
        <w:pStyle w:val="ListParagraph"/>
        <w:keepNext/>
        <w:keepLines/>
        <w:spacing w:before="360" w:after="60"/>
        <w:ind w:left="960"/>
        <w:outlineLvl w:val="4"/>
        <w:rPr>
          <w:rFonts w:ascii="Arial" w:hAnsi="Arial" w:cs="Arial"/>
          <w:bCs/>
          <w:kern w:val="32"/>
          <w:sz w:val="22"/>
          <w:szCs w:val="22"/>
        </w:rPr>
      </w:pPr>
    </w:p>
    <w:tbl>
      <w:tblPr>
        <w:tblW w:w="9026" w:type="dxa"/>
        <w:tblInd w:w="-8" w:type="dxa"/>
        <w:tblBorders>
          <w:top w:val="single" w:sz="6" w:space="0" w:color="E1E1E1"/>
          <w:left w:val="single" w:sz="6" w:space="0" w:color="E1E1E1"/>
          <w:bottom w:val="single" w:sz="6" w:space="0" w:color="E1E1E1"/>
          <w:right w:val="single" w:sz="6" w:space="0" w:color="E1E1E1"/>
        </w:tblBorders>
        <w:shd w:val="clear" w:color="auto" w:fill="FFFFFF"/>
        <w:tblCellMar>
          <w:top w:w="15" w:type="dxa"/>
          <w:left w:w="15" w:type="dxa"/>
          <w:bottom w:w="15" w:type="dxa"/>
          <w:right w:w="15" w:type="dxa"/>
        </w:tblCellMar>
        <w:tblLook w:val="04A0" w:firstRow="1" w:lastRow="0" w:firstColumn="1" w:lastColumn="0" w:noHBand="0" w:noVBand="1"/>
      </w:tblPr>
      <w:tblGrid>
        <w:gridCol w:w="4958"/>
        <w:gridCol w:w="4068"/>
      </w:tblGrid>
      <w:tr w:rsidR="001737F0" w:rsidRPr="00413499" w14:paraId="0F5D0685"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BFBFBF" w:themeFill="background1" w:themeFillShade="BF"/>
            <w:tcMar>
              <w:top w:w="154" w:type="dxa"/>
              <w:left w:w="171" w:type="dxa"/>
              <w:bottom w:w="154" w:type="dxa"/>
              <w:right w:w="171" w:type="dxa"/>
            </w:tcMar>
            <w:hideMark/>
          </w:tcPr>
          <w:p w14:paraId="60D9FBB1" w14:textId="60FDE1C3" w:rsidR="001737F0" w:rsidRPr="00413499" w:rsidRDefault="004E3ABA" w:rsidP="00FE49CC">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Nominal concentration</w:t>
            </w:r>
            <w:r w:rsidR="001737F0" w:rsidRPr="00413499">
              <w:rPr>
                <w:rFonts w:ascii="Arial" w:eastAsia="Times New Roman" w:hAnsi="Arial" w:cs="Arial"/>
                <w:b/>
                <w:sz w:val="20"/>
                <w:szCs w:val="20"/>
                <w:lang w:eastAsia="en-AU"/>
              </w:rPr>
              <w:t xml:space="preserve"> g/kg or g/L</w:t>
            </w:r>
          </w:p>
        </w:tc>
        <w:tc>
          <w:tcPr>
            <w:tcW w:w="0" w:type="auto"/>
            <w:tcBorders>
              <w:top w:val="single" w:sz="6" w:space="0" w:color="E1E1E1"/>
              <w:left w:val="single" w:sz="6" w:space="0" w:color="E1E1E1"/>
              <w:bottom w:val="single" w:sz="6" w:space="0" w:color="E1E1E1"/>
              <w:right w:val="single" w:sz="6" w:space="0" w:color="E1E1E1"/>
            </w:tcBorders>
            <w:shd w:val="clear" w:color="auto" w:fill="BFBFBF" w:themeFill="background1" w:themeFillShade="BF"/>
            <w:tcMar>
              <w:top w:w="154" w:type="dxa"/>
              <w:left w:w="171" w:type="dxa"/>
              <w:bottom w:w="154" w:type="dxa"/>
              <w:right w:w="171" w:type="dxa"/>
            </w:tcMar>
            <w:hideMark/>
          </w:tcPr>
          <w:p w14:paraId="25999104" w14:textId="77777777" w:rsidR="001737F0" w:rsidRPr="00413499" w:rsidRDefault="001737F0" w:rsidP="00FE49CC">
            <w:pPr>
              <w:spacing w:after="0" w:line="240" w:lineRule="auto"/>
              <w:rPr>
                <w:rFonts w:ascii="Arial" w:eastAsia="Times New Roman" w:hAnsi="Arial" w:cs="Arial"/>
                <w:b/>
                <w:sz w:val="20"/>
                <w:szCs w:val="20"/>
                <w:lang w:eastAsia="en-AU"/>
              </w:rPr>
            </w:pPr>
            <w:r w:rsidRPr="00413499">
              <w:rPr>
                <w:rFonts w:ascii="Arial" w:eastAsia="Times New Roman" w:hAnsi="Arial" w:cs="Arial"/>
                <w:b/>
                <w:sz w:val="20"/>
                <w:szCs w:val="20"/>
                <w:lang w:eastAsia="en-AU"/>
              </w:rPr>
              <w:t>Allowable variation</w:t>
            </w:r>
          </w:p>
        </w:tc>
      </w:tr>
      <w:tr w:rsidR="001737F0" w:rsidRPr="00413499" w14:paraId="721B51DD"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7ECFDB67" w14:textId="37A23C95" w:rsidR="001737F0" w:rsidRPr="00413499" w:rsidRDefault="001737F0" w:rsidP="001737F0">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 xml:space="preserve">Up to </w:t>
            </w:r>
            <w:r>
              <w:rPr>
                <w:rFonts w:ascii="Arial" w:eastAsia="Times New Roman" w:hAnsi="Arial" w:cs="Arial"/>
                <w:color w:val="353735"/>
                <w:sz w:val="20"/>
                <w:szCs w:val="20"/>
                <w:lang w:eastAsia="en-AU"/>
              </w:rPr>
              <w:t>10</w:t>
            </w:r>
          </w:p>
        </w:t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177EAF64" w14:textId="4C896BBB" w:rsidR="001737F0" w:rsidRPr="00413499" w:rsidRDefault="001737F0" w:rsidP="001737F0">
            <w:pPr>
              <w:spacing w:after="0" w:line="240" w:lineRule="auto"/>
              <w:rPr>
                <w:rFonts w:ascii="Arial" w:eastAsia="Times New Roman" w:hAnsi="Arial" w:cs="Arial"/>
                <w:color w:val="353735"/>
                <w:sz w:val="20"/>
                <w:szCs w:val="20"/>
                <w:lang w:eastAsia="en-AU"/>
              </w:rPr>
            </w:pPr>
            <w:r w:rsidRPr="00413499">
              <w:rPr>
                <w:rFonts w:ascii="Arial" w:eastAsia="Times New Roman" w:hAnsi="Arial" w:cs="Arial"/>
                <w:color w:val="353735"/>
                <w:sz w:val="20"/>
                <w:szCs w:val="20"/>
                <w:lang w:eastAsia="en-AU"/>
              </w:rPr>
              <w:t>±</w:t>
            </w:r>
            <w:r>
              <w:rPr>
                <w:rFonts w:ascii="Arial" w:eastAsia="Times New Roman" w:hAnsi="Arial" w:cs="Arial"/>
                <w:color w:val="353735"/>
                <w:sz w:val="20"/>
                <w:szCs w:val="20"/>
                <w:lang w:eastAsia="en-AU"/>
              </w:rPr>
              <w:t>10% of the declared content</w:t>
            </w:r>
          </w:p>
        </w:tc>
      </w:tr>
      <w:tr w:rsidR="001737F0" w:rsidRPr="00413499" w14:paraId="2B9E5240"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4" w:type="dxa"/>
              <w:left w:w="171" w:type="dxa"/>
              <w:bottom w:w="154" w:type="dxa"/>
              <w:right w:w="171" w:type="dxa"/>
            </w:tcMar>
            <w:hideMark/>
          </w:tcPr>
          <w:p w14:paraId="1D207084" w14:textId="79B68B36" w:rsidR="001737F0" w:rsidRPr="00413499" w:rsidRDefault="001737F0" w:rsidP="00FE49CC">
            <w:pPr>
              <w:spacing w:after="0" w:line="240" w:lineRule="auto"/>
              <w:rPr>
                <w:rFonts w:ascii="Arial" w:eastAsia="Times New Roman" w:hAnsi="Arial" w:cs="Arial"/>
                <w:color w:val="353735"/>
                <w:sz w:val="20"/>
                <w:szCs w:val="20"/>
                <w:lang w:eastAsia="en-AU"/>
              </w:rPr>
            </w:pPr>
            <w:r>
              <w:rPr>
                <w:rFonts w:ascii="Arial" w:eastAsia="Times New Roman" w:hAnsi="Arial" w:cs="Arial"/>
                <w:color w:val="353735"/>
                <w:sz w:val="20"/>
                <w:szCs w:val="20"/>
                <w:lang w:eastAsia="en-AU"/>
              </w:rPr>
              <w:t>Above 10 up to 200</w:t>
            </w:r>
          </w:p>
        </w:tc>
        <w:tc>
          <w:tcPr>
            <w:tcW w:w="0" w:type="auto"/>
            <w:tcBorders>
              <w:top w:val="single" w:sz="6" w:space="0" w:color="E1E1E1"/>
              <w:left w:val="single" w:sz="6" w:space="0" w:color="E1E1E1"/>
              <w:bottom w:val="single" w:sz="6" w:space="0" w:color="E1E1E1"/>
              <w:right w:val="single" w:sz="6" w:space="0" w:color="E1E1E1"/>
            </w:tcBorders>
            <w:shd w:val="clear" w:color="auto" w:fill="FFFFFF"/>
            <w:tcMar>
              <w:top w:w="154" w:type="dxa"/>
              <w:left w:w="171" w:type="dxa"/>
              <w:bottom w:w="154" w:type="dxa"/>
              <w:right w:w="171" w:type="dxa"/>
            </w:tcMar>
            <w:hideMark/>
          </w:tcPr>
          <w:p w14:paraId="00893AB8" w14:textId="54FD8D3C" w:rsidR="001737F0" w:rsidRPr="00413499" w:rsidRDefault="00901C94" w:rsidP="00FE49CC">
            <w:pPr>
              <w:spacing w:after="0" w:line="240" w:lineRule="auto"/>
              <w:rPr>
                <w:rFonts w:ascii="Arial" w:eastAsia="Times New Roman" w:hAnsi="Arial" w:cs="Arial"/>
                <w:color w:val="353735"/>
                <w:sz w:val="20"/>
                <w:szCs w:val="20"/>
                <w:lang w:eastAsia="en-AU"/>
              </w:rPr>
            </w:pPr>
            <w:r>
              <w:rPr>
                <w:rFonts w:ascii="Arial" w:eastAsia="Times New Roman" w:hAnsi="Arial" w:cs="Arial"/>
                <w:color w:val="353735"/>
                <w:sz w:val="20"/>
                <w:szCs w:val="20"/>
                <w:lang w:eastAsia="en-AU"/>
              </w:rPr>
              <w:t>±</w:t>
            </w:r>
            <w:r w:rsidR="001737F0">
              <w:rPr>
                <w:rFonts w:ascii="Arial" w:eastAsia="Times New Roman" w:hAnsi="Arial" w:cs="Arial"/>
                <w:color w:val="353735"/>
                <w:sz w:val="20"/>
                <w:szCs w:val="20"/>
                <w:lang w:eastAsia="en-AU"/>
              </w:rPr>
              <w:t>5</w:t>
            </w:r>
            <w:r w:rsidR="001737F0" w:rsidRPr="00413499">
              <w:rPr>
                <w:rFonts w:ascii="Arial" w:eastAsia="Times New Roman" w:hAnsi="Arial" w:cs="Arial"/>
                <w:color w:val="353735"/>
                <w:sz w:val="20"/>
                <w:szCs w:val="20"/>
                <w:lang w:eastAsia="en-AU"/>
              </w:rPr>
              <w:t>% of the declared content</w:t>
            </w:r>
          </w:p>
        </w:tc>
      </w:tr>
      <w:tr w:rsidR="001737F0" w:rsidRPr="00413499" w14:paraId="7F6EE0F6" w14:textId="77777777" w:rsidTr="00FE49C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73C63DEF" w14:textId="3C0B2FC2" w:rsidR="001737F0" w:rsidRPr="00413499" w:rsidRDefault="001737F0" w:rsidP="00FE49CC">
            <w:pPr>
              <w:spacing w:after="0" w:line="240" w:lineRule="auto"/>
              <w:rPr>
                <w:rFonts w:ascii="Arial" w:eastAsia="Times New Roman" w:hAnsi="Arial" w:cs="Arial"/>
                <w:color w:val="353735"/>
                <w:sz w:val="20"/>
                <w:szCs w:val="20"/>
                <w:lang w:eastAsia="en-AU"/>
              </w:rPr>
            </w:pPr>
            <w:r>
              <w:rPr>
                <w:rFonts w:ascii="Arial" w:eastAsia="Times New Roman" w:hAnsi="Arial" w:cs="Arial"/>
                <w:color w:val="353735"/>
                <w:sz w:val="20"/>
                <w:szCs w:val="20"/>
                <w:lang w:eastAsia="en-AU"/>
              </w:rPr>
              <w:t>Above 200 up to 100</w:t>
            </w:r>
            <w:r w:rsidRPr="00413499">
              <w:rPr>
                <w:rFonts w:ascii="Arial" w:eastAsia="Times New Roman" w:hAnsi="Arial" w:cs="Arial"/>
                <w:color w:val="353735"/>
                <w:sz w:val="20"/>
                <w:szCs w:val="20"/>
                <w:lang w:eastAsia="en-AU"/>
              </w:rPr>
              <w:t>0</w:t>
            </w:r>
          </w:p>
        </w:tc>
        <w:tc>
          <w:tcPr>
            <w:tcW w:w="0" w:type="auto"/>
            <w:tcBorders>
              <w:top w:val="single" w:sz="6" w:space="0" w:color="E1E1E1"/>
              <w:left w:val="single" w:sz="6" w:space="0" w:color="E1E1E1"/>
              <w:bottom w:val="single" w:sz="6" w:space="0" w:color="E1E1E1"/>
              <w:right w:val="single" w:sz="6" w:space="0" w:color="E1E1E1"/>
            </w:tcBorders>
            <w:shd w:val="clear" w:color="auto" w:fill="F5F5F5"/>
            <w:tcMar>
              <w:top w:w="154" w:type="dxa"/>
              <w:left w:w="171" w:type="dxa"/>
              <w:bottom w:w="154" w:type="dxa"/>
              <w:right w:w="171" w:type="dxa"/>
            </w:tcMar>
            <w:hideMark/>
          </w:tcPr>
          <w:p w14:paraId="1742F99E" w14:textId="76DE93CC" w:rsidR="001737F0" w:rsidRPr="00413499" w:rsidRDefault="001737F0" w:rsidP="00FE49CC">
            <w:pPr>
              <w:spacing w:after="0" w:line="240" w:lineRule="auto"/>
              <w:rPr>
                <w:rFonts w:ascii="Arial" w:eastAsia="Times New Roman" w:hAnsi="Arial" w:cs="Arial"/>
                <w:color w:val="353735"/>
                <w:sz w:val="20"/>
                <w:szCs w:val="20"/>
                <w:lang w:eastAsia="en-AU"/>
              </w:rPr>
            </w:pPr>
            <w:r>
              <w:rPr>
                <w:rFonts w:ascii="Arial" w:eastAsia="Times New Roman" w:hAnsi="Arial" w:cs="Arial"/>
                <w:color w:val="353735"/>
                <w:sz w:val="20"/>
                <w:szCs w:val="20"/>
                <w:lang w:eastAsia="en-AU"/>
              </w:rPr>
              <w:t>±3</w:t>
            </w:r>
            <w:r w:rsidRPr="00413499">
              <w:rPr>
                <w:rFonts w:ascii="Arial" w:eastAsia="Times New Roman" w:hAnsi="Arial" w:cs="Arial"/>
                <w:color w:val="353735"/>
                <w:sz w:val="20"/>
                <w:szCs w:val="20"/>
                <w:lang w:eastAsia="en-AU"/>
              </w:rPr>
              <w:t>% of the declared content</w:t>
            </w:r>
          </w:p>
        </w:tc>
      </w:tr>
    </w:tbl>
    <w:p w14:paraId="6A9821C2" w14:textId="2A98144C" w:rsidR="00413499" w:rsidRPr="00540E17" w:rsidRDefault="00413499" w:rsidP="00574A07">
      <w:pPr>
        <w:pStyle w:val="ListParagraph"/>
        <w:keepNext/>
        <w:keepLines/>
        <w:numPr>
          <w:ilvl w:val="0"/>
          <w:numId w:val="12"/>
        </w:numPr>
        <w:spacing w:before="360" w:after="60"/>
        <w:outlineLvl w:val="4"/>
        <w:rPr>
          <w:rFonts w:ascii="Arial" w:hAnsi="Arial" w:cs="Arial"/>
          <w:bCs/>
          <w:kern w:val="32"/>
        </w:rPr>
      </w:pPr>
      <w:r w:rsidRPr="00413499">
        <w:rPr>
          <w:rFonts w:ascii="Arial" w:hAnsi="Arial" w:cs="Arial"/>
        </w:rPr>
        <w:t>Applicants may propose alternative allowable variations from those in the tab</w:t>
      </w:r>
      <w:r w:rsidR="00574A07">
        <w:rPr>
          <w:rFonts w:ascii="Arial" w:hAnsi="Arial" w:cs="Arial"/>
        </w:rPr>
        <w:t>le at 2(a</w:t>
      </w:r>
      <w:r w:rsidRPr="00413499">
        <w:rPr>
          <w:rFonts w:ascii="Arial" w:hAnsi="Arial" w:cs="Arial"/>
        </w:rPr>
        <w:t>) above, provided an appropriate scientific justification is provided, and the APVMA is satisfied that the alternative allowable variation would still ensure that the product complied with the safety, efficacy and trade criteria as defined in sections 5A, 5B and 5C of the Code.</w:t>
      </w:r>
    </w:p>
    <w:p w14:paraId="16B17C60" w14:textId="64C696F0" w:rsidR="00540E17" w:rsidRPr="000967B2" w:rsidRDefault="000967B2" w:rsidP="00574A07">
      <w:pPr>
        <w:pStyle w:val="ListParagraph"/>
        <w:keepNext/>
        <w:keepLines/>
        <w:numPr>
          <w:ilvl w:val="0"/>
          <w:numId w:val="12"/>
        </w:numPr>
        <w:spacing w:before="360" w:after="60"/>
        <w:outlineLvl w:val="4"/>
        <w:rPr>
          <w:rFonts w:ascii="Arial" w:hAnsi="Arial" w:cs="Arial"/>
          <w:bCs/>
          <w:kern w:val="32"/>
        </w:rPr>
      </w:pPr>
      <w:r>
        <w:rPr>
          <w:rFonts w:ascii="Arial" w:hAnsi="Arial" w:cs="Arial"/>
        </w:rPr>
        <w:t>For constituents used as solvents</w:t>
      </w:r>
      <w:r w:rsidR="005650F9">
        <w:rPr>
          <w:rFonts w:ascii="Arial" w:hAnsi="Arial" w:cs="Arial"/>
        </w:rPr>
        <w:t xml:space="preserve"> or carriers</w:t>
      </w:r>
      <w:r>
        <w:rPr>
          <w:rFonts w:ascii="Arial" w:hAnsi="Arial" w:cs="Arial"/>
        </w:rPr>
        <w:t xml:space="preserve"> in liquid chemical products or as fillers or carriers in solid chemical products and the quantities of these ingredients may be adjusted to balance variable</w:t>
      </w:r>
      <w:r w:rsidR="0010466F">
        <w:rPr>
          <w:rFonts w:ascii="Arial" w:hAnsi="Arial" w:cs="Arial"/>
        </w:rPr>
        <w:t xml:space="preserve"> amounts of other ingredients, tolerances</w:t>
      </w:r>
      <w:r>
        <w:rPr>
          <w:rFonts w:ascii="Arial" w:hAnsi="Arial" w:cs="Arial"/>
        </w:rPr>
        <w:t xml:space="preserve"> may </w:t>
      </w:r>
      <w:r w:rsidR="00DE1B71">
        <w:rPr>
          <w:rFonts w:ascii="Arial" w:hAnsi="Arial" w:cs="Arial"/>
        </w:rPr>
        <w:t xml:space="preserve">instead of a percentage tolerance as defined by (a) or (b) </w:t>
      </w:r>
      <w:r>
        <w:rPr>
          <w:rFonts w:ascii="Arial" w:hAnsi="Arial" w:cs="Arial"/>
        </w:rPr>
        <w:t xml:space="preserve">be declared as q.s. 1 L or q.s. 1 kg </w:t>
      </w:r>
      <w:r w:rsidR="00AB73C2">
        <w:rPr>
          <w:rFonts w:ascii="Arial" w:hAnsi="Arial" w:cs="Arial"/>
        </w:rPr>
        <w:t>as appropriate</w:t>
      </w:r>
      <w:r>
        <w:rPr>
          <w:rFonts w:ascii="Arial" w:hAnsi="Arial" w:cs="Arial"/>
        </w:rPr>
        <w:t xml:space="preserve">. </w:t>
      </w:r>
    </w:p>
    <w:p w14:paraId="25E6E477" w14:textId="47D590A4" w:rsidR="000967B2" w:rsidRPr="0010466F" w:rsidRDefault="000967B2" w:rsidP="00574A07">
      <w:pPr>
        <w:pStyle w:val="ListParagraph"/>
        <w:keepNext/>
        <w:keepLines/>
        <w:numPr>
          <w:ilvl w:val="0"/>
          <w:numId w:val="12"/>
        </w:numPr>
        <w:spacing w:before="360" w:after="60"/>
        <w:outlineLvl w:val="4"/>
        <w:rPr>
          <w:rFonts w:ascii="Arial" w:hAnsi="Arial" w:cs="Arial"/>
          <w:bCs/>
          <w:kern w:val="32"/>
        </w:rPr>
      </w:pPr>
      <w:r>
        <w:rPr>
          <w:rFonts w:ascii="Arial" w:hAnsi="Arial" w:cs="Arial"/>
        </w:rPr>
        <w:t xml:space="preserve">For constituents </w:t>
      </w:r>
      <w:r w:rsidR="00E613FF">
        <w:rPr>
          <w:rFonts w:ascii="Arial" w:hAnsi="Arial" w:cs="Arial"/>
        </w:rPr>
        <w:t>including but not limited to</w:t>
      </w:r>
      <w:r>
        <w:rPr>
          <w:rFonts w:ascii="Arial" w:hAnsi="Arial" w:cs="Arial"/>
        </w:rPr>
        <w:t xml:space="preserve"> pH adjusters</w:t>
      </w:r>
      <w:r w:rsidR="00E613FF">
        <w:rPr>
          <w:rFonts w:ascii="Arial" w:hAnsi="Arial" w:cs="Arial"/>
        </w:rPr>
        <w:t>, salt-forming acids or bases,</w:t>
      </w:r>
      <w:r>
        <w:rPr>
          <w:rFonts w:ascii="Arial" w:hAnsi="Arial" w:cs="Arial"/>
        </w:rPr>
        <w:t xml:space="preserve"> buffers, </w:t>
      </w:r>
      <w:r w:rsidR="00E613FF">
        <w:rPr>
          <w:rFonts w:ascii="Arial" w:hAnsi="Arial" w:cs="Arial"/>
        </w:rPr>
        <w:t xml:space="preserve">antifoams, </w:t>
      </w:r>
      <w:r>
        <w:rPr>
          <w:rFonts w:ascii="Arial" w:hAnsi="Arial" w:cs="Arial"/>
        </w:rPr>
        <w:t>or viscosity modifiers, whose concentrations may be adjusted to bring a parameter such as pH</w:t>
      </w:r>
      <w:r w:rsidR="00E613FF">
        <w:rPr>
          <w:rFonts w:ascii="Arial" w:hAnsi="Arial" w:cs="Arial"/>
        </w:rPr>
        <w:t>, persistent foam level</w:t>
      </w:r>
      <w:r>
        <w:rPr>
          <w:rFonts w:ascii="Arial" w:hAnsi="Arial" w:cs="Arial"/>
        </w:rPr>
        <w:t xml:space="preserve"> or viscosity within a desired range, </w:t>
      </w:r>
      <w:r w:rsidR="0010466F">
        <w:rPr>
          <w:rFonts w:ascii="Arial" w:hAnsi="Arial" w:cs="Arial"/>
        </w:rPr>
        <w:t>tolerances</w:t>
      </w:r>
      <w:r>
        <w:rPr>
          <w:rFonts w:ascii="Arial" w:hAnsi="Arial" w:cs="Arial"/>
        </w:rPr>
        <w:t xml:space="preserve"> may </w:t>
      </w:r>
      <w:r w:rsidR="00DE1B71">
        <w:rPr>
          <w:rFonts w:ascii="Arial" w:hAnsi="Arial" w:cs="Arial"/>
        </w:rPr>
        <w:t xml:space="preserve">instead of a percentage tolerance as defined by (a) or (b) </w:t>
      </w:r>
      <w:r>
        <w:rPr>
          <w:rFonts w:ascii="Arial" w:hAnsi="Arial" w:cs="Arial"/>
        </w:rPr>
        <w:t xml:space="preserve">be declared as, for example, q.s. pH 4.0-5.0, or q.s. 200-300 </w:t>
      </w:r>
      <w:r w:rsidR="00DC330A">
        <w:rPr>
          <w:rFonts w:ascii="Arial" w:hAnsi="Arial" w:cs="Arial"/>
        </w:rPr>
        <w:t>mPa.s</w:t>
      </w:r>
      <w:r>
        <w:rPr>
          <w:rFonts w:ascii="Arial" w:hAnsi="Arial" w:cs="Arial"/>
        </w:rPr>
        <w:t xml:space="preserve">. </w:t>
      </w:r>
    </w:p>
    <w:p w14:paraId="11C68CCA" w14:textId="75186278" w:rsidR="0010466F" w:rsidRPr="00413499" w:rsidRDefault="0010466F" w:rsidP="00574A07">
      <w:pPr>
        <w:pStyle w:val="ListParagraph"/>
        <w:keepNext/>
        <w:keepLines/>
        <w:numPr>
          <w:ilvl w:val="0"/>
          <w:numId w:val="12"/>
        </w:numPr>
        <w:spacing w:before="360" w:after="60"/>
        <w:outlineLvl w:val="4"/>
        <w:rPr>
          <w:rFonts w:ascii="Arial" w:hAnsi="Arial" w:cs="Arial"/>
          <w:bCs/>
          <w:kern w:val="32"/>
        </w:rPr>
      </w:pPr>
      <w:r>
        <w:rPr>
          <w:rFonts w:ascii="Arial" w:hAnsi="Arial" w:cs="Arial"/>
        </w:rPr>
        <w:t>For any ingredient as described at (</w:t>
      </w:r>
      <w:r w:rsidR="00574A07">
        <w:rPr>
          <w:rFonts w:ascii="Arial" w:hAnsi="Arial" w:cs="Arial"/>
        </w:rPr>
        <w:t>c</w:t>
      </w:r>
      <w:r>
        <w:rPr>
          <w:rFonts w:ascii="Arial" w:hAnsi="Arial" w:cs="Arial"/>
        </w:rPr>
        <w:t>) or (</w:t>
      </w:r>
      <w:r w:rsidR="00574A07">
        <w:rPr>
          <w:rFonts w:ascii="Arial" w:hAnsi="Arial" w:cs="Arial"/>
        </w:rPr>
        <w:t>d</w:t>
      </w:r>
      <w:r>
        <w:rPr>
          <w:rFonts w:ascii="Arial" w:hAnsi="Arial" w:cs="Arial"/>
        </w:rPr>
        <w:t xml:space="preserve">), a nominal (mean expected or target) concentration must still be provided, for the </w:t>
      </w:r>
      <w:r w:rsidR="00696900">
        <w:rPr>
          <w:rFonts w:ascii="Arial" w:hAnsi="Arial" w:cs="Arial"/>
        </w:rPr>
        <w:t>purpose</w:t>
      </w:r>
      <w:r>
        <w:rPr>
          <w:rFonts w:ascii="Arial" w:hAnsi="Arial" w:cs="Arial"/>
        </w:rPr>
        <w:t xml:space="preserve"> of placing </w:t>
      </w:r>
      <w:r w:rsidR="00696900">
        <w:rPr>
          <w:rFonts w:ascii="Arial" w:hAnsi="Arial" w:cs="Arial"/>
        </w:rPr>
        <w:t>the product in the correct S</w:t>
      </w:r>
      <w:r>
        <w:rPr>
          <w:rFonts w:ascii="Arial" w:hAnsi="Arial" w:cs="Arial"/>
        </w:rPr>
        <w:t xml:space="preserve">chedule </w:t>
      </w:r>
      <w:r w:rsidR="00696900">
        <w:rPr>
          <w:rFonts w:ascii="Arial" w:hAnsi="Arial" w:cs="Arial"/>
        </w:rPr>
        <w:t>of</w:t>
      </w:r>
      <w:r>
        <w:rPr>
          <w:rFonts w:ascii="Arial" w:hAnsi="Arial" w:cs="Arial"/>
        </w:rPr>
        <w:t xml:space="preserve"> the Poison</w:t>
      </w:r>
      <w:r w:rsidR="00511338">
        <w:rPr>
          <w:rFonts w:ascii="Arial" w:hAnsi="Arial" w:cs="Arial"/>
        </w:rPr>
        <w:t>s</w:t>
      </w:r>
      <w:r>
        <w:rPr>
          <w:rFonts w:ascii="Arial" w:hAnsi="Arial" w:cs="Arial"/>
        </w:rPr>
        <w:t xml:space="preserve"> Standard. </w:t>
      </w:r>
    </w:p>
    <w:p w14:paraId="25033257" w14:textId="7190316E" w:rsidR="00413499" w:rsidRPr="0045692F" w:rsidRDefault="00413499" w:rsidP="0010466F">
      <w:pPr>
        <w:tabs>
          <w:tab w:val="right" w:pos="851"/>
        </w:tabs>
        <w:spacing w:before="80" w:after="100" w:line="260" w:lineRule="exact"/>
        <w:rPr>
          <w:rFonts w:ascii="Arial" w:eastAsia="Times New Roman" w:hAnsi="Arial" w:cs="Arial"/>
          <w:lang w:eastAsia="en-AU"/>
        </w:rPr>
      </w:pPr>
    </w:p>
    <w:p w14:paraId="10D42C9E" w14:textId="7C316C7A" w:rsidR="0045692F" w:rsidRPr="0045692F" w:rsidRDefault="0045692F" w:rsidP="0045692F">
      <w:pPr>
        <w:tabs>
          <w:tab w:val="right" w:pos="851"/>
        </w:tabs>
        <w:spacing w:before="80" w:after="100" w:line="260" w:lineRule="exact"/>
        <w:ind w:left="964" w:hanging="964"/>
        <w:rPr>
          <w:rFonts w:ascii="Arial" w:eastAsia="Times New Roman" w:hAnsi="Arial" w:cs="Arial"/>
          <w:sz w:val="20"/>
          <w:szCs w:val="24"/>
          <w:lang w:eastAsia="en-AU"/>
        </w:rPr>
      </w:pPr>
      <w:r w:rsidRPr="0045692F">
        <w:rPr>
          <w:rFonts w:ascii="Arial" w:eastAsia="Times New Roman" w:hAnsi="Arial" w:cs="Arial"/>
          <w:sz w:val="20"/>
          <w:szCs w:val="24"/>
          <w:lang w:eastAsia="en-AU"/>
        </w:rPr>
        <w:tab/>
        <w:t>Note:</w:t>
      </w:r>
      <w:r w:rsidRPr="0045692F">
        <w:rPr>
          <w:rFonts w:ascii="Arial" w:eastAsia="Times New Roman" w:hAnsi="Arial" w:cs="Arial"/>
          <w:sz w:val="20"/>
          <w:szCs w:val="24"/>
          <w:lang w:eastAsia="en-AU"/>
        </w:rPr>
        <w:tab/>
        <w:t xml:space="preserve">The Code provides for standards to be made in respect of chemical products. This Instrument makes standards in respect of </w:t>
      </w:r>
      <w:r w:rsidR="002869A4">
        <w:rPr>
          <w:rFonts w:ascii="Arial" w:eastAsia="Times New Roman" w:hAnsi="Arial" w:cs="Arial"/>
          <w:sz w:val="20"/>
          <w:szCs w:val="24"/>
          <w:lang w:eastAsia="en-AU"/>
        </w:rPr>
        <w:t xml:space="preserve">concentrations of </w:t>
      </w:r>
      <w:r w:rsidRPr="0045692F">
        <w:rPr>
          <w:rFonts w:ascii="Arial" w:eastAsia="Times New Roman" w:hAnsi="Arial" w:cs="Arial"/>
          <w:sz w:val="20"/>
          <w:szCs w:val="24"/>
          <w:lang w:eastAsia="en-AU"/>
        </w:rPr>
        <w:t xml:space="preserve">constituents </w:t>
      </w:r>
      <w:r w:rsidR="002869A4">
        <w:rPr>
          <w:rFonts w:ascii="Arial" w:eastAsia="Times New Roman" w:hAnsi="Arial" w:cs="Arial"/>
          <w:sz w:val="20"/>
          <w:szCs w:val="24"/>
          <w:lang w:eastAsia="en-AU"/>
        </w:rPr>
        <w:t>contained</w:t>
      </w:r>
      <w:r w:rsidRPr="0045692F">
        <w:rPr>
          <w:rFonts w:ascii="Arial" w:eastAsia="Times New Roman" w:hAnsi="Arial" w:cs="Arial"/>
          <w:sz w:val="20"/>
          <w:szCs w:val="24"/>
          <w:lang w:eastAsia="en-AU"/>
        </w:rPr>
        <w:t xml:space="preserve"> in agricultural chemical products as defined in the Code.</w:t>
      </w:r>
    </w:p>
    <w:p w14:paraId="0050AB52" w14:textId="77777777" w:rsidR="00B016C6" w:rsidRDefault="00B016C6" w:rsidP="002869A4">
      <w:pPr>
        <w:keepNext/>
        <w:keepLines/>
        <w:spacing w:before="480" w:after="0" w:line="240" w:lineRule="auto"/>
        <w:ind w:left="2410" w:hanging="2410"/>
        <w:outlineLvl w:val="0"/>
      </w:pPr>
    </w:p>
    <w:sectPr w:rsidR="00B016C6" w:rsidSect="000761E3">
      <w:headerReference w:type="even" r:id="rId12"/>
      <w:headerReference w:type="default" r:id="rId13"/>
      <w:head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AAAB" w14:textId="77777777" w:rsidR="0006433D" w:rsidRDefault="0006433D" w:rsidP="0045692F">
      <w:pPr>
        <w:spacing w:after="0" w:line="240" w:lineRule="auto"/>
      </w:pPr>
      <w:r>
        <w:separator/>
      </w:r>
    </w:p>
  </w:endnote>
  <w:endnote w:type="continuationSeparator" w:id="0">
    <w:p w14:paraId="4BBC4EF7" w14:textId="77777777" w:rsidR="0006433D" w:rsidRDefault="0006433D" w:rsidP="0045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BC5A" w14:textId="77777777" w:rsidR="0006433D" w:rsidRDefault="0006433D" w:rsidP="0045692F">
      <w:pPr>
        <w:spacing w:after="0" w:line="240" w:lineRule="auto"/>
      </w:pPr>
      <w:r>
        <w:separator/>
      </w:r>
    </w:p>
  </w:footnote>
  <w:footnote w:type="continuationSeparator" w:id="0">
    <w:p w14:paraId="38A80E32" w14:textId="77777777" w:rsidR="0006433D" w:rsidRDefault="0006433D" w:rsidP="00456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9278" w14:textId="3F6B1CC1" w:rsidR="000761E3" w:rsidRDefault="0006433D">
    <w:pPr>
      <w:pStyle w:val="Header"/>
    </w:pPr>
    <w:r>
      <w:rPr>
        <w:noProof/>
      </w:rPr>
      <w:pict w14:anchorId="44745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14954" o:spid="_x0000_s1029"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4C8A" w14:textId="62AB96C9" w:rsidR="0045692F" w:rsidRDefault="00294173" w:rsidP="000E2AC0">
    <w:pPr>
      <w:pStyle w:val="ttHeader"/>
      <w:rPr>
        <w:b w:val="0"/>
      </w:rPr>
    </w:pPr>
    <w:r>
      <w:rPr>
        <w:b w:val="0"/>
      </w:rPr>
      <w:fldChar w:fldCharType="begin"/>
    </w:r>
    <w:r>
      <w:rPr>
        <w:b w:val="0"/>
      </w:rPr>
      <w:instrText xml:space="preserve"> </w:instrText>
    </w:r>
    <w:r>
      <w:rPr>
        <w:b w:val="0"/>
        <w:bCs/>
      </w:rPr>
      <w:instrText>styleref H2_Part</w:instrText>
    </w:r>
    <w:r>
      <w:rPr>
        <w:b w:val="0"/>
      </w:rPr>
      <w:instrText xml:space="preserve"> </w:instrText>
    </w:r>
    <w:r>
      <w:rPr>
        <w:b w:val="0"/>
      </w:rPr>
      <w:fldChar w:fldCharType="separate"/>
    </w:r>
    <w:r w:rsidR="005D0056">
      <w:rPr>
        <w:b w:val="0"/>
        <w:bCs/>
      </w:rPr>
      <w:t>Part 1</w:t>
    </w:r>
    <w:r w:rsidR="005D0056">
      <w:rPr>
        <w:b w:val="0"/>
        <w:bCs/>
      </w:rPr>
      <w:tab/>
      <w:t>Introduction</w:t>
    </w:r>
    <w:r>
      <w:rPr>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2A79" w14:textId="51A6E6D5" w:rsidR="000761E3" w:rsidRDefault="0006433D">
    <w:pPr>
      <w:pStyle w:val="Header"/>
    </w:pPr>
    <w:r>
      <w:rPr>
        <w:noProof/>
      </w:rPr>
      <w:pict w14:anchorId="6D32D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14957" o:spid="_x0000_s1032"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4A13" w14:textId="75896F57" w:rsidR="00436D09" w:rsidRDefault="0006433D" w:rsidP="000E2AC0">
    <w:pPr>
      <w:pStyle w:val="ttHeader"/>
      <w:rPr>
        <w:b w:val="0"/>
      </w:rPr>
    </w:pPr>
  </w:p>
  <w:p w14:paraId="3DAD70B4" w14:textId="736ABAE5" w:rsidR="00436D09" w:rsidRPr="000761E3" w:rsidRDefault="000761E3" w:rsidP="00BE4D1D">
    <w:pPr>
      <w:pStyle w:val="ttHeader"/>
      <w:rPr>
        <w:b w:val="0"/>
      </w:rPr>
    </w:pPr>
    <w:r w:rsidRPr="000761E3">
      <w:rPr>
        <w:b w:val="0"/>
      </w:rPr>
      <w:t>Part 2</w:t>
    </w:r>
    <w:r w:rsidRPr="000761E3">
      <w:rPr>
        <w:b w:val="0"/>
      </w:rPr>
      <w:tab/>
      <w:t>Allowable variations for concentrations of constituents in agricultural chemical products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48F6" w14:textId="1BBF705F" w:rsidR="000761E3" w:rsidRDefault="0006433D">
    <w:pPr>
      <w:pStyle w:val="Header"/>
    </w:pPr>
    <w:r>
      <w:rPr>
        <w:noProof/>
      </w:rPr>
      <w:pict w14:anchorId="40D3E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14956" o:spid="_x0000_s1031"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4FD0F6D"/>
    <w:multiLevelType w:val="hybridMultilevel"/>
    <w:tmpl w:val="0D8ACA00"/>
    <w:lvl w:ilvl="0" w:tplc="DD8CF30E">
      <w:start w:val="1"/>
      <w:numFmt w:val="lowerLetter"/>
      <w:lvlText w:val="(%1)"/>
      <w:lvlJc w:val="left"/>
      <w:pPr>
        <w:ind w:left="960" w:hanging="375"/>
      </w:pPr>
      <w:rPr>
        <w:rFonts w:hint="default"/>
      </w:rPr>
    </w:lvl>
    <w:lvl w:ilvl="1" w:tplc="DD8CF30E">
      <w:start w:val="1"/>
      <w:numFmt w:val="lowerLetter"/>
      <w:lvlText w:val="(%2)"/>
      <w:lvlJc w:val="left"/>
      <w:pPr>
        <w:ind w:left="1665" w:hanging="360"/>
      </w:pPr>
      <w:rPr>
        <w:rFonts w:hint="default"/>
      </w:rPr>
    </w:lvl>
    <w:lvl w:ilvl="2" w:tplc="0C09001B">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3" w15:restartNumberingAfterBreak="0">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pStyle w:val="ParagraphText"/>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15:restartNumberingAfterBreak="0">
    <w:nsid w:val="1CAC18A3"/>
    <w:multiLevelType w:val="hybridMultilevel"/>
    <w:tmpl w:val="CD56E736"/>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5" w15:restartNumberingAfterBreak="0">
    <w:nsid w:val="2E5B1599"/>
    <w:multiLevelType w:val="hybridMultilevel"/>
    <w:tmpl w:val="9D32F2D4"/>
    <w:lvl w:ilvl="0" w:tplc="DD8CF30E">
      <w:start w:val="1"/>
      <w:numFmt w:val="lowerLetter"/>
      <w:lvlText w:val="(%1)"/>
      <w:lvlJc w:val="left"/>
      <w:pPr>
        <w:ind w:left="960" w:hanging="375"/>
      </w:pPr>
      <w:rPr>
        <w:rFonts w:hint="default"/>
      </w:rPr>
    </w:lvl>
    <w:lvl w:ilvl="1" w:tplc="DD8CF30E">
      <w:start w:val="1"/>
      <w:numFmt w:val="lowerLetter"/>
      <w:lvlText w:val="(%2)"/>
      <w:lvlJc w:val="left"/>
      <w:pPr>
        <w:ind w:left="1665" w:hanging="360"/>
      </w:pPr>
      <w:rPr>
        <w:rFonts w:hint="default"/>
      </w:rPr>
    </w:lvl>
    <w:lvl w:ilvl="2" w:tplc="0C09001B">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6" w15:restartNumberingAfterBreak="0">
    <w:nsid w:val="459472DA"/>
    <w:multiLevelType w:val="hybridMultilevel"/>
    <w:tmpl w:val="9D32F2D4"/>
    <w:lvl w:ilvl="0" w:tplc="DD8CF30E">
      <w:start w:val="1"/>
      <w:numFmt w:val="lowerLetter"/>
      <w:lvlText w:val="(%1)"/>
      <w:lvlJc w:val="left"/>
      <w:pPr>
        <w:ind w:left="960" w:hanging="375"/>
      </w:pPr>
      <w:rPr>
        <w:rFonts w:hint="default"/>
      </w:rPr>
    </w:lvl>
    <w:lvl w:ilvl="1" w:tplc="DD8CF30E">
      <w:start w:val="1"/>
      <w:numFmt w:val="lowerLetter"/>
      <w:lvlText w:val="(%2)"/>
      <w:lvlJc w:val="left"/>
      <w:pPr>
        <w:ind w:left="1665" w:hanging="360"/>
      </w:pPr>
      <w:rPr>
        <w:rFonts w:hint="default"/>
      </w:rPr>
    </w:lvl>
    <w:lvl w:ilvl="2" w:tplc="0C09001B">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7" w15:restartNumberingAfterBreak="0">
    <w:nsid w:val="475A0DE6"/>
    <w:multiLevelType w:val="hybridMultilevel"/>
    <w:tmpl w:val="6E4A8A22"/>
    <w:lvl w:ilvl="0" w:tplc="7EC48696">
      <w:start w:val="1"/>
      <w:numFmt w:val="decimal"/>
      <w:lvlText w:val="(%1)"/>
      <w:lvlJc w:val="left"/>
      <w:pPr>
        <w:ind w:left="960" w:hanging="375"/>
      </w:pPr>
      <w:rPr>
        <w:rFonts w:hint="default"/>
      </w:rPr>
    </w:lvl>
    <w:lvl w:ilvl="1" w:tplc="22D6ED76">
      <w:start w:val="1"/>
      <w:numFmt w:val="lowerLetter"/>
      <w:lvlText w:val="(%2)"/>
      <w:lvlJc w:val="left"/>
      <w:pPr>
        <w:ind w:left="1665" w:hanging="360"/>
      </w:pPr>
      <w:rPr>
        <w:rFonts w:hint="default"/>
      </w:rPr>
    </w:lvl>
    <w:lvl w:ilvl="2" w:tplc="0C09001B" w:tentative="1">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8" w15:restartNumberingAfterBreak="0">
    <w:nsid w:val="58226B01"/>
    <w:multiLevelType w:val="hybridMultilevel"/>
    <w:tmpl w:val="408ED63E"/>
    <w:lvl w:ilvl="0" w:tplc="DD8CF30E">
      <w:start w:val="1"/>
      <w:numFmt w:val="lowerLetter"/>
      <w:lvlText w:val="(%1)"/>
      <w:lvlJc w:val="left"/>
      <w:pPr>
        <w:ind w:left="960" w:hanging="375"/>
      </w:pPr>
      <w:rPr>
        <w:rFonts w:hint="default"/>
      </w:rPr>
    </w:lvl>
    <w:lvl w:ilvl="1" w:tplc="DD8CF30E">
      <w:start w:val="1"/>
      <w:numFmt w:val="lowerLetter"/>
      <w:lvlText w:val="(%2)"/>
      <w:lvlJc w:val="left"/>
      <w:pPr>
        <w:ind w:left="1665" w:hanging="360"/>
      </w:pPr>
      <w:rPr>
        <w:rFonts w:hint="default"/>
      </w:rPr>
    </w:lvl>
    <w:lvl w:ilvl="2" w:tplc="0C09001B">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9" w15:restartNumberingAfterBreak="0">
    <w:nsid w:val="58FC7F07"/>
    <w:multiLevelType w:val="hybridMultilevel"/>
    <w:tmpl w:val="AB427CB6"/>
    <w:lvl w:ilvl="0" w:tplc="9CF026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68A673E1"/>
    <w:multiLevelType w:val="multilevel"/>
    <w:tmpl w:val="915A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222899">
    <w:abstractNumId w:val="1"/>
  </w:num>
  <w:num w:numId="2" w16cid:durableId="1723599432">
    <w:abstractNumId w:val="0"/>
  </w:num>
  <w:num w:numId="3" w16cid:durableId="949354790">
    <w:abstractNumId w:val="3"/>
  </w:num>
  <w:num w:numId="4" w16cid:durableId="1385907580">
    <w:abstractNumId w:val="10"/>
  </w:num>
  <w:num w:numId="5" w16cid:durableId="1643198210">
    <w:abstractNumId w:val="8"/>
  </w:num>
  <w:num w:numId="6" w16cid:durableId="2006778483">
    <w:abstractNumId w:val="7"/>
  </w:num>
  <w:num w:numId="7" w16cid:durableId="1983536360">
    <w:abstractNumId w:val="4"/>
  </w:num>
  <w:num w:numId="8" w16cid:durableId="1985966941">
    <w:abstractNumId w:val="11"/>
  </w:num>
  <w:num w:numId="9" w16cid:durableId="2078016443">
    <w:abstractNumId w:val="9"/>
  </w:num>
  <w:num w:numId="10" w16cid:durableId="747534953">
    <w:abstractNumId w:val="5"/>
  </w:num>
  <w:num w:numId="11" w16cid:durableId="1192375187">
    <w:abstractNumId w:val="2"/>
  </w:num>
  <w:num w:numId="12" w16cid:durableId="1524319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2F"/>
    <w:rsid w:val="0006433D"/>
    <w:rsid w:val="000761E3"/>
    <w:rsid w:val="000948F1"/>
    <w:rsid w:val="00095545"/>
    <w:rsid w:val="000967B2"/>
    <w:rsid w:val="000C140E"/>
    <w:rsid w:val="00101FE8"/>
    <w:rsid w:val="0010466F"/>
    <w:rsid w:val="00105B7E"/>
    <w:rsid w:val="00147E35"/>
    <w:rsid w:val="00162563"/>
    <w:rsid w:val="001737F0"/>
    <w:rsid w:val="001E60C3"/>
    <w:rsid w:val="001F4C66"/>
    <w:rsid w:val="00280977"/>
    <w:rsid w:val="002869A4"/>
    <w:rsid w:val="00294173"/>
    <w:rsid w:val="00296103"/>
    <w:rsid w:val="002E784A"/>
    <w:rsid w:val="00377BDA"/>
    <w:rsid w:val="003D0AC6"/>
    <w:rsid w:val="003E7C83"/>
    <w:rsid w:val="00413499"/>
    <w:rsid w:val="00423D46"/>
    <w:rsid w:val="0045692F"/>
    <w:rsid w:val="00464A68"/>
    <w:rsid w:val="00465C25"/>
    <w:rsid w:val="004B29A5"/>
    <w:rsid w:val="004E3ABA"/>
    <w:rsid w:val="00511338"/>
    <w:rsid w:val="005174E7"/>
    <w:rsid w:val="00540E17"/>
    <w:rsid w:val="00554D87"/>
    <w:rsid w:val="00555EAF"/>
    <w:rsid w:val="005650F9"/>
    <w:rsid w:val="00565551"/>
    <w:rsid w:val="00574A07"/>
    <w:rsid w:val="00585BB2"/>
    <w:rsid w:val="00594DEF"/>
    <w:rsid w:val="00597FB9"/>
    <w:rsid w:val="005D0056"/>
    <w:rsid w:val="00601B57"/>
    <w:rsid w:val="00603CD4"/>
    <w:rsid w:val="0062610F"/>
    <w:rsid w:val="006408C4"/>
    <w:rsid w:val="00660B0D"/>
    <w:rsid w:val="00661CEC"/>
    <w:rsid w:val="00695F01"/>
    <w:rsid w:val="00696095"/>
    <w:rsid w:val="00696900"/>
    <w:rsid w:val="007152A4"/>
    <w:rsid w:val="00732F95"/>
    <w:rsid w:val="007A5AA8"/>
    <w:rsid w:val="007E57AD"/>
    <w:rsid w:val="0080439F"/>
    <w:rsid w:val="00805100"/>
    <w:rsid w:val="00834251"/>
    <w:rsid w:val="00840017"/>
    <w:rsid w:val="008536B1"/>
    <w:rsid w:val="00854C65"/>
    <w:rsid w:val="00883E80"/>
    <w:rsid w:val="00884633"/>
    <w:rsid w:val="0089405D"/>
    <w:rsid w:val="008D7EDB"/>
    <w:rsid w:val="008F1788"/>
    <w:rsid w:val="00901C94"/>
    <w:rsid w:val="009038FC"/>
    <w:rsid w:val="009135D1"/>
    <w:rsid w:val="00956B26"/>
    <w:rsid w:val="00987058"/>
    <w:rsid w:val="009D3924"/>
    <w:rsid w:val="009D7457"/>
    <w:rsid w:val="00A11AEA"/>
    <w:rsid w:val="00A256D9"/>
    <w:rsid w:val="00A43429"/>
    <w:rsid w:val="00A62333"/>
    <w:rsid w:val="00AB73C2"/>
    <w:rsid w:val="00AD5E18"/>
    <w:rsid w:val="00B016C6"/>
    <w:rsid w:val="00B24835"/>
    <w:rsid w:val="00B26ACE"/>
    <w:rsid w:val="00B36BA7"/>
    <w:rsid w:val="00B45002"/>
    <w:rsid w:val="00BF337C"/>
    <w:rsid w:val="00C20571"/>
    <w:rsid w:val="00C214B9"/>
    <w:rsid w:val="00CA2F07"/>
    <w:rsid w:val="00CB1E6C"/>
    <w:rsid w:val="00CC509E"/>
    <w:rsid w:val="00D44DE9"/>
    <w:rsid w:val="00DB6231"/>
    <w:rsid w:val="00DC330A"/>
    <w:rsid w:val="00DC5E38"/>
    <w:rsid w:val="00DE1B71"/>
    <w:rsid w:val="00DE39A1"/>
    <w:rsid w:val="00E50814"/>
    <w:rsid w:val="00E613FF"/>
    <w:rsid w:val="00E81119"/>
    <w:rsid w:val="00E8351D"/>
    <w:rsid w:val="00EA1919"/>
    <w:rsid w:val="00EF79A3"/>
    <w:rsid w:val="00F47031"/>
    <w:rsid w:val="00F95E6C"/>
    <w:rsid w:val="00FB2F52"/>
    <w:rsid w:val="00FB30C1"/>
    <w:rsid w:val="00FC7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FA440"/>
  <w15:chartTrackingRefBased/>
  <w15:docId w15:val="{44AAB2F5-B09E-41DE-92C8-068200F5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7F0"/>
  </w:style>
  <w:style w:type="paragraph" w:styleId="Heading1">
    <w:name w:val="heading 1"/>
    <w:basedOn w:val="Normal"/>
    <w:next w:val="Normal"/>
    <w:link w:val="Heading1Char"/>
    <w:uiPriority w:val="99"/>
    <w:rsid w:val="0045692F"/>
    <w:pPr>
      <w:keepNext/>
      <w:keepLines/>
      <w:spacing w:before="200" w:after="0" w:line="280" w:lineRule="atLeast"/>
      <w:outlineLvl w:val="0"/>
    </w:pPr>
    <w:rPr>
      <w:rFonts w:ascii="Arial" w:eastAsia="Times New Roman" w:hAnsi="Arial" w:cs="Arial"/>
      <w:b/>
      <w:bCs/>
      <w:caps/>
      <w:kern w:val="32"/>
      <w:sz w:val="20"/>
      <w:szCs w:val="32"/>
      <w:lang w:eastAsia="en-AU"/>
    </w:rPr>
  </w:style>
  <w:style w:type="paragraph" w:styleId="Heading2">
    <w:name w:val="heading 2"/>
    <w:basedOn w:val="Normal"/>
    <w:next w:val="Normal"/>
    <w:link w:val="Heading2Char"/>
    <w:uiPriority w:val="99"/>
    <w:semiHidden/>
    <w:rsid w:val="0045692F"/>
    <w:pPr>
      <w:keepNext/>
      <w:keepLines/>
      <w:spacing w:before="200" w:after="0" w:line="280" w:lineRule="atLeast"/>
      <w:outlineLvl w:val="1"/>
    </w:pPr>
    <w:rPr>
      <w:rFonts w:ascii="Arial" w:eastAsia="Times New Roman" w:hAnsi="Arial" w:cs="Arial"/>
      <w:b/>
      <w:bCs/>
      <w:iCs/>
      <w:szCs w:val="28"/>
      <w:lang w:eastAsia="en-AU"/>
    </w:rPr>
  </w:style>
  <w:style w:type="paragraph" w:styleId="Heading3">
    <w:name w:val="heading 3"/>
    <w:basedOn w:val="Normal"/>
    <w:next w:val="Normal"/>
    <w:link w:val="Heading3Char"/>
    <w:uiPriority w:val="99"/>
    <w:semiHidden/>
    <w:rsid w:val="0045692F"/>
    <w:pPr>
      <w:keepNext/>
      <w:keepLines/>
      <w:spacing w:before="200" w:after="0" w:line="280" w:lineRule="atLeast"/>
      <w:outlineLvl w:val="2"/>
    </w:pPr>
    <w:rPr>
      <w:rFonts w:ascii="Arial" w:eastAsia="Times New Roman" w:hAnsi="Arial" w:cs="Arial"/>
      <w:b/>
      <w:bCs/>
      <w:i/>
      <w:sz w:val="20"/>
      <w:szCs w:val="26"/>
      <w:lang w:eastAsia="en-AU"/>
    </w:rPr>
  </w:style>
  <w:style w:type="paragraph" w:styleId="Heading4">
    <w:name w:val="heading 4"/>
    <w:basedOn w:val="Normal"/>
    <w:next w:val="Normal"/>
    <w:link w:val="Heading4Char"/>
    <w:uiPriority w:val="99"/>
    <w:semiHidden/>
    <w:rsid w:val="0045692F"/>
    <w:pPr>
      <w:keepNext/>
      <w:keepLines/>
      <w:spacing w:before="200" w:after="0" w:line="280" w:lineRule="atLeast"/>
      <w:outlineLvl w:val="3"/>
    </w:pPr>
    <w:rPr>
      <w:rFonts w:ascii="Arial" w:eastAsia="Times New Roman" w:hAnsi="Arial" w:cs="Arial"/>
      <w:bCs/>
      <w:i/>
      <w:sz w:val="20"/>
      <w:szCs w:val="28"/>
      <w:lang w:eastAsia="en-AU"/>
    </w:rPr>
  </w:style>
  <w:style w:type="paragraph" w:styleId="Heading5">
    <w:name w:val="heading 5"/>
    <w:basedOn w:val="Normal"/>
    <w:next w:val="Normal"/>
    <w:link w:val="Heading5Char"/>
    <w:uiPriority w:val="99"/>
    <w:semiHidden/>
    <w:rsid w:val="0045692F"/>
    <w:pPr>
      <w:keepNext/>
      <w:keepLines/>
      <w:spacing w:before="200" w:after="0" w:line="280" w:lineRule="atLeast"/>
      <w:outlineLvl w:val="4"/>
    </w:pPr>
    <w:rPr>
      <w:rFonts w:ascii="Arial" w:eastAsia="Times New Roman" w:hAnsi="Arial" w:cs="Arial"/>
      <w:b/>
      <w:bCs/>
      <w:iCs/>
      <w:sz w:val="18"/>
      <w:szCs w:val="26"/>
      <w:lang w:eastAsia="en-AU"/>
    </w:rPr>
  </w:style>
  <w:style w:type="paragraph" w:styleId="Heading6">
    <w:name w:val="heading 6"/>
    <w:basedOn w:val="Normal"/>
    <w:next w:val="Normal"/>
    <w:link w:val="Heading6Char"/>
    <w:uiPriority w:val="98"/>
    <w:semiHidden/>
    <w:unhideWhenUsed/>
    <w:qFormat/>
    <w:rsid w:val="0045692F"/>
    <w:pPr>
      <w:keepNext/>
      <w:keepLines/>
      <w:spacing w:before="40" w:after="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45692F"/>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45692F"/>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rsid w:val="0045692F"/>
    <w:pPr>
      <w:numPr>
        <w:ilvl w:val="8"/>
        <w:numId w:val="3"/>
      </w:numPr>
      <w:spacing w:before="240" w:after="60" w:line="240" w:lineRule="auto"/>
      <w:outlineLvl w:val="8"/>
    </w:pPr>
    <w:rPr>
      <w:rFonts w:ascii="Arial" w:eastAsia="Times New Roman" w:hAnsi="Arial" w:cs="Arial"/>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692F"/>
    <w:rPr>
      <w:rFonts w:ascii="Arial" w:eastAsia="Times New Roman" w:hAnsi="Arial" w:cs="Arial"/>
      <w:b/>
      <w:bCs/>
      <w:caps/>
      <w:kern w:val="32"/>
      <w:sz w:val="20"/>
      <w:szCs w:val="32"/>
      <w:lang w:eastAsia="en-AU"/>
    </w:rPr>
  </w:style>
  <w:style w:type="character" w:customStyle="1" w:styleId="Heading2Char">
    <w:name w:val="Heading 2 Char"/>
    <w:basedOn w:val="DefaultParagraphFont"/>
    <w:link w:val="Heading2"/>
    <w:uiPriority w:val="99"/>
    <w:semiHidden/>
    <w:rsid w:val="0045692F"/>
    <w:rPr>
      <w:rFonts w:ascii="Arial" w:eastAsia="Times New Roman" w:hAnsi="Arial" w:cs="Arial"/>
      <w:b/>
      <w:bCs/>
      <w:iCs/>
      <w:szCs w:val="28"/>
      <w:lang w:eastAsia="en-AU"/>
    </w:rPr>
  </w:style>
  <w:style w:type="character" w:customStyle="1" w:styleId="Heading3Char">
    <w:name w:val="Heading 3 Char"/>
    <w:basedOn w:val="DefaultParagraphFont"/>
    <w:link w:val="Heading3"/>
    <w:uiPriority w:val="99"/>
    <w:semiHidden/>
    <w:rsid w:val="0045692F"/>
    <w:rPr>
      <w:rFonts w:ascii="Arial" w:eastAsia="Times New Roman" w:hAnsi="Arial" w:cs="Arial"/>
      <w:b/>
      <w:bCs/>
      <w:i/>
      <w:sz w:val="20"/>
      <w:szCs w:val="26"/>
      <w:lang w:eastAsia="en-AU"/>
    </w:rPr>
  </w:style>
  <w:style w:type="character" w:customStyle="1" w:styleId="Heading4Char">
    <w:name w:val="Heading 4 Char"/>
    <w:basedOn w:val="DefaultParagraphFont"/>
    <w:link w:val="Heading4"/>
    <w:uiPriority w:val="99"/>
    <w:semiHidden/>
    <w:rsid w:val="0045692F"/>
    <w:rPr>
      <w:rFonts w:ascii="Arial" w:eastAsia="Times New Roman" w:hAnsi="Arial" w:cs="Arial"/>
      <w:bCs/>
      <w:i/>
      <w:sz w:val="20"/>
      <w:szCs w:val="28"/>
      <w:lang w:eastAsia="en-AU"/>
    </w:rPr>
  </w:style>
  <w:style w:type="character" w:customStyle="1" w:styleId="Heading5Char">
    <w:name w:val="Heading 5 Char"/>
    <w:basedOn w:val="DefaultParagraphFont"/>
    <w:link w:val="Heading5"/>
    <w:uiPriority w:val="99"/>
    <w:semiHidden/>
    <w:rsid w:val="0045692F"/>
    <w:rPr>
      <w:rFonts w:ascii="Arial" w:eastAsia="Times New Roman" w:hAnsi="Arial" w:cs="Arial"/>
      <w:b/>
      <w:bCs/>
      <w:iCs/>
      <w:sz w:val="18"/>
      <w:szCs w:val="26"/>
      <w:lang w:eastAsia="en-AU"/>
    </w:rPr>
  </w:style>
  <w:style w:type="paragraph" w:customStyle="1" w:styleId="Heading61">
    <w:name w:val="Heading 61"/>
    <w:basedOn w:val="Normal"/>
    <w:next w:val="Normal"/>
    <w:uiPriority w:val="98"/>
    <w:semiHidden/>
    <w:unhideWhenUsed/>
    <w:rsid w:val="0045692F"/>
    <w:pPr>
      <w:spacing w:before="240" w:after="60" w:line="240" w:lineRule="auto"/>
      <w:outlineLvl w:val="5"/>
    </w:pPr>
    <w:rPr>
      <w:rFonts w:eastAsia="Times New Roman"/>
      <w:b/>
      <w:bCs/>
      <w:sz w:val="24"/>
      <w:szCs w:val="24"/>
      <w:lang w:eastAsia="en-AU"/>
    </w:rPr>
  </w:style>
  <w:style w:type="paragraph" w:customStyle="1" w:styleId="Heading71">
    <w:name w:val="Heading 71"/>
    <w:basedOn w:val="Normal"/>
    <w:next w:val="Normal"/>
    <w:uiPriority w:val="9"/>
    <w:semiHidden/>
    <w:unhideWhenUsed/>
    <w:rsid w:val="0045692F"/>
    <w:pPr>
      <w:spacing w:before="240" w:after="60" w:line="240" w:lineRule="auto"/>
      <w:outlineLvl w:val="6"/>
    </w:pPr>
    <w:rPr>
      <w:rFonts w:eastAsia="Times New Roman"/>
      <w:sz w:val="24"/>
      <w:szCs w:val="24"/>
      <w:lang w:eastAsia="en-AU"/>
    </w:rPr>
  </w:style>
  <w:style w:type="paragraph" w:customStyle="1" w:styleId="Heading81">
    <w:name w:val="Heading 81"/>
    <w:basedOn w:val="Normal"/>
    <w:next w:val="Normal"/>
    <w:uiPriority w:val="9"/>
    <w:semiHidden/>
    <w:unhideWhenUsed/>
    <w:rsid w:val="0045692F"/>
    <w:pPr>
      <w:spacing w:before="240" w:after="60" w:line="240" w:lineRule="auto"/>
      <w:outlineLvl w:val="7"/>
    </w:pPr>
    <w:rPr>
      <w:rFonts w:eastAsia="Times New Roman"/>
      <w:i/>
      <w:iCs/>
      <w:sz w:val="24"/>
      <w:szCs w:val="24"/>
      <w:lang w:eastAsia="en-AU"/>
    </w:rPr>
  </w:style>
  <w:style w:type="character" w:customStyle="1" w:styleId="Heading9Char">
    <w:name w:val="Heading 9 Char"/>
    <w:basedOn w:val="DefaultParagraphFont"/>
    <w:link w:val="Heading9"/>
    <w:uiPriority w:val="99"/>
    <w:semiHidden/>
    <w:rsid w:val="0045692F"/>
    <w:rPr>
      <w:rFonts w:ascii="Arial" w:eastAsia="Times New Roman" w:hAnsi="Arial" w:cs="Arial"/>
      <w:lang w:eastAsia="en-AU"/>
    </w:rPr>
  </w:style>
  <w:style w:type="numbering" w:customStyle="1" w:styleId="NoList1">
    <w:name w:val="No List1"/>
    <w:next w:val="NoList"/>
    <w:uiPriority w:val="99"/>
    <w:semiHidden/>
    <w:unhideWhenUsed/>
    <w:rsid w:val="0045692F"/>
  </w:style>
  <w:style w:type="character" w:customStyle="1" w:styleId="Heading6Char">
    <w:name w:val="Heading 6 Char"/>
    <w:basedOn w:val="DefaultParagraphFont"/>
    <w:link w:val="Heading6"/>
    <w:uiPriority w:val="98"/>
    <w:semiHidden/>
    <w:rsid w:val="0045692F"/>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45692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5692F"/>
    <w:rPr>
      <w:rFonts w:ascii="Calibri" w:eastAsia="Times New Roman" w:hAnsi="Calibri" w:cs="Times New Roman"/>
      <w:i/>
      <w:iCs/>
      <w:sz w:val="24"/>
      <w:szCs w:val="24"/>
    </w:rPr>
  </w:style>
  <w:style w:type="paragraph" w:customStyle="1" w:styleId="AGSbasepara">
    <w:name w:val="AGS_base_para"/>
    <w:rsid w:val="0045692F"/>
    <w:pPr>
      <w:spacing w:after="80" w:line="240" w:lineRule="auto"/>
    </w:pPr>
    <w:rPr>
      <w:rFonts w:ascii="Times New Roman" w:eastAsia="Times New Roman" w:hAnsi="Times New Roman" w:cs="Arial"/>
      <w:iCs/>
      <w:sz w:val="24"/>
      <w:lang w:eastAsia="en-AU"/>
    </w:rPr>
  </w:style>
  <w:style w:type="paragraph" w:customStyle="1" w:styleId="baseheading">
    <w:name w:val="base_heading"/>
    <w:rsid w:val="0045692F"/>
    <w:pPr>
      <w:keepNext/>
      <w:keepLines/>
      <w:spacing w:before="360" w:after="0" w:line="240" w:lineRule="auto"/>
      <w:ind w:left="2410" w:hanging="2410"/>
    </w:pPr>
    <w:rPr>
      <w:rFonts w:ascii="Arial" w:eastAsia="Times New Roman" w:hAnsi="Arial" w:cs="Arial"/>
      <w:b/>
      <w:bCs/>
      <w:kern w:val="32"/>
      <w:sz w:val="24"/>
      <w:szCs w:val="32"/>
      <w:lang w:eastAsia="en-AU"/>
    </w:rPr>
  </w:style>
  <w:style w:type="paragraph" w:customStyle="1" w:styleId="baseTOC">
    <w:name w:val="base_TOC"/>
    <w:rsid w:val="0045692F"/>
    <w:pPr>
      <w:tabs>
        <w:tab w:val="right" w:pos="8278"/>
      </w:tabs>
      <w:spacing w:after="0" w:line="240" w:lineRule="auto"/>
      <w:ind w:left="2126" w:hanging="2126"/>
    </w:pPr>
    <w:rPr>
      <w:rFonts w:ascii="Arial" w:eastAsia="Times New Roman" w:hAnsi="Arial" w:cs="Arial"/>
      <w:noProof/>
      <w:sz w:val="24"/>
      <w:lang w:eastAsia="en-AU"/>
    </w:rPr>
  </w:style>
  <w:style w:type="character" w:styleId="EndnoteReference">
    <w:name w:val="endnote reference"/>
    <w:basedOn w:val="DefaultParagraphFont"/>
    <w:semiHidden/>
    <w:rsid w:val="0045692F"/>
    <w:rPr>
      <w:rFonts w:ascii="Arial" w:hAnsi="Arial" w:cs="Arial"/>
      <w:b w:val="0"/>
      <w:i w:val="0"/>
      <w:sz w:val="22"/>
      <w:vertAlign w:val="superscript"/>
    </w:rPr>
  </w:style>
  <w:style w:type="paragraph" w:styleId="EndnoteText">
    <w:name w:val="endnote text"/>
    <w:basedOn w:val="Normal"/>
    <w:link w:val="EndnoteTextChar"/>
    <w:semiHidden/>
    <w:rsid w:val="0045692F"/>
    <w:pPr>
      <w:tabs>
        <w:tab w:val="left" w:pos="425"/>
      </w:tabs>
      <w:spacing w:after="60" w:line="240" w:lineRule="auto"/>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45692F"/>
    <w:rPr>
      <w:rFonts w:ascii="Arial" w:eastAsia="Times New Roman" w:hAnsi="Arial" w:cs="Arial"/>
      <w:sz w:val="18"/>
      <w:szCs w:val="20"/>
      <w:lang w:eastAsia="en-AU"/>
    </w:rPr>
  </w:style>
  <w:style w:type="paragraph" w:customStyle="1" w:styleId="ENotesHeading1">
    <w:name w:val="ENotesHeading 1"/>
    <w:aliases w:val="Enh1"/>
    <w:basedOn w:val="Normal"/>
    <w:next w:val="Normal"/>
    <w:rsid w:val="0045692F"/>
    <w:pPr>
      <w:spacing w:before="120" w:after="0" w:line="260" w:lineRule="atLeast"/>
      <w:outlineLvl w:val="1"/>
    </w:pPr>
    <w:rPr>
      <w:rFonts w:ascii="Times New Roman" w:eastAsia="Calibri" w:hAnsi="Times New Roman" w:cs="Times New Roman"/>
      <w:b/>
      <w:sz w:val="28"/>
      <w:szCs w:val="28"/>
      <w:lang w:eastAsia="en-AU"/>
    </w:rPr>
  </w:style>
  <w:style w:type="paragraph" w:customStyle="1" w:styleId="ENotesHeading2">
    <w:name w:val="ENotesHeading 2"/>
    <w:aliases w:val="Enh2"/>
    <w:basedOn w:val="Normal"/>
    <w:next w:val="Normal"/>
    <w:rsid w:val="0045692F"/>
    <w:pPr>
      <w:spacing w:before="120" w:after="120" w:line="260" w:lineRule="atLeast"/>
      <w:outlineLvl w:val="2"/>
    </w:pPr>
    <w:rPr>
      <w:rFonts w:ascii="Times New Roman" w:eastAsia="Calibri" w:hAnsi="Times New Roman" w:cs="Times New Roman"/>
      <w:b/>
      <w:sz w:val="24"/>
      <w:szCs w:val="28"/>
      <w:lang w:eastAsia="en-AU"/>
    </w:rPr>
  </w:style>
  <w:style w:type="paragraph" w:customStyle="1" w:styleId="ENoteTableHeading">
    <w:name w:val="ENoteTableHeading"/>
    <w:aliases w:val="enth"/>
    <w:basedOn w:val="Normal"/>
    <w:rsid w:val="0045692F"/>
    <w:pPr>
      <w:keepNext/>
      <w:spacing w:before="60" w:after="0" w:line="240" w:lineRule="atLeast"/>
    </w:pPr>
    <w:rPr>
      <w:rFonts w:ascii="Arial" w:eastAsia="Calibri" w:hAnsi="Arial" w:cs="Times New Roman"/>
      <w:b/>
      <w:sz w:val="16"/>
      <w:szCs w:val="20"/>
      <w:lang w:eastAsia="en-AU"/>
    </w:rPr>
  </w:style>
  <w:style w:type="paragraph" w:customStyle="1" w:styleId="ENoteTableText">
    <w:name w:val="ENoteTableText"/>
    <w:aliases w:val="entt"/>
    <w:basedOn w:val="Normal"/>
    <w:rsid w:val="0045692F"/>
    <w:pPr>
      <w:spacing w:before="60" w:after="0" w:line="240" w:lineRule="atLeast"/>
    </w:pPr>
    <w:rPr>
      <w:rFonts w:ascii="Times New Roman" w:eastAsia="Calibri" w:hAnsi="Times New Roman" w:cs="Times New Roman"/>
      <w:sz w:val="16"/>
      <w:szCs w:val="20"/>
      <w:lang w:eastAsia="en-AU"/>
    </w:rPr>
  </w:style>
  <w:style w:type="paragraph" w:styleId="Footer">
    <w:name w:val="footer"/>
    <w:basedOn w:val="Normal"/>
    <w:link w:val="FooterChar"/>
    <w:rsid w:val="0045692F"/>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45692F"/>
    <w:rPr>
      <w:rFonts w:ascii="Times New Roman" w:eastAsia="Times New Roman" w:hAnsi="Times New Roman" w:cs="Times New Roman"/>
      <w:sz w:val="24"/>
      <w:szCs w:val="24"/>
      <w:lang w:eastAsia="en-AU"/>
    </w:rPr>
  </w:style>
  <w:style w:type="paragraph" w:customStyle="1" w:styleId="FooterBase">
    <w:name w:val="Footer Base"/>
    <w:next w:val="Normal"/>
    <w:semiHidden/>
    <w:rsid w:val="0045692F"/>
    <w:pPr>
      <w:spacing w:after="0" w:line="200" w:lineRule="atLeast"/>
    </w:pPr>
    <w:rPr>
      <w:rFonts w:ascii="Arial" w:eastAsia="Times New Roman" w:hAnsi="Arial" w:cs="Arial"/>
      <w:sz w:val="16"/>
      <w:lang w:eastAsia="en-AU"/>
    </w:rPr>
  </w:style>
  <w:style w:type="paragraph" w:customStyle="1" w:styleId="FooterLandscape">
    <w:name w:val="Footer Landscape"/>
    <w:basedOn w:val="FooterBase"/>
    <w:semiHidden/>
    <w:rsid w:val="0045692F"/>
    <w:pPr>
      <w:tabs>
        <w:tab w:val="right" w:pos="13175"/>
      </w:tabs>
    </w:pPr>
  </w:style>
  <w:style w:type="paragraph" w:customStyle="1" w:styleId="FooterSubject">
    <w:name w:val="Footer Subject"/>
    <w:basedOn w:val="FooterBase"/>
    <w:semiHidden/>
    <w:rsid w:val="0045692F"/>
    <w:pPr>
      <w:ind w:right="1417"/>
    </w:pPr>
  </w:style>
  <w:style w:type="character" w:styleId="FootnoteReference">
    <w:name w:val="footnote reference"/>
    <w:basedOn w:val="DefaultParagraphFont"/>
    <w:uiPriority w:val="99"/>
    <w:semiHidden/>
    <w:rsid w:val="0045692F"/>
    <w:rPr>
      <w:rFonts w:ascii="Arial" w:hAnsi="Arial" w:cs="Arial"/>
      <w:b w:val="0"/>
      <w:i w:val="0"/>
      <w:sz w:val="22"/>
      <w:vertAlign w:val="superscript"/>
    </w:rPr>
  </w:style>
  <w:style w:type="paragraph" w:styleId="FootnoteText">
    <w:name w:val="footnote text"/>
    <w:basedOn w:val="Normal"/>
    <w:link w:val="FootnoteTextChar"/>
    <w:uiPriority w:val="99"/>
    <w:semiHidden/>
    <w:rsid w:val="0045692F"/>
    <w:pPr>
      <w:tabs>
        <w:tab w:val="left" w:pos="425"/>
      </w:tabs>
      <w:spacing w:after="60" w:line="240" w:lineRule="auto"/>
      <w:ind w:left="425" w:right="567" w:hanging="425"/>
    </w:pPr>
    <w:rPr>
      <w:rFonts w:ascii="Arial" w:eastAsia="Times New Roman" w:hAnsi="Arial" w:cs="Arial"/>
      <w:sz w:val="18"/>
      <w:szCs w:val="20"/>
      <w:lang w:eastAsia="en-AU"/>
    </w:rPr>
  </w:style>
  <w:style w:type="character" w:customStyle="1" w:styleId="FootnoteTextChar">
    <w:name w:val="Footnote Text Char"/>
    <w:basedOn w:val="DefaultParagraphFont"/>
    <w:link w:val="FootnoteText"/>
    <w:uiPriority w:val="99"/>
    <w:semiHidden/>
    <w:rsid w:val="0045692F"/>
    <w:rPr>
      <w:rFonts w:ascii="Arial" w:eastAsia="Times New Roman" w:hAnsi="Arial" w:cs="Arial"/>
      <w:sz w:val="18"/>
      <w:szCs w:val="20"/>
      <w:lang w:eastAsia="en-AU"/>
    </w:rPr>
  </w:style>
  <w:style w:type="paragraph" w:customStyle="1" w:styleId="h1Chap">
    <w:name w:val="h1_Chap"/>
    <w:basedOn w:val="baseheading"/>
    <w:next w:val="h2Part"/>
    <w:qFormat/>
    <w:rsid w:val="0045692F"/>
    <w:pPr>
      <w:spacing w:before="480"/>
      <w:outlineLvl w:val="0"/>
    </w:pPr>
    <w:rPr>
      <w:bCs w:val="0"/>
      <w:sz w:val="40"/>
    </w:rPr>
  </w:style>
  <w:style w:type="paragraph" w:customStyle="1" w:styleId="h2Part">
    <w:name w:val="h2_Part"/>
    <w:basedOn w:val="baseheading"/>
    <w:next w:val="h3Div"/>
    <w:qFormat/>
    <w:rsid w:val="0045692F"/>
    <w:pPr>
      <w:outlineLvl w:val="1"/>
    </w:pPr>
    <w:rPr>
      <w:bCs w:val="0"/>
      <w:sz w:val="36"/>
      <w:szCs w:val="22"/>
    </w:rPr>
  </w:style>
  <w:style w:type="paragraph" w:customStyle="1" w:styleId="h3Div">
    <w:name w:val="h3_Div"/>
    <w:basedOn w:val="baseheading"/>
    <w:next w:val="h5Section"/>
    <w:qFormat/>
    <w:rsid w:val="0045692F"/>
    <w:pPr>
      <w:outlineLvl w:val="2"/>
    </w:pPr>
    <w:rPr>
      <w:sz w:val="32"/>
    </w:rPr>
  </w:style>
  <w:style w:type="paragraph" w:customStyle="1" w:styleId="h5Section">
    <w:name w:val="h5_Section"/>
    <w:basedOn w:val="baseheading"/>
    <w:next w:val="t1Main"/>
    <w:qFormat/>
    <w:rsid w:val="0045692F"/>
    <w:pPr>
      <w:spacing w:after="60"/>
      <w:ind w:left="964" w:hanging="964"/>
      <w:outlineLvl w:val="4"/>
    </w:pPr>
    <w:rPr>
      <w:rFonts w:cs="Times New Roman"/>
    </w:rPr>
  </w:style>
  <w:style w:type="paragraph" w:customStyle="1" w:styleId="t1Main">
    <w:name w:val="t1_Main"/>
    <w:rsid w:val="0045692F"/>
    <w:pPr>
      <w:tabs>
        <w:tab w:val="right" w:pos="851"/>
      </w:tabs>
      <w:spacing w:before="80" w:after="100" w:line="260" w:lineRule="exact"/>
      <w:ind w:left="964" w:hanging="964"/>
    </w:pPr>
    <w:rPr>
      <w:rFonts w:ascii="Times New Roman" w:eastAsia="Times New Roman" w:hAnsi="Times New Roman" w:cs="Times New Roman"/>
      <w:sz w:val="24"/>
      <w:szCs w:val="24"/>
      <w:lang w:eastAsia="en-AU"/>
    </w:rPr>
  </w:style>
  <w:style w:type="paragraph" w:customStyle="1" w:styleId="h1Sch">
    <w:name w:val="h1_Sch"/>
    <w:basedOn w:val="baseheading"/>
    <w:next w:val="h2SchPart"/>
    <w:qFormat/>
    <w:rsid w:val="0045692F"/>
    <w:pPr>
      <w:spacing w:before="480"/>
      <w:outlineLvl w:val="0"/>
    </w:pPr>
    <w:rPr>
      <w:sz w:val="40"/>
    </w:rPr>
  </w:style>
  <w:style w:type="paragraph" w:customStyle="1" w:styleId="h2SchPart">
    <w:name w:val="h2_Sch_Part"/>
    <w:basedOn w:val="baseheading"/>
    <w:next w:val="h3SchDiv"/>
    <w:qFormat/>
    <w:rsid w:val="0045692F"/>
    <w:rPr>
      <w:sz w:val="36"/>
    </w:rPr>
  </w:style>
  <w:style w:type="paragraph" w:customStyle="1" w:styleId="h3SchDiv">
    <w:name w:val="h3_Sch_Div"/>
    <w:basedOn w:val="baseheading"/>
    <w:next w:val="h5Section"/>
    <w:qFormat/>
    <w:rsid w:val="0045692F"/>
    <w:rPr>
      <w:sz w:val="32"/>
    </w:rPr>
  </w:style>
  <w:style w:type="paragraph" w:customStyle="1" w:styleId="h2Endnote">
    <w:name w:val="h2_Endnote"/>
    <w:basedOn w:val="baseheading"/>
    <w:rsid w:val="0045692F"/>
    <w:pPr>
      <w:outlineLvl w:val="1"/>
    </w:pPr>
    <w:rPr>
      <w:sz w:val="36"/>
    </w:rPr>
  </w:style>
  <w:style w:type="paragraph" w:customStyle="1" w:styleId="h4SchSubdiv">
    <w:name w:val="h4_Sch_Subdiv"/>
    <w:basedOn w:val="baseheading"/>
    <w:qFormat/>
    <w:rsid w:val="0045692F"/>
    <w:pPr>
      <w:spacing w:before="200"/>
      <w:ind w:left="2693" w:hanging="2693"/>
    </w:pPr>
    <w:rPr>
      <w:sz w:val="28"/>
    </w:rPr>
  </w:style>
  <w:style w:type="paragraph" w:customStyle="1" w:styleId="h4Subdiv">
    <w:name w:val="h4_Subdiv"/>
    <w:basedOn w:val="baseheading"/>
    <w:next w:val="Normal"/>
    <w:qFormat/>
    <w:rsid w:val="0045692F"/>
    <w:pPr>
      <w:spacing w:before="200"/>
      <w:ind w:left="2693" w:hanging="2693"/>
      <w:outlineLvl w:val="3"/>
    </w:pPr>
    <w:rPr>
      <w:rFonts w:cs="Times New Roman"/>
      <w:sz w:val="28"/>
    </w:rPr>
  </w:style>
  <w:style w:type="paragraph" w:customStyle="1" w:styleId="h5Endnote">
    <w:name w:val="h5_Endnote"/>
    <w:basedOn w:val="baseheading"/>
    <w:rsid w:val="0045692F"/>
    <w:pPr>
      <w:spacing w:after="60"/>
    </w:pPr>
  </w:style>
  <w:style w:type="paragraph" w:customStyle="1" w:styleId="h5SchItem">
    <w:name w:val="h5_Sch_Item"/>
    <w:basedOn w:val="baseheading"/>
    <w:next w:val="t1Amendingwords"/>
    <w:qFormat/>
    <w:rsid w:val="0045692F"/>
    <w:pPr>
      <w:spacing w:after="60"/>
      <w:ind w:left="964" w:hanging="964"/>
    </w:pPr>
  </w:style>
  <w:style w:type="paragraph" w:customStyle="1" w:styleId="t1Amendingwords">
    <w:name w:val="t1_Amending_words"/>
    <w:basedOn w:val="t1Main"/>
    <w:qFormat/>
    <w:rsid w:val="0045692F"/>
    <w:pPr>
      <w:tabs>
        <w:tab w:val="clear" w:pos="851"/>
      </w:tabs>
      <w:ind w:firstLine="0"/>
    </w:pPr>
    <w:rPr>
      <w:i/>
    </w:rPr>
  </w:style>
  <w:style w:type="paragraph" w:customStyle="1" w:styleId="h6Subsec">
    <w:name w:val="h6_Subsec"/>
    <w:basedOn w:val="baseheading"/>
    <w:next w:val="t1Main"/>
    <w:qFormat/>
    <w:rsid w:val="0045692F"/>
    <w:pPr>
      <w:spacing w:before="120" w:after="60"/>
      <w:ind w:left="482" w:firstLine="0"/>
    </w:pPr>
    <w:rPr>
      <w:b w:val="0"/>
      <w:i/>
    </w:rPr>
  </w:style>
  <w:style w:type="paragraph" w:customStyle="1" w:styleId="h7Example">
    <w:name w:val="h7_Example"/>
    <w:basedOn w:val="baseheading"/>
    <w:next w:val="Normal"/>
    <w:qFormat/>
    <w:rsid w:val="0045692F"/>
    <w:pPr>
      <w:spacing w:before="120"/>
      <w:ind w:left="964" w:hanging="964"/>
    </w:pPr>
    <w:rPr>
      <w:b w:val="0"/>
      <w:i/>
    </w:rPr>
  </w:style>
  <w:style w:type="paragraph" w:styleId="Header">
    <w:name w:val="header"/>
    <w:basedOn w:val="Normal"/>
    <w:link w:val="HeaderChar"/>
    <w:rsid w:val="0045692F"/>
    <w:pPr>
      <w:tabs>
        <w:tab w:val="left" w:pos="2552"/>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45692F"/>
    <w:rPr>
      <w:rFonts w:ascii="Times New Roman" w:eastAsia="Times New Roman" w:hAnsi="Times New Roman" w:cs="Times New Roman"/>
      <w:sz w:val="24"/>
      <w:szCs w:val="24"/>
      <w:lang w:eastAsia="en-AU"/>
    </w:rPr>
  </w:style>
  <w:style w:type="paragraph" w:customStyle="1" w:styleId="nDrafterComment">
    <w:name w:val="n_Drafter_Comment"/>
    <w:basedOn w:val="Normal"/>
    <w:qFormat/>
    <w:rsid w:val="0045692F"/>
    <w:pPr>
      <w:spacing w:before="80" w:after="80" w:line="240" w:lineRule="auto"/>
    </w:pPr>
    <w:rPr>
      <w:rFonts w:ascii="Arial" w:eastAsia="Times New Roman" w:hAnsi="Arial" w:cs="Times New Roman"/>
      <w:color w:val="7030A0"/>
      <w:szCs w:val="24"/>
      <w:lang w:eastAsia="en-AU"/>
    </w:rPr>
  </w:style>
  <w:style w:type="paragraph" w:customStyle="1" w:styleId="nEndnote">
    <w:name w:val="n_Endnote"/>
    <w:basedOn w:val="Normal"/>
    <w:rsid w:val="0045692F"/>
    <w:pPr>
      <w:keepLines/>
      <w:spacing w:before="120" w:after="0" w:line="240" w:lineRule="exact"/>
      <w:ind w:left="567" w:hanging="567"/>
      <w:jc w:val="both"/>
    </w:pPr>
    <w:rPr>
      <w:rFonts w:ascii="Times New Roman" w:eastAsia="Times New Roman" w:hAnsi="Times New Roman" w:cs="Times New Roman"/>
      <w:szCs w:val="24"/>
      <w:lang w:eastAsia="en-AU"/>
    </w:rPr>
  </w:style>
  <w:style w:type="paragraph" w:customStyle="1" w:styleId="nMain">
    <w:name w:val="n_Main"/>
    <w:basedOn w:val="AGSbasepara"/>
    <w:qFormat/>
    <w:rsid w:val="0045692F"/>
    <w:pPr>
      <w:keepLines/>
      <w:tabs>
        <w:tab w:val="right" w:pos="1531"/>
      </w:tabs>
      <w:spacing w:after="100" w:line="220" w:lineRule="exact"/>
      <w:ind w:left="1701" w:hanging="1701"/>
    </w:pPr>
    <w:rPr>
      <w:sz w:val="20"/>
    </w:rPr>
  </w:style>
  <w:style w:type="paragraph" w:customStyle="1" w:styleId="nPara">
    <w:name w:val="n_Para"/>
    <w:basedOn w:val="Normal"/>
    <w:qFormat/>
    <w:rsid w:val="0045692F"/>
    <w:pPr>
      <w:keepLines/>
      <w:tabs>
        <w:tab w:val="right" w:pos="2211"/>
      </w:tabs>
      <w:spacing w:after="100" w:line="220" w:lineRule="exact"/>
      <w:ind w:left="2410" w:hanging="2410"/>
    </w:pPr>
    <w:rPr>
      <w:rFonts w:ascii="Times New Roman" w:eastAsia="Times New Roman" w:hAnsi="Times New Roman" w:cs="Times New Roman"/>
      <w:sz w:val="20"/>
      <w:szCs w:val="24"/>
      <w:lang w:eastAsia="en-AU"/>
    </w:rPr>
  </w:style>
  <w:style w:type="paragraph" w:customStyle="1" w:styleId="nSubpara">
    <w:name w:val="n_Subpara"/>
    <w:basedOn w:val="Normal"/>
    <w:qFormat/>
    <w:rsid w:val="0045692F"/>
    <w:pPr>
      <w:tabs>
        <w:tab w:val="right" w:pos="2948"/>
      </w:tabs>
      <w:spacing w:after="100" w:line="220" w:lineRule="exact"/>
      <w:ind w:left="3119" w:hanging="3119"/>
    </w:pPr>
    <w:rPr>
      <w:rFonts w:ascii="Times New Roman" w:eastAsia="Times New Roman" w:hAnsi="Times New Roman" w:cs="Times New Roman"/>
      <w:sz w:val="20"/>
      <w:szCs w:val="24"/>
      <w:lang w:eastAsia="en-AU"/>
    </w:rPr>
  </w:style>
  <w:style w:type="paragraph" w:customStyle="1" w:styleId="ntoHeading">
    <w:name w:val="n_to_Heading"/>
    <w:basedOn w:val="t1Main"/>
    <w:qFormat/>
    <w:rsid w:val="0045692F"/>
    <w:rPr>
      <w:sz w:val="20"/>
    </w:rPr>
  </w:style>
  <w:style w:type="paragraph" w:customStyle="1" w:styleId="NormalBase">
    <w:name w:val="Normal Base"/>
    <w:semiHidden/>
    <w:rsid w:val="0045692F"/>
    <w:pPr>
      <w:spacing w:before="140" w:after="140" w:line="280" w:lineRule="atLeast"/>
    </w:pPr>
    <w:rPr>
      <w:rFonts w:ascii="Arial" w:eastAsia="Times New Roman" w:hAnsi="Arial" w:cs="Arial"/>
      <w:lang w:eastAsia="en-AU"/>
    </w:rPr>
  </w:style>
  <w:style w:type="character" w:styleId="PageNumber">
    <w:name w:val="page number"/>
    <w:basedOn w:val="DefaultParagraphFont"/>
    <w:semiHidden/>
    <w:rsid w:val="0045692F"/>
    <w:rPr>
      <w:rFonts w:ascii="Arial" w:hAnsi="Arial" w:cs="Arial"/>
      <w:b w:val="0"/>
      <w:i w:val="0"/>
      <w:sz w:val="16"/>
    </w:rPr>
  </w:style>
  <w:style w:type="paragraph" w:customStyle="1" w:styleId="ParagraphText">
    <w:name w:val="Paragraph_Text"/>
    <w:basedOn w:val="Normal"/>
    <w:uiPriority w:val="1"/>
    <w:rsid w:val="0045692F"/>
    <w:pPr>
      <w:numPr>
        <w:ilvl w:val="6"/>
        <w:numId w:val="3"/>
      </w:numPr>
      <w:spacing w:before="60" w:after="80" w:line="240" w:lineRule="auto"/>
    </w:pPr>
    <w:rPr>
      <w:rFonts w:ascii="Arial" w:eastAsia="Times New Roman" w:hAnsi="Arial" w:cs="Arial"/>
      <w:bCs/>
      <w:szCs w:val="26"/>
      <w:lang w:eastAsia="en-AU"/>
    </w:rPr>
  </w:style>
  <w:style w:type="character" w:styleId="PlaceholderText">
    <w:name w:val="Placeholder Text"/>
    <w:basedOn w:val="DefaultParagraphFont"/>
    <w:uiPriority w:val="99"/>
    <w:semiHidden/>
    <w:rsid w:val="0045692F"/>
    <w:rPr>
      <w:color w:val="808080"/>
    </w:rPr>
  </w:style>
  <w:style w:type="paragraph" w:customStyle="1" w:styleId="PlainParagraph">
    <w:name w:val="Plain Paragraph"/>
    <w:basedOn w:val="NormalBase"/>
    <w:uiPriority w:val="1"/>
    <w:rsid w:val="0045692F"/>
  </w:style>
  <w:style w:type="paragraph" w:customStyle="1" w:styleId="sbFirstSection">
    <w:name w:val="sb_First_Section"/>
    <w:basedOn w:val="Normal"/>
    <w:qFormat/>
    <w:rsid w:val="0045692F"/>
    <w:pPr>
      <w:spacing w:after="0" w:line="160" w:lineRule="exact"/>
    </w:pPr>
    <w:rPr>
      <w:rFonts w:ascii="Times New Roman" w:eastAsia="Times New Roman" w:hAnsi="Times New Roman" w:cs="Times New Roman"/>
      <w:sz w:val="16"/>
      <w:szCs w:val="24"/>
      <w:lang w:eastAsia="en-AU"/>
    </w:rPr>
  </w:style>
  <w:style w:type="paragraph" w:customStyle="1" w:styleId="sbContents">
    <w:name w:val="sb_Contents"/>
    <w:basedOn w:val="sbFirstSection"/>
    <w:qFormat/>
    <w:rsid w:val="0045692F"/>
  </w:style>
  <w:style w:type="paragraph" w:customStyle="1" w:styleId="sbMainSection">
    <w:name w:val="sb_Main_Section"/>
    <w:basedOn w:val="sbFirstSection"/>
    <w:qFormat/>
    <w:rsid w:val="0045692F"/>
    <w:rPr>
      <w:b/>
      <w:bCs/>
      <w:kern w:val="32"/>
    </w:rPr>
  </w:style>
  <w:style w:type="paragraph" w:customStyle="1" w:styleId="sbSchedules">
    <w:name w:val="sb_Schedules"/>
    <w:basedOn w:val="sbFirstSection"/>
    <w:qFormat/>
    <w:rsid w:val="0045692F"/>
  </w:style>
  <w:style w:type="paragraph" w:customStyle="1" w:styleId="t1Defn">
    <w:name w:val="t1_Defn"/>
    <w:basedOn w:val="t1Main"/>
    <w:rsid w:val="0045692F"/>
    <w:pPr>
      <w:tabs>
        <w:tab w:val="clear" w:pos="851"/>
      </w:tabs>
      <w:ind w:firstLine="0"/>
    </w:pPr>
  </w:style>
  <w:style w:type="paragraph" w:customStyle="1" w:styleId="t2Para">
    <w:name w:val="t2_Para"/>
    <w:basedOn w:val="t1Main"/>
    <w:qFormat/>
    <w:rsid w:val="0045692F"/>
    <w:pPr>
      <w:keepLines/>
      <w:tabs>
        <w:tab w:val="clear" w:pos="851"/>
        <w:tab w:val="right" w:pos="1531"/>
      </w:tabs>
      <w:spacing w:before="0"/>
      <w:ind w:left="1701" w:hanging="1701"/>
    </w:pPr>
  </w:style>
  <w:style w:type="paragraph" w:customStyle="1" w:styleId="t3Subpara">
    <w:name w:val="t3_Subpara"/>
    <w:basedOn w:val="t1Main"/>
    <w:qFormat/>
    <w:rsid w:val="0045692F"/>
    <w:pPr>
      <w:keepLines/>
      <w:tabs>
        <w:tab w:val="clear" w:pos="851"/>
        <w:tab w:val="right" w:pos="2211"/>
      </w:tabs>
      <w:spacing w:before="0"/>
      <w:ind w:left="2410" w:hanging="2410"/>
    </w:pPr>
  </w:style>
  <w:style w:type="paragraph" w:customStyle="1" w:styleId="t4Subsub">
    <w:name w:val="t4_Subsub"/>
    <w:basedOn w:val="t1Main"/>
    <w:qFormat/>
    <w:rsid w:val="0045692F"/>
    <w:pPr>
      <w:tabs>
        <w:tab w:val="clear" w:pos="851"/>
        <w:tab w:val="right" w:pos="2948"/>
      </w:tabs>
      <w:spacing w:before="0"/>
      <w:ind w:left="3119" w:hanging="3119"/>
    </w:pPr>
  </w:style>
  <w:style w:type="paragraph" w:customStyle="1" w:styleId="TableDashEm">
    <w:name w:val="Table: Dash: Em"/>
    <w:basedOn w:val="Normal"/>
    <w:semiHidden/>
    <w:rsid w:val="0045692F"/>
    <w:pPr>
      <w:tabs>
        <w:tab w:val="num" w:pos="283"/>
      </w:tabs>
      <w:spacing w:after="60" w:line="240" w:lineRule="atLeast"/>
      <w:ind w:left="283" w:hanging="283"/>
    </w:pPr>
    <w:rPr>
      <w:rFonts w:ascii="Arial" w:eastAsia="Times New Roman" w:hAnsi="Arial" w:cs="Arial"/>
      <w:sz w:val="20"/>
      <w:lang w:eastAsia="en-AU"/>
    </w:rPr>
  </w:style>
  <w:style w:type="paragraph" w:customStyle="1" w:styleId="TableDashEn3">
    <w:name w:val="Table: Dash: En 3"/>
    <w:basedOn w:val="Normal"/>
    <w:semiHidden/>
    <w:rsid w:val="0045692F"/>
    <w:pPr>
      <w:tabs>
        <w:tab w:val="num" w:pos="1417"/>
      </w:tabs>
      <w:spacing w:after="60" w:line="240" w:lineRule="atLeast"/>
      <w:ind w:left="1417" w:hanging="283"/>
    </w:pPr>
    <w:rPr>
      <w:rFonts w:ascii="Arial" w:eastAsia="Times New Roman" w:hAnsi="Arial" w:cs="Arial"/>
      <w:sz w:val="20"/>
      <w:lang w:eastAsia="en-AU"/>
    </w:rPr>
  </w:style>
  <w:style w:type="paragraph" w:customStyle="1" w:styleId="TableDashEn4">
    <w:name w:val="Table: Dash: En 4"/>
    <w:basedOn w:val="Normal"/>
    <w:semiHidden/>
    <w:rsid w:val="0045692F"/>
    <w:pPr>
      <w:tabs>
        <w:tab w:val="num" w:pos="1701"/>
      </w:tabs>
      <w:spacing w:after="60" w:line="240" w:lineRule="atLeast"/>
      <w:ind w:left="1701" w:hanging="284"/>
    </w:pPr>
    <w:rPr>
      <w:rFonts w:ascii="Arial" w:eastAsia="Times New Roman" w:hAnsi="Arial" w:cs="Arial"/>
      <w:sz w:val="20"/>
      <w:lang w:eastAsia="en-AU"/>
    </w:rPr>
  </w:style>
  <w:style w:type="paragraph" w:customStyle="1" w:styleId="TableDashEn5">
    <w:name w:val="Table: Dash: En 5"/>
    <w:basedOn w:val="Normal"/>
    <w:semiHidden/>
    <w:rsid w:val="0045692F"/>
    <w:pPr>
      <w:tabs>
        <w:tab w:val="num" w:pos="1984"/>
      </w:tabs>
      <w:spacing w:after="60" w:line="240" w:lineRule="atLeast"/>
      <w:ind w:left="1984" w:hanging="283"/>
    </w:pPr>
    <w:rPr>
      <w:rFonts w:ascii="Arial" w:eastAsia="Times New Roman" w:hAnsi="Arial" w:cs="Arial"/>
      <w:sz w:val="20"/>
      <w:lang w:eastAsia="en-AU"/>
    </w:rPr>
  </w:style>
  <w:style w:type="paragraph" w:customStyle="1" w:styleId="TableDashEn6">
    <w:name w:val="Table: Dash: En 6"/>
    <w:basedOn w:val="Normal"/>
    <w:semiHidden/>
    <w:rsid w:val="0045692F"/>
    <w:pPr>
      <w:tabs>
        <w:tab w:val="num" w:pos="2268"/>
      </w:tabs>
      <w:spacing w:after="60" w:line="240" w:lineRule="atLeast"/>
      <w:ind w:left="2268" w:hanging="284"/>
    </w:pPr>
    <w:rPr>
      <w:rFonts w:ascii="Arial" w:eastAsia="Times New Roman" w:hAnsi="Arial" w:cs="Arial"/>
      <w:sz w:val="20"/>
      <w:lang w:eastAsia="en-AU"/>
    </w:rPr>
  </w:style>
  <w:style w:type="paragraph" w:customStyle="1" w:styleId="TableDashEn7">
    <w:name w:val="Table: Dash: En 7"/>
    <w:basedOn w:val="Normal"/>
    <w:semiHidden/>
    <w:rsid w:val="0045692F"/>
    <w:pPr>
      <w:tabs>
        <w:tab w:val="num" w:pos="2551"/>
      </w:tabs>
      <w:spacing w:after="60" w:line="240" w:lineRule="atLeast"/>
      <w:ind w:left="2551" w:hanging="283"/>
    </w:pPr>
    <w:rPr>
      <w:rFonts w:ascii="Arial" w:eastAsia="Times New Roman" w:hAnsi="Arial" w:cs="Arial"/>
      <w:sz w:val="20"/>
      <w:lang w:eastAsia="en-AU"/>
    </w:rPr>
  </w:style>
  <w:style w:type="paragraph" w:customStyle="1" w:styleId="TableHeading4">
    <w:name w:val="Table: Heading 4"/>
    <w:basedOn w:val="Normal"/>
    <w:next w:val="Normal"/>
    <w:uiPriority w:val="1"/>
    <w:semiHidden/>
    <w:rsid w:val="0045692F"/>
    <w:pPr>
      <w:keepNext/>
      <w:keepLines/>
      <w:spacing w:before="60" w:after="0" w:line="240" w:lineRule="atLeast"/>
    </w:pPr>
    <w:rPr>
      <w:rFonts w:ascii="Arial" w:eastAsia="Times New Roman" w:hAnsi="Arial" w:cs="Arial"/>
      <w:i/>
      <w:sz w:val="20"/>
      <w:lang w:eastAsia="en-AU"/>
    </w:rPr>
  </w:style>
  <w:style w:type="paragraph" w:customStyle="1" w:styleId="TableHeading5">
    <w:name w:val="Table: Heading 5"/>
    <w:basedOn w:val="Normal"/>
    <w:next w:val="Normal"/>
    <w:uiPriority w:val="1"/>
    <w:semiHidden/>
    <w:rsid w:val="0045692F"/>
    <w:pPr>
      <w:keepNext/>
      <w:keepLines/>
      <w:spacing w:before="60" w:after="0" w:line="240" w:lineRule="atLeast"/>
    </w:pPr>
    <w:rPr>
      <w:rFonts w:ascii="Arial" w:eastAsia="Times New Roman" w:hAnsi="Arial" w:cs="Arial"/>
      <w:b/>
      <w:sz w:val="18"/>
      <w:lang w:eastAsia="en-AU"/>
    </w:rPr>
  </w:style>
  <w:style w:type="paragraph" w:customStyle="1" w:styleId="TableIndentFull">
    <w:name w:val="Table: Indent: Full"/>
    <w:basedOn w:val="Normal"/>
    <w:semiHidden/>
    <w:rsid w:val="0045692F"/>
    <w:pPr>
      <w:tabs>
        <w:tab w:val="num" w:pos="283"/>
      </w:tabs>
      <w:spacing w:after="60" w:line="240" w:lineRule="atLeast"/>
      <w:ind w:left="283"/>
    </w:pPr>
    <w:rPr>
      <w:rFonts w:ascii="Arial" w:eastAsia="Times New Roman" w:hAnsi="Arial" w:cs="Arial"/>
      <w:sz w:val="20"/>
      <w:lang w:eastAsia="en-AU"/>
    </w:rPr>
  </w:style>
  <w:style w:type="paragraph" w:customStyle="1" w:styleId="TableIndentFull1">
    <w:name w:val="Table: Indent: Full 1"/>
    <w:basedOn w:val="Normal"/>
    <w:uiPriority w:val="1"/>
    <w:semiHidden/>
    <w:rsid w:val="0045692F"/>
    <w:pPr>
      <w:tabs>
        <w:tab w:val="num" w:pos="283"/>
      </w:tabs>
      <w:spacing w:after="60" w:line="240" w:lineRule="atLeast"/>
      <w:ind w:left="283"/>
    </w:pPr>
    <w:rPr>
      <w:rFonts w:ascii="Arial" w:eastAsia="Times New Roman" w:hAnsi="Arial" w:cs="Arial"/>
      <w:sz w:val="20"/>
      <w:lang w:eastAsia="en-AU"/>
    </w:rPr>
  </w:style>
  <w:style w:type="paragraph" w:customStyle="1" w:styleId="TableIndentFull2">
    <w:name w:val="Table: Indent: Full 2"/>
    <w:basedOn w:val="Normal"/>
    <w:semiHidden/>
    <w:rsid w:val="0045692F"/>
    <w:pPr>
      <w:tabs>
        <w:tab w:val="num" w:pos="567"/>
      </w:tabs>
      <w:spacing w:after="60" w:line="240" w:lineRule="atLeast"/>
      <w:ind w:left="567"/>
    </w:pPr>
    <w:rPr>
      <w:rFonts w:ascii="Arial" w:eastAsia="Times New Roman" w:hAnsi="Arial" w:cs="Arial"/>
      <w:sz w:val="20"/>
      <w:lang w:eastAsia="en-AU"/>
    </w:rPr>
  </w:style>
  <w:style w:type="paragraph" w:customStyle="1" w:styleId="TableIndentFull3">
    <w:name w:val="Table: Indent: Full 3"/>
    <w:basedOn w:val="Normal"/>
    <w:semiHidden/>
    <w:rsid w:val="0045692F"/>
    <w:pPr>
      <w:tabs>
        <w:tab w:val="num" w:pos="850"/>
      </w:tabs>
      <w:spacing w:after="60" w:line="240" w:lineRule="atLeast"/>
      <w:ind w:left="850"/>
    </w:pPr>
    <w:rPr>
      <w:rFonts w:ascii="Arial" w:eastAsia="Times New Roman" w:hAnsi="Arial" w:cs="Arial"/>
      <w:sz w:val="20"/>
      <w:lang w:eastAsia="en-AU"/>
    </w:rPr>
  </w:style>
  <w:style w:type="paragraph" w:customStyle="1" w:styleId="TableIndentFull4">
    <w:name w:val="Table: Indent: Full 4"/>
    <w:basedOn w:val="Normal"/>
    <w:semiHidden/>
    <w:rsid w:val="0045692F"/>
    <w:pPr>
      <w:tabs>
        <w:tab w:val="num" w:pos="1134"/>
      </w:tabs>
      <w:spacing w:after="60" w:line="240" w:lineRule="atLeast"/>
      <w:ind w:left="1134"/>
    </w:pPr>
    <w:rPr>
      <w:rFonts w:ascii="Arial" w:eastAsia="Times New Roman" w:hAnsi="Arial" w:cs="Arial"/>
      <w:sz w:val="20"/>
      <w:lang w:eastAsia="en-AU"/>
    </w:rPr>
  </w:style>
  <w:style w:type="paragraph" w:customStyle="1" w:styleId="TableIndentFull5">
    <w:name w:val="Table: Indent: Full 5"/>
    <w:basedOn w:val="Normal"/>
    <w:semiHidden/>
    <w:rsid w:val="0045692F"/>
    <w:pPr>
      <w:tabs>
        <w:tab w:val="num" w:pos="1417"/>
      </w:tabs>
      <w:spacing w:after="60" w:line="240" w:lineRule="atLeast"/>
      <w:ind w:left="1417"/>
    </w:pPr>
    <w:rPr>
      <w:rFonts w:ascii="Arial" w:eastAsia="Times New Roman" w:hAnsi="Arial" w:cs="Arial"/>
      <w:sz w:val="20"/>
      <w:lang w:eastAsia="en-AU"/>
    </w:rPr>
  </w:style>
  <w:style w:type="paragraph" w:customStyle="1" w:styleId="TableIndentFull6">
    <w:name w:val="Table: Indent: Full 6"/>
    <w:basedOn w:val="Normal"/>
    <w:semiHidden/>
    <w:rsid w:val="0045692F"/>
    <w:pPr>
      <w:tabs>
        <w:tab w:val="num" w:pos="1701"/>
      </w:tabs>
      <w:spacing w:after="60" w:line="240" w:lineRule="atLeast"/>
      <w:ind w:left="1701"/>
    </w:pPr>
    <w:rPr>
      <w:rFonts w:ascii="Arial" w:eastAsia="Times New Roman" w:hAnsi="Arial" w:cs="Arial"/>
      <w:sz w:val="20"/>
      <w:lang w:eastAsia="en-AU"/>
    </w:rPr>
  </w:style>
  <w:style w:type="paragraph" w:customStyle="1" w:styleId="TableIndentFull7">
    <w:name w:val="Table: Indent: Full 7"/>
    <w:basedOn w:val="Normal"/>
    <w:semiHidden/>
    <w:rsid w:val="0045692F"/>
    <w:pPr>
      <w:tabs>
        <w:tab w:val="num" w:pos="1984"/>
      </w:tabs>
      <w:spacing w:after="60" w:line="240" w:lineRule="atLeast"/>
      <w:ind w:left="1984"/>
    </w:pPr>
    <w:rPr>
      <w:rFonts w:ascii="Arial" w:eastAsia="Times New Roman" w:hAnsi="Arial" w:cs="Arial"/>
      <w:sz w:val="20"/>
      <w:lang w:eastAsia="en-AU"/>
    </w:rPr>
  </w:style>
  <w:style w:type="paragraph" w:customStyle="1" w:styleId="TableIndentFull8">
    <w:name w:val="Table: Indent: Full 8"/>
    <w:basedOn w:val="Normal"/>
    <w:semiHidden/>
    <w:rsid w:val="0045692F"/>
    <w:pPr>
      <w:tabs>
        <w:tab w:val="num" w:pos="2268"/>
      </w:tabs>
      <w:spacing w:after="60" w:line="240" w:lineRule="atLeast"/>
      <w:ind w:left="2268"/>
    </w:pPr>
    <w:rPr>
      <w:rFonts w:ascii="Arial" w:eastAsia="Times New Roman" w:hAnsi="Arial" w:cs="Arial"/>
      <w:sz w:val="20"/>
      <w:lang w:eastAsia="en-AU"/>
    </w:rPr>
  </w:style>
  <w:style w:type="paragraph" w:customStyle="1" w:styleId="TableIndentHanging">
    <w:name w:val="Table: Indent: Hanging"/>
    <w:basedOn w:val="Normal"/>
    <w:semiHidden/>
    <w:rsid w:val="0045692F"/>
    <w:pPr>
      <w:tabs>
        <w:tab w:val="left" w:pos="283"/>
        <w:tab w:val="num" w:pos="567"/>
      </w:tabs>
      <w:spacing w:after="60" w:line="240" w:lineRule="atLeast"/>
      <w:ind w:left="567" w:hanging="284"/>
    </w:pPr>
    <w:rPr>
      <w:rFonts w:ascii="Arial" w:eastAsia="Times New Roman" w:hAnsi="Arial" w:cs="Arial"/>
      <w:sz w:val="20"/>
      <w:lang w:eastAsia="en-AU"/>
    </w:rPr>
  </w:style>
  <w:style w:type="paragraph" w:customStyle="1" w:styleId="TableIndentHanging1">
    <w:name w:val="Table: Indent: Hanging 1"/>
    <w:basedOn w:val="Normal"/>
    <w:uiPriority w:val="1"/>
    <w:semiHidden/>
    <w:rsid w:val="0045692F"/>
    <w:pPr>
      <w:tabs>
        <w:tab w:val="left" w:pos="283"/>
        <w:tab w:val="num" w:pos="567"/>
      </w:tabs>
      <w:spacing w:after="60" w:line="240" w:lineRule="atLeast"/>
      <w:ind w:left="567" w:hanging="284"/>
    </w:pPr>
    <w:rPr>
      <w:rFonts w:ascii="Arial" w:eastAsia="Times New Roman" w:hAnsi="Arial" w:cs="Arial"/>
      <w:sz w:val="20"/>
      <w:lang w:eastAsia="en-AU"/>
    </w:rPr>
  </w:style>
  <w:style w:type="paragraph" w:customStyle="1" w:styleId="TableIndentHanging2">
    <w:name w:val="Table: Indent: Hanging 2"/>
    <w:basedOn w:val="Normal"/>
    <w:semiHidden/>
    <w:rsid w:val="0045692F"/>
    <w:pPr>
      <w:tabs>
        <w:tab w:val="left" w:pos="567"/>
        <w:tab w:val="num" w:pos="850"/>
      </w:tabs>
      <w:spacing w:after="60" w:line="240" w:lineRule="atLeast"/>
      <w:ind w:left="850" w:hanging="283"/>
    </w:pPr>
    <w:rPr>
      <w:rFonts w:ascii="Arial" w:eastAsia="Times New Roman" w:hAnsi="Arial" w:cs="Arial"/>
      <w:sz w:val="20"/>
      <w:lang w:eastAsia="en-AU"/>
    </w:rPr>
  </w:style>
  <w:style w:type="paragraph" w:customStyle="1" w:styleId="TableIndentHanging3">
    <w:name w:val="Table: Indent: Hanging 3"/>
    <w:basedOn w:val="Normal"/>
    <w:semiHidden/>
    <w:rsid w:val="0045692F"/>
    <w:pPr>
      <w:tabs>
        <w:tab w:val="left" w:pos="850"/>
        <w:tab w:val="num" w:pos="1134"/>
      </w:tabs>
      <w:spacing w:after="60" w:line="240" w:lineRule="atLeast"/>
      <w:ind w:left="1134" w:hanging="284"/>
    </w:pPr>
    <w:rPr>
      <w:rFonts w:ascii="Arial" w:eastAsia="Times New Roman" w:hAnsi="Arial" w:cs="Arial"/>
      <w:sz w:val="20"/>
      <w:lang w:eastAsia="en-AU"/>
    </w:rPr>
  </w:style>
  <w:style w:type="paragraph" w:customStyle="1" w:styleId="TableIndentHanging4">
    <w:name w:val="Table: Indent: Hanging 4"/>
    <w:basedOn w:val="Normal"/>
    <w:semiHidden/>
    <w:rsid w:val="0045692F"/>
    <w:pPr>
      <w:tabs>
        <w:tab w:val="left" w:pos="1134"/>
        <w:tab w:val="num" w:pos="1417"/>
      </w:tabs>
      <w:spacing w:after="60" w:line="240" w:lineRule="atLeast"/>
      <w:ind w:left="1417" w:hanging="283"/>
    </w:pPr>
    <w:rPr>
      <w:rFonts w:ascii="Arial" w:eastAsia="Times New Roman" w:hAnsi="Arial" w:cs="Arial"/>
      <w:sz w:val="20"/>
      <w:lang w:eastAsia="en-AU"/>
    </w:rPr>
  </w:style>
  <w:style w:type="paragraph" w:customStyle="1" w:styleId="TableIndentHanging5">
    <w:name w:val="Table: Indent: Hanging 5"/>
    <w:basedOn w:val="Normal"/>
    <w:semiHidden/>
    <w:rsid w:val="0045692F"/>
    <w:pPr>
      <w:tabs>
        <w:tab w:val="left" w:pos="1417"/>
        <w:tab w:val="num" w:pos="1701"/>
      </w:tabs>
      <w:spacing w:after="60" w:line="240" w:lineRule="atLeast"/>
      <w:ind w:left="1701" w:hanging="284"/>
    </w:pPr>
    <w:rPr>
      <w:rFonts w:ascii="Arial" w:eastAsia="Times New Roman" w:hAnsi="Arial" w:cs="Arial"/>
      <w:sz w:val="20"/>
      <w:lang w:eastAsia="en-AU"/>
    </w:rPr>
  </w:style>
  <w:style w:type="paragraph" w:customStyle="1" w:styleId="TableIndentHanging6">
    <w:name w:val="Table: Indent: Hanging 6"/>
    <w:basedOn w:val="Normal"/>
    <w:semiHidden/>
    <w:rsid w:val="0045692F"/>
    <w:pPr>
      <w:tabs>
        <w:tab w:val="left" w:pos="1701"/>
        <w:tab w:val="num" w:pos="1984"/>
      </w:tabs>
      <w:spacing w:after="60" w:line="240" w:lineRule="atLeast"/>
      <w:ind w:left="1984" w:hanging="283"/>
    </w:pPr>
    <w:rPr>
      <w:rFonts w:ascii="Arial" w:eastAsia="Times New Roman" w:hAnsi="Arial" w:cs="Arial"/>
      <w:sz w:val="20"/>
      <w:lang w:eastAsia="en-AU"/>
    </w:rPr>
  </w:style>
  <w:style w:type="paragraph" w:customStyle="1" w:styleId="TableIndentHanging7">
    <w:name w:val="Table: Indent: Hanging 7"/>
    <w:basedOn w:val="Normal"/>
    <w:semiHidden/>
    <w:rsid w:val="0045692F"/>
    <w:pPr>
      <w:tabs>
        <w:tab w:val="left" w:pos="1984"/>
        <w:tab w:val="num" w:pos="2268"/>
      </w:tabs>
      <w:spacing w:after="60" w:line="240" w:lineRule="atLeast"/>
      <w:ind w:left="2268" w:hanging="284"/>
    </w:pPr>
    <w:rPr>
      <w:rFonts w:ascii="Arial" w:eastAsia="Times New Roman" w:hAnsi="Arial" w:cs="Arial"/>
      <w:sz w:val="20"/>
      <w:lang w:eastAsia="en-AU"/>
    </w:rPr>
  </w:style>
  <w:style w:type="paragraph" w:customStyle="1" w:styleId="TableIndentHanging8">
    <w:name w:val="Table: Indent: Hanging 8"/>
    <w:basedOn w:val="Normal"/>
    <w:semiHidden/>
    <w:rsid w:val="0045692F"/>
    <w:pPr>
      <w:tabs>
        <w:tab w:val="left" w:pos="2268"/>
        <w:tab w:val="num" w:pos="2551"/>
      </w:tabs>
      <w:spacing w:after="60" w:line="240" w:lineRule="atLeast"/>
      <w:ind w:left="2551" w:hanging="283"/>
    </w:pPr>
    <w:rPr>
      <w:rFonts w:ascii="Arial" w:eastAsia="Times New Roman" w:hAnsi="Arial" w:cs="Arial"/>
      <w:sz w:val="20"/>
      <w:lang w:eastAsia="en-AU"/>
    </w:rPr>
  </w:style>
  <w:style w:type="paragraph" w:customStyle="1" w:styleId="TableNumberLevel1">
    <w:name w:val="Table: Number Level 1"/>
    <w:basedOn w:val="Normal"/>
    <w:uiPriority w:val="1"/>
    <w:semiHidden/>
    <w:rsid w:val="0045692F"/>
    <w:pPr>
      <w:spacing w:before="60" w:after="60" w:line="240" w:lineRule="atLeast"/>
    </w:pPr>
    <w:rPr>
      <w:rFonts w:ascii="Arial" w:eastAsia="Times New Roman" w:hAnsi="Arial" w:cs="Arial"/>
      <w:sz w:val="20"/>
      <w:lang w:eastAsia="en-AU"/>
    </w:rPr>
  </w:style>
  <w:style w:type="paragraph" w:customStyle="1" w:styleId="TableNumberLevel2">
    <w:name w:val="Table: Number Level 2"/>
    <w:basedOn w:val="Normal"/>
    <w:uiPriority w:val="1"/>
    <w:semiHidden/>
    <w:rsid w:val="0045692F"/>
    <w:pPr>
      <w:spacing w:before="60" w:after="60" w:line="240" w:lineRule="atLeast"/>
    </w:pPr>
    <w:rPr>
      <w:rFonts w:ascii="Arial" w:eastAsia="Times New Roman" w:hAnsi="Arial" w:cs="Arial"/>
      <w:sz w:val="20"/>
      <w:lang w:eastAsia="en-AU"/>
    </w:rPr>
  </w:style>
  <w:style w:type="paragraph" w:customStyle="1" w:styleId="TableNumberLevel3">
    <w:name w:val="Table: Number Level 3"/>
    <w:basedOn w:val="Normal"/>
    <w:uiPriority w:val="1"/>
    <w:semiHidden/>
    <w:rsid w:val="0045692F"/>
    <w:pPr>
      <w:spacing w:before="60" w:after="60" w:line="240" w:lineRule="atLeast"/>
    </w:pPr>
    <w:rPr>
      <w:rFonts w:ascii="Arial" w:eastAsia="Times New Roman" w:hAnsi="Arial" w:cs="Arial"/>
      <w:sz w:val="20"/>
      <w:lang w:eastAsia="en-AU"/>
    </w:rPr>
  </w:style>
  <w:style w:type="paragraph" w:customStyle="1" w:styleId="TableNumberLevel5">
    <w:name w:val="Table: Number Level 5"/>
    <w:basedOn w:val="Normal"/>
    <w:semiHidden/>
    <w:rsid w:val="0045692F"/>
    <w:pPr>
      <w:spacing w:after="60" w:line="240" w:lineRule="atLeast"/>
    </w:pPr>
    <w:rPr>
      <w:rFonts w:ascii="Arial" w:eastAsia="Times New Roman" w:hAnsi="Arial" w:cs="Arial"/>
      <w:sz w:val="20"/>
      <w:lang w:eastAsia="en-AU"/>
    </w:rPr>
  </w:style>
  <w:style w:type="paragraph" w:customStyle="1" w:styleId="TableNumberLevel6">
    <w:name w:val="Table: Number Level 6"/>
    <w:basedOn w:val="Normal"/>
    <w:semiHidden/>
    <w:rsid w:val="0045692F"/>
    <w:pPr>
      <w:spacing w:after="60" w:line="240" w:lineRule="atLeast"/>
    </w:pPr>
    <w:rPr>
      <w:rFonts w:ascii="Arial" w:eastAsia="Times New Roman" w:hAnsi="Arial" w:cs="Arial"/>
      <w:sz w:val="20"/>
      <w:lang w:eastAsia="en-AU"/>
    </w:rPr>
  </w:style>
  <w:style w:type="paragraph" w:customStyle="1" w:styleId="TableNumberLevel7">
    <w:name w:val="Table: Number Level 7"/>
    <w:basedOn w:val="Normal"/>
    <w:semiHidden/>
    <w:rsid w:val="0045692F"/>
    <w:pPr>
      <w:spacing w:after="60" w:line="240" w:lineRule="atLeast"/>
    </w:pPr>
    <w:rPr>
      <w:rFonts w:ascii="Arial" w:eastAsia="Times New Roman" w:hAnsi="Arial" w:cs="Arial"/>
      <w:sz w:val="20"/>
      <w:lang w:eastAsia="en-AU"/>
    </w:rPr>
  </w:style>
  <w:style w:type="paragraph" w:customStyle="1" w:styleId="TableNumberLevel8">
    <w:name w:val="Table: Number Level 8"/>
    <w:basedOn w:val="Normal"/>
    <w:semiHidden/>
    <w:rsid w:val="0045692F"/>
    <w:pPr>
      <w:spacing w:after="60" w:line="240" w:lineRule="atLeast"/>
    </w:pPr>
    <w:rPr>
      <w:rFonts w:ascii="Arial" w:eastAsia="Times New Roman" w:hAnsi="Arial" w:cs="Arial"/>
      <w:sz w:val="20"/>
      <w:lang w:eastAsia="en-AU"/>
    </w:rPr>
  </w:style>
  <w:style w:type="paragraph" w:customStyle="1" w:styleId="TableNumberLevel9">
    <w:name w:val="Table: Number Level 9"/>
    <w:basedOn w:val="Normal"/>
    <w:semiHidden/>
    <w:rsid w:val="0045692F"/>
    <w:pPr>
      <w:spacing w:after="60" w:line="240" w:lineRule="atLeast"/>
    </w:pPr>
    <w:rPr>
      <w:rFonts w:ascii="Arial" w:eastAsia="Times New Roman" w:hAnsi="Arial" w:cs="Arial"/>
      <w:sz w:val="20"/>
      <w:lang w:eastAsia="en-AU"/>
    </w:rPr>
  </w:style>
  <w:style w:type="paragraph" w:customStyle="1" w:styleId="Tabletext">
    <w:name w:val="Tabletext"/>
    <w:aliases w:val="tt"/>
    <w:basedOn w:val="Normal"/>
    <w:uiPriority w:val="1"/>
    <w:semiHidden/>
    <w:rsid w:val="0045692F"/>
    <w:pPr>
      <w:spacing w:before="60" w:after="0" w:line="240" w:lineRule="atLeast"/>
    </w:pPr>
    <w:rPr>
      <w:rFonts w:ascii="Times New Roman" w:eastAsia="Calibri" w:hAnsi="Times New Roman" w:cs="Times New Roman"/>
      <w:sz w:val="20"/>
      <w:szCs w:val="20"/>
      <w:lang w:eastAsia="en-AU"/>
    </w:rPr>
  </w:style>
  <w:style w:type="paragraph" w:styleId="TOC1">
    <w:name w:val="toc 1"/>
    <w:basedOn w:val="baseTOC"/>
    <w:next w:val="Normal"/>
    <w:uiPriority w:val="1"/>
    <w:rsid w:val="0045692F"/>
    <w:pPr>
      <w:spacing w:before="200"/>
    </w:pPr>
    <w:rPr>
      <w:b/>
      <w:sz w:val="36"/>
    </w:rPr>
  </w:style>
  <w:style w:type="paragraph" w:styleId="TOC2">
    <w:name w:val="toc 2"/>
    <w:basedOn w:val="baseTOC"/>
    <w:next w:val="Normal"/>
    <w:uiPriority w:val="1"/>
    <w:rsid w:val="0045692F"/>
    <w:pPr>
      <w:spacing w:before="120"/>
    </w:pPr>
    <w:rPr>
      <w:b/>
      <w:sz w:val="32"/>
      <w:lang w:eastAsia="en-US"/>
    </w:rPr>
  </w:style>
  <w:style w:type="paragraph" w:styleId="TOC3">
    <w:name w:val="toc 3"/>
    <w:basedOn w:val="baseTOC"/>
    <w:next w:val="Normal"/>
    <w:uiPriority w:val="1"/>
    <w:rsid w:val="0045692F"/>
    <w:pPr>
      <w:spacing w:before="80"/>
    </w:pPr>
    <w:rPr>
      <w:b/>
      <w:sz w:val="28"/>
      <w:lang w:eastAsia="en-US"/>
    </w:rPr>
  </w:style>
  <w:style w:type="paragraph" w:styleId="TOC4">
    <w:name w:val="toc 4"/>
    <w:basedOn w:val="baseTOC"/>
    <w:next w:val="Normal"/>
    <w:uiPriority w:val="1"/>
    <w:rsid w:val="0045692F"/>
    <w:rPr>
      <w:b/>
      <w:lang w:eastAsia="en-US"/>
    </w:rPr>
  </w:style>
  <w:style w:type="paragraph" w:styleId="TOC5">
    <w:name w:val="toc 5"/>
    <w:basedOn w:val="baseTOC"/>
    <w:next w:val="Normal"/>
    <w:uiPriority w:val="1"/>
    <w:rsid w:val="0045692F"/>
    <w:pPr>
      <w:tabs>
        <w:tab w:val="right" w:pos="1559"/>
      </w:tabs>
    </w:pPr>
    <w:rPr>
      <w:szCs w:val="19"/>
      <w:lang w:eastAsia="en-US"/>
    </w:rPr>
  </w:style>
  <w:style w:type="paragraph" w:styleId="TOC6">
    <w:name w:val="toc 6"/>
    <w:basedOn w:val="Normal"/>
    <w:next w:val="Normal"/>
    <w:uiPriority w:val="1"/>
    <w:rsid w:val="0045692F"/>
    <w:pPr>
      <w:spacing w:after="100" w:line="240" w:lineRule="auto"/>
      <w:ind w:left="1200"/>
    </w:pPr>
    <w:rPr>
      <w:rFonts w:ascii="Times New Roman" w:eastAsia="Times New Roman" w:hAnsi="Times New Roman" w:cs="Times New Roman"/>
      <w:sz w:val="24"/>
      <w:szCs w:val="24"/>
      <w:lang w:eastAsia="en-AU"/>
    </w:rPr>
  </w:style>
  <w:style w:type="paragraph" w:styleId="TOC7">
    <w:name w:val="toc 7"/>
    <w:basedOn w:val="Normal"/>
    <w:next w:val="Normal"/>
    <w:uiPriority w:val="1"/>
    <w:rsid w:val="0045692F"/>
    <w:pPr>
      <w:spacing w:after="100" w:line="240" w:lineRule="auto"/>
      <w:ind w:left="1440"/>
    </w:pPr>
    <w:rPr>
      <w:rFonts w:ascii="Times New Roman" w:eastAsia="Times New Roman" w:hAnsi="Times New Roman" w:cs="Times New Roman"/>
      <w:sz w:val="24"/>
      <w:szCs w:val="24"/>
      <w:lang w:eastAsia="en-AU"/>
    </w:rPr>
  </w:style>
  <w:style w:type="paragraph" w:styleId="TOC8">
    <w:name w:val="toc 8"/>
    <w:basedOn w:val="Normal"/>
    <w:next w:val="Normal"/>
    <w:uiPriority w:val="1"/>
    <w:rsid w:val="0045692F"/>
    <w:pPr>
      <w:spacing w:after="100" w:line="240" w:lineRule="auto"/>
      <w:ind w:left="1680"/>
    </w:pPr>
    <w:rPr>
      <w:rFonts w:ascii="Times New Roman" w:eastAsia="Times New Roman" w:hAnsi="Times New Roman" w:cs="Times New Roman"/>
      <w:sz w:val="24"/>
      <w:szCs w:val="24"/>
      <w:lang w:eastAsia="en-AU"/>
    </w:rPr>
  </w:style>
  <w:style w:type="paragraph" w:styleId="TOC9">
    <w:name w:val="toc 9"/>
    <w:basedOn w:val="Normal"/>
    <w:next w:val="Normal"/>
    <w:uiPriority w:val="1"/>
    <w:rsid w:val="0045692F"/>
    <w:pPr>
      <w:spacing w:after="100" w:line="240" w:lineRule="auto"/>
      <w:ind w:left="1920"/>
    </w:pPr>
    <w:rPr>
      <w:rFonts w:ascii="Times New Roman" w:eastAsia="Times New Roman" w:hAnsi="Times New Roman" w:cs="Times New Roman"/>
      <w:sz w:val="24"/>
      <w:szCs w:val="24"/>
      <w:lang w:eastAsia="en-AU"/>
    </w:rPr>
  </w:style>
  <w:style w:type="paragraph" w:customStyle="1" w:styleId="ttAuthorisingAct">
    <w:name w:val="tt_Authorising_Act"/>
    <w:basedOn w:val="Normal"/>
    <w:rsid w:val="0045692F"/>
    <w:pPr>
      <w:pBdr>
        <w:bottom w:val="single" w:sz="4" w:space="3" w:color="auto"/>
      </w:pBdr>
      <w:spacing w:before="480" w:after="0" w:line="240" w:lineRule="auto"/>
    </w:pPr>
    <w:rPr>
      <w:rFonts w:ascii="Arial" w:eastAsia="Times New Roman" w:hAnsi="Arial" w:cs="Arial"/>
      <w:i/>
      <w:sz w:val="28"/>
      <w:szCs w:val="28"/>
      <w:lang w:val="en-US" w:eastAsia="en-AU"/>
    </w:rPr>
  </w:style>
  <w:style w:type="paragraph" w:customStyle="1" w:styleId="ttContents">
    <w:name w:val="tt_Contents"/>
    <w:basedOn w:val="h2Part"/>
    <w:rsid w:val="0045692F"/>
    <w:pPr>
      <w:ind w:left="0" w:firstLine="0"/>
      <w:jc w:val="center"/>
    </w:pPr>
  </w:style>
  <w:style w:type="paragraph" w:customStyle="1" w:styleId="ttCrest">
    <w:name w:val="tt_Crest"/>
    <w:basedOn w:val="Normal"/>
    <w:rsid w:val="0045692F"/>
    <w:pPr>
      <w:spacing w:after="0" w:line="240" w:lineRule="auto"/>
    </w:pPr>
    <w:rPr>
      <w:rFonts w:ascii="Arial" w:eastAsia="Times New Roman" w:hAnsi="Arial" w:cs="Times New Roman"/>
      <w:sz w:val="24"/>
      <w:szCs w:val="24"/>
      <w:lang w:eastAsia="en-AU"/>
    </w:rPr>
  </w:style>
  <w:style w:type="paragraph" w:customStyle="1" w:styleId="ttDraftstrip">
    <w:name w:val="tt_Draft_strip"/>
    <w:basedOn w:val="Normal"/>
    <w:qFormat/>
    <w:rsid w:val="0045692F"/>
    <w:pPr>
      <w:shd w:val="clear" w:color="auto" w:fill="99CCFF"/>
      <w:tabs>
        <w:tab w:val="center" w:pos="4253"/>
        <w:tab w:val="right" w:pos="8505"/>
      </w:tabs>
      <w:spacing w:after="0" w:line="240" w:lineRule="auto"/>
    </w:pPr>
    <w:rPr>
      <w:rFonts w:ascii="Arial" w:eastAsia="Times New Roman" w:hAnsi="Arial" w:cs="Arial"/>
      <w:b/>
      <w:sz w:val="32"/>
      <w:szCs w:val="32"/>
      <w:lang w:eastAsia="en-AU"/>
    </w:rPr>
  </w:style>
  <w:style w:type="paragraph" w:customStyle="1" w:styleId="ttFooter">
    <w:name w:val="tt_Footer"/>
    <w:basedOn w:val="Normal"/>
    <w:rsid w:val="0045692F"/>
    <w:pPr>
      <w:tabs>
        <w:tab w:val="center" w:pos="4153"/>
        <w:tab w:val="right" w:pos="8363"/>
      </w:tabs>
      <w:spacing w:before="20" w:after="40" w:line="240" w:lineRule="auto"/>
      <w:jc w:val="center"/>
    </w:pPr>
    <w:rPr>
      <w:rFonts w:ascii="Arial" w:eastAsia="Times New Roman" w:hAnsi="Arial" w:cs="Times New Roman"/>
      <w:i/>
      <w:sz w:val="18"/>
      <w:szCs w:val="24"/>
      <w:lang w:eastAsia="en-AU"/>
    </w:rPr>
  </w:style>
  <w:style w:type="paragraph" w:customStyle="1" w:styleId="ttFooterdraft">
    <w:name w:val="tt_Footer_draft"/>
    <w:basedOn w:val="Normal"/>
    <w:rsid w:val="0045692F"/>
    <w:pPr>
      <w:tabs>
        <w:tab w:val="center" w:pos="4253"/>
        <w:tab w:val="right" w:pos="8505"/>
      </w:tabs>
      <w:spacing w:before="100" w:after="0" w:line="240" w:lineRule="auto"/>
      <w:jc w:val="both"/>
    </w:pPr>
    <w:rPr>
      <w:rFonts w:ascii="Arial" w:eastAsia="Times New Roman" w:hAnsi="Arial" w:cs="Times New Roman"/>
      <w:b/>
      <w:sz w:val="40"/>
      <w:szCs w:val="24"/>
      <w:lang w:eastAsia="en-AU"/>
    </w:rPr>
  </w:style>
  <w:style w:type="paragraph" w:customStyle="1" w:styleId="ttHeader">
    <w:name w:val="tt_Header"/>
    <w:basedOn w:val="Normal"/>
    <w:link w:val="ttHeaderCharChar"/>
    <w:rsid w:val="0045692F"/>
    <w:pPr>
      <w:pBdr>
        <w:bottom w:val="single" w:sz="4" w:space="1" w:color="auto"/>
      </w:pBdr>
      <w:tabs>
        <w:tab w:val="left" w:pos="1985"/>
      </w:tabs>
      <w:spacing w:after="0" w:line="240" w:lineRule="auto"/>
      <w:ind w:left="1985" w:hanging="1985"/>
    </w:pPr>
    <w:rPr>
      <w:rFonts w:ascii="Arial" w:eastAsia="Times New Roman" w:hAnsi="Arial" w:cs="Times New Roman"/>
      <w:b/>
      <w:noProof/>
      <w:sz w:val="24"/>
      <w:szCs w:val="24"/>
      <w:lang w:eastAsia="en-AU"/>
    </w:rPr>
  </w:style>
  <w:style w:type="character" w:customStyle="1" w:styleId="ttHeaderCharChar">
    <w:name w:val="tt_Header Char Char"/>
    <w:basedOn w:val="DefaultParagraphFont"/>
    <w:link w:val="ttHeader"/>
    <w:rsid w:val="0045692F"/>
    <w:rPr>
      <w:rFonts w:ascii="Arial" w:eastAsia="Times New Roman" w:hAnsi="Arial" w:cs="Times New Roman"/>
      <w:b/>
      <w:noProof/>
      <w:sz w:val="24"/>
      <w:szCs w:val="24"/>
      <w:lang w:eastAsia="en-AU"/>
    </w:rPr>
  </w:style>
  <w:style w:type="paragraph" w:customStyle="1" w:styleId="ttheaderDivref">
    <w:name w:val="tt_header_Div_ref"/>
    <w:basedOn w:val="ttHeader"/>
    <w:rsid w:val="0045692F"/>
    <w:rPr>
      <w:sz w:val="20"/>
    </w:rPr>
  </w:style>
  <w:style w:type="paragraph" w:customStyle="1" w:styleId="ttheaderpage1">
    <w:name w:val="tt_header_page_1"/>
    <w:basedOn w:val="Normal"/>
    <w:rsid w:val="0045692F"/>
    <w:pPr>
      <w:spacing w:after="0" w:line="240" w:lineRule="auto"/>
      <w:jc w:val="both"/>
    </w:pPr>
    <w:rPr>
      <w:rFonts w:ascii="Times New Roman" w:eastAsia="Times New Roman" w:hAnsi="Times New Roman" w:cs="Times New Roman"/>
      <w:sz w:val="24"/>
      <w:szCs w:val="24"/>
      <w:lang w:eastAsia="en-AU"/>
    </w:rPr>
  </w:style>
  <w:style w:type="paragraph" w:customStyle="1" w:styleId="ttheaderPartref">
    <w:name w:val="tt_header_Part_ref"/>
    <w:basedOn w:val="ttHeader"/>
    <w:rsid w:val="0045692F"/>
  </w:style>
  <w:style w:type="paragraph" w:customStyle="1" w:styleId="ttheaderSectionref">
    <w:name w:val="tt_header_Section_ref"/>
    <w:basedOn w:val="ttHeader"/>
    <w:link w:val="ttheaderSectionrefChar"/>
    <w:rsid w:val="0045692F"/>
  </w:style>
  <w:style w:type="character" w:customStyle="1" w:styleId="ttheaderSectionrefChar">
    <w:name w:val="tt_header_Section_ref Char"/>
    <w:basedOn w:val="ttHeaderCharChar"/>
    <w:link w:val="ttheaderSectionref"/>
    <w:rsid w:val="0045692F"/>
    <w:rPr>
      <w:rFonts w:ascii="Arial" w:eastAsia="Times New Roman" w:hAnsi="Arial" w:cs="Times New Roman"/>
      <w:b/>
      <w:noProof/>
      <w:sz w:val="24"/>
      <w:szCs w:val="24"/>
      <w:lang w:eastAsia="en-AU"/>
    </w:rPr>
  </w:style>
  <w:style w:type="paragraph" w:customStyle="1" w:styleId="ttMakingWords">
    <w:name w:val="tt_Making_Words"/>
    <w:basedOn w:val="Normal"/>
    <w:qFormat/>
    <w:rsid w:val="0045692F"/>
    <w:pPr>
      <w:spacing w:before="360" w:after="0" w:line="240" w:lineRule="auto"/>
      <w:jc w:val="both"/>
    </w:pPr>
    <w:rPr>
      <w:rFonts w:ascii="Times New Roman" w:eastAsia="Times New Roman" w:hAnsi="Times New Roman" w:cs="Times New Roman"/>
      <w:sz w:val="24"/>
      <w:szCs w:val="24"/>
      <w:lang w:eastAsia="en-AU"/>
    </w:rPr>
  </w:style>
  <w:style w:type="paragraph" w:customStyle="1" w:styleId="ttParaMark">
    <w:name w:val="tt_Para_Mark"/>
    <w:basedOn w:val="Normal"/>
    <w:next w:val="sbFirstSection"/>
    <w:qFormat/>
    <w:rsid w:val="0045692F"/>
    <w:pPr>
      <w:spacing w:after="0" w:line="240" w:lineRule="auto"/>
    </w:pPr>
    <w:rPr>
      <w:rFonts w:ascii="Times New Roman" w:eastAsia="Times New Roman" w:hAnsi="Times New Roman" w:cs="Times New Roman"/>
      <w:sz w:val="16"/>
      <w:szCs w:val="24"/>
      <w:lang w:eastAsia="en-AU"/>
    </w:rPr>
  </w:style>
  <w:style w:type="paragraph" w:customStyle="1" w:styleId="ttSigDate">
    <w:name w:val="tt_Sig_Date"/>
    <w:basedOn w:val="Normal"/>
    <w:qFormat/>
    <w:rsid w:val="0045692F"/>
    <w:pPr>
      <w:tabs>
        <w:tab w:val="left" w:pos="2220"/>
      </w:tabs>
      <w:spacing w:before="300" w:after="1000" w:line="300" w:lineRule="atLeast"/>
    </w:pPr>
    <w:rPr>
      <w:rFonts w:ascii="Times New Roman" w:eastAsia="Times New Roman" w:hAnsi="Times New Roman" w:cs="Times New Roman"/>
      <w:sz w:val="24"/>
      <w:szCs w:val="24"/>
      <w:lang w:eastAsia="en-AU"/>
    </w:rPr>
  </w:style>
  <w:style w:type="paragraph" w:customStyle="1" w:styleId="ttSigName">
    <w:name w:val="tt_Sig_Name"/>
    <w:basedOn w:val="Normal"/>
    <w:qFormat/>
    <w:rsid w:val="0045692F"/>
    <w:pPr>
      <w:tabs>
        <w:tab w:val="left" w:pos="3969"/>
      </w:tabs>
      <w:spacing w:before="1000" w:after="120" w:line="240" w:lineRule="auto"/>
    </w:pPr>
    <w:rPr>
      <w:rFonts w:ascii="Times New Roman" w:eastAsia="Times New Roman" w:hAnsi="Times New Roman" w:cs="Times New Roman"/>
      <w:sz w:val="24"/>
      <w:szCs w:val="24"/>
      <w:lang w:eastAsia="en-AU"/>
    </w:rPr>
  </w:style>
  <w:style w:type="paragraph" w:customStyle="1" w:styleId="ttSigPosition">
    <w:name w:val="tt_Sig_Position"/>
    <w:basedOn w:val="Normal"/>
    <w:link w:val="ttSigPositionChar"/>
    <w:rsid w:val="0045692F"/>
    <w:pPr>
      <w:pBdr>
        <w:bottom w:val="single" w:sz="4" w:space="12" w:color="auto"/>
      </w:pBdr>
      <w:tabs>
        <w:tab w:val="left" w:pos="3119"/>
      </w:tabs>
      <w:spacing w:after="240" w:line="300" w:lineRule="atLeast"/>
    </w:pPr>
    <w:rPr>
      <w:rFonts w:ascii="Times New Roman" w:eastAsia="Times New Roman" w:hAnsi="Times New Roman" w:cs="Times New Roman"/>
      <w:sz w:val="24"/>
      <w:szCs w:val="24"/>
      <w:lang w:eastAsia="en-AU"/>
    </w:rPr>
  </w:style>
  <w:style w:type="character" w:customStyle="1" w:styleId="ttSigPositionChar">
    <w:name w:val="tt_Sig_Position Char"/>
    <w:basedOn w:val="DefaultParagraphFont"/>
    <w:link w:val="ttSigPosition"/>
    <w:rsid w:val="0045692F"/>
    <w:rPr>
      <w:rFonts w:ascii="Times New Roman" w:eastAsia="Times New Roman" w:hAnsi="Times New Roman" w:cs="Times New Roman"/>
      <w:sz w:val="24"/>
      <w:szCs w:val="24"/>
      <w:lang w:eastAsia="en-AU"/>
    </w:rPr>
  </w:style>
  <w:style w:type="paragraph" w:customStyle="1" w:styleId="ttTitleofInstrument">
    <w:name w:val="tt_Title_of_Instrument"/>
    <w:basedOn w:val="Normal"/>
    <w:rsid w:val="0045692F"/>
    <w:pPr>
      <w:spacing w:before="200" w:after="0" w:line="240" w:lineRule="auto"/>
    </w:pPr>
    <w:rPr>
      <w:rFonts w:ascii="Arial" w:eastAsia="Times New Roman" w:hAnsi="Arial" w:cs="Times New Roman"/>
      <w:b/>
      <w:sz w:val="32"/>
      <w:szCs w:val="24"/>
      <w:lang w:eastAsia="en-AU"/>
    </w:rPr>
  </w:style>
  <w:style w:type="paragraph" w:customStyle="1" w:styleId="ttExplainTemplate">
    <w:name w:val="tt_Explain_Template"/>
    <w:basedOn w:val="nDrafterComment"/>
    <w:qFormat/>
    <w:rsid w:val="0045692F"/>
  </w:style>
  <w:style w:type="paragraph" w:styleId="BalloonText">
    <w:name w:val="Balloon Text"/>
    <w:basedOn w:val="Normal"/>
    <w:link w:val="BalloonTextChar"/>
    <w:uiPriority w:val="99"/>
    <w:semiHidden/>
    <w:unhideWhenUsed/>
    <w:rsid w:val="0045692F"/>
    <w:pPr>
      <w:spacing w:after="0" w:line="240" w:lineRule="auto"/>
    </w:pPr>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45692F"/>
    <w:rPr>
      <w:rFonts w:ascii="Segoe UI" w:eastAsia="Times New Roman" w:hAnsi="Segoe UI" w:cs="Segoe UI"/>
      <w:sz w:val="18"/>
      <w:szCs w:val="18"/>
      <w:lang w:eastAsia="en-AU"/>
    </w:rPr>
  </w:style>
  <w:style w:type="paragraph" w:styleId="NoSpacing">
    <w:name w:val="No Spacing"/>
    <w:uiPriority w:val="98"/>
    <w:rsid w:val="0045692F"/>
    <w:pPr>
      <w:spacing w:after="0"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59"/>
    <w:rsid w:val="0045692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92F"/>
    <w:rPr>
      <w:color w:val="0563C1"/>
      <w:u w:val="single"/>
    </w:rPr>
  </w:style>
  <w:style w:type="character" w:styleId="FollowedHyperlink">
    <w:name w:val="FollowedHyperlink"/>
    <w:basedOn w:val="DefaultParagraphFont"/>
    <w:uiPriority w:val="99"/>
    <w:semiHidden/>
    <w:unhideWhenUsed/>
    <w:rsid w:val="0045692F"/>
    <w:rPr>
      <w:color w:val="954F72"/>
      <w:u w:val="single"/>
    </w:rPr>
  </w:style>
  <w:style w:type="paragraph" w:customStyle="1" w:styleId="msonormal0">
    <w:name w:val="msonormal"/>
    <w:basedOn w:val="Normal"/>
    <w:rsid w:val="004569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4">
    <w:name w:val="xl64"/>
    <w:basedOn w:val="Normal"/>
    <w:rsid w:val="0045692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5">
    <w:name w:val="xl65"/>
    <w:basedOn w:val="Normal"/>
    <w:rsid w:val="004569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5692F"/>
    <w:rPr>
      <w:sz w:val="16"/>
      <w:szCs w:val="16"/>
    </w:rPr>
  </w:style>
  <w:style w:type="paragraph" w:styleId="CommentText">
    <w:name w:val="annotation text"/>
    <w:basedOn w:val="Normal"/>
    <w:link w:val="CommentTextChar"/>
    <w:uiPriority w:val="99"/>
    <w:unhideWhenUsed/>
    <w:rsid w:val="0045692F"/>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45692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5692F"/>
    <w:rPr>
      <w:b/>
      <w:bCs/>
    </w:rPr>
  </w:style>
  <w:style w:type="character" w:customStyle="1" w:styleId="CommentSubjectChar">
    <w:name w:val="Comment Subject Char"/>
    <w:basedOn w:val="CommentTextChar"/>
    <w:link w:val="CommentSubject"/>
    <w:uiPriority w:val="99"/>
    <w:semiHidden/>
    <w:rsid w:val="0045692F"/>
    <w:rPr>
      <w:rFonts w:ascii="Times New Roman" w:eastAsia="Times New Roman" w:hAnsi="Times New Roman" w:cs="Times New Roman"/>
      <w:b/>
      <w:bCs/>
      <w:sz w:val="20"/>
      <w:szCs w:val="20"/>
      <w:lang w:eastAsia="en-AU"/>
    </w:rPr>
  </w:style>
  <w:style w:type="paragraph" w:styleId="Revision">
    <w:name w:val="Revision"/>
    <w:hidden/>
    <w:uiPriority w:val="99"/>
    <w:semiHidden/>
    <w:rsid w:val="0045692F"/>
    <w:pPr>
      <w:spacing w:after="0" w:line="240" w:lineRule="auto"/>
    </w:pPr>
    <w:rPr>
      <w:rFonts w:ascii="Times New Roman" w:eastAsia="Times New Roman" w:hAnsi="Times New Roman" w:cs="Times New Roman"/>
      <w:sz w:val="24"/>
      <w:szCs w:val="24"/>
      <w:lang w:eastAsia="en-AU"/>
    </w:rPr>
  </w:style>
  <w:style w:type="numbering" w:customStyle="1" w:styleId="NoList11">
    <w:name w:val="No List11"/>
    <w:next w:val="NoList"/>
    <w:uiPriority w:val="99"/>
    <w:semiHidden/>
    <w:unhideWhenUsed/>
    <w:rsid w:val="0045692F"/>
  </w:style>
  <w:style w:type="paragraph" w:customStyle="1" w:styleId="xl63">
    <w:name w:val="xl63"/>
    <w:basedOn w:val="Normal"/>
    <w:rsid w:val="0045692F"/>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xl66">
    <w:name w:val="xl66"/>
    <w:basedOn w:val="Normal"/>
    <w:rsid w:val="0045692F"/>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AU"/>
    </w:rPr>
  </w:style>
  <w:style w:type="paragraph" w:customStyle="1" w:styleId="ListParagraph1">
    <w:name w:val="List Paragraph1"/>
    <w:basedOn w:val="Normal"/>
    <w:next w:val="ListParagraph"/>
    <w:uiPriority w:val="34"/>
    <w:qFormat/>
    <w:rsid w:val="0045692F"/>
    <w:pPr>
      <w:spacing w:after="0" w:line="240" w:lineRule="auto"/>
      <w:ind w:left="720"/>
      <w:contextualSpacing/>
    </w:pPr>
    <w:rPr>
      <w:rFonts w:ascii="Calibri" w:eastAsia="Times New Roman" w:hAnsi="Calibri" w:cs="Calibri"/>
      <w:color w:val="000000"/>
      <w:sz w:val="18"/>
      <w:szCs w:val="18"/>
      <w:lang w:eastAsia="en-AU"/>
    </w:rPr>
  </w:style>
  <w:style w:type="paragraph" w:customStyle="1" w:styleId="NormalText">
    <w:name w:val="Normal Text"/>
    <w:basedOn w:val="Normal"/>
    <w:link w:val="NormalTextChar"/>
    <w:qFormat/>
    <w:rsid w:val="0045692F"/>
    <w:pPr>
      <w:suppressAutoHyphens/>
      <w:spacing w:before="240" w:after="240" w:line="280" w:lineRule="exact"/>
    </w:pPr>
    <w:rPr>
      <w:rFonts w:ascii="Arial" w:eastAsia="Times New Roman" w:hAnsi="Arial" w:cs="Arial"/>
      <w:kern w:val="20"/>
      <w:sz w:val="19"/>
      <w:szCs w:val="24"/>
      <w:u w:color="000000"/>
    </w:rPr>
  </w:style>
  <w:style w:type="character" w:customStyle="1" w:styleId="NormalTextChar">
    <w:name w:val="Normal Text Char"/>
    <w:basedOn w:val="DefaultParagraphFont"/>
    <w:link w:val="NormalText"/>
    <w:rsid w:val="0045692F"/>
    <w:rPr>
      <w:rFonts w:ascii="Arial" w:eastAsia="Times New Roman" w:hAnsi="Arial" w:cs="Arial"/>
      <w:kern w:val="20"/>
      <w:sz w:val="19"/>
      <w:szCs w:val="24"/>
      <w:u w:color="000000"/>
    </w:rPr>
  </w:style>
  <w:style w:type="character" w:styleId="Emphasis">
    <w:name w:val="Emphasis"/>
    <w:basedOn w:val="DefaultParagraphFont"/>
    <w:uiPriority w:val="20"/>
    <w:qFormat/>
    <w:rsid w:val="0045692F"/>
    <w:rPr>
      <w:i/>
      <w:iCs/>
    </w:rPr>
  </w:style>
  <w:style w:type="paragraph" w:customStyle="1" w:styleId="Default">
    <w:name w:val="Default"/>
    <w:rsid w:val="0045692F"/>
    <w:pPr>
      <w:autoSpaceDE w:val="0"/>
      <w:autoSpaceDN w:val="0"/>
      <w:adjustRightInd w:val="0"/>
      <w:spacing w:after="0" w:line="240" w:lineRule="auto"/>
    </w:pPr>
    <w:rPr>
      <w:rFonts w:ascii="Arial" w:eastAsia="Calibri" w:hAnsi="Arial" w:cs="Arial"/>
      <w:color w:val="000000"/>
      <w:sz w:val="24"/>
      <w:szCs w:val="24"/>
    </w:rPr>
  </w:style>
  <w:style w:type="table" w:customStyle="1" w:styleId="TableGrid1">
    <w:name w:val="Table Grid1"/>
    <w:basedOn w:val="TableNormal"/>
    <w:next w:val="TableGrid"/>
    <w:uiPriority w:val="39"/>
    <w:rsid w:val="00456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8"/>
    <w:rsid w:val="0045692F"/>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45692F"/>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45692F"/>
    <w:pPr>
      <w:keepNext/>
      <w:pBdr>
        <w:bottom w:val="single" w:sz="4" w:space="12" w:color="auto"/>
      </w:pBdr>
      <w:tabs>
        <w:tab w:val="left" w:pos="3402"/>
      </w:tabs>
      <w:spacing w:after="0" w:line="300" w:lineRule="atLeast"/>
      <w:ind w:right="397"/>
    </w:pPr>
    <w:rPr>
      <w:rFonts w:ascii="Times New Roman" w:eastAsia="Times New Roman" w:hAnsi="Times New Roman" w:cs="Times New Roman"/>
      <w:sz w:val="24"/>
      <w:szCs w:val="20"/>
      <w:lang w:eastAsia="en-AU"/>
    </w:rPr>
  </w:style>
  <w:style w:type="paragraph" w:customStyle="1" w:styleId="SignCoverPageStart">
    <w:name w:val="SignCoverPageStart"/>
    <w:basedOn w:val="Normal"/>
    <w:next w:val="Normal"/>
    <w:rsid w:val="0045692F"/>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character" w:customStyle="1" w:styleId="Heading6Char1">
    <w:name w:val="Heading 6 Char1"/>
    <w:basedOn w:val="DefaultParagraphFont"/>
    <w:uiPriority w:val="9"/>
    <w:semiHidden/>
    <w:rsid w:val="0045692F"/>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45692F"/>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45692F"/>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semiHidden/>
    <w:unhideWhenUsed/>
    <w:rsid w:val="0041349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95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32380">
      <w:bodyDiv w:val="1"/>
      <w:marLeft w:val="0"/>
      <w:marRight w:val="0"/>
      <w:marTop w:val="0"/>
      <w:marBottom w:val="0"/>
      <w:divBdr>
        <w:top w:val="none" w:sz="0" w:space="0" w:color="auto"/>
        <w:left w:val="none" w:sz="0" w:space="0" w:color="auto"/>
        <w:bottom w:val="none" w:sz="0" w:space="0" w:color="auto"/>
        <w:right w:val="none" w:sz="0" w:space="0" w:color="auto"/>
      </w:divBdr>
    </w:div>
    <w:div w:id="10613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4.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5.xml" Id="rId14" /><Relationship Type="http://schemas.openxmlformats.org/officeDocument/2006/relationships/customXml" Target="/customXML/item3.xml" Id="Rbebca2fe4e3b44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A2800770</value>
    </field>
    <field name="Objective-Title">
      <value order="0">Agricultural and Veterinary Chemicals Code (Allowable Variation in Concentrations of Constituents in Agricultural Chemical Products) Standard 2022 2022-08-11 final</value>
    </field>
    <field name="Objective-Description">
      <value order="0"/>
    </field>
    <field name="Objective-CreationStamp">
      <value order="0">2022-08-11T01:51:17Z</value>
    </field>
    <field name="Objective-IsApproved">
      <value order="0">false</value>
    </field>
    <field name="Objective-IsPublished">
      <value order="0">false</value>
    </field>
    <field name="Objective-DatePublished">
      <value order="0"/>
    </field>
    <field name="Objective-ModificationStamp">
      <value order="0">2022-08-11T01:53:26Z</value>
    </field>
    <field name="Objective-Owner">
      <value order="0">Sam Margerison</value>
    </field>
    <field name="Objective-Path">
      <value order="0">APVMA:COLLABORATION:Collaboration - Risk Assessment Capability:Chemistry:allowable variations in ag product constituent concentrations standard</value>
    </field>
    <field name="Objective-Parent">
      <value order="0">allowable variations in ag product constituent concentrations standard</value>
    </field>
    <field name="Objective-State">
      <value order="0">Being Drafted</value>
    </field>
    <field name="Objective-VersionId">
      <value order="0">vA4134147</value>
    </field>
    <field name="Objective-Version">
      <value order="0">0.2</value>
    </field>
    <field name="Objective-VersionNumber">
      <value order="0">2</value>
    </field>
    <field name="Objective-VersionComment">
      <value order="0">Version 2</value>
    </field>
    <field name="Objective-FileNumber">
      <value order="0">2015\1706</value>
    </field>
    <field name="Objective-Classification">
      <value order="0">OFFICIAL:Sensitive</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5A1E7-FD1D-48F4-98E9-4AEC4AA4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Karina</dc:creator>
  <cp:keywords/>
  <dc:description/>
  <cp:lastModifiedBy>MARGERISON, Samuel</cp:lastModifiedBy>
  <cp:revision>3</cp:revision>
  <cp:lastPrinted>2022-08-08T03:31:00Z</cp:lastPrinted>
  <dcterms:created xsi:type="dcterms:W3CDTF">2022-08-11T01:51:00Z</dcterms:created>
  <dcterms:modified xsi:type="dcterms:W3CDTF">2022-08-11T01:51:00Z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A2800770</vt:lpwstr>
  </property>
  <property fmtid="{D5CDD505-2E9C-101B-9397-08002B2CF9AE}" pid="4" name="Objective-Title">
    <vt:lpwstr>Agricultural and Veterinary Chemicals Code (Allowable Variation in Concentrations of Constituents in Agricultural Chemical Products) Standard 2022 2022-08-11 final</vt:lpwstr>
  </property>
  <property fmtid="{D5CDD505-2E9C-101B-9397-08002B2CF9AE}" pid="5" name="Objective-Description">
    <vt:lpwstr/>
  </property>
  <property fmtid="{D5CDD505-2E9C-101B-9397-08002B2CF9AE}" pid="6" name="Objective-CreationStamp">
    <vt:filetime>2022-08-11T01:51:26Z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2022-08-11T01:53:26Z</vt:filetime>
  </property>
  <property fmtid="{D5CDD505-2E9C-101B-9397-08002B2CF9AE}" pid="11" name="Objective-Owner">
    <vt:lpwstr>Sam Margerison</vt:lpwstr>
  </property>
  <property fmtid="{D5CDD505-2E9C-101B-9397-08002B2CF9AE}" pid="12" name="Objective-Path">
    <vt:lpwstr>APVMA:COLLABORATION:Collaboration - Risk Assessment Capability:Chemistry:allowable variations in ag product constituent concentrations standard:</vt:lpwstr>
  </property>
  <property fmtid="{D5CDD505-2E9C-101B-9397-08002B2CF9AE}" pid="13" name="Objective-Parent">
    <vt:lpwstr>allowable variations in ag product constituent concentrations standard</vt:lpwstr>
  </property>
  <property fmtid="{D5CDD505-2E9C-101B-9397-08002B2CF9AE}" pid="14" name="Objective-State">
    <vt:lpwstr>Being Drafted</vt:lpwstr>
  </property>
  <property fmtid="{D5CDD505-2E9C-101B-9397-08002B2CF9AE}" pid="15" name="Objective-VersionId">
    <vt:lpwstr>vA4134147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