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7AB4" w14:textId="1404B73D" w:rsidR="004D51FA" w:rsidRPr="001A0522" w:rsidRDefault="004D51FA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2</w:t>
      </w:r>
      <w:r w:rsidRPr="001A0522">
        <w:rPr>
          <w:rFonts w:ascii="Times New Roman" w:hAnsi="Times New Roman"/>
          <w:sz w:val="24"/>
          <w:szCs w:val="24"/>
        </w:rPr>
        <w:t xml:space="preserve"> of 202</w:t>
      </w:r>
      <w:r w:rsidR="00103911" w:rsidRPr="001A0522">
        <w:rPr>
          <w:rFonts w:ascii="Times New Roman" w:hAnsi="Times New Roman"/>
          <w:sz w:val="24"/>
          <w:szCs w:val="24"/>
        </w:rPr>
        <w:t>2</w:t>
      </w:r>
    </w:p>
    <w:p w14:paraId="7A8F3E93" w14:textId="13F662C0" w:rsidR="001439B6" w:rsidRPr="001A0522" w:rsidRDefault="001439B6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5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05F52494" w14:textId="6E370D14" w:rsidR="001439B6" w:rsidRPr="001A0522" w:rsidRDefault="001439B6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Life 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5684F0E4" w14:textId="50FDB459" w:rsidR="001439B6" w:rsidRPr="002C6D26" w:rsidRDefault="001439B6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Health 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070AD857" w14:textId="77777777" w:rsidR="002436BD" w:rsidRPr="002C6D26" w:rsidRDefault="002436BD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bkInstrumentSubTitle"/>
      <w:bookmarkEnd w:id="0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14:paraId="461A28DE" w14:textId="77777777" w:rsidR="002436BD" w:rsidRPr="002C6D26" w:rsidRDefault="002436BD" w:rsidP="00DF7DA0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14:paraId="749EAD61" w14:textId="77777777" w:rsidR="002436BD" w:rsidRDefault="002436BD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2C6D26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Pr="002C6D26">
        <w:rPr>
          <w:rFonts w:ascii="Times New Roman" w:hAnsi="Times New Roman"/>
          <w:b w:val="0"/>
          <w:color w:val="000000"/>
          <w:sz w:val="24"/>
          <w:szCs w:val="24"/>
        </w:rPr>
        <w:t>section 11AF</w:t>
      </w:r>
    </w:p>
    <w:p w14:paraId="37C1635F" w14:textId="62C14BC3" w:rsidR="003B385B" w:rsidRDefault="003B385B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B385B">
        <w:rPr>
          <w:rFonts w:ascii="Times New Roman" w:hAnsi="Times New Roman"/>
          <w:b w:val="0"/>
          <w:i/>
          <w:color w:val="000000"/>
          <w:sz w:val="24"/>
          <w:szCs w:val="24"/>
        </w:rPr>
        <w:t>Insurance Act 1973</w:t>
      </w:r>
      <w:r>
        <w:rPr>
          <w:rFonts w:ascii="Times New Roman" w:hAnsi="Times New Roman"/>
          <w:b w:val="0"/>
          <w:color w:val="000000"/>
          <w:sz w:val="24"/>
          <w:szCs w:val="24"/>
        </w:rPr>
        <w:t>, section 32</w:t>
      </w:r>
    </w:p>
    <w:p w14:paraId="110E0ACE" w14:textId="6EED2776" w:rsidR="003B385B" w:rsidRDefault="003B385B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3B385B">
        <w:rPr>
          <w:rFonts w:ascii="Times New Roman" w:hAnsi="Times New Roman"/>
          <w:b w:val="0"/>
          <w:i/>
          <w:color w:val="000000"/>
          <w:sz w:val="24"/>
          <w:szCs w:val="24"/>
        </w:rPr>
        <w:t>Life Insurance Act 1995</w:t>
      </w:r>
      <w:r>
        <w:rPr>
          <w:rFonts w:ascii="Times New Roman" w:hAnsi="Times New Roman"/>
          <w:b w:val="0"/>
          <w:color w:val="000000"/>
          <w:sz w:val="24"/>
          <w:szCs w:val="24"/>
        </w:rPr>
        <w:t>, section 230A</w:t>
      </w:r>
    </w:p>
    <w:p w14:paraId="2C846A42" w14:textId="05A306C7" w:rsidR="003B385B" w:rsidRPr="00E04428" w:rsidRDefault="00E04428" w:rsidP="00DF7DA0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Private Health Insurance (Prudential Supervision) Act 2015, </w:t>
      </w:r>
      <w:r>
        <w:rPr>
          <w:rFonts w:ascii="Times New Roman" w:hAnsi="Times New Roman"/>
          <w:b w:val="0"/>
          <w:color w:val="000000"/>
          <w:sz w:val="24"/>
          <w:szCs w:val="24"/>
        </w:rPr>
        <w:t>section 92</w:t>
      </w:r>
    </w:p>
    <w:p w14:paraId="7E60D848" w14:textId="1234E809" w:rsidR="00C30E88" w:rsidRDefault="00C30E88" w:rsidP="00DF7DA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1" w:name="bkAct"/>
      <w:bookmarkStart w:id="2" w:name="bkExplanatory"/>
      <w:bookmarkEnd w:id="1"/>
      <w:bookmarkEnd w:id="2"/>
      <w:r>
        <w:rPr>
          <w:rFonts w:ascii="Times New Roman" w:hAnsi="Times New Roman"/>
          <w:sz w:val="24"/>
          <w:szCs w:val="24"/>
        </w:rPr>
        <w:t>APRA may, in writing, vary or revoke a prudential standard that applies to an APRA-regulated institution under:</w:t>
      </w:r>
    </w:p>
    <w:p w14:paraId="3138B267" w14:textId="61C29B64" w:rsidR="00C30E88" w:rsidRPr="003E4D3A" w:rsidRDefault="003E4D3A" w:rsidP="007624D6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subsections 11</w:t>
      </w:r>
      <w:proofErr w:type="gramStart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AF(</w:t>
      </w:r>
      <w:proofErr w:type="gramEnd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and (3) of the </w:t>
      </w:r>
      <w:r w:rsidRPr="003E4D3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Banking Act 1959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(Banking Act), </w:t>
      </w:r>
      <w:r w:rsidR="005231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applies to all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authorised deposit-taking institutions (ADIs) and authorised </w:t>
      </w:r>
      <w:bookmarkStart w:id="3" w:name="_Hlk109915302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non-operating holding companies (authorised banking NOHCs)</w:t>
      </w:r>
      <w:bookmarkEnd w:id="3"/>
      <w:r w:rsidR="00C30E88" w:rsidRPr="003E4D3A">
        <w:rPr>
          <w:rFonts w:ascii="Times New Roman" w:hAnsi="Times New Roman"/>
          <w:sz w:val="24"/>
          <w:szCs w:val="24"/>
        </w:rPr>
        <w:t>;</w:t>
      </w:r>
    </w:p>
    <w:p w14:paraId="6720DD87" w14:textId="2DD79EA0" w:rsidR="00C30E88" w:rsidRPr="003E4D3A" w:rsidRDefault="003E4D3A" w:rsidP="007624D6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subsections 32(1) and (4) of the </w:t>
      </w:r>
      <w:r w:rsidRPr="003E4D3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Insurance Act 1973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(Insurance Act), </w:t>
      </w:r>
      <w:r w:rsidR="00F71E2F" w:rsidRPr="00F71E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applies to all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general insurers, authorised non-operating holding companies (authorised insurance NOHCs) and subsidiaries of general insurers and authorised insurance </w:t>
      </w:r>
      <w:proofErr w:type="gramStart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NOHCs</w:t>
      </w:r>
      <w:r w:rsidR="00C30E88" w:rsidRPr="003E4D3A">
        <w:rPr>
          <w:rFonts w:ascii="Times New Roman" w:hAnsi="Times New Roman"/>
          <w:sz w:val="24"/>
          <w:szCs w:val="24"/>
        </w:rPr>
        <w:t>;</w:t>
      </w:r>
      <w:proofErr w:type="gramEnd"/>
    </w:p>
    <w:p w14:paraId="72DF6226" w14:textId="43ED2343" w:rsidR="00C30E88" w:rsidRPr="00711543" w:rsidRDefault="003E4D3A" w:rsidP="00F44A09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subsections 230</w:t>
      </w:r>
      <w:proofErr w:type="gramStart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A(</w:t>
      </w:r>
      <w:proofErr w:type="gramEnd"/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and (5) of the </w:t>
      </w:r>
      <w:r w:rsidRPr="003E4D3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Life Insurance Act 1995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(Life Insurance Act), </w:t>
      </w:r>
      <w:r w:rsidR="00F44A09" w:rsidRPr="00711543">
        <w:rPr>
          <w:rFonts w:ascii="Times New Roman" w:hAnsi="Times New Roman"/>
          <w:sz w:val="24"/>
          <w:szCs w:val="24"/>
        </w:rPr>
        <w:t xml:space="preserve">which applies to all life companies, including friendly societies, and </w:t>
      </w:r>
      <w:bookmarkStart w:id="4" w:name="_Hlk109914669"/>
      <w:r w:rsidR="00033472"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non-operating holding companies </w:t>
      </w:r>
      <w:bookmarkEnd w:id="4"/>
      <w:r w:rsidR="00033472"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(registered life NOHCs)</w:t>
      </w:r>
      <w:r w:rsidR="000334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24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</w:t>
      </w:r>
      <w:r w:rsidR="00F44A09" w:rsidRPr="00711543">
        <w:rPr>
          <w:rFonts w:ascii="Times New Roman" w:hAnsi="Times New Roman"/>
          <w:sz w:val="24"/>
          <w:szCs w:val="24"/>
        </w:rPr>
        <w:t xml:space="preserve"> subsidiaries of life companies or registered </w:t>
      </w:r>
      <w:r w:rsidR="00033472">
        <w:rPr>
          <w:rFonts w:ascii="Times New Roman" w:hAnsi="Times New Roman"/>
          <w:sz w:val="24"/>
          <w:szCs w:val="24"/>
        </w:rPr>
        <w:t xml:space="preserve">life </w:t>
      </w:r>
      <w:r w:rsidR="00F44A09" w:rsidRPr="00711543">
        <w:rPr>
          <w:rFonts w:ascii="Times New Roman" w:hAnsi="Times New Roman"/>
          <w:sz w:val="24"/>
          <w:szCs w:val="24"/>
        </w:rPr>
        <w:t>NOHCs</w:t>
      </w:r>
      <w:r w:rsidR="00C30E88" w:rsidRPr="00711543">
        <w:rPr>
          <w:rFonts w:ascii="Times New Roman" w:hAnsi="Times New Roman"/>
          <w:sz w:val="24"/>
          <w:szCs w:val="24"/>
        </w:rPr>
        <w:t>; and</w:t>
      </w:r>
    </w:p>
    <w:p w14:paraId="7EC55166" w14:textId="438D8232" w:rsidR="00C30E88" w:rsidRPr="003E4D3A" w:rsidRDefault="003E4D3A" w:rsidP="007624D6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subsections 92(1) and (5) of the </w:t>
      </w:r>
      <w:r w:rsidRPr="003E4D3A">
        <w:rPr>
          <w:rFonts w:ascii="Times New Roman" w:hAnsi="Times New Roman"/>
          <w:i/>
          <w:iCs/>
          <w:color w:val="000000"/>
          <w:sz w:val="24"/>
          <w:szCs w:val="24"/>
        </w:rPr>
        <w:t>Private Health Insurance (Prudential Supervision) Act 2015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(PHIPS Act), </w:t>
      </w:r>
      <w:r w:rsidR="004612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applies to all</w:t>
      </w:r>
      <w:r w:rsidRPr="003E4D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registered private health insurers</w:t>
      </w:r>
      <w:r w:rsidR="00C30E88" w:rsidRPr="003E4D3A">
        <w:rPr>
          <w:rFonts w:ascii="Times New Roman" w:hAnsi="Times New Roman"/>
          <w:sz w:val="24"/>
          <w:szCs w:val="24"/>
        </w:rPr>
        <w:t>.</w:t>
      </w:r>
    </w:p>
    <w:p w14:paraId="4A6DA61B" w14:textId="724F107C" w:rsidR="00A6296B" w:rsidRDefault="002436BD" w:rsidP="006D0EF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EE2C47">
        <w:rPr>
          <w:rFonts w:ascii="Times New Roman" w:hAnsi="Times New Roman"/>
          <w:sz w:val="24"/>
          <w:szCs w:val="24"/>
        </w:rPr>
        <w:t xml:space="preserve">On </w:t>
      </w:r>
      <w:r w:rsidR="0025526F" w:rsidRPr="0025526F">
        <w:rPr>
          <w:rFonts w:ascii="Times New Roman" w:hAnsi="Times New Roman"/>
          <w:sz w:val="24"/>
          <w:szCs w:val="24"/>
        </w:rPr>
        <w:t>12</w:t>
      </w:r>
      <w:r w:rsidR="00B46CAC" w:rsidRPr="0025526F">
        <w:rPr>
          <w:rFonts w:ascii="Times New Roman" w:hAnsi="Times New Roman"/>
          <w:sz w:val="24"/>
          <w:szCs w:val="24"/>
        </w:rPr>
        <w:t xml:space="preserve"> </w:t>
      </w:r>
      <w:r w:rsidR="0025526F">
        <w:rPr>
          <w:rFonts w:ascii="Times New Roman" w:hAnsi="Times New Roman"/>
          <w:sz w:val="24"/>
          <w:szCs w:val="24"/>
        </w:rPr>
        <w:t>August</w:t>
      </w:r>
      <w:r w:rsidR="00556C43" w:rsidRPr="00EE2C47">
        <w:rPr>
          <w:rFonts w:ascii="Times New Roman" w:hAnsi="Times New Roman"/>
          <w:sz w:val="24"/>
          <w:szCs w:val="24"/>
        </w:rPr>
        <w:t xml:space="preserve"> 2022</w:t>
      </w:r>
      <w:r w:rsidRPr="00EE2C47">
        <w:rPr>
          <w:rFonts w:ascii="Times New Roman" w:hAnsi="Times New Roman"/>
          <w:sz w:val="24"/>
          <w:szCs w:val="24"/>
        </w:rPr>
        <w:t>, APRA made</w:t>
      </w:r>
      <w:r w:rsidR="00F0754C">
        <w:rPr>
          <w:rFonts w:ascii="Times New Roman" w:hAnsi="Times New Roman"/>
          <w:sz w:val="24"/>
          <w:szCs w:val="24"/>
        </w:rPr>
        <w:t xml:space="preserve"> the following determination instruments (</w:t>
      </w:r>
      <w:r w:rsidR="00D47FF7">
        <w:rPr>
          <w:rFonts w:ascii="Times New Roman" w:hAnsi="Times New Roman"/>
          <w:sz w:val="24"/>
          <w:szCs w:val="24"/>
        </w:rPr>
        <w:t xml:space="preserve">collectively, </w:t>
      </w:r>
      <w:r w:rsidR="00F0754C">
        <w:rPr>
          <w:rFonts w:ascii="Times New Roman" w:hAnsi="Times New Roman"/>
          <w:sz w:val="24"/>
          <w:szCs w:val="24"/>
        </w:rPr>
        <w:t>the Instruments)</w:t>
      </w:r>
      <w:r w:rsidR="00A6296B">
        <w:rPr>
          <w:rFonts w:ascii="Times New Roman" w:hAnsi="Times New Roman"/>
          <w:sz w:val="24"/>
          <w:szCs w:val="24"/>
        </w:rPr>
        <w:t>:</w:t>
      </w:r>
      <w:r w:rsidR="00030D8E">
        <w:rPr>
          <w:rFonts w:ascii="Times New Roman" w:hAnsi="Times New Roman"/>
          <w:sz w:val="24"/>
          <w:szCs w:val="24"/>
        </w:rPr>
        <w:t xml:space="preserve"> </w:t>
      </w:r>
    </w:p>
    <w:p w14:paraId="15A5119B" w14:textId="74BEC2C0" w:rsidR="00155C7D" w:rsidRPr="001A0522" w:rsidRDefault="00A6296B" w:rsidP="00B46CAC">
      <w:pPr>
        <w:pStyle w:val="ListParagraph"/>
        <w:numPr>
          <w:ilvl w:val="0"/>
          <w:numId w:val="23"/>
        </w:num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727749" w:rsidRPr="001A0522">
        <w:rPr>
          <w:rFonts w:ascii="Times New Roman" w:hAnsi="Times New Roman"/>
          <w:sz w:val="24"/>
          <w:szCs w:val="24"/>
        </w:rPr>
        <w:t>2</w:t>
      </w:r>
      <w:r w:rsidRPr="001A0522">
        <w:rPr>
          <w:rFonts w:ascii="Times New Roman" w:hAnsi="Times New Roman"/>
          <w:sz w:val="24"/>
          <w:szCs w:val="24"/>
        </w:rPr>
        <w:t xml:space="preserve"> of 2022, which revokes </w:t>
      </w:r>
      <w:bookmarkStart w:id="5" w:name="_Hlk110339394"/>
      <w:r w:rsidR="00155C7D" w:rsidRPr="001A0522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030D8E" w:rsidRPr="001A0522">
        <w:rPr>
          <w:rFonts w:ascii="Times New Roman" w:hAnsi="Times New Roman"/>
          <w:i/>
          <w:sz w:val="24"/>
          <w:szCs w:val="24"/>
        </w:rPr>
        <w:t>APS 001</w:t>
      </w:r>
      <w:r w:rsidR="00155C7D" w:rsidRPr="001A0522">
        <w:rPr>
          <w:rFonts w:ascii="Times New Roman" w:hAnsi="Times New Roman"/>
          <w:i/>
          <w:sz w:val="24"/>
          <w:szCs w:val="24"/>
        </w:rPr>
        <w:t xml:space="preserve"> </w:t>
      </w:r>
      <w:r w:rsidR="00030D8E" w:rsidRPr="001A0522">
        <w:rPr>
          <w:rFonts w:ascii="Times New Roman" w:hAnsi="Times New Roman"/>
          <w:i/>
          <w:sz w:val="24"/>
          <w:szCs w:val="24"/>
        </w:rPr>
        <w:t>Definitions</w:t>
      </w:r>
      <w:r w:rsidR="00155C7D" w:rsidRPr="001A0522">
        <w:rPr>
          <w:rFonts w:ascii="Times New Roman" w:hAnsi="Times New Roman"/>
          <w:i/>
          <w:sz w:val="24"/>
          <w:szCs w:val="24"/>
        </w:rPr>
        <w:t xml:space="preserve"> </w:t>
      </w:r>
      <w:bookmarkEnd w:id="5"/>
      <w:r w:rsidR="00155C7D" w:rsidRPr="001A0522">
        <w:rPr>
          <w:rFonts w:ascii="Times New Roman" w:hAnsi="Times New Roman"/>
          <w:sz w:val="24"/>
          <w:szCs w:val="24"/>
        </w:rPr>
        <w:t>made under Banking (prudential standard) determination No</w:t>
      </w:r>
      <w:r w:rsidR="00556C43" w:rsidRPr="001A0522">
        <w:rPr>
          <w:rFonts w:ascii="Times New Roman" w:hAnsi="Times New Roman"/>
          <w:sz w:val="24"/>
          <w:szCs w:val="24"/>
        </w:rPr>
        <w:t>.</w:t>
      </w:r>
      <w:r w:rsidR="00155C7D" w:rsidRPr="001A0522">
        <w:rPr>
          <w:rFonts w:ascii="Times New Roman" w:hAnsi="Times New Roman"/>
          <w:sz w:val="24"/>
          <w:szCs w:val="24"/>
        </w:rPr>
        <w:t xml:space="preserve"> </w:t>
      </w:r>
      <w:r w:rsidR="00030D8E" w:rsidRPr="001A0522">
        <w:rPr>
          <w:rFonts w:ascii="Times New Roman" w:hAnsi="Times New Roman"/>
          <w:sz w:val="24"/>
          <w:szCs w:val="24"/>
        </w:rPr>
        <w:t>2</w:t>
      </w:r>
      <w:r w:rsidR="00155C7D" w:rsidRPr="001A0522">
        <w:rPr>
          <w:rFonts w:ascii="Times New Roman" w:hAnsi="Times New Roman"/>
          <w:sz w:val="24"/>
          <w:szCs w:val="24"/>
        </w:rPr>
        <w:t xml:space="preserve"> of </w:t>
      </w:r>
      <w:r w:rsidR="00030D8E" w:rsidRPr="001A0522">
        <w:rPr>
          <w:rFonts w:ascii="Times New Roman" w:hAnsi="Times New Roman"/>
          <w:sz w:val="24"/>
          <w:szCs w:val="24"/>
        </w:rPr>
        <w:t>2017</w:t>
      </w:r>
      <w:r w:rsidR="00155C7D" w:rsidRPr="001A0522">
        <w:rPr>
          <w:rFonts w:ascii="Times New Roman" w:hAnsi="Times New Roman"/>
          <w:sz w:val="24"/>
          <w:szCs w:val="24"/>
        </w:rPr>
        <w:t xml:space="preserve"> and determines a new </w:t>
      </w:r>
      <w:r w:rsidR="00155C7D" w:rsidRPr="001A0522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030D8E" w:rsidRPr="001A0522">
        <w:rPr>
          <w:rFonts w:ascii="Times New Roman" w:hAnsi="Times New Roman"/>
          <w:i/>
          <w:sz w:val="24"/>
          <w:szCs w:val="24"/>
        </w:rPr>
        <w:t>APS 001 Definitions</w:t>
      </w:r>
      <w:r w:rsidR="00340D2E" w:rsidRPr="001A0522">
        <w:rPr>
          <w:rFonts w:ascii="Times New Roman" w:hAnsi="Times New Roman"/>
          <w:i/>
          <w:sz w:val="24"/>
          <w:szCs w:val="24"/>
        </w:rPr>
        <w:t xml:space="preserve"> </w:t>
      </w:r>
      <w:r w:rsidR="00340D2E" w:rsidRPr="001A0522">
        <w:rPr>
          <w:rFonts w:ascii="Times New Roman" w:hAnsi="Times New Roman"/>
          <w:sz w:val="24"/>
          <w:szCs w:val="24"/>
        </w:rPr>
        <w:t>(</w:t>
      </w:r>
      <w:r w:rsidR="00030D8E" w:rsidRPr="001A0522">
        <w:rPr>
          <w:rFonts w:ascii="Times New Roman" w:hAnsi="Times New Roman"/>
          <w:sz w:val="24"/>
          <w:szCs w:val="24"/>
        </w:rPr>
        <w:t>APS 001</w:t>
      </w:r>
      <w:proofErr w:type="gramStart"/>
      <w:r w:rsidR="00340D2E" w:rsidRPr="001A0522">
        <w:rPr>
          <w:rFonts w:ascii="Times New Roman" w:hAnsi="Times New Roman"/>
          <w:sz w:val="24"/>
          <w:szCs w:val="24"/>
        </w:rPr>
        <w:t>)</w:t>
      </w:r>
      <w:r w:rsidR="00030D8E" w:rsidRPr="001A0522">
        <w:rPr>
          <w:rFonts w:ascii="Times New Roman" w:hAnsi="Times New Roman"/>
          <w:sz w:val="24"/>
          <w:szCs w:val="24"/>
        </w:rPr>
        <w:t>;</w:t>
      </w:r>
      <w:proofErr w:type="gramEnd"/>
    </w:p>
    <w:p w14:paraId="5495E708" w14:textId="6F0D3343" w:rsidR="00030D8E" w:rsidRPr="001A0522" w:rsidRDefault="00A6296B" w:rsidP="00B46CAC">
      <w:pPr>
        <w:pStyle w:val="ListParagraph"/>
        <w:numPr>
          <w:ilvl w:val="0"/>
          <w:numId w:val="23"/>
        </w:num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Insurance (prudential standard) determination No. </w:t>
      </w:r>
      <w:r w:rsidR="00727749" w:rsidRPr="001A0522">
        <w:rPr>
          <w:rFonts w:ascii="Times New Roman" w:hAnsi="Times New Roman"/>
          <w:sz w:val="24"/>
          <w:szCs w:val="24"/>
        </w:rPr>
        <w:t>5</w:t>
      </w:r>
      <w:r w:rsidRPr="001A0522">
        <w:rPr>
          <w:rFonts w:ascii="Times New Roman" w:hAnsi="Times New Roman"/>
          <w:sz w:val="24"/>
          <w:szCs w:val="24"/>
        </w:rPr>
        <w:t xml:space="preserve"> of 2022, which revokes</w:t>
      </w:r>
      <w:r w:rsidRPr="001A0522">
        <w:rPr>
          <w:rFonts w:ascii="Times New Roman" w:hAnsi="Times New Roman"/>
          <w:i/>
          <w:sz w:val="24"/>
          <w:szCs w:val="24"/>
        </w:rPr>
        <w:t xml:space="preserve"> </w:t>
      </w:r>
      <w:r w:rsidR="00030D8E" w:rsidRPr="001A0522">
        <w:rPr>
          <w:rFonts w:ascii="Times New Roman" w:hAnsi="Times New Roman"/>
          <w:i/>
          <w:sz w:val="24"/>
          <w:szCs w:val="24"/>
        </w:rPr>
        <w:t xml:space="preserve">Prudential Standard GPS 001 Definitions </w:t>
      </w:r>
      <w:r w:rsidR="00030D8E" w:rsidRPr="001A0522">
        <w:rPr>
          <w:rFonts w:ascii="Times New Roman" w:hAnsi="Times New Roman"/>
          <w:sz w:val="24"/>
          <w:szCs w:val="24"/>
        </w:rPr>
        <w:t xml:space="preserve">made under Insurance (prudential standard) determination No. </w:t>
      </w:r>
      <w:r w:rsidR="0073684B" w:rsidRPr="001A0522">
        <w:rPr>
          <w:rFonts w:ascii="Times New Roman" w:hAnsi="Times New Roman"/>
          <w:sz w:val="24"/>
          <w:szCs w:val="24"/>
        </w:rPr>
        <w:t>1</w:t>
      </w:r>
      <w:r w:rsidR="00030D8E" w:rsidRPr="001A0522">
        <w:rPr>
          <w:rFonts w:ascii="Times New Roman" w:hAnsi="Times New Roman"/>
          <w:sz w:val="24"/>
          <w:szCs w:val="24"/>
        </w:rPr>
        <w:t xml:space="preserve"> of </w:t>
      </w:r>
      <w:r w:rsidR="0073684B" w:rsidRPr="001A0522">
        <w:rPr>
          <w:rFonts w:ascii="Times New Roman" w:hAnsi="Times New Roman"/>
          <w:sz w:val="24"/>
          <w:szCs w:val="24"/>
        </w:rPr>
        <w:t>2022</w:t>
      </w:r>
      <w:r w:rsidR="00030D8E" w:rsidRPr="001A0522">
        <w:rPr>
          <w:rFonts w:ascii="Times New Roman" w:hAnsi="Times New Roman"/>
          <w:sz w:val="24"/>
          <w:szCs w:val="24"/>
        </w:rPr>
        <w:t xml:space="preserve"> and determines a new </w:t>
      </w:r>
      <w:r w:rsidR="00030D8E" w:rsidRPr="001A0522">
        <w:rPr>
          <w:rFonts w:ascii="Times New Roman" w:hAnsi="Times New Roman"/>
          <w:i/>
          <w:sz w:val="24"/>
          <w:szCs w:val="24"/>
        </w:rPr>
        <w:t xml:space="preserve">Prudential Standard GPS 001 Definitions </w:t>
      </w:r>
      <w:r w:rsidR="00030D8E" w:rsidRPr="001A0522">
        <w:rPr>
          <w:rFonts w:ascii="Times New Roman" w:hAnsi="Times New Roman"/>
          <w:sz w:val="24"/>
          <w:szCs w:val="24"/>
        </w:rPr>
        <w:t>(GPS 001</w:t>
      </w:r>
      <w:proofErr w:type="gramStart"/>
      <w:r w:rsidR="00030D8E" w:rsidRPr="001A0522">
        <w:rPr>
          <w:rFonts w:ascii="Times New Roman" w:hAnsi="Times New Roman"/>
          <w:sz w:val="24"/>
          <w:szCs w:val="24"/>
        </w:rPr>
        <w:t>);</w:t>
      </w:r>
      <w:proofErr w:type="gramEnd"/>
    </w:p>
    <w:p w14:paraId="0635D449" w14:textId="5AE95FD1" w:rsidR="00030D8E" w:rsidRPr="001A0522" w:rsidRDefault="001439B6" w:rsidP="00B46CAC">
      <w:pPr>
        <w:pStyle w:val="ListParagraph"/>
        <w:numPr>
          <w:ilvl w:val="0"/>
          <w:numId w:val="23"/>
        </w:num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lastRenderedPageBreak/>
        <w:t xml:space="preserve">Life Insurance (prudential standard) determination No. </w:t>
      </w:r>
      <w:r w:rsidR="00727749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2022, which revokes</w:t>
      </w:r>
      <w:r w:rsidRPr="001A0522">
        <w:rPr>
          <w:rFonts w:ascii="Times New Roman" w:hAnsi="Times New Roman"/>
          <w:i/>
          <w:sz w:val="24"/>
          <w:szCs w:val="24"/>
        </w:rPr>
        <w:t xml:space="preserve"> </w:t>
      </w:r>
      <w:r w:rsidR="00030D8E" w:rsidRPr="001A0522">
        <w:rPr>
          <w:rFonts w:ascii="Times New Roman" w:hAnsi="Times New Roman"/>
          <w:i/>
          <w:sz w:val="24"/>
          <w:szCs w:val="24"/>
        </w:rPr>
        <w:t xml:space="preserve">Prudential Standard LPS 001 Definitions </w:t>
      </w:r>
      <w:r w:rsidR="00030D8E" w:rsidRPr="001A0522">
        <w:rPr>
          <w:rFonts w:ascii="Times New Roman" w:hAnsi="Times New Roman"/>
          <w:sz w:val="24"/>
          <w:szCs w:val="24"/>
        </w:rPr>
        <w:t xml:space="preserve">made under </w:t>
      </w:r>
      <w:r w:rsidR="00A6296B" w:rsidRPr="001A0522">
        <w:rPr>
          <w:rFonts w:ascii="Times New Roman" w:hAnsi="Times New Roman"/>
          <w:sz w:val="24"/>
          <w:szCs w:val="24"/>
        </w:rPr>
        <w:t xml:space="preserve">Life </w:t>
      </w:r>
      <w:r w:rsidR="00030D8E" w:rsidRPr="001A0522">
        <w:rPr>
          <w:rFonts w:ascii="Times New Roman" w:hAnsi="Times New Roman"/>
          <w:sz w:val="24"/>
          <w:szCs w:val="24"/>
        </w:rPr>
        <w:t xml:space="preserve">Insurance (prudential standard) determination No. 2 of 2018 and determines a new </w:t>
      </w:r>
      <w:r w:rsidR="00030D8E" w:rsidRPr="001A0522">
        <w:rPr>
          <w:rFonts w:ascii="Times New Roman" w:hAnsi="Times New Roman"/>
          <w:i/>
          <w:sz w:val="24"/>
          <w:szCs w:val="24"/>
        </w:rPr>
        <w:t xml:space="preserve">Prudential Standard LPS 001 Definitions </w:t>
      </w:r>
      <w:r w:rsidR="00030D8E" w:rsidRPr="001A0522">
        <w:rPr>
          <w:rFonts w:ascii="Times New Roman" w:hAnsi="Times New Roman"/>
          <w:sz w:val="24"/>
          <w:szCs w:val="24"/>
        </w:rPr>
        <w:t>(LPS 001)</w:t>
      </w:r>
      <w:r w:rsidR="00A6296B" w:rsidRPr="001A0522">
        <w:rPr>
          <w:rFonts w:ascii="Times New Roman" w:hAnsi="Times New Roman"/>
          <w:sz w:val="24"/>
          <w:szCs w:val="24"/>
        </w:rPr>
        <w:t>; and</w:t>
      </w:r>
    </w:p>
    <w:p w14:paraId="65E718DE" w14:textId="15F946C0" w:rsidR="00A6296B" w:rsidRPr="001A0522" w:rsidRDefault="001439B6" w:rsidP="00B46CAC">
      <w:pPr>
        <w:pStyle w:val="ListParagraph"/>
        <w:numPr>
          <w:ilvl w:val="0"/>
          <w:numId w:val="23"/>
        </w:num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Health Insurance (prudential standard) determination No. </w:t>
      </w:r>
      <w:r w:rsidR="00727749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2022, which revokes</w:t>
      </w:r>
      <w:r w:rsidRPr="001A0522">
        <w:rPr>
          <w:rFonts w:ascii="Times New Roman" w:hAnsi="Times New Roman"/>
          <w:i/>
          <w:sz w:val="24"/>
          <w:szCs w:val="24"/>
        </w:rPr>
        <w:t xml:space="preserve"> </w:t>
      </w:r>
      <w:r w:rsidR="00A6296B" w:rsidRPr="001A0522">
        <w:rPr>
          <w:rFonts w:ascii="Times New Roman" w:hAnsi="Times New Roman"/>
          <w:i/>
          <w:sz w:val="24"/>
          <w:szCs w:val="24"/>
        </w:rPr>
        <w:t xml:space="preserve">Prudential Standard HPS 001 Definitions </w:t>
      </w:r>
      <w:r w:rsidR="00A6296B" w:rsidRPr="001A0522">
        <w:rPr>
          <w:rFonts w:ascii="Times New Roman" w:hAnsi="Times New Roman"/>
          <w:sz w:val="24"/>
          <w:szCs w:val="24"/>
        </w:rPr>
        <w:t xml:space="preserve">made under Health Insurance (prudential standard) determination No. 2 of 2018 and determines a new </w:t>
      </w:r>
      <w:r w:rsidR="00A6296B" w:rsidRPr="001A0522">
        <w:rPr>
          <w:rFonts w:ascii="Times New Roman" w:hAnsi="Times New Roman"/>
          <w:i/>
          <w:sz w:val="24"/>
          <w:szCs w:val="24"/>
        </w:rPr>
        <w:t xml:space="preserve">Prudential Standard HPS 001 Definitions </w:t>
      </w:r>
      <w:r w:rsidR="00A6296B" w:rsidRPr="001A0522">
        <w:rPr>
          <w:rFonts w:ascii="Times New Roman" w:hAnsi="Times New Roman"/>
          <w:sz w:val="24"/>
          <w:szCs w:val="24"/>
        </w:rPr>
        <w:t>(HPS 001).</w:t>
      </w:r>
    </w:p>
    <w:p w14:paraId="11344BD8" w14:textId="36D7AA14" w:rsidR="00340D2E" w:rsidRPr="005D57D5" w:rsidRDefault="00340D2E" w:rsidP="00155C7D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2C47">
        <w:rPr>
          <w:rFonts w:ascii="Times New Roman" w:hAnsi="Times New Roman"/>
          <w:sz w:val="24"/>
          <w:szCs w:val="24"/>
        </w:rPr>
        <w:t>The instrument</w:t>
      </w:r>
      <w:r w:rsidR="00B46CAC">
        <w:rPr>
          <w:rFonts w:ascii="Times New Roman" w:hAnsi="Times New Roman"/>
          <w:sz w:val="24"/>
          <w:szCs w:val="24"/>
        </w:rPr>
        <w:t>s</w:t>
      </w:r>
      <w:r w:rsidRPr="00EE2C47">
        <w:rPr>
          <w:rFonts w:ascii="Times New Roman" w:hAnsi="Times New Roman"/>
          <w:sz w:val="24"/>
          <w:szCs w:val="24"/>
        </w:rPr>
        <w:t xml:space="preserve"> commence </w:t>
      </w:r>
      <w:r w:rsidR="00686360">
        <w:rPr>
          <w:rFonts w:ascii="Times New Roman" w:hAnsi="Times New Roman"/>
          <w:sz w:val="24"/>
          <w:szCs w:val="24"/>
        </w:rPr>
        <w:t>on 22 August 2022</w:t>
      </w:r>
      <w:r w:rsidRPr="007177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ABAD4C" w14:textId="77777777" w:rsidR="002436BD" w:rsidRDefault="002436BD" w:rsidP="00DF7DA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14:paraId="53A3CFA9" w14:textId="77777777" w:rsidR="001439B6" w:rsidRDefault="009566F2" w:rsidP="009566F2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9566F2">
        <w:rPr>
          <w:rFonts w:ascii="Times New Roman" w:hAnsi="Times New Roman"/>
          <w:b w:val="0"/>
          <w:sz w:val="24"/>
          <w:szCs w:val="24"/>
        </w:rPr>
        <w:t xml:space="preserve">In </w:t>
      </w:r>
      <w:r w:rsidR="001439B6">
        <w:rPr>
          <w:rFonts w:ascii="Times New Roman" w:hAnsi="Times New Roman"/>
          <w:b w:val="0"/>
          <w:sz w:val="24"/>
          <w:szCs w:val="24"/>
        </w:rPr>
        <w:t>recent years</w:t>
      </w:r>
      <w:r w:rsidRPr="009566F2">
        <w:rPr>
          <w:rFonts w:ascii="Times New Roman" w:hAnsi="Times New Roman"/>
          <w:b w:val="0"/>
          <w:sz w:val="24"/>
          <w:szCs w:val="24"/>
        </w:rPr>
        <w:t xml:space="preserve">, </w:t>
      </w:r>
      <w:r w:rsidR="001439B6">
        <w:rPr>
          <w:rFonts w:ascii="Times New Roman" w:hAnsi="Times New Roman"/>
          <w:b w:val="0"/>
          <w:sz w:val="24"/>
          <w:szCs w:val="24"/>
        </w:rPr>
        <w:t xml:space="preserve">APRA has incorporated greater proportionality within the prudential framework by subjecting smaller and less complex entities to simpler requirements. This has been a feature of the recently finalised prudential standards for remuneration and ADI capital, and the </w:t>
      </w:r>
      <w:r w:rsidR="001439B6" w:rsidRPr="001439B6">
        <w:rPr>
          <w:rFonts w:ascii="Times New Roman" w:hAnsi="Times New Roman"/>
          <w:b w:val="0"/>
          <w:sz w:val="24"/>
          <w:szCs w:val="24"/>
        </w:rPr>
        <w:t>proposed draft prudential standards for financial contingency and resolution planning.</w:t>
      </w:r>
    </w:p>
    <w:p w14:paraId="2CBE8F02" w14:textId="1CC043AF" w:rsidR="00D40662" w:rsidRDefault="001439B6" w:rsidP="009566F2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1439B6">
        <w:rPr>
          <w:rFonts w:ascii="Times New Roman" w:hAnsi="Times New Roman"/>
          <w:b w:val="0"/>
          <w:sz w:val="24"/>
          <w:szCs w:val="24"/>
        </w:rPr>
        <w:t xml:space="preserve">Under these prudential standards, entities determined to be </w:t>
      </w:r>
      <w:r w:rsidR="00781001">
        <w:rPr>
          <w:rFonts w:ascii="Times New Roman" w:hAnsi="Times New Roman"/>
          <w:b w:val="0"/>
          <w:sz w:val="24"/>
          <w:szCs w:val="24"/>
        </w:rPr>
        <w:t>significant financial institutions (SFIs)</w:t>
      </w:r>
      <w:r w:rsidRPr="001439B6">
        <w:rPr>
          <w:rFonts w:ascii="Times New Roman" w:hAnsi="Times New Roman"/>
          <w:b w:val="0"/>
          <w:sz w:val="24"/>
          <w:szCs w:val="24"/>
        </w:rPr>
        <w:t xml:space="preserve"> have been subject to higher requirements, compared to those entities that are not SFIs</w:t>
      </w:r>
      <w:r w:rsidR="00781001">
        <w:rPr>
          <w:rFonts w:ascii="Times New Roman" w:hAnsi="Times New Roman"/>
          <w:b w:val="0"/>
          <w:sz w:val="24"/>
          <w:szCs w:val="24"/>
        </w:rPr>
        <w:t xml:space="preserve"> (non-SFIs)</w:t>
      </w:r>
      <w:r w:rsidRPr="001439B6">
        <w:rPr>
          <w:rFonts w:ascii="Times New Roman" w:hAnsi="Times New Roman"/>
          <w:b w:val="0"/>
          <w:sz w:val="24"/>
          <w:szCs w:val="24"/>
        </w:rPr>
        <w:t xml:space="preserve">. SFIs are entities with assets above a certain size or entities determined as such by APRA, </w:t>
      </w:r>
      <w:proofErr w:type="gramStart"/>
      <w:r w:rsidRPr="001439B6">
        <w:rPr>
          <w:rFonts w:ascii="Times New Roman" w:hAnsi="Times New Roman"/>
          <w:b w:val="0"/>
          <w:sz w:val="24"/>
          <w:szCs w:val="24"/>
        </w:rPr>
        <w:t>taking into account</w:t>
      </w:r>
      <w:proofErr w:type="gramEnd"/>
      <w:r w:rsidRPr="001439B6">
        <w:rPr>
          <w:rFonts w:ascii="Times New Roman" w:hAnsi="Times New Roman"/>
          <w:b w:val="0"/>
          <w:sz w:val="24"/>
          <w:szCs w:val="24"/>
        </w:rPr>
        <w:t xml:space="preserve"> matters such as complexity and group membership.   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009AF26" w14:textId="755BEBFD" w:rsidR="00D5666F" w:rsidRDefault="00101685" w:rsidP="009566F2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April 2022, APRA consulted on minor amendments to align and centralise the definition of an SFI. </w:t>
      </w:r>
      <w:r w:rsidR="00EE2730">
        <w:rPr>
          <w:rFonts w:ascii="Times New Roman" w:hAnsi="Times New Roman"/>
          <w:b w:val="0"/>
          <w:sz w:val="24"/>
          <w:szCs w:val="24"/>
        </w:rPr>
        <w:t xml:space="preserve">Under the proposed approach, all prudential standards would use the same definition of an SFI, with the aligned definition located in central definitions </w:t>
      </w:r>
      <w:r w:rsidR="002260E9">
        <w:rPr>
          <w:rFonts w:ascii="Times New Roman" w:hAnsi="Times New Roman"/>
          <w:b w:val="0"/>
          <w:sz w:val="24"/>
          <w:szCs w:val="24"/>
        </w:rPr>
        <w:t xml:space="preserve">prudential </w:t>
      </w:r>
      <w:r w:rsidR="00EE2730">
        <w:rPr>
          <w:rFonts w:ascii="Times New Roman" w:hAnsi="Times New Roman"/>
          <w:b w:val="0"/>
          <w:sz w:val="24"/>
          <w:szCs w:val="24"/>
        </w:rPr>
        <w:t>standards for banking and insurance</w:t>
      </w:r>
      <w:r w:rsidR="002260E9">
        <w:rPr>
          <w:rFonts w:ascii="Times New Roman" w:hAnsi="Times New Roman"/>
          <w:b w:val="0"/>
          <w:sz w:val="24"/>
          <w:szCs w:val="24"/>
        </w:rPr>
        <w:t>.</w:t>
      </w:r>
      <w:r w:rsidR="00EE2730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E9E2C8E" w14:textId="4B33E2BB" w:rsidR="002436BD" w:rsidRDefault="002436BD" w:rsidP="00DF7DA0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6" w:name="bkBackground"/>
      <w:bookmarkEnd w:id="6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  <w:r w:rsidR="00A71EDF">
        <w:rPr>
          <w:rFonts w:ascii="Times New Roman" w:hAnsi="Times New Roman"/>
          <w:sz w:val="24"/>
          <w:szCs w:val="24"/>
        </w:rPr>
        <w:t>s</w:t>
      </w:r>
    </w:p>
    <w:p w14:paraId="54FFF6DE" w14:textId="171BE2A8" w:rsidR="00341986" w:rsidRPr="0062665C" w:rsidRDefault="00A71EDF" w:rsidP="0062665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</w:t>
      </w:r>
      <w:r w:rsidR="001439B6">
        <w:rPr>
          <w:rFonts w:ascii="Times New Roman" w:hAnsi="Times New Roman"/>
          <w:sz w:val="24"/>
          <w:szCs w:val="24"/>
        </w:rPr>
        <w:t>the</w:t>
      </w:r>
      <w:r w:rsidR="00F0754C">
        <w:rPr>
          <w:rFonts w:ascii="Times New Roman" w:hAnsi="Times New Roman"/>
          <w:sz w:val="24"/>
          <w:szCs w:val="24"/>
        </w:rPr>
        <w:t>se</w:t>
      </w:r>
      <w:r w:rsidR="001439B6">
        <w:rPr>
          <w:rFonts w:ascii="Times New Roman" w:hAnsi="Times New Roman"/>
          <w:sz w:val="24"/>
          <w:szCs w:val="24"/>
        </w:rPr>
        <w:t xml:space="preserve"> instruments</w:t>
      </w:r>
      <w:r>
        <w:rPr>
          <w:rFonts w:ascii="Times New Roman" w:hAnsi="Times New Roman"/>
          <w:sz w:val="24"/>
          <w:szCs w:val="24"/>
        </w:rPr>
        <w:t xml:space="preserve"> is to revoke </w:t>
      </w:r>
      <w:r w:rsidR="00697DCA">
        <w:rPr>
          <w:rFonts w:ascii="Times New Roman" w:hAnsi="Times New Roman"/>
          <w:sz w:val="24"/>
          <w:szCs w:val="24"/>
        </w:rPr>
        <w:t xml:space="preserve">the </w:t>
      </w:r>
      <w:r w:rsidR="006A2D46">
        <w:rPr>
          <w:rFonts w:ascii="Times New Roman" w:hAnsi="Times New Roman"/>
          <w:sz w:val="24"/>
          <w:szCs w:val="24"/>
        </w:rPr>
        <w:t>four existing definitions standards for banking and insurance</w:t>
      </w:r>
      <w:r w:rsidR="005C087B">
        <w:rPr>
          <w:rFonts w:ascii="Times New Roman" w:hAnsi="Times New Roman"/>
          <w:sz w:val="24"/>
          <w:szCs w:val="24"/>
        </w:rPr>
        <w:t xml:space="preserve"> (standards</w:t>
      </w:r>
      <w:proofErr w:type="gramStart"/>
      <w:r w:rsidR="005C087B">
        <w:rPr>
          <w:rFonts w:ascii="Times New Roman" w:hAnsi="Times New Roman"/>
          <w:sz w:val="24"/>
          <w:szCs w:val="24"/>
        </w:rPr>
        <w:t>)</w:t>
      </w:r>
      <w:r w:rsidR="00F0754C">
        <w:rPr>
          <w:rFonts w:ascii="Times New Roman" w:hAnsi="Times New Roman"/>
          <w:sz w:val="24"/>
          <w:szCs w:val="24"/>
        </w:rPr>
        <w:t>, and</w:t>
      </w:r>
      <w:proofErr w:type="gramEnd"/>
      <w:r w:rsidR="00F0754C">
        <w:rPr>
          <w:rFonts w:ascii="Times New Roman" w:hAnsi="Times New Roman"/>
          <w:sz w:val="24"/>
          <w:szCs w:val="24"/>
        </w:rPr>
        <w:t xml:space="preserve"> </w:t>
      </w:r>
      <w:r w:rsidR="006A2D46">
        <w:rPr>
          <w:rFonts w:ascii="Times New Roman" w:hAnsi="Times New Roman"/>
          <w:sz w:val="24"/>
          <w:szCs w:val="24"/>
        </w:rPr>
        <w:t>replace them</w:t>
      </w:r>
      <w:r w:rsidR="00F0754C">
        <w:rPr>
          <w:rFonts w:ascii="Times New Roman" w:hAnsi="Times New Roman"/>
          <w:sz w:val="24"/>
          <w:szCs w:val="24"/>
        </w:rPr>
        <w:t xml:space="preserve"> </w:t>
      </w:r>
      <w:r w:rsidR="006A2D46">
        <w:rPr>
          <w:rFonts w:ascii="Times New Roman" w:hAnsi="Times New Roman"/>
          <w:sz w:val="24"/>
          <w:szCs w:val="24"/>
        </w:rPr>
        <w:t xml:space="preserve">with corresponding standards which incorporate </w:t>
      </w:r>
      <w:r w:rsidR="007A12E3">
        <w:rPr>
          <w:rFonts w:ascii="Times New Roman" w:hAnsi="Times New Roman"/>
          <w:sz w:val="24"/>
          <w:szCs w:val="24"/>
        </w:rPr>
        <w:t xml:space="preserve">the </w:t>
      </w:r>
      <w:r w:rsidR="006A2D46">
        <w:rPr>
          <w:rFonts w:ascii="Times New Roman" w:hAnsi="Times New Roman"/>
          <w:sz w:val="24"/>
          <w:szCs w:val="24"/>
        </w:rPr>
        <w:t>appropriate amendments</w:t>
      </w:r>
      <w:r>
        <w:rPr>
          <w:rFonts w:ascii="Times New Roman" w:hAnsi="Times New Roman"/>
          <w:sz w:val="24"/>
          <w:szCs w:val="24"/>
        </w:rPr>
        <w:t xml:space="preserve">. </w:t>
      </w:r>
      <w:r w:rsidR="00341986" w:rsidRPr="00341986">
        <w:rPr>
          <w:rFonts w:ascii="Times New Roman" w:hAnsi="Times New Roman"/>
          <w:sz w:val="24"/>
          <w:szCs w:val="24"/>
        </w:rPr>
        <w:t xml:space="preserve">In </w:t>
      </w:r>
      <w:r w:rsidR="00D82FB2">
        <w:rPr>
          <w:rFonts w:ascii="Times New Roman" w:hAnsi="Times New Roman"/>
          <w:sz w:val="24"/>
          <w:szCs w:val="24"/>
        </w:rPr>
        <w:t xml:space="preserve">the </w:t>
      </w:r>
      <w:r w:rsidR="00697DCA" w:rsidRPr="0062665C">
        <w:rPr>
          <w:rFonts w:ascii="Times New Roman" w:hAnsi="Times New Roman"/>
          <w:sz w:val="24"/>
          <w:szCs w:val="24"/>
        </w:rPr>
        <w:t>new versions of each standard</w:t>
      </w:r>
      <w:r w:rsidR="00341986" w:rsidRPr="00341986">
        <w:rPr>
          <w:rFonts w:ascii="Times New Roman" w:hAnsi="Times New Roman"/>
          <w:sz w:val="24"/>
          <w:szCs w:val="24"/>
        </w:rPr>
        <w:t xml:space="preserve">, </w:t>
      </w:r>
      <w:r w:rsidR="00697DCA" w:rsidRPr="0062665C">
        <w:rPr>
          <w:rFonts w:ascii="Times New Roman" w:hAnsi="Times New Roman"/>
          <w:sz w:val="24"/>
          <w:szCs w:val="24"/>
        </w:rPr>
        <w:t>the definition</w:t>
      </w:r>
      <w:r w:rsidR="002260E9">
        <w:rPr>
          <w:rFonts w:ascii="Times New Roman" w:hAnsi="Times New Roman"/>
          <w:sz w:val="24"/>
          <w:szCs w:val="24"/>
        </w:rPr>
        <w:t>s</w:t>
      </w:r>
      <w:r w:rsidR="00697DCA" w:rsidRPr="0062665C">
        <w:rPr>
          <w:rFonts w:ascii="Times New Roman" w:hAnsi="Times New Roman"/>
          <w:sz w:val="24"/>
          <w:szCs w:val="24"/>
        </w:rPr>
        <w:t xml:space="preserve"> of an SFI and non-SFI ha</w:t>
      </w:r>
      <w:r w:rsidR="002260E9">
        <w:rPr>
          <w:rFonts w:ascii="Times New Roman" w:hAnsi="Times New Roman"/>
          <w:sz w:val="24"/>
          <w:szCs w:val="24"/>
        </w:rPr>
        <w:t>ve</w:t>
      </w:r>
      <w:r w:rsidR="00697DCA" w:rsidRPr="0062665C">
        <w:rPr>
          <w:rFonts w:ascii="Times New Roman" w:hAnsi="Times New Roman"/>
          <w:sz w:val="24"/>
          <w:szCs w:val="24"/>
        </w:rPr>
        <w:t xml:space="preserve"> been included</w:t>
      </w:r>
      <w:r w:rsidR="00341986" w:rsidRPr="00341986">
        <w:rPr>
          <w:rFonts w:ascii="Times New Roman" w:hAnsi="Times New Roman"/>
          <w:sz w:val="24"/>
          <w:szCs w:val="24"/>
        </w:rPr>
        <w:t xml:space="preserve">. </w:t>
      </w:r>
      <w:r w:rsidR="007A12E3">
        <w:rPr>
          <w:rFonts w:ascii="Times New Roman" w:hAnsi="Times New Roman"/>
          <w:sz w:val="24"/>
          <w:szCs w:val="24"/>
        </w:rPr>
        <w:t xml:space="preserve">In the new version of LPS 001, </w:t>
      </w:r>
      <w:r w:rsidR="003136B2">
        <w:rPr>
          <w:rFonts w:ascii="Times New Roman" w:hAnsi="Times New Roman"/>
          <w:sz w:val="24"/>
          <w:szCs w:val="24"/>
        </w:rPr>
        <w:t>the term ‘</w:t>
      </w:r>
      <w:r w:rsidR="007A12E3">
        <w:rPr>
          <w:rFonts w:ascii="Times New Roman" w:hAnsi="Times New Roman"/>
          <w:sz w:val="24"/>
          <w:szCs w:val="24"/>
        </w:rPr>
        <w:t>Registered NOHCs</w:t>
      </w:r>
      <w:r w:rsidR="003136B2">
        <w:rPr>
          <w:rFonts w:ascii="Times New Roman" w:hAnsi="Times New Roman"/>
          <w:sz w:val="24"/>
          <w:szCs w:val="24"/>
        </w:rPr>
        <w:t>’</w:t>
      </w:r>
      <w:r w:rsidR="007A12E3">
        <w:rPr>
          <w:rFonts w:ascii="Times New Roman" w:hAnsi="Times New Roman"/>
          <w:sz w:val="24"/>
          <w:szCs w:val="24"/>
        </w:rPr>
        <w:t xml:space="preserve"> </w:t>
      </w:r>
      <w:r w:rsidR="003136B2">
        <w:rPr>
          <w:rFonts w:ascii="Times New Roman" w:hAnsi="Times New Roman"/>
          <w:sz w:val="24"/>
          <w:szCs w:val="24"/>
        </w:rPr>
        <w:t>has</w:t>
      </w:r>
      <w:r w:rsidR="007A12E3">
        <w:rPr>
          <w:rFonts w:ascii="Times New Roman" w:hAnsi="Times New Roman"/>
          <w:sz w:val="24"/>
          <w:szCs w:val="24"/>
        </w:rPr>
        <w:t xml:space="preserve"> also been defined. </w:t>
      </w:r>
      <w:r w:rsidR="00101685" w:rsidRPr="00B902CA">
        <w:rPr>
          <w:rFonts w:ascii="Times New Roman" w:hAnsi="Times New Roman"/>
          <w:sz w:val="24"/>
          <w:szCs w:val="24"/>
        </w:rPr>
        <w:t>The instruments do not make any other changes.</w:t>
      </w:r>
    </w:p>
    <w:p w14:paraId="5CAA7D20" w14:textId="712F6402" w:rsidR="000B4113" w:rsidRDefault="000B4113" w:rsidP="000B4113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Where </w:t>
      </w:r>
      <w:r w:rsidR="00697DCA">
        <w:rPr>
          <w:rFonts w:ascii="Times New Roman" w:hAnsi="Times New Roman"/>
          <w:b w:val="0"/>
          <w:sz w:val="24"/>
          <w:szCs w:val="24"/>
        </w:rPr>
        <w:t>the standards</w:t>
      </w:r>
      <w:r w:rsidR="0016033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refer</w:t>
      </w:r>
      <w:r w:rsidR="00692825">
        <w:rPr>
          <w:rFonts w:ascii="Times New Roman" w:hAnsi="Times New Roman"/>
          <w:b w:val="0"/>
          <w:sz w:val="24"/>
          <w:szCs w:val="24"/>
        </w:rPr>
        <w:t xml:space="preserve"> to an Act, Regulation, </w:t>
      </w:r>
      <w:r w:rsidRPr="00195547">
        <w:rPr>
          <w:rFonts w:ascii="Times New Roman" w:hAnsi="Times New Roman"/>
          <w:b w:val="0"/>
          <w:sz w:val="24"/>
          <w:szCs w:val="24"/>
        </w:rPr>
        <w:t xml:space="preserve">prudential </w:t>
      </w:r>
      <w:proofErr w:type="gramStart"/>
      <w:r w:rsidRPr="00195547">
        <w:rPr>
          <w:rFonts w:ascii="Times New Roman" w:hAnsi="Times New Roman"/>
          <w:b w:val="0"/>
          <w:sz w:val="24"/>
          <w:szCs w:val="24"/>
        </w:rPr>
        <w:t>standard</w:t>
      </w:r>
      <w:proofErr w:type="gramEnd"/>
      <w:r w:rsidR="00692825">
        <w:rPr>
          <w:rFonts w:ascii="Times New Roman" w:hAnsi="Times New Roman"/>
          <w:b w:val="0"/>
          <w:sz w:val="24"/>
          <w:szCs w:val="24"/>
        </w:rPr>
        <w:t xml:space="preserve"> or Australian Accounting Standard</w:t>
      </w:r>
      <w:r w:rsidRPr="00195547">
        <w:rPr>
          <w:rFonts w:ascii="Times New Roman" w:hAnsi="Times New Roman"/>
          <w:b w:val="0"/>
          <w:sz w:val="24"/>
          <w:szCs w:val="24"/>
        </w:rPr>
        <w:t>,</w:t>
      </w:r>
      <w:r w:rsidR="00A824C6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1"/>
      </w:r>
      <w:r w:rsidRPr="00195547">
        <w:rPr>
          <w:rFonts w:ascii="Times New Roman" w:hAnsi="Times New Roman"/>
          <w:b w:val="0"/>
          <w:sz w:val="24"/>
          <w:szCs w:val="24"/>
        </w:rPr>
        <w:t xml:space="preserve"> this is a reference to the document as it exists from time to time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C97AB3">
        <w:rPr>
          <w:b w:val="0"/>
          <w:sz w:val="22"/>
          <w:szCs w:val="20"/>
        </w:rPr>
        <w:t xml:space="preserve"> </w:t>
      </w:r>
      <w:r w:rsidRPr="00C97AB3">
        <w:rPr>
          <w:rFonts w:ascii="Times New Roman" w:hAnsi="Times New Roman"/>
          <w:b w:val="0"/>
          <w:sz w:val="24"/>
          <w:szCs w:val="24"/>
        </w:rPr>
        <w:t xml:space="preserve">and </w:t>
      </w:r>
      <w:r>
        <w:rPr>
          <w:rFonts w:ascii="Times New Roman" w:hAnsi="Times New Roman"/>
          <w:b w:val="0"/>
          <w:sz w:val="24"/>
          <w:szCs w:val="24"/>
        </w:rPr>
        <w:t>which is</w:t>
      </w:r>
      <w:r w:rsidRPr="00C97AB3">
        <w:rPr>
          <w:rFonts w:ascii="Times New Roman" w:hAnsi="Times New Roman"/>
          <w:b w:val="0"/>
          <w:sz w:val="24"/>
          <w:szCs w:val="24"/>
        </w:rPr>
        <w:t xml:space="preserve"> available on the Federal Register of Legislation at </w:t>
      </w:r>
      <w:hyperlink r:id="rId13" w:history="1">
        <w:r w:rsidRPr="00C97AB3">
          <w:rPr>
            <w:rStyle w:val="Hyperlink"/>
            <w:rFonts w:ascii="Times New Roman" w:hAnsi="Times New Roman"/>
            <w:b w:val="0"/>
            <w:sz w:val="24"/>
            <w:szCs w:val="24"/>
          </w:rPr>
          <w:t>www.legislation.gov.au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52CFDF8" w14:textId="2D2B31BF" w:rsidR="00A71EDF" w:rsidRDefault="00697DCA" w:rsidP="00A71ED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standards</w:t>
      </w:r>
      <w:r w:rsidR="0016033A">
        <w:rPr>
          <w:rFonts w:ascii="Times New Roman" w:hAnsi="Times New Roman"/>
          <w:sz w:val="24"/>
          <w:szCs w:val="24"/>
        </w:rPr>
        <w:t xml:space="preserve"> </w:t>
      </w:r>
      <w:r w:rsidR="004A0949">
        <w:rPr>
          <w:rFonts w:ascii="Times New Roman" w:hAnsi="Times New Roman"/>
          <w:sz w:val="24"/>
          <w:szCs w:val="24"/>
        </w:rPr>
        <w:t xml:space="preserve">provide for APRA to exercise various discretions. </w:t>
      </w:r>
      <w:r w:rsidR="004A0949" w:rsidRPr="004A0949">
        <w:rPr>
          <w:rFonts w:ascii="Times New Roman" w:hAnsi="Times New Roman"/>
          <w:sz w:val="24"/>
          <w:szCs w:val="24"/>
        </w:rPr>
        <w:t xml:space="preserve">Decisions made by APRA exercising those discretions are not subject to merits review. This is because </w:t>
      </w:r>
      <w:r w:rsidR="004A0949" w:rsidRPr="004A0949">
        <w:rPr>
          <w:rFonts w:ascii="Times New Roman" w:hAnsi="Times New Roman"/>
          <w:sz w:val="24"/>
          <w:szCs w:val="24"/>
        </w:rPr>
        <w:lastRenderedPageBreak/>
        <w:t>these decisions are preliminary decisions that may facilitate or lead to substantive decisions which are subject to merits review.</w:t>
      </w:r>
    </w:p>
    <w:p w14:paraId="008D8EC3" w14:textId="1E9152AD" w:rsidR="00D14060" w:rsidRDefault="00D14060" w:rsidP="00D1406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14060">
        <w:rPr>
          <w:rFonts w:ascii="Times New Roman" w:hAnsi="Times New Roman"/>
          <w:sz w:val="24"/>
          <w:szCs w:val="24"/>
        </w:rPr>
        <w:t>Under the Banking Act, Insurance Act</w:t>
      </w:r>
      <w:r w:rsidR="001B6449">
        <w:rPr>
          <w:rFonts w:ascii="Times New Roman" w:hAnsi="Times New Roman"/>
          <w:sz w:val="24"/>
          <w:szCs w:val="24"/>
        </w:rPr>
        <w:t>,</w:t>
      </w:r>
      <w:r w:rsidRPr="00D14060">
        <w:rPr>
          <w:rFonts w:ascii="Times New Roman" w:hAnsi="Times New Roman"/>
          <w:sz w:val="24"/>
          <w:szCs w:val="24"/>
        </w:rPr>
        <w:t xml:space="preserve"> Life Insurance Act</w:t>
      </w:r>
      <w:r w:rsidR="001B6449">
        <w:rPr>
          <w:rFonts w:ascii="Times New Roman" w:hAnsi="Times New Roman"/>
          <w:sz w:val="24"/>
          <w:szCs w:val="24"/>
        </w:rPr>
        <w:t xml:space="preserve"> and PHIPS Act</w:t>
      </w:r>
      <w:r w:rsidRPr="00D14060">
        <w:rPr>
          <w:rFonts w:ascii="Times New Roman" w:hAnsi="Times New Roman"/>
          <w:sz w:val="24"/>
          <w:szCs w:val="24"/>
        </w:rPr>
        <w:t>, a breach of a prudential standard is a breach of the enabling legislation, as each enabling Act provides that regulated entities must comply with the standard. However</w:t>
      </w:r>
      <w:r w:rsidR="001B6449">
        <w:rPr>
          <w:rFonts w:ascii="Times New Roman" w:hAnsi="Times New Roman"/>
          <w:sz w:val="24"/>
          <w:szCs w:val="24"/>
        </w:rPr>
        <w:t>,</w:t>
      </w:r>
      <w:r w:rsidRPr="00D14060">
        <w:rPr>
          <w:rFonts w:ascii="Times New Roman" w:hAnsi="Times New Roman"/>
          <w:sz w:val="24"/>
          <w:szCs w:val="24"/>
        </w:rPr>
        <w:t xml:space="preserve"> there are no penalties prescribed for breach of the prudential standards under any of these Acts. Instead</w:t>
      </w:r>
      <w:r w:rsidR="001B6449">
        <w:rPr>
          <w:rFonts w:ascii="Times New Roman" w:hAnsi="Times New Roman"/>
          <w:sz w:val="24"/>
          <w:szCs w:val="24"/>
        </w:rPr>
        <w:t>,</w:t>
      </w:r>
      <w:r w:rsidRPr="00D14060">
        <w:rPr>
          <w:rFonts w:ascii="Times New Roman" w:hAnsi="Times New Roman"/>
          <w:sz w:val="24"/>
          <w:szCs w:val="24"/>
        </w:rPr>
        <w:t xml:space="preserve"> an entity’s breach of the enabling legislation is grounds for APRA to make further, substantive decisions under the relevant enabling legislation in relation to the entity. Those decisions </w:t>
      </w:r>
      <w:r w:rsidR="00C04468" w:rsidRPr="00C04468">
        <w:rPr>
          <w:rFonts w:ascii="Times New Roman" w:hAnsi="Times New Roman"/>
          <w:sz w:val="24"/>
          <w:szCs w:val="24"/>
        </w:rPr>
        <w:t>may include the decision</w:t>
      </w:r>
      <w:r w:rsidRPr="00D14060">
        <w:rPr>
          <w:rFonts w:ascii="Times New Roman" w:hAnsi="Times New Roman"/>
          <w:sz w:val="24"/>
          <w:szCs w:val="24"/>
        </w:rPr>
        <w:t>:</w:t>
      </w:r>
    </w:p>
    <w:p w14:paraId="37A5900A" w14:textId="29243B57" w:rsidR="001B6449" w:rsidRDefault="001B6449" w:rsidP="001B6449">
      <w:pPr>
        <w:pStyle w:val="Heading"/>
        <w:numPr>
          <w:ilvl w:val="0"/>
          <w:numId w:val="8"/>
        </w:numPr>
        <w:spacing w:after="240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to issue a direction to the regulated entity, including a direction to comply with the whole or part of a prudential standard (section 11CA of the Banking Act, section 104 of the Insurance Act, section 230B of the Life Insurance Act</w:t>
      </w:r>
      <w:r w:rsidR="00781001">
        <w:rPr>
          <w:rFonts w:ascii="Times New Roman" w:hAnsi="Times New Roman"/>
          <w:b w:val="0"/>
          <w:sz w:val="24"/>
          <w:szCs w:val="24"/>
        </w:rPr>
        <w:t>); and a direction to comply with all, or specified obligations, which includes prudential standards (section 96 of the PHIPS Act)</w:t>
      </w:r>
      <w:r>
        <w:rPr>
          <w:rFonts w:ascii="Times New Roman" w:hAnsi="Times New Roman"/>
          <w:b w:val="0"/>
          <w:sz w:val="24"/>
          <w:szCs w:val="24"/>
        </w:rPr>
        <w:t>; and</w:t>
      </w:r>
    </w:p>
    <w:p w14:paraId="028AB76D" w14:textId="7E7BE485" w:rsidR="00D14060" w:rsidRDefault="00D14060" w:rsidP="00D14060">
      <w:pPr>
        <w:pStyle w:val="Heading"/>
        <w:numPr>
          <w:ilvl w:val="0"/>
          <w:numId w:val="8"/>
        </w:numPr>
        <w:spacing w:after="240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to revoke an authority to carry on banking business (section 9A of the Banking Act)</w:t>
      </w:r>
      <w:r w:rsidR="00450F39">
        <w:rPr>
          <w:rFonts w:ascii="Times New Roman" w:hAnsi="Times New Roman"/>
          <w:b w:val="0"/>
          <w:sz w:val="24"/>
          <w:szCs w:val="24"/>
        </w:rPr>
        <w:t xml:space="preserve">; </w:t>
      </w:r>
      <w:r w:rsidR="00450F39" w:rsidRPr="00450F39">
        <w:rPr>
          <w:rFonts w:ascii="Times New Roman" w:hAnsi="Times New Roman"/>
          <w:b w:val="0"/>
          <w:sz w:val="24"/>
          <w:szCs w:val="24"/>
        </w:rPr>
        <w:t>a banking NOHC authorisation (section 11AB of the Banking Act); an authority to carry on</w:t>
      </w:r>
      <w:r>
        <w:rPr>
          <w:rFonts w:ascii="Times New Roman" w:hAnsi="Times New Roman"/>
          <w:b w:val="0"/>
          <w:sz w:val="24"/>
          <w:szCs w:val="24"/>
        </w:rPr>
        <w:t xml:space="preserve"> insurance business (section 15 of the Insurance Act)</w:t>
      </w:r>
      <w:r w:rsidR="00450F39" w:rsidRPr="00450F39">
        <w:rPr>
          <w:rFonts w:ascii="Times New Roman" w:hAnsi="Times New Roman"/>
          <w:b w:val="0"/>
          <w:sz w:val="24"/>
          <w:szCs w:val="24"/>
        </w:rPr>
        <w:t>; an insurance NOHC authorisation (section 21 of the Insurance Act); registration of</w:t>
      </w:r>
      <w:r>
        <w:rPr>
          <w:rFonts w:ascii="Times New Roman" w:hAnsi="Times New Roman"/>
          <w:b w:val="0"/>
          <w:sz w:val="24"/>
          <w:szCs w:val="24"/>
        </w:rPr>
        <w:t xml:space="preserve"> life insurance business (section 26 of the Life Insurance Act)</w:t>
      </w:r>
      <w:r w:rsidR="00450F39" w:rsidRPr="00561AA4">
        <w:rPr>
          <w:rFonts w:ascii="Times New Roman" w:hAnsi="Times New Roman"/>
          <w:b w:val="0"/>
          <w:sz w:val="24"/>
        </w:rPr>
        <w:t>;</w:t>
      </w:r>
      <w:r w:rsidR="008A3C0F">
        <w:rPr>
          <w:rFonts w:ascii="Times New Roman" w:hAnsi="Times New Roman"/>
          <w:b w:val="0"/>
          <w:sz w:val="24"/>
        </w:rPr>
        <w:t xml:space="preserve"> </w:t>
      </w:r>
      <w:r w:rsidR="00450F39" w:rsidRPr="00450F39">
        <w:rPr>
          <w:rFonts w:ascii="Times New Roman" w:hAnsi="Times New Roman"/>
          <w:b w:val="0"/>
          <w:sz w:val="24"/>
          <w:szCs w:val="24"/>
        </w:rPr>
        <w:t>a life NOHC authorisation (section 28C of the Life Insurance Act)</w:t>
      </w:r>
      <w:r w:rsidR="001B6449">
        <w:rPr>
          <w:rFonts w:ascii="Times New Roman" w:hAnsi="Times New Roman"/>
          <w:b w:val="0"/>
          <w:sz w:val="24"/>
          <w:szCs w:val="24"/>
        </w:rPr>
        <w:t>.</w:t>
      </w:r>
    </w:p>
    <w:p w14:paraId="5E2C4E5D" w14:textId="389341C6" w:rsidR="00D14060" w:rsidRDefault="00D14060" w:rsidP="00D14060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14060">
        <w:rPr>
          <w:rFonts w:ascii="Times New Roman" w:hAnsi="Times New Roman"/>
          <w:sz w:val="24"/>
          <w:szCs w:val="24"/>
        </w:rPr>
        <w:t xml:space="preserve">It is only at this stage that an entity is exposed to a penalty: loss of licence or imposition of a penalty if it breaches the </w:t>
      </w:r>
      <w:r w:rsidRPr="001B6449">
        <w:rPr>
          <w:rFonts w:ascii="Times New Roman" w:hAnsi="Times New Roman"/>
          <w:sz w:val="24"/>
          <w:szCs w:val="24"/>
        </w:rPr>
        <w:t>direction (50</w:t>
      </w:r>
      <w:r w:rsidR="00550E24" w:rsidRPr="001B6449">
        <w:rPr>
          <w:rFonts w:ascii="Times New Roman" w:hAnsi="Times New Roman"/>
          <w:sz w:val="24"/>
          <w:szCs w:val="24"/>
        </w:rPr>
        <w:t xml:space="preserve"> penalty units each day under section </w:t>
      </w:r>
      <w:r w:rsidRPr="001B6449">
        <w:rPr>
          <w:rFonts w:ascii="Times New Roman" w:hAnsi="Times New Roman"/>
          <w:sz w:val="24"/>
          <w:szCs w:val="24"/>
        </w:rPr>
        <w:t>11CG</w:t>
      </w:r>
      <w:r w:rsidR="00550E24" w:rsidRPr="001B6449">
        <w:rPr>
          <w:rFonts w:ascii="Times New Roman" w:hAnsi="Times New Roman"/>
          <w:sz w:val="24"/>
          <w:szCs w:val="24"/>
        </w:rPr>
        <w:t xml:space="preserve"> of the Banking Act, section </w:t>
      </w:r>
      <w:r w:rsidRPr="001B6449">
        <w:rPr>
          <w:rFonts w:ascii="Times New Roman" w:hAnsi="Times New Roman"/>
          <w:sz w:val="24"/>
          <w:szCs w:val="24"/>
        </w:rPr>
        <w:t>108</w:t>
      </w:r>
      <w:r w:rsidR="00550E24" w:rsidRPr="001B6449">
        <w:rPr>
          <w:rFonts w:ascii="Times New Roman" w:hAnsi="Times New Roman"/>
          <w:sz w:val="24"/>
          <w:szCs w:val="24"/>
        </w:rPr>
        <w:t xml:space="preserve"> of the Insurance Act and section </w:t>
      </w:r>
      <w:r w:rsidRPr="001B6449">
        <w:rPr>
          <w:rFonts w:ascii="Times New Roman" w:hAnsi="Times New Roman"/>
          <w:sz w:val="24"/>
          <w:szCs w:val="24"/>
        </w:rPr>
        <w:t>230F</w:t>
      </w:r>
      <w:r w:rsidR="00550E24" w:rsidRPr="001B6449">
        <w:rPr>
          <w:rFonts w:ascii="Times New Roman" w:hAnsi="Times New Roman"/>
          <w:sz w:val="24"/>
          <w:szCs w:val="24"/>
        </w:rPr>
        <w:t xml:space="preserve"> of the</w:t>
      </w:r>
      <w:r w:rsidRPr="001B6449">
        <w:rPr>
          <w:rFonts w:ascii="Times New Roman" w:hAnsi="Times New Roman"/>
          <w:sz w:val="24"/>
          <w:szCs w:val="24"/>
        </w:rPr>
        <w:t xml:space="preserve"> Life Insurance Act</w:t>
      </w:r>
      <w:r w:rsidR="001B6449" w:rsidRPr="001B6449">
        <w:rPr>
          <w:rFonts w:ascii="Times New Roman" w:hAnsi="Times New Roman"/>
          <w:sz w:val="24"/>
          <w:szCs w:val="24"/>
        </w:rPr>
        <w:t>;</w:t>
      </w:r>
      <w:r w:rsidRPr="001B6449">
        <w:rPr>
          <w:rFonts w:ascii="Times New Roman" w:hAnsi="Times New Roman"/>
          <w:sz w:val="24"/>
          <w:szCs w:val="24"/>
        </w:rPr>
        <w:t xml:space="preserve"> </w:t>
      </w:r>
      <w:r w:rsidR="001B6449" w:rsidRPr="001B6449">
        <w:rPr>
          <w:rFonts w:ascii="Times New Roman" w:hAnsi="Times New Roman"/>
          <w:sz w:val="24"/>
          <w:szCs w:val="24"/>
        </w:rPr>
        <w:t>30 penalty units each day under section 104 of the PHIPS Act</w:t>
      </w:r>
      <w:r w:rsidR="00550E24" w:rsidRPr="001B6449">
        <w:rPr>
          <w:rFonts w:ascii="Times New Roman" w:hAnsi="Times New Roman"/>
          <w:sz w:val="24"/>
          <w:szCs w:val="24"/>
        </w:rPr>
        <w:t>)</w:t>
      </w:r>
      <w:r w:rsidRPr="001B6449">
        <w:rPr>
          <w:rFonts w:ascii="Times New Roman" w:hAnsi="Times New Roman"/>
          <w:sz w:val="24"/>
          <w:szCs w:val="24"/>
        </w:rPr>
        <w:t>.</w:t>
      </w:r>
      <w:r w:rsidRPr="00D14060">
        <w:rPr>
          <w:rFonts w:ascii="Times New Roman" w:hAnsi="Times New Roman"/>
          <w:sz w:val="24"/>
          <w:szCs w:val="24"/>
        </w:rPr>
        <w:t xml:space="preserve"> In nearly all cases</w:t>
      </w:r>
      <w:r w:rsidR="00550E24">
        <w:rPr>
          <w:rFonts w:ascii="Times New Roman" w:hAnsi="Times New Roman"/>
          <w:sz w:val="24"/>
          <w:szCs w:val="24"/>
        </w:rPr>
        <w:t>,</w:t>
      </w:r>
      <w:r w:rsidR="00550E24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D14060">
        <w:rPr>
          <w:rFonts w:ascii="Times New Roman" w:hAnsi="Times New Roman"/>
          <w:sz w:val="24"/>
          <w:szCs w:val="24"/>
        </w:rPr>
        <w:t xml:space="preserve"> the decisions are preceded by a full consultation with the regulated entity to raise any concerns they may have in relation to the decision.</w:t>
      </w:r>
    </w:p>
    <w:p w14:paraId="077ACC56" w14:textId="705026CF" w:rsidR="00A1470D" w:rsidRDefault="00A1470D" w:rsidP="00561AA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E76C9">
        <w:rPr>
          <w:rFonts w:ascii="Times New Roman" w:hAnsi="Times New Roman"/>
          <w:sz w:val="24"/>
          <w:szCs w:val="24"/>
        </w:rPr>
        <w:t>The decisions of APRA to impose a direction are subject to merits review (s</w:t>
      </w:r>
      <w:r>
        <w:rPr>
          <w:rFonts w:ascii="Times New Roman" w:hAnsi="Times New Roman"/>
          <w:sz w:val="24"/>
          <w:szCs w:val="24"/>
        </w:rPr>
        <w:t xml:space="preserve">ection </w:t>
      </w:r>
      <w:r w:rsidRPr="000E76C9">
        <w:rPr>
          <w:rFonts w:ascii="Times New Roman" w:hAnsi="Times New Roman"/>
          <w:sz w:val="24"/>
          <w:szCs w:val="24"/>
        </w:rPr>
        <w:t xml:space="preserve">11CA </w:t>
      </w:r>
      <w:r>
        <w:rPr>
          <w:rFonts w:ascii="Times New Roman" w:hAnsi="Times New Roman"/>
          <w:sz w:val="24"/>
          <w:szCs w:val="24"/>
        </w:rPr>
        <w:t xml:space="preserve">of the </w:t>
      </w:r>
      <w:r w:rsidRPr="000E76C9">
        <w:rPr>
          <w:rFonts w:ascii="Times New Roman" w:hAnsi="Times New Roman"/>
          <w:sz w:val="24"/>
          <w:szCs w:val="24"/>
        </w:rPr>
        <w:t>Banking Act, s</w:t>
      </w:r>
      <w:r>
        <w:rPr>
          <w:rFonts w:ascii="Times New Roman" w:hAnsi="Times New Roman"/>
          <w:sz w:val="24"/>
          <w:szCs w:val="24"/>
        </w:rPr>
        <w:t xml:space="preserve">ection 104 of the </w:t>
      </w:r>
      <w:r w:rsidRPr="000E76C9">
        <w:rPr>
          <w:rFonts w:ascii="Times New Roman" w:hAnsi="Times New Roman"/>
          <w:sz w:val="24"/>
          <w:szCs w:val="24"/>
        </w:rPr>
        <w:t>Insurance Act, s</w:t>
      </w:r>
      <w:r>
        <w:rPr>
          <w:rFonts w:ascii="Times New Roman" w:hAnsi="Times New Roman"/>
          <w:sz w:val="24"/>
          <w:szCs w:val="24"/>
        </w:rPr>
        <w:t xml:space="preserve">ection </w:t>
      </w:r>
      <w:r w:rsidRPr="000E76C9">
        <w:rPr>
          <w:rFonts w:ascii="Times New Roman" w:hAnsi="Times New Roman"/>
          <w:sz w:val="24"/>
          <w:szCs w:val="24"/>
        </w:rPr>
        <w:t xml:space="preserve">236 </w:t>
      </w:r>
      <w:r>
        <w:rPr>
          <w:rFonts w:ascii="Times New Roman" w:hAnsi="Times New Roman"/>
          <w:sz w:val="24"/>
          <w:szCs w:val="24"/>
        </w:rPr>
        <w:t xml:space="preserve">of the </w:t>
      </w:r>
      <w:r w:rsidRPr="000E76C9">
        <w:rPr>
          <w:rFonts w:ascii="Times New Roman" w:hAnsi="Times New Roman"/>
          <w:sz w:val="24"/>
          <w:szCs w:val="24"/>
        </w:rPr>
        <w:t>Life Insurance Act</w:t>
      </w:r>
      <w:r w:rsidR="001B6449">
        <w:rPr>
          <w:rFonts w:ascii="Times New Roman" w:hAnsi="Times New Roman"/>
          <w:sz w:val="24"/>
          <w:szCs w:val="24"/>
        </w:rPr>
        <w:t>, section 168 of the PHIPS Act</w:t>
      </w:r>
      <w:r w:rsidRPr="000E76C9">
        <w:rPr>
          <w:rFonts w:ascii="Times New Roman" w:hAnsi="Times New Roman"/>
          <w:sz w:val="24"/>
          <w:szCs w:val="24"/>
        </w:rPr>
        <w:t>), which is appropriately available at the point where an entity could be exposed to a penalty.</w:t>
      </w:r>
    </w:p>
    <w:p w14:paraId="0CFDB964" w14:textId="77777777" w:rsidR="00A1470D" w:rsidRDefault="00A1470D" w:rsidP="00561AA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958BD">
        <w:rPr>
          <w:rFonts w:ascii="Times New Roman" w:hAnsi="Times New Roman"/>
          <w:sz w:val="24"/>
          <w:szCs w:val="24"/>
        </w:rPr>
        <w:t>All decisions to revoke authorisations/registrations under the Banking Act, Insurance Act and Life Insurance Act are subject to merits review, unless specifically excluded by the enabling legislation.</w:t>
      </w:r>
    </w:p>
    <w:p w14:paraId="7CBDE301" w14:textId="77777777" w:rsidR="00A1470D" w:rsidRPr="008E0906" w:rsidRDefault="00A1470D" w:rsidP="001B644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E0906">
        <w:rPr>
          <w:rFonts w:ascii="Times New Roman" w:hAnsi="Times New Roman"/>
          <w:sz w:val="24"/>
          <w:szCs w:val="24"/>
        </w:rPr>
        <w:t xml:space="preserve">Revocation of an authorisation to carry on banking business or a </w:t>
      </w:r>
      <w:r>
        <w:rPr>
          <w:rFonts w:ascii="Times New Roman" w:hAnsi="Times New Roman"/>
          <w:sz w:val="24"/>
          <w:szCs w:val="24"/>
        </w:rPr>
        <w:t xml:space="preserve">banking </w:t>
      </w:r>
      <w:r w:rsidRPr="008E0906">
        <w:rPr>
          <w:rFonts w:ascii="Times New Roman" w:hAnsi="Times New Roman"/>
          <w:sz w:val="24"/>
          <w:szCs w:val="24"/>
        </w:rPr>
        <w:t xml:space="preserve">NOHC </w:t>
      </w:r>
      <w:r>
        <w:rPr>
          <w:rFonts w:ascii="Times New Roman" w:hAnsi="Times New Roman"/>
          <w:sz w:val="24"/>
          <w:szCs w:val="24"/>
        </w:rPr>
        <w:t xml:space="preserve">authorisation </w:t>
      </w:r>
      <w:r w:rsidRPr="008E0906">
        <w:rPr>
          <w:rFonts w:ascii="Times New Roman" w:hAnsi="Times New Roman"/>
          <w:sz w:val="24"/>
          <w:szCs w:val="24"/>
        </w:rPr>
        <w:t>is subject to merits review unless either:</w:t>
      </w:r>
    </w:p>
    <w:p w14:paraId="1BBA879D" w14:textId="77777777" w:rsidR="00A1470D" w:rsidRDefault="00A1470D" w:rsidP="00DF3453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582">
        <w:rPr>
          <w:rFonts w:ascii="Times New Roman" w:hAnsi="Times New Roman"/>
          <w:sz w:val="24"/>
          <w:szCs w:val="24"/>
        </w:rPr>
        <w:t>APRA has determined that access to natural justice and merits review is contrary to the national interest or contrary to the interests of depositors with the body corporate; or</w:t>
      </w:r>
    </w:p>
    <w:p w14:paraId="5DF15B63" w14:textId="77777777" w:rsidR="00A1470D" w:rsidRPr="00641582" w:rsidRDefault="00A1470D" w:rsidP="00A1470D">
      <w:pPr>
        <w:pStyle w:val="ListParagraph"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582">
        <w:rPr>
          <w:rFonts w:ascii="Times New Roman" w:hAnsi="Times New Roman"/>
          <w:sz w:val="24"/>
          <w:szCs w:val="24"/>
        </w:rPr>
        <w:lastRenderedPageBreak/>
        <w:t>(in the case of ADIs only) the authority is an authority that is to cease to have effect on a day specified in the authority (s</w:t>
      </w:r>
      <w:r>
        <w:rPr>
          <w:rFonts w:ascii="Times New Roman" w:hAnsi="Times New Roman"/>
          <w:sz w:val="24"/>
          <w:szCs w:val="24"/>
        </w:rPr>
        <w:t xml:space="preserve">ection </w:t>
      </w:r>
      <w:r w:rsidRPr="00641582">
        <w:rPr>
          <w:rFonts w:ascii="Times New Roman" w:hAnsi="Times New Roman"/>
          <w:sz w:val="24"/>
          <w:szCs w:val="24"/>
        </w:rPr>
        <w:t>9</w:t>
      </w:r>
      <w:proofErr w:type="gramStart"/>
      <w:r w:rsidRPr="00641582">
        <w:rPr>
          <w:rFonts w:ascii="Times New Roman" w:hAnsi="Times New Roman"/>
          <w:sz w:val="24"/>
          <w:szCs w:val="24"/>
        </w:rPr>
        <w:t>A(</w:t>
      </w:r>
      <w:proofErr w:type="gramEnd"/>
      <w:r w:rsidRPr="00641582"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of the Banking Act</w:t>
      </w:r>
      <w:r w:rsidRPr="00641582">
        <w:rPr>
          <w:rFonts w:ascii="Times New Roman" w:hAnsi="Times New Roman"/>
          <w:sz w:val="24"/>
          <w:szCs w:val="24"/>
        </w:rPr>
        <w:t>).</w:t>
      </w:r>
    </w:p>
    <w:p w14:paraId="0F4BDE80" w14:textId="77777777" w:rsidR="00A1470D" w:rsidRPr="008E0906" w:rsidRDefault="00A1470D" w:rsidP="00561AA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E0906">
        <w:rPr>
          <w:rFonts w:ascii="Times New Roman" w:hAnsi="Times New Roman"/>
          <w:sz w:val="24"/>
          <w:szCs w:val="24"/>
        </w:rPr>
        <w:t xml:space="preserve">Revocation of an authorisation to carry on insurance business or an </w:t>
      </w:r>
      <w:r>
        <w:rPr>
          <w:rFonts w:ascii="Times New Roman" w:hAnsi="Times New Roman"/>
          <w:sz w:val="24"/>
          <w:szCs w:val="24"/>
        </w:rPr>
        <w:t xml:space="preserve">insurance </w:t>
      </w:r>
      <w:r w:rsidRPr="008E0906">
        <w:rPr>
          <w:rFonts w:ascii="Times New Roman" w:hAnsi="Times New Roman"/>
          <w:sz w:val="24"/>
          <w:szCs w:val="24"/>
        </w:rPr>
        <w:t xml:space="preserve">NOHC </w:t>
      </w:r>
      <w:r>
        <w:rPr>
          <w:rFonts w:ascii="Times New Roman" w:hAnsi="Times New Roman"/>
          <w:sz w:val="24"/>
          <w:szCs w:val="24"/>
        </w:rPr>
        <w:t xml:space="preserve">authorisation </w:t>
      </w:r>
      <w:r w:rsidRPr="008E0906">
        <w:rPr>
          <w:rFonts w:ascii="Times New Roman" w:hAnsi="Times New Roman"/>
          <w:sz w:val="24"/>
          <w:szCs w:val="24"/>
        </w:rPr>
        <w:t>is subject to merits review (ss 15 and 21</w:t>
      </w:r>
      <w:r>
        <w:rPr>
          <w:rFonts w:ascii="Times New Roman" w:hAnsi="Times New Roman"/>
          <w:sz w:val="24"/>
          <w:szCs w:val="24"/>
        </w:rPr>
        <w:t xml:space="preserve"> of the</w:t>
      </w:r>
      <w:r w:rsidRPr="008E0906">
        <w:rPr>
          <w:rFonts w:ascii="Times New Roman" w:hAnsi="Times New Roman"/>
          <w:sz w:val="24"/>
          <w:szCs w:val="24"/>
        </w:rPr>
        <w:t xml:space="preserve"> Insurance Act).</w:t>
      </w:r>
    </w:p>
    <w:p w14:paraId="7AF56340" w14:textId="6BCD77D2" w:rsidR="00A1470D" w:rsidRDefault="00A1470D" w:rsidP="00B70F1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E0906">
        <w:rPr>
          <w:rFonts w:ascii="Times New Roman" w:hAnsi="Times New Roman"/>
          <w:sz w:val="24"/>
          <w:szCs w:val="24"/>
        </w:rPr>
        <w:t xml:space="preserve">Revocation of registration as a life insurance company or a life NOHC </w:t>
      </w:r>
      <w:r>
        <w:rPr>
          <w:rFonts w:ascii="Times New Roman" w:hAnsi="Times New Roman"/>
          <w:sz w:val="24"/>
          <w:szCs w:val="24"/>
        </w:rPr>
        <w:t xml:space="preserve">authorisation </w:t>
      </w:r>
      <w:r w:rsidRPr="008E0906">
        <w:rPr>
          <w:rFonts w:ascii="Times New Roman" w:hAnsi="Times New Roman"/>
          <w:sz w:val="24"/>
          <w:szCs w:val="24"/>
        </w:rPr>
        <w:t>is subject to merits review (s</w:t>
      </w:r>
      <w:r>
        <w:rPr>
          <w:rFonts w:ascii="Times New Roman" w:hAnsi="Times New Roman"/>
          <w:sz w:val="24"/>
          <w:szCs w:val="24"/>
        </w:rPr>
        <w:t>ection</w:t>
      </w:r>
      <w:r w:rsidRPr="008E0906">
        <w:rPr>
          <w:rFonts w:ascii="Times New Roman" w:hAnsi="Times New Roman"/>
          <w:sz w:val="24"/>
          <w:szCs w:val="24"/>
        </w:rPr>
        <w:t xml:space="preserve"> 236 </w:t>
      </w:r>
      <w:r>
        <w:rPr>
          <w:rFonts w:ascii="Times New Roman" w:hAnsi="Times New Roman"/>
          <w:sz w:val="24"/>
          <w:szCs w:val="24"/>
        </w:rPr>
        <w:t xml:space="preserve">of the </w:t>
      </w:r>
      <w:r w:rsidRPr="008E0906">
        <w:rPr>
          <w:rFonts w:ascii="Times New Roman" w:hAnsi="Times New Roman"/>
          <w:sz w:val="24"/>
          <w:szCs w:val="24"/>
        </w:rPr>
        <w:t>Life Insurance Act).</w:t>
      </w:r>
      <w:r w:rsidRPr="000868B7">
        <w:rPr>
          <w:rFonts w:ascii="Times New Roman" w:hAnsi="Times New Roman"/>
          <w:sz w:val="24"/>
          <w:szCs w:val="24"/>
        </w:rPr>
        <w:t xml:space="preserve"> </w:t>
      </w:r>
      <w:r w:rsidR="001B6449" w:rsidRPr="001B6449">
        <w:rPr>
          <w:rFonts w:ascii="Times New Roman" w:hAnsi="Times New Roman"/>
          <w:sz w:val="24"/>
          <w:szCs w:val="24"/>
        </w:rPr>
        <w:t>The situation in relation to cancellation of registration under the PHIPS Act is different to the other enabling legislation.</w:t>
      </w:r>
    </w:p>
    <w:p w14:paraId="03BE545C" w14:textId="77777777" w:rsidR="002436BD" w:rsidRDefault="002436BD" w:rsidP="00DF7DA0">
      <w:pPr>
        <w:pStyle w:val="Heading"/>
        <w:numPr>
          <w:ilvl w:val="0"/>
          <w:numId w:val="2"/>
        </w:numPr>
        <w:spacing w:after="240"/>
        <w:rPr>
          <w:rFonts w:ascii="Times New Roman" w:hAnsi="Times New Roman"/>
          <w:sz w:val="24"/>
          <w:szCs w:val="24"/>
        </w:rPr>
      </w:pPr>
      <w:bookmarkStart w:id="7" w:name="bkPurpose"/>
      <w:bookmarkStart w:id="8" w:name="bkoperation"/>
      <w:bookmarkStart w:id="9" w:name="bkConsultationNo"/>
      <w:bookmarkEnd w:id="7"/>
      <w:bookmarkEnd w:id="8"/>
      <w:bookmarkEnd w:id="9"/>
      <w:r w:rsidRPr="002C6D26">
        <w:rPr>
          <w:rFonts w:ascii="Times New Roman" w:hAnsi="Times New Roman"/>
          <w:sz w:val="24"/>
          <w:szCs w:val="24"/>
        </w:rPr>
        <w:t>Consultation</w:t>
      </w:r>
    </w:p>
    <w:p w14:paraId="013CFFD9" w14:textId="4395AD2A" w:rsidR="00A4704C" w:rsidRDefault="00697DCA" w:rsidP="003E22BA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April 2022, </w:t>
      </w:r>
      <w:r w:rsidR="00A21711">
        <w:rPr>
          <w:rFonts w:ascii="Times New Roman" w:hAnsi="Times New Roman"/>
          <w:b w:val="0"/>
          <w:sz w:val="24"/>
          <w:szCs w:val="24"/>
        </w:rPr>
        <w:t xml:space="preserve">APRA </w:t>
      </w:r>
      <w:r>
        <w:rPr>
          <w:rFonts w:ascii="Times New Roman" w:hAnsi="Times New Roman"/>
          <w:b w:val="0"/>
          <w:sz w:val="24"/>
          <w:szCs w:val="24"/>
        </w:rPr>
        <w:t>undertook</w:t>
      </w:r>
      <w:r w:rsidR="001E0E90">
        <w:rPr>
          <w:rFonts w:ascii="Times New Roman" w:hAnsi="Times New Roman"/>
          <w:b w:val="0"/>
          <w:sz w:val="24"/>
          <w:szCs w:val="24"/>
        </w:rPr>
        <w:t xml:space="preserve"> public consultation</w:t>
      </w:r>
      <w:r w:rsidR="00700FA0">
        <w:rPr>
          <w:rFonts w:ascii="Times New Roman" w:hAnsi="Times New Roman"/>
          <w:b w:val="0"/>
          <w:sz w:val="24"/>
          <w:szCs w:val="24"/>
        </w:rPr>
        <w:t xml:space="preserve"> on the proposed changes </w:t>
      </w:r>
      <w:r>
        <w:rPr>
          <w:rFonts w:ascii="Times New Roman" w:hAnsi="Times New Roman"/>
          <w:b w:val="0"/>
          <w:sz w:val="24"/>
          <w:szCs w:val="24"/>
        </w:rPr>
        <w:t>to the standards</w:t>
      </w:r>
      <w:r w:rsidR="00A21711">
        <w:rPr>
          <w:rFonts w:ascii="Times New Roman" w:hAnsi="Times New Roman"/>
          <w:b w:val="0"/>
          <w:sz w:val="24"/>
          <w:szCs w:val="24"/>
        </w:rPr>
        <w:t>.</w:t>
      </w:r>
      <w:r>
        <w:rPr>
          <w:rStyle w:val="FootnoteReference"/>
          <w:rFonts w:ascii="Times New Roman" w:hAnsi="Times New Roman"/>
          <w:b w:val="0"/>
          <w:sz w:val="24"/>
          <w:szCs w:val="24"/>
        </w:rPr>
        <w:footnoteReference w:id="3"/>
      </w:r>
      <w:r w:rsidR="001E0E9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In </w:t>
      </w:r>
      <w:r w:rsidRPr="00691752">
        <w:rPr>
          <w:rFonts w:ascii="Times New Roman" w:hAnsi="Times New Roman"/>
          <w:b w:val="0"/>
          <w:sz w:val="24"/>
          <w:szCs w:val="24"/>
        </w:rPr>
        <w:t>July 202</w:t>
      </w:r>
      <w:r w:rsidR="00101685" w:rsidRPr="00691752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, APRA released a response to submissions.</w:t>
      </w:r>
      <w:r w:rsidR="001E0E90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4"/>
      </w:r>
      <w:r w:rsidR="00A21711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214CE46" w14:textId="77777777" w:rsidR="002436BD" w:rsidRDefault="00DF524E" w:rsidP="00DF7DA0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10" w:name="bkConsultation"/>
      <w:bookmarkStart w:id="11" w:name="bkRISNO"/>
      <w:bookmarkStart w:id="12" w:name="bkRIS"/>
      <w:bookmarkEnd w:id="10"/>
      <w:bookmarkEnd w:id="11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bookmarkEnd w:id="12"/>
    <w:p w14:paraId="233A3A3C" w14:textId="19FCF35E" w:rsidR="002436BD" w:rsidRDefault="00334DD1" w:rsidP="00DF7DA0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26634D">
        <w:rPr>
          <w:rFonts w:ascii="Times New Roman" w:hAnsi="Times New Roman"/>
          <w:b w:val="0"/>
          <w:sz w:val="24"/>
          <w:szCs w:val="24"/>
        </w:rPr>
        <w:t>The Office of Best Practice Regulation advised that no Regulat</w:t>
      </w:r>
      <w:r w:rsidR="009918FF">
        <w:rPr>
          <w:rFonts w:ascii="Times New Roman" w:hAnsi="Times New Roman"/>
          <w:b w:val="0"/>
          <w:sz w:val="24"/>
          <w:szCs w:val="24"/>
        </w:rPr>
        <w:t>ion</w:t>
      </w:r>
      <w:r w:rsidRPr="0026634D">
        <w:rPr>
          <w:rFonts w:ascii="Times New Roman" w:hAnsi="Times New Roman"/>
          <w:b w:val="0"/>
          <w:sz w:val="24"/>
          <w:szCs w:val="24"/>
        </w:rPr>
        <w:t xml:space="preserve"> Impact </w:t>
      </w:r>
      <w:r w:rsidR="00700FA0">
        <w:rPr>
          <w:rFonts w:ascii="Times New Roman" w:hAnsi="Times New Roman"/>
          <w:b w:val="0"/>
          <w:sz w:val="24"/>
          <w:szCs w:val="24"/>
        </w:rPr>
        <w:t>S</w:t>
      </w:r>
      <w:r w:rsidRPr="0026634D">
        <w:rPr>
          <w:rFonts w:ascii="Times New Roman" w:hAnsi="Times New Roman"/>
          <w:b w:val="0"/>
          <w:sz w:val="24"/>
          <w:szCs w:val="24"/>
        </w:rPr>
        <w:t xml:space="preserve">tatement </w:t>
      </w:r>
      <w:r w:rsidR="0062665C">
        <w:rPr>
          <w:rFonts w:ascii="Times New Roman" w:hAnsi="Times New Roman"/>
          <w:b w:val="0"/>
          <w:sz w:val="24"/>
          <w:szCs w:val="24"/>
        </w:rPr>
        <w:t>was</w:t>
      </w:r>
      <w:r w:rsidRPr="0026634D">
        <w:rPr>
          <w:rFonts w:ascii="Times New Roman" w:hAnsi="Times New Roman"/>
          <w:b w:val="0"/>
          <w:sz w:val="24"/>
          <w:szCs w:val="24"/>
        </w:rPr>
        <w:t xml:space="preserve"> required as the changes</w:t>
      </w:r>
      <w:r w:rsidR="00340D2E">
        <w:rPr>
          <w:rFonts w:ascii="Times New Roman" w:hAnsi="Times New Roman"/>
          <w:b w:val="0"/>
          <w:sz w:val="24"/>
          <w:szCs w:val="24"/>
        </w:rPr>
        <w:t xml:space="preserve"> to </w:t>
      </w:r>
      <w:r w:rsidR="0062665C">
        <w:rPr>
          <w:rFonts w:ascii="Times New Roman" w:hAnsi="Times New Roman"/>
          <w:b w:val="0"/>
          <w:sz w:val="24"/>
          <w:szCs w:val="24"/>
        </w:rPr>
        <w:t xml:space="preserve">the standards </w:t>
      </w:r>
      <w:r w:rsidRPr="0026634D">
        <w:rPr>
          <w:rFonts w:ascii="Times New Roman" w:hAnsi="Times New Roman"/>
          <w:b w:val="0"/>
          <w:sz w:val="24"/>
          <w:szCs w:val="24"/>
        </w:rPr>
        <w:t>are minor and machinery.</w:t>
      </w:r>
    </w:p>
    <w:p w14:paraId="401F3907" w14:textId="77777777" w:rsidR="002436BD" w:rsidRPr="00B3165F" w:rsidRDefault="00DF524E" w:rsidP="00163FA0">
      <w:pPr>
        <w:pStyle w:val="Heading"/>
        <w:keepNext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14:paraId="08DB91DF" w14:textId="0387E923" w:rsidR="001D2931" w:rsidRDefault="0030506B" w:rsidP="00DF7DA0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14:paraId="100791F3" w14:textId="77777777" w:rsidR="001D2931" w:rsidRDefault="001D29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B42133" w14:textId="77777777" w:rsidR="00C96F89" w:rsidRDefault="00C96F89" w:rsidP="00C96F89">
      <w:pPr>
        <w:spacing w:after="360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ATTACHMENT A</w:t>
      </w:r>
    </w:p>
    <w:p w14:paraId="756A5753" w14:textId="77777777" w:rsidR="00C96F89" w:rsidRDefault="00C96F89" w:rsidP="00C96F8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Statement of Compatibility with Human Rights</w:t>
      </w:r>
    </w:p>
    <w:p w14:paraId="0BA4F508" w14:textId="4ECC930D" w:rsidR="00C96F89" w:rsidRDefault="00C96F89" w:rsidP="00C96F8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Prepared in accordance with Part 3 of the </w:t>
      </w:r>
      <w:r>
        <w:rPr>
          <w:rFonts w:ascii="Times New Roman" w:hAnsi="Times New Roman"/>
          <w:i/>
          <w:iCs/>
          <w:sz w:val="24"/>
          <w:szCs w:val="24"/>
        </w:rPr>
        <w:t>Human Rights (Parliamentary Scrutiny) Act 2011</w:t>
      </w:r>
    </w:p>
    <w:p w14:paraId="7B4FD6F6" w14:textId="1811199E" w:rsidR="00334602" w:rsidRPr="001A0522" w:rsidRDefault="00334602" w:rsidP="00334602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2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40F694AD" w14:textId="63108C47" w:rsidR="00334602" w:rsidRPr="001A0522" w:rsidRDefault="00334602" w:rsidP="00334602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5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4EB28DAF" w14:textId="0CE25D62" w:rsidR="00334602" w:rsidRPr="001A0522" w:rsidRDefault="00334602" w:rsidP="00334602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Life 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32F24E70" w14:textId="6325270E" w:rsidR="00334602" w:rsidRPr="002C6D26" w:rsidRDefault="00334602" w:rsidP="00334602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1A0522">
        <w:rPr>
          <w:rFonts w:ascii="Times New Roman" w:hAnsi="Times New Roman"/>
          <w:sz w:val="24"/>
          <w:szCs w:val="24"/>
        </w:rPr>
        <w:t xml:space="preserve">Health Insurance (prudential standard) determination No. </w:t>
      </w:r>
      <w:r w:rsidR="00D84C81" w:rsidRPr="001A0522">
        <w:rPr>
          <w:rFonts w:ascii="Times New Roman" w:hAnsi="Times New Roman"/>
          <w:sz w:val="24"/>
          <w:szCs w:val="24"/>
        </w:rPr>
        <w:t>1</w:t>
      </w:r>
      <w:r w:rsidRPr="001A0522">
        <w:rPr>
          <w:rFonts w:ascii="Times New Roman" w:hAnsi="Times New Roman"/>
          <w:sz w:val="24"/>
          <w:szCs w:val="24"/>
        </w:rPr>
        <w:t xml:space="preserve"> of 2022</w:t>
      </w:r>
    </w:p>
    <w:p w14:paraId="35BD42C7" w14:textId="6A07C6C3" w:rsidR="00C96F89" w:rsidRDefault="00C96F89" w:rsidP="00C96F8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The</w:t>
      </w:r>
      <w:r w:rsidR="0062665C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62665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6266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nstrument</w:t>
      </w:r>
      <w:r w:rsidR="003346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62665C">
        <w:rPr>
          <w:rFonts w:ascii="Times New Roman" w:hAnsi="Times New Roman"/>
          <w:sz w:val="24"/>
          <w:szCs w:val="24"/>
        </w:rPr>
        <w:t>(</w:t>
      </w:r>
      <w:r w:rsidR="00CC40A3">
        <w:rPr>
          <w:rFonts w:ascii="Times New Roman" w:hAnsi="Times New Roman"/>
          <w:sz w:val="24"/>
          <w:szCs w:val="24"/>
        </w:rPr>
        <w:t xml:space="preserve">the </w:t>
      </w:r>
      <w:r w:rsidR="0062665C">
        <w:rPr>
          <w:rFonts w:ascii="Times New Roman" w:hAnsi="Times New Roman"/>
          <w:sz w:val="24"/>
          <w:szCs w:val="24"/>
        </w:rPr>
        <w:t>instruments) are</w:t>
      </w:r>
      <w:r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/>
          <w:sz w:val="24"/>
          <w:szCs w:val="24"/>
        </w:rPr>
        <w:t xml:space="preserve"> (HRPS Act).</w:t>
      </w:r>
    </w:p>
    <w:p w14:paraId="38B799D8" w14:textId="72D1E2FE" w:rsidR="00C96F89" w:rsidRDefault="00C96F89" w:rsidP="00C96F8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Overview of the Legislative Instrument</w:t>
      </w:r>
    </w:p>
    <w:p w14:paraId="285F844E" w14:textId="0D7CB534" w:rsidR="005646CC" w:rsidRDefault="003F5A8B" w:rsidP="003F5A8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</w:t>
      </w:r>
      <w:r w:rsidR="0062665C">
        <w:rPr>
          <w:rFonts w:ascii="Times New Roman" w:hAnsi="Times New Roman"/>
          <w:sz w:val="24"/>
          <w:szCs w:val="24"/>
        </w:rPr>
        <w:t>these instruments is to incorporate the definition</w:t>
      </w:r>
      <w:r w:rsidR="002260E9">
        <w:rPr>
          <w:rFonts w:ascii="Times New Roman" w:hAnsi="Times New Roman"/>
          <w:sz w:val="24"/>
          <w:szCs w:val="24"/>
        </w:rPr>
        <w:t>s</w:t>
      </w:r>
      <w:r w:rsidR="0062665C">
        <w:rPr>
          <w:rFonts w:ascii="Times New Roman" w:hAnsi="Times New Roman"/>
          <w:sz w:val="24"/>
          <w:szCs w:val="24"/>
        </w:rPr>
        <w:t xml:space="preserve"> of </w:t>
      </w:r>
      <w:r w:rsidR="005C087B">
        <w:rPr>
          <w:rFonts w:ascii="Times New Roman" w:hAnsi="Times New Roman"/>
          <w:sz w:val="24"/>
          <w:szCs w:val="24"/>
        </w:rPr>
        <w:t xml:space="preserve">a significant financial institution </w:t>
      </w:r>
      <w:r w:rsidR="0062665C">
        <w:rPr>
          <w:rFonts w:ascii="Times New Roman" w:hAnsi="Times New Roman"/>
          <w:sz w:val="24"/>
          <w:szCs w:val="24"/>
        </w:rPr>
        <w:t xml:space="preserve">and </w:t>
      </w:r>
      <w:r w:rsidR="005C087B">
        <w:rPr>
          <w:rFonts w:ascii="Times New Roman" w:hAnsi="Times New Roman"/>
          <w:sz w:val="24"/>
          <w:szCs w:val="24"/>
        </w:rPr>
        <w:t xml:space="preserve">a </w:t>
      </w:r>
      <w:r w:rsidR="00781001">
        <w:rPr>
          <w:rFonts w:ascii="Times New Roman" w:hAnsi="Times New Roman"/>
          <w:sz w:val="24"/>
          <w:szCs w:val="24"/>
        </w:rPr>
        <w:t>non-</w:t>
      </w:r>
      <w:r w:rsidR="005C087B">
        <w:rPr>
          <w:rFonts w:ascii="Times New Roman" w:hAnsi="Times New Roman"/>
          <w:sz w:val="24"/>
          <w:szCs w:val="24"/>
        </w:rPr>
        <w:t xml:space="preserve">significant financial institution </w:t>
      </w:r>
      <w:r w:rsidR="00101685">
        <w:rPr>
          <w:rFonts w:ascii="Times New Roman" w:hAnsi="Times New Roman"/>
          <w:sz w:val="24"/>
          <w:szCs w:val="24"/>
        </w:rPr>
        <w:t xml:space="preserve">into the </w:t>
      </w:r>
      <w:r w:rsidR="002260E9">
        <w:rPr>
          <w:rFonts w:ascii="Times New Roman" w:hAnsi="Times New Roman"/>
          <w:sz w:val="24"/>
          <w:szCs w:val="24"/>
        </w:rPr>
        <w:t xml:space="preserve">central </w:t>
      </w:r>
      <w:proofErr w:type="gramStart"/>
      <w:r w:rsidR="00101685">
        <w:rPr>
          <w:rFonts w:ascii="Times New Roman" w:hAnsi="Times New Roman"/>
          <w:sz w:val="24"/>
          <w:szCs w:val="24"/>
        </w:rPr>
        <w:t>definitions</w:t>
      </w:r>
      <w:proofErr w:type="gramEnd"/>
      <w:r w:rsidR="00101685">
        <w:rPr>
          <w:rFonts w:ascii="Times New Roman" w:hAnsi="Times New Roman"/>
          <w:sz w:val="24"/>
          <w:szCs w:val="24"/>
        </w:rPr>
        <w:t xml:space="preserve"> </w:t>
      </w:r>
      <w:r w:rsidR="002260E9">
        <w:rPr>
          <w:rFonts w:ascii="Times New Roman" w:hAnsi="Times New Roman"/>
          <w:sz w:val="24"/>
          <w:szCs w:val="24"/>
        </w:rPr>
        <w:t xml:space="preserve">prudential </w:t>
      </w:r>
      <w:r w:rsidR="00101685">
        <w:rPr>
          <w:rFonts w:ascii="Times New Roman" w:hAnsi="Times New Roman"/>
          <w:sz w:val="24"/>
          <w:szCs w:val="24"/>
        </w:rPr>
        <w:t>standards for banking and insurance (APS 001, GPS 001, LPS 001 and HPS 001).</w:t>
      </w:r>
      <w:r w:rsidR="00626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5385E4" w14:textId="5329C08F" w:rsidR="00C96F89" w:rsidRDefault="00C96F89" w:rsidP="004262B9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Human rights implications</w:t>
      </w:r>
    </w:p>
    <w:p w14:paraId="15EF2C39" w14:textId="134965FD" w:rsidR="00EA739F" w:rsidRDefault="00C96F89" w:rsidP="00EA739F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APRA has assessed the instrument</w:t>
      </w:r>
      <w:r w:rsidR="0010168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is of the view that </w:t>
      </w:r>
      <w:r w:rsidR="005C087B">
        <w:rPr>
          <w:rFonts w:ascii="Times New Roman" w:hAnsi="Times New Roman"/>
          <w:sz w:val="24"/>
          <w:szCs w:val="24"/>
        </w:rPr>
        <w:t xml:space="preserve">they do </w:t>
      </w:r>
      <w:r>
        <w:rPr>
          <w:rFonts w:ascii="Times New Roman" w:hAnsi="Times New Roman"/>
          <w:sz w:val="24"/>
          <w:szCs w:val="24"/>
        </w:rPr>
        <w:t>not engage any of the applicable rights or freedoms recognised or declared in the international instruments listed in section 3 of the HRPS Act. Accordingly, in APRA’s assessment, the instrument</w:t>
      </w:r>
      <w:r w:rsidR="00D9365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D93654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compatible with human rights.</w:t>
      </w:r>
    </w:p>
    <w:p w14:paraId="6CAF8253" w14:textId="4938750C" w:rsidR="00C96F89" w:rsidRPr="00EA739F" w:rsidRDefault="00EA739F" w:rsidP="00EA739F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C96F89">
        <w:rPr>
          <w:rFonts w:ascii="Times New Roman" w:hAnsi="Times New Roman"/>
          <w:b/>
          <w:bCs/>
          <w:sz w:val="24"/>
          <w:szCs w:val="24"/>
        </w:rPr>
        <w:t>onclusion</w:t>
      </w:r>
    </w:p>
    <w:p w14:paraId="2427AC61" w14:textId="1531011F" w:rsidR="00C96F89" w:rsidRDefault="005C087B" w:rsidP="00C96F89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C96F89">
        <w:rPr>
          <w:rFonts w:ascii="Times New Roman" w:hAnsi="Times New Roman"/>
          <w:sz w:val="24"/>
          <w:szCs w:val="24"/>
        </w:rPr>
        <w:t xml:space="preserve"> instrument</w:t>
      </w:r>
      <w:r w:rsidR="00101685">
        <w:rPr>
          <w:rFonts w:ascii="Times New Roman" w:hAnsi="Times New Roman"/>
          <w:sz w:val="24"/>
          <w:szCs w:val="24"/>
        </w:rPr>
        <w:t>s</w:t>
      </w:r>
      <w:r w:rsidR="00C96F89">
        <w:rPr>
          <w:rFonts w:ascii="Times New Roman" w:hAnsi="Times New Roman"/>
          <w:sz w:val="24"/>
          <w:szCs w:val="24"/>
        </w:rPr>
        <w:t xml:space="preserve"> </w:t>
      </w:r>
      <w:r w:rsidR="002260E9">
        <w:rPr>
          <w:rFonts w:ascii="Times New Roman" w:hAnsi="Times New Roman"/>
          <w:sz w:val="24"/>
          <w:szCs w:val="24"/>
        </w:rPr>
        <w:t>are</w:t>
      </w:r>
      <w:r w:rsidR="00C96F89">
        <w:rPr>
          <w:rFonts w:ascii="Times New Roman" w:hAnsi="Times New Roman"/>
          <w:sz w:val="24"/>
          <w:szCs w:val="24"/>
        </w:rPr>
        <w:t xml:space="preserve"> compatible with human rights as </w:t>
      </w:r>
      <w:r w:rsidR="00B3708F">
        <w:rPr>
          <w:rFonts w:ascii="Times New Roman" w:hAnsi="Times New Roman"/>
          <w:sz w:val="24"/>
          <w:szCs w:val="24"/>
        </w:rPr>
        <w:t xml:space="preserve">they do </w:t>
      </w:r>
      <w:r w:rsidR="00C96F89">
        <w:rPr>
          <w:rFonts w:ascii="Times New Roman" w:hAnsi="Times New Roman"/>
          <w:sz w:val="24"/>
          <w:szCs w:val="24"/>
        </w:rPr>
        <w:t>not raise any human rights issues.</w:t>
      </w:r>
    </w:p>
    <w:sectPr w:rsidR="00C96F89" w:rsidSect="003D5032">
      <w:footerReference w:type="default" r:id="rId14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C698" w14:textId="77777777" w:rsidR="00F5607A" w:rsidRDefault="00F5607A" w:rsidP="00DF7DA0">
      <w:r>
        <w:separator/>
      </w:r>
    </w:p>
  </w:endnote>
  <w:endnote w:type="continuationSeparator" w:id="0">
    <w:p w14:paraId="4C7EACEE" w14:textId="77777777" w:rsidR="00F5607A" w:rsidRDefault="00F5607A" w:rsidP="00DF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705CBD" w14:textId="77777777" w:rsidR="00DF7DA0" w:rsidRPr="00DF7DA0" w:rsidRDefault="00DF7DA0" w:rsidP="00DF7DA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F7DA0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F7DA0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E93631">
          <w:rPr>
            <w:rFonts w:ascii="Times New Roman" w:hAnsi="Times New Roman"/>
            <w:bCs/>
            <w:noProof/>
            <w:sz w:val="24"/>
            <w:szCs w:val="24"/>
          </w:rPr>
          <w:t>5</w:t>
        </w:r>
        <w:r w:rsidRPr="00DF7DA0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14:paraId="63A27E33" w14:textId="77777777" w:rsidR="00DF7DA0" w:rsidRDefault="00DF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03F4" w14:textId="77777777" w:rsidR="00F5607A" w:rsidRDefault="00F5607A" w:rsidP="00DF7DA0">
      <w:r>
        <w:separator/>
      </w:r>
    </w:p>
  </w:footnote>
  <w:footnote w:type="continuationSeparator" w:id="0">
    <w:p w14:paraId="66747387" w14:textId="77777777" w:rsidR="00F5607A" w:rsidRDefault="00F5607A" w:rsidP="00DF7DA0">
      <w:r>
        <w:continuationSeparator/>
      </w:r>
    </w:p>
  </w:footnote>
  <w:footnote w:id="1">
    <w:p w14:paraId="4F4B7E3D" w14:textId="76A75CC2" w:rsidR="00A824C6" w:rsidRPr="00A824C6" w:rsidRDefault="00A824C6" w:rsidP="00561AA4">
      <w:pPr>
        <w:pStyle w:val="FootnoteText"/>
        <w:jc w:val="both"/>
        <w:rPr>
          <w:rFonts w:ascii="Times New Roman" w:hAnsi="Times New Roman"/>
        </w:rPr>
      </w:pPr>
      <w:r w:rsidRPr="00A824C6">
        <w:rPr>
          <w:rStyle w:val="FootnoteReference"/>
          <w:rFonts w:ascii="Times New Roman" w:hAnsi="Times New Roman"/>
        </w:rPr>
        <w:footnoteRef/>
      </w:r>
      <w:r w:rsidRPr="00A824C6">
        <w:rPr>
          <w:rFonts w:ascii="Times New Roman" w:hAnsi="Times New Roman"/>
        </w:rPr>
        <w:t xml:space="preserve"> Australian </w:t>
      </w:r>
      <w:r>
        <w:rPr>
          <w:rFonts w:ascii="Times New Roman" w:hAnsi="Times New Roman"/>
        </w:rPr>
        <w:t xml:space="preserve">Accounting Standards is defined in </w:t>
      </w:r>
      <w:r w:rsidRPr="00A824C6">
        <w:rPr>
          <w:rFonts w:ascii="Times New Roman" w:hAnsi="Times New Roman"/>
          <w:i/>
        </w:rPr>
        <w:t>Prudential Standard APS</w:t>
      </w:r>
      <w:r w:rsidR="00EA739F">
        <w:rPr>
          <w:rFonts w:ascii="Times New Roman" w:hAnsi="Times New Roman"/>
          <w:i/>
        </w:rPr>
        <w:t> </w:t>
      </w:r>
      <w:r w:rsidRPr="00A824C6">
        <w:rPr>
          <w:rFonts w:ascii="Times New Roman" w:hAnsi="Times New Roman"/>
          <w:i/>
        </w:rPr>
        <w:t>001 Definitions</w:t>
      </w:r>
      <w:r>
        <w:rPr>
          <w:rFonts w:ascii="Times New Roman" w:hAnsi="Times New Roman"/>
        </w:rPr>
        <w:t xml:space="preserve"> as the Australian Accounting Standards issued by the Australian Accounting Standards Board as may be amended from time to time. </w:t>
      </w:r>
    </w:p>
  </w:footnote>
  <w:footnote w:id="2">
    <w:p w14:paraId="5E6F47BE" w14:textId="18059D58" w:rsidR="00550E24" w:rsidRDefault="00550E24" w:rsidP="00550E24">
      <w:pPr>
        <w:pStyle w:val="FootnoteText"/>
        <w:jc w:val="both"/>
      </w:pPr>
      <w:r w:rsidRPr="00550E24">
        <w:rPr>
          <w:rStyle w:val="FootnoteReference"/>
          <w:rFonts w:ascii="Times New Roman" w:hAnsi="Times New Roman"/>
        </w:rPr>
        <w:footnoteRef/>
      </w:r>
      <w:r w:rsidRPr="00550E24">
        <w:rPr>
          <w:rFonts w:ascii="Times New Roman" w:hAnsi="Times New Roman"/>
        </w:rPr>
        <w:t xml:space="preserve"> The Banking Act, Insurance Act and Life Insurance Act specifically provide that APRA does not need to consult where APRA is satisfied that doing so could result in a delay in revocation that would be contrary to the national interest or the interests of depositors with the body corporate (</w:t>
      </w:r>
      <w:r w:rsidR="00DF6815">
        <w:rPr>
          <w:rFonts w:ascii="Times New Roman" w:hAnsi="Times New Roman"/>
        </w:rPr>
        <w:t xml:space="preserve">subsection </w:t>
      </w:r>
      <w:r w:rsidRPr="00550E24">
        <w:rPr>
          <w:rFonts w:ascii="Times New Roman" w:hAnsi="Times New Roman"/>
        </w:rPr>
        <w:t xml:space="preserve">9A(4) </w:t>
      </w:r>
      <w:r w:rsidR="00DF6815">
        <w:rPr>
          <w:rFonts w:ascii="Times New Roman" w:hAnsi="Times New Roman"/>
        </w:rPr>
        <w:t xml:space="preserve">of the </w:t>
      </w:r>
      <w:r w:rsidRPr="00550E24">
        <w:rPr>
          <w:rFonts w:ascii="Times New Roman" w:hAnsi="Times New Roman"/>
        </w:rPr>
        <w:t>Banking Act), contr</w:t>
      </w:r>
      <w:r w:rsidR="00DF6815">
        <w:rPr>
          <w:rFonts w:ascii="Times New Roman" w:hAnsi="Times New Roman"/>
        </w:rPr>
        <w:t xml:space="preserve">ary to the national interest (subsection </w:t>
      </w:r>
      <w:r w:rsidRPr="00550E24">
        <w:rPr>
          <w:rFonts w:ascii="Times New Roman" w:hAnsi="Times New Roman"/>
        </w:rPr>
        <w:t>15(4)</w:t>
      </w:r>
      <w:r w:rsidR="00DF6815">
        <w:rPr>
          <w:rFonts w:ascii="Times New Roman" w:hAnsi="Times New Roman"/>
        </w:rPr>
        <w:t xml:space="preserve"> of the</w:t>
      </w:r>
      <w:r w:rsidRPr="00550E24">
        <w:rPr>
          <w:rFonts w:ascii="Times New Roman" w:hAnsi="Times New Roman"/>
        </w:rPr>
        <w:t xml:space="preserve"> Insurance Act), or contrary to the public interest (s</w:t>
      </w:r>
      <w:r w:rsidR="00DF6815">
        <w:rPr>
          <w:rFonts w:ascii="Times New Roman" w:hAnsi="Times New Roman"/>
        </w:rPr>
        <w:t xml:space="preserve">ubsection </w:t>
      </w:r>
      <w:r w:rsidRPr="00550E24">
        <w:rPr>
          <w:rFonts w:ascii="Times New Roman" w:hAnsi="Times New Roman"/>
        </w:rPr>
        <w:t>26(5)</w:t>
      </w:r>
      <w:r w:rsidR="00DF6815">
        <w:rPr>
          <w:rFonts w:ascii="Times New Roman" w:hAnsi="Times New Roman"/>
        </w:rPr>
        <w:t xml:space="preserve"> of the</w:t>
      </w:r>
      <w:r w:rsidRPr="00550E24">
        <w:rPr>
          <w:rFonts w:ascii="Times New Roman" w:hAnsi="Times New Roman"/>
        </w:rPr>
        <w:t xml:space="preserve"> Life Insurance Act), respectively. </w:t>
      </w:r>
    </w:p>
  </w:footnote>
  <w:footnote w:id="3">
    <w:p w14:paraId="4E17D97D" w14:textId="54A39C3D" w:rsidR="00697DCA" w:rsidRDefault="00697DCA" w:rsidP="00334602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34602" w:rsidRPr="00334602">
          <w:rPr>
            <w:rStyle w:val="Hyperlink"/>
            <w:rFonts w:ascii="Times New Roman" w:hAnsi="Times New Roman"/>
          </w:rPr>
          <w:t>Consultation on minor amendments to centralise the definition of a significant financial institution | APRA</w:t>
        </w:r>
      </w:hyperlink>
    </w:p>
  </w:footnote>
  <w:footnote w:id="4">
    <w:p w14:paraId="44E155DD" w14:textId="4B4E3F77" w:rsidR="001E0E90" w:rsidRPr="000C463A" w:rsidRDefault="001E0E90">
      <w:pPr>
        <w:pStyle w:val="FootnoteText"/>
        <w:rPr>
          <w:rFonts w:ascii="Times New Roman" w:hAnsi="Times New Roman"/>
        </w:rPr>
      </w:pPr>
      <w:r w:rsidRPr="000C463A">
        <w:rPr>
          <w:rStyle w:val="FootnoteReference"/>
          <w:rFonts w:ascii="Times New Roman" w:hAnsi="Times New Roman"/>
        </w:rPr>
        <w:footnoteRef/>
      </w:r>
      <w:r w:rsidRPr="000C463A">
        <w:rPr>
          <w:rFonts w:ascii="Times New Roman" w:hAnsi="Times New Roman"/>
        </w:rPr>
        <w:t xml:space="preserve"> </w:t>
      </w:r>
      <w:hyperlink r:id="rId2" w:history="1">
        <w:r w:rsidR="001A0522" w:rsidRPr="001A0522">
          <w:rPr>
            <w:rStyle w:val="Hyperlink"/>
            <w:rFonts w:ascii="Times New Roman" w:hAnsi="Times New Roman"/>
          </w:rPr>
          <w:t>Minor amendments to centralise the definition of a signification financial institution | APRA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A0"/>
    <w:multiLevelType w:val="hybridMultilevel"/>
    <w:tmpl w:val="5C583790"/>
    <w:lvl w:ilvl="0" w:tplc="6FFEE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CEC"/>
    <w:multiLevelType w:val="hybridMultilevel"/>
    <w:tmpl w:val="34225274"/>
    <w:lvl w:ilvl="0" w:tplc="87AAF20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AE5"/>
    <w:multiLevelType w:val="hybridMultilevel"/>
    <w:tmpl w:val="B02C0E6A"/>
    <w:lvl w:ilvl="0" w:tplc="66DC6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B0C95"/>
    <w:multiLevelType w:val="hybridMultilevel"/>
    <w:tmpl w:val="A97A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09B"/>
    <w:multiLevelType w:val="hybridMultilevel"/>
    <w:tmpl w:val="45845CE0"/>
    <w:lvl w:ilvl="0" w:tplc="340E6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5C01"/>
    <w:multiLevelType w:val="hybridMultilevel"/>
    <w:tmpl w:val="6D782998"/>
    <w:lvl w:ilvl="0" w:tplc="2E54C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A33"/>
    <w:multiLevelType w:val="hybridMultilevel"/>
    <w:tmpl w:val="58B80BDA"/>
    <w:lvl w:ilvl="0" w:tplc="7A30F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D46C0"/>
    <w:multiLevelType w:val="hybridMultilevel"/>
    <w:tmpl w:val="E996CF6E"/>
    <w:lvl w:ilvl="0" w:tplc="AAC61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4677E"/>
    <w:multiLevelType w:val="hybridMultilevel"/>
    <w:tmpl w:val="2700AD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DB8"/>
    <w:multiLevelType w:val="hybridMultilevel"/>
    <w:tmpl w:val="1C62591C"/>
    <w:lvl w:ilvl="0" w:tplc="6E86A16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3F2B"/>
    <w:multiLevelType w:val="hybridMultilevel"/>
    <w:tmpl w:val="3E663EDE"/>
    <w:lvl w:ilvl="0" w:tplc="2E54C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6E49"/>
    <w:multiLevelType w:val="hybridMultilevel"/>
    <w:tmpl w:val="F70A06DA"/>
    <w:lvl w:ilvl="0" w:tplc="771E19C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138C"/>
    <w:multiLevelType w:val="hybridMultilevel"/>
    <w:tmpl w:val="1BB08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C3A91"/>
    <w:multiLevelType w:val="hybridMultilevel"/>
    <w:tmpl w:val="B02C0E6A"/>
    <w:lvl w:ilvl="0" w:tplc="66DC6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A5C6E"/>
    <w:multiLevelType w:val="hybridMultilevel"/>
    <w:tmpl w:val="5E382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853C0"/>
    <w:multiLevelType w:val="hybridMultilevel"/>
    <w:tmpl w:val="0A6C49D2"/>
    <w:lvl w:ilvl="0" w:tplc="65A8491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A3D61"/>
    <w:multiLevelType w:val="hybridMultilevel"/>
    <w:tmpl w:val="EE8C0C78"/>
    <w:lvl w:ilvl="0" w:tplc="7DCEE3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B1B25"/>
    <w:multiLevelType w:val="hybridMultilevel"/>
    <w:tmpl w:val="6AAE1FFE"/>
    <w:lvl w:ilvl="0" w:tplc="0C14B1EE">
      <w:start w:val="1"/>
      <w:numFmt w:val="lowerLetter"/>
      <w:lvlText w:val="(%1)"/>
      <w:lvlJc w:val="left"/>
      <w:pPr>
        <w:ind w:left="363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6DBA4E99"/>
    <w:multiLevelType w:val="hybridMultilevel"/>
    <w:tmpl w:val="67B4EBF0"/>
    <w:lvl w:ilvl="0" w:tplc="44642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0"/>
  </w:num>
  <w:num w:numId="17">
    <w:abstractNumId w:val="11"/>
  </w:num>
  <w:num w:numId="18">
    <w:abstractNumId w:val="6"/>
  </w:num>
  <w:num w:numId="19">
    <w:abstractNumId w:val="20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7A"/>
    <w:rsid w:val="00000D68"/>
    <w:rsid w:val="00003D3A"/>
    <w:rsid w:val="000163DA"/>
    <w:rsid w:val="00021289"/>
    <w:rsid w:val="000215DC"/>
    <w:rsid w:val="00024376"/>
    <w:rsid w:val="000253FE"/>
    <w:rsid w:val="00026FE6"/>
    <w:rsid w:val="00030D8E"/>
    <w:rsid w:val="00032D2F"/>
    <w:rsid w:val="00033472"/>
    <w:rsid w:val="000401FC"/>
    <w:rsid w:val="00041D79"/>
    <w:rsid w:val="00046A6F"/>
    <w:rsid w:val="00052CB8"/>
    <w:rsid w:val="000603CD"/>
    <w:rsid w:val="00082F34"/>
    <w:rsid w:val="00087331"/>
    <w:rsid w:val="000A1056"/>
    <w:rsid w:val="000B1530"/>
    <w:rsid w:val="000B4113"/>
    <w:rsid w:val="000B6A84"/>
    <w:rsid w:val="000B7C60"/>
    <w:rsid w:val="000C463A"/>
    <w:rsid w:val="000C6F1E"/>
    <w:rsid w:val="000D5651"/>
    <w:rsid w:val="000D5862"/>
    <w:rsid w:val="000D67F2"/>
    <w:rsid w:val="000D6E3B"/>
    <w:rsid w:val="000E0D8E"/>
    <w:rsid w:val="000E20E2"/>
    <w:rsid w:val="000E369C"/>
    <w:rsid w:val="000E3FB9"/>
    <w:rsid w:val="000E6CBC"/>
    <w:rsid w:val="00100E9E"/>
    <w:rsid w:val="001012A1"/>
    <w:rsid w:val="00101685"/>
    <w:rsid w:val="00103911"/>
    <w:rsid w:val="001125C1"/>
    <w:rsid w:val="001204F5"/>
    <w:rsid w:val="001214C9"/>
    <w:rsid w:val="00123B5A"/>
    <w:rsid w:val="00124EEC"/>
    <w:rsid w:val="001316D4"/>
    <w:rsid w:val="001439B6"/>
    <w:rsid w:val="001474AE"/>
    <w:rsid w:val="00151572"/>
    <w:rsid w:val="00151FF1"/>
    <w:rsid w:val="0015432B"/>
    <w:rsid w:val="00155C61"/>
    <w:rsid w:val="00155C7D"/>
    <w:rsid w:val="0016033A"/>
    <w:rsid w:val="0016121B"/>
    <w:rsid w:val="0016350D"/>
    <w:rsid w:val="00163FA0"/>
    <w:rsid w:val="00167353"/>
    <w:rsid w:val="00173010"/>
    <w:rsid w:val="00176C66"/>
    <w:rsid w:val="00176CAA"/>
    <w:rsid w:val="00181B0B"/>
    <w:rsid w:val="00182FA1"/>
    <w:rsid w:val="00184824"/>
    <w:rsid w:val="0019411E"/>
    <w:rsid w:val="00194368"/>
    <w:rsid w:val="00195547"/>
    <w:rsid w:val="001A0522"/>
    <w:rsid w:val="001A34FC"/>
    <w:rsid w:val="001A3669"/>
    <w:rsid w:val="001A4AE0"/>
    <w:rsid w:val="001A5C6E"/>
    <w:rsid w:val="001A65F3"/>
    <w:rsid w:val="001B6449"/>
    <w:rsid w:val="001C1476"/>
    <w:rsid w:val="001C4686"/>
    <w:rsid w:val="001C652F"/>
    <w:rsid w:val="001C768E"/>
    <w:rsid w:val="001D2931"/>
    <w:rsid w:val="001D450C"/>
    <w:rsid w:val="001E0E90"/>
    <w:rsid w:val="001E2027"/>
    <w:rsid w:val="001F1893"/>
    <w:rsid w:val="001F28D6"/>
    <w:rsid w:val="001F5C68"/>
    <w:rsid w:val="00200775"/>
    <w:rsid w:val="00203971"/>
    <w:rsid w:val="002065D8"/>
    <w:rsid w:val="002074F6"/>
    <w:rsid w:val="00210223"/>
    <w:rsid w:val="00223ADB"/>
    <w:rsid w:val="0022492A"/>
    <w:rsid w:val="00225B2B"/>
    <w:rsid w:val="00225DA1"/>
    <w:rsid w:val="002260E9"/>
    <w:rsid w:val="00230508"/>
    <w:rsid w:val="00230E0F"/>
    <w:rsid w:val="00236383"/>
    <w:rsid w:val="0023677A"/>
    <w:rsid w:val="00242DB4"/>
    <w:rsid w:val="002436BD"/>
    <w:rsid w:val="00246723"/>
    <w:rsid w:val="00246D8E"/>
    <w:rsid w:val="002472E4"/>
    <w:rsid w:val="002510AD"/>
    <w:rsid w:val="00251253"/>
    <w:rsid w:val="0025217D"/>
    <w:rsid w:val="0025526F"/>
    <w:rsid w:val="00260347"/>
    <w:rsid w:val="00264496"/>
    <w:rsid w:val="0026634D"/>
    <w:rsid w:val="002717A9"/>
    <w:rsid w:val="002718E3"/>
    <w:rsid w:val="00281CAE"/>
    <w:rsid w:val="00293739"/>
    <w:rsid w:val="00297A92"/>
    <w:rsid w:val="002A3603"/>
    <w:rsid w:val="002A66B3"/>
    <w:rsid w:val="002A73BD"/>
    <w:rsid w:val="002B14C3"/>
    <w:rsid w:val="002B19D6"/>
    <w:rsid w:val="002B22B2"/>
    <w:rsid w:val="002B4366"/>
    <w:rsid w:val="002B4F91"/>
    <w:rsid w:val="002B7363"/>
    <w:rsid w:val="002C322D"/>
    <w:rsid w:val="002D2F9E"/>
    <w:rsid w:val="002E0198"/>
    <w:rsid w:val="00302E64"/>
    <w:rsid w:val="0030341C"/>
    <w:rsid w:val="0030506B"/>
    <w:rsid w:val="00306C0F"/>
    <w:rsid w:val="0031077C"/>
    <w:rsid w:val="003116CA"/>
    <w:rsid w:val="003136B2"/>
    <w:rsid w:val="00317EFB"/>
    <w:rsid w:val="00331B77"/>
    <w:rsid w:val="00334602"/>
    <w:rsid w:val="00334842"/>
    <w:rsid w:val="00334DD1"/>
    <w:rsid w:val="00340D2E"/>
    <w:rsid w:val="00341986"/>
    <w:rsid w:val="003449C6"/>
    <w:rsid w:val="00354CB8"/>
    <w:rsid w:val="00360F60"/>
    <w:rsid w:val="0037326B"/>
    <w:rsid w:val="00374FCE"/>
    <w:rsid w:val="003811BB"/>
    <w:rsid w:val="00381AC2"/>
    <w:rsid w:val="0038380C"/>
    <w:rsid w:val="003863A2"/>
    <w:rsid w:val="003866AD"/>
    <w:rsid w:val="003B12B6"/>
    <w:rsid w:val="003B385B"/>
    <w:rsid w:val="003B3CF0"/>
    <w:rsid w:val="003C600C"/>
    <w:rsid w:val="003D5032"/>
    <w:rsid w:val="003D77F1"/>
    <w:rsid w:val="003E22BA"/>
    <w:rsid w:val="003E4D3A"/>
    <w:rsid w:val="003F0930"/>
    <w:rsid w:val="003F5A8B"/>
    <w:rsid w:val="003F6F5E"/>
    <w:rsid w:val="0040175E"/>
    <w:rsid w:val="00406A52"/>
    <w:rsid w:val="00406E3D"/>
    <w:rsid w:val="004110B6"/>
    <w:rsid w:val="00415E6F"/>
    <w:rsid w:val="00422164"/>
    <w:rsid w:val="004262B9"/>
    <w:rsid w:val="00430342"/>
    <w:rsid w:val="00432F20"/>
    <w:rsid w:val="00443A02"/>
    <w:rsid w:val="004474D7"/>
    <w:rsid w:val="00450F39"/>
    <w:rsid w:val="0045565C"/>
    <w:rsid w:val="00457C57"/>
    <w:rsid w:val="004612EE"/>
    <w:rsid w:val="00462C7E"/>
    <w:rsid w:val="004630F3"/>
    <w:rsid w:val="00464220"/>
    <w:rsid w:val="004670AB"/>
    <w:rsid w:val="00470375"/>
    <w:rsid w:val="00475042"/>
    <w:rsid w:val="00481543"/>
    <w:rsid w:val="00492A3F"/>
    <w:rsid w:val="004A0256"/>
    <w:rsid w:val="004A0949"/>
    <w:rsid w:val="004A27A2"/>
    <w:rsid w:val="004B762D"/>
    <w:rsid w:val="004C0AA9"/>
    <w:rsid w:val="004C3512"/>
    <w:rsid w:val="004C3D07"/>
    <w:rsid w:val="004C48D5"/>
    <w:rsid w:val="004C6CCA"/>
    <w:rsid w:val="004D4579"/>
    <w:rsid w:val="004D51FA"/>
    <w:rsid w:val="004D55F9"/>
    <w:rsid w:val="004E0023"/>
    <w:rsid w:val="004E2008"/>
    <w:rsid w:val="004F461B"/>
    <w:rsid w:val="00506F04"/>
    <w:rsid w:val="005231EC"/>
    <w:rsid w:val="00527BF9"/>
    <w:rsid w:val="00530C96"/>
    <w:rsid w:val="00550E24"/>
    <w:rsid w:val="00556C43"/>
    <w:rsid w:val="0056141D"/>
    <w:rsid w:val="00561AA4"/>
    <w:rsid w:val="00563DEC"/>
    <w:rsid w:val="005646CC"/>
    <w:rsid w:val="00564B46"/>
    <w:rsid w:val="0056779E"/>
    <w:rsid w:val="00571FE0"/>
    <w:rsid w:val="005739A3"/>
    <w:rsid w:val="005774C2"/>
    <w:rsid w:val="00577BE2"/>
    <w:rsid w:val="0058163B"/>
    <w:rsid w:val="0058338D"/>
    <w:rsid w:val="005837F8"/>
    <w:rsid w:val="00585AAA"/>
    <w:rsid w:val="005865C9"/>
    <w:rsid w:val="00590D84"/>
    <w:rsid w:val="005B2AA2"/>
    <w:rsid w:val="005B616F"/>
    <w:rsid w:val="005B6265"/>
    <w:rsid w:val="005C087B"/>
    <w:rsid w:val="005D57D5"/>
    <w:rsid w:val="005D6A67"/>
    <w:rsid w:val="005E1A05"/>
    <w:rsid w:val="005E3EC1"/>
    <w:rsid w:val="005E4984"/>
    <w:rsid w:val="005E5910"/>
    <w:rsid w:val="005E5C3B"/>
    <w:rsid w:val="005F13AB"/>
    <w:rsid w:val="005F1EA0"/>
    <w:rsid w:val="005F1FCB"/>
    <w:rsid w:val="005F5F48"/>
    <w:rsid w:val="00607931"/>
    <w:rsid w:val="00611BE6"/>
    <w:rsid w:val="00613CBF"/>
    <w:rsid w:val="00616A26"/>
    <w:rsid w:val="00622480"/>
    <w:rsid w:val="0062665C"/>
    <w:rsid w:val="006315F1"/>
    <w:rsid w:val="00631A18"/>
    <w:rsid w:val="00637E3B"/>
    <w:rsid w:val="00642E13"/>
    <w:rsid w:val="00647D58"/>
    <w:rsid w:val="00653754"/>
    <w:rsid w:val="006540A3"/>
    <w:rsid w:val="00657678"/>
    <w:rsid w:val="00657991"/>
    <w:rsid w:val="00660970"/>
    <w:rsid w:val="00663606"/>
    <w:rsid w:val="00665036"/>
    <w:rsid w:val="00666C87"/>
    <w:rsid w:val="00682504"/>
    <w:rsid w:val="00682865"/>
    <w:rsid w:val="0068499E"/>
    <w:rsid w:val="00684F73"/>
    <w:rsid w:val="00686360"/>
    <w:rsid w:val="00691752"/>
    <w:rsid w:val="00692825"/>
    <w:rsid w:val="00694691"/>
    <w:rsid w:val="0069643C"/>
    <w:rsid w:val="00697007"/>
    <w:rsid w:val="00697DCA"/>
    <w:rsid w:val="006A2052"/>
    <w:rsid w:val="006A2D46"/>
    <w:rsid w:val="006A307C"/>
    <w:rsid w:val="006A31B7"/>
    <w:rsid w:val="006A3972"/>
    <w:rsid w:val="006B093F"/>
    <w:rsid w:val="006B1C10"/>
    <w:rsid w:val="006B7141"/>
    <w:rsid w:val="006C051B"/>
    <w:rsid w:val="006D0EF5"/>
    <w:rsid w:val="006D3918"/>
    <w:rsid w:val="006E1027"/>
    <w:rsid w:val="006F74E9"/>
    <w:rsid w:val="00700FA0"/>
    <w:rsid w:val="007031F4"/>
    <w:rsid w:val="007049CF"/>
    <w:rsid w:val="00707E47"/>
    <w:rsid w:val="00711543"/>
    <w:rsid w:val="007177EC"/>
    <w:rsid w:val="00725FBD"/>
    <w:rsid w:val="00727749"/>
    <w:rsid w:val="0073684B"/>
    <w:rsid w:val="007368AD"/>
    <w:rsid w:val="00736FE2"/>
    <w:rsid w:val="00741999"/>
    <w:rsid w:val="007428D4"/>
    <w:rsid w:val="007470AC"/>
    <w:rsid w:val="00747A74"/>
    <w:rsid w:val="00747AFF"/>
    <w:rsid w:val="00750069"/>
    <w:rsid w:val="007518EF"/>
    <w:rsid w:val="0075455C"/>
    <w:rsid w:val="007548D7"/>
    <w:rsid w:val="00756692"/>
    <w:rsid w:val="007624D6"/>
    <w:rsid w:val="00774922"/>
    <w:rsid w:val="00781001"/>
    <w:rsid w:val="007854D5"/>
    <w:rsid w:val="00785CDC"/>
    <w:rsid w:val="00795B00"/>
    <w:rsid w:val="00796561"/>
    <w:rsid w:val="00797A43"/>
    <w:rsid w:val="007A12E3"/>
    <w:rsid w:val="007A16FA"/>
    <w:rsid w:val="007C0929"/>
    <w:rsid w:val="007C1467"/>
    <w:rsid w:val="007D0D50"/>
    <w:rsid w:val="007D0DC1"/>
    <w:rsid w:val="007D436D"/>
    <w:rsid w:val="007D54D3"/>
    <w:rsid w:val="007E260A"/>
    <w:rsid w:val="007E3847"/>
    <w:rsid w:val="007E4B2A"/>
    <w:rsid w:val="007F1549"/>
    <w:rsid w:val="007F3864"/>
    <w:rsid w:val="00810661"/>
    <w:rsid w:val="00814176"/>
    <w:rsid w:val="00815A3A"/>
    <w:rsid w:val="00824626"/>
    <w:rsid w:val="00827579"/>
    <w:rsid w:val="00830F66"/>
    <w:rsid w:val="008317DC"/>
    <w:rsid w:val="008346CE"/>
    <w:rsid w:val="00836187"/>
    <w:rsid w:val="00841A6F"/>
    <w:rsid w:val="00843A5A"/>
    <w:rsid w:val="00867F26"/>
    <w:rsid w:val="008744AE"/>
    <w:rsid w:val="00876BA0"/>
    <w:rsid w:val="00881873"/>
    <w:rsid w:val="00885F41"/>
    <w:rsid w:val="00892F2E"/>
    <w:rsid w:val="008958DE"/>
    <w:rsid w:val="00896F90"/>
    <w:rsid w:val="008A16E2"/>
    <w:rsid w:val="008A3C0F"/>
    <w:rsid w:val="008A3FAD"/>
    <w:rsid w:val="008B5649"/>
    <w:rsid w:val="008C02E3"/>
    <w:rsid w:val="008C0C2E"/>
    <w:rsid w:val="008C7C30"/>
    <w:rsid w:val="008C7C92"/>
    <w:rsid w:val="008D367D"/>
    <w:rsid w:val="008D41FF"/>
    <w:rsid w:val="008D553D"/>
    <w:rsid w:val="008E033E"/>
    <w:rsid w:val="008E767D"/>
    <w:rsid w:val="008F738B"/>
    <w:rsid w:val="008F78A6"/>
    <w:rsid w:val="00905954"/>
    <w:rsid w:val="00914714"/>
    <w:rsid w:val="00922E88"/>
    <w:rsid w:val="00923B91"/>
    <w:rsid w:val="009265F8"/>
    <w:rsid w:val="00927091"/>
    <w:rsid w:val="00927539"/>
    <w:rsid w:val="00930D02"/>
    <w:rsid w:val="00932A8E"/>
    <w:rsid w:val="00932EFA"/>
    <w:rsid w:val="00935C58"/>
    <w:rsid w:val="00946D2A"/>
    <w:rsid w:val="009566F2"/>
    <w:rsid w:val="00957291"/>
    <w:rsid w:val="009669EA"/>
    <w:rsid w:val="00967D16"/>
    <w:rsid w:val="00970F2F"/>
    <w:rsid w:val="00985082"/>
    <w:rsid w:val="009918FF"/>
    <w:rsid w:val="009927BF"/>
    <w:rsid w:val="00995B88"/>
    <w:rsid w:val="0099752A"/>
    <w:rsid w:val="009A1F01"/>
    <w:rsid w:val="009A2C39"/>
    <w:rsid w:val="009B35A0"/>
    <w:rsid w:val="009C0CF5"/>
    <w:rsid w:val="009C1DC7"/>
    <w:rsid w:val="009C455A"/>
    <w:rsid w:val="009C5368"/>
    <w:rsid w:val="009C5A29"/>
    <w:rsid w:val="009C60CE"/>
    <w:rsid w:val="009D55CC"/>
    <w:rsid w:val="009D7882"/>
    <w:rsid w:val="009E0B92"/>
    <w:rsid w:val="009E5FC9"/>
    <w:rsid w:val="00A00614"/>
    <w:rsid w:val="00A1470D"/>
    <w:rsid w:val="00A14B46"/>
    <w:rsid w:val="00A16420"/>
    <w:rsid w:val="00A21711"/>
    <w:rsid w:val="00A23CAE"/>
    <w:rsid w:val="00A25ED5"/>
    <w:rsid w:val="00A2653D"/>
    <w:rsid w:val="00A279AF"/>
    <w:rsid w:val="00A32010"/>
    <w:rsid w:val="00A334AA"/>
    <w:rsid w:val="00A338DC"/>
    <w:rsid w:val="00A341AD"/>
    <w:rsid w:val="00A40DBF"/>
    <w:rsid w:val="00A4133B"/>
    <w:rsid w:val="00A44733"/>
    <w:rsid w:val="00A46ADB"/>
    <w:rsid w:val="00A4704C"/>
    <w:rsid w:val="00A573C7"/>
    <w:rsid w:val="00A6296B"/>
    <w:rsid w:val="00A6325C"/>
    <w:rsid w:val="00A63A2B"/>
    <w:rsid w:val="00A707FD"/>
    <w:rsid w:val="00A71EDF"/>
    <w:rsid w:val="00A824C6"/>
    <w:rsid w:val="00A84101"/>
    <w:rsid w:val="00A84C3C"/>
    <w:rsid w:val="00A871FD"/>
    <w:rsid w:val="00A9040D"/>
    <w:rsid w:val="00A91DB5"/>
    <w:rsid w:val="00A94110"/>
    <w:rsid w:val="00A97698"/>
    <w:rsid w:val="00AA0B3F"/>
    <w:rsid w:val="00AA1C32"/>
    <w:rsid w:val="00AA27D4"/>
    <w:rsid w:val="00AA530F"/>
    <w:rsid w:val="00AA5824"/>
    <w:rsid w:val="00AA6ED5"/>
    <w:rsid w:val="00AB3496"/>
    <w:rsid w:val="00AC2517"/>
    <w:rsid w:val="00AC4DF1"/>
    <w:rsid w:val="00AC61D6"/>
    <w:rsid w:val="00AC7A56"/>
    <w:rsid w:val="00AE1840"/>
    <w:rsid w:val="00AE4B9E"/>
    <w:rsid w:val="00AF5FB2"/>
    <w:rsid w:val="00B04B20"/>
    <w:rsid w:val="00B14899"/>
    <w:rsid w:val="00B16685"/>
    <w:rsid w:val="00B16B16"/>
    <w:rsid w:val="00B16DB2"/>
    <w:rsid w:val="00B20206"/>
    <w:rsid w:val="00B2458C"/>
    <w:rsid w:val="00B3289E"/>
    <w:rsid w:val="00B3708F"/>
    <w:rsid w:val="00B40821"/>
    <w:rsid w:val="00B40AD8"/>
    <w:rsid w:val="00B46CAC"/>
    <w:rsid w:val="00B50C2A"/>
    <w:rsid w:val="00B50C35"/>
    <w:rsid w:val="00B50DEF"/>
    <w:rsid w:val="00B52ACD"/>
    <w:rsid w:val="00B53143"/>
    <w:rsid w:val="00B53BF2"/>
    <w:rsid w:val="00B62417"/>
    <w:rsid w:val="00B64B2E"/>
    <w:rsid w:val="00B66C55"/>
    <w:rsid w:val="00B7057F"/>
    <w:rsid w:val="00B70F11"/>
    <w:rsid w:val="00B76505"/>
    <w:rsid w:val="00B841F1"/>
    <w:rsid w:val="00B85B6E"/>
    <w:rsid w:val="00B902CA"/>
    <w:rsid w:val="00B93FA3"/>
    <w:rsid w:val="00B942D7"/>
    <w:rsid w:val="00BA067F"/>
    <w:rsid w:val="00BB1678"/>
    <w:rsid w:val="00BB37AD"/>
    <w:rsid w:val="00BC0CE7"/>
    <w:rsid w:val="00BC2F49"/>
    <w:rsid w:val="00BD2728"/>
    <w:rsid w:val="00BE0C47"/>
    <w:rsid w:val="00BF1B43"/>
    <w:rsid w:val="00BF2953"/>
    <w:rsid w:val="00BF2F59"/>
    <w:rsid w:val="00C04468"/>
    <w:rsid w:val="00C1226A"/>
    <w:rsid w:val="00C148E1"/>
    <w:rsid w:val="00C16C41"/>
    <w:rsid w:val="00C20BCA"/>
    <w:rsid w:val="00C302FA"/>
    <w:rsid w:val="00C30E88"/>
    <w:rsid w:val="00C40731"/>
    <w:rsid w:val="00C61AFD"/>
    <w:rsid w:val="00C63563"/>
    <w:rsid w:val="00C70E5C"/>
    <w:rsid w:val="00C8253A"/>
    <w:rsid w:val="00C91041"/>
    <w:rsid w:val="00C91252"/>
    <w:rsid w:val="00C94088"/>
    <w:rsid w:val="00C948AA"/>
    <w:rsid w:val="00C96F89"/>
    <w:rsid w:val="00C97AB3"/>
    <w:rsid w:val="00CA59B5"/>
    <w:rsid w:val="00CA6CB3"/>
    <w:rsid w:val="00CB384A"/>
    <w:rsid w:val="00CB7B07"/>
    <w:rsid w:val="00CC40A3"/>
    <w:rsid w:val="00CC45B3"/>
    <w:rsid w:val="00CC4A3B"/>
    <w:rsid w:val="00CD1947"/>
    <w:rsid w:val="00CD432A"/>
    <w:rsid w:val="00CE1BB4"/>
    <w:rsid w:val="00CF1D43"/>
    <w:rsid w:val="00CF7D89"/>
    <w:rsid w:val="00D03A8A"/>
    <w:rsid w:val="00D03AE0"/>
    <w:rsid w:val="00D05FA9"/>
    <w:rsid w:val="00D1077E"/>
    <w:rsid w:val="00D10961"/>
    <w:rsid w:val="00D14060"/>
    <w:rsid w:val="00D17ABC"/>
    <w:rsid w:val="00D249EB"/>
    <w:rsid w:val="00D2697A"/>
    <w:rsid w:val="00D40662"/>
    <w:rsid w:val="00D4126D"/>
    <w:rsid w:val="00D413ED"/>
    <w:rsid w:val="00D4263D"/>
    <w:rsid w:val="00D464A6"/>
    <w:rsid w:val="00D473DB"/>
    <w:rsid w:val="00D47FF7"/>
    <w:rsid w:val="00D53471"/>
    <w:rsid w:val="00D5666F"/>
    <w:rsid w:val="00D57590"/>
    <w:rsid w:val="00D64906"/>
    <w:rsid w:val="00D66255"/>
    <w:rsid w:val="00D670CB"/>
    <w:rsid w:val="00D81CC2"/>
    <w:rsid w:val="00D82FB2"/>
    <w:rsid w:val="00D84C81"/>
    <w:rsid w:val="00D87E36"/>
    <w:rsid w:val="00D918F4"/>
    <w:rsid w:val="00D93654"/>
    <w:rsid w:val="00D95276"/>
    <w:rsid w:val="00D968EE"/>
    <w:rsid w:val="00D9707F"/>
    <w:rsid w:val="00DA3888"/>
    <w:rsid w:val="00DA54B4"/>
    <w:rsid w:val="00DE1130"/>
    <w:rsid w:val="00DE6ED3"/>
    <w:rsid w:val="00DF3453"/>
    <w:rsid w:val="00DF524E"/>
    <w:rsid w:val="00DF6815"/>
    <w:rsid w:val="00DF7DA0"/>
    <w:rsid w:val="00E014C5"/>
    <w:rsid w:val="00E04428"/>
    <w:rsid w:val="00E051C6"/>
    <w:rsid w:val="00E0553E"/>
    <w:rsid w:val="00E1150C"/>
    <w:rsid w:val="00E15497"/>
    <w:rsid w:val="00E16789"/>
    <w:rsid w:val="00E179FF"/>
    <w:rsid w:val="00E201A8"/>
    <w:rsid w:val="00E22458"/>
    <w:rsid w:val="00E3026E"/>
    <w:rsid w:val="00E333F0"/>
    <w:rsid w:val="00E36930"/>
    <w:rsid w:val="00E378A0"/>
    <w:rsid w:val="00E50299"/>
    <w:rsid w:val="00E5191A"/>
    <w:rsid w:val="00E52DFE"/>
    <w:rsid w:val="00E532CF"/>
    <w:rsid w:val="00E54D30"/>
    <w:rsid w:val="00E55E04"/>
    <w:rsid w:val="00E56405"/>
    <w:rsid w:val="00E74E53"/>
    <w:rsid w:val="00E754E3"/>
    <w:rsid w:val="00E758B5"/>
    <w:rsid w:val="00E81CB3"/>
    <w:rsid w:val="00E83E80"/>
    <w:rsid w:val="00E90C89"/>
    <w:rsid w:val="00E91CB2"/>
    <w:rsid w:val="00E93631"/>
    <w:rsid w:val="00E978ED"/>
    <w:rsid w:val="00EA7309"/>
    <w:rsid w:val="00EA739F"/>
    <w:rsid w:val="00EA770D"/>
    <w:rsid w:val="00EB4963"/>
    <w:rsid w:val="00EB4AD8"/>
    <w:rsid w:val="00EC5653"/>
    <w:rsid w:val="00EC5C25"/>
    <w:rsid w:val="00ED59AE"/>
    <w:rsid w:val="00ED5DAD"/>
    <w:rsid w:val="00EE2730"/>
    <w:rsid w:val="00EE2C47"/>
    <w:rsid w:val="00EF1CBC"/>
    <w:rsid w:val="00EF5E30"/>
    <w:rsid w:val="00F04E07"/>
    <w:rsid w:val="00F05681"/>
    <w:rsid w:val="00F0754C"/>
    <w:rsid w:val="00F1133B"/>
    <w:rsid w:val="00F20595"/>
    <w:rsid w:val="00F30C81"/>
    <w:rsid w:val="00F3728F"/>
    <w:rsid w:val="00F436BC"/>
    <w:rsid w:val="00F44A09"/>
    <w:rsid w:val="00F5607A"/>
    <w:rsid w:val="00F570B3"/>
    <w:rsid w:val="00F57F8B"/>
    <w:rsid w:val="00F635D3"/>
    <w:rsid w:val="00F71E2F"/>
    <w:rsid w:val="00F73CEF"/>
    <w:rsid w:val="00F763C8"/>
    <w:rsid w:val="00F7706D"/>
    <w:rsid w:val="00F7760A"/>
    <w:rsid w:val="00F87C4C"/>
    <w:rsid w:val="00FA06C2"/>
    <w:rsid w:val="00FA0B81"/>
    <w:rsid w:val="00FA37B6"/>
    <w:rsid w:val="00FA5345"/>
    <w:rsid w:val="00FA73DD"/>
    <w:rsid w:val="00FB0521"/>
    <w:rsid w:val="00FC76F2"/>
    <w:rsid w:val="00FD5004"/>
    <w:rsid w:val="00FD566F"/>
    <w:rsid w:val="00FD728F"/>
    <w:rsid w:val="00FE0AD2"/>
    <w:rsid w:val="00FE4001"/>
    <w:rsid w:val="00FE4235"/>
    <w:rsid w:val="00FE6E9D"/>
    <w:rsid w:val="00FF26EF"/>
    <w:rsid w:val="00FF321F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72A69A6A"/>
  <w15:docId w15:val="{639DA553-8A30-4A57-B94F-F536F2A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4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A0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F7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A0"/>
    <w:rPr>
      <w:rFonts w:ascii="Trebuchet MS" w:eastAsia="Times New Roman" w:hAnsi="Trebuchet MS"/>
      <w:sz w:val="22"/>
    </w:rPr>
  </w:style>
  <w:style w:type="paragraph" w:styleId="FootnoteText">
    <w:name w:val="footnote text"/>
    <w:aliases w:val="Char"/>
    <w:basedOn w:val="Normal"/>
    <w:link w:val="FootnoteTextChar"/>
    <w:uiPriority w:val="99"/>
    <w:semiHidden/>
    <w:unhideWhenUsed/>
    <w:rsid w:val="000B6A84"/>
    <w:rPr>
      <w:sz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semiHidden/>
    <w:rsid w:val="000B6A84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B6A8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02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ra.gov.au/minor-amendments-to-centralise-definition-of-a-signification-financial-institution" TargetMode="External"/><Relationship Id="rId1" Type="http://schemas.openxmlformats.org/officeDocument/2006/relationships/hyperlink" Target="https://www.apra.gov.au/consultation-on-minor-amendments-to-centralise-definition-of-a-significant-financial-institu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revoke%20and%20remake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Explanatory statement; revoke and replace; prudential standard; precedent; example</APRAKeywords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134</Value>
      <Value>10</Value>
      <Value>26</Value>
      <Value>93</Value>
      <Value>109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Banking and Insurance Definitions made on 120822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5JENXJJSCC7A-445999044-11810</_dlc_DocId>
    <_dlc_DocIdUrl xmlns="814d62cb-2db6-4c25-ab62-b9075facbc11">
      <Url>https://im/teams/LEGAL/_layouts/15/DocIdRedir.aspx?ID=5JENXJJSCC7A-445999044-11810</Url>
      <Description>5JENXJJSCC7A-445999044-11810</Description>
    </_dlc_DocIdUrl>
    <APRAMeetingDate xmlns="814d62cb-2db6-4c25-ab62-b9075facbc11" xsi:nil="true"/>
    <APRAMeetingNumber xmlns="814d62cb-2db6-4c25-ab62-b9075facbc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BE7FF-85D3-4545-BC77-4BFD36BC3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1B70D-A6A8-4556-B7C1-F94206C4A61B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14d62cb-2db6-4c25-ab62-b9075facbc1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F2C506-14AA-45AC-A1C5-47570604E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42FB3-745E-4AE1-8F1C-9D29C17E2A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76EAF7C-C054-456D-BB6F-9A71CE16A5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14BA96-127A-4C8E-B7C3-3CD01A1CF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revoke and remake prudential standard (April 2016).dotx</Template>
  <TotalTime>1</TotalTime>
  <Pages>5</Pages>
  <Words>1546</Words>
  <Characters>8627</Characters>
  <Application>Microsoft Office Word</Application>
  <DocSecurity>0</DocSecurity>
  <Lines>156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- banking and insurance definitions standards</vt:lpstr>
    </vt:vector>
  </TitlesOfParts>
  <Company>APRA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Banking and Insurance Definitions - 120822</dc:title>
  <dc:creator>Sullivan, David</dc:creator>
  <cp:keywords>[SEC=OFFICIAL]</cp:keywords>
  <cp:lastModifiedBy>Toni Michalis</cp:lastModifiedBy>
  <cp:revision>2</cp:revision>
  <cp:lastPrinted>2020-01-09T02:14:00Z</cp:lastPrinted>
  <dcterms:created xsi:type="dcterms:W3CDTF">2022-08-15T21:57:00Z</dcterms:created>
  <dcterms:modified xsi:type="dcterms:W3CDTF">2022-08-15T21:57:00Z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Originator_Hash_SHA1">
    <vt:lpwstr>C3AD57350F36D8E1BD75F8F67CB06D435C9C43CA</vt:lpwstr>
  </property>
  <property fmtid="{D5CDD505-2E9C-101B-9397-08002B2CF9AE}" pid="5" name="PM_SecurityClassification">
    <vt:lpwstr>OFFICIAL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Hash_SHA1">
    <vt:lpwstr>E114029D356BA365F535E9E13D2E841B7C42E5AD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Originating_FileId">
    <vt:lpwstr>21ED1FDBCD7D4344A20D6AFD8053454A</vt:lpwstr>
  </property>
  <property fmtid="{D5CDD505-2E9C-101B-9397-08002B2CF9AE}" pid="16" name="PM_OriginationTimeStamp">
    <vt:lpwstr>2022-08-15T21:56:26Z</vt:lpwstr>
  </property>
  <property fmtid="{D5CDD505-2E9C-101B-9397-08002B2CF9AE}" pid="17" name="PM_Hash_Version">
    <vt:lpwstr>2018.0</vt:lpwstr>
  </property>
  <property fmtid="{D5CDD505-2E9C-101B-9397-08002B2CF9AE}" pid="18" name="PM_Hash_Salt_Prev">
    <vt:lpwstr>1F70ABDE059D2A99E2F9817249E5ADF2</vt:lpwstr>
  </property>
  <property fmtid="{D5CDD505-2E9C-101B-9397-08002B2CF9AE}" pid="19" name="PM_Hash_Salt">
    <vt:lpwstr>2F9703F8FC0BF10166C26B5FE0F459BB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24" name="APRAYear">
    <vt:lpwstr/>
  </property>
  <property fmtid="{D5CDD505-2E9C-101B-9397-08002B2CF9AE}" pid="25" name="APRAIndustry">
    <vt:lpwstr/>
  </property>
  <property fmtid="{D5CDD505-2E9C-101B-9397-08002B2CF9AE}" pid="26" name="APRAPRSG">
    <vt:lpwstr/>
  </property>
  <property fmtid="{D5CDD505-2E9C-101B-9397-08002B2CF9AE}" pid="27" name="_dlc_DocIdItemGuid">
    <vt:lpwstr>842625e0-237c-4a7c-a9de-c74104434049</vt:lpwstr>
  </property>
  <property fmtid="{D5CDD505-2E9C-101B-9397-08002B2CF9AE}" pid="28" name="IsLocked">
    <vt:lpwstr>False</vt:lpwstr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WebId">
    <vt:lpwstr>{75a71c27-8d66-4282-ae60-1bfc22a83be1}</vt:lpwstr>
  </property>
  <property fmtid="{D5CDD505-2E9C-101B-9397-08002B2CF9AE}" pid="40" name="RecordPoint_ActiveItemSiteId">
    <vt:lpwstr>{88691c01-5bbb-4215-adc0-66cb7065b0af}</vt:lpwstr>
  </property>
  <property fmtid="{D5CDD505-2E9C-101B-9397-08002B2CF9AE}" pid="41" name="RecordPoint_ActiveItemListId">
    <vt:lpwstr>{0e59e171-09d8-4401-800a-327154450cb3}</vt:lpwstr>
  </property>
  <property fmtid="{D5CDD505-2E9C-101B-9397-08002B2CF9AE}" pid="42" name="RecordPoint_ActiveItemUniqueId">
    <vt:lpwstr>{842625e0-237c-4a7c-a9de-c74104434049}</vt:lpwstr>
  </property>
  <property fmtid="{D5CDD505-2E9C-101B-9397-08002B2CF9AE}" pid="43" name="RecordPoint_RecordNumberSubmitted">
    <vt:lpwstr>R0001643680</vt:lpwstr>
  </property>
  <property fmtid="{D5CDD505-2E9C-101B-9397-08002B2CF9AE}" pid="44" name="RecordPoint_SubmissionCompleted">
    <vt:lpwstr>2022-08-16T08:19:02.3111608+10:00</vt:lpwstr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PM_SecurityClassification_Prev">
    <vt:lpwstr>OFFICIAL</vt:lpwstr>
  </property>
  <property fmtid="{D5CDD505-2E9C-101B-9397-08002B2CF9AE}" pid="49" name="PM_Qualifier_Prev">
    <vt:lpwstr/>
  </property>
  <property fmtid="{D5CDD505-2E9C-101B-9397-08002B2CF9AE}" pid="50" name="PM_Note">
    <vt:lpwstr/>
  </property>
  <property fmtid="{D5CDD505-2E9C-101B-9397-08002B2CF9AE}" pid="51" name="PM_Markers">
    <vt:lpwstr/>
  </property>
  <property fmtid="{D5CDD505-2E9C-101B-9397-08002B2CF9AE}" pid="52" name="PM_Display">
    <vt:lpwstr>OFFICIAL</vt:lpwstr>
  </property>
  <property fmtid="{D5CDD505-2E9C-101B-9397-08002B2CF9AE}" pid="53" name="PMUuid">
    <vt:lpwstr>ABBFF5E2-9674-55C9-B08D-C9980002FD58</vt:lpwstr>
  </property>
  <property fmtid="{D5CDD505-2E9C-101B-9397-08002B2CF9AE}" pid="54" name="PMUuidVer">
    <vt:lpwstr>2022.1</vt:lpwstr>
  </property>
  <property fmtid="{D5CDD505-2E9C-101B-9397-08002B2CF9AE}" pid="55" name="PM_OriginatorUserAccountName_SHA256">
    <vt:lpwstr>6E3018F28A186D2E5FF5207C041E7A82E907C3008E071057026A53705873B72E</vt:lpwstr>
  </property>
  <property fmtid="{D5CDD505-2E9C-101B-9397-08002B2CF9AE}" pid="56" name="PM_OriginatorDomainName_SHA256">
    <vt:lpwstr>ECBDE2B44A971754412B3FB70606937A119CC0D4B6C1B658A40FBD41C30BE3EC</vt:lpwstr>
  </property>
  <property fmtid="{D5CDD505-2E9C-101B-9397-08002B2CF9AE}" pid="57" name="MSIP_Label_c0129afb-6481-4f92-bc9f-5a4a6346364d_SetDate">
    <vt:lpwstr>2022-08-14T23:38:26Z</vt:lpwstr>
  </property>
  <property fmtid="{D5CDD505-2E9C-101B-9397-08002B2CF9AE}" pid="58" name="MSIP_Label_c0129afb-6481-4f92-bc9f-5a4a6346364d_Name">
    <vt:lpwstr>OFFICIAL</vt:lpwstr>
  </property>
  <property fmtid="{D5CDD505-2E9C-101B-9397-08002B2CF9AE}" pid="59" name="MSIP_Label_c0129afb-6481-4f92-bc9f-5a4a6346364d_SiteId">
    <vt:lpwstr>c05e3ffd-b491-4431-9809-e61d4dc78816</vt:lpwstr>
  </property>
  <property fmtid="{D5CDD505-2E9C-101B-9397-08002B2CF9AE}" pid="60" name="MSIP_Label_c0129afb-6481-4f92-bc9f-5a4a6346364d_Enabled">
    <vt:lpwstr>true</vt:lpwstr>
  </property>
</Properties>
</file>