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A16C" w14:textId="77777777" w:rsidR="001D139B" w:rsidRPr="0007214C" w:rsidRDefault="001D139B" w:rsidP="001D139B">
      <w:pPr>
        <w:jc w:val="center"/>
        <w:rPr>
          <w:rFonts w:ascii="Times New Roman" w:hAnsi="Times New Roman"/>
          <w:b/>
          <w:i/>
          <w:sz w:val="28"/>
        </w:rPr>
      </w:pPr>
      <w:r w:rsidRPr="0007214C">
        <w:rPr>
          <w:rFonts w:ascii="Times New Roman" w:hAnsi="Times New Roman"/>
          <w:b/>
          <w:sz w:val="28"/>
          <w:u w:val="single"/>
        </w:rPr>
        <w:t>EXPLANATORY STATEMENT</w:t>
      </w:r>
      <w:r w:rsidRPr="0007214C">
        <w:rPr>
          <w:rFonts w:ascii="Times New Roman" w:hAnsi="Times New Roman"/>
          <w:b/>
          <w:sz w:val="28"/>
          <w:u w:val="single"/>
        </w:rPr>
        <w:br/>
      </w:r>
      <w:r w:rsidRPr="0007214C">
        <w:rPr>
          <w:rFonts w:ascii="Times New Roman" w:hAnsi="Times New Roman"/>
          <w:b/>
          <w:sz w:val="28"/>
          <w:u w:val="single"/>
        </w:rPr>
        <w:br/>
      </w:r>
      <w:r w:rsidRPr="0007214C">
        <w:rPr>
          <w:rFonts w:ascii="Times New Roman" w:hAnsi="Times New Roman"/>
          <w:b/>
          <w:i/>
          <w:sz w:val="28"/>
        </w:rPr>
        <w:t>Telecommunications (Carrier Licence Charges) Act 1997</w:t>
      </w:r>
    </w:p>
    <w:p w14:paraId="4CF5967B" w14:textId="5359A81D" w:rsidR="001D139B" w:rsidRPr="0007214C" w:rsidRDefault="0018724B" w:rsidP="001D139B">
      <w:pPr>
        <w:spacing w:before="240"/>
        <w:jc w:val="center"/>
        <w:rPr>
          <w:rFonts w:ascii="Times New Roman" w:hAnsi="Times New Roman"/>
          <w:b/>
          <w:sz w:val="28"/>
        </w:rPr>
      </w:pPr>
      <w:r>
        <w:rPr>
          <w:rFonts w:ascii="Times New Roman" w:hAnsi="Times New Roman"/>
          <w:b/>
          <w:sz w:val="28"/>
        </w:rPr>
        <w:t xml:space="preserve">2022 </w:t>
      </w:r>
      <w:r w:rsidR="001D139B" w:rsidRPr="0007214C">
        <w:rPr>
          <w:rFonts w:ascii="Times New Roman" w:hAnsi="Times New Roman"/>
          <w:b/>
          <w:sz w:val="28"/>
        </w:rPr>
        <w:t xml:space="preserve">Determination under Paragraph 15(1)(b) </w:t>
      </w:r>
    </w:p>
    <w:p w14:paraId="049ADC68" w14:textId="77777777" w:rsidR="001D139B" w:rsidRPr="001D139B" w:rsidRDefault="001D139B" w:rsidP="001D139B">
      <w:pPr>
        <w:spacing w:before="240"/>
        <w:jc w:val="center"/>
        <w:rPr>
          <w:rFonts w:ascii="Times New Roman" w:hAnsi="Times New Roman"/>
          <w:b/>
          <w:sz w:val="24"/>
        </w:rPr>
      </w:pPr>
      <w:r w:rsidRPr="0007214C">
        <w:rPr>
          <w:rFonts w:ascii="Times New Roman" w:hAnsi="Times New Roman"/>
          <w:b/>
          <w:sz w:val="24"/>
        </w:rPr>
        <w:t>Issued by the Australian Competition &amp; Consumer Commission</w:t>
      </w:r>
      <w:r>
        <w:rPr>
          <w:rFonts w:ascii="Times New Roman" w:hAnsi="Times New Roman"/>
          <w:b/>
          <w:sz w:val="24"/>
        </w:rPr>
        <w:br/>
      </w:r>
    </w:p>
    <w:p w14:paraId="44062E97" w14:textId="519D139B" w:rsidR="00833922" w:rsidRPr="00833922" w:rsidRDefault="001D139B" w:rsidP="001D139B">
      <w:pPr>
        <w:rPr>
          <w:rFonts w:ascii="Times New Roman" w:hAnsi="Times New Roman"/>
          <w:sz w:val="24"/>
        </w:rPr>
      </w:pPr>
      <w:r w:rsidRPr="001D139B">
        <w:rPr>
          <w:rFonts w:ascii="Times New Roman" w:hAnsi="Times New Roman"/>
          <w:b/>
          <w:sz w:val="24"/>
        </w:rPr>
        <w:t>Legislative Provisions</w:t>
      </w:r>
      <w:r>
        <w:rPr>
          <w:rFonts w:ascii="Times New Roman" w:hAnsi="Times New Roman"/>
          <w:b/>
          <w:sz w:val="24"/>
        </w:rPr>
        <w:br/>
      </w:r>
      <w:r>
        <w:rPr>
          <w:rFonts w:ascii="Times New Roman" w:hAnsi="Times New Roman"/>
          <w:b/>
          <w:sz w:val="24"/>
        </w:rPr>
        <w:br/>
      </w:r>
      <w:r w:rsidRPr="001D139B">
        <w:rPr>
          <w:rFonts w:ascii="Times New Roman" w:hAnsi="Times New Roman"/>
          <w:sz w:val="24"/>
        </w:rPr>
        <w:t xml:space="preserve">The </w:t>
      </w:r>
      <w:r w:rsidRPr="001D139B">
        <w:rPr>
          <w:rFonts w:ascii="Times New Roman" w:hAnsi="Times New Roman"/>
          <w:i/>
          <w:sz w:val="24"/>
        </w:rPr>
        <w:t>Telecommunications (Carrier Licence Charges) Act 1997</w:t>
      </w:r>
      <w:r w:rsidRPr="001D139B">
        <w:rPr>
          <w:rFonts w:ascii="Times New Roman" w:hAnsi="Times New Roman"/>
          <w:sz w:val="24"/>
        </w:rPr>
        <w:t xml:space="preserve"> (the Act) sets out the method </w:t>
      </w:r>
      <w:r w:rsidR="007D1FBF">
        <w:rPr>
          <w:rFonts w:ascii="Times New Roman" w:hAnsi="Times New Roman"/>
          <w:sz w:val="24"/>
        </w:rPr>
        <w:t>for imposing</w:t>
      </w:r>
      <w:r w:rsidRPr="001D139B">
        <w:rPr>
          <w:rFonts w:ascii="Times New Roman" w:hAnsi="Times New Roman"/>
          <w:sz w:val="24"/>
        </w:rPr>
        <w:t xml:space="preserve"> annual charges </w:t>
      </w:r>
      <w:r w:rsidR="007D1FBF">
        <w:rPr>
          <w:rFonts w:ascii="Times New Roman" w:hAnsi="Times New Roman"/>
          <w:sz w:val="24"/>
        </w:rPr>
        <w:t>in relation</w:t>
      </w:r>
      <w:r w:rsidRPr="001D139B">
        <w:rPr>
          <w:rFonts w:ascii="Times New Roman" w:hAnsi="Times New Roman"/>
          <w:sz w:val="24"/>
        </w:rPr>
        <w:t xml:space="preserve"> to the carrier licences held by telecommunications carriers</w:t>
      </w:r>
      <w:r w:rsidR="007D1FBF">
        <w:rPr>
          <w:rFonts w:ascii="Times New Roman" w:hAnsi="Times New Roman"/>
          <w:sz w:val="24"/>
        </w:rPr>
        <w:t xml:space="preserve"> under the </w:t>
      </w:r>
      <w:r w:rsidR="007D1FBF" w:rsidRPr="001F7736">
        <w:rPr>
          <w:rFonts w:ascii="Times New Roman" w:hAnsi="Times New Roman"/>
          <w:i/>
          <w:sz w:val="24"/>
        </w:rPr>
        <w:t>Telecommunications Act 1997</w:t>
      </w:r>
      <w:r w:rsidRPr="001D139B">
        <w:rPr>
          <w:rFonts w:ascii="Times New Roman" w:hAnsi="Times New Roman"/>
          <w:sz w:val="24"/>
        </w:rPr>
        <w:t xml:space="preserve">.  </w:t>
      </w:r>
      <w:r w:rsidRPr="00833922">
        <w:rPr>
          <w:rFonts w:ascii="Times New Roman" w:hAnsi="Times New Roman"/>
          <w:sz w:val="24"/>
        </w:rPr>
        <w:t>Subsection 15(1) of the Act provides that the total of charges that are imposed on carrier licences in force at the beginning of a financial year must not exceed the sum of:</w:t>
      </w:r>
    </w:p>
    <w:p w14:paraId="3C362229"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w:t>
      </w:r>
      <w:r w:rsidR="007D1FBF">
        <w:rPr>
          <w:rFonts w:ascii="Times New Roman" w:hAnsi="Times New Roman"/>
          <w:sz w:val="24"/>
        </w:rPr>
        <w:t xml:space="preserve">ustralian </w:t>
      </w:r>
      <w:r w:rsidRPr="00833922">
        <w:rPr>
          <w:rFonts w:ascii="Times New Roman" w:hAnsi="Times New Roman"/>
          <w:sz w:val="24"/>
        </w:rPr>
        <w:t>C</w:t>
      </w:r>
      <w:r w:rsidR="007D1FBF">
        <w:rPr>
          <w:rFonts w:ascii="Times New Roman" w:hAnsi="Times New Roman"/>
          <w:sz w:val="24"/>
        </w:rPr>
        <w:t xml:space="preserve">ommunications and </w:t>
      </w:r>
      <w:r w:rsidRPr="00833922">
        <w:rPr>
          <w:rFonts w:ascii="Times New Roman" w:hAnsi="Times New Roman"/>
          <w:sz w:val="24"/>
        </w:rPr>
        <w:t>M</w:t>
      </w:r>
      <w:r w:rsidR="007D1FBF">
        <w:rPr>
          <w:rFonts w:ascii="Times New Roman" w:hAnsi="Times New Roman"/>
          <w:sz w:val="24"/>
        </w:rPr>
        <w:t xml:space="preserve">edia </w:t>
      </w:r>
      <w:r w:rsidRPr="00833922">
        <w:rPr>
          <w:rFonts w:ascii="Times New Roman" w:hAnsi="Times New Roman"/>
          <w:sz w:val="24"/>
        </w:rPr>
        <w:t>A</w:t>
      </w:r>
      <w:r w:rsidR="007D1FBF">
        <w:rPr>
          <w:rFonts w:ascii="Times New Roman" w:hAnsi="Times New Roman"/>
          <w:sz w:val="24"/>
        </w:rPr>
        <w:t>uthority (ACMA)</w:t>
      </w:r>
      <w:r w:rsidRPr="00833922">
        <w:rPr>
          <w:rFonts w:ascii="Times New Roman" w:hAnsi="Times New Roman"/>
          <w:sz w:val="24"/>
        </w:rPr>
        <w:t>, to be the proportion of the ACMA's costs for the immediately preceding financial year that is attributable to the ACMA's telecommunications functions and powers; and</w:t>
      </w:r>
    </w:p>
    <w:p w14:paraId="03C9476E"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 xml:space="preserve">the amount determined, by a written instrument made by the </w:t>
      </w:r>
      <w:r w:rsidR="007D1FBF">
        <w:rPr>
          <w:rFonts w:ascii="Times New Roman" w:hAnsi="Times New Roman"/>
          <w:sz w:val="24"/>
        </w:rPr>
        <w:t>Australian Competition and Consumer Commission (</w:t>
      </w:r>
      <w:r w:rsidRPr="00833922">
        <w:rPr>
          <w:rFonts w:ascii="Times New Roman" w:hAnsi="Times New Roman"/>
          <w:sz w:val="24"/>
        </w:rPr>
        <w:t>ACCC</w:t>
      </w:r>
      <w:r w:rsidR="007D1FBF">
        <w:rPr>
          <w:rFonts w:ascii="Times New Roman" w:hAnsi="Times New Roman"/>
          <w:sz w:val="24"/>
        </w:rPr>
        <w:t>)</w:t>
      </w:r>
      <w:r w:rsidRPr="00833922">
        <w:rPr>
          <w:rFonts w:ascii="Times New Roman" w:hAnsi="Times New Roman"/>
          <w:sz w:val="24"/>
        </w:rPr>
        <w:t>, to be the proportion of the ACCC's costs for the immediately preceding financial year that is attributable to the ACCC's telecommunications functions and powers; and</w:t>
      </w:r>
    </w:p>
    <w:p w14:paraId="5BC5F3D7"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14:paraId="542877BD" w14:textId="77777777" w:rsidR="00833922" w:rsidRPr="00833922" w:rsidRDefault="00833922" w:rsidP="00833922">
      <w:pPr>
        <w:tabs>
          <w:tab w:val="left" w:pos="1080"/>
        </w:tabs>
        <w:ind w:left="1080" w:hanging="643"/>
        <w:jc w:val="both"/>
        <w:rPr>
          <w:rFonts w:ascii="Times New Roman" w:hAnsi="Times New Roman"/>
          <w:sz w:val="24"/>
        </w:rPr>
      </w:pPr>
      <w:r w:rsidRPr="00833922">
        <w:rPr>
          <w:rFonts w:ascii="Times New Roman" w:hAnsi="Times New Roman"/>
          <w:sz w:val="24"/>
        </w:rPr>
        <w:t>(ca)</w:t>
      </w:r>
      <w:r w:rsidRPr="00833922">
        <w:rPr>
          <w:rFonts w:ascii="Times New Roman" w:hAnsi="Times New Roman"/>
          <w:sz w:val="24"/>
        </w:rPr>
        <w:tab/>
        <w:t xml:space="preserve">the amount determined, by a written instrument made by the ACMA, to be the sum of the amounts paid under section 136C of the </w:t>
      </w:r>
      <w:r w:rsidRPr="00833922">
        <w:rPr>
          <w:rFonts w:ascii="Times New Roman" w:hAnsi="Times New Roman"/>
          <w:i/>
          <w:sz w:val="24"/>
        </w:rPr>
        <w:t>Telecommunications Act 1997</w:t>
      </w:r>
      <w:r w:rsidRPr="00833922">
        <w:rPr>
          <w:rFonts w:ascii="Times New Roman" w:hAnsi="Times New Roman"/>
          <w:sz w:val="24"/>
        </w:rPr>
        <w:t xml:space="preserve"> during the immediately preceding financial year; and</w:t>
      </w:r>
    </w:p>
    <w:p w14:paraId="2F86786F"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 xml:space="preserve">the amount determined, in a written instrument made by the Minister, to be the estimated total amount of grants likely to be made during the financial year under section 593 of the </w:t>
      </w:r>
      <w:r w:rsidRPr="00833922">
        <w:rPr>
          <w:rFonts w:ascii="Times New Roman" w:hAnsi="Times New Roman"/>
          <w:i/>
          <w:sz w:val="24"/>
        </w:rPr>
        <w:t>Telecommunications Act 1997</w:t>
      </w:r>
      <w:r w:rsidRPr="00833922">
        <w:rPr>
          <w:rFonts w:ascii="Times New Roman" w:hAnsi="Times New Roman"/>
          <w:sz w:val="24"/>
        </w:rPr>
        <w:t>.</w:t>
      </w:r>
    </w:p>
    <w:p w14:paraId="2DDE1DF8" w14:textId="77777777" w:rsidR="00372080" w:rsidRDefault="00833922" w:rsidP="00833922">
      <w:pPr>
        <w:spacing w:before="0" w:after="0"/>
        <w:rPr>
          <w:rFonts w:ascii="Times New Roman" w:hAnsi="Times New Roman"/>
          <w:sz w:val="24"/>
        </w:rPr>
      </w:pPr>
      <w:r>
        <w:rPr>
          <w:rFonts w:ascii="Times New Roman" w:hAnsi="Times New Roman"/>
          <w:sz w:val="24"/>
        </w:rPr>
        <w:br/>
      </w:r>
      <w:r w:rsidR="001D139B" w:rsidRPr="00833922">
        <w:rPr>
          <w:rFonts w:ascii="Times New Roman" w:hAnsi="Times New Roman"/>
          <w:sz w:val="24"/>
        </w:rPr>
        <w:t xml:space="preserve">Paragraph 15(4)(b) of the Act defines “cost” and provides that in relation to the ACCC, costs </w:t>
      </w:r>
      <w:proofErr w:type="gramStart"/>
      <w:r w:rsidR="001D139B" w:rsidRPr="00833922">
        <w:rPr>
          <w:rFonts w:ascii="Times New Roman" w:hAnsi="Times New Roman"/>
          <w:sz w:val="24"/>
        </w:rPr>
        <w:t>means</w:t>
      </w:r>
      <w:proofErr w:type="gramEnd"/>
      <w:r w:rsidR="001D139B" w:rsidRPr="00833922">
        <w:rPr>
          <w:rFonts w:ascii="Times New Roman" w:hAnsi="Times New Roman"/>
          <w:sz w:val="24"/>
        </w:rPr>
        <w:t xml:space="preserve"> an amount that, in accordance with accrual-based accounting principles, is treated as a cost of the ACCC. </w:t>
      </w:r>
      <w:r w:rsidR="00C941D4" w:rsidRPr="00C941D4">
        <w:rPr>
          <w:rFonts w:ascii="Times New Roman" w:hAnsi="Times New Roman"/>
          <w:sz w:val="24"/>
        </w:rPr>
        <w:t xml:space="preserve">The ACCC’s costs </w:t>
      </w:r>
      <w:r w:rsidR="007D1FBF">
        <w:rPr>
          <w:rFonts w:ascii="Times New Roman" w:hAnsi="Times New Roman"/>
          <w:sz w:val="24"/>
        </w:rPr>
        <w:t>for the 20</w:t>
      </w:r>
      <w:r w:rsidR="00011306">
        <w:rPr>
          <w:rFonts w:ascii="Times New Roman" w:hAnsi="Times New Roman"/>
          <w:sz w:val="24"/>
        </w:rPr>
        <w:t>1</w:t>
      </w:r>
      <w:r w:rsidR="00AD72A4">
        <w:rPr>
          <w:rFonts w:ascii="Times New Roman" w:hAnsi="Times New Roman"/>
          <w:sz w:val="24"/>
        </w:rPr>
        <w:t>9</w:t>
      </w:r>
      <w:r w:rsidR="007D1FBF">
        <w:rPr>
          <w:rFonts w:ascii="Times New Roman" w:hAnsi="Times New Roman"/>
          <w:sz w:val="24"/>
        </w:rPr>
        <w:t>-</w:t>
      </w:r>
      <w:r w:rsidR="00AD72A4">
        <w:rPr>
          <w:rFonts w:ascii="Times New Roman" w:hAnsi="Times New Roman"/>
          <w:sz w:val="24"/>
        </w:rPr>
        <w:t>20</w:t>
      </w:r>
      <w:r w:rsidR="007D1FBF">
        <w:rPr>
          <w:rFonts w:ascii="Times New Roman" w:hAnsi="Times New Roman"/>
          <w:sz w:val="24"/>
        </w:rPr>
        <w:t xml:space="preserve"> financial year </w:t>
      </w:r>
      <w:r w:rsidR="00C941D4" w:rsidRPr="00C941D4">
        <w:rPr>
          <w:rFonts w:ascii="Times New Roman" w:hAnsi="Times New Roman"/>
          <w:sz w:val="24"/>
        </w:rPr>
        <w:t>have been calculated in accordance with those principles</w:t>
      </w:r>
      <w:r w:rsidR="00C941D4">
        <w:rPr>
          <w:rFonts w:ascii="Times New Roman" w:hAnsi="Times New Roman"/>
          <w:sz w:val="24"/>
        </w:rPr>
        <w:t>.</w:t>
      </w:r>
      <w:r w:rsidR="001D139B" w:rsidRPr="00833922">
        <w:rPr>
          <w:rFonts w:ascii="Times New Roman" w:hAnsi="Times New Roman"/>
          <w:sz w:val="24"/>
        </w:rPr>
        <w:t xml:space="preserve"> </w:t>
      </w:r>
      <w:r w:rsidR="001D139B" w:rsidRPr="00833922">
        <w:rPr>
          <w:rFonts w:ascii="Times New Roman" w:hAnsi="Times New Roman"/>
          <w:sz w:val="24"/>
        </w:rPr>
        <w:br/>
      </w:r>
      <w:r w:rsidR="001D139B">
        <w:rPr>
          <w:rFonts w:ascii="Times New Roman" w:hAnsi="Times New Roman"/>
          <w:sz w:val="24"/>
        </w:rPr>
        <w:br/>
      </w:r>
      <w:r w:rsidR="001D139B" w:rsidRPr="001D139B">
        <w:rPr>
          <w:rFonts w:ascii="Times New Roman" w:hAnsi="Times New Roman"/>
          <w:sz w:val="24"/>
        </w:rPr>
        <w:t xml:space="preserve">A </w:t>
      </w:r>
      <w:r w:rsidR="007D1FBF">
        <w:rPr>
          <w:rFonts w:ascii="Times New Roman" w:hAnsi="Times New Roman"/>
          <w:sz w:val="24"/>
        </w:rPr>
        <w:t>d</w:t>
      </w:r>
      <w:r w:rsidR="001D139B" w:rsidRPr="001D139B">
        <w:rPr>
          <w:rFonts w:ascii="Times New Roman" w:hAnsi="Times New Roman"/>
          <w:sz w:val="24"/>
        </w:rPr>
        <w:t xml:space="preserve">etermination made under subsection 15(1) of the Act is a legislative instrument for the purposes of the </w:t>
      </w:r>
      <w:r w:rsidR="007D1FBF">
        <w:rPr>
          <w:rFonts w:ascii="Times New Roman" w:hAnsi="Times New Roman"/>
          <w:i/>
          <w:sz w:val="24"/>
        </w:rPr>
        <w:t>Legislation</w:t>
      </w:r>
      <w:r w:rsidR="001D139B" w:rsidRPr="001D139B">
        <w:rPr>
          <w:rFonts w:ascii="Times New Roman" w:hAnsi="Times New Roman"/>
          <w:i/>
          <w:sz w:val="24"/>
        </w:rPr>
        <w:t xml:space="preserve"> Act 2003</w:t>
      </w:r>
      <w:r w:rsidR="001D139B">
        <w:rPr>
          <w:rFonts w:ascii="Times New Roman" w:hAnsi="Times New Roman"/>
          <w:sz w:val="24"/>
        </w:rPr>
        <w:t>.</w:t>
      </w:r>
      <w:r w:rsidR="001D139B">
        <w:rPr>
          <w:rFonts w:ascii="Times New Roman" w:hAnsi="Times New Roman"/>
          <w:sz w:val="24"/>
        </w:rPr>
        <w:br/>
      </w:r>
      <w:r w:rsidR="001D139B">
        <w:rPr>
          <w:rFonts w:ascii="Times New Roman" w:hAnsi="Times New Roman"/>
          <w:sz w:val="24"/>
        </w:rPr>
        <w:br/>
      </w:r>
      <w:r w:rsidR="001D139B" w:rsidRPr="001D139B">
        <w:rPr>
          <w:rFonts w:ascii="Times New Roman" w:hAnsi="Times New Roman"/>
          <w:b/>
          <w:sz w:val="24"/>
        </w:rPr>
        <w:t>Purpose</w:t>
      </w:r>
      <w:r w:rsidR="001D139B">
        <w:rPr>
          <w:rFonts w:ascii="Times New Roman" w:hAnsi="Times New Roman"/>
          <w:b/>
          <w:sz w:val="24"/>
        </w:rPr>
        <w:br/>
      </w:r>
      <w:r w:rsidR="001D139B">
        <w:rPr>
          <w:rFonts w:ascii="Times New Roman" w:hAnsi="Times New Roman"/>
          <w:b/>
          <w:sz w:val="24"/>
        </w:rPr>
        <w:br/>
      </w:r>
      <w:r w:rsidR="001D139B" w:rsidRPr="00604453">
        <w:rPr>
          <w:rFonts w:ascii="Times New Roman" w:hAnsi="Times New Roman"/>
          <w:sz w:val="24"/>
        </w:rPr>
        <w:t xml:space="preserve">The Determination has been made for the purposes of paragraph 15(1)(b) of the </w:t>
      </w:r>
      <w:proofErr w:type="gramStart"/>
      <w:r w:rsidR="001D139B" w:rsidRPr="00604453">
        <w:rPr>
          <w:rFonts w:ascii="Times New Roman" w:hAnsi="Times New Roman"/>
          <w:sz w:val="24"/>
        </w:rPr>
        <w:t>Act</w:t>
      </w:r>
      <w:r w:rsidR="001611CA">
        <w:rPr>
          <w:rFonts w:ascii="Times New Roman" w:hAnsi="Times New Roman"/>
          <w:sz w:val="24"/>
        </w:rPr>
        <w:t>, and</w:t>
      </w:r>
      <w:proofErr w:type="gramEnd"/>
      <w:r w:rsidR="001D139B" w:rsidRPr="00604453">
        <w:rPr>
          <w:rFonts w:ascii="Times New Roman" w:hAnsi="Times New Roman"/>
          <w:sz w:val="24"/>
        </w:rPr>
        <w:t xml:space="preserve"> </w:t>
      </w:r>
      <w:r w:rsidR="00BE3FC3" w:rsidRPr="00604453">
        <w:rPr>
          <w:rFonts w:ascii="Times New Roman" w:hAnsi="Times New Roman"/>
          <w:sz w:val="24"/>
        </w:rPr>
        <w:t xml:space="preserve">provides that </w:t>
      </w:r>
      <w:r w:rsidR="00AD72A4" w:rsidRPr="00AD72A4">
        <w:rPr>
          <w:rFonts w:ascii="Times New Roman" w:hAnsi="Times New Roman"/>
          <w:sz w:val="24"/>
        </w:rPr>
        <w:t>$12,623,225</w:t>
      </w:r>
      <w:r w:rsidR="00AD72A4">
        <w:rPr>
          <w:rFonts w:ascii="Times New Roman" w:hAnsi="Times New Roman"/>
          <w:sz w:val="24"/>
        </w:rPr>
        <w:t xml:space="preserve"> </w:t>
      </w:r>
      <w:r w:rsidR="001611CA">
        <w:rPr>
          <w:rFonts w:ascii="Times New Roman" w:hAnsi="Times New Roman"/>
          <w:sz w:val="24"/>
        </w:rPr>
        <w:t>is</w:t>
      </w:r>
      <w:r w:rsidR="001D139B" w:rsidRPr="00604453">
        <w:rPr>
          <w:rFonts w:ascii="Times New Roman" w:hAnsi="Times New Roman"/>
          <w:sz w:val="24"/>
        </w:rPr>
        <w:t xml:space="preserve"> the amount determined to be the proportion of cost</w:t>
      </w:r>
      <w:r w:rsidR="001611CA">
        <w:rPr>
          <w:rFonts w:ascii="Times New Roman" w:hAnsi="Times New Roman"/>
          <w:sz w:val="24"/>
        </w:rPr>
        <w:t>s</w:t>
      </w:r>
      <w:r w:rsidR="001D139B" w:rsidRPr="00604453">
        <w:rPr>
          <w:rFonts w:ascii="Times New Roman" w:hAnsi="Times New Roman"/>
          <w:sz w:val="24"/>
        </w:rPr>
        <w:t xml:space="preserve"> for the 201</w:t>
      </w:r>
      <w:r w:rsidR="00AD72A4">
        <w:rPr>
          <w:rFonts w:ascii="Times New Roman" w:hAnsi="Times New Roman"/>
          <w:sz w:val="24"/>
        </w:rPr>
        <w:t>9</w:t>
      </w:r>
      <w:r w:rsidR="004A748A" w:rsidRPr="00604453">
        <w:rPr>
          <w:rFonts w:ascii="Times New Roman" w:hAnsi="Times New Roman"/>
          <w:sz w:val="24"/>
        </w:rPr>
        <w:t>-</w:t>
      </w:r>
      <w:r w:rsidR="00AD72A4">
        <w:rPr>
          <w:rFonts w:ascii="Times New Roman" w:hAnsi="Times New Roman"/>
          <w:sz w:val="24"/>
        </w:rPr>
        <w:t>20</w:t>
      </w:r>
      <w:r w:rsidR="00AD72A4" w:rsidRPr="00604453">
        <w:rPr>
          <w:rFonts w:ascii="Times New Roman" w:hAnsi="Times New Roman"/>
          <w:sz w:val="24"/>
        </w:rPr>
        <w:t xml:space="preserve"> </w:t>
      </w:r>
      <w:r w:rsidR="001D139B" w:rsidRPr="00604453">
        <w:rPr>
          <w:rFonts w:ascii="Times New Roman" w:hAnsi="Times New Roman"/>
          <w:sz w:val="24"/>
        </w:rPr>
        <w:t>financial year that is attributable to the ACCC’s telecommunications functions and powers.</w:t>
      </w:r>
      <w:r w:rsidR="00B94705" w:rsidRPr="00604453">
        <w:rPr>
          <w:rFonts w:ascii="Times New Roman" w:hAnsi="Times New Roman"/>
          <w:sz w:val="24"/>
        </w:rPr>
        <w:t xml:space="preserve"> Of this amount, </w:t>
      </w:r>
      <w:r w:rsidR="00AD72A4" w:rsidRPr="00AD72A4">
        <w:rPr>
          <w:rFonts w:ascii="Times New Roman" w:hAnsi="Times New Roman"/>
          <w:sz w:val="24"/>
        </w:rPr>
        <w:t xml:space="preserve">$1,599,297 </w:t>
      </w:r>
      <w:r w:rsidR="00B94705" w:rsidRPr="00604453">
        <w:rPr>
          <w:rFonts w:ascii="Times New Roman" w:hAnsi="Times New Roman"/>
          <w:sz w:val="24"/>
        </w:rPr>
        <w:t>relates to costs incurred on the ACCC’s Measuring Broadband Australia program.</w:t>
      </w:r>
      <w:r w:rsidR="00B94705">
        <w:rPr>
          <w:rFonts w:ascii="Times New Roman" w:hAnsi="Times New Roman"/>
          <w:sz w:val="24"/>
        </w:rPr>
        <w:t xml:space="preserve"> </w:t>
      </w:r>
      <w:r w:rsidR="001D139B">
        <w:rPr>
          <w:rFonts w:ascii="Times New Roman" w:hAnsi="Times New Roman"/>
          <w:sz w:val="24"/>
        </w:rPr>
        <w:br/>
      </w:r>
      <w:r w:rsidR="001D139B">
        <w:rPr>
          <w:rFonts w:ascii="Times New Roman" w:hAnsi="Times New Roman"/>
          <w:b/>
          <w:sz w:val="24"/>
        </w:rPr>
        <w:br/>
      </w:r>
      <w:r w:rsidR="001D139B" w:rsidRPr="001D139B">
        <w:rPr>
          <w:rFonts w:ascii="Times New Roman" w:hAnsi="Times New Roman"/>
          <w:b/>
          <w:sz w:val="24"/>
        </w:rPr>
        <w:t>Consultation</w:t>
      </w:r>
      <w:r w:rsidR="001D139B">
        <w:rPr>
          <w:rFonts w:ascii="Times New Roman" w:hAnsi="Times New Roman"/>
          <w:b/>
          <w:sz w:val="24"/>
        </w:rPr>
        <w:br/>
      </w:r>
      <w:r w:rsidR="001D139B">
        <w:rPr>
          <w:rFonts w:ascii="Times New Roman" w:hAnsi="Times New Roman"/>
          <w:b/>
          <w:sz w:val="24"/>
        </w:rPr>
        <w:br/>
      </w:r>
      <w:r w:rsidR="00AA64F6">
        <w:rPr>
          <w:rFonts w:ascii="Times New Roman" w:hAnsi="Times New Roman"/>
          <w:sz w:val="24"/>
        </w:rPr>
        <w:t xml:space="preserve">The ACMA, on behalf of the ACCC, conducted a public consultation in relation to the making of this </w:t>
      </w:r>
      <w:r w:rsidR="00AA64F6">
        <w:rPr>
          <w:rFonts w:ascii="Times New Roman" w:hAnsi="Times New Roman"/>
          <w:sz w:val="24"/>
        </w:rPr>
        <w:lastRenderedPageBreak/>
        <w:t xml:space="preserve">Determination. The consultation period was open to carriers on </w:t>
      </w:r>
      <w:r w:rsidR="00502A2B">
        <w:rPr>
          <w:rFonts w:ascii="Times New Roman" w:hAnsi="Times New Roman"/>
          <w:sz w:val="24"/>
        </w:rPr>
        <w:t>5</w:t>
      </w:r>
      <w:r w:rsidR="00AA64F6">
        <w:rPr>
          <w:rFonts w:ascii="Times New Roman" w:hAnsi="Times New Roman"/>
          <w:sz w:val="24"/>
        </w:rPr>
        <w:t xml:space="preserve"> </w:t>
      </w:r>
      <w:r w:rsidR="00011306">
        <w:rPr>
          <w:rFonts w:ascii="Times New Roman" w:hAnsi="Times New Roman"/>
          <w:sz w:val="24"/>
        </w:rPr>
        <w:t>April</w:t>
      </w:r>
      <w:r w:rsidR="00AA64F6">
        <w:rPr>
          <w:rFonts w:ascii="Times New Roman" w:hAnsi="Times New Roman"/>
          <w:sz w:val="24"/>
        </w:rPr>
        <w:t xml:space="preserve"> 20</w:t>
      </w:r>
      <w:r w:rsidR="00011306">
        <w:rPr>
          <w:rFonts w:ascii="Times New Roman" w:hAnsi="Times New Roman"/>
          <w:sz w:val="24"/>
        </w:rPr>
        <w:t>2</w:t>
      </w:r>
      <w:r w:rsidR="00502A2B">
        <w:rPr>
          <w:rFonts w:ascii="Times New Roman" w:hAnsi="Times New Roman"/>
          <w:sz w:val="24"/>
        </w:rPr>
        <w:t>2</w:t>
      </w:r>
      <w:r w:rsidR="00AA64F6">
        <w:rPr>
          <w:rFonts w:ascii="Times New Roman" w:hAnsi="Times New Roman"/>
          <w:sz w:val="24"/>
        </w:rPr>
        <w:t xml:space="preserve"> for a </w:t>
      </w:r>
      <w:proofErr w:type="gramStart"/>
      <w:r w:rsidR="00AA64F6">
        <w:rPr>
          <w:rFonts w:ascii="Times New Roman" w:hAnsi="Times New Roman"/>
          <w:sz w:val="24"/>
        </w:rPr>
        <w:t>four week</w:t>
      </w:r>
      <w:proofErr w:type="gramEnd"/>
      <w:r w:rsidR="00AA64F6">
        <w:rPr>
          <w:rFonts w:ascii="Times New Roman" w:hAnsi="Times New Roman"/>
          <w:sz w:val="24"/>
        </w:rPr>
        <w:t xml:space="preserve"> period ending </w:t>
      </w:r>
      <w:r w:rsidR="00502A2B">
        <w:rPr>
          <w:rFonts w:ascii="Times New Roman" w:hAnsi="Times New Roman"/>
          <w:sz w:val="24"/>
        </w:rPr>
        <w:t xml:space="preserve">2 </w:t>
      </w:r>
      <w:r w:rsidR="00011306" w:rsidRPr="009435B4">
        <w:rPr>
          <w:rFonts w:ascii="Times New Roman" w:hAnsi="Times New Roman"/>
          <w:sz w:val="24"/>
        </w:rPr>
        <w:t>May</w:t>
      </w:r>
      <w:r w:rsidR="00AA64F6" w:rsidRPr="009435B4">
        <w:rPr>
          <w:rFonts w:ascii="Times New Roman" w:hAnsi="Times New Roman"/>
          <w:sz w:val="24"/>
        </w:rPr>
        <w:t xml:space="preserve"> 20</w:t>
      </w:r>
      <w:r w:rsidR="00011306" w:rsidRPr="009435B4">
        <w:rPr>
          <w:rFonts w:ascii="Times New Roman" w:hAnsi="Times New Roman"/>
          <w:sz w:val="24"/>
        </w:rPr>
        <w:t>2</w:t>
      </w:r>
      <w:r w:rsidR="00502A2B">
        <w:rPr>
          <w:rFonts w:ascii="Times New Roman" w:hAnsi="Times New Roman"/>
          <w:sz w:val="24"/>
        </w:rPr>
        <w:t>2</w:t>
      </w:r>
      <w:r w:rsidR="00AA64F6" w:rsidRPr="009435B4">
        <w:rPr>
          <w:rFonts w:ascii="Times New Roman" w:hAnsi="Times New Roman"/>
          <w:sz w:val="24"/>
        </w:rPr>
        <w:t xml:space="preserve">. </w:t>
      </w:r>
      <w:r w:rsidR="006153EC">
        <w:rPr>
          <w:rFonts w:ascii="Times New Roman" w:hAnsi="Times New Roman"/>
          <w:sz w:val="24"/>
        </w:rPr>
        <w:t xml:space="preserve">No </w:t>
      </w:r>
      <w:r w:rsidR="006153EC" w:rsidRPr="004D294E">
        <w:rPr>
          <w:rFonts w:ascii="Times New Roman" w:hAnsi="Times New Roman"/>
          <w:sz w:val="24"/>
        </w:rPr>
        <w:t>submissions were received relating to the ACCC.</w:t>
      </w:r>
    </w:p>
    <w:p w14:paraId="05CD35DA" w14:textId="77777777" w:rsidR="00372080" w:rsidRDefault="00372080">
      <w:pPr>
        <w:spacing w:before="0" w:after="0"/>
        <w:rPr>
          <w:rFonts w:ascii="Times New Roman" w:hAnsi="Times New Roman"/>
          <w:sz w:val="24"/>
        </w:rPr>
      </w:pPr>
      <w:r>
        <w:rPr>
          <w:rFonts w:ascii="Times New Roman" w:hAnsi="Times New Roman"/>
          <w:sz w:val="24"/>
        </w:rPr>
        <w:br w:type="page"/>
      </w:r>
    </w:p>
    <w:p w14:paraId="5B380577" w14:textId="77777777" w:rsidR="00BB7B50" w:rsidRDefault="006153EC">
      <w:pPr>
        <w:spacing w:before="0" w:after="0"/>
        <w:rPr>
          <w:rFonts w:ascii="Times New Roman" w:hAnsi="Times New Roman"/>
          <w:sz w:val="24"/>
        </w:rPr>
      </w:pPr>
      <w:r w:rsidRPr="004D294E">
        <w:rPr>
          <w:rFonts w:ascii="Times New Roman" w:hAnsi="Times New Roman"/>
          <w:sz w:val="24"/>
        </w:rPr>
        <w:lastRenderedPageBreak/>
        <w:t xml:space="preserve"> </w:t>
      </w:r>
      <w:r w:rsidR="00372080">
        <w:rPr>
          <w:rFonts w:ascii="Times New Roman" w:hAnsi="Times New Roman"/>
          <w:noProof/>
          <w:sz w:val="24"/>
        </w:rPr>
        <mc:AlternateContent>
          <mc:Choice Requires="wps">
            <w:drawing>
              <wp:inline distT="0" distB="0" distL="0" distR="0" wp14:anchorId="1ED3B6F8" wp14:editId="55A5E0BC">
                <wp:extent cx="6118860" cy="6962546"/>
                <wp:effectExtent l="38100" t="38100" r="34290" b="2921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962546"/>
                        </a:xfrm>
                        <a:prstGeom prst="rect">
                          <a:avLst/>
                        </a:prstGeom>
                        <a:solidFill>
                          <a:srgbClr val="FFFFFF"/>
                        </a:solidFill>
                        <a:ln w="76200" cmpd="tri">
                          <a:solidFill>
                            <a:srgbClr val="000000"/>
                          </a:solidFill>
                          <a:miter lim="800000"/>
                          <a:headEnd/>
                          <a:tailEnd/>
                        </a:ln>
                      </wps:spPr>
                      <wps:txbx>
                        <w:txbxContent>
                          <w:p w14:paraId="78EE95DE" w14:textId="77777777" w:rsidR="00372080" w:rsidRPr="00372080" w:rsidRDefault="00372080" w:rsidP="00372080">
                            <w:pPr>
                              <w:spacing w:before="360"/>
                              <w:jc w:val="center"/>
                              <w:rPr>
                                <w:rFonts w:ascii="Times New Roman" w:hAnsi="Times New Roman"/>
                                <w:b/>
                                <w:sz w:val="28"/>
                                <w:szCs w:val="28"/>
                              </w:rPr>
                            </w:pPr>
                            <w:r w:rsidRPr="00372080">
                              <w:rPr>
                                <w:rFonts w:ascii="Times New Roman" w:hAnsi="Times New Roman"/>
                                <w:b/>
                                <w:sz w:val="28"/>
                                <w:szCs w:val="28"/>
                              </w:rPr>
                              <w:t>Statement of Compatibility with Human Rights</w:t>
                            </w:r>
                          </w:p>
                          <w:p w14:paraId="73F84C39" w14:textId="77777777" w:rsidR="00372080" w:rsidRPr="004436C0" w:rsidRDefault="00372080" w:rsidP="00372080">
                            <w:pPr>
                              <w:jc w:val="center"/>
                              <w:rPr>
                                <w:rFonts w:ascii="Times New Roman" w:hAnsi="Times New Roman"/>
                                <w:sz w:val="24"/>
                              </w:rPr>
                            </w:pPr>
                            <w:r w:rsidRPr="004436C0">
                              <w:rPr>
                                <w:rFonts w:ascii="Times New Roman" w:hAnsi="Times New Roman"/>
                                <w:i/>
                                <w:sz w:val="24"/>
                              </w:rPr>
                              <w:t>Prepared in accordance with Part 3 of the Human Rights (Parliamentary Scrutiny) Act 2011</w:t>
                            </w:r>
                          </w:p>
                          <w:p w14:paraId="17911A2D" w14:textId="77777777" w:rsidR="00372080" w:rsidRPr="00372080" w:rsidRDefault="00372080" w:rsidP="00372080">
                            <w:pPr>
                              <w:pStyle w:val="Heading7"/>
                              <w:jc w:val="center"/>
                              <w:rPr>
                                <w:rFonts w:ascii="Times New Roman" w:hAnsi="Times New Roman" w:cs="Times New Roman"/>
                                <w:i/>
                              </w:rPr>
                            </w:pPr>
                            <w:r w:rsidRPr="00372080">
                              <w:rPr>
                                <w:rFonts w:ascii="Times New Roman" w:hAnsi="Times New Roman" w:cs="Times New Roman"/>
                                <w:i/>
                              </w:rPr>
                              <w:t>Telecommunications (Carrier Licence Charges) Act 1997</w:t>
                            </w:r>
                          </w:p>
                          <w:p w14:paraId="34A5E061" w14:textId="6953FAF2" w:rsidR="00372080" w:rsidRPr="00372080" w:rsidRDefault="00372080" w:rsidP="00372080">
                            <w:pPr>
                              <w:pStyle w:val="Heading6"/>
                              <w:jc w:val="center"/>
                              <w:rPr>
                                <w:rFonts w:ascii="Times New Roman" w:hAnsi="Times New Roman" w:cs="Times New Roman"/>
                                <w:sz w:val="24"/>
                                <w:szCs w:val="24"/>
                              </w:rPr>
                            </w:pPr>
                            <w:r w:rsidRPr="00372080">
                              <w:rPr>
                                <w:rFonts w:ascii="Times New Roman" w:hAnsi="Times New Roman" w:cs="Times New Roman"/>
                                <w:sz w:val="24"/>
                                <w:szCs w:val="24"/>
                              </w:rPr>
                              <w:t xml:space="preserve">2022 DETERMINATION UNDER SECTION 15(1)(b)– </w:t>
                            </w:r>
                            <w:r w:rsidR="000E5AE1">
                              <w:rPr>
                                <w:rFonts w:ascii="Times New Roman" w:hAnsi="Times New Roman" w:cs="Times New Roman"/>
                                <w:sz w:val="24"/>
                                <w:szCs w:val="24"/>
                              </w:rPr>
                              <w:t>9</w:t>
                            </w:r>
                            <w:r w:rsidRPr="00372080">
                              <w:rPr>
                                <w:rFonts w:ascii="Times New Roman" w:hAnsi="Times New Roman" w:cs="Times New Roman"/>
                                <w:sz w:val="24"/>
                                <w:szCs w:val="24"/>
                              </w:rPr>
                              <w:t xml:space="preserve"> AUGUST 2022</w:t>
                            </w:r>
                          </w:p>
                          <w:p w14:paraId="5A9DAD46" w14:textId="77777777" w:rsidR="00372080" w:rsidRPr="00372080" w:rsidRDefault="00372080" w:rsidP="00372080">
                            <w:pPr>
                              <w:jc w:val="center"/>
                              <w:rPr>
                                <w:rFonts w:ascii="Times New Roman" w:hAnsi="Times New Roman"/>
                                <w:b/>
                              </w:rPr>
                            </w:pPr>
                            <w:r w:rsidRPr="00372080">
                              <w:rPr>
                                <w:rFonts w:ascii="Times New Roman" w:hAnsi="Times New Roman"/>
                                <w:b/>
                              </w:rPr>
                              <w:t xml:space="preserve"> </w:t>
                            </w:r>
                          </w:p>
                          <w:p w14:paraId="6E0D2D92" w14:textId="77777777" w:rsidR="00372080" w:rsidRPr="00372080" w:rsidRDefault="00372080" w:rsidP="00372080">
                            <w:pPr>
                              <w:jc w:val="center"/>
                              <w:rPr>
                                <w:rFonts w:ascii="Times New Roman" w:hAnsi="Times New Roman"/>
                              </w:rPr>
                            </w:pPr>
                          </w:p>
                          <w:p w14:paraId="0A9A1D66" w14:textId="77777777" w:rsidR="00372080" w:rsidRPr="004436C0" w:rsidRDefault="00372080" w:rsidP="00372080">
                            <w:pPr>
                              <w:jc w:val="center"/>
                              <w:rPr>
                                <w:rFonts w:ascii="Times New Roman" w:hAnsi="Times New Roman"/>
                                <w:sz w:val="24"/>
                              </w:rPr>
                            </w:pPr>
                            <w:r w:rsidRPr="004436C0">
                              <w:rPr>
                                <w:rFonts w:ascii="Times New Roman" w:hAnsi="Times New Roman"/>
                                <w:sz w:val="24"/>
                              </w:rPr>
                              <w:t xml:space="preserve">This Legislative Instrument is compatible with the human rights and freedoms recognised or declared in the international instruments listed in section 3 of the </w:t>
                            </w:r>
                            <w:r w:rsidRPr="004436C0">
                              <w:rPr>
                                <w:rFonts w:ascii="Times New Roman" w:hAnsi="Times New Roman"/>
                                <w:i/>
                                <w:sz w:val="24"/>
                              </w:rPr>
                              <w:t>Human Rights (Parliamentary Scrutiny) Act 2011</w:t>
                            </w:r>
                            <w:r w:rsidRPr="004436C0">
                              <w:rPr>
                                <w:rFonts w:ascii="Times New Roman" w:hAnsi="Times New Roman"/>
                                <w:sz w:val="24"/>
                              </w:rPr>
                              <w:t>.</w:t>
                            </w:r>
                          </w:p>
                          <w:p w14:paraId="55668022" w14:textId="77777777" w:rsidR="00372080" w:rsidRPr="00372080" w:rsidRDefault="00372080" w:rsidP="00372080">
                            <w:pPr>
                              <w:jc w:val="center"/>
                              <w:rPr>
                                <w:rFonts w:ascii="Times New Roman" w:hAnsi="Times New Roman"/>
                              </w:rPr>
                            </w:pPr>
                          </w:p>
                          <w:p w14:paraId="584E8D63" w14:textId="77777777" w:rsidR="00372080" w:rsidRPr="00372080" w:rsidRDefault="00372080" w:rsidP="00372080">
                            <w:pPr>
                              <w:jc w:val="center"/>
                              <w:rPr>
                                <w:rFonts w:ascii="Times New Roman" w:hAnsi="Times New Roman"/>
                              </w:rPr>
                            </w:pPr>
                          </w:p>
                          <w:p w14:paraId="58930487" w14:textId="77777777" w:rsidR="00372080" w:rsidRPr="0018394B" w:rsidRDefault="00372080" w:rsidP="00372080">
                            <w:pPr>
                              <w:jc w:val="both"/>
                              <w:rPr>
                                <w:rFonts w:ascii="Times New Roman" w:hAnsi="Times New Roman"/>
                                <w:b/>
                                <w:sz w:val="24"/>
                              </w:rPr>
                            </w:pPr>
                            <w:r w:rsidRPr="0018394B">
                              <w:rPr>
                                <w:rFonts w:ascii="Times New Roman" w:hAnsi="Times New Roman"/>
                                <w:b/>
                                <w:sz w:val="24"/>
                              </w:rPr>
                              <w:t>Overview of the Legislative Instrument</w:t>
                            </w:r>
                          </w:p>
                          <w:p w14:paraId="1B2188A9" w14:textId="77777777" w:rsidR="00372080" w:rsidRPr="0018394B" w:rsidRDefault="00372080" w:rsidP="00372080">
                            <w:pPr>
                              <w:rPr>
                                <w:rFonts w:ascii="Times New Roman" w:hAnsi="Times New Roman"/>
                                <w:i/>
                                <w:sz w:val="24"/>
                              </w:rPr>
                            </w:pPr>
                            <w:r w:rsidRPr="0018394B">
                              <w:rPr>
                                <w:rFonts w:ascii="Times New Roman" w:hAnsi="Times New Roman"/>
                                <w:sz w:val="24"/>
                              </w:rPr>
                              <w:t xml:space="preserve">This Determination provides the Australian Competition and Consumer Commission’s relevant costs for the immediately preceding financial year that is attributable to the ACCC’s telecommunications functions and powers, which is to be used in the calculation of the 2019-20 Annual Carrier Licence Charge under the </w:t>
                            </w:r>
                            <w:r w:rsidRPr="0018394B">
                              <w:rPr>
                                <w:rFonts w:ascii="Times New Roman" w:hAnsi="Times New Roman"/>
                                <w:i/>
                                <w:sz w:val="24"/>
                              </w:rPr>
                              <w:t>Telecommunications (Carrier Licence Charges) Act 1997</w:t>
                            </w:r>
                            <w:r w:rsidRPr="0018394B">
                              <w:rPr>
                                <w:rFonts w:ascii="Times New Roman" w:hAnsi="Times New Roman"/>
                                <w:sz w:val="24"/>
                              </w:rPr>
                              <w:t>.</w:t>
                            </w:r>
                          </w:p>
                          <w:p w14:paraId="70847829" w14:textId="77777777" w:rsidR="00372080" w:rsidRPr="0018394B" w:rsidRDefault="00372080" w:rsidP="00372080">
                            <w:pPr>
                              <w:rPr>
                                <w:rFonts w:ascii="Times New Roman" w:hAnsi="Times New Roman"/>
                                <w:sz w:val="24"/>
                              </w:rPr>
                            </w:pPr>
                          </w:p>
                          <w:p w14:paraId="2502A2A6" w14:textId="77777777" w:rsidR="00372080" w:rsidRPr="0018394B" w:rsidRDefault="00372080" w:rsidP="00372080">
                            <w:pPr>
                              <w:rPr>
                                <w:rFonts w:ascii="Times New Roman" w:hAnsi="Times New Roman"/>
                                <w:b/>
                                <w:sz w:val="24"/>
                              </w:rPr>
                            </w:pPr>
                            <w:r w:rsidRPr="0018394B">
                              <w:rPr>
                                <w:rFonts w:ascii="Times New Roman" w:hAnsi="Times New Roman"/>
                                <w:b/>
                                <w:sz w:val="24"/>
                              </w:rPr>
                              <w:t>Human rights implications</w:t>
                            </w:r>
                          </w:p>
                          <w:p w14:paraId="7126878E" w14:textId="77777777" w:rsidR="00372080" w:rsidRPr="0018394B" w:rsidRDefault="00372080" w:rsidP="00372080">
                            <w:pPr>
                              <w:rPr>
                                <w:rFonts w:ascii="Times New Roman" w:hAnsi="Times New Roman"/>
                                <w:sz w:val="24"/>
                              </w:rPr>
                            </w:pPr>
                            <w:r w:rsidRPr="0018394B">
                              <w:rPr>
                                <w:rFonts w:ascii="Times New Roman" w:hAnsi="Times New Roman"/>
                                <w:sz w:val="24"/>
                              </w:rPr>
                              <w:t>This Legislative Instrument does not engage any of the applicable rights or freedoms.</w:t>
                            </w:r>
                          </w:p>
                          <w:p w14:paraId="6E2B36D6" w14:textId="77777777" w:rsidR="00372080" w:rsidRPr="0018394B" w:rsidRDefault="00372080" w:rsidP="00372080">
                            <w:pPr>
                              <w:rPr>
                                <w:rFonts w:ascii="Times New Roman" w:hAnsi="Times New Roman"/>
                                <w:sz w:val="24"/>
                              </w:rPr>
                            </w:pPr>
                          </w:p>
                          <w:p w14:paraId="0AE3B172" w14:textId="77777777" w:rsidR="00372080" w:rsidRPr="0018394B" w:rsidRDefault="00372080" w:rsidP="00372080">
                            <w:pPr>
                              <w:rPr>
                                <w:rFonts w:ascii="Times New Roman" w:hAnsi="Times New Roman"/>
                                <w:b/>
                                <w:sz w:val="24"/>
                              </w:rPr>
                            </w:pPr>
                            <w:r w:rsidRPr="0018394B">
                              <w:rPr>
                                <w:rFonts w:ascii="Times New Roman" w:hAnsi="Times New Roman"/>
                                <w:b/>
                                <w:sz w:val="24"/>
                              </w:rPr>
                              <w:t>Conclusion</w:t>
                            </w:r>
                          </w:p>
                          <w:p w14:paraId="5C1B2613" w14:textId="77777777" w:rsidR="00372080" w:rsidRPr="0018394B" w:rsidRDefault="00372080" w:rsidP="00372080">
                            <w:pPr>
                              <w:rPr>
                                <w:rFonts w:ascii="Times New Roman" w:hAnsi="Times New Roman"/>
                                <w:sz w:val="24"/>
                              </w:rPr>
                            </w:pPr>
                            <w:r w:rsidRPr="0018394B">
                              <w:rPr>
                                <w:rFonts w:ascii="Times New Roman" w:hAnsi="Times New Roman"/>
                                <w:sz w:val="24"/>
                              </w:rPr>
                              <w:t>This Legislative Instrument is compatible with human rights as it does not raise any human rights issues.</w:t>
                            </w:r>
                          </w:p>
                          <w:p w14:paraId="18908191" w14:textId="77777777" w:rsidR="00372080" w:rsidRPr="0018394B" w:rsidRDefault="00372080" w:rsidP="00372080">
                            <w:pPr>
                              <w:jc w:val="center"/>
                              <w:rPr>
                                <w:rFonts w:ascii="Times New Roman" w:hAnsi="Times New Roman"/>
                                <w:sz w:val="24"/>
                              </w:rPr>
                            </w:pPr>
                          </w:p>
                          <w:p w14:paraId="7AC76945" w14:textId="77777777" w:rsidR="00372080" w:rsidRPr="0018394B" w:rsidRDefault="00372080" w:rsidP="00372080">
                            <w:pPr>
                              <w:jc w:val="center"/>
                              <w:rPr>
                                <w:rFonts w:ascii="Times New Roman" w:hAnsi="Times New Roman"/>
                                <w:i/>
                                <w:sz w:val="24"/>
                              </w:rPr>
                            </w:pPr>
                            <w:r w:rsidRPr="0018394B">
                              <w:rPr>
                                <w:rFonts w:ascii="Times New Roman" w:hAnsi="Times New Roman"/>
                                <w:i/>
                                <w:sz w:val="24"/>
                              </w:rPr>
                              <w:t>Gina Cass-Gottlieb, Chair, Australian Competition and Consumer Commission</w:t>
                            </w:r>
                          </w:p>
                        </w:txbxContent>
                      </wps:txbx>
                      <wps:bodyPr rot="0" vert="horz" wrap="square" lIns="180000" tIns="45720" rIns="180000" bIns="45720" anchor="t" anchorCtr="0" upright="1">
                        <a:noAutofit/>
                      </wps:bodyPr>
                    </wps:wsp>
                  </a:graphicData>
                </a:graphic>
              </wp:inline>
            </w:drawing>
          </mc:Choice>
          <mc:Fallback>
            <w:pict>
              <v:rect w14:anchorId="1ED3B6F8" id="Rectangle 7" o:spid="_x0000_s1026" style="width:481.8pt;height:5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" strokeweight="6pt">
                <v:stroke linestyle="thickBetweenThin"/>
                <v:textbox inset="5mm,,5mm">
                  <w:txbxContent>
                    <w:p w14:paraId="78EE95DE" w14:textId="77777777" w:rsidR="00372080" w:rsidRPr="00372080" w:rsidRDefault="00372080" w:rsidP="00372080">
                      <w:pPr>
                        <w:spacing w:before="360"/>
                        <w:jc w:val="center"/>
                        <w:rPr>
                          <w:rFonts w:ascii="Times New Roman" w:hAnsi="Times New Roman"/>
                          <w:b/>
                          <w:sz w:val="28"/>
                          <w:szCs w:val="28"/>
                        </w:rPr>
                      </w:pPr>
                      <w:r w:rsidRPr="00372080">
                        <w:rPr>
                          <w:rFonts w:ascii="Times New Roman" w:hAnsi="Times New Roman"/>
                          <w:b/>
                          <w:sz w:val="28"/>
                          <w:szCs w:val="28"/>
                        </w:rPr>
                        <w:t>Statement of Compatibility with Human Rights</w:t>
                      </w:r>
                    </w:p>
                    <w:p w14:paraId="73F84C39" w14:textId="77777777" w:rsidR="00372080" w:rsidRPr="004436C0" w:rsidRDefault="00372080" w:rsidP="00372080">
                      <w:pPr>
                        <w:jc w:val="center"/>
                        <w:rPr>
                          <w:rFonts w:ascii="Times New Roman" w:hAnsi="Times New Roman"/>
                          <w:sz w:val="24"/>
                        </w:rPr>
                      </w:pPr>
                      <w:r w:rsidRPr="004436C0">
                        <w:rPr>
                          <w:rFonts w:ascii="Times New Roman" w:hAnsi="Times New Roman"/>
                          <w:i/>
                          <w:sz w:val="24"/>
                        </w:rPr>
                        <w:t>Prepared in accordance with Part 3 of the Human Rights (Parliamentary Scrutiny) Act 2011</w:t>
                      </w:r>
                    </w:p>
                    <w:p w14:paraId="17911A2D" w14:textId="77777777" w:rsidR="00372080" w:rsidRPr="00372080" w:rsidRDefault="00372080" w:rsidP="00372080">
                      <w:pPr>
                        <w:pStyle w:val="Heading7"/>
                        <w:jc w:val="center"/>
                        <w:rPr>
                          <w:rFonts w:ascii="Times New Roman" w:hAnsi="Times New Roman" w:cs="Times New Roman"/>
                          <w:i/>
                        </w:rPr>
                      </w:pPr>
                      <w:r w:rsidRPr="00372080">
                        <w:rPr>
                          <w:rFonts w:ascii="Times New Roman" w:hAnsi="Times New Roman" w:cs="Times New Roman"/>
                          <w:i/>
                        </w:rPr>
                        <w:t>Telecommunications (Carrier Licence Charges) Act 1997</w:t>
                      </w:r>
                    </w:p>
                    <w:p w14:paraId="34A5E061" w14:textId="6953FAF2" w:rsidR="00372080" w:rsidRPr="00372080" w:rsidRDefault="00372080" w:rsidP="00372080">
                      <w:pPr>
                        <w:pStyle w:val="Heading6"/>
                        <w:jc w:val="center"/>
                        <w:rPr>
                          <w:rFonts w:ascii="Times New Roman" w:hAnsi="Times New Roman" w:cs="Times New Roman"/>
                          <w:sz w:val="24"/>
                          <w:szCs w:val="24"/>
                        </w:rPr>
                      </w:pPr>
                      <w:r w:rsidRPr="00372080">
                        <w:rPr>
                          <w:rFonts w:ascii="Times New Roman" w:hAnsi="Times New Roman" w:cs="Times New Roman"/>
                          <w:sz w:val="24"/>
                          <w:szCs w:val="24"/>
                        </w:rPr>
                        <w:t xml:space="preserve">2022 DETERMINATION UNDER SECTION 15(1)(b)– </w:t>
                      </w:r>
                      <w:r w:rsidR="000E5AE1">
                        <w:rPr>
                          <w:rFonts w:ascii="Times New Roman" w:hAnsi="Times New Roman" w:cs="Times New Roman"/>
                          <w:sz w:val="24"/>
                          <w:szCs w:val="24"/>
                        </w:rPr>
                        <w:t>9</w:t>
                      </w:r>
                      <w:r w:rsidRPr="00372080">
                        <w:rPr>
                          <w:rFonts w:ascii="Times New Roman" w:hAnsi="Times New Roman" w:cs="Times New Roman"/>
                          <w:sz w:val="24"/>
                          <w:szCs w:val="24"/>
                        </w:rPr>
                        <w:t xml:space="preserve"> AUGUST 2022</w:t>
                      </w:r>
                    </w:p>
                    <w:p w14:paraId="5A9DAD46" w14:textId="77777777" w:rsidR="00372080" w:rsidRPr="00372080" w:rsidRDefault="00372080" w:rsidP="00372080">
                      <w:pPr>
                        <w:jc w:val="center"/>
                        <w:rPr>
                          <w:rFonts w:ascii="Times New Roman" w:hAnsi="Times New Roman"/>
                          <w:b/>
                        </w:rPr>
                      </w:pPr>
                      <w:r w:rsidRPr="00372080">
                        <w:rPr>
                          <w:rFonts w:ascii="Times New Roman" w:hAnsi="Times New Roman"/>
                          <w:b/>
                        </w:rPr>
                        <w:t xml:space="preserve"> </w:t>
                      </w:r>
                    </w:p>
                    <w:p w14:paraId="6E0D2D92" w14:textId="77777777" w:rsidR="00372080" w:rsidRPr="00372080" w:rsidRDefault="00372080" w:rsidP="00372080">
                      <w:pPr>
                        <w:jc w:val="center"/>
                        <w:rPr>
                          <w:rFonts w:ascii="Times New Roman" w:hAnsi="Times New Roman"/>
                        </w:rPr>
                      </w:pPr>
                    </w:p>
                    <w:p w14:paraId="0A9A1D66" w14:textId="77777777" w:rsidR="00372080" w:rsidRPr="004436C0" w:rsidRDefault="00372080" w:rsidP="00372080">
                      <w:pPr>
                        <w:jc w:val="center"/>
                        <w:rPr>
                          <w:rFonts w:ascii="Times New Roman" w:hAnsi="Times New Roman"/>
                          <w:sz w:val="24"/>
                        </w:rPr>
                      </w:pPr>
                      <w:r w:rsidRPr="004436C0">
                        <w:rPr>
                          <w:rFonts w:ascii="Times New Roman" w:hAnsi="Times New Roman"/>
                          <w:sz w:val="24"/>
                        </w:rPr>
                        <w:t xml:space="preserve">This Legislative Instrument is compatible with the human rights and freedoms recognised or declared in the international instruments listed in section 3 of the </w:t>
                      </w:r>
                      <w:r w:rsidRPr="004436C0">
                        <w:rPr>
                          <w:rFonts w:ascii="Times New Roman" w:hAnsi="Times New Roman"/>
                          <w:i/>
                          <w:sz w:val="24"/>
                        </w:rPr>
                        <w:t>Human Rights (Parliamentary Scrutiny) Act 2011</w:t>
                      </w:r>
                      <w:r w:rsidRPr="004436C0">
                        <w:rPr>
                          <w:rFonts w:ascii="Times New Roman" w:hAnsi="Times New Roman"/>
                          <w:sz w:val="24"/>
                        </w:rPr>
                        <w:t>.</w:t>
                      </w:r>
                    </w:p>
                    <w:p w14:paraId="55668022" w14:textId="77777777" w:rsidR="00372080" w:rsidRPr="00372080" w:rsidRDefault="00372080" w:rsidP="00372080">
                      <w:pPr>
                        <w:jc w:val="center"/>
                        <w:rPr>
                          <w:rFonts w:ascii="Times New Roman" w:hAnsi="Times New Roman"/>
                        </w:rPr>
                      </w:pPr>
                    </w:p>
                    <w:p w14:paraId="584E8D63" w14:textId="77777777" w:rsidR="00372080" w:rsidRPr="00372080" w:rsidRDefault="00372080" w:rsidP="00372080">
                      <w:pPr>
                        <w:jc w:val="center"/>
                        <w:rPr>
                          <w:rFonts w:ascii="Times New Roman" w:hAnsi="Times New Roman"/>
                        </w:rPr>
                      </w:pPr>
                    </w:p>
                    <w:p w14:paraId="58930487" w14:textId="77777777" w:rsidR="00372080" w:rsidRPr="0018394B" w:rsidRDefault="00372080" w:rsidP="00372080">
                      <w:pPr>
                        <w:jc w:val="both"/>
                        <w:rPr>
                          <w:rFonts w:ascii="Times New Roman" w:hAnsi="Times New Roman"/>
                          <w:b/>
                          <w:sz w:val="24"/>
                        </w:rPr>
                      </w:pPr>
                      <w:r w:rsidRPr="0018394B">
                        <w:rPr>
                          <w:rFonts w:ascii="Times New Roman" w:hAnsi="Times New Roman"/>
                          <w:b/>
                          <w:sz w:val="24"/>
                        </w:rPr>
                        <w:t>Overview of the Legislative Instrument</w:t>
                      </w:r>
                    </w:p>
                    <w:p w14:paraId="1B2188A9" w14:textId="77777777" w:rsidR="00372080" w:rsidRPr="0018394B" w:rsidRDefault="00372080" w:rsidP="00372080">
                      <w:pPr>
                        <w:rPr>
                          <w:rFonts w:ascii="Times New Roman" w:hAnsi="Times New Roman"/>
                          <w:i/>
                          <w:sz w:val="24"/>
                        </w:rPr>
                      </w:pPr>
                      <w:r w:rsidRPr="0018394B">
                        <w:rPr>
                          <w:rFonts w:ascii="Times New Roman" w:hAnsi="Times New Roman"/>
                          <w:sz w:val="24"/>
                        </w:rPr>
                        <w:t xml:space="preserve">This Determination provides the Australian Competition and Consumer Commission’s relevant costs for the immediately preceding financial year that is attributable to the ACCC’s telecommunications functions and powers, which is to be used in the calculation of the 2019-20 Annual Carrier Licence Charge under the </w:t>
                      </w:r>
                      <w:r w:rsidRPr="0018394B">
                        <w:rPr>
                          <w:rFonts w:ascii="Times New Roman" w:hAnsi="Times New Roman"/>
                          <w:i/>
                          <w:sz w:val="24"/>
                        </w:rPr>
                        <w:t>Telecommunications (Carrier Licence Charges) Act 1997</w:t>
                      </w:r>
                      <w:r w:rsidRPr="0018394B">
                        <w:rPr>
                          <w:rFonts w:ascii="Times New Roman" w:hAnsi="Times New Roman"/>
                          <w:sz w:val="24"/>
                        </w:rPr>
                        <w:t>.</w:t>
                      </w:r>
                    </w:p>
                    <w:p w14:paraId="70847829" w14:textId="77777777" w:rsidR="00372080" w:rsidRPr="0018394B" w:rsidRDefault="00372080" w:rsidP="00372080">
                      <w:pPr>
                        <w:rPr>
                          <w:rFonts w:ascii="Times New Roman" w:hAnsi="Times New Roman"/>
                          <w:sz w:val="24"/>
                        </w:rPr>
                      </w:pPr>
                    </w:p>
                    <w:p w14:paraId="2502A2A6" w14:textId="77777777" w:rsidR="00372080" w:rsidRPr="0018394B" w:rsidRDefault="00372080" w:rsidP="00372080">
                      <w:pPr>
                        <w:rPr>
                          <w:rFonts w:ascii="Times New Roman" w:hAnsi="Times New Roman"/>
                          <w:b/>
                          <w:sz w:val="24"/>
                        </w:rPr>
                      </w:pPr>
                      <w:r w:rsidRPr="0018394B">
                        <w:rPr>
                          <w:rFonts w:ascii="Times New Roman" w:hAnsi="Times New Roman"/>
                          <w:b/>
                          <w:sz w:val="24"/>
                        </w:rPr>
                        <w:t>Human rights implications</w:t>
                      </w:r>
                    </w:p>
                    <w:p w14:paraId="7126878E" w14:textId="77777777" w:rsidR="00372080" w:rsidRPr="0018394B" w:rsidRDefault="00372080" w:rsidP="00372080">
                      <w:pPr>
                        <w:rPr>
                          <w:rFonts w:ascii="Times New Roman" w:hAnsi="Times New Roman"/>
                          <w:sz w:val="24"/>
                        </w:rPr>
                      </w:pPr>
                      <w:r w:rsidRPr="0018394B">
                        <w:rPr>
                          <w:rFonts w:ascii="Times New Roman" w:hAnsi="Times New Roman"/>
                          <w:sz w:val="24"/>
                        </w:rPr>
                        <w:t>This Legislative Instrument does not engage any of the applicable rights or freedoms.</w:t>
                      </w:r>
                    </w:p>
                    <w:p w14:paraId="6E2B36D6" w14:textId="77777777" w:rsidR="00372080" w:rsidRPr="0018394B" w:rsidRDefault="00372080" w:rsidP="00372080">
                      <w:pPr>
                        <w:rPr>
                          <w:rFonts w:ascii="Times New Roman" w:hAnsi="Times New Roman"/>
                          <w:sz w:val="24"/>
                        </w:rPr>
                      </w:pPr>
                    </w:p>
                    <w:p w14:paraId="0AE3B172" w14:textId="77777777" w:rsidR="00372080" w:rsidRPr="0018394B" w:rsidRDefault="00372080" w:rsidP="00372080">
                      <w:pPr>
                        <w:rPr>
                          <w:rFonts w:ascii="Times New Roman" w:hAnsi="Times New Roman"/>
                          <w:b/>
                          <w:sz w:val="24"/>
                        </w:rPr>
                      </w:pPr>
                      <w:r w:rsidRPr="0018394B">
                        <w:rPr>
                          <w:rFonts w:ascii="Times New Roman" w:hAnsi="Times New Roman"/>
                          <w:b/>
                          <w:sz w:val="24"/>
                        </w:rPr>
                        <w:t>Conclusion</w:t>
                      </w:r>
                    </w:p>
                    <w:p w14:paraId="5C1B2613" w14:textId="77777777" w:rsidR="00372080" w:rsidRPr="0018394B" w:rsidRDefault="00372080" w:rsidP="00372080">
                      <w:pPr>
                        <w:rPr>
                          <w:rFonts w:ascii="Times New Roman" w:hAnsi="Times New Roman"/>
                          <w:sz w:val="24"/>
                        </w:rPr>
                      </w:pPr>
                      <w:r w:rsidRPr="0018394B">
                        <w:rPr>
                          <w:rFonts w:ascii="Times New Roman" w:hAnsi="Times New Roman"/>
                          <w:sz w:val="24"/>
                        </w:rPr>
                        <w:t>This Legislative Instrument is compatible with human rights as it does not raise any human rights issues.</w:t>
                      </w:r>
                    </w:p>
                    <w:p w14:paraId="18908191" w14:textId="77777777" w:rsidR="00372080" w:rsidRPr="0018394B" w:rsidRDefault="00372080" w:rsidP="00372080">
                      <w:pPr>
                        <w:jc w:val="center"/>
                        <w:rPr>
                          <w:rFonts w:ascii="Times New Roman" w:hAnsi="Times New Roman"/>
                          <w:sz w:val="24"/>
                        </w:rPr>
                      </w:pPr>
                    </w:p>
                    <w:p w14:paraId="7AC76945" w14:textId="77777777" w:rsidR="00372080" w:rsidRPr="0018394B" w:rsidRDefault="00372080" w:rsidP="00372080">
                      <w:pPr>
                        <w:jc w:val="center"/>
                        <w:rPr>
                          <w:rFonts w:ascii="Times New Roman" w:hAnsi="Times New Roman"/>
                          <w:i/>
                          <w:sz w:val="24"/>
                        </w:rPr>
                      </w:pPr>
                      <w:r w:rsidRPr="0018394B">
                        <w:rPr>
                          <w:rFonts w:ascii="Times New Roman" w:hAnsi="Times New Roman"/>
                          <w:i/>
                          <w:sz w:val="24"/>
                        </w:rPr>
                        <w:t>Gina Cass-Gottlieb, Chair, Australian Competition and Consumer Commission</w:t>
                      </w:r>
                    </w:p>
                  </w:txbxContent>
                </v:textbox>
                <w10:anchorlock/>
              </v:rect>
            </w:pict>
          </mc:Fallback>
        </mc:AlternateContent>
      </w:r>
    </w:p>
    <w:p w14:paraId="3C069FBE" w14:textId="77777777" w:rsidR="00BB7B50" w:rsidRPr="00BB7B50" w:rsidRDefault="00BB7B50" w:rsidP="00BB7B50">
      <w:pPr>
        <w:rPr>
          <w:rFonts w:ascii="Times New Roman" w:hAnsi="Times New Roman"/>
          <w:sz w:val="24"/>
        </w:rPr>
      </w:pPr>
    </w:p>
    <w:p w14:paraId="3F322522" w14:textId="77777777" w:rsidR="00BB7B50" w:rsidRPr="00BB7B50" w:rsidRDefault="00BB7B50" w:rsidP="00BB7B50">
      <w:pPr>
        <w:rPr>
          <w:rFonts w:ascii="Times New Roman" w:hAnsi="Times New Roman"/>
          <w:sz w:val="24"/>
        </w:rPr>
      </w:pPr>
    </w:p>
    <w:p w14:paraId="57BF7149" w14:textId="77777777" w:rsidR="00BB7B50" w:rsidRPr="00BB7B50" w:rsidRDefault="00BB7B50" w:rsidP="00BB7B50">
      <w:pPr>
        <w:rPr>
          <w:rFonts w:ascii="Times New Roman" w:hAnsi="Times New Roman"/>
          <w:sz w:val="24"/>
        </w:rPr>
      </w:pPr>
    </w:p>
    <w:p w14:paraId="0532D034" w14:textId="77777777" w:rsidR="00BB7B50" w:rsidRPr="00BB7B50" w:rsidRDefault="00BB7B50" w:rsidP="00BB7B50">
      <w:pPr>
        <w:rPr>
          <w:rFonts w:ascii="Times New Roman" w:hAnsi="Times New Roman"/>
          <w:sz w:val="24"/>
        </w:rPr>
      </w:pPr>
    </w:p>
    <w:p w14:paraId="469BC7F7" w14:textId="77777777" w:rsidR="00BB7B50" w:rsidRPr="00BB7B50" w:rsidRDefault="00BB7B50" w:rsidP="00BB7B50">
      <w:pPr>
        <w:rPr>
          <w:rFonts w:ascii="Times New Roman" w:hAnsi="Times New Roman"/>
          <w:sz w:val="24"/>
        </w:rPr>
      </w:pPr>
    </w:p>
    <w:p w14:paraId="5E711C1B" w14:textId="27E88001" w:rsidR="00372080" w:rsidRDefault="00F8473E" w:rsidP="00F8473E">
      <w:pPr>
        <w:tabs>
          <w:tab w:val="left" w:pos="5923"/>
        </w:tabs>
        <w:rPr>
          <w:rFonts w:ascii="Times New Roman" w:hAnsi="Times New Roman"/>
          <w:sz w:val="24"/>
        </w:rPr>
      </w:pPr>
      <w:r>
        <w:rPr>
          <w:rFonts w:ascii="Times New Roman" w:hAnsi="Times New Roman"/>
          <w:sz w:val="24"/>
        </w:rPr>
        <w:tab/>
      </w:r>
    </w:p>
    <w:sectPr w:rsidR="00372080" w:rsidSect="001D139B">
      <w:headerReference w:type="default" r:id="rId9"/>
      <w:footerReference w:type="default" r:id="rId10"/>
      <w:pgSz w:w="11907" w:h="16839" w:code="9"/>
      <w:pgMar w:top="851" w:right="1077" w:bottom="340" w:left="107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F92E" w14:textId="77777777" w:rsidR="006119DE" w:rsidRDefault="006119DE" w:rsidP="002C08F7">
      <w:r>
        <w:separator/>
      </w:r>
    </w:p>
    <w:p w14:paraId="5989059E" w14:textId="77777777" w:rsidR="006119DE" w:rsidRDefault="006119DE" w:rsidP="002C08F7"/>
  </w:endnote>
  <w:endnote w:type="continuationSeparator" w:id="0">
    <w:p w14:paraId="16349C12" w14:textId="77777777" w:rsidR="006119DE" w:rsidRDefault="006119DE" w:rsidP="002C08F7">
      <w:r>
        <w:continuationSeparator/>
      </w:r>
    </w:p>
    <w:p w14:paraId="7B542558" w14:textId="77777777" w:rsidR="006119DE" w:rsidRDefault="006119DE" w:rsidP="002C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5763" w14:textId="77777777" w:rsidR="003F31F9" w:rsidRPr="001D139B" w:rsidRDefault="003F31F9" w:rsidP="001D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D9E8" w14:textId="77777777" w:rsidR="006119DE" w:rsidRDefault="006119DE" w:rsidP="002C08F7">
      <w:r>
        <w:separator/>
      </w:r>
    </w:p>
    <w:p w14:paraId="61E75B84" w14:textId="77777777" w:rsidR="006119DE" w:rsidRDefault="006119DE" w:rsidP="002C08F7"/>
  </w:footnote>
  <w:footnote w:type="continuationSeparator" w:id="0">
    <w:p w14:paraId="630887A7" w14:textId="77777777" w:rsidR="006119DE" w:rsidRDefault="006119DE" w:rsidP="002C08F7">
      <w:r>
        <w:continuationSeparator/>
      </w:r>
    </w:p>
    <w:p w14:paraId="59490355" w14:textId="77777777" w:rsidR="006119DE" w:rsidRDefault="006119DE" w:rsidP="002C0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61E5" w14:textId="77777777" w:rsidR="003F31F9" w:rsidRPr="00833922" w:rsidRDefault="003F31F9" w:rsidP="00833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8006C654"/>
    <w:lvl w:ilvl="0">
      <w:start w:val="1"/>
      <w:numFmt w:val="decimal"/>
      <w:lvlText w:val="%1."/>
      <w:lvlJc w:val="left"/>
      <w:pPr>
        <w:tabs>
          <w:tab w:val="num" w:pos="360"/>
        </w:tabs>
        <w:ind w:left="360" w:hanging="360"/>
      </w:pPr>
    </w:lvl>
    <w:lvl w:ilvl="1">
      <w:start w:val="1"/>
      <w:numFmt w:val="decimal"/>
      <w:isLgl/>
      <w:lvlText w:val="%1.%2"/>
      <w:lvlJc w:val="left"/>
      <w:pPr>
        <w:ind w:left="1997" w:hanging="720"/>
      </w:pPr>
      <w:rPr>
        <w:rFonts w:hint="default"/>
        <w:b w:val="0"/>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 w15:restartNumberingAfterBreak="0">
    <w:nsid w:val="FFFFFF89"/>
    <w:multiLevelType w:val="singleLevel"/>
    <w:tmpl w:val="201E60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D703A"/>
    <w:multiLevelType w:val="hybridMultilevel"/>
    <w:tmpl w:val="B58A01DC"/>
    <w:lvl w:ilvl="0" w:tplc="B87C24C6">
      <w:start w:val="1"/>
      <w:numFmt w:val="decimal"/>
      <w:pStyle w:val="NormalNumbered5"/>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ED6A09"/>
    <w:multiLevelType w:val="hybridMultilevel"/>
    <w:tmpl w:val="EBF80DEA"/>
    <w:lvl w:ilvl="0" w:tplc="2B0E1F8E">
      <w:start w:val="1"/>
      <w:numFmt w:val="decimal"/>
      <w:pStyle w:val="NormalNumbered3"/>
      <w:lvlText w:val="3.%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C647E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038C8"/>
    <w:multiLevelType w:val="hybridMultilevel"/>
    <w:tmpl w:val="4DF4F448"/>
    <w:lvl w:ilvl="0" w:tplc="FB80F9C2">
      <w:start w:val="1"/>
      <w:numFmt w:val="decimal"/>
      <w:pStyle w:val="NormalNumbered2"/>
      <w:lvlText w:val="2.%1 "/>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3F5B72"/>
    <w:multiLevelType w:val="multilevel"/>
    <w:tmpl w:val="02DABE02"/>
    <w:lvl w:ilvl="0">
      <w:start w:val="1"/>
      <w:numFmt w:val="decimal"/>
      <w:pStyle w:val="Heading3Number"/>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7" w15:restartNumberingAfterBreak="0">
    <w:nsid w:val="16143D52"/>
    <w:multiLevelType w:val="hybridMultilevel"/>
    <w:tmpl w:val="3CB42824"/>
    <w:lvl w:ilvl="0" w:tplc="3FEA490A">
      <w:start w:val="1"/>
      <w:numFmt w:val="bullet"/>
      <w:pStyle w:val="Style1"/>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9" w15:restartNumberingAfterBreak="0">
    <w:nsid w:val="203141BE"/>
    <w:multiLevelType w:val="hybridMultilevel"/>
    <w:tmpl w:val="795E7A98"/>
    <w:lvl w:ilvl="0" w:tplc="88FCAF20">
      <w:start w:val="1"/>
      <w:numFmt w:val="decimal"/>
      <w:pStyle w:val="NormalNumbered"/>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7337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9D53E4"/>
    <w:multiLevelType w:val="hybridMultilevel"/>
    <w:tmpl w:val="4C76D9C2"/>
    <w:lvl w:ilvl="0" w:tplc="6B5622AE">
      <w:start w:val="1"/>
      <w:numFmt w:val="decimal"/>
      <w:pStyle w:val="NormalNumbered6"/>
      <w:lvlText w:val="6.%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55D6ECB"/>
    <w:multiLevelType w:val="multilevel"/>
    <w:tmpl w:val="85628FC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3" w15:restartNumberingAfterBreak="0">
    <w:nsid w:val="38D206AE"/>
    <w:multiLevelType w:val="hybridMultilevel"/>
    <w:tmpl w:val="76AC165E"/>
    <w:lvl w:ilvl="0" w:tplc="6FEC261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DF5351"/>
    <w:multiLevelType w:val="hybridMultilevel"/>
    <w:tmpl w:val="08DE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DF282D"/>
    <w:multiLevelType w:val="hybridMultilevel"/>
    <w:tmpl w:val="A8D6C870"/>
    <w:lvl w:ilvl="0" w:tplc="08BC7FC6">
      <w:start w:val="1"/>
      <w:numFmt w:val="decimal"/>
      <w:pStyle w:val="NormalNumbered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432C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1E70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4D4B1C"/>
    <w:multiLevelType w:val="hybridMultilevel"/>
    <w:tmpl w:val="5638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9F0909"/>
    <w:multiLevelType w:val="multilevel"/>
    <w:tmpl w:val="7F00C51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bullet"/>
      <w:lvlText w:val=""/>
      <w:lvlJc w:val="left"/>
      <w:pPr>
        <w:tabs>
          <w:tab w:val="num" w:pos="1209"/>
        </w:tabs>
        <w:ind w:left="1209" w:hanging="360"/>
      </w:pPr>
      <w:rPr>
        <w:rFonts w:ascii="Symbol" w:hAnsi="Symbol" w:hint="default"/>
        <w:color w:val="auto"/>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20" w15:restartNumberingAfterBreak="0">
    <w:nsid w:val="7E2053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2"/>
  </w:num>
  <w:num w:numId="4">
    <w:abstractNumId w:val="19"/>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8"/>
  </w:num>
  <w:num w:numId="19">
    <w:abstractNumId w:val="7"/>
  </w:num>
  <w:num w:numId="20">
    <w:abstractNumId w:val="4"/>
  </w:num>
  <w:num w:numId="21">
    <w:abstractNumId w:val="13"/>
  </w:num>
  <w:num w:numId="22">
    <w:abstractNumId w:val="2"/>
  </w:num>
  <w:num w:numId="23">
    <w:abstractNumId w:val="17"/>
  </w:num>
  <w:num w:numId="24">
    <w:abstractNumId w:val="16"/>
  </w:num>
  <w:num w:numId="25">
    <w:abstractNumId w:val="20"/>
  </w:num>
  <w:num w:numId="26">
    <w:abstractNumId w:val="10"/>
  </w:num>
  <w:num w:numId="27">
    <w:abstractNumId w:val="6"/>
  </w:num>
  <w:num w:numId="28">
    <w:abstractNumId w:val="9"/>
  </w:num>
  <w:num w:numId="29">
    <w:abstractNumId w:val="5"/>
  </w:num>
  <w:num w:numId="30">
    <w:abstractNumId w:val="3"/>
  </w:num>
  <w:num w:numId="31">
    <w:abstractNumId w:val="15"/>
  </w:num>
  <w:num w:numId="32">
    <w:abstractNumId w:val="11"/>
  </w:num>
  <w:num w:numId="33">
    <w:abstractNumId w:val="9"/>
  </w:num>
  <w:num w:numId="34">
    <w:abstractNumId w:val="9"/>
  </w:num>
  <w:num w:numId="35">
    <w:abstractNumId w:val="5"/>
  </w:num>
  <w:num w:numId="36">
    <w:abstractNumId w:val="5"/>
  </w:num>
  <w:num w:numId="37">
    <w:abstractNumId w:val="3"/>
  </w:num>
  <w:num w:numId="38">
    <w:abstractNumId w:val="15"/>
  </w:num>
  <w:num w:numId="39">
    <w:abstractNumId w:val="15"/>
  </w:num>
  <w:num w:numId="40">
    <w:abstractNumId w:val="15"/>
  </w:num>
  <w:num w:numId="41">
    <w:abstractNumId w:val="2"/>
  </w:num>
  <w:num w:numId="42">
    <w:abstractNumId w:val="2"/>
  </w:num>
  <w:num w:numId="43">
    <w:abstractNumId w:val="2"/>
  </w:num>
  <w:num w:numId="44">
    <w:abstractNumId w:val="2"/>
  </w:num>
  <w:num w:numId="45">
    <w:abstractNumId w:val="2"/>
  </w:num>
  <w:num w:numId="46">
    <w:abstractNumId w:val="3"/>
  </w:num>
  <w:num w:numId="47">
    <w:abstractNumId w:val="3"/>
  </w:num>
  <w:num w:numId="4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rrentname" w:val="C:\Users\dnada\AppData\Local\Microsoft\Windows\Temporary Internet Files\Content.Outlook\G5LCWMD1\Attachment B - 2015-16 ACLC - ACCC Explanatory Statement.docx"/>
  </w:docVars>
  <w:rsids>
    <w:rsidRoot w:val="001302BE"/>
    <w:rsid w:val="00004460"/>
    <w:rsid w:val="00011306"/>
    <w:rsid w:val="00015C7E"/>
    <w:rsid w:val="00020CF5"/>
    <w:rsid w:val="000223E3"/>
    <w:rsid w:val="00025E58"/>
    <w:rsid w:val="00030D00"/>
    <w:rsid w:val="00033225"/>
    <w:rsid w:val="00037B11"/>
    <w:rsid w:val="000550B6"/>
    <w:rsid w:val="000605A3"/>
    <w:rsid w:val="0007214C"/>
    <w:rsid w:val="00083294"/>
    <w:rsid w:val="00083525"/>
    <w:rsid w:val="000836C3"/>
    <w:rsid w:val="00085787"/>
    <w:rsid w:val="000A0936"/>
    <w:rsid w:val="000A3DF0"/>
    <w:rsid w:val="000B3AD9"/>
    <w:rsid w:val="000C3FBB"/>
    <w:rsid w:val="000D4E89"/>
    <w:rsid w:val="000E1137"/>
    <w:rsid w:val="000E44F3"/>
    <w:rsid w:val="000E5AE1"/>
    <w:rsid w:val="000E5C85"/>
    <w:rsid w:val="000F5A9D"/>
    <w:rsid w:val="00100089"/>
    <w:rsid w:val="001302BE"/>
    <w:rsid w:val="00137FBC"/>
    <w:rsid w:val="00140760"/>
    <w:rsid w:val="00144678"/>
    <w:rsid w:val="00151272"/>
    <w:rsid w:val="0015283D"/>
    <w:rsid w:val="001562E2"/>
    <w:rsid w:val="0015631D"/>
    <w:rsid w:val="00156942"/>
    <w:rsid w:val="001611CA"/>
    <w:rsid w:val="00165F4A"/>
    <w:rsid w:val="001669D9"/>
    <w:rsid w:val="00177731"/>
    <w:rsid w:val="001829A3"/>
    <w:rsid w:val="0018394B"/>
    <w:rsid w:val="0018724B"/>
    <w:rsid w:val="00191073"/>
    <w:rsid w:val="00192DC0"/>
    <w:rsid w:val="0019334E"/>
    <w:rsid w:val="001A10AB"/>
    <w:rsid w:val="001A30E7"/>
    <w:rsid w:val="001A4A93"/>
    <w:rsid w:val="001A7E7B"/>
    <w:rsid w:val="001B3EFC"/>
    <w:rsid w:val="001B4A48"/>
    <w:rsid w:val="001B4F3A"/>
    <w:rsid w:val="001B51F6"/>
    <w:rsid w:val="001B7B06"/>
    <w:rsid w:val="001C38B7"/>
    <w:rsid w:val="001C7124"/>
    <w:rsid w:val="001D139B"/>
    <w:rsid w:val="001D3588"/>
    <w:rsid w:val="001D642A"/>
    <w:rsid w:val="001E28B7"/>
    <w:rsid w:val="001E56DE"/>
    <w:rsid w:val="001E7980"/>
    <w:rsid w:val="001F6F0F"/>
    <w:rsid w:val="001F7736"/>
    <w:rsid w:val="00202E6A"/>
    <w:rsid w:val="002101DB"/>
    <w:rsid w:val="0021182C"/>
    <w:rsid w:val="002120B8"/>
    <w:rsid w:val="00216D5B"/>
    <w:rsid w:val="00220846"/>
    <w:rsid w:val="00221724"/>
    <w:rsid w:val="00223C3D"/>
    <w:rsid w:val="002252FB"/>
    <w:rsid w:val="002315C1"/>
    <w:rsid w:val="00242F0F"/>
    <w:rsid w:val="002538D0"/>
    <w:rsid w:val="002541EF"/>
    <w:rsid w:val="00262298"/>
    <w:rsid w:val="00263332"/>
    <w:rsid w:val="00267281"/>
    <w:rsid w:val="00276B8A"/>
    <w:rsid w:val="002842C4"/>
    <w:rsid w:val="00285657"/>
    <w:rsid w:val="00287CEB"/>
    <w:rsid w:val="00294F8A"/>
    <w:rsid w:val="002A4D02"/>
    <w:rsid w:val="002A71D0"/>
    <w:rsid w:val="002B075E"/>
    <w:rsid w:val="002B4E4A"/>
    <w:rsid w:val="002C08F7"/>
    <w:rsid w:val="002C7524"/>
    <w:rsid w:val="002D6718"/>
    <w:rsid w:val="002E34E2"/>
    <w:rsid w:val="002E4AAB"/>
    <w:rsid w:val="002F43ED"/>
    <w:rsid w:val="002F5B74"/>
    <w:rsid w:val="00303805"/>
    <w:rsid w:val="003137A3"/>
    <w:rsid w:val="00316276"/>
    <w:rsid w:val="003255CC"/>
    <w:rsid w:val="003258D1"/>
    <w:rsid w:val="00327B75"/>
    <w:rsid w:val="00334F0C"/>
    <w:rsid w:val="00337170"/>
    <w:rsid w:val="003438FC"/>
    <w:rsid w:val="0034469E"/>
    <w:rsid w:val="0034481A"/>
    <w:rsid w:val="00344D4B"/>
    <w:rsid w:val="00346938"/>
    <w:rsid w:val="00353A41"/>
    <w:rsid w:val="00360125"/>
    <w:rsid w:val="00372080"/>
    <w:rsid w:val="003805CA"/>
    <w:rsid w:val="00383CEE"/>
    <w:rsid w:val="00386C11"/>
    <w:rsid w:val="003905E6"/>
    <w:rsid w:val="003918C6"/>
    <w:rsid w:val="00394C4D"/>
    <w:rsid w:val="00394CF0"/>
    <w:rsid w:val="00396A14"/>
    <w:rsid w:val="003B3188"/>
    <w:rsid w:val="003B4731"/>
    <w:rsid w:val="003B720E"/>
    <w:rsid w:val="003C00A4"/>
    <w:rsid w:val="003C12C3"/>
    <w:rsid w:val="003C1675"/>
    <w:rsid w:val="003D0B28"/>
    <w:rsid w:val="003E791A"/>
    <w:rsid w:val="003F23F6"/>
    <w:rsid w:val="003F31F9"/>
    <w:rsid w:val="00403358"/>
    <w:rsid w:val="00406509"/>
    <w:rsid w:val="004154A5"/>
    <w:rsid w:val="00424CE1"/>
    <w:rsid w:val="0042607E"/>
    <w:rsid w:val="0043452C"/>
    <w:rsid w:val="004408A5"/>
    <w:rsid w:val="004436C0"/>
    <w:rsid w:val="00443CC4"/>
    <w:rsid w:val="00453186"/>
    <w:rsid w:val="00461EF4"/>
    <w:rsid w:val="00464EBD"/>
    <w:rsid w:val="00467479"/>
    <w:rsid w:val="004A6B26"/>
    <w:rsid w:val="004A6FD5"/>
    <w:rsid w:val="004A748A"/>
    <w:rsid w:val="004C2594"/>
    <w:rsid w:val="004C557A"/>
    <w:rsid w:val="004C766E"/>
    <w:rsid w:val="004D13A7"/>
    <w:rsid w:val="004D294E"/>
    <w:rsid w:val="004D704F"/>
    <w:rsid w:val="004E0AC4"/>
    <w:rsid w:val="004E10CA"/>
    <w:rsid w:val="004E15DC"/>
    <w:rsid w:val="004E2FEE"/>
    <w:rsid w:val="004F43A0"/>
    <w:rsid w:val="00502A2B"/>
    <w:rsid w:val="00514F45"/>
    <w:rsid w:val="00526EE3"/>
    <w:rsid w:val="00530550"/>
    <w:rsid w:val="00532C49"/>
    <w:rsid w:val="00544F9E"/>
    <w:rsid w:val="005553A1"/>
    <w:rsid w:val="0055577A"/>
    <w:rsid w:val="00560292"/>
    <w:rsid w:val="00560CD2"/>
    <w:rsid w:val="00561A7D"/>
    <w:rsid w:val="0056599A"/>
    <w:rsid w:val="00575B28"/>
    <w:rsid w:val="00582A9A"/>
    <w:rsid w:val="005834E2"/>
    <w:rsid w:val="00583BC0"/>
    <w:rsid w:val="0059034D"/>
    <w:rsid w:val="005A5455"/>
    <w:rsid w:val="005B1373"/>
    <w:rsid w:val="005B34F6"/>
    <w:rsid w:val="005B45FA"/>
    <w:rsid w:val="005C3F91"/>
    <w:rsid w:val="005D1EB1"/>
    <w:rsid w:val="005D5293"/>
    <w:rsid w:val="005E43ED"/>
    <w:rsid w:val="005F17A4"/>
    <w:rsid w:val="005F24AF"/>
    <w:rsid w:val="005F41B0"/>
    <w:rsid w:val="005F59A7"/>
    <w:rsid w:val="00604453"/>
    <w:rsid w:val="0060611C"/>
    <w:rsid w:val="006119DE"/>
    <w:rsid w:val="0061347F"/>
    <w:rsid w:val="006153EC"/>
    <w:rsid w:val="00625F95"/>
    <w:rsid w:val="00650DBB"/>
    <w:rsid w:val="006564B5"/>
    <w:rsid w:val="006579B0"/>
    <w:rsid w:val="00661058"/>
    <w:rsid w:val="00663077"/>
    <w:rsid w:val="00675BC4"/>
    <w:rsid w:val="00675EFA"/>
    <w:rsid w:val="00681274"/>
    <w:rsid w:val="006B4624"/>
    <w:rsid w:val="006C23F8"/>
    <w:rsid w:val="006C475F"/>
    <w:rsid w:val="006C487F"/>
    <w:rsid w:val="006D01B1"/>
    <w:rsid w:val="006D591C"/>
    <w:rsid w:val="006E23AF"/>
    <w:rsid w:val="007001AF"/>
    <w:rsid w:val="00700F21"/>
    <w:rsid w:val="007034E9"/>
    <w:rsid w:val="00714BE2"/>
    <w:rsid w:val="0071742D"/>
    <w:rsid w:val="00723D33"/>
    <w:rsid w:val="007251E0"/>
    <w:rsid w:val="007309B5"/>
    <w:rsid w:val="0073500E"/>
    <w:rsid w:val="00742C9F"/>
    <w:rsid w:val="00743E14"/>
    <w:rsid w:val="00744566"/>
    <w:rsid w:val="00752DA9"/>
    <w:rsid w:val="0075396A"/>
    <w:rsid w:val="00754A75"/>
    <w:rsid w:val="00771272"/>
    <w:rsid w:val="0077137D"/>
    <w:rsid w:val="00780203"/>
    <w:rsid w:val="00782F04"/>
    <w:rsid w:val="0078354D"/>
    <w:rsid w:val="00785D6D"/>
    <w:rsid w:val="007912D1"/>
    <w:rsid w:val="00795C3F"/>
    <w:rsid w:val="007A6A50"/>
    <w:rsid w:val="007A7BEC"/>
    <w:rsid w:val="007B46CE"/>
    <w:rsid w:val="007B6642"/>
    <w:rsid w:val="007C7F75"/>
    <w:rsid w:val="007D1FBF"/>
    <w:rsid w:val="007E5CC5"/>
    <w:rsid w:val="007F3C2D"/>
    <w:rsid w:val="007F51AC"/>
    <w:rsid w:val="00803563"/>
    <w:rsid w:val="00812DBF"/>
    <w:rsid w:val="008254F9"/>
    <w:rsid w:val="0083102B"/>
    <w:rsid w:val="00833922"/>
    <w:rsid w:val="00833A67"/>
    <w:rsid w:val="00842237"/>
    <w:rsid w:val="0085113E"/>
    <w:rsid w:val="008629BD"/>
    <w:rsid w:val="00870A22"/>
    <w:rsid w:val="00875230"/>
    <w:rsid w:val="0087593E"/>
    <w:rsid w:val="00875A38"/>
    <w:rsid w:val="0087628F"/>
    <w:rsid w:val="0087799D"/>
    <w:rsid w:val="0088739D"/>
    <w:rsid w:val="00891F7F"/>
    <w:rsid w:val="008928E1"/>
    <w:rsid w:val="00897F8E"/>
    <w:rsid w:val="008A1084"/>
    <w:rsid w:val="008B55B9"/>
    <w:rsid w:val="008C2DB5"/>
    <w:rsid w:val="008C4A3E"/>
    <w:rsid w:val="008C6533"/>
    <w:rsid w:val="008C757C"/>
    <w:rsid w:val="008D39C1"/>
    <w:rsid w:val="008E4D8D"/>
    <w:rsid w:val="008E4E12"/>
    <w:rsid w:val="00904E2F"/>
    <w:rsid w:val="009119E3"/>
    <w:rsid w:val="009129F8"/>
    <w:rsid w:val="00914AB2"/>
    <w:rsid w:val="00916A3E"/>
    <w:rsid w:val="009202E7"/>
    <w:rsid w:val="0092078A"/>
    <w:rsid w:val="009276A2"/>
    <w:rsid w:val="00927722"/>
    <w:rsid w:val="009277EA"/>
    <w:rsid w:val="009356AC"/>
    <w:rsid w:val="00941E18"/>
    <w:rsid w:val="009435B4"/>
    <w:rsid w:val="0095024E"/>
    <w:rsid w:val="0095198F"/>
    <w:rsid w:val="00953B22"/>
    <w:rsid w:val="00962906"/>
    <w:rsid w:val="0096401B"/>
    <w:rsid w:val="009647DD"/>
    <w:rsid w:val="009721BF"/>
    <w:rsid w:val="00972B8D"/>
    <w:rsid w:val="00977F1F"/>
    <w:rsid w:val="00984A6D"/>
    <w:rsid w:val="00985247"/>
    <w:rsid w:val="009A7B7B"/>
    <w:rsid w:val="009B1D9C"/>
    <w:rsid w:val="009B5461"/>
    <w:rsid w:val="009C1F43"/>
    <w:rsid w:val="009C5F68"/>
    <w:rsid w:val="009D0ECB"/>
    <w:rsid w:val="009D74C0"/>
    <w:rsid w:val="009E0EDF"/>
    <w:rsid w:val="00A04F39"/>
    <w:rsid w:val="00A13AD2"/>
    <w:rsid w:val="00A1404B"/>
    <w:rsid w:val="00A16630"/>
    <w:rsid w:val="00A17949"/>
    <w:rsid w:val="00A21337"/>
    <w:rsid w:val="00A230A1"/>
    <w:rsid w:val="00A24676"/>
    <w:rsid w:val="00A251B4"/>
    <w:rsid w:val="00A27C4D"/>
    <w:rsid w:val="00A3373B"/>
    <w:rsid w:val="00A33FDA"/>
    <w:rsid w:val="00A34348"/>
    <w:rsid w:val="00A379EF"/>
    <w:rsid w:val="00A42359"/>
    <w:rsid w:val="00A5686F"/>
    <w:rsid w:val="00A62342"/>
    <w:rsid w:val="00A72645"/>
    <w:rsid w:val="00A8671E"/>
    <w:rsid w:val="00A8768D"/>
    <w:rsid w:val="00A92556"/>
    <w:rsid w:val="00A93D8D"/>
    <w:rsid w:val="00A9510F"/>
    <w:rsid w:val="00A963D7"/>
    <w:rsid w:val="00AA0555"/>
    <w:rsid w:val="00AA084D"/>
    <w:rsid w:val="00AA54D3"/>
    <w:rsid w:val="00AA5814"/>
    <w:rsid w:val="00AA64F6"/>
    <w:rsid w:val="00AB0B79"/>
    <w:rsid w:val="00AB50F8"/>
    <w:rsid w:val="00AC72E5"/>
    <w:rsid w:val="00AC768B"/>
    <w:rsid w:val="00AD4AF4"/>
    <w:rsid w:val="00AD4FC8"/>
    <w:rsid w:val="00AD6D95"/>
    <w:rsid w:val="00AD72A4"/>
    <w:rsid w:val="00AE23C9"/>
    <w:rsid w:val="00AE4CAF"/>
    <w:rsid w:val="00AF1073"/>
    <w:rsid w:val="00AF2652"/>
    <w:rsid w:val="00AF553D"/>
    <w:rsid w:val="00B079CB"/>
    <w:rsid w:val="00B12858"/>
    <w:rsid w:val="00B1670C"/>
    <w:rsid w:val="00B2091E"/>
    <w:rsid w:val="00B3436B"/>
    <w:rsid w:val="00B42F9F"/>
    <w:rsid w:val="00B50248"/>
    <w:rsid w:val="00B5313F"/>
    <w:rsid w:val="00B56B47"/>
    <w:rsid w:val="00B70720"/>
    <w:rsid w:val="00B77D0B"/>
    <w:rsid w:val="00B80092"/>
    <w:rsid w:val="00B93088"/>
    <w:rsid w:val="00B9400A"/>
    <w:rsid w:val="00B941C7"/>
    <w:rsid w:val="00B94705"/>
    <w:rsid w:val="00B95220"/>
    <w:rsid w:val="00BA06A5"/>
    <w:rsid w:val="00BA2C75"/>
    <w:rsid w:val="00BB0A7D"/>
    <w:rsid w:val="00BB5CC0"/>
    <w:rsid w:val="00BB7B50"/>
    <w:rsid w:val="00BD187B"/>
    <w:rsid w:val="00BE3FC3"/>
    <w:rsid w:val="00BF6DBA"/>
    <w:rsid w:val="00C076B4"/>
    <w:rsid w:val="00C10FE7"/>
    <w:rsid w:val="00C202BB"/>
    <w:rsid w:val="00C24A4B"/>
    <w:rsid w:val="00C257E8"/>
    <w:rsid w:val="00C26108"/>
    <w:rsid w:val="00C26AE3"/>
    <w:rsid w:val="00C26B47"/>
    <w:rsid w:val="00C30A66"/>
    <w:rsid w:val="00C35198"/>
    <w:rsid w:val="00C365FB"/>
    <w:rsid w:val="00C42CA5"/>
    <w:rsid w:val="00C50859"/>
    <w:rsid w:val="00C57660"/>
    <w:rsid w:val="00C60D66"/>
    <w:rsid w:val="00C61E13"/>
    <w:rsid w:val="00C64E12"/>
    <w:rsid w:val="00C6527F"/>
    <w:rsid w:val="00C86B6D"/>
    <w:rsid w:val="00C941D4"/>
    <w:rsid w:val="00CA422D"/>
    <w:rsid w:val="00CC681B"/>
    <w:rsid w:val="00CE1FB7"/>
    <w:rsid w:val="00CF2868"/>
    <w:rsid w:val="00CF568F"/>
    <w:rsid w:val="00D005AE"/>
    <w:rsid w:val="00D0662B"/>
    <w:rsid w:val="00D15DAB"/>
    <w:rsid w:val="00D17539"/>
    <w:rsid w:val="00D23A3A"/>
    <w:rsid w:val="00D24129"/>
    <w:rsid w:val="00D26C0F"/>
    <w:rsid w:val="00D340C8"/>
    <w:rsid w:val="00D41EAD"/>
    <w:rsid w:val="00D46A35"/>
    <w:rsid w:val="00D46D3A"/>
    <w:rsid w:val="00D501EA"/>
    <w:rsid w:val="00D525B2"/>
    <w:rsid w:val="00D526B9"/>
    <w:rsid w:val="00D636AE"/>
    <w:rsid w:val="00D66FE7"/>
    <w:rsid w:val="00D67693"/>
    <w:rsid w:val="00D7149C"/>
    <w:rsid w:val="00D73E57"/>
    <w:rsid w:val="00D76011"/>
    <w:rsid w:val="00D76F6A"/>
    <w:rsid w:val="00D839F4"/>
    <w:rsid w:val="00D91E9C"/>
    <w:rsid w:val="00DA176D"/>
    <w:rsid w:val="00DA7411"/>
    <w:rsid w:val="00DB3C8D"/>
    <w:rsid w:val="00DB5CF1"/>
    <w:rsid w:val="00DC4985"/>
    <w:rsid w:val="00DC6AD9"/>
    <w:rsid w:val="00DD6190"/>
    <w:rsid w:val="00DF15F7"/>
    <w:rsid w:val="00E00928"/>
    <w:rsid w:val="00E018F6"/>
    <w:rsid w:val="00E10E5C"/>
    <w:rsid w:val="00E13916"/>
    <w:rsid w:val="00E27867"/>
    <w:rsid w:val="00E36502"/>
    <w:rsid w:val="00E570E2"/>
    <w:rsid w:val="00E67199"/>
    <w:rsid w:val="00E7365F"/>
    <w:rsid w:val="00E7462F"/>
    <w:rsid w:val="00E765A1"/>
    <w:rsid w:val="00E7672D"/>
    <w:rsid w:val="00E8479E"/>
    <w:rsid w:val="00EA4292"/>
    <w:rsid w:val="00EA6C50"/>
    <w:rsid w:val="00EB05C9"/>
    <w:rsid w:val="00EB1870"/>
    <w:rsid w:val="00EB6BDB"/>
    <w:rsid w:val="00EC73BD"/>
    <w:rsid w:val="00EC7735"/>
    <w:rsid w:val="00EE0D5A"/>
    <w:rsid w:val="00EE1FA4"/>
    <w:rsid w:val="00EE53DE"/>
    <w:rsid w:val="00EF11FD"/>
    <w:rsid w:val="00EF20AB"/>
    <w:rsid w:val="00EF29A4"/>
    <w:rsid w:val="00EF3B3A"/>
    <w:rsid w:val="00EF3C4B"/>
    <w:rsid w:val="00F00AFA"/>
    <w:rsid w:val="00F059EC"/>
    <w:rsid w:val="00F05B7F"/>
    <w:rsid w:val="00F06C03"/>
    <w:rsid w:val="00F107DA"/>
    <w:rsid w:val="00F1349F"/>
    <w:rsid w:val="00F149D3"/>
    <w:rsid w:val="00F22196"/>
    <w:rsid w:val="00F23052"/>
    <w:rsid w:val="00F24F7B"/>
    <w:rsid w:val="00F258F9"/>
    <w:rsid w:val="00F35E65"/>
    <w:rsid w:val="00F36CE1"/>
    <w:rsid w:val="00F41A61"/>
    <w:rsid w:val="00F61BB6"/>
    <w:rsid w:val="00F643D1"/>
    <w:rsid w:val="00F74370"/>
    <w:rsid w:val="00F81104"/>
    <w:rsid w:val="00F8473E"/>
    <w:rsid w:val="00F965C8"/>
    <w:rsid w:val="00F97A1C"/>
    <w:rsid w:val="00F97B3B"/>
    <w:rsid w:val="00FA4F8A"/>
    <w:rsid w:val="00FA6899"/>
    <w:rsid w:val="00FB0F3E"/>
    <w:rsid w:val="00FB446A"/>
    <w:rsid w:val="00FB5060"/>
    <w:rsid w:val="00FC2438"/>
    <w:rsid w:val="00FC32DD"/>
    <w:rsid w:val="00FC63FC"/>
    <w:rsid w:val="00FD380D"/>
    <w:rsid w:val="00FE1A73"/>
    <w:rsid w:val="00FF26BF"/>
    <w:rsid w:val="00FF3239"/>
    <w:rsid w:val="00FF3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B1F295"/>
  <w15:docId w15:val="{82ECD0DF-B544-42E4-8CD8-8CDADC4C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720"/>
    <w:pPr>
      <w:spacing w:before="120" w:after="120"/>
    </w:pPr>
    <w:rPr>
      <w:rFonts w:ascii="Arial" w:hAnsi="Arial"/>
      <w:szCs w:val="24"/>
      <w:lang w:eastAsia="en-US"/>
    </w:rPr>
  </w:style>
  <w:style w:type="paragraph" w:styleId="Heading1">
    <w:name w:val="heading 1"/>
    <w:next w:val="Normal"/>
    <w:link w:val="Heading1Char"/>
    <w:qFormat/>
    <w:rsid w:val="005F59A7"/>
    <w:pPr>
      <w:keepNext/>
      <w:keepLines/>
      <w:spacing w:before="480" w:after="240"/>
      <w:outlineLvl w:val="0"/>
    </w:pPr>
    <w:rPr>
      <w:rFonts w:ascii="Lucida Fax" w:hAnsi="Lucida Fax"/>
      <w:b/>
      <w:bCs/>
      <w:sz w:val="36"/>
      <w:szCs w:val="28"/>
    </w:rPr>
  </w:style>
  <w:style w:type="paragraph" w:styleId="Heading2">
    <w:name w:val="heading 2"/>
    <w:next w:val="Normal"/>
    <w:link w:val="Heading2Char"/>
    <w:qFormat/>
    <w:rsid w:val="00F00AFA"/>
    <w:pPr>
      <w:keepNext/>
      <w:keepLines/>
      <w:spacing w:before="120" w:after="120"/>
      <w:outlineLvl w:val="1"/>
    </w:pPr>
    <w:rPr>
      <w:rFonts w:ascii="Arial" w:hAnsi="Arial"/>
      <w:b/>
      <w:bCs/>
      <w:szCs w:val="26"/>
    </w:rPr>
  </w:style>
  <w:style w:type="paragraph" w:styleId="Heading3">
    <w:name w:val="heading 3"/>
    <w:basedOn w:val="Normal"/>
    <w:next w:val="Normal"/>
    <w:link w:val="Heading3Char"/>
    <w:semiHidden/>
    <w:unhideWhenUsed/>
    <w:qFormat/>
    <w:rsid w:val="00F00AFA"/>
    <w:pPr>
      <w:keepNext/>
      <w:spacing w:before="360" w:after="240"/>
      <w:outlineLvl w:val="2"/>
    </w:pPr>
    <w:rPr>
      <w:b/>
      <w:bCs/>
      <w:szCs w:val="26"/>
    </w:rPr>
  </w:style>
  <w:style w:type="paragraph" w:styleId="Heading6">
    <w:name w:val="heading 6"/>
    <w:basedOn w:val="Normal"/>
    <w:next w:val="Normal"/>
    <w:link w:val="Heading6Char"/>
    <w:semiHidden/>
    <w:unhideWhenUsed/>
    <w:qFormat/>
    <w:rsid w:val="001D139B"/>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1D139B"/>
    <w:pPr>
      <w:spacing w:before="240" w:after="60"/>
      <w:outlineLvl w:val="6"/>
    </w:pPr>
    <w:rPr>
      <w:rFonts w:asciiTheme="minorHAnsi" w:eastAsiaTheme="minorEastAsia"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9A7"/>
    <w:pPr>
      <w:tabs>
        <w:tab w:val="center" w:pos="4153"/>
        <w:tab w:val="right" w:pos="8306"/>
      </w:tabs>
    </w:pPr>
    <w:rPr>
      <w:color w:val="7F7F7F"/>
      <w:sz w:val="16"/>
    </w:rPr>
  </w:style>
  <w:style w:type="paragraph" w:styleId="Header">
    <w:name w:val="header"/>
    <w:basedOn w:val="Normal"/>
    <w:link w:val="HeaderChar"/>
    <w:rsid w:val="005F59A7"/>
    <w:pPr>
      <w:tabs>
        <w:tab w:val="center" w:pos="4153"/>
        <w:tab w:val="right" w:pos="8306"/>
      </w:tabs>
    </w:pPr>
    <w:rPr>
      <w:color w:val="7F7F7F"/>
      <w:sz w:val="16"/>
    </w:rPr>
  </w:style>
  <w:style w:type="paragraph" w:customStyle="1" w:styleId="CharCharCharCharCharCharChar">
    <w:name w:val="Char Char Char Char Char Char Char"/>
    <w:basedOn w:val="Normal"/>
    <w:semiHidden/>
    <w:rsid w:val="00875230"/>
    <w:pPr>
      <w:spacing w:after="160" w:line="240" w:lineRule="exact"/>
    </w:pPr>
    <w:rPr>
      <w:rFonts w:ascii="Tahoma" w:hAnsi="Tahoma"/>
      <w:szCs w:val="20"/>
      <w:lang w:val="en-US"/>
    </w:rPr>
  </w:style>
  <w:style w:type="character" w:customStyle="1" w:styleId="Heading1Char">
    <w:name w:val="Heading 1 Char"/>
    <w:link w:val="Heading1"/>
    <w:rsid w:val="005F59A7"/>
    <w:rPr>
      <w:rFonts w:ascii="Lucida Fax" w:hAnsi="Lucida Fax"/>
      <w:b/>
      <w:bCs/>
      <w:sz w:val="36"/>
      <w:szCs w:val="28"/>
      <w:lang w:val="en-AU" w:eastAsia="en-AU" w:bidi="ar-SA"/>
    </w:rPr>
  </w:style>
  <w:style w:type="character" w:customStyle="1" w:styleId="Heading2Char">
    <w:name w:val="Heading 2 Char"/>
    <w:link w:val="Heading2"/>
    <w:rsid w:val="00F00AFA"/>
    <w:rPr>
      <w:rFonts w:ascii="Arial" w:hAnsi="Arial"/>
      <w:b/>
      <w:bCs/>
      <w:szCs w:val="26"/>
      <w:lang w:val="en-AU" w:eastAsia="en-AU" w:bidi="ar-SA"/>
    </w:rPr>
  </w:style>
  <w:style w:type="table" w:styleId="TableGrid">
    <w:name w:val="Table Grid"/>
    <w:basedOn w:val="TableNormal"/>
    <w:rsid w:val="0092772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9721BF"/>
    <w:rPr>
      <w:sz w:val="16"/>
      <w:szCs w:val="16"/>
    </w:rPr>
  </w:style>
  <w:style w:type="paragraph" w:styleId="CommentText">
    <w:name w:val="annotation text"/>
    <w:basedOn w:val="Normal"/>
    <w:semiHidden/>
    <w:rsid w:val="009721BF"/>
    <w:rPr>
      <w:szCs w:val="20"/>
    </w:rPr>
  </w:style>
  <w:style w:type="paragraph" w:styleId="CommentSubject">
    <w:name w:val="annotation subject"/>
    <w:basedOn w:val="CommentText"/>
    <w:next w:val="CommentText"/>
    <w:semiHidden/>
    <w:rsid w:val="009721BF"/>
    <w:rPr>
      <w:b/>
      <w:bCs/>
    </w:rPr>
  </w:style>
  <w:style w:type="paragraph" w:styleId="BalloonText">
    <w:name w:val="Balloon Text"/>
    <w:basedOn w:val="Normal"/>
    <w:semiHidden/>
    <w:rsid w:val="009721BF"/>
    <w:rPr>
      <w:rFonts w:ascii="Tahoma" w:hAnsi="Tahoma" w:cs="Tahoma"/>
      <w:sz w:val="16"/>
      <w:szCs w:val="16"/>
    </w:rPr>
  </w:style>
  <w:style w:type="character" w:styleId="Hyperlink">
    <w:name w:val="Hyperlink"/>
    <w:uiPriority w:val="99"/>
    <w:unhideWhenUsed/>
    <w:rsid w:val="0075396A"/>
    <w:rPr>
      <w:rFonts w:ascii="Arial" w:hAnsi="Arial"/>
      <w:strike w:val="0"/>
      <w:dstrike w:val="0"/>
      <w:color w:val="0000FF"/>
      <w:u w:val="none"/>
      <w:effect w:val="none"/>
    </w:rPr>
  </w:style>
  <w:style w:type="paragraph" w:customStyle="1" w:styleId="NormalBold">
    <w:name w:val="Normal Bold"/>
    <w:basedOn w:val="Normal"/>
    <w:qFormat/>
    <w:rsid w:val="00F97A1C"/>
    <w:rPr>
      <w:b/>
    </w:rPr>
  </w:style>
  <w:style w:type="character" w:styleId="PlaceholderText">
    <w:name w:val="Placeholder Text"/>
    <w:uiPriority w:val="99"/>
    <w:semiHidden/>
    <w:rsid w:val="00661058"/>
    <w:rPr>
      <w:color w:val="808080"/>
    </w:rPr>
  </w:style>
  <w:style w:type="paragraph" w:customStyle="1" w:styleId="Style1">
    <w:name w:val="Style1"/>
    <w:basedOn w:val="Normal"/>
    <w:qFormat/>
    <w:rsid w:val="0075396A"/>
    <w:pPr>
      <w:numPr>
        <w:numId w:val="19"/>
      </w:numPr>
      <w:ind w:left="360"/>
    </w:pPr>
  </w:style>
  <w:style w:type="paragraph" w:customStyle="1" w:styleId="Style2">
    <w:name w:val="Style2"/>
    <w:basedOn w:val="Heading2"/>
    <w:qFormat/>
    <w:rsid w:val="001B51F6"/>
    <w:pPr>
      <w:suppressAutoHyphens/>
    </w:pPr>
  </w:style>
  <w:style w:type="character" w:customStyle="1" w:styleId="Heading3Char">
    <w:name w:val="Heading 3 Char"/>
    <w:link w:val="Heading3"/>
    <w:semiHidden/>
    <w:rsid w:val="00F00AFA"/>
    <w:rPr>
      <w:rFonts w:ascii="Arial" w:eastAsia="Times New Roman" w:hAnsi="Arial" w:cs="Times New Roman"/>
      <w:b/>
      <w:bCs/>
      <w:szCs w:val="26"/>
      <w:lang w:eastAsia="en-US"/>
    </w:rPr>
  </w:style>
  <w:style w:type="paragraph" w:customStyle="1" w:styleId="NormalNumbered5">
    <w:name w:val="Normal Numbered 5"/>
    <w:basedOn w:val="Normal"/>
    <w:qFormat/>
    <w:rsid w:val="001B51F6"/>
    <w:pPr>
      <w:numPr>
        <w:numId w:val="22"/>
      </w:numPr>
    </w:pPr>
  </w:style>
  <w:style w:type="paragraph" w:customStyle="1" w:styleId="Heading3Number">
    <w:name w:val="Heading 3 Number"/>
    <w:basedOn w:val="Heading1"/>
    <w:link w:val="Heading3NumberChar"/>
    <w:qFormat/>
    <w:rsid w:val="00A1404B"/>
    <w:pPr>
      <w:numPr>
        <w:numId w:val="27"/>
      </w:numPr>
    </w:pPr>
    <w:rPr>
      <w:rFonts w:ascii="Arial" w:hAnsi="Arial"/>
      <w:sz w:val="20"/>
    </w:rPr>
  </w:style>
  <w:style w:type="paragraph" w:customStyle="1" w:styleId="NormalNumbered">
    <w:name w:val="Normal Numbered"/>
    <w:basedOn w:val="Normal"/>
    <w:qFormat/>
    <w:rsid w:val="00A1404B"/>
    <w:pPr>
      <w:numPr>
        <w:numId w:val="28"/>
      </w:numPr>
      <w:ind w:left="1080"/>
    </w:pPr>
  </w:style>
  <w:style w:type="paragraph" w:customStyle="1" w:styleId="NormalNumbered2">
    <w:name w:val="Normal Numbered 2"/>
    <w:basedOn w:val="NormalNumbered"/>
    <w:qFormat/>
    <w:rsid w:val="00A1404B"/>
    <w:pPr>
      <w:numPr>
        <w:numId w:val="29"/>
      </w:numPr>
    </w:pPr>
  </w:style>
  <w:style w:type="paragraph" w:customStyle="1" w:styleId="NormalNumbered3">
    <w:name w:val="Normal Numbered 3"/>
    <w:basedOn w:val="NormalNumbered5"/>
    <w:qFormat/>
    <w:rsid w:val="00A1404B"/>
    <w:pPr>
      <w:numPr>
        <w:numId w:val="30"/>
      </w:numPr>
      <w:ind w:left="1080"/>
    </w:pPr>
  </w:style>
  <w:style w:type="paragraph" w:customStyle="1" w:styleId="NormalNumbered4">
    <w:name w:val="Normal Numbered 4"/>
    <w:basedOn w:val="Normal"/>
    <w:qFormat/>
    <w:rsid w:val="00EE53DE"/>
    <w:pPr>
      <w:numPr>
        <w:numId w:val="31"/>
      </w:numPr>
      <w:ind w:left="1080"/>
    </w:pPr>
  </w:style>
  <w:style w:type="paragraph" w:customStyle="1" w:styleId="Normalitalic">
    <w:name w:val="Normal italic"/>
    <w:basedOn w:val="Normal"/>
    <w:link w:val="NormalitalicChar"/>
    <w:qFormat/>
    <w:rsid w:val="00EE53DE"/>
    <w:pPr>
      <w:ind w:left="720"/>
    </w:pPr>
    <w:rPr>
      <w:i/>
    </w:rPr>
  </w:style>
  <w:style w:type="paragraph" w:customStyle="1" w:styleId="NormalBullets">
    <w:name w:val="Normal Bullets"/>
    <w:basedOn w:val="Style1"/>
    <w:qFormat/>
    <w:rsid w:val="00EE53DE"/>
    <w:pPr>
      <w:ind w:left="1800"/>
    </w:pPr>
  </w:style>
  <w:style w:type="paragraph" w:customStyle="1" w:styleId="NormalNumbered6">
    <w:name w:val="Normal Numbered 6"/>
    <w:basedOn w:val="NormalNumbered5"/>
    <w:qFormat/>
    <w:rsid w:val="00EE53DE"/>
    <w:pPr>
      <w:numPr>
        <w:numId w:val="32"/>
      </w:numPr>
      <w:ind w:left="1080"/>
    </w:pPr>
  </w:style>
  <w:style w:type="paragraph" w:customStyle="1" w:styleId="Normal-RED">
    <w:name w:val="Normal - RED"/>
    <w:basedOn w:val="Normal"/>
    <w:qFormat/>
    <w:rsid w:val="00575B28"/>
    <w:rPr>
      <w:color w:val="FF0000"/>
    </w:rPr>
  </w:style>
  <w:style w:type="paragraph" w:customStyle="1" w:styleId="NormalBold-RED">
    <w:name w:val="Normal Bold - RED"/>
    <w:basedOn w:val="NormalBold"/>
    <w:qFormat/>
    <w:rsid w:val="00575B28"/>
    <w:rPr>
      <w:color w:val="FF0000"/>
    </w:rPr>
  </w:style>
  <w:style w:type="paragraph" w:customStyle="1" w:styleId="NormalNumbered-RED">
    <w:name w:val="Normal Numbered - RED"/>
    <w:basedOn w:val="NormalNumbered"/>
    <w:qFormat/>
    <w:rsid w:val="00575B28"/>
    <w:pPr>
      <w:ind w:left="720"/>
    </w:pPr>
    <w:rPr>
      <w:color w:val="FF0000"/>
    </w:rPr>
  </w:style>
  <w:style w:type="paragraph" w:customStyle="1" w:styleId="NormalIndent-RED">
    <w:name w:val="Normal Indent - RED"/>
    <w:basedOn w:val="NormalNumbered"/>
    <w:qFormat/>
    <w:rsid w:val="00941E18"/>
    <w:pPr>
      <w:numPr>
        <w:numId w:val="0"/>
      </w:numPr>
      <w:ind w:left="1440"/>
    </w:pPr>
    <w:rPr>
      <w:color w:val="FF0000"/>
    </w:rPr>
  </w:style>
  <w:style w:type="paragraph" w:customStyle="1" w:styleId="NormalNumered2-RED">
    <w:name w:val="Normal Numered 2 - RED"/>
    <w:basedOn w:val="NormalNumbered2"/>
    <w:qFormat/>
    <w:rsid w:val="00941E18"/>
    <w:rPr>
      <w:color w:val="FF0000"/>
    </w:rPr>
  </w:style>
  <w:style w:type="paragraph" w:customStyle="1" w:styleId="NormalNumbered3-RED">
    <w:name w:val="Normal Numbered 3 - RED"/>
    <w:basedOn w:val="NormalNumbered3"/>
    <w:qFormat/>
    <w:rsid w:val="00941E18"/>
    <w:pPr>
      <w:ind w:left="1440"/>
    </w:pPr>
    <w:rPr>
      <w:color w:val="FF0000"/>
    </w:rPr>
  </w:style>
  <w:style w:type="paragraph" w:customStyle="1" w:styleId="Heading3-RED">
    <w:name w:val="Heading 3 - RED"/>
    <w:basedOn w:val="Heading3Number"/>
    <w:link w:val="Heading3-REDChar"/>
    <w:qFormat/>
    <w:rsid w:val="00C10FE7"/>
    <w:rPr>
      <w:color w:val="FF0000"/>
    </w:rPr>
  </w:style>
  <w:style w:type="paragraph" w:customStyle="1" w:styleId="Italics-RED">
    <w:name w:val="Italics - RED"/>
    <w:basedOn w:val="Normalitalic"/>
    <w:link w:val="Italics-REDChar"/>
    <w:qFormat/>
    <w:rsid w:val="00941E18"/>
    <w:rPr>
      <w:color w:val="FF0000"/>
    </w:rPr>
  </w:style>
  <w:style w:type="character" w:customStyle="1" w:styleId="Heading3NumberChar">
    <w:name w:val="Heading 3 Number Char"/>
    <w:link w:val="Heading3Number"/>
    <w:rsid w:val="00941E18"/>
    <w:rPr>
      <w:rFonts w:ascii="Arial" w:hAnsi="Arial"/>
      <w:b/>
      <w:bCs/>
      <w:szCs w:val="28"/>
    </w:rPr>
  </w:style>
  <w:style w:type="paragraph" w:customStyle="1" w:styleId="NormalNumbered4-RED">
    <w:name w:val="Normal Numbered 4 - RED"/>
    <w:basedOn w:val="NormalNumbered4"/>
    <w:qFormat/>
    <w:rsid w:val="00941E18"/>
    <w:pPr>
      <w:ind w:left="720"/>
    </w:pPr>
    <w:rPr>
      <w:color w:val="FF0000"/>
    </w:rPr>
  </w:style>
  <w:style w:type="character" w:customStyle="1" w:styleId="NormalitalicChar">
    <w:name w:val="Normal italic Char"/>
    <w:link w:val="Normalitalic"/>
    <w:rsid w:val="00941E18"/>
    <w:rPr>
      <w:rFonts w:ascii="Arial" w:hAnsi="Arial"/>
      <w:i/>
      <w:szCs w:val="24"/>
      <w:lang w:eastAsia="en-US"/>
    </w:rPr>
  </w:style>
  <w:style w:type="character" w:customStyle="1" w:styleId="Italics-REDChar">
    <w:name w:val="Italics - RED Char"/>
    <w:link w:val="Italics-RED"/>
    <w:rsid w:val="00941E18"/>
    <w:rPr>
      <w:rFonts w:ascii="Arial" w:hAnsi="Arial"/>
      <w:i/>
      <w:color w:val="FF0000"/>
      <w:szCs w:val="24"/>
      <w:lang w:eastAsia="en-US"/>
    </w:rPr>
  </w:style>
  <w:style w:type="paragraph" w:customStyle="1" w:styleId="NormalBullets-RED">
    <w:name w:val="Normal Bullets - RED"/>
    <w:basedOn w:val="NormalBullets"/>
    <w:qFormat/>
    <w:rsid w:val="00941E18"/>
    <w:rPr>
      <w:color w:val="FF0000"/>
    </w:rPr>
  </w:style>
  <w:style w:type="paragraph" w:customStyle="1" w:styleId="NormalNumbered5-RED">
    <w:name w:val="Normal Numbered 5 - RED"/>
    <w:basedOn w:val="NormalNumbered5"/>
    <w:qFormat/>
    <w:rsid w:val="00941E18"/>
    <w:rPr>
      <w:color w:val="FF0000"/>
    </w:rPr>
  </w:style>
  <w:style w:type="paragraph" w:customStyle="1" w:styleId="NormalNumbered6-RED">
    <w:name w:val="Normal Numbered 6 - RED"/>
    <w:basedOn w:val="NormalNumbered6"/>
    <w:qFormat/>
    <w:rsid w:val="00941E18"/>
    <w:rPr>
      <w:color w:val="FF0000"/>
    </w:rPr>
  </w:style>
  <w:style w:type="paragraph" w:customStyle="1" w:styleId="StyleHeading3NumberRed">
    <w:name w:val="Style Heading 3 Number + Red"/>
    <w:basedOn w:val="Heading3Number"/>
    <w:rsid w:val="00C10FE7"/>
    <w:pPr>
      <w:numPr>
        <w:numId w:val="0"/>
      </w:numPr>
    </w:pPr>
    <w:rPr>
      <w:color w:val="FF0000"/>
    </w:rPr>
  </w:style>
  <w:style w:type="character" w:customStyle="1" w:styleId="Heading3-REDChar">
    <w:name w:val="Heading 3 - RED Char"/>
    <w:link w:val="Heading3-RED"/>
    <w:rsid w:val="00C10FE7"/>
    <w:rPr>
      <w:rFonts w:ascii="Arial" w:hAnsi="Arial"/>
      <w:b w:val="0"/>
      <w:bCs w:val="0"/>
      <w:color w:val="FF0000"/>
      <w:sz w:val="36"/>
      <w:szCs w:val="28"/>
      <w:lang w:val="en-AU" w:eastAsia="en-AU" w:bidi="ar-SA"/>
    </w:rPr>
  </w:style>
  <w:style w:type="paragraph" w:styleId="ListParagraph">
    <w:name w:val="List Paragraph"/>
    <w:basedOn w:val="Normal"/>
    <w:uiPriority w:val="34"/>
    <w:qFormat/>
    <w:rsid w:val="001D139B"/>
    <w:pPr>
      <w:ind w:left="720"/>
    </w:pPr>
  </w:style>
  <w:style w:type="character" w:customStyle="1" w:styleId="Heading6Char">
    <w:name w:val="Heading 6 Char"/>
    <w:basedOn w:val="DefaultParagraphFont"/>
    <w:link w:val="Heading6"/>
    <w:semiHidden/>
    <w:rsid w:val="001D139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rsid w:val="001D139B"/>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rsid w:val="00833922"/>
    <w:rPr>
      <w:rFonts w:ascii="Arial" w:hAnsi="Arial"/>
      <w:color w:val="7F7F7F"/>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8293">
      <w:bodyDiv w:val="1"/>
      <w:marLeft w:val="0"/>
      <w:marRight w:val="0"/>
      <w:marTop w:val="0"/>
      <w:marBottom w:val="0"/>
      <w:divBdr>
        <w:top w:val="none" w:sz="0" w:space="0" w:color="auto"/>
        <w:left w:val="none" w:sz="0" w:space="0" w:color="auto"/>
        <w:bottom w:val="none" w:sz="0" w:space="0" w:color="auto"/>
        <w:right w:val="none" w:sz="0" w:space="0" w:color="auto"/>
      </w:divBdr>
      <w:divsChild>
        <w:div w:id="1422221873">
          <w:marLeft w:val="0"/>
          <w:marRight w:val="0"/>
          <w:marTop w:val="0"/>
          <w:marBottom w:val="0"/>
          <w:divBdr>
            <w:top w:val="none" w:sz="0" w:space="0" w:color="auto"/>
            <w:left w:val="none" w:sz="0" w:space="0" w:color="auto"/>
            <w:bottom w:val="none" w:sz="0" w:space="0" w:color="auto"/>
            <w:right w:val="none" w:sz="0" w:space="0" w:color="auto"/>
          </w:divBdr>
        </w:div>
      </w:divsChild>
    </w:div>
    <w:div w:id="1240097841">
      <w:bodyDiv w:val="1"/>
      <w:marLeft w:val="0"/>
      <w:marRight w:val="0"/>
      <w:marTop w:val="0"/>
      <w:marBottom w:val="0"/>
      <w:divBdr>
        <w:top w:val="none" w:sz="0" w:space="0" w:color="auto"/>
        <w:left w:val="none" w:sz="0" w:space="0" w:color="auto"/>
        <w:bottom w:val="none" w:sz="0" w:space="0" w:color="auto"/>
        <w:right w:val="none" w:sz="0" w:space="0" w:color="auto"/>
      </w:divBdr>
      <w:divsChild>
        <w:div w:id="949894624">
          <w:marLeft w:val="0"/>
          <w:marRight w:val="0"/>
          <w:marTop w:val="0"/>
          <w:marBottom w:val="0"/>
          <w:divBdr>
            <w:top w:val="none" w:sz="0" w:space="0" w:color="auto"/>
            <w:left w:val="none" w:sz="0" w:space="0" w:color="auto"/>
            <w:bottom w:val="none" w:sz="0" w:space="0" w:color="auto"/>
            <w:right w:val="none" w:sz="0" w:space="0" w:color="auto"/>
          </w:divBdr>
        </w:div>
      </w:divsChild>
    </w:div>
    <w:div w:id="18192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73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an\Local%20Settings\Temporary%20Internet%20Files\Content.Outlook\TSQ5ERSX\Submission%20for%20Commission%20TEMPLATE_D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 A C C C a n d A E R ! 1 4 1 2 2 3 5 6 . 1 < / d o c u m e n t i d >  
     < s e n d e r i d > D N A D A < / s e n d e r i d >  
     < s e n d e r e m a i l > D A V I A N . N A D A R A J A H @ A C C C . G O V . A U < / s e n d e r e m a i l >  
     < l a s t m o d i f i e d > 2 0 2 2 - 0 7 - 2 8 T 0 9 : 5 9 : 0 0 . 0 0 0 0 0 0 0 + 1 0 : 0 0 < / l a s t m o d i f i e d >  
     < d a t a b a s e > A C C C a n d A E R < / 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DF472-BB75-4F17-99AD-38AA59F34576}">
  <ds:schemaRefs>
    <ds:schemaRef ds:uri="http://www.imanage.com/work/xmlschema"/>
  </ds:schemaRefs>
</ds:datastoreItem>
</file>

<file path=customXml/itemProps2.xml><?xml version="1.0" encoding="utf-8"?>
<ds:datastoreItem xmlns:ds="http://schemas.openxmlformats.org/officeDocument/2006/customXml" ds:itemID="{38E57CE1-EC94-4A99-91C4-7090D646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for Commission TEMPLATE_D04</Template>
  <TotalTime>31</TotalTime>
  <Pages>3</Pages>
  <Words>471</Words>
  <Characters>2545</Characters>
  <Application>Microsoft Office Word</Application>
  <DocSecurity>0</DocSecurity>
  <Lines>87</Lines>
  <Paragraphs>11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sclan</dc:creator>
  <cp:lastModifiedBy>Nadarajah, Davian</cp:lastModifiedBy>
  <cp:revision>12</cp:revision>
  <cp:lastPrinted>2014-01-30T00:05:00Z</cp:lastPrinted>
  <dcterms:created xsi:type="dcterms:W3CDTF">2022-07-14T11:02:00Z</dcterms:created>
  <dcterms:modified xsi:type="dcterms:W3CDTF">2022-08-15T08:11:00Z</dcterms:modified>
</cp:coreProperties>
</file>