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22E9B" w14:textId="77777777" w:rsidR="00871777" w:rsidRPr="0085646A" w:rsidRDefault="00871777" w:rsidP="0085646A">
      <w:pPr>
        <w:keepNext/>
        <w:jc w:val="center"/>
        <w:rPr>
          <w:rFonts w:cs="Times New Roman"/>
          <w:b/>
          <w:u w:val="single"/>
          <w:lang w:eastAsia="en-AU"/>
        </w:rPr>
      </w:pPr>
      <w:r w:rsidRPr="0085646A">
        <w:rPr>
          <w:rFonts w:cs="Times New Roman"/>
          <w:b/>
          <w:u w:val="single"/>
          <w:lang w:eastAsia="en-AU"/>
        </w:rPr>
        <w:t xml:space="preserve">EXPLANATORY </w:t>
      </w:r>
      <w:r w:rsidR="003039C2" w:rsidRPr="0085646A">
        <w:rPr>
          <w:rFonts w:cs="Times New Roman"/>
          <w:b/>
          <w:u w:val="single"/>
          <w:lang w:eastAsia="en-AU"/>
        </w:rPr>
        <w:t>STATEMENT</w:t>
      </w:r>
    </w:p>
    <w:p w14:paraId="1AE2D949" w14:textId="77777777" w:rsidR="003039C2" w:rsidRPr="004200D5" w:rsidRDefault="003039C2" w:rsidP="0085646A">
      <w:pPr>
        <w:keepNext/>
        <w:jc w:val="center"/>
        <w:rPr>
          <w:rFonts w:cs="Times New Roman"/>
        </w:rPr>
      </w:pPr>
      <w:r w:rsidRPr="004200D5">
        <w:rPr>
          <w:rFonts w:cs="Times New Roman"/>
        </w:rPr>
        <w:t>Issued by the Minister for Home Affairs</w:t>
      </w:r>
    </w:p>
    <w:p w14:paraId="0BB68B5B" w14:textId="77777777" w:rsidR="003039C2" w:rsidRPr="004200D5" w:rsidRDefault="003039C2" w:rsidP="0085646A">
      <w:pPr>
        <w:keepNext/>
        <w:jc w:val="center"/>
        <w:rPr>
          <w:rFonts w:cs="Times New Roman"/>
          <w:i/>
        </w:rPr>
      </w:pPr>
      <w:r w:rsidRPr="004200D5">
        <w:rPr>
          <w:rFonts w:cs="Times New Roman"/>
        </w:rPr>
        <w:t>C</w:t>
      </w:r>
      <w:r w:rsidRPr="004200D5">
        <w:rPr>
          <w:rFonts w:cs="Times New Roman"/>
          <w:i/>
        </w:rPr>
        <w:t>ustoms Act 1901</w:t>
      </w:r>
    </w:p>
    <w:p w14:paraId="750CE09F" w14:textId="77777777" w:rsidR="00871777" w:rsidRPr="004200D5" w:rsidRDefault="003039C2" w:rsidP="0085646A">
      <w:pPr>
        <w:keepNext/>
        <w:jc w:val="center"/>
        <w:rPr>
          <w:rFonts w:cs="Times New Roman"/>
          <w:i/>
        </w:rPr>
      </w:pPr>
      <w:r w:rsidRPr="004200D5">
        <w:rPr>
          <w:rFonts w:cs="Times New Roman"/>
          <w:i/>
        </w:rPr>
        <w:t>Customs</w:t>
      </w:r>
      <w:r w:rsidR="001D6B79" w:rsidRPr="004200D5">
        <w:rPr>
          <w:rFonts w:cs="Times New Roman"/>
          <w:i/>
        </w:rPr>
        <w:t xml:space="preserve"> (Prohibited Exports)</w:t>
      </w:r>
      <w:r w:rsidRPr="004200D5">
        <w:rPr>
          <w:rFonts w:cs="Times New Roman"/>
          <w:i/>
        </w:rPr>
        <w:t xml:space="preserve"> Amendment (</w:t>
      </w:r>
      <w:r w:rsidR="001D6B79" w:rsidRPr="004200D5">
        <w:rPr>
          <w:rFonts w:cs="Times New Roman"/>
          <w:i/>
        </w:rPr>
        <w:t>Liquefied Natural Gas</w:t>
      </w:r>
      <w:r w:rsidRPr="004200D5">
        <w:rPr>
          <w:rFonts w:cs="Times New Roman"/>
          <w:i/>
        </w:rPr>
        <w:t>) Regulations 2022</w:t>
      </w:r>
    </w:p>
    <w:p w14:paraId="0A12274E" w14:textId="77777777" w:rsidR="00871777" w:rsidRPr="004200D5" w:rsidRDefault="0060693E" w:rsidP="0085646A">
      <w:pPr>
        <w:rPr>
          <w:rFonts w:cs="Times New Roman"/>
        </w:rPr>
      </w:pPr>
      <w:r w:rsidRPr="004200D5">
        <w:rPr>
          <w:rFonts w:cs="Times New Roman"/>
        </w:rPr>
        <w:t xml:space="preserve">The </w:t>
      </w:r>
      <w:r w:rsidRPr="004200D5">
        <w:rPr>
          <w:rFonts w:cs="Times New Roman"/>
          <w:i/>
        </w:rPr>
        <w:t>Customs Act 1901</w:t>
      </w:r>
      <w:r w:rsidRPr="004200D5">
        <w:rPr>
          <w:rFonts w:cs="Times New Roman"/>
        </w:rPr>
        <w:t xml:space="preserve"> (the Act) concerns customs</w:t>
      </w:r>
      <w:r w:rsidR="00232E61" w:rsidRPr="004200D5">
        <w:rPr>
          <w:rFonts w:cs="Times New Roman"/>
        </w:rPr>
        <w:noBreakHyphen/>
      </w:r>
      <w:r w:rsidRPr="004200D5">
        <w:rPr>
          <w:rFonts w:cs="Times New Roman"/>
        </w:rPr>
        <w:t>related functions and is the legislative authority that sets out the customs requirements for the importation and exportation of goods to and from Australia.</w:t>
      </w:r>
    </w:p>
    <w:p w14:paraId="757A9268" w14:textId="77777777" w:rsidR="00871777" w:rsidRPr="004200D5" w:rsidRDefault="0060693E" w:rsidP="0085646A">
      <w:pPr>
        <w:rPr>
          <w:rFonts w:cs="Times New Roman"/>
        </w:rPr>
      </w:pPr>
      <w:r w:rsidRPr="004200D5">
        <w:rPr>
          <w:rFonts w:cs="Times New Roman"/>
        </w:rPr>
        <w:t>Subsection 270(1) of the Act provides that the Governor-General may make regulations not inconsistent with the Act prescribing all matters, which by the Act are required or permitted to be prescribed</w:t>
      </w:r>
      <w:r w:rsidR="00232E61" w:rsidRPr="004200D5">
        <w:rPr>
          <w:rFonts w:cs="Times New Roman"/>
        </w:rPr>
        <w:t>,</w:t>
      </w:r>
      <w:r w:rsidRPr="004200D5">
        <w:rPr>
          <w:rFonts w:cs="Times New Roman"/>
        </w:rPr>
        <w:t xml:space="preserve"> or as may be necessary or convenient to be prescribed</w:t>
      </w:r>
      <w:r w:rsidR="00232E61" w:rsidRPr="004200D5">
        <w:rPr>
          <w:rFonts w:cs="Times New Roman"/>
        </w:rPr>
        <w:t>,</w:t>
      </w:r>
      <w:r w:rsidRPr="004200D5">
        <w:rPr>
          <w:rFonts w:cs="Times New Roman"/>
        </w:rPr>
        <w:t xml:space="preserve"> for giving effect to the Act.</w:t>
      </w:r>
    </w:p>
    <w:p w14:paraId="7A4F8D06" w14:textId="77777777" w:rsidR="00007F0D" w:rsidRPr="004200D5" w:rsidRDefault="0060693E" w:rsidP="0085646A">
      <w:pPr>
        <w:rPr>
          <w:rFonts w:cs="Times New Roman"/>
        </w:rPr>
      </w:pPr>
      <w:r w:rsidRPr="004200D5">
        <w:rPr>
          <w:rFonts w:cs="Times New Roman"/>
        </w:rPr>
        <w:t>Section 112 of the Act provides that the Governor</w:t>
      </w:r>
      <w:r w:rsidR="00232E61" w:rsidRPr="004200D5">
        <w:rPr>
          <w:rFonts w:cs="Times New Roman"/>
        </w:rPr>
        <w:noBreakHyphen/>
      </w:r>
      <w:r w:rsidRPr="004200D5">
        <w:rPr>
          <w:rFonts w:cs="Times New Roman"/>
        </w:rPr>
        <w:t>General may, by regulation, prohibit the exportation of goods from Australia</w:t>
      </w:r>
      <w:r w:rsidR="00232E61" w:rsidRPr="004200D5">
        <w:rPr>
          <w:rFonts w:cs="Times New Roman"/>
        </w:rPr>
        <w:t>. T</w:t>
      </w:r>
      <w:r w:rsidRPr="004200D5">
        <w:rPr>
          <w:rFonts w:cs="Times New Roman"/>
        </w:rPr>
        <w:t>hat power may be exercised by prohibiting the exportation of goods absolutely or by prohibiting the exportation of goods unless specified conditions or restrictions are complied with.</w:t>
      </w:r>
    </w:p>
    <w:p w14:paraId="0FECF13C" w14:textId="5A24AE04" w:rsidR="000748DE" w:rsidRDefault="00007F0D" w:rsidP="0085646A">
      <w:r w:rsidRPr="004200D5">
        <w:rPr>
          <w:rFonts w:cs="Times New Roman"/>
        </w:rPr>
        <w:t xml:space="preserve">The </w:t>
      </w:r>
      <w:r w:rsidRPr="004200D5">
        <w:rPr>
          <w:rFonts w:cs="Times New Roman"/>
          <w:i/>
        </w:rPr>
        <w:t>Customs (Prohibited Exports) Regulations 1958</w:t>
      </w:r>
      <w:r w:rsidRPr="004200D5">
        <w:rPr>
          <w:rFonts w:cs="Times New Roman"/>
        </w:rPr>
        <w:t xml:space="preserve"> (the PE Regulations) control the export</w:t>
      </w:r>
      <w:r w:rsidR="001666DF">
        <w:rPr>
          <w:rFonts w:cs="Times New Roman"/>
        </w:rPr>
        <w:t>ation of goods by prohibiting ex</w:t>
      </w:r>
      <w:r w:rsidRPr="004200D5">
        <w:rPr>
          <w:rFonts w:cs="Times New Roman"/>
        </w:rPr>
        <w:t>portation absolutely, or by making lawful exportation subject to a permission or licence.</w:t>
      </w:r>
      <w:r w:rsidR="000748DE" w:rsidRPr="000748DE">
        <w:t xml:space="preserve"> </w:t>
      </w:r>
    </w:p>
    <w:p w14:paraId="58E21916" w14:textId="312B0C81" w:rsidR="001911FC" w:rsidRPr="004200D5" w:rsidRDefault="000748DE" w:rsidP="0085646A">
      <w:pPr>
        <w:rPr>
          <w:rFonts w:cs="Times New Roman"/>
        </w:rPr>
      </w:pPr>
      <w:r w:rsidRPr="000748DE">
        <w:rPr>
          <w:rFonts w:cs="Times New Roman"/>
        </w:rPr>
        <w:t xml:space="preserve">The </w:t>
      </w:r>
      <w:r w:rsidR="0034581A">
        <w:rPr>
          <w:rFonts w:cs="Times New Roman"/>
        </w:rPr>
        <w:t>Australian Domestic Gas Security Mechanism (</w:t>
      </w:r>
      <w:r w:rsidRPr="000748DE">
        <w:rPr>
          <w:rFonts w:cs="Times New Roman"/>
        </w:rPr>
        <w:t>ADGSM</w:t>
      </w:r>
      <w:r w:rsidR="0034581A">
        <w:rPr>
          <w:rFonts w:cs="Times New Roman"/>
        </w:rPr>
        <w:t>)</w:t>
      </w:r>
      <w:r w:rsidRPr="000748DE">
        <w:rPr>
          <w:rFonts w:cs="Times New Roman"/>
        </w:rPr>
        <w:t xml:space="preserve"> is a framework in the PE Regulations for restrictions on the export of </w:t>
      </w:r>
      <w:r w:rsidR="002F0933">
        <w:rPr>
          <w:rFonts w:cs="Times New Roman"/>
        </w:rPr>
        <w:t>liquefied natural gas (</w:t>
      </w:r>
      <w:r w:rsidRPr="000748DE">
        <w:rPr>
          <w:rFonts w:cs="Times New Roman"/>
        </w:rPr>
        <w:t>LNG</w:t>
      </w:r>
      <w:r w:rsidR="002F0933">
        <w:rPr>
          <w:rFonts w:cs="Times New Roman"/>
        </w:rPr>
        <w:t>)</w:t>
      </w:r>
      <w:r w:rsidRPr="000748DE">
        <w:rPr>
          <w:rFonts w:cs="Times New Roman"/>
        </w:rPr>
        <w:t xml:space="preserve"> from LNG projects where the Resources Minister has determined there is a reasonable prospect of a supply shortage in the domestic market. When the Resources Minister makes a legislative instrument invoking the framework, the export of LNG requires a permission from the Resources Minister. The permission may have conditions attached with which the holder must comply, such as the annual volume of LNG that can be exported. The volume of LNG exporters are allowed to export will take into account expected market needs, and factors driving any shortfall including the extent to which LNG projects are contributing to such an outlook.</w:t>
      </w:r>
    </w:p>
    <w:p w14:paraId="086A3E95" w14:textId="52467880" w:rsidR="00175996" w:rsidRDefault="001911FC" w:rsidP="0085646A">
      <w:r w:rsidRPr="004200D5">
        <w:rPr>
          <w:rFonts w:cs="Times New Roman"/>
        </w:rPr>
        <w:t xml:space="preserve">The purpose of the </w:t>
      </w:r>
      <w:r w:rsidRPr="004200D5">
        <w:rPr>
          <w:rFonts w:cs="Times New Roman"/>
          <w:i/>
        </w:rPr>
        <w:t xml:space="preserve">Customs (Prohibited Exports) Amendment (Liquefied Natural Gas) Regulations 2022 </w:t>
      </w:r>
      <w:r w:rsidRPr="004200D5">
        <w:rPr>
          <w:rFonts w:cs="Times New Roman"/>
        </w:rPr>
        <w:t>(</w:t>
      </w:r>
      <w:r w:rsidR="001D6B79" w:rsidRPr="004200D5">
        <w:rPr>
          <w:rFonts w:cs="Times New Roman"/>
        </w:rPr>
        <w:t>Amendment</w:t>
      </w:r>
      <w:r w:rsidRPr="004200D5">
        <w:rPr>
          <w:rFonts w:cs="Times New Roman"/>
        </w:rPr>
        <w:t xml:space="preserve"> Regulations) is to amend the PE Regulations to extend t</w:t>
      </w:r>
      <w:r w:rsidR="00D67FC0">
        <w:rPr>
          <w:rFonts w:cs="Times New Roman"/>
        </w:rPr>
        <w:t>he operation of the ADGSM</w:t>
      </w:r>
      <w:r w:rsidRPr="004200D5">
        <w:rPr>
          <w:rFonts w:cs="Times New Roman"/>
        </w:rPr>
        <w:t xml:space="preserve"> </w:t>
      </w:r>
      <w:r w:rsidR="002D0F64" w:rsidRPr="004200D5">
        <w:rPr>
          <w:rFonts w:cs="Times New Roman"/>
        </w:rPr>
        <w:t>to</w:t>
      </w:r>
      <w:r w:rsidR="00384019">
        <w:rPr>
          <w:rFonts w:cs="Times New Roman"/>
        </w:rPr>
        <w:t xml:space="preserve"> 1 January 2030.</w:t>
      </w:r>
    </w:p>
    <w:p w14:paraId="74E94F35" w14:textId="2B020AEF" w:rsidR="00007F0D" w:rsidRPr="004200D5" w:rsidRDefault="00175996" w:rsidP="0085646A">
      <w:pPr>
        <w:rPr>
          <w:rFonts w:cs="Times New Roman"/>
        </w:rPr>
      </w:pPr>
      <w:r w:rsidRPr="00175996">
        <w:rPr>
          <w:rFonts w:cs="Times New Roman"/>
        </w:rPr>
        <w:t xml:space="preserve">The ADGSM was inserted with a limited duration into the PE Regulations by the </w:t>
      </w:r>
      <w:r w:rsidRPr="00175996">
        <w:rPr>
          <w:rFonts w:cs="Times New Roman"/>
          <w:i/>
        </w:rPr>
        <w:t>Customs (Prohibited Exports) Amendment (Liquefied Natural Gas) Regulations 2017</w:t>
      </w:r>
      <w:r w:rsidRPr="00175996">
        <w:rPr>
          <w:rFonts w:cs="Times New Roman"/>
        </w:rPr>
        <w:t>. The ADGSM is currently due to sunset from the PE Regulations on 1 January 2023. The ADGSM was reviewed and the review report was published in 2020. The report recommended retaining the ADGSM until its scheduled sunsetting in 2023.</w:t>
      </w:r>
    </w:p>
    <w:p w14:paraId="3590ABE0" w14:textId="6552B576" w:rsidR="002B1F51" w:rsidRPr="004200D5" w:rsidRDefault="00175996" w:rsidP="0085646A">
      <w:pPr>
        <w:rPr>
          <w:rFonts w:cs="Times New Roman"/>
        </w:rPr>
      </w:pPr>
      <w:r w:rsidRPr="00175996">
        <w:rPr>
          <w:rFonts w:cs="Times New Roman"/>
        </w:rPr>
        <w:t>On 1 August 2022, the Australian Competition and Consumer Commission’s (ACCC) July 2022 Gas Inquiry Interim Report was released. The report finds the outlook for the east coast gas market has significantly worsened, forecasting a shortfall of 56 PJ in 2023. To protect energy security on the east coast, the ACCC has recommended the Minister for Resources commence the process to declare 2023 a shortfall year under the PE Regulations. The ADGSM extension is required for this to occur.</w:t>
      </w:r>
    </w:p>
    <w:p w14:paraId="0A1E8187" w14:textId="504F9C1E" w:rsidR="001D6B79" w:rsidRPr="004200D5" w:rsidRDefault="00175996" w:rsidP="0085646A">
      <w:pPr>
        <w:rPr>
          <w:rFonts w:cs="Times New Roman"/>
        </w:rPr>
      </w:pPr>
      <w:r w:rsidRPr="00175996">
        <w:rPr>
          <w:rFonts w:cs="Times New Roman"/>
        </w:rPr>
        <w:t>The ADGSM ensures that there is a sufficient supply of gas to meet needs of Australian consumers, including households and industry, by requiring, if necessary, LNG exporters which are drawing gas from domestic market to limit exports or find offsetting sources of new gas.</w:t>
      </w:r>
    </w:p>
    <w:p w14:paraId="4F5BC0A7" w14:textId="77777777" w:rsidR="00D717FA" w:rsidRPr="0041580B" w:rsidRDefault="00A712E6" w:rsidP="0041580B">
      <w:pPr>
        <w:rPr>
          <w:rFonts w:cs="Times New Roman"/>
        </w:rPr>
      </w:pPr>
      <w:r w:rsidRPr="0041580B">
        <w:rPr>
          <w:rFonts w:cs="Times New Roman"/>
        </w:rPr>
        <w:lastRenderedPageBreak/>
        <w:t xml:space="preserve">The </w:t>
      </w:r>
      <w:r w:rsidR="007033F5" w:rsidRPr="0041580B">
        <w:rPr>
          <w:rFonts w:cs="Times New Roman"/>
        </w:rPr>
        <w:t>Department of Home Affairs</w:t>
      </w:r>
      <w:r w:rsidRPr="0041580B">
        <w:rPr>
          <w:rFonts w:cs="Times New Roman"/>
        </w:rPr>
        <w:t xml:space="preserve"> consulted with the </w:t>
      </w:r>
      <w:r w:rsidR="0069666E" w:rsidRPr="0041580B">
        <w:rPr>
          <w:rFonts w:cs="Times New Roman"/>
        </w:rPr>
        <w:t>Department of Industry, Science and Resources</w:t>
      </w:r>
      <w:r w:rsidR="001D6B4B" w:rsidRPr="0041580B">
        <w:rPr>
          <w:rFonts w:cs="Times New Roman"/>
        </w:rPr>
        <w:t xml:space="preserve"> (DISR) which has policy responsibility for the ADGSM</w:t>
      </w:r>
      <w:r w:rsidRPr="0041580B">
        <w:rPr>
          <w:rFonts w:cs="Times New Roman"/>
        </w:rPr>
        <w:t xml:space="preserve">. </w:t>
      </w:r>
      <w:r w:rsidR="001D6B4B" w:rsidRPr="0041580B">
        <w:rPr>
          <w:rFonts w:cs="Times New Roman"/>
        </w:rPr>
        <w:t>DISR undertook public consultation from 5</w:t>
      </w:r>
      <w:r w:rsidR="00F90A23" w:rsidRPr="0041580B">
        <w:rPr>
          <w:rFonts w:cs="Times New Roman"/>
        </w:rPr>
        <w:t> </w:t>
      </w:r>
      <w:r w:rsidR="001D6B4B" w:rsidRPr="0041580B">
        <w:rPr>
          <w:rFonts w:cs="Times New Roman"/>
        </w:rPr>
        <w:t xml:space="preserve">to 19 July 2022 concerning the proposal to extend the ADGSM to 2030. The Department received 22 written submissions from a range of stakeholder groups including LNG producers, major gas producers, gas users, foreign governments, </w:t>
      </w:r>
      <w:proofErr w:type="gramStart"/>
      <w:r w:rsidR="001D6B4B" w:rsidRPr="0041580B">
        <w:rPr>
          <w:rFonts w:cs="Times New Roman"/>
        </w:rPr>
        <w:t>business</w:t>
      </w:r>
      <w:proofErr w:type="gramEnd"/>
      <w:r w:rsidR="001D6B4B" w:rsidRPr="0041580B">
        <w:rPr>
          <w:rFonts w:cs="Times New Roman"/>
        </w:rPr>
        <w:t xml:space="preserve"> groups, members of the public and market regulators. Submissions demonstrated varied views on the best ways to achieve greater security of gas supply on Australia’s east coast, with around half of responses supporting an extension of the ADGSM.</w:t>
      </w:r>
      <w:r w:rsidR="00314F00" w:rsidRPr="0041580B">
        <w:rPr>
          <w:rFonts w:cs="Times New Roman"/>
        </w:rPr>
        <w:t xml:space="preserve"> Following consultation, </w:t>
      </w:r>
      <w:r w:rsidR="00EC4A7C" w:rsidRPr="0041580B">
        <w:rPr>
          <w:rFonts w:cs="Times New Roman"/>
        </w:rPr>
        <w:t xml:space="preserve">it </w:t>
      </w:r>
      <w:r w:rsidR="004D2106" w:rsidRPr="0041580B">
        <w:rPr>
          <w:rFonts w:cs="Times New Roman"/>
        </w:rPr>
        <w:t xml:space="preserve">was decided </w:t>
      </w:r>
      <w:r w:rsidR="00EC4A7C" w:rsidRPr="0041580B">
        <w:rPr>
          <w:rFonts w:cs="Times New Roman"/>
        </w:rPr>
        <w:t xml:space="preserve">that the </w:t>
      </w:r>
      <w:r w:rsidR="002D0F64" w:rsidRPr="0041580B">
        <w:rPr>
          <w:rFonts w:cs="Times New Roman"/>
        </w:rPr>
        <w:t xml:space="preserve">ADGSM </w:t>
      </w:r>
      <w:r w:rsidR="004D2106" w:rsidRPr="0041580B">
        <w:rPr>
          <w:rFonts w:cs="Times New Roman"/>
        </w:rPr>
        <w:t xml:space="preserve">will </w:t>
      </w:r>
      <w:r w:rsidR="00EC4A7C" w:rsidRPr="0041580B">
        <w:rPr>
          <w:rFonts w:cs="Times New Roman"/>
        </w:rPr>
        <w:t xml:space="preserve">be extended to 2030 but </w:t>
      </w:r>
      <w:r w:rsidR="004D2106" w:rsidRPr="0041580B">
        <w:rPr>
          <w:rFonts w:cs="Times New Roman"/>
        </w:rPr>
        <w:t xml:space="preserve">will </w:t>
      </w:r>
      <w:r w:rsidR="002D0F64" w:rsidRPr="0041580B">
        <w:rPr>
          <w:rFonts w:cs="Times New Roman"/>
        </w:rPr>
        <w:t>also be reviewed in 2025</w:t>
      </w:r>
      <w:r w:rsidR="00007F0D" w:rsidRPr="0041580B">
        <w:rPr>
          <w:rFonts w:cs="Times New Roman"/>
        </w:rPr>
        <w:t>.</w:t>
      </w:r>
    </w:p>
    <w:p w14:paraId="0DFAB1BE" w14:textId="77777777" w:rsidR="00871777" w:rsidRPr="004200D5" w:rsidRDefault="00871777" w:rsidP="0085646A">
      <w:pPr>
        <w:rPr>
          <w:rFonts w:cs="Times New Roman"/>
        </w:rPr>
      </w:pPr>
      <w:r w:rsidRPr="004200D5">
        <w:rPr>
          <w:rFonts w:cs="Times New Roman"/>
        </w:rPr>
        <w:t xml:space="preserve">The </w:t>
      </w:r>
      <w:r w:rsidR="0053265A" w:rsidRPr="004200D5">
        <w:rPr>
          <w:rFonts w:cs="Times New Roman"/>
        </w:rPr>
        <w:t xml:space="preserve">Amendment </w:t>
      </w:r>
      <w:r w:rsidRPr="004200D5">
        <w:rPr>
          <w:rFonts w:cs="Times New Roman"/>
        </w:rPr>
        <w:t xml:space="preserve">Regulations </w:t>
      </w:r>
      <w:r w:rsidR="001D6B79" w:rsidRPr="004200D5">
        <w:rPr>
          <w:rFonts w:cs="Times New Roman"/>
        </w:rPr>
        <w:t>are</w:t>
      </w:r>
      <w:r w:rsidRPr="004200D5">
        <w:rPr>
          <w:rFonts w:cs="Times New Roman"/>
        </w:rPr>
        <w:t xml:space="preserve"> a legislative instrument for the purposes of the </w:t>
      </w:r>
      <w:r w:rsidRPr="004200D5">
        <w:rPr>
          <w:rFonts w:cs="Times New Roman"/>
          <w:i/>
        </w:rPr>
        <w:t>Legislation Act 2003</w:t>
      </w:r>
      <w:r w:rsidRPr="004200D5">
        <w:rPr>
          <w:rFonts w:cs="Times New Roman"/>
        </w:rPr>
        <w:t>.</w:t>
      </w:r>
    </w:p>
    <w:p w14:paraId="65818F27" w14:textId="77777777" w:rsidR="00871777" w:rsidRPr="004200D5" w:rsidRDefault="00871777" w:rsidP="004D2106">
      <w:pPr>
        <w:spacing w:before="120" w:after="120"/>
        <w:rPr>
          <w:rFonts w:cs="Times New Roman"/>
        </w:rPr>
      </w:pPr>
      <w:r w:rsidRPr="004200D5">
        <w:rPr>
          <w:rFonts w:cs="Times New Roman"/>
        </w:rPr>
        <w:t xml:space="preserve">The </w:t>
      </w:r>
      <w:r w:rsidR="0053265A" w:rsidRPr="004200D5">
        <w:rPr>
          <w:rFonts w:cs="Times New Roman"/>
        </w:rPr>
        <w:t xml:space="preserve">Amendment </w:t>
      </w:r>
      <w:r w:rsidRPr="004200D5">
        <w:rPr>
          <w:rFonts w:cs="Times New Roman"/>
        </w:rPr>
        <w:t xml:space="preserve">Regulations commence on </w:t>
      </w:r>
      <w:r w:rsidR="007033F5" w:rsidRPr="004200D5">
        <w:rPr>
          <w:rFonts w:cs="Times New Roman"/>
        </w:rPr>
        <w:t>the day after they are registered on the Federal Register of Legislation.</w:t>
      </w:r>
    </w:p>
    <w:p w14:paraId="365DAFCC" w14:textId="77777777" w:rsidR="001D6B79" w:rsidRPr="004200D5" w:rsidRDefault="00871777" w:rsidP="009F70F2">
      <w:pPr>
        <w:spacing w:before="120" w:after="120"/>
        <w:rPr>
          <w:rFonts w:cs="Times New Roman"/>
        </w:rPr>
      </w:pPr>
      <w:r w:rsidRPr="004200D5">
        <w:rPr>
          <w:rFonts w:cs="Times New Roman"/>
        </w:rPr>
        <w:t xml:space="preserve">Details of the </w:t>
      </w:r>
      <w:r w:rsidR="0053265A" w:rsidRPr="004200D5">
        <w:rPr>
          <w:rFonts w:cs="Times New Roman"/>
        </w:rPr>
        <w:t>Amendment</w:t>
      </w:r>
      <w:r w:rsidRPr="004200D5">
        <w:rPr>
          <w:rFonts w:cs="Times New Roman"/>
        </w:rPr>
        <w:t xml:space="preserve"> Regulations are set out in </w:t>
      </w:r>
      <w:r w:rsidRPr="0085646A">
        <w:rPr>
          <w:rFonts w:cs="Times New Roman"/>
          <w:b/>
          <w:u w:val="single"/>
        </w:rPr>
        <w:t>Attachment</w:t>
      </w:r>
      <w:r w:rsidR="009F70F2" w:rsidRPr="0085646A">
        <w:rPr>
          <w:rFonts w:cs="Times New Roman"/>
          <w:b/>
          <w:u w:val="single"/>
        </w:rPr>
        <w:t> A</w:t>
      </w:r>
      <w:r w:rsidRPr="004200D5">
        <w:rPr>
          <w:rFonts w:cs="Times New Roman"/>
        </w:rPr>
        <w:t>.</w:t>
      </w:r>
    </w:p>
    <w:p w14:paraId="432DFCC7" w14:textId="77777777" w:rsidR="001D6B79" w:rsidRPr="004200D5" w:rsidRDefault="001D6B79" w:rsidP="0085646A">
      <w:pPr>
        <w:rPr>
          <w:rFonts w:cs="Times New Roman"/>
        </w:rPr>
      </w:pPr>
      <w:r w:rsidRPr="004200D5">
        <w:rPr>
          <w:rFonts w:cs="Times New Roman"/>
        </w:rPr>
        <w:t xml:space="preserve">A Statement of Compatibility with Human Rights has been prepared in accordance with the </w:t>
      </w:r>
      <w:r w:rsidRPr="004200D5">
        <w:rPr>
          <w:rFonts w:cs="Times New Roman"/>
          <w:i/>
        </w:rPr>
        <w:t>Human Rights (Parliamentary Scrutiny) Act 2011</w:t>
      </w:r>
      <w:r w:rsidRPr="004200D5">
        <w:rPr>
          <w:rFonts w:cs="Times New Roman"/>
        </w:rPr>
        <w:t xml:space="preserve">, and is at </w:t>
      </w:r>
      <w:r w:rsidRPr="0085646A">
        <w:rPr>
          <w:rFonts w:cs="Times New Roman"/>
          <w:b/>
          <w:u w:val="single"/>
        </w:rPr>
        <w:t>Attachment B</w:t>
      </w:r>
      <w:r w:rsidRPr="004200D5">
        <w:rPr>
          <w:rFonts w:cs="Times New Roman"/>
        </w:rPr>
        <w:t>.</w:t>
      </w:r>
    </w:p>
    <w:p w14:paraId="564725B3" w14:textId="77777777" w:rsidR="00871777" w:rsidRPr="0085646A" w:rsidRDefault="00871777" w:rsidP="0085646A">
      <w:pPr>
        <w:keepNext/>
        <w:pageBreakBefore/>
        <w:jc w:val="right"/>
        <w:rPr>
          <w:rFonts w:cs="Times New Roman"/>
          <w:b/>
          <w:u w:val="single"/>
          <w:lang w:eastAsia="en-AU"/>
        </w:rPr>
      </w:pPr>
      <w:r w:rsidRPr="0085646A">
        <w:rPr>
          <w:rFonts w:cs="Times New Roman"/>
          <w:b/>
          <w:u w:val="single"/>
          <w:lang w:eastAsia="en-AU"/>
        </w:rPr>
        <w:lastRenderedPageBreak/>
        <w:t>ATTACHMENT</w:t>
      </w:r>
      <w:r w:rsidR="001D6B79" w:rsidRPr="0085646A">
        <w:rPr>
          <w:rFonts w:cs="Times New Roman"/>
          <w:b/>
          <w:u w:val="single"/>
          <w:lang w:eastAsia="en-AU"/>
        </w:rPr>
        <w:t xml:space="preserve"> A</w:t>
      </w:r>
    </w:p>
    <w:p w14:paraId="027E21D7" w14:textId="77777777" w:rsidR="00871777" w:rsidRPr="0085646A" w:rsidRDefault="00D16ACF" w:rsidP="0085646A">
      <w:pPr>
        <w:keepNext/>
        <w:rPr>
          <w:rFonts w:cs="Times New Roman"/>
          <w:b/>
          <w:i/>
        </w:rPr>
      </w:pPr>
      <w:r w:rsidRPr="0085646A">
        <w:rPr>
          <w:rFonts w:cs="Times New Roman"/>
          <w:b/>
        </w:rPr>
        <w:t xml:space="preserve">Details of the </w:t>
      </w:r>
      <w:r w:rsidR="00E33163" w:rsidRPr="0085646A">
        <w:rPr>
          <w:rFonts w:cs="Times New Roman"/>
          <w:b/>
          <w:i/>
        </w:rPr>
        <w:t>Customs (Prohibited Exports) Amendment (Liquefied Natural Gas) Regulations 2022</w:t>
      </w:r>
    </w:p>
    <w:p w14:paraId="3BE4F877" w14:textId="77777777" w:rsidR="00871777" w:rsidRPr="0085646A" w:rsidRDefault="00871777" w:rsidP="0085646A">
      <w:pPr>
        <w:keepNext/>
        <w:rPr>
          <w:rFonts w:cs="Times New Roman"/>
          <w:u w:val="single"/>
        </w:rPr>
      </w:pPr>
      <w:r w:rsidRPr="0085646A">
        <w:rPr>
          <w:rFonts w:cs="Times New Roman"/>
          <w:u w:val="single"/>
        </w:rPr>
        <w:t>Section 1 - Name</w:t>
      </w:r>
    </w:p>
    <w:p w14:paraId="5A1CD262" w14:textId="77777777" w:rsidR="00871777" w:rsidRPr="004200D5" w:rsidRDefault="009A5E00" w:rsidP="0085646A">
      <w:pPr>
        <w:rPr>
          <w:rFonts w:cs="Times New Roman"/>
        </w:rPr>
      </w:pPr>
      <w:r w:rsidRPr="004200D5">
        <w:rPr>
          <w:rFonts w:cs="Times New Roman"/>
        </w:rPr>
        <w:t>This section</w:t>
      </w:r>
      <w:r w:rsidR="00871777" w:rsidRPr="004200D5">
        <w:rPr>
          <w:rFonts w:cs="Times New Roman"/>
        </w:rPr>
        <w:t xml:space="preserve"> provide</w:t>
      </w:r>
      <w:r w:rsidRPr="004200D5">
        <w:rPr>
          <w:rFonts w:cs="Times New Roman"/>
        </w:rPr>
        <w:t>s</w:t>
      </w:r>
      <w:r w:rsidR="00871777" w:rsidRPr="004200D5">
        <w:rPr>
          <w:rFonts w:cs="Times New Roman"/>
        </w:rPr>
        <w:t xml:space="preserve"> that the </w:t>
      </w:r>
      <w:r w:rsidR="00BB37AF" w:rsidRPr="004200D5">
        <w:rPr>
          <w:rFonts w:cs="Times New Roman"/>
        </w:rPr>
        <w:t xml:space="preserve">title of the Regulations is the </w:t>
      </w:r>
      <w:r w:rsidR="00BB37AF" w:rsidRPr="004200D5">
        <w:rPr>
          <w:rFonts w:cs="Times New Roman"/>
          <w:i/>
        </w:rPr>
        <w:t>Customs (Prohibited Exports) Amendment (Liquefied Natural Gas) Regulations 2022</w:t>
      </w:r>
      <w:r w:rsidR="002F55E3" w:rsidRPr="004200D5">
        <w:rPr>
          <w:rFonts w:cs="Times New Roman"/>
        </w:rPr>
        <w:t xml:space="preserve"> (the </w:t>
      </w:r>
      <w:r w:rsidRPr="004200D5">
        <w:rPr>
          <w:rFonts w:cs="Times New Roman"/>
        </w:rPr>
        <w:t xml:space="preserve">Amendment </w:t>
      </w:r>
      <w:r w:rsidR="002F55E3" w:rsidRPr="004200D5">
        <w:rPr>
          <w:rFonts w:cs="Times New Roman"/>
        </w:rPr>
        <w:t>Regulations).</w:t>
      </w:r>
    </w:p>
    <w:p w14:paraId="1EBFF2B0" w14:textId="77777777" w:rsidR="00871777" w:rsidRPr="0085646A" w:rsidRDefault="00871777" w:rsidP="0085646A">
      <w:pPr>
        <w:keepNext/>
        <w:rPr>
          <w:u w:val="single"/>
        </w:rPr>
      </w:pPr>
      <w:r w:rsidRPr="0085646A">
        <w:rPr>
          <w:u w:val="single"/>
        </w:rPr>
        <w:t>Section 2 - Commencement</w:t>
      </w:r>
    </w:p>
    <w:p w14:paraId="44CE11CB" w14:textId="77777777" w:rsidR="004B7DA9" w:rsidRPr="004200D5" w:rsidRDefault="004B7DA9" w:rsidP="0085646A">
      <w:pPr>
        <w:rPr>
          <w:rFonts w:cs="Times New Roman"/>
        </w:rPr>
      </w:pPr>
      <w:r w:rsidRPr="004200D5">
        <w:rPr>
          <w:rFonts w:cs="Times New Roman"/>
        </w:rPr>
        <w:t>This section sets out, in a table, the date on which each of the provisions contained i</w:t>
      </w:r>
      <w:r w:rsidR="009A5E00" w:rsidRPr="004200D5">
        <w:rPr>
          <w:rFonts w:cs="Times New Roman"/>
        </w:rPr>
        <w:t>n the Amendment Regulations</w:t>
      </w:r>
      <w:r w:rsidRPr="004200D5">
        <w:rPr>
          <w:rFonts w:cs="Times New Roman"/>
        </w:rPr>
        <w:t xml:space="preserve"> commence. </w:t>
      </w:r>
    </w:p>
    <w:p w14:paraId="308D7A01" w14:textId="77777777" w:rsidR="00871777" w:rsidRPr="004200D5" w:rsidRDefault="009A5E00" w:rsidP="0085646A">
      <w:pPr>
        <w:rPr>
          <w:rFonts w:cs="Times New Roman"/>
        </w:rPr>
      </w:pPr>
      <w:r w:rsidRPr="004200D5">
        <w:rPr>
          <w:rFonts w:cs="Times New Roman"/>
        </w:rPr>
        <w:t>Table item 1</w:t>
      </w:r>
      <w:r w:rsidR="004B7DA9" w:rsidRPr="004200D5">
        <w:rPr>
          <w:rFonts w:cs="Times New Roman"/>
        </w:rPr>
        <w:t xml:space="preserve"> provide</w:t>
      </w:r>
      <w:r w:rsidRPr="004200D5">
        <w:rPr>
          <w:rFonts w:cs="Times New Roman"/>
        </w:rPr>
        <w:t>s</w:t>
      </w:r>
      <w:r w:rsidR="004B7DA9" w:rsidRPr="004200D5">
        <w:rPr>
          <w:rFonts w:cs="Times New Roman"/>
        </w:rPr>
        <w:t xml:space="preserve"> for the whole </w:t>
      </w:r>
      <w:r w:rsidR="007033F5" w:rsidRPr="004200D5">
        <w:rPr>
          <w:rFonts w:cs="Times New Roman"/>
        </w:rPr>
        <w:t xml:space="preserve">of the </w:t>
      </w:r>
      <w:r w:rsidRPr="004200D5">
        <w:rPr>
          <w:rFonts w:cs="Times New Roman"/>
        </w:rPr>
        <w:t>Amendment</w:t>
      </w:r>
      <w:r w:rsidR="007033F5" w:rsidRPr="004200D5">
        <w:rPr>
          <w:rFonts w:cs="Times New Roman"/>
        </w:rPr>
        <w:t xml:space="preserve"> Regulations</w:t>
      </w:r>
      <w:r w:rsidR="002C5177" w:rsidRPr="004200D5">
        <w:rPr>
          <w:rFonts w:cs="Times New Roman"/>
        </w:rPr>
        <w:t xml:space="preserve"> to commence on </w:t>
      </w:r>
      <w:r w:rsidR="004B7DA9" w:rsidRPr="004200D5">
        <w:rPr>
          <w:rFonts w:cs="Times New Roman"/>
        </w:rPr>
        <w:t>the day after registration on the Federal Register of Legislation.</w:t>
      </w:r>
    </w:p>
    <w:p w14:paraId="3E8E495C" w14:textId="77777777" w:rsidR="00871777" w:rsidRPr="0085646A" w:rsidRDefault="00871777" w:rsidP="0085646A">
      <w:pPr>
        <w:keepNext/>
        <w:rPr>
          <w:rFonts w:cs="Times New Roman"/>
          <w:u w:val="single"/>
        </w:rPr>
      </w:pPr>
      <w:r w:rsidRPr="0085646A">
        <w:rPr>
          <w:rFonts w:cs="Times New Roman"/>
          <w:u w:val="single"/>
        </w:rPr>
        <w:t>Section 3 - Authority</w:t>
      </w:r>
    </w:p>
    <w:p w14:paraId="73A135D2" w14:textId="77777777" w:rsidR="00871777" w:rsidRPr="004200D5" w:rsidRDefault="00871777" w:rsidP="0085646A">
      <w:pPr>
        <w:rPr>
          <w:rFonts w:cs="Times New Roman"/>
        </w:rPr>
      </w:pPr>
      <w:r w:rsidRPr="004200D5">
        <w:rPr>
          <w:rFonts w:cs="Times New Roman"/>
        </w:rPr>
        <w:t>This</w:t>
      </w:r>
      <w:r w:rsidR="009A5E00" w:rsidRPr="004200D5">
        <w:rPr>
          <w:rFonts w:cs="Times New Roman"/>
        </w:rPr>
        <w:t xml:space="preserve"> section </w:t>
      </w:r>
      <w:r w:rsidR="002F55E3" w:rsidRPr="004200D5">
        <w:rPr>
          <w:rFonts w:cs="Times New Roman"/>
        </w:rPr>
        <w:t>provide</w:t>
      </w:r>
      <w:r w:rsidR="009A5E00" w:rsidRPr="004200D5">
        <w:rPr>
          <w:rFonts w:cs="Times New Roman"/>
        </w:rPr>
        <w:t>s</w:t>
      </w:r>
      <w:r w:rsidR="002F55E3" w:rsidRPr="004200D5">
        <w:rPr>
          <w:rFonts w:cs="Times New Roman"/>
        </w:rPr>
        <w:t xml:space="preserve"> that the </w:t>
      </w:r>
      <w:r w:rsidR="009A5E00" w:rsidRPr="004200D5">
        <w:rPr>
          <w:rFonts w:cs="Times New Roman"/>
        </w:rPr>
        <w:t>Amendment</w:t>
      </w:r>
      <w:r w:rsidR="002F55E3" w:rsidRPr="004200D5">
        <w:rPr>
          <w:rFonts w:cs="Times New Roman"/>
        </w:rPr>
        <w:t xml:space="preserve"> Regulations</w:t>
      </w:r>
      <w:r w:rsidRPr="004200D5">
        <w:rPr>
          <w:rFonts w:cs="Times New Roman"/>
        </w:rPr>
        <w:t xml:space="preserve"> </w:t>
      </w:r>
      <w:r w:rsidR="007033F5" w:rsidRPr="004200D5">
        <w:rPr>
          <w:rFonts w:cs="Times New Roman"/>
        </w:rPr>
        <w:t xml:space="preserve">are </w:t>
      </w:r>
      <w:r w:rsidRPr="004200D5">
        <w:rPr>
          <w:rFonts w:cs="Times New Roman"/>
        </w:rPr>
        <w:t xml:space="preserve">made under the </w:t>
      </w:r>
      <w:r w:rsidR="00561F18" w:rsidRPr="00340DE6">
        <w:rPr>
          <w:rFonts w:cs="Times New Roman"/>
          <w:i/>
        </w:rPr>
        <w:t>Customs Act 1901</w:t>
      </w:r>
      <w:r w:rsidRPr="00340DE6">
        <w:rPr>
          <w:rFonts w:cs="Times New Roman"/>
          <w:i/>
        </w:rPr>
        <w:t>.</w:t>
      </w:r>
    </w:p>
    <w:p w14:paraId="0A9AAC9B" w14:textId="77777777" w:rsidR="00871777" w:rsidRPr="0085646A" w:rsidRDefault="00A0196A" w:rsidP="0085646A">
      <w:pPr>
        <w:keepNext/>
        <w:rPr>
          <w:rFonts w:cs="Times New Roman"/>
          <w:u w:val="single"/>
        </w:rPr>
      </w:pPr>
      <w:r w:rsidRPr="0085646A">
        <w:rPr>
          <w:rFonts w:cs="Times New Roman"/>
          <w:u w:val="single"/>
        </w:rPr>
        <w:t>Section 4 - Schedules</w:t>
      </w:r>
    </w:p>
    <w:p w14:paraId="6ADC7EC3" w14:textId="77777777" w:rsidR="00266393" w:rsidRPr="004200D5" w:rsidRDefault="009A5E00" w:rsidP="0085646A">
      <w:pPr>
        <w:rPr>
          <w:rFonts w:cs="Times New Roman"/>
        </w:rPr>
      </w:pPr>
      <w:r w:rsidRPr="004200D5">
        <w:rPr>
          <w:rFonts w:cs="Times New Roman"/>
        </w:rPr>
        <w:t>This section</w:t>
      </w:r>
      <w:r w:rsidR="00871777" w:rsidRPr="004200D5">
        <w:rPr>
          <w:rFonts w:cs="Times New Roman"/>
        </w:rPr>
        <w:t xml:space="preserve"> provide</w:t>
      </w:r>
      <w:r w:rsidRPr="004200D5">
        <w:rPr>
          <w:rFonts w:cs="Times New Roman"/>
        </w:rPr>
        <w:t>s</w:t>
      </w:r>
      <w:r w:rsidR="00871777" w:rsidRPr="004200D5">
        <w:rPr>
          <w:rFonts w:cs="Times New Roman"/>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7F7F17B" w14:textId="77777777" w:rsidR="00871777" w:rsidRPr="004200D5" w:rsidRDefault="009A5E00" w:rsidP="0085646A">
      <w:pPr>
        <w:rPr>
          <w:rFonts w:cs="Times New Roman"/>
        </w:rPr>
      </w:pPr>
      <w:r w:rsidRPr="004200D5">
        <w:rPr>
          <w:rFonts w:cs="Times New Roman"/>
        </w:rPr>
        <w:t>The instrument that is</w:t>
      </w:r>
      <w:r w:rsidR="00396BF8" w:rsidRPr="004200D5">
        <w:rPr>
          <w:rFonts w:cs="Times New Roman"/>
        </w:rPr>
        <w:t xml:space="preserve"> amended is </w:t>
      </w:r>
      <w:r w:rsidR="00266393" w:rsidRPr="004200D5">
        <w:rPr>
          <w:rFonts w:cs="Times New Roman"/>
        </w:rPr>
        <w:t xml:space="preserve">the </w:t>
      </w:r>
      <w:r w:rsidR="00266393" w:rsidRPr="004200D5">
        <w:rPr>
          <w:rFonts w:cs="Times New Roman"/>
          <w:i/>
        </w:rPr>
        <w:t>Customs (Prohibited Exports</w:t>
      </w:r>
      <w:r w:rsidR="006018BC" w:rsidRPr="004200D5">
        <w:rPr>
          <w:rFonts w:cs="Times New Roman"/>
          <w:i/>
        </w:rPr>
        <w:t>) Regulations 1958</w:t>
      </w:r>
      <w:r w:rsidR="001D727D" w:rsidRPr="004200D5">
        <w:rPr>
          <w:rFonts w:cs="Times New Roman"/>
        </w:rPr>
        <w:t xml:space="preserve"> (the PE Regulations).</w:t>
      </w:r>
    </w:p>
    <w:p w14:paraId="6DF7D239" w14:textId="77777777" w:rsidR="00871777" w:rsidRPr="0085646A" w:rsidRDefault="007A2802" w:rsidP="0085646A">
      <w:pPr>
        <w:keepNext/>
        <w:rPr>
          <w:rFonts w:cs="Times New Roman"/>
          <w:u w:val="single"/>
        </w:rPr>
      </w:pPr>
      <w:r w:rsidRPr="0085646A">
        <w:rPr>
          <w:rFonts w:cs="Times New Roman"/>
          <w:u w:val="single"/>
        </w:rPr>
        <w:t xml:space="preserve">Schedule 1 </w:t>
      </w:r>
      <w:r w:rsidR="00D16ACF" w:rsidRPr="0085646A">
        <w:rPr>
          <w:rFonts w:cs="Times New Roman"/>
          <w:u w:val="single"/>
        </w:rPr>
        <w:t>–</w:t>
      </w:r>
      <w:r w:rsidRPr="0085646A">
        <w:rPr>
          <w:rFonts w:cs="Times New Roman"/>
          <w:u w:val="single"/>
        </w:rPr>
        <w:t xml:space="preserve"> Amendment</w:t>
      </w:r>
      <w:r w:rsidR="00976081" w:rsidRPr="0085646A">
        <w:rPr>
          <w:rFonts w:cs="Times New Roman"/>
          <w:u w:val="single"/>
        </w:rPr>
        <w:t>s</w:t>
      </w:r>
    </w:p>
    <w:p w14:paraId="5748CD0A" w14:textId="77777777" w:rsidR="00D16ACF" w:rsidRPr="0085646A" w:rsidRDefault="00D16ACF" w:rsidP="0085646A">
      <w:pPr>
        <w:keepNext/>
        <w:rPr>
          <w:rFonts w:cs="Times New Roman"/>
          <w:b/>
          <w:i/>
        </w:rPr>
      </w:pPr>
      <w:r w:rsidRPr="0085646A">
        <w:rPr>
          <w:rFonts w:cs="Times New Roman"/>
          <w:b/>
          <w:i/>
        </w:rPr>
        <w:t>Customs (Prohibited Exports) Regulations 1958</w:t>
      </w:r>
    </w:p>
    <w:p w14:paraId="1EEEEE0C" w14:textId="77777777" w:rsidR="003E10FA" w:rsidRPr="0085646A" w:rsidRDefault="003E10FA" w:rsidP="0085646A">
      <w:pPr>
        <w:keepNext/>
        <w:rPr>
          <w:rFonts w:cs="Times New Roman"/>
          <w:b/>
          <w:lang w:eastAsia="en-AU"/>
        </w:rPr>
      </w:pPr>
      <w:r w:rsidRPr="0085646A">
        <w:rPr>
          <w:rFonts w:cs="Times New Roman"/>
          <w:b/>
          <w:lang w:eastAsia="en-AU"/>
        </w:rPr>
        <w:t xml:space="preserve">Item 1 – </w:t>
      </w:r>
      <w:proofErr w:type="spellStart"/>
      <w:r w:rsidRPr="0085646A">
        <w:rPr>
          <w:rFonts w:cs="Times New Roman"/>
          <w:b/>
          <w:lang w:eastAsia="en-AU"/>
        </w:rPr>
        <w:t>Subregulation</w:t>
      </w:r>
      <w:proofErr w:type="spellEnd"/>
      <w:r w:rsidRPr="0085646A">
        <w:rPr>
          <w:rFonts w:cs="Times New Roman"/>
          <w:b/>
          <w:lang w:eastAsia="en-AU"/>
        </w:rPr>
        <w:t xml:space="preserve"> </w:t>
      </w:r>
      <w:proofErr w:type="gramStart"/>
      <w:r w:rsidRPr="0085646A">
        <w:rPr>
          <w:rFonts w:cs="Times New Roman"/>
          <w:b/>
          <w:lang w:eastAsia="en-AU"/>
        </w:rPr>
        <w:t>13GG(</w:t>
      </w:r>
      <w:proofErr w:type="gramEnd"/>
      <w:r w:rsidRPr="0085646A">
        <w:rPr>
          <w:rFonts w:cs="Times New Roman"/>
          <w:b/>
          <w:lang w:eastAsia="en-AU"/>
        </w:rPr>
        <w:t>1)</w:t>
      </w:r>
    </w:p>
    <w:p w14:paraId="4F2F0E09" w14:textId="77777777" w:rsidR="003E10FA" w:rsidRPr="004200D5" w:rsidRDefault="00BA58A9" w:rsidP="0085646A">
      <w:pPr>
        <w:rPr>
          <w:rFonts w:cs="Times New Roman"/>
        </w:rPr>
      </w:pPr>
      <w:r w:rsidRPr="004200D5">
        <w:rPr>
          <w:rFonts w:cs="Times New Roman"/>
        </w:rPr>
        <w:t xml:space="preserve">Regulation 13GG requires the Resources Minister to cause a review of the operation of the ADGSM to be undertaken. </w:t>
      </w:r>
      <w:proofErr w:type="spellStart"/>
      <w:r w:rsidRPr="004200D5">
        <w:rPr>
          <w:rFonts w:cs="Times New Roman"/>
        </w:rPr>
        <w:t>Subregulation</w:t>
      </w:r>
      <w:proofErr w:type="spellEnd"/>
      <w:r w:rsidRPr="004200D5">
        <w:rPr>
          <w:rFonts w:cs="Times New Roman"/>
        </w:rPr>
        <w:t xml:space="preserve"> </w:t>
      </w:r>
      <w:proofErr w:type="gramStart"/>
      <w:r w:rsidRPr="004200D5">
        <w:rPr>
          <w:rFonts w:cs="Times New Roman"/>
        </w:rPr>
        <w:t>13GG(</w:t>
      </w:r>
      <w:proofErr w:type="gramEnd"/>
      <w:r w:rsidRPr="004200D5">
        <w:rPr>
          <w:rFonts w:cs="Times New Roman"/>
        </w:rPr>
        <w:t xml:space="preserve">1) provides that this review </w:t>
      </w:r>
      <w:r w:rsidR="00EC4A7C" w:rsidRPr="004200D5">
        <w:rPr>
          <w:rFonts w:cs="Times New Roman"/>
        </w:rPr>
        <w:t xml:space="preserve">must </w:t>
      </w:r>
      <w:r w:rsidRPr="004200D5">
        <w:rPr>
          <w:rFonts w:cs="Times New Roman"/>
        </w:rPr>
        <w:t xml:space="preserve">occur during 2020. </w:t>
      </w:r>
      <w:r w:rsidR="009A5E00" w:rsidRPr="004200D5">
        <w:rPr>
          <w:rFonts w:cs="Times New Roman"/>
        </w:rPr>
        <w:t>This item</w:t>
      </w:r>
      <w:r w:rsidR="003E10FA" w:rsidRPr="004200D5">
        <w:rPr>
          <w:rFonts w:cs="Times New Roman"/>
        </w:rPr>
        <w:t xml:space="preserve"> substitute</w:t>
      </w:r>
      <w:r w:rsidR="009A5E00" w:rsidRPr="004200D5">
        <w:rPr>
          <w:rFonts w:cs="Times New Roman"/>
        </w:rPr>
        <w:t>s</w:t>
      </w:r>
      <w:r w:rsidR="003E10FA" w:rsidRPr="004200D5">
        <w:rPr>
          <w:rFonts w:cs="Times New Roman"/>
        </w:rPr>
        <w:t xml:space="preserve"> </w:t>
      </w:r>
      <w:r w:rsidR="00816875" w:rsidRPr="004200D5">
        <w:rPr>
          <w:rFonts w:cs="Times New Roman"/>
        </w:rPr>
        <w:t>‘2020’</w:t>
      </w:r>
      <w:r w:rsidR="003E10FA" w:rsidRPr="004200D5">
        <w:rPr>
          <w:rFonts w:cs="Times New Roman"/>
        </w:rPr>
        <w:t xml:space="preserve"> with </w:t>
      </w:r>
      <w:r w:rsidR="00816875" w:rsidRPr="004200D5">
        <w:rPr>
          <w:rFonts w:cs="Times New Roman"/>
        </w:rPr>
        <w:t>‘2025’</w:t>
      </w:r>
      <w:r w:rsidRPr="004200D5">
        <w:rPr>
          <w:rFonts w:cs="Times New Roman"/>
        </w:rPr>
        <w:t>. The effect of this amen</w:t>
      </w:r>
      <w:r w:rsidR="009A5E00" w:rsidRPr="004200D5">
        <w:rPr>
          <w:rFonts w:cs="Times New Roman"/>
        </w:rPr>
        <w:t>dment is</w:t>
      </w:r>
      <w:r w:rsidRPr="004200D5">
        <w:rPr>
          <w:rFonts w:cs="Times New Roman"/>
        </w:rPr>
        <w:t xml:space="preserve"> to provide for a further review of the ADGSM to be undertaken in 2025. </w:t>
      </w:r>
    </w:p>
    <w:p w14:paraId="5B3A5AA4" w14:textId="77777777" w:rsidR="003E10FA" w:rsidRPr="0085646A" w:rsidRDefault="00816875" w:rsidP="0085646A">
      <w:pPr>
        <w:keepNext/>
        <w:rPr>
          <w:rFonts w:cs="Times New Roman"/>
          <w:b/>
          <w:lang w:eastAsia="en-AU"/>
        </w:rPr>
      </w:pPr>
      <w:r w:rsidRPr="0085646A">
        <w:rPr>
          <w:rFonts w:cs="Times New Roman"/>
          <w:b/>
          <w:lang w:eastAsia="en-AU"/>
        </w:rPr>
        <w:t>Item 2</w:t>
      </w:r>
      <w:r w:rsidR="003E10FA" w:rsidRPr="0085646A">
        <w:rPr>
          <w:rFonts w:cs="Times New Roman"/>
          <w:b/>
          <w:lang w:eastAsia="en-AU"/>
        </w:rPr>
        <w:t xml:space="preserve"> – </w:t>
      </w:r>
      <w:r w:rsidRPr="0085646A">
        <w:rPr>
          <w:rFonts w:cs="Times New Roman"/>
          <w:b/>
          <w:lang w:eastAsia="en-AU"/>
        </w:rPr>
        <w:t xml:space="preserve">Paragraph </w:t>
      </w:r>
      <w:proofErr w:type="gramStart"/>
      <w:r w:rsidRPr="0085646A">
        <w:rPr>
          <w:rFonts w:cs="Times New Roman"/>
          <w:b/>
          <w:lang w:eastAsia="en-AU"/>
        </w:rPr>
        <w:t>13GG(</w:t>
      </w:r>
      <w:proofErr w:type="gramEnd"/>
      <w:r w:rsidRPr="0085646A">
        <w:rPr>
          <w:rFonts w:cs="Times New Roman"/>
          <w:b/>
          <w:lang w:eastAsia="en-AU"/>
        </w:rPr>
        <w:t>2)(e)</w:t>
      </w:r>
    </w:p>
    <w:p w14:paraId="68B42A94" w14:textId="77777777" w:rsidR="00EE57BB" w:rsidRPr="004200D5" w:rsidRDefault="0014029D" w:rsidP="0085646A">
      <w:pPr>
        <w:rPr>
          <w:rFonts w:cs="Times New Roman"/>
        </w:rPr>
      </w:pPr>
      <w:r w:rsidRPr="004200D5">
        <w:rPr>
          <w:rFonts w:cs="Times New Roman"/>
        </w:rPr>
        <w:t xml:space="preserve">Paragraph 13GG(2)(e) </w:t>
      </w:r>
      <w:r w:rsidR="00EE57BB" w:rsidRPr="004200D5">
        <w:rPr>
          <w:rFonts w:cs="Times New Roman"/>
        </w:rPr>
        <w:t>requires the review to</w:t>
      </w:r>
      <w:r w:rsidRPr="004200D5">
        <w:rPr>
          <w:rFonts w:cs="Times New Roman"/>
        </w:rPr>
        <w:t xml:space="preserve"> address </w:t>
      </w:r>
      <w:r w:rsidR="00EE57BB" w:rsidRPr="004200D5">
        <w:rPr>
          <w:rFonts w:cs="Times New Roman"/>
        </w:rPr>
        <w:t>whether</w:t>
      </w:r>
      <w:r w:rsidRPr="004200D5">
        <w:rPr>
          <w:rFonts w:cs="Times New Roman"/>
        </w:rPr>
        <w:t xml:space="preserve"> Division 6 </w:t>
      </w:r>
      <w:r w:rsidR="00EE57BB" w:rsidRPr="004200D5">
        <w:rPr>
          <w:rFonts w:cs="Times New Roman"/>
        </w:rPr>
        <w:t>of</w:t>
      </w:r>
      <w:r w:rsidRPr="004200D5">
        <w:rPr>
          <w:rFonts w:cs="Times New Roman"/>
        </w:rPr>
        <w:t xml:space="preserve"> the PE Regulations should be amended or repealed before 1 January 2023 and the timing of any such amendment or repeal. </w:t>
      </w:r>
      <w:r w:rsidR="009A5E00" w:rsidRPr="004200D5">
        <w:rPr>
          <w:rFonts w:cs="Times New Roman"/>
        </w:rPr>
        <w:t>This item</w:t>
      </w:r>
      <w:r w:rsidR="003E10FA" w:rsidRPr="004200D5">
        <w:rPr>
          <w:rFonts w:cs="Times New Roman"/>
        </w:rPr>
        <w:t xml:space="preserve"> substitute</w:t>
      </w:r>
      <w:r w:rsidR="009A5E00" w:rsidRPr="004200D5">
        <w:rPr>
          <w:rFonts w:cs="Times New Roman"/>
        </w:rPr>
        <w:t>s</w:t>
      </w:r>
      <w:r w:rsidR="003E10FA" w:rsidRPr="004200D5">
        <w:rPr>
          <w:rFonts w:cs="Times New Roman"/>
        </w:rPr>
        <w:t xml:space="preserve"> </w:t>
      </w:r>
      <w:r w:rsidR="00816875" w:rsidRPr="004200D5">
        <w:rPr>
          <w:rFonts w:cs="Times New Roman"/>
        </w:rPr>
        <w:t>‘</w:t>
      </w:r>
      <w:r w:rsidR="003E10FA" w:rsidRPr="004200D5">
        <w:rPr>
          <w:rFonts w:cs="Times New Roman"/>
        </w:rPr>
        <w:t>1 January 2023</w:t>
      </w:r>
      <w:r w:rsidR="00816875" w:rsidRPr="004200D5">
        <w:rPr>
          <w:rFonts w:cs="Times New Roman"/>
        </w:rPr>
        <w:t>’</w:t>
      </w:r>
      <w:r w:rsidR="003E10FA" w:rsidRPr="004200D5">
        <w:rPr>
          <w:rFonts w:cs="Times New Roman"/>
        </w:rPr>
        <w:t xml:space="preserve"> with </w:t>
      </w:r>
      <w:r w:rsidR="00816875" w:rsidRPr="004200D5">
        <w:rPr>
          <w:rFonts w:cs="Times New Roman"/>
        </w:rPr>
        <w:t>‘</w:t>
      </w:r>
      <w:r w:rsidR="003E10FA" w:rsidRPr="004200D5">
        <w:rPr>
          <w:rFonts w:cs="Times New Roman"/>
        </w:rPr>
        <w:t>1 January 2030</w:t>
      </w:r>
      <w:r w:rsidR="00816875" w:rsidRPr="004200D5">
        <w:rPr>
          <w:rFonts w:cs="Times New Roman"/>
        </w:rPr>
        <w:t>’</w:t>
      </w:r>
      <w:r w:rsidR="00EC4A7C" w:rsidRPr="004200D5">
        <w:rPr>
          <w:rFonts w:cs="Times New Roman"/>
        </w:rPr>
        <w:t>. This reflects the new sunset date for the ADGSM following the amendment to regulation 13GH made by item [3]</w:t>
      </w:r>
      <w:r w:rsidR="003E10FA" w:rsidRPr="004200D5">
        <w:rPr>
          <w:rFonts w:cs="Times New Roman"/>
        </w:rPr>
        <w:t>.</w:t>
      </w:r>
      <w:r w:rsidRPr="004200D5">
        <w:rPr>
          <w:rFonts w:cs="Times New Roman"/>
        </w:rPr>
        <w:t xml:space="preserve"> </w:t>
      </w:r>
    </w:p>
    <w:p w14:paraId="62D26A46" w14:textId="77777777" w:rsidR="00871777" w:rsidRPr="0085646A" w:rsidRDefault="00871777" w:rsidP="0085646A">
      <w:pPr>
        <w:keepNext/>
        <w:rPr>
          <w:b/>
          <w:lang w:eastAsia="en-AU"/>
        </w:rPr>
      </w:pPr>
      <w:r w:rsidRPr="0085646A">
        <w:rPr>
          <w:b/>
          <w:lang w:eastAsia="en-AU"/>
        </w:rPr>
        <w:t xml:space="preserve">Item </w:t>
      </w:r>
      <w:r w:rsidR="003E10FA" w:rsidRPr="0085646A">
        <w:rPr>
          <w:b/>
          <w:lang w:eastAsia="en-AU"/>
        </w:rPr>
        <w:t>3</w:t>
      </w:r>
      <w:r w:rsidR="00D013C8" w:rsidRPr="0085646A">
        <w:rPr>
          <w:b/>
          <w:lang w:eastAsia="en-AU"/>
        </w:rPr>
        <w:t xml:space="preserve"> –</w:t>
      </w:r>
      <w:r w:rsidR="00984712" w:rsidRPr="0085646A">
        <w:rPr>
          <w:b/>
          <w:lang w:eastAsia="en-AU"/>
        </w:rPr>
        <w:t xml:space="preserve"> </w:t>
      </w:r>
      <w:r w:rsidR="003E10FA" w:rsidRPr="0085646A">
        <w:rPr>
          <w:b/>
          <w:lang w:eastAsia="en-AU"/>
        </w:rPr>
        <w:t>R</w:t>
      </w:r>
      <w:r w:rsidR="007033F5" w:rsidRPr="0085646A">
        <w:rPr>
          <w:b/>
          <w:lang w:eastAsia="en-AU"/>
        </w:rPr>
        <w:t xml:space="preserve">egulation </w:t>
      </w:r>
      <w:r w:rsidR="00D013C8" w:rsidRPr="0085646A">
        <w:rPr>
          <w:b/>
          <w:lang w:eastAsia="en-AU"/>
        </w:rPr>
        <w:t>13GH</w:t>
      </w:r>
    </w:p>
    <w:p w14:paraId="3D43D898" w14:textId="77777777" w:rsidR="00984712" w:rsidRPr="004200D5" w:rsidRDefault="00CA41A8" w:rsidP="0085646A">
      <w:pPr>
        <w:rPr>
          <w:rFonts w:cs="Times New Roman"/>
        </w:rPr>
      </w:pPr>
      <w:r w:rsidRPr="004200D5">
        <w:rPr>
          <w:rFonts w:cs="Times New Roman"/>
        </w:rPr>
        <w:t>R</w:t>
      </w:r>
      <w:r w:rsidR="00C46D3C" w:rsidRPr="004200D5">
        <w:rPr>
          <w:rFonts w:cs="Times New Roman"/>
        </w:rPr>
        <w:t>egulation 13GH provides that Division 6 of the PE Regulations</w:t>
      </w:r>
      <w:r w:rsidR="00984712" w:rsidRPr="004200D5">
        <w:rPr>
          <w:rFonts w:cs="Times New Roman"/>
        </w:rPr>
        <w:t>,</w:t>
      </w:r>
      <w:r w:rsidR="00C46D3C" w:rsidRPr="004200D5">
        <w:rPr>
          <w:rFonts w:cs="Times New Roman"/>
        </w:rPr>
        <w:t xml:space="preserve"> </w:t>
      </w:r>
      <w:r w:rsidR="00984712" w:rsidRPr="004200D5">
        <w:rPr>
          <w:rFonts w:cs="Times New Roman"/>
        </w:rPr>
        <w:t xml:space="preserve">which </w:t>
      </w:r>
      <w:r w:rsidR="003F228B" w:rsidRPr="004200D5">
        <w:rPr>
          <w:rFonts w:cs="Times New Roman"/>
        </w:rPr>
        <w:t xml:space="preserve">was intended as a </w:t>
      </w:r>
      <w:r w:rsidR="00984712" w:rsidRPr="004200D5">
        <w:rPr>
          <w:rFonts w:cs="Times New Roman"/>
        </w:rPr>
        <w:t xml:space="preserve">short term </w:t>
      </w:r>
      <w:r w:rsidR="003F228B" w:rsidRPr="004200D5">
        <w:rPr>
          <w:rFonts w:cs="Times New Roman"/>
        </w:rPr>
        <w:t xml:space="preserve">and targeted </w:t>
      </w:r>
      <w:r w:rsidR="00984712" w:rsidRPr="004200D5">
        <w:rPr>
          <w:rFonts w:cs="Times New Roman"/>
        </w:rPr>
        <w:t xml:space="preserve">option, </w:t>
      </w:r>
      <w:r w:rsidR="00C46D3C" w:rsidRPr="004200D5">
        <w:rPr>
          <w:rFonts w:cs="Times New Roman"/>
        </w:rPr>
        <w:t>is repealed on 1 January 2023</w:t>
      </w:r>
      <w:r w:rsidR="004F5508" w:rsidRPr="004200D5">
        <w:rPr>
          <w:rFonts w:cs="Times New Roman"/>
        </w:rPr>
        <w:t xml:space="preserve">. This </w:t>
      </w:r>
      <w:r w:rsidR="009A5E00" w:rsidRPr="004200D5">
        <w:rPr>
          <w:rFonts w:cs="Times New Roman"/>
        </w:rPr>
        <w:t>item</w:t>
      </w:r>
      <w:r w:rsidR="00C46D3C" w:rsidRPr="004200D5">
        <w:rPr>
          <w:rFonts w:cs="Times New Roman"/>
        </w:rPr>
        <w:t xml:space="preserve"> substitute</w:t>
      </w:r>
      <w:r w:rsidR="009A5E00" w:rsidRPr="004200D5">
        <w:rPr>
          <w:rFonts w:cs="Times New Roman"/>
        </w:rPr>
        <w:t>s</w:t>
      </w:r>
      <w:r w:rsidR="00C46D3C" w:rsidRPr="004200D5">
        <w:rPr>
          <w:rFonts w:cs="Times New Roman"/>
        </w:rPr>
        <w:t xml:space="preserve"> 1 January 2023 </w:t>
      </w:r>
      <w:r w:rsidR="00D013C8" w:rsidRPr="004200D5">
        <w:rPr>
          <w:rFonts w:cs="Times New Roman"/>
        </w:rPr>
        <w:t>with 1</w:t>
      </w:r>
      <w:r w:rsidR="009F70F2">
        <w:rPr>
          <w:rFonts w:cs="Times New Roman"/>
        </w:rPr>
        <w:t> </w:t>
      </w:r>
      <w:r w:rsidR="00D013C8" w:rsidRPr="004200D5">
        <w:rPr>
          <w:rFonts w:cs="Times New Roman"/>
        </w:rPr>
        <w:t xml:space="preserve">January 2030. </w:t>
      </w:r>
      <w:r w:rsidR="009A5E00" w:rsidRPr="004200D5">
        <w:rPr>
          <w:rFonts w:cs="Times New Roman"/>
        </w:rPr>
        <w:t>The amendment</w:t>
      </w:r>
      <w:r w:rsidR="00E22551" w:rsidRPr="004200D5">
        <w:rPr>
          <w:rFonts w:cs="Times New Roman"/>
        </w:rPr>
        <w:t xml:space="preserve"> extend</w:t>
      </w:r>
      <w:r w:rsidR="009A5E00" w:rsidRPr="004200D5">
        <w:rPr>
          <w:rFonts w:cs="Times New Roman"/>
        </w:rPr>
        <w:t>s</w:t>
      </w:r>
      <w:r w:rsidR="00E22551" w:rsidRPr="004200D5">
        <w:rPr>
          <w:rFonts w:cs="Times New Roman"/>
        </w:rPr>
        <w:t xml:space="preserve"> the Australian Domestic Gas Security Mechanism (ADGSM)</w:t>
      </w:r>
      <w:r w:rsidR="00B705C4" w:rsidRPr="004200D5">
        <w:rPr>
          <w:rFonts w:cs="Times New Roman"/>
        </w:rPr>
        <w:t xml:space="preserve"> to exp</w:t>
      </w:r>
      <w:r w:rsidR="009A5E00" w:rsidRPr="004200D5">
        <w:rPr>
          <w:rFonts w:cs="Times New Roman"/>
        </w:rPr>
        <w:t>ire on 1 January 2030. This</w:t>
      </w:r>
      <w:r w:rsidR="00B705C4" w:rsidRPr="004200D5">
        <w:rPr>
          <w:rFonts w:cs="Times New Roman"/>
        </w:rPr>
        <w:t xml:space="preserve"> ensure</w:t>
      </w:r>
      <w:r w:rsidR="009A5E00" w:rsidRPr="004200D5">
        <w:rPr>
          <w:rFonts w:cs="Times New Roman"/>
        </w:rPr>
        <w:t>s</w:t>
      </w:r>
      <w:r w:rsidR="00B705C4" w:rsidRPr="004200D5">
        <w:rPr>
          <w:rFonts w:cs="Times New Roman"/>
        </w:rPr>
        <w:t xml:space="preserve"> the ADGSM remains able to be used to</w:t>
      </w:r>
      <w:r w:rsidR="00984712" w:rsidRPr="004200D5">
        <w:rPr>
          <w:rFonts w:cs="Times New Roman"/>
        </w:rPr>
        <w:t xml:space="preserve"> </w:t>
      </w:r>
      <w:r w:rsidR="00B705C4" w:rsidRPr="004200D5">
        <w:rPr>
          <w:rFonts w:cs="Times New Roman"/>
        </w:rPr>
        <w:t xml:space="preserve">provide </w:t>
      </w:r>
      <w:r w:rsidR="00984712" w:rsidRPr="004200D5">
        <w:rPr>
          <w:rFonts w:cs="Times New Roman"/>
        </w:rPr>
        <w:t xml:space="preserve">security of supply of liquefied natural gas (LNG) and alleviate future domestic gas market shortfalls. </w:t>
      </w:r>
    </w:p>
    <w:p w14:paraId="6ED91EE6" w14:textId="77777777" w:rsidR="00984712" w:rsidRPr="0085646A" w:rsidRDefault="006B2BD8" w:rsidP="0085646A">
      <w:pPr>
        <w:keepNext/>
        <w:pageBreakBefore/>
        <w:jc w:val="right"/>
        <w:rPr>
          <w:rFonts w:cs="Times New Roman"/>
          <w:b/>
          <w:u w:val="single"/>
          <w:lang w:eastAsia="en-AU"/>
        </w:rPr>
      </w:pPr>
      <w:r w:rsidRPr="0085646A">
        <w:rPr>
          <w:rFonts w:cs="Times New Roman"/>
          <w:b/>
          <w:u w:val="single"/>
          <w:lang w:eastAsia="en-AU"/>
        </w:rPr>
        <w:lastRenderedPageBreak/>
        <w:t>ATTACHMENT B</w:t>
      </w:r>
    </w:p>
    <w:p w14:paraId="1A835C09" w14:textId="77777777" w:rsidR="00D16ACF" w:rsidRPr="0085646A" w:rsidRDefault="00D16ACF" w:rsidP="002B2F52">
      <w:pPr>
        <w:jc w:val="center"/>
        <w:rPr>
          <w:rFonts w:cs="Times New Roman"/>
          <w:b/>
          <w:sz w:val="28"/>
          <w:szCs w:val="28"/>
        </w:rPr>
      </w:pPr>
      <w:r w:rsidRPr="0085646A">
        <w:rPr>
          <w:rFonts w:cs="Times New Roman"/>
          <w:b/>
          <w:sz w:val="28"/>
          <w:szCs w:val="28"/>
        </w:rPr>
        <w:t>Statement of Compatibility with Human Rights</w:t>
      </w:r>
    </w:p>
    <w:p w14:paraId="3C6E9020" w14:textId="77777777" w:rsidR="00D16ACF" w:rsidRPr="004200D5" w:rsidRDefault="00D16ACF" w:rsidP="002B2F52">
      <w:pPr>
        <w:jc w:val="center"/>
        <w:rPr>
          <w:rFonts w:cs="Times New Roman"/>
        </w:rPr>
      </w:pPr>
      <w:r w:rsidRPr="004200D5">
        <w:rPr>
          <w:rFonts w:cs="Times New Roman"/>
          <w:i/>
          <w:iCs/>
        </w:rPr>
        <w:t>Prepared in accordance with Part 3 of the Human Rights (Parliamentary Scrutiny) Act 2011</w:t>
      </w:r>
    </w:p>
    <w:p w14:paraId="789BE0B5" w14:textId="77777777" w:rsidR="00D16ACF" w:rsidRPr="0085646A" w:rsidRDefault="00D16ACF" w:rsidP="002B2F52">
      <w:pPr>
        <w:jc w:val="center"/>
        <w:rPr>
          <w:rFonts w:cs="Times New Roman"/>
          <w:b/>
          <w:bCs/>
        </w:rPr>
      </w:pPr>
      <w:r w:rsidRPr="0085646A">
        <w:rPr>
          <w:rFonts w:cs="Times New Roman"/>
          <w:b/>
          <w:bCs/>
        </w:rPr>
        <w:t>Customs (Prohibited Exports) Amendment (Liquefied Natural Gas) Regulations 2022</w:t>
      </w:r>
    </w:p>
    <w:p w14:paraId="0F086BBB" w14:textId="77777777" w:rsidR="00D16ACF" w:rsidRPr="004200D5" w:rsidRDefault="00D16ACF" w:rsidP="002B2F52">
      <w:pPr>
        <w:jc w:val="center"/>
        <w:rPr>
          <w:rFonts w:cs="Times New Roman"/>
        </w:rPr>
      </w:pPr>
      <w:r w:rsidRPr="004200D5">
        <w:rPr>
          <w:rFonts w:cs="Times New Roman"/>
        </w:rPr>
        <w:t xml:space="preserve">This Disallowable Legislative Instrument is compatible with the human rights and freedoms recognised or declared in the international instruments listed in section 3 of the </w:t>
      </w:r>
      <w:r w:rsidRPr="004200D5">
        <w:rPr>
          <w:rFonts w:cs="Times New Roman"/>
          <w:i/>
        </w:rPr>
        <w:t>Human Rights (Parliamentary Scrutiny) Act 2011</w:t>
      </w:r>
      <w:r w:rsidRPr="004200D5">
        <w:rPr>
          <w:rFonts w:cs="Times New Roman"/>
        </w:rPr>
        <w:t>.</w:t>
      </w:r>
    </w:p>
    <w:p w14:paraId="51198EAB" w14:textId="77777777" w:rsidR="00D16ACF" w:rsidRPr="0085646A" w:rsidRDefault="00D16ACF" w:rsidP="002B2F52">
      <w:pPr>
        <w:rPr>
          <w:rFonts w:cs="Times New Roman"/>
          <w:b/>
          <w:bCs/>
        </w:rPr>
      </w:pPr>
      <w:r w:rsidRPr="0085646A">
        <w:rPr>
          <w:rFonts w:cs="Times New Roman"/>
          <w:b/>
          <w:bCs/>
        </w:rPr>
        <w:t>Overview of the Legislative Instrument</w:t>
      </w:r>
    </w:p>
    <w:p w14:paraId="07F3755A" w14:textId="57828D50" w:rsidR="00D648A2" w:rsidRPr="00D648A2" w:rsidRDefault="00D648A2" w:rsidP="002B2F52">
      <w:pPr>
        <w:rPr>
          <w:rFonts w:cs="Times New Roman"/>
        </w:rPr>
      </w:pPr>
      <w:r w:rsidRPr="00D648A2">
        <w:rPr>
          <w:rFonts w:cs="Times New Roman"/>
        </w:rPr>
        <w:t xml:space="preserve">The </w:t>
      </w:r>
      <w:r w:rsidRPr="00FC0239">
        <w:rPr>
          <w:rFonts w:cs="Times New Roman"/>
          <w:i/>
        </w:rPr>
        <w:t>Customs (Prohibited Exports) Regulations 1958</w:t>
      </w:r>
      <w:r w:rsidRPr="00D648A2">
        <w:rPr>
          <w:rFonts w:cs="Times New Roman"/>
        </w:rPr>
        <w:t xml:space="preserve"> (the PE Regulations) control the exportation of goods by prohibiting exportation absolutely, or by making lawful exportation subject to a permission or licence. Division 6 of the PE Regulations provides a framework, known as the Australian Domestic Gas Security Mechanism (ADGSM),</w:t>
      </w:r>
      <w:r>
        <w:rPr>
          <w:rFonts w:cs="Times New Roman"/>
        </w:rPr>
        <w:t xml:space="preserve"> for the Resources Minister to:</w:t>
      </w:r>
    </w:p>
    <w:p w14:paraId="21E9A9AE" w14:textId="77777777" w:rsidR="00D648A2" w:rsidRPr="00D648A2" w:rsidRDefault="00D648A2" w:rsidP="002B2F52">
      <w:pPr>
        <w:pStyle w:val="ListParagraph"/>
        <w:numPr>
          <w:ilvl w:val="0"/>
          <w:numId w:val="4"/>
        </w:numPr>
        <w:rPr>
          <w:rFonts w:cs="Times New Roman"/>
        </w:rPr>
      </w:pPr>
      <w:r w:rsidRPr="00D648A2">
        <w:rPr>
          <w:rFonts w:cs="Times New Roman"/>
        </w:rPr>
        <w:t xml:space="preserve">prohibit the export of liquefied natural gas (LNG) in periods where there is a reasonable prospect of a gas supply shortfall in the domestic market, and </w:t>
      </w:r>
    </w:p>
    <w:p w14:paraId="1C1F4397" w14:textId="77777777" w:rsidR="00D648A2" w:rsidRPr="00D648A2" w:rsidRDefault="00D648A2" w:rsidP="002B2F52">
      <w:pPr>
        <w:pStyle w:val="ListParagraph"/>
        <w:numPr>
          <w:ilvl w:val="0"/>
          <w:numId w:val="4"/>
        </w:numPr>
        <w:rPr>
          <w:rFonts w:cs="Times New Roman"/>
        </w:rPr>
      </w:pPr>
      <w:proofErr w:type="gramStart"/>
      <w:r w:rsidRPr="00D648A2">
        <w:rPr>
          <w:rFonts w:cs="Times New Roman"/>
        </w:rPr>
        <w:t>grant</w:t>
      </w:r>
      <w:proofErr w:type="gramEnd"/>
      <w:r w:rsidRPr="00D648A2">
        <w:rPr>
          <w:rFonts w:cs="Times New Roman"/>
        </w:rPr>
        <w:t xml:space="preserve"> permissions to LNG exporters to export LNG over such periods. </w:t>
      </w:r>
    </w:p>
    <w:p w14:paraId="7670C75A" w14:textId="77777777" w:rsidR="00D648A2" w:rsidRPr="00D648A2" w:rsidRDefault="00D648A2" w:rsidP="002B2F52">
      <w:pPr>
        <w:rPr>
          <w:rFonts w:cs="Times New Roman"/>
        </w:rPr>
      </w:pPr>
      <w:r w:rsidRPr="00D648A2">
        <w:rPr>
          <w:rFonts w:cs="Times New Roman"/>
        </w:rPr>
        <w:t>The ADGSM is a framework in the PE Regulations for restrictions on the export of LNG from LNG projects where the Resources Minister has determined there is a reasonable prospect of a supply shortage in the domestic market. When the Resources Minister makes a legislative instrument invoking the framework, the export of LNG requires a permission from the Resources Minister. The permission may have conditions attached with which the holder must comply, such as the annual volume of LNG that can be exported. The volume of LNG exporters are allowed to export will take into account expected market needs, and factors driving any shortfall including the extent to which LNG projects are contributing to such an outlook.</w:t>
      </w:r>
    </w:p>
    <w:p w14:paraId="5F9CBD2E" w14:textId="77777777" w:rsidR="00D648A2" w:rsidRPr="00D648A2" w:rsidRDefault="00D648A2" w:rsidP="002B2F52">
      <w:pPr>
        <w:rPr>
          <w:rFonts w:cs="Times New Roman"/>
        </w:rPr>
      </w:pPr>
      <w:r w:rsidRPr="00D648A2">
        <w:rPr>
          <w:rFonts w:cs="Times New Roman"/>
        </w:rPr>
        <w:t xml:space="preserve">The purpose of the </w:t>
      </w:r>
      <w:r w:rsidRPr="0041580B">
        <w:rPr>
          <w:rFonts w:cs="Times New Roman"/>
          <w:i/>
        </w:rPr>
        <w:t>Customs (Prohibited Exports) Amendment (Liquefied Natural Gas) Regulations 2022</w:t>
      </w:r>
      <w:r w:rsidRPr="00D648A2">
        <w:rPr>
          <w:rFonts w:cs="Times New Roman"/>
        </w:rPr>
        <w:t xml:space="preserve"> is to amend the PE Regulations to extend the operation of the ADGSM to 1 January 2030. This Disallowable Legislative Instrument amends the PE Regulations to change the repeal date of Division 6 from 1 January 2023 to 1 January 2030, and requires that the Resources Minister must cause a review of the operation to be undertaken in 2025 (previously 2020).</w:t>
      </w:r>
    </w:p>
    <w:p w14:paraId="1B1286B9" w14:textId="77777777" w:rsidR="00D648A2" w:rsidRPr="00D648A2" w:rsidRDefault="00D648A2" w:rsidP="002B2F52">
      <w:pPr>
        <w:rPr>
          <w:rFonts w:cs="Times New Roman"/>
        </w:rPr>
      </w:pPr>
      <w:r w:rsidRPr="00D648A2">
        <w:rPr>
          <w:rFonts w:cs="Times New Roman"/>
        </w:rPr>
        <w:t xml:space="preserve">The ADGSM was inserted with a limited duration into the PE Regulations by the Customs (Prohibited Exports) Amendment (Liquefied Natural Gas) Regulations 2017. The ADGSM is currently due to sunset from the PE Regulations on 1 January 2023. The ADGSM was reviewed and the review report was published in 2020. The report recommended retaining the ADGSM until its scheduled sunsetting in 2023. </w:t>
      </w:r>
    </w:p>
    <w:p w14:paraId="30C72819" w14:textId="77777777" w:rsidR="00D648A2" w:rsidRPr="00D648A2" w:rsidRDefault="00D648A2" w:rsidP="002B2F52">
      <w:pPr>
        <w:rPr>
          <w:rFonts w:cs="Times New Roman"/>
        </w:rPr>
      </w:pPr>
      <w:r w:rsidRPr="00D648A2">
        <w:rPr>
          <w:rFonts w:cs="Times New Roman"/>
        </w:rPr>
        <w:t>On 1 August 2022, the Australian Competition and Consumer Commission’s (ACCC) July 2022 Gas Inquiry Interim Report was released. The report finds the outlook for the east coast gas market has significantly worsened, forecasting a shortfall of 56 PJ in 2023. To protect energy security on the east coast, the ACCC has recommended the Minister for Resources commence the process to declare 2023 a shortfall year under the PE Regulations. The ADGSM extension is required for this to occur.</w:t>
      </w:r>
    </w:p>
    <w:p w14:paraId="635A0618" w14:textId="77777777" w:rsidR="00D648A2" w:rsidRPr="00D648A2" w:rsidRDefault="00D648A2" w:rsidP="002B2F52">
      <w:pPr>
        <w:rPr>
          <w:rFonts w:cs="Times New Roman"/>
        </w:rPr>
      </w:pPr>
      <w:r w:rsidRPr="00D648A2">
        <w:rPr>
          <w:rFonts w:cs="Times New Roman"/>
        </w:rPr>
        <w:t>The ADGSM ensures that there is a sufficient supply of gas to meet needs of Australian consumers, including households and industry, by requiring, if necessary, LNG exporters which are drawing gas from domestic market to limit exports or find offsetting sources of new gas.</w:t>
      </w:r>
    </w:p>
    <w:p w14:paraId="1B0D66EF" w14:textId="77777777" w:rsidR="002F11EB" w:rsidRDefault="002F11EB">
      <w:pPr>
        <w:rPr>
          <w:rFonts w:cs="Times New Roman"/>
          <w:b/>
          <w:bCs/>
        </w:rPr>
      </w:pPr>
      <w:r>
        <w:rPr>
          <w:rFonts w:cs="Times New Roman"/>
          <w:b/>
          <w:bCs/>
        </w:rPr>
        <w:br w:type="page"/>
      </w:r>
    </w:p>
    <w:p w14:paraId="5C1084BE" w14:textId="1920D162" w:rsidR="00D16ACF" w:rsidRPr="0085646A" w:rsidRDefault="00D16ACF" w:rsidP="002B2F52">
      <w:pPr>
        <w:jc w:val="center"/>
        <w:rPr>
          <w:rFonts w:cs="Times New Roman"/>
          <w:b/>
          <w:bCs/>
        </w:rPr>
      </w:pPr>
      <w:bookmarkStart w:id="0" w:name="_GoBack"/>
      <w:bookmarkEnd w:id="0"/>
      <w:r w:rsidRPr="0085646A">
        <w:rPr>
          <w:rFonts w:cs="Times New Roman"/>
          <w:b/>
          <w:bCs/>
        </w:rPr>
        <w:lastRenderedPageBreak/>
        <w:t>Human rights implications</w:t>
      </w:r>
    </w:p>
    <w:p w14:paraId="00C14225" w14:textId="518719B8" w:rsidR="00D16ACF" w:rsidRPr="004200D5" w:rsidRDefault="00D16ACF" w:rsidP="002B2F52">
      <w:pPr>
        <w:jc w:val="center"/>
        <w:rPr>
          <w:rFonts w:cs="Times New Roman"/>
        </w:rPr>
      </w:pPr>
      <w:r w:rsidRPr="004200D5">
        <w:rPr>
          <w:rFonts w:cs="Times New Roman"/>
        </w:rPr>
        <w:t>This Disallowable Legislative Instrument does not engage any of the applicable rights or freedoms.</w:t>
      </w:r>
    </w:p>
    <w:p w14:paraId="1113461C" w14:textId="77777777" w:rsidR="00D16ACF" w:rsidRPr="0085646A" w:rsidRDefault="00D16ACF" w:rsidP="002B2F52">
      <w:pPr>
        <w:jc w:val="center"/>
        <w:rPr>
          <w:rFonts w:cs="Times New Roman"/>
          <w:b/>
          <w:bCs/>
        </w:rPr>
      </w:pPr>
      <w:r w:rsidRPr="0085646A">
        <w:rPr>
          <w:rFonts w:cs="Times New Roman"/>
          <w:b/>
          <w:bCs/>
        </w:rPr>
        <w:t>Conclusion</w:t>
      </w:r>
    </w:p>
    <w:p w14:paraId="2B754A49" w14:textId="77777777" w:rsidR="00D16ACF" w:rsidRPr="004200D5" w:rsidRDefault="00D16ACF" w:rsidP="002B2F52">
      <w:pPr>
        <w:jc w:val="center"/>
        <w:rPr>
          <w:rFonts w:cs="Times New Roman"/>
        </w:rPr>
      </w:pPr>
      <w:r w:rsidRPr="004200D5">
        <w:rPr>
          <w:rFonts w:cs="Times New Roman"/>
        </w:rPr>
        <w:t>This Disallowable Legislative Instrument is compatible with human rights as it does not raise any human rights issues.</w:t>
      </w:r>
    </w:p>
    <w:p w14:paraId="4DAF94A5" w14:textId="77777777" w:rsidR="00D16ACF" w:rsidRPr="0085646A" w:rsidRDefault="00D16ACF" w:rsidP="002B2F52">
      <w:pPr>
        <w:jc w:val="center"/>
        <w:rPr>
          <w:rFonts w:cs="Times New Roman"/>
          <w:b/>
          <w:bCs/>
        </w:rPr>
      </w:pPr>
      <w:r w:rsidRPr="0085646A">
        <w:rPr>
          <w:rFonts w:cs="Times New Roman"/>
          <w:b/>
          <w:bCs/>
        </w:rPr>
        <w:t>The Hon Clare O’Neil MP</w:t>
      </w:r>
    </w:p>
    <w:p w14:paraId="63E65006" w14:textId="77777777" w:rsidR="003E10FA" w:rsidRPr="004200D5" w:rsidRDefault="00D16ACF" w:rsidP="002B2F52">
      <w:pPr>
        <w:jc w:val="center"/>
        <w:rPr>
          <w:rFonts w:cs="Times New Roman"/>
          <w:lang w:eastAsia="en-AU"/>
        </w:rPr>
      </w:pPr>
      <w:r w:rsidRPr="0085646A">
        <w:rPr>
          <w:rFonts w:cs="Times New Roman"/>
          <w:b/>
          <w:bCs/>
        </w:rPr>
        <w:t>Minister for Home Affairs</w:t>
      </w:r>
    </w:p>
    <w:sectPr w:rsidR="003E10FA" w:rsidRPr="00420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307AB"/>
    <w:multiLevelType w:val="hybridMultilevel"/>
    <w:tmpl w:val="D576A3B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hint="default"/>
      </w:rPr>
    </w:lvl>
    <w:lvl w:ilvl="8" w:tplc="0C090005">
      <w:start w:val="1"/>
      <w:numFmt w:val="bullet"/>
      <w:lvlText w:val=""/>
      <w:lvlJc w:val="left"/>
      <w:pPr>
        <w:ind w:left="6540" w:hanging="360"/>
      </w:pPr>
      <w:rPr>
        <w:rFonts w:ascii="Wingdings" w:hAnsi="Wingdings" w:hint="default"/>
      </w:rPr>
    </w:lvl>
  </w:abstractNum>
  <w:abstractNum w:abstractNumId="1" w15:restartNumberingAfterBreak="0">
    <w:nsid w:val="3F6548FE"/>
    <w:multiLevelType w:val="hybridMultilevel"/>
    <w:tmpl w:val="F6FCA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736EBA"/>
    <w:multiLevelType w:val="hybridMultilevel"/>
    <w:tmpl w:val="2AC04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77"/>
    <w:rsid w:val="00007F0D"/>
    <w:rsid w:val="00013688"/>
    <w:rsid w:val="00016C8B"/>
    <w:rsid w:val="000340BC"/>
    <w:rsid w:val="00064D36"/>
    <w:rsid w:val="000748DE"/>
    <w:rsid w:val="00085B47"/>
    <w:rsid w:val="000902B5"/>
    <w:rsid w:val="000D788E"/>
    <w:rsid w:val="0014029D"/>
    <w:rsid w:val="00152D53"/>
    <w:rsid w:val="00164DC7"/>
    <w:rsid w:val="001666DF"/>
    <w:rsid w:val="00175996"/>
    <w:rsid w:val="00180A29"/>
    <w:rsid w:val="001911FC"/>
    <w:rsid w:val="001A7252"/>
    <w:rsid w:val="001B0398"/>
    <w:rsid w:val="001B211F"/>
    <w:rsid w:val="001D6B4B"/>
    <w:rsid w:val="001D6B79"/>
    <w:rsid w:val="001D727D"/>
    <w:rsid w:val="002211EC"/>
    <w:rsid w:val="00232E61"/>
    <w:rsid w:val="00266393"/>
    <w:rsid w:val="00295C62"/>
    <w:rsid w:val="002A41C9"/>
    <w:rsid w:val="002A736F"/>
    <w:rsid w:val="002B1F51"/>
    <w:rsid w:val="002B2F52"/>
    <w:rsid w:val="002C5177"/>
    <w:rsid w:val="002D0F64"/>
    <w:rsid w:val="002F0933"/>
    <w:rsid w:val="002F11EB"/>
    <w:rsid w:val="002F55E3"/>
    <w:rsid w:val="003018FA"/>
    <w:rsid w:val="003039C2"/>
    <w:rsid w:val="0030589E"/>
    <w:rsid w:val="00312438"/>
    <w:rsid w:val="00314F00"/>
    <w:rsid w:val="00326C7D"/>
    <w:rsid w:val="00335CB2"/>
    <w:rsid w:val="00340DE6"/>
    <w:rsid w:val="0034581A"/>
    <w:rsid w:val="00384019"/>
    <w:rsid w:val="00396BF8"/>
    <w:rsid w:val="003D175A"/>
    <w:rsid w:val="003E10FA"/>
    <w:rsid w:val="003E4332"/>
    <w:rsid w:val="003E740B"/>
    <w:rsid w:val="003F1896"/>
    <w:rsid w:val="003F228B"/>
    <w:rsid w:val="00403394"/>
    <w:rsid w:val="00404AE3"/>
    <w:rsid w:val="00410315"/>
    <w:rsid w:val="0041580B"/>
    <w:rsid w:val="004200D5"/>
    <w:rsid w:val="0042466A"/>
    <w:rsid w:val="0042529E"/>
    <w:rsid w:val="004B7DA9"/>
    <w:rsid w:val="004C6495"/>
    <w:rsid w:val="004D2106"/>
    <w:rsid w:val="004D452F"/>
    <w:rsid w:val="004F5508"/>
    <w:rsid w:val="005106CB"/>
    <w:rsid w:val="0053265A"/>
    <w:rsid w:val="00546915"/>
    <w:rsid w:val="00547C85"/>
    <w:rsid w:val="00561F18"/>
    <w:rsid w:val="00572613"/>
    <w:rsid w:val="006018BC"/>
    <w:rsid w:val="0060693E"/>
    <w:rsid w:val="0062592F"/>
    <w:rsid w:val="0063416F"/>
    <w:rsid w:val="00685974"/>
    <w:rsid w:val="00696231"/>
    <w:rsid w:val="0069666E"/>
    <w:rsid w:val="006B2BD8"/>
    <w:rsid w:val="006D5E9A"/>
    <w:rsid w:val="006F2C77"/>
    <w:rsid w:val="007033F5"/>
    <w:rsid w:val="00712146"/>
    <w:rsid w:val="00764768"/>
    <w:rsid w:val="007811EF"/>
    <w:rsid w:val="00786576"/>
    <w:rsid w:val="00796AAA"/>
    <w:rsid w:val="007A2802"/>
    <w:rsid w:val="00816875"/>
    <w:rsid w:val="00826A8E"/>
    <w:rsid w:val="0085646A"/>
    <w:rsid w:val="00871777"/>
    <w:rsid w:val="00872991"/>
    <w:rsid w:val="00886ADE"/>
    <w:rsid w:val="009167AF"/>
    <w:rsid w:val="00976081"/>
    <w:rsid w:val="00984712"/>
    <w:rsid w:val="009926EC"/>
    <w:rsid w:val="009A5E00"/>
    <w:rsid w:val="009F2158"/>
    <w:rsid w:val="009F70F2"/>
    <w:rsid w:val="00A0196A"/>
    <w:rsid w:val="00A147E9"/>
    <w:rsid w:val="00A177A8"/>
    <w:rsid w:val="00A712E6"/>
    <w:rsid w:val="00A85F73"/>
    <w:rsid w:val="00B005B5"/>
    <w:rsid w:val="00B14167"/>
    <w:rsid w:val="00B219F0"/>
    <w:rsid w:val="00B57766"/>
    <w:rsid w:val="00B705C4"/>
    <w:rsid w:val="00BA0BD7"/>
    <w:rsid w:val="00BA58A9"/>
    <w:rsid w:val="00BB37AF"/>
    <w:rsid w:val="00BE50F0"/>
    <w:rsid w:val="00C46D3C"/>
    <w:rsid w:val="00C52121"/>
    <w:rsid w:val="00CA41A8"/>
    <w:rsid w:val="00CB5A00"/>
    <w:rsid w:val="00D013C8"/>
    <w:rsid w:val="00D16ACF"/>
    <w:rsid w:val="00D300D4"/>
    <w:rsid w:val="00D507AF"/>
    <w:rsid w:val="00D5208B"/>
    <w:rsid w:val="00D648A2"/>
    <w:rsid w:val="00D67FC0"/>
    <w:rsid w:val="00D717FA"/>
    <w:rsid w:val="00DD609D"/>
    <w:rsid w:val="00DF481B"/>
    <w:rsid w:val="00E22551"/>
    <w:rsid w:val="00E33163"/>
    <w:rsid w:val="00E47CCA"/>
    <w:rsid w:val="00E850CD"/>
    <w:rsid w:val="00EC170F"/>
    <w:rsid w:val="00EC4A7C"/>
    <w:rsid w:val="00EE57BB"/>
    <w:rsid w:val="00F035DB"/>
    <w:rsid w:val="00F60BF0"/>
    <w:rsid w:val="00F90A23"/>
    <w:rsid w:val="00FC0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1309"/>
  <w15:chartTrackingRefBased/>
  <w15:docId w15:val="{E283247D-281E-4276-B630-1A4E8610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06"/>
    <w:rPr>
      <w:rFonts w:ascii="Times New Roman" w:hAnsi="Times New Roman"/>
    </w:rPr>
  </w:style>
  <w:style w:type="paragraph" w:styleId="Heading2">
    <w:name w:val="heading 2"/>
    <w:basedOn w:val="Normal"/>
    <w:next w:val="Normal"/>
    <w:link w:val="Heading2Char"/>
    <w:uiPriority w:val="99"/>
    <w:qFormat/>
    <w:rsid w:val="00D16ACF"/>
    <w:pPr>
      <w:keepNext/>
      <w:keepLines/>
      <w:spacing w:before="40" w:after="0" w:line="276" w:lineRule="auto"/>
      <w:outlineLvl w:val="1"/>
    </w:pPr>
    <w:rPr>
      <w:rFonts w:ascii="Calibri Light" w:eastAsiaTheme="minorEastAsia"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4768"/>
    <w:rPr>
      <w:sz w:val="16"/>
      <w:szCs w:val="16"/>
    </w:rPr>
  </w:style>
  <w:style w:type="paragraph" w:styleId="CommentText">
    <w:name w:val="annotation text"/>
    <w:basedOn w:val="Normal"/>
    <w:link w:val="CommentTextChar"/>
    <w:uiPriority w:val="99"/>
    <w:semiHidden/>
    <w:unhideWhenUsed/>
    <w:rsid w:val="00764768"/>
    <w:pPr>
      <w:spacing w:line="240" w:lineRule="auto"/>
    </w:pPr>
    <w:rPr>
      <w:sz w:val="20"/>
      <w:szCs w:val="20"/>
    </w:rPr>
  </w:style>
  <w:style w:type="character" w:customStyle="1" w:styleId="CommentTextChar">
    <w:name w:val="Comment Text Char"/>
    <w:basedOn w:val="DefaultParagraphFont"/>
    <w:link w:val="CommentText"/>
    <w:uiPriority w:val="99"/>
    <w:semiHidden/>
    <w:rsid w:val="00764768"/>
    <w:rPr>
      <w:sz w:val="20"/>
      <w:szCs w:val="20"/>
    </w:rPr>
  </w:style>
  <w:style w:type="paragraph" w:styleId="CommentSubject">
    <w:name w:val="annotation subject"/>
    <w:basedOn w:val="CommentText"/>
    <w:next w:val="CommentText"/>
    <w:link w:val="CommentSubjectChar"/>
    <w:uiPriority w:val="99"/>
    <w:semiHidden/>
    <w:unhideWhenUsed/>
    <w:rsid w:val="00764768"/>
    <w:rPr>
      <w:b/>
      <w:bCs/>
    </w:rPr>
  </w:style>
  <w:style w:type="character" w:customStyle="1" w:styleId="CommentSubjectChar">
    <w:name w:val="Comment Subject Char"/>
    <w:basedOn w:val="CommentTextChar"/>
    <w:link w:val="CommentSubject"/>
    <w:uiPriority w:val="99"/>
    <w:semiHidden/>
    <w:rsid w:val="00764768"/>
    <w:rPr>
      <w:b/>
      <w:bCs/>
      <w:sz w:val="20"/>
      <w:szCs w:val="20"/>
    </w:rPr>
  </w:style>
  <w:style w:type="paragraph" w:styleId="BalloonText">
    <w:name w:val="Balloon Text"/>
    <w:basedOn w:val="Normal"/>
    <w:link w:val="BalloonTextChar"/>
    <w:uiPriority w:val="99"/>
    <w:semiHidden/>
    <w:unhideWhenUsed/>
    <w:rsid w:val="00764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768"/>
    <w:rPr>
      <w:rFonts w:ascii="Segoe UI" w:hAnsi="Segoe UI" w:cs="Segoe UI"/>
      <w:sz w:val="18"/>
      <w:szCs w:val="18"/>
    </w:rPr>
  </w:style>
  <w:style w:type="character" w:styleId="Hyperlink">
    <w:name w:val="Hyperlink"/>
    <w:basedOn w:val="DefaultParagraphFont"/>
    <w:uiPriority w:val="99"/>
    <w:semiHidden/>
    <w:unhideWhenUsed/>
    <w:rsid w:val="002B1F51"/>
    <w:rPr>
      <w:color w:val="0000FF"/>
      <w:u w:val="single"/>
    </w:rPr>
  </w:style>
  <w:style w:type="paragraph" w:customStyle="1" w:styleId="Default">
    <w:name w:val="Default"/>
    <w:rsid w:val="001D6B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9"/>
    <w:rsid w:val="00D16ACF"/>
    <w:rPr>
      <w:rFonts w:ascii="Calibri Light" w:eastAsiaTheme="minorEastAsia" w:hAnsi="Calibri Light" w:cs="Calibri Light"/>
      <w:color w:val="2E74B5"/>
      <w:sz w:val="26"/>
      <w:szCs w:val="26"/>
    </w:rPr>
  </w:style>
  <w:style w:type="paragraph" w:styleId="ListParagraph">
    <w:name w:val="List Paragraph"/>
    <w:aliases w:val="CAB - List Bullet,1 heading,Bullet List,Bullet point,Dot point 1.5 line spacing,FooterText,L,List Paragraph - bullets,List Paragraph1,List Paragraph11,List Paragraph2,NFP GP Bulleted List,Paragraphe de liste1,Recommendation,numbered,列出段落"/>
    <w:basedOn w:val="Normal"/>
    <w:uiPriority w:val="99"/>
    <w:qFormat/>
    <w:rsid w:val="009F70F2"/>
    <w:pPr>
      <w:spacing w:after="200" w:line="276" w:lineRule="auto"/>
      <w:ind w:left="720"/>
    </w:pPr>
    <w:rPr>
      <w:rFonts w:eastAsiaTheme="minorEastAsia" w:cs="Calibri"/>
    </w:rPr>
  </w:style>
  <w:style w:type="paragraph" w:styleId="Revision">
    <w:name w:val="Revision"/>
    <w:hidden/>
    <w:uiPriority w:val="99"/>
    <w:semiHidden/>
    <w:rsid w:val="004D210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DHIEU</dc:creator>
  <cp:keywords/>
  <dc:description/>
  <cp:lastModifiedBy>Legal </cp:lastModifiedBy>
  <cp:revision>8</cp:revision>
  <dcterms:created xsi:type="dcterms:W3CDTF">2022-08-03T06:40:00Z</dcterms:created>
  <dcterms:modified xsi:type="dcterms:W3CDTF">2022-08-18T03:19:00Z</dcterms:modified>
</cp:coreProperties>
</file>