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32895AEA" w:rsidR="00554826" w:rsidRPr="006823B9" w:rsidRDefault="00127CDD" w:rsidP="00554826">
      <w:pPr>
        <w:pStyle w:val="ShortT"/>
      </w:pPr>
      <w:r w:rsidRPr="00127CDD">
        <w:t>Health Insurance (Section 3C General Medical – Expansion of GP and Allied Health Mental Health Services)</w:t>
      </w:r>
      <w:r>
        <w:t xml:space="preserve"> Amendment (Fee Alignment)</w:t>
      </w:r>
      <w:r w:rsidRPr="00127CDD">
        <w:t xml:space="preserve"> Determination 202</w:t>
      </w:r>
      <w:r>
        <w:t>2</w:t>
      </w:r>
    </w:p>
    <w:p w14:paraId="367A4A2F" w14:textId="399A76D1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64B35" w:rsidRPr="00864B35">
        <w:rPr>
          <w:szCs w:val="22"/>
        </w:rPr>
        <w:t>Travis Haslam</w:t>
      </w:r>
      <w:r w:rsidRPr="00864B35">
        <w:rPr>
          <w:szCs w:val="22"/>
        </w:rPr>
        <w:t xml:space="preserve">, </w:t>
      </w:r>
      <w:r w:rsidR="00FF4480">
        <w:rPr>
          <w:szCs w:val="22"/>
        </w:rPr>
        <w:t xml:space="preserve">delegate of the </w:t>
      </w:r>
      <w:r w:rsidR="009841B4">
        <w:rPr>
          <w:szCs w:val="22"/>
        </w:rPr>
        <w:t>Minister for Health</w:t>
      </w:r>
      <w:r w:rsidR="00FE7510">
        <w:rPr>
          <w:szCs w:val="22"/>
        </w:rPr>
        <w:t xml:space="preserve"> and Aged Care</w:t>
      </w:r>
      <w:r w:rsidR="009841B4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841B4">
        <w:rPr>
          <w:szCs w:val="22"/>
        </w:rPr>
        <w:t>Determination</w:t>
      </w:r>
      <w:r w:rsidRPr="00DA182D">
        <w:rPr>
          <w:szCs w:val="22"/>
        </w:rPr>
        <w:t>.</w:t>
      </w:r>
    </w:p>
    <w:p w14:paraId="3483521B" w14:textId="3342DA38" w:rsidR="001D0F7E" w:rsidRDefault="00554826" w:rsidP="001D0F7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E209E">
        <w:rPr>
          <w:szCs w:val="22"/>
        </w:rPr>
        <w:t xml:space="preserve">18 </w:t>
      </w:r>
      <w:r w:rsidR="00633196">
        <w:rPr>
          <w:szCs w:val="22"/>
        </w:rPr>
        <w:t>August</w:t>
      </w:r>
      <w:r w:rsidR="001D0F7E" w:rsidRPr="00864B35">
        <w:rPr>
          <w:szCs w:val="22"/>
        </w:rPr>
        <w:t xml:space="preserve"> 2022</w:t>
      </w:r>
    </w:p>
    <w:p w14:paraId="7F0057AA" w14:textId="48E59E29" w:rsidR="00304879" w:rsidRDefault="000B5704" w:rsidP="000B5704">
      <w:pPr>
        <w:keepNext/>
        <w:tabs>
          <w:tab w:val="left" w:pos="4980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ab/>
      </w:r>
    </w:p>
    <w:p w14:paraId="2BBD2E20" w14:textId="4B300959" w:rsidR="00864B35" w:rsidRPr="001F7155" w:rsidRDefault="00864B35" w:rsidP="00864B3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F7155">
        <w:rPr>
          <w:szCs w:val="22"/>
        </w:rPr>
        <w:t>Travis Haslam</w:t>
      </w:r>
    </w:p>
    <w:p w14:paraId="139F41B1" w14:textId="77777777" w:rsidR="00864B35" w:rsidRPr="001F7155" w:rsidRDefault="00864B35" w:rsidP="00864B35">
      <w:pPr>
        <w:pStyle w:val="SignCoverPageEnd"/>
        <w:ind w:right="91"/>
        <w:rPr>
          <w:sz w:val="22"/>
        </w:rPr>
      </w:pPr>
      <w:r w:rsidRPr="001F7155">
        <w:rPr>
          <w:sz w:val="22"/>
        </w:rPr>
        <w:t>Acting First Assistant Secretary</w:t>
      </w:r>
    </w:p>
    <w:p w14:paraId="5FA7E264" w14:textId="77777777" w:rsidR="00864B35" w:rsidRPr="001F7155" w:rsidRDefault="00864B35" w:rsidP="00864B35">
      <w:pPr>
        <w:pStyle w:val="SignCoverPageEnd"/>
        <w:ind w:right="91"/>
        <w:rPr>
          <w:sz w:val="22"/>
        </w:rPr>
      </w:pPr>
      <w:r w:rsidRPr="001F7155">
        <w:rPr>
          <w:sz w:val="22"/>
        </w:rPr>
        <w:t>Medical Benefits Division</w:t>
      </w:r>
    </w:p>
    <w:p w14:paraId="46A4EDEB" w14:textId="77777777" w:rsidR="00864B35" w:rsidRPr="001F7155" w:rsidRDefault="00864B35" w:rsidP="00864B35">
      <w:pPr>
        <w:pStyle w:val="SignCoverPageEnd"/>
        <w:ind w:right="91"/>
        <w:rPr>
          <w:sz w:val="22"/>
        </w:rPr>
      </w:pPr>
      <w:r w:rsidRPr="001F7155">
        <w:rPr>
          <w:sz w:val="22"/>
        </w:rPr>
        <w:t>Health Resourcing Group</w:t>
      </w:r>
    </w:p>
    <w:p w14:paraId="4048372C" w14:textId="77777777" w:rsidR="00864B35" w:rsidRPr="00B431D4" w:rsidRDefault="00864B35" w:rsidP="00864B35">
      <w:pPr>
        <w:pStyle w:val="SignCoverPageEnd"/>
        <w:ind w:right="91"/>
        <w:rPr>
          <w:sz w:val="22"/>
        </w:rPr>
      </w:pPr>
      <w:r w:rsidRPr="00B431D4">
        <w:rPr>
          <w:sz w:val="22"/>
        </w:rPr>
        <w:t>Department of Health</w:t>
      </w:r>
      <w:r>
        <w:rPr>
          <w:sz w:val="22"/>
        </w:rPr>
        <w:t xml:space="preserve"> and Aged Care</w:t>
      </w:r>
    </w:p>
    <w:p w14:paraId="3FEA61F3" w14:textId="77777777" w:rsidR="001D0F7E" w:rsidRDefault="001D0F7E" w:rsidP="001D0F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945C469" w14:textId="77777777" w:rsidR="001D0F7E" w:rsidRDefault="001D0F7E" w:rsidP="001D0F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D9D515E" w14:textId="77777777" w:rsidR="001D0F7E" w:rsidRDefault="001D0F7E" w:rsidP="001D0F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9B5221" w14:textId="77777777" w:rsidR="00DB476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B4767">
        <w:rPr>
          <w:noProof/>
        </w:rPr>
        <w:t>1  Name</w:t>
      </w:r>
      <w:r w:rsidR="00DB4767">
        <w:rPr>
          <w:noProof/>
        </w:rPr>
        <w:tab/>
      </w:r>
      <w:r w:rsidR="00DB4767">
        <w:rPr>
          <w:noProof/>
        </w:rPr>
        <w:fldChar w:fldCharType="begin"/>
      </w:r>
      <w:r w:rsidR="00DB4767">
        <w:rPr>
          <w:noProof/>
        </w:rPr>
        <w:instrText xml:space="preserve"> PAGEREF _Toc20744772 \h </w:instrText>
      </w:r>
      <w:r w:rsidR="00DB4767">
        <w:rPr>
          <w:noProof/>
        </w:rPr>
      </w:r>
      <w:r w:rsidR="00DB4767">
        <w:rPr>
          <w:noProof/>
        </w:rPr>
        <w:fldChar w:fldCharType="separate"/>
      </w:r>
      <w:r w:rsidR="00DB4767">
        <w:rPr>
          <w:noProof/>
        </w:rPr>
        <w:t>1</w:t>
      </w:r>
      <w:r w:rsidR="00DB4767">
        <w:rPr>
          <w:noProof/>
        </w:rPr>
        <w:fldChar w:fldCharType="end"/>
      </w:r>
    </w:p>
    <w:p w14:paraId="22AA9D3F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5F4AE3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C8A781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3ED8E9" w14:textId="24F95DDC" w:rsidR="000B2694" w:rsidRDefault="000B2694" w:rsidP="000B2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="00EC0818">
        <w:rPr>
          <w:noProof/>
        </w:rPr>
        <w:t xml:space="preserve">1 </w:t>
      </w:r>
      <w:r>
        <w:rPr>
          <w:noProof/>
        </w:rPr>
        <w:t>—</w:t>
      </w:r>
      <w:r w:rsidR="00EC0818">
        <w:rPr>
          <w:noProof/>
        </w:rPr>
        <w:t xml:space="preserve"> Amendments</w:t>
      </w:r>
      <w:r w:rsidRPr="00327C75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7C47471B" w14:textId="5286F1EB" w:rsidR="00351579" w:rsidRDefault="000B2694" w:rsidP="000B2694">
      <w:pPr>
        <w:pStyle w:val="TOC9"/>
        <w:rPr>
          <w:noProof/>
        </w:rPr>
      </w:pPr>
      <w:r>
        <w:rPr>
          <w:noProof/>
        </w:rPr>
        <w:t xml:space="preserve">Health Insurance </w:t>
      </w:r>
      <w:r w:rsidR="00351579">
        <w:rPr>
          <w:noProof/>
        </w:rPr>
        <w:t xml:space="preserve">(Section 3C General Medical </w:t>
      </w:r>
      <w:r w:rsidR="00BC43B4">
        <w:rPr>
          <w:noProof/>
        </w:rPr>
        <w:t xml:space="preserve">- </w:t>
      </w:r>
      <w:r w:rsidR="00351579">
        <w:rPr>
          <w:noProof/>
        </w:rPr>
        <w:t>Expansion of GP and Allied Health</w:t>
      </w:r>
    </w:p>
    <w:p w14:paraId="302FFDE6" w14:textId="6ECA121E" w:rsidR="000B2694" w:rsidRDefault="00351579" w:rsidP="000B2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Mental Health Services) Determination 2020</w:t>
      </w:r>
      <w:r w:rsidR="000B2694" w:rsidRPr="00327C75">
        <w:rPr>
          <w:i w:val="0"/>
          <w:noProof/>
          <w:sz w:val="18"/>
        </w:rPr>
        <w:tab/>
      </w:r>
      <w:r w:rsidR="000B2694">
        <w:rPr>
          <w:i w:val="0"/>
          <w:noProof/>
          <w:sz w:val="18"/>
        </w:rPr>
        <w:t>2</w:t>
      </w:r>
    </w:p>
    <w:p w14:paraId="7CCECCD0" w14:textId="3F5418FE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0867F8FC" w14:textId="0FE4241B" w:rsidR="00F6696E" w:rsidRDefault="00B418CB" w:rsidP="00304879">
      <w:pPr>
        <w:tabs>
          <w:tab w:val="left" w:pos="5230"/>
        </w:tabs>
        <w:outlineLvl w:val="0"/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  <w:r w:rsidR="00304879">
        <w:tab/>
      </w:r>
    </w:p>
    <w:p w14:paraId="17C796F8" w14:textId="77777777" w:rsidR="00554826" w:rsidRPr="00554826" w:rsidRDefault="00554826" w:rsidP="00554826">
      <w:pPr>
        <w:pStyle w:val="ActHead5"/>
      </w:pPr>
      <w:bookmarkStart w:id="0" w:name="_Toc20744772"/>
      <w:r w:rsidRPr="00554826">
        <w:lastRenderedPageBreak/>
        <w:t>1  Name</w:t>
      </w:r>
      <w:bookmarkEnd w:id="0"/>
    </w:p>
    <w:p w14:paraId="5EF75D24" w14:textId="0397DD04" w:rsidR="00554826" w:rsidRPr="0013192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9C2562">
        <w:tab/>
      </w:r>
      <w:r w:rsidRPr="009C2562">
        <w:tab/>
      </w:r>
      <w:r w:rsidRPr="00EB44F1">
        <w:t xml:space="preserve">This instrument is the </w:t>
      </w:r>
      <w:bookmarkStart w:id="1" w:name="BKCheck15B_3"/>
      <w:bookmarkEnd w:id="1"/>
      <w:r w:rsidR="00127CDD" w:rsidRPr="000B5704">
        <w:rPr>
          <w:i/>
          <w:iCs/>
        </w:rPr>
        <w:t>Health Insurance (Section 3C General Medical – Expansion of GP and Allied Health Mental Health Services) Amendment (Fee Alignment) Determination 2022</w:t>
      </w:r>
      <w:r w:rsidR="009D4587" w:rsidRPr="00EB44F1">
        <w:t>.</w:t>
      </w:r>
    </w:p>
    <w:p w14:paraId="52BD1EFF" w14:textId="77777777" w:rsidR="00554826" w:rsidRPr="00554826" w:rsidRDefault="00554826" w:rsidP="00554826">
      <w:pPr>
        <w:pStyle w:val="ActHead5"/>
      </w:pPr>
      <w:bookmarkStart w:id="2" w:name="_Toc20744773"/>
      <w:r w:rsidRPr="00554826">
        <w:t>2  Commencement</w:t>
      </w:r>
      <w:bookmarkEnd w:id="2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7203EE9C" w:rsidR="004940C4" w:rsidRPr="003E73C0" w:rsidRDefault="00B553BB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351579">
              <w:rPr>
                <w:rFonts w:eastAsia="Times New Roman" w:cs="Times New Roman"/>
                <w:sz w:val="20"/>
                <w:szCs w:val="24"/>
                <w:lang w:eastAsia="en-AU"/>
              </w:rPr>
              <w:t>November</w:t>
            </w: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5D5BEF03" w14:textId="77777777" w:rsidR="00EC0818" w:rsidRDefault="004940C4" w:rsidP="00EC0818">
      <w:pPr>
        <w:pStyle w:val="subsection"/>
        <w:tabs>
          <w:tab w:val="left" w:pos="709"/>
        </w:tabs>
        <w:spacing w:before="0"/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50A48F" w14:textId="33ABB56D" w:rsidR="00EC0818" w:rsidRDefault="004940C4" w:rsidP="00EC0818">
      <w:pPr>
        <w:pStyle w:val="subsection"/>
        <w:tabs>
          <w:tab w:val="left" w:pos="709"/>
        </w:tabs>
        <w:spacing w:before="0"/>
        <w:ind w:left="1418" w:hanging="709"/>
        <w:rPr>
          <w:sz w:val="18"/>
          <w:szCs w:val="18"/>
        </w:rPr>
      </w:pP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 xml:space="preserve">This table relates only to the provisions of this instrument as originally made. It will not be </w:t>
      </w:r>
      <w:r w:rsidR="00EC0818">
        <w:rPr>
          <w:sz w:val="18"/>
          <w:szCs w:val="18"/>
        </w:rPr>
        <w:t xml:space="preserve">    </w:t>
      </w:r>
    </w:p>
    <w:p w14:paraId="17141A0C" w14:textId="1F026B99" w:rsidR="004940C4" w:rsidRPr="00835215" w:rsidRDefault="00EC0818" w:rsidP="00EC0818">
      <w:pPr>
        <w:pStyle w:val="subsection"/>
        <w:tabs>
          <w:tab w:val="left" w:pos="709"/>
        </w:tabs>
        <w:spacing w:before="0"/>
        <w:ind w:left="709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4940C4" w:rsidRPr="00835215">
        <w:rPr>
          <w:sz w:val="18"/>
          <w:szCs w:val="18"/>
        </w:rPr>
        <w:t>amended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3" w:name="_Toc20744774"/>
      <w:r w:rsidRPr="00554826">
        <w:t>3  Authority</w:t>
      </w:r>
      <w:bookmarkEnd w:id="3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3C(1)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77777777" w:rsidR="00554826" w:rsidRPr="00554826" w:rsidRDefault="00495AF2" w:rsidP="00554826">
      <w:pPr>
        <w:pStyle w:val="ActHead5"/>
      </w:pPr>
      <w:bookmarkStart w:id="4" w:name="_Toc454781205"/>
      <w:bookmarkStart w:id="5" w:name="_Toc20744775"/>
      <w:r>
        <w:t>4</w:t>
      </w:r>
      <w:r w:rsidR="00554826" w:rsidRPr="00554826">
        <w:t xml:space="preserve">  Schedules</w:t>
      </w:r>
      <w:bookmarkEnd w:id="4"/>
      <w:bookmarkEnd w:id="5"/>
    </w:p>
    <w:p w14:paraId="74E9B58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642B49A5" w:rsidR="00FF4480" w:rsidRPr="006C41DF" w:rsidRDefault="004E1307" w:rsidP="00DB4767">
      <w:pPr>
        <w:pStyle w:val="ActHead5"/>
        <w:rPr>
          <w:rFonts w:ascii="Arial" w:hAnsi="Arial" w:cs="Arial"/>
        </w:rPr>
      </w:pPr>
      <w:bookmarkStart w:id="6" w:name="_Toc20744776"/>
      <w:r w:rsidRPr="006C41DF">
        <w:rPr>
          <w:rFonts w:ascii="Arial" w:hAnsi="Arial" w:cs="Arial"/>
        </w:rPr>
        <w:lastRenderedPageBreak/>
        <w:t xml:space="preserve">Schedule </w:t>
      </w:r>
      <w:r w:rsidR="00EC0818">
        <w:rPr>
          <w:rFonts w:ascii="Arial" w:hAnsi="Arial" w:cs="Arial"/>
        </w:rPr>
        <w:t>1</w:t>
      </w:r>
      <w:r w:rsidR="00304FBF">
        <w:rPr>
          <w:rFonts w:ascii="Arial" w:hAnsi="Arial" w:cs="Arial"/>
        </w:rPr>
        <w:t xml:space="preserve"> </w:t>
      </w:r>
      <w:r w:rsidR="00D6537E" w:rsidRPr="006C41DF">
        <w:rPr>
          <w:rFonts w:ascii="Arial" w:hAnsi="Arial" w:cs="Arial"/>
        </w:rPr>
        <w:t>—</w:t>
      </w:r>
      <w:r w:rsidR="009D4587" w:rsidRPr="006C41DF">
        <w:rPr>
          <w:rFonts w:ascii="Arial" w:hAnsi="Arial" w:cs="Arial"/>
        </w:rPr>
        <w:t xml:space="preserve"> Amendments</w:t>
      </w:r>
      <w:bookmarkEnd w:id="6"/>
      <w:r w:rsidR="00B763B0" w:rsidRPr="006C41DF">
        <w:rPr>
          <w:rFonts w:ascii="Arial" w:hAnsi="Arial" w:cs="Arial"/>
        </w:rPr>
        <w:t xml:space="preserve"> </w:t>
      </w:r>
    </w:p>
    <w:p w14:paraId="0CF4AD55" w14:textId="5CDEF0A1" w:rsidR="00B553BB" w:rsidRPr="00B553BB" w:rsidRDefault="00B553BB" w:rsidP="00B553BB">
      <w:pPr>
        <w:pStyle w:val="itemhead0"/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B553BB">
        <w:rPr>
          <w:rFonts w:ascii="Arial" w:hAnsi="Arial" w:cs="Arial"/>
          <w:b/>
          <w:bCs/>
          <w:i/>
          <w:iCs/>
          <w:color w:val="000000"/>
        </w:rPr>
        <w:t>Health Insurance</w:t>
      </w:r>
      <w:r w:rsidR="00351579">
        <w:rPr>
          <w:rFonts w:ascii="Arial" w:hAnsi="Arial" w:cs="Arial"/>
          <w:b/>
          <w:bCs/>
          <w:i/>
          <w:iCs/>
          <w:color w:val="000000"/>
        </w:rPr>
        <w:t xml:space="preserve"> (Section 3C General Medical – Expansion of GP and Allied Health Mental Health Services) Determination 2020</w:t>
      </w:r>
    </w:p>
    <w:p w14:paraId="21AA563F" w14:textId="362BF2FD" w:rsidR="00B553BB" w:rsidRDefault="00EC0818" w:rsidP="00B553BB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="00304879">
        <w:rPr>
          <w:rFonts w:ascii="Arial" w:hAnsi="Arial" w:cs="Arial"/>
          <w:b/>
          <w:bCs/>
          <w:color w:val="000000"/>
          <w:shd w:val="clear" w:color="auto" w:fill="FFFFFF"/>
        </w:rPr>
        <w:t>ection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51579">
        <w:rPr>
          <w:rFonts w:ascii="Arial" w:hAnsi="Arial" w:cs="Arial"/>
          <w:b/>
          <w:bCs/>
          <w:color w:val="000000"/>
          <w:shd w:val="clear" w:color="auto" w:fill="FFFFFF"/>
        </w:rPr>
        <w:t>11</w:t>
      </w:r>
    </w:p>
    <w:p w14:paraId="09175707" w14:textId="6540D36E" w:rsidR="002D3707" w:rsidRDefault="002D3707" w:rsidP="002D3707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Repeal the </w:t>
      </w:r>
      <w:r w:rsidR="00304879">
        <w:rPr>
          <w:color w:val="000000"/>
          <w:sz w:val="22"/>
          <w:szCs w:val="22"/>
          <w:shd w:val="clear" w:color="auto" w:fill="FFFFFF"/>
        </w:rPr>
        <w:t>section</w:t>
      </w:r>
      <w:r>
        <w:rPr>
          <w:color w:val="000000"/>
          <w:sz w:val="22"/>
          <w:szCs w:val="22"/>
          <w:shd w:val="clear" w:color="auto" w:fill="FFFFFF"/>
        </w:rPr>
        <w:t xml:space="preserve">, substitute: </w:t>
      </w:r>
    </w:p>
    <w:p w14:paraId="1C338EB3" w14:textId="1727F83F" w:rsidR="00FD73B3" w:rsidRDefault="00304879" w:rsidP="00FD73B3">
      <w:pPr>
        <w:shd w:val="clear" w:color="auto" w:fill="FFFFFF"/>
        <w:spacing w:before="180" w:line="240" w:lineRule="auto"/>
        <w:ind w:left="720" w:hanging="360"/>
        <w:rPr>
          <w:rFonts w:eastAsia="Times New Roman" w:cs="Times New Roman"/>
          <w:color w:val="000000"/>
          <w:szCs w:val="22"/>
          <w:lang w:eastAsia="en-AU"/>
        </w:rPr>
      </w:pPr>
      <w:r w:rsidRPr="00304879">
        <w:rPr>
          <w:rFonts w:eastAsia="Times New Roman" w:cs="Times New Roman"/>
          <w:color w:val="000000"/>
          <w:szCs w:val="22"/>
          <w:lang w:eastAsia="en-AU"/>
        </w:rPr>
        <w:t>(</w:t>
      </w:r>
      <w:r>
        <w:rPr>
          <w:rFonts w:eastAsia="Times New Roman" w:cs="Times New Roman"/>
          <w:color w:val="000000"/>
          <w:szCs w:val="22"/>
          <w:lang w:eastAsia="en-AU"/>
        </w:rPr>
        <w:t>1</w:t>
      </w:r>
      <w:r w:rsidRPr="00304879">
        <w:rPr>
          <w:rFonts w:eastAsia="Times New Roman" w:cs="Times New Roman"/>
          <w:color w:val="000000"/>
          <w:szCs w:val="22"/>
          <w:lang w:eastAsia="en-AU"/>
        </w:rPr>
        <w:t>)  For the first patient attended during one attendance by a general practitioner at one residential aged care facility on one occasion, the fee for the medical service described in whichever of items </w:t>
      </w:r>
      <w:r>
        <w:rPr>
          <w:rFonts w:eastAsia="Times New Roman" w:cs="Times New Roman"/>
          <w:color w:val="000000"/>
          <w:szCs w:val="22"/>
          <w:lang w:eastAsia="en-AU"/>
        </w:rPr>
        <w:t xml:space="preserve">2733, 2735, </w:t>
      </w:r>
      <w:r w:rsidRPr="00304879">
        <w:rPr>
          <w:rFonts w:eastAsia="Times New Roman" w:cs="Times New Roman"/>
          <w:color w:val="000000"/>
          <w:szCs w:val="22"/>
          <w:lang w:eastAsia="en-AU"/>
        </w:rPr>
        <w:t>93400, 93401, 93402, 93403, 93421, 93287 and 93288 applies is the amount listed in the item plus $5</w:t>
      </w:r>
      <w:r>
        <w:rPr>
          <w:rFonts w:eastAsia="Times New Roman" w:cs="Times New Roman"/>
          <w:color w:val="000000"/>
          <w:szCs w:val="22"/>
          <w:lang w:eastAsia="en-AU"/>
        </w:rPr>
        <w:t>8.15</w:t>
      </w:r>
      <w:r w:rsidRPr="00304879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27E39D9C" w14:textId="086C0772" w:rsidR="00FD73B3" w:rsidRPr="00F84320" w:rsidRDefault="00FD73B3" w:rsidP="00FD73B3">
      <w:pPr>
        <w:shd w:val="clear" w:color="auto" w:fill="FFFFFF"/>
        <w:spacing w:before="180" w:line="240" w:lineRule="auto"/>
        <w:ind w:left="720" w:hanging="360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(2)  For the first patient attended during one attendance by a medical practitioner at one residential aged care facility on one occasion, the fee for the medical service described in </w:t>
      </w:r>
      <w:r w:rsidRPr="00304879">
        <w:rPr>
          <w:rFonts w:eastAsia="Times New Roman" w:cs="Times New Roman"/>
          <w:color w:val="000000"/>
          <w:szCs w:val="22"/>
          <w:lang w:eastAsia="en-AU"/>
        </w:rPr>
        <w:t>whichever of items </w:t>
      </w:r>
      <w:r>
        <w:rPr>
          <w:rFonts w:eastAsia="Times New Roman" w:cs="Times New Roman"/>
          <w:color w:val="000000"/>
          <w:szCs w:val="22"/>
          <w:lang w:eastAsia="en-AU"/>
        </w:rPr>
        <w:t xml:space="preserve">941, 942, </w:t>
      </w:r>
      <w:r w:rsidRPr="00304879">
        <w:rPr>
          <w:rFonts w:eastAsia="Times New Roman" w:cs="Times New Roman"/>
          <w:color w:val="000000"/>
          <w:szCs w:val="22"/>
          <w:lang w:eastAsia="en-AU"/>
        </w:rPr>
        <w:t>93431, 93432, 93433, 93434, 93451, 93291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and </w:t>
      </w:r>
      <w:r w:rsidRPr="00304879">
        <w:rPr>
          <w:rFonts w:eastAsia="Times New Roman" w:cs="Times New Roman"/>
          <w:color w:val="000000"/>
          <w:szCs w:val="22"/>
          <w:lang w:eastAsia="en-AU"/>
        </w:rPr>
        <w:t>93292 applies is the amount listed in the item plus $4</w:t>
      </w:r>
      <w:r>
        <w:rPr>
          <w:rFonts w:eastAsia="Times New Roman" w:cs="Times New Roman"/>
          <w:color w:val="000000"/>
          <w:szCs w:val="22"/>
          <w:lang w:eastAsia="en-AU"/>
        </w:rPr>
        <w:t>2.25</w:t>
      </w:r>
      <w:r w:rsidRPr="00304879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F93A7F0" w14:textId="41AD4EC9" w:rsidR="00304FBF" w:rsidRDefault="00304FBF" w:rsidP="00304FBF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7" w:name="_Hlk108786177"/>
      <w:r>
        <w:rPr>
          <w:rFonts w:ascii="Arial" w:hAnsi="Arial" w:cs="Arial"/>
          <w:b/>
          <w:bCs/>
          <w:color w:val="000000"/>
          <w:shd w:val="clear" w:color="auto" w:fill="FFFFFF"/>
        </w:rPr>
        <w:t>Schedule 4 (cell at item 2733, Column 3)</w:t>
      </w:r>
    </w:p>
    <w:p w14:paraId="6E9E7E0C" w14:textId="77777777" w:rsidR="00304FBF" w:rsidRDefault="00304FBF" w:rsidP="00304FBF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Repeal the cell, substitute: </w:t>
      </w:r>
    </w:p>
    <w:p w14:paraId="515686B9" w14:textId="1CABB89B" w:rsidR="00304FBF" w:rsidRDefault="00304FBF" w:rsidP="00304FBF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>98.05</w:t>
      </w:r>
    </w:p>
    <w:bookmarkEnd w:id="7"/>
    <w:p w14:paraId="668FA4BA" w14:textId="39ACD0CB" w:rsidR="00F84320" w:rsidRDefault="00F84320" w:rsidP="00F84320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Schedule 4 (cell at item 2735, Column 3)</w:t>
      </w:r>
    </w:p>
    <w:p w14:paraId="2FAF62B1" w14:textId="77777777" w:rsidR="00F84320" w:rsidRDefault="00F84320" w:rsidP="00F84320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Repeal the cell, substitute: </w:t>
      </w:r>
    </w:p>
    <w:p w14:paraId="139B1B23" w14:textId="1CFDF621" w:rsidR="00F84320" w:rsidRDefault="00F84320" w:rsidP="00F84320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>140.30</w:t>
      </w:r>
    </w:p>
    <w:p w14:paraId="7484D7E8" w14:textId="5ABBD8AD" w:rsidR="00F84320" w:rsidRDefault="00F84320" w:rsidP="00F84320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Schedule 4 (cell at item 941, Column 3)</w:t>
      </w:r>
    </w:p>
    <w:p w14:paraId="275BCACE" w14:textId="77777777" w:rsidR="00F84320" w:rsidRDefault="00F84320" w:rsidP="00F84320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Repeal the cell, substitute: </w:t>
      </w:r>
    </w:p>
    <w:p w14:paraId="07800D7E" w14:textId="30650516" w:rsidR="00F84320" w:rsidRDefault="00F84320" w:rsidP="00F84320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>78.50</w:t>
      </w:r>
    </w:p>
    <w:p w14:paraId="01F025E1" w14:textId="56F20B39" w:rsidR="00F84320" w:rsidRDefault="00F84320" w:rsidP="00F84320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Schedule 4 (cell at item 942, Column 3)</w:t>
      </w:r>
    </w:p>
    <w:p w14:paraId="74E9E367" w14:textId="77777777" w:rsidR="00F84320" w:rsidRDefault="00F84320" w:rsidP="00F84320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Repeal the cell, substitute: </w:t>
      </w:r>
    </w:p>
    <w:p w14:paraId="4BC5EF3D" w14:textId="4B74B0AB" w:rsidR="00F84320" w:rsidRDefault="00F84320" w:rsidP="00F84320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>112.30</w:t>
      </w:r>
    </w:p>
    <w:p w14:paraId="74FC5E1B" w14:textId="77777777" w:rsidR="00F84320" w:rsidRDefault="00F84320" w:rsidP="00F84320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</w:p>
    <w:p w14:paraId="02D5E2B6" w14:textId="43D326A3" w:rsidR="00F84320" w:rsidRDefault="00F84320" w:rsidP="00304FBF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</w:p>
    <w:p w14:paraId="5CF42E53" w14:textId="4F7D3BB3" w:rsidR="0095207F" w:rsidRPr="00F84320" w:rsidRDefault="0095207F" w:rsidP="00F84320">
      <w:pPr>
        <w:pStyle w:val="itemhead0"/>
        <w:shd w:val="clear" w:color="auto" w:fill="FFFFFF"/>
        <w:spacing w:before="22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14:paraId="0C3C9786" w14:textId="77777777" w:rsidR="00B553BB" w:rsidRPr="00B553BB" w:rsidRDefault="00B553BB" w:rsidP="00B553BB">
      <w:pPr>
        <w:spacing w:line="240" w:lineRule="auto"/>
        <w:rPr>
          <w:rFonts w:eastAsiaTheme="minorEastAsia" w:cs="Times New Roman"/>
          <w:color w:val="FF0000"/>
          <w:sz w:val="24"/>
          <w:szCs w:val="24"/>
          <w:lang w:eastAsia="en-AU"/>
        </w:rPr>
      </w:pPr>
    </w:p>
    <w:p w14:paraId="27CC9B7D" w14:textId="77777777" w:rsidR="00DE4EF6" w:rsidRPr="00DE4EF6" w:rsidRDefault="00DE4EF6" w:rsidP="00B553BB">
      <w:pPr>
        <w:pStyle w:val="ItemHead"/>
        <w:ind w:left="0" w:firstLine="0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9526" w14:textId="77777777" w:rsidR="00D837E9" w:rsidRDefault="00D837E9" w:rsidP="00715914">
      <w:pPr>
        <w:spacing w:line="240" w:lineRule="auto"/>
      </w:pPr>
      <w:r>
        <w:separator/>
      </w:r>
    </w:p>
  </w:endnote>
  <w:endnote w:type="continuationSeparator" w:id="0">
    <w:p w14:paraId="528F3209" w14:textId="77777777" w:rsidR="00D837E9" w:rsidRDefault="00D837E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09E832BE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5704">
            <w:rPr>
              <w:i/>
              <w:noProof/>
              <w:sz w:val="18"/>
            </w:rPr>
            <w:t>Health Insurance (Section 3C General Medical – Expansion of GP and Allied Health Mental Health Services) Amendment (Fee Alignment) Determination 2022Health Insurance Legislation Amendment (Section 3C General Medical Services – Residential Aged Care First P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288D2F2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209E">
            <w:rPr>
              <w:i/>
              <w:noProof/>
              <w:sz w:val="18"/>
            </w:rPr>
            <w:t>Health Insurance (Section 3C General Medical – Expansion of GP and Allied Health Mental Health Services) Amendment (Fee Alignment)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6142BE6E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209E">
            <w:rPr>
              <w:i/>
              <w:noProof/>
              <w:sz w:val="18"/>
            </w:rPr>
            <w:t>Health Insurance (Section 3C General Medical – Expansion of GP and Allied Health Mental Health Services) Amendment (Fee Alignment)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7FE8873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209E">
            <w:rPr>
              <w:i/>
              <w:noProof/>
              <w:sz w:val="18"/>
            </w:rPr>
            <w:t>Health Insurance (Section 3C General Medical – Expansion of GP and Allied Health Mental Health Services) Amendment (Fee Alignment)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6E85" w14:textId="77777777" w:rsidR="00D837E9" w:rsidRDefault="00D837E9" w:rsidP="00715914">
      <w:pPr>
        <w:spacing w:line="240" w:lineRule="auto"/>
      </w:pPr>
      <w:r>
        <w:separator/>
      </w:r>
    </w:p>
  </w:footnote>
  <w:footnote w:type="continuationSeparator" w:id="0">
    <w:p w14:paraId="4782BD42" w14:textId="77777777" w:rsidR="00D837E9" w:rsidRDefault="00D837E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5295"/>
    <w:multiLevelType w:val="hybridMultilevel"/>
    <w:tmpl w:val="86480966"/>
    <w:lvl w:ilvl="0" w:tplc="F6AE2C4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8514FC"/>
    <w:multiLevelType w:val="hybridMultilevel"/>
    <w:tmpl w:val="E1285CD2"/>
    <w:lvl w:ilvl="0" w:tplc="332A5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559"/>
    <w:multiLevelType w:val="hybridMultilevel"/>
    <w:tmpl w:val="93F47C78"/>
    <w:lvl w:ilvl="0" w:tplc="E6EEC41A">
      <w:start w:val="1"/>
      <w:numFmt w:val="lowerRoman"/>
      <w:lvlText w:val="(%1)"/>
      <w:lvlJc w:val="right"/>
      <w:pPr>
        <w:ind w:left="1077" w:hanging="22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13B43"/>
    <w:multiLevelType w:val="hybridMultilevel"/>
    <w:tmpl w:val="93F82B92"/>
    <w:lvl w:ilvl="0" w:tplc="F6AE2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A0502"/>
    <w:multiLevelType w:val="hybridMultilevel"/>
    <w:tmpl w:val="3C863440"/>
    <w:lvl w:ilvl="0" w:tplc="887EE91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75432"/>
    <w:multiLevelType w:val="hybridMultilevel"/>
    <w:tmpl w:val="D9B0F87A"/>
    <w:lvl w:ilvl="0" w:tplc="1E806CEA">
      <w:start w:val="1"/>
      <w:numFmt w:val="lowerRoman"/>
      <w:lvlText w:val="(%1)"/>
      <w:lvlJc w:val="right"/>
      <w:pPr>
        <w:ind w:left="1080" w:hanging="22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25"/>
  </w:num>
  <w:num w:numId="18">
    <w:abstractNumId w:val="15"/>
  </w:num>
  <w:num w:numId="19">
    <w:abstractNumId w:val="20"/>
  </w:num>
  <w:num w:numId="20">
    <w:abstractNumId w:val="14"/>
  </w:num>
  <w:num w:numId="21">
    <w:abstractNumId w:val="23"/>
  </w:num>
  <w:num w:numId="22">
    <w:abstractNumId w:val="24"/>
  </w:num>
  <w:num w:numId="23">
    <w:abstractNumId w:val="22"/>
  </w:num>
  <w:num w:numId="24">
    <w:abstractNumId w:val="12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07CF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4883"/>
    <w:rsid w:val="000872E3"/>
    <w:rsid w:val="000978F5"/>
    <w:rsid w:val="000B15CD"/>
    <w:rsid w:val="000B2694"/>
    <w:rsid w:val="000B35EB"/>
    <w:rsid w:val="000B5704"/>
    <w:rsid w:val="000D05EF"/>
    <w:rsid w:val="000E05F9"/>
    <w:rsid w:val="000E2261"/>
    <w:rsid w:val="000E388A"/>
    <w:rsid w:val="000E78B7"/>
    <w:rsid w:val="000F21C1"/>
    <w:rsid w:val="001013CE"/>
    <w:rsid w:val="0010745C"/>
    <w:rsid w:val="001231C9"/>
    <w:rsid w:val="00127CDD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0F7E"/>
    <w:rsid w:val="001D37EF"/>
    <w:rsid w:val="001E3590"/>
    <w:rsid w:val="001E4239"/>
    <w:rsid w:val="001E7407"/>
    <w:rsid w:val="001F0761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35A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6BAB"/>
    <w:rsid w:val="002A7BCF"/>
    <w:rsid w:val="002C3FD1"/>
    <w:rsid w:val="002D043A"/>
    <w:rsid w:val="002D266B"/>
    <w:rsid w:val="002D3707"/>
    <w:rsid w:val="002D6224"/>
    <w:rsid w:val="002F2EF1"/>
    <w:rsid w:val="00304879"/>
    <w:rsid w:val="00304F8B"/>
    <w:rsid w:val="00304FBF"/>
    <w:rsid w:val="003062EB"/>
    <w:rsid w:val="00331A42"/>
    <w:rsid w:val="00335BC6"/>
    <w:rsid w:val="003415D3"/>
    <w:rsid w:val="00344338"/>
    <w:rsid w:val="00344701"/>
    <w:rsid w:val="00347A5B"/>
    <w:rsid w:val="00351579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1B90"/>
    <w:rsid w:val="00467661"/>
    <w:rsid w:val="00470179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A7DDC"/>
    <w:rsid w:val="004B13FB"/>
    <w:rsid w:val="004B6C48"/>
    <w:rsid w:val="004C4E59"/>
    <w:rsid w:val="004C6809"/>
    <w:rsid w:val="004E063A"/>
    <w:rsid w:val="004E1307"/>
    <w:rsid w:val="004E7BEC"/>
    <w:rsid w:val="004F190A"/>
    <w:rsid w:val="00505D3D"/>
    <w:rsid w:val="00506AF6"/>
    <w:rsid w:val="00516B8D"/>
    <w:rsid w:val="00516E94"/>
    <w:rsid w:val="00520FC4"/>
    <w:rsid w:val="005303C8"/>
    <w:rsid w:val="00537FBC"/>
    <w:rsid w:val="00540F3B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386"/>
    <w:rsid w:val="00594749"/>
    <w:rsid w:val="005A4B31"/>
    <w:rsid w:val="005A4B62"/>
    <w:rsid w:val="005A65D5"/>
    <w:rsid w:val="005B200C"/>
    <w:rsid w:val="005B3F55"/>
    <w:rsid w:val="005B4067"/>
    <w:rsid w:val="005C096A"/>
    <w:rsid w:val="005C2389"/>
    <w:rsid w:val="005C3F41"/>
    <w:rsid w:val="005D1D92"/>
    <w:rsid w:val="005D2D09"/>
    <w:rsid w:val="005E3F14"/>
    <w:rsid w:val="005E4F7F"/>
    <w:rsid w:val="005F30B6"/>
    <w:rsid w:val="005F3EBD"/>
    <w:rsid w:val="00600219"/>
    <w:rsid w:val="00604F2A"/>
    <w:rsid w:val="00606F09"/>
    <w:rsid w:val="00620076"/>
    <w:rsid w:val="00627E0A"/>
    <w:rsid w:val="00633196"/>
    <w:rsid w:val="00642331"/>
    <w:rsid w:val="006443F2"/>
    <w:rsid w:val="0065488B"/>
    <w:rsid w:val="00670EA1"/>
    <w:rsid w:val="00677CC2"/>
    <w:rsid w:val="006823B9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09E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6D4F"/>
    <w:rsid w:val="0070716F"/>
    <w:rsid w:val="00713084"/>
    <w:rsid w:val="007141BF"/>
    <w:rsid w:val="00714F20"/>
    <w:rsid w:val="0071590F"/>
    <w:rsid w:val="00715914"/>
    <w:rsid w:val="0072147A"/>
    <w:rsid w:val="00723791"/>
    <w:rsid w:val="00727266"/>
    <w:rsid w:val="00731E00"/>
    <w:rsid w:val="007440B7"/>
    <w:rsid w:val="007500C8"/>
    <w:rsid w:val="00756272"/>
    <w:rsid w:val="00762D38"/>
    <w:rsid w:val="00765CC9"/>
    <w:rsid w:val="00771311"/>
    <w:rsid w:val="007715C9"/>
    <w:rsid w:val="00771613"/>
    <w:rsid w:val="00774EDD"/>
    <w:rsid w:val="007757EC"/>
    <w:rsid w:val="00783E89"/>
    <w:rsid w:val="00793915"/>
    <w:rsid w:val="007A3359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4B35"/>
    <w:rsid w:val="00867B37"/>
    <w:rsid w:val="0087329B"/>
    <w:rsid w:val="008754D0"/>
    <w:rsid w:val="00875D13"/>
    <w:rsid w:val="008855C9"/>
    <w:rsid w:val="00886456"/>
    <w:rsid w:val="00894931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207F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C52D2"/>
    <w:rsid w:val="009D4587"/>
    <w:rsid w:val="00A0441E"/>
    <w:rsid w:val="00A12128"/>
    <w:rsid w:val="00A16866"/>
    <w:rsid w:val="00A22C98"/>
    <w:rsid w:val="00A231E2"/>
    <w:rsid w:val="00A250FB"/>
    <w:rsid w:val="00A27547"/>
    <w:rsid w:val="00A369E3"/>
    <w:rsid w:val="00A42093"/>
    <w:rsid w:val="00A546BD"/>
    <w:rsid w:val="00A57600"/>
    <w:rsid w:val="00A606F0"/>
    <w:rsid w:val="00A64912"/>
    <w:rsid w:val="00A6720F"/>
    <w:rsid w:val="00A70A74"/>
    <w:rsid w:val="00A75FE9"/>
    <w:rsid w:val="00A907E6"/>
    <w:rsid w:val="00AC61D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53BB"/>
    <w:rsid w:val="00B566B1"/>
    <w:rsid w:val="00B612E9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43B4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6DCB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858C1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837E9"/>
    <w:rsid w:val="00D91F10"/>
    <w:rsid w:val="00DA186E"/>
    <w:rsid w:val="00DA4116"/>
    <w:rsid w:val="00DB251C"/>
    <w:rsid w:val="00DB4630"/>
    <w:rsid w:val="00DB4767"/>
    <w:rsid w:val="00DC4F88"/>
    <w:rsid w:val="00DC590D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61117"/>
    <w:rsid w:val="00E70D71"/>
    <w:rsid w:val="00E72953"/>
    <w:rsid w:val="00E748AB"/>
    <w:rsid w:val="00E74DC7"/>
    <w:rsid w:val="00E8075A"/>
    <w:rsid w:val="00E8079E"/>
    <w:rsid w:val="00E940D8"/>
    <w:rsid w:val="00E94D5E"/>
    <w:rsid w:val="00EA2C7A"/>
    <w:rsid w:val="00EA31B9"/>
    <w:rsid w:val="00EA7100"/>
    <w:rsid w:val="00EA7F9F"/>
    <w:rsid w:val="00EB1274"/>
    <w:rsid w:val="00EB44F1"/>
    <w:rsid w:val="00EC0818"/>
    <w:rsid w:val="00EC700C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4320"/>
    <w:rsid w:val="00F85099"/>
    <w:rsid w:val="00F9379C"/>
    <w:rsid w:val="00F9632C"/>
    <w:rsid w:val="00FA1E52"/>
    <w:rsid w:val="00FA7910"/>
    <w:rsid w:val="00FB5A08"/>
    <w:rsid w:val="00FC6A80"/>
    <w:rsid w:val="00FD73B3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B5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abletextChar">
    <w:name w:val="Table text Char"/>
    <w:link w:val="Tabletext1"/>
    <w:uiPriority w:val="4"/>
    <w:locked/>
    <w:rsid w:val="00B553BB"/>
    <w:rPr>
      <w:rFonts w:ascii="Arial Narrow" w:eastAsia="Times New Roman" w:hAnsi="Arial Narrow" w:cs="Times New Roman"/>
      <w:szCs w:val="24"/>
    </w:rPr>
  </w:style>
  <w:style w:type="paragraph" w:customStyle="1" w:styleId="Tabletext1">
    <w:name w:val="Table text"/>
    <w:basedOn w:val="Normal"/>
    <w:link w:val="TabletextChar"/>
    <w:uiPriority w:val="4"/>
    <w:qFormat/>
    <w:rsid w:val="00B553BB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acthead50">
    <w:name w:val="acthead5"/>
    <w:basedOn w:val="Normal"/>
    <w:rsid w:val="000E38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0E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684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174</TotalTime>
  <Pages>6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PANTIC, Sandra</cp:lastModifiedBy>
  <cp:revision>14</cp:revision>
  <cp:lastPrinted>2019-09-26T05:45:00Z</cp:lastPrinted>
  <dcterms:created xsi:type="dcterms:W3CDTF">2022-07-11T02:00:00Z</dcterms:created>
  <dcterms:modified xsi:type="dcterms:W3CDTF">2022-08-18T05:44:00Z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