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7EC1" w14:textId="77777777" w:rsidR="00715914" w:rsidRPr="005F1388" w:rsidRDefault="00DA186E" w:rsidP="00715914">
      <w:pPr>
        <w:rPr>
          <w:sz w:val="28"/>
        </w:rPr>
      </w:pPr>
      <w:r>
        <w:rPr>
          <w:noProof/>
          <w:lang w:eastAsia="en-AU"/>
        </w:rPr>
        <w:drawing>
          <wp:inline distT="0" distB="0" distL="0" distR="0" wp14:anchorId="6F75E0CD" wp14:editId="183E02E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17E807E" w14:textId="77777777" w:rsidR="00715914" w:rsidRPr="00E500D4" w:rsidRDefault="00715914" w:rsidP="00715914">
      <w:pPr>
        <w:rPr>
          <w:sz w:val="19"/>
        </w:rPr>
      </w:pPr>
    </w:p>
    <w:p w14:paraId="6D141519" w14:textId="33D04CE7" w:rsidR="00554826" w:rsidRPr="006823B9" w:rsidRDefault="00B553BB" w:rsidP="00554826">
      <w:pPr>
        <w:pStyle w:val="ShortT"/>
      </w:pPr>
      <w:r w:rsidRPr="006823B9">
        <w:t xml:space="preserve">Health Insurance (Section 3C </w:t>
      </w:r>
      <w:r w:rsidR="009A79F2">
        <w:t>Diagnostic Imaging</w:t>
      </w:r>
      <w:r w:rsidR="003101EF">
        <w:t xml:space="preserve"> </w:t>
      </w:r>
      <w:r w:rsidR="00FF7C65">
        <w:t>–</w:t>
      </w:r>
      <w:r w:rsidR="003101EF">
        <w:t xml:space="preserve"> </w:t>
      </w:r>
      <w:r w:rsidR="00B11EC1">
        <w:t>Nuclear Medicine Services</w:t>
      </w:r>
      <w:r w:rsidRPr="006823B9">
        <w:t>)</w:t>
      </w:r>
      <w:r w:rsidR="00C94320">
        <w:t xml:space="preserve"> </w:t>
      </w:r>
      <w:r w:rsidR="00B11EC1">
        <w:t>Amendment (PET and Technetium</w:t>
      </w:r>
      <w:r w:rsidR="00C8000D">
        <w:t>-</w:t>
      </w:r>
      <w:r w:rsidR="00B11EC1">
        <w:t>99</w:t>
      </w:r>
      <w:r w:rsidR="006F2FC6">
        <w:t>m</w:t>
      </w:r>
      <w:r w:rsidR="00B11EC1">
        <w:t xml:space="preserve">) </w:t>
      </w:r>
      <w:r w:rsidRPr="006823B9">
        <w:t>Determination</w:t>
      </w:r>
      <w:r w:rsidR="00C94320">
        <w:t xml:space="preserve"> </w:t>
      </w:r>
      <w:r w:rsidRPr="006823B9">
        <w:t>2022</w:t>
      </w:r>
    </w:p>
    <w:p w14:paraId="367A4A2F" w14:textId="3588A14D" w:rsidR="00554826" w:rsidRPr="007F2101" w:rsidRDefault="00554826" w:rsidP="00554826">
      <w:pPr>
        <w:pStyle w:val="SignCoverPageStart"/>
        <w:spacing w:before="240"/>
        <w:ind w:right="91"/>
        <w:rPr>
          <w:szCs w:val="22"/>
        </w:rPr>
      </w:pPr>
      <w:r w:rsidRPr="00B431D4">
        <w:rPr>
          <w:szCs w:val="22"/>
        </w:rPr>
        <w:t xml:space="preserve">I, </w:t>
      </w:r>
      <w:r w:rsidR="00F31188" w:rsidRPr="001F7155">
        <w:rPr>
          <w:szCs w:val="22"/>
        </w:rPr>
        <w:t>Travis Haslam</w:t>
      </w:r>
      <w:r w:rsidRPr="001F7155">
        <w:rPr>
          <w:szCs w:val="22"/>
        </w:rPr>
        <w:t xml:space="preserve">, </w:t>
      </w:r>
      <w:r w:rsidR="00FF4480" w:rsidRPr="00B431D4">
        <w:rPr>
          <w:szCs w:val="22"/>
        </w:rPr>
        <w:t xml:space="preserve">delegate of the </w:t>
      </w:r>
      <w:r w:rsidR="009841B4" w:rsidRPr="00B431D4">
        <w:rPr>
          <w:szCs w:val="22"/>
        </w:rPr>
        <w:t>Minister for Health</w:t>
      </w:r>
      <w:r w:rsidR="00FE7510" w:rsidRPr="00B174B9">
        <w:rPr>
          <w:szCs w:val="22"/>
        </w:rPr>
        <w:t xml:space="preserve"> and Aged Care</w:t>
      </w:r>
      <w:r w:rsidR="009841B4" w:rsidRPr="007F2101">
        <w:rPr>
          <w:szCs w:val="22"/>
        </w:rPr>
        <w:t xml:space="preserve">, </w:t>
      </w:r>
      <w:r w:rsidRPr="007F2101">
        <w:rPr>
          <w:szCs w:val="22"/>
        </w:rPr>
        <w:t xml:space="preserve">make the following </w:t>
      </w:r>
      <w:r w:rsidR="009841B4" w:rsidRPr="007F2101">
        <w:rPr>
          <w:szCs w:val="22"/>
        </w:rPr>
        <w:t>Determination</w:t>
      </w:r>
      <w:r w:rsidRPr="007F2101">
        <w:rPr>
          <w:szCs w:val="22"/>
        </w:rPr>
        <w:t>.</w:t>
      </w:r>
    </w:p>
    <w:p w14:paraId="0C7CB3E3" w14:textId="3FAC7546" w:rsidR="00554826" w:rsidRPr="00B431D4" w:rsidRDefault="00554826" w:rsidP="00554826">
      <w:pPr>
        <w:keepNext/>
        <w:spacing w:before="300" w:line="240" w:lineRule="atLeast"/>
        <w:ind w:right="397"/>
        <w:jc w:val="both"/>
        <w:rPr>
          <w:szCs w:val="22"/>
        </w:rPr>
      </w:pPr>
      <w:r w:rsidRPr="007F2101">
        <w:rPr>
          <w:szCs w:val="22"/>
        </w:rPr>
        <w:t>Dated</w:t>
      </w:r>
      <w:r w:rsidRPr="007F2101">
        <w:rPr>
          <w:szCs w:val="22"/>
        </w:rPr>
        <w:tab/>
      </w:r>
      <w:r w:rsidRPr="007F2101">
        <w:rPr>
          <w:szCs w:val="22"/>
        </w:rPr>
        <w:tab/>
      </w:r>
      <w:r w:rsidR="00FF288F">
        <w:rPr>
          <w:szCs w:val="22"/>
        </w:rPr>
        <w:t>17</w:t>
      </w:r>
      <w:r w:rsidR="00B52B17">
        <w:rPr>
          <w:szCs w:val="22"/>
        </w:rPr>
        <w:t xml:space="preserve"> </w:t>
      </w:r>
      <w:r w:rsidR="00B11EC1">
        <w:rPr>
          <w:szCs w:val="22"/>
        </w:rPr>
        <w:t>August</w:t>
      </w:r>
      <w:r w:rsidR="00F31188" w:rsidRPr="001F7155">
        <w:rPr>
          <w:szCs w:val="22"/>
        </w:rPr>
        <w:t xml:space="preserve"> 2022</w:t>
      </w:r>
    </w:p>
    <w:p w14:paraId="270DB188" w14:textId="0FD23F3C" w:rsidR="00FF4480" w:rsidRPr="001F7155" w:rsidRDefault="00F31188" w:rsidP="00FF4480">
      <w:pPr>
        <w:keepNext/>
        <w:tabs>
          <w:tab w:val="left" w:pos="3402"/>
        </w:tabs>
        <w:spacing w:before="1440" w:line="300" w:lineRule="atLeast"/>
        <w:ind w:right="397"/>
        <w:rPr>
          <w:b/>
          <w:szCs w:val="22"/>
        </w:rPr>
      </w:pPr>
      <w:r w:rsidRPr="001F7155">
        <w:rPr>
          <w:szCs w:val="22"/>
        </w:rPr>
        <w:t>Travis Haslam</w:t>
      </w:r>
    </w:p>
    <w:p w14:paraId="53606C5F" w14:textId="3579E517" w:rsidR="00FF4480" w:rsidRPr="001F7155" w:rsidRDefault="00F31188" w:rsidP="00FF4480">
      <w:pPr>
        <w:pStyle w:val="SignCoverPageEnd"/>
        <w:ind w:right="91"/>
        <w:rPr>
          <w:sz w:val="22"/>
        </w:rPr>
      </w:pPr>
      <w:r w:rsidRPr="001F7155">
        <w:rPr>
          <w:sz w:val="22"/>
        </w:rPr>
        <w:t xml:space="preserve">Acting </w:t>
      </w:r>
      <w:r w:rsidR="007711FC" w:rsidRPr="001F7155">
        <w:rPr>
          <w:sz w:val="22"/>
        </w:rPr>
        <w:t xml:space="preserve">First </w:t>
      </w:r>
      <w:r w:rsidRPr="001F7155">
        <w:rPr>
          <w:sz w:val="22"/>
        </w:rPr>
        <w:t>Assistant Secretary</w:t>
      </w:r>
    </w:p>
    <w:p w14:paraId="352A5AAB" w14:textId="1218823E" w:rsidR="00FF4480" w:rsidRPr="001F7155" w:rsidRDefault="00F31188" w:rsidP="00FF4480">
      <w:pPr>
        <w:pStyle w:val="SignCoverPageEnd"/>
        <w:ind w:right="91"/>
        <w:rPr>
          <w:sz w:val="22"/>
        </w:rPr>
      </w:pPr>
      <w:r w:rsidRPr="001F7155">
        <w:rPr>
          <w:sz w:val="22"/>
        </w:rPr>
        <w:t>Medical Benefits Division</w:t>
      </w:r>
    </w:p>
    <w:p w14:paraId="56899167" w14:textId="0B9CFC61" w:rsidR="00FF4480" w:rsidRPr="001F7155" w:rsidRDefault="00F31188" w:rsidP="00FF4480">
      <w:pPr>
        <w:pStyle w:val="SignCoverPageEnd"/>
        <w:ind w:right="91"/>
        <w:rPr>
          <w:sz w:val="22"/>
        </w:rPr>
      </w:pPr>
      <w:r w:rsidRPr="001F7155">
        <w:rPr>
          <w:sz w:val="22"/>
        </w:rPr>
        <w:t>Health Resourcing Group</w:t>
      </w:r>
    </w:p>
    <w:p w14:paraId="769BEDDD" w14:textId="0AFFF24B" w:rsidR="00FF4480" w:rsidRPr="00B431D4" w:rsidRDefault="00FF4480" w:rsidP="00FF4480">
      <w:pPr>
        <w:pStyle w:val="SignCoverPageEnd"/>
        <w:ind w:right="91"/>
        <w:rPr>
          <w:sz w:val="22"/>
        </w:rPr>
      </w:pPr>
      <w:r w:rsidRPr="00B431D4">
        <w:rPr>
          <w:sz w:val="22"/>
        </w:rPr>
        <w:t>Department of Health</w:t>
      </w:r>
      <w:r w:rsidR="00854740">
        <w:rPr>
          <w:sz w:val="22"/>
        </w:rPr>
        <w:t xml:space="preserve"> and Aged Care</w:t>
      </w:r>
    </w:p>
    <w:p w14:paraId="57012222" w14:textId="77777777" w:rsidR="00554826" w:rsidRDefault="00554826" w:rsidP="00554826"/>
    <w:p w14:paraId="61874D17" w14:textId="77777777" w:rsidR="00554826" w:rsidRPr="00ED79B6" w:rsidRDefault="00554826" w:rsidP="00554826"/>
    <w:p w14:paraId="1EA543EC" w14:textId="77777777" w:rsidR="00F6696E" w:rsidRDefault="00F6696E" w:rsidP="00F6696E"/>
    <w:p w14:paraId="452B8309" w14:textId="77777777" w:rsidR="00F6696E" w:rsidRDefault="00F6696E" w:rsidP="00F6696E">
      <w:pPr>
        <w:sectPr w:rsidR="00F6696E" w:rsidSect="00F6696E">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14:paraId="314EC2FE" w14:textId="77777777" w:rsidR="007500C8" w:rsidRDefault="00715914" w:rsidP="00715914">
      <w:pPr>
        <w:outlineLvl w:val="0"/>
        <w:rPr>
          <w:sz w:val="36"/>
        </w:rPr>
      </w:pPr>
      <w:r w:rsidRPr="007A1328">
        <w:rPr>
          <w:sz w:val="36"/>
        </w:rPr>
        <w:lastRenderedPageBreak/>
        <w:t>Contents</w:t>
      </w:r>
    </w:p>
    <w:p w14:paraId="323532B0" w14:textId="7F77608C" w:rsidR="00EC494C" w:rsidRPr="008F00F1" w:rsidRDefault="00B418CB">
      <w:pPr>
        <w:pStyle w:val="TOC5"/>
        <w:rPr>
          <w:rFonts w:eastAsiaTheme="minorEastAsia"/>
          <w:noProof/>
          <w:kern w:val="0"/>
          <w:sz w:val="22"/>
          <w:szCs w:val="22"/>
        </w:rPr>
      </w:pPr>
      <w:r w:rsidRPr="008F00F1">
        <w:fldChar w:fldCharType="begin"/>
      </w:r>
      <w:r w:rsidRPr="008F00F1">
        <w:instrText xml:space="preserve"> TOC \o "1-9" </w:instrText>
      </w:r>
      <w:r w:rsidRPr="008F00F1">
        <w:fldChar w:fldCharType="separate"/>
      </w:r>
      <w:r w:rsidR="00EC494C" w:rsidRPr="008F00F1">
        <w:rPr>
          <w:noProof/>
        </w:rPr>
        <w:t>1  Name</w:t>
      </w:r>
      <w:r w:rsidR="00EC494C" w:rsidRPr="008F00F1">
        <w:rPr>
          <w:noProof/>
        </w:rPr>
        <w:tab/>
      </w:r>
      <w:r w:rsidR="00EC494C" w:rsidRPr="008F00F1">
        <w:rPr>
          <w:noProof/>
        </w:rPr>
        <w:fldChar w:fldCharType="begin"/>
      </w:r>
      <w:r w:rsidR="00EC494C" w:rsidRPr="008F00F1">
        <w:rPr>
          <w:noProof/>
        </w:rPr>
        <w:instrText xml:space="preserve"> PAGEREF _Toc106893517 \h </w:instrText>
      </w:r>
      <w:r w:rsidR="00EC494C" w:rsidRPr="008F00F1">
        <w:rPr>
          <w:noProof/>
        </w:rPr>
      </w:r>
      <w:r w:rsidR="00EC494C" w:rsidRPr="008F00F1">
        <w:rPr>
          <w:noProof/>
        </w:rPr>
        <w:fldChar w:fldCharType="separate"/>
      </w:r>
      <w:r w:rsidR="00EC494C" w:rsidRPr="008F00F1">
        <w:rPr>
          <w:noProof/>
        </w:rPr>
        <w:t>1</w:t>
      </w:r>
      <w:r w:rsidR="00EC494C" w:rsidRPr="008F00F1">
        <w:rPr>
          <w:noProof/>
        </w:rPr>
        <w:fldChar w:fldCharType="end"/>
      </w:r>
    </w:p>
    <w:p w14:paraId="3DE657DD" w14:textId="3F6F78DD" w:rsidR="00EC494C" w:rsidRPr="008F00F1" w:rsidRDefault="00EC494C">
      <w:pPr>
        <w:pStyle w:val="TOC5"/>
        <w:rPr>
          <w:rFonts w:eastAsiaTheme="minorEastAsia"/>
          <w:noProof/>
          <w:kern w:val="0"/>
          <w:sz w:val="22"/>
          <w:szCs w:val="22"/>
        </w:rPr>
      </w:pPr>
      <w:r w:rsidRPr="008F00F1">
        <w:rPr>
          <w:noProof/>
        </w:rPr>
        <w:t>2  Commencement</w:t>
      </w:r>
      <w:r w:rsidRPr="008F00F1">
        <w:rPr>
          <w:noProof/>
        </w:rPr>
        <w:tab/>
      </w:r>
      <w:r w:rsidRPr="008F00F1">
        <w:rPr>
          <w:noProof/>
        </w:rPr>
        <w:fldChar w:fldCharType="begin"/>
      </w:r>
      <w:r w:rsidRPr="008F00F1">
        <w:rPr>
          <w:noProof/>
        </w:rPr>
        <w:instrText xml:space="preserve"> PAGEREF _Toc106893518 \h </w:instrText>
      </w:r>
      <w:r w:rsidRPr="008F00F1">
        <w:rPr>
          <w:noProof/>
        </w:rPr>
      </w:r>
      <w:r w:rsidRPr="008F00F1">
        <w:rPr>
          <w:noProof/>
        </w:rPr>
        <w:fldChar w:fldCharType="separate"/>
      </w:r>
      <w:r w:rsidRPr="008F00F1">
        <w:rPr>
          <w:noProof/>
        </w:rPr>
        <w:t>1</w:t>
      </w:r>
      <w:r w:rsidRPr="008F00F1">
        <w:rPr>
          <w:noProof/>
        </w:rPr>
        <w:fldChar w:fldCharType="end"/>
      </w:r>
    </w:p>
    <w:p w14:paraId="5E200A81" w14:textId="00C1F5C8" w:rsidR="00EC494C" w:rsidRPr="008F00F1" w:rsidRDefault="00EC494C" w:rsidP="00D16A37">
      <w:pPr>
        <w:pStyle w:val="TOC5"/>
        <w:rPr>
          <w:rFonts w:eastAsiaTheme="minorEastAsia"/>
          <w:noProof/>
          <w:kern w:val="0"/>
          <w:sz w:val="22"/>
          <w:szCs w:val="22"/>
        </w:rPr>
      </w:pPr>
      <w:r w:rsidRPr="008F00F1">
        <w:rPr>
          <w:noProof/>
        </w:rPr>
        <w:t>3  Authority</w:t>
      </w:r>
      <w:r w:rsidRPr="008F00F1">
        <w:rPr>
          <w:noProof/>
        </w:rPr>
        <w:tab/>
      </w:r>
      <w:r w:rsidRPr="008F00F1">
        <w:rPr>
          <w:noProof/>
        </w:rPr>
        <w:fldChar w:fldCharType="begin"/>
      </w:r>
      <w:r w:rsidRPr="008F00F1">
        <w:rPr>
          <w:noProof/>
        </w:rPr>
        <w:instrText xml:space="preserve"> PAGEREF _Toc106893519 \h </w:instrText>
      </w:r>
      <w:r w:rsidRPr="008F00F1">
        <w:rPr>
          <w:noProof/>
        </w:rPr>
      </w:r>
      <w:r w:rsidRPr="008F00F1">
        <w:rPr>
          <w:noProof/>
        </w:rPr>
        <w:fldChar w:fldCharType="separate"/>
      </w:r>
      <w:r w:rsidRPr="008F00F1">
        <w:rPr>
          <w:noProof/>
        </w:rPr>
        <w:t>1</w:t>
      </w:r>
      <w:r w:rsidRPr="008F00F1">
        <w:rPr>
          <w:noProof/>
        </w:rPr>
        <w:fldChar w:fldCharType="end"/>
      </w:r>
    </w:p>
    <w:p w14:paraId="0E3FD640" w14:textId="20433B6C" w:rsidR="00EC494C" w:rsidRPr="008F00F1" w:rsidRDefault="00D16A37">
      <w:pPr>
        <w:pStyle w:val="TOC5"/>
        <w:rPr>
          <w:rFonts w:eastAsiaTheme="minorEastAsia"/>
          <w:noProof/>
          <w:kern w:val="0"/>
          <w:sz w:val="22"/>
          <w:szCs w:val="22"/>
        </w:rPr>
      </w:pPr>
      <w:r>
        <w:rPr>
          <w:noProof/>
        </w:rPr>
        <w:t>4</w:t>
      </w:r>
      <w:r w:rsidR="00EC494C" w:rsidRPr="008F00F1">
        <w:rPr>
          <w:noProof/>
        </w:rPr>
        <w:t xml:space="preserve">  </w:t>
      </w:r>
      <w:r>
        <w:rPr>
          <w:noProof/>
        </w:rPr>
        <w:t>Schedules</w:t>
      </w:r>
      <w:r w:rsidR="00EC494C" w:rsidRPr="008F00F1">
        <w:rPr>
          <w:noProof/>
        </w:rPr>
        <w:tab/>
      </w:r>
      <w:r w:rsidR="0066172F">
        <w:rPr>
          <w:noProof/>
        </w:rPr>
        <w:t>1</w:t>
      </w:r>
    </w:p>
    <w:p w14:paraId="5D5E6688" w14:textId="77777777" w:rsidR="0066172F" w:rsidRDefault="0066172F" w:rsidP="0066172F">
      <w:pPr>
        <w:pStyle w:val="TOC6"/>
        <w:rPr>
          <w:rFonts w:asciiTheme="minorHAnsi" w:eastAsiaTheme="minorEastAsia" w:hAnsiTheme="minorHAnsi" w:cstheme="minorBidi"/>
          <w:b w:val="0"/>
          <w:noProof/>
          <w:kern w:val="0"/>
          <w:sz w:val="22"/>
          <w:szCs w:val="22"/>
        </w:rPr>
      </w:pPr>
      <w:bookmarkStart w:id="0" w:name="_Hlk109814776"/>
      <w:r>
        <w:rPr>
          <w:noProof/>
        </w:rPr>
        <w:t>Schedule 1 — Amendments</w:t>
      </w:r>
      <w:r w:rsidRPr="00327C75">
        <w:rPr>
          <w:b w:val="0"/>
          <w:noProof/>
          <w:sz w:val="18"/>
        </w:rPr>
        <w:tab/>
      </w:r>
      <w:r>
        <w:rPr>
          <w:b w:val="0"/>
          <w:noProof/>
          <w:sz w:val="18"/>
        </w:rPr>
        <w:t>2</w:t>
      </w:r>
    </w:p>
    <w:p w14:paraId="09905E14" w14:textId="2F4CE716" w:rsidR="0066172F" w:rsidRDefault="0066172F" w:rsidP="0066172F">
      <w:pPr>
        <w:pStyle w:val="TOC9"/>
        <w:rPr>
          <w:rFonts w:asciiTheme="minorHAnsi" w:eastAsiaTheme="minorEastAsia" w:hAnsiTheme="minorHAnsi" w:cstheme="minorBidi"/>
          <w:i w:val="0"/>
          <w:noProof/>
          <w:kern w:val="0"/>
          <w:sz w:val="22"/>
          <w:szCs w:val="22"/>
        </w:rPr>
      </w:pPr>
      <w:r>
        <w:rPr>
          <w:noProof/>
        </w:rPr>
        <w:t xml:space="preserve">Health Insurance (Section 3C Diagnostic Imaging </w:t>
      </w:r>
      <w:r w:rsidR="00C8000D" w:rsidRPr="003337DB">
        <w:rPr>
          <w:b/>
          <w:bCs/>
          <w:iCs/>
          <w:color w:val="000000"/>
        </w:rPr>
        <w:t>–</w:t>
      </w:r>
      <w:r>
        <w:rPr>
          <w:noProof/>
        </w:rPr>
        <w:t xml:space="preserve"> Nuclear Medicine Services) Determination 2019</w:t>
      </w:r>
      <w:r w:rsidRPr="00327C75">
        <w:rPr>
          <w:i w:val="0"/>
          <w:noProof/>
          <w:sz w:val="18"/>
        </w:rPr>
        <w:tab/>
      </w:r>
      <w:r>
        <w:rPr>
          <w:i w:val="0"/>
          <w:noProof/>
          <w:sz w:val="18"/>
        </w:rPr>
        <w:t>2</w:t>
      </w:r>
    </w:p>
    <w:bookmarkEnd w:id="0"/>
    <w:p w14:paraId="3DAAEA1D" w14:textId="2C0DE82D" w:rsidR="00EC494C" w:rsidRPr="008F00F1" w:rsidRDefault="00EC494C" w:rsidP="00A32C09">
      <w:pPr>
        <w:pStyle w:val="TOC5"/>
        <w:rPr>
          <w:rFonts w:eastAsiaTheme="minorEastAsia"/>
          <w:noProof/>
          <w:kern w:val="0"/>
          <w:sz w:val="22"/>
          <w:szCs w:val="22"/>
        </w:rPr>
      </w:pPr>
    </w:p>
    <w:p w14:paraId="2494364F" w14:textId="77777777" w:rsidR="00F6696E" w:rsidRDefault="00B418CB" w:rsidP="00F6696E">
      <w:pPr>
        <w:outlineLvl w:val="0"/>
      </w:pPr>
      <w:r w:rsidRPr="008F00F1">
        <w:rPr>
          <w:rFonts w:cs="Times New Roman"/>
        </w:rPr>
        <w:fldChar w:fldCharType="end"/>
      </w:r>
    </w:p>
    <w:p w14:paraId="64F43A28" w14:textId="77777777" w:rsidR="00F6696E" w:rsidRPr="00A802BC" w:rsidRDefault="00F6696E" w:rsidP="00F6696E">
      <w:pPr>
        <w:outlineLvl w:val="0"/>
        <w:rPr>
          <w:sz w:val="20"/>
        </w:rPr>
      </w:pPr>
    </w:p>
    <w:p w14:paraId="0867F8FC" w14:textId="77777777" w:rsidR="00F6696E" w:rsidRDefault="00F6696E" w:rsidP="00F6696E">
      <w:pPr>
        <w:sectPr w:rsidR="00F6696E" w:rsidSect="000E05F9">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14:paraId="17C796F8" w14:textId="77777777" w:rsidR="00554826" w:rsidRPr="00554826" w:rsidRDefault="00554826" w:rsidP="00554826">
      <w:pPr>
        <w:pStyle w:val="ActHead5"/>
      </w:pPr>
      <w:bookmarkStart w:id="1" w:name="_Toc106893517"/>
      <w:r w:rsidRPr="00554826">
        <w:lastRenderedPageBreak/>
        <w:t>1  Name</w:t>
      </w:r>
      <w:bookmarkEnd w:id="1"/>
    </w:p>
    <w:p w14:paraId="5EF75D24" w14:textId="3449F1D0" w:rsidR="00554826" w:rsidRPr="00131922" w:rsidRDefault="00554826" w:rsidP="004940C4">
      <w:pPr>
        <w:pStyle w:val="subsection"/>
        <w:tabs>
          <w:tab w:val="clear" w:pos="1021"/>
        </w:tabs>
        <w:ind w:left="709" w:hanging="709"/>
        <w:rPr>
          <w:color w:val="FF0000"/>
        </w:rPr>
      </w:pPr>
      <w:r w:rsidRPr="009C2562">
        <w:tab/>
      </w:r>
      <w:r w:rsidRPr="009C2562">
        <w:tab/>
        <w:t xml:space="preserve">This </w:t>
      </w:r>
      <w:r>
        <w:t xml:space="preserve">instrument </w:t>
      </w:r>
      <w:r w:rsidRPr="009C2562">
        <w:t xml:space="preserve">is the </w:t>
      </w:r>
      <w:bookmarkStart w:id="2" w:name="BKCheck15B_3"/>
      <w:bookmarkEnd w:id="2"/>
      <w:r w:rsidR="001B2AE6" w:rsidRPr="001B2AE6">
        <w:rPr>
          <w:i/>
          <w:iCs/>
        </w:rPr>
        <w:t xml:space="preserve">Health Insurance (Section 3C Diagnostic Imaging  – </w:t>
      </w:r>
      <w:r w:rsidR="00B11EC1">
        <w:rPr>
          <w:i/>
          <w:iCs/>
        </w:rPr>
        <w:t>Nuclear Medicine Services</w:t>
      </w:r>
      <w:r w:rsidR="001B2AE6" w:rsidRPr="001B2AE6">
        <w:rPr>
          <w:i/>
          <w:iCs/>
        </w:rPr>
        <w:t xml:space="preserve">) </w:t>
      </w:r>
      <w:r w:rsidR="00B11EC1">
        <w:rPr>
          <w:i/>
          <w:iCs/>
        </w:rPr>
        <w:t>Amendment (PET and Technetium</w:t>
      </w:r>
      <w:r w:rsidR="00C8000D">
        <w:rPr>
          <w:i/>
          <w:iCs/>
        </w:rPr>
        <w:t>-</w:t>
      </w:r>
      <w:r w:rsidR="00B11EC1">
        <w:rPr>
          <w:i/>
          <w:iCs/>
        </w:rPr>
        <w:t>99</w:t>
      </w:r>
      <w:r w:rsidR="006F2FC6">
        <w:rPr>
          <w:i/>
          <w:iCs/>
        </w:rPr>
        <w:t>m</w:t>
      </w:r>
      <w:r w:rsidR="00B11EC1">
        <w:rPr>
          <w:i/>
          <w:iCs/>
        </w:rPr>
        <w:t xml:space="preserve">) </w:t>
      </w:r>
      <w:r w:rsidR="001B2AE6" w:rsidRPr="001B2AE6">
        <w:rPr>
          <w:i/>
          <w:iCs/>
        </w:rPr>
        <w:t>Determination 2022</w:t>
      </w:r>
    </w:p>
    <w:p w14:paraId="52BD1EFF" w14:textId="77777777" w:rsidR="00554826" w:rsidRPr="00554826" w:rsidRDefault="00554826" w:rsidP="00554826">
      <w:pPr>
        <w:pStyle w:val="ActHead5"/>
      </w:pPr>
      <w:bookmarkStart w:id="3" w:name="_Toc106893518"/>
      <w:r w:rsidRPr="00554826">
        <w:t>2  Commencement</w:t>
      </w:r>
      <w:bookmarkEnd w:id="3"/>
    </w:p>
    <w:p w14:paraId="3C5AEC36" w14:textId="77777777" w:rsidR="004940C4" w:rsidRPr="00835215" w:rsidRDefault="004940C4" w:rsidP="00B20140">
      <w:pPr>
        <w:pStyle w:val="subsection"/>
        <w:tabs>
          <w:tab w:val="left" w:pos="709"/>
        </w:tabs>
        <w:ind w:left="709" w:hanging="425"/>
      </w:pPr>
      <w:r>
        <w:t>(1)</w:t>
      </w:r>
      <w:r>
        <w:tab/>
      </w:r>
      <w:r>
        <w:tab/>
      </w:r>
      <w:r w:rsidRPr="00835215">
        <w:t>Each provision of this instrument specified in column 1 of the table commences, or is taken to have commenced, in accordance with column 2 of the table. Any other statement in column 2 has effect according to its terms.</w:t>
      </w:r>
    </w:p>
    <w:p w14:paraId="0724A9B7" w14:textId="77777777" w:rsidR="004940C4" w:rsidRPr="00835215" w:rsidRDefault="004940C4" w:rsidP="004940C4">
      <w:pPr>
        <w:pStyle w:val="subsection"/>
        <w:tabs>
          <w:tab w:val="left" w:pos="709"/>
        </w:tabs>
        <w:ind w:left="709" w:hanging="709"/>
      </w:pPr>
    </w:p>
    <w:tbl>
      <w:tblPr>
        <w:tblW w:w="8364" w:type="dxa"/>
        <w:tblInd w:w="107" w:type="dxa"/>
        <w:tblLayout w:type="fixed"/>
        <w:tblCellMar>
          <w:left w:w="107" w:type="dxa"/>
          <w:right w:w="107" w:type="dxa"/>
        </w:tblCellMar>
        <w:tblLook w:val="04A0" w:firstRow="1" w:lastRow="0" w:firstColumn="1" w:lastColumn="0" w:noHBand="0" w:noVBand="1"/>
      </w:tblPr>
      <w:tblGrid>
        <w:gridCol w:w="3154"/>
        <w:gridCol w:w="3367"/>
        <w:gridCol w:w="1843"/>
      </w:tblGrid>
      <w:tr w:rsidR="004940C4" w:rsidRPr="00F619ED" w14:paraId="2F3A7035" w14:textId="77777777" w:rsidTr="0018784C">
        <w:trPr>
          <w:cantSplit/>
          <w:trHeight w:val="202"/>
          <w:tblHeader/>
        </w:trPr>
        <w:tc>
          <w:tcPr>
            <w:tcW w:w="8364" w:type="dxa"/>
            <w:gridSpan w:val="3"/>
            <w:tcBorders>
              <w:top w:val="single" w:sz="12" w:space="0" w:color="auto"/>
              <w:left w:val="nil"/>
              <w:bottom w:val="single" w:sz="6" w:space="0" w:color="auto"/>
              <w:right w:val="nil"/>
            </w:tcBorders>
            <w:hideMark/>
          </w:tcPr>
          <w:p w14:paraId="248F79A5"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Commencement information</w:t>
            </w:r>
          </w:p>
        </w:tc>
      </w:tr>
      <w:tr w:rsidR="004940C4" w:rsidRPr="00F619ED" w14:paraId="7B1560D1" w14:textId="77777777" w:rsidTr="0018784C">
        <w:trPr>
          <w:cantSplit/>
          <w:trHeight w:val="209"/>
          <w:tblHeader/>
        </w:trPr>
        <w:tc>
          <w:tcPr>
            <w:tcW w:w="3154" w:type="dxa"/>
            <w:tcBorders>
              <w:top w:val="single" w:sz="6" w:space="0" w:color="auto"/>
              <w:left w:val="nil"/>
              <w:bottom w:val="single" w:sz="6" w:space="0" w:color="auto"/>
              <w:right w:val="nil"/>
            </w:tcBorders>
            <w:hideMark/>
          </w:tcPr>
          <w:p w14:paraId="6FEF5CBF"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Column 1</w:t>
            </w:r>
          </w:p>
        </w:tc>
        <w:tc>
          <w:tcPr>
            <w:tcW w:w="3367" w:type="dxa"/>
            <w:tcBorders>
              <w:top w:val="single" w:sz="6" w:space="0" w:color="auto"/>
              <w:left w:val="nil"/>
              <w:bottom w:val="single" w:sz="6" w:space="0" w:color="auto"/>
              <w:right w:val="nil"/>
            </w:tcBorders>
            <w:hideMark/>
          </w:tcPr>
          <w:p w14:paraId="4CC5EDC4"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Column 2</w:t>
            </w:r>
          </w:p>
        </w:tc>
        <w:tc>
          <w:tcPr>
            <w:tcW w:w="1843" w:type="dxa"/>
            <w:tcBorders>
              <w:top w:val="single" w:sz="6" w:space="0" w:color="auto"/>
              <w:left w:val="nil"/>
              <w:bottom w:val="single" w:sz="6" w:space="0" w:color="auto"/>
              <w:right w:val="nil"/>
            </w:tcBorders>
            <w:hideMark/>
          </w:tcPr>
          <w:p w14:paraId="603F6513"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Column 3</w:t>
            </w:r>
          </w:p>
        </w:tc>
      </w:tr>
      <w:tr w:rsidR="004940C4" w:rsidRPr="00F619ED" w14:paraId="4A74A92F" w14:textId="77777777" w:rsidTr="0018784C">
        <w:trPr>
          <w:cantSplit/>
          <w:tblHeader/>
        </w:trPr>
        <w:tc>
          <w:tcPr>
            <w:tcW w:w="3154" w:type="dxa"/>
            <w:tcBorders>
              <w:top w:val="single" w:sz="6" w:space="0" w:color="auto"/>
              <w:left w:val="nil"/>
              <w:bottom w:val="single" w:sz="12" w:space="0" w:color="auto"/>
              <w:right w:val="nil"/>
            </w:tcBorders>
            <w:hideMark/>
          </w:tcPr>
          <w:p w14:paraId="7E3026BC"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Provisions</w:t>
            </w:r>
          </w:p>
        </w:tc>
        <w:tc>
          <w:tcPr>
            <w:tcW w:w="3367" w:type="dxa"/>
            <w:tcBorders>
              <w:top w:val="single" w:sz="6" w:space="0" w:color="auto"/>
              <w:left w:val="nil"/>
              <w:bottom w:val="single" w:sz="12" w:space="0" w:color="auto"/>
              <w:right w:val="nil"/>
            </w:tcBorders>
            <w:hideMark/>
          </w:tcPr>
          <w:p w14:paraId="184B0165"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Commencement</w:t>
            </w:r>
          </w:p>
        </w:tc>
        <w:tc>
          <w:tcPr>
            <w:tcW w:w="1843" w:type="dxa"/>
            <w:tcBorders>
              <w:top w:val="single" w:sz="6" w:space="0" w:color="auto"/>
              <w:left w:val="nil"/>
              <w:bottom w:val="single" w:sz="12" w:space="0" w:color="auto"/>
              <w:right w:val="nil"/>
            </w:tcBorders>
            <w:hideMark/>
          </w:tcPr>
          <w:p w14:paraId="1081465A" w14:textId="77777777" w:rsidR="004940C4" w:rsidRPr="00F619ED" w:rsidRDefault="004940C4" w:rsidP="0018784C">
            <w:pPr>
              <w:keepNext/>
              <w:autoSpaceDE w:val="0"/>
              <w:autoSpaceDN w:val="0"/>
              <w:spacing w:before="60" w:line="240" w:lineRule="atLeast"/>
              <w:rPr>
                <w:rFonts w:eastAsia="Times New Roman" w:cs="Times New Roman"/>
                <w:b/>
                <w:sz w:val="20"/>
                <w:szCs w:val="24"/>
                <w:lang w:eastAsia="en-AU"/>
              </w:rPr>
            </w:pPr>
            <w:r w:rsidRPr="00F619ED">
              <w:rPr>
                <w:rFonts w:eastAsia="Times New Roman" w:cs="Times New Roman"/>
                <w:b/>
                <w:sz w:val="20"/>
                <w:szCs w:val="24"/>
                <w:lang w:eastAsia="en-AU"/>
              </w:rPr>
              <w:t>Date/Details</w:t>
            </w:r>
          </w:p>
        </w:tc>
      </w:tr>
      <w:tr w:rsidR="004940C4" w:rsidRPr="00F619ED" w14:paraId="1F08CFDD" w14:textId="77777777" w:rsidTr="003E73C0">
        <w:trPr>
          <w:cantSplit/>
        </w:trPr>
        <w:tc>
          <w:tcPr>
            <w:tcW w:w="3154" w:type="dxa"/>
            <w:tcBorders>
              <w:top w:val="single" w:sz="12" w:space="0" w:color="auto"/>
              <w:left w:val="nil"/>
              <w:bottom w:val="single" w:sz="12" w:space="0" w:color="auto"/>
              <w:right w:val="nil"/>
            </w:tcBorders>
            <w:hideMark/>
          </w:tcPr>
          <w:p w14:paraId="788B5CA4" w14:textId="77777777" w:rsidR="004940C4" w:rsidRPr="00F619ED" w:rsidRDefault="004940C4" w:rsidP="0018784C">
            <w:pPr>
              <w:keepNext/>
              <w:autoSpaceDE w:val="0"/>
              <w:autoSpaceDN w:val="0"/>
              <w:spacing w:before="60" w:line="240" w:lineRule="atLeast"/>
              <w:rPr>
                <w:rFonts w:eastAsia="Times New Roman" w:cs="Times New Roman"/>
                <w:sz w:val="20"/>
                <w:szCs w:val="24"/>
                <w:lang w:eastAsia="en-AU"/>
              </w:rPr>
            </w:pPr>
            <w:r w:rsidRPr="00F619ED">
              <w:rPr>
                <w:rFonts w:eastAsia="Times New Roman" w:cs="Times New Roman"/>
                <w:sz w:val="20"/>
                <w:szCs w:val="24"/>
                <w:lang w:eastAsia="en-AU"/>
              </w:rPr>
              <w:t>1.  The whole of this instrument</w:t>
            </w:r>
          </w:p>
        </w:tc>
        <w:tc>
          <w:tcPr>
            <w:tcW w:w="3367" w:type="dxa"/>
            <w:tcBorders>
              <w:top w:val="single" w:sz="12" w:space="0" w:color="auto"/>
              <w:left w:val="nil"/>
              <w:bottom w:val="single" w:sz="12" w:space="0" w:color="auto"/>
              <w:right w:val="nil"/>
            </w:tcBorders>
            <w:hideMark/>
          </w:tcPr>
          <w:p w14:paraId="156E075A" w14:textId="1824411D" w:rsidR="004940C4" w:rsidRPr="003E73C0" w:rsidRDefault="00B553BB" w:rsidP="003E2302">
            <w:pPr>
              <w:keepNext/>
              <w:autoSpaceDE w:val="0"/>
              <w:autoSpaceDN w:val="0"/>
              <w:spacing w:before="60" w:line="240" w:lineRule="atLeast"/>
              <w:rPr>
                <w:rFonts w:eastAsia="Times New Roman" w:cs="Times New Roman"/>
                <w:color w:val="FF0000"/>
                <w:sz w:val="20"/>
                <w:szCs w:val="24"/>
                <w:lang w:eastAsia="en-AU"/>
              </w:rPr>
            </w:pPr>
            <w:r w:rsidRPr="006823B9">
              <w:rPr>
                <w:rFonts w:eastAsia="Times New Roman" w:cs="Times New Roman"/>
                <w:sz w:val="20"/>
                <w:szCs w:val="24"/>
                <w:lang w:eastAsia="en-AU"/>
              </w:rPr>
              <w:t xml:space="preserve">1 </w:t>
            </w:r>
            <w:r w:rsidR="00B11EC1">
              <w:rPr>
                <w:rFonts w:eastAsia="Times New Roman" w:cs="Times New Roman"/>
                <w:sz w:val="20"/>
                <w:szCs w:val="24"/>
                <w:lang w:eastAsia="en-AU"/>
              </w:rPr>
              <w:t>November</w:t>
            </w:r>
            <w:r w:rsidRPr="006823B9">
              <w:rPr>
                <w:rFonts w:eastAsia="Times New Roman" w:cs="Times New Roman"/>
                <w:sz w:val="20"/>
                <w:szCs w:val="24"/>
                <w:lang w:eastAsia="en-AU"/>
              </w:rPr>
              <w:t xml:space="preserve"> 2022</w:t>
            </w:r>
          </w:p>
        </w:tc>
        <w:tc>
          <w:tcPr>
            <w:tcW w:w="1843" w:type="dxa"/>
            <w:tcBorders>
              <w:top w:val="single" w:sz="12" w:space="0" w:color="auto"/>
              <w:left w:val="nil"/>
              <w:bottom w:val="single" w:sz="12" w:space="0" w:color="auto"/>
              <w:right w:val="nil"/>
            </w:tcBorders>
          </w:tcPr>
          <w:p w14:paraId="391CC044" w14:textId="77777777" w:rsidR="004940C4" w:rsidRPr="00F619ED" w:rsidRDefault="004940C4" w:rsidP="0018784C">
            <w:pPr>
              <w:keepNext/>
              <w:autoSpaceDE w:val="0"/>
              <w:autoSpaceDN w:val="0"/>
              <w:spacing w:before="60" w:line="240" w:lineRule="atLeast"/>
              <w:rPr>
                <w:rFonts w:eastAsia="Times New Roman" w:cs="Times New Roman"/>
                <w:sz w:val="20"/>
                <w:szCs w:val="24"/>
                <w:lang w:eastAsia="en-AU"/>
              </w:rPr>
            </w:pPr>
          </w:p>
        </w:tc>
      </w:tr>
    </w:tbl>
    <w:p w14:paraId="17141A0C" w14:textId="77777777" w:rsidR="004940C4" w:rsidRPr="00835215" w:rsidRDefault="004940C4" w:rsidP="004940C4">
      <w:pPr>
        <w:pStyle w:val="subsection"/>
        <w:tabs>
          <w:tab w:val="left" w:pos="709"/>
        </w:tabs>
        <w:ind w:left="709" w:hanging="709"/>
        <w:rPr>
          <w:sz w:val="18"/>
          <w:szCs w:val="18"/>
        </w:rPr>
      </w:pPr>
      <w:r>
        <w:rPr>
          <w:sz w:val="18"/>
          <w:szCs w:val="18"/>
        </w:rPr>
        <w:tab/>
      </w:r>
      <w:r w:rsidRPr="00835215">
        <w:rPr>
          <w:sz w:val="18"/>
          <w:szCs w:val="18"/>
        </w:rPr>
        <w:t>Note:</w:t>
      </w:r>
      <w:r w:rsidRPr="00835215">
        <w:rPr>
          <w:sz w:val="18"/>
          <w:szCs w:val="18"/>
        </w:rPr>
        <w:tab/>
        <w:t>This table relates only to the provisions of this instrument as originally made. It will not be amended to deal with any later amendments of this instrument.</w:t>
      </w:r>
    </w:p>
    <w:p w14:paraId="79380ADC" w14:textId="58348B4D" w:rsidR="004940C4" w:rsidRDefault="004940C4" w:rsidP="00B20140">
      <w:pPr>
        <w:pStyle w:val="subsection"/>
        <w:tabs>
          <w:tab w:val="clear" w:pos="1021"/>
          <w:tab w:val="left" w:pos="709"/>
        </w:tabs>
        <w:ind w:left="709" w:hanging="425"/>
      </w:pPr>
      <w:r>
        <w:t>(2)</w:t>
      </w:r>
      <w:r w:rsidRPr="00835215">
        <w:tab/>
        <w:t>Any information in column 3 of the table is not part of this instrument. Information may be inserted in this column, or information in it may be edited, in any published version of this instrument.</w:t>
      </w:r>
    </w:p>
    <w:p w14:paraId="33FC43E2" w14:textId="406068AE" w:rsidR="00184387" w:rsidRPr="00554826" w:rsidRDefault="00184387" w:rsidP="00184387">
      <w:pPr>
        <w:pStyle w:val="ActHead5"/>
      </w:pPr>
      <w:bookmarkStart w:id="4" w:name="_Toc106893519"/>
      <w:r>
        <w:t xml:space="preserve">3  </w:t>
      </w:r>
      <w:r w:rsidRPr="00554826">
        <w:t>Authority</w:t>
      </w:r>
      <w:bookmarkEnd w:id="4"/>
    </w:p>
    <w:p w14:paraId="0B04E6B8" w14:textId="46553899" w:rsidR="00C94320" w:rsidRPr="00835215" w:rsidRDefault="00184387" w:rsidP="00691A72">
      <w:pPr>
        <w:pStyle w:val="subsection"/>
        <w:tabs>
          <w:tab w:val="clear" w:pos="1021"/>
        </w:tabs>
        <w:ind w:left="709" w:hanging="709"/>
      </w:pPr>
      <w:r w:rsidRPr="009C2562">
        <w:tab/>
      </w:r>
      <w:r w:rsidRPr="009C2562">
        <w:tab/>
        <w:t xml:space="preserve">This instrument is made under </w:t>
      </w:r>
      <w:r>
        <w:t xml:space="preserve">subsection 3C(1) of the </w:t>
      </w:r>
      <w:r w:rsidRPr="00543BE3">
        <w:rPr>
          <w:i/>
        </w:rPr>
        <w:t>Health Insurance Act 197</w:t>
      </w:r>
      <w:r w:rsidR="005F1674">
        <w:rPr>
          <w:i/>
        </w:rPr>
        <w:t>3</w:t>
      </w:r>
      <w:r w:rsidR="00C94320" w:rsidRPr="009C2562">
        <w:tab/>
      </w:r>
      <w:r w:rsidR="00C94320" w:rsidRPr="009C2562">
        <w:tab/>
      </w:r>
      <w:bookmarkStart w:id="5" w:name="_Hlk106373132"/>
      <w:r w:rsidR="00C94320">
        <w:t xml:space="preserve"> </w:t>
      </w:r>
      <w:bookmarkEnd w:id="5"/>
    </w:p>
    <w:p w14:paraId="18E71999" w14:textId="77777777" w:rsidR="003A7B38" w:rsidRPr="00B11EC1" w:rsidRDefault="003A7B38" w:rsidP="003A7B38">
      <w:pPr>
        <w:pStyle w:val="ActHead5"/>
        <w:tabs>
          <w:tab w:val="left" w:pos="284"/>
        </w:tabs>
        <w:rPr>
          <w:sz w:val="22"/>
          <w:szCs w:val="22"/>
        </w:rPr>
      </w:pPr>
      <w:bookmarkStart w:id="6" w:name="_Toc20744775"/>
      <w:bookmarkStart w:id="7" w:name="_Toc454781205"/>
      <w:bookmarkStart w:id="8" w:name="_Toc106893520"/>
      <w:r w:rsidRPr="00B11EC1">
        <w:rPr>
          <w:sz w:val="22"/>
          <w:szCs w:val="22"/>
        </w:rPr>
        <w:t xml:space="preserve">4  </w:t>
      </w:r>
      <w:r>
        <w:rPr>
          <w:sz w:val="22"/>
          <w:szCs w:val="22"/>
        </w:rPr>
        <w:t xml:space="preserve"> </w:t>
      </w:r>
      <w:r w:rsidRPr="00B11EC1">
        <w:rPr>
          <w:sz w:val="22"/>
          <w:szCs w:val="22"/>
        </w:rPr>
        <w:t>Schedules</w:t>
      </w:r>
      <w:bookmarkEnd w:id="6"/>
    </w:p>
    <w:p w14:paraId="5FBE89C6" w14:textId="48A618B4" w:rsidR="00703917" w:rsidRPr="00D16A37" w:rsidRDefault="003A7B38" w:rsidP="00D16A37">
      <w:pPr>
        <w:pStyle w:val="subsection"/>
        <w:tabs>
          <w:tab w:val="clear" w:pos="1021"/>
        </w:tabs>
        <w:ind w:left="1182" w:firstLine="0"/>
      </w:pPr>
      <w:r w:rsidRPr="006065DA">
        <w:t>Each instrument that is specified in a Schedule to this instrument is amended or repealed as set out in the applicable items in the Schedule concerned, and any other item in a Schedule to this instrument has effect according to its terms.</w:t>
      </w:r>
      <w:bookmarkStart w:id="9" w:name="_Toc99632423"/>
      <w:bookmarkEnd w:id="7"/>
      <w:bookmarkEnd w:id="8"/>
    </w:p>
    <w:p w14:paraId="56514223" w14:textId="35AB3966" w:rsidR="00703917" w:rsidRDefault="00703917" w:rsidP="00703917">
      <w:pPr>
        <w:shd w:val="clear" w:color="auto" w:fill="FFFFFF"/>
        <w:spacing w:before="120"/>
        <w:rPr>
          <w:color w:val="000000"/>
        </w:rPr>
      </w:pPr>
    </w:p>
    <w:bookmarkEnd w:id="9"/>
    <w:p w14:paraId="6A0135E5" w14:textId="60417535" w:rsidR="00687F08" w:rsidRDefault="00687F08" w:rsidP="009A79F2">
      <w:pPr>
        <w:shd w:val="clear" w:color="auto" w:fill="FFFFFF"/>
        <w:spacing w:before="120" w:line="240" w:lineRule="auto"/>
        <w:rPr>
          <w:rFonts w:eastAsia="Times New Roman" w:cs="Times New Roman"/>
          <w:b/>
          <w:bCs/>
          <w:color w:val="000000"/>
          <w:szCs w:val="22"/>
          <w:lang w:eastAsia="en-AU"/>
        </w:rPr>
      </w:pPr>
    </w:p>
    <w:p w14:paraId="4A3A64F8" w14:textId="7B1699A0"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2D10848A" w14:textId="3B565A12"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7ACA4438" w14:textId="09C602FE"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0C6D92F5" w14:textId="600ECF0D"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332A0B40" w14:textId="11CBFAA8"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595BC098" w14:textId="465981EF"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72DA90F4" w14:textId="19B69FB2" w:rsidR="00457B53" w:rsidRDefault="00457B53" w:rsidP="009A79F2">
      <w:pPr>
        <w:shd w:val="clear" w:color="auto" w:fill="FFFFFF"/>
        <w:spacing w:before="120" w:line="240" w:lineRule="auto"/>
        <w:rPr>
          <w:rFonts w:eastAsia="Times New Roman" w:cs="Times New Roman"/>
          <w:b/>
          <w:bCs/>
          <w:color w:val="000000"/>
          <w:szCs w:val="22"/>
          <w:lang w:eastAsia="en-AU"/>
        </w:rPr>
      </w:pPr>
    </w:p>
    <w:p w14:paraId="0E192B03" w14:textId="77777777" w:rsidR="00457B53" w:rsidRPr="009A79F2" w:rsidRDefault="00457B53" w:rsidP="009A79F2">
      <w:pPr>
        <w:shd w:val="clear" w:color="auto" w:fill="FFFFFF"/>
        <w:spacing w:before="120" w:line="240" w:lineRule="auto"/>
        <w:rPr>
          <w:rFonts w:eastAsia="Times New Roman" w:cs="Times New Roman"/>
          <w:color w:val="000000"/>
          <w:sz w:val="24"/>
          <w:szCs w:val="24"/>
          <w:lang w:eastAsia="en-AU"/>
        </w:rPr>
      </w:pPr>
    </w:p>
    <w:p w14:paraId="3B548A03" w14:textId="0B0E6840" w:rsidR="00FF4480" w:rsidRPr="0066172F" w:rsidRDefault="004E1307" w:rsidP="0066172F">
      <w:pPr>
        <w:spacing w:before="180"/>
        <w:rPr>
          <w:rFonts w:cs="Times New Roman"/>
          <w:b/>
          <w:bCs/>
          <w:sz w:val="24"/>
          <w:szCs w:val="24"/>
        </w:rPr>
      </w:pPr>
      <w:bookmarkStart w:id="10" w:name="opcCurrentFind"/>
      <w:bookmarkStart w:id="11" w:name="opcAmSched"/>
      <w:bookmarkStart w:id="12" w:name="_Toc106893522"/>
      <w:bookmarkEnd w:id="10"/>
      <w:bookmarkEnd w:id="11"/>
      <w:r w:rsidRPr="0066172F">
        <w:rPr>
          <w:rFonts w:ascii="Arial" w:hAnsi="Arial" w:cs="Arial"/>
          <w:b/>
          <w:bCs/>
          <w:sz w:val="24"/>
          <w:szCs w:val="24"/>
        </w:rPr>
        <w:lastRenderedPageBreak/>
        <w:t>Schedule</w:t>
      </w:r>
      <w:r w:rsidR="00687F08" w:rsidRPr="0066172F">
        <w:rPr>
          <w:rFonts w:ascii="Arial" w:hAnsi="Arial" w:cs="Arial"/>
          <w:b/>
          <w:bCs/>
          <w:sz w:val="24"/>
          <w:szCs w:val="24"/>
        </w:rPr>
        <w:t xml:space="preserve"> 1</w:t>
      </w:r>
      <w:r w:rsidRPr="0066172F">
        <w:rPr>
          <w:rFonts w:ascii="Arial" w:hAnsi="Arial" w:cs="Arial"/>
          <w:b/>
          <w:bCs/>
          <w:sz w:val="24"/>
          <w:szCs w:val="24"/>
        </w:rPr>
        <w:t xml:space="preserve"> </w:t>
      </w:r>
      <w:r w:rsidR="00D6537E" w:rsidRPr="0066172F">
        <w:rPr>
          <w:rFonts w:ascii="Arial" w:hAnsi="Arial" w:cs="Arial"/>
          <w:b/>
          <w:bCs/>
          <w:sz w:val="24"/>
          <w:szCs w:val="24"/>
        </w:rPr>
        <w:t>—</w:t>
      </w:r>
      <w:bookmarkEnd w:id="12"/>
      <w:r w:rsidR="0066172F" w:rsidRPr="0066172F">
        <w:rPr>
          <w:rFonts w:ascii="Arial" w:hAnsi="Arial" w:cs="Arial"/>
          <w:b/>
          <w:bCs/>
          <w:sz w:val="24"/>
          <w:szCs w:val="24"/>
        </w:rPr>
        <w:t xml:space="preserve"> Amendments</w:t>
      </w:r>
    </w:p>
    <w:p w14:paraId="3A51A6DC" w14:textId="77777777" w:rsidR="0066172F" w:rsidRDefault="0066172F" w:rsidP="0066172F">
      <w:pPr>
        <w:pStyle w:val="itemhead0"/>
        <w:shd w:val="clear" w:color="auto" w:fill="FFFFFF"/>
        <w:spacing w:before="0" w:beforeAutospacing="0" w:after="0" w:afterAutospacing="0"/>
        <w:ind w:left="709" w:hanging="709"/>
        <w:rPr>
          <w:rFonts w:ascii="Arial" w:hAnsi="Arial" w:cs="Arial"/>
          <w:b/>
          <w:bCs/>
          <w:i/>
          <w:iCs/>
          <w:color w:val="000000"/>
        </w:rPr>
      </w:pPr>
    </w:p>
    <w:p w14:paraId="47026E5E" w14:textId="7DB5963D" w:rsidR="0066172F" w:rsidRPr="003337DB" w:rsidRDefault="0066172F" w:rsidP="0066172F">
      <w:pPr>
        <w:pStyle w:val="itemhead0"/>
        <w:shd w:val="clear" w:color="auto" w:fill="FFFFFF"/>
        <w:spacing w:before="0" w:beforeAutospacing="0" w:after="0" w:afterAutospacing="0"/>
        <w:ind w:left="709" w:hanging="709"/>
        <w:rPr>
          <w:b/>
          <w:bCs/>
          <w:i/>
          <w:iCs/>
          <w:color w:val="000000"/>
        </w:rPr>
      </w:pPr>
      <w:r w:rsidRPr="003337DB">
        <w:rPr>
          <w:b/>
          <w:bCs/>
          <w:i/>
          <w:iCs/>
          <w:color w:val="000000"/>
        </w:rPr>
        <w:t>Health Insurance (Section 3C Diagnostic Imaging – Nuclear Medicine</w:t>
      </w:r>
    </w:p>
    <w:p w14:paraId="517AB0E4" w14:textId="79518258" w:rsidR="00B174B9" w:rsidRPr="003337DB" w:rsidRDefault="0066172F" w:rsidP="0066172F">
      <w:pPr>
        <w:pStyle w:val="itemhead0"/>
        <w:shd w:val="clear" w:color="auto" w:fill="FFFFFF"/>
        <w:spacing w:before="0" w:beforeAutospacing="0" w:after="0" w:afterAutospacing="0"/>
        <w:ind w:left="709" w:hanging="709"/>
        <w:rPr>
          <w:b/>
          <w:bCs/>
          <w:i/>
          <w:iCs/>
          <w:color w:val="000000"/>
        </w:rPr>
      </w:pPr>
      <w:r w:rsidRPr="003337DB">
        <w:rPr>
          <w:b/>
          <w:bCs/>
          <w:i/>
          <w:iCs/>
          <w:color w:val="000000"/>
        </w:rPr>
        <w:t>Services) Determination 2019</w:t>
      </w:r>
      <w:r w:rsidR="00B174B9" w:rsidRPr="003337DB">
        <w:rPr>
          <w:b/>
          <w:bCs/>
          <w:i/>
          <w:iCs/>
          <w:color w:val="000000"/>
        </w:rPr>
        <w:t xml:space="preserve">  </w:t>
      </w:r>
    </w:p>
    <w:p w14:paraId="27F331B1" w14:textId="7C90FBFB" w:rsidR="0066172F" w:rsidRDefault="003337DB" w:rsidP="003337DB">
      <w:pPr>
        <w:pStyle w:val="itemhead0"/>
        <w:numPr>
          <w:ilvl w:val="0"/>
          <w:numId w:val="37"/>
        </w:numPr>
        <w:shd w:val="clear" w:color="auto" w:fill="FFFFFF"/>
        <w:spacing w:before="220" w:beforeAutospacing="0" w:after="0" w:afterAutospacing="0"/>
        <w:rPr>
          <w:rFonts w:ascii="Arial" w:hAnsi="Arial" w:cs="Arial"/>
          <w:b/>
          <w:bCs/>
          <w:color w:val="000000"/>
        </w:rPr>
      </w:pPr>
      <w:r>
        <w:rPr>
          <w:rFonts w:ascii="Arial" w:hAnsi="Arial" w:cs="Arial"/>
          <w:b/>
          <w:bCs/>
          <w:color w:val="000000"/>
        </w:rPr>
        <w:t>Section 4(1)</w:t>
      </w:r>
    </w:p>
    <w:p w14:paraId="4B163C2E" w14:textId="1F77FA23" w:rsidR="003337DB" w:rsidRPr="00BF63C1" w:rsidRDefault="003337DB" w:rsidP="003337DB">
      <w:pPr>
        <w:pStyle w:val="itemhead0"/>
        <w:shd w:val="clear" w:color="auto" w:fill="FFFFFF"/>
        <w:spacing w:before="220" w:beforeAutospacing="0" w:after="0" w:afterAutospacing="0"/>
        <w:ind w:left="720"/>
        <w:rPr>
          <w:color w:val="000000"/>
          <w:sz w:val="22"/>
          <w:szCs w:val="22"/>
        </w:rPr>
      </w:pPr>
      <w:bookmarkStart w:id="13" w:name="_Hlk109992081"/>
      <w:r w:rsidRPr="00BF63C1">
        <w:rPr>
          <w:color w:val="000000"/>
          <w:sz w:val="22"/>
          <w:szCs w:val="22"/>
        </w:rPr>
        <w:t xml:space="preserve">Repeal the </w:t>
      </w:r>
      <w:r w:rsidR="005B60D7" w:rsidRPr="00BF63C1">
        <w:rPr>
          <w:color w:val="000000"/>
          <w:sz w:val="22"/>
          <w:szCs w:val="22"/>
        </w:rPr>
        <w:t xml:space="preserve">following </w:t>
      </w:r>
      <w:r w:rsidRPr="00BF63C1">
        <w:rPr>
          <w:color w:val="000000"/>
          <w:sz w:val="22"/>
          <w:szCs w:val="22"/>
        </w:rPr>
        <w:t>definition</w:t>
      </w:r>
      <w:r w:rsidR="005B60D7" w:rsidRPr="00BF63C1">
        <w:rPr>
          <w:color w:val="000000"/>
          <w:sz w:val="22"/>
          <w:szCs w:val="22"/>
        </w:rPr>
        <w:t>s:</w:t>
      </w:r>
      <w:bookmarkEnd w:id="13"/>
    </w:p>
    <w:p w14:paraId="58C3C83C" w14:textId="43D06DFD" w:rsidR="005B60D7" w:rsidRPr="005C62FD" w:rsidRDefault="005B60D7" w:rsidP="005C62FD">
      <w:pPr>
        <w:pStyle w:val="itemhead0"/>
        <w:shd w:val="clear" w:color="auto" w:fill="FFFFFF"/>
        <w:spacing w:before="220" w:beforeAutospacing="0" w:after="0" w:afterAutospacing="0"/>
        <w:ind w:left="1080"/>
        <w:rPr>
          <w:color w:val="000000"/>
          <w:sz w:val="22"/>
          <w:szCs w:val="22"/>
        </w:rPr>
      </w:pPr>
      <w:r w:rsidRPr="005C62FD">
        <w:rPr>
          <w:color w:val="000000"/>
          <w:sz w:val="22"/>
          <w:szCs w:val="22"/>
        </w:rPr>
        <w:t xml:space="preserve">Definition of </w:t>
      </w:r>
      <w:r w:rsidRPr="005C62FD">
        <w:rPr>
          <w:b/>
          <w:bCs/>
          <w:i/>
          <w:iCs/>
          <w:color w:val="000000"/>
          <w:sz w:val="22"/>
          <w:szCs w:val="22"/>
        </w:rPr>
        <w:t>Modified Monash 3 area</w:t>
      </w:r>
      <w:r w:rsidRPr="005C62FD">
        <w:rPr>
          <w:color w:val="000000"/>
          <w:sz w:val="22"/>
          <w:szCs w:val="22"/>
        </w:rPr>
        <w:t xml:space="preserve">; </w:t>
      </w:r>
    </w:p>
    <w:p w14:paraId="5AB45AF1" w14:textId="6E5DBA7D" w:rsidR="005B60D7" w:rsidRPr="005C62FD" w:rsidRDefault="005B60D7" w:rsidP="005C62FD">
      <w:pPr>
        <w:pStyle w:val="itemhead0"/>
        <w:shd w:val="clear" w:color="auto" w:fill="FFFFFF"/>
        <w:spacing w:before="220" w:beforeAutospacing="0" w:after="0" w:afterAutospacing="0"/>
        <w:ind w:left="1080"/>
        <w:rPr>
          <w:color w:val="000000"/>
          <w:sz w:val="22"/>
          <w:szCs w:val="22"/>
        </w:rPr>
      </w:pPr>
      <w:r w:rsidRPr="005C62FD">
        <w:rPr>
          <w:color w:val="000000"/>
          <w:sz w:val="22"/>
          <w:szCs w:val="22"/>
        </w:rPr>
        <w:t xml:space="preserve">Definition of </w:t>
      </w:r>
      <w:r w:rsidRPr="005C62FD">
        <w:rPr>
          <w:b/>
          <w:bCs/>
          <w:i/>
          <w:iCs/>
          <w:color w:val="000000"/>
          <w:sz w:val="22"/>
          <w:szCs w:val="22"/>
        </w:rPr>
        <w:t>Modified Monash 4 area</w:t>
      </w:r>
      <w:r w:rsidRPr="005C62FD">
        <w:rPr>
          <w:color w:val="000000"/>
          <w:sz w:val="22"/>
          <w:szCs w:val="22"/>
        </w:rPr>
        <w:t xml:space="preserve">; </w:t>
      </w:r>
    </w:p>
    <w:p w14:paraId="38416587" w14:textId="55FB7561" w:rsidR="005B60D7" w:rsidRPr="005C62FD" w:rsidRDefault="005B60D7" w:rsidP="005C62FD">
      <w:pPr>
        <w:pStyle w:val="itemhead0"/>
        <w:shd w:val="clear" w:color="auto" w:fill="FFFFFF"/>
        <w:spacing w:before="220" w:beforeAutospacing="0" w:after="0" w:afterAutospacing="0"/>
        <w:ind w:left="1080"/>
        <w:rPr>
          <w:color w:val="000000"/>
          <w:sz w:val="22"/>
          <w:szCs w:val="22"/>
        </w:rPr>
      </w:pPr>
      <w:r w:rsidRPr="005C62FD">
        <w:rPr>
          <w:color w:val="000000"/>
          <w:sz w:val="22"/>
          <w:szCs w:val="22"/>
        </w:rPr>
        <w:t xml:space="preserve">Definition of </w:t>
      </w:r>
      <w:r w:rsidRPr="005C62FD">
        <w:rPr>
          <w:b/>
          <w:bCs/>
          <w:i/>
          <w:iCs/>
          <w:color w:val="000000"/>
          <w:sz w:val="22"/>
          <w:szCs w:val="22"/>
        </w:rPr>
        <w:t>Modified Monash 5 area</w:t>
      </w:r>
      <w:r w:rsidRPr="005C62FD">
        <w:rPr>
          <w:color w:val="000000"/>
          <w:sz w:val="22"/>
          <w:szCs w:val="22"/>
        </w:rPr>
        <w:t xml:space="preserve">; </w:t>
      </w:r>
    </w:p>
    <w:p w14:paraId="6FC18EE2" w14:textId="5ED0F9F4" w:rsidR="005B60D7" w:rsidRPr="005C62FD" w:rsidRDefault="005B60D7" w:rsidP="005C62FD">
      <w:pPr>
        <w:pStyle w:val="itemhead0"/>
        <w:shd w:val="clear" w:color="auto" w:fill="FFFFFF"/>
        <w:spacing w:before="220" w:beforeAutospacing="0" w:after="0" w:afterAutospacing="0"/>
        <w:ind w:left="1080"/>
        <w:rPr>
          <w:color w:val="000000"/>
          <w:sz w:val="22"/>
          <w:szCs w:val="22"/>
        </w:rPr>
      </w:pPr>
      <w:r w:rsidRPr="005C62FD">
        <w:rPr>
          <w:color w:val="000000"/>
          <w:sz w:val="22"/>
          <w:szCs w:val="22"/>
        </w:rPr>
        <w:t xml:space="preserve">Definition of </w:t>
      </w:r>
      <w:r w:rsidRPr="005C62FD">
        <w:rPr>
          <w:b/>
          <w:bCs/>
          <w:i/>
          <w:iCs/>
          <w:color w:val="000000"/>
          <w:sz w:val="22"/>
          <w:szCs w:val="22"/>
        </w:rPr>
        <w:t>Modified Monash 6 area</w:t>
      </w:r>
      <w:r w:rsidRPr="005C62FD">
        <w:rPr>
          <w:color w:val="000000"/>
          <w:sz w:val="22"/>
          <w:szCs w:val="22"/>
        </w:rPr>
        <w:t xml:space="preserve">; </w:t>
      </w:r>
    </w:p>
    <w:p w14:paraId="027A6C74" w14:textId="4439F2F2" w:rsidR="005B60D7" w:rsidRPr="005C62FD" w:rsidRDefault="005B60D7" w:rsidP="005C62FD">
      <w:pPr>
        <w:pStyle w:val="itemhead0"/>
        <w:shd w:val="clear" w:color="auto" w:fill="FFFFFF"/>
        <w:spacing w:before="220" w:beforeAutospacing="0" w:after="0" w:afterAutospacing="0"/>
        <w:ind w:left="1080"/>
        <w:rPr>
          <w:color w:val="000000"/>
          <w:sz w:val="22"/>
          <w:szCs w:val="22"/>
        </w:rPr>
      </w:pPr>
      <w:r w:rsidRPr="005C62FD">
        <w:rPr>
          <w:color w:val="000000"/>
          <w:sz w:val="22"/>
          <w:szCs w:val="22"/>
        </w:rPr>
        <w:t xml:space="preserve">Definition of </w:t>
      </w:r>
      <w:r w:rsidRPr="005C62FD">
        <w:rPr>
          <w:b/>
          <w:bCs/>
          <w:i/>
          <w:iCs/>
          <w:color w:val="000000"/>
          <w:sz w:val="22"/>
          <w:szCs w:val="22"/>
        </w:rPr>
        <w:t>Modified Monash 7 area</w:t>
      </w:r>
      <w:r w:rsidRPr="005C62FD">
        <w:rPr>
          <w:color w:val="000000"/>
          <w:sz w:val="22"/>
          <w:szCs w:val="22"/>
        </w:rPr>
        <w:t xml:space="preserve">. </w:t>
      </w:r>
    </w:p>
    <w:p w14:paraId="29A226B7" w14:textId="2435E981" w:rsidR="00791DB7" w:rsidRDefault="00791DB7" w:rsidP="003337DB">
      <w:pPr>
        <w:pStyle w:val="itemhead0"/>
        <w:numPr>
          <w:ilvl w:val="0"/>
          <w:numId w:val="37"/>
        </w:numPr>
        <w:shd w:val="clear" w:color="auto" w:fill="FFFFFF"/>
        <w:spacing w:before="220" w:beforeAutospacing="0" w:after="0" w:afterAutospacing="0"/>
        <w:rPr>
          <w:rFonts w:ascii="Arial" w:hAnsi="Arial" w:cs="Arial"/>
          <w:b/>
          <w:bCs/>
          <w:color w:val="000000"/>
        </w:rPr>
      </w:pPr>
      <w:r>
        <w:rPr>
          <w:rFonts w:ascii="Arial" w:hAnsi="Arial" w:cs="Arial"/>
          <w:b/>
          <w:bCs/>
          <w:color w:val="000000"/>
        </w:rPr>
        <w:t xml:space="preserve">Section 4(1) </w:t>
      </w:r>
    </w:p>
    <w:p w14:paraId="2A66F139" w14:textId="66F0E199" w:rsidR="00791DB7" w:rsidRDefault="00791DB7" w:rsidP="00791DB7">
      <w:pPr>
        <w:pStyle w:val="itemhead0"/>
        <w:shd w:val="clear" w:color="auto" w:fill="FFFFFF"/>
        <w:spacing w:before="220" w:beforeAutospacing="0" w:after="0" w:afterAutospacing="0"/>
        <w:ind w:left="360"/>
        <w:rPr>
          <w:sz w:val="22"/>
          <w:szCs w:val="22"/>
        </w:rPr>
      </w:pPr>
      <w:r w:rsidRPr="008B2074">
        <w:rPr>
          <w:sz w:val="22"/>
          <w:szCs w:val="22"/>
        </w:rPr>
        <w:t>Insert</w:t>
      </w:r>
      <w:r>
        <w:rPr>
          <w:sz w:val="22"/>
          <w:szCs w:val="22"/>
        </w:rPr>
        <w:t>:</w:t>
      </w:r>
    </w:p>
    <w:p w14:paraId="672E4FBA" w14:textId="46791A4A" w:rsidR="0066067A" w:rsidRPr="005C62FD" w:rsidRDefault="00791DB7" w:rsidP="005C62FD">
      <w:pPr>
        <w:pStyle w:val="itemhead0"/>
        <w:shd w:val="clear" w:color="auto" w:fill="FFFFFF"/>
        <w:spacing w:before="220" w:beforeAutospacing="0" w:after="0" w:afterAutospacing="0"/>
        <w:ind w:left="1080"/>
        <w:rPr>
          <w:color w:val="000000"/>
          <w:shd w:val="clear" w:color="auto" w:fill="FFFFFF"/>
        </w:rPr>
      </w:pPr>
      <w:r w:rsidRPr="00BF63C1">
        <w:rPr>
          <w:b/>
          <w:bCs/>
          <w:i/>
          <w:iCs/>
        </w:rPr>
        <w:t xml:space="preserve">report </w:t>
      </w:r>
      <w:r w:rsidR="00EB743C" w:rsidRPr="00BF63C1">
        <w:rPr>
          <w:color w:val="000000"/>
          <w:shd w:val="clear" w:color="auto" w:fill="FFFFFF"/>
        </w:rPr>
        <w:t>means a report prepared by a medical practitioner</w:t>
      </w:r>
      <w:r w:rsidR="007D42DE" w:rsidRPr="00BF63C1">
        <w:rPr>
          <w:color w:val="000000"/>
          <w:shd w:val="clear" w:color="auto" w:fill="FFFFFF"/>
        </w:rPr>
        <w:t>.</w:t>
      </w:r>
      <w:r w:rsidR="00BF63C1" w:rsidRPr="00BF63C1">
        <w:rPr>
          <w:color w:val="000000"/>
          <w:shd w:val="clear" w:color="auto" w:fill="FFFFFF"/>
        </w:rPr>
        <w:t xml:space="preserve"> </w:t>
      </w:r>
    </w:p>
    <w:p w14:paraId="02F4D8F8" w14:textId="0A5B722D" w:rsidR="00EB743C" w:rsidRPr="00BF63C1" w:rsidRDefault="00EB743C" w:rsidP="007D42DE">
      <w:pPr>
        <w:shd w:val="clear" w:color="auto" w:fill="FFFFFF"/>
        <w:spacing w:before="120"/>
        <w:ind w:left="1080"/>
        <w:jc w:val="both"/>
        <w:rPr>
          <w:color w:val="000000"/>
          <w:szCs w:val="22"/>
        </w:rPr>
      </w:pPr>
      <w:r w:rsidRPr="005C62FD">
        <w:rPr>
          <w:b/>
          <w:bCs/>
          <w:i/>
          <w:iCs/>
          <w:color w:val="000000"/>
          <w:sz w:val="24"/>
          <w:szCs w:val="24"/>
          <w:shd w:val="clear" w:color="auto" w:fill="FFFFFF"/>
        </w:rPr>
        <w:t>(R)</w:t>
      </w:r>
      <w:r w:rsidRPr="005C62FD">
        <w:rPr>
          <w:color w:val="000000"/>
          <w:sz w:val="24"/>
          <w:szCs w:val="24"/>
          <w:shd w:val="clear" w:color="auto" w:fill="FFFFFF"/>
        </w:rPr>
        <w:t> has the meaning given by clause 1.2.15 of the diagnostic imaging services table.</w:t>
      </w:r>
    </w:p>
    <w:p w14:paraId="0C63961C" w14:textId="60A15E0E" w:rsidR="007A2484" w:rsidRDefault="007A2484" w:rsidP="003337DB">
      <w:pPr>
        <w:pStyle w:val="itemhead0"/>
        <w:numPr>
          <w:ilvl w:val="0"/>
          <w:numId w:val="37"/>
        </w:numPr>
        <w:shd w:val="clear" w:color="auto" w:fill="FFFFFF"/>
        <w:spacing w:before="220" w:beforeAutospacing="0" w:after="0" w:afterAutospacing="0"/>
        <w:rPr>
          <w:rFonts w:ascii="Arial" w:hAnsi="Arial" w:cs="Arial"/>
          <w:b/>
          <w:bCs/>
          <w:color w:val="000000"/>
        </w:rPr>
      </w:pPr>
      <w:r>
        <w:rPr>
          <w:rFonts w:ascii="Arial" w:hAnsi="Arial" w:cs="Arial"/>
          <w:b/>
          <w:bCs/>
          <w:color w:val="000000"/>
        </w:rPr>
        <w:t>Section 6 (below the heading)</w:t>
      </w:r>
    </w:p>
    <w:p w14:paraId="4EB535BC" w14:textId="29B4FC55" w:rsidR="007A2484" w:rsidRDefault="007A2484" w:rsidP="007A2484">
      <w:pPr>
        <w:pStyle w:val="itemhead0"/>
        <w:shd w:val="clear" w:color="auto" w:fill="FFFFFF"/>
        <w:spacing w:before="220" w:beforeAutospacing="0" w:after="0" w:afterAutospacing="0"/>
        <w:ind w:left="720"/>
        <w:rPr>
          <w:color w:val="000000"/>
          <w:sz w:val="22"/>
          <w:szCs w:val="22"/>
        </w:rPr>
      </w:pPr>
      <w:r w:rsidRPr="007A2484">
        <w:rPr>
          <w:color w:val="000000"/>
          <w:sz w:val="22"/>
          <w:szCs w:val="22"/>
        </w:rPr>
        <w:t xml:space="preserve">Repeal the section, substitute: </w:t>
      </w:r>
    </w:p>
    <w:p w14:paraId="677FE616" w14:textId="6E5DFF7E" w:rsidR="00896DA4" w:rsidRPr="00896DA4" w:rsidRDefault="007A2484" w:rsidP="005C62FD">
      <w:pPr>
        <w:pStyle w:val="ListParagraph"/>
        <w:numPr>
          <w:ilvl w:val="0"/>
          <w:numId w:val="34"/>
        </w:numPr>
        <w:shd w:val="clear" w:color="auto" w:fill="FFFFFF"/>
        <w:spacing w:before="220" w:beforeAutospacing="0" w:after="0" w:afterAutospacing="0"/>
        <w:rPr>
          <w:color w:val="000000"/>
        </w:rPr>
      </w:pPr>
      <w:r w:rsidRPr="00896DA4">
        <w:rPr>
          <w:color w:val="000000"/>
        </w:rPr>
        <w:t>Clause 1.2.17 of the diagnostic imaging services table shall have effect as if the items in Schedule 1 of this instrument were specified for the purpose of that clause.</w:t>
      </w:r>
    </w:p>
    <w:p w14:paraId="6D8F9C26" w14:textId="211EA346" w:rsidR="00E279C0" w:rsidRPr="005C62FD" w:rsidRDefault="007A2484" w:rsidP="005C62FD">
      <w:pPr>
        <w:pStyle w:val="ListParagraph"/>
        <w:numPr>
          <w:ilvl w:val="0"/>
          <w:numId w:val="34"/>
        </w:numPr>
        <w:shd w:val="clear" w:color="auto" w:fill="FFFFFF"/>
        <w:spacing w:before="0" w:beforeAutospacing="0"/>
        <w:rPr>
          <w:color w:val="000000"/>
        </w:rPr>
      </w:pPr>
      <w:r w:rsidRPr="00896DA4">
        <w:rPr>
          <w:color w:val="000000"/>
          <w:shd w:val="clear" w:color="auto" w:fill="FFFFFF"/>
        </w:rPr>
        <w:t xml:space="preserve">Clause 2.4.2 of the diagnostic imaging services table </w:t>
      </w:r>
      <w:r w:rsidR="00BF63C1">
        <w:rPr>
          <w:color w:val="000000"/>
          <w:shd w:val="clear" w:color="auto" w:fill="FFFFFF"/>
        </w:rPr>
        <w:t>does not apply to</w:t>
      </w:r>
      <w:r w:rsidRPr="00896DA4">
        <w:rPr>
          <w:color w:val="000000"/>
          <w:shd w:val="clear" w:color="auto" w:fill="FFFFFF"/>
        </w:rPr>
        <w:t xml:space="preserve"> the items in Schedule 1 of this instrument.</w:t>
      </w:r>
    </w:p>
    <w:p w14:paraId="03340FF8" w14:textId="4B697EE0" w:rsidR="00E44046" w:rsidRPr="00E44046" w:rsidRDefault="00E44046" w:rsidP="00E44046">
      <w:pPr>
        <w:pStyle w:val="ListParagraph"/>
        <w:numPr>
          <w:ilvl w:val="0"/>
          <w:numId w:val="37"/>
        </w:numPr>
        <w:shd w:val="clear" w:color="auto" w:fill="FFFFFF"/>
        <w:spacing w:before="120"/>
        <w:rPr>
          <w:rFonts w:ascii="Arial" w:hAnsi="Arial" w:cs="Arial"/>
          <w:b/>
          <w:bCs/>
          <w:color w:val="000000"/>
          <w:szCs w:val="22"/>
        </w:rPr>
      </w:pPr>
      <w:r w:rsidRPr="00E44046">
        <w:rPr>
          <w:rFonts w:ascii="Arial" w:hAnsi="Arial" w:cs="Arial"/>
          <w:b/>
          <w:bCs/>
          <w:color w:val="000000"/>
          <w:szCs w:val="22"/>
        </w:rPr>
        <w:t>Section 7</w:t>
      </w:r>
      <w:r w:rsidR="005B60D7">
        <w:rPr>
          <w:rFonts w:ascii="Arial" w:hAnsi="Arial" w:cs="Arial"/>
          <w:b/>
          <w:bCs/>
          <w:color w:val="000000"/>
          <w:szCs w:val="22"/>
        </w:rPr>
        <w:t xml:space="preserve"> </w:t>
      </w:r>
    </w:p>
    <w:p w14:paraId="707CD76B" w14:textId="34EC2786" w:rsidR="00E44046" w:rsidRDefault="00E44046" w:rsidP="00E44046">
      <w:pPr>
        <w:pStyle w:val="ListParagraph"/>
        <w:shd w:val="clear" w:color="auto" w:fill="FFFFFF"/>
        <w:spacing w:before="120"/>
        <w:ind w:left="360" w:firstLine="360"/>
        <w:rPr>
          <w:color w:val="000000"/>
          <w:sz w:val="22"/>
          <w:szCs w:val="22"/>
        </w:rPr>
      </w:pPr>
      <w:r w:rsidRPr="005B60D7">
        <w:rPr>
          <w:color w:val="000000"/>
          <w:sz w:val="22"/>
          <w:szCs w:val="22"/>
        </w:rPr>
        <w:t>Repeal the section</w:t>
      </w:r>
      <w:r w:rsidR="005B60D7">
        <w:rPr>
          <w:color w:val="000000"/>
          <w:sz w:val="22"/>
          <w:szCs w:val="22"/>
        </w:rPr>
        <w:t>, substitute:</w:t>
      </w:r>
      <w:r w:rsidRPr="005B60D7">
        <w:rPr>
          <w:color w:val="000000"/>
          <w:sz w:val="22"/>
          <w:szCs w:val="22"/>
        </w:rPr>
        <w:t xml:space="preserve"> </w:t>
      </w:r>
    </w:p>
    <w:p w14:paraId="49D3ABA9" w14:textId="13CE8298" w:rsidR="005B60D7" w:rsidRPr="008B2074" w:rsidRDefault="005B60D7" w:rsidP="008B2074">
      <w:pPr>
        <w:spacing w:line="240" w:lineRule="auto"/>
        <w:ind w:left="1440" w:hanging="720"/>
        <w:rPr>
          <w:rFonts w:ascii="Arial" w:eastAsia="Times New Roman" w:hAnsi="Arial" w:cs="Arial"/>
          <w:b/>
          <w:bCs/>
          <w:color w:val="000000"/>
          <w:sz w:val="24"/>
          <w:szCs w:val="24"/>
          <w:lang w:eastAsia="en-AU"/>
        </w:rPr>
      </w:pPr>
      <w:r w:rsidRPr="008B2074">
        <w:rPr>
          <w:rFonts w:ascii="Arial" w:hAnsi="Arial" w:cs="Arial"/>
          <w:b/>
          <w:bCs/>
          <w:color w:val="000000"/>
          <w:sz w:val="24"/>
          <w:szCs w:val="24"/>
        </w:rPr>
        <w:t>7</w:t>
      </w:r>
      <w:r w:rsidRPr="008B2074">
        <w:rPr>
          <w:rFonts w:ascii="Arial" w:hAnsi="Arial" w:cs="Arial"/>
          <w:color w:val="000000"/>
          <w:sz w:val="24"/>
          <w:szCs w:val="24"/>
        </w:rPr>
        <w:t xml:space="preserve">. </w:t>
      </w:r>
      <w:r w:rsidR="00896DA4" w:rsidRPr="008B2074">
        <w:rPr>
          <w:rFonts w:ascii="Arial" w:hAnsi="Arial" w:cs="Arial"/>
          <w:color w:val="000000"/>
          <w:sz w:val="24"/>
          <w:szCs w:val="24"/>
        </w:rPr>
        <w:t xml:space="preserve"> </w:t>
      </w:r>
      <w:r w:rsidR="00896DA4" w:rsidRPr="008B2074">
        <w:rPr>
          <w:rFonts w:ascii="Arial" w:hAnsi="Arial" w:cs="Arial"/>
          <w:color w:val="000000"/>
          <w:sz w:val="24"/>
          <w:szCs w:val="24"/>
        </w:rPr>
        <w:tab/>
      </w:r>
      <w:r w:rsidRPr="008B2074">
        <w:rPr>
          <w:rFonts w:ascii="Arial" w:eastAsia="Times New Roman" w:hAnsi="Arial" w:cs="Arial"/>
          <w:b/>
          <w:bCs/>
          <w:color w:val="000000"/>
          <w:sz w:val="24"/>
          <w:szCs w:val="24"/>
          <w:lang w:eastAsia="en-AU"/>
        </w:rPr>
        <w:t>Restriction on items – services connected with provision of PET nuclear scanning during Technetium</w:t>
      </w:r>
      <w:r w:rsidR="00C8000D" w:rsidRPr="008B2074">
        <w:rPr>
          <w:rFonts w:ascii="Arial" w:eastAsia="Times New Roman" w:hAnsi="Arial" w:cs="Arial"/>
          <w:b/>
          <w:bCs/>
          <w:color w:val="000000"/>
          <w:sz w:val="24"/>
          <w:szCs w:val="24"/>
          <w:lang w:eastAsia="en-AU"/>
        </w:rPr>
        <w:t>-</w:t>
      </w:r>
      <w:r w:rsidRPr="008B2074">
        <w:rPr>
          <w:rFonts w:ascii="Arial" w:eastAsia="Times New Roman" w:hAnsi="Arial" w:cs="Arial"/>
          <w:b/>
          <w:bCs/>
          <w:color w:val="000000"/>
          <w:sz w:val="24"/>
          <w:szCs w:val="24"/>
          <w:lang w:eastAsia="en-AU"/>
        </w:rPr>
        <w:t>99m interruptions</w:t>
      </w:r>
    </w:p>
    <w:p w14:paraId="586D5526" w14:textId="77777777" w:rsidR="005B60D7" w:rsidRPr="00900B40" w:rsidRDefault="005B60D7" w:rsidP="005B60D7">
      <w:pPr>
        <w:pStyle w:val="ListParagraph"/>
        <w:numPr>
          <w:ilvl w:val="0"/>
          <w:numId w:val="38"/>
        </w:numPr>
        <w:shd w:val="clear" w:color="auto" w:fill="FFFFFF"/>
        <w:rPr>
          <w:color w:val="000000"/>
          <w:sz w:val="22"/>
          <w:szCs w:val="22"/>
          <w:shd w:val="clear" w:color="auto" w:fill="FFFFFF"/>
        </w:rPr>
      </w:pPr>
      <w:r w:rsidRPr="00900B40">
        <w:rPr>
          <w:color w:val="000000"/>
          <w:sz w:val="22"/>
          <w:szCs w:val="22"/>
          <w:shd w:val="clear" w:color="auto" w:fill="FFFFFF"/>
        </w:rPr>
        <w:t xml:space="preserve">Items 61333, 61336 and 61341 only apply to a service described in the item, if: </w:t>
      </w:r>
    </w:p>
    <w:p w14:paraId="72746D60" w14:textId="3EEB43D1" w:rsidR="00896DA4" w:rsidRPr="00896DA4" w:rsidRDefault="005B60D7" w:rsidP="00896DA4">
      <w:pPr>
        <w:pStyle w:val="ListParagraph"/>
        <w:numPr>
          <w:ilvl w:val="0"/>
          <w:numId w:val="40"/>
        </w:numPr>
        <w:shd w:val="clear" w:color="auto" w:fill="FFFFFF"/>
        <w:spacing w:before="120" w:beforeAutospacing="0" w:after="0" w:afterAutospacing="0"/>
        <w:rPr>
          <w:sz w:val="22"/>
          <w:szCs w:val="22"/>
        </w:rPr>
      </w:pPr>
      <w:r w:rsidRPr="00896DA4">
        <w:rPr>
          <w:color w:val="000000"/>
          <w:szCs w:val="22"/>
        </w:rPr>
        <w:lastRenderedPageBreak/>
        <w:t>t</w:t>
      </w:r>
      <w:r w:rsidRPr="00896DA4">
        <w:rPr>
          <w:szCs w:val="22"/>
        </w:rPr>
        <w:t xml:space="preserve">he patient’s clinical condition requires the service to be performed before the resumption of normal </w:t>
      </w:r>
      <w:r w:rsidR="00236341">
        <w:rPr>
          <w:szCs w:val="22"/>
        </w:rPr>
        <w:t>t</w:t>
      </w:r>
      <w:r w:rsidRPr="00896DA4">
        <w:rPr>
          <w:szCs w:val="22"/>
        </w:rPr>
        <w:t>echnetium</w:t>
      </w:r>
      <w:r w:rsidR="00C8000D">
        <w:rPr>
          <w:szCs w:val="22"/>
        </w:rPr>
        <w:t>-</w:t>
      </w:r>
      <w:r w:rsidRPr="00896DA4">
        <w:rPr>
          <w:szCs w:val="22"/>
        </w:rPr>
        <w:t xml:space="preserve">99m supply is anticipated by the practitioner who provides the service; and </w:t>
      </w:r>
    </w:p>
    <w:p w14:paraId="2D5CA326" w14:textId="2F6A70D3" w:rsidR="00BF63C1" w:rsidRPr="005C62FD" w:rsidRDefault="005B60D7" w:rsidP="005C62FD">
      <w:pPr>
        <w:pStyle w:val="ListParagraph"/>
        <w:numPr>
          <w:ilvl w:val="0"/>
          <w:numId w:val="40"/>
        </w:numPr>
        <w:shd w:val="clear" w:color="auto" w:fill="FFFFFF"/>
        <w:spacing w:before="120" w:beforeAutospacing="0" w:after="0" w:afterAutospacing="0"/>
        <w:rPr>
          <w:rFonts w:ascii="Arial" w:hAnsi="Arial" w:cs="Arial"/>
          <w:b/>
          <w:bCs/>
          <w:color w:val="000000"/>
        </w:rPr>
      </w:pPr>
      <w:r w:rsidRPr="00896DA4">
        <w:rPr>
          <w:color w:val="000000"/>
          <w:szCs w:val="22"/>
        </w:rPr>
        <w:t xml:space="preserve">the </w:t>
      </w:r>
      <w:r w:rsidRPr="00896DA4">
        <w:rPr>
          <w:szCs w:val="22"/>
          <w:shd w:val="clear" w:color="auto" w:fill="FFFFFF"/>
        </w:rPr>
        <w:t xml:space="preserve">report of the service performed includes </w:t>
      </w:r>
      <w:r w:rsidRPr="00896DA4">
        <w:rPr>
          <w:szCs w:val="22"/>
        </w:rPr>
        <w:t xml:space="preserve">a </w:t>
      </w:r>
      <w:r w:rsidRPr="00896DA4">
        <w:rPr>
          <w:szCs w:val="22"/>
          <w:shd w:val="clear" w:color="auto" w:fill="FFFFFF"/>
        </w:rPr>
        <w:t xml:space="preserve">justification for the substitute service, which describes the unavailability of a service to which item </w:t>
      </w:r>
      <w:r w:rsidRPr="00896DA4">
        <w:rPr>
          <w:rFonts w:eastAsia="SimSun"/>
          <w:szCs w:val="22"/>
          <w:lang w:eastAsia="zh-CN"/>
        </w:rPr>
        <w:t>61348, 61402, 61421 or 61425 applies</w:t>
      </w:r>
      <w:r w:rsidRPr="00896DA4">
        <w:rPr>
          <w:szCs w:val="22"/>
          <w:shd w:val="clear" w:color="auto" w:fill="FFFFFF"/>
        </w:rPr>
        <w:t xml:space="preserve">. </w:t>
      </w:r>
    </w:p>
    <w:p w14:paraId="638F3450" w14:textId="503312CA" w:rsidR="00BF63C1" w:rsidRPr="00BF63C1" w:rsidRDefault="00BF63C1" w:rsidP="005C62FD">
      <w:pPr>
        <w:shd w:val="clear" w:color="auto" w:fill="FFFFFF"/>
        <w:spacing w:before="280" w:line="240" w:lineRule="auto"/>
        <w:ind w:left="1843" w:hanging="1134"/>
        <w:rPr>
          <w:rFonts w:eastAsia="Times New Roman" w:cs="Times New Roman"/>
          <w:b/>
          <w:bCs/>
          <w:color w:val="000000"/>
          <w:sz w:val="24"/>
          <w:szCs w:val="24"/>
          <w:lang w:eastAsia="en-AU"/>
        </w:rPr>
      </w:pPr>
      <w:bookmarkStart w:id="14" w:name="_Hlk110504157"/>
      <w:bookmarkStart w:id="15" w:name="_Toc109050425"/>
      <w:r>
        <w:rPr>
          <w:rFonts w:ascii="Arial" w:hAnsi="Arial" w:cs="Arial"/>
          <w:b/>
          <w:bCs/>
          <w:color w:val="000000"/>
          <w:sz w:val="24"/>
          <w:szCs w:val="24"/>
        </w:rPr>
        <w:t>8</w:t>
      </w:r>
      <w:r w:rsidRPr="008B2074">
        <w:rPr>
          <w:rFonts w:ascii="Arial" w:hAnsi="Arial" w:cs="Arial"/>
          <w:color w:val="000000"/>
          <w:sz w:val="24"/>
          <w:szCs w:val="24"/>
        </w:rPr>
        <w:t xml:space="preserve">.  </w:t>
      </w:r>
      <w:r>
        <w:rPr>
          <w:rFonts w:ascii="Arial" w:hAnsi="Arial" w:cs="Arial"/>
          <w:color w:val="000000"/>
          <w:sz w:val="24"/>
          <w:szCs w:val="24"/>
        </w:rPr>
        <w:t xml:space="preserve">    </w:t>
      </w:r>
      <w:bookmarkEnd w:id="14"/>
      <w:r w:rsidRPr="005C62FD">
        <w:rPr>
          <w:rFonts w:ascii="Arial" w:eastAsia="Times New Roman" w:hAnsi="Arial" w:cs="Arial"/>
          <w:b/>
          <w:bCs/>
          <w:color w:val="000000"/>
          <w:sz w:val="24"/>
          <w:szCs w:val="24"/>
          <w:lang w:eastAsia="en-AU"/>
        </w:rPr>
        <w:t>PET nuclear scanning services</w:t>
      </w:r>
      <w:bookmarkEnd w:id="15"/>
    </w:p>
    <w:p w14:paraId="07D6CACA" w14:textId="0D0B99A0" w:rsidR="00BF63C1" w:rsidRPr="005C62FD" w:rsidRDefault="00BF63C1" w:rsidP="005C62FD">
      <w:pPr>
        <w:pStyle w:val="ListParagraph"/>
        <w:numPr>
          <w:ilvl w:val="0"/>
          <w:numId w:val="42"/>
        </w:numPr>
        <w:shd w:val="clear" w:color="auto" w:fill="FFFFFF"/>
        <w:spacing w:after="0" w:afterAutospacing="0"/>
        <w:ind w:left="652" w:hanging="680"/>
        <w:rPr>
          <w:color w:val="000000"/>
          <w:szCs w:val="22"/>
        </w:rPr>
      </w:pPr>
      <w:r w:rsidRPr="005C62FD">
        <w:rPr>
          <w:color w:val="000000"/>
          <w:szCs w:val="22"/>
        </w:rPr>
        <w:t>Items </w:t>
      </w:r>
      <w:r w:rsidR="008351DE" w:rsidRPr="008351DE">
        <w:rPr>
          <w:color w:val="000000"/>
          <w:szCs w:val="22"/>
        </w:rPr>
        <w:t>61333, 61336 and 61341</w:t>
      </w:r>
      <w:r w:rsidRPr="005C62FD">
        <w:rPr>
          <w:color w:val="000000"/>
          <w:szCs w:val="22"/>
        </w:rPr>
        <w:t xml:space="preserve"> apply only if the service is performed on a person:</w:t>
      </w:r>
    </w:p>
    <w:p w14:paraId="61683083" w14:textId="4399E539" w:rsidR="00BF63C1" w:rsidRPr="005C62FD" w:rsidRDefault="00BF63C1" w:rsidP="005C62FD">
      <w:pPr>
        <w:pStyle w:val="ListParagraph"/>
        <w:numPr>
          <w:ilvl w:val="0"/>
          <w:numId w:val="43"/>
        </w:numPr>
        <w:shd w:val="clear" w:color="auto" w:fill="FFFFFF"/>
        <w:spacing w:before="0" w:beforeAutospacing="0"/>
        <w:rPr>
          <w:color w:val="000000"/>
          <w:szCs w:val="22"/>
        </w:rPr>
      </w:pPr>
      <w:r w:rsidRPr="005C62FD">
        <w:rPr>
          <w:color w:val="000000"/>
          <w:szCs w:val="22"/>
        </w:rPr>
        <w:t>in a comprehensive facility; and</w:t>
      </w:r>
    </w:p>
    <w:p w14:paraId="751A0906" w14:textId="7AC77ABB" w:rsidR="00BF63C1" w:rsidRPr="005C62FD" w:rsidRDefault="00BF63C1" w:rsidP="005C62FD">
      <w:pPr>
        <w:pStyle w:val="ListParagraph"/>
        <w:numPr>
          <w:ilvl w:val="0"/>
          <w:numId w:val="43"/>
        </w:numPr>
        <w:shd w:val="clear" w:color="auto" w:fill="FFFFFF"/>
        <w:spacing w:before="0" w:beforeAutospacing="0" w:after="0" w:afterAutospacing="0"/>
        <w:ind w:left="1208" w:hanging="357"/>
        <w:rPr>
          <w:color w:val="000000"/>
          <w:szCs w:val="22"/>
        </w:rPr>
      </w:pPr>
      <w:r w:rsidRPr="005C62FD">
        <w:rPr>
          <w:color w:val="000000"/>
          <w:szCs w:val="22"/>
        </w:rPr>
        <w:t xml:space="preserve">in accordance with </w:t>
      </w:r>
      <w:r w:rsidR="008351DE">
        <w:rPr>
          <w:color w:val="000000"/>
          <w:szCs w:val="22"/>
        </w:rPr>
        <w:t>sections 9 and 10</w:t>
      </w:r>
      <w:r w:rsidRPr="005C62FD">
        <w:rPr>
          <w:color w:val="000000"/>
          <w:szCs w:val="22"/>
        </w:rPr>
        <w:t>.</w:t>
      </w:r>
    </w:p>
    <w:p w14:paraId="02D9198E" w14:textId="6F8E80FA" w:rsidR="00BF63C1" w:rsidRPr="005C62FD" w:rsidRDefault="00BF63C1" w:rsidP="005C62FD">
      <w:pPr>
        <w:pStyle w:val="ListParagraph"/>
        <w:numPr>
          <w:ilvl w:val="0"/>
          <w:numId w:val="42"/>
        </w:numPr>
        <w:shd w:val="clear" w:color="auto" w:fill="FFFFFF"/>
        <w:spacing w:before="0" w:beforeAutospacing="0"/>
        <w:ind w:left="709" w:hanging="737"/>
        <w:rPr>
          <w:color w:val="000000"/>
          <w:szCs w:val="22"/>
        </w:rPr>
      </w:pPr>
      <w:r w:rsidRPr="005C62FD">
        <w:rPr>
          <w:color w:val="000000"/>
          <w:szCs w:val="22"/>
        </w:rPr>
        <w:t>Also, the items apply only if the owner or operator of the equipment used to perform the service is not in breach of </w:t>
      </w:r>
      <w:r w:rsidR="008351DE">
        <w:rPr>
          <w:color w:val="000000"/>
          <w:szCs w:val="22"/>
        </w:rPr>
        <w:t>section 11</w:t>
      </w:r>
      <w:r w:rsidRPr="005C62FD">
        <w:rPr>
          <w:color w:val="000000"/>
          <w:szCs w:val="22"/>
        </w:rPr>
        <w:t>.</w:t>
      </w:r>
    </w:p>
    <w:p w14:paraId="5DB5FF20" w14:textId="01160119" w:rsidR="00BF63C1" w:rsidRPr="00BF63C1" w:rsidRDefault="00445B6B" w:rsidP="005C62FD">
      <w:pPr>
        <w:shd w:val="clear" w:color="auto" w:fill="FFFFFF"/>
        <w:spacing w:before="280" w:line="240" w:lineRule="auto"/>
        <w:ind w:left="1333" w:hanging="624"/>
        <w:rPr>
          <w:rFonts w:eastAsia="Times New Roman" w:cs="Times New Roman"/>
          <w:b/>
          <w:bCs/>
          <w:color w:val="000000"/>
          <w:sz w:val="24"/>
          <w:szCs w:val="24"/>
          <w:lang w:eastAsia="en-AU"/>
        </w:rPr>
      </w:pPr>
      <w:bookmarkStart w:id="16" w:name="_Toc109050426"/>
      <w:r>
        <w:rPr>
          <w:rFonts w:ascii="Arial" w:hAnsi="Arial" w:cs="Arial"/>
          <w:b/>
          <w:bCs/>
          <w:color w:val="000000"/>
          <w:sz w:val="24"/>
          <w:szCs w:val="24"/>
        </w:rPr>
        <w:t>9</w:t>
      </w:r>
      <w:r w:rsidR="008351DE" w:rsidRPr="008B2074">
        <w:rPr>
          <w:rFonts w:ascii="Arial" w:hAnsi="Arial" w:cs="Arial"/>
          <w:color w:val="000000"/>
          <w:sz w:val="24"/>
          <w:szCs w:val="24"/>
        </w:rPr>
        <w:t xml:space="preserve">.  </w:t>
      </w:r>
      <w:r w:rsidR="008351DE">
        <w:rPr>
          <w:rFonts w:ascii="Arial" w:hAnsi="Arial" w:cs="Arial"/>
          <w:color w:val="000000"/>
          <w:sz w:val="24"/>
          <w:szCs w:val="24"/>
        </w:rPr>
        <w:t xml:space="preserve">    </w:t>
      </w:r>
      <w:r w:rsidR="00BF63C1" w:rsidRPr="005C62FD">
        <w:rPr>
          <w:rFonts w:ascii="Arial" w:eastAsia="Times New Roman" w:hAnsi="Arial" w:cs="Arial"/>
          <w:b/>
          <w:bCs/>
          <w:color w:val="000000"/>
          <w:sz w:val="24"/>
          <w:szCs w:val="24"/>
          <w:lang w:eastAsia="en-AU"/>
        </w:rPr>
        <w:t>PET nuclear scanning services—performance under personal supervision</w:t>
      </w:r>
      <w:bookmarkEnd w:id="16"/>
    </w:p>
    <w:p w14:paraId="2A0964B7" w14:textId="7E34CF7C" w:rsidR="00BF63C1" w:rsidRPr="005C62FD" w:rsidRDefault="00BF63C1" w:rsidP="005C62FD">
      <w:pPr>
        <w:pStyle w:val="ListParagraph"/>
        <w:numPr>
          <w:ilvl w:val="1"/>
          <w:numId w:val="43"/>
        </w:numPr>
        <w:shd w:val="clear" w:color="auto" w:fill="FFFFFF"/>
        <w:spacing w:after="0" w:afterAutospacing="0"/>
        <w:rPr>
          <w:color w:val="000000"/>
          <w:szCs w:val="22"/>
        </w:rPr>
      </w:pPr>
      <w:r w:rsidRPr="005C62FD">
        <w:rPr>
          <w:color w:val="000000"/>
          <w:szCs w:val="22"/>
        </w:rPr>
        <w:t>For the purposes of</w:t>
      </w:r>
      <w:r w:rsidR="00445B6B" w:rsidRPr="005C62FD">
        <w:rPr>
          <w:color w:val="000000"/>
          <w:szCs w:val="22"/>
        </w:rPr>
        <w:t xml:space="preserve"> section 8</w:t>
      </w:r>
      <w:r w:rsidRPr="005C62FD">
        <w:rPr>
          <w:color w:val="000000"/>
          <w:szCs w:val="22"/>
        </w:rPr>
        <w:t>, the service must be performed on a person by or under the personal supervision of:</w:t>
      </w:r>
    </w:p>
    <w:p w14:paraId="45699526" w14:textId="0863FBCD" w:rsidR="00BF63C1" w:rsidRPr="005C62FD" w:rsidRDefault="00BF63C1" w:rsidP="005C62FD">
      <w:pPr>
        <w:pStyle w:val="ListParagraph"/>
        <w:numPr>
          <w:ilvl w:val="3"/>
          <w:numId w:val="42"/>
        </w:numPr>
        <w:shd w:val="clear" w:color="auto" w:fill="FFFFFF"/>
        <w:spacing w:before="0" w:beforeAutospacing="0"/>
        <w:rPr>
          <w:color w:val="000000"/>
          <w:szCs w:val="22"/>
        </w:rPr>
      </w:pPr>
      <w:r w:rsidRPr="005C62FD">
        <w:rPr>
          <w:color w:val="000000"/>
          <w:szCs w:val="22"/>
        </w:rPr>
        <w:t>a credentialled specialist; or</w:t>
      </w:r>
    </w:p>
    <w:p w14:paraId="7E8BB662" w14:textId="1A441360" w:rsidR="00BF63C1" w:rsidRPr="005C62FD" w:rsidRDefault="00BF63C1" w:rsidP="005C62FD">
      <w:pPr>
        <w:pStyle w:val="ListParagraph"/>
        <w:numPr>
          <w:ilvl w:val="3"/>
          <w:numId w:val="42"/>
        </w:numPr>
        <w:shd w:val="clear" w:color="auto" w:fill="FFFFFF"/>
        <w:spacing w:before="40" w:after="0" w:afterAutospacing="0"/>
        <w:rPr>
          <w:color w:val="000000"/>
          <w:szCs w:val="22"/>
        </w:rPr>
      </w:pPr>
      <w:r w:rsidRPr="005C62FD">
        <w:rPr>
          <w:color w:val="000000"/>
          <w:szCs w:val="22"/>
        </w:rPr>
        <w:t>a medical practitioner other than the requesting practitioner if the medical practitioner:</w:t>
      </w:r>
    </w:p>
    <w:p w14:paraId="50E0B6CD" w14:textId="0132FAAD" w:rsidR="00BF63C1" w:rsidRPr="005C62FD" w:rsidRDefault="00BF63C1" w:rsidP="005C62FD">
      <w:pPr>
        <w:pStyle w:val="ListParagraph"/>
        <w:numPr>
          <w:ilvl w:val="0"/>
          <w:numId w:val="46"/>
        </w:numPr>
        <w:shd w:val="clear" w:color="auto" w:fill="FFFFFF"/>
        <w:spacing w:before="0" w:beforeAutospacing="0" w:after="0" w:afterAutospacing="0"/>
        <w:rPr>
          <w:color w:val="000000"/>
          <w:szCs w:val="22"/>
        </w:rPr>
      </w:pPr>
      <w:r w:rsidRPr="005C62FD">
        <w:rPr>
          <w:color w:val="000000"/>
          <w:szCs w:val="22"/>
        </w:rPr>
        <w:t>is a Fellow of the RACP or RANZCR; and</w:t>
      </w:r>
    </w:p>
    <w:p w14:paraId="57D1B136" w14:textId="76823482" w:rsidR="00BF63C1" w:rsidRPr="005C62FD" w:rsidRDefault="00BF63C1" w:rsidP="005C62FD">
      <w:pPr>
        <w:pStyle w:val="ListParagraph"/>
        <w:numPr>
          <w:ilvl w:val="0"/>
          <w:numId w:val="46"/>
        </w:numPr>
        <w:shd w:val="clear" w:color="auto" w:fill="FFFFFF"/>
        <w:spacing w:before="40"/>
        <w:rPr>
          <w:color w:val="000000"/>
          <w:szCs w:val="22"/>
        </w:rPr>
      </w:pPr>
      <w:r w:rsidRPr="005C62FD">
        <w:rPr>
          <w:color w:val="000000"/>
          <w:szCs w:val="22"/>
        </w:rPr>
        <w:t xml:space="preserve">has reported 400 or more studies forming part of PET services for which a </w:t>
      </w:r>
      <w:proofErr w:type="spellStart"/>
      <w:r w:rsidRPr="005C62FD">
        <w:rPr>
          <w:color w:val="000000"/>
          <w:szCs w:val="22"/>
        </w:rPr>
        <w:t>medicare</w:t>
      </w:r>
      <w:proofErr w:type="spellEnd"/>
      <w:r w:rsidRPr="005C62FD">
        <w:rPr>
          <w:color w:val="000000"/>
          <w:szCs w:val="22"/>
        </w:rPr>
        <w:t xml:space="preserve"> benefit was payable; and</w:t>
      </w:r>
    </w:p>
    <w:p w14:paraId="22883D2F" w14:textId="04E3C22C" w:rsidR="00BF63C1" w:rsidRPr="005C62FD" w:rsidRDefault="00BF63C1" w:rsidP="005C62FD">
      <w:pPr>
        <w:pStyle w:val="ListParagraph"/>
        <w:numPr>
          <w:ilvl w:val="0"/>
          <w:numId w:val="46"/>
        </w:numPr>
        <w:shd w:val="clear" w:color="auto" w:fill="FFFFFF"/>
        <w:spacing w:before="40"/>
        <w:rPr>
          <w:color w:val="000000"/>
          <w:szCs w:val="22"/>
        </w:rPr>
      </w:pPr>
      <w:r w:rsidRPr="005C62FD">
        <w:rPr>
          <w:color w:val="000000"/>
          <w:szCs w:val="22"/>
        </w:rPr>
        <w:t>is authorised under State or Territory law to prescribe and administer to humans the PET radiopharmaceuticals that are to be administered to the person; and</w:t>
      </w:r>
    </w:p>
    <w:p w14:paraId="1887EF99" w14:textId="47A85ED3" w:rsidR="00BF63C1" w:rsidRPr="005C62FD" w:rsidRDefault="00BF63C1" w:rsidP="005C62FD">
      <w:pPr>
        <w:pStyle w:val="ListParagraph"/>
        <w:numPr>
          <w:ilvl w:val="0"/>
          <w:numId w:val="46"/>
        </w:numPr>
        <w:shd w:val="clear" w:color="auto" w:fill="FFFFFF"/>
        <w:spacing w:before="40"/>
        <w:rPr>
          <w:color w:val="000000"/>
          <w:szCs w:val="22"/>
        </w:rPr>
      </w:pPr>
      <w:r w:rsidRPr="005C62FD">
        <w:rPr>
          <w:color w:val="000000"/>
          <w:szCs w:val="22"/>
        </w:rPr>
        <w:t>met the requirements of subparagraphs (</w:t>
      </w:r>
      <w:proofErr w:type="spellStart"/>
      <w:r w:rsidRPr="005C62FD">
        <w:rPr>
          <w:color w:val="000000"/>
          <w:szCs w:val="22"/>
        </w:rPr>
        <w:t>i</w:t>
      </w:r>
      <w:proofErr w:type="spellEnd"/>
      <w:r w:rsidRPr="005C62FD">
        <w:rPr>
          <w:color w:val="000000"/>
          <w:szCs w:val="22"/>
        </w:rPr>
        <w:t>), (ii) and (iii) before 1 November 2011.</w:t>
      </w:r>
    </w:p>
    <w:p w14:paraId="332211F2" w14:textId="52140F34" w:rsidR="00BF63C1" w:rsidRPr="005C62FD" w:rsidRDefault="00445B6B" w:rsidP="005C62FD">
      <w:pPr>
        <w:shd w:val="clear" w:color="auto" w:fill="FFFFFF"/>
        <w:spacing w:before="280" w:line="240" w:lineRule="auto"/>
        <w:ind w:left="1134" w:hanging="414"/>
        <w:rPr>
          <w:rFonts w:ascii="Arial" w:eastAsia="Times New Roman" w:hAnsi="Arial" w:cs="Arial"/>
          <w:b/>
          <w:bCs/>
          <w:color w:val="000000"/>
          <w:sz w:val="24"/>
          <w:szCs w:val="24"/>
          <w:lang w:eastAsia="en-AU"/>
        </w:rPr>
      </w:pPr>
      <w:bookmarkStart w:id="17" w:name="_Toc109050427"/>
      <w:r w:rsidRPr="00445B6B">
        <w:rPr>
          <w:rFonts w:ascii="Arial" w:hAnsi="Arial" w:cs="Arial"/>
          <w:b/>
          <w:bCs/>
          <w:color w:val="000000"/>
          <w:sz w:val="24"/>
          <w:szCs w:val="24"/>
        </w:rPr>
        <w:t>10</w:t>
      </w:r>
      <w:r w:rsidRPr="005C62FD">
        <w:rPr>
          <w:rFonts w:ascii="Arial" w:hAnsi="Arial" w:cs="Arial"/>
          <w:b/>
          <w:bCs/>
          <w:color w:val="000000"/>
          <w:sz w:val="24"/>
          <w:szCs w:val="24"/>
        </w:rPr>
        <w:t xml:space="preserve">.      </w:t>
      </w:r>
      <w:r w:rsidR="00BF63C1" w:rsidRPr="005C62FD">
        <w:rPr>
          <w:rFonts w:ascii="Arial" w:eastAsia="Times New Roman" w:hAnsi="Arial" w:cs="Arial"/>
          <w:b/>
          <w:bCs/>
          <w:color w:val="000000"/>
          <w:sz w:val="24"/>
          <w:szCs w:val="24"/>
          <w:lang w:eastAsia="en-AU"/>
        </w:rPr>
        <w:t>PET nuclear scanning services—equipment</w:t>
      </w:r>
      <w:bookmarkEnd w:id="17"/>
      <w:r w:rsidRPr="005C62FD">
        <w:rPr>
          <w:rFonts w:ascii="Arial" w:eastAsia="Times New Roman" w:hAnsi="Arial" w:cs="Arial"/>
          <w:b/>
          <w:bCs/>
          <w:color w:val="000000"/>
          <w:sz w:val="24"/>
          <w:szCs w:val="24"/>
          <w:lang w:eastAsia="en-AU"/>
        </w:rPr>
        <w:t xml:space="preserve"> </w:t>
      </w:r>
    </w:p>
    <w:p w14:paraId="3D1741E9" w14:textId="5393C6AF" w:rsidR="00BF63C1" w:rsidRPr="005C62FD" w:rsidRDefault="00BF63C1" w:rsidP="005C62FD">
      <w:pPr>
        <w:pStyle w:val="ListParagraph"/>
        <w:numPr>
          <w:ilvl w:val="0"/>
          <w:numId w:val="49"/>
        </w:numPr>
        <w:shd w:val="clear" w:color="auto" w:fill="FFFFFF"/>
        <w:ind w:left="652" w:hanging="680"/>
        <w:rPr>
          <w:color w:val="000000"/>
          <w:szCs w:val="22"/>
        </w:rPr>
      </w:pPr>
      <w:r w:rsidRPr="005C62FD">
        <w:rPr>
          <w:color w:val="000000"/>
          <w:szCs w:val="22"/>
        </w:rPr>
        <w:t>For the purposes of </w:t>
      </w:r>
      <w:r w:rsidR="00445B6B" w:rsidRPr="005C62FD">
        <w:rPr>
          <w:color w:val="000000"/>
          <w:szCs w:val="22"/>
        </w:rPr>
        <w:t>section 8</w:t>
      </w:r>
      <w:r w:rsidRPr="005C62FD">
        <w:rPr>
          <w:color w:val="000000"/>
          <w:szCs w:val="22"/>
        </w:rPr>
        <w:t>, the service must be performed on a person using equipment that meets the requirements set out in </w:t>
      </w:r>
      <w:r w:rsidRPr="005C62FD">
        <w:rPr>
          <w:i/>
          <w:iCs/>
          <w:color w:val="000000"/>
          <w:szCs w:val="22"/>
        </w:rPr>
        <w:t>Requirements for PET Accreditation (Instrumentation &amp; Radiation Safety)</w:t>
      </w:r>
      <w:r w:rsidRPr="005C62FD">
        <w:rPr>
          <w:color w:val="000000"/>
          <w:szCs w:val="22"/>
        </w:rPr>
        <w:t> </w:t>
      </w:r>
      <w:r w:rsidRPr="005C62FD">
        <w:rPr>
          <w:i/>
          <w:iCs/>
          <w:color w:val="000000"/>
          <w:szCs w:val="22"/>
        </w:rPr>
        <w:t>3rd Edition (2017)</w:t>
      </w:r>
      <w:r w:rsidRPr="005C62FD">
        <w:rPr>
          <w:color w:val="000000"/>
          <w:szCs w:val="22"/>
        </w:rPr>
        <w:t>, issued by the Australian and New Zealand Society of Nuclear Medicine Inc, as existing on 1 July 2020.</w:t>
      </w:r>
    </w:p>
    <w:p w14:paraId="40486F0C" w14:textId="5D4208C1" w:rsidR="00BF63C1" w:rsidRDefault="00BF63C1" w:rsidP="005C62FD">
      <w:pPr>
        <w:shd w:val="clear" w:color="auto" w:fill="FFFFFF"/>
        <w:spacing w:before="122" w:line="240" w:lineRule="auto"/>
        <w:ind w:left="1021" w:hanging="1021"/>
        <w:rPr>
          <w:rFonts w:eastAsia="Times New Roman" w:cs="Times New Roman"/>
          <w:color w:val="000000"/>
          <w:sz w:val="18"/>
          <w:szCs w:val="18"/>
          <w:lang w:eastAsia="en-AU"/>
        </w:rPr>
      </w:pPr>
      <w:r w:rsidRPr="00BF63C1">
        <w:rPr>
          <w:rFonts w:eastAsia="Times New Roman" w:cs="Times New Roman"/>
          <w:color w:val="000000"/>
          <w:sz w:val="18"/>
          <w:szCs w:val="18"/>
          <w:lang w:eastAsia="en-AU"/>
        </w:rPr>
        <w:t>Note:          The </w:t>
      </w:r>
      <w:r w:rsidRPr="00BF63C1">
        <w:rPr>
          <w:rFonts w:eastAsia="Times New Roman" w:cs="Times New Roman"/>
          <w:i/>
          <w:iCs/>
          <w:color w:val="000000"/>
          <w:sz w:val="18"/>
          <w:szCs w:val="18"/>
          <w:lang w:eastAsia="en-AU"/>
        </w:rPr>
        <w:t>Requirements for PET Accreditation (Instrumentation &amp; Radiation Safety)</w:t>
      </w:r>
      <w:r w:rsidRPr="00BF63C1">
        <w:rPr>
          <w:rFonts w:eastAsia="Times New Roman" w:cs="Times New Roman"/>
          <w:color w:val="000000"/>
          <w:sz w:val="18"/>
          <w:szCs w:val="18"/>
          <w:lang w:eastAsia="en-AU"/>
        </w:rPr>
        <w:t> </w:t>
      </w:r>
      <w:r w:rsidRPr="00BF63C1">
        <w:rPr>
          <w:rFonts w:eastAsia="Times New Roman" w:cs="Times New Roman"/>
          <w:i/>
          <w:iCs/>
          <w:color w:val="000000"/>
          <w:sz w:val="18"/>
          <w:szCs w:val="18"/>
          <w:lang w:eastAsia="en-AU"/>
        </w:rPr>
        <w:t>3rd Edition (2017)</w:t>
      </w:r>
      <w:r w:rsidRPr="00BF63C1">
        <w:rPr>
          <w:rFonts w:eastAsia="Times New Roman" w:cs="Times New Roman"/>
          <w:color w:val="000000"/>
          <w:sz w:val="18"/>
          <w:szCs w:val="18"/>
          <w:lang w:eastAsia="en-AU"/>
        </w:rPr>
        <w:t xml:space="preserve"> could in 2020 be viewed on the website of the </w:t>
      </w:r>
      <w:r w:rsidRPr="005C62FD">
        <w:rPr>
          <w:rFonts w:eastAsia="Times New Roman" w:cs="Times New Roman"/>
          <w:sz w:val="18"/>
          <w:szCs w:val="18"/>
          <w:lang w:eastAsia="en-AU"/>
        </w:rPr>
        <w:t>Society (</w:t>
      </w:r>
      <w:hyperlink r:id="rId22" w:history="1">
        <w:r w:rsidR="005C62FD" w:rsidRPr="005C62FD">
          <w:rPr>
            <w:rStyle w:val="Hyperlink"/>
            <w:rFonts w:eastAsia="Times New Roman" w:cs="Times New Roman"/>
            <w:color w:val="auto"/>
            <w:sz w:val="18"/>
            <w:szCs w:val="18"/>
            <w:lang w:eastAsia="en-AU"/>
          </w:rPr>
          <w:t>https://www.anzsnm.org.au</w:t>
        </w:r>
      </w:hyperlink>
      <w:r w:rsidRPr="005C62FD">
        <w:rPr>
          <w:rFonts w:eastAsia="Times New Roman" w:cs="Times New Roman"/>
          <w:sz w:val="18"/>
          <w:szCs w:val="18"/>
          <w:lang w:eastAsia="en-AU"/>
        </w:rPr>
        <w:t>).</w:t>
      </w:r>
    </w:p>
    <w:p w14:paraId="12488548" w14:textId="77777777" w:rsidR="005C62FD" w:rsidRPr="00BF63C1" w:rsidRDefault="005C62FD" w:rsidP="005C62FD">
      <w:pPr>
        <w:shd w:val="clear" w:color="auto" w:fill="FFFFFF"/>
        <w:spacing w:before="122" w:line="240" w:lineRule="auto"/>
        <w:ind w:left="1021" w:hanging="1021"/>
        <w:rPr>
          <w:rFonts w:eastAsia="Times New Roman" w:cs="Times New Roman"/>
          <w:color w:val="000000"/>
          <w:sz w:val="18"/>
          <w:szCs w:val="18"/>
          <w:lang w:eastAsia="en-AU"/>
        </w:rPr>
      </w:pPr>
    </w:p>
    <w:p w14:paraId="35D8EC50" w14:textId="405F095F" w:rsidR="00BF63C1" w:rsidRPr="005C62FD" w:rsidRDefault="00445B6B" w:rsidP="005C62FD">
      <w:pPr>
        <w:shd w:val="clear" w:color="auto" w:fill="FFFFFF"/>
        <w:spacing w:before="280" w:line="240" w:lineRule="auto"/>
        <w:ind w:left="1134" w:hanging="414"/>
        <w:rPr>
          <w:rFonts w:ascii="Arial" w:eastAsia="Times New Roman" w:hAnsi="Arial" w:cs="Arial"/>
          <w:b/>
          <w:bCs/>
          <w:color w:val="000000"/>
          <w:sz w:val="24"/>
          <w:szCs w:val="24"/>
          <w:lang w:eastAsia="en-AU"/>
        </w:rPr>
      </w:pPr>
      <w:bookmarkStart w:id="18" w:name="_Toc109050428"/>
      <w:r w:rsidRPr="005C62FD">
        <w:rPr>
          <w:rFonts w:ascii="Arial" w:hAnsi="Arial" w:cs="Arial"/>
          <w:b/>
          <w:bCs/>
          <w:color w:val="000000"/>
          <w:sz w:val="24"/>
          <w:szCs w:val="24"/>
        </w:rPr>
        <w:lastRenderedPageBreak/>
        <w:t xml:space="preserve">11.      </w:t>
      </w:r>
      <w:r w:rsidR="00BF63C1" w:rsidRPr="005C62FD">
        <w:rPr>
          <w:rFonts w:ascii="Arial" w:eastAsia="Times New Roman" w:hAnsi="Arial" w:cs="Arial"/>
          <w:b/>
          <w:bCs/>
          <w:color w:val="000000"/>
          <w:sz w:val="24"/>
          <w:szCs w:val="24"/>
          <w:lang w:eastAsia="en-AU"/>
        </w:rPr>
        <w:t>PET nuclear scanning services—statutory declaration</w:t>
      </w:r>
      <w:bookmarkEnd w:id="18"/>
    </w:p>
    <w:p w14:paraId="5DEE8171" w14:textId="17444A88" w:rsidR="00BF63C1" w:rsidRPr="005C62FD" w:rsidRDefault="00BF63C1" w:rsidP="005C62FD">
      <w:pPr>
        <w:pStyle w:val="ListParagraph"/>
        <w:numPr>
          <w:ilvl w:val="0"/>
          <w:numId w:val="50"/>
        </w:numPr>
        <w:shd w:val="clear" w:color="auto" w:fill="FFFFFF"/>
        <w:spacing w:after="0" w:afterAutospacing="0"/>
        <w:rPr>
          <w:color w:val="000000"/>
          <w:szCs w:val="22"/>
        </w:rPr>
      </w:pPr>
      <w:r w:rsidRPr="005C62FD">
        <w:rPr>
          <w:color w:val="000000"/>
          <w:szCs w:val="22"/>
        </w:rPr>
        <w:t>The owner or operator mentioned in </w:t>
      </w:r>
      <w:r w:rsidR="00445B6B" w:rsidRPr="005C62FD">
        <w:rPr>
          <w:color w:val="000000"/>
          <w:szCs w:val="22"/>
        </w:rPr>
        <w:t>subsection 8</w:t>
      </w:r>
      <w:r w:rsidRPr="005C62FD">
        <w:rPr>
          <w:color w:val="000000"/>
          <w:szCs w:val="22"/>
        </w:rPr>
        <w:t>(2) must have given a statutory declaration to the Chief Executive Medicare that includes the following information:</w:t>
      </w:r>
    </w:p>
    <w:p w14:paraId="21E8B7BA" w14:textId="47CE1D92"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whether the owner or operator is a credentialed specialist or a medical practitioner who satisfies the requirements mentioned in subparagraphs </w:t>
      </w:r>
      <w:r w:rsidR="00445B6B">
        <w:rPr>
          <w:color w:val="000000"/>
          <w:szCs w:val="22"/>
        </w:rPr>
        <w:t>9</w:t>
      </w:r>
      <w:r w:rsidRPr="005C62FD">
        <w:rPr>
          <w:color w:val="000000"/>
          <w:szCs w:val="22"/>
        </w:rPr>
        <w:t>(1)(b)(</w:t>
      </w:r>
      <w:proofErr w:type="spellStart"/>
      <w:r w:rsidRPr="005C62FD">
        <w:rPr>
          <w:color w:val="000000"/>
          <w:szCs w:val="22"/>
        </w:rPr>
        <w:t>i</w:t>
      </w:r>
      <w:proofErr w:type="spellEnd"/>
      <w:r w:rsidRPr="005C62FD">
        <w:rPr>
          <w:color w:val="000000"/>
          <w:szCs w:val="22"/>
        </w:rPr>
        <w:t>) to (iv);</w:t>
      </w:r>
    </w:p>
    <w:p w14:paraId="77DD0EB8" w14:textId="257DFD54"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whether the place where the owner or operator provides the service in a comprehensive facility;</w:t>
      </w:r>
    </w:p>
    <w:p w14:paraId="768A92DD" w14:textId="46D3B0AE"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whether the equipment meets the requirements mentioned in </w:t>
      </w:r>
      <w:r w:rsidR="00445B6B">
        <w:rPr>
          <w:color w:val="000000"/>
          <w:szCs w:val="22"/>
        </w:rPr>
        <w:t>section 10</w:t>
      </w:r>
      <w:r w:rsidRPr="005C62FD">
        <w:rPr>
          <w:color w:val="000000"/>
          <w:szCs w:val="22"/>
        </w:rPr>
        <w:t>;</w:t>
      </w:r>
    </w:p>
    <w:p w14:paraId="3D312963" w14:textId="396E3447"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the facility’s address;</w:t>
      </w:r>
    </w:p>
    <w:p w14:paraId="220D939B" w14:textId="04FE8092"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the provider number for the facility given by the Chief Executive Medicare;</w:t>
      </w:r>
    </w:p>
    <w:p w14:paraId="7DE47693" w14:textId="621C83ED"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the location specific practice number for the facility given by the Minister;</w:t>
      </w:r>
    </w:p>
    <w:p w14:paraId="40A5DA5E" w14:textId="77C3600A" w:rsidR="00BF63C1" w:rsidRPr="005C62FD" w:rsidRDefault="00BF63C1" w:rsidP="005C62FD">
      <w:pPr>
        <w:pStyle w:val="ListParagraph"/>
        <w:numPr>
          <w:ilvl w:val="2"/>
          <w:numId w:val="46"/>
        </w:numPr>
        <w:shd w:val="clear" w:color="auto" w:fill="FFFFFF"/>
        <w:spacing w:before="40"/>
        <w:rPr>
          <w:color w:val="000000"/>
          <w:szCs w:val="22"/>
        </w:rPr>
      </w:pPr>
      <w:r w:rsidRPr="005C62FD">
        <w:rPr>
          <w:color w:val="000000"/>
          <w:szCs w:val="22"/>
        </w:rPr>
        <w:t>the models, serial numbers and manufacturers of the equipment.</w:t>
      </w:r>
    </w:p>
    <w:p w14:paraId="051C48C8" w14:textId="55BE4DC1" w:rsidR="00BF63C1" w:rsidRPr="005C62FD" w:rsidRDefault="00BF63C1" w:rsidP="005C62FD">
      <w:pPr>
        <w:pStyle w:val="ListParagraph"/>
        <w:numPr>
          <w:ilvl w:val="1"/>
          <w:numId w:val="46"/>
        </w:numPr>
        <w:shd w:val="clear" w:color="auto" w:fill="FFFFFF"/>
        <w:spacing w:before="180"/>
        <w:rPr>
          <w:color w:val="000000"/>
          <w:szCs w:val="22"/>
        </w:rPr>
      </w:pPr>
      <w:r w:rsidRPr="005C62FD">
        <w:rPr>
          <w:color w:val="000000"/>
          <w:szCs w:val="22"/>
        </w:rPr>
        <w:t>If the matters declared in the statutory declaration change, the owner or operator must give the Chief Executive Medicare written notice of the change as soon as the owner or operator knows about the change.</w:t>
      </w:r>
    </w:p>
    <w:p w14:paraId="4916A0DD" w14:textId="5AFCBFF3" w:rsidR="00145129" w:rsidRPr="00145129" w:rsidRDefault="002325DB" w:rsidP="00145129">
      <w:pPr>
        <w:pStyle w:val="itemhead0"/>
        <w:numPr>
          <w:ilvl w:val="0"/>
          <w:numId w:val="37"/>
        </w:numPr>
        <w:shd w:val="clear" w:color="auto" w:fill="FFFFFF"/>
        <w:spacing w:before="220" w:beforeAutospacing="0" w:after="0" w:afterAutospacing="0"/>
        <w:rPr>
          <w:rFonts w:ascii="Arial" w:hAnsi="Arial" w:cs="Arial"/>
          <w:b/>
          <w:bCs/>
          <w:color w:val="000000"/>
        </w:rPr>
      </w:pPr>
      <w:r>
        <w:rPr>
          <w:rFonts w:ascii="Arial" w:hAnsi="Arial" w:cs="Arial"/>
          <w:b/>
          <w:bCs/>
          <w:color w:val="000000"/>
        </w:rPr>
        <w:t xml:space="preserve">Schedule 1 </w:t>
      </w:r>
    </w:p>
    <w:p w14:paraId="7326B5EE" w14:textId="629574FA" w:rsidR="005B60D7" w:rsidRPr="005B60D7" w:rsidRDefault="00E44046" w:rsidP="008B2074">
      <w:pPr>
        <w:pStyle w:val="itemhead0"/>
        <w:shd w:val="clear" w:color="auto" w:fill="FFFFFF"/>
        <w:spacing w:before="220" w:beforeAutospacing="0" w:after="0" w:afterAutospacing="0"/>
        <w:ind w:left="720"/>
      </w:pPr>
      <w:r>
        <w:rPr>
          <w:color w:val="000000"/>
          <w:sz w:val="22"/>
          <w:szCs w:val="22"/>
        </w:rPr>
        <w:t xml:space="preserve">Repeal </w:t>
      </w:r>
      <w:r w:rsidR="00896DA4">
        <w:rPr>
          <w:color w:val="000000"/>
          <w:sz w:val="22"/>
          <w:szCs w:val="22"/>
        </w:rPr>
        <w:t>the s</w:t>
      </w:r>
      <w:r>
        <w:rPr>
          <w:color w:val="000000"/>
          <w:sz w:val="22"/>
          <w:szCs w:val="22"/>
        </w:rPr>
        <w:t>chedul</w:t>
      </w:r>
      <w:r w:rsidR="00896DA4">
        <w:rPr>
          <w:color w:val="000000"/>
          <w:sz w:val="22"/>
          <w:szCs w:val="22"/>
        </w:rPr>
        <w:t>e</w:t>
      </w:r>
      <w:r>
        <w:rPr>
          <w:color w:val="000000"/>
          <w:sz w:val="22"/>
          <w:szCs w:val="22"/>
        </w:rPr>
        <w:t>, substitute:</w:t>
      </w:r>
    </w:p>
    <w:p w14:paraId="4DD796EE" w14:textId="30DE6EB4" w:rsidR="005B60D7" w:rsidRPr="008B2074" w:rsidRDefault="0024412C" w:rsidP="005B60D7">
      <w:pPr>
        <w:pStyle w:val="subsection"/>
        <w:rPr>
          <w:rFonts w:ascii="Arial" w:hAnsi="Arial" w:cs="Arial"/>
          <w:b/>
          <w:bCs/>
        </w:rPr>
      </w:pPr>
      <w:r w:rsidRPr="008B2074">
        <w:rPr>
          <w:rFonts w:ascii="Arial" w:hAnsi="Arial" w:cs="Arial"/>
          <w:b/>
          <w:bCs/>
          <w:sz w:val="24"/>
          <w:szCs w:val="22"/>
        </w:rPr>
        <w:t>Schedule 1 — Relevant services</w:t>
      </w:r>
    </w:p>
    <w:p w14:paraId="5673D6AE" w14:textId="77777777" w:rsidR="0024412C" w:rsidRPr="005B60D7" w:rsidRDefault="0024412C" w:rsidP="005B60D7">
      <w:pPr>
        <w:pStyle w:val="subsection"/>
      </w:pPr>
    </w:p>
    <w:tbl>
      <w:tblPr>
        <w:tblW w:w="8950" w:type="dxa"/>
        <w:tblInd w:w="-19" w:type="dxa"/>
        <w:shd w:val="clear" w:color="auto" w:fill="FFFFFF"/>
        <w:tblCellMar>
          <w:left w:w="0" w:type="dxa"/>
          <w:right w:w="0" w:type="dxa"/>
        </w:tblCellMar>
        <w:tblLook w:val="04A0" w:firstRow="1" w:lastRow="0" w:firstColumn="1" w:lastColumn="0" w:noHBand="0" w:noVBand="1"/>
      </w:tblPr>
      <w:tblGrid>
        <w:gridCol w:w="1393"/>
        <w:gridCol w:w="5882"/>
        <w:gridCol w:w="1675"/>
      </w:tblGrid>
      <w:tr w:rsidR="00E44046" w:rsidRPr="00691A72" w14:paraId="1BB22C78" w14:textId="77777777" w:rsidTr="00BD7F5B">
        <w:trPr>
          <w:tblHeader/>
        </w:trPr>
        <w:tc>
          <w:tcPr>
            <w:tcW w:w="8950"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7F922A0" w14:textId="77777777" w:rsidR="00E44046" w:rsidRPr="00691A72" w:rsidRDefault="00E44046" w:rsidP="00BD7F5B">
            <w:pPr>
              <w:spacing w:before="60" w:line="240" w:lineRule="atLeast"/>
              <w:rPr>
                <w:rFonts w:eastAsia="Times New Roman" w:cs="Times New Roman"/>
                <w:b/>
                <w:bCs/>
                <w:color w:val="000000"/>
                <w:sz w:val="20"/>
                <w:lang w:eastAsia="en-AU"/>
              </w:rPr>
            </w:pPr>
            <w:r w:rsidRPr="00B174B9">
              <w:rPr>
                <w:rFonts w:eastAsia="Times New Roman" w:cs="Times New Roman"/>
                <w:b/>
                <w:bCs/>
                <w:color w:val="000000"/>
                <w:sz w:val="20"/>
                <w:lang w:eastAsia="en-AU"/>
              </w:rPr>
              <w:t xml:space="preserve">Group </w:t>
            </w:r>
            <w:r>
              <w:rPr>
                <w:rFonts w:eastAsia="Times New Roman" w:cs="Times New Roman"/>
                <w:b/>
                <w:bCs/>
                <w:color w:val="000000"/>
                <w:sz w:val="20"/>
                <w:lang w:eastAsia="en-AU"/>
              </w:rPr>
              <w:t xml:space="preserve">I4 </w:t>
            </w:r>
            <w:r w:rsidRPr="00B174B9">
              <w:rPr>
                <w:rFonts w:eastAsia="Times New Roman" w:cs="Times New Roman"/>
                <w:b/>
                <w:bCs/>
                <w:color w:val="000000"/>
                <w:sz w:val="20"/>
                <w:lang w:eastAsia="en-AU"/>
              </w:rPr>
              <w:t>–</w:t>
            </w:r>
            <w:r>
              <w:rPr>
                <w:rFonts w:eastAsia="Times New Roman" w:cs="Times New Roman"/>
                <w:b/>
                <w:bCs/>
                <w:color w:val="000000"/>
                <w:sz w:val="20"/>
                <w:lang w:eastAsia="en-AU"/>
              </w:rPr>
              <w:t xml:space="preserve"> Nuclear Medicine Imaging</w:t>
            </w:r>
          </w:p>
        </w:tc>
      </w:tr>
      <w:tr w:rsidR="00E44046" w:rsidRPr="00B174B9" w14:paraId="4903A935" w14:textId="77777777" w:rsidTr="00BD7F5B">
        <w:trPr>
          <w:tblHeader/>
        </w:trPr>
        <w:tc>
          <w:tcPr>
            <w:tcW w:w="1393" w:type="dxa"/>
            <w:tcBorders>
              <w:top w:val="nil"/>
              <w:left w:val="nil"/>
              <w:bottom w:val="single" w:sz="12" w:space="0" w:color="auto"/>
              <w:right w:val="nil"/>
            </w:tcBorders>
            <w:shd w:val="clear" w:color="auto" w:fill="FFFFFF"/>
            <w:tcMar>
              <w:top w:w="0" w:type="dxa"/>
              <w:left w:w="107" w:type="dxa"/>
              <w:bottom w:w="0" w:type="dxa"/>
              <w:right w:w="107" w:type="dxa"/>
            </w:tcMar>
            <w:hideMark/>
          </w:tcPr>
          <w:p w14:paraId="1D60B0FE" w14:textId="77777777" w:rsidR="00E44046" w:rsidRPr="00B174B9" w:rsidRDefault="00E44046" w:rsidP="00BD7F5B">
            <w:pPr>
              <w:spacing w:before="60" w:line="240" w:lineRule="atLeast"/>
              <w:rPr>
                <w:rFonts w:eastAsia="Times New Roman" w:cs="Times New Roman"/>
                <w:color w:val="000000"/>
                <w:szCs w:val="22"/>
                <w:lang w:eastAsia="en-AU"/>
              </w:rPr>
            </w:pPr>
            <w:r w:rsidRPr="00B174B9">
              <w:rPr>
                <w:rFonts w:eastAsia="Times New Roman" w:cs="Times New Roman"/>
                <w:b/>
                <w:bCs/>
                <w:color w:val="000000"/>
                <w:sz w:val="20"/>
                <w:lang w:eastAsia="en-AU"/>
              </w:rPr>
              <w:t>Column 1</w:t>
            </w:r>
          </w:p>
          <w:p w14:paraId="2172B8FF" w14:textId="77777777" w:rsidR="00E44046" w:rsidRPr="00B174B9" w:rsidRDefault="00E44046" w:rsidP="00BD7F5B">
            <w:pPr>
              <w:spacing w:before="60" w:line="240" w:lineRule="atLeast"/>
              <w:rPr>
                <w:rFonts w:eastAsia="Times New Roman" w:cs="Times New Roman"/>
                <w:color w:val="000000"/>
                <w:szCs w:val="22"/>
                <w:lang w:eastAsia="en-AU"/>
              </w:rPr>
            </w:pPr>
            <w:r w:rsidRPr="00B174B9">
              <w:rPr>
                <w:rFonts w:eastAsia="Times New Roman" w:cs="Times New Roman"/>
                <w:b/>
                <w:bCs/>
                <w:color w:val="000000"/>
                <w:sz w:val="20"/>
                <w:lang w:eastAsia="en-AU"/>
              </w:rPr>
              <w:t>Item</w:t>
            </w:r>
          </w:p>
        </w:tc>
        <w:tc>
          <w:tcPr>
            <w:tcW w:w="5882" w:type="dxa"/>
            <w:tcBorders>
              <w:top w:val="nil"/>
              <w:left w:val="nil"/>
              <w:bottom w:val="single" w:sz="12" w:space="0" w:color="auto"/>
              <w:right w:val="nil"/>
            </w:tcBorders>
            <w:shd w:val="clear" w:color="auto" w:fill="FFFFFF"/>
            <w:tcMar>
              <w:top w:w="0" w:type="dxa"/>
              <w:left w:w="107" w:type="dxa"/>
              <w:bottom w:w="0" w:type="dxa"/>
              <w:right w:w="107" w:type="dxa"/>
            </w:tcMar>
            <w:hideMark/>
          </w:tcPr>
          <w:p w14:paraId="492FD55E" w14:textId="77777777" w:rsidR="00E44046" w:rsidRPr="00B174B9" w:rsidRDefault="00E44046" w:rsidP="00BD7F5B">
            <w:pPr>
              <w:spacing w:before="60" w:line="240" w:lineRule="atLeast"/>
              <w:rPr>
                <w:rFonts w:eastAsia="Times New Roman" w:cs="Times New Roman"/>
                <w:color w:val="000000"/>
                <w:szCs w:val="22"/>
                <w:lang w:eastAsia="en-AU"/>
              </w:rPr>
            </w:pPr>
            <w:r w:rsidRPr="00B174B9">
              <w:rPr>
                <w:rFonts w:eastAsia="Times New Roman" w:cs="Times New Roman"/>
                <w:b/>
                <w:bCs/>
                <w:color w:val="000000"/>
                <w:sz w:val="20"/>
                <w:lang w:eastAsia="en-AU"/>
              </w:rPr>
              <w:t>Column 2</w:t>
            </w:r>
          </w:p>
          <w:p w14:paraId="4B1962F8" w14:textId="77777777" w:rsidR="00E44046" w:rsidRPr="00B174B9" w:rsidRDefault="00E44046" w:rsidP="00BD7F5B">
            <w:pPr>
              <w:spacing w:before="60" w:line="240" w:lineRule="atLeast"/>
              <w:rPr>
                <w:rFonts w:eastAsia="Times New Roman" w:cs="Times New Roman"/>
                <w:color w:val="000000"/>
                <w:szCs w:val="22"/>
                <w:lang w:eastAsia="en-AU"/>
              </w:rPr>
            </w:pPr>
            <w:r w:rsidRPr="00B174B9">
              <w:rPr>
                <w:rFonts w:eastAsia="Times New Roman" w:cs="Times New Roman"/>
                <w:b/>
                <w:bCs/>
                <w:color w:val="000000"/>
                <w:sz w:val="20"/>
                <w:lang w:eastAsia="en-AU"/>
              </w:rPr>
              <w:t>Description</w:t>
            </w:r>
          </w:p>
        </w:tc>
        <w:tc>
          <w:tcPr>
            <w:tcW w:w="1675" w:type="dxa"/>
            <w:tcBorders>
              <w:top w:val="nil"/>
              <w:left w:val="nil"/>
              <w:bottom w:val="single" w:sz="12" w:space="0" w:color="auto"/>
              <w:right w:val="nil"/>
            </w:tcBorders>
            <w:shd w:val="clear" w:color="auto" w:fill="FFFFFF"/>
            <w:tcMar>
              <w:top w:w="0" w:type="dxa"/>
              <w:left w:w="107" w:type="dxa"/>
              <w:bottom w:w="0" w:type="dxa"/>
              <w:right w:w="107" w:type="dxa"/>
            </w:tcMar>
            <w:hideMark/>
          </w:tcPr>
          <w:p w14:paraId="27F6AC8C" w14:textId="77777777" w:rsidR="00E44046" w:rsidRPr="00B174B9" w:rsidRDefault="00E44046" w:rsidP="00BD7F5B">
            <w:pPr>
              <w:spacing w:before="60" w:line="240" w:lineRule="atLeast"/>
              <w:ind w:left="594" w:right="-382"/>
              <w:rPr>
                <w:rFonts w:eastAsia="Times New Roman" w:cs="Times New Roman"/>
                <w:color w:val="000000"/>
                <w:szCs w:val="22"/>
                <w:lang w:eastAsia="en-AU"/>
              </w:rPr>
            </w:pPr>
            <w:r w:rsidRPr="00B174B9">
              <w:rPr>
                <w:rFonts w:eastAsia="Times New Roman" w:cs="Times New Roman"/>
                <w:b/>
                <w:bCs/>
                <w:color w:val="000000"/>
                <w:sz w:val="20"/>
                <w:lang w:eastAsia="en-AU"/>
              </w:rPr>
              <w:t>Column 3</w:t>
            </w:r>
          </w:p>
          <w:p w14:paraId="3D463247" w14:textId="77777777" w:rsidR="00E44046" w:rsidRPr="00B174B9" w:rsidRDefault="00E44046" w:rsidP="00BD7F5B">
            <w:pPr>
              <w:spacing w:before="60" w:line="240" w:lineRule="atLeast"/>
              <w:ind w:left="594" w:right="-382"/>
              <w:rPr>
                <w:rFonts w:eastAsia="Times New Roman" w:cs="Times New Roman"/>
                <w:color w:val="000000"/>
                <w:szCs w:val="22"/>
                <w:lang w:eastAsia="en-AU"/>
              </w:rPr>
            </w:pPr>
            <w:r w:rsidRPr="00B174B9">
              <w:rPr>
                <w:rFonts w:eastAsia="Times New Roman" w:cs="Times New Roman"/>
                <w:b/>
                <w:bCs/>
                <w:color w:val="000000"/>
                <w:sz w:val="20"/>
                <w:lang w:eastAsia="en-AU"/>
              </w:rPr>
              <w:t>Fee ($)</w:t>
            </w:r>
          </w:p>
        </w:tc>
      </w:tr>
      <w:tr w:rsidR="00E44046" w:rsidRPr="00B174B9" w14:paraId="241A74C6" w14:textId="77777777" w:rsidTr="00BD7F5B">
        <w:trPr>
          <w:tblHeader/>
        </w:trPr>
        <w:tc>
          <w:tcPr>
            <w:tcW w:w="8950" w:type="dxa"/>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2C7F20CF" w14:textId="77777777" w:rsidR="00E44046" w:rsidRPr="00B174B9" w:rsidRDefault="00E44046" w:rsidP="00BD7F5B">
            <w:pPr>
              <w:spacing w:before="60" w:line="240" w:lineRule="atLeast"/>
              <w:ind w:right="-382"/>
              <w:rPr>
                <w:rFonts w:eastAsia="Times New Roman" w:cs="Times New Roman"/>
                <w:color w:val="000000"/>
                <w:szCs w:val="22"/>
                <w:lang w:eastAsia="en-AU"/>
              </w:rPr>
            </w:pPr>
            <w:r w:rsidRPr="00B174B9">
              <w:rPr>
                <w:rFonts w:eastAsia="Times New Roman" w:cs="Times New Roman"/>
                <w:b/>
                <w:bCs/>
                <w:color w:val="000000"/>
                <w:sz w:val="20"/>
                <w:lang w:eastAsia="en-AU"/>
              </w:rPr>
              <w:t xml:space="preserve">Subgroup </w:t>
            </w:r>
            <w:r>
              <w:rPr>
                <w:rFonts w:eastAsia="Times New Roman" w:cs="Times New Roman"/>
                <w:b/>
                <w:bCs/>
                <w:color w:val="000000"/>
                <w:sz w:val="20"/>
                <w:lang w:eastAsia="en-AU"/>
              </w:rPr>
              <w:t>2</w:t>
            </w:r>
            <w:r w:rsidRPr="00B174B9">
              <w:rPr>
                <w:rFonts w:eastAsia="Times New Roman" w:cs="Times New Roman"/>
                <w:b/>
                <w:bCs/>
                <w:color w:val="000000"/>
                <w:sz w:val="20"/>
                <w:lang w:eastAsia="en-AU"/>
              </w:rPr>
              <w:t>–</w:t>
            </w:r>
            <w:r>
              <w:rPr>
                <w:rFonts w:eastAsia="Times New Roman" w:cs="Times New Roman"/>
                <w:b/>
                <w:bCs/>
                <w:color w:val="000000"/>
                <w:sz w:val="20"/>
                <w:lang w:eastAsia="en-AU"/>
              </w:rPr>
              <w:t xml:space="preserve"> PET</w:t>
            </w:r>
          </w:p>
        </w:tc>
      </w:tr>
      <w:tr w:rsidR="00E44046" w:rsidRPr="001F7155" w14:paraId="53B8BB10" w14:textId="77777777" w:rsidTr="00BD7F5B">
        <w:trPr>
          <w:trHeight w:val="1047"/>
        </w:trPr>
        <w:tc>
          <w:tcPr>
            <w:tcW w:w="1393" w:type="dxa"/>
            <w:tcBorders>
              <w:top w:val="nil"/>
              <w:left w:val="nil"/>
              <w:bottom w:val="single" w:sz="8" w:space="0" w:color="auto"/>
              <w:right w:val="nil"/>
            </w:tcBorders>
            <w:shd w:val="clear" w:color="auto" w:fill="FFFFFF"/>
            <w:tcMar>
              <w:top w:w="0" w:type="dxa"/>
              <w:left w:w="107" w:type="dxa"/>
              <w:bottom w:w="0" w:type="dxa"/>
              <w:right w:w="107" w:type="dxa"/>
            </w:tcMar>
            <w:hideMark/>
          </w:tcPr>
          <w:p w14:paraId="25FEA606" w14:textId="14143031" w:rsidR="00E44046" w:rsidRPr="009A79F2" w:rsidRDefault="00E44046" w:rsidP="00BD7F5B">
            <w:pPr>
              <w:spacing w:before="60" w:line="240" w:lineRule="auto"/>
              <w:rPr>
                <w:rFonts w:eastAsia="Times New Roman" w:cs="Times New Roman"/>
                <w:color w:val="000000"/>
                <w:sz w:val="20"/>
                <w:lang w:eastAsia="en-AU"/>
              </w:rPr>
            </w:pPr>
            <w:r w:rsidRPr="009A79F2">
              <w:rPr>
                <w:rFonts w:eastAsia="Times New Roman" w:cs="Times New Roman"/>
                <w:color w:val="000000"/>
                <w:sz w:val="20"/>
                <w:lang w:eastAsia="en-AU"/>
              </w:rPr>
              <w:t>61</w:t>
            </w:r>
            <w:r w:rsidR="007E40A5">
              <w:rPr>
                <w:rFonts w:eastAsia="Times New Roman" w:cs="Times New Roman"/>
                <w:color w:val="000000"/>
                <w:sz w:val="20"/>
                <w:lang w:eastAsia="en-AU"/>
              </w:rPr>
              <w:t>333</w:t>
            </w:r>
          </w:p>
        </w:tc>
        <w:tc>
          <w:tcPr>
            <w:tcW w:w="5882" w:type="dxa"/>
            <w:tcBorders>
              <w:top w:val="nil"/>
              <w:left w:val="nil"/>
              <w:bottom w:val="single" w:sz="8" w:space="0" w:color="auto"/>
              <w:right w:val="nil"/>
            </w:tcBorders>
            <w:shd w:val="clear" w:color="auto" w:fill="FFFFFF"/>
            <w:tcMar>
              <w:top w:w="0" w:type="dxa"/>
              <w:left w:w="107" w:type="dxa"/>
              <w:bottom w:w="0" w:type="dxa"/>
              <w:right w:w="107" w:type="dxa"/>
            </w:tcMar>
            <w:hideMark/>
          </w:tcPr>
          <w:p w14:paraId="353402B5" w14:textId="349CAE55" w:rsidR="00E44046" w:rsidRPr="007E40A5" w:rsidRDefault="007E40A5" w:rsidP="007E40A5">
            <w:pPr>
              <w:spacing w:line="221" w:lineRule="atLeast"/>
              <w:ind w:left="720"/>
              <w:rPr>
                <w:rFonts w:eastAsia="Times New Roman" w:cs="Times New Roman"/>
                <w:sz w:val="20"/>
              </w:rPr>
            </w:pPr>
            <w:r>
              <w:rPr>
                <w:color w:val="000000"/>
                <w:sz w:val="20"/>
              </w:rPr>
              <w:t xml:space="preserve">Lung ventilation study using </w:t>
            </w:r>
            <w:proofErr w:type="spellStart"/>
            <w:r>
              <w:rPr>
                <w:color w:val="000000"/>
                <w:sz w:val="20"/>
              </w:rPr>
              <w:t>Galligas</w:t>
            </w:r>
            <w:proofErr w:type="spellEnd"/>
            <w:r>
              <w:rPr>
                <w:color w:val="000000"/>
                <w:sz w:val="20"/>
              </w:rPr>
              <w:t xml:space="preserve"> and lung perfusion study using </w:t>
            </w:r>
            <w:r w:rsidR="0066067A">
              <w:rPr>
                <w:color w:val="000000"/>
                <w:sz w:val="20"/>
              </w:rPr>
              <w:t>gallium-68 macro aggregated albumin (</w:t>
            </w:r>
            <w:r>
              <w:rPr>
                <w:rFonts w:eastAsia="Times New Roman" w:cs="Times New Roman"/>
                <w:sz w:val="20"/>
                <w:vertAlign w:val="superscript"/>
              </w:rPr>
              <w:t>68</w:t>
            </w:r>
            <w:r>
              <w:rPr>
                <w:rFonts w:eastAsia="Times New Roman" w:cs="Times New Roman"/>
                <w:sz w:val="20"/>
              </w:rPr>
              <w:t>Ga</w:t>
            </w:r>
            <w:r>
              <w:rPr>
                <w:rFonts w:eastAsia="Times New Roman" w:cs="Times New Roman"/>
                <w:sz w:val="20"/>
              </w:rPr>
              <w:noBreakHyphen/>
              <w:t>MAA</w:t>
            </w:r>
            <w:r w:rsidR="0066067A">
              <w:rPr>
                <w:rFonts w:eastAsia="Times New Roman" w:cs="Times New Roman"/>
                <w:sz w:val="20"/>
              </w:rPr>
              <w:t>)</w:t>
            </w:r>
            <w:r>
              <w:rPr>
                <w:rFonts w:eastAsia="Times New Roman" w:cs="Times New Roman"/>
                <w:sz w:val="20"/>
              </w:rPr>
              <w:t xml:space="preserve">, with </w:t>
            </w:r>
            <w:r w:rsidRPr="006F2FC6">
              <w:rPr>
                <w:rFonts w:eastAsia="Times New Roman" w:cs="Times New Roman"/>
                <w:sz w:val="20"/>
              </w:rPr>
              <w:t>PET</w:t>
            </w:r>
            <w:r>
              <w:rPr>
                <w:rFonts w:eastAsia="Times New Roman" w:cs="Times New Roman"/>
                <w:sz w:val="20"/>
              </w:rPr>
              <w:t>,</w:t>
            </w:r>
            <w:r w:rsidRPr="006F2FC6">
              <w:rPr>
                <w:rFonts w:eastAsia="Times New Roman" w:cs="Times New Roman"/>
                <w:sz w:val="20"/>
              </w:rPr>
              <w:t xml:space="preserve"> </w:t>
            </w:r>
            <w:bookmarkStart w:id="19" w:name="_Hlk110001761"/>
            <w:r w:rsidRPr="006F2FC6">
              <w:rPr>
                <w:rFonts w:eastAsia="SimSun"/>
                <w:sz w:val="20"/>
                <w:lang w:eastAsia="zh-CN"/>
              </w:rPr>
              <w:t>if the service is performed because the service</w:t>
            </w:r>
            <w:r w:rsidR="008B2074">
              <w:rPr>
                <w:rFonts w:eastAsia="SimSun"/>
                <w:sz w:val="20"/>
                <w:lang w:eastAsia="zh-CN"/>
              </w:rPr>
              <w:t xml:space="preserve"> </w:t>
            </w:r>
            <w:r w:rsidRPr="006F2FC6">
              <w:rPr>
                <w:rFonts w:eastAsia="SimSun"/>
                <w:sz w:val="20"/>
                <w:lang w:eastAsia="zh-CN"/>
              </w:rPr>
              <w:t xml:space="preserve">to which item </w:t>
            </w:r>
            <w:r w:rsidRPr="00900B40">
              <w:rPr>
                <w:rFonts w:eastAsia="SimSun"/>
                <w:sz w:val="20"/>
                <w:lang w:eastAsia="zh-CN"/>
              </w:rPr>
              <w:t>61348</w:t>
            </w:r>
            <w:r w:rsidRPr="006F2FC6">
              <w:rPr>
                <w:rFonts w:eastAsia="SimSun"/>
                <w:sz w:val="20"/>
                <w:lang w:eastAsia="zh-CN"/>
              </w:rPr>
              <w:t xml:space="preserve"> appl</w:t>
            </w:r>
            <w:r>
              <w:rPr>
                <w:rFonts w:eastAsia="SimSun"/>
                <w:sz w:val="20"/>
                <w:lang w:eastAsia="zh-CN"/>
              </w:rPr>
              <w:t>ies</w:t>
            </w:r>
            <w:r w:rsidRPr="006F2FC6">
              <w:rPr>
                <w:rFonts w:eastAsia="SimSun"/>
                <w:sz w:val="20"/>
                <w:lang w:eastAsia="zh-CN"/>
              </w:rPr>
              <w:t xml:space="preserve"> cannot be performed due to unavailability of </w:t>
            </w:r>
            <w:r>
              <w:rPr>
                <w:rFonts w:eastAsia="SimSun"/>
                <w:sz w:val="20"/>
                <w:lang w:eastAsia="zh-CN"/>
              </w:rPr>
              <w:t>technetium-99m</w:t>
            </w:r>
            <w:bookmarkEnd w:id="19"/>
            <w:r w:rsidRPr="006F2FC6">
              <w:rPr>
                <w:rFonts w:eastAsia="Times New Roman" w:cs="Times New Roman"/>
                <w:sz w:val="20"/>
              </w:rPr>
              <w:t xml:space="preserve"> (R)</w:t>
            </w:r>
          </w:p>
        </w:tc>
        <w:tc>
          <w:tcPr>
            <w:tcW w:w="1675" w:type="dxa"/>
            <w:tcBorders>
              <w:top w:val="nil"/>
              <w:left w:val="nil"/>
              <w:bottom w:val="single" w:sz="8" w:space="0" w:color="auto"/>
              <w:right w:val="nil"/>
            </w:tcBorders>
            <w:shd w:val="clear" w:color="auto" w:fill="FFFFFF"/>
            <w:tcMar>
              <w:top w:w="0" w:type="dxa"/>
              <w:left w:w="107" w:type="dxa"/>
              <w:bottom w:w="0" w:type="dxa"/>
              <w:right w:w="107" w:type="dxa"/>
            </w:tcMar>
            <w:hideMark/>
          </w:tcPr>
          <w:p w14:paraId="27589B05" w14:textId="539E60E7" w:rsidR="00E44046" w:rsidRDefault="007E40A5" w:rsidP="00BD7F5B">
            <w:pPr>
              <w:spacing w:before="60" w:after="60" w:line="253" w:lineRule="atLeast"/>
              <w:ind w:left="594" w:right="-665"/>
              <w:rPr>
                <w:rFonts w:eastAsia="SimSun"/>
                <w:sz w:val="20"/>
                <w:lang w:eastAsia="zh-CN"/>
              </w:rPr>
            </w:pPr>
            <w:r>
              <w:rPr>
                <w:rFonts w:eastAsia="SimSun"/>
                <w:sz w:val="20"/>
                <w:lang w:eastAsia="zh-CN"/>
              </w:rPr>
              <w:t>443</w:t>
            </w:r>
            <w:r w:rsidR="00E44046">
              <w:rPr>
                <w:rFonts w:eastAsia="SimSun"/>
                <w:sz w:val="20"/>
                <w:lang w:eastAsia="zh-CN"/>
              </w:rPr>
              <w:t>.35</w:t>
            </w:r>
          </w:p>
          <w:p w14:paraId="0D3FCA50" w14:textId="77777777" w:rsidR="00E44046" w:rsidRDefault="00E44046" w:rsidP="00BD7F5B">
            <w:pPr>
              <w:rPr>
                <w:rFonts w:eastAsia="SimSun"/>
                <w:sz w:val="20"/>
                <w:lang w:eastAsia="zh-CN"/>
              </w:rPr>
            </w:pPr>
          </w:p>
          <w:p w14:paraId="63411B14" w14:textId="77777777" w:rsidR="00E44046" w:rsidRPr="001F7155" w:rsidRDefault="00E44046" w:rsidP="00BD7F5B">
            <w:pPr>
              <w:tabs>
                <w:tab w:val="left" w:pos="1365"/>
              </w:tabs>
              <w:rPr>
                <w:rFonts w:eastAsia="Times New Roman" w:cs="Times New Roman"/>
                <w:sz w:val="20"/>
                <w:lang w:eastAsia="en-AU"/>
              </w:rPr>
            </w:pPr>
            <w:r>
              <w:rPr>
                <w:rFonts w:eastAsia="SimSun"/>
                <w:sz w:val="20"/>
                <w:lang w:eastAsia="zh-CN"/>
              </w:rPr>
              <w:tab/>
            </w:r>
          </w:p>
        </w:tc>
      </w:tr>
      <w:tr w:rsidR="007E40A5" w:rsidRPr="001F7155" w14:paraId="77857C00" w14:textId="77777777" w:rsidTr="008B2074">
        <w:trPr>
          <w:trHeight w:val="849"/>
        </w:trPr>
        <w:tc>
          <w:tcPr>
            <w:tcW w:w="1393" w:type="dxa"/>
            <w:tcBorders>
              <w:top w:val="nil"/>
              <w:left w:val="nil"/>
              <w:bottom w:val="single" w:sz="8" w:space="0" w:color="auto"/>
              <w:right w:val="nil"/>
            </w:tcBorders>
            <w:shd w:val="clear" w:color="auto" w:fill="FFFFFF"/>
            <w:tcMar>
              <w:top w:w="0" w:type="dxa"/>
              <w:left w:w="107" w:type="dxa"/>
              <w:bottom w:w="0" w:type="dxa"/>
              <w:right w:w="107" w:type="dxa"/>
            </w:tcMar>
            <w:hideMark/>
          </w:tcPr>
          <w:p w14:paraId="7AC81559" w14:textId="26F0D832" w:rsidR="007E40A5" w:rsidRPr="009A79F2" w:rsidRDefault="007E40A5" w:rsidP="00BD7F5B">
            <w:pPr>
              <w:spacing w:before="60" w:line="240" w:lineRule="auto"/>
              <w:rPr>
                <w:rFonts w:eastAsia="Times New Roman" w:cs="Times New Roman"/>
                <w:color w:val="000000"/>
                <w:sz w:val="20"/>
                <w:lang w:eastAsia="en-AU"/>
              </w:rPr>
            </w:pPr>
            <w:r w:rsidRPr="009A79F2">
              <w:rPr>
                <w:rFonts w:eastAsia="Times New Roman" w:cs="Times New Roman"/>
                <w:color w:val="000000"/>
                <w:sz w:val="20"/>
                <w:lang w:eastAsia="en-AU"/>
              </w:rPr>
              <w:t>61</w:t>
            </w:r>
            <w:r>
              <w:rPr>
                <w:rFonts w:eastAsia="Times New Roman" w:cs="Times New Roman"/>
                <w:color w:val="000000"/>
                <w:sz w:val="20"/>
                <w:lang w:eastAsia="en-AU"/>
              </w:rPr>
              <w:t>336</w:t>
            </w:r>
          </w:p>
        </w:tc>
        <w:tc>
          <w:tcPr>
            <w:tcW w:w="5882" w:type="dxa"/>
            <w:tcBorders>
              <w:top w:val="nil"/>
              <w:left w:val="nil"/>
              <w:bottom w:val="single" w:sz="8" w:space="0" w:color="auto"/>
              <w:right w:val="nil"/>
            </w:tcBorders>
            <w:shd w:val="clear" w:color="auto" w:fill="FFFFFF"/>
            <w:tcMar>
              <w:top w:w="0" w:type="dxa"/>
              <w:left w:w="107" w:type="dxa"/>
              <w:bottom w:w="0" w:type="dxa"/>
              <w:right w:w="107" w:type="dxa"/>
            </w:tcMar>
            <w:hideMark/>
          </w:tcPr>
          <w:p w14:paraId="68E803F8" w14:textId="084A709F" w:rsidR="007E40A5" w:rsidRPr="007E40A5" w:rsidRDefault="007E40A5" w:rsidP="007E40A5">
            <w:pPr>
              <w:spacing w:line="221" w:lineRule="atLeast"/>
              <w:ind w:left="720"/>
              <w:rPr>
                <w:rFonts w:eastAsia="Times New Roman" w:cs="Times New Roman"/>
                <w:sz w:val="20"/>
              </w:rPr>
            </w:pPr>
            <w:r>
              <w:rPr>
                <w:rFonts w:eastAsia="Times New Roman" w:cs="Times New Roman"/>
                <w:sz w:val="20"/>
              </w:rPr>
              <w:t xml:space="preserve">Cerebral study, with PET, </w:t>
            </w:r>
            <w:bookmarkStart w:id="20" w:name="_Hlk110001785"/>
            <w:bookmarkStart w:id="21" w:name="_Hlk110347163"/>
            <w:r w:rsidRPr="006F2FC6">
              <w:rPr>
                <w:rFonts w:eastAsia="SimSun"/>
                <w:sz w:val="20"/>
                <w:lang w:eastAsia="zh-CN"/>
              </w:rPr>
              <w:t>if the service is performed because the service</w:t>
            </w:r>
            <w:r w:rsidR="003F18DF">
              <w:rPr>
                <w:rFonts w:eastAsia="SimSun"/>
                <w:sz w:val="20"/>
                <w:lang w:eastAsia="zh-CN"/>
              </w:rPr>
              <w:t xml:space="preserve"> </w:t>
            </w:r>
            <w:r w:rsidRPr="006F2FC6">
              <w:rPr>
                <w:rFonts w:eastAsia="SimSun"/>
                <w:sz w:val="20"/>
                <w:lang w:eastAsia="zh-CN"/>
              </w:rPr>
              <w:t>to which item</w:t>
            </w:r>
            <w:r>
              <w:rPr>
                <w:rFonts w:eastAsia="SimSun"/>
                <w:sz w:val="20"/>
                <w:lang w:eastAsia="zh-CN"/>
              </w:rPr>
              <w:t xml:space="preserve"> </w:t>
            </w:r>
            <w:r w:rsidRPr="00900B40">
              <w:rPr>
                <w:rFonts w:eastAsia="SimSun"/>
                <w:sz w:val="20"/>
                <w:lang w:eastAsia="zh-CN"/>
              </w:rPr>
              <w:t>61402</w:t>
            </w:r>
            <w:r w:rsidRPr="006F2FC6">
              <w:rPr>
                <w:rFonts w:eastAsia="SimSun"/>
                <w:sz w:val="20"/>
                <w:lang w:eastAsia="zh-CN"/>
              </w:rPr>
              <w:t xml:space="preserve"> appl</w:t>
            </w:r>
            <w:r>
              <w:rPr>
                <w:rFonts w:eastAsia="SimSun"/>
                <w:sz w:val="20"/>
                <w:lang w:eastAsia="zh-CN"/>
              </w:rPr>
              <w:t>ies</w:t>
            </w:r>
            <w:r w:rsidRPr="006F2FC6">
              <w:rPr>
                <w:rFonts w:eastAsia="SimSun"/>
                <w:sz w:val="20"/>
                <w:lang w:eastAsia="zh-CN"/>
              </w:rPr>
              <w:t xml:space="preserve"> cannot be performed due to unavailability of </w:t>
            </w:r>
            <w:r>
              <w:rPr>
                <w:rFonts w:eastAsia="SimSun"/>
                <w:sz w:val="20"/>
                <w:lang w:eastAsia="zh-CN"/>
              </w:rPr>
              <w:t>technetium-99m</w:t>
            </w:r>
            <w:bookmarkEnd w:id="20"/>
            <w:r>
              <w:rPr>
                <w:rFonts w:eastAsia="Times New Roman" w:cs="Times New Roman"/>
                <w:sz w:val="20"/>
              </w:rPr>
              <w:t xml:space="preserve"> </w:t>
            </w:r>
            <w:bookmarkEnd w:id="21"/>
            <w:r>
              <w:rPr>
                <w:rFonts w:eastAsia="Times New Roman" w:cs="Times New Roman"/>
                <w:sz w:val="20"/>
              </w:rPr>
              <w:t>(R)</w:t>
            </w:r>
          </w:p>
        </w:tc>
        <w:tc>
          <w:tcPr>
            <w:tcW w:w="1675" w:type="dxa"/>
            <w:tcBorders>
              <w:top w:val="nil"/>
              <w:left w:val="nil"/>
              <w:bottom w:val="single" w:sz="8" w:space="0" w:color="auto"/>
              <w:right w:val="nil"/>
            </w:tcBorders>
            <w:shd w:val="clear" w:color="auto" w:fill="FFFFFF"/>
            <w:tcMar>
              <w:top w:w="0" w:type="dxa"/>
              <w:left w:w="107" w:type="dxa"/>
              <w:bottom w:w="0" w:type="dxa"/>
              <w:right w:w="107" w:type="dxa"/>
            </w:tcMar>
            <w:hideMark/>
          </w:tcPr>
          <w:p w14:paraId="27ED3F0D" w14:textId="2414A70A" w:rsidR="007E40A5" w:rsidRDefault="007E40A5" w:rsidP="00BD7F5B">
            <w:pPr>
              <w:spacing w:before="60" w:after="60" w:line="253" w:lineRule="atLeast"/>
              <w:ind w:left="594" w:right="-665"/>
              <w:rPr>
                <w:rFonts w:eastAsia="SimSun"/>
                <w:sz w:val="20"/>
                <w:lang w:eastAsia="zh-CN"/>
              </w:rPr>
            </w:pPr>
            <w:r>
              <w:rPr>
                <w:rFonts w:eastAsia="SimSun"/>
                <w:sz w:val="20"/>
                <w:lang w:eastAsia="zh-CN"/>
              </w:rPr>
              <w:t>605.05</w:t>
            </w:r>
          </w:p>
          <w:p w14:paraId="53989629" w14:textId="77777777" w:rsidR="007E40A5" w:rsidRDefault="007E40A5" w:rsidP="00BD7F5B">
            <w:pPr>
              <w:rPr>
                <w:rFonts w:eastAsia="SimSun"/>
                <w:sz w:val="20"/>
                <w:lang w:eastAsia="zh-CN"/>
              </w:rPr>
            </w:pPr>
          </w:p>
          <w:p w14:paraId="1FC584D4" w14:textId="77777777" w:rsidR="007E40A5" w:rsidRPr="001F7155" w:rsidRDefault="007E40A5" w:rsidP="00BD7F5B">
            <w:pPr>
              <w:tabs>
                <w:tab w:val="left" w:pos="1365"/>
              </w:tabs>
              <w:rPr>
                <w:rFonts w:eastAsia="Times New Roman" w:cs="Times New Roman"/>
                <w:sz w:val="20"/>
                <w:lang w:eastAsia="en-AU"/>
              </w:rPr>
            </w:pPr>
            <w:r>
              <w:rPr>
                <w:rFonts w:eastAsia="SimSun"/>
                <w:sz w:val="20"/>
                <w:lang w:eastAsia="zh-CN"/>
              </w:rPr>
              <w:tab/>
            </w:r>
          </w:p>
        </w:tc>
      </w:tr>
      <w:tr w:rsidR="007E40A5" w:rsidRPr="001F7155" w14:paraId="03168674" w14:textId="77777777" w:rsidTr="00BD7F5B">
        <w:trPr>
          <w:trHeight w:val="1047"/>
        </w:trPr>
        <w:tc>
          <w:tcPr>
            <w:tcW w:w="1393" w:type="dxa"/>
            <w:tcBorders>
              <w:top w:val="nil"/>
              <w:left w:val="nil"/>
              <w:bottom w:val="single" w:sz="8" w:space="0" w:color="auto"/>
              <w:right w:val="nil"/>
            </w:tcBorders>
            <w:shd w:val="clear" w:color="auto" w:fill="FFFFFF"/>
            <w:tcMar>
              <w:top w:w="0" w:type="dxa"/>
              <w:left w:w="107" w:type="dxa"/>
              <w:bottom w:w="0" w:type="dxa"/>
              <w:right w:w="107" w:type="dxa"/>
            </w:tcMar>
            <w:hideMark/>
          </w:tcPr>
          <w:p w14:paraId="246C515B" w14:textId="06804D49" w:rsidR="007E40A5" w:rsidRPr="009A79F2" w:rsidRDefault="007E40A5" w:rsidP="00BD7F5B">
            <w:pPr>
              <w:spacing w:before="60" w:line="240" w:lineRule="auto"/>
              <w:rPr>
                <w:rFonts w:eastAsia="Times New Roman" w:cs="Times New Roman"/>
                <w:color w:val="000000"/>
                <w:sz w:val="20"/>
                <w:lang w:eastAsia="en-AU"/>
              </w:rPr>
            </w:pPr>
            <w:bookmarkStart w:id="22" w:name="_Hlk110347181"/>
            <w:r w:rsidRPr="009A79F2">
              <w:rPr>
                <w:rFonts w:eastAsia="Times New Roman" w:cs="Times New Roman"/>
                <w:color w:val="000000"/>
                <w:sz w:val="20"/>
                <w:lang w:eastAsia="en-AU"/>
              </w:rPr>
              <w:t>61</w:t>
            </w:r>
            <w:r>
              <w:rPr>
                <w:rFonts w:eastAsia="Times New Roman" w:cs="Times New Roman"/>
                <w:color w:val="000000"/>
                <w:sz w:val="20"/>
                <w:lang w:eastAsia="en-AU"/>
              </w:rPr>
              <w:t>341</w:t>
            </w:r>
            <w:bookmarkEnd w:id="22"/>
          </w:p>
        </w:tc>
        <w:tc>
          <w:tcPr>
            <w:tcW w:w="5882" w:type="dxa"/>
            <w:tcBorders>
              <w:top w:val="nil"/>
              <w:left w:val="nil"/>
              <w:bottom w:val="single" w:sz="8" w:space="0" w:color="auto"/>
              <w:right w:val="nil"/>
            </w:tcBorders>
            <w:shd w:val="clear" w:color="auto" w:fill="FFFFFF"/>
            <w:tcMar>
              <w:top w:w="0" w:type="dxa"/>
              <w:left w:w="107" w:type="dxa"/>
              <w:bottom w:w="0" w:type="dxa"/>
              <w:right w:w="107" w:type="dxa"/>
            </w:tcMar>
            <w:hideMark/>
          </w:tcPr>
          <w:p w14:paraId="6A79C4BB" w14:textId="0F65FBBD" w:rsidR="007E40A5" w:rsidRPr="007E40A5" w:rsidRDefault="007E40A5" w:rsidP="007E40A5">
            <w:pPr>
              <w:spacing w:line="221" w:lineRule="atLeast"/>
              <w:ind w:left="720"/>
              <w:rPr>
                <w:rFonts w:eastAsia="Times New Roman" w:cs="Times New Roman"/>
                <w:sz w:val="20"/>
              </w:rPr>
            </w:pPr>
            <w:r>
              <w:rPr>
                <w:rFonts w:eastAsia="Times New Roman" w:cs="Times New Roman"/>
                <w:sz w:val="20"/>
              </w:rPr>
              <w:t xml:space="preserve">Bone study – whole body with PET, with delayed imaging when undertaken, </w:t>
            </w:r>
            <w:bookmarkStart w:id="23" w:name="_Hlk110347207"/>
            <w:r w:rsidRPr="006F2FC6">
              <w:rPr>
                <w:rFonts w:eastAsia="SimSun"/>
                <w:sz w:val="20"/>
                <w:lang w:eastAsia="zh-CN"/>
              </w:rPr>
              <w:t xml:space="preserve">if the service is performed because the services to which item </w:t>
            </w:r>
            <w:r w:rsidRPr="00900B40">
              <w:rPr>
                <w:rFonts w:eastAsia="SimSun"/>
                <w:sz w:val="20"/>
                <w:lang w:eastAsia="zh-CN"/>
              </w:rPr>
              <w:t>61421 or 61425</w:t>
            </w:r>
            <w:r w:rsidRPr="006F2FC6">
              <w:rPr>
                <w:rFonts w:eastAsia="SimSun"/>
                <w:sz w:val="20"/>
                <w:lang w:eastAsia="zh-CN"/>
              </w:rPr>
              <w:t xml:space="preserve"> apply cannot be performed due to unavailability of </w:t>
            </w:r>
            <w:r>
              <w:rPr>
                <w:rFonts w:eastAsia="SimSun"/>
                <w:sz w:val="20"/>
                <w:lang w:eastAsia="zh-CN"/>
              </w:rPr>
              <w:t>technetium-99m</w:t>
            </w:r>
            <w:bookmarkEnd w:id="23"/>
            <w:r>
              <w:rPr>
                <w:rFonts w:eastAsia="Times New Roman" w:cs="Times New Roman"/>
                <w:sz w:val="20"/>
              </w:rPr>
              <w:t xml:space="preserve"> (R)</w:t>
            </w:r>
          </w:p>
        </w:tc>
        <w:tc>
          <w:tcPr>
            <w:tcW w:w="1675" w:type="dxa"/>
            <w:tcBorders>
              <w:top w:val="nil"/>
              <w:left w:val="nil"/>
              <w:bottom w:val="single" w:sz="8" w:space="0" w:color="auto"/>
              <w:right w:val="nil"/>
            </w:tcBorders>
            <w:shd w:val="clear" w:color="auto" w:fill="FFFFFF"/>
            <w:tcMar>
              <w:top w:w="0" w:type="dxa"/>
              <w:left w:w="107" w:type="dxa"/>
              <w:bottom w:w="0" w:type="dxa"/>
              <w:right w:w="107" w:type="dxa"/>
            </w:tcMar>
            <w:hideMark/>
          </w:tcPr>
          <w:p w14:paraId="5C7D2E5F" w14:textId="4D1A18C4" w:rsidR="007E40A5" w:rsidRDefault="007E40A5" w:rsidP="00BD7F5B">
            <w:pPr>
              <w:spacing w:before="60" w:after="60" w:line="253" w:lineRule="atLeast"/>
              <w:ind w:left="594" w:right="-665"/>
              <w:rPr>
                <w:rFonts w:eastAsia="SimSun"/>
                <w:sz w:val="20"/>
                <w:lang w:eastAsia="zh-CN"/>
              </w:rPr>
            </w:pPr>
            <w:r>
              <w:rPr>
                <w:rFonts w:eastAsia="SimSun"/>
                <w:sz w:val="20"/>
                <w:lang w:eastAsia="zh-CN"/>
              </w:rPr>
              <w:t>600.70</w:t>
            </w:r>
          </w:p>
          <w:p w14:paraId="4968D6B1" w14:textId="77777777" w:rsidR="007E40A5" w:rsidRDefault="007E40A5" w:rsidP="00BD7F5B">
            <w:pPr>
              <w:rPr>
                <w:rFonts w:eastAsia="SimSun"/>
                <w:sz w:val="20"/>
                <w:lang w:eastAsia="zh-CN"/>
              </w:rPr>
            </w:pPr>
          </w:p>
          <w:p w14:paraId="56011885" w14:textId="77777777" w:rsidR="007E40A5" w:rsidRPr="001F7155" w:rsidRDefault="007E40A5" w:rsidP="00BD7F5B">
            <w:pPr>
              <w:tabs>
                <w:tab w:val="left" w:pos="1365"/>
              </w:tabs>
              <w:rPr>
                <w:rFonts w:eastAsia="Times New Roman" w:cs="Times New Roman"/>
                <w:sz w:val="20"/>
                <w:lang w:eastAsia="en-AU"/>
              </w:rPr>
            </w:pPr>
            <w:r>
              <w:rPr>
                <w:rFonts w:eastAsia="SimSun"/>
                <w:sz w:val="20"/>
                <w:lang w:eastAsia="zh-CN"/>
              </w:rPr>
              <w:tab/>
            </w:r>
          </w:p>
        </w:tc>
      </w:tr>
    </w:tbl>
    <w:p w14:paraId="56E76229" w14:textId="77777777" w:rsidR="00E44046" w:rsidRDefault="00E44046" w:rsidP="007E40A5">
      <w:pPr>
        <w:pStyle w:val="itemhead0"/>
        <w:shd w:val="clear" w:color="auto" w:fill="FFFFFF"/>
        <w:spacing w:before="220" w:beforeAutospacing="0" w:after="0" w:afterAutospacing="0"/>
        <w:rPr>
          <w:rFonts w:ascii="Arial" w:hAnsi="Arial" w:cs="Arial"/>
          <w:b/>
          <w:bCs/>
          <w:color w:val="000000"/>
        </w:rPr>
      </w:pPr>
    </w:p>
    <w:p w14:paraId="5C4B708A" w14:textId="571189FC" w:rsidR="002325DB" w:rsidRPr="004B795B" w:rsidRDefault="002325DB" w:rsidP="005C62FD">
      <w:pPr>
        <w:pStyle w:val="itemhead0"/>
        <w:numPr>
          <w:ilvl w:val="0"/>
          <w:numId w:val="37"/>
        </w:numPr>
        <w:shd w:val="clear" w:color="auto" w:fill="FFFFFF"/>
        <w:spacing w:before="220" w:beforeAutospacing="0" w:after="240" w:afterAutospacing="0"/>
        <w:rPr>
          <w:rFonts w:ascii="Arial" w:hAnsi="Arial" w:cs="Arial"/>
          <w:b/>
          <w:bCs/>
          <w:color w:val="000000"/>
        </w:rPr>
      </w:pPr>
      <w:r w:rsidRPr="004B795B">
        <w:rPr>
          <w:rFonts w:ascii="Arial" w:hAnsi="Arial" w:cs="Arial"/>
          <w:b/>
          <w:bCs/>
          <w:color w:val="000000"/>
        </w:rPr>
        <w:lastRenderedPageBreak/>
        <w:t>Schedul</w:t>
      </w:r>
      <w:r>
        <w:rPr>
          <w:rFonts w:ascii="Arial" w:hAnsi="Arial" w:cs="Arial"/>
          <w:b/>
          <w:bCs/>
          <w:color w:val="000000"/>
        </w:rPr>
        <w:t>e 2</w:t>
      </w:r>
    </w:p>
    <w:p w14:paraId="327C3A8F" w14:textId="78061FD5" w:rsidR="00C23862" w:rsidRPr="00C23862" w:rsidRDefault="002325DB">
      <w:pPr>
        <w:ind w:firstLine="720"/>
      </w:pPr>
      <w:r>
        <w:rPr>
          <w:color w:val="000000"/>
          <w:szCs w:val="22"/>
        </w:rPr>
        <w:t>Repeal the schedule.</w:t>
      </w:r>
    </w:p>
    <w:sectPr w:rsidR="00C23862" w:rsidRPr="00C23862"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D0EE" w14:textId="77777777" w:rsidR="00457EC7" w:rsidRDefault="00457EC7" w:rsidP="00715914">
      <w:pPr>
        <w:spacing w:line="240" w:lineRule="auto"/>
      </w:pPr>
      <w:r>
        <w:separator/>
      </w:r>
    </w:p>
  </w:endnote>
  <w:endnote w:type="continuationSeparator" w:id="0">
    <w:p w14:paraId="7DF9EB78" w14:textId="77777777" w:rsidR="00457EC7" w:rsidRDefault="00457EC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5778" w14:textId="77777777" w:rsidR="0017106F" w:rsidRPr="00E33C1C" w:rsidRDefault="0017106F"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7106F" w14:paraId="7A9C1507" w14:textId="77777777" w:rsidTr="00B33709">
      <w:tc>
        <w:tcPr>
          <w:tcW w:w="709" w:type="dxa"/>
          <w:tcBorders>
            <w:top w:val="nil"/>
            <w:left w:val="nil"/>
            <w:bottom w:val="nil"/>
            <w:right w:val="nil"/>
          </w:tcBorders>
        </w:tcPr>
        <w:p w14:paraId="72FF7035" w14:textId="77777777" w:rsidR="0017106F" w:rsidRDefault="0017106F"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4C808462" w14:textId="77777777" w:rsidR="0017106F" w:rsidRPr="004E1307" w:rsidRDefault="0017106F"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Health Insurance (Section 3C Pathology Services – Archival Tissue Retrieval) Amendment Determination 2019</w:t>
          </w:r>
          <w:r w:rsidRPr="004E1307">
            <w:rPr>
              <w:i/>
              <w:sz w:val="18"/>
            </w:rPr>
            <w:fldChar w:fldCharType="end"/>
          </w:r>
        </w:p>
      </w:tc>
      <w:tc>
        <w:tcPr>
          <w:tcW w:w="1383" w:type="dxa"/>
          <w:tcBorders>
            <w:top w:val="nil"/>
            <w:left w:val="nil"/>
            <w:bottom w:val="nil"/>
            <w:right w:val="nil"/>
          </w:tcBorders>
        </w:tcPr>
        <w:p w14:paraId="7963896D" w14:textId="77777777" w:rsidR="0017106F" w:rsidRDefault="0017106F" w:rsidP="00A369E3">
          <w:pPr>
            <w:spacing w:line="0" w:lineRule="atLeast"/>
            <w:jc w:val="right"/>
            <w:rPr>
              <w:sz w:val="18"/>
            </w:rPr>
          </w:pPr>
        </w:p>
      </w:tc>
    </w:tr>
    <w:tr w:rsidR="0017106F" w14:paraId="2EF9D71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0DFA640" w14:textId="77777777" w:rsidR="0017106F" w:rsidRDefault="0017106F" w:rsidP="00A369E3">
          <w:pPr>
            <w:jc w:val="right"/>
            <w:rPr>
              <w:sz w:val="18"/>
            </w:rPr>
          </w:pPr>
        </w:p>
      </w:tc>
    </w:tr>
  </w:tbl>
  <w:p w14:paraId="41BC7DA5" w14:textId="77777777" w:rsidR="0017106F" w:rsidRPr="00ED79B6" w:rsidRDefault="0017106F"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2FF0" w14:textId="77777777" w:rsidR="0017106F" w:rsidRPr="00E33C1C" w:rsidRDefault="0017106F"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17106F" w14:paraId="547D1AC2" w14:textId="77777777" w:rsidTr="00A369E3">
      <w:tc>
        <w:tcPr>
          <w:tcW w:w="1384" w:type="dxa"/>
          <w:tcBorders>
            <w:top w:val="nil"/>
            <w:left w:val="nil"/>
            <w:bottom w:val="nil"/>
            <w:right w:val="nil"/>
          </w:tcBorders>
        </w:tcPr>
        <w:p w14:paraId="5588C78E" w14:textId="77777777" w:rsidR="0017106F" w:rsidRDefault="0017106F" w:rsidP="00A369E3">
          <w:pPr>
            <w:spacing w:line="0" w:lineRule="atLeast"/>
            <w:rPr>
              <w:sz w:val="18"/>
            </w:rPr>
          </w:pPr>
        </w:p>
      </w:tc>
      <w:tc>
        <w:tcPr>
          <w:tcW w:w="6379" w:type="dxa"/>
          <w:tcBorders>
            <w:top w:val="nil"/>
            <w:left w:val="nil"/>
            <w:bottom w:val="nil"/>
            <w:right w:val="nil"/>
          </w:tcBorders>
        </w:tcPr>
        <w:p w14:paraId="7B5C635B" w14:textId="77777777" w:rsidR="0017106F" w:rsidRDefault="0017106F"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Health Insurance (Section 3C Pathology Services – Archival Tissue Retrieval) Amendment Determination 2019</w:t>
          </w:r>
          <w:r w:rsidRPr="004E1307">
            <w:rPr>
              <w:i/>
              <w:sz w:val="18"/>
            </w:rPr>
            <w:fldChar w:fldCharType="end"/>
          </w:r>
        </w:p>
      </w:tc>
      <w:tc>
        <w:tcPr>
          <w:tcW w:w="709" w:type="dxa"/>
          <w:tcBorders>
            <w:top w:val="nil"/>
            <w:left w:val="nil"/>
            <w:bottom w:val="nil"/>
            <w:right w:val="nil"/>
          </w:tcBorders>
        </w:tcPr>
        <w:p w14:paraId="225C92EC" w14:textId="77777777" w:rsidR="0017106F" w:rsidRDefault="0017106F"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17106F" w14:paraId="4EC94CED"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E787910" w14:textId="77777777" w:rsidR="0017106F" w:rsidRDefault="0017106F" w:rsidP="00A369E3">
          <w:pPr>
            <w:rPr>
              <w:sz w:val="18"/>
            </w:rPr>
          </w:pPr>
        </w:p>
      </w:tc>
    </w:tr>
  </w:tbl>
  <w:p w14:paraId="1B991271" w14:textId="77777777" w:rsidR="0017106F" w:rsidRPr="00ED79B6" w:rsidRDefault="0017106F"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3C8E" w14:textId="77777777" w:rsidR="0017106F" w:rsidRPr="00E33C1C" w:rsidRDefault="0017106F"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17106F" w14:paraId="684E4D14" w14:textId="77777777" w:rsidTr="00B33709">
      <w:tc>
        <w:tcPr>
          <w:tcW w:w="1384" w:type="dxa"/>
          <w:tcBorders>
            <w:top w:val="nil"/>
            <w:left w:val="nil"/>
            <w:bottom w:val="nil"/>
            <w:right w:val="nil"/>
          </w:tcBorders>
        </w:tcPr>
        <w:p w14:paraId="5AB80F97" w14:textId="77777777" w:rsidR="0017106F" w:rsidRDefault="0017106F" w:rsidP="00A369E3">
          <w:pPr>
            <w:spacing w:line="0" w:lineRule="atLeast"/>
            <w:rPr>
              <w:sz w:val="18"/>
            </w:rPr>
          </w:pPr>
        </w:p>
      </w:tc>
      <w:tc>
        <w:tcPr>
          <w:tcW w:w="6379" w:type="dxa"/>
          <w:tcBorders>
            <w:top w:val="nil"/>
            <w:left w:val="nil"/>
            <w:bottom w:val="nil"/>
            <w:right w:val="nil"/>
          </w:tcBorders>
        </w:tcPr>
        <w:p w14:paraId="623B055F" w14:textId="77777777" w:rsidR="0017106F" w:rsidRDefault="0017106F" w:rsidP="00A369E3">
          <w:pPr>
            <w:spacing w:line="0" w:lineRule="atLeast"/>
            <w:jc w:val="center"/>
            <w:rPr>
              <w:sz w:val="18"/>
            </w:rPr>
          </w:pPr>
        </w:p>
      </w:tc>
      <w:tc>
        <w:tcPr>
          <w:tcW w:w="709" w:type="dxa"/>
          <w:tcBorders>
            <w:top w:val="nil"/>
            <w:left w:val="nil"/>
            <w:bottom w:val="nil"/>
            <w:right w:val="nil"/>
          </w:tcBorders>
        </w:tcPr>
        <w:p w14:paraId="0D49EE79" w14:textId="77777777" w:rsidR="0017106F" w:rsidRDefault="0017106F" w:rsidP="00A369E3">
          <w:pPr>
            <w:spacing w:line="0" w:lineRule="atLeast"/>
            <w:jc w:val="right"/>
            <w:rPr>
              <w:sz w:val="18"/>
            </w:rPr>
          </w:pPr>
        </w:p>
      </w:tc>
    </w:tr>
  </w:tbl>
  <w:p w14:paraId="1EEFF027" w14:textId="77777777" w:rsidR="0017106F" w:rsidRPr="00ED79B6" w:rsidRDefault="0017106F"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1B3B" w14:textId="77777777" w:rsidR="0017106F" w:rsidRPr="002B0EA5" w:rsidRDefault="0017106F" w:rsidP="000E05F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17106F" w14:paraId="3C05DE38" w14:textId="77777777" w:rsidTr="000E05F9">
      <w:tc>
        <w:tcPr>
          <w:tcW w:w="365" w:type="pct"/>
        </w:tcPr>
        <w:p w14:paraId="66C24B85" w14:textId="77777777" w:rsidR="0017106F" w:rsidRDefault="0017106F" w:rsidP="000E05F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46D82A26" w14:textId="77777777" w:rsidR="0017106F" w:rsidRDefault="0017106F" w:rsidP="000E05F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Health Insurance (Section 3C Pathology Services – Archival Tissue Retrieval) Amendment Determination 2019</w:t>
          </w:r>
          <w:r w:rsidRPr="004E1307">
            <w:rPr>
              <w:i/>
              <w:sz w:val="18"/>
            </w:rPr>
            <w:fldChar w:fldCharType="end"/>
          </w:r>
        </w:p>
      </w:tc>
      <w:tc>
        <w:tcPr>
          <w:tcW w:w="947" w:type="pct"/>
        </w:tcPr>
        <w:p w14:paraId="6DD5BECE" w14:textId="77777777" w:rsidR="0017106F" w:rsidRDefault="0017106F" w:rsidP="000E05F9">
          <w:pPr>
            <w:spacing w:line="0" w:lineRule="atLeast"/>
            <w:jc w:val="right"/>
            <w:rPr>
              <w:sz w:val="18"/>
            </w:rPr>
          </w:pPr>
        </w:p>
      </w:tc>
    </w:tr>
    <w:tr w:rsidR="0017106F" w14:paraId="31FC1FAD" w14:textId="77777777" w:rsidTr="000E05F9">
      <w:tc>
        <w:tcPr>
          <w:tcW w:w="5000" w:type="pct"/>
          <w:gridSpan w:val="3"/>
        </w:tcPr>
        <w:p w14:paraId="482AEE13" w14:textId="77777777" w:rsidR="0017106F" w:rsidRDefault="0017106F" w:rsidP="000E05F9">
          <w:pPr>
            <w:jc w:val="right"/>
            <w:rPr>
              <w:sz w:val="18"/>
            </w:rPr>
          </w:pPr>
        </w:p>
      </w:tc>
    </w:tr>
  </w:tbl>
  <w:p w14:paraId="30580258" w14:textId="77777777" w:rsidR="0017106F" w:rsidRPr="00ED79B6" w:rsidRDefault="0017106F" w:rsidP="000E05F9">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8EC7" w14:textId="77777777" w:rsidR="0017106F" w:rsidRPr="002B0EA5" w:rsidRDefault="0017106F" w:rsidP="000E05F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17106F" w14:paraId="16C96B4D" w14:textId="77777777" w:rsidTr="000E05F9">
      <w:tc>
        <w:tcPr>
          <w:tcW w:w="947" w:type="pct"/>
        </w:tcPr>
        <w:p w14:paraId="0850382C" w14:textId="77777777" w:rsidR="0017106F" w:rsidRDefault="0017106F" w:rsidP="000E05F9">
          <w:pPr>
            <w:spacing w:line="0" w:lineRule="atLeast"/>
            <w:rPr>
              <w:sz w:val="18"/>
            </w:rPr>
          </w:pPr>
        </w:p>
      </w:tc>
      <w:tc>
        <w:tcPr>
          <w:tcW w:w="3688" w:type="pct"/>
        </w:tcPr>
        <w:p w14:paraId="0887953A" w14:textId="774DC6A7" w:rsidR="0017106F" w:rsidRDefault="0017106F" w:rsidP="000E05F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F288F">
            <w:rPr>
              <w:i/>
              <w:noProof/>
              <w:sz w:val="18"/>
            </w:rPr>
            <w:t>Health Insurance (Section 3C Diagnostic Imaging – Nuclear Medicine Services) Amendment (PET and Technetium-99m) Determination 2022</w:t>
          </w:r>
          <w:r w:rsidRPr="004E1307">
            <w:rPr>
              <w:i/>
              <w:sz w:val="18"/>
            </w:rPr>
            <w:fldChar w:fldCharType="end"/>
          </w:r>
        </w:p>
      </w:tc>
      <w:tc>
        <w:tcPr>
          <w:tcW w:w="365" w:type="pct"/>
        </w:tcPr>
        <w:p w14:paraId="5474901C" w14:textId="7A8A37CA" w:rsidR="0017106F" w:rsidRDefault="0017106F" w:rsidP="000E05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17106F" w14:paraId="783563EC" w14:textId="77777777" w:rsidTr="000E05F9">
      <w:tc>
        <w:tcPr>
          <w:tcW w:w="5000" w:type="pct"/>
          <w:gridSpan w:val="3"/>
        </w:tcPr>
        <w:p w14:paraId="48261661" w14:textId="77777777" w:rsidR="0017106F" w:rsidRDefault="0017106F" w:rsidP="000E05F9">
          <w:pPr>
            <w:rPr>
              <w:sz w:val="18"/>
            </w:rPr>
          </w:pPr>
        </w:p>
      </w:tc>
    </w:tr>
  </w:tbl>
  <w:p w14:paraId="33474906" w14:textId="77777777" w:rsidR="0017106F" w:rsidRPr="00ED79B6" w:rsidRDefault="0017106F" w:rsidP="000E05F9">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D4C0" w14:textId="77777777" w:rsidR="0017106F" w:rsidRPr="002B0EA5" w:rsidRDefault="0017106F" w:rsidP="000E05F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17106F" w14:paraId="44C0DBC8" w14:textId="77777777" w:rsidTr="000E05F9">
      <w:tc>
        <w:tcPr>
          <w:tcW w:w="365" w:type="pct"/>
        </w:tcPr>
        <w:p w14:paraId="25BE9428" w14:textId="6FD171DB" w:rsidR="0017106F" w:rsidRDefault="0017106F" w:rsidP="000E05F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1B46842C" w14:textId="3B80C29A" w:rsidR="0017106F" w:rsidRDefault="0017106F" w:rsidP="000E05F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F288F">
            <w:rPr>
              <w:i/>
              <w:noProof/>
              <w:sz w:val="18"/>
            </w:rPr>
            <w:t>Health Insurance (Section 3C Diagnostic Imaging – Nuclear Medicine Services) Amendment (PET and Technetium-99m) Determination 2022</w:t>
          </w:r>
          <w:r w:rsidRPr="004E1307">
            <w:rPr>
              <w:i/>
              <w:sz w:val="18"/>
            </w:rPr>
            <w:fldChar w:fldCharType="end"/>
          </w:r>
        </w:p>
      </w:tc>
      <w:tc>
        <w:tcPr>
          <w:tcW w:w="947" w:type="pct"/>
        </w:tcPr>
        <w:p w14:paraId="7B4943F4" w14:textId="77777777" w:rsidR="0017106F" w:rsidRDefault="0017106F" w:rsidP="000E05F9">
          <w:pPr>
            <w:spacing w:line="0" w:lineRule="atLeast"/>
            <w:jc w:val="right"/>
            <w:rPr>
              <w:sz w:val="18"/>
            </w:rPr>
          </w:pPr>
        </w:p>
      </w:tc>
    </w:tr>
    <w:tr w:rsidR="0017106F" w14:paraId="145A34D1" w14:textId="77777777" w:rsidTr="000E05F9">
      <w:tc>
        <w:tcPr>
          <w:tcW w:w="5000" w:type="pct"/>
          <w:gridSpan w:val="3"/>
        </w:tcPr>
        <w:p w14:paraId="35BC501D" w14:textId="77777777" w:rsidR="0017106F" w:rsidRDefault="0017106F" w:rsidP="000E05F9">
          <w:pPr>
            <w:jc w:val="right"/>
            <w:rPr>
              <w:sz w:val="18"/>
            </w:rPr>
          </w:pPr>
        </w:p>
      </w:tc>
    </w:tr>
  </w:tbl>
  <w:p w14:paraId="63A8E5F4" w14:textId="77777777" w:rsidR="0017106F" w:rsidRPr="00ED79B6" w:rsidRDefault="0017106F" w:rsidP="000E05F9">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D2C7" w14:textId="77777777" w:rsidR="0017106F" w:rsidRPr="002B0EA5" w:rsidRDefault="0017106F" w:rsidP="000E05F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17106F" w14:paraId="5DBDFC33" w14:textId="77777777" w:rsidTr="000E05F9">
      <w:tc>
        <w:tcPr>
          <w:tcW w:w="947" w:type="pct"/>
        </w:tcPr>
        <w:p w14:paraId="5B00D949" w14:textId="77777777" w:rsidR="0017106F" w:rsidRDefault="0017106F" w:rsidP="000E05F9">
          <w:pPr>
            <w:spacing w:line="0" w:lineRule="atLeast"/>
            <w:rPr>
              <w:sz w:val="18"/>
            </w:rPr>
          </w:pPr>
        </w:p>
      </w:tc>
      <w:tc>
        <w:tcPr>
          <w:tcW w:w="3688" w:type="pct"/>
        </w:tcPr>
        <w:p w14:paraId="4A9C99D0" w14:textId="2A408E82" w:rsidR="0017106F" w:rsidRDefault="0017106F" w:rsidP="000E05F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F288F">
            <w:rPr>
              <w:i/>
              <w:noProof/>
              <w:sz w:val="18"/>
            </w:rPr>
            <w:t>Health Insurance (Section 3C Diagnostic Imaging – Nuclear Medicine Services) Amendment (PET and Technetium-99m) Determination 2022</w:t>
          </w:r>
          <w:r w:rsidRPr="004E1307">
            <w:rPr>
              <w:i/>
              <w:sz w:val="18"/>
            </w:rPr>
            <w:fldChar w:fldCharType="end"/>
          </w:r>
        </w:p>
      </w:tc>
      <w:tc>
        <w:tcPr>
          <w:tcW w:w="365" w:type="pct"/>
        </w:tcPr>
        <w:p w14:paraId="74C5A7A9" w14:textId="160F6691" w:rsidR="0017106F" w:rsidRDefault="0017106F" w:rsidP="000E05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17106F" w14:paraId="5D550B5F" w14:textId="77777777" w:rsidTr="000E05F9">
      <w:tc>
        <w:tcPr>
          <w:tcW w:w="5000" w:type="pct"/>
          <w:gridSpan w:val="3"/>
        </w:tcPr>
        <w:p w14:paraId="5C810977" w14:textId="77777777" w:rsidR="0017106F" w:rsidRDefault="0017106F" w:rsidP="000E05F9">
          <w:pPr>
            <w:rPr>
              <w:sz w:val="18"/>
            </w:rPr>
          </w:pPr>
        </w:p>
      </w:tc>
    </w:tr>
  </w:tbl>
  <w:p w14:paraId="22A21FFE" w14:textId="77777777" w:rsidR="0017106F" w:rsidRPr="00ED79B6" w:rsidRDefault="0017106F" w:rsidP="000E05F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E931" w14:textId="77777777" w:rsidR="00457EC7" w:rsidRDefault="00457EC7" w:rsidP="00715914">
      <w:pPr>
        <w:spacing w:line="240" w:lineRule="auto"/>
      </w:pPr>
      <w:r>
        <w:separator/>
      </w:r>
    </w:p>
  </w:footnote>
  <w:footnote w:type="continuationSeparator" w:id="0">
    <w:p w14:paraId="43D3F7CC" w14:textId="77777777" w:rsidR="00457EC7" w:rsidRDefault="00457EC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2020" w14:textId="77777777" w:rsidR="0017106F" w:rsidRPr="005F1388" w:rsidRDefault="0017106F"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E793" w14:textId="77777777" w:rsidR="0017106F" w:rsidRPr="005F1388" w:rsidRDefault="0017106F"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513B" w14:textId="77777777" w:rsidR="0017106F" w:rsidRPr="00ED79B6" w:rsidRDefault="0017106F" w:rsidP="000E05F9">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CE74" w14:textId="77777777" w:rsidR="0017106F" w:rsidRPr="00ED79B6" w:rsidRDefault="0017106F" w:rsidP="000E05F9">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A8B2" w14:textId="77777777" w:rsidR="0017106F" w:rsidRPr="00ED79B6" w:rsidRDefault="0017106F"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72F7" w14:textId="77777777" w:rsidR="0017106F" w:rsidRDefault="0017106F" w:rsidP="00715914">
    <w:pPr>
      <w:rPr>
        <w:sz w:val="20"/>
      </w:rPr>
    </w:pPr>
  </w:p>
  <w:p w14:paraId="6C624911" w14:textId="77777777" w:rsidR="0017106F" w:rsidRDefault="0017106F" w:rsidP="00715914">
    <w:pPr>
      <w:rPr>
        <w:sz w:val="20"/>
      </w:rPr>
    </w:pPr>
  </w:p>
  <w:p w14:paraId="1199FB21" w14:textId="77777777" w:rsidR="0017106F" w:rsidRPr="007A1328" w:rsidRDefault="0017106F" w:rsidP="00715914">
    <w:pPr>
      <w:rPr>
        <w:sz w:val="20"/>
      </w:rPr>
    </w:pPr>
  </w:p>
  <w:p w14:paraId="5B43CE78" w14:textId="77777777" w:rsidR="0017106F" w:rsidRPr="007A1328" w:rsidRDefault="0017106F" w:rsidP="00715914">
    <w:pPr>
      <w:rPr>
        <w:b/>
        <w:sz w:val="24"/>
      </w:rPr>
    </w:pPr>
  </w:p>
  <w:p w14:paraId="5354B53F" w14:textId="77777777" w:rsidR="0017106F" w:rsidRPr="007A1328" w:rsidRDefault="0017106F"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9B4" w14:textId="77777777" w:rsidR="0017106F" w:rsidRPr="007A1328" w:rsidRDefault="0017106F" w:rsidP="00715914">
    <w:pPr>
      <w:jc w:val="right"/>
      <w:rPr>
        <w:sz w:val="20"/>
      </w:rPr>
    </w:pPr>
  </w:p>
  <w:p w14:paraId="4D4D5754" w14:textId="77777777" w:rsidR="0017106F" w:rsidRPr="007A1328" w:rsidRDefault="0017106F" w:rsidP="00715914">
    <w:pPr>
      <w:jc w:val="right"/>
      <w:rPr>
        <w:sz w:val="20"/>
      </w:rPr>
    </w:pPr>
  </w:p>
  <w:p w14:paraId="2B1C22A9" w14:textId="77777777" w:rsidR="0017106F" w:rsidRPr="007A1328" w:rsidRDefault="0017106F" w:rsidP="00715914">
    <w:pPr>
      <w:jc w:val="right"/>
      <w:rPr>
        <w:sz w:val="20"/>
      </w:rPr>
    </w:pPr>
  </w:p>
  <w:p w14:paraId="716A6B82" w14:textId="77777777" w:rsidR="0017106F" w:rsidRPr="007A1328" w:rsidRDefault="0017106F" w:rsidP="00715914">
    <w:pPr>
      <w:jc w:val="right"/>
      <w:rPr>
        <w:b/>
        <w:sz w:val="24"/>
      </w:rPr>
    </w:pPr>
  </w:p>
  <w:p w14:paraId="1AAB4A52" w14:textId="77777777" w:rsidR="0017106F" w:rsidRPr="007A1328" w:rsidRDefault="0017106F"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4F532"/>
    <w:lvl w:ilvl="0">
      <w:start w:val="1"/>
      <w:numFmt w:val="decimal"/>
      <w:lvlText w:val="%1."/>
      <w:lvlJc w:val="left"/>
      <w:pPr>
        <w:tabs>
          <w:tab w:val="num" w:pos="478"/>
        </w:tabs>
        <w:ind w:left="478"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CBD"/>
    <w:multiLevelType w:val="hybridMultilevel"/>
    <w:tmpl w:val="9D30BCDC"/>
    <w:lvl w:ilvl="0" w:tplc="F57AF932">
      <w:start w:val="1"/>
      <w:numFmt w:val="lowerLetter"/>
      <w:lvlText w:val="(%1)"/>
      <w:lvlJc w:val="left"/>
      <w:pPr>
        <w:ind w:left="1069" w:hanging="360"/>
      </w:pPr>
      <w:rPr>
        <w:rFonts w:ascii="Times New Roman" w:hAnsi="Times New Roman" w:cs="Times New Roman" w:hint="default"/>
        <w:b w:val="0"/>
        <w:bCs w:val="0"/>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06A81922"/>
    <w:multiLevelType w:val="hybridMultilevel"/>
    <w:tmpl w:val="30E8B454"/>
    <w:lvl w:ilvl="0" w:tplc="0EE47C54">
      <w:start w:val="1"/>
      <w:numFmt w:val="lowerLetter"/>
      <w:lvlText w:val="(%1)"/>
      <w:lvlJc w:val="left"/>
      <w:pPr>
        <w:ind w:left="1174" w:hanging="46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35295"/>
    <w:multiLevelType w:val="hybridMultilevel"/>
    <w:tmpl w:val="86480966"/>
    <w:lvl w:ilvl="0" w:tplc="F6AE2C48">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043AD1"/>
    <w:multiLevelType w:val="hybridMultilevel"/>
    <w:tmpl w:val="188647E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153EBD"/>
    <w:multiLevelType w:val="hybridMultilevel"/>
    <w:tmpl w:val="0CF69D70"/>
    <w:lvl w:ilvl="0" w:tplc="70365464">
      <w:start w:val="1"/>
      <w:numFmt w:val="lowerLetter"/>
      <w:lvlText w:val="(%1)"/>
      <w:lvlJc w:val="left"/>
      <w:pPr>
        <w:ind w:left="1174" w:hanging="46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196D21DB"/>
    <w:multiLevelType w:val="hybridMultilevel"/>
    <w:tmpl w:val="480415C6"/>
    <w:lvl w:ilvl="0" w:tplc="CF740D6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FA478C"/>
    <w:multiLevelType w:val="hybridMultilevel"/>
    <w:tmpl w:val="6866A6AA"/>
    <w:lvl w:ilvl="0" w:tplc="3EC0AF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D77125"/>
    <w:multiLevelType w:val="hybridMultilevel"/>
    <w:tmpl w:val="E6B0A50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C74CD2"/>
    <w:multiLevelType w:val="hybridMultilevel"/>
    <w:tmpl w:val="52C4B852"/>
    <w:lvl w:ilvl="0" w:tplc="CFA0BD32">
      <w:start w:val="1"/>
      <w:numFmt w:val="lowerRoman"/>
      <w:lvlText w:val="(%1)"/>
      <w:lvlJc w:val="left"/>
      <w:pPr>
        <w:ind w:left="2137" w:hanging="720"/>
      </w:pPr>
      <w:rPr>
        <w:rFonts w:hint="default"/>
      </w:rPr>
    </w:lvl>
    <w:lvl w:ilvl="1" w:tplc="7DAEFB38">
      <w:start w:val="1"/>
      <w:numFmt w:val="decimal"/>
      <w:lvlText w:val="(%2)"/>
      <w:lvlJc w:val="left"/>
      <w:pPr>
        <w:ind w:left="680" w:hanging="680"/>
      </w:pPr>
      <w:rPr>
        <w:rFonts w:hint="default"/>
      </w:rPr>
    </w:lvl>
    <w:lvl w:ilvl="2" w:tplc="479C90D2">
      <w:start w:val="1"/>
      <w:numFmt w:val="lowerLetter"/>
      <w:lvlText w:val="(%3)"/>
      <w:lvlJc w:val="left"/>
      <w:pPr>
        <w:ind w:left="1119" w:hanging="360"/>
      </w:pPr>
      <w:rPr>
        <w:rFonts w:hint="default"/>
      </w:r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21" w15:restartNumberingAfterBreak="0">
    <w:nsid w:val="1BF6628A"/>
    <w:multiLevelType w:val="hybridMultilevel"/>
    <w:tmpl w:val="C7941C68"/>
    <w:lvl w:ilvl="0" w:tplc="139A6C14">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E60DDF"/>
    <w:multiLevelType w:val="hybridMultilevel"/>
    <w:tmpl w:val="EC38B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383533"/>
    <w:multiLevelType w:val="hybridMultilevel"/>
    <w:tmpl w:val="0A70E236"/>
    <w:lvl w:ilvl="0" w:tplc="6FE07060">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4" w15:restartNumberingAfterBreak="0">
    <w:nsid w:val="2FA80B4E"/>
    <w:multiLevelType w:val="hybridMultilevel"/>
    <w:tmpl w:val="D786C6BA"/>
    <w:lvl w:ilvl="0" w:tplc="561E503E">
      <w:start w:val="1"/>
      <w:numFmt w:val="lowerLetter"/>
      <w:lvlText w:val="(%1)"/>
      <w:lvlJc w:val="left"/>
      <w:pPr>
        <w:ind w:left="1174" w:hanging="46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348514FC"/>
    <w:multiLevelType w:val="hybridMultilevel"/>
    <w:tmpl w:val="E1285CD2"/>
    <w:lvl w:ilvl="0" w:tplc="332A5F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F40EDB"/>
    <w:multiLevelType w:val="hybridMultilevel"/>
    <w:tmpl w:val="1590A05A"/>
    <w:lvl w:ilvl="0" w:tplc="85AA3BD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387B17C0"/>
    <w:multiLevelType w:val="hybridMultilevel"/>
    <w:tmpl w:val="16BA40B4"/>
    <w:lvl w:ilvl="0" w:tplc="01EE7A10">
      <w:start w:val="1"/>
      <w:numFmt w:val="lowerLetter"/>
      <w:lvlText w:val="(%1)"/>
      <w:lvlJc w:val="left"/>
      <w:pPr>
        <w:ind w:left="1182" w:hanging="360"/>
      </w:pPr>
      <w:rPr>
        <w:rFonts w:hint="default"/>
      </w:rPr>
    </w:lvl>
    <w:lvl w:ilvl="1" w:tplc="0C090019" w:tentative="1">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406A7489"/>
    <w:multiLevelType w:val="hybridMultilevel"/>
    <w:tmpl w:val="6866A6AA"/>
    <w:lvl w:ilvl="0" w:tplc="3EC0AF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D331C2"/>
    <w:multiLevelType w:val="hybridMultilevel"/>
    <w:tmpl w:val="F726336A"/>
    <w:lvl w:ilvl="0" w:tplc="23107B6E">
      <w:start w:val="1"/>
      <w:numFmt w:val="decimal"/>
      <w:lvlText w:val="(%1)"/>
      <w:lvlJc w:val="left"/>
      <w:pPr>
        <w:ind w:left="825" w:hanging="465"/>
      </w:pPr>
      <w:rPr>
        <w:rFonts w:hint="default"/>
      </w:rPr>
    </w:lvl>
    <w:lvl w:ilvl="1" w:tplc="85AA3B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256FBC"/>
    <w:multiLevelType w:val="hybridMultilevel"/>
    <w:tmpl w:val="BC1026CC"/>
    <w:lvl w:ilvl="0" w:tplc="FFB69A58">
      <w:start w:val="1"/>
      <w:numFmt w:val="decimal"/>
      <w:lvlText w:val="(%1)"/>
      <w:lvlJc w:val="left"/>
      <w:pPr>
        <w:ind w:left="680" w:hanging="6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EE7E2D"/>
    <w:multiLevelType w:val="hybridMultilevel"/>
    <w:tmpl w:val="E692156C"/>
    <w:lvl w:ilvl="0" w:tplc="F4AC2D2C">
      <w:start w:val="1"/>
      <w:numFmt w:val="decimal"/>
      <w:lvlText w:val="(%1)"/>
      <w:lvlJc w:val="left"/>
      <w:pPr>
        <w:ind w:left="-29" w:firstLine="29"/>
      </w:pPr>
      <w:rPr>
        <w:rFonts w:hint="default"/>
      </w:r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DE68D528">
      <w:start w:val="1"/>
      <w:numFmt w:val="lowerLetter"/>
      <w:lvlText w:val="(%4)"/>
      <w:lvlJc w:val="left"/>
      <w:pPr>
        <w:ind w:left="1210" w:hanging="360"/>
      </w:pPr>
      <w:rPr>
        <w:rFonts w:hint="default"/>
      </w:r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3" w15:restartNumberingAfterBreak="0">
    <w:nsid w:val="4C743753"/>
    <w:multiLevelType w:val="hybridMultilevel"/>
    <w:tmpl w:val="3E5A5E10"/>
    <w:lvl w:ilvl="0" w:tplc="4E429826">
      <w:start w:val="1"/>
      <w:numFmt w:val="decimal"/>
      <w:lvlText w:val="(%1)"/>
      <w:lvlJc w:val="left"/>
      <w:pPr>
        <w:ind w:left="-1083" w:firstLine="1083"/>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780" w:hanging="360"/>
      </w:pPr>
    </w:lvl>
    <w:lvl w:ilvl="4" w:tplc="0C090019" w:tentative="1">
      <w:start w:val="1"/>
      <w:numFmt w:val="lowerLetter"/>
      <w:lvlText w:val="%5."/>
      <w:lvlJc w:val="left"/>
      <w:pPr>
        <w:ind w:left="-60" w:hanging="360"/>
      </w:pPr>
    </w:lvl>
    <w:lvl w:ilvl="5" w:tplc="0C09001B" w:tentative="1">
      <w:start w:val="1"/>
      <w:numFmt w:val="lowerRoman"/>
      <w:lvlText w:val="%6."/>
      <w:lvlJc w:val="right"/>
      <w:pPr>
        <w:ind w:left="660" w:hanging="180"/>
      </w:pPr>
    </w:lvl>
    <w:lvl w:ilvl="6" w:tplc="0C09000F" w:tentative="1">
      <w:start w:val="1"/>
      <w:numFmt w:val="decimal"/>
      <w:lvlText w:val="%7."/>
      <w:lvlJc w:val="left"/>
      <w:pPr>
        <w:ind w:left="1380" w:hanging="360"/>
      </w:pPr>
    </w:lvl>
    <w:lvl w:ilvl="7" w:tplc="0C090019" w:tentative="1">
      <w:start w:val="1"/>
      <w:numFmt w:val="lowerLetter"/>
      <w:lvlText w:val="%8."/>
      <w:lvlJc w:val="left"/>
      <w:pPr>
        <w:ind w:left="2100" w:hanging="360"/>
      </w:pPr>
    </w:lvl>
    <w:lvl w:ilvl="8" w:tplc="0C09001B" w:tentative="1">
      <w:start w:val="1"/>
      <w:numFmt w:val="lowerRoman"/>
      <w:lvlText w:val="%9."/>
      <w:lvlJc w:val="right"/>
      <w:pPr>
        <w:ind w:left="2820" w:hanging="180"/>
      </w:pPr>
    </w:lvl>
  </w:abstractNum>
  <w:abstractNum w:abstractNumId="34" w15:restartNumberingAfterBreak="0">
    <w:nsid w:val="4CCD1559"/>
    <w:multiLevelType w:val="hybridMultilevel"/>
    <w:tmpl w:val="93F47C78"/>
    <w:lvl w:ilvl="0" w:tplc="E6EEC41A">
      <w:start w:val="1"/>
      <w:numFmt w:val="lowerRoman"/>
      <w:lvlText w:val="(%1)"/>
      <w:lvlJc w:val="right"/>
      <w:pPr>
        <w:ind w:left="1077" w:hanging="226"/>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1B13B43"/>
    <w:multiLevelType w:val="hybridMultilevel"/>
    <w:tmpl w:val="93F82B92"/>
    <w:lvl w:ilvl="0" w:tplc="F6AE2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072D4A"/>
    <w:multiLevelType w:val="hybridMultilevel"/>
    <w:tmpl w:val="4EA47F1E"/>
    <w:lvl w:ilvl="0" w:tplc="C0E8380A">
      <w:start w:val="1"/>
      <w:numFmt w:val="decimal"/>
      <w:lvlText w:val="(%1)"/>
      <w:lvlJc w:val="left"/>
      <w:pPr>
        <w:ind w:left="680" w:hanging="68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59B6B8A"/>
    <w:multiLevelType w:val="hybridMultilevel"/>
    <w:tmpl w:val="E692156C"/>
    <w:lvl w:ilvl="0" w:tplc="F4AC2D2C">
      <w:start w:val="1"/>
      <w:numFmt w:val="decimal"/>
      <w:lvlText w:val="(%1)"/>
      <w:lvlJc w:val="left"/>
      <w:pPr>
        <w:ind w:left="-29" w:firstLine="29"/>
      </w:pPr>
      <w:rPr>
        <w:rFonts w:hint="default"/>
      </w:r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DE68D528">
      <w:start w:val="1"/>
      <w:numFmt w:val="lowerLetter"/>
      <w:lvlText w:val="(%4)"/>
      <w:lvlJc w:val="left"/>
      <w:pPr>
        <w:ind w:left="1210" w:hanging="360"/>
      </w:pPr>
      <w:rPr>
        <w:rFonts w:hint="default"/>
      </w:r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8" w15:restartNumberingAfterBreak="0">
    <w:nsid w:val="5AC8732D"/>
    <w:multiLevelType w:val="hybridMultilevel"/>
    <w:tmpl w:val="20E40DAA"/>
    <w:lvl w:ilvl="0" w:tplc="0A08582E">
      <w:start w:val="1"/>
      <w:numFmt w:val="lowerLetter"/>
      <w:lvlText w:val="(%1)"/>
      <w:lvlJc w:val="left"/>
      <w:pPr>
        <w:ind w:left="1440" w:hanging="360"/>
      </w:pPr>
      <w:rPr>
        <w:rFonts w:ascii="Times New Roman" w:hAnsi="Times New Roman" w:cs="Times New Roman" w:hint="default"/>
        <w:b w:val="0"/>
        <w:bCs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BF22626"/>
    <w:multiLevelType w:val="hybridMultilevel"/>
    <w:tmpl w:val="F3CC6B80"/>
    <w:lvl w:ilvl="0" w:tplc="85AA3BD6">
      <w:start w:val="1"/>
      <w:numFmt w:val="lowerLetter"/>
      <w:lvlText w:val="(%1)"/>
      <w:lvlJc w:val="left"/>
      <w:pPr>
        <w:ind w:left="1930" w:hanging="9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40" w15:restartNumberingAfterBreak="0">
    <w:nsid w:val="61490570"/>
    <w:multiLevelType w:val="hybridMultilevel"/>
    <w:tmpl w:val="16BA40B4"/>
    <w:lvl w:ilvl="0" w:tplc="01EE7A10">
      <w:start w:val="1"/>
      <w:numFmt w:val="lowerLetter"/>
      <w:lvlText w:val="(%1)"/>
      <w:lvlJc w:val="left"/>
      <w:pPr>
        <w:ind w:left="5823" w:hanging="360"/>
      </w:pPr>
      <w:rPr>
        <w:rFonts w:hint="default"/>
      </w:rPr>
    </w:lvl>
    <w:lvl w:ilvl="1" w:tplc="0C090019" w:tentative="1">
      <w:start w:val="1"/>
      <w:numFmt w:val="lowerLetter"/>
      <w:lvlText w:val="%2."/>
      <w:lvlJc w:val="left"/>
      <w:pPr>
        <w:ind w:left="6543" w:hanging="360"/>
      </w:pPr>
    </w:lvl>
    <w:lvl w:ilvl="2" w:tplc="0C09001B" w:tentative="1">
      <w:start w:val="1"/>
      <w:numFmt w:val="lowerRoman"/>
      <w:lvlText w:val="%3."/>
      <w:lvlJc w:val="right"/>
      <w:pPr>
        <w:ind w:left="7263" w:hanging="180"/>
      </w:pPr>
    </w:lvl>
    <w:lvl w:ilvl="3" w:tplc="0C09000F" w:tentative="1">
      <w:start w:val="1"/>
      <w:numFmt w:val="decimal"/>
      <w:lvlText w:val="%4."/>
      <w:lvlJc w:val="left"/>
      <w:pPr>
        <w:ind w:left="7983" w:hanging="360"/>
      </w:pPr>
    </w:lvl>
    <w:lvl w:ilvl="4" w:tplc="0C090019" w:tentative="1">
      <w:start w:val="1"/>
      <w:numFmt w:val="lowerLetter"/>
      <w:lvlText w:val="%5."/>
      <w:lvlJc w:val="left"/>
      <w:pPr>
        <w:ind w:left="8703" w:hanging="360"/>
      </w:pPr>
    </w:lvl>
    <w:lvl w:ilvl="5" w:tplc="0C09001B" w:tentative="1">
      <w:start w:val="1"/>
      <w:numFmt w:val="lowerRoman"/>
      <w:lvlText w:val="%6."/>
      <w:lvlJc w:val="right"/>
      <w:pPr>
        <w:ind w:left="9423" w:hanging="180"/>
      </w:pPr>
    </w:lvl>
    <w:lvl w:ilvl="6" w:tplc="0C09000F" w:tentative="1">
      <w:start w:val="1"/>
      <w:numFmt w:val="decimal"/>
      <w:lvlText w:val="%7."/>
      <w:lvlJc w:val="left"/>
      <w:pPr>
        <w:ind w:left="10143" w:hanging="360"/>
      </w:pPr>
    </w:lvl>
    <w:lvl w:ilvl="7" w:tplc="0C090019" w:tentative="1">
      <w:start w:val="1"/>
      <w:numFmt w:val="lowerLetter"/>
      <w:lvlText w:val="%8."/>
      <w:lvlJc w:val="left"/>
      <w:pPr>
        <w:ind w:left="10863" w:hanging="360"/>
      </w:pPr>
    </w:lvl>
    <w:lvl w:ilvl="8" w:tplc="0C09001B" w:tentative="1">
      <w:start w:val="1"/>
      <w:numFmt w:val="lowerRoman"/>
      <w:lvlText w:val="%9."/>
      <w:lvlJc w:val="right"/>
      <w:pPr>
        <w:ind w:left="11583" w:hanging="180"/>
      </w:pPr>
    </w:lvl>
  </w:abstractNum>
  <w:abstractNum w:abstractNumId="41" w15:restartNumberingAfterBreak="0">
    <w:nsid w:val="62BC1441"/>
    <w:multiLevelType w:val="hybridMultilevel"/>
    <w:tmpl w:val="8A2C38A6"/>
    <w:lvl w:ilvl="0" w:tplc="477E388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5A0502"/>
    <w:multiLevelType w:val="hybridMultilevel"/>
    <w:tmpl w:val="B4C210A2"/>
    <w:lvl w:ilvl="0" w:tplc="887EE91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F115F5"/>
    <w:multiLevelType w:val="hybridMultilevel"/>
    <w:tmpl w:val="832E0C80"/>
    <w:lvl w:ilvl="0" w:tplc="F5ECEDE6">
      <w:start w:val="1"/>
      <w:numFmt w:val="lowerLetter"/>
      <w:lvlText w:val="(%1)"/>
      <w:lvlJc w:val="left"/>
      <w:pPr>
        <w:ind w:left="1210" w:hanging="360"/>
      </w:pPr>
      <w:rPr>
        <w:rFonts w:hint="default"/>
      </w:rPr>
    </w:lvl>
    <w:lvl w:ilvl="1" w:tplc="A3DA6FE0">
      <w:start w:val="1"/>
      <w:numFmt w:val="decimal"/>
      <w:lvlText w:val="(%2)"/>
      <w:lvlJc w:val="left"/>
      <w:pPr>
        <w:ind w:left="680" w:hanging="680"/>
      </w:pPr>
      <w:rPr>
        <w:rFonts w:hint="default"/>
      </w:r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4" w15:restartNumberingAfterBreak="0">
    <w:nsid w:val="6FB71482"/>
    <w:multiLevelType w:val="hybridMultilevel"/>
    <w:tmpl w:val="3BA8EB0E"/>
    <w:lvl w:ilvl="0" w:tplc="BB146668">
      <w:start w:val="1"/>
      <w:numFmt w:val="decimal"/>
      <w:lvlText w:val="(%1)"/>
      <w:lvlJc w:val="left"/>
      <w:pPr>
        <w:ind w:left="680" w:hanging="6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30260BF"/>
    <w:multiLevelType w:val="hybridMultilevel"/>
    <w:tmpl w:val="FED2736E"/>
    <w:lvl w:ilvl="0" w:tplc="887EE91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5844C3"/>
    <w:multiLevelType w:val="hybridMultilevel"/>
    <w:tmpl w:val="3D86AF96"/>
    <w:lvl w:ilvl="0" w:tplc="CFA0BD32">
      <w:start w:val="1"/>
      <w:numFmt w:val="lowerRoman"/>
      <w:lvlText w:val="(%1)"/>
      <w:lvlJc w:val="left"/>
      <w:pPr>
        <w:ind w:left="3412" w:hanging="720"/>
      </w:pPr>
      <w:rPr>
        <w:rFonts w:hint="default"/>
      </w:rPr>
    </w:lvl>
    <w:lvl w:ilvl="1" w:tplc="0C090019" w:tentative="1">
      <w:start w:val="1"/>
      <w:numFmt w:val="lowerLetter"/>
      <w:lvlText w:val="%2."/>
      <w:lvlJc w:val="left"/>
      <w:pPr>
        <w:ind w:left="2482" w:hanging="360"/>
      </w:pPr>
    </w:lvl>
    <w:lvl w:ilvl="2" w:tplc="0C09001B" w:tentative="1">
      <w:start w:val="1"/>
      <w:numFmt w:val="lowerRoman"/>
      <w:lvlText w:val="%3."/>
      <w:lvlJc w:val="right"/>
      <w:pPr>
        <w:ind w:left="3202" w:hanging="180"/>
      </w:pPr>
    </w:lvl>
    <w:lvl w:ilvl="3" w:tplc="0C09000F" w:tentative="1">
      <w:start w:val="1"/>
      <w:numFmt w:val="decimal"/>
      <w:lvlText w:val="%4."/>
      <w:lvlJc w:val="left"/>
      <w:pPr>
        <w:ind w:left="3922" w:hanging="360"/>
      </w:pPr>
    </w:lvl>
    <w:lvl w:ilvl="4" w:tplc="0C090019" w:tentative="1">
      <w:start w:val="1"/>
      <w:numFmt w:val="lowerLetter"/>
      <w:lvlText w:val="%5."/>
      <w:lvlJc w:val="left"/>
      <w:pPr>
        <w:ind w:left="4642" w:hanging="360"/>
      </w:pPr>
    </w:lvl>
    <w:lvl w:ilvl="5" w:tplc="0C09001B" w:tentative="1">
      <w:start w:val="1"/>
      <w:numFmt w:val="lowerRoman"/>
      <w:lvlText w:val="%6."/>
      <w:lvlJc w:val="right"/>
      <w:pPr>
        <w:ind w:left="5362" w:hanging="180"/>
      </w:pPr>
    </w:lvl>
    <w:lvl w:ilvl="6" w:tplc="0C09000F" w:tentative="1">
      <w:start w:val="1"/>
      <w:numFmt w:val="decimal"/>
      <w:lvlText w:val="%7."/>
      <w:lvlJc w:val="left"/>
      <w:pPr>
        <w:ind w:left="6082" w:hanging="360"/>
      </w:pPr>
    </w:lvl>
    <w:lvl w:ilvl="7" w:tplc="0C090019" w:tentative="1">
      <w:start w:val="1"/>
      <w:numFmt w:val="lowerLetter"/>
      <w:lvlText w:val="%8."/>
      <w:lvlJc w:val="left"/>
      <w:pPr>
        <w:ind w:left="6802" w:hanging="360"/>
      </w:pPr>
    </w:lvl>
    <w:lvl w:ilvl="8" w:tplc="0C09001B" w:tentative="1">
      <w:start w:val="1"/>
      <w:numFmt w:val="lowerRoman"/>
      <w:lvlText w:val="%9."/>
      <w:lvlJc w:val="right"/>
      <w:pPr>
        <w:ind w:left="7522" w:hanging="180"/>
      </w:pPr>
    </w:lvl>
  </w:abstractNum>
  <w:abstractNum w:abstractNumId="47" w15:restartNumberingAfterBreak="0">
    <w:nsid w:val="76475432"/>
    <w:multiLevelType w:val="hybridMultilevel"/>
    <w:tmpl w:val="D9B0F87A"/>
    <w:lvl w:ilvl="0" w:tplc="1E806CEA">
      <w:start w:val="1"/>
      <w:numFmt w:val="lowerRoman"/>
      <w:lvlText w:val="(%1)"/>
      <w:lvlJc w:val="right"/>
      <w:pPr>
        <w:ind w:left="1080" w:hanging="229"/>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D532597"/>
    <w:multiLevelType w:val="hybridMultilevel"/>
    <w:tmpl w:val="E00E002A"/>
    <w:lvl w:ilvl="0" w:tplc="8B6AED80">
      <w:start w:val="1"/>
      <w:numFmt w:val="lowerLetter"/>
      <w:lvlText w:val="(%1)"/>
      <w:lvlJc w:val="left"/>
      <w:pPr>
        <w:ind w:left="1170" w:hanging="46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9" w15:restartNumberingAfterBreak="0">
    <w:nsid w:val="7F441E1C"/>
    <w:multiLevelType w:val="hybridMultilevel"/>
    <w:tmpl w:val="A2700A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2"/>
  </w:num>
  <w:num w:numId="13">
    <w:abstractNumId w:val="19"/>
  </w:num>
  <w:num w:numId="14">
    <w:abstractNumId w:val="11"/>
  </w:num>
  <w:num w:numId="15">
    <w:abstractNumId w:val="24"/>
  </w:num>
  <w:num w:numId="16">
    <w:abstractNumId w:val="15"/>
  </w:num>
  <w:num w:numId="17">
    <w:abstractNumId w:val="48"/>
  </w:num>
  <w:num w:numId="18">
    <w:abstractNumId w:val="17"/>
  </w:num>
  <w:num w:numId="19">
    <w:abstractNumId w:val="29"/>
  </w:num>
  <w:num w:numId="20">
    <w:abstractNumId w:val="16"/>
  </w:num>
  <w:num w:numId="21">
    <w:abstractNumId w:val="42"/>
  </w:num>
  <w:num w:numId="22">
    <w:abstractNumId w:val="47"/>
  </w:num>
  <w:num w:numId="23">
    <w:abstractNumId w:val="35"/>
  </w:num>
  <w:num w:numId="24">
    <w:abstractNumId w:val="13"/>
  </w:num>
  <w:num w:numId="25">
    <w:abstractNumId w:val="25"/>
  </w:num>
  <w:num w:numId="26">
    <w:abstractNumId w:val="34"/>
  </w:num>
  <w:num w:numId="27">
    <w:abstractNumId w:val="45"/>
  </w:num>
  <w:num w:numId="28">
    <w:abstractNumId w:val="41"/>
  </w:num>
  <w:num w:numId="29">
    <w:abstractNumId w:val="39"/>
  </w:num>
  <w:num w:numId="30">
    <w:abstractNumId w:val="30"/>
  </w:num>
  <w:num w:numId="31">
    <w:abstractNumId w:val="40"/>
  </w:num>
  <w:num w:numId="32">
    <w:abstractNumId w:val="27"/>
  </w:num>
  <w:num w:numId="33">
    <w:abstractNumId w:val="18"/>
  </w:num>
  <w:num w:numId="34">
    <w:abstractNumId w:val="44"/>
  </w:num>
  <w:num w:numId="35">
    <w:abstractNumId w:val="21"/>
  </w:num>
  <w:num w:numId="36">
    <w:abstractNumId w:val="22"/>
  </w:num>
  <w:num w:numId="37">
    <w:abstractNumId w:val="14"/>
  </w:num>
  <w:num w:numId="38">
    <w:abstractNumId w:val="36"/>
  </w:num>
  <w:num w:numId="39">
    <w:abstractNumId w:val="38"/>
  </w:num>
  <w:num w:numId="40">
    <w:abstractNumId w:val="10"/>
  </w:num>
  <w:num w:numId="41">
    <w:abstractNumId w:val="26"/>
  </w:num>
  <w:num w:numId="42">
    <w:abstractNumId w:val="32"/>
  </w:num>
  <w:num w:numId="43">
    <w:abstractNumId w:val="43"/>
  </w:num>
  <w:num w:numId="44">
    <w:abstractNumId w:val="23"/>
  </w:num>
  <w:num w:numId="45">
    <w:abstractNumId w:val="49"/>
  </w:num>
  <w:num w:numId="46">
    <w:abstractNumId w:val="20"/>
  </w:num>
  <w:num w:numId="47">
    <w:abstractNumId w:val="46"/>
  </w:num>
  <w:num w:numId="48">
    <w:abstractNumId w:val="33"/>
  </w:num>
  <w:num w:numId="49">
    <w:abstractNumId w:val="3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5B"/>
    <w:rsid w:val="000007CF"/>
    <w:rsid w:val="000013E8"/>
    <w:rsid w:val="00004174"/>
    <w:rsid w:val="00004470"/>
    <w:rsid w:val="000118E5"/>
    <w:rsid w:val="000136AF"/>
    <w:rsid w:val="000258B1"/>
    <w:rsid w:val="00037A04"/>
    <w:rsid w:val="00040A89"/>
    <w:rsid w:val="0004338F"/>
    <w:rsid w:val="000437C1"/>
    <w:rsid w:val="0004455A"/>
    <w:rsid w:val="00053321"/>
    <w:rsid w:val="0005365D"/>
    <w:rsid w:val="000614BF"/>
    <w:rsid w:val="00062F63"/>
    <w:rsid w:val="0006540B"/>
    <w:rsid w:val="0006709C"/>
    <w:rsid w:val="00074376"/>
    <w:rsid w:val="00080447"/>
    <w:rsid w:val="0008078C"/>
    <w:rsid w:val="000872E3"/>
    <w:rsid w:val="000978F5"/>
    <w:rsid w:val="000B15CD"/>
    <w:rsid w:val="000B35EB"/>
    <w:rsid w:val="000C447C"/>
    <w:rsid w:val="000D05EF"/>
    <w:rsid w:val="000E05F9"/>
    <w:rsid w:val="000E2261"/>
    <w:rsid w:val="000E78B7"/>
    <w:rsid w:val="000F01E4"/>
    <w:rsid w:val="000F21C1"/>
    <w:rsid w:val="001013CE"/>
    <w:rsid w:val="0010745C"/>
    <w:rsid w:val="00110F21"/>
    <w:rsid w:val="001231C9"/>
    <w:rsid w:val="00131922"/>
    <w:rsid w:val="00132CEB"/>
    <w:rsid w:val="001339B0"/>
    <w:rsid w:val="00142A03"/>
    <w:rsid w:val="00142B62"/>
    <w:rsid w:val="001441B7"/>
    <w:rsid w:val="00145129"/>
    <w:rsid w:val="001516CB"/>
    <w:rsid w:val="00152336"/>
    <w:rsid w:val="001527FC"/>
    <w:rsid w:val="00157B8B"/>
    <w:rsid w:val="00166C2F"/>
    <w:rsid w:val="0017106F"/>
    <w:rsid w:val="0017256F"/>
    <w:rsid w:val="001809D7"/>
    <w:rsid w:val="00182ABE"/>
    <w:rsid w:val="00184387"/>
    <w:rsid w:val="0018784C"/>
    <w:rsid w:val="001939E1"/>
    <w:rsid w:val="00194C3E"/>
    <w:rsid w:val="00194FFE"/>
    <w:rsid w:val="00195382"/>
    <w:rsid w:val="001B2AE6"/>
    <w:rsid w:val="001B2CB6"/>
    <w:rsid w:val="001C61C5"/>
    <w:rsid w:val="001C69C4"/>
    <w:rsid w:val="001D1628"/>
    <w:rsid w:val="001D37EF"/>
    <w:rsid w:val="001E3590"/>
    <w:rsid w:val="001E4239"/>
    <w:rsid w:val="001E7407"/>
    <w:rsid w:val="001F0761"/>
    <w:rsid w:val="001F5D5E"/>
    <w:rsid w:val="001F6219"/>
    <w:rsid w:val="001F6CD4"/>
    <w:rsid w:val="001F7155"/>
    <w:rsid w:val="00206C4D"/>
    <w:rsid w:val="00215A74"/>
    <w:rsid w:val="00215AF1"/>
    <w:rsid w:val="002321E8"/>
    <w:rsid w:val="002325DB"/>
    <w:rsid w:val="00232984"/>
    <w:rsid w:val="00236341"/>
    <w:rsid w:val="0024010F"/>
    <w:rsid w:val="002403A4"/>
    <w:rsid w:val="00240749"/>
    <w:rsid w:val="0024135A"/>
    <w:rsid w:val="00243018"/>
    <w:rsid w:val="0024412C"/>
    <w:rsid w:val="002564A4"/>
    <w:rsid w:val="0026736C"/>
    <w:rsid w:val="0027627D"/>
    <w:rsid w:val="00280E43"/>
    <w:rsid w:val="00281308"/>
    <w:rsid w:val="00283C8F"/>
    <w:rsid w:val="00283E94"/>
    <w:rsid w:val="00284719"/>
    <w:rsid w:val="00285580"/>
    <w:rsid w:val="002969CB"/>
    <w:rsid w:val="00297ECB"/>
    <w:rsid w:val="002A7BCF"/>
    <w:rsid w:val="002B222E"/>
    <w:rsid w:val="002C3FD1"/>
    <w:rsid w:val="002D043A"/>
    <w:rsid w:val="002D266B"/>
    <w:rsid w:val="002D6224"/>
    <w:rsid w:val="002F2EF1"/>
    <w:rsid w:val="00304F8B"/>
    <w:rsid w:val="003101EF"/>
    <w:rsid w:val="00310511"/>
    <w:rsid w:val="003131D9"/>
    <w:rsid w:val="0031630E"/>
    <w:rsid w:val="003337DB"/>
    <w:rsid w:val="00335BC6"/>
    <w:rsid w:val="003415D3"/>
    <w:rsid w:val="00344338"/>
    <w:rsid w:val="00344701"/>
    <w:rsid w:val="00347A5B"/>
    <w:rsid w:val="00352B0F"/>
    <w:rsid w:val="00355B22"/>
    <w:rsid w:val="00360459"/>
    <w:rsid w:val="0037644F"/>
    <w:rsid w:val="0038049F"/>
    <w:rsid w:val="003820E6"/>
    <w:rsid w:val="0038435F"/>
    <w:rsid w:val="003878CA"/>
    <w:rsid w:val="00395E4E"/>
    <w:rsid w:val="003A7B38"/>
    <w:rsid w:val="003B0A72"/>
    <w:rsid w:val="003B6C3A"/>
    <w:rsid w:val="003C170F"/>
    <w:rsid w:val="003C6231"/>
    <w:rsid w:val="003D0BFE"/>
    <w:rsid w:val="003D5700"/>
    <w:rsid w:val="003E2302"/>
    <w:rsid w:val="003E341B"/>
    <w:rsid w:val="003E4D00"/>
    <w:rsid w:val="003E73C0"/>
    <w:rsid w:val="003F18DF"/>
    <w:rsid w:val="003F4B29"/>
    <w:rsid w:val="00401331"/>
    <w:rsid w:val="0040393C"/>
    <w:rsid w:val="004116CD"/>
    <w:rsid w:val="00417EB9"/>
    <w:rsid w:val="00424CA9"/>
    <w:rsid w:val="004276DF"/>
    <w:rsid w:val="00431E9B"/>
    <w:rsid w:val="004379E3"/>
    <w:rsid w:val="0044015E"/>
    <w:rsid w:val="0044291A"/>
    <w:rsid w:val="00445B6B"/>
    <w:rsid w:val="00453C4E"/>
    <w:rsid w:val="00457B53"/>
    <w:rsid w:val="00457EC7"/>
    <w:rsid w:val="00467661"/>
    <w:rsid w:val="00472DBE"/>
    <w:rsid w:val="00474A19"/>
    <w:rsid w:val="00477830"/>
    <w:rsid w:val="00480994"/>
    <w:rsid w:val="00481A23"/>
    <w:rsid w:val="00487764"/>
    <w:rsid w:val="004940C4"/>
    <w:rsid w:val="00495AF2"/>
    <w:rsid w:val="00496F97"/>
    <w:rsid w:val="004A438A"/>
    <w:rsid w:val="004B6C48"/>
    <w:rsid w:val="004B795B"/>
    <w:rsid w:val="004C4E59"/>
    <w:rsid w:val="004C6809"/>
    <w:rsid w:val="004C6906"/>
    <w:rsid w:val="004C6E11"/>
    <w:rsid w:val="004E063A"/>
    <w:rsid w:val="004E1307"/>
    <w:rsid w:val="004E7BEC"/>
    <w:rsid w:val="00505D3D"/>
    <w:rsid w:val="00506AF6"/>
    <w:rsid w:val="00516B8D"/>
    <w:rsid w:val="00516E94"/>
    <w:rsid w:val="00526D82"/>
    <w:rsid w:val="005303C8"/>
    <w:rsid w:val="00537FBC"/>
    <w:rsid w:val="0055289A"/>
    <w:rsid w:val="00554826"/>
    <w:rsid w:val="00562877"/>
    <w:rsid w:val="00564803"/>
    <w:rsid w:val="0056525E"/>
    <w:rsid w:val="00584097"/>
    <w:rsid w:val="00584811"/>
    <w:rsid w:val="00585784"/>
    <w:rsid w:val="00593AA6"/>
    <w:rsid w:val="00594161"/>
    <w:rsid w:val="00594749"/>
    <w:rsid w:val="005A4B31"/>
    <w:rsid w:val="005A4B62"/>
    <w:rsid w:val="005A65D5"/>
    <w:rsid w:val="005B200C"/>
    <w:rsid w:val="005B3F55"/>
    <w:rsid w:val="005B4067"/>
    <w:rsid w:val="005B59EC"/>
    <w:rsid w:val="005B60D7"/>
    <w:rsid w:val="005C3F41"/>
    <w:rsid w:val="005C57E1"/>
    <w:rsid w:val="005C62FD"/>
    <w:rsid w:val="005D1D92"/>
    <w:rsid w:val="005D2D09"/>
    <w:rsid w:val="005E4F7F"/>
    <w:rsid w:val="005F1674"/>
    <w:rsid w:val="005F30B6"/>
    <w:rsid w:val="00600219"/>
    <w:rsid w:val="00604F2A"/>
    <w:rsid w:val="00606F09"/>
    <w:rsid w:val="00613956"/>
    <w:rsid w:val="00620076"/>
    <w:rsid w:val="00626068"/>
    <w:rsid w:val="00627E0A"/>
    <w:rsid w:val="00632FD3"/>
    <w:rsid w:val="00642331"/>
    <w:rsid w:val="006443F2"/>
    <w:rsid w:val="0065488B"/>
    <w:rsid w:val="0066067A"/>
    <w:rsid w:val="0066172F"/>
    <w:rsid w:val="00663F6A"/>
    <w:rsid w:val="00667FDF"/>
    <w:rsid w:val="00670EA1"/>
    <w:rsid w:val="00677CC2"/>
    <w:rsid w:val="006823B9"/>
    <w:rsid w:val="0068744B"/>
    <w:rsid w:val="00687F08"/>
    <w:rsid w:val="006905DE"/>
    <w:rsid w:val="00691A72"/>
    <w:rsid w:val="0069207B"/>
    <w:rsid w:val="006A0839"/>
    <w:rsid w:val="006A154F"/>
    <w:rsid w:val="006A437B"/>
    <w:rsid w:val="006B1337"/>
    <w:rsid w:val="006B5789"/>
    <w:rsid w:val="006C30C5"/>
    <w:rsid w:val="006C41DF"/>
    <w:rsid w:val="006C7F8C"/>
    <w:rsid w:val="006D0E21"/>
    <w:rsid w:val="006D176B"/>
    <w:rsid w:val="006E0EB3"/>
    <w:rsid w:val="006E2E1C"/>
    <w:rsid w:val="006E4395"/>
    <w:rsid w:val="006E6246"/>
    <w:rsid w:val="006E69C2"/>
    <w:rsid w:val="006E6DCC"/>
    <w:rsid w:val="006F0190"/>
    <w:rsid w:val="006F1F31"/>
    <w:rsid w:val="006F2FC6"/>
    <w:rsid w:val="006F318F"/>
    <w:rsid w:val="006F7B1F"/>
    <w:rsid w:val="0070017E"/>
    <w:rsid w:val="00700B2C"/>
    <w:rsid w:val="00703917"/>
    <w:rsid w:val="007050A2"/>
    <w:rsid w:val="00706D4F"/>
    <w:rsid w:val="0070716F"/>
    <w:rsid w:val="00713084"/>
    <w:rsid w:val="007141BF"/>
    <w:rsid w:val="00714F20"/>
    <w:rsid w:val="0071590F"/>
    <w:rsid w:val="00715914"/>
    <w:rsid w:val="0072147A"/>
    <w:rsid w:val="00723791"/>
    <w:rsid w:val="00723C5D"/>
    <w:rsid w:val="00731E00"/>
    <w:rsid w:val="007326B4"/>
    <w:rsid w:val="00734B5D"/>
    <w:rsid w:val="00737C82"/>
    <w:rsid w:val="00743730"/>
    <w:rsid w:val="007440B7"/>
    <w:rsid w:val="007500C8"/>
    <w:rsid w:val="00752582"/>
    <w:rsid w:val="00756272"/>
    <w:rsid w:val="00762D38"/>
    <w:rsid w:val="00764E57"/>
    <w:rsid w:val="007711FC"/>
    <w:rsid w:val="007715C9"/>
    <w:rsid w:val="00771613"/>
    <w:rsid w:val="00774EDD"/>
    <w:rsid w:val="007757EC"/>
    <w:rsid w:val="00783E89"/>
    <w:rsid w:val="007849E5"/>
    <w:rsid w:val="00791DB7"/>
    <w:rsid w:val="00793915"/>
    <w:rsid w:val="007A2484"/>
    <w:rsid w:val="007A3359"/>
    <w:rsid w:val="007C1D5D"/>
    <w:rsid w:val="007C2253"/>
    <w:rsid w:val="007D42DE"/>
    <w:rsid w:val="007D7911"/>
    <w:rsid w:val="007E163D"/>
    <w:rsid w:val="007E40A5"/>
    <w:rsid w:val="007E667A"/>
    <w:rsid w:val="007F1F1A"/>
    <w:rsid w:val="007F2101"/>
    <w:rsid w:val="007F28C9"/>
    <w:rsid w:val="007F51B2"/>
    <w:rsid w:val="008040DD"/>
    <w:rsid w:val="008117E9"/>
    <w:rsid w:val="0082443C"/>
    <w:rsid w:val="00824498"/>
    <w:rsid w:val="00826BD1"/>
    <w:rsid w:val="00827563"/>
    <w:rsid w:val="008351DE"/>
    <w:rsid w:val="00854740"/>
    <w:rsid w:val="00854D0B"/>
    <w:rsid w:val="00856A31"/>
    <w:rsid w:val="00860B4E"/>
    <w:rsid w:val="00863864"/>
    <w:rsid w:val="0086399C"/>
    <w:rsid w:val="00867B37"/>
    <w:rsid w:val="0087329B"/>
    <w:rsid w:val="008754D0"/>
    <w:rsid w:val="00875D13"/>
    <w:rsid w:val="008818F8"/>
    <w:rsid w:val="008855C9"/>
    <w:rsid w:val="00886456"/>
    <w:rsid w:val="00896176"/>
    <w:rsid w:val="00896DA4"/>
    <w:rsid w:val="008A1D2A"/>
    <w:rsid w:val="008A46E1"/>
    <w:rsid w:val="008A4F43"/>
    <w:rsid w:val="008A6AAC"/>
    <w:rsid w:val="008B1786"/>
    <w:rsid w:val="008B2074"/>
    <w:rsid w:val="008B2706"/>
    <w:rsid w:val="008C2EAC"/>
    <w:rsid w:val="008C5839"/>
    <w:rsid w:val="008C71DB"/>
    <w:rsid w:val="008D0EE0"/>
    <w:rsid w:val="008E0027"/>
    <w:rsid w:val="008E4545"/>
    <w:rsid w:val="008E6067"/>
    <w:rsid w:val="008F00F1"/>
    <w:rsid w:val="008F54E7"/>
    <w:rsid w:val="00900B40"/>
    <w:rsid w:val="00903422"/>
    <w:rsid w:val="0091112C"/>
    <w:rsid w:val="00914E47"/>
    <w:rsid w:val="009254C3"/>
    <w:rsid w:val="00932377"/>
    <w:rsid w:val="00941236"/>
    <w:rsid w:val="00943AEF"/>
    <w:rsid w:val="00943FD5"/>
    <w:rsid w:val="00947D5A"/>
    <w:rsid w:val="009532A5"/>
    <w:rsid w:val="00953924"/>
    <w:rsid w:val="009545BD"/>
    <w:rsid w:val="009634B6"/>
    <w:rsid w:val="00964CF0"/>
    <w:rsid w:val="00972172"/>
    <w:rsid w:val="0097747C"/>
    <w:rsid w:val="00977806"/>
    <w:rsid w:val="00982242"/>
    <w:rsid w:val="009841B4"/>
    <w:rsid w:val="009868E9"/>
    <w:rsid w:val="009900A3"/>
    <w:rsid w:val="00990641"/>
    <w:rsid w:val="00995BB8"/>
    <w:rsid w:val="009A2865"/>
    <w:rsid w:val="009A79F2"/>
    <w:rsid w:val="009C1523"/>
    <w:rsid w:val="009C3413"/>
    <w:rsid w:val="009D14A8"/>
    <w:rsid w:val="009D4587"/>
    <w:rsid w:val="009F7D8B"/>
    <w:rsid w:val="00A0441E"/>
    <w:rsid w:val="00A074C3"/>
    <w:rsid w:val="00A07DF9"/>
    <w:rsid w:val="00A12128"/>
    <w:rsid w:val="00A22C98"/>
    <w:rsid w:val="00A231E2"/>
    <w:rsid w:val="00A250FB"/>
    <w:rsid w:val="00A32C09"/>
    <w:rsid w:val="00A369E3"/>
    <w:rsid w:val="00A42093"/>
    <w:rsid w:val="00A50FD8"/>
    <w:rsid w:val="00A520D5"/>
    <w:rsid w:val="00A546BD"/>
    <w:rsid w:val="00A57600"/>
    <w:rsid w:val="00A606F0"/>
    <w:rsid w:val="00A64912"/>
    <w:rsid w:val="00A70A74"/>
    <w:rsid w:val="00A75FE9"/>
    <w:rsid w:val="00A818B7"/>
    <w:rsid w:val="00A907E6"/>
    <w:rsid w:val="00A9361F"/>
    <w:rsid w:val="00AC07A7"/>
    <w:rsid w:val="00AD53CC"/>
    <w:rsid w:val="00AD5641"/>
    <w:rsid w:val="00AF06CF"/>
    <w:rsid w:val="00B02D4A"/>
    <w:rsid w:val="00B040E6"/>
    <w:rsid w:val="00B07CDB"/>
    <w:rsid w:val="00B11EC1"/>
    <w:rsid w:val="00B16A31"/>
    <w:rsid w:val="00B174B9"/>
    <w:rsid w:val="00B17DFD"/>
    <w:rsid w:val="00B20140"/>
    <w:rsid w:val="00B25306"/>
    <w:rsid w:val="00B27831"/>
    <w:rsid w:val="00B308FE"/>
    <w:rsid w:val="00B33709"/>
    <w:rsid w:val="00B33B3C"/>
    <w:rsid w:val="00B36392"/>
    <w:rsid w:val="00B418CB"/>
    <w:rsid w:val="00B41CE0"/>
    <w:rsid w:val="00B431D4"/>
    <w:rsid w:val="00B47444"/>
    <w:rsid w:val="00B50ADC"/>
    <w:rsid w:val="00B52B17"/>
    <w:rsid w:val="00B553BB"/>
    <w:rsid w:val="00B566B1"/>
    <w:rsid w:val="00B60E55"/>
    <w:rsid w:val="00B63834"/>
    <w:rsid w:val="00B650ED"/>
    <w:rsid w:val="00B763B0"/>
    <w:rsid w:val="00B80199"/>
    <w:rsid w:val="00B83204"/>
    <w:rsid w:val="00B856E7"/>
    <w:rsid w:val="00B93306"/>
    <w:rsid w:val="00BA220B"/>
    <w:rsid w:val="00BA3A57"/>
    <w:rsid w:val="00BB1533"/>
    <w:rsid w:val="00BB4E1A"/>
    <w:rsid w:val="00BC015E"/>
    <w:rsid w:val="00BC05EE"/>
    <w:rsid w:val="00BC2EED"/>
    <w:rsid w:val="00BC55D1"/>
    <w:rsid w:val="00BC76AC"/>
    <w:rsid w:val="00BD0ECB"/>
    <w:rsid w:val="00BD1B99"/>
    <w:rsid w:val="00BD4186"/>
    <w:rsid w:val="00BD4984"/>
    <w:rsid w:val="00BE0DA5"/>
    <w:rsid w:val="00BE2155"/>
    <w:rsid w:val="00BE70A7"/>
    <w:rsid w:val="00BE719A"/>
    <w:rsid w:val="00BE720A"/>
    <w:rsid w:val="00BF0D73"/>
    <w:rsid w:val="00BF2465"/>
    <w:rsid w:val="00BF63C1"/>
    <w:rsid w:val="00C00C2B"/>
    <w:rsid w:val="00C16619"/>
    <w:rsid w:val="00C16CDC"/>
    <w:rsid w:val="00C23862"/>
    <w:rsid w:val="00C25E7F"/>
    <w:rsid w:val="00C26DCB"/>
    <w:rsid w:val="00C2746F"/>
    <w:rsid w:val="00C323D6"/>
    <w:rsid w:val="00C324A0"/>
    <w:rsid w:val="00C368F1"/>
    <w:rsid w:val="00C42AA8"/>
    <w:rsid w:val="00C42BF8"/>
    <w:rsid w:val="00C46E15"/>
    <w:rsid w:val="00C50043"/>
    <w:rsid w:val="00C53948"/>
    <w:rsid w:val="00C6549B"/>
    <w:rsid w:val="00C7171E"/>
    <w:rsid w:val="00C7573B"/>
    <w:rsid w:val="00C7657F"/>
    <w:rsid w:val="00C8000D"/>
    <w:rsid w:val="00C85E8D"/>
    <w:rsid w:val="00C934EC"/>
    <w:rsid w:val="00C94320"/>
    <w:rsid w:val="00C97A54"/>
    <w:rsid w:val="00CA3EF0"/>
    <w:rsid w:val="00CA5B23"/>
    <w:rsid w:val="00CB42BF"/>
    <w:rsid w:val="00CB602E"/>
    <w:rsid w:val="00CB7E90"/>
    <w:rsid w:val="00CD5CB0"/>
    <w:rsid w:val="00CD7ABE"/>
    <w:rsid w:val="00CE051D"/>
    <w:rsid w:val="00CE1335"/>
    <w:rsid w:val="00CE493D"/>
    <w:rsid w:val="00CF07FA"/>
    <w:rsid w:val="00CF0BB2"/>
    <w:rsid w:val="00CF3EE8"/>
    <w:rsid w:val="00D062B4"/>
    <w:rsid w:val="00D13441"/>
    <w:rsid w:val="00D150E7"/>
    <w:rsid w:val="00D16A37"/>
    <w:rsid w:val="00D26508"/>
    <w:rsid w:val="00D32D6F"/>
    <w:rsid w:val="00D32E27"/>
    <w:rsid w:val="00D33446"/>
    <w:rsid w:val="00D35174"/>
    <w:rsid w:val="00D50EB1"/>
    <w:rsid w:val="00D52DC2"/>
    <w:rsid w:val="00D53BCC"/>
    <w:rsid w:val="00D54C9E"/>
    <w:rsid w:val="00D6537E"/>
    <w:rsid w:val="00D70DFB"/>
    <w:rsid w:val="00D766DF"/>
    <w:rsid w:val="00D8206C"/>
    <w:rsid w:val="00D91341"/>
    <w:rsid w:val="00D91F10"/>
    <w:rsid w:val="00DA186E"/>
    <w:rsid w:val="00DA4116"/>
    <w:rsid w:val="00DB067A"/>
    <w:rsid w:val="00DB251C"/>
    <w:rsid w:val="00DB4630"/>
    <w:rsid w:val="00DB4767"/>
    <w:rsid w:val="00DC4F88"/>
    <w:rsid w:val="00DD397B"/>
    <w:rsid w:val="00DE107C"/>
    <w:rsid w:val="00DE33D1"/>
    <w:rsid w:val="00DE4EF6"/>
    <w:rsid w:val="00DE524C"/>
    <w:rsid w:val="00DE7A8C"/>
    <w:rsid w:val="00DF2388"/>
    <w:rsid w:val="00E05704"/>
    <w:rsid w:val="00E144E9"/>
    <w:rsid w:val="00E146F3"/>
    <w:rsid w:val="00E173C8"/>
    <w:rsid w:val="00E22EC6"/>
    <w:rsid w:val="00E25361"/>
    <w:rsid w:val="00E262CD"/>
    <w:rsid w:val="00E279C0"/>
    <w:rsid w:val="00E32217"/>
    <w:rsid w:val="00E338EF"/>
    <w:rsid w:val="00E42C3C"/>
    <w:rsid w:val="00E44046"/>
    <w:rsid w:val="00E544BB"/>
    <w:rsid w:val="00E70D71"/>
    <w:rsid w:val="00E72953"/>
    <w:rsid w:val="00E748AB"/>
    <w:rsid w:val="00E74DC7"/>
    <w:rsid w:val="00E8075A"/>
    <w:rsid w:val="00E8079E"/>
    <w:rsid w:val="00E82418"/>
    <w:rsid w:val="00E940D8"/>
    <w:rsid w:val="00E94D5E"/>
    <w:rsid w:val="00EA279C"/>
    <w:rsid w:val="00EA7100"/>
    <w:rsid w:val="00EA7F9F"/>
    <w:rsid w:val="00EB1274"/>
    <w:rsid w:val="00EB743C"/>
    <w:rsid w:val="00EC2399"/>
    <w:rsid w:val="00EC494C"/>
    <w:rsid w:val="00EC700C"/>
    <w:rsid w:val="00EC786F"/>
    <w:rsid w:val="00ED2BB6"/>
    <w:rsid w:val="00ED34E1"/>
    <w:rsid w:val="00ED3B8D"/>
    <w:rsid w:val="00ED6535"/>
    <w:rsid w:val="00EE5E36"/>
    <w:rsid w:val="00EE6AD9"/>
    <w:rsid w:val="00EF2E3A"/>
    <w:rsid w:val="00EF67C3"/>
    <w:rsid w:val="00F00A74"/>
    <w:rsid w:val="00F02C7C"/>
    <w:rsid w:val="00F072A7"/>
    <w:rsid w:val="00F078DC"/>
    <w:rsid w:val="00F10DC1"/>
    <w:rsid w:val="00F31106"/>
    <w:rsid w:val="00F31188"/>
    <w:rsid w:val="00F32BA8"/>
    <w:rsid w:val="00F32EE0"/>
    <w:rsid w:val="00F349F1"/>
    <w:rsid w:val="00F4350D"/>
    <w:rsid w:val="00F444B7"/>
    <w:rsid w:val="00F479C4"/>
    <w:rsid w:val="00F567F7"/>
    <w:rsid w:val="00F61D42"/>
    <w:rsid w:val="00F61E8A"/>
    <w:rsid w:val="00F6696E"/>
    <w:rsid w:val="00F726D9"/>
    <w:rsid w:val="00F73BD6"/>
    <w:rsid w:val="00F823E1"/>
    <w:rsid w:val="00F83989"/>
    <w:rsid w:val="00F85099"/>
    <w:rsid w:val="00F9379C"/>
    <w:rsid w:val="00F95E44"/>
    <w:rsid w:val="00F9632C"/>
    <w:rsid w:val="00FA1E52"/>
    <w:rsid w:val="00FB20A1"/>
    <w:rsid w:val="00FB5A08"/>
    <w:rsid w:val="00FC6A80"/>
    <w:rsid w:val="00FE4688"/>
    <w:rsid w:val="00FE7510"/>
    <w:rsid w:val="00FF288F"/>
    <w:rsid w:val="00FF4480"/>
    <w:rsid w:val="00FF5704"/>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836E8"/>
  <w15:docId w15:val="{EF931E5A-E9F5-4461-AD7F-32193FCA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TableColHead">
    <w:name w:val="TableColHead"/>
    <w:basedOn w:val="Normal"/>
    <w:rsid w:val="000E05F9"/>
    <w:pPr>
      <w:keepNext/>
      <w:spacing w:before="120" w:after="60" w:line="200" w:lineRule="exact"/>
    </w:pPr>
    <w:rPr>
      <w:rFonts w:ascii="Arial" w:eastAsia="Times New Roman" w:hAnsi="Arial" w:cs="Times New Roman"/>
      <w:b/>
      <w:sz w:val="18"/>
      <w:szCs w:val="24"/>
    </w:rPr>
  </w:style>
  <w:style w:type="paragraph" w:customStyle="1" w:styleId="TableText0">
    <w:name w:val="TableText"/>
    <w:basedOn w:val="Normal"/>
    <w:rsid w:val="000E05F9"/>
    <w:pPr>
      <w:spacing w:before="60" w:after="60" w:line="240" w:lineRule="exact"/>
    </w:pPr>
    <w:rPr>
      <w:rFonts w:eastAsia="Times New Roman" w:cs="Times New Roman"/>
      <w:szCs w:val="24"/>
    </w:rPr>
  </w:style>
  <w:style w:type="character" w:styleId="Hyperlink">
    <w:name w:val="Hyperlink"/>
    <w:basedOn w:val="DefaultParagraphFont"/>
    <w:uiPriority w:val="99"/>
    <w:unhideWhenUsed/>
    <w:rsid w:val="000E05F9"/>
    <w:rPr>
      <w:color w:val="0000FF" w:themeColor="hyperlink"/>
      <w:u w:val="single"/>
    </w:rPr>
  </w:style>
  <w:style w:type="character" w:styleId="CommentReference">
    <w:name w:val="annotation reference"/>
    <w:basedOn w:val="DefaultParagraphFont"/>
    <w:unhideWhenUsed/>
    <w:rsid w:val="00BD4186"/>
    <w:rPr>
      <w:sz w:val="16"/>
      <w:szCs w:val="16"/>
    </w:rPr>
  </w:style>
  <w:style w:type="paragraph" w:styleId="CommentText">
    <w:name w:val="annotation text"/>
    <w:basedOn w:val="Normal"/>
    <w:link w:val="CommentTextChar"/>
    <w:unhideWhenUsed/>
    <w:rsid w:val="00BD4186"/>
    <w:pPr>
      <w:spacing w:line="240" w:lineRule="auto"/>
    </w:pPr>
    <w:rPr>
      <w:sz w:val="20"/>
    </w:rPr>
  </w:style>
  <w:style w:type="character" w:customStyle="1" w:styleId="CommentTextChar">
    <w:name w:val="Comment Text Char"/>
    <w:basedOn w:val="DefaultParagraphFont"/>
    <w:link w:val="CommentText"/>
    <w:rsid w:val="00BD4186"/>
  </w:style>
  <w:style w:type="paragraph" w:styleId="CommentSubject">
    <w:name w:val="annotation subject"/>
    <w:basedOn w:val="CommentText"/>
    <w:next w:val="CommentText"/>
    <w:link w:val="CommentSubjectChar"/>
    <w:uiPriority w:val="99"/>
    <w:semiHidden/>
    <w:unhideWhenUsed/>
    <w:rsid w:val="00BD4186"/>
    <w:rPr>
      <w:b/>
      <w:bCs/>
    </w:rPr>
  </w:style>
  <w:style w:type="character" w:customStyle="1" w:styleId="CommentSubjectChar">
    <w:name w:val="Comment Subject Char"/>
    <w:basedOn w:val="CommentTextChar"/>
    <w:link w:val="CommentSubject"/>
    <w:uiPriority w:val="99"/>
    <w:semiHidden/>
    <w:rsid w:val="00BD4186"/>
    <w:rPr>
      <w:b/>
      <w:bCs/>
    </w:rPr>
  </w:style>
  <w:style w:type="paragraph" w:customStyle="1" w:styleId="P1">
    <w:name w:val="P1"/>
    <w:aliases w:val="(a)"/>
    <w:basedOn w:val="Normal"/>
    <w:rsid w:val="006A0839"/>
    <w:pPr>
      <w:tabs>
        <w:tab w:val="right" w:pos="1191"/>
      </w:tabs>
      <w:spacing w:before="60" w:line="260" w:lineRule="exact"/>
      <w:ind w:left="1418" w:hanging="1418"/>
      <w:jc w:val="both"/>
    </w:pPr>
    <w:rPr>
      <w:rFonts w:eastAsia="Times New Roman" w:cs="Times New Roman"/>
      <w:sz w:val="24"/>
      <w:szCs w:val="24"/>
    </w:rPr>
  </w:style>
  <w:style w:type="paragraph" w:styleId="Revision">
    <w:name w:val="Revision"/>
    <w:hidden/>
    <w:uiPriority w:val="99"/>
    <w:semiHidden/>
    <w:rsid w:val="00F61E8A"/>
    <w:rPr>
      <w:sz w:val="22"/>
    </w:rPr>
  </w:style>
  <w:style w:type="paragraph" w:styleId="ListParagraph">
    <w:name w:val="List Paragraph"/>
    <w:basedOn w:val="Normal"/>
    <w:uiPriority w:val="34"/>
    <w:qFormat/>
    <w:rsid w:val="00516E94"/>
    <w:pPr>
      <w:spacing w:before="100" w:beforeAutospacing="1" w:after="100" w:afterAutospacing="1" w:line="240" w:lineRule="auto"/>
    </w:pPr>
    <w:rPr>
      <w:rFonts w:eastAsia="Times New Roman" w:cs="Times New Roman"/>
      <w:sz w:val="24"/>
      <w:szCs w:val="24"/>
      <w:lang w:eastAsia="en-AU"/>
    </w:rPr>
  </w:style>
  <w:style w:type="paragraph" w:customStyle="1" w:styleId="itemhead0">
    <w:name w:val="itemhead"/>
    <w:basedOn w:val="Normal"/>
    <w:rsid w:val="00B553BB"/>
    <w:pPr>
      <w:spacing w:before="100" w:beforeAutospacing="1" w:after="100" w:afterAutospacing="1" w:line="240" w:lineRule="auto"/>
    </w:pPr>
    <w:rPr>
      <w:rFonts w:eastAsia="Times New Roman" w:cs="Times New Roman"/>
      <w:sz w:val="24"/>
      <w:szCs w:val="24"/>
      <w:lang w:eastAsia="en-AU"/>
    </w:rPr>
  </w:style>
  <w:style w:type="character" w:customStyle="1" w:styleId="TabletextChar">
    <w:name w:val="Table text Char"/>
    <w:link w:val="Tabletext1"/>
    <w:uiPriority w:val="4"/>
    <w:locked/>
    <w:rsid w:val="00B553BB"/>
    <w:rPr>
      <w:rFonts w:ascii="Arial Narrow" w:eastAsia="Times New Roman" w:hAnsi="Arial Narrow" w:cs="Times New Roman"/>
      <w:szCs w:val="24"/>
    </w:rPr>
  </w:style>
  <w:style w:type="paragraph" w:customStyle="1" w:styleId="Tabletext1">
    <w:name w:val="Table text"/>
    <w:basedOn w:val="Normal"/>
    <w:link w:val="TabletextChar"/>
    <w:uiPriority w:val="4"/>
    <w:qFormat/>
    <w:rsid w:val="00B553BB"/>
    <w:pPr>
      <w:spacing w:before="40" w:after="40" w:line="240" w:lineRule="auto"/>
    </w:pPr>
    <w:rPr>
      <w:rFonts w:ascii="Arial Narrow" w:eastAsia="Times New Roman" w:hAnsi="Arial Narrow" w:cs="Times New Roman"/>
      <w:sz w:val="20"/>
      <w:szCs w:val="24"/>
    </w:rPr>
  </w:style>
  <w:style w:type="paragraph" w:customStyle="1" w:styleId="acthead50">
    <w:name w:val="acthead5"/>
    <w:basedOn w:val="Normal"/>
    <w:rsid w:val="00B174B9"/>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B174B9"/>
  </w:style>
  <w:style w:type="paragraph" w:customStyle="1" w:styleId="acthead60">
    <w:name w:val="acthead6"/>
    <w:basedOn w:val="Normal"/>
    <w:rsid w:val="00687F08"/>
    <w:pPr>
      <w:spacing w:before="100" w:beforeAutospacing="1" w:after="100" w:afterAutospacing="1" w:line="240" w:lineRule="auto"/>
    </w:pPr>
    <w:rPr>
      <w:rFonts w:eastAsia="Times New Roman" w:cs="Times New Roman"/>
      <w:sz w:val="24"/>
      <w:szCs w:val="24"/>
      <w:lang w:eastAsia="en-AU"/>
    </w:rPr>
  </w:style>
  <w:style w:type="character" w:customStyle="1" w:styleId="charamschno0">
    <w:name w:val="charamschno"/>
    <w:basedOn w:val="DefaultParagraphFont"/>
    <w:rsid w:val="00687F08"/>
  </w:style>
  <w:style w:type="paragraph" w:customStyle="1" w:styleId="acthead70">
    <w:name w:val="acthead7"/>
    <w:basedOn w:val="Normal"/>
    <w:rsid w:val="00687F08"/>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BF63C1"/>
    <w:pPr>
      <w:spacing w:before="100" w:beforeAutospacing="1" w:after="100" w:afterAutospacing="1" w:line="240" w:lineRule="auto"/>
    </w:pPr>
    <w:rPr>
      <w:rFonts w:eastAsia="Times New Roman" w:cs="Times New Roman"/>
      <w:sz w:val="24"/>
      <w:szCs w:val="24"/>
      <w:lang w:eastAsia="en-AU"/>
    </w:rPr>
  </w:style>
  <w:style w:type="paragraph" w:customStyle="1" w:styleId="definition0">
    <w:name w:val="definition"/>
    <w:basedOn w:val="Normal"/>
    <w:rsid w:val="00BF63C1"/>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BF63C1"/>
    <w:pPr>
      <w:spacing w:before="100" w:beforeAutospacing="1" w:after="100" w:afterAutospacing="1" w:line="240" w:lineRule="auto"/>
    </w:pPr>
    <w:rPr>
      <w:rFonts w:eastAsia="Times New Roman" w:cs="Times New Roman"/>
      <w:sz w:val="24"/>
      <w:szCs w:val="24"/>
      <w:lang w:eastAsia="en-AU"/>
    </w:rPr>
  </w:style>
  <w:style w:type="character" w:styleId="UnresolvedMention">
    <w:name w:val="Unresolved Mention"/>
    <w:basedOn w:val="DefaultParagraphFont"/>
    <w:uiPriority w:val="99"/>
    <w:semiHidden/>
    <w:unhideWhenUsed/>
    <w:rsid w:val="005C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452">
      <w:bodyDiv w:val="1"/>
      <w:marLeft w:val="0"/>
      <w:marRight w:val="0"/>
      <w:marTop w:val="0"/>
      <w:marBottom w:val="0"/>
      <w:divBdr>
        <w:top w:val="none" w:sz="0" w:space="0" w:color="auto"/>
        <w:left w:val="none" w:sz="0" w:space="0" w:color="auto"/>
        <w:bottom w:val="none" w:sz="0" w:space="0" w:color="auto"/>
        <w:right w:val="none" w:sz="0" w:space="0" w:color="auto"/>
      </w:divBdr>
    </w:div>
    <w:div w:id="278145567">
      <w:bodyDiv w:val="1"/>
      <w:marLeft w:val="0"/>
      <w:marRight w:val="0"/>
      <w:marTop w:val="0"/>
      <w:marBottom w:val="0"/>
      <w:divBdr>
        <w:top w:val="none" w:sz="0" w:space="0" w:color="auto"/>
        <w:left w:val="none" w:sz="0" w:space="0" w:color="auto"/>
        <w:bottom w:val="none" w:sz="0" w:space="0" w:color="auto"/>
        <w:right w:val="none" w:sz="0" w:space="0" w:color="auto"/>
      </w:divBdr>
    </w:div>
    <w:div w:id="309477930">
      <w:bodyDiv w:val="1"/>
      <w:marLeft w:val="0"/>
      <w:marRight w:val="0"/>
      <w:marTop w:val="0"/>
      <w:marBottom w:val="0"/>
      <w:divBdr>
        <w:top w:val="none" w:sz="0" w:space="0" w:color="auto"/>
        <w:left w:val="none" w:sz="0" w:space="0" w:color="auto"/>
        <w:bottom w:val="none" w:sz="0" w:space="0" w:color="auto"/>
        <w:right w:val="none" w:sz="0" w:space="0" w:color="auto"/>
      </w:divBdr>
    </w:div>
    <w:div w:id="316569249">
      <w:bodyDiv w:val="1"/>
      <w:marLeft w:val="0"/>
      <w:marRight w:val="0"/>
      <w:marTop w:val="0"/>
      <w:marBottom w:val="0"/>
      <w:divBdr>
        <w:top w:val="none" w:sz="0" w:space="0" w:color="auto"/>
        <w:left w:val="none" w:sz="0" w:space="0" w:color="auto"/>
        <w:bottom w:val="none" w:sz="0" w:space="0" w:color="auto"/>
        <w:right w:val="none" w:sz="0" w:space="0" w:color="auto"/>
      </w:divBdr>
    </w:div>
    <w:div w:id="347758560">
      <w:bodyDiv w:val="1"/>
      <w:marLeft w:val="0"/>
      <w:marRight w:val="0"/>
      <w:marTop w:val="0"/>
      <w:marBottom w:val="0"/>
      <w:divBdr>
        <w:top w:val="none" w:sz="0" w:space="0" w:color="auto"/>
        <w:left w:val="none" w:sz="0" w:space="0" w:color="auto"/>
        <w:bottom w:val="none" w:sz="0" w:space="0" w:color="auto"/>
        <w:right w:val="none" w:sz="0" w:space="0" w:color="auto"/>
      </w:divBdr>
    </w:div>
    <w:div w:id="432363183">
      <w:bodyDiv w:val="1"/>
      <w:marLeft w:val="0"/>
      <w:marRight w:val="0"/>
      <w:marTop w:val="0"/>
      <w:marBottom w:val="0"/>
      <w:divBdr>
        <w:top w:val="none" w:sz="0" w:space="0" w:color="auto"/>
        <w:left w:val="none" w:sz="0" w:space="0" w:color="auto"/>
        <w:bottom w:val="none" w:sz="0" w:space="0" w:color="auto"/>
        <w:right w:val="none" w:sz="0" w:space="0" w:color="auto"/>
      </w:divBdr>
    </w:div>
    <w:div w:id="500462244">
      <w:bodyDiv w:val="1"/>
      <w:marLeft w:val="0"/>
      <w:marRight w:val="0"/>
      <w:marTop w:val="0"/>
      <w:marBottom w:val="0"/>
      <w:divBdr>
        <w:top w:val="none" w:sz="0" w:space="0" w:color="auto"/>
        <w:left w:val="none" w:sz="0" w:space="0" w:color="auto"/>
        <w:bottom w:val="none" w:sz="0" w:space="0" w:color="auto"/>
        <w:right w:val="none" w:sz="0" w:space="0" w:color="auto"/>
      </w:divBdr>
    </w:div>
    <w:div w:id="547958942">
      <w:bodyDiv w:val="1"/>
      <w:marLeft w:val="0"/>
      <w:marRight w:val="0"/>
      <w:marTop w:val="0"/>
      <w:marBottom w:val="0"/>
      <w:divBdr>
        <w:top w:val="none" w:sz="0" w:space="0" w:color="auto"/>
        <w:left w:val="none" w:sz="0" w:space="0" w:color="auto"/>
        <w:bottom w:val="none" w:sz="0" w:space="0" w:color="auto"/>
        <w:right w:val="none" w:sz="0" w:space="0" w:color="auto"/>
      </w:divBdr>
    </w:div>
    <w:div w:id="815533404">
      <w:bodyDiv w:val="1"/>
      <w:marLeft w:val="0"/>
      <w:marRight w:val="0"/>
      <w:marTop w:val="0"/>
      <w:marBottom w:val="0"/>
      <w:divBdr>
        <w:top w:val="none" w:sz="0" w:space="0" w:color="auto"/>
        <w:left w:val="none" w:sz="0" w:space="0" w:color="auto"/>
        <w:bottom w:val="none" w:sz="0" w:space="0" w:color="auto"/>
        <w:right w:val="none" w:sz="0" w:space="0" w:color="auto"/>
      </w:divBdr>
    </w:div>
    <w:div w:id="881088659">
      <w:bodyDiv w:val="1"/>
      <w:marLeft w:val="0"/>
      <w:marRight w:val="0"/>
      <w:marTop w:val="0"/>
      <w:marBottom w:val="0"/>
      <w:divBdr>
        <w:top w:val="none" w:sz="0" w:space="0" w:color="auto"/>
        <w:left w:val="none" w:sz="0" w:space="0" w:color="auto"/>
        <w:bottom w:val="none" w:sz="0" w:space="0" w:color="auto"/>
        <w:right w:val="none" w:sz="0" w:space="0" w:color="auto"/>
      </w:divBdr>
    </w:div>
    <w:div w:id="973676575">
      <w:bodyDiv w:val="1"/>
      <w:marLeft w:val="0"/>
      <w:marRight w:val="0"/>
      <w:marTop w:val="0"/>
      <w:marBottom w:val="0"/>
      <w:divBdr>
        <w:top w:val="none" w:sz="0" w:space="0" w:color="auto"/>
        <w:left w:val="none" w:sz="0" w:space="0" w:color="auto"/>
        <w:bottom w:val="none" w:sz="0" w:space="0" w:color="auto"/>
        <w:right w:val="none" w:sz="0" w:space="0" w:color="auto"/>
      </w:divBdr>
    </w:div>
    <w:div w:id="1006441133">
      <w:bodyDiv w:val="1"/>
      <w:marLeft w:val="0"/>
      <w:marRight w:val="0"/>
      <w:marTop w:val="0"/>
      <w:marBottom w:val="0"/>
      <w:divBdr>
        <w:top w:val="none" w:sz="0" w:space="0" w:color="auto"/>
        <w:left w:val="none" w:sz="0" w:space="0" w:color="auto"/>
        <w:bottom w:val="none" w:sz="0" w:space="0" w:color="auto"/>
        <w:right w:val="none" w:sz="0" w:space="0" w:color="auto"/>
      </w:divBdr>
    </w:div>
    <w:div w:id="1128545068">
      <w:bodyDiv w:val="1"/>
      <w:marLeft w:val="0"/>
      <w:marRight w:val="0"/>
      <w:marTop w:val="0"/>
      <w:marBottom w:val="0"/>
      <w:divBdr>
        <w:top w:val="none" w:sz="0" w:space="0" w:color="auto"/>
        <w:left w:val="none" w:sz="0" w:space="0" w:color="auto"/>
        <w:bottom w:val="none" w:sz="0" w:space="0" w:color="auto"/>
        <w:right w:val="none" w:sz="0" w:space="0" w:color="auto"/>
      </w:divBdr>
    </w:div>
    <w:div w:id="1639141860">
      <w:bodyDiv w:val="1"/>
      <w:marLeft w:val="0"/>
      <w:marRight w:val="0"/>
      <w:marTop w:val="0"/>
      <w:marBottom w:val="0"/>
      <w:divBdr>
        <w:top w:val="none" w:sz="0" w:space="0" w:color="auto"/>
        <w:left w:val="none" w:sz="0" w:space="0" w:color="auto"/>
        <w:bottom w:val="none" w:sz="0" w:space="0" w:color="auto"/>
        <w:right w:val="none" w:sz="0" w:space="0" w:color="auto"/>
      </w:divBdr>
    </w:div>
    <w:div w:id="1655984170">
      <w:bodyDiv w:val="1"/>
      <w:marLeft w:val="0"/>
      <w:marRight w:val="0"/>
      <w:marTop w:val="0"/>
      <w:marBottom w:val="0"/>
      <w:divBdr>
        <w:top w:val="none" w:sz="0" w:space="0" w:color="auto"/>
        <w:left w:val="none" w:sz="0" w:space="0" w:color="auto"/>
        <w:bottom w:val="none" w:sz="0" w:space="0" w:color="auto"/>
        <w:right w:val="none" w:sz="0" w:space="0" w:color="auto"/>
      </w:divBdr>
    </w:div>
    <w:div w:id="1710300035">
      <w:bodyDiv w:val="1"/>
      <w:marLeft w:val="0"/>
      <w:marRight w:val="0"/>
      <w:marTop w:val="0"/>
      <w:marBottom w:val="0"/>
      <w:divBdr>
        <w:top w:val="none" w:sz="0" w:space="0" w:color="auto"/>
        <w:left w:val="none" w:sz="0" w:space="0" w:color="auto"/>
        <w:bottom w:val="none" w:sz="0" w:space="0" w:color="auto"/>
        <w:right w:val="none" w:sz="0" w:space="0" w:color="auto"/>
      </w:divBdr>
    </w:div>
    <w:div w:id="2018117427">
      <w:bodyDiv w:val="1"/>
      <w:marLeft w:val="0"/>
      <w:marRight w:val="0"/>
      <w:marTop w:val="0"/>
      <w:marBottom w:val="0"/>
      <w:divBdr>
        <w:top w:val="none" w:sz="0" w:space="0" w:color="auto"/>
        <w:left w:val="none" w:sz="0" w:space="0" w:color="auto"/>
        <w:bottom w:val="none" w:sz="0" w:space="0" w:color="auto"/>
        <w:right w:val="none" w:sz="0" w:space="0" w:color="auto"/>
      </w:divBdr>
    </w:div>
    <w:div w:id="2033800584">
      <w:bodyDiv w:val="1"/>
      <w:marLeft w:val="0"/>
      <w:marRight w:val="0"/>
      <w:marTop w:val="0"/>
      <w:marBottom w:val="0"/>
      <w:divBdr>
        <w:top w:val="none" w:sz="0" w:space="0" w:color="auto"/>
        <w:left w:val="none" w:sz="0" w:space="0" w:color="auto"/>
        <w:bottom w:val="none" w:sz="0" w:space="0" w:color="auto"/>
        <w:right w:val="none" w:sz="0" w:space="0" w:color="auto"/>
      </w:divBdr>
      <w:divsChild>
        <w:div w:id="673147564">
          <w:marLeft w:val="0"/>
          <w:marRight w:val="0"/>
          <w:marTop w:val="0"/>
          <w:marBottom w:val="0"/>
          <w:divBdr>
            <w:top w:val="none" w:sz="0" w:space="0" w:color="auto"/>
            <w:left w:val="none" w:sz="0" w:space="0" w:color="auto"/>
            <w:bottom w:val="none" w:sz="0" w:space="0" w:color="auto"/>
            <w:right w:val="none" w:sz="0" w:space="0" w:color="auto"/>
          </w:divBdr>
          <w:divsChild>
            <w:div w:id="813258455">
              <w:marLeft w:val="0"/>
              <w:marRight w:val="0"/>
              <w:marTop w:val="0"/>
              <w:marBottom w:val="0"/>
              <w:divBdr>
                <w:top w:val="none" w:sz="0" w:space="0" w:color="auto"/>
                <w:left w:val="none" w:sz="0" w:space="0" w:color="auto"/>
                <w:bottom w:val="none" w:sz="0" w:space="0" w:color="auto"/>
                <w:right w:val="none" w:sz="0" w:space="0" w:color="auto"/>
              </w:divBdr>
              <w:divsChild>
                <w:div w:id="459765763">
                  <w:marLeft w:val="0"/>
                  <w:marRight w:val="0"/>
                  <w:marTop w:val="0"/>
                  <w:marBottom w:val="0"/>
                  <w:divBdr>
                    <w:top w:val="none" w:sz="0" w:space="0" w:color="auto"/>
                    <w:left w:val="none" w:sz="0" w:space="0" w:color="auto"/>
                    <w:bottom w:val="none" w:sz="0" w:space="0" w:color="auto"/>
                    <w:right w:val="none" w:sz="0" w:space="0" w:color="auto"/>
                  </w:divBdr>
                  <w:divsChild>
                    <w:div w:id="1419013829">
                      <w:marLeft w:val="0"/>
                      <w:marRight w:val="0"/>
                      <w:marTop w:val="0"/>
                      <w:marBottom w:val="0"/>
                      <w:divBdr>
                        <w:top w:val="none" w:sz="0" w:space="0" w:color="auto"/>
                        <w:left w:val="none" w:sz="0" w:space="0" w:color="auto"/>
                        <w:bottom w:val="none" w:sz="0" w:space="0" w:color="auto"/>
                        <w:right w:val="none" w:sz="0" w:space="0" w:color="auto"/>
                      </w:divBdr>
                      <w:divsChild>
                        <w:div w:id="65693465">
                          <w:marLeft w:val="0"/>
                          <w:marRight w:val="0"/>
                          <w:marTop w:val="0"/>
                          <w:marBottom w:val="0"/>
                          <w:divBdr>
                            <w:top w:val="none" w:sz="0" w:space="0" w:color="auto"/>
                            <w:left w:val="none" w:sz="0" w:space="0" w:color="auto"/>
                            <w:bottom w:val="none" w:sz="0" w:space="0" w:color="auto"/>
                            <w:right w:val="none" w:sz="0" w:space="0" w:color="auto"/>
                          </w:divBdr>
                          <w:divsChild>
                            <w:div w:id="563837627">
                              <w:marLeft w:val="0"/>
                              <w:marRight w:val="0"/>
                              <w:marTop w:val="0"/>
                              <w:marBottom w:val="0"/>
                              <w:divBdr>
                                <w:top w:val="none" w:sz="0" w:space="0" w:color="auto"/>
                                <w:left w:val="none" w:sz="0" w:space="0" w:color="auto"/>
                                <w:bottom w:val="none" w:sz="0" w:space="0" w:color="auto"/>
                                <w:right w:val="none" w:sz="0" w:space="0" w:color="auto"/>
                              </w:divBdr>
                              <w:divsChild>
                                <w:div w:id="1300653344">
                                  <w:marLeft w:val="0"/>
                                  <w:marRight w:val="0"/>
                                  <w:marTop w:val="0"/>
                                  <w:marBottom w:val="0"/>
                                  <w:divBdr>
                                    <w:top w:val="none" w:sz="0" w:space="0" w:color="auto"/>
                                    <w:left w:val="none" w:sz="0" w:space="0" w:color="auto"/>
                                    <w:bottom w:val="none" w:sz="0" w:space="0" w:color="auto"/>
                                    <w:right w:val="none" w:sz="0" w:space="0" w:color="auto"/>
                                  </w:divBdr>
                                  <w:divsChild>
                                    <w:div w:id="955791646">
                                      <w:marLeft w:val="0"/>
                                      <w:marRight w:val="0"/>
                                      <w:marTop w:val="0"/>
                                      <w:marBottom w:val="0"/>
                                      <w:divBdr>
                                        <w:top w:val="none" w:sz="0" w:space="0" w:color="auto"/>
                                        <w:left w:val="none" w:sz="0" w:space="0" w:color="auto"/>
                                        <w:bottom w:val="none" w:sz="0" w:space="0" w:color="auto"/>
                                        <w:right w:val="none" w:sz="0" w:space="0" w:color="auto"/>
                                      </w:divBdr>
                                      <w:divsChild>
                                        <w:div w:id="788351530">
                                          <w:marLeft w:val="0"/>
                                          <w:marRight w:val="0"/>
                                          <w:marTop w:val="0"/>
                                          <w:marBottom w:val="0"/>
                                          <w:divBdr>
                                            <w:top w:val="none" w:sz="0" w:space="0" w:color="auto"/>
                                            <w:left w:val="none" w:sz="0" w:space="0" w:color="auto"/>
                                            <w:bottom w:val="none" w:sz="0" w:space="0" w:color="auto"/>
                                            <w:right w:val="none" w:sz="0" w:space="0" w:color="auto"/>
                                          </w:divBdr>
                                          <w:divsChild>
                                            <w:div w:id="1867018556">
                                              <w:marLeft w:val="0"/>
                                              <w:marRight w:val="0"/>
                                              <w:marTop w:val="0"/>
                                              <w:marBottom w:val="0"/>
                                              <w:divBdr>
                                                <w:top w:val="none" w:sz="0" w:space="0" w:color="auto"/>
                                                <w:left w:val="none" w:sz="0" w:space="0" w:color="auto"/>
                                                <w:bottom w:val="none" w:sz="0" w:space="0" w:color="auto"/>
                                                <w:right w:val="none" w:sz="0" w:space="0" w:color="auto"/>
                                              </w:divBdr>
                                              <w:divsChild>
                                                <w:div w:id="68114758">
                                                  <w:marLeft w:val="0"/>
                                                  <w:marRight w:val="0"/>
                                                  <w:marTop w:val="0"/>
                                                  <w:marBottom w:val="0"/>
                                                  <w:divBdr>
                                                    <w:top w:val="none" w:sz="0" w:space="0" w:color="auto"/>
                                                    <w:left w:val="none" w:sz="0" w:space="0" w:color="auto"/>
                                                    <w:bottom w:val="none" w:sz="0" w:space="0" w:color="auto"/>
                                                    <w:right w:val="none" w:sz="0" w:space="0" w:color="auto"/>
                                                  </w:divBdr>
                                                  <w:divsChild>
                                                    <w:div w:id="642201514">
                                                      <w:marLeft w:val="0"/>
                                                      <w:marRight w:val="0"/>
                                                      <w:marTop w:val="0"/>
                                                      <w:marBottom w:val="0"/>
                                                      <w:divBdr>
                                                        <w:top w:val="none" w:sz="0" w:space="0" w:color="auto"/>
                                                        <w:left w:val="none" w:sz="0" w:space="0" w:color="auto"/>
                                                        <w:bottom w:val="none" w:sz="0" w:space="0" w:color="auto"/>
                                                        <w:right w:val="none" w:sz="0" w:space="0" w:color="auto"/>
                                                      </w:divBdr>
                                                      <w:divsChild>
                                                        <w:div w:id="1638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nzsnm.org.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koi\AppData\Local\Hewlett-Packard\HP%20TRIM\TEMP\HPTRIM.12080\D19-719459%20%20Health%20Insurance%20(Extended%20Medicare%20Safety%20Net)%20Amendment%20(Eating%20Disorders%20Capping)%20Determinatio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D6C0-ACBE-4838-9F70-D449CBACE5B6}">
  <ds:schemaRefs>
    <ds:schemaRef ds:uri="http://schemas.microsoft.com/office/2006/metadata/properties"/>
    <ds:schemaRef ds:uri="http://schemas.microsoft.com/office/infopath/2007/PartnerControls"/>
    <ds:schemaRef ds:uri="8bd9498f-fa43-4ae2-8bb2-4c55a71680ad"/>
  </ds:schemaRefs>
</ds:datastoreItem>
</file>

<file path=customXml/itemProps2.xml><?xml version="1.0" encoding="utf-8"?>
<ds:datastoreItem xmlns:ds="http://schemas.openxmlformats.org/officeDocument/2006/customXml" ds:itemID="{D43ADF06-2E19-4FF5-A545-65180CE4395D}">
  <ds:schemaRefs>
    <ds:schemaRef ds:uri="http://schemas.microsoft.com/sharepoint/v3/contenttype/forms"/>
  </ds:schemaRefs>
</ds:datastoreItem>
</file>

<file path=customXml/itemProps3.xml><?xml version="1.0" encoding="utf-8"?>
<ds:datastoreItem xmlns:ds="http://schemas.openxmlformats.org/officeDocument/2006/customXml" ds:itemID="{F5B935F1-A580-479A-BDA0-E5EA16E5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DDED0-BFE8-4917-8B69-38B0990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D19-719459  Health Insurance (Extended Medicare Safety Net) Amendment (Eating Disorders Capping) Determination 2019.DOTX</Template>
  <TotalTime>168</TotalTime>
  <Pages>9</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Golkowski, Izabel</dc:creator>
  <cp:lastModifiedBy>PANTIC, Sandra</cp:lastModifiedBy>
  <cp:revision>15</cp:revision>
  <cp:lastPrinted>2019-09-26T05:45:00Z</cp:lastPrinted>
  <dcterms:created xsi:type="dcterms:W3CDTF">2022-08-03T01:36:00Z</dcterms:created>
  <dcterms:modified xsi:type="dcterms:W3CDTF">2022-08-18T01:19:00Z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0x010100DD4509C3D779E74F86554752994C3202</vt:lpwstr>
  </property>
</Properties>
</file>