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CC83" w14:textId="42F61C4A" w:rsidR="00976332" w:rsidRPr="00520692" w:rsidRDefault="00976332" w:rsidP="00A22ABD">
      <w:pPr>
        <w:pStyle w:val="Heading"/>
        <w:spacing w:before="120" w:after="240"/>
        <w:jc w:val="center"/>
        <w:rPr>
          <w:rFonts w:ascii="Times New Roman" w:hAnsi="Times New Roman"/>
          <w:sz w:val="24"/>
          <w:szCs w:val="24"/>
        </w:rPr>
      </w:pPr>
      <w:r w:rsidRPr="00520692">
        <w:rPr>
          <w:rFonts w:ascii="Times New Roman" w:hAnsi="Times New Roman"/>
          <w:sz w:val="24"/>
          <w:szCs w:val="24"/>
        </w:rPr>
        <w:t xml:space="preserve">Banking (prudential standard) determination </w:t>
      </w:r>
      <w:r w:rsidRPr="0004281B">
        <w:rPr>
          <w:rFonts w:ascii="Times New Roman" w:hAnsi="Times New Roman"/>
          <w:sz w:val="24"/>
          <w:szCs w:val="24"/>
        </w:rPr>
        <w:t xml:space="preserve">No. </w:t>
      </w:r>
      <w:r w:rsidR="00260DAE" w:rsidRPr="0004281B">
        <w:rPr>
          <w:rFonts w:ascii="Times New Roman" w:hAnsi="Times New Roman"/>
          <w:sz w:val="24"/>
          <w:szCs w:val="24"/>
        </w:rPr>
        <w:t>1</w:t>
      </w:r>
      <w:r w:rsidRPr="0004281B">
        <w:rPr>
          <w:rFonts w:ascii="Times New Roman" w:hAnsi="Times New Roman"/>
          <w:sz w:val="24"/>
          <w:szCs w:val="24"/>
        </w:rPr>
        <w:t xml:space="preserve"> of 202</w:t>
      </w:r>
      <w:r w:rsidR="00260DAE" w:rsidRPr="0004281B">
        <w:rPr>
          <w:rFonts w:ascii="Times New Roman" w:hAnsi="Times New Roman"/>
          <w:sz w:val="24"/>
          <w:szCs w:val="24"/>
        </w:rPr>
        <w:t>2</w:t>
      </w:r>
    </w:p>
    <w:p w14:paraId="76A829FB" w14:textId="4A1EC8EF" w:rsidR="00520692" w:rsidRPr="00520692" w:rsidRDefault="00520692" w:rsidP="00A22ABD">
      <w:pPr>
        <w:pStyle w:val="Heading"/>
        <w:spacing w:before="120" w:after="240"/>
        <w:jc w:val="center"/>
        <w:rPr>
          <w:rFonts w:ascii="Times New Roman" w:hAnsi="Times New Roman"/>
          <w:sz w:val="24"/>
          <w:szCs w:val="24"/>
        </w:rPr>
      </w:pPr>
      <w:r w:rsidRPr="00520692">
        <w:rPr>
          <w:rFonts w:ascii="Times New Roman" w:hAnsi="Times New Roman"/>
          <w:sz w:val="24"/>
          <w:szCs w:val="24"/>
        </w:rPr>
        <w:t>Financial Sector (Collection of Data) (reporting standard) determination No. 11 of 2022</w:t>
      </w:r>
    </w:p>
    <w:p w14:paraId="4247969B" w14:textId="77777777" w:rsidR="00976332" w:rsidRPr="00482F6B" w:rsidRDefault="00976332" w:rsidP="00A22ABD">
      <w:pPr>
        <w:pStyle w:val="Heading"/>
        <w:tabs>
          <w:tab w:val="left" w:pos="360"/>
        </w:tabs>
        <w:spacing w:before="120" w:after="240"/>
        <w:jc w:val="center"/>
        <w:rPr>
          <w:rFonts w:ascii="Times New Roman" w:hAnsi="Times New Roman"/>
          <w:sz w:val="24"/>
          <w:szCs w:val="24"/>
          <w:u w:val="single"/>
        </w:rPr>
      </w:pPr>
      <w:bookmarkStart w:id="0" w:name="bkInstrumentSubTitle"/>
      <w:bookmarkEnd w:id="0"/>
      <w:r w:rsidRPr="00482F6B">
        <w:rPr>
          <w:rFonts w:ascii="Times New Roman" w:hAnsi="Times New Roman"/>
          <w:sz w:val="24"/>
          <w:szCs w:val="24"/>
          <w:u w:val="single"/>
        </w:rPr>
        <w:t>EXPLANATORY STATEMENT</w:t>
      </w:r>
    </w:p>
    <w:p w14:paraId="4F698A0E" w14:textId="77777777" w:rsidR="00976332" w:rsidRPr="00482F6B" w:rsidRDefault="00976332" w:rsidP="00A22ABD">
      <w:pPr>
        <w:pStyle w:val="Heading"/>
        <w:spacing w:before="120" w:after="240"/>
        <w:jc w:val="center"/>
        <w:rPr>
          <w:rFonts w:ascii="Times New Roman" w:hAnsi="Times New Roman"/>
          <w:sz w:val="24"/>
          <w:szCs w:val="24"/>
        </w:rPr>
      </w:pPr>
      <w:r w:rsidRPr="00482F6B">
        <w:rPr>
          <w:rFonts w:ascii="Times New Roman" w:hAnsi="Times New Roman"/>
          <w:sz w:val="24"/>
          <w:szCs w:val="24"/>
        </w:rPr>
        <w:t>Prepared by the Australian Prudential Regulation Authority (APRA)</w:t>
      </w:r>
    </w:p>
    <w:p w14:paraId="1EE21B72" w14:textId="216D6B79" w:rsidR="00976332" w:rsidRDefault="00976332" w:rsidP="00520692">
      <w:pPr>
        <w:pStyle w:val="Heading"/>
        <w:tabs>
          <w:tab w:val="left" w:pos="360"/>
        </w:tabs>
        <w:spacing w:before="120" w:after="240"/>
        <w:jc w:val="center"/>
        <w:rPr>
          <w:rFonts w:ascii="Times New Roman" w:hAnsi="Times New Roman"/>
          <w:b w:val="0"/>
          <w:color w:val="000000"/>
          <w:sz w:val="24"/>
          <w:szCs w:val="24"/>
        </w:rPr>
      </w:pPr>
      <w:r w:rsidRPr="004D5A79">
        <w:rPr>
          <w:rFonts w:ascii="Times New Roman" w:hAnsi="Times New Roman"/>
          <w:b w:val="0"/>
          <w:i/>
          <w:sz w:val="24"/>
          <w:szCs w:val="24"/>
        </w:rPr>
        <w:t>Banking Act 1959</w:t>
      </w:r>
      <w:r w:rsidRPr="004D5A79">
        <w:rPr>
          <w:rFonts w:ascii="Times New Roman" w:hAnsi="Times New Roman"/>
          <w:b w:val="0"/>
          <w:sz w:val="24"/>
          <w:szCs w:val="24"/>
        </w:rPr>
        <w:t xml:space="preserve">, </w:t>
      </w:r>
      <w:r w:rsidRPr="004D5A79">
        <w:rPr>
          <w:rFonts w:ascii="Times New Roman" w:hAnsi="Times New Roman"/>
          <w:b w:val="0"/>
          <w:color w:val="000000"/>
          <w:sz w:val="24"/>
          <w:szCs w:val="24"/>
        </w:rPr>
        <w:t>section 11AF</w:t>
      </w:r>
    </w:p>
    <w:p w14:paraId="01959098" w14:textId="77777777" w:rsidR="00520692" w:rsidRDefault="00520692" w:rsidP="00520692">
      <w:pPr>
        <w:pStyle w:val="Heading"/>
        <w:tabs>
          <w:tab w:val="left" w:pos="360"/>
        </w:tabs>
        <w:spacing w:after="240"/>
        <w:jc w:val="center"/>
        <w:rPr>
          <w:rFonts w:ascii="Times New Roman" w:hAnsi="Times New Roman"/>
          <w:b w:val="0"/>
          <w:sz w:val="24"/>
          <w:szCs w:val="24"/>
        </w:rPr>
      </w:pPr>
      <w:r w:rsidRPr="00412262">
        <w:rPr>
          <w:rFonts w:ascii="Times New Roman" w:hAnsi="Times New Roman"/>
          <w:b w:val="0"/>
          <w:i/>
          <w:sz w:val="24"/>
          <w:szCs w:val="24"/>
        </w:rPr>
        <w:t>Financial Sector (Collection of Data) Act 2001</w:t>
      </w:r>
      <w:r w:rsidRPr="001270C8">
        <w:rPr>
          <w:rFonts w:ascii="Times New Roman" w:hAnsi="Times New Roman"/>
          <w:b w:val="0"/>
          <w:sz w:val="24"/>
          <w:szCs w:val="24"/>
        </w:rPr>
        <w:t>, sections 13 and 15</w:t>
      </w:r>
    </w:p>
    <w:p w14:paraId="67450E33" w14:textId="390BB68D" w:rsidR="0012246A" w:rsidRPr="004D5A79" w:rsidRDefault="00520692" w:rsidP="003E1542">
      <w:pPr>
        <w:jc w:val="center"/>
        <w:rPr>
          <w:rFonts w:ascii="Times New Roman" w:hAnsi="Times New Roman" w:cs="Times New Roman"/>
          <w:sz w:val="24"/>
          <w:szCs w:val="24"/>
        </w:rPr>
      </w:pPr>
      <w:r w:rsidRPr="00412262">
        <w:rPr>
          <w:rFonts w:ascii="Times New Roman" w:eastAsia="Times New Roman" w:hAnsi="Times New Roman" w:cs="Times New Roman"/>
          <w:i/>
          <w:sz w:val="24"/>
          <w:szCs w:val="24"/>
        </w:rPr>
        <w:t>Acts Interpretation Act 1901, section 33</w:t>
      </w:r>
      <w:bookmarkStart w:id="1" w:name="bkAct"/>
      <w:bookmarkStart w:id="2" w:name="bkExplanatory"/>
      <w:bookmarkEnd w:id="1"/>
      <w:bookmarkEnd w:id="2"/>
    </w:p>
    <w:p w14:paraId="368AF072" w14:textId="63B6ED8A" w:rsidR="00976332" w:rsidRPr="00126811" w:rsidRDefault="00976332" w:rsidP="00976332">
      <w:pPr>
        <w:widowControl w:val="0"/>
        <w:spacing w:after="240" w:line="240" w:lineRule="auto"/>
        <w:jc w:val="both"/>
        <w:rPr>
          <w:rFonts w:ascii="Times New Roman" w:hAnsi="Times New Roman" w:cs="Times New Roman"/>
          <w:sz w:val="24"/>
          <w:szCs w:val="24"/>
        </w:rPr>
      </w:pPr>
      <w:r w:rsidRPr="00126811">
        <w:rPr>
          <w:rFonts w:ascii="Times New Roman" w:hAnsi="Times New Roman" w:cs="Times New Roman"/>
          <w:sz w:val="24"/>
          <w:szCs w:val="24"/>
        </w:rPr>
        <w:t>Under subsection 11</w:t>
      </w:r>
      <w:proofErr w:type="gramStart"/>
      <w:r w:rsidRPr="00126811">
        <w:rPr>
          <w:rFonts w:ascii="Times New Roman" w:hAnsi="Times New Roman" w:cs="Times New Roman"/>
          <w:sz w:val="24"/>
          <w:szCs w:val="24"/>
        </w:rPr>
        <w:t>AF(</w:t>
      </w:r>
      <w:proofErr w:type="gramEnd"/>
      <w:r w:rsidRPr="00126811">
        <w:rPr>
          <w:rFonts w:ascii="Times New Roman" w:hAnsi="Times New Roman" w:cs="Times New Roman"/>
          <w:sz w:val="24"/>
          <w:szCs w:val="24"/>
        </w:rPr>
        <w:t xml:space="preserve">1) of the </w:t>
      </w:r>
      <w:r w:rsidRPr="00E56309">
        <w:rPr>
          <w:rFonts w:ascii="Times New Roman" w:hAnsi="Times New Roman" w:cs="Times New Roman"/>
          <w:i/>
          <w:sz w:val="24"/>
          <w:szCs w:val="24"/>
        </w:rPr>
        <w:t>Banking Act</w:t>
      </w:r>
      <w:r w:rsidRPr="00126811">
        <w:rPr>
          <w:rFonts w:ascii="Times New Roman" w:hAnsi="Times New Roman" w:cs="Times New Roman"/>
          <w:i/>
          <w:sz w:val="24"/>
          <w:szCs w:val="24"/>
        </w:rPr>
        <w:t xml:space="preserve"> 1959</w:t>
      </w:r>
      <w:r w:rsidRPr="00126811">
        <w:rPr>
          <w:rFonts w:ascii="Times New Roman" w:hAnsi="Times New Roman" w:cs="Times New Roman"/>
          <w:sz w:val="24"/>
          <w:szCs w:val="24"/>
        </w:rPr>
        <w:t xml:space="preserve"> (the</w:t>
      </w:r>
      <w:r w:rsidRPr="00126811">
        <w:rPr>
          <w:rFonts w:ascii="Times New Roman" w:hAnsi="Times New Roman" w:cs="Times New Roman"/>
          <w:i/>
          <w:sz w:val="24"/>
          <w:szCs w:val="24"/>
        </w:rPr>
        <w:t xml:space="preserve"> </w:t>
      </w:r>
      <w:r w:rsidRPr="00126811">
        <w:rPr>
          <w:rFonts w:ascii="Times New Roman" w:hAnsi="Times New Roman" w:cs="Times New Roman"/>
          <w:sz w:val="24"/>
          <w:szCs w:val="24"/>
        </w:rPr>
        <w:t xml:space="preserve">Act), APRA has the power to determine </w:t>
      </w:r>
      <w:r w:rsidR="00520692">
        <w:rPr>
          <w:rFonts w:ascii="Times New Roman" w:hAnsi="Times New Roman" w:cs="Times New Roman"/>
          <w:sz w:val="24"/>
          <w:szCs w:val="24"/>
        </w:rPr>
        <w:t xml:space="preserve">a </w:t>
      </w:r>
      <w:r w:rsidRPr="00126811">
        <w:rPr>
          <w:rFonts w:ascii="Times New Roman" w:hAnsi="Times New Roman" w:cs="Times New Roman"/>
          <w:sz w:val="24"/>
          <w:szCs w:val="24"/>
        </w:rPr>
        <w:t>prudential standard in writing,</w:t>
      </w:r>
      <w:r w:rsidR="00520692" w:rsidRPr="00520692">
        <w:t xml:space="preserve"> </w:t>
      </w:r>
      <w:r w:rsidR="00520692" w:rsidRPr="00520692">
        <w:rPr>
          <w:rFonts w:ascii="Times New Roman" w:hAnsi="Times New Roman" w:cs="Times New Roman"/>
          <w:sz w:val="24"/>
          <w:szCs w:val="24"/>
        </w:rPr>
        <w:t xml:space="preserve">which applies to all </w:t>
      </w:r>
      <w:r w:rsidRPr="00126811">
        <w:rPr>
          <w:rFonts w:ascii="Times New Roman" w:hAnsi="Times New Roman" w:cs="Times New Roman"/>
          <w:sz w:val="24"/>
          <w:szCs w:val="24"/>
        </w:rPr>
        <w:t>authorised deposit-taking institutions (ADIs) and authorised non-operating holding companies (authorised NOHCs). Under subsection 11</w:t>
      </w:r>
      <w:proofErr w:type="gramStart"/>
      <w:r w:rsidRPr="00126811">
        <w:rPr>
          <w:rFonts w:ascii="Times New Roman" w:hAnsi="Times New Roman" w:cs="Times New Roman"/>
          <w:sz w:val="24"/>
          <w:szCs w:val="24"/>
        </w:rPr>
        <w:t>AF(</w:t>
      </w:r>
      <w:proofErr w:type="gramEnd"/>
      <w:r w:rsidRPr="00126811">
        <w:rPr>
          <w:rFonts w:ascii="Times New Roman" w:hAnsi="Times New Roman" w:cs="Times New Roman"/>
          <w:sz w:val="24"/>
          <w:szCs w:val="24"/>
        </w:rPr>
        <w:t>3) of the Act, APRA may, in writing, vary or revoke a prudential standard.</w:t>
      </w:r>
    </w:p>
    <w:p w14:paraId="7015F0D3" w14:textId="78BADA2B" w:rsidR="00976332" w:rsidRPr="00497716" w:rsidRDefault="00976332" w:rsidP="003E1542">
      <w:pPr>
        <w:spacing w:after="240" w:line="240" w:lineRule="auto"/>
        <w:jc w:val="both"/>
        <w:rPr>
          <w:rFonts w:ascii="Times New Roman" w:hAnsi="Times New Roman" w:cs="Times New Roman"/>
          <w:sz w:val="24"/>
          <w:szCs w:val="24"/>
        </w:rPr>
      </w:pPr>
      <w:r w:rsidRPr="005209C7">
        <w:rPr>
          <w:rFonts w:ascii="Times New Roman" w:hAnsi="Times New Roman" w:cs="Times New Roman"/>
          <w:sz w:val="24"/>
          <w:szCs w:val="24"/>
        </w:rPr>
        <w:t>On</w:t>
      </w:r>
      <w:r w:rsidR="00F26790" w:rsidRPr="005209C7">
        <w:rPr>
          <w:rFonts w:ascii="Times New Roman" w:hAnsi="Times New Roman" w:cs="Times New Roman"/>
          <w:sz w:val="24"/>
          <w:szCs w:val="24"/>
        </w:rPr>
        <w:t xml:space="preserve"> </w:t>
      </w:r>
      <w:r w:rsidR="005209C7" w:rsidRPr="005209C7">
        <w:rPr>
          <w:rFonts w:ascii="Times New Roman" w:hAnsi="Times New Roman" w:cs="Times New Roman"/>
          <w:sz w:val="24"/>
          <w:szCs w:val="24"/>
        </w:rPr>
        <w:t>16</w:t>
      </w:r>
      <w:r w:rsidR="009C4EA2" w:rsidRPr="005209C7">
        <w:rPr>
          <w:rFonts w:ascii="Times New Roman" w:hAnsi="Times New Roman" w:cs="Times New Roman"/>
          <w:sz w:val="24"/>
          <w:szCs w:val="24"/>
        </w:rPr>
        <w:t xml:space="preserve"> </w:t>
      </w:r>
      <w:r w:rsidR="00A9020D" w:rsidRPr="005209C7">
        <w:rPr>
          <w:rFonts w:ascii="Times New Roman" w:hAnsi="Times New Roman" w:cs="Times New Roman"/>
          <w:sz w:val="24"/>
          <w:szCs w:val="24"/>
        </w:rPr>
        <w:t>August</w:t>
      </w:r>
      <w:r w:rsidR="009C4EA2" w:rsidRPr="009C4EA2">
        <w:rPr>
          <w:rFonts w:ascii="Times New Roman" w:hAnsi="Times New Roman" w:cs="Times New Roman"/>
          <w:sz w:val="24"/>
          <w:szCs w:val="24"/>
        </w:rPr>
        <w:t xml:space="preserve"> </w:t>
      </w:r>
      <w:r w:rsidR="00126811" w:rsidRPr="009C4EA2">
        <w:rPr>
          <w:rFonts w:ascii="Times New Roman" w:hAnsi="Times New Roman" w:cs="Times New Roman"/>
          <w:sz w:val="24"/>
          <w:szCs w:val="24"/>
        </w:rPr>
        <w:t>202</w:t>
      </w:r>
      <w:r w:rsidR="00260DAE">
        <w:rPr>
          <w:rFonts w:ascii="Times New Roman" w:hAnsi="Times New Roman" w:cs="Times New Roman"/>
          <w:sz w:val="24"/>
          <w:szCs w:val="24"/>
        </w:rPr>
        <w:t>2</w:t>
      </w:r>
      <w:r w:rsidR="00672456" w:rsidRPr="009C4EA2">
        <w:rPr>
          <w:rFonts w:ascii="Times New Roman" w:hAnsi="Times New Roman" w:cs="Times New Roman"/>
          <w:sz w:val="24"/>
          <w:szCs w:val="24"/>
        </w:rPr>
        <w:t xml:space="preserve">, </w:t>
      </w:r>
      <w:r w:rsidRPr="009C4EA2">
        <w:rPr>
          <w:rFonts w:ascii="Times New Roman" w:hAnsi="Times New Roman" w:cs="Times New Roman"/>
          <w:sz w:val="24"/>
          <w:szCs w:val="24"/>
        </w:rPr>
        <w:t xml:space="preserve">APRA made Banking (prudential standard) determination No. </w:t>
      </w:r>
      <w:r w:rsidR="00260DAE">
        <w:rPr>
          <w:rFonts w:ascii="Times New Roman" w:hAnsi="Times New Roman" w:cs="Times New Roman"/>
          <w:sz w:val="24"/>
          <w:szCs w:val="24"/>
        </w:rPr>
        <w:t>1</w:t>
      </w:r>
      <w:r w:rsidRPr="009C4EA2">
        <w:rPr>
          <w:rFonts w:ascii="Times New Roman" w:hAnsi="Times New Roman" w:cs="Times New Roman"/>
          <w:sz w:val="24"/>
          <w:szCs w:val="24"/>
        </w:rPr>
        <w:t xml:space="preserve"> of</w:t>
      </w:r>
      <w:r w:rsidRPr="004D5A79">
        <w:rPr>
          <w:rFonts w:ascii="Times New Roman" w:hAnsi="Times New Roman" w:cs="Times New Roman"/>
          <w:sz w:val="24"/>
          <w:szCs w:val="24"/>
        </w:rPr>
        <w:t xml:space="preserve"> 20</w:t>
      </w:r>
      <w:r w:rsidR="00C25FA1" w:rsidRPr="004D5A79">
        <w:rPr>
          <w:rFonts w:ascii="Times New Roman" w:hAnsi="Times New Roman" w:cs="Times New Roman"/>
          <w:sz w:val="24"/>
          <w:szCs w:val="24"/>
        </w:rPr>
        <w:t>2</w:t>
      </w:r>
      <w:r w:rsidR="00260DAE">
        <w:rPr>
          <w:rFonts w:ascii="Times New Roman" w:hAnsi="Times New Roman" w:cs="Times New Roman"/>
          <w:sz w:val="24"/>
          <w:szCs w:val="24"/>
        </w:rPr>
        <w:t>2</w:t>
      </w:r>
      <w:r w:rsidRPr="004D5A79">
        <w:rPr>
          <w:rFonts w:ascii="Times New Roman" w:hAnsi="Times New Roman" w:cs="Times New Roman"/>
          <w:sz w:val="24"/>
          <w:szCs w:val="24"/>
        </w:rPr>
        <w:t xml:space="preserve"> (the</w:t>
      </w:r>
      <w:r w:rsidR="00520692">
        <w:rPr>
          <w:rFonts w:ascii="Times New Roman" w:hAnsi="Times New Roman" w:cs="Times New Roman"/>
          <w:sz w:val="24"/>
          <w:szCs w:val="24"/>
        </w:rPr>
        <w:t xml:space="preserve"> APS 220</w:t>
      </w:r>
      <w:r w:rsidRPr="004D5A79">
        <w:rPr>
          <w:rFonts w:ascii="Times New Roman" w:hAnsi="Times New Roman" w:cs="Times New Roman"/>
          <w:sz w:val="24"/>
          <w:szCs w:val="24"/>
        </w:rPr>
        <w:t xml:space="preserve"> instrument), which</w:t>
      </w:r>
      <w:r w:rsidR="003E1542">
        <w:rPr>
          <w:rFonts w:ascii="Times New Roman" w:hAnsi="Times New Roman" w:cs="Times New Roman"/>
          <w:sz w:val="24"/>
          <w:szCs w:val="24"/>
        </w:rPr>
        <w:t xml:space="preserve"> </w:t>
      </w:r>
      <w:r w:rsidRPr="00A22ABD">
        <w:rPr>
          <w:rFonts w:ascii="Times New Roman" w:hAnsi="Times New Roman" w:cs="Times New Roman"/>
          <w:sz w:val="24"/>
          <w:szCs w:val="24"/>
        </w:rPr>
        <w:t xml:space="preserve">revokes </w:t>
      </w:r>
      <w:bookmarkStart w:id="3" w:name="_Hlk88493184"/>
      <w:r w:rsidRPr="00A22ABD">
        <w:rPr>
          <w:rFonts w:ascii="Times New Roman" w:hAnsi="Times New Roman" w:cs="Times New Roman"/>
          <w:i/>
          <w:sz w:val="24"/>
          <w:szCs w:val="24"/>
        </w:rPr>
        <w:t>Prudential Standard APS</w:t>
      </w:r>
      <w:r w:rsidR="00126811" w:rsidRPr="00A22ABD">
        <w:rPr>
          <w:rFonts w:ascii="Times New Roman" w:hAnsi="Times New Roman" w:cs="Times New Roman"/>
          <w:i/>
          <w:sz w:val="24"/>
          <w:szCs w:val="24"/>
        </w:rPr>
        <w:t> </w:t>
      </w:r>
      <w:r w:rsidR="00C25FA1" w:rsidRPr="00A22ABD">
        <w:rPr>
          <w:rFonts w:ascii="Times New Roman" w:hAnsi="Times New Roman" w:cs="Times New Roman"/>
          <w:i/>
          <w:sz w:val="24"/>
          <w:szCs w:val="24"/>
        </w:rPr>
        <w:t xml:space="preserve">220 </w:t>
      </w:r>
      <w:r w:rsidR="00D205A4" w:rsidRPr="00A22ABD">
        <w:rPr>
          <w:rFonts w:ascii="Times New Roman" w:hAnsi="Times New Roman" w:cs="Times New Roman"/>
          <w:i/>
          <w:sz w:val="24"/>
          <w:szCs w:val="24"/>
          <w:lang w:eastAsia="en-US"/>
        </w:rPr>
        <w:t>Credit Risk Management</w:t>
      </w:r>
      <w:r w:rsidR="00D205A4" w:rsidRPr="00A22ABD">
        <w:rPr>
          <w:rFonts w:ascii="Times New Roman" w:hAnsi="Times New Roman" w:cs="Times New Roman"/>
          <w:sz w:val="24"/>
          <w:szCs w:val="24"/>
          <w:lang w:eastAsia="en-US"/>
        </w:rPr>
        <w:t xml:space="preserve"> </w:t>
      </w:r>
      <w:r w:rsidRPr="00A22ABD">
        <w:rPr>
          <w:rFonts w:ascii="Times New Roman" w:hAnsi="Times New Roman" w:cs="Times New Roman"/>
          <w:sz w:val="24"/>
          <w:szCs w:val="24"/>
        </w:rPr>
        <w:t>made under Banking (prudential standard) determination No</w:t>
      </w:r>
      <w:bookmarkEnd w:id="3"/>
      <w:r w:rsidRPr="00A22ABD">
        <w:rPr>
          <w:rFonts w:ascii="Times New Roman" w:hAnsi="Times New Roman" w:cs="Times New Roman"/>
          <w:sz w:val="24"/>
          <w:szCs w:val="24"/>
        </w:rPr>
        <w:t>.</w:t>
      </w:r>
      <w:r w:rsidR="00672456" w:rsidRPr="00A22ABD">
        <w:rPr>
          <w:rFonts w:ascii="Times New Roman" w:hAnsi="Times New Roman" w:cs="Times New Roman"/>
          <w:sz w:val="24"/>
          <w:szCs w:val="24"/>
        </w:rPr>
        <w:t xml:space="preserve"> </w:t>
      </w:r>
      <w:r w:rsidR="00260DAE" w:rsidRPr="00A22ABD">
        <w:rPr>
          <w:rFonts w:ascii="Times New Roman" w:hAnsi="Times New Roman" w:cs="Times New Roman"/>
          <w:sz w:val="24"/>
          <w:szCs w:val="24"/>
        </w:rPr>
        <w:t>2</w:t>
      </w:r>
      <w:r w:rsidRPr="00A22ABD">
        <w:rPr>
          <w:rFonts w:ascii="Times New Roman" w:hAnsi="Times New Roman" w:cs="Times New Roman"/>
          <w:sz w:val="24"/>
          <w:szCs w:val="24"/>
        </w:rPr>
        <w:t xml:space="preserve"> of </w:t>
      </w:r>
      <w:r w:rsidR="004C10F8" w:rsidRPr="00A22ABD">
        <w:rPr>
          <w:rFonts w:ascii="Times New Roman" w:hAnsi="Times New Roman" w:cs="Times New Roman"/>
          <w:sz w:val="24"/>
          <w:szCs w:val="24"/>
        </w:rPr>
        <w:t>20</w:t>
      </w:r>
      <w:r w:rsidR="00260DAE" w:rsidRPr="00A22ABD">
        <w:rPr>
          <w:rFonts w:ascii="Times New Roman" w:hAnsi="Times New Roman" w:cs="Times New Roman"/>
          <w:sz w:val="24"/>
          <w:szCs w:val="24"/>
        </w:rPr>
        <w:t>21</w:t>
      </w:r>
      <w:r w:rsidRPr="00A22ABD">
        <w:rPr>
          <w:rFonts w:ascii="Times New Roman" w:hAnsi="Times New Roman" w:cs="Times New Roman"/>
          <w:sz w:val="24"/>
          <w:szCs w:val="24"/>
        </w:rPr>
        <w:t xml:space="preserve"> and determine</w:t>
      </w:r>
      <w:r w:rsidR="004C10F8" w:rsidRPr="00A22ABD">
        <w:rPr>
          <w:rFonts w:ascii="Times New Roman" w:hAnsi="Times New Roman" w:cs="Times New Roman"/>
          <w:sz w:val="24"/>
          <w:szCs w:val="24"/>
        </w:rPr>
        <w:t>s</w:t>
      </w:r>
      <w:r w:rsidRPr="00A22ABD">
        <w:rPr>
          <w:rFonts w:ascii="Times New Roman" w:hAnsi="Times New Roman" w:cs="Times New Roman"/>
          <w:sz w:val="24"/>
          <w:szCs w:val="24"/>
        </w:rPr>
        <w:t xml:space="preserve"> </w:t>
      </w:r>
      <w:r w:rsidR="0079157A" w:rsidRPr="00910608">
        <w:rPr>
          <w:rFonts w:ascii="Times New Roman" w:hAnsi="Times New Roman" w:cs="Times New Roman"/>
          <w:sz w:val="24"/>
          <w:szCs w:val="24"/>
        </w:rPr>
        <w:t>a new</w:t>
      </w:r>
      <w:r w:rsidR="0079157A" w:rsidRPr="00A22ABD">
        <w:rPr>
          <w:rFonts w:ascii="Times New Roman" w:hAnsi="Times New Roman" w:cs="Times New Roman"/>
          <w:sz w:val="24"/>
          <w:szCs w:val="24"/>
        </w:rPr>
        <w:t xml:space="preserve"> </w:t>
      </w:r>
      <w:r w:rsidRPr="00A22ABD">
        <w:rPr>
          <w:rFonts w:ascii="Times New Roman" w:hAnsi="Times New Roman" w:cs="Times New Roman"/>
          <w:i/>
          <w:sz w:val="24"/>
          <w:szCs w:val="24"/>
        </w:rPr>
        <w:t>Prudential Standard APS</w:t>
      </w:r>
      <w:r w:rsidR="00126811" w:rsidRPr="00A22ABD">
        <w:rPr>
          <w:rFonts w:ascii="Times New Roman" w:hAnsi="Times New Roman" w:cs="Times New Roman"/>
          <w:i/>
          <w:sz w:val="24"/>
          <w:szCs w:val="24"/>
        </w:rPr>
        <w:t> </w:t>
      </w:r>
      <w:r w:rsidR="00C25FA1" w:rsidRPr="00A22ABD">
        <w:rPr>
          <w:rFonts w:ascii="Times New Roman" w:hAnsi="Times New Roman" w:cs="Times New Roman"/>
          <w:i/>
          <w:sz w:val="24"/>
          <w:szCs w:val="24"/>
        </w:rPr>
        <w:t>220</w:t>
      </w:r>
      <w:r w:rsidRPr="00A22ABD">
        <w:rPr>
          <w:rFonts w:ascii="Times New Roman" w:hAnsi="Times New Roman" w:cs="Times New Roman"/>
          <w:i/>
          <w:sz w:val="24"/>
          <w:szCs w:val="24"/>
        </w:rPr>
        <w:t xml:space="preserve"> </w:t>
      </w:r>
      <w:r w:rsidR="00C25FA1" w:rsidRPr="00A22ABD">
        <w:rPr>
          <w:rFonts w:ascii="Times New Roman" w:hAnsi="Times New Roman" w:cs="Times New Roman"/>
          <w:i/>
          <w:sz w:val="24"/>
          <w:szCs w:val="24"/>
        </w:rPr>
        <w:t>Credit Risk Management</w:t>
      </w:r>
      <w:r w:rsidRPr="00A22ABD">
        <w:rPr>
          <w:rFonts w:ascii="Times New Roman" w:hAnsi="Times New Roman" w:cs="Times New Roman"/>
          <w:i/>
          <w:sz w:val="24"/>
          <w:szCs w:val="24"/>
        </w:rPr>
        <w:t xml:space="preserve"> </w:t>
      </w:r>
      <w:r w:rsidRPr="00A22ABD">
        <w:rPr>
          <w:rFonts w:ascii="Times New Roman" w:hAnsi="Times New Roman" w:cs="Times New Roman"/>
          <w:sz w:val="24"/>
          <w:szCs w:val="24"/>
        </w:rPr>
        <w:t>(APS</w:t>
      </w:r>
      <w:r w:rsidR="00126811" w:rsidRPr="00A22ABD">
        <w:rPr>
          <w:rFonts w:ascii="Times New Roman" w:hAnsi="Times New Roman" w:cs="Times New Roman"/>
          <w:sz w:val="24"/>
          <w:szCs w:val="24"/>
        </w:rPr>
        <w:t> </w:t>
      </w:r>
      <w:r w:rsidR="00C25FA1" w:rsidRPr="00A22ABD">
        <w:rPr>
          <w:rFonts w:ascii="Times New Roman" w:hAnsi="Times New Roman" w:cs="Times New Roman"/>
          <w:sz w:val="24"/>
          <w:szCs w:val="24"/>
        </w:rPr>
        <w:t>220</w:t>
      </w:r>
      <w:r w:rsidRPr="00A22ABD">
        <w:rPr>
          <w:rFonts w:ascii="Times New Roman" w:hAnsi="Times New Roman" w:cs="Times New Roman"/>
          <w:sz w:val="24"/>
          <w:szCs w:val="24"/>
        </w:rPr>
        <w:t>)</w:t>
      </w:r>
      <w:r w:rsidR="00520692" w:rsidRPr="00A22ABD">
        <w:rPr>
          <w:rFonts w:ascii="Times New Roman" w:hAnsi="Times New Roman" w:cs="Times New Roman"/>
          <w:sz w:val="24"/>
          <w:szCs w:val="24"/>
        </w:rPr>
        <w:t>.</w:t>
      </w:r>
    </w:p>
    <w:p w14:paraId="14C4CC29" w14:textId="576DF2C9" w:rsidR="00976332" w:rsidRDefault="00976332" w:rsidP="00976332">
      <w:pPr>
        <w:widowControl w:val="0"/>
        <w:spacing w:after="240" w:line="240" w:lineRule="auto"/>
        <w:jc w:val="both"/>
        <w:rPr>
          <w:rFonts w:ascii="Times New Roman" w:hAnsi="Times New Roman" w:cs="Times New Roman"/>
          <w:sz w:val="24"/>
          <w:szCs w:val="24"/>
        </w:rPr>
      </w:pPr>
      <w:r w:rsidRPr="004D5A79">
        <w:rPr>
          <w:rFonts w:ascii="Times New Roman" w:hAnsi="Times New Roman" w:cs="Times New Roman"/>
          <w:sz w:val="24"/>
          <w:szCs w:val="24"/>
        </w:rPr>
        <w:t xml:space="preserve">The </w:t>
      </w:r>
      <w:r w:rsidR="00520692">
        <w:rPr>
          <w:rFonts w:ascii="Times New Roman" w:hAnsi="Times New Roman" w:cs="Times New Roman"/>
          <w:sz w:val="24"/>
          <w:szCs w:val="24"/>
        </w:rPr>
        <w:t xml:space="preserve">APS 220 </w:t>
      </w:r>
      <w:r w:rsidRPr="004D5A79">
        <w:rPr>
          <w:rFonts w:ascii="Times New Roman" w:hAnsi="Times New Roman" w:cs="Times New Roman"/>
          <w:sz w:val="24"/>
          <w:szCs w:val="24"/>
        </w:rPr>
        <w:t>instrument commence</w:t>
      </w:r>
      <w:r w:rsidR="00510C0E" w:rsidRPr="004D5A79">
        <w:rPr>
          <w:rFonts w:ascii="Times New Roman" w:hAnsi="Times New Roman" w:cs="Times New Roman"/>
          <w:sz w:val="24"/>
          <w:szCs w:val="24"/>
        </w:rPr>
        <w:t>s</w:t>
      </w:r>
      <w:r w:rsidR="006B188C">
        <w:rPr>
          <w:rFonts w:ascii="Times New Roman" w:hAnsi="Times New Roman" w:cs="Times New Roman"/>
          <w:sz w:val="24"/>
          <w:szCs w:val="24"/>
        </w:rPr>
        <w:t xml:space="preserve"> on 1 </w:t>
      </w:r>
      <w:r w:rsidR="00D75931">
        <w:rPr>
          <w:rFonts w:ascii="Times New Roman" w:hAnsi="Times New Roman" w:cs="Times New Roman"/>
          <w:sz w:val="24"/>
          <w:szCs w:val="24"/>
        </w:rPr>
        <w:t>September</w:t>
      </w:r>
      <w:r w:rsidR="006B188C">
        <w:rPr>
          <w:rFonts w:ascii="Times New Roman" w:hAnsi="Times New Roman" w:cs="Times New Roman"/>
          <w:sz w:val="24"/>
          <w:szCs w:val="24"/>
        </w:rPr>
        <w:t xml:space="preserve"> 2022</w:t>
      </w:r>
      <w:r w:rsidRPr="004D5A79">
        <w:rPr>
          <w:rFonts w:ascii="Times New Roman" w:hAnsi="Times New Roman" w:cs="Times New Roman"/>
          <w:sz w:val="24"/>
          <w:szCs w:val="24"/>
        </w:rPr>
        <w:t>.</w:t>
      </w:r>
    </w:p>
    <w:p w14:paraId="09DEFF5C" w14:textId="04CAC85B" w:rsidR="00520692" w:rsidRPr="00520692" w:rsidRDefault="00520692" w:rsidP="00520692">
      <w:pPr>
        <w:widowControl w:val="0"/>
        <w:spacing w:after="240" w:line="240" w:lineRule="auto"/>
        <w:jc w:val="both"/>
        <w:rPr>
          <w:rFonts w:ascii="Times New Roman" w:hAnsi="Times New Roman" w:cs="Times New Roman"/>
          <w:sz w:val="24"/>
          <w:szCs w:val="24"/>
        </w:rPr>
      </w:pPr>
      <w:r w:rsidRPr="00520692">
        <w:rPr>
          <w:rFonts w:ascii="Times New Roman" w:hAnsi="Times New Roman" w:cs="Times New Roman"/>
          <w:sz w:val="24"/>
          <w:szCs w:val="24"/>
        </w:rPr>
        <w:t xml:space="preserve">Under subsection 13(1) of the </w:t>
      </w:r>
      <w:r w:rsidRPr="00520692">
        <w:rPr>
          <w:rFonts w:ascii="Times New Roman" w:hAnsi="Times New Roman" w:cs="Times New Roman"/>
          <w:i/>
          <w:sz w:val="24"/>
          <w:szCs w:val="24"/>
        </w:rPr>
        <w:t>Financial Sector (</w:t>
      </w:r>
      <w:r w:rsidRPr="00982F5F">
        <w:rPr>
          <w:rFonts w:ascii="Times New Roman" w:hAnsi="Times New Roman" w:cs="Times New Roman"/>
          <w:i/>
          <w:sz w:val="24"/>
          <w:szCs w:val="24"/>
        </w:rPr>
        <w:t>Collection</w:t>
      </w:r>
      <w:r w:rsidRPr="00520692">
        <w:rPr>
          <w:rFonts w:ascii="Times New Roman" w:hAnsi="Times New Roman" w:cs="Times New Roman"/>
          <w:i/>
          <w:sz w:val="24"/>
          <w:szCs w:val="24"/>
        </w:rPr>
        <w:t xml:space="preserve"> of Data) Act 2001</w:t>
      </w:r>
      <w:r w:rsidRPr="00520692">
        <w:rPr>
          <w:rFonts w:ascii="Times New Roman" w:hAnsi="Times New Roman" w:cs="Times New Roman"/>
          <w:sz w:val="24"/>
          <w:szCs w:val="24"/>
        </w:rPr>
        <w:t xml:space="preserve"> (the </w:t>
      </w:r>
      <w:r>
        <w:rPr>
          <w:rFonts w:ascii="Times New Roman" w:hAnsi="Times New Roman" w:cs="Times New Roman"/>
          <w:sz w:val="24"/>
          <w:szCs w:val="24"/>
        </w:rPr>
        <w:t xml:space="preserve">FSCODA </w:t>
      </w:r>
      <w:r w:rsidRPr="00520692">
        <w:rPr>
          <w:rFonts w:ascii="Times New Roman" w:hAnsi="Times New Roman" w:cs="Times New Roman"/>
          <w:sz w:val="24"/>
          <w:szCs w:val="24"/>
        </w:rPr>
        <w:t xml:space="preserve">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520692">
        <w:rPr>
          <w:rFonts w:ascii="Times New Roman" w:hAnsi="Times New Roman" w:cs="Times New Roman"/>
          <w:i/>
          <w:sz w:val="24"/>
          <w:szCs w:val="24"/>
        </w:rPr>
        <w:t>Acts Interpretation Act 1901</w:t>
      </w:r>
      <w:r w:rsidRPr="00520692">
        <w:rPr>
          <w:rFonts w:ascii="Times New Roman" w:hAnsi="Times New Roman" w:cs="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08C8871D" w14:textId="0E472C24" w:rsidR="00520692" w:rsidRPr="00520692" w:rsidRDefault="00520692" w:rsidP="00520692">
      <w:pPr>
        <w:widowControl w:val="0"/>
        <w:spacing w:after="240" w:line="240" w:lineRule="auto"/>
        <w:jc w:val="both"/>
        <w:rPr>
          <w:rFonts w:ascii="Times New Roman" w:hAnsi="Times New Roman" w:cs="Times New Roman"/>
          <w:sz w:val="24"/>
          <w:szCs w:val="24"/>
        </w:rPr>
      </w:pPr>
      <w:r w:rsidRPr="00520692">
        <w:rPr>
          <w:rFonts w:ascii="Times New Roman" w:hAnsi="Times New Roman" w:cs="Times New Roman"/>
          <w:sz w:val="24"/>
          <w:szCs w:val="24"/>
        </w:rPr>
        <w:t xml:space="preserve">Subsection 15(1) of the </w:t>
      </w:r>
      <w:r w:rsidR="00DF4EAD" w:rsidRPr="00910608">
        <w:rPr>
          <w:rFonts w:ascii="Times New Roman" w:hAnsi="Times New Roman" w:cs="Times New Roman"/>
          <w:sz w:val="24"/>
          <w:szCs w:val="24"/>
        </w:rPr>
        <w:t xml:space="preserve">FSCODA </w:t>
      </w:r>
      <w:r w:rsidRPr="00910608">
        <w:rPr>
          <w:rFonts w:ascii="Times New Roman" w:hAnsi="Times New Roman" w:cs="Times New Roman"/>
          <w:sz w:val="24"/>
          <w:szCs w:val="24"/>
        </w:rPr>
        <w:t>A</w:t>
      </w:r>
      <w:r w:rsidRPr="00520692">
        <w:rPr>
          <w:rFonts w:ascii="Times New Roman" w:hAnsi="Times New Roman" w:cs="Times New Roman"/>
          <w:sz w:val="24"/>
          <w:szCs w:val="24"/>
        </w:rPr>
        <w:t>ct provides that APRA may declare a day on and after which the reporting standards are to apply.</w:t>
      </w:r>
    </w:p>
    <w:p w14:paraId="681CD47B" w14:textId="732EB6EC" w:rsidR="00520692" w:rsidRDefault="00520692" w:rsidP="00520692">
      <w:pPr>
        <w:widowControl w:val="0"/>
        <w:spacing w:after="240" w:line="240" w:lineRule="auto"/>
        <w:jc w:val="both"/>
        <w:rPr>
          <w:rFonts w:ascii="Times New Roman" w:hAnsi="Times New Roman" w:cs="Times New Roman"/>
          <w:sz w:val="24"/>
          <w:szCs w:val="24"/>
        </w:rPr>
      </w:pPr>
      <w:r w:rsidRPr="005209C7">
        <w:rPr>
          <w:rFonts w:ascii="Times New Roman" w:hAnsi="Times New Roman" w:cs="Times New Roman"/>
          <w:sz w:val="24"/>
          <w:szCs w:val="24"/>
        </w:rPr>
        <w:t xml:space="preserve">On </w:t>
      </w:r>
      <w:r w:rsidR="005209C7" w:rsidRPr="005209C7">
        <w:rPr>
          <w:rFonts w:ascii="Times New Roman" w:hAnsi="Times New Roman" w:cs="Times New Roman"/>
          <w:sz w:val="24"/>
          <w:szCs w:val="24"/>
        </w:rPr>
        <w:t>22</w:t>
      </w:r>
      <w:r w:rsidRPr="005209C7">
        <w:rPr>
          <w:rFonts w:ascii="Times New Roman" w:hAnsi="Times New Roman" w:cs="Times New Roman"/>
          <w:sz w:val="24"/>
          <w:szCs w:val="24"/>
        </w:rPr>
        <w:t xml:space="preserve"> </w:t>
      </w:r>
      <w:r w:rsidR="00A9020D" w:rsidRPr="005209C7">
        <w:rPr>
          <w:rFonts w:ascii="Times New Roman" w:hAnsi="Times New Roman" w:cs="Times New Roman"/>
          <w:sz w:val="24"/>
          <w:szCs w:val="24"/>
        </w:rPr>
        <w:t>August</w:t>
      </w:r>
      <w:r w:rsidRPr="00A9020D">
        <w:rPr>
          <w:rFonts w:ascii="Times New Roman" w:hAnsi="Times New Roman" w:cs="Times New Roman"/>
          <w:sz w:val="24"/>
          <w:szCs w:val="24"/>
        </w:rPr>
        <w:t xml:space="preserve"> 2022</w:t>
      </w:r>
      <w:r w:rsidRPr="00520692">
        <w:rPr>
          <w:rFonts w:ascii="Times New Roman" w:hAnsi="Times New Roman" w:cs="Times New Roman"/>
          <w:sz w:val="24"/>
          <w:szCs w:val="24"/>
        </w:rPr>
        <w:t xml:space="preserve">, APRA made Financial Sector (Collection of Data) (reporting standard) determination No. </w:t>
      </w:r>
      <w:r>
        <w:rPr>
          <w:rFonts w:ascii="Times New Roman" w:hAnsi="Times New Roman" w:cs="Times New Roman"/>
          <w:sz w:val="24"/>
          <w:szCs w:val="24"/>
        </w:rPr>
        <w:t>11</w:t>
      </w:r>
      <w:r w:rsidRPr="00520692">
        <w:rPr>
          <w:rFonts w:ascii="Times New Roman" w:hAnsi="Times New Roman" w:cs="Times New Roman"/>
          <w:sz w:val="24"/>
          <w:szCs w:val="24"/>
        </w:rPr>
        <w:t xml:space="preserve"> of 2022 </w:t>
      </w:r>
      <w:r>
        <w:rPr>
          <w:rFonts w:ascii="Times New Roman" w:hAnsi="Times New Roman" w:cs="Times New Roman"/>
          <w:sz w:val="24"/>
          <w:szCs w:val="24"/>
        </w:rPr>
        <w:t xml:space="preserve">(the ARS 233.0 instrument) </w:t>
      </w:r>
      <w:r w:rsidRPr="00520692">
        <w:rPr>
          <w:rFonts w:ascii="Times New Roman" w:hAnsi="Times New Roman" w:cs="Times New Roman"/>
          <w:sz w:val="24"/>
          <w:szCs w:val="24"/>
        </w:rPr>
        <w:t>which</w:t>
      </w:r>
      <w:r>
        <w:rPr>
          <w:rFonts w:ascii="Times New Roman" w:hAnsi="Times New Roman" w:cs="Times New Roman"/>
          <w:sz w:val="24"/>
          <w:szCs w:val="24"/>
        </w:rPr>
        <w:t>:</w:t>
      </w:r>
    </w:p>
    <w:p w14:paraId="429B3E9E" w14:textId="045A7807" w:rsidR="00520692" w:rsidRDefault="00520692" w:rsidP="00A22ABD">
      <w:pPr>
        <w:pStyle w:val="ListParagraph"/>
        <w:widowControl w:val="0"/>
        <w:numPr>
          <w:ilvl w:val="0"/>
          <w:numId w:val="48"/>
        </w:numPr>
        <w:spacing w:after="240" w:line="240" w:lineRule="auto"/>
        <w:ind w:left="567" w:hanging="567"/>
        <w:jc w:val="both"/>
        <w:rPr>
          <w:rFonts w:ascii="Times New Roman" w:hAnsi="Times New Roman" w:cs="Times New Roman"/>
          <w:sz w:val="24"/>
          <w:szCs w:val="24"/>
        </w:rPr>
      </w:pPr>
      <w:r w:rsidRPr="00A22ABD">
        <w:rPr>
          <w:rFonts w:ascii="Times New Roman" w:hAnsi="Times New Roman" w:cs="Times New Roman"/>
          <w:sz w:val="24"/>
          <w:szCs w:val="24"/>
        </w:rPr>
        <w:t xml:space="preserve"> revokes </w:t>
      </w:r>
      <w:r w:rsidRPr="00A22ABD">
        <w:rPr>
          <w:rFonts w:ascii="Times New Roman" w:hAnsi="Times New Roman" w:cs="Times New Roman"/>
          <w:i/>
          <w:sz w:val="24"/>
          <w:szCs w:val="24"/>
        </w:rPr>
        <w:t>Reporting Standard ARS 223.0 Residential Mortgage Lending</w:t>
      </w:r>
      <w:r w:rsidRPr="00A22ABD">
        <w:rPr>
          <w:rFonts w:ascii="Times New Roman" w:hAnsi="Times New Roman" w:cs="Times New Roman"/>
          <w:sz w:val="24"/>
          <w:szCs w:val="24"/>
        </w:rPr>
        <w:t xml:space="preserve"> made under Financial Sector (Collection of Data) (reporting standard) determination No. 6 of 2022; </w:t>
      </w:r>
      <w:r w:rsidR="00DF4EAD">
        <w:rPr>
          <w:rFonts w:ascii="Times New Roman" w:hAnsi="Times New Roman" w:cs="Times New Roman"/>
          <w:sz w:val="24"/>
          <w:szCs w:val="24"/>
        </w:rPr>
        <w:t>and</w:t>
      </w:r>
    </w:p>
    <w:p w14:paraId="2074574B" w14:textId="36A54DD2" w:rsidR="00520692" w:rsidRPr="00A22ABD" w:rsidRDefault="00520692" w:rsidP="003E1542">
      <w:pPr>
        <w:pStyle w:val="ListParagraph"/>
        <w:widowControl w:val="0"/>
        <w:numPr>
          <w:ilvl w:val="0"/>
          <w:numId w:val="48"/>
        </w:numPr>
        <w:spacing w:after="240" w:line="240" w:lineRule="auto"/>
        <w:ind w:left="567" w:hanging="567"/>
        <w:jc w:val="both"/>
        <w:rPr>
          <w:rFonts w:ascii="Times New Roman" w:hAnsi="Times New Roman" w:cs="Times New Roman"/>
          <w:sz w:val="24"/>
          <w:szCs w:val="24"/>
        </w:rPr>
      </w:pPr>
      <w:r w:rsidRPr="00A22ABD">
        <w:rPr>
          <w:rFonts w:ascii="Times New Roman" w:hAnsi="Times New Roman" w:cs="Times New Roman"/>
          <w:sz w:val="24"/>
          <w:szCs w:val="24"/>
        </w:rPr>
        <w:t xml:space="preserve">determines a new version of </w:t>
      </w:r>
      <w:r w:rsidR="0079157A" w:rsidRPr="006932E2">
        <w:rPr>
          <w:rFonts w:ascii="Times New Roman" w:hAnsi="Times New Roman" w:cs="Times New Roman"/>
          <w:i/>
          <w:sz w:val="24"/>
          <w:szCs w:val="24"/>
        </w:rPr>
        <w:t>Reporting Standard ARS 223.0 Residential Mortgage Lendin</w:t>
      </w:r>
      <w:r w:rsidR="0079157A">
        <w:rPr>
          <w:rFonts w:ascii="Times New Roman" w:hAnsi="Times New Roman" w:cs="Times New Roman"/>
          <w:i/>
          <w:sz w:val="24"/>
          <w:szCs w:val="24"/>
        </w:rPr>
        <w:t xml:space="preserve">g </w:t>
      </w:r>
      <w:r w:rsidR="0079157A" w:rsidRPr="00A22ABD">
        <w:rPr>
          <w:rFonts w:ascii="Times New Roman" w:hAnsi="Times New Roman" w:cs="Times New Roman"/>
          <w:sz w:val="24"/>
          <w:szCs w:val="24"/>
        </w:rPr>
        <w:t>(</w:t>
      </w:r>
      <w:r w:rsidRPr="00383381">
        <w:rPr>
          <w:rFonts w:ascii="Times New Roman" w:hAnsi="Times New Roman" w:cs="Times New Roman"/>
          <w:sz w:val="24"/>
          <w:szCs w:val="24"/>
        </w:rPr>
        <w:t>ARS 223.0</w:t>
      </w:r>
      <w:r w:rsidR="00A9020D">
        <w:rPr>
          <w:rFonts w:ascii="Times New Roman" w:hAnsi="Times New Roman" w:cs="Times New Roman"/>
          <w:sz w:val="24"/>
          <w:szCs w:val="24"/>
        </w:rPr>
        <w:t>)</w:t>
      </w:r>
      <w:r w:rsidR="00A9020D" w:rsidRPr="00A22ABD">
        <w:rPr>
          <w:rFonts w:ascii="Times New Roman" w:hAnsi="Times New Roman" w:cs="Times New Roman"/>
          <w:sz w:val="24"/>
          <w:szCs w:val="24"/>
        </w:rPr>
        <w:t>.</w:t>
      </w:r>
    </w:p>
    <w:p w14:paraId="0CC00427" w14:textId="0AE56E72" w:rsidR="00520692" w:rsidRPr="004D5A79" w:rsidRDefault="00520692" w:rsidP="00520692">
      <w:pPr>
        <w:widowControl w:val="0"/>
        <w:spacing w:after="240" w:line="240" w:lineRule="auto"/>
        <w:jc w:val="both"/>
        <w:rPr>
          <w:rFonts w:ascii="Times New Roman" w:hAnsi="Times New Roman" w:cs="Times New Roman"/>
          <w:sz w:val="24"/>
          <w:szCs w:val="24"/>
        </w:rPr>
      </w:pPr>
      <w:r w:rsidRPr="00520692">
        <w:rPr>
          <w:rFonts w:ascii="Times New Roman" w:hAnsi="Times New Roman" w:cs="Times New Roman"/>
          <w:sz w:val="24"/>
          <w:szCs w:val="24"/>
        </w:rPr>
        <w:t xml:space="preserve">The </w:t>
      </w:r>
      <w:r>
        <w:rPr>
          <w:rFonts w:ascii="Times New Roman" w:hAnsi="Times New Roman" w:cs="Times New Roman"/>
          <w:sz w:val="24"/>
          <w:szCs w:val="24"/>
        </w:rPr>
        <w:t xml:space="preserve">ARS 223.0 </w:t>
      </w:r>
      <w:r w:rsidRPr="00520692">
        <w:rPr>
          <w:rFonts w:ascii="Times New Roman" w:hAnsi="Times New Roman" w:cs="Times New Roman"/>
          <w:sz w:val="24"/>
          <w:szCs w:val="24"/>
        </w:rPr>
        <w:t>instrument commence</w:t>
      </w:r>
      <w:r w:rsidR="00982F5F">
        <w:rPr>
          <w:rFonts w:ascii="Times New Roman" w:hAnsi="Times New Roman" w:cs="Times New Roman"/>
          <w:sz w:val="24"/>
          <w:szCs w:val="24"/>
        </w:rPr>
        <w:t>s</w:t>
      </w:r>
      <w:r w:rsidRPr="00520692">
        <w:rPr>
          <w:rFonts w:ascii="Times New Roman" w:hAnsi="Times New Roman" w:cs="Times New Roman"/>
          <w:sz w:val="24"/>
          <w:szCs w:val="24"/>
        </w:rPr>
        <w:t xml:space="preserve"> </w:t>
      </w:r>
      <w:r>
        <w:rPr>
          <w:rFonts w:ascii="Times New Roman" w:hAnsi="Times New Roman" w:cs="Times New Roman"/>
          <w:sz w:val="24"/>
          <w:szCs w:val="24"/>
        </w:rPr>
        <w:t>on 1 October 2022</w:t>
      </w:r>
      <w:r w:rsidRPr="00520692">
        <w:rPr>
          <w:rFonts w:ascii="Times New Roman" w:hAnsi="Times New Roman" w:cs="Times New Roman"/>
          <w:sz w:val="24"/>
          <w:szCs w:val="24"/>
        </w:rPr>
        <w:t>.</w:t>
      </w:r>
    </w:p>
    <w:p w14:paraId="26D38409" w14:textId="1D2CBC65" w:rsidR="00197A23" w:rsidRPr="004D5A79" w:rsidRDefault="00197A23" w:rsidP="00A22ABD">
      <w:pPr>
        <w:pStyle w:val="ListParagraph"/>
        <w:keepNext/>
        <w:numPr>
          <w:ilvl w:val="0"/>
          <w:numId w:val="43"/>
        </w:numPr>
        <w:spacing w:after="240" w:line="240" w:lineRule="auto"/>
        <w:ind w:left="567" w:hanging="567"/>
        <w:jc w:val="both"/>
        <w:rPr>
          <w:rFonts w:ascii="Times New Roman" w:hAnsi="Times New Roman" w:cs="Times New Roman"/>
          <w:b/>
          <w:sz w:val="24"/>
          <w:szCs w:val="24"/>
          <w:lang w:eastAsia="en-US"/>
        </w:rPr>
      </w:pPr>
      <w:r w:rsidRPr="004D5A79">
        <w:rPr>
          <w:rFonts w:ascii="Times New Roman" w:hAnsi="Times New Roman" w:cs="Times New Roman"/>
          <w:b/>
          <w:sz w:val="24"/>
          <w:szCs w:val="24"/>
          <w:lang w:eastAsia="en-US"/>
        </w:rPr>
        <w:lastRenderedPageBreak/>
        <w:t>Background</w:t>
      </w:r>
    </w:p>
    <w:p w14:paraId="7377287F" w14:textId="3EE8997B"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APRA’s mandate is to ensure the safety and soundness of prudentially regulated financial institutions so that they can meet their financial promises to depositors, </w:t>
      </w:r>
      <w:proofErr w:type="gramStart"/>
      <w:r w:rsidRPr="004D5A79">
        <w:rPr>
          <w:rFonts w:ascii="Times New Roman" w:hAnsi="Times New Roman" w:cs="Times New Roman"/>
          <w:sz w:val="24"/>
          <w:szCs w:val="24"/>
          <w:lang w:eastAsia="en-US"/>
        </w:rPr>
        <w:t>policyholders</w:t>
      </w:r>
      <w:proofErr w:type="gramEnd"/>
      <w:r w:rsidRPr="004D5A79">
        <w:rPr>
          <w:rFonts w:ascii="Times New Roman" w:hAnsi="Times New Roman" w:cs="Times New Roman"/>
          <w:sz w:val="24"/>
          <w:szCs w:val="24"/>
          <w:lang w:eastAsia="en-US"/>
        </w:rPr>
        <w:t xml:space="preserve"> and fund members within a stable, efficient and competitive financial system.</w:t>
      </w:r>
    </w:p>
    <w:p w14:paraId="3D599309" w14:textId="48030CA0" w:rsidR="00C25FA1" w:rsidRPr="004D5A79" w:rsidRDefault="00C25FA1" w:rsidP="00A22ABD">
      <w:pPr>
        <w:pStyle w:val="heading0"/>
        <w:shd w:val="clear" w:color="auto" w:fill="FFFFFF"/>
        <w:spacing w:before="0" w:beforeAutospacing="0" w:after="240" w:afterAutospacing="0"/>
        <w:jc w:val="both"/>
        <w:rPr>
          <w:lang w:eastAsia="en-US"/>
        </w:rPr>
      </w:pPr>
      <w:r w:rsidRPr="004D5A79">
        <w:rPr>
          <w:lang w:eastAsia="en-US"/>
        </w:rPr>
        <w:t xml:space="preserve">APRA carries out this mandate through a multi-layered prudential framework that encompasses licensing and supervision of institutions. In the case of the banking industry, APRA is empowered under the </w:t>
      </w:r>
      <w:r w:rsidR="00111DAB" w:rsidRPr="00F26790">
        <w:rPr>
          <w:lang w:eastAsia="en-US"/>
        </w:rPr>
        <w:t>Act</w:t>
      </w:r>
      <w:r w:rsidRPr="004D5A79">
        <w:rPr>
          <w:lang w:eastAsia="en-US"/>
        </w:rPr>
        <w:t xml:space="preserve"> to issue legally binding prudential standards that set out specific prudential requirements with which ADIs must comply. These standards are supported by prudential practice guides (PPGs), which clarify APRA’s expectations </w:t>
      </w:r>
      <w:proofErr w:type="gramStart"/>
      <w:r w:rsidRPr="004D5A79">
        <w:rPr>
          <w:lang w:eastAsia="en-US"/>
        </w:rPr>
        <w:t>with regard to</w:t>
      </w:r>
      <w:proofErr w:type="gramEnd"/>
      <w:r w:rsidRPr="004D5A79">
        <w:rPr>
          <w:lang w:eastAsia="en-US"/>
        </w:rPr>
        <w:t xml:space="preserve"> prudential requirements.</w:t>
      </w:r>
      <w:r w:rsidR="00E50480">
        <w:rPr>
          <w:lang w:eastAsia="en-US"/>
        </w:rPr>
        <w:t xml:space="preserve"> </w:t>
      </w:r>
      <w:r w:rsidR="00E50480">
        <w:rPr>
          <w:color w:val="000000"/>
        </w:rPr>
        <w:t>APRA collects data under reporting standards made under the FSCODA Act that enable APRA to assess ADIs’ compliance with these prudential requirements.</w:t>
      </w:r>
    </w:p>
    <w:p w14:paraId="306AA6B3" w14:textId="01086F58"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APRA regularly reviews its regulatory regime and amends its prudential </w:t>
      </w:r>
      <w:r w:rsidR="00E50480">
        <w:rPr>
          <w:rFonts w:ascii="Times New Roman" w:hAnsi="Times New Roman" w:cs="Times New Roman"/>
          <w:sz w:val="24"/>
          <w:szCs w:val="24"/>
          <w:lang w:eastAsia="en-US"/>
        </w:rPr>
        <w:t xml:space="preserve">and accompanying reporting </w:t>
      </w:r>
      <w:r w:rsidRPr="004D5A79">
        <w:rPr>
          <w:rFonts w:ascii="Times New Roman" w:hAnsi="Times New Roman" w:cs="Times New Roman"/>
          <w:sz w:val="24"/>
          <w:szCs w:val="24"/>
          <w:lang w:eastAsia="en-US"/>
        </w:rPr>
        <w:t xml:space="preserve">requirements </w:t>
      </w:r>
      <w:proofErr w:type="gramStart"/>
      <w:r w:rsidRPr="004D5A79">
        <w:rPr>
          <w:rFonts w:ascii="Times New Roman" w:hAnsi="Times New Roman" w:cs="Times New Roman"/>
          <w:sz w:val="24"/>
          <w:szCs w:val="24"/>
          <w:lang w:eastAsia="en-US"/>
        </w:rPr>
        <w:t>as a result of</w:t>
      </w:r>
      <w:proofErr w:type="gramEnd"/>
      <w:r w:rsidRPr="004D5A79">
        <w:rPr>
          <w:rFonts w:ascii="Times New Roman" w:hAnsi="Times New Roman" w:cs="Times New Roman"/>
          <w:sz w:val="24"/>
          <w:szCs w:val="24"/>
          <w:lang w:eastAsia="en-US"/>
        </w:rPr>
        <w:t xml:space="preserve"> a number of factors including:</w:t>
      </w:r>
    </w:p>
    <w:p w14:paraId="0689E01F" w14:textId="17C30B37" w:rsidR="00C25FA1" w:rsidRPr="004D5A79" w:rsidRDefault="00C25FA1" w:rsidP="00C25FA1">
      <w:pPr>
        <w:pStyle w:val="ListParagraph"/>
        <w:numPr>
          <w:ilvl w:val="0"/>
          <w:numId w:val="41"/>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international </w:t>
      </w:r>
      <w:proofErr w:type="gramStart"/>
      <w:r w:rsidRPr="004D5A79">
        <w:rPr>
          <w:rFonts w:ascii="Times New Roman" w:hAnsi="Times New Roman" w:cs="Times New Roman"/>
          <w:sz w:val="24"/>
          <w:szCs w:val="24"/>
          <w:lang w:eastAsia="en-US"/>
        </w:rPr>
        <w:t>developments;</w:t>
      </w:r>
      <w:proofErr w:type="gramEnd"/>
    </w:p>
    <w:p w14:paraId="7267B67D" w14:textId="22AD9B7A" w:rsidR="00C25FA1" w:rsidRPr="004D5A79" w:rsidRDefault="00C25FA1" w:rsidP="00C25FA1">
      <w:pPr>
        <w:pStyle w:val="ListParagraph"/>
        <w:numPr>
          <w:ilvl w:val="0"/>
          <w:numId w:val="41"/>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changes in financial market conditions or changes in risk management practices, in response to identified weaknesses in the prudential framework; and</w:t>
      </w:r>
    </w:p>
    <w:p w14:paraId="3050F643" w14:textId="1EC8BE5E" w:rsidR="00C25FA1" w:rsidRPr="004D5A79" w:rsidRDefault="00C25FA1" w:rsidP="00C25FA1">
      <w:pPr>
        <w:pStyle w:val="ListParagraph"/>
        <w:numPr>
          <w:ilvl w:val="0"/>
          <w:numId w:val="41"/>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to reduce potential negative impacts of emerging industry issues.</w:t>
      </w:r>
    </w:p>
    <w:p w14:paraId="5285346B" w14:textId="317B03B2"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One of the key components of APRA’s prudential </w:t>
      </w:r>
      <w:r w:rsidR="00E50480">
        <w:rPr>
          <w:rFonts w:ascii="Times New Roman" w:hAnsi="Times New Roman" w:cs="Times New Roman"/>
          <w:sz w:val="24"/>
          <w:szCs w:val="24"/>
          <w:lang w:eastAsia="en-US"/>
        </w:rPr>
        <w:t xml:space="preserve">and reporting </w:t>
      </w:r>
      <w:r w:rsidRPr="004D5A79">
        <w:rPr>
          <w:rFonts w:ascii="Times New Roman" w:hAnsi="Times New Roman" w:cs="Times New Roman"/>
          <w:sz w:val="24"/>
          <w:szCs w:val="24"/>
          <w:lang w:eastAsia="en-US"/>
        </w:rPr>
        <w:t>framework is the prudential standard that relates to an ADI’s credit risk management</w:t>
      </w:r>
      <w:r w:rsidR="00E50480">
        <w:rPr>
          <w:rFonts w:ascii="Times New Roman" w:hAnsi="Times New Roman" w:cs="Times New Roman"/>
          <w:sz w:val="24"/>
          <w:szCs w:val="24"/>
          <w:lang w:eastAsia="en-US"/>
        </w:rPr>
        <w:t xml:space="preserve"> and its accompanying reporting standards</w:t>
      </w:r>
      <w:r w:rsidRPr="004D5A79">
        <w:rPr>
          <w:rFonts w:ascii="Times New Roman" w:hAnsi="Times New Roman" w:cs="Times New Roman"/>
          <w:sz w:val="24"/>
          <w:szCs w:val="24"/>
          <w:lang w:eastAsia="en-US"/>
        </w:rPr>
        <w:t>.</w:t>
      </w:r>
    </w:p>
    <w:p w14:paraId="5B38BD31" w14:textId="54AA667A" w:rsidR="00C25FA1" w:rsidRDefault="00C25FA1" w:rsidP="00C25FA1">
      <w:pPr>
        <w:spacing w:after="240" w:line="240" w:lineRule="auto"/>
        <w:jc w:val="both"/>
        <w:rPr>
          <w:rFonts w:ascii="Times New Roman" w:hAnsi="Times New Roman" w:cs="Times New Roman"/>
          <w:sz w:val="24"/>
          <w:szCs w:val="24"/>
        </w:rPr>
      </w:pPr>
      <w:r w:rsidRPr="004D5A79">
        <w:rPr>
          <w:rFonts w:ascii="Times New Roman" w:hAnsi="Times New Roman" w:cs="Times New Roman"/>
          <w:i/>
          <w:sz w:val="24"/>
          <w:szCs w:val="24"/>
        </w:rPr>
        <w:t xml:space="preserve">Prudential Standard </w:t>
      </w:r>
      <w:r w:rsidRPr="004E5A3D">
        <w:rPr>
          <w:rFonts w:ascii="Times New Roman" w:hAnsi="Times New Roman" w:cs="Times New Roman"/>
          <w:i/>
          <w:sz w:val="24"/>
          <w:szCs w:val="24"/>
        </w:rPr>
        <w:t>APS</w:t>
      </w:r>
      <w:r w:rsidR="00126811">
        <w:rPr>
          <w:rFonts w:ascii="Times New Roman" w:hAnsi="Times New Roman" w:cs="Times New Roman"/>
          <w:i/>
          <w:sz w:val="24"/>
          <w:szCs w:val="24"/>
        </w:rPr>
        <w:t> </w:t>
      </w:r>
      <w:r w:rsidRPr="004E5A3D">
        <w:rPr>
          <w:rFonts w:ascii="Times New Roman" w:hAnsi="Times New Roman" w:cs="Times New Roman"/>
          <w:i/>
          <w:sz w:val="24"/>
          <w:szCs w:val="24"/>
        </w:rPr>
        <w:t>220</w:t>
      </w:r>
      <w:r w:rsidRPr="004D5A79">
        <w:rPr>
          <w:rFonts w:ascii="Times New Roman" w:hAnsi="Times New Roman" w:cs="Times New Roman"/>
          <w:i/>
          <w:sz w:val="24"/>
          <w:szCs w:val="24"/>
        </w:rPr>
        <w:t xml:space="preserve"> Credit Quality</w:t>
      </w:r>
      <w:r w:rsidRPr="004D5A79">
        <w:rPr>
          <w:rFonts w:ascii="Times New Roman" w:hAnsi="Times New Roman" w:cs="Times New Roman"/>
          <w:sz w:val="24"/>
          <w:szCs w:val="24"/>
        </w:rPr>
        <w:t xml:space="preserve"> requires an ADI to control credit risk by adopting prudent credit risk management policies and procedures. </w:t>
      </w:r>
      <w:r w:rsidR="00AD26ED">
        <w:rPr>
          <w:rFonts w:ascii="Times New Roman" w:hAnsi="Times New Roman" w:cs="Times New Roman"/>
          <w:sz w:val="24"/>
          <w:szCs w:val="24"/>
        </w:rPr>
        <w:t xml:space="preserve">Following a </w:t>
      </w:r>
      <w:proofErr w:type="gramStart"/>
      <w:r w:rsidR="00AD26ED">
        <w:rPr>
          <w:rFonts w:ascii="Times New Roman" w:hAnsi="Times New Roman" w:cs="Times New Roman"/>
          <w:sz w:val="24"/>
          <w:szCs w:val="24"/>
        </w:rPr>
        <w:t>three month</w:t>
      </w:r>
      <w:proofErr w:type="gramEnd"/>
      <w:r w:rsidR="00AD26ED">
        <w:rPr>
          <w:rFonts w:ascii="Times New Roman" w:hAnsi="Times New Roman" w:cs="Times New Roman"/>
          <w:sz w:val="24"/>
          <w:szCs w:val="24"/>
        </w:rPr>
        <w:t xml:space="preserve"> consultation period, APRA has</w:t>
      </w:r>
      <w:r w:rsidR="00D75931">
        <w:rPr>
          <w:rFonts w:ascii="Times New Roman" w:hAnsi="Times New Roman" w:cs="Times New Roman"/>
          <w:sz w:val="24"/>
          <w:szCs w:val="24"/>
        </w:rPr>
        <w:t xml:space="preserve"> update</w:t>
      </w:r>
      <w:r w:rsidR="00AD26ED">
        <w:rPr>
          <w:rFonts w:ascii="Times New Roman" w:hAnsi="Times New Roman" w:cs="Times New Roman"/>
          <w:sz w:val="24"/>
          <w:szCs w:val="24"/>
        </w:rPr>
        <w:t>d</w:t>
      </w:r>
      <w:r w:rsidR="00D75931">
        <w:rPr>
          <w:rFonts w:ascii="Times New Roman" w:hAnsi="Times New Roman" w:cs="Times New Roman"/>
          <w:sz w:val="24"/>
          <w:szCs w:val="24"/>
        </w:rPr>
        <w:t xml:space="preserve"> APS 220 </w:t>
      </w:r>
      <w:r w:rsidR="00AD26ED">
        <w:rPr>
          <w:rFonts w:ascii="Times New Roman" w:hAnsi="Times New Roman" w:cs="Times New Roman"/>
          <w:sz w:val="24"/>
          <w:szCs w:val="24"/>
        </w:rPr>
        <w:t>to include</w:t>
      </w:r>
      <w:r w:rsidR="00D75931">
        <w:rPr>
          <w:rFonts w:ascii="Times New Roman" w:hAnsi="Times New Roman" w:cs="Times New Roman"/>
          <w:sz w:val="24"/>
          <w:szCs w:val="24"/>
        </w:rPr>
        <w:t xml:space="preserve"> a new Attachment C which formalises APRA’s toolkit of macroprudential policy </w:t>
      </w:r>
      <w:r w:rsidR="001E7456">
        <w:rPr>
          <w:rFonts w:ascii="Times New Roman" w:hAnsi="Times New Roman" w:cs="Times New Roman"/>
          <w:sz w:val="24"/>
          <w:szCs w:val="24"/>
        </w:rPr>
        <w:t xml:space="preserve">credit </w:t>
      </w:r>
      <w:r w:rsidR="00D75931">
        <w:rPr>
          <w:rFonts w:ascii="Times New Roman" w:hAnsi="Times New Roman" w:cs="Times New Roman"/>
          <w:sz w:val="24"/>
          <w:szCs w:val="24"/>
        </w:rPr>
        <w:t xml:space="preserve">measures. These are targeted policy tools which can be </w:t>
      </w:r>
      <w:r w:rsidR="005045AF">
        <w:rPr>
          <w:rFonts w:ascii="Times New Roman" w:hAnsi="Times New Roman" w:cs="Times New Roman"/>
          <w:sz w:val="24"/>
          <w:szCs w:val="24"/>
        </w:rPr>
        <w:t>implemented or removed in response</w:t>
      </w:r>
      <w:r w:rsidR="00D75931">
        <w:rPr>
          <w:rFonts w:ascii="Times New Roman" w:hAnsi="Times New Roman" w:cs="Times New Roman"/>
          <w:sz w:val="24"/>
          <w:szCs w:val="24"/>
        </w:rPr>
        <w:t xml:space="preserve"> to systemic risks</w:t>
      </w:r>
      <w:r w:rsidR="0042251A">
        <w:rPr>
          <w:rFonts w:ascii="Times New Roman" w:hAnsi="Times New Roman" w:cs="Times New Roman"/>
          <w:sz w:val="24"/>
          <w:szCs w:val="24"/>
        </w:rPr>
        <w:t xml:space="preserve"> to the financial system</w:t>
      </w:r>
      <w:r w:rsidR="005045AF">
        <w:rPr>
          <w:rFonts w:ascii="Times New Roman" w:hAnsi="Times New Roman" w:cs="Times New Roman"/>
          <w:sz w:val="24"/>
          <w:szCs w:val="24"/>
        </w:rPr>
        <w:t>.</w:t>
      </w:r>
      <w:r w:rsidR="00D75931">
        <w:rPr>
          <w:rFonts w:ascii="Times New Roman" w:hAnsi="Times New Roman" w:cs="Times New Roman"/>
          <w:sz w:val="24"/>
          <w:szCs w:val="24"/>
        </w:rPr>
        <w:t xml:space="preserve"> </w:t>
      </w:r>
    </w:p>
    <w:p w14:paraId="2C208536" w14:textId="1210F172" w:rsidR="00F32AF9" w:rsidRDefault="005045AF" w:rsidP="00C25FA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consultation period, APRA also consulted on some small definitional changes to </w:t>
      </w:r>
      <w:r w:rsidRPr="005045AF">
        <w:rPr>
          <w:rFonts w:ascii="Times New Roman" w:hAnsi="Times New Roman" w:cs="Times New Roman"/>
          <w:i/>
          <w:sz w:val="24"/>
          <w:szCs w:val="24"/>
        </w:rPr>
        <w:t>Reporting Standard ARS 223</w:t>
      </w:r>
      <w:r w:rsidR="00490833">
        <w:rPr>
          <w:rFonts w:ascii="Times New Roman" w:hAnsi="Times New Roman" w:cs="Times New Roman"/>
          <w:i/>
          <w:sz w:val="24"/>
          <w:szCs w:val="24"/>
        </w:rPr>
        <w:t>.0</w:t>
      </w:r>
      <w:r w:rsidRPr="005045AF">
        <w:rPr>
          <w:rFonts w:ascii="Times New Roman" w:hAnsi="Times New Roman" w:cs="Times New Roman"/>
          <w:i/>
          <w:sz w:val="24"/>
          <w:szCs w:val="24"/>
        </w:rPr>
        <w:t xml:space="preserve"> Residential Mortgage Lending</w:t>
      </w:r>
      <w:r>
        <w:rPr>
          <w:rFonts w:ascii="Times New Roman" w:hAnsi="Times New Roman" w:cs="Times New Roman"/>
          <w:sz w:val="24"/>
          <w:szCs w:val="24"/>
        </w:rPr>
        <w:t xml:space="preserve"> (ARS 223</w:t>
      </w:r>
      <w:r w:rsidR="00490833">
        <w:rPr>
          <w:rFonts w:ascii="Times New Roman" w:hAnsi="Times New Roman" w:cs="Times New Roman"/>
          <w:sz w:val="24"/>
          <w:szCs w:val="24"/>
        </w:rPr>
        <w:t>.0</w:t>
      </w:r>
      <w:r>
        <w:rPr>
          <w:rFonts w:ascii="Times New Roman" w:hAnsi="Times New Roman" w:cs="Times New Roman"/>
          <w:sz w:val="24"/>
          <w:szCs w:val="24"/>
        </w:rPr>
        <w:t xml:space="preserve">). These minor definitional changes have been made </w:t>
      </w:r>
      <w:r w:rsidR="00BB6D9B">
        <w:rPr>
          <w:rFonts w:ascii="Times New Roman" w:hAnsi="Times New Roman" w:cs="Times New Roman"/>
          <w:sz w:val="24"/>
          <w:szCs w:val="24"/>
        </w:rPr>
        <w:t xml:space="preserve">in response to ADIs seeking clarification and will </w:t>
      </w:r>
      <w:r>
        <w:rPr>
          <w:rFonts w:ascii="Times New Roman" w:hAnsi="Times New Roman" w:cs="Times New Roman"/>
          <w:sz w:val="24"/>
          <w:szCs w:val="24"/>
        </w:rPr>
        <w:t xml:space="preserve">ensure </w:t>
      </w:r>
      <w:r w:rsidR="00BB6D9B">
        <w:rPr>
          <w:rFonts w:ascii="Times New Roman" w:hAnsi="Times New Roman" w:cs="Times New Roman"/>
          <w:sz w:val="24"/>
          <w:szCs w:val="24"/>
        </w:rPr>
        <w:t xml:space="preserve">that industry takes a </w:t>
      </w:r>
      <w:r>
        <w:rPr>
          <w:rFonts w:ascii="Times New Roman" w:hAnsi="Times New Roman" w:cs="Times New Roman"/>
          <w:sz w:val="24"/>
          <w:szCs w:val="24"/>
        </w:rPr>
        <w:t xml:space="preserve">consistent </w:t>
      </w:r>
      <w:r w:rsidR="00BB6D9B">
        <w:rPr>
          <w:rFonts w:ascii="Times New Roman" w:hAnsi="Times New Roman" w:cs="Times New Roman"/>
          <w:sz w:val="24"/>
          <w:szCs w:val="24"/>
        </w:rPr>
        <w:t>approach to measuring</w:t>
      </w:r>
      <w:r>
        <w:rPr>
          <w:rFonts w:ascii="Times New Roman" w:hAnsi="Times New Roman" w:cs="Times New Roman"/>
          <w:sz w:val="24"/>
          <w:szCs w:val="24"/>
        </w:rPr>
        <w:t xml:space="preserve"> macroprudential tools. </w:t>
      </w:r>
    </w:p>
    <w:p w14:paraId="080AA574" w14:textId="77777777" w:rsidR="0012246A" w:rsidRPr="004D5A79" w:rsidRDefault="0012246A" w:rsidP="008052F3">
      <w:pPr>
        <w:keepNext/>
        <w:numPr>
          <w:ilvl w:val="0"/>
          <w:numId w:val="43"/>
        </w:numPr>
        <w:spacing w:after="240" w:line="240" w:lineRule="auto"/>
        <w:ind w:left="567" w:hanging="567"/>
        <w:jc w:val="both"/>
        <w:rPr>
          <w:rFonts w:ascii="Times New Roman" w:hAnsi="Times New Roman" w:cs="Times New Roman"/>
          <w:b/>
          <w:sz w:val="24"/>
          <w:szCs w:val="24"/>
          <w:lang w:eastAsia="en-US"/>
        </w:rPr>
      </w:pPr>
      <w:r w:rsidRPr="004D5A79">
        <w:rPr>
          <w:rFonts w:ascii="Times New Roman" w:hAnsi="Times New Roman" w:cs="Times New Roman"/>
          <w:b/>
          <w:sz w:val="24"/>
          <w:szCs w:val="24"/>
          <w:lang w:eastAsia="en-US"/>
        </w:rPr>
        <w:t>Purpose and operation of the instruments</w:t>
      </w:r>
    </w:p>
    <w:p w14:paraId="27CBA6CB" w14:textId="1C72C816" w:rsidR="00E56309" w:rsidRPr="00383381" w:rsidRDefault="00E56309" w:rsidP="0012246A">
      <w:pPr>
        <w:spacing w:after="240" w:line="240" w:lineRule="auto"/>
        <w:jc w:val="both"/>
        <w:rPr>
          <w:rFonts w:ascii="Times New Roman" w:hAnsi="Times New Roman" w:cs="Times New Roman"/>
          <w:b/>
          <w:sz w:val="24"/>
          <w:szCs w:val="24"/>
          <w:lang w:eastAsia="en-US"/>
        </w:rPr>
      </w:pPr>
      <w:r w:rsidRPr="00383381">
        <w:rPr>
          <w:rFonts w:ascii="Times New Roman" w:hAnsi="Times New Roman" w:cs="Times New Roman"/>
          <w:b/>
          <w:sz w:val="24"/>
          <w:szCs w:val="24"/>
          <w:lang w:eastAsia="en-US"/>
        </w:rPr>
        <w:t>The APS 220 instrument</w:t>
      </w:r>
    </w:p>
    <w:p w14:paraId="3C0F2572" w14:textId="0BC88CBB" w:rsidR="0012246A" w:rsidRDefault="0012246A" w:rsidP="0012246A">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The purpose of the </w:t>
      </w:r>
      <w:r w:rsidR="00E56309">
        <w:rPr>
          <w:rFonts w:ascii="Times New Roman" w:hAnsi="Times New Roman" w:cs="Times New Roman"/>
          <w:sz w:val="24"/>
          <w:szCs w:val="24"/>
          <w:lang w:eastAsia="en-US"/>
        </w:rPr>
        <w:t xml:space="preserve">APS 220 </w:t>
      </w:r>
      <w:r w:rsidRPr="004D5A79">
        <w:rPr>
          <w:rFonts w:ascii="Times New Roman" w:hAnsi="Times New Roman" w:cs="Times New Roman"/>
          <w:sz w:val="24"/>
          <w:szCs w:val="24"/>
          <w:lang w:eastAsia="en-US"/>
        </w:rPr>
        <w:t xml:space="preserve">instrument is to revoke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w:t>
      </w:r>
      <w:r w:rsidR="008052F3">
        <w:rPr>
          <w:rFonts w:ascii="Times New Roman" w:hAnsi="Times New Roman" w:cs="Times New Roman"/>
          <w:i/>
          <w:sz w:val="24"/>
          <w:szCs w:val="24"/>
        </w:rPr>
        <w:t> </w:t>
      </w:r>
      <w:r w:rsidR="00C466A5" w:rsidRPr="007C6AF8">
        <w:rPr>
          <w:rFonts w:ascii="Times New Roman" w:hAnsi="Times New Roman" w:cs="Times New Roman"/>
          <w:i/>
          <w:sz w:val="24"/>
          <w:szCs w:val="24"/>
        </w:rPr>
        <w:t>220</w:t>
      </w:r>
      <w:r w:rsidR="00C466A5" w:rsidRPr="004D5A79">
        <w:rPr>
          <w:rFonts w:ascii="Times New Roman" w:hAnsi="Times New Roman" w:cs="Times New Roman"/>
          <w:i/>
          <w:sz w:val="24"/>
          <w:szCs w:val="24"/>
        </w:rPr>
        <w:t xml:space="preserve"> </w:t>
      </w:r>
      <w:r w:rsidR="00D205A4" w:rsidRPr="004D5A79">
        <w:rPr>
          <w:rFonts w:ascii="Times New Roman" w:hAnsi="Times New Roman" w:cs="Times New Roman"/>
          <w:i/>
          <w:sz w:val="24"/>
          <w:szCs w:val="24"/>
          <w:lang w:eastAsia="en-US"/>
        </w:rPr>
        <w:t>Credit Risk Management</w:t>
      </w:r>
      <w:r w:rsidR="00D205A4" w:rsidRPr="004D5A79">
        <w:rPr>
          <w:rFonts w:ascii="Times New Roman" w:hAnsi="Times New Roman" w:cs="Times New Roman"/>
          <w:sz w:val="24"/>
          <w:szCs w:val="24"/>
          <w:lang w:eastAsia="en-US"/>
        </w:rPr>
        <w:t xml:space="preserve"> </w:t>
      </w:r>
      <w:proofErr w:type="gramStart"/>
      <w:r w:rsidR="001C551C">
        <w:rPr>
          <w:rFonts w:ascii="Times New Roman" w:hAnsi="Times New Roman" w:cs="Times New Roman"/>
          <w:sz w:val="24"/>
          <w:szCs w:val="24"/>
          <w:lang w:eastAsia="en-US"/>
        </w:rPr>
        <w:t>determination</w:t>
      </w:r>
      <w:proofErr w:type="gramEnd"/>
      <w:r w:rsidR="001C551C">
        <w:rPr>
          <w:rFonts w:ascii="Times New Roman" w:hAnsi="Times New Roman" w:cs="Times New Roman"/>
          <w:sz w:val="24"/>
          <w:szCs w:val="24"/>
          <w:lang w:eastAsia="en-US"/>
        </w:rPr>
        <w:t xml:space="preserve"> No. 2 of</w:t>
      </w:r>
      <w:r w:rsidR="007652D7" w:rsidRPr="007652D7">
        <w:rPr>
          <w:rFonts w:ascii="Times New Roman" w:hAnsi="Times New Roman" w:cs="Times New Roman"/>
          <w:sz w:val="24"/>
          <w:szCs w:val="24"/>
          <w:lang w:eastAsia="en-US"/>
        </w:rPr>
        <w:t xml:space="preserve"> 2021</w:t>
      </w:r>
      <w:r w:rsidR="007652D7">
        <w:rPr>
          <w:rFonts w:ascii="Times New Roman" w:hAnsi="Times New Roman" w:cs="Times New Roman"/>
          <w:sz w:val="24"/>
          <w:szCs w:val="24"/>
          <w:lang w:eastAsia="en-US"/>
        </w:rPr>
        <w:t xml:space="preserve"> </w:t>
      </w:r>
      <w:r w:rsidRPr="004D5A79">
        <w:rPr>
          <w:rFonts w:ascii="Times New Roman" w:hAnsi="Times New Roman" w:cs="Times New Roman"/>
          <w:sz w:val="24"/>
          <w:szCs w:val="24"/>
          <w:lang w:eastAsia="en-US"/>
        </w:rPr>
        <w:t xml:space="preserve">and replace it with a new version of </w:t>
      </w:r>
      <w:r w:rsidR="00C466A5" w:rsidRPr="004D5A79">
        <w:rPr>
          <w:rFonts w:ascii="Times New Roman" w:hAnsi="Times New Roman" w:cs="Times New Roman"/>
          <w:sz w:val="24"/>
          <w:szCs w:val="24"/>
          <w:lang w:eastAsia="en-US"/>
        </w:rPr>
        <w:t xml:space="preserve">the standard. </w:t>
      </w:r>
    </w:p>
    <w:p w14:paraId="67FE5725" w14:textId="0C2B846C" w:rsidR="00C619BC" w:rsidRPr="00C619BC" w:rsidRDefault="00C619BC" w:rsidP="0012246A">
      <w:pPr>
        <w:spacing w:after="240" w:line="240" w:lineRule="auto"/>
        <w:jc w:val="both"/>
        <w:rPr>
          <w:rFonts w:ascii="Times New Roman" w:hAnsi="Times New Roman" w:cs="Times New Roman"/>
          <w:sz w:val="24"/>
          <w:lang w:eastAsia="en-US"/>
        </w:rPr>
      </w:pPr>
      <w:r w:rsidRPr="00F26790">
        <w:rPr>
          <w:rFonts w:ascii="Times New Roman" w:hAnsi="Times New Roman" w:cs="Times New Roman"/>
          <w:color w:val="000000"/>
          <w:sz w:val="24"/>
        </w:rPr>
        <w:t>Where</w:t>
      </w:r>
      <w:r w:rsidR="00FA0493" w:rsidRPr="00FA0493">
        <w:rPr>
          <w:rFonts w:ascii="Times New Roman" w:hAnsi="Times New Roman" w:cs="Times New Roman"/>
          <w:color w:val="000000"/>
          <w:sz w:val="24"/>
        </w:rPr>
        <w:t xml:space="preserve"> APS</w:t>
      </w:r>
      <w:r w:rsidR="008052F3">
        <w:rPr>
          <w:rFonts w:ascii="Times New Roman" w:hAnsi="Times New Roman" w:cs="Times New Roman"/>
          <w:color w:val="000000"/>
          <w:sz w:val="24"/>
        </w:rPr>
        <w:t> </w:t>
      </w:r>
      <w:r w:rsidR="00FA0493" w:rsidRPr="00FA0493">
        <w:rPr>
          <w:rFonts w:ascii="Times New Roman" w:hAnsi="Times New Roman" w:cs="Times New Roman"/>
          <w:color w:val="000000"/>
          <w:sz w:val="24"/>
        </w:rPr>
        <w:t>220</w:t>
      </w:r>
      <w:r w:rsidRPr="00F26790">
        <w:rPr>
          <w:rFonts w:ascii="Times New Roman" w:hAnsi="Times New Roman" w:cs="Times New Roman"/>
          <w:color w:val="000000"/>
          <w:sz w:val="24"/>
        </w:rPr>
        <w:t xml:space="preserve"> refers to an Act, </w:t>
      </w:r>
      <w:proofErr w:type="gramStart"/>
      <w:r w:rsidRPr="00F26790">
        <w:rPr>
          <w:rFonts w:ascii="Times New Roman" w:hAnsi="Times New Roman" w:cs="Times New Roman"/>
          <w:color w:val="000000"/>
          <w:sz w:val="24"/>
        </w:rPr>
        <w:t>Regulation</w:t>
      </w:r>
      <w:proofErr w:type="gramEnd"/>
      <w:r w:rsidRPr="00F26790">
        <w:rPr>
          <w:rFonts w:ascii="Times New Roman" w:hAnsi="Times New Roman" w:cs="Times New Roman"/>
          <w:color w:val="000000"/>
          <w:sz w:val="24"/>
        </w:rPr>
        <w:t xml:space="preserve"> or prudential standard, this is a reference to the document as it exists from time to time, and which is available on the Federal Register of Legislation at </w:t>
      </w:r>
      <w:hyperlink r:id="rId14" w:history="1">
        <w:r w:rsidRPr="00F26790">
          <w:rPr>
            <w:rStyle w:val="Hyperlink"/>
            <w:rFonts w:ascii="Times New Roman" w:hAnsi="Times New Roman" w:cs="Times New Roman"/>
            <w:color w:val="0F569E"/>
            <w:sz w:val="24"/>
          </w:rPr>
          <w:t>www.legislation.gov.au</w:t>
        </w:r>
      </w:hyperlink>
      <w:r w:rsidRPr="00F26790">
        <w:rPr>
          <w:rFonts w:ascii="Times New Roman" w:hAnsi="Times New Roman" w:cs="Times New Roman"/>
          <w:color w:val="000000"/>
          <w:sz w:val="24"/>
        </w:rPr>
        <w:t>.</w:t>
      </w:r>
    </w:p>
    <w:p w14:paraId="08EA498E" w14:textId="6A3ECF47" w:rsidR="00E56309" w:rsidRPr="00E04F77" w:rsidRDefault="00A94F7C" w:rsidP="00E04F77">
      <w:pPr>
        <w:spacing w:after="240" w:line="240" w:lineRule="auto"/>
        <w:jc w:val="both"/>
        <w:rPr>
          <w:rFonts w:ascii="Times New Roman" w:hAnsi="Times New Roman"/>
          <w:sz w:val="24"/>
          <w:szCs w:val="24"/>
          <w:lang w:eastAsia="en-US"/>
        </w:rPr>
      </w:pPr>
      <w:r w:rsidRPr="00A94F7C">
        <w:rPr>
          <w:rFonts w:ascii="Times New Roman" w:hAnsi="Times New Roman" w:cs="Times New Roman"/>
          <w:sz w:val="24"/>
          <w:szCs w:val="24"/>
          <w:lang w:eastAsia="en-US"/>
        </w:rPr>
        <w:t>APS</w:t>
      </w:r>
      <w:r w:rsidR="008052F3">
        <w:rPr>
          <w:rFonts w:ascii="Times New Roman" w:hAnsi="Times New Roman" w:cs="Times New Roman"/>
          <w:sz w:val="24"/>
          <w:szCs w:val="24"/>
          <w:lang w:eastAsia="en-US"/>
        </w:rPr>
        <w:t> </w:t>
      </w:r>
      <w:r w:rsidRPr="00A94F7C">
        <w:rPr>
          <w:rFonts w:ascii="Times New Roman" w:hAnsi="Times New Roman" w:cs="Times New Roman"/>
          <w:sz w:val="24"/>
          <w:szCs w:val="24"/>
          <w:lang w:eastAsia="en-US"/>
        </w:rPr>
        <w:t>220</w:t>
      </w:r>
      <w:r w:rsidRPr="00F26790">
        <w:rPr>
          <w:rFonts w:ascii="Times New Roman" w:hAnsi="Times New Roman" w:cs="Times New Roman"/>
          <w:sz w:val="24"/>
          <w:szCs w:val="24"/>
          <w:lang w:eastAsia="en-US"/>
        </w:rPr>
        <w:t xml:space="preserve"> provides for APRA to exercise various discretions. Decisions made by APRA exercising those discretions are not subject to merits review. This is because these decisions </w:t>
      </w:r>
      <w:r w:rsidRPr="00F26790">
        <w:rPr>
          <w:rFonts w:ascii="Times New Roman" w:hAnsi="Times New Roman" w:cs="Times New Roman"/>
          <w:sz w:val="24"/>
          <w:szCs w:val="24"/>
          <w:lang w:eastAsia="en-US"/>
        </w:rPr>
        <w:lastRenderedPageBreak/>
        <w:t>are preliminary decisions that may facilitate or lead to substantive decisions which are subject to merits review.</w:t>
      </w:r>
    </w:p>
    <w:p w14:paraId="7B90A83E" w14:textId="7F7D0A5B" w:rsidR="00A94F7C" w:rsidRDefault="00A94F7C" w:rsidP="00F26790">
      <w:pPr>
        <w:pStyle w:val="heading0"/>
        <w:spacing w:before="0" w:beforeAutospacing="0" w:after="0" w:afterAutospacing="0"/>
        <w:jc w:val="both"/>
        <w:rPr>
          <w:rFonts w:ascii="&amp;quot" w:hAnsi="&amp;quot"/>
          <w:color w:val="000000"/>
        </w:rPr>
      </w:pPr>
      <w:r>
        <w:rPr>
          <w:rFonts w:ascii="&amp;quot" w:hAnsi="&amp;quot"/>
          <w:color w:val="000000"/>
        </w:rPr>
        <w:t xml:space="preserve">A breach of a prudential standard is a breach of the </w:t>
      </w:r>
      <w:r w:rsidR="00E56309">
        <w:rPr>
          <w:rFonts w:ascii="&amp;quot" w:hAnsi="&amp;quot"/>
          <w:color w:val="000000"/>
        </w:rPr>
        <w:t xml:space="preserve">Banking </w:t>
      </w:r>
      <w:r>
        <w:rPr>
          <w:rFonts w:ascii="&amp;quot" w:hAnsi="&amp;quot"/>
          <w:color w:val="000000"/>
        </w:rPr>
        <w:t xml:space="preserve">Act, as section 11AG of the </w:t>
      </w:r>
      <w:r w:rsidR="00E56309">
        <w:rPr>
          <w:rFonts w:ascii="&amp;quot" w:hAnsi="&amp;quot"/>
          <w:color w:val="000000"/>
        </w:rPr>
        <w:t xml:space="preserve">Banking </w:t>
      </w:r>
      <w:r>
        <w:rPr>
          <w:rFonts w:ascii="&amp;quot" w:hAnsi="&amp;quot"/>
          <w:color w:val="000000"/>
        </w:rPr>
        <w:t xml:space="preserve">Act provides that ADIs must comply with applicable prudential standards. However, there are no penalties prescribed for breach of a prudential standard. Instead, an ADI’s breach of a provision in the Act is grounds for APRA to make further, substantive decisions under the </w:t>
      </w:r>
      <w:r w:rsidR="00E56309">
        <w:rPr>
          <w:rFonts w:ascii="&amp;quot" w:hAnsi="&amp;quot"/>
          <w:color w:val="000000"/>
        </w:rPr>
        <w:t xml:space="preserve">Banking </w:t>
      </w:r>
      <w:r>
        <w:rPr>
          <w:rFonts w:ascii="&amp;quot" w:hAnsi="&amp;quot"/>
          <w:color w:val="000000"/>
        </w:rPr>
        <w:t xml:space="preserve">Act in relation to the ADI. Those decisions </w:t>
      </w:r>
      <w:r w:rsidR="00E56309">
        <w:rPr>
          <w:rFonts w:ascii="&amp;quot" w:hAnsi="&amp;quot"/>
          <w:color w:val="000000"/>
        </w:rPr>
        <w:t>may include the decision</w:t>
      </w:r>
      <w:r>
        <w:rPr>
          <w:rFonts w:ascii="&amp;quot" w:hAnsi="&amp;quot"/>
          <w:color w:val="000000"/>
        </w:rPr>
        <w:t xml:space="preserve">: </w:t>
      </w:r>
    </w:p>
    <w:p w14:paraId="25F1BAD4" w14:textId="77777777" w:rsidR="009A2AB0" w:rsidRDefault="009A2AB0" w:rsidP="00A22ABD">
      <w:pPr>
        <w:pStyle w:val="heading0"/>
        <w:spacing w:before="0" w:beforeAutospacing="0" w:after="0" w:afterAutospacing="0"/>
        <w:ind w:left="567" w:hanging="567"/>
        <w:jc w:val="both"/>
        <w:rPr>
          <w:rFonts w:ascii="&amp;quot" w:hAnsi="&amp;quot"/>
          <w:b/>
          <w:bCs/>
          <w:color w:val="000000"/>
          <w:sz w:val="26"/>
          <w:szCs w:val="26"/>
        </w:rPr>
      </w:pPr>
    </w:p>
    <w:p w14:paraId="66F1345B" w14:textId="23A0B00F" w:rsidR="00A94F7C" w:rsidRDefault="00A94F7C" w:rsidP="00A22ABD">
      <w:pPr>
        <w:pStyle w:val="heading0"/>
        <w:numPr>
          <w:ilvl w:val="0"/>
          <w:numId w:val="46"/>
        </w:numPr>
        <w:spacing w:before="0" w:beforeAutospacing="0" w:after="120" w:afterAutospacing="0"/>
        <w:ind w:left="567" w:hanging="567"/>
        <w:jc w:val="both"/>
        <w:rPr>
          <w:rFonts w:ascii="&amp;quot" w:hAnsi="&amp;quot"/>
          <w:b/>
          <w:bCs/>
          <w:color w:val="000000"/>
          <w:sz w:val="26"/>
          <w:szCs w:val="26"/>
        </w:rPr>
      </w:pPr>
      <w:r>
        <w:rPr>
          <w:rFonts w:ascii="&amp;quot" w:hAnsi="&amp;quot"/>
          <w:color w:val="000000"/>
        </w:rPr>
        <w:t xml:space="preserve">to revoke an authority to carry on banking business (section 9A of the </w:t>
      </w:r>
      <w:r w:rsidR="00E56309">
        <w:rPr>
          <w:rFonts w:ascii="&amp;quot" w:hAnsi="&amp;quot"/>
          <w:color w:val="000000"/>
        </w:rPr>
        <w:t xml:space="preserve">Banking </w:t>
      </w:r>
      <w:r>
        <w:rPr>
          <w:rFonts w:ascii="&amp;quot" w:hAnsi="&amp;quot"/>
          <w:color w:val="000000"/>
        </w:rPr>
        <w:t>Act)</w:t>
      </w:r>
      <w:r w:rsidR="00E56309">
        <w:rPr>
          <w:rFonts w:ascii="&amp;quot" w:hAnsi="&amp;quot"/>
          <w:color w:val="000000"/>
        </w:rPr>
        <w:t xml:space="preserve"> and NOHC authorisation (section 11AB of the Banking Act)</w:t>
      </w:r>
      <w:r>
        <w:rPr>
          <w:rFonts w:ascii="&amp;quot" w:hAnsi="&amp;quot"/>
          <w:color w:val="000000"/>
        </w:rPr>
        <w:t>; and</w:t>
      </w:r>
    </w:p>
    <w:p w14:paraId="68BFC7FD" w14:textId="1032B855" w:rsidR="00A94F7C" w:rsidRPr="00F26790" w:rsidRDefault="00A94F7C" w:rsidP="00A22ABD">
      <w:pPr>
        <w:pStyle w:val="heading0"/>
        <w:numPr>
          <w:ilvl w:val="0"/>
          <w:numId w:val="46"/>
        </w:numPr>
        <w:spacing w:before="0" w:beforeAutospacing="0" w:after="0" w:afterAutospacing="0"/>
        <w:ind w:left="567" w:hanging="567"/>
        <w:jc w:val="both"/>
        <w:rPr>
          <w:rFonts w:ascii="&amp;quot" w:hAnsi="&amp;quot"/>
          <w:b/>
          <w:bCs/>
          <w:color w:val="000000"/>
          <w:sz w:val="26"/>
          <w:szCs w:val="26"/>
        </w:rPr>
      </w:pPr>
      <w:r w:rsidRPr="00A94F7C">
        <w:rPr>
          <w:rFonts w:ascii="&amp;quot" w:hAnsi="&amp;quot"/>
          <w:color w:val="000000"/>
        </w:rPr>
        <w:t xml:space="preserve">to issue a direction to the ADI, including a direction to comply with the whole or part of a prudential standard (section 11CA of the </w:t>
      </w:r>
      <w:r w:rsidR="00E56309">
        <w:rPr>
          <w:rFonts w:ascii="&amp;quot" w:hAnsi="&amp;quot"/>
          <w:color w:val="000000"/>
        </w:rPr>
        <w:t xml:space="preserve">Banking </w:t>
      </w:r>
      <w:r w:rsidRPr="00A94F7C">
        <w:rPr>
          <w:rFonts w:ascii="&amp;quot" w:hAnsi="&amp;quot"/>
          <w:color w:val="000000"/>
        </w:rPr>
        <w:t>Act).</w:t>
      </w:r>
    </w:p>
    <w:p w14:paraId="1A37ACF7" w14:textId="77777777" w:rsidR="00A94F7C" w:rsidRPr="00A94F7C" w:rsidRDefault="00A94F7C" w:rsidP="00805B61">
      <w:pPr>
        <w:pStyle w:val="heading0"/>
        <w:spacing w:before="0" w:beforeAutospacing="0" w:after="0" w:afterAutospacing="0"/>
        <w:jc w:val="both"/>
        <w:rPr>
          <w:rFonts w:ascii="&amp;quot" w:hAnsi="&amp;quot"/>
          <w:b/>
          <w:bCs/>
          <w:color w:val="000000"/>
          <w:sz w:val="26"/>
          <w:szCs w:val="26"/>
        </w:rPr>
      </w:pPr>
    </w:p>
    <w:p w14:paraId="3A811B58" w14:textId="48EC3CD9" w:rsidR="002361E1" w:rsidRDefault="00A94F7C" w:rsidP="00A94F7C">
      <w:pPr>
        <w:spacing w:after="240" w:line="240" w:lineRule="auto"/>
        <w:jc w:val="both"/>
        <w:rPr>
          <w:rFonts w:ascii="Times New Roman" w:hAnsi="Times New Roman" w:cs="Times New Roman"/>
          <w:sz w:val="24"/>
          <w:szCs w:val="24"/>
          <w:lang w:eastAsia="en-US"/>
        </w:rPr>
      </w:pPr>
      <w:r w:rsidRPr="00F26790">
        <w:rPr>
          <w:rFonts w:ascii="Times New Roman" w:hAnsi="Times New Roman" w:cs="Times New Roman"/>
          <w:sz w:val="24"/>
          <w:szCs w:val="24"/>
          <w:lang w:eastAsia="en-US"/>
        </w:rPr>
        <w:t xml:space="preserve">It is only at this stage that an ADI is exposed to a penalty: loss of its authority under section 9A or 50 penalty units if it breaches the direction (section 11CG of the </w:t>
      </w:r>
      <w:r w:rsidR="00E56309">
        <w:rPr>
          <w:rFonts w:ascii="Times New Roman" w:hAnsi="Times New Roman" w:cs="Times New Roman"/>
          <w:sz w:val="24"/>
          <w:szCs w:val="24"/>
          <w:lang w:eastAsia="en-US"/>
        </w:rPr>
        <w:t xml:space="preserve">Banking </w:t>
      </w:r>
      <w:r w:rsidRPr="00F26790">
        <w:rPr>
          <w:rFonts w:ascii="Times New Roman" w:hAnsi="Times New Roman" w:cs="Times New Roman"/>
          <w:sz w:val="24"/>
          <w:szCs w:val="24"/>
          <w:lang w:eastAsia="en-US"/>
        </w:rPr>
        <w:t>Act). In nearly all case</w:t>
      </w:r>
      <w:bookmarkStart w:id="4" w:name="_ftnref1"/>
      <w:bookmarkEnd w:id="4"/>
      <w:r w:rsidRPr="00A94F7C">
        <w:rPr>
          <w:rFonts w:ascii="Times New Roman" w:hAnsi="Times New Roman" w:cs="Times New Roman"/>
          <w:sz w:val="24"/>
          <w:szCs w:val="24"/>
          <w:lang w:eastAsia="en-US"/>
        </w:rPr>
        <w:t>s</w:t>
      </w:r>
      <w:r>
        <w:rPr>
          <w:rStyle w:val="FootnoteReference"/>
          <w:rFonts w:cs="Times New Roman"/>
          <w:szCs w:val="24"/>
          <w:lang w:eastAsia="en-US"/>
        </w:rPr>
        <w:footnoteReference w:id="2"/>
      </w:r>
      <w:r w:rsidRPr="00F26790">
        <w:rPr>
          <w:rFonts w:ascii="Times New Roman" w:hAnsi="Times New Roman" w:cs="Times New Roman"/>
          <w:sz w:val="24"/>
          <w:szCs w:val="24"/>
          <w:lang w:eastAsia="en-US"/>
        </w:rPr>
        <w:t xml:space="preserve"> the decision is preceded by a full consultation with the ADI to raise any concerns it may have in relation to the decision.</w:t>
      </w:r>
    </w:p>
    <w:p w14:paraId="3AED0F63" w14:textId="7465749E" w:rsidR="00E56309" w:rsidRPr="00E56309" w:rsidRDefault="00E56309" w:rsidP="00E56309">
      <w:pPr>
        <w:shd w:val="clear" w:color="auto" w:fill="FFFFFF"/>
        <w:spacing w:after="240"/>
        <w:jc w:val="both"/>
        <w:rPr>
          <w:rFonts w:ascii="Times New Roman" w:hAnsi="Times New Roman" w:cs="Times New Roman"/>
          <w:color w:val="000000"/>
          <w:sz w:val="24"/>
          <w:szCs w:val="24"/>
        </w:rPr>
      </w:pPr>
      <w:r w:rsidRPr="00E56309">
        <w:rPr>
          <w:rFonts w:ascii="Times New Roman" w:hAnsi="Times New Roman" w:cs="Times New Roman"/>
          <w:color w:val="000000"/>
          <w:sz w:val="24"/>
          <w:szCs w:val="24"/>
        </w:rPr>
        <w:t>The decisions of APRA to impose a direction are subject to merits review (section 11CA of the Banking Act</w:t>
      </w:r>
      <w:r>
        <w:rPr>
          <w:rFonts w:ascii="Times New Roman" w:hAnsi="Times New Roman" w:cs="Times New Roman"/>
          <w:color w:val="000000"/>
          <w:sz w:val="24"/>
          <w:szCs w:val="24"/>
        </w:rPr>
        <w:t xml:space="preserve">) </w:t>
      </w:r>
      <w:r w:rsidRPr="00E56309">
        <w:rPr>
          <w:rFonts w:ascii="Times New Roman" w:hAnsi="Times New Roman" w:cs="Times New Roman"/>
          <w:color w:val="000000"/>
          <w:sz w:val="24"/>
          <w:szCs w:val="24"/>
        </w:rPr>
        <w:t xml:space="preserve">which is appropriately available at the point where an </w:t>
      </w:r>
      <w:r>
        <w:rPr>
          <w:rFonts w:ascii="Times New Roman" w:hAnsi="Times New Roman" w:cs="Times New Roman"/>
          <w:color w:val="000000"/>
          <w:sz w:val="24"/>
          <w:szCs w:val="24"/>
        </w:rPr>
        <w:t>ADI</w:t>
      </w:r>
      <w:r w:rsidRPr="00E56309">
        <w:rPr>
          <w:rFonts w:ascii="Times New Roman" w:hAnsi="Times New Roman" w:cs="Times New Roman"/>
          <w:color w:val="000000"/>
          <w:sz w:val="24"/>
          <w:szCs w:val="24"/>
        </w:rPr>
        <w:t xml:space="preserve"> could be exposed to a penalty.</w:t>
      </w:r>
    </w:p>
    <w:p w14:paraId="09F2044E" w14:textId="1408DFBC" w:rsidR="00E56309" w:rsidRPr="00E56309" w:rsidRDefault="00E56309" w:rsidP="00E56309">
      <w:pPr>
        <w:shd w:val="clear" w:color="auto" w:fill="FFFFFF"/>
        <w:jc w:val="both"/>
        <w:rPr>
          <w:rFonts w:ascii="Times New Roman" w:hAnsi="Times New Roman" w:cs="Times New Roman"/>
          <w:color w:val="000000"/>
          <w:sz w:val="24"/>
          <w:szCs w:val="24"/>
        </w:rPr>
      </w:pPr>
      <w:r w:rsidRPr="00E56309">
        <w:rPr>
          <w:rFonts w:ascii="Times New Roman" w:hAnsi="Times New Roman" w:cs="Times New Roman"/>
          <w:color w:val="000000"/>
          <w:sz w:val="24"/>
          <w:szCs w:val="24"/>
        </w:rPr>
        <w:t>Revocation of an authorisation to carry on banking business or a NOHC authorisation is subject to merits review unless either:</w:t>
      </w:r>
    </w:p>
    <w:p w14:paraId="249BD15F" w14:textId="5115579F" w:rsidR="00E56309" w:rsidRPr="00E56309" w:rsidRDefault="00E56309" w:rsidP="00A22ABD">
      <w:pPr>
        <w:pStyle w:val="ListParagraph"/>
        <w:numPr>
          <w:ilvl w:val="1"/>
          <w:numId w:val="48"/>
        </w:numPr>
        <w:shd w:val="clear" w:color="auto" w:fill="FFFFFF"/>
        <w:spacing w:line="253" w:lineRule="atLeast"/>
        <w:ind w:left="567" w:hanging="567"/>
        <w:jc w:val="both"/>
        <w:rPr>
          <w:rFonts w:ascii="Times New Roman" w:hAnsi="Times New Roman" w:cs="Times New Roman"/>
          <w:color w:val="000000"/>
          <w:sz w:val="24"/>
          <w:szCs w:val="24"/>
        </w:rPr>
      </w:pPr>
      <w:r w:rsidRPr="00E56309">
        <w:rPr>
          <w:rFonts w:ascii="Times New Roman" w:hAnsi="Times New Roman" w:cs="Times New Roman"/>
          <w:color w:val="000000"/>
          <w:sz w:val="24"/>
          <w:szCs w:val="24"/>
        </w:rPr>
        <w:t>APRA has determined that access to natural justice and merits review is contrary to the national interest or contrary to the interests of depositors with the body corporate; or</w:t>
      </w:r>
    </w:p>
    <w:p w14:paraId="08BBE35C" w14:textId="6C17B200" w:rsidR="00E56309" w:rsidRPr="00E56309" w:rsidRDefault="00E56309" w:rsidP="00A22ABD">
      <w:pPr>
        <w:pStyle w:val="ListParagraph"/>
        <w:numPr>
          <w:ilvl w:val="1"/>
          <w:numId w:val="48"/>
        </w:numPr>
        <w:shd w:val="clear" w:color="auto" w:fill="FFFFFF"/>
        <w:spacing w:line="253" w:lineRule="atLeast"/>
        <w:ind w:left="567" w:hanging="567"/>
        <w:jc w:val="both"/>
        <w:rPr>
          <w:rFonts w:ascii="Times New Roman" w:hAnsi="Times New Roman" w:cs="Times New Roman"/>
          <w:color w:val="000000"/>
          <w:sz w:val="24"/>
          <w:szCs w:val="24"/>
        </w:rPr>
      </w:pPr>
      <w:r w:rsidRPr="00E56309">
        <w:rPr>
          <w:rFonts w:ascii="Times New Roman" w:hAnsi="Times New Roman" w:cs="Times New Roman"/>
          <w:color w:val="000000"/>
          <w:sz w:val="24"/>
          <w:szCs w:val="24"/>
        </w:rPr>
        <w:t>the authority is an authority that is to cease to have effect on a day specified in the authority (section 9</w:t>
      </w:r>
      <w:proofErr w:type="gramStart"/>
      <w:r w:rsidRPr="00E56309">
        <w:rPr>
          <w:rFonts w:ascii="Times New Roman" w:hAnsi="Times New Roman" w:cs="Times New Roman"/>
          <w:color w:val="000000"/>
          <w:sz w:val="24"/>
          <w:szCs w:val="24"/>
        </w:rPr>
        <w:t>A(</w:t>
      </w:r>
      <w:proofErr w:type="gramEnd"/>
      <w:r w:rsidRPr="00E56309">
        <w:rPr>
          <w:rFonts w:ascii="Times New Roman" w:hAnsi="Times New Roman" w:cs="Times New Roman"/>
          <w:color w:val="000000"/>
          <w:sz w:val="24"/>
          <w:szCs w:val="24"/>
        </w:rPr>
        <w:t>8) of the Banking Act).</w:t>
      </w:r>
    </w:p>
    <w:p w14:paraId="51FE0A81" w14:textId="29E719E4" w:rsidR="004952B7" w:rsidRPr="00A22ABD" w:rsidRDefault="00E56309" w:rsidP="00E56309">
      <w:pPr>
        <w:shd w:val="clear" w:color="auto" w:fill="FFFFFF"/>
        <w:spacing w:after="240"/>
        <w:jc w:val="both"/>
        <w:rPr>
          <w:rFonts w:ascii="Times New Roman" w:hAnsi="Times New Roman" w:cs="Times New Roman"/>
          <w:b/>
          <w:color w:val="000000"/>
          <w:sz w:val="24"/>
          <w:szCs w:val="24"/>
        </w:rPr>
      </w:pPr>
      <w:r w:rsidRPr="00A22ABD">
        <w:rPr>
          <w:rFonts w:ascii="Times New Roman" w:hAnsi="Times New Roman" w:cs="Times New Roman"/>
          <w:b/>
          <w:color w:val="000000"/>
          <w:sz w:val="24"/>
          <w:szCs w:val="24"/>
        </w:rPr>
        <w:t>The ARS 223.0 instrument</w:t>
      </w:r>
    </w:p>
    <w:p w14:paraId="4E226B6E" w14:textId="44E7DE94" w:rsidR="00E56309" w:rsidRDefault="009A1820" w:rsidP="00E56309">
      <w:pPr>
        <w:shd w:val="clear" w:color="auto" w:fill="FFFFFF"/>
        <w:spacing w:after="240"/>
        <w:jc w:val="both"/>
        <w:rPr>
          <w:rFonts w:ascii="Times New Roman" w:hAnsi="Times New Roman" w:cs="Times New Roman"/>
          <w:color w:val="000000"/>
          <w:sz w:val="24"/>
          <w:szCs w:val="24"/>
        </w:rPr>
      </w:pPr>
      <w:r w:rsidRPr="00910608">
        <w:rPr>
          <w:rFonts w:ascii="Times New Roman" w:hAnsi="Times New Roman" w:cs="Times New Roman"/>
          <w:sz w:val="24"/>
          <w:szCs w:val="24"/>
          <w:lang w:eastAsia="en-US"/>
        </w:rPr>
        <w:t>The purpose of the ARS 223.0 instrument is to revoke the existing ARS 223.0 and replace it with a new version of the standard</w:t>
      </w:r>
      <w:r w:rsidR="00636918">
        <w:rPr>
          <w:rFonts w:ascii="Times New Roman" w:hAnsi="Times New Roman" w:cs="Times New Roman"/>
          <w:sz w:val="24"/>
          <w:szCs w:val="24"/>
          <w:lang w:eastAsia="en-US"/>
        </w:rPr>
        <w:t xml:space="preserve">, which </w:t>
      </w:r>
      <w:r w:rsidR="00E50480" w:rsidRPr="00E50480">
        <w:rPr>
          <w:rFonts w:ascii="Times New Roman" w:hAnsi="Times New Roman" w:cs="Times New Roman"/>
          <w:sz w:val="24"/>
          <w:szCs w:val="24"/>
          <w:lang w:eastAsia="en-US"/>
        </w:rPr>
        <w:t>requires ADI</w:t>
      </w:r>
      <w:r w:rsidR="00636918">
        <w:rPr>
          <w:rFonts w:ascii="Times New Roman" w:hAnsi="Times New Roman" w:cs="Times New Roman"/>
          <w:sz w:val="24"/>
          <w:szCs w:val="24"/>
          <w:lang w:eastAsia="en-US"/>
        </w:rPr>
        <w:t>s</w:t>
      </w:r>
      <w:r w:rsidR="00E50480" w:rsidRPr="00E50480">
        <w:rPr>
          <w:rFonts w:ascii="Times New Roman" w:hAnsi="Times New Roman" w:cs="Times New Roman"/>
          <w:sz w:val="24"/>
          <w:szCs w:val="24"/>
          <w:lang w:eastAsia="en-US"/>
        </w:rPr>
        <w:t xml:space="preserve"> to provide information to APRA about their businesses and activities. </w:t>
      </w:r>
      <w:r w:rsidR="00636918">
        <w:rPr>
          <w:rFonts w:ascii="Times New Roman" w:hAnsi="Times New Roman" w:cs="Times New Roman"/>
          <w:sz w:val="24"/>
          <w:szCs w:val="24"/>
          <w:lang w:eastAsia="en-US"/>
        </w:rPr>
        <w:t>ARS 223.0</w:t>
      </w:r>
      <w:r w:rsidR="00E50480" w:rsidRPr="00E50480">
        <w:rPr>
          <w:rFonts w:ascii="Times New Roman" w:hAnsi="Times New Roman" w:cs="Times New Roman"/>
          <w:sz w:val="24"/>
          <w:szCs w:val="24"/>
          <w:lang w:eastAsia="en-US"/>
        </w:rPr>
        <w:t xml:space="preserve"> include</w:t>
      </w:r>
      <w:r w:rsidR="00636918">
        <w:rPr>
          <w:rFonts w:ascii="Times New Roman" w:hAnsi="Times New Roman" w:cs="Times New Roman"/>
          <w:sz w:val="24"/>
          <w:szCs w:val="24"/>
          <w:lang w:eastAsia="en-US"/>
        </w:rPr>
        <w:t>s</w:t>
      </w:r>
      <w:r w:rsidR="00E50480" w:rsidRPr="00E50480">
        <w:rPr>
          <w:rFonts w:ascii="Times New Roman" w:hAnsi="Times New Roman" w:cs="Times New Roman"/>
          <w:sz w:val="24"/>
          <w:szCs w:val="24"/>
          <w:lang w:eastAsia="en-US"/>
        </w:rPr>
        <w:t xml:space="preserve"> a reporting form that ADI</w:t>
      </w:r>
      <w:r w:rsidR="00636918">
        <w:rPr>
          <w:rFonts w:ascii="Times New Roman" w:hAnsi="Times New Roman" w:cs="Times New Roman"/>
          <w:sz w:val="24"/>
          <w:szCs w:val="24"/>
          <w:lang w:eastAsia="en-US"/>
        </w:rPr>
        <w:t>s</w:t>
      </w:r>
      <w:r w:rsidR="00E50480" w:rsidRPr="00E50480">
        <w:rPr>
          <w:rFonts w:ascii="Times New Roman" w:hAnsi="Times New Roman" w:cs="Times New Roman"/>
          <w:sz w:val="24"/>
          <w:szCs w:val="24"/>
          <w:lang w:eastAsia="en-US"/>
        </w:rPr>
        <w:t xml:space="preserve"> must complete and submit to APRA, and instructions to completing the reporting form.</w:t>
      </w:r>
    </w:p>
    <w:p w14:paraId="02158903" w14:textId="118FA10F" w:rsidR="00E56309" w:rsidRDefault="00E56309" w:rsidP="00E56309">
      <w:pPr>
        <w:shd w:val="clear" w:color="auto" w:fill="FFFFFF"/>
        <w:spacing w:after="240"/>
        <w:jc w:val="both"/>
        <w:rPr>
          <w:rFonts w:ascii="Times New Roman" w:hAnsi="Times New Roman" w:cs="Times New Roman"/>
          <w:color w:val="000000"/>
          <w:sz w:val="24"/>
          <w:szCs w:val="24"/>
        </w:rPr>
      </w:pPr>
      <w:r w:rsidRPr="00E56309">
        <w:rPr>
          <w:rFonts w:ascii="Times New Roman" w:hAnsi="Times New Roman" w:cs="Times New Roman"/>
          <w:color w:val="000000"/>
          <w:sz w:val="24"/>
          <w:szCs w:val="24"/>
        </w:rPr>
        <w:t xml:space="preserve">Where </w:t>
      </w:r>
      <w:r>
        <w:rPr>
          <w:rFonts w:ascii="Times New Roman" w:hAnsi="Times New Roman" w:cs="Times New Roman"/>
          <w:color w:val="000000"/>
          <w:sz w:val="24"/>
          <w:szCs w:val="24"/>
        </w:rPr>
        <w:t>ARS 223.0</w:t>
      </w:r>
      <w:r w:rsidRPr="00E56309">
        <w:rPr>
          <w:rFonts w:ascii="Times New Roman" w:hAnsi="Times New Roman" w:cs="Times New Roman"/>
          <w:color w:val="000000"/>
          <w:sz w:val="24"/>
          <w:szCs w:val="24"/>
        </w:rPr>
        <w:t xml:space="preserve"> refer</w:t>
      </w:r>
      <w:r>
        <w:rPr>
          <w:rFonts w:ascii="Times New Roman" w:hAnsi="Times New Roman" w:cs="Times New Roman"/>
          <w:color w:val="000000"/>
          <w:sz w:val="24"/>
          <w:szCs w:val="24"/>
        </w:rPr>
        <w:t>s</w:t>
      </w:r>
      <w:r w:rsidRPr="00E56309">
        <w:rPr>
          <w:rFonts w:ascii="Times New Roman" w:hAnsi="Times New Roman" w:cs="Times New Roman"/>
          <w:color w:val="000000"/>
          <w:sz w:val="24"/>
          <w:szCs w:val="24"/>
        </w:rPr>
        <w:t xml:space="preserve"> to an Act, Regulation, Prudential Standard, Reporting Standard, Australian Accounting Standard or Auditing Standard, this is a reference to the document as it </w:t>
      </w:r>
      <w:r w:rsidRPr="00E56309">
        <w:rPr>
          <w:rFonts w:ascii="Times New Roman" w:hAnsi="Times New Roman" w:cs="Times New Roman"/>
          <w:color w:val="000000"/>
          <w:sz w:val="24"/>
          <w:szCs w:val="24"/>
        </w:rPr>
        <w:lastRenderedPageBreak/>
        <w:t xml:space="preserve">exists from time to time, and which is available on the Federal Register of Legislation at </w:t>
      </w:r>
      <w:hyperlink r:id="rId15" w:history="1">
        <w:r w:rsidRPr="00F26790">
          <w:rPr>
            <w:rStyle w:val="Hyperlink"/>
            <w:rFonts w:ascii="Times New Roman" w:hAnsi="Times New Roman" w:cs="Times New Roman"/>
            <w:color w:val="0F569E"/>
            <w:sz w:val="24"/>
          </w:rPr>
          <w:t>www.legislation.gov.au</w:t>
        </w:r>
      </w:hyperlink>
      <w:r w:rsidRPr="00F26790">
        <w:rPr>
          <w:rFonts w:ascii="Times New Roman" w:hAnsi="Times New Roman" w:cs="Times New Roman"/>
          <w:color w:val="000000"/>
          <w:sz w:val="24"/>
        </w:rPr>
        <w:t>.</w:t>
      </w:r>
    </w:p>
    <w:p w14:paraId="380FF4B6" w14:textId="4B18B3D3" w:rsidR="00E56309" w:rsidRPr="00A22ABD" w:rsidRDefault="00E56309" w:rsidP="00E56309">
      <w:pPr>
        <w:shd w:val="clear" w:color="auto" w:fill="FFFFFF"/>
        <w:spacing w:after="240"/>
        <w:jc w:val="both"/>
        <w:rPr>
          <w:rFonts w:ascii="Times New Roman" w:eastAsia="Times New Roman" w:hAnsi="Times New Roman" w:cs="Times New Roman"/>
          <w:color w:val="000000"/>
          <w:sz w:val="24"/>
          <w:szCs w:val="24"/>
        </w:rPr>
      </w:pPr>
      <w:r w:rsidRPr="00A22ABD">
        <w:rPr>
          <w:rFonts w:ascii="Times New Roman" w:hAnsi="Times New Roman" w:cs="Times New Roman"/>
          <w:color w:val="000000"/>
          <w:sz w:val="24"/>
          <w:szCs w:val="24"/>
        </w:rPr>
        <w:t xml:space="preserve">There are a number of powers that may be exercised by APRA in reporting standards that involve an element of </w:t>
      </w:r>
      <w:proofErr w:type="gramStart"/>
      <w:r w:rsidRPr="00A22ABD">
        <w:rPr>
          <w:rFonts w:ascii="Times New Roman" w:hAnsi="Times New Roman" w:cs="Times New Roman"/>
          <w:color w:val="000000"/>
          <w:sz w:val="24"/>
          <w:szCs w:val="24"/>
        </w:rPr>
        <w:t>discretion</w:t>
      </w:r>
      <w:proofErr w:type="gramEnd"/>
      <w:r w:rsidRPr="00A22ABD">
        <w:rPr>
          <w:rFonts w:ascii="Times New Roman" w:hAnsi="Times New Roman" w:cs="Times New Roman"/>
          <w:color w:val="000000"/>
          <w:sz w:val="24"/>
          <w:szCs w:val="24"/>
        </w:rPr>
        <w:t xml:space="preserve"> and which may impact the interests of the financial sector entity to which the reporting standard applies. These decisions include APRA refusing to change a reporting period or due date for an ADI to provide information required by</w:t>
      </w:r>
      <w:r w:rsidR="00540921">
        <w:rPr>
          <w:rFonts w:ascii="Times New Roman" w:hAnsi="Times New Roman" w:cs="Times New Roman"/>
          <w:color w:val="000000"/>
          <w:sz w:val="24"/>
          <w:szCs w:val="24"/>
        </w:rPr>
        <w:t xml:space="preserve"> </w:t>
      </w:r>
      <w:r w:rsidR="00695B7F">
        <w:rPr>
          <w:rFonts w:ascii="Times New Roman" w:hAnsi="Times New Roman" w:cs="Times New Roman"/>
          <w:color w:val="000000"/>
          <w:sz w:val="24"/>
          <w:szCs w:val="24"/>
        </w:rPr>
        <w:t>ARS223.0 or requiring foreign ADIs to report information required by ARS 223.0</w:t>
      </w:r>
      <w:r w:rsidRPr="00A22ABD">
        <w:rPr>
          <w:rFonts w:ascii="Times New Roman" w:hAnsi="Times New Roman" w:cs="Times New Roman"/>
          <w:color w:val="000000"/>
          <w:sz w:val="24"/>
          <w:szCs w:val="24"/>
        </w:rPr>
        <w:t>. Decisions made by APRA exercising those powers are not subject to merits review.</w:t>
      </w:r>
      <w:r w:rsidR="00695B7F">
        <w:rPr>
          <w:rFonts w:ascii="Times New Roman" w:hAnsi="Times New Roman" w:cs="Times New Roman"/>
          <w:color w:val="000000"/>
          <w:sz w:val="24"/>
          <w:szCs w:val="24"/>
        </w:rPr>
        <w:t xml:space="preserve"> </w:t>
      </w:r>
      <w:r w:rsidR="00695B7F" w:rsidRPr="001C2F81">
        <w:rPr>
          <w:rFonts w:ascii="Times New Roman" w:hAnsi="Times New Roman" w:cs="Times New Roman"/>
          <w:color w:val="000000"/>
          <w:sz w:val="24"/>
          <w:szCs w:val="24"/>
        </w:rPr>
        <w:t xml:space="preserve">These discretions have not been amended and are consistent with discretions included in the reporting standard being revoked by the </w:t>
      </w:r>
      <w:r w:rsidR="00695B7F">
        <w:rPr>
          <w:rFonts w:ascii="Times New Roman" w:hAnsi="Times New Roman" w:cs="Times New Roman"/>
          <w:color w:val="000000"/>
          <w:sz w:val="24"/>
          <w:szCs w:val="24"/>
        </w:rPr>
        <w:t>ARS 223.0 i</w:t>
      </w:r>
      <w:r w:rsidR="00695B7F" w:rsidRPr="001C2F81">
        <w:rPr>
          <w:rFonts w:ascii="Times New Roman" w:hAnsi="Times New Roman" w:cs="Times New Roman"/>
          <w:color w:val="000000"/>
          <w:sz w:val="24"/>
          <w:szCs w:val="24"/>
        </w:rPr>
        <w:t>nstrument.</w:t>
      </w:r>
    </w:p>
    <w:p w14:paraId="42857CA5" w14:textId="77777777" w:rsidR="00E56309" w:rsidRPr="00A22ABD" w:rsidRDefault="00E56309" w:rsidP="00E56309">
      <w:pPr>
        <w:shd w:val="clear" w:color="auto" w:fill="FFFFFF"/>
        <w:spacing w:after="240"/>
        <w:jc w:val="both"/>
        <w:rPr>
          <w:rFonts w:ascii="Times New Roman" w:hAnsi="Times New Roman" w:cs="Times New Roman"/>
          <w:color w:val="000000"/>
          <w:sz w:val="24"/>
          <w:szCs w:val="24"/>
        </w:rPr>
      </w:pPr>
      <w:r w:rsidRPr="00A22ABD">
        <w:rPr>
          <w:rFonts w:ascii="Times New Roman" w:hAnsi="Times New Roman" w:cs="Times New Roman"/>
          <w:color w:val="000000"/>
          <w:sz w:val="24"/>
          <w:szCs w:val="24"/>
        </w:rPr>
        <w:t>APRA considers decisions made by APRA exercising discretions under its reporting standards should not be subject to merits review as they are financial decisions with a significant public interest element.</w:t>
      </w:r>
    </w:p>
    <w:p w14:paraId="160BA1BB" w14:textId="77777777" w:rsidR="00E56309" w:rsidRPr="00A22ABD" w:rsidRDefault="00E56309" w:rsidP="00E56309">
      <w:pPr>
        <w:shd w:val="clear" w:color="auto" w:fill="FFFFFF"/>
        <w:spacing w:after="240"/>
        <w:jc w:val="both"/>
        <w:rPr>
          <w:rFonts w:ascii="Times New Roman" w:hAnsi="Times New Roman" w:cs="Times New Roman"/>
          <w:color w:val="000000"/>
          <w:sz w:val="24"/>
          <w:szCs w:val="24"/>
        </w:rPr>
      </w:pPr>
      <w:r w:rsidRPr="00A22ABD">
        <w:rPr>
          <w:rFonts w:ascii="Times New Roman" w:hAnsi="Times New Roman" w:cs="Times New Roman"/>
          <w:color w:val="000000"/>
          <w:sz w:val="24"/>
          <w:szCs w:val="24"/>
        </w:rPr>
        <w:t xml:space="preserve">APRA’s reporting standards collect financial data from regulated entities. This data contains critical indicators of a regulated entity’s financial wellbeing, including data on an entity’s assets, capital, liquidity, </w:t>
      </w:r>
      <w:proofErr w:type="gramStart"/>
      <w:r w:rsidRPr="00A22ABD">
        <w:rPr>
          <w:rFonts w:ascii="Times New Roman" w:hAnsi="Times New Roman" w:cs="Times New Roman"/>
          <w:color w:val="000000"/>
          <w:sz w:val="24"/>
          <w:szCs w:val="24"/>
        </w:rPr>
        <w:t>expenses</w:t>
      </w:r>
      <w:proofErr w:type="gramEnd"/>
      <w:r w:rsidRPr="00A22ABD">
        <w:rPr>
          <w:rFonts w:ascii="Times New Roman" w:hAnsi="Times New Roman" w:cs="Times New Roman"/>
          <w:color w:val="000000"/>
          <w:sz w:val="24"/>
          <w:szCs w:val="24"/>
        </w:rPr>
        <w:t xml:space="preserve"> and risk exposures. APRA relies heavily on this financial data to inform its supervisory actions towards its regulated entities. Without timely and complete data, APRA may miss indicators that an ADI is taking on imprudent risk or is in distress. APRA’s supervisory decisions may be jeopardised if its receipt of data is unreliable due to entities seeking merits review under its reporting standards.</w:t>
      </w:r>
    </w:p>
    <w:p w14:paraId="574849F7" w14:textId="77777777" w:rsidR="00E56309" w:rsidRPr="00A22ABD" w:rsidRDefault="00E56309" w:rsidP="00E56309">
      <w:pPr>
        <w:shd w:val="clear" w:color="auto" w:fill="FFFFFF"/>
        <w:spacing w:after="240"/>
        <w:jc w:val="both"/>
        <w:rPr>
          <w:rFonts w:ascii="Times New Roman" w:hAnsi="Times New Roman" w:cs="Times New Roman"/>
          <w:color w:val="000000"/>
          <w:sz w:val="24"/>
          <w:szCs w:val="24"/>
        </w:rPr>
      </w:pPr>
      <w:r w:rsidRPr="00A22ABD">
        <w:rPr>
          <w:rFonts w:ascii="Times New Roman" w:hAnsi="Times New Roman" w:cs="Times New Roman"/>
          <w:color w:val="000000"/>
          <w:sz w:val="24"/>
          <w:szCs w:val="24"/>
        </w:rPr>
        <w:t>The data collected by APRA’s reporting standards is also often used to compile key macroeconomic indicators for Australia. The Reserve Bank of Australia uses the data to compile and publish its monetary and credit aggregates. The Australian Bureau of Statistics uses the data to compile the national accounts. The data is also used to meet Australia’s international reporting obligations.</w:t>
      </w:r>
    </w:p>
    <w:p w14:paraId="7425B7FB" w14:textId="792F491C" w:rsidR="00E56309" w:rsidRPr="004D5A79" w:rsidRDefault="00E56309" w:rsidP="00E56309">
      <w:pPr>
        <w:shd w:val="clear" w:color="auto" w:fill="FFFFFF"/>
        <w:spacing w:after="240"/>
        <w:jc w:val="both"/>
        <w:rPr>
          <w:rFonts w:ascii="Times New Roman" w:hAnsi="Times New Roman" w:cs="Times New Roman"/>
          <w:sz w:val="24"/>
          <w:szCs w:val="24"/>
          <w:lang w:eastAsia="en-US"/>
        </w:rPr>
      </w:pPr>
      <w:r w:rsidRPr="00A22ABD">
        <w:rPr>
          <w:rFonts w:ascii="Times New Roman" w:hAnsi="Times New Roman" w:cs="Times New Roman"/>
          <w:color w:val="000000"/>
          <w:sz w:val="24"/>
          <w:szCs w:val="24"/>
        </w:rPr>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26D38415" w14:textId="220767D9" w:rsidR="00197A23" w:rsidRPr="004D5A79" w:rsidRDefault="00E71019" w:rsidP="00A22ABD">
      <w:pPr>
        <w:pStyle w:val="ListParagraph"/>
        <w:keepNext/>
        <w:numPr>
          <w:ilvl w:val="0"/>
          <w:numId w:val="43"/>
        </w:numPr>
        <w:spacing w:after="240" w:line="240" w:lineRule="auto"/>
        <w:ind w:left="567" w:hanging="567"/>
        <w:jc w:val="both"/>
        <w:rPr>
          <w:rFonts w:ascii="Times New Roman" w:hAnsi="Times New Roman" w:cs="Times New Roman"/>
          <w:b/>
          <w:sz w:val="24"/>
          <w:szCs w:val="24"/>
          <w:lang w:eastAsia="en-US"/>
        </w:rPr>
      </w:pPr>
      <w:r w:rsidRPr="004D5A79">
        <w:rPr>
          <w:rFonts w:ascii="Times New Roman" w:hAnsi="Times New Roman" w:cs="Times New Roman"/>
          <w:b/>
          <w:sz w:val="24"/>
          <w:szCs w:val="24"/>
          <w:lang w:eastAsia="en-US"/>
        </w:rPr>
        <w:t>Consultation</w:t>
      </w:r>
    </w:p>
    <w:p w14:paraId="26D38416" w14:textId="5BFCF56A" w:rsidR="00197A23" w:rsidRPr="004D5A79" w:rsidRDefault="00F225E7" w:rsidP="00976332">
      <w:pPr>
        <w:spacing w:after="24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On 11 November 2021, </w:t>
      </w:r>
      <w:r w:rsidR="00E71019" w:rsidRPr="004D5A79">
        <w:rPr>
          <w:rFonts w:ascii="Times New Roman" w:hAnsi="Times New Roman" w:cs="Times New Roman"/>
          <w:sz w:val="24"/>
          <w:szCs w:val="24"/>
          <w:lang w:eastAsia="en-US"/>
        </w:rPr>
        <w:t xml:space="preserve">APRA </w:t>
      </w:r>
      <w:r w:rsidRPr="004D5A79">
        <w:rPr>
          <w:rFonts w:ascii="Times New Roman" w:hAnsi="Times New Roman" w:cs="Times New Roman"/>
          <w:sz w:val="24"/>
          <w:szCs w:val="24"/>
          <w:lang w:eastAsia="en-US"/>
        </w:rPr>
        <w:t>undert</w:t>
      </w:r>
      <w:r>
        <w:rPr>
          <w:rFonts w:ascii="Times New Roman" w:hAnsi="Times New Roman" w:cs="Times New Roman"/>
          <w:sz w:val="24"/>
          <w:szCs w:val="24"/>
          <w:lang w:eastAsia="en-US"/>
        </w:rPr>
        <w:t>ook</w:t>
      </w:r>
      <w:r w:rsidRPr="004D5A79">
        <w:rPr>
          <w:rFonts w:ascii="Times New Roman" w:hAnsi="Times New Roman" w:cs="Times New Roman"/>
          <w:sz w:val="24"/>
          <w:szCs w:val="24"/>
          <w:lang w:eastAsia="en-US"/>
        </w:rPr>
        <w:t xml:space="preserve"> </w:t>
      </w:r>
      <w:r w:rsidR="00E71019" w:rsidRPr="004D5A79">
        <w:rPr>
          <w:rFonts w:ascii="Times New Roman" w:hAnsi="Times New Roman" w:cs="Times New Roman"/>
          <w:sz w:val="24"/>
          <w:szCs w:val="24"/>
          <w:lang w:eastAsia="en-US"/>
        </w:rPr>
        <w:t xml:space="preserve">public consultation </w:t>
      </w:r>
      <w:r>
        <w:rPr>
          <w:rFonts w:ascii="Times New Roman" w:hAnsi="Times New Roman" w:cs="Times New Roman"/>
          <w:sz w:val="24"/>
          <w:szCs w:val="24"/>
          <w:lang w:eastAsia="en-US"/>
        </w:rPr>
        <w:t>by way of a letter to all ADIs</w:t>
      </w:r>
      <w:r w:rsidR="00E71019" w:rsidRPr="004D5A79">
        <w:rPr>
          <w:rFonts w:ascii="Times New Roman" w:hAnsi="Times New Roman" w:cs="Times New Roman"/>
          <w:sz w:val="24"/>
          <w:szCs w:val="24"/>
          <w:lang w:eastAsia="en-US"/>
        </w:rPr>
        <w:t xml:space="preserve"> </w:t>
      </w:r>
      <w:r w:rsidR="001C551C">
        <w:rPr>
          <w:rFonts w:ascii="Times New Roman" w:hAnsi="Times New Roman" w:cs="Times New Roman"/>
          <w:sz w:val="24"/>
          <w:szCs w:val="24"/>
          <w:lang w:eastAsia="en-US"/>
        </w:rPr>
        <w:t xml:space="preserve">on the proposed </w:t>
      </w:r>
      <w:r w:rsidR="009A1820">
        <w:rPr>
          <w:rFonts w:ascii="Times New Roman" w:hAnsi="Times New Roman" w:cs="Times New Roman"/>
          <w:sz w:val="24"/>
          <w:szCs w:val="24"/>
          <w:lang w:eastAsia="en-US"/>
        </w:rPr>
        <w:t xml:space="preserve">changes to APS 220 and </w:t>
      </w:r>
      <w:r>
        <w:rPr>
          <w:rFonts w:ascii="Times New Roman" w:hAnsi="Times New Roman" w:cs="Times New Roman"/>
          <w:sz w:val="24"/>
          <w:szCs w:val="24"/>
          <w:lang w:eastAsia="en-US"/>
        </w:rPr>
        <w:t xml:space="preserve">consequential amendments to </w:t>
      </w:r>
      <w:r w:rsidR="009A1820">
        <w:rPr>
          <w:rFonts w:ascii="Times New Roman" w:hAnsi="Times New Roman" w:cs="Times New Roman"/>
          <w:sz w:val="24"/>
          <w:szCs w:val="24"/>
          <w:lang w:eastAsia="en-US"/>
        </w:rPr>
        <w:t>ARS 223.0</w:t>
      </w:r>
      <w:r w:rsidR="00E71019" w:rsidRPr="004D5A79">
        <w:rPr>
          <w:rFonts w:ascii="Times New Roman" w:hAnsi="Times New Roman" w:cs="Times New Roman"/>
          <w:sz w:val="24"/>
          <w:szCs w:val="24"/>
          <w:lang w:eastAsia="en-US"/>
        </w:rPr>
        <w:t>.</w:t>
      </w:r>
      <w:r w:rsidR="00095D01" w:rsidRPr="004D5A7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As part of the consultation, APRA requested written </w:t>
      </w:r>
      <w:r w:rsidR="00A46AE2">
        <w:rPr>
          <w:rFonts w:ascii="Times New Roman" w:hAnsi="Times New Roman" w:cs="Times New Roman"/>
          <w:sz w:val="24"/>
          <w:szCs w:val="24"/>
          <w:lang w:eastAsia="en-US"/>
        </w:rPr>
        <w:t xml:space="preserve">submissions by 28 February 2022. APRA incorporated </w:t>
      </w:r>
      <w:r w:rsidR="00A46AE2">
        <w:rPr>
          <w:rFonts w:ascii="Times New Roman" w:hAnsi="Times New Roman" w:cs="Times New Roman"/>
          <w:sz w:val="24"/>
          <w:szCs w:val="24"/>
          <w:lang w:eastAsia="en-US"/>
        </w:rPr>
        <w:lastRenderedPageBreak/>
        <w:t>stakeholder feedback into the final instrument</w:t>
      </w:r>
      <w:r w:rsidR="00353ED4">
        <w:rPr>
          <w:rFonts w:ascii="Times New Roman" w:hAnsi="Times New Roman" w:cs="Times New Roman"/>
          <w:sz w:val="24"/>
          <w:szCs w:val="24"/>
          <w:lang w:eastAsia="en-US"/>
        </w:rPr>
        <w:t xml:space="preserve">, detailing its considerations </w:t>
      </w:r>
      <w:r w:rsidR="009C68BE">
        <w:rPr>
          <w:rFonts w:ascii="Times New Roman" w:hAnsi="Times New Roman" w:cs="Times New Roman"/>
          <w:sz w:val="24"/>
          <w:szCs w:val="24"/>
          <w:lang w:eastAsia="en-US"/>
        </w:rPr>
        <w:t>and responding to submissions in a letter to all ADIs that</w:t>
      </w:r>
      <w:r w:rsidR="00353ED4">
        <w:rPr>
          <w:rFonts w:ascii="Times New Roman" w:hAnsi="Times New Roman" w:cs="Times New Roman"/>
          <w:sz w:val="24"/>
          <w:szCs w:val="24"/>
          <w:lang w:eastAsia="en-US"/>
        </w:rPr>
        <w:t xml:space="preserve"> was released on 14 June 2022</w:t>
      </w:r>
      <w:r w:rsidR="00592F34" w:rsidRPr="004D5A79">
        <w:rPr>
          <w:rFonts w:ascii="Times New Roman" w:hAnsi="Times New Roman" w:cs="Times New Roman"/>
          <w:sz w:val="24"/>
          <w:szCs w:val="24"/>
          <w:lang w:eastAsia="en-US"/>
        </w:rPr>
        <w:t>.</w:t>
      </w:r>
      <w:r w:rsidR="0021219A" w:rsidRPr="004D5A79">
        <w:rPr>
          <w:rStyle w:val="FootnoteReference"/>
          <w:rFonts w:ascii="Times New Roman" w:hAnsi="Times New Roman" w:cs="Times New Roman"/>
          <w:sz w:val="24"/>
          <w:szCs w:val="24"/>
          <w:lang w:eastAsia="en-US"/>
        </w:rPr>
        <w:footnoteReference w:id="3"/>
      </w:r>
    </w:p>
    <w:p w14:paraId="6A70E045" w14:textId="5CD45008" w:rsidR="00510C0E" w:rsidRPr="004D5A79" w:rsidRDefault="00510C0E" w:rsidP="00510C0E">
      <w:pPr>
        <w:pStyle w:val="Heading"/>
        <w:numPr>
          <w:ilvl w:val="0"/>
          <w:numId w:val="43"/>
        </w:numPr>
        <w:tabs>
          <w:tab w:val="left" w:pos="360"/>
        </w:tabs>
        <w:spacing w:after="240"/>
        <w:ind w:left="567" w:hanging="567"/>
        <w:rPr>
          <w:rFonts w:ascii="Times New Roman" w:hAnsi="Times New Roman"/>
          <w:sz w:val="24"/>
          <w:szCs w:val="24"/>
        </w:rPr>
      </w:pPr>
      <w:r w:rsidRPr="004D5A79">
        <w:rPr>
          <w:rFonts w:ascii="Times New Roman" w:hAnsi="Times New Roman"/>
          <w:sz w:val="24"/>
          <w:szCs w:val="24"/>
        </w:rPr>
        <w:t>Regulation Impact Statement</w:t>
      </w:r>
    </w:p>
    <w:p w14:paraId="0758A717" w14:textId="110A625A" w:rsidR="00510C0E" w:rsidRPr="004D5A79" w:rsidRDefault="002E32AF" w:rsidP="00190FDD">
      <w:pPr>
        <w:spacing w:after="24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The Office of Best Practice Regulation has advised that </w:t>
      </w:r>
      <w:r w:rsidR="00513690">
        <w:rPr>
          <w:rFonts w:ascii="Times New Roman" w:hAnsi="Times New Roman" w:cs="Times New Roman"/>
          <w:sz w:val="24"/>
          <w:szCs w:val="24"/>
          <w:lang w:eastAsia="en-US"/>
        </w:rPr>
        <w:t xml:space="preserve">no Regulatory Impact Statement is required as the changes to APS 220 </w:t>
      </w:r>
      <w:r w:rsidR="00E56309">
        <w:rPr>
          <w:rFonts w:ascii="Times New Roman" w:hAnsi="Times New Roman" w:cs="Times New Roman"/>
          <w:sz w:val="24"/>
          <w:szCs w:val="24"/>
          <w:lang w:eastAsia="en-US"/>
        </w:rPr>
        <w:t xml:space="preserve">and ARS 223.0 </w:t>
      </w:r>
      <w:r w:rsidR="00513690">
        <w:rPr>
          <w:rFonts w:ascii="Times New Roman" w:hAnsi="Times New Roman" w:cs="Times New Roman"/>
          <w:sz w:val="24"/>
          <w:szCs w:val="24"/>
          <w:lang w:eastAsia="en-US"/>
        </w:rPr>
        <w:t>are minor and machinery</w:t>
      </w:r>
      <w:r w:rsidR="00510C0E" w:rsidRPr="004D5A79">
        <w:rPr>
          <w:rFonts w:ascii="Times New Roman" w:hAnsi="Times New Roman" w:cs="Times New Roman"/>
          <w:sz w:val="24"/>
          <w:szCs w:val="24"/>
          <w:lang w:eastAsia="en-US"/>
        </w:rPr>
        <w:t>.</w:t>
      </w:r>
    </w:p>
    <w:p w14:paraId="61D7EE4B" w14:textId="4B90661E" w:rsidR="00510C0E" w:rsidRPr="004D5A79" w:rsidRDefault="00510C0E" w:rsidP="00805B61">
      <w:pPr>
        <w:pStyle w:val="Heading"/>
        <w:keepNext/>
        <w:tabs>
          <w:tab w:val="left" w:pos="360"/>
        </w:tabs>
        <w:spacing w:after="240"/>
        <w:rPr>
          <w:rFonts w:ascii="Times New Roman" w:hAnsi="Times New Roman"/>
          <w:sz w:val="24"/>
          <w:szCs w:val="24"/>
        </w:rPr>
      </w:pPr>
      <w:r w:rsidRPr="004D5A79">
        <w:rPr>
          <w:rFonts w:ascii="Times New Roman" w:hAnsi="Times New Roman"/>
          <w:sz w:val="24"/>
          <w:szCs w:val="24"/>
        </w:rPr>
        <w:t>5.</w:t>
      </w:r>
      <w:r w:rsidRPr="004D5A79">
        <w:rPr>
          <w:rFonts w:ascii="Times New Roman" w:hAnsi="Times New Roman"/>
          <w:sz w:val="24"/>
          <w:szCs w:val="24"/>
        </w:rPr>
        <w:tab/>
        <w:t>Statement of compatibility prepared in accordance with Part 3 of the Human Rights (Parliamentary Scrutiny) Act 2011</w:t>
      </w:r>
    </w:p>
    <w:p w14:paraId="2CC7530A" w14:textId="77777777" w:rsidR="00D75931" w:rsidRDefault="00513690" w:rsidP="00D75931">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5D729207" w14:textId="29AEAA48" w:rsidR="00B75A8B" w:rsidRPr="00D75931" w:rsidRDefault="00B75A8B" w:rsidP="00D75931">
      <w:pPr>
        <w:pStyle w:val="Heading"/>
        <w:spacing w:after="240"/>
        <w:rPr>
          <w:rFonts w:ascii="Times New Roman" w:hAnsi="Times New Roman"/>
          <w:b w:val="0"/>
          <w:sz w:val="24"/>
          <w:szCs w:val="24"/>
        </w:rPr>
      </w:pPr>
      <w:r>
        <w:rPr>
          <w:rFonts w:ascii="Times New Roman" w:hAnsi="Times New Roman"/>
          <w:sz w:val="24"/>
          <w:szCs w:val="24"/>
        </w:rPr>
        <w:br w:type="page"/>
      </w:r>
      <w:r w:rsidRPr="004D5A79">
        <w:rPr>
          <w:rFonts w:ascii="Times New Roman" w:hAnsi="Times New Roman"/>
          <w:sz w:val="24"/>
          <w:szCs w:val="24"/>
          <w:u w:val="single"/>
        </w:rPr>
        <w:lastRenderedPageBreak/>
        <w:t>ATTACHMENT A</w:t>
      </w:r>
    </w:p>
    <w:p w14:paraId="0F58F628" w14:textId="77777777" w:rsidR="00B75A8B" w:rsidRPr="004D5A79" w:rsidRDefault="00B75A8B" w:rsidP="00B75A8B">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b/>
          <w:bCs/>
          <w:sz w:val="24"/>
          <w:szCs w:val="24"/>
        </w:rPr>
        <w:t>Statement of Compatibility with Human Rights</w:t>
      </w:r>
    </w:p>
    <w:p w14:paraId="62E80750" w14:textId="77777777" w:rsidR="00B75A8B" w:rsidRPr="004D5A79" w:rsidRDefault="00B75A8B" w:rsidP="00B75A8B">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sz w:val="24"/>
          <w:szCs w:val="24"/>
        </w:rPr>
        <w:t xml:space="preserve">Prepared in accordance with Part 3 of the </w:t>
      </w:r>
      <w:r w:rsidRPr="004D5A79">
        <w:rPr>
          <w:rFonts w:ascii="Times New Roman" w:hAnsi="Times New Roman"/>
          <w:i/>
          <w:iCs/>
          <w:sz w:val="24"/>
          <w:szCs w:val="24"/>
        </w:rPr>
        <w:t>Human Rights (Parliamentary Scrutiny) Act 2011</w:t>
      </w:r>
    </w:p>
    <w:p w14:paraId="7A6D7D66" w14:textId="6FAA08CF" w:rsidR="00B75A8B" w:rsidRPr="004D5A79" w:rsidRDefault="00B75A8B" w:rsidP="00B75A8B">
      <w:pPr>
        <w:shd w:val="clear" w:color="auto" w:fill="FFFFFF"/>
        <w:spacing w:before="100" w:beforeAutospacing="1" w:after="240"/>
        <w:jc w:val="center"/>
        <w:rPr>
          <w:rFonts w:ascii="Times New Roman" w:hAnsi="Times New Roman"/>
          <w:b/>
          <w:bCs/>
          <w:sz w:val="24"/>
          <w:szCs w:val="24"/>
        </w:rPr>
      </w:pPr>
      <w:r w:rsidRPr="004D5A79">
        <w:rPr>
          <w:rFonts w:ascii="Times New Roman" w:hAnsi="Times New Roman"/>
          <w:b/>
          <w:bCs/>
          <w:sz w:val="24"/>
          <w:szCs w:val="24"/>
        </w:rPr>
        <w:t xml:space="preserve">Banking (prudential standard) determination No. </w:t>
      </w:r>
      <w:r w:rsidR="00555653" w:rsidRPr="00E237E2">
        <w:rPr>
          <w:rFonts w:ascii="Times New Roman" w:hAnsi="Times New Roman"/>
          <w:b/>
          <w:bCs/>
          <w:sz w:val="24"/>
          <w:szCs w:val="24"/>
        </w:rPr>
        <w:t>1</w:t>
      </w:r>
      <w:r w:rsidR="007B2167" w:rsidRPr="004D5A79">
        <w:rPr>
          <w:rFonts w:ascii="Times New Roman" w:hAnsi="Times New Roman"/>
          <w:b/>
          <w:bCs/>
          <w:sz w:val="24"/>
          <w:szCs w:val="24"/>
        </w:rPr>
        <w:t xml:space="preserve"> </w:t>
      </w:r>
      <w:r w:rsidRPr="004D5A79">
        <w:rPr>
          <w:rFonts w:ascii="Times New Roman" w:hAnsi="Times New Roman"/>
          <w:b/>
          <w:bCs/>
          <w:sz w:val="24"/>
          <w:szCs w:val="24"/>
        </w:rPr>
        <w:t xml:space="preserve">of </w:t>
      </w:r>
      <w:r w:rsidR="00A9020D">
        <w:rPr>
          <w:rFonts w:ascii="Times New Roman" w:hAnsi="Times New Roman"/>
          <w:b/>
          <w:bCs/>
          <w:sz w:val="24"/>
          <w:szCs w:val="24"/>
        </w:rPr>
        <w:t>2022 and</w:t>
      </w:r>
      <w:r w:rsidR="009A1820">
        <w:rPr>
          <w:rFonts w:ascii="Times New Roman" w:hAnsi="Times New Roman"/>
          <w:b/>
          <w:bCs/>
          <w:sz w:val="24"/>
          <w:szCs w:val="24"/>
        </w:rPr>
        <w:t xml:space="preserve"> Financial Sector (Collection of Data) (reporting standard) determination No. 11 of 2022</w:t>
      </w:r>
    </w:p>
    <w:p w14:paraId="55709D20" w14:textId="0FA69774" w:rsidR="00B75A8B" w:rsidRPr="004D5A79" w:rsidRDefault="00B75A8B" w:rsidP="004D5A79">
      <w:pPr>
        <w:shd w:val="clear" w:color="auto" w:fill="FFFFFF"/>
        <w:spacing w:after="240" w:line="240" w:lineRule="auto"/>
        <w:jc w:val="both"/>
        <w:rPr>
          <w:rFonts w:ascii="Times New Roman" w:hAnsi="Times New Roman"/>
          <w:sz w:val="24"/>
          <w:szCs w:val="24"/>
          <w:lang w:val="en-US"/>
        </w:rPr>
      </w:pPr>
      <w:r w:rsidRPr="004D5A79">
        <w:rPr>
          <w:rFonts w:ascii="Times New Roman" w:hAnsi="Times New Roman"/>
          <w:sz w:val="24"/>
          <w:szCs w:val="24"/>
        </w:rPr>
        <w:t xml:space="preserve">The legislative instruments are compatible with the human rights and freedoms recognised or declared in the international instruments listed in section 3 of the </w:t>
      </w:r>
      <w:r w:rsidRPr="004D5A79">
        <w:rPr>
          <w:rFonts w:ascii="Times New Roman" w:hAnsi="Times New Roman"/>
          <w:i/>
          <w:iCs/>
          <w:sz w:val="24"/>
          <w:szCs w:val="24"/>
        </w:rPr>
        <w:t>Human Rights (Parliamentary Scrutiny) Act 2011</w:t>
      </w:r>
      <w:r w:rsidRPr="004D5A79">
        <w:rPr>
          <w:rFonts w:ascii="Times New Roman" w:hAnsi="Times New Roman"/>
          <w:sz w:val="24"/>
          <w:szCs w:val="24"/>
        </w:rPr>
        <w:t xml:space="preserve"> (HRPS Act).</w:t>
      </w:r>
    </w:p>
    <w:p w14:paraId="5C48C431" w14:textId="77777777" w:rsidR="00B75A8B" w:rsidRPr="004D5A79" w:rsidRDefault="00B75A8B" w:rsidP="004D5A79">
      <w:pPr>
        <w:shd w:val="clear" w:color="auto" w:fill="FFFFFF"/>
        <w:spacing w:after="240" w:line="240" w:lineRule="auto"/>
        <w:jc w:val="both"/>
        <w:rPr>
          <w:rFonts w:ascii="Times New Roman" w:hAnsi="Times New Roman"/>
          <w:sz w:val="24"/>
          <w:szCs w:val="24"/>
          <w:lang w:val="en-US"/>
        </w:rPr>
      </w:pPr>
      <w:r w:rsidRPr="004D5A79">
        <w:rPr>
          <w:rFonts w:ascii="Times New Roman" w:hAnsi="Times New Roman"/>
          <w:b/>
          <w:bCs/>
          <w:sz w:val="24"/>
          <w:szCs w:val="24"/>
        </w:rPr>
        <w:t>Overview of the Legislative Instruments</w:t>
      </w:r>
    </w:p>
    <w:p w14:paraId="5B49B47D" w14:textId="050CFD35" w:rsidR="009A1820" w:rsidRDefault="00B75A8B" w:rsidP="004D5A79">
      <w:pPr>
        <w:spacing w:after="240" w:line="240" w:lineRule="auto"/>
        <w:jc w:val="both"/>
        <w:rPr>
          <w:rFonts w:ascii="Times New Roman" w:hAnsi="Times New Roman"/>
          <w:sz w:val="24"/>
          <w:szCs w:val="24"/>
        </w:rPr>
      </w:pPr>
      <w:r w:rsidRPr="004D5A79">
        <w:rPr>
          <w:rFonts w:ascii="Times New Roman" w:hAnsi="Times New Roman"/>
          <w:sz w:val="24"/>
          <w:szCs w:val="24"/>
        </w:rPr>
        <w:t>The purpose of the instrument</w:t>
      </w:r>
      <w:r w:rsidR="009A1820">
        <w:rPr>
          <w:rFonts w:ascii="Times New Roman" w:hAnsi="Times New Roman"/>
          <w:sz w:val="24"/>
          <w:szCs w:val="24"/>
        </w:rPr>
        <w:t>s</w:t>
      </w:r>
      <w:r w:rsidRPr="004D5A79">
        <w:rPr>
          <w:rFonts w:ascii="Times New Roman" w:hAnsi="Times New Roman"/>
          <w:sz w:val="24"/>
          <w:szCs w:val="24"/>
        </w:rPr>
        <w:t xml:space="preserve"> </w:t>
      </w:r>
      <w:r w:rsidR="00F2124C">
        <w:rPr>
          <w:rFonts w:ascii="Times New Roman" w:hAnsi="Times New Roman"/>
          <w:sz w:val="24"/>
          <w:szCs w:val="24"/>
        </w:rPr>
        <w:t xml:space="preserve">is </w:t>
      </w:r>
      <w:r w:rsidRPr="004D5A79">
        <w:rPr>
          <w:rFonts w:ascii="Times New Roman" w:hAnsi="Times New Roman"/>
          <w:sz w:val="24"/>
          <w:szCs w:val="24"/>
        </w:rPr>
        <w:t>to</w:t>
      </w:r>
      <w:r w:rsidR="009A1820">
        <w:rPr>
          <w:rFonts w:ascii="Times New Roman" w:hAnsi="Times New Roman"/>
          <w:sz w:val="24"/>
          <w:szCs w:val="24"/>
        </w:rPr>
        <w:t>:</w:t>
      </w:r>
    </w:p>
    <w:p w14:paraId="61099B75" w14:textId="6E925F3F" w:rsidR="009A1820" w:rsidRDefault="00B75A8B" w:rsidP="009A1820">
      <w:pPr>
        <w:pStyle w:val="ListParagraph"/>
        <w:numPr>
          <w:ilvl w:val="0"/>
          <w:numId w:val="50"/>
        </w:numPr>
        <w:spacing w:after="240" w:line="240" w:lineRule="auto"/>
        <w:jc w:val="both"/>
        <w:rPr>
          <w:rFonts w:ascii="Times New Roman" w:hAnsi="Times New Roman"/>
          <w:sz w:val="24"/>
          <w:szCs w:val="24"/>
        </w:rPr>
      </w:pPr>
      <w:r w:rsidRPr="00A22ABD">
        <w:rPr>
          <w:rFonts w:ascii="Times New Roman" w:hAnsi="Times New Roman"/>
          <w:sz w:val="24"/>
          <w:szCs w:val="24"/>
        </w:rPr>
        <w:t xml:space="preserve"> </w:t>
      </w:r>
      <w:r w:rsidR="009A1820">
        <w:rPr>
          <w:rFonts w:ascii="Times New Roman" w:hAnsi="Times New Roman"/>
          <w:sz w:val="24"/>
          <w:szCs w:val="24"/>
        </w:rPr>
        <w:t>r</w:t>
      </w:r>
      <w:r w:rsidRPr="00A22ABD">
        <w:rPr>
          <w:rFonts w:ascii="Times New Roman" w:hAnsi="Times New Roman"/>
          <w:sz w:val="24"/>
          <w:szCs w:val="24"/>
        </w:rPr>
        <w:t>evoke</w:t>
      </w:r>
      <w:r w:rsidR="009A1820">
        <w:rPr>
          <w:rFonts w:ascii="Times New Roman" w:hAnsi="Times New Roman"/>
          <w:sz w:val="24"/>
          <w:szCs w:val="24"/>
        </w:rPr>
        <w:t xml:space="preserve"> the existing</w:t>
      </w:r>
      <w:r w:rsidRPr="00A22ABD">
        <w:rPr>
          <w:rFonts w:ascii="Times New Roman" w:hAnsi="Times New Roman"/>
          <w:sz w:val="24"/>
          <w:szCs w:val="24"/>
        </w:rPr>
        <w:t xml:space="preserve"> </w:t>
      </w:r>
      <w:r w:rsidRPr="00A22ABD">
        <w:rPr>
          <w:rFonts w:ascii="Times New Roman" w:hAnsi="Times New Roman"/>
          <w:i/>
          <w:sz w:val="24"/>
          <w:szCs w:val="24"/>
        </w:rPr>
        <w:t>Prudential Standard APS</w:t>
      </w:r>
      <w:r w:rsidR="001E0193" w:rsidRPr="00A22ABD">
        <w:rPr>
          <w:rFonts w:ascii="Times New Roman" w:hAnsi="Times New Roman"/>
          <w:i/>
          <w:sz w:val="24"/>
          <w:szCs w:val="24"/>
        </w:rPr>
        <w:t> </w:t>
      </w:r>
      <w:r w:rsidR="004D5A79" w:rsidRPr="00A22ABD">
        <w:rPr>
          <w:rFonts w:ascii="Times New Roman" w:hAnsi="Times New Roman"/>
          <w:i/>
          <w:sz w:val="24"/>
          <w:szCs w:val="24"/>
        </w:rPr>
        <w:t xml:space="preserve">220 </w:t>
      </w:r>
      <w:r w:rsidR="00513690" w:rsidRPr="00A22ABD">
        <w:rPr>
          <w:rFonts w:ascii="Times New Roman" w:hAnsi="Times New Roman"/>
          <w:i/>
          <w:sz w:val="24"/>
          <w:szCs w:val="24"/>
        </w:rPr>
        <w:t xml:space="preserve">Credit Risk </w:t>
      </w:r>
      <w:r w:rsidR="00A9020D" w:rsidRPr="00A22ABD">
        <w:rPr>
          <w:rFonts w:ascii="Times New Roman" w:hAnsi="Times New Roman"/>
          <w:i/>
          <w:sz w:val="24"/>
          <w:szCs w:val="24"/>
        </w:rPr>
        <w:t xml:space="preserve">Management </w:t>
      </w:r>
      <w:r w:rsidR="00A9020D" w:rsidRPr="00A9020D">
        <w:rPr>
          <w:rFonts w:ascii="Times New Roman" w:hAnsi="Times New Roman"/>
          <w:iCs/>
          <w:sz w:val="24"/>
          <w:szCs w:val="24"/>
        </w:rPr>
        <w:t>and</w:t>
      </w:r>
      <w:r w:rsidR="004D5A79" w:rsidRPr="00A22ABD">
        <w:rPr>
          <w:rFonts w:ascii="Times New Roman" w:hAnsi="Times New Roman"/>
          <w:sz w:val="24"/>
          <w:szCs w:val="24"/>
        </w:rPr>
        <w:t xml:space="preserve"> </w:t>
      </w:r>
      <w:r w:rsidRPr="00A22ABD">
        <w:rPr>
          <w:rFonts w:ascii="Times New Roman" w:hAnsi="Times New Roman"/>
          <w:sz w:val="24"/>
          <w:szCs w:val="24"/>
        </w:rPr>
        <w:t xml:space="preserve">replace it with a new </w:t>
      </w:r>
      <w:r w:rsidR="009A1820">
        <w:rPr>
          <w:rFonts w:ascii="Times New Roman" w:hAnsi="Times New Roman"/>
          <w:sz w:val="24"/>
          <w:szCs w:val="24"/>
        </w:rPr>
        <w:t xml:space="preserve">version that </w:t>
      </w:r>
      <w:r w:rsidR="004D5A79" w:rsidRPr="00A22ABD">
        <w:rPr>
          <w:rFonts w:ascii="Times New Roman" w:hAnsi="Times New Roman"/>
          <w:sz w:val="24"/>
          <w:szCs w:val="24"/>
        </w:rPr>
        <w:t>include</w:t>
      </w:r>
      <w:r w:rsidR="00E733AA" w:rsidRPr="00A22ABD">
        <w:rPr>
          <w:rFonts w:ascii="Times New Roman" w:hAnsi="Times New Roman"/>
          <w:sz w:val="24"/>
          <w:szCs w:val="24"/>
        </w:rPr>
        <w:t>s</w:t>
      </w:r>
      <w:r w:rsidR="004D5A79" w:rsidRPr="00A22ABD">
        <w:rPr>
          <w:rFonts w:ascii="Times New Roman" w:hAnsi="Times New Roman"/>
          <w:sz w:val="24"/>
          <w:szCs w:val="24"/>
        </w:rPr>
        <w:t xml:space="preserve"> </w:t>
      </w:r>
      <w:r w:rsidR="00513690" w:rsidRPr="00A22ABD">
        <w:rPr>
          <w:rFonts w:ascii="Times New Roman" w:hAnsi="Times New Roman"/>
          <w:sz w:val="24"/>
          <w:szCs w:val="24"/>
        </w:rPr>
        <w:t xml:space="preserve">a new attachment setting out APRA’s credit-based macroprudential policy </w:t>
      </w:r>
      <w:proofErr w:type="gramStart"/>
      <w:r w:rsidR="00513690" w:rsidRPr="00A22ABD">
        <w:rPr>
          <w:rFonts w:ascii="Times New Roman" w:hAnsi="Times New Roman"/>
          <w:sz w:val="24"/>
          <w:szCs w:val="24"/>
        </w:rPr>
        <w:t>toolkit</w:t>
      </w:r>
      <w:r w:rsidR="009A1820">
        <w:rPr>
          <w:rFonts w:ascii="Times New Roman" w:hAnsi="Times New Roman"/>
          <w:sz w:val="24"/>
          <w:szCs w:val="24"/>
        </w:rPr>
        <w:t>;</w:t>
      </w:r>
      <w:proofErr w:type="gramEnd"/>
      <w:r w:rsidR="009A1820">
        <w:rPr>
          <w:rFonts w:ascii="Times New Roman" w:hAnsi="Times New Roman"/>
          <w:sz w:val="24"/>
          <w:szCs w:val="24"/>
        </w:rPr>
        <w:t xml:space="preserve"> and</w:t>
      </w:r>
    </w:p>
    <w:p w14:paraId="64811073" w14:textId="77777777" w:rsidR="009A1820" w:rsidRDefault="009A1820" w:rsidP="00A22ABD">
      <w:pPr>
        <w:pStyle w:val="ListParagraph"/>
        <w:spacing w:after="240" w:line="240" w:lineRule="auto"/>
        <w:jc w:val="both"/>
        <w:rPr>
          <w:rFonts w:ascii="Times New Roman" w:hAnsi="Times New Roman"/>
          <w:sz w:val="24"/>
          <w:szCs w:val="24"/>
        </w:rPr>
      </w:pPr>
    </w:p>
    <w:p w14:paraId="6A7377BA" w14:textId="6FC32717" w:rsidR="00B75A8B" w:rsidRPr="00383381" w:rsidRDefault="009A1820" w:rsidP="00A22ABD">
      <w:pPr>
        <w:pStyle w:val="ListParagraph"/>
        <w:numPr>
          <w:ilvl w:val="0"/>
          <w:numId w:val="50"/>
        </w:numPr>
        <w:spacing w:after="240" w:line="240" w:lineRule="auto"/>
        <w:jc w:val="both"/>
        <w:rPr>
          <w:rFonts w:ascii="Times New Roman" w:hAnsi="Times New Roman"/>
          <w:sz w:val="24"/>
          <w:szCs w:val="24"/>
        </w:rPr>
      </w:pPr>
      <w:r>
        <w:rPr>
          <w:rFonts w:ascii="Times New Roman" w:hAnsi="Times New Roman"/>
          <w:sz w:val="24"/>
          <w:szCs w:val="24"/>
        </w:rPr>
        <w:t xml:space="preserve">revoke the existing </w:t>
      </w:r>
      <w:r w:rsidRPr="0033473B">
        <w:rPr>
          <w:rFonts w:ascii="Times New Roman" w:hAnsi="Times New Roman" w:cs="Times New Roman"/>
          <w:i/>
          <w:sz w:val="24"/>
          <w:szCs w:val="24"/>
        </w:rPr>
        <w:t>Reporting Standard ARS 223.0 Residential Mortgage Lending</w:t>
      </w:r>
      <w:r w:rsidRPr="0033473B">
        <w:rPr>
          <w:rFonts w:ascii="Times New Roman" w:hAnsi="Times New Roman" w:cs="Times New Roman"/>
          <w:sz w:val="24"/>
          <w:szCs w:val="24"/>
        </w:rPr>
        <w:t xml:space="preserve"> </w:t>
      </w:r>
      <w:r>
        <w:rPr>
          <w:rFonts w:ascii="Times New Roman" w:hAnsi="Times New Roman"/>
          <w:sz w:val="24"/>
          <w:szCs w:val="24"/>
        </w:rPr>
        <w:t>and replace it with a new version that includes updated definitions for measuring APRA’s macroprudential policy tools.</w:t>
      </w:r>
    </w:p>
    <w:p w14:paraId="6AC511EE" w14:textId="77777777" w:rsidR="00B75A8B" w:rsidRPr="004D5A79" w:rsidRDefault="00B75A8B" w:rsidP="004D5A79">
      <w:pPr>
        <w:keepNext/>
        <w:shd w:val="clear" w:color="auto" w:fill="FFFFFF"/>
        <w:spacing w:after="240" w:line="240" w:lineRule="auto"/>
        <w:jc w:val="both"/>
        <w:rPr>
          <w:rFonts w:ascii="Times New Roman" w:hAnsi="Times New Roman"/>
          <w:sz w:val="24"/>
          <w:szCs w:val="24"/>
          <w:lang w:val="en-US"/>
        </w:rPr>
      </w:pPr>
      <w:r w:rsidRPr="004D5A79">
        <w:rPr>
          <w:rFonts w:ascii="Times New Roman" w:hAnsi="Times New Roman"/>
          <w:b/>
          <w:bCs/>
          <w:sz w:val="24"/>
          <w:szCs w:val="24"/>
        </w:rPr>
        <w:t>Human rights implications</w:t>
      </w:r>
    </w:p>
    <w:p w14:paraId="254DBEDD" w14:textId="430DFDB2" w:rsidR="00B75A8B" w:rsidRPr="004D5A79" w:rsidRDefault="00B75A8B" w:rsidP="004D5A79">
      <w:pPr>
        <w:keepNext/>
        <w:shd w:val="clear" w:color="auto" w:fill="FFFFFF"/>
        <w:spacing w:after="240" w:line="240" w:lineRule="auto"/>
        <w:jc w:val="both"/>
        <w:rPr>
          <w:rFonts w:ascii="Times New Roman" w:hAnsi="Times New Roman"/>
          <w:sz w:val="24"/>
          <w:szCs w:val="24"/>
        </w:rPr>
      </w:pPr>
      <w:r w:rsidRPr="004D5A79">
        <w:rPr>
          <w:rFonts w:ascii="Times New Roman" w:hAnsi="Times New Roman"/>
          <w:sz w:val="24"/>
          <w:szCs w:val="24"/>
        </w:rPr>
        <w:t>APRA has assessed the instrument</w:t>
      </w:r>
      <w:r w:rsidR="009A1820">
        <w:rPr>
          <w:rFonts w:ascii="Times New Roman" w:hAnsi="Times New Roman"/>
          <w:sz w:val="24"/>
          <w:szCs w:val="24"/>
        </w:rPr>
        <w:t>s</w:t>
      </w:r>
      <w:r w:rsidRPr="004D5A79">
        <w:rPr>
          <w:rFonts w:ascii="Times New Roman" w:hAnsi="Times New Roman"/>
          <w:sz w:val="24"/>
          <w:szCs w:val="24"/>
        </w:rPr>
        <w:t xml:space="preserve"> and is of the view that </w:t>
      </w:r>
      <w:r w:rsidR="009A1820">
        <w:rPr>
          <w:rFonts w:ascii="Times New Roman" w:hAnsi="Times New Roman"/>
          <w:sz w:val="24"/>
          <w:szCs w:val="24"/>
        </w:rPr>
        <w:t xml:space="preserve">they do </w:t>
      </w:r>
      <w:r w:rsidRPr="004D5A79">
        <w:rPr>
          <w:rFonts w:ascii="Times New Roman" w:hAnsi="Times New Roman"/>
          <w:sz w:val="24"/>
          <w:szCs w:val="24"/>
        </w:rPr>
        <w:t>not engage any of the applicable rights or freedoms recognised or declared in the international instruments listed in section 3 of the HRPS Act. Accordingly, in APRA’s assessment, the instrument</w:t>
      </w:r>
      <w:r w:rsidR="009A1820">
        <w:rPr>
          <w:rFonts w:ascii="Times New Roman" w:hAnsi="Times New Roman"/>
          <w:sz w:val="24"/>
          <w:szCs w:val="24"/>
        </w:rPr>
        <w:t>s are</w:t>
      </w:r>
      <w:r w:rsidRPr="004D5A79">
        <w:rPr>
          <w:rFonts w:ascii="Times New Roman" w:hAnsi="Times New Roman"/>
          <w:sz w:val="24"/>
          <w:szCs w:val="24"/>
        </w:rPr>
        <w:t xml:space="preserve"> compatible with human rights.</w:t>
      </w:r>
    </w:p>
    <w:p w14:paraId="329FF13D" w14:textId="77777777" w:rsidR="00B75A8B" w:rsidRPr="004D5A79" w:rsidRDefault="00B75A8B" w:rsidP="004D5A79">
      <w:pPr>
        <w:shd w:val="clear" w:color="auto" w:fill="FFFFFF"/>
        <w:spacing w:after="240" w:line="240" w:lineRule="auto"/>
        <w:jc w:val="both"/>
        <w:rPr>
          <w:rFonts w:ascii="Times New Roman" w:hAnsi="Times New Roman"/>
          <w:sz w:val="24"/>
          <w:szCs w:val="24"/>
          <w:lang w:val="en-US"/>
        </w:rPr>
      </w:pPr>
      <w:r w:rsidRPr="004D5A79">
        <w:rPr>
          <w:rFonts w:ascii="Times New Roman" w:hAnsi="Times New Roman"/>
          <w:b/>
          <w:bCs/>
          <w:sz w:val="24"/>
          <w:szCs w:val="24"/>
        </w:rPr>
        <w:t>Conclusion</w:t>
      </w:r>
    </w:p>
    <w:p w14:paraId="3CF6798B" w14:textId="7E02BCA2" w:rsidR="00B75A8B" w:rsidRPr="004D5A79" w:rsidRDefault="00B75A8B" w:rsidP="004D5A79">
      <w:pPr>
        <w:spacing w:after="240" w:line="240" w:lineRule="auto"/>
        <w:jc w:val="both"/>
        <w:rPr>
          <w:rFonts w:ascii="Times New Roman" w:hAnsi="Times New Roman"/>
          <w:sz w:val="24"/>
          <w:szCs w:val="24"/>
        </w:rPr>
      </w:pPr>
      <w:r w:rsidRPr="004D5A79">
        <w:rPr>
          <w:rFonts w:ascii="Times New Roman" w:hAnsi="Times New Roman"/>
          <w:sz w:val="24"/>
          <w:szCs w:val="24"/>
        </w:rPr>
        <w:t xml:space="preserve">The </w:t>
      </w:r>
      <w:r w:rsidR="00A40179">
        <w:rPr>
          <w:rFonts w:ascii="Times New Roman" w:hAnsi="Times New Roman"/>
          <w:sz w:val="24"/>
          <w:szCs w:val="24"/>
        </w:rPr>
        <w:t xml:space="preserve">legislative </w:t>
      </w:r>
      <w:r w:rsidR="009A1820">
        <w:rPr>
          <w:rFonts w:ascii="Times New Roman" w:hAnsi="Times New Roman"/>
          <w:sz w:val="24"/>
          <w:szCs w:val="24"/>
        </w:rPr>
        <w:t xml:space="preserve">instruments are </w:t>
      </w:r>
      <w:r w:rsidRPr="004D5A79">
        <w:rPr>
          <w:rFonts w:ascii="Times New Roman" w:hAnsi="Times New Roman"/>
          <w:sz w:val="24"/>
          <w:szCs w:val="24"/>
        </w:rPr>
        <w:t xml:space="preserve">compatible with human rights as </w:t>
      </w:r>
      <w:r w:rsidR="009A1820">
        <w:rPr>
          <w:rFonts w:ascii="Times New Roman" w:hAnsi="Times New Roman"/>
          <w:sz w:val="24"/>
          <w:szCs w:val="24"/>
        </w:rPr>
        <w:t xml:space="preserve">they do </w:t>
      </w:r>
      <w:r w:rsidRPr="004D5A79">
        <w:rPr>
          <w:rFonts w:ascii="Times New Roman" w:hAnsi="Times New Roman"/>
          <w:sz w:val="24"/>
          <w:szCs w:val="24"/>
        </w:rPr>
        <w:t>not raise any human rights issues.</w:t>
      </w:r>
    </w:p>
    <w:sectPr w:rsidR="00B75A8B" w:rsidRPr="004D5A79" w:rsidSect="00C62913">
      <w:headerReference w:type="default" r:id="rId16"/>
      <w:headerReference w:type="first" r:id="rId17"/>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1A6A" w14:textId="77777777" w:rsidR="00E45B05" w:rsidRDefault="00E45B05" w:rsidP="007A463E">
      <w:pPr>
        <w:spacing w:after="0" w:line="240" w:lineRule="auto"/>
      </w:pPr>
      <w:r>
        <w:separator/>
      </w:r>
    </w:p>
    <w:p w14:paraId="38B81C11" w14:textId="77777777" w:rsidR="00E45B05" w:rsidRDefault="00E45B05"/>
  </w:endnote>
  <w:endnote w:type="continuationSeparator" w:id="0">
    <w:p w14:paraId="0EF2B86F" w14:textId="77777777" w:rsidR="00E45B05" w:rsidRDefault="00E45B05" w:rsidP="007A463E">
      <w:pPr>
        <w:spacing w:after="0" w:line="240" w:lineRule="auto"/>
      </w:pPr>
      <w:r>
        <w:continuationSeparator/>
      </w:r>
    </w:p>
    <w:p w14:paraId="109A39DE" w14:textId="77777777" w:rsidR="00E45B05" w:rsidRDefault="00E45B05"/>
  </w:endnote>
  <w:endnote w:type="continuationNotice" w:id="1">
    <w:p w14:paraId="39EE743A" w14:textId="77777777" w:rsidR="00E45B05" w:rsidRDefault="00E45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amp;quo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55D2" w14:textId="77777777" w:rsidR="00E45B05" w:rsidRDefault="00E45B05" w:rsidP="007A463E">
      <w:pPr>
        <w:spacing w:after="0" w:line="240" w:lineRule="auto"/>
      </w:pPr>
      <w:r>
        <w:separator/>
      </w:r>
    </w:p>
    <w:p w14:paraId="5B1C1B73" w14:textId="77777777" w:rsidR="00E45B05" w:rsidRDefault="00E45B05"/>
  </w:footnote>
  <w:footnote w:type="continuationSeparator" w:id="0">
    <w:p w14:paraId="5C6C5955" w14:textId="77777777" w:rsidR="00E45B05" w:rsidRDefault="00E45B05" w:rsidP="007A463E">
      <w:pPr>
        <w:spacing w:after="0" w:line="240" w:lineRule="auto"/>
      </w:pPr>
      <w:r>
        <w:continuationSeparator/>
      </w:r>
    </w:p>
    <w:p w14:paraId="43AC032C" w14:textId="77777777" w:rsidR="00E45B05" w:rsidRDefault="00E45B05"/>
  </w:footnote>
  <w:footnote w:type="continuationNotice" w:id="1">
    <w:p w14:paraId="2F36F01F" w14:textId="77777777" w:rsidR="00E45B05" w:rsidRDefault="00E45B05">
      <w:pPr>
        <w:spacing w:after="0" w:line="240" w:lineRule="auto"/>
      </w:pPr>
    </w:p>
  </w:footnote>
  <w:footnote w:id="2">
    <w:p w14:paraId="008B8D92" w14:textId="77777777" w:rsidR="00E45B05" w:rsidRDefault="00E45B05" w:rsidP="00805B61">
      <w:pPr>
        <w:pStyle w:val="FootnoteText"/>
        <w:spacing w:after="120"/>
        <w:rPr>
          <w:rFonts w:ascii="&amp;quot" w:hAnsi="&amp;quot"/>
          <w:color w:val="000000"/>
          <w:sz w:val="20"/>
          <w:szCs w:val="20"/>
        </w:rPr>
      </w:pPr>
      <w:r w:rsidRPr="00F26790">
        <w:rPr>
          <w:rStyle w:val="FootnoteReference"/>
          <w:rFonts w:ascii="Times New Roman" w:hAnsi="Times New Roman" w:cs="Times New Roman"/>
          <w:sz w:val="20"/>
          <w:szCs w:val="20"/>
        </w:rPr>
        <w:footnoteRef/>
      </w:r>
      <w:r w:rsidRPr="00F26790">
        <w:rPr>
          <w:rFonts w:ascii="Times New Roman" w:hAnsi="Times New Roman" w:cs="Times New Roman"/>
          <w:sz w:val="20"/>
          <w:szCs w:val="20"/>
        </w:rPr>
        <w:t xml:space="preserve"> </w:t>
      </w:r>
      <w:r w:rsidRPr="0053596A">
        <w:rPr>
          <w:rFonts w:ascii="Times New Roman" w:hAnsi="Times New Roman" w:cs="Times New Roman"/>
          <w:sz w:val="20"/>
          <w:szCs w:val="20"/>
        </w:rPr>
        <w:t>Subsection 9</w:t>
      </w:r>
      <w:proofErr w:type="gramStart"/>
      <w:r w:rsidRPr="0053596A">
        <w:rPr>
          <w:rFonts w:ascii="Times New Roman" w:hAnsi="Times New Roman" w:cs="Times New Roman"/>
          <w:sz w:val="20"/>
          <w:szCs w:val="20"/>
        </w:rPr>
        <w:t>A(</w:t>
      </w:r>
      <w:proofErr w:type="gramEnd"/>
      <w:r w:rsidRPr="0053596A">
        <w:rPr>
          <w:rFonts w:ascii="Times New Roman" w:hAnsi="Times New Roman" w:cs="Times New Roman"/>
          <w:sz w:val="20"/>
          <w:szCs w:val="20"/>
        </w:rPr>
        <w:t xml:space="preserve">4) of the Act specifically provides that APRA does not need to consult where APRA is satisfied that doing so could result in a </w:t>
      </w:r>
      <w:r>
        <w:rPr>
          <w:rFonts w:ascii="Times New Roman" w:hAnsi="Times New Roman" w:cs="Times New Roman"/>
          <w:sz w:val="20"/>
          <w:szCs w:val="20"/>
        </w:rPr>
        <w:t>delay</w:t>
      </w:r>
      <w:r w:rsidRPr="0053596A">
        <w:rPr>
          <w:rFonts w:ascii="Times New Roman" w:hAnsi="Times New Roman" w:cs="Times New Roman"/>
          <w:sz w:val="20"/>
          <w:szCs w:val="20"/>
        </w:rPr>
        <w:t xml:space="preserve"> </w:t>
      </w:r>
      <w:r>
        <w:rPr>
          <w:rFonts w:ascii="Times New Roman" w:hAnsi="Times New Roman" w:cs="Times New Roman"/>
          <w:sz w:val="20"/>
          <w:szCs w:val="20"/>
        </w:rPr>
        <w:t>in revocation that would be:</w:t>
      </w:r>
      <w:r>
        <w:rPr>
          <w:rFonts w:ascii="&amp;quot" w:hAnsi="&amp;quot"/>
          <w:color w:val="000000"/>
          <w:sz w:val="20"/>
          <w:szCs w:val="20"/>
        </w:rPr>
        <w:t xml:space="preserve"> </w:t>
      </w:r>
    </w:p>
    <w:p w14:paraId="05F4D879" w14:textId="77777777" w:rsidR="00E45B05" w:rsidRDefault="00E45B05" w:rsidP="00805B61">
      <w:pPr>
        <w:pStyle w:val="FootnoteText"/>
        <w:numPr>
          <w:ilvl w:val="0"/>
          <w:numId w:val="47"/>
        </w:numPr>
        <w:spacing w:after="120"/>
        <w:rPr>
          <w:rFonts w:ascii="&amp;quot" w:hAnsi="&amp;quot"/>
          <w:color w:val="000000"/>
          <w:sz w:val="20"/>
          <w:szCs w:val="20"/>
        </w:rPr>
      </w:pPr>
      <w:r>
        <w:rPr>
          <w:rFonts w:ascii="&amp;quot" w:hAnsi="&amp;quot"/>
          <w:color w:val="000000"/>
          <w:sz w:val="20"/>
          <w:szCs w:val="20"/>
        </w:rPr>
        <w:t xml:space="preserve">contrary to the national interest; or </w:t>
      </w:r>
    </w:p>
    <w:p w14:paraId="78A49EB0" w14:textId="5622D607" w:rsidR="00E45B05" w:rsidRPr="00F26790" w:rsidRDefault="00E45B05" w:rsidP="00F26790">
      <w:pPr>
        <w:pStyle w:val="FootnoteText"/>
        <w:numPr>
          <w:ilvl w:val="0"/>
          <w:numId w:val="47"/>
        </w:numPr>
        <w:rPr>
          <w:rFonts w:ascii="&amp;quot" w:hAnsi="&amp;quot"/>
          <w:color w:val="000000"/>
          <w:sz w:val="20"/>
          <w:szCs w:val="20"/>
        </w:rPr>
      </w:pPr>
      <w:r w:rsidRPr="00F26790">
        <w:rPr>
          <w:rFonts w:ascii="&amp;quot" w:hAnsi="&amp;quot"/>
          <w:color w:val="000000"/>
          <w:sz w:val="20"/>
          <w:szCs w:val="20"/>
        </w:rPr>
        <w:t>contrary to the interests of depositors with the ADI.</w:t>
      </w:r>
    </w:p>
  </w:footnote>
  <w:footnote w:id="3">
    <w:p w14:paraId="39C36B52" w14:textId="7FAFEEBF" w:rsidR="00E45B05" w:rsidRPr="0042251A" w:rsidRDefault="00E45B05">
      <w:pPr>
        <w:pStyle w:val="FootnoteText"/>
        <w:rPr>
          <w:rFonts w:ascii="Times New Roman" w:hAnsi="Times New Roman" w:cs="Times New Roman"/>
          <w:sz w:val="20"/>
          <w:szCs w:val="20"/>
        </w:rPr>
      </w:pPr>
      <w:r w:rsidRPr="0042251A">
        <w:rPr>
          <w:rStyle w:val="FootnoteReference"/>
          <w:rFonts w:ascii="Times New Roman" w:hAnsi="Times New Roman" w:cs="Times New Roman"/>
          <w:sz w:val="20"/>
          <w:szCs w:val="20"/>
        </w:rPr>
        <w:footnoteRef/>
      </w:r>
      <w:r w:rsidRPr="0042251A">
        <w:rPr>
          <w:rFonts w:ascii="Times New Roman" w:hAnsi="Times New Roman" w:cs="Times New Roman"/>
          <w:sz w:val="20"/>
          <w:szCs w:val="20"/>
        </w:rPr>
        <w:t xml:space="preserve"> </w:t>
      </w:r>
      <w:r w:rsidR="00BB6D9B" w:rsidRPr="0042251A">
        <w:rPr>
          <w:rFonts w:ascii="Times New Roman" w:hAnsi="Times New Roman" w:cs="Times New Roman"/>
          <w:sz w:val="20"/>
          <w:szCs w:val="20"/>
        </w:rPr>
        <w:t xml:space="preserve">APRA Consultation - </w:t>
      </w:r>
      <w:hyperlink r:id="rId1" w:history="1">
        <w:r w:rsidR="00BB6D9B" w:rsidRPr="0042251A">
          <w:rPr>
            <w:rStyle w:val="Hyperlink"/>
            <w:rFonts w:ascii="Times New Roman" w:hAnsi="Times New Roman" w:cs="Times New Roman"/>
            <w:sz w:val="20"/>
            <w:szCs w:val="20"/>
          </w:rPr>
          <w:t>Macroprudential Policy: Credit Measures</w:t>
        </w:r>
      </w:hyperlink>
      <w:r w:rsidRPr="0042251A">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48A" w14:textId="77777777" w:rsidR="00E45B05" w:rsidRPr="00665727" w:rsidRDefault="00E45B05"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848B" w14:textId="77777777" w:rsidR="00E45B05" w:rsidRDefault="00E45B05" w:rsidP="001D3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147803E8"/>
    <w:multiLevelType w:val="multilevel"/>
    <w:tmpl w:val="0C09001F"/>
    <w:numStyleLink w:val="111111"/>
  </w:abstractNum>
  <w:abstractNum w:abstractNumId="11" w15:restartNumberingAfterBreak="0">
    <w:nsid w:val="14A81249"/>
    <w:multiLevelType w:val="hybridMultilevel"/>
    <w:tmpl w:val="9A7E64D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E1409B1"/>
    <w:multiLevelType w:val="multilevel"/>
    <w:tmpl w:val="0C09001F"/>
    <w:numStyleLink w:val="111111"/>
  </w:abstractNum>
  <w:abstractNum w:abstractNumId="13" w15:restartNumberingAfterBreak="0">
    <w:nsid w:val="1F151EFC"/>
    <w:multiLevelType w:val="hybridMultilevel"/>
    <w:tmpl w:val="B42C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D4F65FB"/>
    <w:multiLevelType w:val="hybridMultilevel"/>
    <w:tmpl w:val="58AE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D68CA"/>
    <w:multiLevelType w:val="hybridMultilevel"/>
    <w:tmpl w:val="759C7852"/>
    <w:lvl w:ilvl="0" w:tplc="2FD8C24C">
      <w:start w:val="1"/>
      <w:numFmt w:val="lowerRoman"/>
      <w:lvlText w:val="(%1)"/>
      <w:lvlJc w:val="left"/>
      <w:pPr>
        <w:ind w:left="1080" w:hanging="720"/>
      </w:pPr>
      <w:rPr>
        <w:rFonts w:hint="default"/>
      </w:rPr>
    </w:lvl>
    <w:lvl w:ilvl="1" w:tplc="58D8C07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9168DB"/>
    <w:multiLevelType w:val="hybridMultilevel"/>
    <w:tmpl w:val="5F849FF8"/>
    <w:lvl w:ilvl="0" w:tplc="5C2A0B3C">
      <w:numFmt w:val="bullet"/>
      <w:lvlText w:val="•"/>
      <w:lvlJc w:val="left"/>
      <w:pPr>
        <w:ind w:left="930" w:hanging="57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20E97"/>
    <w:multiLevelType w:val="hybridMultilevel"/>
    <w:tmpl w:val="8F9CE67E"/>
    <w:lvl w:ilvl="0" w:tplc="0C14B1EE">
      <w:start w:val="1"/>
      <w:numFmt w:val="lowerLetter"/>
      <w:lvlText w:val="(%1)"/>
      <w:lvlJc w:val="left"/>
      <w:pPr>
        <w:ind w:left="360" w:hanging="360"/>
      </w:pPr>
      <w:rPr>
        <w:rFonts w:hint="default"/>
        <w:b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CB621A"/>
    <w:multiLevelType w:val="hybridMultilevel"/>
    <w:tmpl w:val="64EABDCA"/>
    <w:lvl w:ilvl="0" w:tplc="5DE48A12">
      <w:start w:val="1"/>
      <w:numFmt w:val="lowerLetter"/>
      <w:lvlText w:val="(%1)"/>
      <w:lvlJc w:val="left"/>
      <w:pPr>
        <w:ind w:left="720" w:hanging="360"/>
      </w:pPr>
      <w:rPr>
        <w:rFonts w:ascii="Times New Roman" w:hAnsi="Times New Roman" w:cs="Times New Roman"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E1983"/>
    <w:multiLevelType w:val="multilevel"/>
    <w:tmpl w:val="0C09001F"/>
    <w:numStyleLink w:val="111111"/>
  </w:abstractNum>
  <w:abstractNum w:abstractNumId="23" w15:restartNumberingAfterBreak="0">
    <w:nsid w:val="40CD3A20"/>
    <w:multiLevelType w:val="hybridMultilevel"/>
    <w:tmpl w:val="1EFAE3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C210C"/>
    <w:multiLevelType w:val="hybridMultilevel"/>
    <w:tmpl w:val="F7DC6AEE"/>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42DBC"/>
    <w:multiLevelType w:val="hybridMultilevel"/>
    <w:tmpl w:val="F21A7756"/>
    <w:lvl w:ilvl="0" w:tplc="EDE4C47A">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BD23F1F"/>
    <w:multiLevelType w:val="hybridMultilevel"/>
    <w:tmpl w:val="DA72D68A"/>
    <w:lvl w:ilvl="0" w:tplc="AC18C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60F676A0"/>
    <w:multiLevelType w:val="hybridMultilevel"/>
    <w:tmpl w:val="71B46166"/>
    <w:lvl w:ilvl="0" w:tplc="C59EC3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942677"/>
    <w:multiLevelType w:val="hybridMultilevel"/>
    <w:tmpl w:val="9ADC73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B51FF9"/>
    <w:multiLevelType w:val="hybridMultilevel"/>
    <w:tmpl w:val="7D28F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AE0FEA"/>
    <w:multiLevelType w:val="hybridMultilevel"/>
    <w:tmpl w:val="580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33"/>
  </w:num>
  <w:num w:numId="4">
    <w:abstractNumId w:val="27"/>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33"/>
  </w:num>
  <w:num w:numId="12">
    <w:abstractNumId w:val="33"/>
  </w:num>
  <w:num w:numId="13">
    <w:abstractNumId w:val="3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22"/>
  </w:num>
  <w:num w:numId="26">
    <w:abstractNumId w:val="12"/>
  </w:num>
  <w:num w:numId="27">
    <w:abstractNumId w:val="10"/>
  </w:num>
  <w:num w:numId="28">
    <w:abstractNumId w:val="12"/>
  </w:num>
  <w:num w:numId="29">
    <w:abstractNumId w:val="29"/>
  </w:num>
  <w:num w:numId="30">
    <w:abstractNumId w:val="12"/>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20"/>
  </w:num>
  <w:num w:numId="34">
    <w:abstractNumId w:val="15"/>
  </w:num>
  <w:num w:numId="35">
    <w:abstractNumId w:val="32"/>
  </w:num>
  <w:num w:numId="36">
    <w:abstractNumId w:val="34"/>
  </w:num>
  <w:num w:numId="37">
    <w:abstractNumId w:val="26"/>
  </w:num>
  <w:num w:numId="38">
    <w:abstractNumId w:val="16"/>
  </w:num>
  <w:num w:numId="39">
    <w:abstractNumId w:val="13"/>
  </w:num>
  <w:num w:numId="40">
    <w:abstractNumId w:val="18"/>
  </w:num>
  <w:num w:numId="41">
    <w:abstractNumId w:val="25"/>
  </w:num>
  <w:num w:numId="42">
    <w:abstractNumId w:val="11"/>
  </w:num>
  <w:num w:numId="43">
    <w:abstractNumId w:val="31"/>
  </w:num>
  <w:num w:numId="44">
    <w:abstractNumId w:val="23"/>
  </w:num>
  <w:num w:numId="45">
    <w:abstractNumId w:val="24"/>
  </w:num>
  <w:num w:numId="46">
    <w:abstractNumId w:val="19"/>
  </w:num>
  <w:num w:numId="47">
    <w:abstractNumId w:val="21"/>
  </w:num>
  <w:num w:numId="48">
    <w:abstractNumId w:val="17"/>
  </w:num>
  <w:num w:numId="49">
    <w:abstractNumId w:val="3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23"/>
    <w:rsid w:val="000005CE"/>
    <w:rsid w:val="00003065"/>
    <w:rsid w:val="00007BFD"/>
    <w:rsid w:val="00011B0A"/>
    <w:rsid w:val="00012D9A"/>
    <w:rsid w:val="00017547"/>
    <w:rsid w:val="0002698B"/>
    <w:rsid w:val="000310C9"/>
    <w:rsid w:val="000408A9"/>
    <w:rsid w:val="000408CA"/>
    <w:rsid w:val="0004281B"/>
    <w:rsid w:val="000479A9"/>
    <w:rsid w:val="00052A17"/>
    <w:rsid w:val="00053F0B"/>
    <w:rsid w:val="00063BDC"/>
    <w:rsid w:val="00064DF5"/>
    <w:rsid w:val="00070394"/>
    <w:rsid w:val="0008429E"/>
    <w:rsid w:val="00085A69"/>
    <w:rsid w:val="00086A16"/>
    <w:rsid w:val="00095D01"/>
    <w:rsid w:val="000A1A18"/>
    <w:rsid w:val="000C170D"/>
    <w:rsid w:val="000D08AA"/>
    <w:rsid w:val="000D09FA"/>
    <w:rsid w:val="000D2D92"/>
    <w:rsid w:val="000D3C00"/>
    <w:rsid w:val="000D4461"/>
    <w:rsid w:val="000E2DC1"/>
    <w:rsid w:val="000E345B"/>
    <w:rsid w:val="000E3CDF"/>
    <w:rsid w:val="000F20CF"/>
    <w:rsid w:val="000F6CC0"/>
    <w:rsid w:val="00106BAD"/>
    <w:rsid w:val="00111DAB"/>
    <w:rsid w:val="0011247C"/>
    <w:rsid w:val="0012246A"/>
    <w:rsid w:val="0012596F"/>
    <w:rsid w:val="00126673"/>
    <w:rsid w:val="00126811"/>
    <w:rsid w:val="001306FB"/>
    <w:rsid w:val="00135EA7"/>
    <w:rsid w:val="001502F1"/>
    <w:rsid w:val="00150AEE"/>
    <w:rsid w:val="00153232"/>
    <w:rsid w:val="00186C8C"/>
    <w:rsid w:val="00187A6C"/>
    <w:rsid w:val="00190FDD"/>
    <w:rsid w:val="00197A23"/>
    <w:rsid w:val="001B2D90"/>
    <w:rsid w:val="001B422C"/>
    <w:rsid w:val="001C551C"/>
    <w:rsid w:val="001D3046"/>
    <w:rsid w:val="001D3B1C"/>
    <w:rsid w:val="001D3D9C"/>
    <w:rsid w:val="001D505A"/>
    <w:rsid w:val="001D7D3C"/>
    <w:rsid w:val="001E00D2"/>
    <w:rsid w:val="001E0193"/>
    <w:rsid w:val="001E2225"/>
    <w:rsid w:val="001E5DC0"/>
    <w:rsid w:val="001E71EC"/>
    <w:rsid w:val="001E7456"/>
    <w:rsid w:val="001F30FC"/>
    <w:rsid w:val="00200401"/>
    <w:rsid w:val="0020182D"/>
    <w:rsid w:val="002036D0"/>
    <w:rsid w:val="0021143E"/>
    <w:rsid w:val="0021212A"/>
    <w:rsid w:val="0021219A"/>
    <w:rsid w:val="00233F57"/>
    <w:rsid w:val="002361E1"/>
    <w:rsid w:val="002375F8"/>
    <w:rsid w:val="002403C8"/>
    <w:rsid w:val="00247811"/>
    <w:rsid w:val="00255A0F"/>
    <w:rsid w:val="00256E9E"/>
    <w:rsid w:val="002571DC"/>
    <w:rsid w:val="00257C85"/>
    <w:rsid w:val="00257E33"/>
    <w:rsid w:val="00260DAE"/>
    <w:rsid w:val="0026542C"/>
    <w:rsid w:val="00267EBC"/>
    <w:rsid w:val="002767C9"/>
    <w:rsid w:val="00284AF8"/>
    <w:rsid w:val="002874F4"/>
    <w:rsid w:val="00295617"/>
    <w:rsid w:val="002A6473"/>
    <w:rsid w:val="002A6F6C"/>
    <w:rsid w:val="002B0B89"/>
    <w:rsid w:val="002B1D55"/>
    <w:rsid w:val="002B5737"/>
    <w:rsid w:val="002B6F5E"/>
    <w:rsid w:val="002D7A12"/>
    <w:rsid w:val="002E0605"/>
    <w:rsid w:val="002E2C24"/>
    <w:rsid w:val="002E32AF"/>
    <w:rsid w:val="002E4210"/>
    <w:rsid w:val="002E5E7D"/>
    <w:rsid w:val="002F0157"/>
    <w:rsid w:val="002F04FE"/>
    <w:rsid w:val="002F2DAC"/>
    <w:rsid w:val="002F4F5B"/>
    <w:rsid w:val="002F5035"/>
    <w:rsid w:val="003001E7"/>
    <w:rsid w:val="00325A38"/>
    <w:rsid w:val="00327A01"/>
    <w:rsid w:val="003321F5"/>
    <w:rsid w:val="00334BE0"/>
    <w:rsid w:val="00337825"/>
    <w:rsid w:val="00337FA3"/>
    <w:rsid w:val="00340359"/>
    <w:rsid w:val="003434B2"/>
    <w:rsid w:val="0034413A"/>
    <w:rsid w:val="00353545"/>
    <w:rsid w:val="00353DE2"/>
    <w:rsid w:val="00353ED4"/>
    <w:rsid w:val="00355884"/>
    <w:rsid w:val="00362912"/>
    <w:rsid w:val="00367A5D"/>
    <w:rsid w:val="003707EE"/>
    <w:rsid w:val="00373B0D"/>
    <w:rsid w:val="00374824"/>
    <w:rsid w:val="003830D9"/>
    <w:rsid w:val="00383381"/>
    <w:rsid w:val="00386A82"/>
    <w:rsid w:val="0038713B"/>
    <w:rsid w:val="003960EB"/>
    <w:rsid w:val="003C5C93"/>
    <w:rsid w:val="003C6C98"/>
    <w:rsid w:val="003C6CBE"/>
    <w:rsid w:val="003D6738"/>
    <w:rsid w:val="003D7A5B"/>
    <w:rsid w:val="003E1542"/>
    <w:rsid w:val="003F0B12"/>
    <w:rsid w:val="003F798E"/>
    <w:rsid w:val="004027FE"/>
    <w:rsid w:val="00405B1C"/>
    <w:rsid w:val="0042251A"/>
    <w:rsid w:val="004255BC"/>
    <w:rsid w:val="0042682B"/>
    <w:rsid w:val="00431FD2"/>
    <w:rsid w:val="0043440F"/>
    <w:rsid w:val="00444BF0"/>
    <w:rsid w:val="00451A00"/>
    <w:rsid w:val="00452217"/>
    <w:rsid w:val="00462257"/>
    <w:rsid w:val="00462548"/>
    <w:rsid w:val="0046692C"/>
    <w:rsid w:val="00477366"/>
    <w:rsid w:val="00482F6B"/>
    <w:rsid w:val="00487AC7"/>
    <w:rsid w:val="00490833"/>
    <w:rsid w:val="00492449"/>
    <w:rsid w:val="004952B7"/>
    <w:rsid w:val="00497716"/>
    <w:rsid w:val="004A4A27"/>
    <w:rsid w:val="004B0742"/>
    <w:rsid w:val="004B4492"/>
    <w:rsid w:val="004B5C59"/>
    <w:rsid w:val="004C10F8"/>
    <w:rsid w:val="004C2EC4"/>
    <w:rsid w:val="004D02C5"/>
    <w:rsid w:val="004D31EB"/>
    <w:rsid w:val="004D521B"/>
    <w:rsid w:val="004D56A1"/>
    <w:rsid w:val="004D5A79"/>
    <w:rsid w:val="004D7117"/>
    <w:rsid w:val="004E0AEB"/>
    <w:rsid w:val="004E13AF"/>
    <w:rsid w:val="004E5A3D"/>
    <w:rsid w:val="004F27CF"/>
    <w:rsid w:val="00502A96"/>
    <w:rsid w:val="005045AF"/>
    <w:rsid w:val="00505CA3"/>
    <w:rsid w:val="00505F1B"/>
    <w:rsid w:val="00506484"/>
    <w:rsid w:val="0051011E"/>
    <w:rsid w:val="00510C0E"/>
    <w:rsid w:val="00513690"/>
    <w:rsid w:val="00520692"/>
    <w:rsid w:val="005209C7"/>
    <w:rsid w:val="00525E24"/>
    <w:rsid w:val="005317C2"/>
    <w:rsid w:val="005324D8"/>
    <w:rsid w:val="0053596A"/>
    <w:rsid w:val="00540921"/>
    <w:rsid w:val="00547263"/>
    <w:rsid w:val="00552CA7"/>
    <w:rsid w:val="00555653"/>
    <w:rsid w:val="00563F24"/>
    <w:rsid w:val="00565DD0"/>
    <w:rsid w:val="005743DF"/>
    <w:rsid w:val="00584A8F"/>
    <w:rsid w:val="0058780C"/>
    <w:rsid w:val="00592F34"/>
    <w:rsid w:val="005934F0"/>
    <w:rsid w:val="0059464C"/>
    <w:rsid w:val="005B3AB8"/>
    <w:rsid w:val="005B5B14"/>
    <w:rsid w:val="005B705D"/>
    <w:rsid w:val="005C493C"/>
    <w:rsid w:val="005C7A7C"/>
    <w:rsid w:val="005D646E"/>
    <w:rsid w:val="005E6AF8"/>
    <w:rsid w:val="0060613D"/>
    <w:rsid w:val="00606F5A"/>
    <w:rsid w:val="0060742D"/>
    <w:rsid w:val="006128BA"/>
    <w:rsid w:val="00615AEF"/>
    <w:rsid w:val="00616BB5"/>
    <w:rsid w:val="0062737B"/>
    <w:rsid w:val="006352A2"/>
    <w:rsid w:val="00636918"/>
    <w:rsid w:val="00646193"/>
    <w:rsid w:val="00646205"/>
    <w:rsid w:val="00646C7A"/>
    <w:rsid w:val="006548E3"/>
    <w:rsid w:val="00665727"/>
    <w:rsid w:val="0066616F"/>
    <w:rsid w:val="00672456"/>
    <w:rsid w:val="00672859"/>
    <w:rsid w:val="00677A36"/>
    <w:rsid w:val="00686723"/>
    <w:rsid w:val="0068743E"/>
    <w:rsid w:val="006879E1"/>
    <w:rsid w:val="00694CE8"/>
    <w:rsid w:val="00695B7F"/>
    <w:rsid w:val="006A050B"/>
    <w:rsid w:val="006A394F"/>
    <w:rsid w:val="006A5169"/>
    <w:rsid w:val="006B188C"/>
    <w:rsid w:val="006C1429"/>
    <w:rsid w:val="006D26EE"/>
    <w:rsid w:val="006E1272"/>
    <w:rsid w:val="006E1389"/>
    <w:rsid w:val="006E1B5F"/>
    <w:rsid w:val="006E4003"/>
    <w:rsid w:val="0070055F"/>
    <w:rsid w:val="007236E2"/>
    <w:rsid w:val="0072439F"/>
    <w:rsid w:val="007403DD"/>
    <w:rsid w:val="0074166D"/>
    <w:rsid w:val="0074761E"/>
    <w:rsid w:val="007507FB"/>
    <w:rsid w:val="007514F9"/>
    <w:rsid w:val="007539A4"/>
    <w:rsid w:val="0075485E"/>
    <w:rsid w:val="00757981"/>
    <w:rsid w:val="00763CD6"/>
    <w:rsid w:val="007652D7"/>
    <w:rsid w:val="00781FF4"/>
    <w:rsid w:val="0078465C"/>
    <w:rsid w:val="00786B63"/>
    <w:rsid w:val="0079157A"/>
    <w:rsid w:val="007964FD"/>
    <w:rsid w:val="00797647"/>
    <w:rsid w:val="007A463E"/>
    <w:rsid w:val="007A5A01"/>
    <w:rsid w:val="007B2167"/>
    <w:rsid w:val="007B4BBA"/>
    <w:rsid w:val="007C3BF8"/>
    <w:rsid w:val="007C6AF8"/>
    <w:rsid w:val="007D0A3E"/>
    <w:rsid w:val="007E6359"/>
    <w:rsid w:val="007F190E"/>
    <w:rsid w:val="007F41E4"/>
    <w:rsid w:val="00800585"/>
    <w:rsid w:val="008052F3"/>
    <w:rsid w:val="00805B61"/>
    <w:rsid w:val="008117CF"/>
    <w:rsid w:val="00812884"/>
    <w:rsid w:val="00816255"/>
    <w:rsid w:val="008204C0"/>
    <w:rsid w:val="008220DE"/>
    <w:rsid w:val="00822890"/>
    <w:rsid w:val="008261CD"/>
    <w:rsid w:val="00836BEF"/>
    <w:rsid w:val="008461C0"/>
    <w:rsid w:val="008569C7"/>
    <w:rsid w:val="00857706"/>
    <w:rsid w:val="0086564B"/>
    <w:rsid w:val="00867F6E"/>
    <w:rsid w:val="00870FFC"/>
    <w:rsid w:val="00872E1D"/>
    <w:rsid w:val="0087747C"/>
    <w:rsid w:val="00884E3B"/>
    <w:rsid w:val="00897C76"/>
    <w:rsid w:val="008A2949"/>
    <w:rsid w:val="008A62E3"/>
    <w:rsid w:val="008B5DBD"/>
    <w:rsid w:val="008D1492"/>
    <w:rsid w:val="008D3550"/>
    <w:rsid w:val="008E3335"/>
    <w:rsid w:val="008E71E2"/>
    <w:rsid w:val="008F4CC6"/>
    <w:rsid w:val="00900341"/>
    <w:rsid w:val="0090114A"/>
    <w:rsid w:val="00907579"/>
    <w:rsid w:val="00907DF5"/>
    <w:rsid w:val="00910073"/>
    <w:rsid w:val="00910608"/>
    <w:rsid w:val="00916B48"/>
    <w:rsid w:val="00921341"/>
    <w:rsid w:val="00922ADE"/>
    <w:rsid w:val="0092635A"/>
    <w:rsid w:val="00955011"/>
    <w:rsid w:val="00957744"/>
    <w:rsid w:val="009660BE"/>
    <w:rsid w:val="00970A4C"/>
    <w:rsid w:val="009753C7"/>
    <w:rsid w:val="00976332"/>
    <w:rsid w:val="0098213D"/>
    <w:rsid w:val="00982F5F"/>
    <w:rsid w:val="00983285"/>
    <w:rsid w:val="00997550"/>
    <w:rsid w:val="009A1820"/>
    <w:rsid w:val="009A2AB0"/>
    <w:rsid w:val="009C13E7"/>
    <w:rsid w:val="009C4EA2"/>
    <w:rsid w:val="009C68BE"/>
    <w:rsid w:val="009D655A"/>
    <w:rsid w:val="009F1036"/>
    <w:rsid w:val="009F14CA"/>
    <w:rsid w:val="009F210E"/>
    <w:rsid w:val="00A00652"/>
    <w:rsid w:val="00A06B35"/>
    <w:rsid w:val="00A06EE8"/>
    <w:rsid w:val="00A17687"/>
    <w:rsid w:val="00A22ABD"/>
    <w:rsid w:val="00A30827"/>
    <w:rsid w:val="00A315E5"/>
    <w:rsid w:val="00A352E1"/>
    <w:rsid w:val="00A37017"/>
    <w:rsid w:val="00A37061"/>
    <w:rsid w:val="00A40179"/>
    <w:rsid w:val="00A46AE2"/>
    <w:rsid w:val="00A60443"/>
    <w:rsid w:val="00A6436F"/>
    <w:rsid w:val="00A83A91"/>
    <w:rsid w:val="00A85FF7"/>
    <w:rsid w:val="00A9020D"/>
    <w:rsid w:val="00A94F7C"/>
    <w:rsid w:val="00AD0DF4"/>
    <w:rsid w:val="00AD1B9A"/>
    <w:rsid w:val="00AD26ED"/>
    <w:rsid w:val="00AD63F0"/>
    <w:rsid w:val="00AD72D3"/>
    <w:rsid w:val="00AE11B8"/>
    <w:rsid w:val="00AE34E7"/>
    <w:rsid w:val="00AE42A5"/>
    <w:rsid w:val="00AE4B9E"/>
    <w:rsid w:val="00AE6672"/>
    <w:rsid w:val="00B107DB"/>
    <w:rsid w:val="00B10870"/>
    <w:rsid w:val="00B13CBE"/>
    <w:rsid w:val="00B16FD2"/>
    <w:rsid w:val="00B20803"/>
    <w:rsid w:val="00B20CD1"/>
    <w:rsid w:val="00B21A37"/>
    <w:rsid w:val="00B30132"/>
    <w:rsid w:val="00B329E5"/>
    <w:rsid w:val="00B455AE"/>
    <w:rsid w:val="00B50B07"/>
    <w:rsid w:val="00B7328D"/>
    <w:rsid w:val="00B75A8B"/>
    <w:rsid w:val="00B86627"/>
    <w:rsid w:val="00B86EF7"/>
    <w:rsid w:val="00BA13DF"/>
    <w:rsid w:val="00BA1523"/>
    <w:rsid w:val="00BB0193"/>
    <w:rsid w:val="00BB6D9B"/>
    <w:rsid w:val="00BC5085"/>
    <w:rsid w:val="00BE3E3D"/>
    <w:rsid w:val="00BE5007"/>
    <w:rsid w:val="00BF26BD"/>
    <w:rsid w:val="00C06FD8"/>
    <w:rsid w:val="00C11B21"/>
    <w:rsid w:val="00C1400C"/>
    <w:rsid w:val="00C208CA"/>
    <w:rsid w:val="00C25FA1"/>
    <w:rsid w:val="00C466A5"/>
    <w:rsid w:val="00C51BBE"/>
    <w:rsid w:val="00C5285C"/>
    <w:rsid w:val="00C614C0"/>
    <w:rsid w:val="00C619BC"/>
    <w:rsid w:val="00C61B44"/>
    <w:rsid w:val="00C62913"/>
    <w:rsid w:val="00C84036"/>
    <w:rsid w:val="00C90B35"/>
    <w:rsid w:val="00C95FF9"/>
    <w:rsid w:val="00C960CB"/>
    <w:rsid w:val="00C97F58"/>
    <w:rsid w:val="00CB3A0E"/>
    <w:rsid w:val="00CC05EA"/>
    <w:rsid w:val="00CC201A"/>
    <w:rsid w:val="00CC3DDB"/>
    <w:rsid w:val="00CF1FC4"/>
    <w:rsid w:val="00CF22C4"/>
    <w:rsid w:val="00D02242"/>
    <w:rsid w:val="00D06576"/>
    <w:rsid w:val="00D079B4"/>
    <w:rsid w:val="00D104E9"/>
    <w:rsid w:val="00D14049"/>
    <w:rsid w:val="00D205A4"/>
    <w:rsid w:val="00D21999"/>
    <w:rsid w:val="00D27743"/>
    <w:rsid w:val="00D3369B"/>
    <w:rsid w:val="00D356BB"/>
    <w:rsid w:val="00D574CD"/>
    <w:rsid w:val="00D75217"/>
    <w:rsid w:val="00D75931"/>
    <w:rsid w:val="00D92A40"/>
    <w:rsid w:val="00D95999"/>
    <w:rsid w:val="00DA0A68"/>
    <w:rsid w:val="00DA11B0"/>
    <w:rsid w:val="00DA2D7D"/>
    <w:rsid w:val="00DB264D"/>
    <w:rsid w:val="00DB6EF4"/>
    <w:rsid w:val="00DC706D"/>
    <w:rsid w:val="00DC74D3"/>
    <w:rsid w:val="00DC7EF3"/>
    <w:rsid w:val="00DE0A59"/>
    <w:rsid w:val="00DF4EAD"/>
    <w:rsid w:val="00E00EFF"/>
    <w:rsid w:val="00E04F77"/>
    <w:rsid w:val="00E0637C"/>
    <w:rsid w:val="00E1225E"/>
    <w:rsid w:val="00E1430F"/>
    <w:rsid w:val="00E17281"/>
    <w:rsid w:val="00E237E2"/>
    <w:rsid w:val="00E24BFF"/>
    <w:rsid w:val="00E2661F"/>
    <w:rsid w:val="00E2674A"/>
    <w:rsid w:val="00E32CE9"/>
    <w:rsid w:val="00E36C9E"/>
    <w:rsid w:val="00E448C7"/>
    <w:rsid w:val="00E45B05"/>
    <w:rsid w:val="00E50480"/>
    <w:rsid w:val="00E55A7E"/>
    <w:rsid w:val="00E56309"/>
    <w:rsid w:val="00E63012"/>
    <w:rsid w:val="00E6346C"/>
    <w:rsid w:val="00E71019"/>
    <w:rsid w:val="00E71408"/>
    <w:rsid w:val="00E733AA"/>
    <w:rsid w:val="00E76F61"/>
    <w:rsid w:val="00E82C2C"/>
    <w:rsid w:val="00E83D82"/>
    <w:rsid w:val="00E9229F"/>
    <w:rsid w:val="00E92F77"/>
    <w:rsid w:val="00E96618"/>
    <w:rsid w:val="00EA5DFF"/>
    <w:rsid w:val="00EB32E0"/>
    <w:rsid w:val="00ED0263"/>
    <w:rsid w:val="00ED3926"/>
    <w:rsid w:val="00ED48F3"/>
    <w:rsid w:val="00EE567A"/>
    <w:rsid w:val="00EE69E6"/>
    <w:rsid w:val="00EF0C4C"/>
    <w:rsid w:val="00EF496F"/>
    <w:rsid w:val="00EF5EE9"/>
    <w:rsid w:val="00EF729B"/>
    <w:rsid w:val="00F111CF"/>
    <w:rsid w:val="00F114BC"/>
    <w:rsid w:val="00F12FD3"/>
    <w:rsid w:val="00F1468C"/>
    <w:rsid w:val="00F2124C"/>
    <w:rsid w:val="00F21D11"/>
    <w:rsid w:val="00F225E7"/>
    <w:rsid w:val="00F2517A"/>
    <w:rsid w:val="00F26790"/>
    <w:rsid w:val="00F27CB5"/>
    <w:rsid w:val="00F32AF9"/>
    <w:rsid w:val="00F34F34"/>
    <w:rsid w:val="00F37391"/>
    <w:rsid w:val="00F463FF"/>
    <w:rsid w:val="00F537CC"/>
    <w:rsid w:val="00F560ED"/>
    <w:rsid w:val="00F61518"/>
    <w:rsid w:val="00F62E43"/>
    <w:rsid w:val="00F6460D"/>
    <w:rsid w:val="00F77F5D"/>
    <w:rsid w:val="00F865EB"/>
    <w:rsid w:val="00F930FA"/>
    <w:rsid w:val="00F93C2D"/>
    <w:rsid w:val="00FA0493"/>
    <w:rsid w:val="00FA261A"/>
    <w:rsid w:val="00FA2F99"/>
    <w:rsid w:val="00FA41B6"/>
    <w:rsid w:val="00FA4EF5"/>
    <w:rsid w:val="00FA6D19"/>
    <w:rsid w:val="00FB7A4F"/>
    <w:rsid w:val="00FB7C18"/>
    <w:rsid w:val="00FC30EE"/>
    <w:rsid w:val="00FC5F15"/>
    <w:rsid w:val="00FE11B5"/>
    <w:rsid w:val="00FE4249"/>
    <w:rsid w:val="00FE6C7A"/>
    <w:rsid w:val="00FF1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6D38404"/>
  <w15:chartTrackingRefBased/>
  <w15:docId w15:val="{BA323D52-E9A2-4FCC-8C13-FA0DB264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character" w:customStyle="1" w:styleId="file3">
    <w:name w:val="file3"/>
    <w:basedOn w:val="DefaultParagraphFont"/>
    <w:rsid w:val="00F21D11"/>
    <w:rPr>
      <w:vanish w:val="0"/>
      <w:webHidden w:val="0"/>
      <w:specVanish w:val="0"/>
    </w:rPr>
  </w:style>
  <w:style w:type="paragraph" w:customStyle="1" w:styleId="APRANORMAL">
    <w:name w:val="APRA NORMAL"/>
    <w:basedOn w:val="Normal"/>
    <w:link w:val="APRANORMALChar"/>
    <w:qFormat/>
    <w:rsid w:val="00186C8C"/>
    <w:pPr>
      <w:spacing w:after="240" w:line="240" w:lineRule="auto"/>
    </w:pPr>
    <w:rPr>
      <w:rFonts w:ascii="DIN OT Light" w:eastAsiaTheme="minorHAnsi" w:hAnsi="DIN OT Light" w:cs="Times New Roman"/>
      <w:lang w:val="en-GB" w:eastAsia="en-US"/>
    </w:rPr>
  </w:style>
  <w:style w:type="character" w:customStyle="1" w:styleId="APRANORMALChar">
    <w:name w:val="APRA NORMAL Char"/>
    <w:basedOn w:val="DefaultParagraphFont"/>
    <w:link w:val="APRANORMAL"/>
    <w:rsid w:val="00186C8C"/>
    <w:rPr>
      <w:rFonts w:ascii="DIN OT Light" w:hAnsi="DIN OT Light"/>
      <w:lang w:val="en-GB"/>
    </w:rPr>
  </w:style>
  <w:style w:type="table" w:customStyle="1" w:styleId="TableGrid1">
    <w:name w:val="Table Grid1"/>
    <w:basedOn w:val="TableNormal"/>
    <w:next w:val="TableGrid"/>
    <w:uiPriority w:val="59"/>
    <w:rsid w:val="00B7328D"/>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3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976332"/>
    <w:pPr>
      <w:spacing w:after="0" w:line="240" w:lineRule="auto"/>
      <w:jc w:val="both"/>
    </w:pPr>
    <w:rPr>
      <w:rFonts w:ascii="Trebuchet MS" w:eastAsia="Times New Roman" w:hAnsi="Trebuchet MS" w:cs="Times New Roman"/>
      <w:b/>
      <w:sz w:val="26"/>
    </w:rPr>
  </w:style>
  <w:style w:type="paragraph" w:customStyle="1" w:styleId="heading0">
    <w:name w:val="heading"/>
    <w:basedOn w:val="Normal"/>
    <w:rsid w:val="00A94F7C"/>
    <w:pPr>
      <w:spacing w:before="100" w:beforeAutospacing="1" w:after="100" w:afterAutospacing="1"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E5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8232">
      <w:bodyDiv w:val="1"/>
      <w:marLeft w:val="0"/>
      <w:marRight w:val="0"/>
      <w:marTop w:val="0"/>
      <w:marBottom w:val="0"/>
      <w:divBdr>
        <w:top w:val="none" w:sz="0" w:space="0" w:color="auto"/>
        <w:left w:val="none" w:sz="0" w:space="0" w:color="auto"/>
        <w:bottom w:val="none" w:sz="0" w:space="0" w:color="auto"/>
        <w:right w:val="none" w:sz="0" w:space="0" w:color="auto"/>
      </w:divBdr>
    </w:div>
    <w:div w:id="319121523">
      <w:bodyDiv w:val="1"/>
      <w:marLeft w:val="0"/>
      <w:marRight w:val="0"/>
      <w:marTop w:val="0"/>
      <w:marBottom w:val="0"/>
      <w:divBdr>
        <w:top w:val="none" w:sz="0" w:space="0" w:color="auto"/>
        <w:left w:val="none" w:sz="0" w:space="0" w:color="auto"/>
        <w:bottom w:val="none" w:sz="0" w:space="0" w:color="auto"/>
        <w:right w:val="none" w:sz="0" w:space="0" w:color="auto"/>
      </w:divBdr>
    </w:div>
    <w:div w:id="625234459">
      <w:bodyDiv w:val="1"/>
      <w:marLeft w:val="0"/>
      <w:marRight w:val="0"/>
      <w:marTop w:val="0"/>
      <w:marBottom w:val="0"/>
      <w:divBdr>
        <w:top w:val="none" w:sz="0" w:space="0" w:color="auto"/>
        <w:left w:val="none" w:sz="0" w:space="0" w:color="auto"/>
        <w:bottom w:val="none" w:sz="0" w:space="0" w:color="auto"/>
        <w:right w:val="none" w:sz="0" w:space="0" w:color="auto"/>
      </w:divBdr>
    </w:div>
    <w:div w:id="625281160">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721557304">
      <w:bodyDiv w:val="1"/>
      <w:marLeft w:val="0"/>
      <w:marRight w:val="0"/>
      <w:marTop w:val="0"/>
      <w:marBottom w:val="0"/>
      <w:divBdr>
        <w:top w:val="none" w:sz="0" w:space="0" w:color="auto"/>
        <w:left w:val="none" w:sz="0" w:space="0" w:color="auto"/>
        <w:bottom w:val="none" w:sz="0" w:space="0" w:color="auto"/>
        <w:right w:val="none" w:sz="0" w:space="0" w:color="auto"/>
      </w:divBdr>
      <w:divsChild>
        <w:div w:id="1715619245">
          <w:marLeft w:val="0"/>
          <w:marRight w:val="0"/>
          <w:marTop w:val="0"/>
          <w:marBottom w:val="0"/>
          <w:divBdr>
            <w:top w:val="none" w:sz="0" w:space="0" w:color="auto"/>
            <w:left w:val="none" w:sz="0" w:space="0" w:color="auto"/>
            <w:bottom w:val="none" w:sz="0" w:space="0" w:color="auto"/>
            <w:right w:val="none" w:sz="0" w:space="0" w:color="auto"/>
          </w:divBdr>
        </w:div>
        <w:div w:id="520778127">
          <w:marLeft w:val="0"/>
          <w:marRight w:val="0"/>
          <w:marTop w:val="0"/>
          <w:marBottom w:val="0"/>
          <w:divBdr>
            <w:top w:val="none" w:sz="0" w:space="0" w:color="auto"/>
            <w:left w:val="none" w:sz="0" w:space="0" w:color="auto"/>
            <w:bottom w:val="none" w:sz="0" w:space="0" w:color="auto"/>
            <w:right w:val="none" w:sz="0" w:space="0" w:color="auto"/>
          </w:divBdr>
          <w:divsChild>
            <w:div w:id="1869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5518">
      <w:bodyDiv w:val="1"/>
      <w:marLeft w:val="0"/>
      <w:marRight w:val="0"/>
      <w:marTop w:val="0"/>
      <w:marBottom w:val="0"/>
      <w:divBdr>
        <w:top w:val="none" w:sz="0" w:space="0" w:color="auto"/>
        <w:left w:val="none" w:sz="0" w:space="0" w:color="auto"/>
        <w:bottom w:val="none" w:sz="0" w:space="0" w:color="auto"/>
        <w:right w:val="none" w:sz="0" w:space="0" w:color="auto"/>
      </w:divBdr>
    </w:div>
    <w:div w:id="18546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proposed-revisions-to-credit-risk-management-framework-for-authorised-deposit-taking-institutions"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1 of 2022 and Financial Sector (Collection of Data) (reporting standard) determination No. 11 of 2022
</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5JENXJJSCC7A-445999044-11813</_dlc_DocId>
    <_dlc_DocIdUrl xmlns="814d62cb-2db6-4c25-ab62-b9075facbc11">
      <Url>https://im/teams/LEGAL/_layouts/15/DocIdRedir.aspx?ID=5JENXJJSCC7A-445999044-11813</Url>
      <Description>5JENXJJSCC7A-445999044-11813</Description>
    </_dlc_DocIdUrl>
  </documentManagement>
</p:properties>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881DA-AF8E-4C2A-A370-23023AE3BE2D}">
  <ds:schemaRefs>
    <ds:schemaRef ds:uri="Microsoft.SharePoint.Taxonomy.ContentTypeSync"/>
  </ds:schemaRefs>
</ds:datastoreItem>
</file>

<file path=customXml/itemProps2.xml><?xml version="1.0" encoding="utf-8"?>
<ds:datastoreItem xmlns:ds="http://schemas.openxmlformats.org/officeDocument/2006/customXml" ds:itemID="{26DDF158-2375-440F-B7DD-C6A61BB55509}">
  <ds:schemaRefs>
    <ds:schemaRef ds:uri="http://schemas.openxmlformats.org/officeDocument/2006/bibliography"/>
  </ds:schemaRefs>
</ds:datastoreItem>
</file>

<file path=customXml/itemProps3.xml><?xml version="1.0" encoding="utf-8"?>
<ds:datastoreItem xmlns:ds="http://schemas.openxmlformats.org/officeDocument/2006/customXml" ds:itemID="{99754FC6-DBE0-4266-8CE5-4345E3CC2952}">
  <ds:schemaRefs>
    <ds:schemaRef ds:uri="http://schemas.microsoft.com/sharepoint/v3/contenttype/forms"/>
  </ds:schemaRefs>
</ds:datastoreItem>
</file>

<file path=customXml/itemProps4.xml><?xml version="1.0" encoding="utf-8"?>
<ds:datastoreItem xmlns:ds="http://schemas.openxmlformats.org/officeDocument/2006/customXml" ds:itemID="{A53689CC-1C5F-4B67-A459-50703C30913E}">
  <ds:schemaRefs>
    <ds:schemaRef ds:uri="http://schemas.microsoft.com/sharepoint/events"/>
  </ds:schemaRefs>
</ds:datastoreItem>
</file>

<file path=customXml/itemProps5.xml><?xml version="1.0" encoding="utf-8"?>
<ds:datastoreItem xmlns:ds="http://schemas.openxmlformats.org/officeDocument/2006/customXml" ds:itemID="{01AA6352-3106-40B5-B7EF-36EB35FDFB23}">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814d62cb-2db6-4c25-ab62-b9075facbc11"/>
  </ds:schemaRefs>
</ds:datastoreItem>
</file>

<file path=customXml/itemProps6.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7.xml><?xml version="1.0" encoding="utf-8"?>
<ds:datastoreItem xmlns:ds="http://schemas.openxmlformats.org/officeDocument/2006/customXml" ds:itemID="{36B406AC-96AD-429E-87A7-D9A0C023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1930</Words>
  <Characters>10544</Characters>
  <Application>Microsoft Office Word</Application>
  <DocSecurity>0</DocSecurity>
  <Lines>178</Lines>
  <Paragraphs>77</Paragraphs>
  <ScaleCrop>false</ScaleCrop>
  <HeadingPairs>
    <vt:vector size="2" baseType="variant">
      <vt:variant>
        <vt:lpstr>Title</vt:lpstr>
      </vt:variant>
      <vt:variant>
        <vt:i4>1</vt:i4>
      </vt:variant>
    </vt:vector>
  </HeadingPairs>
  <TitlesOfParts>
    <vt:vector size="1" baseType="lpstr">
      <vt:lpstr>APS 220 reforms</vt:lpstr>
    </vt:vector>
  </TitlesOfParts>
  <Company>APRA</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220 reforms</dc:title>
  <dc:subject/>
  <dc:creator>Riley, Paul</dc:creator>
  <cp:keywords>[SEC=OFFICIAL]</cp:keywords>
  <dc:description/>
  <cp:lastModifiedBy>Toni Michalis</cp:lastModifiedBy>
  <cp:revision>2</cp:revision>
  <cp:lastPrinted>2020-02-27T05:07:00Z</cp:lastPrinted>
  <dcterms:created xsi:type="dcterms:W3CDTF">2022-08-22T09:27:00Z</dcterms:created>
  <dcterms:modified xsi:type="dcterms:W3CDTF">2022-08-22T09:27:00Z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2018.0</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ContentTypeId">
    <vt:lpwstr>0x0101008CA7A4F8331B45C7B0D3158B4994D0CA0200577EC0F5A1FBFC498F9A8436B963F8A6</vt:lpwstr>
  </property>
  <property fmtid="{D5CDD505-2E9C-101B-9397-08002B2CF9AE}" pid="11" name="APRAPeriod">
    <vt:lpwstr/>
  </property>
  <property fmtid="{D5CDD505-2E9C-101B-9397-08002B2CF9AE}" pid="12" name="APRAPRSG">
    <vt:lpwstr/>
  </property>
  <property fmtid="{D5CDD505-2E9C-101B-9397-08002B2CF9AE}" pid="13" name="APRAActivity">
    <vt:lpwstr>10;#Registration|390476ce-d76d-4e8d-905f-28e32d2df127;#109;#Statutory instrument|fe68928c-5a9c-4caf-bc8c-6c18cedcb17f</vt:lpwstr>
  </property>
  <property fmtid="{D5CDD505-2E9C-101B-9397-08002B2CF9AE}" pid="14" name="APRAYear">
    <vt:lpwstr/>
  </property>
  <property fmtid="{D5CDD505-2E9C-101B-9397-08002B2CF9AE}" pid="15" name="APRAIndustry">
    <vt:lpwstr/>
  </property>
  <property fmtid="{D5CDD505-2E9C-101B-9397-08002B2CF9AE}" pid="16" name="_dlc_DocIdItemGuid">
    <vt:lpwstr>3f5ac774-0c4f-4033-b78a-1fb58cc7b6e3</vt:lpwstr>
  </property>
  <property fmtid="{D5CDD505-2E9C-101B-9397-08002B2CF9AE}" pid="17" name="RecordPoint_WorkflowType">
    <vt:lpwstr>ActiveSubmitStub</vt:lpwstr>
  </property>
  <property fmtid="{D5CDD505-2E9C-101B-9397-08002B2CF9AE}" pid="18" name="RecordPoint_ActiveItemWebId">
    <vt:lpwstr>{75a71c27-8d66-4282-ae60-1bfc22a83be1}</vt:lpwstr>
  </property>
  <property fmtid="{D5CDD505-2E9C-101B-9397-08002B2CF9AE}" pid="19" name="RecordPoint_ActiveItemSiteId">
    <vt:lpwstr>{88691c01-5bbb-4215-adc0-66cb7065b0af}</vt:lpwstr>
  </property>
  <property fmtid="{D5CDD505-2E9C-101B-9397-08002B2CF9AE}" pid="20" name="RecordPoint_ActiveItemListId">
    <vt:lpwstr>{0e59e171-09d8-4401-800a-327154450cb3}</vt:lpwstr>
  </property>
  <property fmtid="{D5CDD505-2E9C-101B-9397-08002B2CF9AE}" pid="21" name="RecordPoint_ActiveItemUniqueId">
    <vt:lpwstr>{3f5ac774-0c4f-4033-b78a-1fb58cc7b6e3}</vt:lpwstr>
  </property>
  <property fmtid="{D5CDD505-2E9C-101B-9397-08002B2CF9AE}" pid="22" name="IsLocked">
    <vt:lpwstr>False</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IT system type">
    <vt:lpwstr/>
  </property>
  <property fmtid="{D5CDD505-2E9C-101B-9397-08002B2CF9AE}" pid="25" name="APRACategory">
    <vt:lpwstr/>
  </property>
  <property fmtid="{D5CDD505-2E9C-101B-9397-08002B2CF9AE}" pid="26" name="APRADocumentType">
    <vt:lpwstr>234;#Explanatory statement|b22f2e2f-3f73-411b-9a7c-34264d26fa25</vt:lpwstr>
  </property>
  <property fmtid="{D5CDD505-2E9C-101B-9397-08002B2CF9AE}" pid="27" name="APRAStatus">
    <vt:lpwstr>19;#Final|84d6b2d0-8498-4d62-bf46-bab38babbe9e</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RecordNumberSubmitted">
    <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y fmtid="{D5CDD505-2E9C-101B-9397-08002B2CF9AE}" pid="36" name="PM_ProtectiveMarkingImage_Header">
    <vt:lpwstr>C:\Program Files\Common Files\janusNET Shared\janusSEAL\Images\DocumentSlashBlue.png</vt:lpwstr>
  </property>
  <property fmtid="{D5CDD505-2E9C-101B-9397-08002B2CF9AE}" pid="37" name="PM_ProtectiveMarkingValue_Header">
    <vt:lpwstr>OFFICIAL</vt:lpwstr>
  </property>
  <property fmtid="{D5CDD505-2E9C-101B-9397-08002B2CF9AE}" pid="38" name="PM_ProtectiveMarkingValue_Footer">
    <vt:lpwstr>OFFICIAL</vt:lpwstr>
  </property>
  <property fmtid="{D5CDD505-2E9C-101B-9397-08002B2CF9AE}" pid="39" name="PM_ProtectiveMarkingImage_Footer">
    <vt:lpwstr>C:\Program Files\Common Files\janusNET Shared\janusSEAL\Images\DocumentSlashBlue.png</vt:lpwstr>
  </property>
  <property fmtid="{D5CDD505-2E9C-101B-9397-08002B2CF9AE}" pid="40" name="PM_Namespace">
    <vt:lpwstr>gov.au</vt:lpwstr>
  </property>
  <property fmtid="{D5CDD505-2E9C-101B-9397-08002B2CF9AE}" pid="41" name="PM_Version">
    <vt:lpwstr>2018.3</vt:lpwstr>
  </property>
  <property fmtid="{D5CDD505-2E9C-101B-9397-08002B2CF9AE}" pid="42" name="PM_Originating_FileId">
    <vt:lpwstr>F332679B1927465F8CECD392533AFEAC</vt:lpwstr>
  </property>
  <property fmtid="{D5CDD505-2E9C-101B-9397-08002B2CF9AE}" pid="43" name="PM_Note">
    <vt:lpwstr/>
  </property>
  <property fmtid="{D5CDD505-2E9C-101B-9397-08002B2CF9AE}" pid="44" name="PM_Markers">
    <vt:lpwstr/>
  </property>
  <property fmtid="{D5CDD505-2E9C-101B-9397-08002B2CF9AE}" pid="45" name="_docset_NoMedatataSyncRequired">
    <vt:lpwstr>False</vt:lpwstr>
  </property>
  <property fmtid="{D5CDD505-2E9C-101B-9397-08002B2CF9AE}" pid="46" name="PM_Display">
    <vt:lpwstr>OFFICIAL</vt:lpwstr>
  </property>
  <property fmtid="{D5CDD505-2E9C-101B-9397-08002B2CF9AE}" pid="47" name="PM_OriginatorDomainName_SHA256">
    <vt:lpwstr>ECBDE2B44A971754412B3FB70606937A119CC0D4B6C1B658A40FBD41C30BE3EC</vt:lpwstr>
  </property>
  <property fmtid="{D5CDD505-2E9C-101B-9397-08002B2CF9AE}" pid="48" name="PM_MinimumSecurityClassification">
    <vt:lpwstr/>
  </property>
  <property fmtid="{D5CDD505-2E9C-101B-9397-08002B2CF9AE}" pid="49" name="PMUuid">
    <vt:lpwstr>2A74E7A6-2821-5142-8C4A-BF7684DF216B</vt:lpwstr>
  </property>
  <property fmtid="{D5CDD505-2E9C-101B-9397-08002B2CF9AE}" pid="50" name="PMUuidVer">
    <vt:lpwstr>2022.1</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PM_Hash_SHA1">
    <vt:lpwstr>6A5D303E041CF28900D63520936C651A486E3B5C</vt:lpwstr>
  </property>
  <property fmtid="{D5CDD505-2E9C-101B-9397-08002B2CF9AE}" pid="55" name="PM_Hash_Salt">
    <vt:lpwstr>AFD922389826E13A0A34A12DD8CB6342</vt:lpwstr>
  </property>
  <property fmtid="{D5CDD505-2E9C-101B-9397-08002B2CF9AE}" pid="56" name="PM_Hash_Salt_Prev">
    <vt:lpwstr>93BA45CA80F46EEEA1242DC820CF2940</vt:lpwstr>
  </property>
  <property fmtid="{D5CDD505-2E9C-101B-9397-08002B2CF9AE}" pid="57" name="RecordPoint_SubmissionCompleted">
    <vt:lpwstr/>
  </property>
  <property fmtid="{D5CDD505-2E9C-101B-9397-08002B2CF9AE}" pid="58" name="PM_OriginationTimeStamp">
    <vt:lpwstr>2022-08-22T09:26:18Z</vt:lpwstr>
  </property>
  <property fmtid="{D5CDD505-2E9C-101B-9397-08002B2CF9AE}" pid="59" name="MSIP_Label_c0129afb-6481-4f92-bc9f-5a4a6346364d_SetDate">
    <vt:lpwstr>2022-08-22T06:50:12Z</vt:lpwstr>
  </property>
  <property fmtid="{D5CDD505-2E9C-101B-9397-08002B2CF9AE}" pid="60" name="PM_Originator_Hash_SHA1">
    <vt:lpwstr>C3AD57350F36D8E1BD75F8F67CB06D435C9C43CA</vt:lpwstr>
  </property>
  <property fmtid="{D5CDD505-2E9C-101B-9397-08002B2CF9AE}" pid="61" name="PM_OriginatorUserAccountName_SHA256">
    <vt:lpwstr>6E3018F28A186D2E5FF5207C041E7A82E907C3008E071057026A53705873B72E</vt:lpwstr>
  </property>
</Properties>
</file>