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4152" w14:textId="7400A42A" w:rsidR="00B741D9" w:rsidRPr="00B741D9" w:rsidRDefault="00B741D9" w:rsidP="00B741D9">
      <w:pPr>
        <w:keepNext/>
        <w:widowControl w:val="0"/>
        <w:spacing w:before="240" w:after="240"/>
        <w:outlineLvl w:val="1"/>
        <w:rPr>
          <w:rFonts w:eastAsia="Times New Roman" w:cs="Arial"/>
          <w:b/>
          <w:bCs/>
          <w:sz w:val="28"/>
        </w:rPr>
      </w:pPr>
      <w:bookmarkStart w:id="0" w:name="_Toc87538393"/>
      <w:bookmarkStart w:id="1" w:name="_Toc90295488"/>
      <w:bookmarkStart w:id="2" w:name="_Toc90308254"/>
      <w:bookmarkStart w:id="3" w:name="_Toc90309841"/>
      <w:bookmarkStart w:id="4" w:name="_Toc99045983"/>
      <w:bookmarkStart w:id="5" w:name="_Toc99635692"/>
      <w:bookmarkStart w:id="6" w:name="_Toc99635741"/>
      <w:bookmarkStart w:id="7" w:name="_Toc103082884"/>
      <w:bookmarkStart w:id="8" w:name="_Toc103256832"/>
      <w:r w:rsidRPr="00B741D9">
        <w:rPr>
          <w:rFonts w:eastAsia="Times New Roman" w:cs="Arial"/>
          <w:b/>
          <w:bCs/>
          <w:sz w:val="28"/>
        </w:rPr>
        <w:t>Explanatory Statement</w:t>
      </w:r>
      <w:bookmarkEnd w:id="0"/>
      <w:bookmarkEnd w:id="1"/>
      <w:bookmarkEnd w:id="2"/>
      <w:bookmarkEnd w:id="3"/>
      <w:bookmarkEnd w:id="4"/>
      <w:bookmarkEnd w:id="5"/>
      <w:bookmarkEnd w:id="6"/>
      <w:bookmarkEnd w:id="7"/>
      <w:bookmarkEnd w:id="8"/>
    </w:p>
    <w:p w14:paraId="4CBD4153" w14:textId="77777777" w:rsidR="00B741D9" w:rsidRPr="00B741D9" w:rsidRDefault="00B741D9" w:rsidP="00B741D9">
      <w:pPr>
        <w:widowControl w:val="0"/>
        <w:numPr>
          <w:ilvl w:val="0"/>
          <w:numId w:val="14"/>
        </w:numPr>
        <w:ind w:hanging="720"/>
        <w:contextualSpacing/>
        <w:rPr>
          <w:rFonts w:eastAsia="Times New Roman" w:cs="Times New Roman"/>
          <w:b/>
          <w:szCs w:val="24"/>
          <w:lang w:val="en-AU" w:eastAsia="en-GB"/>
        </w:rPr>
      </w:pPr>
      <w:r w:rsidRPr="00B741D9">
        <w:rPr>
          <w:rFonts w:eastAsia="Times New Roman" w:cs="Times New Roman"/>
          <w:b/>
          <w:szCs w:val="24"/>
          <w:lang w:val="en-AU" w:eastAsia="en-GB"/>
        </w:rPr>
        <w:t>Authority</w:t>
      </w:r>
    </w:p>
    <w:p w14:paraId="4CBD4154" w14:textId="77777777" w:rsidR="00B741D9" w:rsidRPr="00B741D9" w:rsidRDefault="00B741D9" w:rsidP="00B741D9">
      <w:pPr>
        <w:widowControl w:val="0"/>
        <w:rPr>
          <w:rFonts w:eastAsia="Times New Roman" w:cs="Times New Roman"/>
          <w:szCs w:val="24"/>
          <w:lang w:val="en-AU" w:eastAsia="en-GB"/>
        </w:rPr>
      </w:pPr>
    </w:p>
    <w:p w14:paraId="4CBD4155"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lang w:val="en-AU"/>
        </w:rPr>
        <w:t xml:space="preserve">Section 13 of the </w:t>
      </w:r>
      <w:r w:rsidRPr="00B741D9">
        <w:rPr>
          <w:rFonts w:eastAsia="Calibri" w:cs="Arial"/>
          <w:bCs/>
          <w:i/>
          <w:lang w:val="en-AU"/>
        </w:rPr>
        <w:t>Food Standards Australia New Zealand Act 1991</w:t>
      </w:r>
      <w:r w:rsidRPr="00B741D9">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B741D9">
        <w:rPr>
          <w:rFonts w:eastAsia="Calibri" w:cs="Arial"/>
          <w:bCs/>
          <w:i/>
          <w:lang w:val="en-AU"/>
        </w:rPr>
        <w:t>Australia New Zealand Food Standards Code</w:t>
      </w:r>
      <w:r w:rsidRPr="00B741D9">
        <w:rPr>
          <w:rFonts w:eastAsia="Calibri" w:cs="Arial"/>
          <w:bCs/>
          <w:lang w:val="en-AU"/>
        </w:rPr>
        <w:t xml:space="preserve"> (the Code).</w:t>
      </w:r>
    </w:p>
    <w:p w14:paraId="4CBD4156" w14:textId="77777777" w:rsidR="00B741D9" w:rsidRPr="00B741D9" w:rsidRDefault="00B741D9" w:rsidP="00B741D9">
      <w:pPr>
        <w:autoSpaceDE w:val="0"/>
        <w:autoSpaceDN w:val="0"/>
        <w:adjustRightInd w:val="0"/>
        <w:rPr>
          <w:rFonts w:eastAsia="Calibri" w:cs="Arial"/>
          <w:bCs/>
          <w:lang w:val="en-AU"/>
        </w:rPr>
      </w:pPr>
    </w:p>
    <w:p w14:paraId="4CBD4157"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CBD4158" w14:textId="77777777" w:rsidR="00B741D9" w:rsidRPr="00B741D9" w:rsidRDefault="00B741D9" w:rsidP="00B741D9">
      <w:pPr>
        <w:autoSpaceDE w:val="0"/>
        <w:autoSpaceDN w:val="0"/>
        <w:adjustRightInd w:val="0"/>
        <w:rPr>
          <w:rFonts w:eastAsia="Calibri" w:cs="Arial"/>
          <w:bCs/>
          <w:lang w:val="en-AU"/>
        </w:rPr>
      </w:pPr>
    </w:p>
    <w:p w14:paraId="4CBD4159"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lang w:val="en-AU"/>
        </w:rPr>
        <w:t xml:space="preserve">The Authority prepared Proposal M1019 to consider amending the Code to address </w:t>
      </w:r>
      <w:r w:rsidRPr="00B741D9">
        <w:rPr>
          <w:rFonts w:eastAsia="Times New Roman" w:cs="Arial"/>
          <w:lang w:bidi="en-US"/>
        </w:rPr>
        <w:t xml:space="preserve">inconsistencies between the foods and classes of foods and crop groups listed in Schedule 22 of the Code and those adopted by the Australian Pesticides and Veterinary Medicines Authority (APVMA) and by </w:t>
      </w:r>
      <w:r w:rsidRPr="00B741D9">
        <w:rPr>
          <w:rFonts w:eastAsia="Calibri" w:cs="Arial"/>
          <w:bCs/>
          <w:lang w:val="en-AU"/>
        </w:rPr>
        <w:t xml:space="preserve">the </w:t>
      </w:r>
      <w:r w:rsidRPr="00B741D9">
        <w:rPr>
          <w:rFonts w:eastAsia="Calibri" w:cs="Arial"/>
          <w:bCs/>
          <w:iCs/>
        </w:rPr>
        <w:t>joint Food and Agriculture Organization and World Health Organization Codex Alimentarius Commission (Codex)</w:t>
      </w:r>
      <w:r w:rsidRPr="00B741D9">
        <w:rPr>
          <w:rFonts w:eastAsia="Calibri" w:cs="Arial"/>
          <w:bCs/>
          <w:lang w:val="en-AU"/>
        </w:rPr>
        <w:t xml:space="preserve">. The Authority considered the Proposal in accordance with Division 2 of Part 3 of the FSANZ Act and has approved a draft variation to the Code. </w:t>
      </w:r>
    </w:p>
    <w:p w14:paraId="4CBD415A" w14:textId="77777777" w:rsidR="00B741D9" w:rsidRPr="00B741D9" w:rsidRDefault="00B741D9" w:rsidP="00B741D9">
      <w:pPr>
        <w:autoSpaceDE w:val="0"/>
        <w:autoSpaceDN w:val="0"/>
        <w:adjustRightInd w:val="0"/>
        <w:rPr>
          <w:rFonts w:eastAsia="Calibri" w:cs="Arial"/>
          <w:bCs/>
          <w:lang w:val="en-AU"/>
        </w:rPr>
      </w:pPr>
    </w:p>
    <w:p w14:paraId="4CBD415B"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lang w:val="en-AU"/>
        </w:rPr>
        <w:t xml:space="preserve">Following consideration by the Food Ministers’ Meeting </w:t>
      </w:r>
      <w:r w:rsidRPr="00B741D9">
        <w:rPr>
          <w:rFonts w:eastAsia="Times New Roman" w:cs="Times New Roman"/>
          <w:szCs w:val="24"/>
          <w:lang w:bidi="en-US"/>
        </w:rPr>
        <w:t xml:space="preserve">(formerly The </w:t>
      </w:r>
      <w:r w:rsidRPr="00B741D9">
        <w:rPr>
          <w:rFonts w:eastAsia="Times New Roman" w:cs="Helvetica"/>
          <w:szCs w:val="24"/>
          <w:lang w:val="en-AU" w:bidi="en-US"/>
        </w:rPr>
        <w:t xml:space="preserve">Australia and New Zealand Ministerial Forum on Food </w:t>
      </w:r>
      <w:r w:rsidRPr="00B741D9">
        <w:rPr>
          <w:rFonts w:eastAsia="Times New Roman" w:cs="Arial"/>
          <w:szCs w:val="24"/>
          <w:lang w:bidi="en-US"/>
        </w:rPr>
        <w:t>Regulation)</w:t>
      </w:r>
      <w:r w:rsidRPr="00B741D9">
        <w:rPr>
          <w:rFonts w:eastAsia="Calibri" w:cs="Arial"/>
          <w:bCs/>
          <w:lang w:val="en-AU"/>
        </w:rPr>
        <w:t xml:space="preserve">, section 92 of the FSANZ Act stipulates that the Authority must publish a notice about the standard or draft variation of a standard. </w:t>
      </w:r>
    </w:p>
    <w:p w14:paraId="4CBD415C" w14:textId="77777777" w:rsidR="00B741D9" w:rsidRPr="00B741D9" w:rsidRDefault="00B741D9" w:rsidP="00B741D9">
      <w:pPr>
        <w:autoSpaceDE w:val="0"/>
        <w:autoSpaceDN w:val="0"/>
        <w:adjustRightInd w:val="0"/>
        <w:rPr>
          <w:rFonts w:eastAsia="Calibri" w:cs="Arial"/>
          <w:bCs/>
          <w:lang w:val="en-AU"/>
        </w:rPr>
      </w:pPr>
    </w:p>
    <w:p w14:paraId="4CBD415D"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color w:val="000000"/>
          <w:lang w:val="en-AU"/>
        </w:rPr>
        <w:t>Section 94 of the FSANZ Act specifies that a</w:t>
      </w:r>
      <w:r w:rsidRPr="00B741D9">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B741D9">
        <w:rPr>
          <w:rFonts w:eastAsia="Calibri" w:cs="Arial"/>
          <w:i/>
          <w:color w:val="000000"/>
          <w:lang w:val="en-AU"/>
        </w:rPr>
        <w:t>Legislation Act 2003</w:t>
      </w:r>
      <w:r w:rsidRPr="00B741D9">
        <w:rPr>
          <w:rFonts w:eastAsia="Calibri" w:cs="Arial"/>
          <w:bCs/>
          <w:lang w:val="en-AU"/>
        </w:rPr>
        <w:t>.</w:t>
      </w:r>
    </w:p>
    <w:p w14:paraId="4CBD415E" w14:textId="77777777" w:rsidR="00B741D9" w:rsidRPr="00B741D9" w:rsidRDefault="00B741D9" w:rsidP="00B741D9">
      <w:pPr>
        <w:autoSpaceDE w:val="0"/>
        <w:autoSpaceDN w:val="0"/>
        <w:adjustRightInd w:val="0"/>
        <w:rPr>
          <w:rFonts w:eastAsia="Calibri" w:cs="Arial"/>
          <w:bCs/>
          <w:lang w:val="en-AU"/>
        </w:rPr>
      </w:pPr>
    </w:p>
    <w:p w14:paraId="4CBD415F" w14:textId="77777777" w:rsidR="00B741D9" w:rsidRPr="00B741D9" w:rsidRDefault="00B741D9" w:rsidP="00B741D9">
      <w:pPr>
        <w:widowControl w:val="0"/>
        <w:numPr>
          <w:ilvl w:val="0"/>
          <w:numId w:val="14"/>
        </w:numPr>
        <w:ind w:hanging="720"/>
        <w:contextualSpacing/>
        <w:rPr>
          <w:rFonts w:eastAsia="Times New Roman" w:cs="Times New Roman"/>
          <w:b/>
          <w:szCs w:val="24"/>
          <w:lang w:val="en-AU" w:eastAsia="en-GB"/>
        </w:rPr>
      </w:pPr>
      <w:r w:rsidRPr="00B741D9">
        <w:rPr>
          <w:rFonts w:eastAsia="Times New Roman" w:cs="Times New Roman"/>
          <w:b/>
          <w:szCs w:val="24"/>
          <w:lang w:val="en-AU" w:eastAsia="en-GB"/>
        </w:rPr>
        <w:t>Variation will be a legislative instrument</w:t>
      </w:r>
    </w:p>
    <w:p w14:paraId="4CBD4160" w14:textId="77777777" w:rsidR="00B741D9" w:rsidRPr="00B741D9" w:rsidRDefault="00B741D9" w:rsidP="00B741D9">
      <w:pPr>
        <w:widowControl w:val="0"/>
        <w:rPr>
          <w:rFonts w:eastAsia="Times New Roman" w:cs="Times New Roman"/>
          <w:b/>
          <w:szCs w:val="24"/>
          <w:lang w:val="en-AU" w:eastAsia="en-GB"/>
        </w:rPr>
      </w:pPr>
    </w:p>
    <w:p w14:paraId="4CBD4161" w14:textId="77777777" w:rsidR="00B741D9" w:rsidRPr="00B741D9" w:rsidRDefault="00B741D9" w:rsidP="00B741D9">
      <w:pPr>
        <w:widowControl w:val="0"/>
        <w:rPr>
          <w:rFonts w:eastAsia="Times New Roman" w:cs="Arial"/>
        </w:rPr>
      </w:pPr>
      <w:r w:rsidRPr="00B741D9">
        <w:rPr>
          <w:rFonts w:eastAsia="Times New Roman" w:cs="Arial"/>
          <w:szCs w:val="24"/>
          <w:lang w:bidi="en-US"/>
        </w:rPr>
        <w:t xml:space="preserve">The approved draft variation is a legislative instrument for the purposes of the </w:t>
      </w:r>
      <w:r w:rsidRPr="00B741D9">
        <w:rPr>
          <w:rFonts w:eastAsia="Times New Roman" w:cs="Arial"/>
          <w:i/>
          <w:iCs/>
          <w:szCs w:val="24"/>
          <w:lang w:bidi="en-US"/>
        </w:rPr>
        <w:t>Legislation Act 2003</w:t>
      </w:r>
      <w:r w:rsidRPr="00B741D9">
        <w:rPr>
          <w:rFonts w:eastAsia="Times New Roman" w:cs="Arial"/>
          <w:szCs w:val="24"/>
          <w:lang w:bidi="en-US"/>
        </w:rPr>
        <w:t xml:space="preserve"> (see section 94 of the FSANZ Act) and is publicly available on the Federal Register of Legislation (</w:t>
      </w:r>
      <w:hyperlink r:id="rId15" w:history="1">
        <w:r w:rsidRPr="00B741D9">
          <w:rPr>
            <w:rFonts w:eastAsia="Times New Roman" w:cs="Arial"/>
            <w:color w:val="3333FF"/>
            <w:szCs w:val="24"/>
            <w:u w:val="single"/>
            <w:lang w:bidi="en-US"/>
          </w:rPr>
          <w:t>www.legislation.gov.au</w:t>
        </w:r>
      </w:hyperlink>
      <w:r w:rsidRPr="00B741D9">
        <w:rPr>
          <w:rFonts w:eastAsia="Times New Roman" w:cs="Arial"/>
          <w:szCs w:val="24"/>
          <w:lang w:bidi="en-US"/>
        </w:rPr>
        <w:t>).</w:t>
      </w:r>
    </w:p>
    <w:p w14:paraId="4CBD4162" w14:textId="77777777" w:rsidR="00B741D9" w:rsidRPr="00B741D9" w:rsidRDefault="00B741D9" w:rsidP="00B741D9">
      <w:pPr>
        <w:widowControl w:val="0"/>
        <w:rPr>
          <w:rFonts w:eastAsia="Times New Roman" w:cs="Arial"/>
          <w:szCs w:val="24"/>
          <w:lang w:bidi="en-US"/>
        </w:rPr>
      </w:pPr>
    </w:p>
    <w:p w14:paraId="4CBD4163" w14:textId="77777777" w:rsidR="00B741D9" w:rsidRPr="00B741D9" w:rsidRDefault="00B741D9" w:rsidP="00B741D9">
      <w:pPr>
        <w:widowControl w:val="0"/>
        <w:rPr>
          <w:rFonts w:eastAsia="Times New Roman" w:cs="Arial"/>
          <w:szCs w:val="24"/>
          <w:lang w:bidi="en-US"/>
        </w:rPr>
      </w:pPr>
      <w:r w:rsidRPr="00B741D9">
        <w:rPr>
          <w:rFonts w:eastAsia="Times New Roman" w:cs="Arial"/>
          <w:szCs w:val="24"/>
          <w:lang w:bidi="en-US"/>
        </w:rPr>
        <w:t xml:space="preserve">This instrument is not subject to the disallowance or sunsetting provisions of the </w:t>
      </w:r>
      <w:r w:rsidRPr="00B741D9">
        <w:rPr>
          <w:rFonts w:eastAsia="Times New Roman" w:cs="Arial"/>
          <w:i/>
          <w:iCs/>
          <w:szCs w:val="24"/>
          <w:lang w:bidi="en-US"/>
        </w:rPr>
        <w:t xml:space="preserve">Legislation Act 2003. </w:t>
      </w:r>
      <w:r w:rsidRPr="00B741D9">
        <w:rPr>
          <w:rFonts w:eastAsia="Times New Roman" w:cs="Arial"/>
          <w:szCs w:val="24"/>
          <w:lang w:bidi="en-US"/>
        </w:rPr>
        <w:t>Subsections</w:t>
      </w:r>
      <w:r w:rsidRPr="00B741D9">
        <w:rPr>
          <w:rFonts w:eastAsia="Times New Roman" w:cs="Arial"/>
          <w:i/>
          <w:iCs/>
          <w:szCs w:val="24"/>
          <w:lang w:bidi="en-US"/>
        </w:rPr>
        <w:t xml:space="preserve"> </w:t>
      </w:r>
      <w:r w:rsidRPr="00B741D9">
        <w:rPr>
          <w:rFonts w:eastAsia="Times New Roman" w:cs="Arial"/>
          <w:szCs w:val="24"/>
          <w:lang w:bidi="en-US"/>
        </w:rPr>
        <w:t>44(1) and 54(1) of that Act</w:t>
      </w:r>
      <w:r w:rsidRPr="00B741D9">
        <w:rPr>
          <w:rFonts w:eastAsia="Times New Roman" w:cs="Arial"/>
          <w:i/>
          <w:iCs/>
          <w:szCs w:val="24"/>
          <w:lang w:bidi="en-US"/>
        </w:rPr>
        <w:t xml:space="preserve"> </w:t>
      </w:r>
      <w:r w:rsidRPr="00B741D9">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B741D9">
        <w:rPr>
          <w:rFonts w:eastAsia="Times New Roman" w:cs="Arial"/>
          <w:i/>
          <w:iCs/>
          <w:szCs w:val="24"/>
          <w:lang w:bidi="en-US"/>
        </w:rPr>
        <w:t>Legislation (Exemptions and other Matters) Regulation 2015</w:t>
      </w:r>
      <w:r w:rsidRPr="00B741D9">
        <w:rPr>
          <w:rFonts w:eastAsia="Times New Roman" w:cs="Arial"/>
          <w:szCs w:val="24"/>
          <w:lang w:bidi="en-US"/>
        </w:rPr>
        <w:t xml:space="preserve"> </w:t>
      </w:r>
      <w:r w:rsidRPr="00B741D9">
        <w:rPr>
          <w:rFonts w:eastAsia="Times New Roman" w:cs="Arial"/>
          <w:szCs w:val="24"/>
          <w:lang w:val="en" w:bidi="en-US"/>
        </w:rPr>
        <w:t xml:space="preserve">also exempts from sunsetting legislative instruments </w:t>
      </w:r>
      <w:r w:rsidRPr="00B741D9">
        <w:rPr>
          <w:rFonts w:eastAsia="Times New Roman" w:cs="Arial"/>
          <w:szCs w:val="24"/>
          <w:shd w:val="clear" w:color="auto" w:fill="FFFFFF"/>
          <w:lang w:bidi="en-US"/>
        </w:rPr>
        <w:t xml:space="preserve">a primary purpose of which is to </w:t>
      </w:r>
      <w:r w:rsidRPr="00B741D9">
        <w:rPr>
          <w:rFonts w:eastAsia="Times New Roman" w:cs="Arial"/>
          <w:szCs w:val="24"/>
          <w:lang w:bidi="en-US"/>
        </w:rPr>
        <w:t>give effect to an international obligation of Australia.</w:t>
      </w:r>
    </w:p>
    <w:p w14:paraId="4CBD4164" w14:textId="77777777" w:rsidR="00B741D9" w:rsidRPr="00B741D9" w:rsidRDefault="00B741D9" w:rsidP="00B741D9">
      <w:pPr>
        <w:widowControl w:val="0"/>
        <w:rPr>
          <w:rFonts w:eastAsia="Times New Roman" w:cs="Arial"/>
          <w:color w:val="0000CC"/>
          <w:szCs w:val="24"/>
          <w:lang w:bidi="en-US"/>
        </w:rPr>
      </w:pPr>
    </w:p>
    <w:p w14:paraId="4CBD4165" w14:textId="77777777" w:rsidR="00B741D9" w:rsidRPr="00B741D9" w:rsidRDefault="00B741D9" w:rsidP="00B741D9">
      <w:pPr>
        <w:widowControl w:val="0"/>
        <w:rPr>
          <w:rFonts w:eastAsia="Times New Roman" w:cs="Times New Roman"/>
          <w:b/>
          <w:szCs w:val="24"/>
          <w:lang w:val="en-AU" w:eastAsia="en-GB"/>
        </w:rPr>
      </w:pPr>
      <w:r w:rsidRPr="00B741D9">
        <w:rPr>
          <w:rFonts w:eastAsia="Times New Roman" w:cs="Arial"/>
          <w:szCs w:val="24"/>
          <w:lang w:bidi="en-US"/>
        </w:rPr>
        <w:t xml:space="preserve">The </w:t>
      </w:r>
      <w:r w:rsidRPr="00B741D9">
        <w:rPr>
          <w:rFonts w:eastAsia="Times New Roman" w:cs="Arial"/>
          <w:szCs w:val="24"/>
          <w:lang w:val="en-AU" w:bidi="en-US"/>
        </w:rPr>
        <w:t>FSANZ Act</w:t>
      </w:r>
      <w:r w:rsidRPr="00B741D9">
        <w:rPr>
          <w:rFonts w:eastAsia="Times New Roman" w:cs="Arial"/>
          <w:i/>
          <w:iCs/>
          <w:szCs w:val="24"/>
          <w:lang w:val="en-AU" w:bidi="en-US"/>
        </w:rPr>
        <w:t xml:space="preserve"> </w:t>
      </w:r>
      <w:r w:rsidRPr="00B741D9">
        <w:rPr>
          <w:rFonts w:eastAsia="Times New Roman" w:cs="Arial"/>
          <w:szCs w:val="24"/>
          <w:lang w:val="en-AU" w:bidi="en-US"/>
        </w:rPr>
        <w:t xml:space="preserve">gives effect to </w:t>
      </w:r>
      <w:r w:rsidRPr="00B741D9">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B741D9">
        <w:rPr>
          <w:rFonts w:eastAsia="Times New Roman" w:cs="Arial"/>
          <w:szCs w:val="24"/>
          <w:lang w:val="en-AU" w:bidi="en-US"/>
        </w:rPr>
        <w:t>That Act also</w:t>
      </w:r>
      <w:r w:rsidRPr="00B741D9">
        <w:rPr>
          <w:rFonts w:eastAsia="Times New Roman" w:cs="Arial"/>
          <w:i/>
          <w:iCs/>
          <w:szCs w:val="24"/>
          <w:lang w:val="en-AU" w:bidi="en-US"/>
        </w:rPr>
        <w:t xml:space="preserve"> </w:t>
      </w:r>
      <w:r w:rsidRPr="00B741D9">
        <w:rPr>
          <w:rFonts w:eastAsia="Times New Roman" w:cs="Arial"/>
          <w:szCs w:val="24"/>
          <w:lang w:val="en-AU" w:bidi="en-US"/>
        </w:rPr>
        <w:t xml:space="preserve">gives effect to Australia’s obligations under an international agreement between Australia and New Zealand. For these purposes, the Act </w:t>
      </w:r>
      <w:r w:rsidRPr="00B741D9">
        <w:rPr>
          <w:rFonts w:eastAsia="Times New Roman" w:cs="Arial"/>
          <w:szCs w:val="24"/>
          <w:lang w:bidi="en-US"/>
        </w:rPr>
        <w:t xml:space="preserve">establishes the Authority to </w:t>
      </w:r>
      <w:r w:rsidRPr="00B741D9">
        <w:rPr>
          <w:rFonts w:eastAsia="Times New Roman" w:cs="Arial"/>
          <w:szCs w:val="24"/>
          <w:lang w:val="en-AU" w:bidi="en-US"/>
        </w:rPr>
        <w:t xml:space="preserve">develop food standards </w:t>
      </w:r>
      <w:r w:rsidRPr="00B741D9">
        <w:rPr>
          <w:rFonts w:eastAsia="Times New Roman" w:cs="Arial"/>
          <w:szCs w:val="24"/>
          <w:lang w:bidi="en-US"/>
        </w:rPr>
        <w:t xml:space="preserve">for consideration and endorsement by the Food Ministers Meeting (FMM). The FMM is established under the Food Regulation Agreement and the </w:t>
      </w:r>
      <w:r w:rsidRPr="00B741D9">
        <w:rPr>
          <w:rFonts w:eastAsia="Times New Roman" w:cs="Arial"/>
          <w:szCs w:val="24"/>
          <w:lang w:val="en-AU" w:bidi="en-US"/>
        </w:rPr>
        <w:t>international agreement between Australia and New Zealand</w:t>
      </w:r>
      <w:r w:rsidRPr="00B741D9">
        <w:rPr>
          <w:rFonts w:eastAsia="Times New Roman" w:cs="Arial"/>
          <w:szCs w:val="24"/>
          <w:lang w:bidi="en-US"/>
        </w:rPr>
        <w:t xml:space="preserve">, and consists of New Zealand, Commonwealth and State/Territory members. If endorsed by the </w:t>
      </w:r>
      <w:r w:rsidRPr="00B741D9">
        <w:rPr>
          <w:rFonts w:eastAsia="Times New Roman" w:cs="Arial"/>
          <w:szCs w:val="24"/>
          <w:lang w:bidi="en-US"/>
        </w:rPr>
        <w:lastRenderedPageBreak/>
        <w:t xml:space="preserve">FMM, </w:t>
      </w:r>
      <w:r w:rsidRPr="00B741D9">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CBD4166" w14:textId="77777777" w:rsidR="00B741D9" w:rsidRPr="00B741D9" w:rsidRDefault="00B741D9" w:rsidP="00B741D9">
      <w:pPr>
        <w:widowControl w:val="0"/>
        <w:rPr>
          <w:rFonts w:eastAsia="Times New Roman" w:cs="Times New Roman"/>
          <w:b/>
          <w:szCs w:val="24"/>
          <w:lang w:val="en-AU" w:eastAsia="en-GB"/>
        </w:rPr>
      </w:pPr>
    </w:p>
    <w:p w14:paraId="4CBD4167" w14:textId="77777777" w:rsidR="00B741D9" w:rsidRPr="00B741D9" w:rsidRDefault="00B741D9" w:rsidP="00B741D9">
      <w:pPr>
        <w:widowControl w:val="0"/>
        <w:numPr>
          <w:ilvl w:val="0"/>
          <w:numId w:val="14"/>
        </w:numPr>
        <w:ind w:hanging="720"/>
        <w:contextualSpacing/>
        <w:rPr>
          <w:rFonts w:eastAsia="Times New Roman" w:cs="Times New Roman"/>
          <w:b/>
          <w:szCs w:val="24"/>
          <w:lang w:val="en-AU" w:eastAsia="en-GB"/>
        </w:rPr>
      </w:pPr>
      <w:r w:rsidRPr="00B741D9">
        <w:rPr>
          <w:rFonts w:eastAsia="Times New Roman" w:cs="Times New Roman"/>
          <w:b/>
          <w:szCs w:val="24"/>
          <w:lang w:val="en-AU" w:eastAsia="en-GB"/>
        </w:rPr>
        <w:t xml:space="preserve">Purpose </w:t>
      </w:r>
    </w:p>
    <w:p w14:paraId="4CBD4168" w14:textId="77777777" w:rsidR="00B741D9" w:rsidRPr="00B741D9" w:rsidRDefault="00B741D9" w:rsidP="00B741D9">
      <w:pPr>
        <w:widowControl w:val="0"/>
        <w:rPr>
          <w:rFonts w:eastAsia="Times New Roman" w:cs="Times New Roman"/>
          <w:szCs w:val="24"/>
          <w:lang w:val="en-AU" w:eastAsia="en-GB"/>
        </w:rPr>
      </w:pPr>
    </w:p>
    <w:p w14:paraId="4CBD4169" w14:textId="77777777" w:rsidR="00B741D9" w:rsidRPr="00B741D9" w:rsidRDefault="00B741D9" w:rsidP="00B741D9">
      <w:pPr>
        <w:widowControl w:val="0"/>
        <w:rPr>
          <w:rFonts w:eastAsia="Times New Roman" w:cs="Times New Roman"/>
          <w:lang w:val="en-AU" w:eastAsia="en-GB"/>
        </w:rPr>
      </w:pPr>
      <w:r w:rsidRPr="00B741D9">
        <w:rPr>
          <w:rFonts w:eastAsia="Times New Roman" w:cs="Times New Roman"/>
          <w:lang w:val="en-AU" w:eastAsia="en-GB"/>
        </w:rPr>
        <w:t xml:space="preserve">The purpose of the </w:t>
      </w:r>
      <w:r w:rsidRPr="00B741D9">
        <w:rPr>
          <w:rFonts w:eastAsia="Times New Roman" w:cs="Times New Roman"/>
          <w:i/>
          <w:lang w:bidi="en-US"/>
        </w:rPr>
        <w:t>Food Standards (Proposal M1019 – Review of Schedule 22 – Foods and classes of foods) Variation</w:t>
      </w:r>
      <w:r w:rsidRPr="00B741D9">
        <w:rPr>
          <w:rFonts w:eastAsia="Times New Roman" w:cs="Times New Roman"/>
          <w:lang w:bidi="en-US"/>
        </w:rPr>
        <w:t xml:space="preserve"> is</w:t>
      </w:r>
      <w:r w:rsidRPr="00B741D9">
        <w:rPr>
          <w:rFonts w:eastAsia="Times New Roman" w:cs="Times New Roman"/>
          <w:lang w:val="en-AU" w:eastAsia="en-GB"/>
        </w:rPr>
        <w:t xml:space="preserve"> to</w:t>
      </w:r>
      <w:r w:rsidRPr="00B741D9">
        <w:rPr>
          <w:rFonts w:eastAsia="Times New Roman" w:cs="Times New Roman"/>
          <w:szCs w:val="24"/>
          <w:lang w:val="en-AU" w:eastAsia="en-GB"/>
        </w:rPr>
        <w:t xml:space="preserve"> amend Schedule 22 of the Code to align closer the </w:t>
      </w:r>
      <w:r w:rsidRPr="00B741D9">
        <w:rPr>
          <w:rFonts w:eastAsia="Times New Roman" w:cs="Arial"/>
          <w:lang w:bidi="en-US"/>
        </w:rPr>
        <w:t xml:space="preserve">foods and classes and groups of foods listed in that Schedule for plant foods or </w:t>
      </w:r>
      <w:r w:rsidRPr="00B741D9">
        <w:rPr>
          <w:rFonts w:eastAsia="Times New Roman" w:cs="Times New Roman"/>
          <w:lang w:bidi="en-US"/>
        </w:rPr>
        <w:t>crop commodities</w:t>
      </w:r>
      <w:r w:rsidRPr="00B741D9">
        <w:rPr>
          <w:rFonts w:eastAsia="Times New Roman" w:cs="Arial"/>
          <w:lang w:bidi="en-US"/>
        </w:rPr>
        <w:t xml:space="preserve"> with those adopted by the APVMA and by Codex</w:t>
      </w:r>
      <w:r w:rsidRPr="00B741D9">
        <w:rPr>
          <w:rFonts w:eastAsia="Times New Roman" w:cs="Times New Roman"/>
          <w:lang w:val="en-AU" w:eastAsia="en-GB"/>
        </w:rPr>
        <w:t>.</w:t>
      </w:r>
    </w:p>
    <w:p w14:paraId="4CBD416A" w14:textId="77777777" w:rsidR="00B741D9" w:rsidRPr="00B741D9" w:rsidRDefault="00B741D9" w:rsidP="00B741D9">
      <w:pPr>
        <w:widowControl w:val="0"/>
        <w:rPr>
          <w:rFonts w:eastAsia="Times New Roman" w:cs="Times New Roman"/>
          <w:lang w:val="en-AU" w:eastAsia="en-GB"/>
        </w:rPr>
      </w:pPr>
    </w:p>
    <w:p w14:paraId="4CBD416B" w14:textId="77777777" w:rsidR="00B741D9" w:rsidRPr="00B741D9" w:rsidRDefault="00B741D9" w:rsidP="00B741D9">
      <w:pPr>
        <w:widowControl w:val="0"/>
        <w:rPr>
          <w:rFonts w:eastAsia="Times New Roman" w:cs="Times New Roman"/>
          <w:szCs w:val="24"/>
          <w:lang w:val="en-AU" w:eastAsia="en-GB"/>
        </w:rPr>
      </w:pPr>
      <w:r w:rsidRPr="00B741D9">
        <w:rPr>
          <w:rFonts w:eastAsia="Times New Roman" w:cs="Times New Roman"/>
          <w:lang w:bidi="en-US"/>
        </w:rPr>
        <w:t xml:space="preserve">As </w:t>
      </w:r>
      <w:r w:rsidRPr="00B741D9">
        <w:rPr>
          <w:rFonts w:eastAsia="Times New Roman" w:cs="Times New Roman"/>
          <w:lang w:val="en-AU" w:eastAsia="en-GB"/>
        </w:rPr>
        <w:t>Schedule 22</w:t>
      </w:r>
      <w:r w:rsidRPr="00B741D9">
        <w:rPr>
          <w:rFonts w:eastAsia="Times New Roman" w:cs="Times New Roman"/>
          <w:lang w:bidi="en-US"/>
        </w:rPr>
        <w:t xml:space="preserve"> is referenced by other sections of the Code, </w:t>
      </w:r>
      <w:r w:rsidRPr="00B741D9">
        <w:rPr>
          <w:rFonts w:eastAsia="Times New Roman" w:cs="Times New Roman"/>
          <w:lang w:val="en-AU" w:eastAsia="en-GB"/>
        </w:rPr>
        <w:t xml:space="preserve">consequential amendments to other provisions of the Code will be required to account for the amendments to Schedule 22. Another approved draft variation titled </w:t>
      </w:r>
      <w:r w:rsidRPr="00B741D9">
        <w:rPr>
          <w:rFonts w:eastAsia="Times New Roman" w:cs="Times New Roman"/>
          <w:i/>
          <w:lang w:val="en-AU" w:eastAsia="en-GB"/>
        </w:rPr>
        <w:t>Food Standards</w:t>
      </w:r>
      <w:r w:rsidRPr="00B741D9">
        <w:rPr>
          <w:rFonts w:eastAsia="Times New Roman" w:cs="Times New Roman"/>
          <w:lang w:val="en-AU" w:eastAsia="en-GB"/>
        </w:rPr>
        <w:t xml:space="preserve"> (</w:t>
      </w:r>
      <w:r w:rsidRPr="00B741D9">
        <w:rPr>
          <w:rFonts w:eastAsia="Times New Roman" w:cs="Times New Roman"/>
          <w:i/>
          <w:lang w:bidi="en-US"/>
        </w:rPr>
        <w:t xml:space="preserve">Proposal M1019 – Review of Schedule 22 – Foods and classes of foods – Consequential Amendments) Variation </w:t>
      </w:r>
      <w:r w:rsidRPr="00B741D9">
        <w:rPr>
          <w:rFonts w:eastAsia="Times New Roman" w:cs="Times New Roman"/>
          <w:lang w:bidi="en-US"/>
        </w:rPr>
        <w:t>lists the consequential amendments proposed by the Authority for this purpose</w:t>
      </w:r>
      <w:r w:rsidRPr="00B741D9">
        <w:rPr>
          <w:rFonts w:eastAsia="Times New Roman" w:cs="Times New Roman"/>
          <w:szCs w:val="24"/>
          <w:lang w:val="en-AU" w:eastAsia="en-GB"/>
        </w:rPr>
        <w:t>.</w:t>
      </w:r>
    </w:p>
    <w:p w14:paraId="4CBD416C" w14:textId="77777777" w:rsidR="00B741D9" w:rsidRPr="00B741D9" w:rsidRDefault="00B741D9" w:rsidP="00B741D9">
      <w:pPr>
        <w:widowControl w:val="0"/>
        <w:rPr>
          <w:rFonts w:eastAsia="Times New Roman" w:cs="Times New Roman"/>
          <w:szCs w:val="24"/>
          <w:lang w:val="en-AU" w:eastAsia="en-GB"/>
        </w:rPr>
      </w:pPr>
    </w:p>
    <w:p w14:paraId="4CBD416D" w14:textId="77777777" w:rsidR="00B741D9" w:rsidRPr="00B741D9" w:rsidRDefault="00B741D9" w:rsidP="00B741D9">
      <w:pPr>
        <w:widowControl w:val="0"/>
        <w:numPr>
          <w:ilvl w:val="0"/>
          <w:numId w:val="14"/>
        </w:numPr>
        <w:ind w:hanging="720"/>
        <w:contextualSpacing/>
        <w:rPr>
          <w:rFonts w:eastAsia="Times New Roman" w:cs="Times New Roman"/>
          <w:b/>
          <w:szCs w:val="24"/>
          <w:lang w:val="en-AU" w:eastAsia="en-GB"/>
        </w:rPr>
      </w:pPr>
      <w:r w:rsidRPr="00B741D9">
        <w:rPr>
          <w:rFonts w:eastAsia="Times New Roman" w:cs="Times New Roman"/>
          <w:b/>
          <w:szCs w:val="24"/>
          <w:lang w:val="en-AU" w:eastAsia="en-GB"/>
        </w:rPr>
        <w:t>Documents incorporated by reference</w:t>
      </w:r>
    </w:p>
    <w:p w14:paraId="4CBD416E" w14:textId="77777777" w:rsidR="00B741D9" w:rsidRPr="00B741D9" w:rsidRDefault="00B741D9" w:rsidP="00B741D9">
      <w:pPr>
        <w:autoSpaceDE w:val="0"/>
        <w:autoSpaceDN w:val="0"/>
        <w:adjustRightInd w:val="0"/>
        <w:rPr>
          <w:rFonts w:eastAsia="Calibri" w:cs="Arial"/>
          <w:bCs/>
          <w:lang w:val="en-AU"/>
        </w:rPr>
      </w:pPr>
    </w:p>
    <w:p w14:paraId="4CBD416F"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lang w:val="en-AU"/>
        </w:rPr>
        <w:t>The variations in this instrument incorporate documents by reference.</w:t>
      </w:r>
    </w:p>
    <w:p w14:paraId="4CBD4170" w14:textId="77777777" w:rsidR="00B741D9" w:rsidRPr="00B741D9" w:rsidRDefault="00B741D9" w:rsidP="00B741D9">
      <w:pPr>
        <w:autoSpaceDE w:val="0"/>
        <w:autoSpaceDN w:val="0"/>
        <w:adjustRightInd w:val="0"/>
        <w:rPr>
          <w:rFonts w:eastAsia="Calibri" w:cs="Arial"/>
          <w:bCs/>
          <w:lang w:val="en-AU"/>
        </w:rPr>
      </w:pPr>
    </w:p>
    <w:p w14:paraId="4CBD4171" w14:textId="79B6B74C" w:rsidR="00B741D9" w:rsidRPr="00B741D9" w:rsidRDefault="00B741D9" w:rsidP="00B741D9">
      <w:pPr>
        <w:autoSpaceDE w:val="0"/>
        <w:autoSpaceDN w:val="0"/>
        <w:adjustRightInd w:val="0"/>
        <w:rPr>
          <w:rFonts w:eastAsia="Calibri" w:cs="Arial"/>
          <w:bCs/>
          <w:lang w:val="en-AU"/>
        </w:rPr>
      </w:pPr>
      <w:r w:rsidRPr="00B741D9">
        <w:rPr>
          <w:rFonts w:eastAsia="Calibri" w:cs="Arial"/>
          <w:bCs/>
          <w:lang w:val="en-AU"/>
        </w:rPr>
        <w:t xml:space="preserve">The variation seeks to align closer the food classification of crop </w:t>
      </w:r>
      <w:bookmarkStart w:id="9" w:name="_GoBack"/>
      <w:bookmarkEnd w:id="9"/>
      <w:r w:rsidR="00925060" w:rsidRPr="00B741D9">
        <w:rPr>
          <w:rFonts w:eastAsia="Calibri" w:cs="Arial"/>
          <w:bCs/>
          <w:lang w:val="en-AU"/>
        </w:rPr>
        <w:t>commodities</w:t>
      </w:r>
      <w:r w:rsidRPr="00B741D9">
        <w:rPr>
          <w:rFonts w:eastAsia="Calibri" w:cs="Arial"/>
          <w:bCs/>
          <w:lang w:val="en-AU"/>
        </w:rPr>
        <w:t xml:space="preserve"> in and by Schedule 22 of the Code with the food classification for </w:t>
      </w:r>
      <w:r w:rsidRPr="00B741D9">
        <w:rPr>
          <w:rFonts w:eastAsia="Times New Roman" w:cs="Times New Roman"/>
          <w:color w:val="000000"/>
          <w:lang w:bidi="en-US"/>
        </w:rPr>
        <w:t xml:space="preserve">food commodities of plant origin </w:t>
      </w:r>
      <w:r w:rsidRPr="00B741D9">
        <w:rPr>
          <w:rFonts w:eastAsia="Calibri" w:cs="Arial"/>
          <w:bCs/>
          <w:lang w:val="en-AU"/>
        </w:rPr>
        <w:t>adopted by Codex</w:t>
      </w:r>
      <w:r w:rsidRPr="00B741D9">
        <w:rPr>
          <w:rFonts w:eastAsia="Calibri" w:cs="Arial"/>
          <w:bCs/>
          <w:iCs/>
        </w:rPr>
        <w:t xml:space="preserve"> To the end, the </w:t>
      </w:r>
      <w:r w:rsidRPr="00B741D9">
        <w:rPr>
          <w:rFonts w:eastAsia="Calibri" w:cs="Arial"/>
          <w:bCs/>
        </w:rPr>
        <w:t xml:space="preserve">variation will amend Schedule 22 to define certain foods and classes, groups and subgroups of foods listed in Schedule 22 by reference to a specific document published by Codex and that is or will be in force or existing at the commencement of the variation; namely - </w:t>
      </w:r>
    </w:p>
    <w:p w14:paraId="4CBD4172" w14:textId="77777777" w:rsidR="00B741D9" w:rsidRPr="00B741D9" w:rsidRDefault="00B741D9" w:rsidP="00B741D9">
      <w:pPr>
        <w:autoSpaceDE w:val="0"/>
        <w:autoSpaceDN w:val="0"/>
        <w:adjustRightInd w:val="0"/>
        <w:rPr>
          <w:rFonts w:eastAsia="Calibri" w:cs="Arial"/>
          <w:bCs/>
          <w:lang w:val="en-AU"/>
        </w:rPr>
      </w:pPr>
    </w:p>
    <w:p w14:paraId="4CBD4173" w14:textId="77777777" w:rsidR="00B741D9" w:rsidRPr="00B741D9" w:rsidRDefault="00B741D9" w:rsidP="00B741D9">
      <w:pPr>
        <w:widowControl w:val="0"/>
        <w:numPr>
          <w:ilvl w:val="0"/>
          <w:numId w:val="15"/>
        </w:numPr>
        <w:autoSpaceDE w:val="0"/>
        <w:autoSpaceDN w:val="0"/>
        <w:adjustRightInd w:val="0"/>
        <w:contextualSpacing/>
        <w:rPr>
          <w:rFonts w:eastAsia="Times New Roman" w:cs="Times New Roman"/>
          <w:bCs/>
          <w:szCs w:val="20"/>
          <w:lang w:bidi="en-US"/>
        </w:rPr>
      </w:pPr>
      <w:r w:rsidRPr="00B741D9">
        <w:rPr>
          <w:rFonts w:eastAsia="Times New Roman" w:cs="Times New Roman"/>
          <w:szCs w:val="20"/>
          <w:lang w:bidi="en-US"/>
        </w:rPr>
        <w:t xml:space="preserve">Appendixes IX, VIII and XI of REP17/PR, the </w:t>
      </w:r>
      <w:r w:rsidRPr="00B741D9">
        <w:rPr>
          <w:rFonts w:eastAsia="Times New Roman" w:cs="Times New Roman"/>
          <w:szCs w:val="24"/>
          <w:lang w:bidi="en-US"/>
        </w:rPr>
        <w:t>Report of the 49</w:t>
      </w:r>
      <w:r w:rsidRPr="00B741D9">
        <w:rPr>
          <w:rFonts w:eastAsia="Times New Roman" w:cs="Times New Roman"/>
          <w:szCs w:val="24"/>
          <w:vertAlign w:val="superscript"/>
          <w:lang w:bidi="en-US"/>
        </w:rPr>
        <w:t>th</w:t>
      </w:r>
      <w:r w:rsidRPr="00B741D9">
        <w:rPr>
          <w:rFonts w:eastAsia="Times New Roman" w:cs="Times New Roman"/>
          <w:szCs w:val="24"/>
          <w:lang w:bidi="en-US"/>
        </w:rPr>
        <w:t xml:space="preserve"> Session of the Codex Committee on Pesticides Residues,</w:t>
      </w:r>
      <w:r w:rsidRPr="00B741D9">
        <w:rPr>
          <w:rFonts w:eastAsia="Times New Roman" w:cs="Times New Roman"/>
          <w:bCs/>
          <w:szCs w:val="20"/>
          <w:lang w:bidi="en-US"/>
        </w:rPr>
        <w:t xml:space="preserve"> Beijing, P.R. China, 24 - 29 April 2017 as presented to the 40</w:t>
      </w:r>
      <w:r w:rsidRPr="00B741D9">
        <w:rPr>
          <w:rFonts w:eastAsia="Times New Roman" w:cs="Times New Roman"/>
          <w:bCs/>
          <w:szCs w:val="20"/>
          <w:vertAlign w:val="superscript"/>
          <w:lang w:bidi="en-US"/>
        </w:rPr>
        <w:t>th</w:t>
      </w:r>
      <w:r w:rsidRPr="00B741D9">
        <w:rPr>
          <w:rFonts w:eastAsia="Times New Roman" w:cs="Times New Roman"/>
          <w:bCs/>
          <w:szCs w:val="20"/>
          <w:lang w:bidi="en-US"/>
        </w:rPr>
        <w:t xml:space="preserve"> Session of the Joint FAO/WHO Codex Alimentarius Commission, Geneva, Switzerland 17 – 22 July 2017.</w:t>
      </w:r>
    </w:p>
    <w:p w14:paraId="4CBD4174" w14:textId="77777777" w:rsidR="00B741D9" w:rsidRPr="00B741D9" w:rsidRDefault="00B741D9" w:rsidP="00B741D9">
      <w:pPr>
        <w:autoSpaceDE w:val="0"/>
        <w:autoSpaceDN w:val="0"/>
        <w:adjustRightInd w:val="0"/>
        <w:rPr>
          <w:rFonts w:eastAsia="Times New Roman" w:cs="Times New Roman"/>
          <w:bCs/>
          <w:szCs w:val="20"/>
          <w:lang w:bidi="en-US"/>
        </w:rPr>
      </w:pPr>
    </w:p>
    <w:p w14:paraId="4CBD4175" w14:textId="77777777" w:rsidR="00B741D9" w:rsidRPr="00B741D9" w:rsidRDefault="00B741D9" w:rsidP="00B741D9">
      <w:pPr>
        <w:widowControl w:val="0"/>
        <w:numPr>
          <w:ilvl w:val="0"/>
          <w:numId w:val="15"/>
        </w:numPr>
        <w:autoSpaceDE w:val="0"/>
        <w:autoSpaceDN w:val="0"/>
        <w:adjustRightInd w:val="0"/>
        <w:contextualSpacing/>
        <w:rPr>
          <w:rFonts w:eastAsia="Times New Roman" w:cs="Times New Roman"/>
          <w:bCs/>
          <w:szCs w:val="20"/>
          <w:lang w:bidi="en-US"/>
        </w:rPr>
      </w:pPr>
      <w:r w:rsidRPr="00B741D9">
        <w:rPr>
          <w:rFonts w:eastAsia="Times New Roman" w:cs="Times New Roman"/>
          <w:szCs w:val="20"/>
          <w:lang w:bidi="en-US"/>
        </w:rPr>
        <w:t xml:space="preserve">Appendixes VII and VIII of REP18/PR, the </w:t>
      </w:r>
      <w:r w:rsidRPr="00B741D9">
        <w:rPr>
          <w:rFonts w:eastAsia="Times New Roman" w:cs="Times New Roman"/>
          <w:szCs w:val="24"/>
          <w:lang w:bidi="en-US"/>
        </w:rPr>
        <w:t>Report of the 50</w:t>
      </w:r>
      <w:r w:rsidRPr="00B741D9">
        <w:rPr>
          <w:rFonts w:eastAsia="Times New Roman" w:cs="Times New Roman"/>
          <w:szCs w:val="24"/>
          <w:vertAlign w:val="superscript"/>
          <w:lang w:bidi="en-US"/>
        </w:rPr>
        <w:t>th</w:t>
      </w:r>
      <w:r w:rsidRPr="00B741D9">
        <w:rPr>
          <w:rFonts w:eastAsia="Times New Roman" w:cs="Times New Roman"/>
          <w:szCs w:val="24"/>
          <w:lang w:bidi="en-US"/>
        </w:rPr>
        <w:t xml:space="preserve"> Session of the Codex Committee on Pesticides Residues</w:t>
      </w:r>
      <w:r w:rsidRPr="00B741D9">
        <w:rPr>
          <w:rFonts w:eastAsia="Times New Roman" w:cs="Times New Roman"/>
          <w:bCs/>
          <w:szCs w:val="20"/>
          <w:lang w:bidi="en-US"/>
        </w:rPr>
        <w:t xml:space="preserve"> Haikou, P.R. China, 9 - 14 April 2018 as presented to the 41</w:t>
      </w:r>
      <w:r w:rsidRPr="00B741D9">
        <w:rPr>
          <w:rFonts w:eastAsia="Times New Roman" w:cs="Times New Roman"/>
          <w:bCs/>
          <w:szCs w:val="20"/>
          <w:vertAlign w:val="superscript"/>
          <w:lang w:bidi="en-US"/>
        </w:rPr>
        <w:t>st</w:t>
      </w:r>
      <w:r w:rsidRPr="00B741D9">
        <w:rPr>
          <w:rFonts w:eastAsia="Times New Roman" w:cs="Times New Roman"/>
          <w:bCs/>
          <w:szCs w:val="20"/>
          <w:lang w:bidi="en-US"/>
        </w:rPr>
        <w:t xml:space="preserve"> Session of </w:t>
      </w:r>
      <w:r w:rsidRPr="00B741D9">
        <w:rPr>
          <w:rFonts w:eastAsia="Times New Roman" w:cs="Times New Roman"/>
          <w:szCs w:val="24"/>
          <w:lang w:bidi="en-US"/>
        </w:rPr>
        <w:t xml:space="preserve">the </w:t>
      </w:r>
      <w:r w:rsidRPr="00B741D9">
        <w:rPr>
          <w:rFonts w:eastAsia="Times New Roman" w:cs="Times New Roman"/>
          <w:bCs/>
          <w:szCs w:val="20"/>
          <w:lang w:bidi="en-US"/>
        </w:rPr>
        <w:t>Joint FAO/WHO Codex Alimentarius Commission, Rome, Italy, 2 – 6 July 2018</w:t>
      </w:r>
      <w:r w:rsidRPr="00B741D9">
        <w:rPr>
          <w:rFonts w:eastAsia="Times New Roman" w:cs="Arial"/>
          <w:color w:val="000000"/>
          <w:sz w:val="21"/>
          <w:szCs w:val="21"/>
          <w:shd w:val="clear" w:color="auto" w:fill="FFFFFF"/>
          <w:lang w:bidi="en-US"/>
        </w:rPr>
        <w:t>.</w:t>
      </w:r>
    </w:p>
    <w:p w14:paraId="4CBD4176" w14:textId="77777777" w:rsidR="00B741D9" w:rsidRPr="00B741D9" w:rsidRDefault="00B741D9" w:rsidP="00B741D9">
      <w:pPr>
        <w:autoSpaceDE w:val="0"/>
        <w:autoSpaceDN w:val="0"/>
        <w:adjustRightInd w:val="0"/>
        <w:rPr>
          <w:rFonts w:eastAsia="Times New Roman" w:cs="Times New Roman"/>
          <w:bCs/>
          <w:szCs w:val="20"/>
          <w:lang w:bidi="en-US"/>
        </w:rPr>
      </w:pPr>
    </w:p>
    <w:p w14:paraId="4CBD4177" w14:textId="77777777" w:rsidR="00B741D9" w:rsidRPr="00B741D9" w:rsidRDefault="00B741D9" w:rsidP="00B741D9">
      <w:pPr>
        <w:autoSpaceDE w:val="0"/>
        <w:autoSpaceDN w:val="0"/>
        <w:adjustRightInd w:val="0"/>
        <w:rPr>
          <w:rFonts w:eastAsia="Calibri" w:cs="Arial"/>
          <w:bCs/>
          <w:lang w:val="en-AU"/>
        </w:rPr>
      </w:pPr>
      <w:r w:rsidRPr="00B741D9">
        <w:rPr>
          <w:rFonts w:eastAsia="Calibri" w:cs="Arial"/>
          <w:bCs/>
        </w:rPr>
        <w:t>This reference by incorporation is consistent with the current practice in the Code, such as in section S11—4 and Schedule 3.</w:t>
      </w:r>
    </w:p>
    <w:p w14:paraId="4CBD4178" w14:textId="77777777" w:rsidR="00B741D9" w:rsidRPr="00B741D9" w:rsidRDefault="00B741D9" w:rsidP="00B741D9">
      <w:pPr>
        <w:autoSpaceDE w:val="0"/>
        <w:autoSpaceDN w:val="0"/>
        <w:adjustRightInd w:val="0"/>
        <w:rPr>
          <w:rFonts w:eastAsia="Calibri" w:cs="Arial"/>
          <w:bCs/>
        </w:rPr>
      </w:pPr>
    </w:p>
    <w:p w14:paraId="4CBD4179" w14:textId="77777777" w:rsidR="00B741D9" w:rsidRPr="00B741D9" w:rsidRDefault="00B741D9" w:rsidP="00B741D9">
      <w:pPr>
        <w:widowControl w:val="0"/>
        <w:rPr>
          <w:rFonts w:eastAsia="Calibri" w:cs="Arial"/>
          <w:bCs/>
        </w:rPr>
      </w:pPr>
      <w:r w:rsidRPr="00B741D9">
        <w:rPr>
          <w:rFonts w:eastAsia="Calibri" w:cs="Arial"/>
          <w:bCs/>
        </w:rPr>
        <w:t xml:space="preserve">The incorporated documents </w:t>
      </w:r>
      <w:hyperlink r:id="rId16" w:history="1">
        <w:r w:rsidRPr="00B741D9">
          <w:rPr>
            <w:rFonts w:eastAsia="Calibri" w:cs="Arial"/>
            <w:bCs/>
            <w:color w:val="3333FF"/>
            <w:u w:val="single"/>
          </w:rPr>
          <w:t>REP17/PR</w:t>
        </w:r>
      </w:hyperlink>
      <w:r w:rsidRPr="00B741D9">
        <w:rPr>
          <w:rFonts w:eastAsia="Calibri" w:cs="Arial"/>
          <w:bCs/>
          <w:vertAlign w:val="superscript"/>
        </w:rPr>
        <w:footnoteReference w:id="1"/>
      </w:r>
      <w:r w:rsidRPr="00B741D9">
        <w:rPr>
          <w:rFonts w:eastAsia="Calibri" w:cs="Arial"/>
          <w:bCs/>
        </w:rPr>
        <w:t xml:space="preserve"> and </w:t>
      </w:r>
      <w:hyperlink r:id="rId17" w:history="1">
        <w:r w:rsidRPr="00B741D9">
          <w:rPr>
            <w:rFonts w:eastAsia="Calibri" w:cs="Arial"/>
            <w:bCs/>
            <w:color w:val="3333FF"/>
            <w:u w:val="single"/>
          </w:rPr>
          <w:t>REP18/PR</w:t>
        </w:r>
      </w:hyperlink>
      <w:r w:rsidRPr="00B741D9">
        <w:rPr>
          <w:rFonts w:eastAsia="Calibri" w:cs="Arial"/>
          <w:bCs/>
          <w:vertAlign w:val="superscript"/>
        </w:rPr>
        <w:footnoteReference w:id="2"/>
      </w:r>
      <w:r w:rsidRPr="00B741D9">
        <w:rPr>
          <w:rFonts w:eastAsia="Calibri" w:cs="Arial"/>
          <w:bCs/>
        </w:rPr>
        <w:t xml:space="preserve"> are publically available online</w:t>
      </w:r>
      <w:r w:rsidRPr="00B741D9">
        <w:rPr>
          <w:rFonts w:eastAsia="Calibri" w:cs="Arial"/>
          <w:bCs/>
          <w:vertAlign w:val="superscript"/>
        </w:rPr>
        <w:footnoteReference w:id="3"/>
      </w:r>
      <w:r w:rsidRPr="00B741D9">
        <w:rPr>
          <w:rFonts w:eastAsia="Calibri" w:cs="Arial"/>
          <w:bCs/>
        </w:rPr>
        <w:t>. The Authority will also publish links to each document on its website.</w:t>
      </w:r>
    </w:p>
    <w:p w14:paraId="4CBD417A" w14:textId="77777777" w:rsidR="00B741D9" w:rsidRPr="00B741D9" w:rsidRDefault="00B741D9" w:rsidP="00B741D9">
      <w:pPr>
        <w:widowControl w:val="0"/>
        <w:rPr>
          <w:rFonts w:eastAsia="Times New Roman" w:cs="Times New Roman"/>
          <w:sz w:val="20"/>
          <w:szCs w:val="20"/>
          <w:lang w:bidi="en-US"/>
        </w:rPr>
      </w:pPr>
    </w:p>
    <w:p w14:paraId="4CBD417B" w14:textId="77777777" w:rsidR="00B741D9" w:rsidRPr="00B741D9" w:rsidRDefault="00B741D9" w:rsidP="00B741D9">
      <w:pPr>
        <w:keepNext/>
        <w:widowControl w:val="0"/>
        <w:numPr>
          <w:ilvl w:val="0"/>
          <w:numId w:val="14"/>
        </w:numPr>
        <w:ind w:hanging="720"/>
        <w:contextualSpacing/>
        <w:rPr>
          <w:rFonts w:eastAsia="Times New Roman" w:cs="Times New Roman"/>
          <w:b/>
          <w:szCs w:val="24"/>
          <w:lang w:val="en-AU" w:eastAsia="en-GB"/>
        </w:rPr>
      </w:pPr>
      <w:r w:rsidRPr="00B741D9">
        <w:rPr>
          <w:rFonts w:eastAsia="Times New Roman" w:cs="Times New Roman"/>
          <w:b/>
          <w:szCs w:val="24"/>
          <w:lang w:val="en-AU" w:eastAsia="en-GB"/>
        </w:rPr>
        <w:t>Consultation</w:t>
      </w:r>
    </w:p>
    <w:p w14:paraId="4CBD417C" w14:textId="77777777" w:rsidR="00B741D9" w:rsidRPr="00B741D9" w:rsidRDefault="00B741D9" w:rsidP="00B741D9">
      <w:pPr>
        <w:widowControl w:val="0"/>
        <w:rPr>
          <w:rFonts w:eastAsia="Times New Roman" w:cs="Times New Roman"/>
          <w:b/>
          <w:szCs w:val="24"/>
          <w:lang w:val="en-AU" w:eastAsia="en-GB"/>
        </w:rPr>
      </w:pPr>
    </w:p>
    <w:p w14:paraId="4CBD417D" w14:textId="2249866D" w:rsidR="00B741D9" w:rsidRPr="00B741D9" w:rsidRDefault="00B741D9" w:rsidP="00B741D9">
      <w:pPr>
        <w:widowControl w:val="0"/>
        <w:rPr>
          <w:rFonts w:eastAsia="Times New Roman" w:cs="Times New Roman"/>
          <w:lang w:bidi="en-US"/>
        </w:rPr>
      </w:pPr>
      <w:r w:rsidRPr="00B741D9">
        <w:rPr>
          <w:rFonts w:eastAsia="Times New Roman" w:cs="Times New Roman"/>
          <w:lang w:bidi="en-US"/>
        </w:rPr>
        <w:t xml:space="preserve">In accordance with the procedure in Division 2 of Part 3 of the FSANZ Act, </w:t>
      </w:r>
      <w:r w:rsidRPr="00B741D9">
        <w:rPr>
          <w:rFonts w:eastAsia="Calibri" w:cs="Arial"/>
          <w:bCs/>
          <w:lang w:val="en-AU"/>
        </w:rPr>
        <w:t>the Authority</w:t>
      </w:r>
      <w:r w:rsidRPr="00B741D9">
        <w:rPr>
          <w:rFonts w:eastAsia="Times New Roman" w:cs="Times New Roman"/>
          <w:lang w:bidi="en-US"/>
        </w:rPr>
        <w:t xml:space="preserve">’s </w:t>
      </w:r>
      <w:r w:rsidRPr="00B741D9">
        <w:rPr>
          <w:rFonts w:eastAsia="Times New Roman" w:cs="Times New Roman"/>
          <w:lang w:bidi="en-US"/>
        </w:rPr>
        <w:lastRenderedPageBreak/>
        <w:t>consideration of Proposal M1019 included one round of public consultation following an assessment and the preparation of draft variations and associated reports. Submissions were called for nationally and internationally (via World</w:t>
      </w:r>
      <w:r w:rsidR="00925060">
        <w:rPr>
          <w:rFonts w:eastAsia="Times New Roman" w:cs="Times New Roman"/>
          <w:lang w:bidi="en-US"/>
        </w:rPr>
        <w:t xml:space="preserve"> </w:t>
      </w:r>
      <w:r w:rsidRPr="00B741D9">
        <w:rPr>
          <w:rFonts w:eastAsia="Times New Roman" w:cs="Times New Roman"/>
          <w:lang w:bidi="en-US"/>
        </w:rPr>
        <w:t xml:space="preserve">Trade Organisation notification) on 4 April 2022 for a four-week consultation period. The Authority has also undertaken earlier </w:t>
      </w:r>
      <w:r w:rsidR="00925060" w:rsidRPr="00B741D9">
        <w:rPr>
          <w:rFonts w:eastAsia="Times New Roman" w:cs="Times New Roman"/>
          <w:lang w:bidi="en-US"/>
        </w:rPr>
        <w:t>targeted</w:t>
      </w:r>
      <w:r w:rsidRPr="00B741D9">
        <w:rPr>
          <w:rFonts w:eastAsia="Times New Roman" w:cs="Times New Roman"/>
          <w:lang w:bidi="en-US"/>
        </w:rPr>
        <w:t xml:space="preserve"> </w:t>
      </w:r>
      <w:r w:rsidR="00925060" w:rsidRPr="00B741D9">
        <w:rPr>
          <w:rFonts w:eastAsia="Times New Roman" w:cs="Times New Roman"/>
          <w:lang w:bidi="en-US"/>
        </w:rPr>
        <w:t>consultation</w:t>
      </w:r>
      <w:r w:rsidRPr="00B741D9">
        <w:rPr>
          <w:rFonts w:eastAsia="Times New Roman" w:cs="Times New Roman"/>
          <w:lang w:bidi="en-US"/>
        </w:rPr>
        <w:t xml:space="preserve"> with stakeholders in 2017 and 2019 which informed its assessment and preparation of the draft variations.</w:t>
      </w:r>
    </w:p>
    <w:p w14:paraId="4CBD417E" w14:textId="77777777" w:rsidR="00B741D9" w:rsidRPr="00B741D9" w:rsidRDefault="00B741D9" w:rsidP="00B741D9">
      <w:pPr>
        <w:widowControl w:val="0"/>
        <w:rPr>
          <w:rFonts w:eastAsia="Times New Roman" w:cs="Times New Roman"/>
          <w:lang w:bidi="en-US"/>
        </w:rPr>
      </w:pPr>
    </w:p>
    <w:p w14:paraId="4CBD417F" w14:textId="77777777" w:rsidR="00B741D9" w:rsidRPr="00B741D9" w:rsidRDefault="00B741D9" w:rsidP="00B741D9">
      <w:pPr>
        <w:widowControl w:val="0"/>
        <w:rPr>
          <w:rFonts w:eastAsia="Times New Roman" w:cs="Times New Roman"/>
          <w:lang w:bidi="en-US"/>
        </w:rPr>
      </w:pPr>
      <w:r w:rsidRPr="00B741D9">
        <w:rPr>
          <w:rFonts w:eastAsia="Calibri" w:cs="Arial"/>
          <w:bCs/>
          <w:lang w:val="en-AU"/>
        </w:rPr>
        <w:t xml:space="preserve">A Regulation Impact Statement (RIS) was not required because the approved draft variation is </w:t>
      </w:r>
      <w:r w:rsidRPr="00B741D9">
        <w:rPr>
          <w:rFonts w:eastAsia="Times New Roman" w:cs="Times New Roman"/>
          <w:szCs w:val="24"/>
          <w:lang w:bidi="en-US"/>
        </w:rPr>
        <w:t>likely to have a minor impact on business and individuals. The Office of Best Practice Regulation (OBPR) advised that a RIS was not required as the impacts of the Proposal were assessed to be below the required threshold (OBPR correspondence dated 19 May 2021, reference 44087).</w:t>
      </w:r>
    </w:p>
    <w:p w14:paraId="4CBD4180" w14:textId="77777777" w:rsidR="00B741D9" w:rsidRPr="00B741D9" w:rsidRDefault="00B741D9" w:rsidP="00B741D9">
      <w:pPr>
        <w:rPr>
          <w:rFonts w:eastAsia="Calibri" w:cs="Arial"/>
          <w:b/>
          <w:bCs/>
          <w:lang w:val="en-AU"/>
        </w:rPr>
      </w:pPr>
    </w:p>
    <w:p w14:paraId="4CBD4181" w14:textId="77777777" w:rsidR="00B741D9" w:rsidRPr="00B741D9" w:rsidRDefault="00B741D9" w:rsidP="00B741D9">
      <w:pPr>
        <w:widowControl w:val="0"/>
        <w:numPr>
          <w:ilvl w:val="0"/>
          <w:numId w:val="14"/>
        </w:numPr>
        <w:ind w:hanging="720"/>
        <w:contextualSpacing/>
        <w:rPr>
          <w:rFonts w:eastAsia="Calibri" w:cs="Arial"/>
          <w:b/>
          <w:lang w:val="en-AU"/>
        </w:rPr>
      </w:pPr>
      <w:r w:rsidRPr="00B741D9">
        <w:rPr>
          <w:rFonts w:eastAsia="Calibri" w:cs="Arial"/>
          <w:b/>
          <w:lang w:val="en-AU"/>
        </w:rPr>
        <w:t>Statement of compatibility with human rights</w:t>
      </w:r>
    </w:p>
    <w:p w14:paraId="4CBD4182" w14:textId="77777777" w:rsidR="00B741D9" w:rsidRPr="00B741D9" w:rsidRDefault="00B741D9" w:rsidP="00B741D9">
      <w:pPr>
        <w:widowControl w:val="0"/>
        <w:rPr>
          <w:rFonts w:eastAsia="Calibri" w:cs="Times New Roman"/>
          <w:szCs w:val="24"/>
          <w:lang w:val="en-AU"/>
        </w:rPr>
      </w:pPr>
    </w:p>
    <w:p w14:paraId="4CBD4183" w14:textId="77777777" w:rsidR="00B741D9" w:rsidRPr="00B741D9" w:rsidRDefault="00B741D9" w:rsidP="00B741D9">
      <w:pPr>
        <w:widowControl w:val="0"/>
        <w:rPr>
          <w:rFonts w:eastAsia="Calibri" w:cs="Times New Roman"/>
          <w:szCs w:val="24"/>
          <w:lang w:val="en-AU"/>
        </w:rPr>
      </w:pPr>
      <w:r w:rsidRPr="00B741D9">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B741D9">
        <w:rPr>
          <w:rFonts w:eastAsia="Calibri" w:cs="Times New Roman"/>
          <w:i/>
          <w:szCs w:val="24"/>
          <w:lang w:val="en-AU"/>
        </w:rPr>
        <w:t>Legislation Act 2003</w:t>
      </w:r>
      <w:r w:rsidRPr="00B741D9">
        <w:rPr>
          <w:rFonts w:eastAsia="Calibri" w:cs="Times New Roman"/>
          <w:szCs w:val="24"/>
          <w:lang w:val="en-AU"/>
        </w:rPr>
        <w:t>.</w:t>
      </w:r>
    </w:p>
    <w:p w14:paraId="4CBD4184" w14:textId="77777777" w:rsidR="00B741D9" w:rsidRPr="00B741D9" w:rsidRDefault="00B741D9" w:rsidP="00B741D9">
      <w:pPr>
        <w:rPr>
          <w:rFonts w:eastAsia="Calibri" w:cs="Arial"/>
          <w:b/>
          <w:bCs/>
          <w:lang w:val="en-AU"/>
        </w:rPr>
      </w:pPr>
    </w:p>
    <w:p w14:paraId="4CBD4185" w14:textId="77777777" w:rsidR="00B741D9" w:rsidRPr="00B741D9" w:rsidRDefault="00B741D9" w:rsidP="00B741D9">
      <w:pPr>
        <w:widowControl w:val="0"/>
        <w:numPr>
          <w:ilvl w:val="0"/>
          <w:numId w:val="14"/>
        </w:numPr>
        <w:ind w:hanging="720"/>
        <w:contextualSpacing/>
        <w:rPr>
          <w:rFonts w:eastAsia="Calibri" w:cs="Arial"/>
          <w:b/>
          <w:lang w:val="en-AU"/>
        </w:rPr>
      </w:pPr>
      <w:r w:rsidRPr="00B741D9">
        <w:rPr>
          <w:rFonts w:eastAsia="Calibri" w:cs="Arial"/>
          <w:b/>
          <w:lang w:val="en-AU"/>
        </w:rPr>
        <w:t>Variation</w:t>
      </w:r>
    </w:p>
    <w:p w14:paraId="4CBD4186" w14:textId="77777777" w:rsidR="00B741D9" w:rsidRPr="00B741D9" w:rsidRDefault="00B741D9" w:rsidP="00B741D9">
      <w:pPr>
        <w:widowControl w:val="0"/>
        <w:rPr>
          <w:rFonts w:eastAsia="Calibri" w:cs="Times New Roman"/>
          <w:szCs w:val="24"/>
          <w:lang w:val="en-AU"/>
        </w:rPr>
      </w:pPr>
    </w:p>
    <w:p w14:paraId="4CBD4187" w14:textId="77777777" w:rsidR="00B741D9" w:rsidRPr="00B741D9" w:rsidRDefault="00B741D9" w:rsidP="00B741D9">
      <w:pPr>
        <w:widowControl w:val="0"/>
        <w:rPr>
          <w:rFonts w:eastAsia="Times New Roman" w:cs="Times New Roman"/>
          <w:lang w:bidi="en-US"/>
        </w:rPr>
      </w:pPr>
      <w:r w:rsidRPr="00B741D9">
        <w:rPr>
          <w:rFonts w:eastAsia="Times New Roman" w:cs="Times New Roman"/>
          <w:b/>
          <w:szCs w:val="24"/>
          <w:lang w:bidi="en-US"/>
        </w:rPr>
        <w:t>Item [1]</w:t>
      </w:r>
      <w:r w:rsidRPr="00B741D9">
        <w:rPr>
          <w:rFonts w:eastAsia="Times New Roman" w:cs="Times New Roman"/>
          <w:szCs w:val="24"/>
          <w:lang w:bidi="en-US"/>
        </w:rPr>
        <w:t xml:space="preserve"> </w:t>
      </w:r>
      <w:r w:rsidRPr="00B741D9">
        <w:rPr>
          <w:rFonts w:eastAsia="Times New Roman" w:cs="Times New Roman"/>
          <w:lang w:bidi="en-US"/>
        </w:rPr>
        <w:t>of the Schedule to the Variation amends Schedule 22 of the Code by repealing section S22—2 and replacing it with the new sections below.</w:t>
      </w:r>
    </w:p>
    <w:p w14:paraId="4CBD4188" w14:textId="77777777" w:rsidR="00B741D9" w:rsidRPr="00B741D9" w:rsidRDefault="00B741D9" w:rsidP="00B741D9">
      <w:pPr>
        <w:widowControl w:val="0"/>
        <w:spacing w:before="240"/>
        <w:rPr>
          <w:rFonts w:eastAsia="Times New Roman" w:cs="Times New Roman"/>
          <w:szCs w:val="24"/>
          <w:lang w:eastAsia="en-AU"/>
        </w:rPr>
      </w:pPr>
      <w:r w:rsidRPr="00B741D9">
        <w:rPr>
          <w:rFonts w:eastAsia="Times New Roman" w:cs="Times New Roman"/>
          <w:szCs w:val="24"/>
          <w:lang w:eastAsia="en-AU"/>
        </w:rPr>
        <w:t xml:space="preserve">New section S22—2 provides that sections S22—3 to </w:t>
      </w:r>
      <w:r w:rsidRPr="00B741D9">
        <w:rPr>
          <w:rFonts w:eastAsia="Times New Roman" w:cs="Times New Roman"/>
          <w:szCs w:val="24"/>
          <w:lang w:bidi="en-US"/>
        </w:rPr>
        <w:t xml:space="preserve">S22—8 respectively describe the foods that are classed as: animal food commodities; </w:t>
      </w:r>
      <w:r w:rsidRPr="00B741D9">
        <w:rPr>
          <w:rFonts w:eastAsia="Times New Roman" w:cs="Times New Roman"/>
          <w:szCs w:val="24"/>
          <w:lang w:eastAsia="en-AU"/>
        </w:rPr>
        <w:t xml:space="preserve">crop commodities; </w:t>
      </w:r>
      <w:r w:rsidRPr="00B741D9">
        <w:rPr>
          <w:rFonts w:eastAsia="Times New Roman" w:cs="Times New Roman"/>
          <w:szCs w:val="24"/>
          <w:lang w:bidi="en-US"/>
        </w:rPr>
        <w:t xml:space="preserve">derived edible commodities of plant origin; secondary commodities of plant origin; and secondary commodities of animal origin. </w:t>
      </w:r>
    </w:p>
    <w:p w14:paraId="4CBD4189" w14:textId="77777777" w:rsidR="00B741D9" w:rsidRPr="00B741D9" w:rsidRDefault="00B741D9" w:rsidP="00B741D9">
      <w:pPr>
        <w:widowControl w:val="0"/>
        <w:rPr>
          <w:rFonts w:eastAsia="Times New Roman" w:cs="Times New Roman"/>
          <w:szCs w:val="24"/>
          <w:lang w:eastAsia="en-AU"/>
        </w:rPr>
      </w:pPr>
    </w:p>
    <w:p w14:paraId="4CBD418A" w14:textId="77777777" w:rsidR="00B741D9" w:rsidRPr="00B741D9" w:rsidRDefault="00B741D9" w:rsidP="00B741D9">
      <w:pPr>
        <w:widowControl w:val="0"/>
        <w:rPr>
          <w:rFonts w:eastAsia="Times New Roman" w:cs="Times New Roman"/>
          <w:color w:val="000000"/>
          <w:szCs w:val="16"/>
          <w:lang w:bidi="en-US"/>
        </w:rPr>
      </w:pPr>
      <w:r w:rsidRPr="00B741D9">
        <w:rPr>
          <w:rFonts w:eastAsia="Times New Roman" w:cs="Times New Roman"/>
          <w:lang w:eastAsia="en-AU"/>
        </w:rPr>
        <w:t xml:space="preserve">New section S22—3 specifies the portion of food for the purposes of </w:t>
      </w:r>
      <w:r w:rsidRPr="00B741D9">
        <w:rPr>
          <w:rFonts w:eastAsia="Times New Roman" w:cs="Times New Roman"/>
          <w:bCs/>
          <w:lang w:bidi="en-US"/>
        </w:rPr>
        <w:t xml:space="preserve">paragraph 1.4.2—3(2)(a) of the Code. That is, the portion of a commodity to which </w:t>
      </w:r>
      <w:r w:rsidRPr="00B741D9">
        <w:rPr>
          <w:rFonts w:eastAsia="Times New Roman" w:cs="Arial"/>
          <w:color w:val="000000"/>
          <w:shd w:val="clear" w:color="auto" w:fill="FFFFFF"/>
          <w:lang w:bidi="en-US"/>
        </w:rPr>
        <w:t>maximum residue limits and extraneous residue limits set by the Code for agricultural or veterinary chemicals</w:t>
      </w:r>
      <w:r w:rsidRPr="00B741D9">
        <w:rPr>
          <w:rFonts w:eastAsia="Times New Roman" w:cs="Times New Roman"/>
          <w:bCs/>
          <w:lang w:bidi="en-US"/>
        </w:rPr>
        <w:t xml:space="preserve"> will apply</w:t>
      </w:r>
      <w:r w:rsidRPr="00B741D9">
        <w:rPr>
          <w:rFonts w:eastAsia="Times New Roman" w:cs="Times New Roman"/>
          <w:bCs/>
          <w:szCs w:val="24"/>
          <w:lang w:bidi="en-US"/>
        </w:rPr>
        <w:t xml:space="preserve">. </w:t>
      </w:r>
      <w:r w:rsidRPr="00B741D9">
        <w:rPr>
          <w:rFonts w:eastAsia="Times New Roman" w:cs="Times New Roman"/>
          <w:bCs/>
          <w:lang w:bidi="en-US"/>
        </w:rPr>
        <w:t xml:space="preserve">Paragraph 1.4.2—3(2)(a) </w:t>
      </w:r>
      <w:r w:rsidRPr="00B741D9">
        <w:rPr>
          <w:rFonts w:eastAsia="Times New Roman" w:cs="Times New Roman"/>
          <w:bCs/>
          <w:szCs w:val="24"/>
          <w:lang w:bidi="en-US"/>
        </w:rPr>
        <w:t>provides that</w:t>
      </w:r>
      <w:r w:rsidRPr="00B741D9">
        <w:rPr>
          <w:rFonts w:eastAsia="Times New Roman" w:cs="Times New Roman"/>
          <w:color w:val="000000"/>
          <w:szCs w:val="16"/>
          <w:lang w:bidi="en-US"/>
        </w:rPr>
        <w:t xml:space="preserve">, when calculating the amount of a permitted residue in a food, the amount to calculate is the amount of that residue that is in the portion of the commodity that is specified in Schedule 22. </w:t>
      </w:r>
    </w:p>
    <w:p w14:paraId="4CBD418B" w14:textId="77777777" w:rsidR="00B741D9" w:rsidRPr="00B741D9" w:rsidRDefault="00B741D9" w:rsidP="00B741D9">
      <w:pPr>
        <w:widowControl w:val="0"/>
        <w:rPr>
          <w:rFonts w:eastAsia="Times New Roman" w:cs="Times New Roman"/>
          <w:color w:val="000000"/>
          <w:szCs w:val="16"/>
          <w:lang w:bidi="en-US"/>
        </w:rPr>
      </w:pPr>
    </w:p>
    <w:p w14:paraId="4CBD418C" w14:textId="77777777" w:rsidR="00B741D9" w:rsidRPr="00B741D9" w:rsidRDefault="00B741D9" w:rsidP="00B741D9">
      <w:pPr>
        <w:widowControl w:val="0"/>
        <w:rPr>
          <w:rFonts w:eastAsia="Times New Roman" w:cs="Times New Roman"/>
          <w:bCs/>
          <w:szCs w:val="24"/>
          <w:lang w:bidi="en-US"/>
        </w:rPr>
      </w:pPr>
      <w:r w:rsidRPr="00B741D9">
        <w:rPr>
          <w:rFonts w:eastAsia="Times New Roman" w:cs="Times New Roman"/>
          <w:color w:val="000000"/>
          <w:szCs w:val="16"/>
          <w:lang w:bidi="en-US"/>
        </w:rPr>
        <w:t xml:space="preserve">Subsection </w:t>
      </w:r>
      <w:r w:rsidRPr="00B741D9">
        <w:rPr>
          <w:rFonts w:eastAsia="Times New Roman" w:cs="Times New Roman"/>
          <w:lang w:eastAsia="en-AU"/>
        </w:rPr>
        <w:t>S22—3(1) provides that, s</w:t>
      </w:r>
      <w:r w:rsidRPr="00B741D9">
        <w:rPr>
          <w:rFonts w:eastAsia="Times New Roman" w:cs="Times New Roman"/>
          <w:szCs w:val="24"/>
          <w:lang w:bidi="en-US"/>
        </w:rPr>
        <w:t xml:space="preserve">ubject to subsection </w:t>
      </w:r>
      <w:r w:rsidRPr="00B741D9">
        <w:rPr>
          <w:rFonts w:eastAsia="Times New Roman" w:cs="Times New Roman"/>
          <w:lang w:eastAsia="en-AU"/>
        </w:rPr>
        <w:t>S22—3</w:t>
      </w:r>
      <w:r w:rsidRPr="00B741D9">
        <w:rPr>
          <w:rFonts w:eastAsia="Times New Roman" w:cs="Times New Roman"/>
          <w:szCs w:val="24"/>
          <w:lang w:bidi="en-US"/>
        </w:rPr>
        <w:t xml:space="preserve"> (2), the specified </w:t>
      </w:r>
      <w:r w:rsidRPr="00B741D9">
        <w:rPr>
          <w:rFonts w:eastAsia="Times New Roman" w:cs="Times New Roman"/>
          <w:szCs w:val="20"/>
          <w:lang w:bidi="en-US"/>
        </w:rPr>
        <w:t>portion is</w:t>
      </w:r>
      <w:r w:rsidRPr="00B741D9">
        <w:rPr>
          <w:rFonts w:eastAsia="Times New Roman" w:cs="Times New Roman"/>
          <w:bCs/>
          <w:szCs w:val="24"/>
          <w:lang w:bidi="en-US"/>
        </w:rPr>
        <w:t xml:space="preserve"> the portion as specified by a provision of Schedule 22. Section </w:t>
      </w:r>
      <w:r w:rsidRPr="00B741D9">
        <w:rPr>
          <w:rFonts w:eastAsia="Times New Roman" w:cs="Times New Roman"/>
          <w:szCs w:val="24"/>
          <w:lang w:eastAsia="en-AU"/>
        </w:rPr>
        <w:t xml:space="preserve">S22—3 to </w:t>
      </w:r>
      <w:r w:rsidRPr="00B741D9">
        <w:rPr>
          <w:rFonts w:eastAsia="Times New Roman" w:cs="Times New Roman"/>
          <w:szCs w:val="24"/>
          <w:lang w:bidi="en-US"/>
        </w:rPr>
        <w:t>S22—8 each contain provisions that will specify the portion for commodities within the class of food to which each of those sections relate.</w:t>
      </w:r>
    </w:p>
    <w:p w14:paraId="4CBD418D" w14:textId="77777777" w:rsidR="00B741D9" w:rsidRPr="00B741D9" w:rsidRDefault="00B741D9" w:rsidP="00B741D9">
      <w:pPr>
        <w:widowControl w:val="0"/>
        <w:rPr>
          <w:rFonts w:eastAsia="Times New Roman" w:cs="Times New Roman"/>
          <w:bCs/>
          <w:szCs w:val="24"/>
          <w:lang w:bidi="en-US"/>
        </w:rPr>
      </w:pPr>
    </w:p>
    <w:p w14:paraId="4CBD418E" w14:textId="77777777" w:rsidR="00B741D9" w:rsidRPr="00B741D9" w:rsidRDefault="00B741D9" w:rsidP="00B741D9">
      <w:pPr>
        <w:widowControl w:val="0"/>
        <w:rPr>
          <w:rFonts w:eastAsia="Times New Roman" w:cs="Times New Roman"/>
          <w:color w:val="000000"/>
          <w:szCs w:val="16"/>
          <w:lang w:bidi="en-US"/>
        </w:rPr>
      </w:pPr>
      <w:r w:rsidRPr="00B741D9">
        <w:rPr>
          <w:rFonts w:eastAsia="Times New Roman" w:cs="Times New Roman"/>
          <w:color w:val="000000"/>
          <w:szCs w:val="16"/>
          <w:lang w:bidi="en-US"/>
        </w:rPr>
        <w:t xml:space="preserve">Subsection </w:t>
      </w:r>
      <w:r w:rsidRPr="00B741D9">
        <w:rPr>
          <w:rFonts w:eastAsia="Times New Roman" w:cs="Times New Roman"/>
          <w:lang w:eastAsia="en-AU"/>
        </w:rPr>
        <w:t xml:space="preserve">S22—3(2) provides that, </w:t>
      </w:r>
      <w:r w:rsidRPr="00B741D9">
        <w:rPr>
          <w:rFonts w:eastAsia="Times New Roman" w:cs="Times New Roman"/>
          <w:bCs/>
          <w:szCs w:val="24"/>
          <w:lang w:bidi="en-US"/>
        </w:rPr>
        <w:t xml:space="preserve">if </w:t>
      </w:r>
      <w:r w:rsidRPr="00B741D9">
        <w:rPr>
          <w:rFonts w:eastAsia="Times New Roman" w:cs="Times New Roman"/>
          <w:szCs w:val="24"/>
          <w:lang w:bidi="en-US"/>
        </w:rPr>
        <w:t xml:space="preserve">Schedule 19, 20 or 21 </w:t>
      </w:r>
      <w:r w:rsidRPr="00B741D9">
        <w:rPr>
          <w:rFonts w:eastAsia="Times New Roman" w:cs="Times New Roman"/>
          <w:szCs w:val="20"/>
          <w:lang w:bidi="en-US"/>
        </w:rPr>
        <w:t xml:space="preserve">instead specify </w:t>
      </w:r>
      <w:r w:rsidRPr="00B741D9">
        <w:rPr>
          <w:rFonts w:eastAsia="Times New Roman" w:cs="Times New Roman"/>
          <w:szCs w:val="24"/>
          <w:lang w:bidi="en-US"/>
        </w:rPr>
        <w:t xml:space="preserve">a </w:t>
      </w:r>
      <w:r w:rsidRPr="00B741D9">
        <w:rPr>
          <w:rFonts w:eastAsia="Times New Roman" w:cs="Times New Roman"/>
          <w:szCs w:val="20"/>
          <w:lang w:bidi="en-US"/>
        </w:rPr>
        <w:t>portion of a food commodity</w:t>
      </w:r>
      <w:r w:rsidRPr="00B741D9">
        <w:rPr>
          <w:rFonts w:eastAsia="Times New Roman" w:cs="Times New Roman"/>
          <w:szCs w:val="24"/>
          <w:lang w:bidi="en-US"/>
        </w:rPr>
        <w:t xml:space="preserve"> for purposes </w:t>
      </w:r>
      <w:r w:rsidRPr="00B741D9">
        <w:rPr>
          <w:rFonts w:eastAsia="Times New Roman" w:cs="Times New Roman"/>
          <w:bCs/>
          <w:szCs w:val="20"/>
          <w:lang w:bidi="en-US"/>
        </w:rPr>
        <w:t xml:space="preserve">of paragraph </w:t>
      </w:r>
      <w:r w:rsidRPr="00B741D9">
        <w:rPr>
          <w:rFonts w:eastAsia="Times New Roman" w:cs="Times New Roman"/>
          <w:bCs/>
          <w:szCs w:val="24"/>
          <w:lang w:bidi="en-US"/>
        </w:rPr>
        <w:t xml:space="preserve">1.4.2—3(2)(a), then that portion </w:t>
      </w:r>
      <w:r w:rsidRPr="00B741D9">
        <w:rPr>
          <w:rFonts w:eastAsia="Times New Roman" w:cs="Times New Roman"/>
          <w:szCs w:val="20"/>
          <w:lang w:bidi="en-US"/>
        </w:rPr>
        <w:t>is</w:t>
      </w:r>
      <w:r w:rsidRPr="00B741D9">
        <w:rPr>
          <w:rFonts w:eastAsia="Times New Roman" w:cs="Times New Roman"/>
          <w:bCs/>
          <w:szCs w:val="24"/>
          <w:lang w:bidi="en-US"/>
        </w:rPr>
        <w:t xml:space="preserve"> the specified portion </w:t>
      </w:r>
      <w:r w:rsidRPr="00B741D9">
        <w:rPr>
          <w:rFonts w:eastAsia="Times New Roman" w:cs="Times New Roman"/>
          <w:lang w:eastAsia="en-AU"/>
        </w:rPr>
        <w:t xml:space="preserve">for the purposes of </w:t>
      </w:r>
      <w:r w:rsidRPr="00B741D9">
        <w:rPr>
          <w:rFonts w:eastAsia="Times New Roman" w:cs="Times New Roman"/>
          <w:bCs/>
          <w:lang w:bidi="en-US"/>
        </w:rPr>
        <w:t>paragraph 1.4.2—3(2)(a)</w:t>
      </w:r>
      <w:r w:rsidRPr="00B741D9">
        <w:rPr>
          <w:rFonts w:eastAsia="Times New Roman" w:cs="Times New Roman"/>
          <w:bCs/>
          <w:szCs w:val="24"/>
          <w:lang w:bidi="en-US"/>
        </w:rPr>
        <w:t>.</w:t>
      </w:r>
    </w:p>
    <w:p w14:paraId="4CBD418F" w14:textId="77777777" w:rsidR="00B741D9" w:rsidRPr="00B741D9" w:rsidRDefault="00B741D9" w:rsidP="00B741D9">
      <w:pPr>
        <w:widowControl w:val="0"/>
        <w:rPr>
          <w:rFonts w:eastAsia="Times New Roman" w:cs="Times New Roman"/>
          <w:color w:val="000000"/>
          <w:szCs w:val="16"/>
          <w:lang w:bidi="en-US"/>
        </w:rPr>
      </w:pPr>
    </w:p>
    <w:p w14:paraId="4CBD4190" w14:textId="77777777" w:rsidR="00B741D9" w:rsidRPr="00B741D9" w:rsidRDefault="00B741D9" w:rsidP="00B741D9">
      <w:pPr>
        <w:widowControl w:val="0"/>
        <w:rPr>
          <w:rFonts w:eastAsia="Times New Roman" w:cs="Times New Roman"/>
          <w:szCs w:val="24"/>
          <w:lang w:eastAsia="en-AU"/>
        </w:rPr>
      </w:pPr>
      <w:r w:rsidRPr="00B741D9">
        <w:rPr>
          <w:rFonts w:eastAsia="Times New Roman" w:cs="Times New Roman"/>
          <w:szCs w:val="24"/>
          <w:lang w:eastAsia="en-AU"/>
        </w:rPr>
        <w:t xml:space="preserve">The following example is provided to illustrate how </w:t>
      </w:r>
      <w:r w:rsidRPr="00B741D9">
        <w:rPr>
          <w:rFonts w:eastAsia="Times New Roman" w:cs="Times New Roman"/>
          <w:color w:val="000000"/>
          <w:szCs w:val="16"/>
          <w:lang w:bidi="en-US"/>
        </w:rPr>
        <w:t xml:space="preserve">subsection </w:t>
      </w:r>
      <w:r w:rsidRPr="00B741D9">
        <w:rPr>
          <w:rFonts w:eastAsia="Times New Roman" w:cs="Times New Roman"/>
          <w:lang w:eastAsia="en-AU"/>
        </w:rPr>
        <w:t>S22—3(2) is intended to operate</w:t>
      </w:r>
      <w:r w:rsidRPr="00B741D9">
        <w:rPr>
          <w:rFonts w:eastAsia="Times New Roman" w:cs="Times New Roman"/>
          <w:szCs w:val="24"/>
          <w:lang w:eastAsia="en-AU"/>
        </w:rPr>
        <w:t xml:space="preserve">. </w:t>
      </w:r>
      <w:r w:rsidRPr="00B741D9">
        <w:rPr>
          <w:rFonts w:eastAsia="Times New Roman" w:cs="Times New Roman"/>
          <w:szCs w:val="16"/>
          <w:lang w:eastAsia="en-GB" w:bidi="en-US"/>
        </w:rPr>
        <w:t xml:space="preserve">Bananas will be classified by the revised Schedule 22 as </w:t>
      </w:r>
      <w:r w:rsidRPr="00B741D9">
        <w:rPr>
          <w:rFonts w:eastAsia="Times New Roman" w:cs="Times New Roman"/>
          <w:i/>
          <w:szCs w:val="16"/>
          <w:lang w:eastAsia="en-GB" w:bidi="en-US"/>
        </w:rPr>
        <w:t>Assorted tropical and sub-tropical fruits - inedible pee</w:t>
      </w:r>
      <w:r w:rsidRPr="00B741D9">
        <w:rPr>
          <w:rFonts w:eastAsia="Times New Roman" w:cs="Times New Roman"/>
          <w:szCs w:val="16"/>
          <w:lang w:eastAsia="en-GB" w:bidi="en-US"/>
        </w:rPr>
        <w:t xml:space="preserve">l. Subsection </w:t>
      </w:r>
      <w:r w:rsidRPr="00B741D9">
        <w:rPr>
          <w:rFonts w:eastAsia="Times New Roman" w:cs="Times New Roman"/>
          <w:szCs w:val="16"/>
          <w:lang w:bidi="en-US"/>
        </w:rPr>
        <w:t xml:space="preserve">S22—5(5) and (8) specify the portion for this subgroup of foods and, for bananas, provide that the </w:t>
      </w:r>
      <w:r w:rsidRPr="00B741D9">
        <w:rPr>
          <w:rFonts w:eastAsia="Times New Roman" w:cs="Times New Roman"/>
          <w:iCs/>
          <w:szCs w:val="16"/>
          <w:lang w:bidi="en-US"/>
        </w:rPr>
        <w:t xml:space="preserve">portion specified </w:t>
      </w:r>
      <w:r w:rsidRPr="00B741D9">
        <w:rPr>
          <w:rFonts w:eastAsia="Times New Roman" w:cs="Times New Roman"/>
          <w:szCs w:val="16"/>
          <w:lang w:bidi="en-US"/>
        </w:rPr>
        <w:t xml:space="preserve">for the purposes </w:t>
      </w:r>
      <w:r w:rsidRPr="00B741D9">
        <w:rPr>
          <w:rFonts w:eastAsia="Times New Roman" w:cs="Times New Roman"/>
          <w:bCs/>
          <w:szCs w:val="16"/>
          <w:lang w:bidi="en-US"/>
        </w:rPr>
        <w:t xml:space="preserve">of paragraph 1.4.2—3(2)(a) </w:t>
      </w:r>
      <w:r w:rsidRPr="00B741D9">
        <w:rPr>
          <w:rFonts w:eastAsia="Times New Roman" w:cs="Times New Roman"/>
          <w:iCs/>
          <w:szCs w:val="16"/>
          <w:lang w:bidi="en-US"/>
        </w:rPr>
        <w:t xml:space="preserve">is ‘the </w:t>
      </w:r>
      <w:r w:rsidRPr="00B741D9">
        <w:rPr>
          <w:rFonts w:eastAsia="Times New Roman" w:cs="Times New Roman"/>
          <w:szCs w:val="16"/>
          <w:lang w:bidi="en-US"/>
        </w:rPr>
        <w:t xml:space="preserve">whole commodity after removal of any central stem and peduncle’. Schedule 20 may set an MRL for ‘Bananas (in the pulp)’. If so, in this case, subsection </w:t>
      </w:r>
      <w:r w:rsidRPr="00B741D9">
        <w:rPr>
          <w:rFonts w:eastAsia="Times New Roman" w:cs="Times New Roman"/>
          <w:szCs w:val="24"/>
          <w:lang w:bidi="en-US"/>
        </w:rPr>
        <w:t>S22—3(2)</w:t>
      </w:r>
      <w:r w:rsidRPr="00B741D9">
        <w:rPr>
          <w:rFonts w:eastAsia="Times New Roman" w:cs="Times New Roman"/>
          <w:szCs w:val="16"/>
          <w:lang w:bidi="en-US"/>
        </w:rPr>
        <w:t xml:space="preserve"> would provide that the portion specified for the purposes </w:t>
      </w:r>
      <w:r w:rsidRPr="00B741D9">
        <w:rPr>
          <w:rFonts w:eastAsia="Times New Roman" w:cs="Times New Roman"/>
          <w:bCs/>
          <w:szCs w:val="16"/>
          <w:lang w:bidi="en-US"/>
        </w:rPr>
        <w:t xml:space="preserve">of paragraph 1.4.2—3(2)(a) </w:t>
      </w:r>
      <w:r w:rsidRPr="00B741D9">
        <w:rPr>
          <w:rFonts w:eastAsia="Times New Roman" w:cs="Times New Roman"/>
          <w:szCs w:val="16"/>
          <w:lang w:bidi="en-US"/>
        </w:rPr>
        <w:t>is the pulp.</w:t>
      </w:r>
    </w:p>
    <w:p w14:paraId="4CBD4191" w14:textId="77777777" w:rsidR="00B741D9" w:rsidRPr="00B741D9" w:rsidRDefault="00B741D9" w:rsidP="00B741D9">
      <w:pPr>
        <w:widowControl w:val="0"/>
        <w:rPr>
          <w:rFonts w:eastAsia="Times New Roman" w:cs="Times New Roman"/>
          <w:szCs w:val="24"/>
          <w:lang w:eastAsia="en-AU"/>
        </w:rPr>
      </w:pPr>
    </w:p>
    <w:p w14:paraId="4CBD4192" w14:textId="77777777" w:rsidR="00B741D9" w:rsidRPr="00B741D9" w:rsidRDefault="00B741D9" w:rsidP="00B741D9">
      <w:pPr>
        <w:widowControl w:val="0"/>
        <w:spacing w:after="240"/>
        <w:rPr>
          <w:rFonts w:eastAsia="Times New Roman" w:cs="Times New Roman"/>
          <w:szCs w:val="24"/>
          <w:lang w:bidi="en-US"/>
        </w:rPr>
      </w:pPr>
      <w:r w:rsidRPr="00B741D9">
        <w:rPr>
          <w:rFonts w:eastAsia="Times New Roman" w:cs="Times New Roman"/>
          <w:szCs w:val="24"/>
          <w:lang w:eastAsia="en-AU"/>
        </w:rPr>
        <w:t xml:space="preserve">Section S22—4 </w:t>
      </w:r>
      <w:r w:rsidRPr="00B741D9">
        <w:rPr>
          <w:rFonts w:eastAsia="Times New Roman" w:cs="Times New Roman"/>
          <w:szCs w:val="24"/>
          <w:lang w:bidi="en-US"/>
        </w:rPr>
        <w:t xml:space="preserve">describes the foods that are classed as animal food commodities. With one exception, the section lists the same foods and foods groups, and specifies the same </w:t>
      </w:r>
      <w:r w:rsidRPr="00B741D9">
        <w:rPr>
          <w:rFonts w:eastAsia="Times New Roman" w:cs="Times New Roman"/>
          <w:szCs w:val="24"/>
          <w:lang w:bidi="en-US"/>
        </w:rPr>
        <w:lastRenderedPageBreak/>
        <w:t xml:space="preserve">portions, that are currently listed or specified for this class of food in Schedule 22. </w:t>
      </w:r>
      <w:r w:rsidRPr="00B741D9">
        <w:rPr>
          <w:rFonts w:eastAsia="Times New Roman" w:cs="Times New Roman"/>
          <w:lang w:bidi="en-US"/>
        </w:rPr>
        <w:t>The exception is the addition of the new commodity  ‘Abalone’ under the subgroup ‘Molluscs – and other marine invertebrates’. This change is made to provide clarity for this commodity. Abalone is currently listed in section 20—3 of Schedule 20 of the Code but is not currently listed in Schedule 22.</w:t>
      </w:r>
    </w:p>
    <w:p w14:paraId="4CBD4193" w14:textId="77777777" w:rsidR="00B741D9" w:rsidRPr="00B741D9" w:rsidRDefault="00B741D9" w:rsidP="00B741D9">
      <w:pPr>
        <w:widowControl w:val="0"/>
        <w:spacing w:after="240"/>
        <w:rPr>
          <w:rFonts w:eastAsia="Times New Roman" w:cs="Times New Roman"/>
          <w:lang w:eastAsia="en-AU"/>
        </w:rPr>
      </w:pPr>
      <w:r w:rsidRPr="00B741D9">
        <w:rPr>
          <w:rFonts w:eastAsia="Times New Roman" w:cs="Times New Roman"/>
          <w:lang w:eastAsia="en-AU"/>
        </w:rPr>
        <w:t xml:space="preserve">Section S22—5 describes the foods </w:t>
      </w:r>
      <w:r w:rsidRPr="00B741D9">
        <w:rPr>
          <w:rFonts w:eastAsia="Times New Roman" w:cs="Times New Roman"/>
          <w:szCs w:val="24"/>
          <w:lang w:bidi="en-US"/>
        </w:rPr>
        <w:t xml:space="preserve">that are </w:t>
      </w:r>
      <w:r w:rsidRPr="00B741D9">
        <w:rPr>
          <w:rFonts w:eastAsia="Times New Roman" w:cs="Times New Roman"/>
          <w:lang w:eastAsia="en-AU"/>
        </w:rPr>
        <w:t>classed as crop commodities.</w:t>
      </w:r>
    </w:p>
    <w:p w14:paraId="4CBD4194" w14:textId="77777777" w:rsidR="00B741D9" w:rsidRPr="00B741D9" w:rsidRDefault="00B741D9" w:rsidP="00B741D9">
      <w:pPr>
        <w:widowControl w:val="0"/>
        <w:tabs>
          <w:tab w:val="left" w:pos="1134"/>
        </w:tabs>
        <w:spacing w:before="120" w:after="120"/>
        <w:rPr>
          <w:rFonts w:eastAsia="Times New Roman" w:cs="Arial"/>
          <w:iCs/>
          <w:lang w:eastAsia="en-AU"/>
        </w:rPr>
      </w:pPr>
      <w:r w:rsidRPr="00B741D9">
        <w:rPr>
          <w:rFonts w:eastAsia="Times New Roman" w:cs="Arial"/>
          <w:iCs/>
          <w:lang w:eastAsia="en-AU"/>
        </w:rPr>
        <w:t>Subsection S22—5(1) provides that the table to subsection S22—5(7) (the table) describes the classes, groups and subgroups for plant foods.</w:t>
      </w:r>
    </w:p>
    <w:p w14:paraId="4CBD4195" w14:textId="77777777" w:rsidR="00B741D9" w:rsidRPr="00B741D9" w:rsidRDefault="00B741D9" w:rsidP="00B741D9">
      <w:pPr>
        <w:widowControl w:val="0"/>
        <w:tabs>
          <w:tab w:val="left" w:pos="1134"/>
        </w:tabs>
        <w:spacing w:before="120" w:after="120"/>
        <w:rPr>
          <w:rFonts w:eastAsia="Times New Roman" w:cs="Arial"/>
          <w:iCs/>
          <w:lang w:eastAsia="en-AU"/>
        </w:rPr>
      </w:pPr>
      <w:r w:rsidRPr="00B741D9">
        <w:rPr>
          <w:rFonts w:eastAsia="Times New Roman" w:cs="Arial"/>
          <w:iCs/>
          <w:lang w:eastAsia="en-AU"/>
        </w:rPr>
        <w:t>Subsection S22—5(2) provides that, unless the table expressly provides otherwise:</w:t>
      </w:r>
    </w:p>
    <w:p w14:paraId="4CBD4196" w14:textId="77777777" w:rsidR="00B741D9" w:rsidRPr="00B741D9" w:rsidRDefault="00B741D9" w:rsidP="00B741D9">
      <w:pPr>
        <w:widowControl w:val="0"/>
        <w:numPr>
          <w:ilvl w:val="0"/>
          <w:numId w:val="16"/>
        </w:numPr>
        <w:tabs>
          <w:tab w:val="left" w:pos="1134"/>
        </w:tabs>
        <w:spacing w:before="120" w:after="120"/>
        <w:rPr>
          <w:rFonts w:eastAsia="Times New Roman" w:cs="Arial"/>
          <w:iCs/>
          <w:lang w:eastAsia="en-AU"/>
        </w:rPr>
      </w:pPr>
      <w:r w:rsidRPr="00B741D9">
        <w:rPr>
          <w:rFonts w:eastAsia="Times New Roman" w:cs="Arial"/>
          <w:iCs/>
          <w:lang w:eastAsia="en-AU"/>
        </w:rPr>
        <w:t>each class of food listed in the table includes each of the corresponding food groups listed in that table for that class;</w:t>
      </w:r>
    </w:p>
    <w:p w14:paraId="4CBD4197" w14:textId="77777777" w:rsidR="00B741D9" w:rsidRPr="00B741D9" w:rsidRDefault="00B741D9" w:rsidP="00B741D9">
      <w:pPr>
        <w:widowControl w:val="0"/>
        <w:numPr>
          <w:ilvl w:val="0"/>
          <w:numId w:val="16"/>
        </w:numPr>
        <w:tabs>
          <w:tab w:val="left" w:pos="1134"/>
        </w:tabs>
        <w:spacing w:before="120" w:after="120"/>
        <w:rPr>
          <w:rFonts w:eastAsia="Times New Roman" w:cs="Arial"/>
          <w:iCs/>
          <w:lang w:eastAsia="en-AU"/>
        </w:rPr>
      </w:pPr>
      <w:r w:rsidRPr="00B741D9">
        <w:rPr>
          <w:rFonts w:eastAsia="Times New Roman" w:cs="Arial"/>
          <w:iCs/>
          <w:lang w:eastAsia="en-AU"/>
        </w:rPr>
        <w:t>each food group listed in the table includes each of the corresponding food subgroups listed in that table for that group; and</w:t>
      </w:r>
    </w:p>
    <w:p w14:paraId="4CBD4198" w14:textId="77777777" w:rsidR="00B741D9" w:rsidRPr="00B741D9" w:rsidRDefault="00B741D9" w:rsidP="00B741D9">
      <w:pPr>
        <w:widowControl w:val="0"/>
        <w:numPr>
          <w:ilvl w:val="0"/>
          <w:numId w:val="16"/>
        </w:numPr>
        <w:tabs>
          <w:tab w:val="left" w:pos="1134"/>
        </w:tabs>
        <w:spacing w:before="120" w:after="120"/>
        <w:rPr>
          <w:rFonts w:eastAsia="Times New Roman" w:cs="Arial"/>
          <w:iCs/>
          <w:lang w:eastAsia="en-AU"/>
        </w:rPr>
      </w:pPr>
      <w:r w:rsidRPr="00B741D9">
        <w:rPr>
          <w:rFonts w:eastAsia="Times New Roman" w:cs="Arial"/>
          <w:iCs/>
          <w:lang w:eastAsia="en-AU"/>
        </w:rPr>
        <w:t>each group and subgroup of foods listed in the table includes each of the corresponding commodities listed in that table for that group or subgroup; and any other commodity that is listed in the above-mentioned incorporated Codex documents for that group or subgroup.</w:t>
      </w:r>
    </w:p>
    <w:p w14:paraId="4CBD4199" w14:textId="77777777" w:rsidR="00B741D9" w:rsidRPr="00B741D9" w:rsidRDefault="00B741D9" w:rsidP="00B741D9">
      <w:pPr>
        <w:widowControl w:val="0"/>
        <w:spacing w:after="240"/>
        <w:rPr>
          <w:rFonts w:eastAsia="Times New Roman" w:cs="Times New Roman"/>
          <w:szCs w:val="24"/>
          <w:lang w:bidi="en-US"/>
        </w:rPr>
      </w:pPr>
      <w:r w:rsidRPr="00B741D9">
        <w:rPr>
          <w:rFonts w:eastAsia="Times New Roman" w:cs="Times New Roman"/>
          <w:lang w:bidi="en-US"/>
        </w:rPr>
        <w:t xml:space="preserve">Subsection S22—5(3) provides that, subject to subsection S22—5(2), a </w:t>
      </w:r>
      <w:r w:rsidRPr="00B741D9">
        <w:rPr>
          <w:rFonts w:eastAsia="Times New Roman" w:cs="Times New Roman"/>
          <w:szCs w:val="24"/>
          <w:lang w:bidi="en-US"/>
        </w:rPr>
        <w:t xml:space="preserve">class, group and subgroup of </w:t>
      </w:r>
      <w:r w:rsidRPr="00B741D9">
        <w:rPr>
          <w:rFonts w:eastAsia="Times New Roman" w:cs="Times New Roman"/>
          <w:lang w:eastAsia="en-AU"/>
        </w:rPr>
        <w:t>crop commodities</w:t>
      </w:r>
      <w:r w:rsidRPr="00B741D9">
        <w:rPr>
          <w:rFonts w:eastAsia="Times New Roman" w:cs="Times New Roman"/>
          <w:szCs w:val="24"/>
          <w:lang w:bidi="en-US"/>
        </w:rPr>
        <w:t xml:space="preserve"> listed in the table shall have the same meaning as that given to that class, group or subgroup by the relevant </w:t>
      </w:r>
      <w:r w:rsidRPr="00B741D9">
        <w:rPr>
          <w:rFonts w:eastAsia="Times New Roman" w:cs="Times New Roman"/>
          <w:lang w:bidi="en-US"/>
        </w:rPr>
        <w:t xml:space="preserve">Codex document listed in that subsection. That is, that the </w:t>
      </w:r>
      <w:r w:rsidRPr="00B741D9">
        <w:rPr>
          <w:rFonts w:eastAsia="Times New Roman" w:cs="Times New Roman"/>
          <w:szCs w:val="24"/>
          <w:lang w:bidi="en-US"/>
        </w:rPr>
        <w:t xml:space="preserve">classes, group and subgroup of </w:t>
      </w:r>
      <w:r w:rsidRPr="00B741D9">
        <w:rPr>
          <w:rFonts w:eastAsia="Times New Roman" w:cs="Times New Roman"/>
          <w:lang w:eastAsia="en-AU"/>
        </w:rPr>
        <w:t>crop commodities</w:t>
      </w:r>
      <w:r w:rsidRPr="00B741D9">
        <w:rPr>
          <w:rFonts w:eastAsia="Times New Roman" w:cs="Times New Roman"/>
          <w:szCs w:val="24"/>
          <w:lang w:bidi="en-US"/>
        </w:rPr>
        <w:t xml:space="preserve"> listed in the table shall be the same as those listed in the Codex documents unless the table provides otherwise, in which case the different description stated in the table shall apply.</w:t>
      </w:r>
    </w:p>
    <w:p w14:paraId="4CBD419A" w14:textId="77777777" w:rsidR="00B741D9" w:rsidRPr="00B741D9" w:rsidRDefault="00B741D9" w:rsidP="00B741D9">
      <w:pPr>
        <w:widowControl w:val="0"/>
        <w:spacing w:after="240"/>
        <w:rPr>
          <w:rFonts w:eastAsia="Times New Roman" w:cs="Times New Roman"/>
          <w:szCs w:val="20"/>
          <w:lang w:bidi="en-US"/>
        </w:rPr>
      </w:pPr>
      <w:r w:rsidRPr="00B741D9">
        <w:rPr>
          <w:rFonts w:eastAsia="Times New Roman" w:cs="Times New Roman"/>
          <w:lang w:bidi="en-US"/>
        </w:rPr>
        <w:t>Subsection S22—5(4) provides a</w:t>
      </w:r>
      <w:r w:rsidRPr="00B741D9">
        <w:rPr>
          <w:rFonts w:eastAsia="Times New Roman" w:cs="Times New Roman"/>
          <w:szCs w:val="20"/>
          <w:lang w:bidi="en-US"/>
        </w:rPr>
        <w:t xml:space="preserve"> reference in subsection </w:t>
      </w:r>
      <w:r w:rsidRPr="00B741D9">
        <w:rPr>
          <w:rFonts w:eastAsia="Times New Roman" w:cs="Times New Roman"/>
          <w:lang w:bidi="en-US"/>
        </w:rPr>
        <w:t>S22—5</w:t>
      </w:r>
      <w:r w:rsidRPr="00B741D9">
        <w:rPr>
          <w:rFonts w:eastAsia="Times New Roman" w:cs="Times New Roman"/>
          <w:szCs w:val="20"/>
          <w:lang w:bidi="en-US"/>
        </w:rPr>
        <w:t xml:space="preserve">(3) to the table is a reference to the table for subsection </w:t>
      </w:r>
      <w:r w:rsidRPr="00B741D9">
        <w:rPr>
          <w:rFonts w:eastAsia="Times New Roman" w:cs="Times New Roman"/>
          <w:lang w:bidi="en-US"/>
        </w:rPr>
        <w:t>S22—5</w:t>
      </w:r>
      <w:r w:rsidRPr="00B741D9">
        <w:rPr>
          <w:rFonts w:eastAsia="Times New Roman" w:cs="Times New Roman"/>
          <w:szCs w:val="20"/>
          <w:lang w:bidi="en-US"/>
        </w:rPr>
        <w:t>(7).</w:t>
      </w:r>
    </w:p>
    <w:p w14:paraId="4CBD419B" w14:textId="77777777" w:rsidR="00B741D9" w:rsidRPr="00B741D9" w:rsidRDefault="00B741D9" w:rsidP="00B741D9">
      <w:pPr>
        <w:widowControl w:val="0"/>
        <w:rPr>
          <w:rFonts w:eastAsia="Times New Roman" w:cs="Times New Roman"/>
          <w:bCs/>
          <w:szCs w:val="24"/>
          <w:lang w:bidi="en-US"/>
        </w:rPr>
      </w:pPr>
      <w:r w:rsidRPr="00B741D9">
        <w:rPr>
          <w:rFonts w:eastAsia="Times New Roman" w:cs="Times New Roman"/>
          <w:lang w:bidi="en-US"/>
        </w:rPr>
        <w:t xml:space="preserve">Subsection S22—5(5) provides that, for </w:t>
      </w:r>
      <w:r w:rsidRPr="00B741D9">
        <w:rPr>
          <w:rFonts w:eastAsia="Times New Roman" w:cs="Times New Roman"/>
          <w:szCs w:val="20"/>
          <w:lang w:bidi="en-US"/>
        </w:rPr>
        <w:t xml:space="preserve">a commodity in a food group listed in the table to subsection (8), the portion of that commodity that is specified </w:t>
      </w:r>
      <w:r w:rsidRPr="00B741D9">
        <w:rPr>
          <w:rFonts w:eastAsia="Times New Roman" w:cs="Times New Roman"/>
          <w:lang w:bidi="en-US"/>
        </w:rPr>
        <w:t xml:space="preserve">for </w:t>
      </w:r>
      <w:r w:rsidRPr="00B741D9">
        <w:rPr>
          <w:rFonts w:eastAsia="Times New Roman" w:cs="Times New Roman"/>
          <w:szCs w:val="20"/>
          <w:lang w:bidi="en-US"/>
        </w:rPr>
        <w:t xml:space="preserve">the purposes of paragraph </w:t>
      </w:r>
      <w:r w:rsidRPr="00B741D9">
        <w:rPr>
          <w:rFonts w:eastAsia="Times New Roman" w:cs="Times New Roman"/>
          <w:szCs w:val="24"/>
          <w:lang w:bidi="en-US"/>
        </w:rPr>
        <w:t xml:space="preserve">1.4.2—3 </w:t>
      </w:r>
      <w:r w:rsidRPr="00B741D9">
        <w:rPr>
          <w:rFonts w:eastAsia="Times New Roman" w:cs="Times New Roman"/>
          <w:szCs w:val="20"/>
          <w:lang w:bidi="en-US"/>
        </w:rPr>
        <w:t xml:space="preserve">(2)(a) is the corresponding portion listed in that table. Subsection </w:t>
      </w:r>
      <w:r w:rsidRPr="00B741D9">
        <w:rPr>
          <w:rFonts w:eastAsia="Times New Roman" w:cs="Times New Roman"/>
          <w:lang w:bidi="en-US"/>
        </w:rPr>
        <w:t xml:space="preserve">S22—5(5) operates subject to </w:t>
      </w:r>
      <w:r w:rsidRPr="00B741D9">
        <w:rPr>
          <w:rFonts w:eastAsia="Times New Roman" w:cs="Times New Roman"/>
          <w:lang w:eastAsia="en-AU"/>
        </w:rPr>
        <w:t xml:space="preserve">section S22—3, and </w:t>
      </w:r>
      <w:r w:rsidRPr="00B741D9">
        <w:rPr>
          <w:rFonts w:eastAsia="Times New Roman" w:cs="Times New Roman"/>
          <w:color w:val="000000"/>
          <w:szCs w:val="16"/>
          <w:lang w:bidi="en-US"/>
        </w:rPr>
        <w:t xml:space="preserve">subsection </w:t>
      </w:r>
      <w:r w:rsidRPr="00B741D9">
        <w:rPr>
          <w:rFonts w:eastAsia="Times New Roman" w:cs="Times New Roman"/>
          <w:lang w:eastAsia="en-AU"/>
        </w:rPr>
        <w:t xml:space="preserve">S22—3(2) in particular. As explained above, the latter provide that, </w:t>
      </w:r>
      <w:r w:rsidRPr="00B741D9">
        <w:rPr>
          <w:rFonts w:eastAsia="Times New Roman" w:cs="Times New Roman"/>
          <w:bCs/>
          <w:szCs w:val="24"/>
          <w:lang w:bidi="en-US"/>
        </w:rPr>
        <w:t xml:space="preserve">if </w:t>
      </w:r>
      <w:r w:rsidRPr="00B741D9">
        <w:rPr>
          <w:rFonts w:eastAsia="Times New Roman" w:cs="Times New Roman"/>
          <w:szCs w:val="24"/>
          <w:lang w:bidi="en-US"/>
        </w:rPr>
        <w:t xml:space="preserve">Schedule 19, 20 or 21 </w:t>
      </w:r>
      <w:r w:rsidRPr="00B741D9">
        <w:rPr>
          <w:rFonts w:eastAsia="Times New Roman" w:cs="Times New Roman"/>
          <w:szCs w:val="20"/>
          <w:lang w:bidi="en-US"/>
        </w:rPr>
        <w:t xml:space="preserve">specify </w:t>
      </w:r>
      <w:r w:rsidRPr="00B741D9">
        <w:rPr>
          <w:rFonts w:eastAsia="Times New Roman" w:cs="Times New Roman"/>
          <w:szCs w:val="24"/>
          <w:lang w:bidi="en-US"/>
        </w:rPr>
        <w:t xml:space="preserve">a different </w:t>
      </w:r>
      <w:r w:rsidRPr="00B741D9">
        <w:rPr>
          <w:rFonts w:eastAsia="Times New Roman" w:cs="Times New Roman"/>
          <w:szCs w:val="20"/>
          <w:lang w:bidi="en-US"/>
        </w:rPr>
        <w:t xml:space="preserve">portion </w:t>
      </w:r>
      <w:r w:rsidRPr="00B741D9">
        <w:rPr>
          <w:rFonts w:eastAsia="Times New Roman" w:cs="Times New Roman"/>
          <w:szCs w:val="24"/>
          <w:lang w:bidi="en-US"/>
        </w:rPr>
        <w:t xml:space="preserve">for that commodity for the purposes </w:t>
      </w:r>
      <w:r w:rsidRPr="00B741D9">
        <w:rPr>
          <w:rFonts w:eastAsia="Times New Roman" w:cs="Times New Roman"/>
          <w:bCs/>
          <w:szCs w:val="20"/>
          <w:lang w:bidi="en-US"/>
        </w:rPr>
        <w:t xml:space="preserve">of paragraph </w:t>
      </w:r>
      <w:r w:rsidRPr="00B741D9">
        <w:rPr>
          <w:rFonts w:eastAsia="Times New Roman" w:cs="Times New Roman"/>
          <w:bCs/>
          <w:szCs w:val="24"/>
          <w:lang w:bidi="en-US"/>
        </w:rPr>
        <w:t xml:space="preserve">1.4.2—3(2)(a), then that different portion </w:t>
      </w:r>
      <w:r w:rsidRPr="00B741D9">
        <w:rPr>
          <w:rFonts w:eastAsia="Times New Roman" w:cs="Times New Roman"/>
          <w:szCs w:val="20"/>
          <w:lang w:bidi="en-US"/>
        </w:rPr>
        <w:t>applies</w:t>
      </w:r>
      <w:r w:rsidRPr="00B741D9">
        <w:rPr>
          <w:rFonts w:eastAsia="Times New Roman" w:cs="Times New Roman"/>
          <w:bCs/>
          <w:szCs w:val="24"/>
          <w:lang w:bidi="en-US"/>
        </w:rPr>
        <w:t>.</w:t>
      </w:r>
    </w:p>
    <w:p w14:paraId="4CBD419C" w14:textId="77777777" w:rsidR="00B741D9" w:rsidRPr="00B741D9" w:rsidRDefault="00B741D9" w:rsidP="00B741D9">
      <w:pPr>
        <w:widowControl w:val="0"/>
        <w:tabs>
          <w:tab w:val="left" w:pos="1134"/>
        </w:tabs>
        <w:spacing w:before="120" w:after="120"/>
        <w:rPr>
          <w:rFonts w:eastAsia="Times New Roman" w:cs="Arial"/>
          <w:iCs/>
          <w:lang w:eastAsia="en-AU"/>
        </w:rPr>
      </w:pPr>
      <w:r w:rsidRPr="00B741D9">
        <w:rPr>
          <w:rFonts w:eastAsia="Times New Roman" w:cs="Arial"/>
          <w:iCs/>
          <w:lang w:eastAsia="en-AU"/>
        </w:rPr>
        <w:t>Subsection S22—5(6) provides that, in section S22—5 , a reference to -</w:t>
      </w:r>
    </w:p>
    <w:p w14:paraId="4CBD419D" w14:textId="77777777" w:rsidR="00B741D9" w:rsidRPr="00B741D9" w:rsidRDefault="00B741D9" w:rsidP="00B741D9">
      <w:pPr>
        <w:widowControl w:val="0"/>
        <w:numPr>
          <w:ilvl w:val="0"/>
          <w:numId w:val="17"/>
        </w:numPr>
        <w:tabs>
          <w:tab w:val="left" w:pos="1134"/>
        </w:tabs>
        <w:spacing w:before="120" w:after="120"/>
        <w:rPr>
          <w:rFonts w:eastAsia="Times New Roman" w:cs="Arial"/>
          <w:bCs/>
          <w:iCs/>
          <w:lang w:eastAsia="en-AU"/>
        </w:rPr>
      </w:pPr>
      <w:r w:rsidRPr="00B741D9">
        <w:rPr>
          <w:rFonts w:eastAsia="Times New Roman" w:cs="Arial"/>
          <w:iCs/>
          <w:lang w:eastAsia="en-AU"/>
        </w:rPr>
        <w:t>the ‘49</w:t>
      </w:r>
      <w:r w:rsidRPr="00B741D9">
        <w:rPr>
          <w:rFonts w:eastAsia="Times New Roman" w:cs="Arial"/>
          <w:iCs/>
          <w:vertAlign w:val="superscript"/>
          <w:lang w:eastAsia="en-AU"/>
        </w:rPr>
        <w:t>th</w:t>
      </w:r>
      <w:r w:rsidRPr="00B741D9">
        <w:rPr>
          <w:rFonts w:eastAsia="Times New Roman" w:cs="Arial"/>
          <w:iCs/>
          <w:lang w:eastAsia="en-AU"/>
        </w:rPr>
        <w:t xml:space="preserve"> Report’ is a reference </w:t>
      </w:r>
      <w:r w:rsidRPr="00B741D9">
        <w:rPr>
          <w:rFonts w:eastAsia="Times New Roman" w:cs="Times New Roman"/>
          <w:bCs/>
          <w:szCs w:val="20"/>
          <w:lang w:bidi="en-US"/>
        </w:rPr>
        <w:t>to REP17/PR, the Report of the 49th Session of the Codex Committee on Pesticides Residues, Beijing, P.R. China, 24 - 29 April 2017 as presented to the 40th Session of the Joint FAO/WHO Codex Alimentarius Commission, Geneva, Switzerland 17 – 22 July 2017;</w:t>
      </w:r>
      <w:r w:rsidRPr="00B741D9">
        <w:rPr>
          <w:rFonts w:eastAsia="Times New Roman" w:cs="Arial"/>
          <w:bCs/>
          <w:iCs/>
          <w:lang w:eastAsia="en-AU"/>
        </w:rPr>
        <w:t xml:space="preserve"> </w:t>
      </w:r>
    </w:p>
    <w:p w14:paraId="4CBD419E" w14:textId="77777777" w:rsidR="00B741D9" w:rsidRPr="00B741D9" w:rsidRDefault="00B741D9" w:rsidP="00B741D9">
      <w:pPr>
        <w:widowControl w:val="0"/>
        <w:numPr>
          <w:ilvl w:val="0"/>
          <w:numId w:val="17"/>
        </w:numPr>
        <w:tabs>
          <w:tab w:val="left" w:pos="1134"/>
        </w:tabs>
        <w:spacing w:before="120" w:after="120"/>
        <w:rPr>
          <w:rFonts w:eastAsia="Times New Roman" w:cs="Arial"/>
          <w:iCs/>
          <w:sz w:val="20"/>
          <w:lang w:eastAsia="en-AU"/>
        </w:rPr>
      </w:pPr>
      <w:r w:rsidRPr="00B741D9">
        <w:rPr>
          <w:rFonts w:eastAsia="Times New Roman" w:cs="Arial"/>
          <w:iCs/>
          <w:lang w:eastAsia="en-AU"/>
        </w:rPr>
        <w:t>the ‘50</w:t>
      </w:r>
      <w:r w:rsidRPr="00B741D9">
        <w:rPr>
          <w:rFonts w:eastAsia="Times New Roman" w:cs="Arial"/>
          <w:iCs/>
          <w:vertAlign w:val="superscript"/>
          <w:lang w:eastAsia="en-AU"/>
        </w:rPr>
        <w:t>th</w:t>
      </w:r>
      <w:r w:rsidRPr="00B741D9">
        <w:rPr>
          <w:rFonts w:eastAsia="Times New Roman" w:cs="Arial"/>
          <w:iCs/>
          <w:lang w:eastAsia="en-AU"/>
        </w:rPr>
        <w:t xml:space="preserve"> Report’ is a reference to</w:t>
      </w:r>
      <w:r w:rsidRPr="00B741D9">
        <w:rPr>
          <w:rFonts w:eastAsia="Times New Roman" w:cs="Times New Roman"/>
          <w:bCs/>
          <w:szCs w:val="20"/>
          <w:lang w:bidi="en-US"/>
        </w:rPr>
        <w:t xml:space="preserve"> REP18/PR, the Report of the 50th Session of the Codex Committee on Pesticides Residues Haikou, P.R. China, 9 - 14 April 2018 as presented to the 41st Session of the Joint FAO/WHO Codex Alimentarius Commission, Rome, Italy, 2 – 6 July 2018</w:t>
      </w:r>
      <w:r w:rsidRPr="00B741D9">
        <w:rPr>
          <w:rFonts w:eastAsia="Times New Roman" w:cs="Arial"/>
          <w:iCs/>
          <w:lang w:eastAsia="en-AU"/>
        </w:rPr>
        <w:t>.</w:t>
      </w:r>
    </w:p>
    <w:p w14:paraId="4CBD419F" w14:textId="77777777" w:rsidR="00B741D9" w:rsidRPr="00B741D9" w:rsidRDefault="00B741D9" w:rsidP="00B741D9">
      <w:pPr>
        <w:widowControl w:val="0"/>
        <w:tabs>
          <w:tab w:val="left" w:pos="1134"/>
        </w:tabs>
        <w:spacing w:before="120" w:after="120"/>
        <w:rPr>
          <w:rFonts w:eastAsia="Times New Roman" w:cs="Arial"/>
          <w:iCs/>
          <w:lang w:eastAsia="en-AU"/>
        </w:rPr>
      </w:pPr>
      <w:r w:rsidRPr="00B741D9">
        <w:rPr>
          <w:rFonts w:eastAsia="Times New Roman" w:cs="Arial"/>
          <w:iCs/>
          <w:lang w:eastAsia="en-AU"/>
        </w:rPr>
        <w:t>Subsection S22—5(7) contains the table describing classes, groups, subgroups and commodities for plant foods.</w:t>
      </w:r>
    </w:p>
    <w:p w14:paraId="4CBD41A0" w14:textId="77777777" w:rsidR="00B741D9" w:rsidRPr="00B741D9" w:rsidRDefault="00B741D9" w:rsidP="00B741D9">
      <w:pPr>
        <w:widowControl w:val="0"/>
        <w:tabs>
          <w:tab w:val="left" w:pos="1134"/>
        </w:tabs>
        <w:spacing w:before="120" w:after="120"/>
        <w:rPr>
          <w:rFonts w:eastAsia="Times New Roman" w:cs="Arial"/>
          <w:iCs/>
          <w:sz w:val="20"/>
          <w:lang w:eastAsia="en-AU"/>
        </w:rPr>
      </w:pPr>
      <w:r w:rsidRPr="00B741D9">
        <w:rPr>
          <w:rFonts w:eastAsia="Times New Roman" w:cs="Arial"/>
          <w:iCs/>
          <w:lang w:eastAsia="en-AU"/>
        </w:rPr>
        <w:t xml:space="preserve">Subsection S22—5(8) contains the table specifying the portion of plant commodities to which </w:t>
      </w:r>
      <w:r w:rsidRPr="00B741D9">
        <w:rPr>
          <w:rFonts w:eastAsia="Times New Roman" w:cs="Arial"/>
          <w:iCs/>
          <w:color w:val="000000"/>
          <w:shd w:val="clear" w:color="auto" w:fill="FFFFFF"/>
          <w:lang w:eastAsia="en-AU"/>
        </w:rPr>
        <w:t>maximum residue limits and extraneous residue limits set by the Code for agricultural or veterinary chemicals</w:t>
      </w:r>
      <w:r w:rsidRPr="00B741D9">
        <w:rPr>
          <w:rFonts w:eastAsia="Times New Roman" w:cs="Arial"/>
          <w:bCs/>
          <w:iCs/>
          <w:lang w:eastAsia="en-AU"/>
        </w:rPr>
        <w:t xml:space="preserve"> will apply</w:t>
      </w:r>
      <w:r w:rsidRPr="00B741D9">
        <w:rPr>
          <w:rFonts w:eastAsia="Times New Roman" w:cs="Arial"/>
          <w:iCs/>
          <w:lang w:eastAsia="en-AU"/>
        </w:rPr>
        <w:t>. See section S22—3 and subsection S22—5(5) above.</w:t>
      </w:r>
    </w:p>
    <w:p w14:paraId="4CBD41A1" w14:textId="77777777" w:rsidR="00B741D9" w:rsidRPr="00B741D9" w:rsidRDefault="00B741D9" w:rsidP="00B741D9">
      <w:pPr>
        <w:widowControl w:val="0"/>
        <w:spacing w:after="240"/>
        <w:rPr>
          <w:rFonts w:eastAsia="Times New Roman" w:cs="Times New Roman"/>
          <w:szCs w:val="24"/>
          <w:lang w:bidi="en-US"/>
        </w:rPr>
      </w:pPr>
      <w:r w:rsidRPr="00B741D9">
        <w:rPr>
          <w:rFonts w:eastAsia="Times New Roman" w:cs="Times New Roman"/>
          <w:szCs w:val="24"/>
          <w:lang w:eastAsia="en-AU"/>
        </w:rPr>
        <w:t xml:space="preserve">New section S22—6 </w:t>
      </w:r>
      <w:r w:rsidRPr="00B741D9">
        <w:rPr>
          <w:rFonts w:eastAsia="Times New Roman" w:cs="Times New Roman"/>
          <w:szCs w:val="24"/>
          <w:lang w:bidi="en-US"/>
        </w:rPr>
        <w:t xml:space="preserve">describes the foods that are classed as derived edible commodities of </w:t>
      </w:r>
      <w:r w:rsidRPr="00B741D9">
        <w:rPr>
          <w:rFonts w:eastAsia="Times New Roman" w:cs="Times New Roman"/>
          <w:szCs w:val="24"/>
          <w:lang w:bidi="en-US"/>
        </w:rPr>
        <w:lastRenderedPageBreak/>
        <w:t xml:space="preserve">plant origin. With one exception, the section lists the same foods and foods groups, and specifies the same portions, that are currently listed or specified for this class of food in Schedule 22. The exception is </w:t>
      </w:r>
      <w:r w:rsidRPr="00B741D9">
        <w:rPr>
          <w:rFonts w:eastAsia="Times New Roman" w:cs="Times New Roman"/>
          <w:lang w:bidi="en-US"/>
        </w:rPr>
        <w:t>that the addition of the commodity ‘citrus oil’ to the food group ‘Miscellaneous’. This change is made to provide clarity for this commodity listed in Schedule 20.</w:t>
      </w:r>
    </w:p>
    <w:p w14:paraId="4CBD41A2" w14:textId="77777777" w:rsidR="00B741D9" w:rsidRPr="00B741D9" w:rsidRDefault="00B741D9" w:rsidP="00B741D9">
      <w:pPr>
        <w:widowControl w:val="0"/>
        <w:spacing w:after="240"/>
        <w:rPr>
          <w:rFonts w:eastAsia="Times New Roman" w:cs="Times New Roman"/>
          <w:szCs w:val="24"/>
          <w:lang w:bidi="en-US"/>
        </w:rPr>
      </w:pPr>
      <w:r w:rsidRPr="00B741D9">
        <w:rPr>
          <w:rFonts w:eastAsia="Times New Roman" w:cs="Times New Roman"/>
          <w:szCs w:val="24"/>
          <w:lang w:bidi="en-US"/>
        </w:rPr>
        <w:t>New section S22—7 describes the foods that are classed as secondary commodities of plant origin. The section lists the same foods and foods groups, and specifies the same portions, that are currently listed or specified for this class of food in Schedule 22.</w:t>
      </w:r>
    </w:p>
    <w:p w14:paraId="4CBD41A3" w14:textId="77777777" w:rsidR="00B741D9" w:rsidRPr="00B741D9" w:rsidRDefault="00B741D9" w:rsidP="00B741D9">
      <w:pPr>
        <w:widowControl w:val="0"/>
        <w:spacing w:after="240"/>
        <w:rPr>
          <w:rFonts w:eastAsia="Times New Roman" w:cs="Times New Roman"/>
          <w:lang w:bidi="en-US"/>
        </w:rPr>
      </w:pPr>
      <w:r w:rsidRPr="00B741D9">
        <w:rPr>
          <w:rFonts w:eastAsia="Times New Roman" w:cs="Times New Roman"/>
          <w:szCs w:val="24"/>
          <w:lang w:bidi="en-US"/>
        </w:rPr>
        <w:t>New section S22—8 describes the foods that are classed as secondary commodities of animal origin. The section lists the same foods and foods groups, and specifies the same portions, that are currently listed or specified for animal food commodities in Schedule 22.</w:t>
      </w:r>
    </w:p>
    <w:p w14:paraId="4CBD41A4"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44B4" w14:textId="77777777" w:rsidR="009B54A7" w:rsidRDefault="009B54A7" w:rsidP="00B741D9">
      <w:r>
        <w:separator/>
      </w:r>
    </w:p>
  </w:endnote>
  <w:endnote w:type="continuationSeparator" w:id="0">
    <w:p w14:paraId="5C5055D7" w14:textId="77777777" w:rsidR="009B54A7" w:rsidRDefault="009B54A7" w:rsidP="00B7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F8336" w14:textId="77777777" w:rsidR="009B54A7" w:rsidRDefault="009B54A7" w:rsidP="00B741D9">
      <w:r>
        <w:separator/>
      </w:r>
    </w:p>
  </w:footnote>
  <w:footnote w:type="continuationSeparator" w:id="0">
    <w:p w14:paraId="26A647DE" w14:textId="77777777" w:rsidR="009B54A7" w:rsidRDefault="009B54A7" w:rsidP="00B741D9">
      <w:r>
        <w:continuationSeparator/>
      </w:r>
    </w:p>
  </w:footnote>
  <w:footnote w:id="1">
    <w:p w14:paraId="4CBD41A9" w14:textId="77777777" w:rsidR="00B741D9" w:rsidRPr="00264068" w:rsidRDefault="00B741D9" w:rsidP="00B741D9">
      <w:pPr>
        <w:pStyle w:val="FootnoteText"/>
        <w:rPr>
          <w:lang w:val="en-AU"/>
        </w:rPr>
      </w:pPr>
      <w:r>
        <w:rPr>
          <w:rStyle w:val="FootnoteReference"/>
        </w:rPr>
        <w:footnoteRef/>
      </w:r>
      <w:r>
        <w:t xml:space="preserve"> </w:t>
      </w:r>
      <w:r>
        <w:rPr>
          <w:lang w:val="en-AU"/>
        </w:rPr>
        <w:t xml:space="preserve">REP17/PR: </w:t>
      </w:r>
      <w:hyperlink r:id="rId1" w:history="1">
        <w:r>
          <w:rPr>
            <w:rStyle w:val="Hyperlink"/>
            <w:rFonts w:cs="Arial"/>
            <w:lang w:val="en-AU"/>
          </w:rPr>
          <w:t>https://www.fao.org/fao-who-codexalimentarius/sh-proxy/en/?lnk=1&amp;url=https%253A%252F%252Fworkspace.fao.org%252Fsites%252Fcodex%252FMeetings%252FCX-718-49%252FREPORT%252FREP17_PRe.pdf</w:t>
        </w:r>
      </w:hyperlink>
      <w:r>
        <w:rPr>
          <w:rFonts w:cs="Arial"/>
          <w:lang w:val="en-AU"/>
        </w:rPr>
        <w:t xml:space="preserve"> (last accessed 12/5/2022)</w:t>
      </w:r>
    </w:p>
  </w:footnote>
  <w:footnote w:id="2">
    <w:p w14:paraId="4CBD41AA" w14:textId="77777777" w:rsidR="00B741D9" w:rsidRPr="00370D36" w:rsidRDefault="00B741D9" w:rsidP="00B741D9">
      <w:pPr>
        <w:pStyle w:val="FootnoteText"/>
        <w:rPr>
          <w:lang w:val="en-AU"/>
        </w:rPr>
      </w:pPr>
      <w:r>
        <w:rPr>
          <w:rStyle w:val="FootnoteReference"/>
        </w:rPr>
        <w:footnoteRef/>
      </w:r>
      <w:r>
        <w:t xml:space="preserve"> </w:t>
      </w:r>
      <w:r>
        <w:rPr>
          <w:lang w:val="en-AU"/>
        </w:rPr>
        <w:t xml:space="preserve">REP18/PR: </w:t>
      </w:r>
      <w:hyperlink r:id="rId2" w:history="1">
        <w:r>
          <w:rPr>
            <w:rStyle w:val="Hyperlink"/>
            <w:rFonts w:cs="Arial"/>
            <w:lang w:val="en-AU"/>
          </w:rPr>
          <w:t>https://www.fao.org/fao-who-codexalimentarius/sh-proxy/en/?lnk=1&amp;url=https%253A%252F%252Fworkspace.fao.org%252Fsites%252Fcodex%252FMeetings%252FCX-718-50%252FREPORT%252FFINAL%252520REPORT%252FREP18_PRe.pdf</w:t>
        </w:r>
      </w:hyperlink>
      <w:r>
        <w:rPr>
          <w:rFonts w:cs="Arial"/>
          <w:lang w:val="en-AU"/>
        </w:rPr>
        <w:t xml:space="preserve"> (last accessed 12/5/2022)</w:t>
      </w:r>
    </w:p>
  </w:footnote>
  <w:footnote w:id="3">
    <w:p w14:paraId="4CBD41AB" w14:textId="77777777" w:rsidR="00B741D9" w:rsidRPr="00370D36" w:rsidRDefault="00B741D9" w:rsidP="00B741D9">
      <w:pPr>
        <w:pStyle w:val="FootnoteText"/>
        <w:rPr>
          <w:lang w:val="en-AU"/>
        </w:rPr>
      </w:pPr>
      <w:r>
        <w:rPr>
          <w:rStyle w:val="FootnoteReference"/>
        </w:rPr>
        <w:footnoteRef/>
      </w:r>
      <w:r>
        <w:t xml:space="preserve"> </w:t>
      </w:r>
      <w:r>
        <w:rPr>
          <w:lang w:val="en-AU"/>
        </w:rPr>
        <w:t xml:space="preserve">Reports are also available from the Codex website: </w:t>
      </w:r>
      <w:hyperlink r:id="rId3" w:history="1">
        <w:r w:rsidRPr="00717392">
          <w:rPr>
            <w:rStyle w:val="Hyperlink"/>
            <w:lang w:val="en-AU"/>
          </w:rPr>
          <w:t>https://www.fao.org/fao-who-codexalimentarius</w:t>
        </w:r>
      </w:hyperlink>
      <w:r>
        <w:rPr>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30A"/>
    <w:multiLevelType w:val="hybridMultilevel"/>
    <w:tmpl w:val="7EF4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10C7C"/>
    <w:multiLevelType w:val="hybridMultilevel"/>
    <w:tmpl w:val="33B2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2070B"/>
    <w:multiLevelType w:val="hybridMultilevel"/>
    <w:tmpl w:val="E58A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6725E"/>
    <w:multiLevelType w:val="multilevel"/>
    <w:tmpl w:val="9F4CD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7"/>
  </w:num>
  <w:num w:numId="9">
    <w:abstractNumId w:val="5"/>
  </w:num>
  <w:num w:numId="10">
    <w:abstractNumId w:val="6"/>
  </w:num>
  <w:num w:numId="11">
    <w:abstractNumId w:val="7"/>
  </w:num>
  <w:num w:numId="12">
    <w:abstractNumId w:val="5"/>
  </w:num>
  <w:num w:numId="13">
    <w:abstractNumId w:val="6"/>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D9"/>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3582B"/>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25060"/>
    <w:rsid w:val="00935023"/>
    <w:rsid w:val="009806A5"/>
    <w:rsid w:val="009B54A7"/>
    <w:rsid w:val="009E265A"/>
    <w:rsid w:val="00A25B29"/>
    <w:rsid w:val="00A26F82"/>
    <w:rsid w:val="00A808E9"/>
    <w:rsid w:val="00AC7592"/>
    <w:rsid w:val="00B2062F"/>
    <w:rsid w:val="00B53154"/>
    <w:rsid w:val="00B625C3"/>
    <w:rsid w:val="00B72074"/>
    <w:rsid w:val="00B741D9"/>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152"/>
  <w15:chartTrackingRefBased/>
  <w15:docId w15:val="{90E92D3F-6151-4253-B0EC-4AE7C5C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B741D9"/>
    <w:rPr>
      <w:color w:val="3333FF"/>
      <w:u w:val="single"/>
    </w:rPr>
  </w:style>
  <w:style w:type="character" w:styleId="FootnoteReference">
    <w:name w:val="footnote reference"/>
    <w:basedOn w:val="DefaultParagraphFont"/>
    <w:uiPriority w:val="99"/>
    <w:rsid w:val="00B74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us01.safelinks.protection.outlook.com/?url=https%3A%2F%2Fwww.fao.org%2Ffao-who-codexalimentarius%2Fsh-proxy%2Fen%2F%3Flnk%3D1%26url%3Dhttps%25253A%25252F%25252Fworkspace.fao.org%25252Fsites%25252Fcodex%25252FMeetings%25252FCX-718-50%25252FREPORT%25252FFINAL%25252520REPORT%25252FREP18_PRe.pdf&amp;data=05%7C01%7CLaura.Gladwish%40foodstandards.gov.au%7Cd8055337ae814438cb0408da33da4caf%7C6deea5ad8e7945b888fe895f2bb48673%7C0%7C0%7C637879309931196878%7CUnknown%7CTWFpbGZsb3d8eyJWIjoiMC4wLjAwMDAiLCJQIjoiV2luMzIiLCJBTiI6Ik1haWwiLCJXVCI6Mn0%3D%7C3000%7C%7C%7C&amp;sdata=HwiZ0A7SlLInCP9GSRPqM9mSG3%2B56%2BMWp4govDaX5Xc%3D&amp;reserved=0" TargetMode="External"/><Relationship Id="rId2" Type="http://schemas.openxmlformats.org/officeDocument/2006/relationships/customXml" Target="../customXml/item2.xml"/><Relationship Id="rId16" Type="http://schemas.openxmlformats.org/officeDocument/2006/relationships/hyperlink" Target="https://www.fao.org/fao-who-codexalimentarius/sh-proxy/en/?lnk=1&amp;url=https%253A%252F%252Fworkspace.fao.org%252Fsites%252Fcodex%252FMeetings%252FCX-718-49%252FREPORT%252FREP17_PR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fao-who-codexalimentarius" TargetMode="External"/><Relationship Id="rId2" Type="http://schemas.openxmlformats.org/officeDocument/2006/relationships/hyperlink" Target="https://aus01.safelinks.protection.outlook.com/?url=https%3A%2F%2Fwww.fao.org%2Ffao-who-codexalimentarius%2Fsh-proxy%2Fen%2F%3Flnk%3D1%26url%3Dhttps%25253A%25252F%25252Fworkspace.fao.org%25252Fsites%25252Fcodex%25252FMeetings%25252FCX-718-50%25252FREPORT%25252FFINAL%25252520REPORT%25252FREP18_PRe.pdf&amp;data=05%7C01%7CLaura.Gladwish%40foodstandards.gov.au%7Cd8055337ae814438cb0408da33da4caf%7C6deea5ad8e7945b888fe895f2bb48673%7C0%7C0%7C637879309931196878%7CUnknown%7CTWFpbGZsb3d8eyJWIjoiMC4wLjAwMDAiLCJQIjoiV2luMzIiLCJBTiI6Ik1haWwiLCJXVCI6Mn0%3D%7C3000%7C%7C%7C&amp;sdata=HwiZ0A7SlLInCP9GSRPqM9mSG3%2B56%2BMWp4govDaX5Xc%3D&amp;reserved=0" TargetMode="External"/><Relationship Id="rId1" Type="http://schemas.openxmlformats.org/officeDocument/2006/relationships/hyperlink" Target="https://aus01.safelinks.protection.outlook.com/?url=https%3A%2F%2Fwww.fao.org%2Ffao-who-codexalimentarius%2Fsh-proxy%2Fen%2F%3Flnk%3D1%26url%3Dhttps%25253A%25252F%25252Fworkspace.fao.org%25252Fsites%25252Fcodex%25252FMeetings%25252FCX-718-49%25252FREPORT%25252FREP17_PRe.pdf&amp;data=05%7C01%7CLaura.Gladwish%40foodstandards.gov.au%7Cd8055337ae814438cb0408da33da4caf%7C6deea5ad8e7945b888fe895f2bb48673%7C0%7C0%7C637879309931196878%7CUnknown%7CTWFpbGZsb3d8eyJWIjoiMC4wLjAwMDAiLCJQIjoiV2luMzIiLCJBTiI6Ik1haWwiLCJXVCI6Mn0%3D%7C3000%7C%7C%7C&amp;sdata=yRlujLBL5MJJOjCODf4ShZ5nnoCA3M%2FS6dcFa0FXP6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MMF7YEMDTSDN-199-16975</_dlc_DocId>
    <_dlc_DocIdUrl xmlns="5759555f-5bed-45a4-a4c2-4e28e2623455">
      <Url>http://fsintranet/Sections/pss/_layouts/15/DocIdRedir.aspx?ID=MMF7YEMDTSDN-199-16975</Url>
      <Description>MMF7YEMDTSDN-199-16975</Description>
    </_dlc_DocIdUrl>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B2C3-5339-44A2-B769-EB418E610CE7}">
  <ds:schemaRefs>
    <ds:schemaRef ds:uri="http://schemas.microsoft.com/office/2006/metadata/customXsn"/>
  </ds:schemaRefs>
</ds:datastoreItem>
</file>

<file path=customXml/itemProps2.xml><?xml version="1.0" encoding="utf-8"?>
<ds:datastoreItem xmlns:ds="http://schemas.openxmlformats.org/officeDocument/2006/customXml" ds:itemID="{5CED9022-F45B-4042-BC5B-8B13C5FBC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4BCAA-8760-49A9-A21B-2BC24FC9E8B8}">
  <ds:schemaRefs>
    <ds:schemaRef ds:uri="http://schemas.microsoft.com/sharepoint/v3/contenttype/forms"/>
  </ds:schemaRefs>
</ds:datastoreItem>
</file>

<file path=customXml/itemProps4.xml><?xml version="1.0" encoding="utf-8"?>
<ds:datastoreItem xmlns:ds="http://schemas.openxmlformats.org/officeDocument/2006/customXml" ds:itemID="{6367601D-42E1-4F32-A872-1B2550FCF924}">
  <ds:schemaRefs>
    <ds:schemaRef ds:uri="http://schemas.microsoft.com/sharepoint/events"/>
  </ds:schemaRefs>
</ds:datastoreItem>
</file>

<file path=customXml/itemProps5.xml><?xml version="1.0" encoding="utf-8"?>
<ds:datastoreItem xmlns:ds="http://schemas.openxmlformats.org/officeDocument/2006/customXml" ds:itemID="{AC9568C7-8DF2-4804-9921-87A0847D9175}">
  <ds:schemaRefs>
    <ds:schemaRef ds:uri="Microsoft.SharePoint.Taxonomy.ContentTypeSync"/>
  </ds:schemaRefs>
</ds:datastoreItem>
</file>

<file path=customXml/itemProps6.xml><?xml version="1.0" encoding="utf-8"?>
<ds:datastoreItem xmlns:ds="http://schemas.openxmlformats.org/officeDocument/2006/customXml" ds:itemID="{1838A47A-C3A4-4407-965B-525DB2B7DB6C}">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7.xml><?xml version="1.0" encoding="utf-8"?>
<ds:datastoreItem xmlns:ds="http://schemas.openxmlformats.org/officeDocument/2006/customXml" ds:itemID="{04DCEAB9-A198-44E3-B3E8-C3A27DCA66F2}">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F2E7D29D-5BBF-4B69-A52F-64E148CE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Joanna Richards</cp:lastModifiedBy>
  <cp:revision>5</cp:revision>
  <dcterms:created xsi:type="dcterms:W3CDTF">2022-07-26T21:21:00Z</dcterms:created>
  <dcterms:modified xsi:type="dcterms:W3CDTF">2022-08-25T22:32:00Z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11dcedea-f460-431d-be2c-0de34daa0c21</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d33842f0-85bc-4328-8797-c6bb8b4ba439</vt:lpwstr>
  </property>
  <property fmtid="{D5CDD505-2E9C-101B-9397-08002B2CF9AE}" pid="9" name="DisposalClass">
    <vt:lpwstr/>
  </property>
  <property fmtid="{D5CDD505-2E9C-101B-9397-08002B2CF9AE}" pid="10" name="BCS_">
    <vt:lpwstr>531;#Instruments|4a8ff5e5-1f0e-4751-ab44-bc0d33b46a80</vt:lpwstr>
  </property>
</Properties>
</file>