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49AC" w14:textId="77777777" w:rsidR="00837B1D" w:rsidRPr="00BB36BB" w:rsidRDefault="00837B1D" w:rsidP="00837B1D">
      <w:pPr>
        <w:shd w:val="clear" w:color="auto" w:fill="FFFFFF"/>
        <w:spacing w:after="120" w:line="330" w:lineRule="atLeast"/>
        <w:ind w:left="709" w:hanging="709"/>
        <w:jc w:val="center"/>
        <w:rPr>
          <w:rFonts w:ascii="Times New Roman" w:eastAsia="Times New Roman" w:hAnsi="Times New Roman" w:cs="Times New Roman"/>
          <w:color w:val="000000"/>
          <w:lang w:eastAsia="en-AU"/>
        </w:rPr>
      </w:pPr>
      <w:r w:rsidRPr="00BB36BB">
        <w:rPr>
          <w:rFonts w:ascii="Times New Roman" w:eastAsia="Times New Roman" w:hAnsi="Times New Roman" w:cs="Times New Roman"/>
          <w:b/>
          <w:bCs/>
          <w:color w:val="000000"/>
          <w:u w:val="single"/>
          <w:lang w:eastAsia="en-AU"/>
        </w:rPr>
        <w:t>SAFETY, REHABILITATION AND COMPENSATION</w:t>
      </w:r>
    </w:p>
    <w:p w14:paraId="7BD4D656" w14:textId="76CD41E8" w:rsidR="00711958" w:rsidRPr="00BB36BB" w:rsidRDefault="00837B1D" w:rsidP="00837B1D">
      <w:pPr>
        <w:jc w:val="center"/>
        <w:rPr>
          <w:rFonts w:ascii="Times New Roman" w:eastAsia="Times New Roman" w:hAnsi="Times New Roman" w:cs="Times New Roman"/>
          <w:b/>
          <w:bCs/>
          <w:color w:val="000000"/>
          <w:u w:val="single"/>
          <w:lang w:eastAsia="en-AU"/>
        </w:rPr>
      </w:pPr>
      <w:r w:rsidRPr="00BB36BB">
        <w:rPr>
          <w:rFonts w:ascii="Times New Roman" w:eastAsia="Times New Roman" w:hAnsi="Times New Roman" w:cs="Times New Roman"/>
          <w:b/>
          <w:bCs/>
          <w:color w:val="000000"/>
          <w:u w:val="single"/>
          <w:lang w:eastAsia="en-AU"/>
        </w:rPr>
        <w:t>(97</w:t>
      </w:r>
      <w:proofErr w:type="gramStart"/>
      <w:r w:rsidRPr="00BB36BB">
        <w:rPr>
          <w:rFonts w:ascii="Times New Roman" w:eastAsia="Times New Roman" w:hAnsi="Times New Roman" w:cs="Times New Roman"/>
          <w:b/>
          <w:bCs/>
          <w:color w:val="000000"/>
          <w:u w:val="single"/>
          <w:lang w:eastAsia="en-AU"/>
        </w:rPr>
        <w:t>E(</w:t>
      </w:r>
      <w:proofErr w:type="gramEnd"/>
      <w:r w:rsidRPr="00BB36BB">
        <w:rPr>
          <w:rFonts w:ascii="Times New Roman" w:eastAsia="Times New Roman" w:hAnsi="Times New Roman" w:cs="Times New Roman"/>
          <w:b/>
          <w:bCs/>
          <w:color w:val="000000"/>
          <w:u w:val="single"/>
          <w:lang w:eastAsia="en-AU"/>
        </w:rPr>
        <w:t>2) – REGULATORY CONTRIBUTIONS DETERMINATION) GUIDELINES 2022</w:t>
      </w:r>
    </w:p>
    <w:p w14:paraId="3B6669F3" w14:textId="3D030A95" w:rsidR="00837B1D" w:rsidRPr="00BB36BB" w:rsidRDefault="00837B1D" w:rsidP="00837B1D">
      <w:pPr>
        <w:jc w:val="center"/>
        <w:rPr>
          <w:rFonts w:ascii="Times New Roman" w:eastAsia="Times New Roman" w:hAnsi="Times New Roman" w:cs="Times New Roman"/>
          <w:b/>
          <w:bCs/>
          <w:color w:val="000000"/>
          <w:u w:val="single"/>
          <w:lang w:eastAsia="en-AU"/>
        </w:rPr>
      </w:pPr>
      <w:r w:rsidRPr="00BB36BB">
        <w:rPr>
          <w:rFonts w:ascii="Times New Roman" w:eastAsia="Times New Roman" w:hAnsi="Times New Roman" w:cs="Times New Roman"/>
          <w:b/>
          <w:bCs/>
          <w:color w:val="000000"/>
          <w:u w:val="single"/>
          <w:lang w:eastAsia="en-AU"/>
        </w:rPr>
        <w:t>EXPLANATORY STATEMENT</w:t>
      </w:r>
    </w:p>
    <w:p w14:paraId="38B9D058" w14:textId="44E2595D" w:rsidR="00837B1D" w:rsidRPr="00BB36BB" w:rsidRDefault="00CE1DA2" w:rsidP="00837B1D">
      <w:pPr>
        <w:jc w:val="center"/>
        <w:rPr>
          <w:rFonts w:ascii="Times New Roman" w:hAnsi="Times New Roman" w:cs="Times New Roman"/>
          <w:i/>
          <w:iCs/>
        </w:rPr>
      </w:pPr>
      <w:r w:rsidRPr="00BB36BB">
        <w:rPr>
          <w:rFonts w:ascii="Times New Roman" w:hAnsi="Times New Roman" w:cs="Times New Roman"/>
        </w:rPr>
        <w:t xml:space="preserve">Approved </w:t>
      </w:r>
      <w:r w:rsidR="00837B1D" w:rsidRPr="00BB36BB">
        <w:rPr>
          <w:rFonts w:ascii="Times New Roman" w:hAnsi="Times New Roman" w:cs="Times New Roman"/>
        </w:rPr>
        <w:t xml:space="preserve">by the Safety, Rehabilitation and Compensation Commission </w:t>
      </w:r>
    </w:p>
    <w:p w14:paraId="1610194A" w14:textId="77777777" w:rsidR="00837B1D" w:rsidRPr="00BB36BB" w:rsidRDefault="00837B1D" w:rsidP="00837B1D">
      <w:pPr>
        <w:rPr>
          <w:rFonts w:ascii="Times New Roman" w:hAnsi="Times New Roman" w:cs="Times New Roman"/>
          <w:b/>
          <w:bCs/>
        </w:rPr>
      </w:pPr>
      <w:r w:rsidRPr="00BB36BB">
        <w:rPr>
          <w:rFonts w:ascii="Times New Roman" w:hAnsi="Times New Roman" w:cs="Times New Roman"/>
          <w:b/>
          <w:bCs/>
        </w:rPr>
        <w:t>PURPOSE AND OPERATION OF THE INSTRUMENT</w:t>
      </w:r>
    </w:p>
    <w:p w14:paraId="1A2290D5" w14:textId="0DD197D6" w:rsidR="00837B1D" w:rsidRPr="00BB36BB" w:rsidRDefault="007A2B38" w:rsidP="00837B1D">
      <w:pPr>
        <w:rPr>
          <w:rFonts w:ascii="Times New Roman" w:hAnsi="Times New Roman" w:cs="Times New Roman"/>
        </w:rPr>
      </w:pPr>
      <w:r w:rsidRPr="00BB36BB">
        <w:rPr>
          <w:rFonts w:ascii="Times New Roman" w:hAnsi="Times New Roman" w:cs="Times New Roman"/>
        </w:rPr>
        <w:t xml:space="preserve">The </w:t>
      </w:r>
      <w:r w:rsidRPr="00BB36BB">
        <w:rPr>
          <w:rFonts w:ascii="Times New Roman" w:hAnsi="Times New Roman" w:cs="Times New Roman"/>
          <w:i/>
          <w:iCs/>
        </w:rPr>
        <w:t>Safety, Rehabilitation and Compensation Act 1988</w:t>
      </w:r>
      <w:r w:rsidRPr="00BB36BB">
        <w:rPr>
          <w:rFonts w:ascii="Times New Roman" w:hAnsi="Times New Roman" w:cs="Times New Roman"/>
        </w:rPr>
        <w:t xml:space="preserve"> (SRC Act) establishes the Commonwealth workers’ compensation and rehabilitation scheme for employees of the Commonwealth, Commonwealth authorities and licensed corporations.</w:t>
      </w:r>
    </w:p>
    <w:p w14:paraId="333FEAFE" w14:textId="77777777" w:rsidR="000D0B6D" w:rsidRPr="00BB36BB" w:rsidRDefault="000D0B6D" w:rsidP="000D0B6D">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For some purposes under the SRC Act, liabilities, powers, </w:t>
      </w:r>
      <w:proofErr w:type="gramStart"/>
      <w:r w:rsidRPr="00BB36BB">
        <w:rPr>
          <w:rFonts w:ascii="Times New Roman" w:hAnsi="Times New Roman" w:cs="Times New Roman"/>
          <w:color w:val="000000"/>
          <w:shd w:val="clear" w:color="auto" w:fill="FFFFFF"/>
        </w:rPr>
        <w:t>functions</w:t>
      </w:r>
      <w:proofErr w:type="gramEnd"/>
      <w:r w:rsidRPr="00BB36BB">
        <w:rPr>
          <w:rFonts w:ascii="Times New Roman" w:hAnsi="Times New Roman" w:cs="Times New Roman"/>
          <w:color w:val="000000"/>
          <w:shd w:val="clear" w:color="auto" w:fill="FFFFFF"/>
        </w:rPr>
        <w:t xml:space="preserve"> and obligations of the Commonwealth are given to ‘Entities’. An Entity is defined in s 4(1) of the SRC Act as:</w:t>
      </w:r>
    </w:p>
    <w:p w14:paraId="3626D8EF" w14:textId="77777777" w:rsidR="000D0B6D" w:rsidRPr="00BB36BB" w:rsidRDefault="000D0B6D" w:rsidP="000D0B6D">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an Agency, within the meaning of the </w:t>
      </w:r>
      <w:r w:rsidRPr="00BB36BB">
        <w:rPr>
          <w:rFonts w:ascii="Times New Roman" w:hAnsi="Times New Roman" w:cs="Times New Roman"/>
          <w:i/>
          <w:iCs/>
          <w:color w:val="000000"/>
          <w:shd w:val="clear" w:color="auto" w:fill="FFFFFF"/>
        </w:rPr>
        <w:t>Public Service Act 1999</w:t>
      </w:r>
      <w:r w:rsidRPr="00BB36BB">
        <w:rPr>
          <w:rFonts w:ascii="Times New Roman" w:hAnsi="Times New Roman" w:cs="Times New Roman"/>
          <w:color w:val="000000"/>
          <w:shd w:val="clear" w:color="auto" w:fill="FFFFFF"/>
        </w:rPr>
        <w:t xml:space="preserve">, that is not a Commonwealth </w:t>
      </w:r>
      <w:proofErr w:type="gramStart"/>
      <w:r w:rsidRPr="00BB36BB">
        <w:rPr>
          <w:rFonts w:ascii="Times New Roman" w:hAnsi="Times New Roman" w:cs="Times New Roman"/>
          <w:color w:val="000000"/>
          <w:shd w:val="clear" w:color="auto" w:fill="FFFFFF"/>
        </w:rPr>
        <w:t>authority;</w:t>
      </w:r>
      <w:proofErr w:type="gramEnd"/>
    </w:p>
    <w:p w14:paraId="0B5D0751" w14:textId="77777777" w:rsidR="000D0B6D" w:rsidRPr="00BB36BB" w:rsidRDefault="000D0B6D" w:rsidP="000D0B6D">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Parliamentary Department within the meaning of the </w:t>
      </w:r>
      <w:r w:rsidRPr="00BB36BB">
        <w:rPr>
          <w:rFonts w:ascii="Times New Roman" w:hAnsi="Times New Roman" w:cs="Times New Roman"/>
          <w:i/>
          <w:iCs/>
          <w:color w:val="000000"/>
          <w:shd w:val="clear" w:color="auto" w:fill="FFFFFF"/>
        </w:rPr>
        <w:t>Parliamentary Service Act 1999</w:t>
      </w:r>
      <w:r w:rsidRPr="00BB36BB">
        <w:rPr>
          <w:rFonts w:ascii="Times New Roman" w:hAnsi="Times New Roman" w:cs="Times New Roman"/>
          <w:color w:val="000000"/>
          <w:shd w:val="clear" w:color="auto" w:fill="FFFFFF"/>
        </w:rPr>
        <w:t>; or</w:t>
      </w:r>
    </w:p>
    <w:p w14:paraId="0AEE74A3" w14:textId="77777777" w:rsidR="000D0B6D" w:rsidRPr="00BB36BB" w:rsidRDefault="000D0B6D" w:rsidP="000D0B6D">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person, body, </w:t>
      </w:r>
      <w:proofErr w:type="gramStart"/>
      <w:r w:rsidRPr="00BB36BB">
        <w:rPr>
          <w:rFonts w:ascii="Times New Roman" w:hAnsi="Times New Roman" w:cs="Times New Roman"/>
          <w:color w:val="000000"/>
          <w:shd w:val="clear" w:color="auto" w:fill="FFFFFF"/>
        </w:rPr>
        <w:t>organisation</w:t>
      </w:r>
      <w:proofErr w:type="gramEnd"/>
      <w:r w:rsidRPr="00BB36BB">
        <w:rPr>
          <w:rFonts w:ascii="Times New Roman" w:hAnsi="Times New Roman" w:cs="Times New Roman"/>
          <w:color w:val="000000"/>
          <w:shd w:val="clear" w:color="auto" w:fill="FFFFFF"/>
        </w:rPr>
        <w:t xml:space="preserve"> or group of persons prescribed for the purposes of the definition.</w:t>
      </w:r>
    </w:p>
    <w:p w14:paraId="394D6C76" w14:textId="77777777" w:rsidR="00E9459D" w:rsidRPr="00BB36BB" w:rsidRDefault="00E9459D" w:rsidP="00E9459D">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Commonwealth authority is relevantly defined in ss 4(1) and 96 of the SRC Act as, </w:t>
      </w:r>
      <w:proofErr w:type="gramStart"/>
      <w:r w:rsidRPr="00BB36BB">
        <w:rPr>
          <w:rFonts w:ascii="Times New Roman" w:hAnsi="Times New Roman" w:cs="Times New Roman"/>
          <w:color w:val="000000"/>
          <w:shd w:val="clear" w:color="auto" w:fill="FFFFFF"/>
        </w:rPr>
        <w:t>broadly</w:t>
      </w:r>
      <w:proofErr w:type="gramEnd"/>
      <w:r w:rsidRPr="00BB36BB">
        <w:rPr>
          <w:rFonts w:ascii="Times New Roman" w:hAnsi="Times New Roman" w:cs="Times New Roman"/>
          <w:color w:val="000000"/>
          <w:shd w:val="clear" w:color="auto" w:fill="FFFFFF"/>
        </w:rPr>
        <w:t xml:space="preserve"> and subject to the listed criteria, a body corporate:</w:t>
      </w:r>
    </w:p>
    <w:p w14:paraId="6A46AFF3" w14:textId="77777777" w:rsidR="00E9459D" w:rsidRPr="00BB36BB" w:rsidRDefault="00E9459D" w:rsidP="00E9459D">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for a public purpose by a law of the </w:t>
      </w:r>
      <w:proofErr w:type="gramStart"/>
      <w:r w:rsidRPr="00BB36BB">
        <w:rPr>
          <w:rFonts w:ascii="Times New Roman" w:hAnsi="Times New Roman" w:cs="Times New Roman"/>
          <w:color w:val="000000"/>
          <w:shd w:val="clear" w:color="auto" w:fill="FFFFFF"/>
        </w:rPr>
        <w:t>Commonwealth;</w:t>
      </w:r>
      <w:proofErr w:type="gramEnd"/>
    </w:p>
    <w:p w14:paraId="34D8E940" w14:textId="77777777" w:rsidR="00E9459D" w:rsidRPr="00BB36BB" w:rsidRDefault="00E9459D" w:rsidP="00E9459D">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for a public purpose by a law of a Territory (other than the ACT or Northern Territory) and declared to be a body corporate to which the SRC Act </w:t>
      </w:r>
      <w:proofErr w:type="gramStart"/>
      <w:r w:rsidRPr="00BB36BB">
        <w:rPr>
          <w:rFonts w:ascii="Times New Roman" w:hAnsi="Times New Roman" w:cs="Times New Roman"/>
          <w:color w:val="000000"/>
          <w:shd w:val="clear" w:color="auto" w:fill="FFFFFF"/>
        </w:rPr>
        <w:t>applies;</w:t>
      </w:r>
      <w:proofErr w:type="gramEnd"/>
    </w:p>
    <w:p w14:paraId="00790C47" w14:textId="77777777" w:rsidR="00E9459D" w:rsidRPr="00BB36BB" w:rsidRDefault="00E9459D" w:rsidP="00E9459D">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under Commonwealth, state or territory law and the Commonwealth or a Territory (other than the ACT or Northern Territory) has a controlling or substantial interest, as the case may </w:t>
      </w:r>
      <w:proofErr w:type="gramStart"/>
      <w:r w:rsidRPr="00BB36BB">
        <w:rPr>
          <w:rFonts w:ascii="Times New Roman" w:hAnsi="Times New Roman" w:cs="Times New Roman"/>
          <w:color w:val="000000"/>
          <w:shd w:val="clear" w:color="auto" w:fill="FFFFFF"/>
        </w:rPr>
        <w:t>be;</w:t>
      </w:r>
      <w:proofErr w:type="gramEnd"/>
      <w:r w:rsidRPr="00BB36BB">
        <w:rPr>
          <w:rFonts w:ascii="Times New Roman" w:hAnsi="Times New Roman" w:cs="Times New Roman"/>
          <w:color w:val="000000"/>
          <w:shd w:val="clear" w:color="auto" w:fill="FFFFFF"/>
        </w:rPr>
        <w:t xml:space="preserve"> </w:t>
      </w:r>
    </w:p>
    <w:p w14:paraId="3ED8B2F8" w14:textId="77777777" w:rsidR="00E9459D" w:rsidRPr="00BB36BB" w:rsidRDefault="00E9459D" w:rsidP="00E9459D">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 which a body corporate in the paragraph above has a controlling interest and is declared by the Minister to be a body corporate to which the SRC Act </w:t>
      </w:r>
      <w:proofErr w:type="gramStart"/>
      <w:r w:rsidRPr="00BB36BB">
        <w:rPr>
          <w:rFonts w:ascii="Times New Roman" w:hAnsi="Times New Roman" w:cs="Times New Roman"/>
          <w:color w:val="000000"/>
          <w:shd w:val="clear" w:color="auto" w:fill="FFFFFF"/>
        </w:rPr>
        <w:t>applies;</w:t>
      </w:r>
      <w:proofErr w:type="gramEnd"/>
    </w:p>
    <w:p w14:paraId="1A56B042" w14:textId="077EAF1C" w:rsidR="00E9459D" w:rsidRPr="00BB36BB" w:rsidRDefault="00E9459D" w:rsidP="00E9459D">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public authority for the purposes of the </w:t>
      </w:r>
      <w:r w:rsidRPr="00BB36BB">
        <w:rPr>
          <w:rFonts w:ascii="Times New Roman" w:hAnsi="Times New Roman" w:cs="Times New Roman"/>
          <w:i/>
          <w:iCs/>
        </w:rPr>
        <w:t xml:space="preserve">Work Health and Safety Act 2011 </w:t>
      </w:r>
      <w:r w:rsidRPr="00BB36BB">
        <w:rPr>
          <w:rFonts w:ascii="Times New Roman" w:hAnsi="Times New Roman" w:cs="Times New Roman"/>
        </w:rPr>
        <w:t>(</w:t>
      </w:r>
      <w:r w:rsidRPr="00BB36BB">
        <w:rPr>
          <w:rFonts w:ascii="Times New Roman" w:hAnsi="Times New Roman" w:cs="Times New Roman"/>
          <w:color w:val="000000"/>
          <w:shd w:val="clear" w:color="auto" w:fill="FFFFFF"/>
        </w:rPr>
        <w:t>WHS Act) (see s 96 SRC Act).</w:t>
      </w:r>
      <w:r w:rsidRPr="00BB36BB">
        <w:rPr>
          <w:rFonts w:ascii="Times New Roman" w:hAnsi="Times New Roman" w:cs="Times New Roman"/>
          <w:color w:val="000000"/>
          <w:shd w:val="clear" w:color="auto" w:fill="FFFFFF"/>
        </w:rPr>
        <w:tab/>
        <w:t xml:space="preserve"> </w:t>
      </w:r>
    </w:p>
    <w:p w14:paraId="031A3A76" w14:textId="4D8C3A7D" w:rsidR="007D0919" w:rsidRPr="00BB36BB" w:rsidRDefault="007D0919" w:rsidP="007D0919">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The SRC Act also establishes the </w:t>
      </w:r>
      <w:r w:rsidR="00554FB8" w:rsidRPr="00BB36BB">
        <w:rPr>
          <w:rFonts w:ascii="Times New Roman" w:hAnsi="Times New Roman" w:cs="Times New Roman"/>
          <w:color w:val="000000"/>
          <w:shd w:val="clear" w:color="auto" w:fill="FFFFFF"/>
        </w:rPr>
        <w:t>Safety, Rehabilitation and Compensation Commission (Commission).</w:t>
      </w:r>
      <w:r w:rsidRPr="00BB36BB">
        <w:rPr>
          <w:rFonts w:ascii="Times New Roman" w:hAnsi="Times New Roman" w:cs="Times New Roman"/>
          <w:color w:val="000000"/>
          <w:shd w:val="clear" w:color="auto" w:fill="FFFFFF"/>
        </w:rPr>
        <w:t xml:space="preserve"> The </w:t>
      </w:r>
      <w:r w:rsidR="00554FB8" w:rsidRPr="00BB36BB">
        <w:rPr>
          <w:rFonts w:ascii="Times New Roman" w:hAnsi="Times New Roman" w:cs="Times New Roman"/>
          <w:color w:val="000000"/>
          <w:shd w:val="clear" w:color="auto" w:fill="FFFFFF"/>
        </w:rPr>
        <w:t>Commission</w:t>
      </w:r>
      <w:r w:rsidRPr="00BB36BB">
        <w:rPr>
          <w:rFonts w:ascii="Times New Roman" w:hAnsi="Times New Roman" w:cs="Times New Roman"/>
          <w:color w:val="000000"/>
          <w:shd w:val="clear" w:color="auto" w:fill="FFFFFF"/>
        </w:rPr>
        <w:t xml:space="preserve"> administers various regulatory functions under the SRC Act and is the issuing authority and regulator of self-insurance licences under the SRC Act.</w:t>
      </w:r>
    </w:p>
    <w:p w14:paraId="2C20FAC7" w14:textId="7C4D3765" w:rsidR="007A2B38" w:rsidRPr="00BB36BB" w:rsidRDefault="00071FC4" w:rsidP="00837B1D">
      <w:pPr>
        <w:rPr>
          <w:rFonts w:ascii="Times New Roman" w:hAnsi="Times New Roman" w:cs="Times New Roman"/>
        </w:rPr>
      </w:pPr>
      <w:r w:rsidRPr="00BB36BB">
        <w:rPr>
          <w:rFonts w:ascii="Times New Roman" w:hAnsi="Times New Roman" w:cs="Times New Roman"/>
        </w:rPr>
        <w:t xml:space="preserve">One of </w:t>
      </w:r>
      <w:r w:rsidR="00E9459D" w:rsidRPr="00BB36BB">
        <w:rPr>
          <w:rFonts w:ascii="Times New Roman" w:hAnsi="Times New Roman" w:cs="Times New Roman"/>
        </w:rPr>
        <w:t>Comcare</w:t>
      </w:r>
      <w:r w:rsidRPr="00BB36BB">
        <w:rPr>
          <w:rFonts w:ascii="Times New Roman" w:hAnsi="Times New Roman" w:cs="Times New Roman"/>
        </w:rPr>
        <w:t>’s functions is as</w:t>
      </w:r>
      <w:r w:rsidR="007A2B38" w:rsidRPr="00BB36BB">
        <w:rPr>
          <w:rFonts w:ascii="Times New Roman" w:hAnsi="Times New Roman" w:cs="Times New Roman"/>
        </w:rPr>
        <w:t xml:space="preserve"> the regulator for work health and safety under</w:t>
      </w:r>
      <w:r w:rsidR="00554FB8" w:rsidRPr="00BB36BB">
        <w:rPr>
          <w:rFonts w:ascii="Times New Roman" w:hAnsi="Times New Roman" w:cs="Times New Roman"/>
        </w:rPr>
        <w:t xml:space="preserve"> the WHS Act and </w:t>
      </w:r>
      <w:r w:rsidR="00554FB8" w:rsidRPr="00BB36BB">
        <w:rPr>
          <w:rFonts w:ascii="Times New Roman" w:hAnsi="Times New Roman" w:cs="Times New Roman"/>
          <w:i/>
          <w:iCs/>
        </w:rPr>
        <w:t>Work Health and Safety Regulations 2011</w:t>
      </w:r>
      <w:r w:rsidR="007A2B38" w:rsidRPr="00BB36BB">
        <w:rPr>
          <w:rFonts w:ascii="Times New Roman" w:hAnsi="Times New Roman" w:cs="Times New Roman"/>
        </w:rPr>
        <w:t xml:space="preserve">. As part of this role, Comcare charges </w:t>
      </w:r>
      <w:r w:rsidR="000D0B6D" w:rsidRPr="00BB36BB">
        <w:rPr>
          <w:rFonts w:ascii="Times New Roman" w:hAnsi="Times New Roman" w:cs="Times New Roman"/>
        </w:rPr>
        <w:t xml:space="preserve">Entities and Commonwealth </w:t>
      </w:r>
      <w:proofErr w:type="gramStart"/>
      <w:r w:rsidR="000D0B6D" w:rsidRPr="00BB36BB">
        <w:rPr>
          <w:rFonts w:ascii="Times New Roman" w:hAnsi="Times New Roman" w:cs="Times New Roman"/>
        </w:rPr>
        <w:t>authorities</w:t>
      </w:r>
      <w:proofErr w:type="gramEnd"/>
      <w:r w:rsidR="007A2B38" w:rsidRPr="00BB36BB">
        <w:rPr>
          <w:rFonts w:ascii="Times New Roman" w:hAnsi="Times New Roman" w:cs="Times New Roman"/>
        </w:rPr>
        <w:t xml:space="preserve"> fees, called regulatory contributions, for Comcare and the </w:t>
      </w:r>
      <w:r w:rsidR="00554FB8" w:rsidRPr="00BB36BB">
        <w:rPr>
          <w:rFonts w:ascii="Times New Roman" w:hAnsi="Times New Roman" w:cs="Times New Roman"/>
        </w:rPr>
        <w:t>Commission</w:t>
      </w:r>
      <w:r w:rsidR="007A2B38" w:rsidRPr="00BB36BB">
        <w:rPr>
          <w:rFonts w:ascii="Times New Roman" w:hAnsi="Times New Roman" w:cs="Times New Roman"/>
        </w:rPr>
        <w:t xml:space="preserve">’s functions and activities under the SRC Act and WHS Act. </w:t>
      </w:r>
    </w:p>
    <w:p w14:paraId="0C02326C" w14:textId="61F29810" w:rsidR="007A2B38" w:rsidRPr="00BB36BB" w:rsidRDefault="002A472E" w:rsidP="00837B1D">
      <w:pPr>
        <w:rPr>
          <w:rFonts w:ascii="Times New Roman" w:hAnsi="Times New Roman" w:cs="Times New Roman"/>
        </w:rPr>
      </w:pPr>
      <w:r w:rsidRPr="00BB36BB">
        <w:rPr>
          <w:rFonts w:ascii="Times New Roman" w:hAnsi="Times New Roman" w:cs="Times New Roman"/>
        </w:rPr>
        <w:t>Section 97D of the SRC Act provides that Comcare must determine the regulatory contribution to be paid by each Entity and Commonwealth authority for each financial year.</w:t>
      </w:r>
    </w:p>
    <w:p w14:paraId="32C08B6F" w14:textId="43F2D5DB" w:rsidR="002A472E" w:rsidRPr="00BB36BB" w:rsidRDefault="00C145D7" w:rsidP="00837B1D">
      <w:pPr>
        <w:rPr>
          <w:rFonts w:ascii="Times New Roman" w:hAnsi="Times New Roman" w:cs="Times New Roman"/>
        </w:rPr>
      </w:pPr>
      <w:r w:rsidRPr="00BB36BB">
        <w:rPr>
          <w:rFonts w:ascii="Times New Roman" w:hAnsi="Times New Roman" w:cs="Times New Roman"/>
        </w:rPr>
        <w:t>S</w:t>
      </w:r>
      <w:r w:rsidR="00F85E40" w:rsidRPr="00BB36BB">
        <w:rPr>
          <w:rFonts w:ascii="Times New Roman" w:hAnsi="Times New Roman" w:cs="Times New Roman"/>
        </w:rPr>
        <w:t>ubs</w:t>
      </w:r>
      <w:r w:rsidRPr="00BB36BB">
        <w:rPr>
          <w:rFonts w:ascii="Times New Roman" w:hAnsi="Times New Roman" w:cs="Times New Roman"/>
        </w:rPr>
        <w:t>ection 97</w:t>
      </w:r>
      <w:proofErr w:type="gramStart"/>
      <w:r w:rsidRPr="00BB36BB">
        <w:rPr>
          <w:rFonts w:ascii="Times New Roman" w:hAnsi="Times New Roman" w:cs="Times New Roman"/>
        </w:rPr>
        <w:t>E(</w:t>
      </w:r>
      <w:proofErr w:type="gramEnd"/>
      <w:r w:rsidRPr="00BB36BB">
        <w:rPr>
          <w:rFonts w:ascii="Times New Roman" w:hAnsi="Times New Roman" w:cs="Times New Roman"/>
        </w:rPr>
        <w:t xml:space="preserve">2) of the SRC Act provides that the </w:t>
      </w:r>
      <w:r w:rsidR="00071FC4" w:rsidRPr="00BB36BB">
        <w:rPr>
          <w:rFonts w:ascii="Times New Roman" w:hAnsi="Times New Roman" w:cs="Times New Roman"/>
        </w:rPr>
        <w:t>Commission</w:t>
      </w:r>
      <w:r w:rsidRPr="00BB36BB">
        <w:rPr>
          <w:rFonts w:ascii="Times New Roman" w:hAnsi="Times New Roman" w:cs="Times New Roman"/>
        </w:rPr>
        <w:t xml:space="preserve"> may prepare and issue guidelines to the Chief Executive Officer of Comcare in relation to Comcare’s determination of regulatory contributions to be paid by Entities and Commonwealth </w:t>
      </w:r>
      <w:r w:rsidR="00CE1DA2" w:rsidRPr="00BB36BB">
        <w:rPr>
          <w:rFonts w:ascii="Times New Roman" w:hAnsi="Times New Roman" w:cs="Times New Roman"/>
        </w:rPr>
        <w:t>a</w:t>
      </w:r>
      <w:r w:rsidRPr="00BB36BB">
        <w:rPr>
          <w:rFonts w:ascii="Times New Roman" w:hAnsi="Times New Roman" w:cs="Times New Roman"/>
        </w:rPr>
        <w:t>uthorities in respect of a financial year.</w:t>
      </w:r>
    </w:p>
    <w:p w14:paraId="399B3F09" w14:textId="33CD33EC" w:rsidR="00FA6998" w:rsidRPr="00BB36BB" w:rsidRDefault="00FA6998" w:rsidP="00837B1D">
      <w:pPr>
        <w:rPr>
          <w:rFonts w:ascii="Times New Roman" w:hAnsi="Times New Roman" w:cs="Times New Roman"/>
        </w:rPr>
      </w:pPr>
      <w:r w:rsidRPr="00BB36BB">
        <w:rPr>
          <w:rFonts w:ascii="Times New Roman" w:hAnsi="Times New Roman" w:cs="Times New Roman"/>
        </w:rPr>
        <w:t xml:space="preserve">The purpose of </w:t>
      </w:r>
      <w:r w:rsidR="002C6355" w:rsidRPr="00BB36BB">
        <w:rPr>
          <w:rFonts w:ascii="Times New Roman" w:hAnsi="Times New Roman" w:cs="Times New Roman"/>
        </w:rPr>
        <w:t xml:space="preserve">the </w:t>
      </w:r>
      <w:r w:rsidR="002C6355" w:rsidRPr="00BB36BB">
        <w:rPr>
          <w:rFonts w:ascii="Times New Roman" w:hAnsi="Times New Roman" w:cs="Times New Roman"/>
          <w:i/>
          <w:iCs/>
        </w:rPr>
        <w:t>Safety, Rehabilitation and Compensation (97</w:t>
      </w:r>
      <w:proofErr w:type="gramStart"/>
      <w:r w:rsidR="002C6355" w:rsidRPr="00BB36BB">
        <w:rPr>
          <w:rFonts w:ascii="Times New Roman" w:hAnsi="Times New Roman" w:cs="Times New Roman"/>
          <w:i/>
          <w:iCs/>
        </w:rPr>
        <w:t>E(</w:t>
      </w:r>
      <w:proofErr w:type="gramEnd"/>
      <w:r w:rsidR="002C6355" w:rsidRPr="00BB36BB">
        <w:rPr>
          <w:rFonts w:ascii="Times New Roman" w:hAnsi="Times New Roman" w:cs="Times New Roman"/>
          <w:i/>
          <w:iCs/>
        </w:rPr>
        <w:t xml:space="preserve">2) – Regulatory Contributions Determination) Guidelines 2022 </w:t>
      </w:r>
      <w:r w:rsidR="002C6355" w:rsidRPr="00BB36BB">
        <w:rPr>
          <w:rFonts w:ascii="Times New Roman" w:hAnsi="Times New Roman" w:cs="Times New Roman"/>
        </w:rPr>
        <w:t>(the Guidelines)</w:t>
      </w:r>
      <w:r w:rsidR="002C6355" w:rsidRPr="00BB36BB">
        <w:rPr>
          <w:rFonts w:ascii="Times New Roman" w:hAnsi="Times New Roman" w:cs="Times New Roman"/>
          <w:i/>
          <w:iCs/>
        </w:rPr>
        <w:t xml:space="preserve"> </w:t>
      </w:r>
      <w:r w:rsidR="002C6355" w:rsidRPr="00BB36BB">
        <w:rPr>
          <w:rFonts w:ascii="Times New Roman" w:hAnsi="Times New Roman" w:cs="Times New Roman"/>
        </w:rPr>
        <w:t xml:space="preserve">is to set out the </w:t>
      </w:r>
      <w:r w:rsidR="00071FC4" w:rsidRPr="00BB36BB">
        <w:rPr>
          <w:rFonts w:ascii="Times New Roman" w:hAnsi="Times New Roman" w:cs="Times New Roman"/>
        </w:rPr>
        <w:t>Commission</w:t>
      </w:r>
      <w:r w:rsidR="002C6355" w:rsidRPr="00BB36BB">
        <w:rPr>
          <w:rFonts w:ascii="Times New Roman" w:hAnsi="Times New Roman" w:cs="Times New Roman"/>
        </w:rPr>
        <w:t xml:space="preserve">’s </w:t>
      </w:r>
      <w:r w:rsidR="001C1BCE" w:rsidRPr="00BB36BB">
        <w:rPr>
          <w:rFonts w:ascii="Times New Roman" w:hAnsi="Times New Roman" w:cs="Times New Roman"/>
        </w:rPr>
        <w:t xml:space="preserve">guidelines </w:t>
      </w:r>
      <w:r w:rsidR="002C6355" w:rsidRPr="00BB36BB">
        <w:rPr>
          <w:rFonts w:ascii="Times New Roman" w:hAnsi="Times New Roman" w:cs="Times New Roman"/>
        </w:rPr>
        <w:t xml:space="preserve">for how Comcare determines </w:t>
      </w:r>
      <w:r w:rsidRPr="00BB36BB">
        <w:rPr>
          <w:rFonts w:ascii="Times New Roman" w:hAnsi="Times New Roman" w:cs="Times New Roman"/>
        </w:rPr>
        <w:t xml:space="preserve">regulatory contributions payable to Comcare by the employers of employees of </w:t>
      </w:r>
      <w:r w:rsidR="002C6355" w:rsidRPr="00BB36BB">
        <w:rPr>
          <w:rFonts w:ascii="Times New Roman" w:hAnsi="Times New Roman" w:cs="Times New Roman"/>
        </w:rPr>
        <w:t>Entities</w:t>
      </w:r>
      <w:r w:rsidRPr="00BB36BB">
        <w:rPr>
          <w:rFonts w:ascii="Times New Roman" w:hAnsi="Times New Roman" w:cs="Times New Roman"/>
        </w:rPr>
        <w:t xml:space="preserve"> and Commonwealth authorities. They guide Comcare’s consideration of the matters set out in </w:t>
      </w:r>
      <w:r w:rsidRPr="00BB36BB">
        <w:rPr>
          <w:rFonts w:ascii="Times New Roman" w:hAnsi="Times New Roman" w:cs="Times New Roman"/>
        </w:rPr>
        <w:lastRenderedPageBreak/>
        <w:t>section 97D of the SRC Act.</w:t>
      </w:r>
      <w:r w:rsidR="000D0D0A" w:rsidRPr="00BB36BB">
        <w:rPr>
          <w:rFonts w:ascii="Times New Roman" w:hAnsi="Times New Roman" w:cs="Times New Roman"/>
        </w:rPr>
        <w:t xml:space="preserve"> The Guidelines will replace the previous guidelines issued by the </w:t>
      </w:r>
      <w:r w:rsidR="00554FB8" w:rsidRPr="00BB36BB">
        <w:rPr>
          <w:rFonts w:ascii="Times New Roman" w:hAnsi="Times New Roman" w:cs="Times New Roman"/>
        </w:rPr>
        <w:t>Commission</w:t>
      </w:r>
      <w:r w:rsidR="000D0D0A" w:rsidRPr="00BB36BB">
        <w:rPr>
          <w:rFonts w:ascii="Times New Roman" w:hAnsi="Times New Roman" w:cs="Times New Roman"/>
        </w:rPr>
        <w:t xml:space="preserve"> pursuant to s</w:t>
      </w:r>
      <w:r w:rsidR="00F85E40" w:rsidRPr="00BB36BB">
        <w:rPr>
          <w:rFonts w:ascii="Times New Roman" w:hAnsi="Times New Roman" w:cs="Times New Roman"/>
        </w:rPr>
        <w:t>ubs</w:t>
      </w:r>
      <w:r w:rsidR="000D0D0A" w:rsidRPr="00BB36BB">
        <w:rPr>
          <w:rFonts w:ascii="Times New Roman" w:hAnsi="Times New Roman" w:cs="Times New Roman"/>
        </w:rPr>
        <w:t>ection 97</w:t>
      </w:r>
      <w:proofErr w:type="gramStart"/>
      <w:r w:rsidR="000D0D0A" w:rsidRPr="00BB36BB">
        <w:rPr>
          <w:rFonts w:ascii="Times New Roman" w:hAnsi="Times New Roman" w:cs="Times New Roman"/>
        </w:rPr>
        <w:t>E(</w:t>
      </w:r>
      <w:proofErr w:type="gramEnd"/>
      <w:r w:rsidR="000D0D0A" w:rsidRPr="00BB36BB">
        <w:rPr>
          <w:rFonts w:ascii="Times New Roman" w:hAnsi="Times New Roman" w:cs="Times New Roman"/>
        </w:rPr>
        <w:t>2) of the SRC Act on the day after the instrument is registered.</w:t>
      </w:r>
    </w:p>
    <w:p w14:paraId="623344C9" w14:textId="5222CB2B" w:rsidR="000D0D0A" w:rsidRPr="00BB36BB" w:rsidRDefault="00094B95" w:rsidP="00837B1D">
      <w:pPr>
        <w:rPr>
          <w:rFonts w:ascii="Times New Roman" w:hAnsi="Times New Roman" w:cs="Times New Roman"/>
        </w:rPr>
      </w:pPr>
      <w:r w:rsidRPr="00BB36BB">
        <w:rPr>
          <w:rFonts w:ascii="Times New Roman" w:hAnsi="Times New Roman" w:cs="Times New Roman"/>
        </w:rPr>
        <w:t>The Guidelines are intended to ensure that the regulatory contributions Comcare collects in a financial year cover the total estimated regulatory costs referred to in subsection 97D(2) of the</w:t>
      </w:r>
      <w:r w:rsidR="002D58A8" w:rsidRPr="00BB36BB">
        <w:rPr>
          <w:rFonts w:ascii="Times New Roman" w:hAnsi="Times New Roman" w:cs="Times New Roman"/>
        </w:rPr>
        <w:t xml:space="preserve"> Act for that financial year; to ensure that Comcare publishes information explaining the methodology and data used to calculate regulatory contributions; to ensure that Comcare considers Entities’ and Commonwealth authorities’ budget timing when advising of regulatory contributions;</w:t>
      </w:r>
      <w:r w:rsidR="004A3DCA" w:rsidRPr="00BB36BB">
        <w:rPr>
          <w:rFonts w:ascii="Times New Roman" w:hAnsi="Times New Roman" w:cs="Times New Roman"/>
        </w:rPr>
        <w:t xml:space="preserve"> to ensure that adjustments of regulatory contributions due to correction of data are only made in specified circumstances, and to ensure that Comcare reports annually to the </w:t>
      </w:r>
      <w:r w:rsidR="00071FC4" w:rsidRPr="00BB36BB">
        <w:rPr>
          <w:rFonts w:ascii="Times New Roman" w:hAnsi="Times New Roman" w:cs="Times New Roman"/>
        </w:rPr>
        <w:t>Commission</w:t>
      </w:r>
      <w:r w:rsidR="004A3DCA" w:rsidRPr="00BB36BB">
        <w:rPr>
          <w:rFonts w:ascii="Times New Roman" w:hAnsi="Times New Roman" w:cs="Times New Roman"/>
        </w:rPr>
        <w:t xml:space="preserve"> on the performance of the system for determining and collecting regulatory contributions, and consults the </w:t>
      </w:r>
      <w:r w:rsidR="00071FC4" w:rsidRPr="00BB36BB">
        <w:rPr>
          <w:rFonts w:ascii="Times New Roman" w:hAnsi="Times New Roman" w:cs="Times New Roman"/>
        </w:rPr>
        <w:t>Commission</w:t>
      </w:r>
      <w:r w:rsidR="004A3DCA" w:rsidRPr="00BB36BB">
        <w:rPr>
          <w:rFonts w:ascii="Times New Roman" w:hAnsi="Times New Roman" w:cs="Times New Roman"/>
        </w:rPr>
        <w:t>, Entities and Commonwealth authorities about significant changes to the regulatory contributions methodology before implementing those changes.</w:t>
      </w:r>
    </w:p>
    <w:p w14:paraId="3B5F964C" w14:textId="7222063B" w:rsidR="002C6355" w:rsidRPr="00BB36BB" w:rsidRDefault="002C6355">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The instrument is a disallowable legislative instrument for the purposes of section 42 of the </w:t>
      </w:r>
      <w:r w:rsidRPr="00BB36BB">
        <w:rPr>
          <w:rFonts w:ascii="Times New Roman" w:hAnsi="Times New Roman" w:cs="Times New Roman"/>
          <w:i/>
          <w:iCs/>
          <w:color w:val="000000"/>
          <w:shd w:val="clear" w:color="auto" w:fill="FFFFFF"/>
        </w:rPr>
        <w:t>Legislation Act 2003</w:t>
      </w:r>
      <w:r w:rsidR="00CE1DA2" w:rsidRPr="00BB36BB">
        <w:rPr>
          <w:rFonts w:ascii="Times New Roman" w:hAnsi="Times New Roman" w:cs="Times New Roman"/>
          <w:color w:val="000000"/>
          <w:shd w:val="clear" w:color="auto" w:fill="FFFFFF"/>
        </w:rPr>
        <w:t xml:space="preserve"> and</w:t>
      </w:r>
      <w:r w:rsidR="00BB7B88" w:rsidRPr="00BB36BB">
        <w:rPr>
          <w:rFonts w:ascii="Times New Roman" w:hAnsi="Times New Roman" w:cs="Times New Roman"/>
          <w:color w:val="000000"/>
          <w:shd w:val="clear" w:color="auto" w:fill="FFFFFF"/>
        </w:rPr>
        <w:t xml:space="preserve"> is</w:t>
      </w:r>
      <w:r w:rsidR="00CE1DA2" w:rsidRPr="00BB36BB">
        <w:rPr>
          <w:rFonts w:ascii="Times New Roman" w:hAnsi="Times New Roman" w:cs="Times New Roman"/>
          <w:color w:val="000000"/>
          <w:shd w:val="clear" w:color="auto" w:fill="FFFFFF"/>
        </w:rPr>
        <w:t xml:space="preserve"> made by the </w:t>
      </w:r>
      <w:r w:rsidR="00554FB8" w:rsidRPr="00BB36BB">
        <w:rPr>
          <w:rFonts w:ascii="Times New Roman" w:hAnsi="Times New Roman" w:cs="Times New Roman"/>
          <w:color w:val="000000"/>
          <w:shd w:val="clear" w:color="auto" w:fill="FFFFFF"/>
        </w:rPr>
        <w:t>Commission</w:t>
      </w:r>
      <w:r w:rsidR="00CE1DA2" w:rsidRPr="00BB36BB">
        <w:rPr>
          <w:rFonts w:ascii="Times New Roman" w:hAnsi="Times New Roman" w:cs="Times New Roman"/>
          <w:color w:val="000000"/>
          <w:shd w:val="clear" w:color="auto" w:fill="FFFFFF"/>
        </w:rPr>
        <w:t xml:space="preserve"> under s</w:t>
      </w:r>
      <w:r w:rsidR="00F85E40" w:rsidRPr="00BB36BB">
        <w:rPr>
          <w:rFonts w:ascii="Times New Roman" w:hAnsi="Times New Roman" w:cs="Times New Roman"/>
          <w:color w:val="000000"/>
          <w:shd w:val="clear" w:color="auto" w:fill="FFFFFF"/>
        </w:rPr>
        <w:t>ubsection</w:t>
      </w:r>
      <w:r w:rsidR="00CE1DA2" w:rsidRPr="00BB36BB">
        <w:rPr>
          <w:rFonts w:ascii="Times New Roman" w:hAnsi="Times New Roman" w:cs="Times New Roman"/>
          <w:color w:val="000000"/>
          <w:shd w:val="clear" w:color="auto" w:fill="FFFFFF"/>
        </w:rPr>
        <w:t xml:space="preserve"> 97</w:t>
      </w:r>
      <w:proofErr w:type="gramStart"/>
      <w:r w:rsidR="00CE1DA2" w:rsidRPr="00BB36BB">
        <w:rPr>
          <w:rFonts w:ascii="Times New Roman" w:hAnsi="Times New Roman" w:cs="Times New Roman"/>
          <w:color w:val="000000"/>
          <w:shd w:val="clear" w:color="auto" w:fill="FFFFFF"/>
        </w:rPr>
        <w:t>E(</w:t>
      </w:r>
      <w:proofErr w:type="gramEnd"/>
      <w:r w:rsidR="00CE1DA2" w:rsidRPr="00BB36BB">
        <w:rPr>
          <w:rFonts w:ascii="Times New Roman" w:hAnsi="Times New Roman" w:cs="Times New Roman"/>
          <w:color w:val="000000"/>
          <w:shd w:val="clear" w:color="auto" w:fill="FFFFFF"/>
        </w:rPr>
        <w:t>2) of the SRC Act.</w:t>
      </w:r>
    </w:p>
    <w:p w14:paraId="40A29831" w14:textId="77777777" w:rsidR="002C6355" w:rsidRPr="00BB36BB" w:rsidRDefault="002C6355" w:rsidP="002C6355">
      <w:pPr>
        <w:rPr>
          <w:rFonts w:ascii="Times New Roman" w:hAnsi="Times New Roman" w:cs="Times New Roman"/>
          <w:b/>
          <w:bCs/>
        </w:rPr>
      </w:pPr>
      <w:r w:rsidRPr="00BB36BB">
        <w:rPr>
          <w:rFonts w:ascii="Times New Roman" w:hAnsi="Times New Roman" w:cs="Times New Roman"/>
          <w:b/>
          <w:bCs/>
        </w:rPr>
        <w:t>CONSULTATION</w:t>
      </w:r>
    </w:p>
    <w:p w14:paraId="38B57388" w14:textId="7F3AE7E3" w:rsidR="002C6355" w:rsidRPr="00BB36BB" w:rsidRDefault="002C6355" w:rsidP="002C6355">
      <w:pPr>
        <w:rPr>
          <w:rFonts w:ascii="Times New Roman" w:hAnsi="Times New Roman" w:cs="Times New Roman"/>
        </w:rPr>
      </w:pPr>
      <w:bookmarkStart w:id="0" w:name="_Hlk106979253"/>
      <w:r w:rsidRPr="00BB36BB">
        <w:rPr>
          <w:rFonts w:ascii="Times New Roman" w:hAnsi="Times New Roman" w:cs="Times New Roman"/>
        </w:rPr>
        <w:t>Comcare</w:t>
      </w:r>
      <w:r w:rsidR="00554FB8" w:rsidRPr="00BB36BB">
        <w:rPr>
          <w:rFonts w:ascii="Times New Roman" w:hAnsi="Times New Roman" w:cs="Times New Roman"/>
        </w:rPr>
        <w:t xml:space="preserve"> </w:t>
      </w:r>
      <w:r w:rsidR="00BB7B88" w:rsidRPr="00BB36BB">
        <w:rPr>
          <w:rFonts w:ascii="Times New Roman" w:hAnsi="Times New Roman" w:cs="Times New Roman"/>
        </w:rPr>
        <w:t xml:space="preserve">was </w:t>
      </w:r>
      <w:r w:rsidRPr="00BB36BB">
        <w:rPr>
          <w:rFonts w:ascii="Times New Roman" w:hAnsi="Times New Roman" w:cs="Times New Roman"/>
        </w:rPr>
        <w:t xml:space="preserve">consulted in relation to this instrument. </w:t>
      </w:r>
    </w:p>
    <w:p w14:paraId="4359D88F" w14:textId="0E618278" w:rsidR="00554FB8" w:rsidRPr="00BB36BB" w:rsidRDefault="00554FB8" w:rsidP="00554FB8">
      <w:pPr>
        <w:rPr>
          <w:rFonts w:ascii="Times New Roman" w:hAnsi="Times New Roman" w:cs="Times New Roman"/>
        </w:rPr>
      </w:pPr>
      <w:r w:rsidRPr="00BB36BB">
        <w:rPr>
          <w:rFonts w:ascii="Times New Roman" w:hAnsi="Times New Roman" w:cs="Times New Roman"/>
        </w:rPr>
        <w:t>Because of the broad representative membership of the Commission, which made the Guidelines, no further consultation was undertaken.</w:t>
      </w:r>
    </w:p>
    <w:p w14:paraId="241DF92E" w14:textId="53A1E82B" w:rsidR="002C6355" w:rsidRPr="00BB36BB" w:rsidRDefault="002C6355" w:rsidP="002C6355">
      <w:pPr>
        <w:rPr>
          <w:rFonts w:ascii="Times New Roman" w:hAnsi="Times New Roman" w:cs="Times New Roman"/>
        </w:rPr>
      </w:pPr>
      <w:r w:rsidRPr="00BB36BB">
        <w:rPr>
          <w:rFonts w:ascii="Times New Roman" w:hAnsi="Times New Roman" w:cs="Times New Roman"/>
        </w:rPr>
        <w:t xml:space="preserve">The </w:t>
      </w:r>
      <w:r w:rsidR="00554FB8" w:rsidRPr="00BB36BB">
        <w:rPr>
          <w:rFonts w:ascii="Times New Roman" w:hAnsi="Times New Roman" w:cs="Times New Roman"/>
        </w:rPr>
        <w:t>Commission</w:t>
      </w:r>
      <w:r w:rsidRPr="00BB36BB">
        <w:rPr>
          <w:rFonts w:ascii="Times New Roman" w:hAnsi="Times New Roman" w:cs="Times New Roman"/>
        </w:rPr>
        <w:t xml:space="preserve"> is a tripartite representative body, comprised of a Chairperson, 3 members nominated by the Australian Council of Trade Unions, a member who represents the self-insured licensees, a member who represents the Commonwealth and Commonwealth authorities, the CEO of Safe Work Australia, a member who represents the interests of members and former members of the Defence Force, a member nominated by the Chief Minister for the Australian Capital Territory and represents the interests of the Australian Capital Territory’s public sector employers, and 2 members with qualifications or experience relevant to the </w:t>
      </w:r>
      <w:r w:rsidR="00071FC4" w:rsidRPr="00BB36BB">
        <w:rPr>
          <w:rFonts w:ascii="Times New Roman" w:hAnsi="Times New Roman" w:cs="Times New Roman"/>
        </w:rPr>
        <w:t>Commission</w:t>
      </w:r>
      <w:r w:rsidRPr="00BB36BB">
        <w:rPr>
          <w:rFonts w:ascii="Times New Roman" w:hAnsi="Times New Roman" w:cs="Times New Roman"/>
        </w:rPr>
        <w:t>’s functions or the exercise of its powers.</w:t>
      </w:r>
    </w:p>
    <w:bookmarkEnd w:id="0"/>
    <w:p w14:paraId="77FBF5F6" w14:textId="77777777" w:rsidR="002C6355" w:rsidRPr="00BB36BB" w:rsidRDefault="002C6355" w:rsidP="002C6355">
      <w:pPr>
        <w:rPr>
          <w:rFonts w:ascii="Times New Roman" w:hAnsi="Times New Roman" w:cs="Times New Roman"/>
          <w:b/>
          <w:bCs/>
        </w:rPr>
      </w:pPr>
      <w:r w:rsidRPr="00BB36BB">
        <w:rPr>
          <w:rFonts w:ascii="Times New Roman" w:hAnsi="Times New Roman" w:cs="Times New Roman"/>
          <w:b/>
          <w:bCs/>
        </w:rPr>
        <w:t>REGULATION IMPACT STATEMENT</w:t>
      </w:r>
    </w:p>
    <w:p w14:paraId="418720A3" w14:textId="61C20757" w:rsidR="002C6355" w:rsidRPr="00BB36BB" w:rsidRDefault="00071FC4" w:rsidP="002C6355">
      <w:pPr>
        <w:rPr>
          <w:rFonts w:ascii="Times New Roman" w:hAnsi="Times New Roman" w:cs="Times New Roman"/>
        </w:rPr>
      </w:pPr>
      <w:bookmarkStart w:id="1" w:name="_Hlk106979274"/>
      <w:r w:rsidRPr="00BB36BB">
        <w:rPr>
          <w:rFonts w:ascii="Times New Roman" w:hAnsi="Times New Roman" w:cs="Times New Roman"/>
        </w:rPr>
        <w:t>The</w:t>
      </w:r>
      <w:r w:rsidR="002C6355" w:rsidRPr="00BB36BB">
        <w:rPr>
          <w:rFonts w:ascii="Times New Roman" w:hAnsi="Times New Roman" w:cs="Times New Roman"/>
        </w:rPr>
        <w:t xml:space="preserve"> Office of Best Practice Regulation has advised </w:t>
      </w:r>
      <w:r w:rsidRPr="00BB36BB">
        <w:rPr>
          <w:rFonts w:ascii="Times New Roman" w:hAnsi="Times New Roman" w:cs="Times New Roman"/>
        </w:rPr>
        <w:t>no</w:t>
      </w:r>
      <w:r w:rsidR="002C6355" w:rsidRPr="00BB36BB">
        <w:rPr>
          <w:rFonts w:ascii="Times New Roman" w:hAnsi="Times New Roman" w:cs="Times New Roman"/>
        </w:rPr>
        <w:t xml:space="preserve"> Regulation Impact Statement</w:t>
      </w:r>
      <w:r w:rsidRPr="00BB36BB">
        <w:rPr>
          <w:rFonts w:ascii="Times New Roman" w:hAnsi="Times New Roman" w:cs="Times New Roman"/>
        </w:rPr>
        <w:t xml:space="preserve"> is required</w:t>
      </w:r>
      <w:r w:rsidR="002C6355" w:rsidRPr="00BB36BB">
        <w:rPr>
          <w:rFonts w:ascii="Times New Roman" w:hAnsi="Times New Roman" w:cs="Times New Roman"/>
        </w:rPr>
        <w:t xml:space="preserve"> (Ref: OBPR22-02491).</w:t>
      </w:r>
    </w:p>
    <w:bookmarkEnd w:id="1"/>
    <w:p w14:paraId="7B2DAA41" w14:textId="77777777" w:rsidR="00A9557D" w:rsidRPr="00BB36BB" w:rsidRDefault="00A9557D">
      <w:pPr>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br w:type="page"/>
      </w:r>
    </w:p>
    <w:p w14:paraId="75302EB7" w14:textId="58276A81" w:rsidR="002C6355" w:rsidRPr="00BB36BB" w:rsidRDefault="002C6355" w:rsidP="002C6355">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b/>
          <w:bCs/>
          <w:color w:val="000000"/>
          <w:lang w:eastAsia="en-AU"/>
        </w:rPr>
        <w:lastRenderedPageBreak/>
        <w:t>NOTES ON SECTIONS</w:t>
      </w:r>
    </w:p>
    <w:p w14:paraId="538D778D" w14:textId="480F1F93" w:rsidR="002C6355" w:rsidRPr="00BB36BB" w:rsidRDefault="00441F49" w:rsidP="002C6355">
      <w:pPr>
        <w:rPr>
          <w:rFonts w:ascii="Times New Roman" w:hAnsi="Times New Roman" w:cs="Times New Roman"/>
          <w:b/>
          <w:bCs/>
        </w:rPr>
      </w:pPr>
      <w:r w:rsidRPr="00BB36BB">
        <w:rPr>
          <w:rFonts w:ascii="Times New Roman" w:hAnsi="Times New Roman" w:cs="Times New Roman"/>
          <w:b/>
          <w:bCs/>
        </w:rPr>
        <w:t>Section 1 – Name</w:t>
      </w:r>
    </w:p>
    <w:p w14:paraId="073B315C" w14:textId="0D2EE2B8" w:rsidR="00441F49" w:rsidRPr="00BB36BB" w:rsidRDefault="00441F49" w:rsidP="002C6355">
      <w:pPr>
        <w:rPr>
          <w:rFonts w:ascii="Times New Roman" w:hAnsi="Times New Roman" w:cs="Times New Roman"/>
        </w:rPr>
      </w:pPr>
      <w:r w:rsidRPr="00BB36BB">
        <w:rPr>
          <w:rFonts w:ascii="Times New Roman" w:hAnsi="Times New Roman" w:cs="Times New Roman"/>
        </w:rPr>
        <w:t>Section 1 provides that</w:t>
      </w:r>
      <w:r w:rsidR="007A206D" w:rsidRPr="00BB36BB">
        <w:rPr>
          <w:rFonts w:ascii="Times New Roman" w:hAnsi="Times New Roman" w:cs="Times New Roman"/>
        </w:rPr>
        <w:t xml:space="preserve"> the title of the instrument is the </w:t>
      </w:r>
      <w:r w:rsidR="007A206D" w:rsidRPr="00BB36BB">
        <w:rPr>
          <w:rFonts w:ascii="Times New Roman" w:hAnsi="Times New Roman" w:cs="Times New Roman"/>
          <w:i/>
          <w:iCs/>
        </w:rPr>
        <w:t>Safety, Rehabilitation and Compensation (97</w:t>
      </w:r>
      <w:proofErr w:type="gramStart"/>
      <w:r w:rsidR="007A206D" w:rsidRPr="00BB36BB">
        <w:rPr>
          <w:rFonts w:ascii="Times New Roman" w:hAnsi="Times New Roman" w:cs="Times New Roman"/>
          <w:i/>
          <w:iCs/>
        </w:rPr>
        <w:t>E(</w:t>
      </w:r>
      <w:proofErr w:type="gramEnd"/>
      <w:r w:rsidR="007A206D" w:rsidRPr="00BB36BB">
        <w:rPr>
          <w:rFonts w:ascii="Times New Roman" w:hAnsi="Times New Roman" w:cs="Times New Roman"/>
          <w:i/>
          <w:iCs/>
        </w:rPr>
        <w:t>2) – Regulatory Contributions Determination) Guidelines 2022</w:t>
      </w:r>
      <w:r w:rsidR="007A206D" w:rsidRPr="00BB36BB">
        <w:rPr>
          <w:rFonts w:ascii="Times New Roman" w:hAnsi="Times New Roman" w:cs="Times New Roman"/>
        </w:rPr>
        <w:t>.</w:t>
      </w:r>
    </w:p>
    <w:p w14:paraId="7A5B6A82" w14:textId="4159BF5F" w:rsidR="00441F49" w:rsidRPr="00BB36BB" w:rsidRDefault="00441F49" w:rsidP="00441F49">
      <w:pPr>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Section 2 – Commencement</w:t>
      </w:r>
    </w:p>
    <w:p w14:paraId="6B1E3050" w14:textId="77777777" w:rsidR="007A206D" w:rsidRPr="00BB36BB" w:rsidRDefault="007A206D" w:rsidP="007A206D">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Section 2 provides that the entirety of the instrument commences on the day after it is registered.</w:t>
      </w:r>
    </w:p>
    <w:p w14:paraId="6A03DB6F" w14:textId="09C41D56" w:rsidR="00441F49" w:rsidRPr="00BB36BB" w:rsidRDefault="00441F49" w:rsidP="00441F49">
      <w:pPr>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Section 3 – Authority</w:t>
      </w:r>
    </w:p>
    <w:p w14:paraId="581CB214" w14:textId="7870068B" w:rsidR="007A206D" w:rsidRPr="00BB36BB" w:rsidRDefault="007A206D" w:rsidP="007A206D">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Section 3 provides that the instrument is made under subsection 97</w:t>
      </w:r>
      <w:proofErr w:type="gramStart"/>
      <w:r w:rsidRPr="00BB36BB">
        <w:rPr>
          <w:rFonts w:ascii="Times New Roman" w:eastAsia="Times New Roman" w:hAnsi="Times New Roman" w:cs="Times New Roman"/>
          <w:color w:val="000000"/>
          <w:lang w:eastAsia="en-AU"/>
        </w:rPr>
        <w:t>E(</w:t>
      </w:r>
      <w:proofErr w:type="gramEnd"/>
      <w:r w:rsidRPr="00BB36BB">
        <w:rPr>
          <w:rFonts w:ascii="Times New Roman" w:eastAsia="Times New Roman" w:hAnsi="Times New Roman" w:cs="Times New Roman"/>
          <w:color w:val="000000"/>
          <w:lang w:eastAsia="en-AU"/>
        </w:rPr>
        <w:t>2) of the </w:t>
      </w:r>
      <w:r w:rsidRPr="00BB36BB">
        <w:rPr>
          <w:rFonts w:ascii="Times New Roman" w:eastAsia="Times New Roman" w:hAnsi="Times New Roman" w:cs="Times New Roman"/>
          <w:i/>
          <w:iCs/>
          <w:color w:val="000000"/>
          <w:lang w:eastAsia="en-AU"/>
        </w:rPr>
        <w:t>Safety, Rehabilitation and Compensation Act 1988.</w:t>
      </w:r>
    </w:p>
    <w:p w14:paraId="53CC8F0D" w14:textId="6E9CE537" w:rsidR="00441F49" w:rsidRPr="00BB36BB" w:rsidRDefault="00441F49" w:rsidP="00071FC4">
      <w:pPr>
        <w:keepNext/>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Section 4 – Definitions</w:t>
      </w:r>
    </w:p>
    <w:p w14:paraId="367DEA8B" w14:textId="77777777" w:rsidR="007A206D" w:rsidRPr="00BB36BB" w:rsidRDefault="007A206D" w:rsidP="007A206D">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Section 4 provides the definitions of terms used in the instrument.</w:t>
      </w:r>
    </w:p>
    <w:p w14:paraId="2812F9C8" w14:textId="79B69B07" w:rsidR="00441F49" w:rsidRPr="00BB36BB" w:rsidRDefault="00441F49" w:rsidP="00441F49">
      <w:pPr>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Section 5 – Schedules</w:t>
      </w:r>
    </w:p>
    <w:p w14:paraId="6C20E78C" w14:textId="77777777" w:rsidR="007A206D" w:rsidRPr="00BB36BB" w:rsidRDefault="007A206D" w:rsidP="00441F49">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Section 5 provides that each instrument that is specified in a Schedule to the instrument is amended or repealed as set out in the applicable items in the Schedule concerned, and any other item in a Schedule to the instrument has effect according to its terms.</w:t>
      </w:r>
    </w:p>
    <w:p w14:paraId="134FD36D" w14:textId="100582C2" w:rsidR="00441F49" w:rsidRPr="00BB36BB" w:rsidRDefault="00441F49" w:rsidP="00441F49">
      <w:pPr>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 xml:space="preserve">Section 6 – Determining </w:t>
      </w:r>
      <w:r w:rsidR="007A206D" w:rsidRPr="00BB36BB">
        <w:rPr>
          <w:rFonts w:ascii="Times New Roman" w:eastAsia="Times New Roman" w:hAnsi="Times New Roman" w:cs="Times New Roman"/>
          <w:b/>
          <w:bCs/>
          <w:color w:val="000000"/>
          <w:lang w:eastAsia="en-AU"/>
        </w:rPr>
        <w:t>Regulatory Contributions</w:t>
      </w:r>
    </w:p>
    <w:p w14:paraId="301E4460" w14:textId="5C200A36" w:rsidR="007A206D" w:rsidRPr="00BB36BB" w:rsidRDefault="007A206D" w:rsidP="00441F49">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 xml:space="preserve">Section 6 provides the Guidelines applying to Comcare in determining the </w:t>
      </w:r>
      <w:proofErr w:type="gramStart"/>
      <w:r w:rsidRPr="00BB36BB">
        <w:rPr>
          <w:rFonts w:ascii="Times New Roman" w:eastAsia="Times New Roman" w:hAnsi="Times New Roman" w:cs="Times New Roman"/>
          <w:color w:val="000000"/>
          <w:lang w:eastAsia="en-AU"/>
        </w:rPr>
        <w:t>amount</w:t>
      </w:r>
      <w:proofErr w:type="gramEnd"/>
      <w:r w:rsidRPr="00BB36BB">
        <w:rPr>
          <w:rFonts w:ascii="Times New Roman" w:eastAsia="Times New Roman" w:hAnsi="Times New Roman" w:cs="Times New Roman"/>
          <w:color w:val="000000"/>
          <w:lang w:eastAsia="en-AU"/>
        </w:rPr>
        <w:t xml:space="preserve"> of regulatory contributions to be paid by each Entity and by each Commonwealth authority under the SRC Act in respect of a financial year. The guidelines explain that Comcare should, in determining regulatory contributions:</w:t>
      </w:r>
    </w:p>
    <w:p w14:paraId="5434A9C9" w14:textId="115F94C5" w:rsidR="00692E3B" w:rsidRPr="00BB36BB" w:rsidRDefault="00071FC4" w:rsidP="00692E3B">
      <w:pPr>
        <w:pStyle w:val="ListBullet"/>
        <w:tabs>
          <w:tab w:val="clear" w:pos="360"/>
          <w:tab w:val="num" w:pos="1080"/>
        </w:tabs>
        <w:ind w:left="1080"/>
        <w:rPr>
          <w:rFonts w:ascii="Times New Roman" w:hAnsi="Times New Roman" w:cs="Times New Roman"/>
          <w:lang w:eastAsia="en-AU"/>
        </w:rPr>
      </w:pPr>
      <w:r w:rsidRPr="00BB36BB">
        <w:rPr>
          <w:rFonts w:ascii="Times New Roman" w:hAnsi="Times New Roman" w:cs="Times New Roman"/>
          <w:lang w:eastAsia="en-AU"/>
        </w:rPr>
        <w:t>i</w:t>
      </w:r>
      <w:r w:rsidR="00692E3B" w:rsidRPr="00BB36BB">
        <w:rPr>
          <w:rFonts w:ascii="Times New Roman" w:hAnsi="Times New Roman" w:cs="Times New Roman"/>
          <w:lang w:eastAsia="en-AU"/>
        </w:rPr>
        <w:t xml:space="preserve">n each financial year, collect regulatory contributions to fund the total estimated cost </w:t>
      </w:r>
      <w:r w:rsidR="00692E3B" w:rsidRPr="00BB36BB">
        <w:rPr>
          <w:rFonts w:ascii="Times New Roman" w:hAnsi="Times New Roman" w:cs="Times New Roman"/>
        </w:rPr>
        <w:t>in that financial year of the regulatory costs referred to in subsection 97</w:t>
      </w:r>
      <w:proofErr w:type="gramStart"/>
      <w:r w:rsidR="00692E3B" w:rsidRPr="00BB36BB">
        <w:rPr>
          <w:rFonts w:ascii="Times New Roman" w:hAnsi="Times New Roman" w:cs="Times New Roman"/>
        </w:rPr>
        <w:t>D(</w:t>
      </w:r>
      <w:proofErr w:type="gramEnd"/>
      <w:r w:rsidR="00692E3B" w:rsidRPr="00BB36BB">
        <w:rPr>
          <w:rFonts w:ascii="Times New Roman" w:hAnsi="Times New Roman" w:cs="Times New Roman"/>
        </w:rPr>
        <w:t>2) of the SRC Act.</w:t>
      </w:r>
    </w:p>
    <w:p w14:paraId="05E6CBFD" w14:textId="60D0C225" w:rsidR="001B0150" w:rsidRPr="00BB36BB" w:rsidRDefault="00071FC4" w:rsidP="00692E3B">
      <w:pPr>
        <w:pStyle w:val="ListBullet"/>
        <w:tabs>
          <w:tab w:val="clear" w:pos="360"/>
          <w:tab w:val="num" w:pos="1080"/>
        </w:tabs>
        <w:ind w:left="1080"/>
        <w:rPr>
          <w:rFonts w:ascii="Times New Roman" w:hAnsi="Times New Roman" w:cs="Times New Roman"/>
          <w:lang w:eastAsia="en-AU"/>
        </w:rPr>
      </w:pPr>
      <w:r w:rsidRPr="00BB36BB">
        <w:rPr>
          <w:rFonts w:ascii="Times New Roman" w:hAnsi="Times New Roman" w:cs="Times New Roman"/>
        </w:rPr>
        <w:t>p</w:t>
      </w:r>
      <w:r w:rsidR="001B0150" w:rsidRPr="00BB36BB">
        <w:rPr>
          <w:rFonts w:ascii="Times New Roman" w:hAnsi="Times New Roman" w:cs="Times New Roman"/>
        </w:rPr>
        <w:t>ublish information explaining the methodology and data used to calculate regulatory contributions.</w:t>
      </w:r>
    </w:p>
    <w:p w14:paraId="725197E2" w14:textId="108FB4AC" w:rsidR="001B0150" w:rsidRPr="00BB36BB" w:rsidRDefault="00071FC4" w:rsidP="00692E3B">
      <w:pPr>
        <w:pStyle w:val="ListBullet"/>
        <w:tabs>
          <w:tab w:val="clear" w:pos="360"/>
          <w:tab w:val="num" w:pos="1080"/>
        </w:tabs>
        <w:ind w:left="1080"/>
        <w:rPr>
          <w:rFonts w:ascii="Times New Roman" w:hAnsi="Times New Roman" w:cs="Times New Roman"/>
          <w:lang w:eastAsia="en-AU"/>
        </w:rPr>
      </w:pPr>
      <w:r w:rsidRPr="00BB36BB">
        <w:rPr>
          <w:rFonts w:ascii="Times New Roman" w:hAnsi="Times New Roman" w:cs="Times New Roman"/>
        </w:rPr>
        <w:t>c</w:t>
      </w:r>
      <w:r w:rsidR="001B0150" w:rsidRPr="00BB36BB">
        <w:rPr>
          <w:rFonts w:ascii="Times New Roman" w:hAnsi="Times New Roman" w:cs="Times New Roman"/>
        </w:rPr>
        <w:t>onsider Entities’ and Commonwealth authorities’ budget timing when advising regulatory contributions.</w:t>
      </w:r>
    </w:p>
    <w:p w14:paraId="004E4793" w14:textId="12ABFA1D" w:rsidR="001B0150" w:rsidRPr="00BB36BB" w:rsidRDefault="00071FC4" w:rsidP="00692E3B">
      <w:pPr>
        <w:pStyle w:val="ListBullet"/>
        <w:tabs>
          <w:tab w:val="clear" w:pos="360"/>
          <w:tab w:val="num" w:pos="1080"/>
        </w:tabs>
        <w:ind w:left="1080"/>
        <w:rPr>
          <w:rFonts w:ascii="Times New Roman" w:hAnsi="Times New Roman" w:cs="Times New Roman"/>
          <w:lang w:eastAsia="en-AU"/>
        </w:rPr>
      </w:pPr>
      <w:r w:rsidRPr="00BB36BB">
        <w:rPr>
          <w:rFonts w:ascii="Times New Roman" w:hAnsi="Times New Roman" w:cs="Times New Roman"/>
          <w:lang w:eastAsia="en-AU"/>
        </w:rPr>
        <w:t>o</w:t>
      </w:r>
      <w:r w:rsidR="001B0150" w:rsidRPr="00BB36BB">
        <w:rPr>
          <w:rFonts w:ascii="Times New Roman" w:hAnsi="Times New Roman" w:cs="Times New Roman"/>
          <w:lang w:eastAsia="en-AU"/>
        </w:rPr>
        <w:t>nly make corrections to the data used to calculate regulatory contributions in certain circumstances.</w:t>
      </w:r>
    </w:p>
    <w:p w14:paraId="56412455" w14:textId="1C1BC505" w:rsidR="00215D84" w:rsidRPr="00BB36BB" w:rsidRDefault="00215D84" w:rsidP="00215D84">
      <w:pPr>
        <w:pStyle w:val="ListBullet"/>
        <w:numPr>
          <w:ilvl w:val="0"/>
          <w:numId w:val="0"/>
        </w:numPr>
        <w:ind w:left="360" w:hanging="360"/>
        <w:rPr>
          <w:rFonts w:ascii="Times New Roman" w:hAnsi="Times New Roman" w:cs="Times New Roman"/>
          <w:lang w:eastAsia="en-AU"/>
        </w:rPr>
      </w:pPr>
    </w:p>
    <w:p w14:paraId="5718985E" w14:textId="77777777" w:rsidR="00A9557D" w:rsidRPr="00BB36BB" w:rsidRDefault="00A9557D" w:rsidP="00A9557D">
      <w:pPr>
        <w:pStyle w:val="ListBullet"/>
        <w:numPr>
          <w:ilvl w:val="0"/>
          <w:numId w:val="0"/>
        </w:numPr>
        <w:rPr>
          <w:rFonts w:ascii="Times New Roman" w:hAnsi="Times New Roman" w:cs="Times New Roman"/>
          <w:lang w:eastAsia="en-AU"/>
        </w:rPr>
      </w:pPr>
      <w:bookmarkStart w:id="2" w:name="_Hlk106979558"/>
      <w:r w:rsidRPr="00BB36BB">
        <w:rPr>
          <w:rFonts w:ascii="Times New Roman" w:hAnsi="Times New Roman" w:cs="Times New Roman"/>
          <w:lang w:eastAsia="en-AU"/>
        </w:rPr>
        <w:t>A note to this section points readers to the sections of the SRC Act which provide for the review of regulatory contribution determinations.</w:t>
      </w:r>
    </w:p>
    <w:bookmarkEnd w:id="2"/>
    <w:p w14:paraId="7CF4D191" w14:textId="77777777" w:rsidR="00A9557D" w:rsidRPr="00BB36BB" w:rsidRDefault="00A9557D" w:rsidP="00215D84">
      <w:pPr>
        <w:pStyle w:val="ListBullet"/>
        <w:numPr>
          <w:ilvl w:val="0"/>
          <w:numId w:val="0"/>
        </w:numPr>
        <w:rPr>
          <w:rFonts w:ascii="Times New Roman" w:hAnsi="Times New Roman" w:cs="Times New Roman"/>
          <w:lang w:eastAsia="en-AU"/>
        </w:rPr>
      </w:pPr>
    </w:p>
    <w:p w14:paraId="7E6A9EF6" w14:textId="6710DA2A" w:rsidR="00215D84" w:rsidRPr="00BB36BB" w:rsidRDefault="00A9557D" w:rsidP="00215D84">
      <w:pPr>
        <w:pStyle w:val="ListBullet"/>
        <w:numPr>
          <w:ilvl w:val="0"/>
          <w:numId w:val="0"/>
        </w:numPr>
        <w:rPr>
          <w:rFonts w:ascii="Times New Roman" w:hAnsi="Times New Roman" w:cs="Times New Roman"/>
          <w:lang w:eastAsia="en-AU"/>
        </w:rPr>
      </w:pPr>
      <w:r w:rsidRPr="00BB36BB">
        <w:rPr>
          <w:rFonts w:ascii="Times New Roman" w:hAnsi="Times New Roman" w:cs="Times New Roman"/>
          <w:lang w:eastAsia="en-AU"/>
        </w:rPr>
        <w:t>A</w:t>
      </w:r>
      <w:r w:rsidR="00215D84" w:rsidRPr="00BB36BB">
        <w:rPr>
          <w:rFonts w:ascii="Times New Roman" w:hAnsi="Times New Roman" w:cs="Times New Roman"/>
          <w:lang w:eastAsia="en-AU"/>
        </w:rPr>
        <w:t xml:space="preserve"> regulatory contribution is the sum of two amounts:</w:t>
      </w:r>
    </w:p>
    <w:p w14:paraId="1337F609" w14:textId="77777777" w:rsidR="00DC3641" w:rsidRPr="00BB36BB" w:rsidRDefault="00DC3641" w:rsidP="00215D84">
      <w:pPr>
        <w:pStyle w:val="ListBullet"/>
        <w:numPr>
          <w:ilvl w:val="0"/>
          <w:numId w:val="0"/>
        </w:numPr>
        <w:rPr>
          <w:rFonts w:ascii="Times New Roman" w:hAnsi="Times New Roman" w:cs="Times New Roman"/>
          <w:lang w:eastAsia="en-AU"/>
        </w:rPr>
      </w:pPr>
    </w:p>
    <w:p w14:paraId="5B61485D" w14:textId="71FCF0D2" w:rsidR="00215D84" w:rsidRPr="00BB36BB" w:rsidRDefault="00215D84" w:rsidP="00215D84">
      <w:pPr>
        <w:pStyle w:val="ListBullet"/>
        <w:rPr>
          <w:rFonts w:ascii="Times New Roman" w:hAnsi="Times New Roman" w:cs="Times New Roman"/>
          <w:lang w:eastAsia="en-AU"/>
        </w:rPr>
      </w:pPr>
      <w:r w:rsidRPr="00BB36BB">
        <w:rPr>
          <w:rFonts w:ascii="Times New Roman" w:hAnsi="Times New Roman" w:cs="Times New Roman"/>
          <w:lang w:eastAsia="en-AU"/>
        </w:rPr>
        <w:t xml:space="preserve">the part of the estimated cost incurred by the </w:t>
      </w:r>
      <w:r w:rsidR="00071FC4" w:rsidRPr="00BB36BB">
        <w:rPr>
          <w:rFonts w:ascii="Times New Roman" w:hAnsi="Times New Roman" w:cs="Times New Roman"/>
          <w:lang w:eastAsia="en-AU"/>
        </w:rPr>
        <w:t>Commission</w:t>
      </w:r>
      <w:r w:rsidRPr="00BB36BB">
        <w:rPr>
          <w:rFonts w:ascii="Times New Roman" w:hAnsi="Times New Roman" w:cs="Times New Roman"/>
          <w:lang w:eastAsia="en-AU"/>
        </w:rPr>
        <w:t xml:space="preserve"> and Comcare in carrying out their respective functions under the SRC Act (other than excluded functions) that Comcare determines, in accordance with the Guidelines, to be referrable to an Entity or Commonwealth authority; and</w:t>
      </w:r>
    </w:p>
    <w:p w14:paraId="3E220182" w14:textId="5CAF8BD5" w:rsidR="00215D84" w:rsidRPr="00BB36BB" w:rsidRDefault="00215D84" w:rsidP="00215D84">
      <w:pPr>
        <w:pStyle w:val="ListBullet"/>
        <w:rPr>
          <w:rFonts w:ascii="Times New Roman" w:hAnsi="Times New Roman" w:cs="Times New Roman"/>
          <w:lang w:eastAsia="en-AU"/>
        </w:rPr>
      </w:pPr>
      <w:r w:rsidRPr="00BB36BB">
        <w:rPr>
          <w:rFonts w:ascii="Times New Roman" w:hAnsi="Times New Roman" w:cs="Times New Roman"/>
          <w:lang w:eastAsia="en-AU"/>
        </w:rPr>
        <w:t xml:space="preserve">that part of the estimated cost incurred by the </w:t>
      </w:r>
      <w:r w:rsidR="00071FC4" w:rsidRPr="00BB36BB">
        <w:rPr>
          <w:rFonts w:ascii="Times New Roman" w:hAnsi="Times New Roman" w:cs="Times New Roman"/>
          <w:lang w:eastAsia="en-AU"/>
        </w:rPr>
        <w:t>Commission</w:t>
      </w:r>
      <w:r w:rsidRPr="00BB36BB">
        <w:rPr>
          <w:rFonts w:ascii="Times New Roman" w:hAnsi="Times New Roman" w:cs="Times New Roman"/>
          <w:lang w:eastAsia="en-AU"/>
        </w:rPr>
        <w:t xml:space="preserve"> and Comcare in carrying out their respective functions under the </w:t>
      </w:r>
      <w:r w:rsidRPr="00BB36BB">
        <w:rPr>
          <w:rFonts w:ascii="Times New Roman" w:hAnsi="Times New Roman" w:cs="Times New Roman"/>
          <w:i/>
          <w:iCs/>
          <w:lang w:eastAsia="en-AU"/>
        </w:rPr>
        <w:t>Occupational Health and Safety Act 1991</w:t>
      </w:r>
      <w:r w:rsidRPr="00BB36BB">
        <w:rPr>
          <w:rFonts w:ascii="Times New Roman" w:hAnsi="Times New Roman" w:cs="Times New Roman"/>
          <w:lang w:eastAsia="en-AU"/>
        </w:rPr>
        <w:t xml:space="preserve">, the WHS Act and the </w:t>
      </w:r>
      <w:r w:rsidRPr="00BB36BB">
        <w:rPr>
          <w:rFonts w:ascii="Times New Roman" w:hAnsi="Times New Roman" w:cs="Times New Roman"/>
          <w:i/>
          <w:iCs/>
          <w:lang w:eastAsia="en-AU"/>
        </w:rPr>
        <w:t>Work Health and Safety (Transitional and Consequential Provisions) Act 2011</w:t>
      </w:r>
      <w:r w:rsidRPr="00BB36BB">
        <w:rPr>
          <w:rFonts w:ascii="Times New Roman" w:hAnsi="Times New Roman" w:cs="Times New Roman"/>
          <w:lang w:eastAsia="en-AU"/>
        </w:rPr>
        <w:t xml:space="preserve"> that Comcare determines, in accordance with those guidelines, to be referrable to an Entity or Commonwealth authority.</w:t>
      </w:r>
    </w:p>
    <w:p w14:paraId="7062191F" w14:textId="77777777" w:rsidR="00215D84" w:rsidRPr="00BB36BB" w:rsidRDefault="00215D84" w:rsidP="00DC3641">
      <w:pPr>
        <w:pStyle w:val="ListBullet"/>
        <w:numPr>
          <w:ilvl w:val="0"/>
          <w:numId w:val="0"/>
        </w:numPr>
        <w:ind w:left="360" w:hanging="360"/>
        <w:rPr>
          <w:rFonts w:ascii="Times New Roman" w:hAnsi="Times New Roman" w:cs="Times New Roman"/>
          <w:lang w:eastAsia="en-AU"/>
        </w:rPr>
      </w:pPr>
    </w:p>
    <w:p w14:paraId="43689940" w14:textId="3E111B2E" w:rsidR="002B24CB" w:rsidRPr="00BB36BB" w:rsidRDefault="002B24CB" w:rsidP="00033944">
      <w:pPr>
        <w:pStyle w:val="ListBullet"/>
        <w:numPr>
          <w:ilvl w:val="0"/>
          <w:numId w:val="0"/>
        </w:numPr>
        <w:ind w:left="360" w:hanging="360"/>
        <w:rPr>
          <w:rFonts w:ascii="Times New Roman" w:hAnsi="Times New Roman" w:cs="Times New Roman"/>
          <w:lang w:eastAsia="en-AU"/>
        </w:rPr>
      </w:pPr>
      <w:r w:rsidRPr="00BB36BB">
        <w:rPr>
          <w:rFonts w:ascii="Times New Roman" w:hAnsi="Times New Roman" w:cs="Times New Roman"/>
          <w:lang w:eastAsia="en-AU"/>
        </w:rPr>
        <w:t>In determining regulatory contributions, Comcare must comply with s</w:t>
      </w:r>
      <w:r w:rsidR="00071FC4" w:rsidRPr="00BB36BB">
        <w:rPr>
          <w:rFonts w:ascii="Times New Roman" w:hAnsi="Times New Roman" w:cs="Times New Roman"/>
          <w:lang w:eastAsia="en-AU"/>
        </w:rPr>
        <w:t xml:space="preserve">ection </w:t>
      </w:r>
      <w:r w:rsidRPr="00BB36BB">
        <w:rPr>
          <w:rFonts w:ascii="Times New Roman" w:hAnsi="Times New Roman" w:cs="Times New Roman"/>
          <w:lang w:eastAsia="en-AU"/>
        </w:rPr>
        <w:t xml:space="preserve">97D of the SRC Act. </w:t>
      </w:r>
    </w:p>
    <w:p w14:paraId="12E1BFBD" w14:textId="77777777" w:rsidR="002B24CB" w:rsidRPr="00BB36BB" w:rsidRDefault="002B24CB" w:rsidP="00033944">
      <w:pPr>
        <w:pStyle w:val="ListBullet"/>
        <w:numPr>
          <w:ilvl w:val="0"/>
          <w:numId w:val="0"/>
        </w:numPr>
        <w:ind w:left="360" w:hanging="360"/>
        <w:rPr>
          <w:rFonts w:ascii="Times New Roman" w:hAnsi="Times New Roman" w:cs="Times New Roman"/>
          <w:lang w:eastAsia="en-AU"/>
        </w:rPr>
      </w:pPr>
    </w:p>
    <w:p w14:paraId="120CF826" w14:textId="431D7490" w:rsidR="00033944" w:rsidRPr="00BB36BB" w:rsidRDefault="00A9557D" w:rsidP="00DC3641">
      <w:pPr>
        <w:pStyle w:val="ListBullet"/>
        <w:numPr>
          <w:ilvl w:val="0"/>
          <w:numId w:val="0"/>
        </w:numPr>
        <w:rPr>
          <w:rFonts w:ascii="Times New Roman" w:hAnsi="Times New Roman" w:cs="Times New Roman"/>
          <w:lang w:eastAsia="en-AU"/>
        </w:rPr>
      </w:pPr>
      <w:bookmarkStart w:id="3" w:name="_Hlk106980688"/>
      <w:r w:rsidRPr="00BB36BB">
        <w:rPr>
          <w:rFonts w:ascii="Times New Roman" w:hAnsi="Times New Roman" w:cs="Times New Roman"/>
          <w:lang w:eastAsia="en-AU"/>
        </w:rPr>
        <w:lastRenderedPageBreak/>
        <w:t>The Minister may make directions to Comcare under section 73 of the SRC Act.</w:t>
      </w:r>
      <w:r w:rsidR="002B24CB" w:rsidRPr="00BB36BB">
        <w:rPr>
          <w:rFonts w:ascii="Times New Roman" w:hAnsi="Times New Roman" w:cs="Times New Roman"/>
          <w:lang w:eastAsia="en-AU"/>
        </w:rPr>
        <w:t xml:space="preserve"> </w:t>
      </w:r>
      <w:r w:rsidRPr="00BB36BB">
        <w:rPr>
          <w:rFonts w:ascii="Times New Roman" w:hAnsi="Times New Roman" w:cs="Times New Roman"/>
          <w:lang w:eastAsia="en-AU"/>
        </w:rPr>
        <w:t xml:space="preserve">If there is any inconsistency between directions made by the Minister and these Guidelines, the directions will </w:t>
      </w:r>
      <w:r w:rsidR="002B24CB" w:rsidRPr="00BB36BB">
        <w:rPr>
          <w:rFonts w:ascii="Times New Roman" w:hAnsi="Times New Roman" w:cs="Times New Roman"/>
          <w:lang w:eastAsia="en-AU"/>
        </w:rPr>
        <w:t>prevail, and Comcare must comply with the</w:t>
      </w:r>
      <w:r w:rsidR="00071FC4" w:rsidRPr="00BB36BB">
        <w:rPr>
          <w:rFonts w:ascii="Times New Roman" w:hAnsi="Times New Roman" w:cs="Times New Roman"/>
          <w:lang w:eastAsia="en-AU"/>
        </w:rPr>
        <w:t xml:space="preserve"> directions</w:t>
      </w:r>
      <w:r w:rsidR="002B24CB" w:rsidRPr="00BB36BB">
        <w:rPr>
          <w:rFonts w:ascii="Times New Roman" w:hAnsi="Times New Roman" w:cs="Times New Roman"/>
          <w:lang w:eastAsia="en-AU"/>
        </w:rPr>
        <w:t xml:space="preserve"> over the Guidelines.</w:t>
      </w:r>
    </w:p>
    <w:bookmarkEnd w:id="3"/>
    <w:p w14:paraId="16CD9B9C" w14:textId="68D75DAD" w:rsidR="00A9557D" w:rsidRPr="00BB36BB" w:rsidRDefault="00A9557D" w:rsidP="00DC3641">
      <w:pPr>
        <w:pStyle w:val="ListBullet"/>
        <w:numPr>
          <w:ilvl w:val="0"/>
          <w:numId w:val="0"/>
        </w:numPr>
        <w:rPr>
          <w:rFonts w:ascii="Times New Roman" w:hAnsi="Times New Roman" w:cs="Times New Roman"/>
          <w:lang w:eastAsia="en-AU"/>
        </w:rPr>
      </w:pPr>
    </w:p>
    <w:p w14:paraId="4B10B41C" w14:textId="323EDA60" w:rsidR="00362BF9" w:rsidRPr="00BB36BB" w:rsidRDefault="00362BF9" w:rsidP="00DC3641">
      <w:pPr>
        <w:pStyle w:val="ListBullet"/>
        <w:numPr>
          <w:ilvl w:val="0"/>
          <w:numId w:val="0"/>
        </w:numPr>
        <w:rPr>
          <w:rFonts w:ascii="Times New Roman" w:hAnsi="Times New Roman" w:cs="Times New Roman"/>
          <w:lang w:eastAsia="en-AU"/>
        </w:rPr>
      </w:pPr>
      <w:bookmarkStart w:id="4" w:name="_Hlk106885760"/>
      <w:r w:rsidRPr="00BB36BB">
        <w:rPr>
          <w:rFonts w:ascii="Times New Roman" w:hAnsi="Times New Roman" w:cs="Times New Roman"/>
          <w:lang w:eastAsia="en-AU"/>
        </w:rPr>
        <w:t xml:space="preserve">The only substantive change in the Guidelines from the previous version of the Guidelines is </w:t>
      </w:r>
      <w:r w:rsidR="00BA3588" w:rsidRPr="00BB36BB">
        <w:rPr>
          <w:rFonts w:ascii="Times New Roman" w:hAnsi="Times New Roman" w:cs="Times New Roman"/>
          <w:lang w:eastAsia="en-AU"/>
        </w:rPr>
        <w:t>in</w:t>
      </w:r>
      <w:r w:rsidRPr="00BB36BB">
        <w:rPr>
          <w:rFonts w:ascii="Times New Roman" w:hAnsi="Times New Roman" w:cs="Times New Roman"/>
          <w:lang w:eastAsia="en-AU"/>
        </w:rPr>
        <w:t xml:space="preserve"> subsection 6(b). The previous version provided that Comcare should report to each Entity and Commonwealth authority on the methodology and data used to calculate their respective regulatory contribution. The</w:t>
      </w:r>
      <w:r w:rsidR="00071FC4" w:rsidRPr="00BB36BB">
        <w:rPr>
          <w:rFonts w:ascii="Times New Roman" w:hAnsi="Times New Roman" w:cs="Times New Roman"/>
          <w:lang w:eastAsia="en-AU"/>
        </w:rPr>
        <w:t xml:space="preserve">se </w:t>
      </w:r>
      <w:r w:rsidRPr="00BB36BB">
        <w:rPr>
          <w:rFonts w:ascii="Times New Roman" w:hAnsi="Times New Roman" w:cs="Times New Roman"/>
          <w:lang w:eastAsia="en-AU"/>
        </w:rPr>
        <w:t xml:space="preserve">Guidelines instead provide that Comcare should publish information explaining the methodology and data used to calculate regulatory contributions. </w:t>
      </w:r>
      <w:r w:rsidR="005A1353" w:rsidRPr="00BB36BB">
        <w:rPr>
          <w:rFonts w:ascii="Times New Roman" w:hAnsi="Times New Roman" w:cs="Times New Roman"/>
          <w:lang w:eastAsia="en-AU"/>
        </w:rPr>
        <w:t xml:space="preserve">This change </w:t>
      </w:r>
      <w:r w:rsidR="00432C25" w:rsidRPr="00BB36BB">
        <w:rPr>
          <w:rFonts w:ascii="Times New Roman" w:hAnsi="Times New Roman" w:cs="Times New Roman"/>
          <w:lang w:eastAsia="en-AU"/>
        </w:rPr>
        <w:t xml:space="preserve">better </w:t>
      </w:r>
      <w:r w:rsidR="005A1353" w:rsidRPr="00BB36BB">
        <w:rPr>
          <w:rFonts w:ascii="Times New Roman" w:hAnsi="Times New Roman" w:cs="Times New Roman"/>
          <w:lang w:eastAsia="en-AU"/>
        </w:rPr>
        <w:t xml:space="preserve">reflects the </w:t>
      </w:r>
      <w:r w:rsidR="00432C25" w:rsidRPr="00BB36BB">
        <w:rPr>
          <w:rFonts w:ascii="Times New Roman" w:hAnsi="Times New Roman" w:cs="Times New Roman"/>
          <w:lang w:eastAsia="en-AU"/>
        </w:rPr>
        <w:t>practical reality of how Comcare communicates information about the methodology and data used to calculate regulatory contributions to Entities and Commonwealth authorities.</w:t>
      </w:r>
    </w:p>
    <w:bookmarkEnd w:id="4"/>
    <w:p w14:paraId="5308215C" w14:textId="7E08D605" w:rsidR="007A206D" w:rsidRPr="00BB36BB" w:rsidRDefault="007A206D" w:rsidP="00441F49">
      <w:pPr>
        <w:shd w:val="clear" w:color="auto" w:fill="FFFFFF"/>
        <w:spacing w:after="120" w:line="253" w:lineRule="atLeast"/>
        <w:rPr>
          <w:rFonts w:ascii="Times New Roman" w:eastAsia="Times New Roman" w:hAnsi="Times New Roman" w:cs="Times New Roman"/>
          <w:b/>
          <w:bCs/>
          <w:color w:val="000000"/>
          <w:lang w:eastAsia="en-AU"/>
        </w:rPr>
      </w:pPr>
      <w:r w:rsidRPr="00BB36BB">
        <w:rPr>
          <w:rFonts w:ascii="Times New Roman" w:eastAsia="Times New Roman" w:hAnsi="Times New Roman" w:cs="Times New Roman"/>
          <w:b/>
          <w:bCs/>
          <w:color w:val="000000"/>
          <w:lang w:eastAsia="en-AU"/>
        </w:rPr>
        <w:t>Section 7 – Reporting and Consulting</w:t>
      </w:r>
    </w:p>
    <w:p w14:paraId="340769A4" w14:textId="105875AA" w:rsidR="00B77E97" w:rsidRPr="00BB36BB" w:rsidRDefault="00B77E97" w:rsidP="00441F49">
      <w:pPr>
        <w:shd w:val="clear" w:color="auto" w:fill="FFFFFF"/>
        <w:spacing w:after="120" w:line="253" w:lineRule="atLeast"/>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 xml:space="preserve">Section 7 provides that Comcare shall report to the </w:t>
      </w:r>
      <w:r w:rsidR="00071FC4" w:rsidRPr="00BB36BB">
        <w:rPr>
          <w:rFonts w:ascii="Times New Roman" w:eastAsia="Times New Roman" w:hAnsi="Times New Roman" w:cs="Times New Roman"/>
          <w:color w:val="000000"/>
          <w:lang w:eastAsia="en-AU"/>
        </w:rPr>
        <w:t>Commission</w:t>
      </w:r>
      <w:r w:rsidRPr="00BB36BB">
        <w:rPr>
          <w:rFonts w:ascii="Times New Roman" w:eastAsia="Times New Roman" w:hAnsi="Times New Roman" w:cs="Times New Roman"/>
          <w:color w:val="000000"/>
          <w:lang w:eastAsia="en-AU"/>
        </w:rPr>
        <w:t xml:space="preserve"> each year on the</w:t>
      </w:r>
      <w:r w:rsidRPr="00BB36BB">
        <w:rPr>
          <w:rFonts w:ascii="Times New Roman" w:hAnsi="Times New Roman" w:cs="Times New Roman"/>
        </w:rPr>
        <w:t xml:space="preserve"> </w:t>
      </w:r>
      <w:r w:rsidRPr="00BB36BB">
        <w:rPr>
          <w:rFonts w:ascii="Times New Roman" w:eastAsia="Times New Roman" w:hAnsi="Times New Roman" w:cs="Times New Roman"/>
          <w:color w:val="000000"/>
          <w:lang w:eastAsia="en-AU"/>
        </w:rPr>
        <w:t xml:space="preserve">performance of the system for determining and collecting regulatory contributions, and consult the </w:t>
      </w:r>
      <w:r w:rsidR="00071FC4" w:rsidRPr="00BB36BB">
        <w:rPr>
          <w:rFonts w:ascii="Times New Roman" w:eastAsia="Times New Roman" w:hAnsi="Times New Roman" w:cs="Times New Roman"/>
          <w:color w:val="000000"/>
          <w:lang w:eastAsia="en-AU"/>
        </w:rPr>
        <w:t>Commis</w:t>
      </w:r>
      <w:r w:rsidR="008C76BE">
        <w:rPr>
          <w:rFonts w:ascii="Times New Roman" w:eastAsia="Times New Roman" w:hAnsi="Times New Roman" w:cs="Times New Roman"/>
          <w:color w:val="000000"/>
          <w:lang w:eastAsia="en-AU"/>
        </w:rPr>
        <w:t>s</w:t>
      </w:r>
      <w:r w:rsidR="00071FC4" w:rsidRPr="00BB36BB">
        <w:rPr>
          <w:rFonts w:ascii="Times New Roman" w:eastAsia="Times New Roman" w:hAnsi="Times New Roman" w:cs="Times New Roman"/>
          <w:color w:val="000000"/>
          <w:lang w:eastAsia="en-AU"/>
        </w:rPr>
        <w:t>ion</w:t>
      </w:r>
      <w:r w:rsidRPr="00BB36BB">
        <w:rPr>
          <w:rFonts w:ascii="Times New Roman" w:eastAsia="Times New Roman" w:hAnsi="Times New Roman" w:cs="Times New Roman"/>
          <w:color w:val="000000"/>
          <w:lang w:eastAsia="en-AU"/>
        </w:rPr>
        <w:t>, Entities and Commonwealth authorities about significant changes to the regulatory contributions methodology before implementing those changes.</w:t>
      </w:r>
    </w:p>
    <w:p w14:paraId="4A23520A" w14:textId="3968413B" w:rsidR="00441F49" w:rsidRPr="00BB36BB" w:rsidRDefault="00441F49" w:rsidP="00441F49">
      <w:pPr>
        <w:rPr>
          <w:rFonts w:ascii="Times New Roman" w:hAnsi="Times New Roman" w:cs="Times New Roman"/>
          <w:b/>
          <w:bCs/>
        </w:rPr>
      </w:pPr>
      <w:r w:rsidRPr="00BB36BB">
        <w:rPr>
          <w:rFonts w:ascii="Times New Roman" w:hAnsi="Times New Roman" w:cs="Times New Roman"/>
          <w:b/>
          <w:bCs/>
        </w:rPr>
        <w:t>Schedule 1 – Repeals</w:t>
      </w:r>
    </w:p>
    <w:p w14:paraId="6F9B4C19" w14:textId="769DAC49" w:rsidR="00441F49" w:rsidRPr="00BB36BB" w:rsidRDefault="00441F49" w:rsidP="00441F49">
      <w:pPr>
        <w:rPr>
          <w:rFonts w:ascii="Times New Roman" w:hAnsi="Times New Roman" w:cs="Times New Roman"/>
        </w:rPr>
      </w:pPr>
      <w:r w:rsidRPr="00BB36BB">
        <w:rPr>
          <w:rFonts w:ascii="Times New Roman" w:hAnsi="Times New Roman" w:cs="Times New Roman"/>
        </w:rPr>
        <w:t xml:space="preserve">Schedule 1 repeals the guidelines the </w:t>
      </w:r>
      <w:r w:rsidR="00071FC4" w:rsidRPr="00BB36BB">
        <w:rPr>
          <w:rFonts w:ascii="Times New Roman" w:hAnsi="Times New Roman" w:cs="Times New Roman"/>
        </w:rPr>
        <w:t>Commission</w:t>
      </w:r>
      <w:r w:rsidRPr="00BB36BB">
        <w:rPr>
          <w:rFonts w:ascii="Times New Roman" w:hAnsi="Times New Roman" w:cs="Times New Roman"/>
        </w:rPr>
        <w:t xml:space="preserve"> has previously made under s</w:t>
      </w:r>
      <w:r w:rsidR="007A206D" w:rsidRPr="00BB36BB">
        <w:rPr>
          <w:rFonts w:ascii="Times New Roman" w:hAnsi="Times New Roman" w:cs="Times New Roman"/>
        </w:rPr>
        <w:t>ubsection 97</w:t>
      </w:r>
      <w:proofErr w:type="gramStart"/>
      <w:r w:rsidR="007A206D" w:rsidRPr="00BB36BB">
        <w:rPr>
          <w:rFonts w:ascii="Times New Roman" w:hAnsi="Times New Roman" w:cs="Times New Roman"/>
        </w:rPr>
        <w:t>E(</w:t>
      </w:r>
      <w:proofErr w:type="gramEnd"/>
      <w:r w:rsidR="007A206D" w:rsidRPr="00BB36BB">
        <w:rPr>
          <w:rFonts w:ascii="Times New Roman" w:hAnsi="Times New Roman" w:cs="Times New Roman"/>
        </w:rPr>
        <w:t>2) of the SRC Act.</w:t>
      </w:r>
      <w:r w:rsidR="00095C80" w:rsidRPr="00BB36BB">
        <w:rPr>
          <w:rFonts w:ascii="Times New Roman" w:hAnsi="Times New Roman" w:cs="Times New Roman"/>
        </w:rPr>
        <w:t xml:space="preserve"> </w:t>
      </w:r>
    </w:p>
    <w:p w14:paraId="40C29FAE" w14:textId="77777777" w:rsidR="00441F49" w:rsidRPr="00BB36BB" w:rsidRDefault="00441F49" w:rsidP="002C6355">
      <w:pPr>
        <w:rPr>
          <w:rFonts w:ascii="Times New Roman" w:hAnsi="Times New Roman" w:cs="Times New Roman"/>
          <w:b/>
          <w:bCs/>
        </w:rPr>
      </w:pPr>
    </w:p>
    <w:p w14:paraId="6A64807A" w14:textId="791D7445" w:rsidR="005372DD" w:rsidRPr="00BB36BB" w:rsidRDefault="005372DD" w:rsidP="002C6355">
      <w:pPr>
        <w:rPr>
          <w:rFonts w:ascii="Times New Roman" w:hAnsi="Times New Roman" w:cs="Times New Roman"/>
          <w:highlight w:val="yellow"/>
        </w:rPr>
      </w:pPr>
      <w:r w:rsidRPr="00BB36BB">
        <w:rPr>
          <w:rFonts w:ascii="Times New Roman" w:hAnsi="Times New Roman" w:cs="Times New Roman"/>
          <w:highlight w:val="yellow"/>
        </w:rPr>
        <w:br w:type="page"/>
      </w:r>
    </w:p>
    <w:p w14:paraId="3A9919E9" w14:textId="77777777" w:rsidR="005372DD" w:rsidRPr="00BB36BB" w:rsidRDefault="005372DD" w:rsidP="005372DD">
      <w:pPr>
        <w:rPr>
          <w:rFonts w:ascii="Times New Roman" w:hAnsi="Times New Roman" w:cs="Times New Roman"/>
          <w:b/>
          <w:bCs/>
        </w:rPr>
      </w:pPr>
      <w:r w:rsidRPr="00BB36BB">
        <w:rPr>
          <w:rFonts w:ascii="Times New Roman" w:hAnsi="Times New Roman" w:cs="Times New Roman"/>
          <w:b/>
          <w:bCs/>
        </w:rPr>
        <w:lastRenderedPageBreak/>
        <w:t>STATEMENT OF COMPATIBILITY WITH HUMAN RIGHTS</w:t>
      </w:r>
    </w:p>
    <w:p w14:paraId="1E83CC4C" w14:textId="77777777" w:rsidR="005372DD" w:rsidRPr="00BB36BB" w:rsidRDefault="005372DD" w:rsidP="005372DD">
      <w:pPr>
        <w:rPr>
          <w:rFonts w:ascii="Times New Roman" w:hAnsi="Times New Roman" w:cs="Times New Roman"/>
          <w:i/>
          <w:iCs/>
        </w:rPr>
      </w:pPr>
      <w:r w:rsidRPr="00BB36BB">
        <w:rPr>
          <w:rFonts w:ascii="Times New Roman" w:hAnsi="Times New Roman" w:cs="Times New Roman"/>
          <w:i/>
          <w:iCs/>
        </w:rPr>
        <w:t>Prepared in accordance with Part 3 of the Human Rights (Parliamentary Scrutiny) Act 2011</w:t>
      </w:r>
    </w:p>
    <w:p w14:paraId="4141527B" w14:textId="7A3462E8" w:rsidR="005372DD" w:rsidRPr="00BB36BB" w:rsidRDefault="005372DD" w:rsidP="005372DD">
      <w:pPr>
        <w:rPr>
          <w:rFonts w:ascii="Times New Roman" w:hAnsi="Times New Roman" w:cs="Times New Roman"/>
          <w:b/>
          <w:bCs/>
        </w:rPr>
      </w:pPr>
      <w:r w:rsidRPr="00BB36BB">
        <w:rPr>
          <w:rFonts w:ascii="Times New Roman" w:hAnsi="Times New Roman" w:cs="Times New Roman"/>
          <w:b/>
          <w:bCs/>
        </w:rPr>
        <w:t>Safety, Rehabilitation and Compensation (97</w:t>
      </w:r>
      <w:proofErr w:type="gramStart"/>
      <w:r w:rsidRPr="00BB36BB">
        <w:rPr>
          <w:rFonts w:ascii="Times New Roman" w:hAnsi="Times New Roman" w:cs="Times New Roman"/>
          <w:b/>
          <w:bCs/>
        </w:rPr>
        <w:t>E(</w:t>
      </w:r>
      <w:proofErr w:type="gramEnd"/>
      <w:r w:rsidR="00383ABD" w:rsidRPr="00BB36BB">
        <w:rPr>
          <w:rFonts w:ascii="Times New Roman" w:hAnsi="Times New Roman" w:cs="Times New Roman"/>
          <w:b/>
          <w:bCs/>
        </w:rPr>
        <w:t>2</w:t>
      </w:r>
      <w:r w:rsidRPr="00BB36BB">
        <w:rPr>
          <w:rFonts w:ascii="Times New Roman" w:hAnsi="Times New Roman" w:cs="Times New Roman"/>
          <w:b/>
          <w:bCs/>
        </w:rPr>
        <w:t xml:space="preserve">) – </w:t>
      </w:r>
      <w:r w:rsidR="00383ABD" w:rsidRPr="00BB36BB">
        <w:rPr>
          <w:rFonts w:ascii="Times New Roman" w:hAnsi="Times New Roman" w:cs="Times New Roman"/>
          <w:b/>
          <w:bCs/>
        </w:rPr>
        <w:t>Regulatory Contributions Determination</w:t>
      </w:r>
      <w:r w:rsidRPr="00BB36BB">
        <w:rPr>
          <w:rFonts w:ascii="Times New Roman" w:hAnsi="Times New Roman" w:cs="Times New Roman"/>
          <w:b/>
          <w:bCs/>
        </w:rPr>
        <w:t>) Guidelines 2022</w:t>
      </w:r>
    </w:p>
    <w:p w14:paraId="02060E7B" w14:textId="77777777" w:rsidR="005372DD" w:rsidRPr="00BB36BB" w:rsidRDefault="005372DD" w:rsidP="005372DD">
      <w:pPr>
        <w:rPr>
          <w:rFonts w:ascii="Times New Roman" w:hAnsi="Times New Roman" w:cs="Times New Roman"/>
          <w:i/>
          <w:iCs/>
        </w:rPr>
      </w:pPr>
      <w:r w:rsidRPr="00BB36BB">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BB36BB">
        <w:rPr>
          <w:rFonts w:ascii="Times New Roman" w:hAnsi="Times New Roman" w:cs="Times New Roman"/>
          <w:i/>
          <w:iCs/>
        </w:rPr>
        <w:t>Human Rights (Parliamentary Scrutiny) Act 2011.</w:t>
      </w:r>
    </w:p>
    <w:p w14:paraId="3D663756" w14:textId="77777777" w:rsidR="005372DD" w:rsidRPr="00BB36BB" w:rsidRDefault="005372DD" w:rsidP="005372DD">
      <w:pPr>
        <w:rPr>
          <w:rFonts w:ascii="Times New Roman" w:hAnsi="Times New Roman" w:cs="Times New Roman"/>
          <w:b/>
          <w:bCs/>
          <w:color w:val="000000"/>
          <w:shd w:val="clear" w:color="auto" w:fill="FFFFFF"/>
        </w:rPr>
      </w:pPr>
      <w:r w:rsidRPr="00BB36BB">
        <w:rPr>
          <w:rFonts w:ascii="Times New Roman" w:hAnsi="Times New Roman" w:cs="Times New Roman"/>
          <w:b/>
          <w:bCs/>
          <w:color w:val="000000"/>
          <w:shd w:val="clear" w:color="auto" w:fill="FFFFFF"/>
        </w:rPr>
        <w:t>Overview of the legislative instrument</w:t>
      </w:r>
    </w:p>
    <w:p w14:paraId="39532743" w14:textId="77777777" w:rsidR="00071FC4" w:rsidRPr="00BB36BB" w:rsidRDefault="00071FC4" w:rsidP="00071FC4">
      <w:pPr>
        <w:rPr>
          <w:rFonts w:ascii="Times New Roman" w:hAnsi="Times New Roman" w:cs="Times New Roman"/>
        </w:rPr>
      </w:pPr>
      <w:r w:rsidRPr="00BB36BB">
        <w:rPr>
          <w:rFonts w:ascii="Times New Roman" w:hAnsi="Times New Roman" w:cs="Times New Roman"/>
        </w:rPr>
        <w:t xml:space="preserve">The </w:t>
      </w:r>
      <w:r w:rsidRPr="00BB36BB">
        <w:rPr>
          <w:rFonts w:ascii="Times New Roman" w:hAnsi="Times New Roman" w:cs="Times New Roman"/>
          <w:i/>
          <w:iCs/>
        </w:rPr>
        <w:t>Safety, Rehabilitation and Compensation Act 1988</w:t>
      </w:r>
      <w:r w:rsidRPr="00BB36BB">
        <w:rPr>
          <w:rFonts w:ascii="Times New Roman" w:hAnsi="Times New Roman" w:cs="Times New Roman"/>
        </w:rPr>
        <w:t xml:space="preserve"> (SRC Act) establishes the Commonwealth workers’ compensation and rehabilitation scheme for employees of the Commonwealth, Commonwealth authorities and licensed corporations.</w:t>
      </w:r>
    </w:p>
    <w:p w14:paraId="4615FBB3" w14:textId="77777777" w:rsidR="00071FC4" w:rsidRPr="00BB36BB" w:rsidRDefault="00071FC4" w:rsidP="00071FC4">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For some purposes under the SRC Act, liabilities, powers, </w:t>
      </w:r>
      <w:proofErr w:type="gramStart"/>
      <w:r w:rsidRPr="00BB36BB">
        <w:rPr>
          <w:rFonts w:ascii="Times New Roman" w:hAnsi="Times New Roman" w:cs="Times New Roman"/>
          <w:color w:val="000000"/>
          <w:shd w:val="clear" w:color="auto" w:fill="FFFFFF"/>
        </w:rPr>
        <w:t>functions</w:t>
      </w:r>
      <w:proofErr w:type="gramEnd"/>
      <w:r w:rsidRPr="00BB36BB">
        <w:rPr>
          <w:rFonts w:ascii="Times New Roman" w:hAnsi="Times New Roman" w:cs="Times New Roman"/>
          <w:color w:val="000000"/>
          <w:shd w:val="clear" w:color="auto" w:fill="FFFFFF"/>
        </w:rPr>
        <w:t xml:space="preserve"> and obligations of the Commonwealth are given to ‘Entities’. An Entity is defined in s 4(1) of the SRC Act as:</w:t>
      </w:r>
    </w:p>
    <w:p w14:paraId="5465CB02" w14:textId="77777777" w:rsidR="00071FC4" w:rsidRPr="00BB36BB" w:rsidRDefault="00071FC4" w:rsidP="00071FC4">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an Agency, within the meaning of the </w:t>
      </w:r>
      <w:r w:rsidRPr="00BB36BB">
        <w:rPr>
          <w:rFonts w:ascii="Times New Roman" w:hAnsi="Times New Roman" w:cs="Times New Roman"/>
          <w:i/>
          <w:iCs/>
          <w:color w:val="000000"/>
          <w:shd w:val="clear" w:color="auto" w:fill="FFFFFF"/>
        </w:rPr>
        <w:t>Public Service Act 1999</w:t>
      </w:r>
      <w:r w:rsidRPr="00BB36BB">
        <w:rPr>
          <w:rFonts w:ascii="Times New Roman" w:hAnsi="Times New Roman" w:cs="Times New Roman"/>
          <w:color w:val="000000"/>
          <w:shd w:val="clear" w:color="auto" w:fill="FFFFFF"/>
        </w:rPr>
        <w:t xml:space="preserve">, that is not a Commonwealth </w:t>
      </w:r>
      <w:proofErr w:type="gramStart"/>
      <w:r w:rsidRPr="00BB36BB">
        <w:rPr>
          <w:rFonts w:ascii="Times New Roman" w:hAnsi="Times New Roman" w:cs="Times New Roman"/>
          <w:color w:val="000000"/>
          <w:shd w:val="clear" w:color="auto" w:fill="FFFFFF"/>
        </w:rPr>
        <w:t>authority;</w:t>
      </w:r>
      <w:proofErr w:type="gramEnd"/>
    </w:p>
    <w:p w14:paraId="6029E26B" w14:textId="77777777" w:rsidR="00071FC4" w:rsidRPr="00BB36BB" w:rsidRDefault="00071FC4" w:rsidP="00071FC4">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Parliamentary Department within the meaning of the </w:t>
      </w:r>
      <w:r w:rsidRPr="00BB36BB">
        <w:rPr>
          <w:rFonts w:ascii="Times New Roman" w:hAnsi="Times New Roman" w:cs="Times New Roman"/>
          <w:i/>
          <w:iCs/>
          <w:color w:val="000000"/>
          <w:shd w:val="clear" w:color="auto" w:fill="FFFFFF"/>
        </w:rPr>
        <w:t>Parliamentary Service Act 1999</w:t>
      </w:r>
      <w:r w:rsidRPr="00BB36BB">
        <w:rPr>
          <w:rFonts w:ascii="Times New Roman" w:hAnsi="Times New Roman" w:cs="Times New Roman"/>
          <w:color w:val="000000"/>
          <w:shd w:val="clear" w:color="auto" w:fill="FFFFFF"/>
        </w:rPr>
        <w:t>; or</w:t>
      </w:r>
    </w:p>
    <w:p w14:paraId="41E002C8" w14:textId="77777777" w:rsidR="00071FC4" w:rsidRPr="00BB36BB" w:rsidRDefault="00071FC4" w:rsidP="00071FC4">
      <w:pPr>
        <w:pStyle w:val="ListParagraph"/>
        <w:numPr>
          <w:ilvl w:val="0"/>
          <w:numId w:val="4"/>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person, body, </w:t>
      </w:r>
      <w:proofErr w:type="gramStart"/>
      <w:r w:rsidRPr="00BB36BB">
        <w:rPr>
          <w:rFonts w:ascii="Times New Roman" w:hAnsi="Times New Roman" w:cs="Times New Roman"/>
          <w:color w:val="000000"/>
          <w:shd w:val="clear" w:color="auto" w:fill="FFFFFF"/>
        </w:rPr>
        <w:t>organisation</w:t>
      </w:r>
      <w:proofErr w:type="gramEnd"/>
      <w:r w:rsidRPr="00BB36BB">
        <w:rPr>
          <w:rFonts w:ascii="Times New Roman" w:hAnsi="Times New Roman" w:cs="Times New Roman"/>
          <w:color w:val="000000"/>
          <w:shd w:val="clear" w:color="auto" w:fill="FFFFFF"/>
        </w:rPr>
        <w:t xml:space="preserve"> or group of persons prescribed for the purposes of the definition.</w:t>
      </w:r>
    </w:p>
    <w:p w14:paraId="49D77950" w14:textId="77777777" w:rsidR="00071FC4" w:rsidRPr="00BB36BB" w:rsidRDefault="00071FC4" w:rsidP="00071FC4">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Commonwealth authority is relevantly defined in ss 4(1) and 96 of the SRC Act as, </w:t>
      </w:r>
      <w:proofErr w:type="gramStart"/>
      <w:r w:rsidRPr="00BB36BB">
        <w:rPr>
          <w:rFonts w:ascii="Times New Roman" w:hAnsi="Times New Roman" w:cs="Times New Roman"/>
          <w:color w:val="000000"/>
          <w:shd w:val="clear" w:color="auto" w:fill="FFFFFF"/>
        </w:rPr>
        <w:t>broadly</w:t>
      </w:r>
      <w:proofErr w:type="gramEnd"/>
      <w:r w:rsidRPr="00BB36BB">
        <w:rPr>
          <w:rFonts w:ascii="Times New Roman" w:hAnsi="Times New Roman" w:cs="Times New Roman"/>
          <w:color w:val="000000"/>
          <w:shd w:val="clear" w:color="auto" w:fill="FFFFFF"/>
        </w:rPr>
        <w:t xml:space="preserve"> and subject to the listed criteria, a body corporate:</w:t>
      </w:r>
    </w:p>
    <w:p w14:paraId="6A55D6EA" w14:textId="77777777" w:rsidR="00071FC4" w:rsidRPr="00BB36BB" w:rsidRDefault="00071FC4" w:rsidP="00071FC4">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for a public purpose by a law of the </w:t>
      </w:r>
      <w:proofErr w:type="gramStart"/>
      <w:r w:rsidRPr="00BB36BB">
        <w:rPr>
          <w:rFonts w:ascii="Times New Roman" w:hAnsi="Times New Roman" w:cs="Times New Roman"/>
          <w:color w:val="000000"/>
          <w:shd w:val="clear" w:color="auto" w:fill="FFFFFF"/>
        </w:rPr>
        <w:t>Commonwealth;</w:t>
      </w:r>
      <w:proofErr w:type="gramEnd"/>
    </w:p>
    <w:p w14:paraId="7A22BB93" w14:textId="77777777" w:rsidR="00071FC4" w:rsidRPr="00BB36BB" w:rsidRDefault="00071FC4" w:rsidP="00071FC4">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for a public purpose by a law of a Territory (other than the ACT or Northern Territory) and declared to be a body corporate to which the SRC Act </w:t>
      </w:r>
      <w:proofErr w:type="gramStart"/>
      <w:r w:rsidRPr="00BB36BB">
        <w:rPr>
          <w:rFonts w:ascii="Times New Roman" w:hAnsi="Times New Roman" w:cs="Times New Roman"/>
          <w:color w:val="000000"/>
          <w:shd w:val="clear" w:color="auto" w:fill="FFFFFF"/>
        </w:rPr>
        <w:t>applies;</w:t>
      </w:r>
      <w:proofErr w:type="gramEnd"/>
    </w:p>
    <w:p w14:paraId="2182FE2D" w14:textId="77777777" w:rsidR="00071FC4" w:rsidRPr="00BB36BB" w:rsidRDefault="00071FC4" w:rsidP="00071FC4">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incorporated under Commonwealth, state or territory law and the Commonwealth or a Territory (other than the ACT or Northern Territory) has a controlling or substantial interest, as the case may </w:t>
      </w:r>
      <w:proofErr w:type="gramStart"/>
      <w:r w:rsidRPr="00BB36BB">
        <w:rPr>
          <w:rFonts w:ascii="Times New Roman" w:hAnsi="Times New Roman" w:cs="Times New Roman"/>
          <w:color w:val="000000"/>
          <w:shd w:val="clear" w:color="auto" w:fill="FFFFFF"/>
        </w:rPr>
        <w:t>be;</w:t>
      </w:r>
      <w:proofErr w:type="gramEnd"/>
      <w:r w:rsidRPr="00BB36BB">
        <w:rPr>
          <w:rFonts w:ascii="Times New Roman" w:hAnsi="Times New Roman" w:cs="Times New Roman"/>
          <w:color w:val="000000"/>
          <w:shd w:val="clear" w:color="auto" w:fill="FFFFFF"/>
        </w:rPr>
        <w:t xml:space="preserve"> </w:t>
      </w:r>
    </w:p>
    <w:p w14:paraId="395DBCEB" w14:textId="77777777" w:rsidR="00071FC4" w:rsidRPr="00BB36BB" w:rsidRDefault="00071FC4" w:rsidP="00071FC4">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in which a body corporate in the paragraph above has a controlling interest and is declared by the Minister to be a body corporate to which the SRC Act </w:t>
      </w:r>
      <w:proofErr w:type="gramStart"/>
      <w:r w:rsidRPr="00BB36BB">
        <w:rPr>
          <w:rFonts w:ascii="Times New Roman" w:hAnsi="Times New Roman" w:cs="Times New Roman"/>
          <w:color w:val="000000"/>
          <w:shd w:val="clear" w:color="auto" w:fill="FFFFFF"/>
        </w:rPr>
        <w:t>applies;</w:t>
      </w:r>
      <w:proofErr w:type="gramEnd"/>
    </w:p>
    <w:p w14:paraId="5C256287" w14:textId="77777777" w:rsidR="00071FC4" w:rsidRPr="00BB36BB" w:rsidRDefault="00071FC4" w:rsidP="00071FC4">
      <w:pPr>
        <w:pStyle w:val="ListParagraph"/>
        <w:numPr>
          <w:ilvl w:val="0"/>
          <w:numId w:val="6"/>
        </w:num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 xml:space="preserve">a public authority for the purposes of the </w:t>
      </w:r>
      <w:r w:rsidRPr="00BB36BB">
        <w:rPr>
          <w:rFonts w:ascii="Times New Roman" w:hAnsi="Times New Roman" w:cs="Times New Roman"/>
          <w:i/>
          <w:iCs/>
        </w:rPr>
        <w:t xml:space="preserve">Work Health and Safety Act 2011 </w:t>
      </w:r>
      <w:r w:rsidRPr="00BB36BB">
        <w:rPr>
          <w:rFonts w:ascii="Times New Roman" w:hAnsi="Times New Roman" w:cs="Times New Roman"/>
        </w:rPr>
        <w:t>(</w:t>
      </w:r>
      <w:r w:rsidRPr="00BB36BB">
        <w:rPr>
          <w:rFonts w:ascii="Times New Roman" w:hAnsi="Times New Roman" w:cs="Times New Roman"/>
          <w:color w:val="000000"/>
          <w:shd w:val="clear" w:color="auto" w:fill="FFFFFF"/>
        </w:rPr>
        <w:t>WHS Act) (see s 96 SRC Act).</w:t>
      </w:r>
      <w:r w:rsidRPr="00BB36BB">
        <w:rPr>
          <w:rFonts w:ascii="Times New Roman" w:hAnsi="Times New Roman" w:cs="Times New Roman"/>
          <w:color w:val="000000"/>
          <w:shd w:val="clear" w:color="auto" w:fill="FFFFFF"/>
        </w:rPr>
        <w:tab/>
        <w:t xml:space="preserve"> </w:t>
      </w:r>
    </w:p>
    <w:p w14:paraId="73CCF882" w14:textId="12BDC562" w:rsidR="00071FC4" w:rsidRPr="00BB36BB" w:rsidRDefault="00071FC4" w:rsidP="00071FC4">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The SRC Act also establishes the Safety, Rehabilitation and Compensation Commission (Commission). The Commission administers various regulatory functions under the SRC Act and is the issuing authority and regulator of self-insurance licences under the SRC Act.</w:t>
      </w:r>
    </w:p>
    <w:p w14:paraId="19667C0E" w14:textId="10B955A4" w:rsidR="00071FC4" w:rsidRPr="00BB36BB" w:rsidRDefault="00071FC4" w:rsidP="00071FC4">
      <w:pPr>
        <w:rPr>
          <w:rFonts w:ascii="Times New Roman" w:hAnsi="Times New Roman" w:cs="Times New Roman"/>
        </w:rPr>
      </w:pPr>
      <w:r w:rsidRPr="00BB36BB">
        <w:rPr>
          <w:rFonts w:ascii="Times New Roman" w:hAnsi="Times New Roman" w:cs="Times New Roman"/>
        </w:rPr>
        <w:t xml:space="preserve">One of Comcare’s functions is as the regulator for work health and safety under the WHS Act and </w:t>
      </w:r>
      <w:r w:rsidRPr="00BB36BB">
        <w:rPr>
          <w:rFonts w:ascii="Times New Roman" w:hAnsi="Times New Roman" w:cs="Times New Roman"/>
          <w:i/>
          <w:iCs/>
        </w:rPr>
        <w:t>Work Health and Safety Regulations 2011</w:t>
      </w:r>
      <w:r w:rsidRPr="00BB36BB">
        <w:rPr>
          <w:rFonts w:ascii="Times New Roman" w:hAnsi="Times New Roman" w:cs="Times New Roman"/>
        </w:rPr>
        <w:t xml:space="preserve">. As part of this role, Comcare charges Entities and Commonwealth </w:t>
      </w:r>
      <w:proofErr w:type="gramStart"/>
      <w:r w:rsidRPr="00BB36BB">
        <w:rPr>
          <w:rFonts w:ascii="Times New Roman" w:hAnsi="Times New Roman" w:cs="Times New Roman"/>
        </w:rPr>
        <w:t>authorities</w:t>
      </w:r>
      <w:proofErr w:type="gramEnd"/>
      <w:r w:rsidRPr="00BB36BB">
        <w:rPr>
          <w:rFonts w:ascii="Times New Roman" w:hAnsi="Times New Roman" w:cs="Times New Roman"/>
        </w:rPr>
        <w:t xml:space="preserve"> fees, called regulatory contributions, for Comcare and the Commission’s functions and activities under the SRC Act and WHS Act. </w:t>
      </w:r>
    </w:p>
    <w:p w14:paraId="0BB1DD10" w14:textId="77777777" w:rsidR="00071FC4" w:rsidRPr="00BB36BB" w:rsidRDefault="00071FC4" w:rsidP="00071FC4">
      <w:pPr>
        <w:rPr>
          <w:rFonts w:ascii="Times New Roman" w:hAnsi="Times New Roman" w:cs="Times New Roman"/>
        </w:rPr>
      </w:pPr>
      <w:r w:rsidRPr="00BB36BB">
        <w:rPr>
          <w:rFonts w:ascii="Times New Roman" w:hAnsi="Times New Roman" w:cs="Times New Roman"/>
        </w:rPr>
        <w:t>Section 97D of the SRC Act provides that Comcare must determine the regulatory contribution to be paid by each Entity and Commonwealth authority for each financial year.</w:t>
      </w:r>
    </w:p>
    <w:p w14:paraId="417A563A" w14:textId="5DAA6DE2" w:rsidR="00071FC4" w:rsidRPr="00BB36BB" w:rsidRDefault="00071FC4" w:rsidP="00071FC4">
      <w:pPr>
        <w:rPr>
          <w:rFonts w:ascii="Times New Roman" w:hAnsi="Times New Roman" w:cs="Times New Roman"/>
        </w:rPr>
      </w:pPr>
      <w:r w:rsidRPr="00BB36BB">
        <w:rPr>
          <w:rFonts w:ascii="Times New Roman" w:hAnsi="Times New Roman" w:cs="Times New Roman"/>
        </w:rPr>
        <w:t>Section 97</w:t>
      </w:r>
      <w:proofErr w:type="gramStart"/>
      <w:r w:rsidRPr="00BB36BB">
        <w:rPr>
          <w:rFonts w:ascii="Times New Roman" w:hAnsi="Times New Roman" w:cs="Times New Roman"/>
        </w:rPr>
        <w:t>E(</w:t>
      </w:r>
      <w:proofErr w:type="gramEnd"/>
      <w:r w:rsidRPr="00BB36BB">
        <w:rPr>
          <w:rFonts w:ascii="Times New Roman" w:hAnsi="Times New Roman" w:cs="Times New Roman"/>
        </w:rPr>
        <w:t>2) of the SRC Act provides that the Commission may prepare and issue guidelines to the Chief Executive Officer of Comcare in relation to Comcare’s determination of regulatory contributions to be paid by Entities and Commonwealth authorities in respect of a financial year.</w:t>
      </w:r>
    </w:p>
    <w:p w14:paraId="0D4AB761" w14:textId="1ADE1C40" w:rsidR="00071FC4" w:rsidRPr="00BB36BB" w:rsidRDefault="00071FC4" w:rsidP="00071FC4">
      <w:pPr>
        <w:rPr>
          <w:rFonts w:ascii="Times New Roman" w:hAnsi="Times New Roman" w:cs="Times New Roman"/>
        </w:rPr>
      </w:pPr>
      <w:r w:rsidRPr="00BB36BB">
        <w:rPr>
          <w:rFonts w:ascii="Times New Roman" w:hAnsi="Times New Roman" w:cs="Times New Roman"/>
        </w:rPr>
        <w:lastRenderedPageBreak/>
        <w:t xml:space="preserve">The purpose of the </w:t>
      </w:r>
      <w:r w:rsidRPr="00BB36BB">
        <w:rPr>
          <w:rFonts w:ascii="Times New Roman" w:hAnsi="Times New Roman" w:cs="Times New Roman"/>
          <w:i/>
          <w:iCs/>
        </w:rPr>
        <w:t>Safety, Rehabilitation and Compensation (97</w:t>
      </w:r>
      <w:proofErr w:type="gramStart"/>
      <w:r w:rsidRPr="00BB36BB">
        <w:rPr>
          <w:rFonts w:ascii="Times New Roman" w:hAnsi="Times New Roman" w:cs="Times New Roman"/>
          <w:i/>
          <w:iCs/>
        </w:rPr>
        <w:t>E(</w:t>
      </w:r>
      <w:proofErr w:type="gramEnd"/>
      <w:r w:rsidRPr="00BB36BB">
        <w:rPr>
          <w:rFonts w:ascii="Times New Roman" w:hAnsi="Times New Roman" w:cs="Times New Roman"/>
          <w:i/>
          <w:iCs/>
        </w:rPr>
        <w:t xml:space="preserve">2) – Regulatory Contributions Determination) Guidelines 2022 </w:t>
      </w:r>
      <w:r w:rsidRPr="00BB36BB">
        <w:rPr>
          <w:rFonts w:ascii="Times New Roman" w:hAnsi="Times New Roman" w:cs="Times New Roman"/>
        </w:rPr>
        <w:t>(the Guidelines)</w:t>
      </w:r>
      <w:r w:rsidRPr="00BB36BB">
        <w:rPr>
          <w:rFonts w:ascii="Times New Roman" w:hAnsi="Times New Roman" w:cs="Times New Roman"/>
          <w:i/>
          <w:iCs/>
        </w:rPr>
        <w:t xml:space="preserve"> </w:t>
      </w:r>
      <w:r w:rsidRPr="00BB36BB">
        <w:rPr>
          <w:rFonts w:ascii="Times New Roman" w:hAnsi="Times New Roman" w:cs="Times New Roman"/>
        </w:rPr>
        <w:t>is to set out the Commission’s guidelines for how Comcare determines regulatory contributions payable to Comcare by the employers of employees of Entities and Commonwealth authorities. They guide Comcare’s consideration of the matters set out in section 97D of the SRC Act. The Guidelines will replace the previous guidelines issued by the Commission pursuant to section 97</w:t>
      </w:r>
      <w:proofErr w:type="gramStart"/>
      <w:r w:rsidRPr="00BB36BB">
        <w:rPr>
          <w:rFonts w:ascii="Times New Roman" w:hAnsi="Times New Roman" w:cs="Times New Roman"/>
        </w:rPr>
        <w:t>E(</w:t>
      </w:r>
      <w:proofErr w:type="gramEnd"/>
      <w:r w:rsidRPr="00BB36BB">
        <w:rPr>
          <w:rFonts w:ascii="Times New Roman" w:hAnsi="Times New Roman" w:cs="Times New Roman"/>
        </w:rPr>
        <w:t>2) of the SRC Act on the day after the instrument is registered.</w:t>
      </w:r>
    </w:p>
    <w:p w14:paraId="0669C295" w14:textId="5130332B" w:rsidR="00071FC4" w:rsidRPr="00BB36BB" w:rsidRDefault="00071FC4" w:rsidP="00071FC4">
      <w:pPr>
        <w:rPr>
          <w:rFonts w:ascii="Times New Roman" w:hAnsi="Times New Roman" w:cs="Times New Roman"/>
        </w:rPr>
      </w:pPr>
      <w:r w:rsidRPr="00BB36BB">
        <w:rPr>
          <w:rFonts w:ascii="Times New Roman" w:hAnsi="Times New Roman" w:cs="Times New Roman"/>
        </w:rPr>
        <w:t>The Guidelines are intended to ensure that the regulatory contributions Comcare collects in a financial year cover the total estimated regulatory costs referred to in subsection 97D(2) of the Act for that financial year; to ensure that Comcare publishes information explaining the methodology and data used to calculate regulatory contributions; to ensure that Comcare considers Entities’ and Commonwealth authorities’ budget timing when advising of regulatory contributions; to ensure that adjustments of regulatory contributions due to correction of data are only made in specified circumstances, and to ensure that Comcare reports annually to the Commission on the performance of the system for determining and collecting regulatory contributions, and consults the Commission, Entities and Commonwealth authorities about significant changes to the regulatory contributions methodology before implementing those changes.</w:t>
      </w:r>
    </w:p>
    <w:p w14:paraId="225A8667" w14:textId="77777777" w:rsidR="00071FC4" w:rsidRPr="00BB36BB" w:rsidRDefault="00071FC4" w:rsidP="00071FC4">
      <w:pPr>
        <w:rPr>
          <w:rFonts w:ascii="Times New Roman" w:hAnsi="Times New Roman" w:cs="Times New Roman"/>
          <w:color w:val="000000"/>
          <w:shd w:val="clear" w:color="auto" w:fill="FFFFFF"/>
        </w:rPr>
      </w:pPr>
      <w:r w:rsidRPr="00BB36BB">
        <w:rPr>
          <w:rFonts w:ascii="Times New Roman" w:hAnsi="Times New Roman" w:cs="Times New Roman"/>
          <w:color w:val="000000"/>
          <w:shd w:val="clear" w:color="auto" w:fill="FFFFFF"/>
        </w:rPr>
        <w:t>The instrument is a disallowable legislative instrument for the purposes of section 42 of the </w:t>
      </w:r>
      <w:r w:rsidRPr="00BB36BB">
        <w:rPr>
          <w:rFonts w:ascii="Times New Roman" w:hAnsi="Times New Roman" w:cs="Times New Roman"/>
          <w:i/>
          <w:iCs/>
          <w:color w:val="000000"/>
          <w:shd w:val="clear" w:color="auto" w:fill="FFFFFF"/>
        </w:rPr>
        <w:t>Legislation Act 2003</w:t>
      </w:r>
      <w:r w:rsidRPr="00BB36BB">
        <w:rPr>
          <w:rFonts w:ascii="Times New Roman" w:hAnsi="Times New Roman" w:cs="Times New Roman"/>
          <w:color w:val="000000"/>
          <w:shd w:val="clear" w:color="auto" w:fill="FFFFFF"/>
        </w:rPr>
        <w:t xml:space="preserve"> and is made by the Commission under s 97</w:t>
      </w:r>
      <w:proofErr w:type="gramStart"/>
      <w:r w:rsidRPr="00BB36BB">
        <w:rPr>
          <w:rFonts w:ascii="Times New Roman" w:hAnsi="Times New Roman" w:cs="Times New Roman"/>
          <w:color w:val="000000"/>
          <w:shd w:val="clear" w:color="auto" w:fill="FFFFFF"/>
        </w:rPr>
        <w:t>E(</w:t>
      </w:r>
      <w:proofErr w:type="gramEnd"/>
      <w:r w:rsidRPr="00BB36BB">
        <w:rPr>
          <w:rFonts w:ascii="Times New Roman" w:hAnsi="Times New Roman" w:cs="Times New Roman"/>
          <w:color w:val="000000"/>
          <w:shd w:val="clear" w:color="auto" w:fill="FFFFFF"/>
        </w:rPr>
        <w:t>2) of the SRC Act.</w:t>
      </w:r>
    </w:p>
    <w:p w14:paraId="07C85DD4" w14:textId="77777777" w:rsidR="00383ABD" w:rsidRPr="00BB36BB" w:rsidRDefault="00383ABD" w:rsidP="00383ABD">
      <w:pPr>
        <w:rPr>
          <w:rFonts w:ascii="Times New Roman" w:hAnsi="Times New Roman" w:cs="Times New Roman"/>
          <w:b/>
          <w:bCs/>
          <w:color w:val="000000"/>
          <w:shd w:val="clear" w:color="auto" w:fill="FFFFFF"/>
        </w:rPr>
      </w:pPr>
      <w:r w:rsidRPr="00BB36BB">
        <w:rPr>
          <w:rFonts w:ascii="Times New Roman" w:hAnsi="Times New Roman" w:cs="Times New Roman"/>
          <w:b/>
          <w:bCs/>
          <w:color w:val="000000"/>
          <w:shd w:val="clear" w:color="auto" w:fill="FFFFFF"/>
        </w:rPr>
        <w:t>Human rights implications</w:t>
      </w:r>
    </w:p>
    <w:p w14:paraId="7D025CD8" w14:textId="364F34DC" w:rsidR="0079397C" w:rsidRPr="00BB36BB" w:rsidRDefault="00383ABD" w:rsidP="0079397C">
      <w:pPr>
        <w:rPr>
          <w:rFonts w:ascii="Times New Roman" w:hAnsi="Times New Roman" w:cs="Times New Roman"/>
        </w:rPr>
      </w:pPr>
      <w:r w:rsidRPr="00BB36BB">
        <w:rPr>
          <w:rFonts w:ascii="Times New Roman" w:hAnsi="Times New Roman" w:cs="Times New Roman"/>
        </w:rPr>
        <w:t xml:space="preserve">Article 7 of the </w:t>
      </w:r>
      <w:r w:rsidRPr="00BB36BB">
        <w:rPr>
          <w:rFonts w:ascii="Times New Roman" w:eastAsia="Times New Roman" w:hAnsi="Times New Roman" w:cs="Times New Roman"/>
          <w:i/>
          <w:iCs/>
          <w:color w:val="000000"/>
          <w:lang w:eastAsia="en-AU"/>
        </w:rPr>
        <w:t>International Covenant on Economic, Social and Cultural Rights </w:t>
      </w:r>
      <w:r w:rsidRPr="00BB36BB">
        <w:rPr>
          <w:rFonts w:ascii="Times New Roman" w:eastAsia="Times New Roman" w:hAnsi="Times New Roman" w:cs="Times New Roman"/>
          <w:color w:val="000000"/>
          <w:lang w:eastAsia="en-AU"/>
        </w:rPr>
        <w:t xml:space="preserve">explains that everyone has a right to just and favourable conditions of work. Subparagraph (b) of </w:t>
      </w:r>
      <w:r w:rsidR="0079397C" w:rsidRPr="00BB36BB">
        <w:rPr>
          <w:rFonts w:ascii="Times New Roman" w:eastAsia="Times New Roman" w:hAnsi="Times New Roman" w:cs="Times New Roman"/>
          <w:color w:val="000000"/>
          <w:lang w:eastAsia="en-AU"/>
        </w:rPr>
        <w:t>article 7</w:t>
      </w:r>
      <w:r w:rsidRPr="00BB36BB">
        <w:rPr>
          <w:rFonts w:ascii="Times New Roman" w:eastAsia="Times New Roman" w:hAnsi="Times New Roman" w:cs="Times New Roman"/>
          <w:color w:val="000000"/>
          <w:lang w:eastAsia="en-AU"/>
        </w:rPr>
        <w:t xml:space="preserve"> explains that just and favourable conditions of work should ensure</w:t>
      </w:r>
      <w:proofErr w:type="gramStart"/>
      <w:r w:rsidRPr="00BB36BB">
        <w:rPr>
          <w:rFonts w:ascii="Times New Roman" w:eastAsia="Times New Roman" w:hAnsi="Times New Roman" w:cs="Times New Roman"/>
          <w:color w:val="000000"/>
          <w:lang w:eastAsia="en-AU"/>
        </w:rPr>
        <w:t>, in particular</w:t>
      </w:r>
      <w:r w:rsidR="00415ED9" w:rsidRPr="00BB36BB">
        <w:rPr>
          <w:rFonts w:ascii="Times New Roman" w:eastAsia="Times New Roman" w:hAnsi="Times New Roman" w:cs="Times New Roman"/>
          <w:color w:val="000000"/>
          <w:lang w:eastAsia="en-AU"/>
        </w:rPr>
        <w:t>,</w:t>
      </w:r>
      <w:r w:rsidRPr="00BB36BB">
        <w:rPr>
          <w:rFonts w:ascii="Times New Roman" w:eastAsia="Times New Roman" w:hAnsi="Times New Roman" w:cs="Times New Roman"/>
          <w:color w:val="000000"/>
          <w:lang w:eastAsia="en-AU"/>
        </w:rPr>
        <w:t xml:space="preserve"> safe</w:t>
      </w:r>
      <w:proofErr w:type="gramEnd"/>
      <w:r w:rsidRPr="00BB36BB">
        <w:rPr>
          <w:rFonts w:ascii="Times New Roman" w:eastAsia="Times New Roman" w:hAnsi="Times New Roman" w:cs="Times New Roman"/>
          <w:color w:val="000000"/>
          <w:lang w:eastAsia="en-AU"/>
        </w:rPr>
        <w:t xml:space="preserve"> and healthy working conditions. </w:t>
      </w:r>
      <w:r w:rsidR="0079397C" w:rsidRPr="00BB36BB">
        <w:rPr>
          <w:rFonts w:ascii="Times New Roman" w:eastAsia="Times New Roman" w:hAnsi="Times New Roman" w:cs="Times New Roman"/>
          <w:color w:val="000000"/>
          <w:lang w:eastAsia="en-AU"/>
        </w:rPr>
        <w:t xml:space="preserve">Work </w:t>
      </w:r>
      <w:r w:rsidR="00071FC4" w:rsidRPr="00BB36BB">
        <w:rPr>
          <w:rFonts w:ascii="Times New Roman" w:eastAsia="Times New Roman" w:hAnsi="Times New Roman" w:cs="Times New Roman"/>
          <w:color w:val="000000"/>
          <w:lang w:eastAsia="en-AU"/>
        </w:rPr>
        <w:t>h</w:t>
      </w:r>
      <w:r w:rsidR="0079397C" w:rsidRPr="00BB36BB">
        <w:rPr>
          <w:rFonts w:ascii="Times New Roman" w:eastAsia="Times New Roman" w:hAnsi="Times New Roman" w:cs="Times New Roman"/>
          <w:color w:val="000000"/>
          <w:lang w:eastAsia="en-AU"/>
        </w:rPr>
        <w:t xml:space="preserve">ealth and </w:t>
      </w:r>
      <w:r w:rsidR="00071FC4" w:rsidRPr="00BB36BB">
        <w:rPr>
          <w:rFonts w:ascii="Times New Roman" w:eastAsia="Times New Roman" w:hAnsi="Times New Roman" w:cs="Times New Roman"/>
          <w:color w:val="000000"/>
          <w:lang w:eastAsia="en-AU"/>
        </w:rPr>
        <w:t>s</w:t>
      </w:r>
      <w:r w:rsidR="0079397C" w:rsidRPr="00BB36BB">
        <w:rPr>
          <w:rFonts w:ascii="Times New Roman" w:eastAsia="Times New Roman" w:hAnsi="Times New Roman" w:cs="Times New Roman"/>
          <w:color w:val="000000"/>
          <w:lang w:eastAsia="en-AU"/>
        </w:rPr>
        <w:t>afety regulation, such as that provided by Comcare, helps to protect workers and other people against harm to their health and safety by eliminating and minimising risks arising from work, so far as is reasonably practicable.</w:t>
      </w:r>
      <w:r w:rsidR="00415ED9" w:rsidRPr="00BB36BB">
        <w:rPr>
          <w:rFonts w:ascii="Times New Roman" w:eastAsia="Times New Roman" w:hAnsi="Times New Roman" w:cs="Times New Roman"/>
          <w:color w:val="000000"/>
          <w:lang w:eastAsia="en-AU"/>
        </w:rPr>
        <w:t xml:space="preserve"> In this way, work health and safety regulation </w:t>
      </w:r>
      <w:proofErr w:type="gramStart"/>
      <w:r w:rsidR="00415ED9" w:rsidRPr="00BB36BB">
        <w:rPr>
          <w:rFonts w:ascii="Times New Roman" w:eastAsia="Times New Roman" w:hAnsi="Times New Roman" w:cs="Times New Roman"/>
          <w:color w:val="000000"/>
          <w:lang w:eastAsia="en-AU"/>
        </w:rPr>
        <w:t>helps</w:t>
      </w:r>
      <w:proofErr w:type="gramEnd"/>
      <w:r w:rsidR="00415ED9" w:rsidRPr="00BB36BB">
        <w:rPr>
          <w:rFonts w:ascii="Times New Roman" w:eastAsia="Times New Roman" w:hAnsi="Times New Roman" w:cs="Times New Roman"/>
          <w:color w:val="000000"/>
          <w:lang w:eastAsia="en-AU"/>
        </w:rPr>
        <w:t xml:space="preserve"> to ensure safe and healthy working conditions.</w:t>
      </w:r>
    </w:p>
    <w:p w14:paraId="2585D256" w14:textId="01B57ED0" w:rsidR="005372DD" w:rsidRPr="00BB36BB" w:rsidRDefault="00415ED9" w:rsidP="005372DD">
      <w:pPr>
        <w:rPr>
          <w:rFonts w:ascii="Times New Roman" w:eastAsia="Times New Roman" w:hAnsi="Times New Roman" w:cs="Times New Roman"/>
          <w:color w:val="000000"/>
          <w:lang w:eastAsia="en-AU"/>
        </w:rPr>
      </w:pPr>
      <w:r w:rsidRPr="00BB36BB">
        <w:rPr>
          <w:rFonts w:ascii="Times New Roman" w:eastAsia="Times New Roman" w:hAnsi="Times New Roman" w:cs="Times New Roman"/>
          <w:color w:val="000000"/>
          <w:lang w:eastAsia="en-AU"/>
        </w:rPr>
        <w:t xml:space="preserve">Comcare collects regulatory contributions to fund its ability to regulate work health and safety in the workplaces of Entities and Commonwealth </w:t>
      </w:r>
      <w:r w:rsidR="00095C80" w:rsidRPr="00BB36BB">
        <w:rPr>
          <w:rFonts w:ascii="Times New Roman" w:eastAsia="Times New Roman" w:hAnsi="Times New Roman" w:cs="Times New Roman"/>
          <w:color w:val="000000"/>
          <w:lang w:eastAsia="en-AU"/>
        </w:rPr>
        <w:t>a</w:t>
      </w:r>
      <w:r w:rsidRPr="00BB36BB">
        <w:rPr>
          <w:rFonts w:ascii="Times New Roman" w:eastAsia="Times New Roman" w:hAnsi="Times New Roman" w:cs="Times New Roman"/>
          <w:color w:val="000000"/>
          <w:lang w:eastAsia="en-AU"/>
        </w:rPr>
        <w:t>uthorities. Section 97D of the SRC Act explains that in each financial year, Comcare must determine the amount of the regulatory contribution to be paid by each Entity and each Commonwealth Authority. Section 97</w:t>
      </w:r>
      <w:proofErr w:type="gramStart"/>
      <w:r w:rsidRPr="00BB36BB">
        <w:rPr>
          <w:rFonts w:ascii="Times New Roman" w:eastAsia="Times New Roman" w:hAnsi="Times New Roman" w:cs="Times New Roman"/>
          <w:color w:val="000000"/>
          <w:lang w:eastAsia="en-AU"/>
        </w:rPr>
        <w:t>E(</w:t>
      </w:r>
      <w:proofErr w:type="gramEnd"/>
      <w:r w:rsidRPr="00BB36BB">
        <w:rPr>
          <w:rFonts w:ascii="Times New Roman" w:eastAsia="Times New Roman" w:hAnsi="Times New Roman" w:cs="Times New Roman"/>
          <w:color w:val="000000"/>
          <w:lang w:eastAsia="en-AU"/>
        </w:rPr>
        <w:t xml:space="preserve">2) of the Act </w:t>
      </w:r>
      <w:r w:rsidR="00AC3593" w:rsidRPr="00BB36BB">
        <w:rPr>
          <w:rFonts w:ascii="Times New Roman" w:eastAsia="Times New Roman" w:hAnsi="Times New Roman" w:cs="Times New Roman"/>
          <w:color w:val="000000"/>
          <w:lang w:eastAsia="en-AU"/>
        </w:rPr>
        <w:t xml:space="preserve">sets out that the </w:t>
      </w:r>
      <w:r w:rsidR="00071FC4" w:rsidRPr="00BB36BB">
        <w:rPr>
          <w:rFonts w:ascii="Times New Roman" w:eastAsia="Times New Roman" w:hAnsi="Times New Roman" w:cs="Times New Roman"/>
          <w:color w:val="000000"/>
          <w:lang w:eastAsia="en-AU"/>
        </w:rPr>
        <w:t>Commission</w:t>
      </w:r>
      <w:r w:rsidR="00AC3593" w:rsidRPr="00BB36BB">
        <w:rPr>
          <w:rFonts w:ascii="Times New Roman" w:eastAsia="Times New Roman" w:hAnsi="Times New Roman" w:cs="Times New Roman"/>
          <w:color w:val="000000"/>
          <w:lang w:eastAsia="en-AU"/>
        </w:rPr>
        <w:t xml:space="preserve"> may issue guidelines to Comcare’s CEO in relation to Comcare’s determination of regulatory contributions to be paid by Entities and Commonwealth Authorities.</w:t>
      </w:r>
    </w:p>
    <w:p w14:paraId="2BA79B4F" w14:textId="3372AC48" w:rsidR="000D0B6D" w:rsidRPr="00BB36BB" w:rsidRDefault="000D0B6D" w:rsidP="0077305A">
      <w:pPr>
        <w:rPr>
          <w:rFonts w:ascii="Times New Roman" w:hAnsi="Times New Roman" w:cs="Times New Roman"/>
          <w:b/>
          <w:bCs/>
        </w:rPr>
      </w:pPr>
      <w:r w:rsidRPr="00BB36BB">
        <w:rPr>
          <w:rFonts w:ascii="Times New Roman" w:eastAsia="Times New Roman" w:hAnsi="Times New Roman" w:cs="Times New Roman"/>
          <w:color w:val="000000"/>
          <w:lang w:eastAsia="en-AU"/>
        </w:rPr>
        <w:t xml:space="preserve">The Guidelines are intended to ensure that the cost of Comcare’s work health and safety </w:t>
      </w:r>
      <w:r w:rsidRPr="00BB36BB">
        <w:rPr>
          <w:rFonts w:ascii="Times New Roman" w:hAnsi="Times New Roman" w:cs="Times New Roman"/>
        </w:rPr>
        <w:t xml:space="preserve">regulatory activities are appropriately funded by the Entities and Commonwealth authorities which Comcare regulates. The Guidelines are also intended to ensure that the methodology for the calculation of the regulatory contributions is fair, </w:t>
      </w:r>
      <w:r w:rsidR="00187E65" w:rsidRPr="00BB36BB">
        <w:rPr>
          <w:rFonts w:ascii="Times New Roman" w:hAnsi="Times New Roman" w:cs="Times New Roman"/>
        </w:rPr>
        <w:t>transparent,</w:t>
      </w:r>
      <w:r w:rsidRPr="00BB36BB">
        <w:rPr>
          <w:rFonts w:ascii="Times New Roman" w:hAnsi="Times New Roman" w:cs="Times New Roman"/>
        </w:rPr>
        <w:t xml:space="preserve"> and </w:t>
      </w:r>
      <w:r w:rsidR="000E2253" w:rsidRPr="00BB36BB">
        <w:rPr>
          <w:rFonts w:ascii="Times New Roman" w:hAnsi="Times New Roman" w:cs="Times New Roman"/>
        </w:rPr>
        <w:t>accountable. In doing so, the Guidelines promote the right to safe and healthy working conditions.</w:t>
      </w:r>
    </w:p>
    <w:p w14:paraId="14A8763A" w14:textId="646256C4" w:rsidR="0077305A" w:rsidRPr="00BB36BB" w:rsidRDefault="0077305A" w:rsidP="0077305A">
      <w:pPr>
        <w:rPr>
          <w:rFonts w:ascii="Times New Roman" w:hAnsi="Times New Roman" w:cs="Times New Roman"/>
          <w:b/>
          <w:bCs/>
        </w:rPr>
      </w:pPr>
      <w:r w:rsidRPr="00BB36BB">
        <w:rPr>
          <w:rFonts w:ascii="Times New Roman" w:hAnsi="Times New Roman" w:cs="Times New Roman"/>
          <w:b/>
          <w:bCs/>
        </w:rPr>
        <w:t>Conclusion</w:t>
      </w:r>
    </w:p>
    <w:p w14:paraId="1DCC5D5F" w14:textId="3477A3CB" w:rsidR="0077305A" w:rsidRPr="00BB36BB" w:rsidRDefault="0077305A" w:rsidP="0077305A">
      <w:pPr>
        <w:rPr>
          <w:rFonts w:ascii="Times New Roman" w:hAnsi="Times New Roman" w:cs="Times New Roman"/>
        </w:rPr>
      </w:pPr>
      <w:r w:rsidRPr="00BB36BB">
        <w:rPr>
          <w:rFonts w:ascii="Times New Roman" w:hAnsi="Times New Roman" w:cs="Times New Roman"/>
        </w:rPr>
        <w:t xml:space="preserve">This legislative instrument is compatible with human rights because it </w:t>
      </w:r>
      <w:r w:rsidR="000E2253" w:rsidRPr="00BB36BB">
        <w:rPr>
          <w:rFonts w:ascii="Times New Roman" w:hAnsi="Times New Roman" w:cs="Times New Roman"/>
        </w:rPr>
        <w:t xml:space="preserve">promotes the right to just and favourable conditions of work, </w:t>
      </w:r>
      <w:proofErr w:type="gramStart"/>
      <w:r w:rsidR="000E2253" w:rsidRPr="00BB36BB">
        <w:rPr>
          <w:rFonts w:ascii="Times New Roman" w:hAnsi="Times New Roman" w:cs="Times New Roman"/>
        </w:rPr>
        <w:t>and in particular, safe</w:t>
      </w:r>
      <w:proofErr w:type="gramEnd"/>
      <w:r w:rsidR="000E2253" w:rsidRPr="00BB36BB">
        <w:rPr>
          <w:rFonts w:ascii="Times New Roman" w:hAnsi="Times New Roman" w:cs="Times New Roman"/>
        </w:rPr>
        <w:t xml:space="preserve"> and healthy working conditions.</w:t>
      </w:r>
    </w:p>
    <w:p w14:paraId="7DD0D031" w14:textId="77777777" w:rsidR="0077305A" w:rsidRPr="00BB36BB" w:rsidRDefault="0077305A" w:rsidP="005372DD">
      <w:pPr>
        <w:rPr>
          <w:rFonts w:ascii="Times New Roman" w:eastAsia="Times New Roman" w:hAnsi="Times New Roman" w:cs="Times New Roman"/>
          <w:color w:val="000000"/>
          <w:lang w:eastAsia="en-AU"/>
        </w:rPr>
      </w:pPr>
    </w:p>
    <w:sectPr w:rsidR="0077305A" w:rsidRPr="00BB36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C05F" w14:textId="77777777" w:rsidR="00310CE3" w:rsidRDefault="00310CE3" w:rsidP="00B92AEB">
      <w:pPr>
        <w:spacing w:after="0" w:line="240" w:lineRule="auto"/>
      </w:pPr>
      <w:r>
        <w:separator/>
      </w:r>
    </w:p>
  </w:endnote>
  <w:endnote w:type="continuationSeparator" w:id="0">
    <w:p w14:paraId="570BD242" w14:textId="77777777" w:rsidR="00310CE3" w:rsidRDefault="00310CE3" w:rsidP="00B9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2F4E" w14:textId="77777777" w:rsidR="00E64122" w:rsidRDefault="00E64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F21C" w14:textId="77777777" w:rsidR="00E64122" w:rsidRDefault="00E64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CFE3" w14:textId="77777777" w:rsidR="00E64122" w:rsidRDefault="00E6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7ACC" w14:textId="77777777" w:rsidR="00310CE3" w:rsidRDefault="00310CE3" w:rsidP="00B92AEB">
      <w:pPr>
        <w:spacing w:after="0" w:line="240" w:lineRule="auto"/>
      </w:pPr>
      <w:r>
        <w:separator/>
      </w:r>
    </w:p>
  </w:footnote>
  <w:footnote w:type="continuationSeparator" w:id="0">
    <w:p w14:paraId="7F432949" w14:textId="77777777" w:rsidR="00310CE3" w:rsidRDefault="00310CE3" w:rsidP="00B9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0FA" w14:textId="77777777" w:rsidR="00E64122" w:rsidRDefault="00E64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1798" w14:textId="77777777" w:rsidR="00B92AEB" w:rsidRDefault="00B92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AE24" w14:textId="77777777" w:rsidR="00E64122" w:rsidRDefault="00E64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B48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583275"/>
    <w:multiLevelType w:val="hybridMultilevel"/>
    <w:tmpl w:val="A198CBBA"/>
    <w:lvl w:ilvl="0" w:tplc="82F20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3C0444"/>
    <w:multiLevelType w:val="hybridMultilevel"/>
    <w:tmpl w:val="DE5ADA08"/>
    <w:lvl w:ilvl="0" w:tplc="D81E7CD0">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94872D7"/>
    <w:multiLevelType w:val="hybridMultilevel"/>
    <w:tmpl w:val="2076960A"/>
    <w:lvl w:ilvl="0" w:tplc="3B2A12A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D5ACA"/>
    <w:multiLevelType w:val="hybridMultilevel"/>
    <w:tmpl w:val="63A2C8F8"/>
    <w:lvl w:ilvl="0" w:tplc="82F20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A75647"/>
    <w:multiLevelType w:val="hybridMultilevel"/>
    <w:tmpl w:val="2E54920C"/>
    <w:lvl w:ilvl="0" w:tplc="82F20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1D"/>
    <w:rsid w:val="00033944"/>
    <w:rsid w:val="00071FC4"/>
    <w:rsid w:val="00094B95"/>
    <w:rsid w:val="00095C80"/>
    <w:rsid w:val="000D0B6D"/>
    <w:rsid w:val="000D0D0A"/>
    <w:rsid w:val="000E2253"/>
    <w:rsid w:val="00187E65"/>
    <w:rsid w:val="001976D3"/>
    <w:rsid w:val="001B0150"/>
    <w:rsid w:val="001C1BCE"/>
    <w:rsid w:val="001F52DD"/>
    <w:rsid w:val="00215D84"/>
    <w:rsid w:val="002668FA"/>
    <w:rsid w:val="002A43DD"/>
    <w:rsid w:val="002A472E"/>
    <w:rsid w:val="002B24CB"/>
    <w:rsid w:val="002C6355"/>
    <w:rsid w:val="002D58A8"/>
    <w:rsid w:val="00310CE3"/>
    <w:rsid w:val="00322041"/>
    <w:rsid w:val="00362BF9"/>
    <w:rsid w:val="00383ABD"/>
    <w:rsid w:val="003C3D2E"/>
    <w:rsid w:val="00415ED9"/>
    <w:rsid w:val="00432C25"/>
    <w:rsid w:val="00441F49"/>
    <w:rsid w:val="004A3DCA"/>
    <w:rsid w:val="005372DD"/>
    <w:rsid w:val="00554FB8"/>
    <w:rsid w:val="005A1353"/>
    <w:rsid w:val="00616238"/>
    <w:rsid w:val="00692E3B"/>
    <w:rsid w:val="0077305A"/>
    <w:rsid w:val="0079397C"/>
    <w:rsid w:val="007A206D"/>
    <w:rsid w:val="007A2B38"/>
    <w:rsid w:val="007D0919"/>
    <w:rsid w:val="007E02AC"/>
    <w:rsid w:val="00837B1D"/>
    <w:rsid w:val="00855190"/>
    <w:rsid w:val="008C1952"/>
    <w:rsid w:val="008C76BE"/>
    <w:rsid w:val="008E0743"/>
    <w:rsid w:val="008F1719"/>
    <w:rsid w:val="00973BCF"/>
    <w:rsid w:val="00A30F05"/>
    <w:rsid w:val="00A71B7A"/>
    <w:rsid w:val="00A946C7"/>
    <w:rsid w:val="00A9557D"/>
    <w:rsid w:val="00AC3593"/>
    <w:rsid w:val="00AF4A1F"/>
    <w:rsid w:val="00B2131D"/>
    <w:rsid w:val="00B77E97"/>
    <w:rsid w:val="00B92AEB"/>
    <w:rsid w:val="00BA3588"/>
    <w:rsid w:val="00BB36BB"/>
    <w:rsid w:val="00BB7B88"/>
    <w:rsid w:val="00C145D7"/>
    <w:rsid w:val="00CE1DA2"/>
    <w:rsid w:val="00DB551D"/>
    <w:rsid w:val="00DC3641"/>
    <w:rsid w:val="00E35619"/>
    <w:rsid w:val="00E64122"/>
    <w:rsid w:val="00E9459D"/>
    <w:rsid w:val="00EC4495"/>
    <w:rsid w:val="00EF27A4"/>
    <w:rsid w:val="00F5054D"/>
    <w:rsid w:val="00F85E40"/>
    <w:rsid w:val="00FA6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ACB2"/>
  <w15:chartTrackingRefBased/>
  <w15:docId w15:val="{AB6C1FA7-B7E6-42D4-B7A7-1129AEE6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692E3B"/>
    <w:pPr>
      <w:numPr>
        <w:numId w:val="1"/>
      </w:numPr>
      <w:contextualSpacing/>
    </w:pPr>
  </w:style>
  <w:style w:type="character" w:styleId="CommentReference">
    <w:name w:val="annotation reference"/>
    <w:basedOn w:val="DefaultParagraphFont"/>
    <w:uiPriority w:val="99"/>
    <w:semiHidden/>
    <w:unhideWhenUsed/>
    <w:rsid w:val="007D0919"/>
    <w:rPr>
      <w:sz w:val="16"/>
      <w:szCs w:val="16"/>
    </w:rPr>
  </w:style>
  <w:style w:type="paragraph" w:styleId="CommentText">
    <w:name w:val="annotation text"/>
    <w:basedOn w:val="Normal"/>
    <w:link w:val="CommentTextChar"/>
    <w:uiPriority w:val="99"/>
    <w:semiHidden/>
    <w:unhideWhenUsed/>
    <w:rsid w:val="007D0919"/>
    <w:pPr>
      <w:spacing w:line="240" w:lineRule="auto"/>
    </w:pPr>
    <w:rPr>
      <w:sz w:val="20"/>
      <w:szCs w:val="20"/>
    </w:rPr>
  </w:style>
  <w:style w:type="character" w:customStyle="1" w:styleId="CommentTextChar">
    <w:name w:val="Comment Text Char"/>
    <w:basedOn w:val="DefaultParagraphFont"/>
    <w:link w:val="CommentText"/>
    <w:uiPriority w:val="99"/>
    <w:semiHidden/>
    <w:rsid w:val="007D0919"/>
    <w:rPr>
      <w:sz w:val="20"/>
      <w:szCs w:val="20"/>
    </w:rPr>
  </w:style>
  <w:style w:type="paragraph" w:styleId="CommentSubject">
    <w:name w:val="annotation subject"/>
    <w:basedOn w:val="CommentText"/>
    <w:next w:val="CommentText"/>
    <w:link w:val="CommentSubjectChar"/>
    <w:uiPriority w:val="99"/>
    <w:semiHidden/>
    <w:unhideWhenUsed/>
    <w:rsid w:val="007D0919"/>
    <w:rPr>
      <w:b/>
      <w:bCs/>
    </w:rPr>
  </w:style>
  <w:style w:type="character" w:customStyle="1" w:styleId="CommentSubjectChar">
    <w:name w:val="Comment Subject Char"/>
    <w:basedOn w:val="CommentTextChar"/>
    <w:link w:val="CommentSubject"/>
    <w:uiPriority w:val="99"/>
    <w:semiHidden/>
    <w:rsid w:val="007D0919"/>
    <w:rPr>
      <w:b/>
      <w:bCs/>
      <w:sz w:val="20"/>
      <w:szCs w:val="20"/>
    </w:rPr>
  </w:style>
  <w:style w:type="paragraph" w:styleId="Revision">
    <w:name w:val="Revision"/>
    <w:hidden/>
    <w:uiPriority w:val="99"/>
    <w:semiHidden/>
    <w:rsid w:val="007D0919"/>
    <w:pPr>
      <w:spacing w:after="0" w:line="240" w:lineRule="auto"/>
    </w:pPr>
  </w:style>
  <w:style w:type="paragraph" w:styleId="ListParagraph">
    <w:name w:val="List Paragraph"/>
    <w:basedOn w:val="Normal"/>
    <w:uiPriority w:val="34"/>
    <w:qFormat/>
    <w:rsid w:val="00095C80"/>
    <w:pPr>
      <w:ind w:left="720"/>
      <w:contextualSpacing/>
    </w:pPr>
  </w:style>
  <w:style w:type="character" w:styleId="Hyperlink">
    <w:name w:val="Hyperlink"/>
    <w:basedOn w:val="DefaultParagraphFont"/>
    <w:uiPriority w:val="99"/>
    <w:unhideWhenUsed/>
    <w:rsid w:val="001C1BCE"/>
    <w:rPr>
      <w:color w:val="0563C1" w:themeColor="hyperlink"/>
      <w:u w:val="single"/>
    </w:rPr>
  </w:style>
  <w:style w:type="character" w:styleId="UnresolvedMention">
    <w:name w:val="Unresolved Mention"/>
    <w:basedOn w:val="DefaultParagraphFont"/>
    <w:uiPriority w:val="99"/>
    <w:semiHidden/>
    <w:unhideWhenUsed/>
    <w:rsid w:val="001C1BCE"/>
    <w:rPr>
      <w:color w:val="605E5C"/>
      <w:shd w:val="clear" w:color="auto" w:fill="E1DFDD"/>
    </w:rPr>
  </w:style>
  <w:style w:type="paragraph" w:styleId="Header">
    <w:name w:val="header"/>
    <w:basedOn w:val="Normal"/>
    <w:link w:val="HeaderChar"/>
    <w:uiPriority w:val="99"/>
    <w:unhideWhenUsed/>
    <w:rsid w:val="00B9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AEB"/>
  </w:style>
  <w:style w:type="paragraph" w:styleId="Footer">
    <w:name w:val="footer"/>
    <w:basedOn w:val="Normal"/>
    <w:link w:val="FooterChar"/>
    <w:uiPriority w:val="99"/>
    <w:unhideWhenUsed/>
    <w:rsid w:val="00B9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74F9-54BE-44CF-8B35-8FDE131B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dc:creator>
  <cp:keywords/>
  <dc:description/>
  <cp:lastModifiedBy>Aaron Simpkins</cp:lastModifiedBy>
  <cp:revision>6</cp:revision>
  <dcterms:created xsi:type="dcterms:W3CDTF">2022-06-30T23:26:00Z</dcterms:created>
  <dcterms:modified xsi:type="dcterms:W3CDTF">2022-08-25T02:03:00Z</dcterms:modified>
</cp:coreProperties>
</file>