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8130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5E69F64" wp14:editId="2B7DC47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6BAF2" w14:textId="77777777" w:rsidR="00715914" w:rsidRPr="00E500D4" w:rsidRDefault="00715914" w:rsidP="00715914">
      <w:pPr>
        <w:rPr>
          <w:sz w:val="19"/>
        </w:rPr>
      </w:pPr>
    </w:p>
    <w:p w14:paraId="276EABB5" w14:textId="649EB3B6" w:rsidR="00554826" w:rsidRPr="00D125E1" w:rsidRDefault="00F118F4" w:rsidP="00554826">
      <w:pPr>
        <w:pStyle w:val="ShortT"/>
      </w:pPr>
      <w:bookmarkStart w:id="0" w:name="_Hlk106697142"/>
      <w:r w:rsidRPr="00D125E1">
        <w:rPr>
          <w:bCs/>
        </w:rPr>
        <w:t>Safety, Rehabilitation and Compensation</w:t>
      </w:r>
      <w:r w:rsidRPr="00D125E1">
        <w:rPr>
          <w:bCs/>
          <w:i/>
          <w:iCs/>
        </w:rPr>
        <w:t xml:space="preserve"> </w:t>
      </w:r>
      <w:r w:rsidR="006A1C53" w:rsidRPr="00D74A85">
        <w:rPr>
          <w:bCs/>
        </w:rPr>
        <w:t>(</w:t>
      </w:r>
      <w:r w:rsidR="006A1C53">
        <w:rPr>
          <w:bCs/>
        </w:rPr>
        <w:t xml:space="preserve">97E(2) – </w:t>
      </w:r>
      <w:r w:rsidRPr="00D125E1">
        <w:t>Regulatory Contributions Determination</w:t>
      </w:r>
      <w:r w:rsidR="006A1C53">
        <w:t>)</w:t>
      </w:r>
      <w:r w:rsidRPr="00D125E1">
        <w:t xml:space="preserve"> Guidelines</w:t>
      </w:r>
      <w:r w:rsidR="00554826" w:rsidRPr="00D125E1">
        <w:t xml:space="preserve"> </w:t>
      </w:r>
      <w:r w:rsidRPr="00D125E1">
        <w:t>2022</w:t>
      </w:r>
    </w:p>
    <w:bookmarkEnd w:id="0"/>
    <w:p w14:paraId="5BBE17C4" w14:textId="33EA4E08" w:rsidR="00554826" w:rsidRPr="00D125E1" w:rsidRDefault="00476499" w:rsidP="00554826">
      <w:pPr>
        <w:pStyle w:val="SignCoverPageStart"/>
        <w:spacing w:before="240"/>
        <w:ind w:right="91"/>
        <w:rPr>
          <w:szCs w:val="22"/>
        </w:rPr>
      </w:pPr>
      <w:r w:rsidRPr="00D125E1">
        <w:rPr>
          <w:szCs w:val="22"/>
        </w:rPr>
        <w:t>The Safety, Rehabilitation and Compensation Commission</w:t>
      </w:r>
      <w:r w:rsidR="00554826" w:rsidRPr="00D125E1">
        <w:rPr>
          <w:szCs w:val="22"/>
        </w:rPr>
        <w:t xml:space="preserve"> make</w:t>
      </w:r>
      <w:r w:rsidRPr="00D125E1">
        <w:rPr>
          <w:szCs w:val="22"/>
        </w:rPr>
        <w:t>s</w:t>
      </w:r>
      <w:r w:rsidR="00554826" w:rsidRPr="00D125E1">
        <w:rPr>
          <w:szCs w:val="22"/>
        </w:rPr>
        <w:t xml:space="preserve"> the following </w:t>
      </w:r>
      <w:r w:rsidRPr="00D125E1">
        <w:rPr>
          <w:szCs w:val="22"/>
        </w:rPr>
        <w:t>legislative instrument.</w:t>
      </w:r>
    </w:p>
    <w:p w14:paraId="26A2B251" w14:textId="44EA27D1" w:rsidR="00554826" w:rsidRPr="00D125E1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D125E1">
        <w:rPr>
          <w:szCs w:val="22"/>
        </w:rPr>
        <w:t>Dated</w:t>
      </w:r>
      <w:r w:rsidRPr="00D125E1">
        <w:rPr>
          <w:szCs w:val="22"/>
        </w:rPr>
        <w:tab/>
      </w:r>
      <w:r w:rsidR="00AA6B2F">
        <w:rPr>
          <w:szCs w:val="22"/>
        </w:rPr>
        <w:t>24 August 2022</w:t>
      </w:r>
      <w:r w:rsidRPr="00D125E1">
        <w:rPr>
          <w:szCs w:val="22"/>
        </w:rPr>
        <w:tab/>
      </w:r>
      <w:r w:rsidRPr="00D125E1">
        <w:rPr>
          <w:szCs w:val="22"/>
        </w:rPr>
        <w:tab/>
      </w:r>
      <w:r w:rsidRPr="00D125E1">
        <w:rPr>
          <w:szCs w:val="22"/>
        </w:rPr>
        <w:tab/>
      </w:r>
    </w:p>
    <w:p w14:paraId="4A9F876C" w14:textId="357FC418" w:rsidR="00554826" w:rsidRPr="00D125E1" w:rsidRDefault="00476499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D125E1">
        <w:rPr>
          <w:szCs w:val="22"/>
        </w:rPr>
        <w:t>Peter Richards</w:t>
      </w:r>
      <w:r w:rsidR="00554826" w:rsidRPr="00D125E1">
        <w:rPr>
          <w:szCs w:val="22"/>
        </w:rPr>
        <w:t xml:space="preserve"> </w:t>
      </w:r>
    </w:p>
    <w:p w14:paraId="651B0456" w14:textId="2B9DE023" w:rsidR="00554826" w:rsidRPr="00D125E1" w:rsidRDefault="00476499" w:rsidP="00554826">
      <w:pPr>
        <w:pStyle w:val="SignCoverPageEnd"/>
        <w:ind w:right="91"/>
        <w:rPr>
          <w:sz w:val="22"/>
        </w:rPr>
      </w:pPr>
      <w:r w:rsidRPr="00D125E1">
        <w:rPr>
          <w:sz w:val="22"/>
        </w:rPr>
        <w:t>Chairperson</w:t>
      </w:r>
      <w:r w:rsidR="00801F2F" w:rsidRPr="00D125E1">
        <w:rPr>
          <w:b/>
          <w:szCs w:val="22"/>
        </w:rPr>
        <w:t>—</w:t>
      </w:r>
      <w:r w:rsidRPr="00D125E1">
        <w:rPr>
          <w:sz w:val="22"/>
        </w:rPr>
        <w:t>Safety, Rehabilitation and Compensation Commission</w:t>
      </w:r>
    </w:p>
    <w:p w14:paraId="588249BB" w14:textId="77777777" w:rsidR="00554826" w:rsidRPr="00D125E1" w:rsidRDefault="00554826" w:rsidP="00554826"/>
    <w:p w14:paraId="195379C1" w14:textId="77777777" w:rsidR="00554826" w:rsidRPr="00D125E1" w:rsidRDefault="00554826" w:rsidP="00554826"/>
    <w:p w14:paraId="3272AD64" w14:textId="77777777" w:rsidR="00F6696E" w:rsidRPr="00D125E1" w:rsidRDefault="00F6696E" w:rsidP="00F6696E"/>
    <w:p w14:paraId="7472ABB8" w14:textId="77777777" w:rsidR="00F6696E" w:rsidRPr="00D125E1" w:rsidRDefault="00F6696E" w:rsidP="00F6696E">
      <w:pPr>
        <w:sectPr w:rsidR="00F6696E" w:rsidRPr="00D125E1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E329C3D" w14:textId="77777777" w:rsidR="007500C8" w:rsidRPr="00D125E1" w:rsidRDefault="00715914" w:rsidP="00715914">
      <w:pPr>
        <w:outlineLvl w:val="0"/>
        <w:rPr>
          <w:sz w:val="36"/>
        </w:rPr>
      </w:pPr>
      <w:r w:rsidRPr="00D125E1">
        <w:rPr>
          <w:sz w:val="36"/>
        </w:rPr>
        <w:lastRenderedPageBreak/>
        <w:t>Contents</w:t>
      </w:r>
    </w:p>
    <w:p w14:paraId="757FC26B" w14:textId="591E34E3" w:rsidR="007D1C15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25E1">
        <w:fldChar w:fldCharType="begin"/>
      </w:r>
      <w:r w:rsidRPr="00D125E1">
        <w:instrText xml:space="preserve"> TOC \o "1-9" </w:instrText>
      </w:r>
      <w:r w:rsidRPr="00D125E1">
        <w:fldChar w:fldCharType="separate"/>
      </w:r>
      <w:r w:rsidR="007D1C15">
        <w:rPr>
          <w:noProof/>
        </w:rPr>
        <w:t>1  Name</w:t>
      </w:r>
      <w:r w:rsidR="007D1C15">
        <w:rPr>
          <w:noProof/>
        </w:rPr>
        <w:tab/>
      </w:r>
      <w:r w:rsidR="007D1C15">
        <w:rPr>
          <w:noProof/>
        </w:rPr>
        <w:fldChar w:fldCharType="begin"/>
      </w:r>
      <w:r w:rsidR="007D1C15">
        <w:rPr>
          <w:noProof/>
        </w:rPr>
        <w:instrText xml:space="preserve"> PAGEREF _Toc106976768 \h </w:instrText>
      </w:r>
      <w:r w:rsidR="007D1C15">
        <w:rPr>
          <w:noProof/>
        </w:rPr>
      </w:r>
      <w:r w:rsidR="007D1C15">
        <w:rPr>
          <w:noProof/>
        </w:rPr>
        <w:fldChar w:fldCharType="separate"/>
      </w:r>
      <w:r w:rsidR="007D1C15">
        <w:rPr>
          <w:noProof/>
        </w:rPr>
        <w:t>1</w:t>
      </w:r>
      <w:r w:rsidR="007D1C15">
        <w:rPr>
          <w:noProof/>
        </w:rPr>
        <w:fldChar w:fldCharType="end"/>
      </w:r>
    </w:p>
    <w:p w14:paraId="41527D14" w14:textId="71B1106D" w:rsidR="007D1C15" w:rsidRDefault="007D1C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_Toc106976769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4954C00" w14:textId="375655F2" w:rsidR="007D1C15" w:rsidRDefault="007D1C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_Toc106976770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E914669" w14:textId="322F60EE" w:rsidR="007D1C15" w:rsidRDefault="007D1C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_Toc106976771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646FCA3" w14:textId="2F7FF8F1" w:rsidR="007D1C15" w:rsidRDefault="007D1C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_Toc106976772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C56F8E4" w14:textId="2CC77664" w:rsidR="007D1C15" w:rsidRDefault="007D1C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Determining Regulatory Contributions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_Toc106976773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F973073" w14:textId="7E55A4A7" w:rsidR="007D1C15" w:rsidRDefault="007D1C1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_Toc106976774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62A7BA7" w14:textId="4E64E242" w:rsidR="007D1C15" w:rsidRDefault="007D1C1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Regulatory Contribution Determination Guidelines 2012 (</w:t>
      </w:r>
      <w:r w:rsidRPr="00382140">
        <w:rPr>
          <w:i w:val="0"/>
          <w:iCs/>
          <w:noProof/>
        </w:rPr>
        <w:t>F2012L01342)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_Toc106976775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A529536" w14:textId="46D68145" w:rsidR="00F6696E" w:rsidRPr="00D125E1" w:rsidRDefault="00B418CB" w:rsidP="00F6696E">
      <w:pPr>
        <w:outlineLvl w:val="0"/>
      </w:pPr>
      <w:r w:rsidRPr="00D125E1">
        <w:fldChar w:fldCharType="end"/>
      </w:r>
    </w:p>
    <w:p w14:paraId="6D32E965" w14:textId="77777777" w:rsidR="00F6696E" w:rsidRPr="00D125E1" w:rsidRDefault="00F6696E" w:rsidP="00F6696E">
      <w:pPr>
        <w:outlineLvl w:val="0"/>
        <w:rPr>
          <w:sz w:val="20"/>
        </w:rPr>
      </w:pPr>
    </w:p>
    <w:p w14:paraId="5530AB0C" w14:textId="77777777" w:rsidR="00F6696E" w:rsidRPr="00D125E1" w:rsidRDefault="00F6696E" w:rsidP="00F6696E">
      <w:pPr>
        <w:sectPr w:rsidR="00F6696E" w:rsidRPr="00D125E1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71EBFCE" w14:textId="77777777" w:rsidR="00554826" w:rsidRPr="00D125E1" w:rsidRDefault="00554826" w:rsidP="00554826">
      <w:pPr>
        <w:pStyle w:val="ActHead5"/>
      </w:pPr>
      <w:bookmarkStart w:id="1" w:name="_Toc106976768"/>
      <w:r w:rsidRPr="00D125E1">
        <w:lastRenderedPageBreak/>
        <w:t>1  Name</w:t>
      </w:r>
      <w:bookmarkEnd w:id="1"/>
    </w:p>
    <w:p w14:paraId="01B11084" w14:textId="7FE042B1" w:rsidR="00554826" w:rsidRPr="00D73D45" w:rsidRDefault="00554826" w:rsidP="00360737">
      <w:pPr>
        <w:pStyle w:val="subsection"/>
        <w:tabs>
          <w:tab w:val="clear" w:pos="1021"/>
          <w:tab w:val="right" w:pos="0"/>
        </w:tabs>
        <w:ind w:left="0" w:firstLine="0"/>
        <w:rPr>
          <w:iCs/>
        </w:rPr>
      </w:pPr>
      <w:r w:rsidRPr="00D125E1">
        <w:t xml:space="preserve">This instrument is the </w:t>
      </w:r>
      <w:bookmarkStart w:id="2" w:name="BKCheck15B_3"/>
      <w:bookmarkEnd w:id="2"/>
      <w:r w:rsidR="00BF1B21" w:rsidRPr="00BF1B21">
        <w:rPr>
          <w:i/>
        </w:rPr>
        <w:t>Safety, Rehabilitation and Compensation (97E(2) – Regulatory Contributions Determination) Guidelines 2022</w:t>
      </w:r>
      <w:r w:rsidR="00D73D45">
        <w:rPr>
          <w:iCs/>
        </w:rPr>
        <w:t>.</w:t>
      </w:r>
    </w:p>
    <w:p w14:paraId="00D340CB" w14:textId="77777777" w:rsidR="00554826" w:rsidRPr="00D125E1" w:rsidRDefault="00554826" w:rsidP="00554826">
      <w:pPr>
        <w:pStyle w:val="ActHead5"/>
      </w:pPr>
      <w:bookmarkStart w:id="3" w:name="_Toc106976769"/>
      <w:r w:rsidRPr="00D125E1">
        <w:t>2  Commencement</w:t>
      </w:r>
      <w:bookmarkEnd w:id="3"/>
    </w:p>
    <w:p w14:paraId="43695F00" w14:textId="54E41DC5" w:rsidR="003767E2" w:rsidRPr="00D125E1" w:rsidRDefault="003767E2" w:rsidP="00B34870">
      <w:pPr>
        <w:pStyle w:val="subsection"/>
        <w:numPr>
          <w:ilvl w:val="0"/>
          <w:numId w:val="8"/>
        </w:numPr>
      </w:pPr>
      <w:bookmarkStart w:id="4" w:name="_Hlk106704544"/>
      <w:r w:rsidRPr="00D125E1">
        <w:t>Each provision of this instrument specified in column 1 of the table commences, or is taken to have commenced, in accordance with column 2 of the table. Any other statement in column 2 has effect according to its terms.</w:t>
      </w:r>
    </w:p>
    <w:bookmarkEnd w:id="4"/>
    <w:p w14:paraId="3C6E56C4" w14:textId="77777777" w:rsidR="003767E2" w:rsidRPr="00D125E1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D125E1" w14:paraId="4D8AEEBB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00366C8" w14:textId="77777777" w:rsidR="003767E2" w:rsidRPr="00D125E1" w:rsidRDefault="003767E2" w:rsidP="00A02135">
            <w:pPr>
              <w:pStyle w:val="TableHeading"/>
            </w:pPr>
            <w:r w:rsidRPr="00D125E1">
              <w:t>Commencement information</w:t>
            </w:r>
          </w:p>
        </w:tc>
      </w:tr>
      <w:tr w:rsidR="003767E2" w:rsidRPr="00D125E1" w14:paraId="7514D7B1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5F5614F" w14:textId="77777777" w:rsidR="003767E2" w:rsidRPr="00D125E1" w:rsidRDefault="003767E2" w:rsidP="00A02135">
            <w:pPr>
              <w:pStyle w:val="TableHeading"/>
            </w:pPr>
            <w:r w:rsidRPr="00D125E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A30AB0" w14:textId="77777777" w:rsidR="003767E2" w:rsidRPr="00D125E1" w:rsidRDefault="003767E2" w:rsidP="00A02135">
            <w:pPr>
              <w:pStyle w:val="TableHeading"/>
            </w:pPr>
            <w:r w:rsidRPr="00D125E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6DDC67F" w14:textId="77777777" w:rsidR="003767E2" w:rsidRPr="00D125E1" w:rsidRDefault="003767E2" w:rsidP="00A02135">
            <w:pPr>
              <w:pStyle w:val="TableHeading"/>
            </w:pPr>
            <w:r w:rsidRPr="00D125E1">
              <w:t>Column 3</w:t>
            </w:r>
          </w:p>
        </w:tc>
      </w:tr>
      <w:tr w:rsidR="003767E2" w:rsidRPr="00D125E1" w14:paraId="1B3CC0B3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A38E2C" w14:textId="77777777" w:rsidR="003767E2" w:rsidRPr="00D125E1" w:rsidRDefault="003767E2" w:rsidP="00A02135">
            <w:pPr>
              <w:pStyle w:val="TableHeading"/>
            </w:pPr>
            <w:r w:rsidRPr="00D125E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C9204FB" w14:textId="77777777" w:rsidR="003767E2" w:rsidRPr="00D125E1" w:rsidRDefault="003767E2" w:rsidP="00A02135">
            <w:pPr>
              <w:pStyle w:val="TableHeading"/>
            </w:pPr>
            <w:r w:rsidRPr="00D125E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D5C03D" w14:textId="77777777" w:rsidR="003767E2" w:rsidRPr="00D125E1" w:rsidRDefault="003767E2" w:rsidP="00A02135">
            <w:pPr>
              <w:pStyle w:val="TableHeading"/>
            </w:pPr>
            <w:r w:rsidRPr="00D125E1">
              <w:t>Date/Details</w:t>
            </w:r>
          </w:p>
        </w:tc>
      </w:tr>
      <w:tr w:rsidR="003767E2" w:rsidRPr="00D125E1" w14:paraId="7BFBB5FA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B95305" w14:textId="1ED09A74" w:rsidR="003767E2" w:rsidRPr="00D125E1" w:rsidRDefault="001001CF" w:rsidP="00B34870">
            <w:pPr>
              <w:pStyle w:val="Tabletext"/>
              <w:numPr>
                <w:ilvl w:val="0"/>
                <w:numId w:val="4"/>
              </w:numPr>
              <w:rPr>
                <w:iCs/>
              </w:rPr>
            </w:pPr>
            <w:r w:rsidRPr="00D125E1">
              <w:rPr>
                <w:iCs/>
              </w:rPr>
              <w:t xml:space="preserve">The whole of this instrument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4B29EF0" w14:textId="1B8490B9" w:rsidR="003767E2" w:rsidRPr="00D125E1" w:rsidRDefault="001001CF" w:rsidP="00A02135">
            <w:pPr>
              <w:pStyle w:val="Tabletext"/>
              <w:rPr>
                <w:iCs/>
              </w:rPr>
            </w:pPr>
            <w:r w:rsidRPr="00D125E1">
              <w:rPr>
                <w:iCs/>
              </w:rPr>
              <w:t>The day after this instrument is registered</w:t>
            </w:r>
            <w:r w:rsidR="003767E2" w:rsidRPr="00D125E1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8838E6" w14:textId="3EA4A6D5" w:rsidR="003767E2" w:rsidRPr="00D125E1" w:rsidRDefault="003767E2" w:rsidP="00A02135">
            <w:pPr>
              <w:pStyle w:val="Tabletext"/>
              <w:rPr>
                <w:iCs/>
              </w:rPr>
            </w:pPr>
          </w:p>
        </w:tc>
      </w:tr>
    </w:tbl>
    <w:p w14:paraId="028143A4" w14:textId="77777777" w:rsidR="003767E2" w:rsidRPr="00D125E1" w:rsidRDefault="003767E2" w:rsidP="003767E2">
      <w:pPr>
        <w:pStyle w:val="notetext"/>
      </w:pPr>
      <w:r w:rsidRPr="00D125E1">
        <w:rPr>
          <w:snapToGrid w:val="0"/>
          <w:lang w:eastAsia="en-US"/>
        </w:rPr>
        <w:t>Note:</w:t>
      </w:r>
      <w:r w:rsidRPr="00D125E1">
        <w:rPr>
          <w:snapToGrid w:val="0"/>
          <w:lang w:eastAsia="en-US"/>
        </w:rPr>
        <w:tab/>
        <w:t>This table relates only to the provisions of this instrument</w:t>
      </w:r>
      <w:r w:rsidRPr="00D125E1">
        <w:t xml:space="preserve"> </w:t>
      </w:r>
      <w:r w:rsidRPr="00D125E1">
        <w:rPr>
          <w:snapToGrid w:val="0"/>
          <w:lang w:eastAsia="en-US"/>
        </w:rPr>
        <w:t>as originally made. It will not be amended to deal with any later amendments of this instrument.</w:t>
      </w:r>
    </w:p>
    <w:p w14:paraId="340C9BF5" w14:textId="5DA800FE" w:rsidR="003767E2" w:rsidRPr="00D125E1" w:rsidRDefault="003767E2" w:rsidP="00B34870">
      <w:pPr>
        <w:pStyle w:val="subsection"/>
        <w:numPr>
          <w:ilvl w:val="0"/>
          <w:numId w:val="8"/>
        </w:numPr>
      </w:pPr>
      <w:r w:rsidRPr="00D125E1">
        <w:t>Any information in column 3 of the table is not part of this instrument. Information may be inserted in this column, or information in it may be edited, in any published version of this instrument.</w:t>
      </w:r>
    </w:p>
    <w:p w14:paraId="62C7D461" w14:textId="77777777" w:rsidR="00554826" w:rsidRPr="00D125E1" w:rsidRDefault="00554826" w:rsidP="00554826">
      <w:pPr>
        <w:pStyle w:val="ActHead5"/>
      </w:pPr>
      <w:bookmarkStart w:id="5" w:name="_Toc106976770"/>
      <w:r w:rsidRPr="00D125E1">
        <w:t>3  Authority</w:t>
      </w:r>
      <w:bookmarkEnd w:id="5"/>
    </w:p>
    <w:p w14:paraId="272B7DEF" w14:textId="14217640" w:rsidR="00554826" w:rsidRPr="00D125E1" w:rsidRDefault="00554826" w:rsidP="00D74A85">
      <w:pPr>
        <w:pStyle w:val="subsection"/>
        <w:ind w:left="0" w:firstLine="0"/>
      </w:pPr>
      <w:r w:rsidRPr="00D125E1">
        <w:t xml:space="preserve">This instrument is made under </w:t>
      </w:r>
      <w:r w:rsidR="009D449F" w:rsidRPr="00D125E1">
        <w:t xml:space="preserve">section 97E(2) of the </w:t>
      </w:r>
      <w:r w:rsidR="009D449F" w:rsidRPr="00D125E1">
        <w:rPr>
          <w:i/>
          <w:iCs/>
        </w:rPr>
        <w:t>Safety, Rehabilitation and Compensation Act 1988</w:t>
      </w:r>
      <w:r w:rsidR="00D74A85">
        <w:rPr>
          <w:i/>
          <w:iCs/>
        </w:rPr>
        <w:t>.</w:t>
      </w:r>
    </w:p>
    <w:p w14:paraId="507E7E2C" w14:textId="22910937" w:rsidR="00F24DBB" w:rsidRPr="00F24DBB" w:rsidRDefault="00D421F7" w:rsidP="005C1E07">
      <w:pPr>
        <w:pStyle w:val="ActHead5"/>
      </w:pPr>
      <w:bookmarkStart w:id="6" w:name="_Toc106976771"/>
      <w:r>
        <w:t xml:space="preserve">4 </w:t>
      </w:r>
      <w:r w:rsidR="00554826" w:rsidRPr="00D125E1">
        <w:t xml:space="preserve"> Definitions</w:t>
      </w:r>
      <w:bookmarkEnd w:id="6"/>
    </w:p>
    <w:p w14:paraId="45E91FE9" w14:textId="177D52A5" w:rsidR="00D421F7" w:rsidRPr="00360737" w:rsidRDefault="00D421F7" w:rsidP="00D421F7">
      <w:pPr>
        <w:pStyle w:val="notetext"/>
        <w:spacing w:before="240" w:line="200" w:lineRule="exact"/>
        <w:ind w:left="0" w:firstLine="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Act</w:t>
      </w:r>
      <w:r>
        <w:rPr>
          <w:sz w:val="22"/>
          <w:szCs w:val="22"/>
        </w:rPr>
        <w:t xml:space="preserve"> means the </w:t>
      </w:r>
      <w:r w:rsidRPr="005C1E07">
        <w:rPr>
          <w:i/>
          <w:iCs/>
          <w:sz w:val="22"/>
          <w:szCs w:val="22"/>
        </w:rPr>
        <w:t>Safety, Rehabilitation and Compensation Act 1988</w:t>
      </w:r>
    </w:p>
    <w:p w14:paraId="4FD2683B" w14:textId="46CC7B9C" w:rsidR="00554826" w:rsidRPr="001C0A9D" w:rsidRDefault="00D74A85" w:rsidP="00B34870">
      <w:pPr>
        <w:pStyle w:val="notetext"/>
        <w:spacing w:before="240" w:after="120" w:line="240" w:lineRule="auto"/>
        <w:ind w:left="709" w:hanging="709"/>
        <w:rPr>
          <w:szCs w:val="18"/>
        </w:rPr>
      </w:pPr>
      <w:bookmarkStart w:id="7" w:name="_Hlk106974011"/>
      <w:r w:rsidRPr="001C0A9D">
        <w:rPr>
          <w:szCs w:val="18"/>
        </w:rPr>
        <w:t xml:space="preserve">Note: </w:t>
      </w:r>
      <w:r w:rsidR="00D421F7">
        <w:rPr>
          <w:szCs w:val="18"/>
        </w:rPr>
        <w:t xml:space="preserve"> </w:t>
      </w:r>
      <w:r w:rsidR="00D73D45">
        <w:rPr>
          <w:szCs w:val="18"/>
        </w:rPr>
        <w:tab/>
      </w:r>
      <w:r w:rsidR="00554826" w:rsidRPr="001C0A9D">
        <w:rPr>
          <w:szCs w:val="18"/>
        </w:rPr>
        <w:t xml:space="preserve">A number of expressions used in this instrument are defined in </w:t>
      </w:r>
      <w:r w:rsidR="00375A89" w:rsidRPr="001C0A9D">
        <w:rPr>
          <w:szCs w:val="18"/>
        </w:rPr>
        <w:t>section 4 of the</w:t>
      </w:r>
      <w:r w:rsidR="00D421F7" w:rsidRPr="005C1E07">
        <w:rPr>
          <w:szCs w:val="18"/>
        </w:rPr>
        <w:t xml:space="preserve"> Act</w:t>
      </w:r>
      <w:r w:rsidR="00554826" w:rsidRPr="001C0A9D">
        <w:rPr>
          <w:szCs w:val="18"/>
        </w:rPr>
        <w:t>, including the following:</w:t>
      </w:r>
    </w:p>
    <w:p w14:paraId="55F56CD5" w14:textId="72B4C5AB" w:rsidR="00554826" w:rsidRPr="001C0A9D" w:rsidRDefault="00554826" w:rsidP="00B34870">
      <w:pPr>
        <w:pStyle w:val="notepara"/>
        <w:spacing w:before="0" w:line="240" w:lineRule="auto"/>
        <w:ind w:left="1078"/>
        <w:rPr>
          <w:szCs w:val="18"/>
        </w:rPr>
      </w:pPr>
      <w:r w:rsidRPr="001C0A9D">
        <w:rPr>
          <w:szCs w:val="18"/>
        </w:rPr>
        <w:t>(a)</w:t>
      </w:r>
      <w:r w:rsidRPr="001C0A9D">
        <w:rPr>
          <w:szCs w:val="18"/>
        </w:rPr>
        <w:tab/>
      </w:r>
      <w:r w:rsidR="008372EC" w:rsidRPr="001C0A9D">
        <w:rPr>
          <w:szCs w:val="18"/>
        </w:rPr>
        <w:t>Entity</w:t>
      </w:r>
    </w:p>
    <w:p w14:paraId="435D1992" w14:textId="5A07B67D" w:rsidR="00554826" w:rsidRPr="001C0A9D" w:rsidRDefault="00554826" w:rsidP="00B34870">
      <w:pPr>
        <w:pStyle w:val="notepara"/>
        <w:spacing w:before="0" w:line="240" w:lineRule="auto"/>
        <w:ind w:left="1078"/>
        <w:rPr>
          <w:szCs w:val="18"/>
        </w:rPr>
      </w:pPr>
      <w:r w:rsidRPr="001C0A9D">
        <w:rPr>
          <w:szCs w:val="18"/>
        </w:rPr>
        <w:t>(b)</w:t>
      </w:r>
      <w:r w:rsidRPr="001C0A9D">
        <w:rPr>
          <w:szCs w:val="18"/>
        </w:rPr>
        <w:tab/>
      </w:r>
      <w:r w:rsidR="008372EC" w:rsidRPr="001C0A9D">
        <w:rPr>
          <w:szCs w:val="18"/>
        </w:rPr>
        <w:t xml:space="preserve">Commonwealth </w:t>
      </w:r>
      <w:r w:rsidR="00612087" w:rsidRPr="001C0A9D">
        <w:rPr>
          <w:szCs w:val="18"/>
        </w:rPr>
        <w:t>a</w:t>
      </w:r>
      <w:r w:rsidR="008372EC" w:rsidRPr="001C0A9D">
        <w:rPr>
          <w:szCs w:val="18"/>
        </w:rPr>
        <w:t>uthority</w:t>
      </w:r>
    </w:p>
    <w:p w14:paraId="666E4DB4" w14:textId="012E7FB8" w:rsidR="008372EC" w:rsidRPr="001C0A9D" w:rsidRDefault="008372EC" w:rsidP="00B34870">
      <w:pPr>
        <w:pStyle w:val="notepara"/>
        <w:spacing w:before="0" w:line="240" w:lineRule="auto"/>
        <w:ind w:left="1078"/>
        <w:rPr>
          <w:szCs w:val="18"/>
        </w:rPr>
      </w:pPr>
      <w:r w:rsidRPr="001C0A9D">
        <w:rPr>
          <w:szCs w:val="18"/>
        </w:rPr>
        <w:t>(c)</w:t>
      </w:r>
      <w:r w:rsidRPr="001C0A9D">
        <w:rPr>
          <w:szCs w:val="18"/>
        </w:rPr>
        <w:tab/>
      </w:r>
      <w:r w:rsidR="0043712C" w:rsidRPr="001C0A9D">
        <w:rPr>
          <w:szCs w:val="18"/>
        </w:rPr>
        <w:t xml:space="preserve">Comcare </w:t>
      </w:r>
    </w:p>
    <w:p w14:paraId="4D072392" w14:textId="36FB358E" w:rsidR="00F508C9" w:rsidRPr="001C0A9D" w:rsidRDefault="0043712C" w:rsidP="00B34870">
      <w:pPr>
        <w:pStyle w:val="notepara"/>
        <w:spacing w:before="0" w:line="240" w:lineRule="auto"/>
        <w:ind w:left="1078"/>
        <w:rPr>
          <w:szCs w:val="18"/>
        </w:rPr>
      </w:pPr>
      <w:r w:rsidRPr="001C0A9D">
        <w:rPr>
          <w:szCs w:val="18"/>
        </w:rPr>
        <w:t>(d)</w:t>
      </w:r>
      <w:r w:rsidRPr="001C0A9D">
        <w:rPr>
          <w:szCs w:val="18"/>
        </w:rPr>
        <w:tab/>
        <w:t>Commission</w:t>
      </w:r>
    </w:p>
    <w:p w14:paraId="7D3E2670" w14:textId="7452FF21" w:rsidR="00554826" w:rsidRPr="00D125E1" w:rsidRDefault="00554826" w:rsidP="00554826">
      <w:pPr>
        <w:pStyle w:val="ActHead5"/>
      </w:pPr>
      <w:bookmarkStart w:id="8" w:name="_Toc454781205"/>
      <w:bookmarkStart w:id="9" w:name="_Toc106976772"/>
      <w:bookmarkStart w:id="10" w:name="_Toc454512517"/>
      <w:bookmarkEnd w:id="7"/>
      <w:r w:rsidRPr="00D125E1">
        <w:t>5  Schedules</w:t>
      </w:r>
      <w:bookmarkEnd w:id="8"/>
      <w:bookmarkEnd w:id="9"/>
    </w:p>
    <w:p w14:paraId="545598FD" w14:textId="00857B61" w:rsidR="00554826" w:rsidRPr="00D125E1" w:rsidRDefault="00554826" w:rsidP="005C1E07">
      <w:pPr>
        <w:pStyle w:val="subsection"/>
        <w:tabs>
          <w:tab w:val="clear" w:pos="1021"/>
          <w:tab w:val="right" w:pos="0"/>
        </w:tabs>
        <w:ind w:left="0" w:firstLine="0"/>
      </w:pPr>
      <w:r w:rsidRPr="00D125E1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2DAF6F3" w14:textId="7E7C0143" w:rsidR="00554826" w:rsidRPr="00D125E1" w:rsidRDefault="00554826" w:rsidP="00554826">
      <w:pPr>
        <w:pStyle w:val="ActHead5"/>
      </w:pPr>
      <w:bookmarkStart w:id="11" w:name="_Toc106976773"/>
      <w:bookmarkStart w:id="12" w:name="_Hlk106705432"/>
      <w:r w:rsidRPr="00D125E1">
        <w:lastRenderedPageBreak/>
        <w:t xml:space="preserve">6  </w:t>
      </w:r>
      <w:bookmarkEnd w:id="10"/>
      <w:r w:rsidR="00213921" w:rsidRPr="00D125E1">
        <w:t>Determining Regulatory Contributions</w:t>
      </w:r>
      <w:bookmarkEnd w:id="11"/>
    </w:p>
    <w:bookmarkEnd w:id="12"/>
    <w:p w14:paraId="4C7FEC26" w14:textId="7F4BD96B" w:rsidR="00554826" w:rsidRDefault="008802C7" w:rsidP="00D74A85">
      <w:pPr>
        <w:pStyle w:val="subsection"/>
        <w:tabs>
          <w:tab w:val="clear" w:pos="1021"/>
        </w:tabs>
        <w:ind w:left="0" w:firstLine="0"/>
      </w:pPr>
      <w:r w:rsidRPr="00D125E1">
        <w:t xml:space="preserve">In determining the regulatory contributions payable by </w:t>
      </w:r>
      <w:r w:rsidR="00D421F7">
        <w:t>Entities and Commonwealth authorities</w:t>
      </w:r>
      <w:r w:rsidR="00D421F7" w:rsidRPr="00D125E1">
        <w:t xml:space="preserve"> </w:t>
      </w:r>
      <w:r w:rsidRPr="00D125E1">
        <w:t xml:space="preserve">under the Act in respect of a financial year, </w:t>
      </w:r>
      <w:r w:rsidR="00D853DF">
        <w:t>the following guidelines apply to Comcare</w:t>
      </w:r>
      <w:r w:rsidRPr="00D125E1">
        <w:t>:</w:t>
      </w:r>
    </w:p>
    <w:p w14:paraId="3903A054" w14:textId="683C207B" w:rsidR="00D74A85" w:rsidRDefault="00D74A85" w:rsidP="00B34870">
      <w:pPr>
        <w:pStyle w:val="subsection"/>
        <w:numPr>
          <w:ilvl w:val="0"/>
          <w:numId w:val="7"/>
        </w:numPr>
      </w:pPr>
      <w:r>
        <w:t xml:space="preserve">The total of the regulatory contributions in respect of a financial year should fund the total estimated costs </w:t>
      </w:r>
      <w:bookmarkStart w:id="13" w:name="_Hlk106801336"/>
      <w:r>
        <w:t xml:space="preserve">in that financial year </w:t>
      </w:r>
      <w:r w:rsidR="00D421F7">
        <w:t>of the regulatory costs referred to in subsection 97D(2) of the SRC Act.</w:t>
      </w:r>
      <w:bookmarkEnd w:id="13"/>
    </w:p>
    <w:p w14:paraId="52D77FC3" w14:textId="112CC206" w:rsidR="00D74A85" w:rsidRDefault="00D421F7" w:rsidP="00B34870">
      <w:pPr>
        <w:pStyle w:val="subsection"/>
        <w:numPr>
          <w:ilvl w:val="0"/>
          <w:numId w:val="7"/>
        </w:numPr>
      </w:pPr>
      <w:r>
        <w:t xml:space="preserve">Comcare shall </w:t>
      </w:r>
      <w:bookmarkStart w:id="14" w:name="_Hlk106801371"/>
      <w:r>
        <w:t xml:space="preserve">publish information explaining </w:t>
      </w:r>
      <w:r w:rsidR="00360737">
        <w:t>the methodology and data used to calculate regulatory contributions.</w:t>
      </w:r>
      <w:bookmarkEnd w:id="14"/>
    </w:p>
    <w:p w14:paraId="7D1C24BC" w14:textId="501B6D79" w:rsidR="00360737" w:rsidRDefault="00360737" w:rsidP="00B34870">
      <w:pPr>
        <w:pStyle w:val="subsection"/>
        <w:numPr>
          <w:ilvl w:val="0"/>
          <w:numId w:val="7"/>
        </w:numPr>
      </w:pPr>
      <w:r>
        <w:t xml:space="preserve">Comcare should </w:t>
      </w:r>
      <w:bookmarkStart w:id="15" w:name="_Hlk106801541"/>
      <w:r>
        <w:t>consider Entities’ and Commonwealth authorities’ budget timing when advising regulatory contributions.</w:t>
      </w:r>
      <w:bookmarkEnd w:id="15"/>
    </w:p>
    <w:p w14:paraId="474398D8" w14:textId="6920AB5D" w:rsidR="00360737" w:rsidRDefault="00360737" w:rsidP="00B34870">
      <w:pPr>
        <w:pStyle w:val="subsection"/>
        <w:numPr>
          <w:ilvl w:val="0"/>
          <w:numId w:val="7"/>
        </w:numPr>
      </w:pPr>
      <w:r>
        <w:t>Adjustments due to correction of data should only be made if:</w:t>
      </w:r>
    </w:p>
    <w:p w14:paraId="18AF098B" w14:textId="37FF1071" w:rsidR="00360737" w:rsidRDefault="00360737" w:rsidP="00B34870">
      <w:pPr>
        <w:pStyle w:val="subsection"/>
        <w:numPr>
          <w:ilvl w:val="0"/>
          <w:numId w:val="5"/>
        </w:numPr>
        <w:tabs>
          <w:tab w:val="clear" w:pos="1021"/>
          <w:tab w:val="right" w:pos="1276"/>
        </w:tabs>
        <w:ind w:left="1276" w:hanging="556"/>
      </w:pPr>
      <w:r>
        <w:t>the Entity or Commonwealth authority notifies Comcare of the correction no later than 30 April in the financial year immediately following the financial year the regulatory contribution relates to; or</w:t>
      </w:r>
    </w:p>
    <w:p w14:paraId="67D0F2DA" w14:textId="163EFF7A" w:rsidR="00B34870" w:rsidRDefault="00360737" w:rsidP="00B34870">
      <w:pPr>
        <w:pStyle w:val="subsection"/>
        <w:numPr>
          <w:ilvl w:val="0"/>
          <w:numId w:val="5"/>
        </w:numPr>
        <w:tabs>
          <w:tab w:val="clear" w:pos="1021"/>
          <w:tab w:val="right" w:pos="1276"/>
        </w:tabs>
        <w:spacing w:after="120"/>
        <w:ind w:left="1276" w:hanging="556"/>
      </w:pPr>
      <w:r>
        <w:t xml:space="preserve">Comcare considers the correction will result in a significant increase in the regulatory contribution in respect of the Entity or </w:t>
      </w:r>
      <w:r w:rsidRPr="00453504">
        <w:t>Commonwealth authority.</w:t>
      </w:r>
    </w:p>
    <w:p w14:paraId="31C68833" w14:textId="77777777" w:rsidR="00B34870" w:rsidRDefault="00B34870" w:rsidP="008F0A7F">
      <w:pPr>
        <w:pStyle w:val="notetext"/>
        <w:spacing w:before="0" w:line="240" w:lineRule="auto"/>
        <w:ind w:hanging="1276"/>
        <w:rPr>
          <w:snapToGrid w:val="0"/>
          <w:lang w:eastAsia="en-US"/>
        </w:rPr>
      </w:pPr>
      <w:r w:rsidRPr="005F1740">
        <w:rPr>
          <w:snapToGrid w:val="0"/>
          <w:lang w:eastAsia="en-US"/>
        </w:rPr>
        <w:t>Note:</w:t>
      </w:r>
      <w:r w:rsidRPr="005F1740">
        <w:rPr>
          <w:snapToGrid w:val="0"/>
          <w:lang w:eastAsia="en-US"/>
        </w:rPr>
        <w:tab/>
      </w:r>
    </w:p>
    <w:p w14:paraId="2863C912" w14:textId="7A0A3063" w:rsidR="00B34870" w:rsidRDefault="00B34870" w:rsidP="00B34870">
      <w:pPr>
        <w:pStyle w:val="notetext"/>
        <w:numPr>
          <w:ilvl w:val="0"/>
          <w:numId w:val="9"/>
        </w:numPr>
        <w:spacing w:before="0" w:line="240" w:lineRule="auto"/>
        <w:ind w:left="1985" w:hanging="567"/>
        <w:rPr>
          <w:color w:val="000000" w:themeColor="text1"/>
          <w:szCs w:val="18"/>
        </w:rPr>
      </w:pPr>
      <w:r w:rsidRPr="00F809BB">
        <w:rPr>
          <w:color w:val="000000" w:themeColor="text1"/>
          <w:szCs w:val="18"/>
        </w:rPr>
        <w:t>Section 97J of the</w:t>
      </w:r>
      <w:r>
        <w:rPr>
          <w:color w:val="000000" w:themeColor="text1"/>
          <w:szCs w:val="18"/>
        </w:rPr>
        <w:t xml:space="preserve"> </w:t>
      </w:r>
      <w:r w:rsidRPr="00F809BB">
        <w:rPr>
          <w:color w:val="000000" w:themeColor="text1"/>
          <w:szCs w:val="18"/>
        </w:rPr>
        <w:t xml:space="preserve">Act provides for the review by Comcare, at the request of an Entity or Commonwealth authority, of a </w:t>
      </w:r>
      <w:r>
        <w:rPr>
          <w:color w:val="000000" w:themeColor="text1"/>
          <w:szCs w:val="18"/>
        </w:rPr>
        <w:t>regulatory contribution</w:t>
      </w:r>
      <w:r w:rsidRPr="00F809BB">
        <w:rPr>
          <w:color w:val="000000" w:themeColor="text1"/>
          <w:szCs w:val="18"/>
        </w:rPr>
        <w:t xml:space="preserve"> determination under section 97 of the Act;</w:t>
      </w:r>
    </w:p>
    <w:p w14:paraId="17258864" w14:textId="69C6B0DA" w:rsidR="00B34870" w:rsidRDefault="00B34870" w:rsidP="00B34870">
      <w:pPr>
        <w:pStyle w:val="notetext"/>
        <w:numPr>
          <w:ilvl w:val="0"/>
          <w:numId w:val="9"/>
        </w:numPr>
        <w:spacing w:before="0" w:line="240" w:lineRule="auto"/>
        <w:ind w:left="1985" w:hanging="567"/>
        <w:rPr>
          <w:color w:val="000000" w:themeColor="text1"/>
          <w:szCs w:val="18"/>
        </w:rPr>
      </w:pPr>
      <w:r w:rsidRPr="00F809BB">
        <w:rPr>
          <w:color w:val="000000" w:themeColor="text1"/>
          <w:szCs w:val="18"/>
        </w:rPr>
        <w:t xml:space="preserve">Section 97K of the Act provides for the further review by the Commission, at the request of an Entity or Commonwealth authority, of a </w:t>
      </w:r>
      <w:r>
        <w:rPr>
          <w:color w:val="000000" w:themeColor="text1"/>
          <w:szCs w:val="18"/>
        </w:rPr>
        <w:t>regulatory contribution</w:t>
      </w:r>
      <w:r w:rsidRPr="00F809BB">
        <w:rPr>
          <w:color w:val="000000" w:themeColor="text1"/>
          <w:szCs w:val="18"/>
        </w:rPr>
        <w:t xml:space="preserve"> determination under section 97 of the Act that has been reviewed by Comcare under section 97J of the Act; </w:t>
      </w:r>
    </w:p>
    <w:p w14:paraId="15EE176F" w14:textId="3FDFA187" w:rsidR="00B34870" w:rsidRPr="005F1740" w:rsidRDefault="00B34870" w:rsidP="00B34870">
      <w:pPr>
        <w:pStyle w:val="notetext"/>
        <w:numPr>
          <w:ilvl w:val="0"/>
          <w:numId w:val="9"/>
        </w:numPr>
        <w:spacing w:before="0" w:line="240" w:lineRule="auto"/>
        <w:ind w:left="1985" w:hanging="567"/>
        <w:rPr>
          <w:snapToGrid w:val="0"/>
          <w:lang w:eastAsia="en-US"/>
        </w:rPr>
      </w:pPr>
      <w:r w:rsidRPr="00F809BB">
        <w:rPr>
          <w:color w:val="000000" w:themeColor="text1"/>
          <w:szCs w:val="18"/>
        </w:rPr>
        <w:t xml:space="preserve">Section 97M of the Act provides for the variation by Comcare, in certain specified circumstances, of a </w:t>
      </w:r>
      <w:r>
        <w:rPr>
          <w:color w:val="000000" w:themeColor="text1"/>
          <w:szCs w:val="18"/>
        </w:rPr>
        <w:t>regulatory contribution</w:t>
      </w:r>
      <w:r w:rsidRPr="00F809BB">
        <w:rPr>
          <w:color w:val="000000" w:themeColor="text1"/>
          <w:szCs w:val="18"/>
        </w:rPr>
        <w:t xml:space="preserve"> determination.</w:t>
      </w:r>
    </w:p>
    <w:p w14:paraId="721AE1B7" w14:textId="77777777" w:rsidR="00D853DF" w:rsidRDefault="00D853DF" w:rsidP="00B34870">
      <w:pPr>
        <w:shd w:val="clear" w:color="auto" w:fill="FFFFFF"/>
        <w:spacing w:line="240" w:lineRule="auto"/>
        <w:ind w:right="924"/>
        <w:jc w:val="both"/>
        <w:rPr>
          <w:rFonts w:eastAsia="Times New Roman" w:cs="Times New Roman"/>
          <w:color w:val="808080"/>
          <w:sz w:val="18"/>
          <w:szCs w:val="18"/>
          <w:lang w:eastAsia="en-AU"/>
        </w:rPr>
      </w:pPr>
    </w:p>
    <w:p w14:paraId="5C8BC3D5" w14:textId="0F4AC795" w:rsidR="00D853DF" w:rsidRPr="00D74A85" w:rsidRDefault="00D853DF" w:rsidP="006E400B">
      <w:pPr>
        <w:shd w:val="clear" w:color="auto" w:fill="FFFFFF"/>
        <w:spacing w:line="240" w:lineRule="auto"/>
        <w:ind w:left="720" w:right="204" w:hanging="72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</w:pPr>
      <w:r w:rsidRPr="00D74A85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 xml:space="preserve">7  </w:t>
      </w:r>
      <w:r w:rsidR="00DB0FFC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>Reporting and Consulting</w:t>
      </w:r>
    </w:p>
    <w:p w14:paraId="05A0C107" w14:textId="5D62F0B1" w:rsidR="006E400B" w:rsidRDefault="006E400B" w:rsidP="00453504">
      <w:pPr>
        <w:pStyle w:val="subsection"/>
        <w:spacing w:before="120"/>
      </w:pPr>
      <w:r w:rsidRPr="00D125E1">
        <w:t>Comcare shall:</w:t>
      </w:r>
    </w:p>
    <w:p w14:paraId="68086325" w14:textId="6C7FBAC3" w:rsidR="006E400B" w:rsidRDefault="006E400B" w:rsidP="00F439E1">
      <w:pPr>
        <w:pStyle w:val="subsection"/>
        <w:numPr>
          <w:ilvl w:val="0"/>
          <w:numId w:val="10"/>
        </w:numPr>
        <w:rPr>
          <w:color w:val="000000" w:themeColor="text1"/>
        </w:rPr>
      </w:pPr>
      <w:r w:rsidRPr="00D125E1">
        <w:rPr>
          <w:color w:val="000000" w:themeColor="text1"/>
        </w:rPr>
        <w:t xml:space="preserve">report to the Commission each year on </w:t>
      </w:r>
      <w:bookmarkStart w:id="16" w:name="_Hlk106801943"/>
      <w:r w:rsidRPr="00D125E1">
        <w:rPr>
          <w:color w:val="000000" w:themeColor="text1"/>
        </w:rPr>
        <w:t>the performance of the system for determining and collecting regulatory contributions; and</w:t>
      </w:r>
      <w:bookmarkEnd w:id="16"/>
    </w:p>
    <w:p w14:paraId="74E89605" w14:textId="690278CB" w:rsidR="006E400B" w:rsidRPr="00D125E1" w:rsidRDefault="006E400B" w:rsidP="00F439E1">
      <w:pPr>
        <w:pStyle w:val="subsection"/>
        <w:numPr>
          <w:ilvl w:val="0"/>
          <w:numId w:val="10"/>
        </w:numPr>
      </w:pPr>
      <w:bookmarkStart w:id="17" w:name="_Hlk106801967"/>
      <w:r w:rsidRPr="00D125E1">
        <w:t>consult the Commission</w:t>
      </w:r>
      <w:r w:rsidR="00453504">
        <w:t>,</w:t>
      </w:r>
      <w:r w:rsidRPr="00D125E1">
        <w:t xml:space="preserve"> </w:t>
      </w:r>
      <w:r w:rsidR="00453504">
        <w:t>Entities and Commonwealth authorities</w:t>
      </w:r>
      <w:r w:rsidR="00453504" w:rsidRPr="00D125E1">
        <w:t xml:space="preserve"> </w:t>
      </w:r>
      <w:r w:rsidRPr="00D125E1">
        <w:t>about significant changes to the regulatory contributions methodology before implementing those changes.</w:t>
      </w:r>
    </w:p>
    <w:bookmarkEnd w:id="17"/>
    <w:p w14:paraId="107BAC3D" w14:textId="77777777" w:rsidR="00F439E1" w:rsidRDefault="00F439E1" w:rsidP="00F439E1">
      <w:pPr>
        <w:pStyle w:val="notetext"/>
        <w:spacing w:before="0" w:line="240" w:lineRule="auto"/>
        <w:rPr>
          <w:snapToGrid w:val="0"/>
          <w:lang w:eastAsia="en-US"/>
        </w:rPr>
      </w:pPr>
    </w:p>
    <w:p w14:paraId="55E3D1B4" w14:textId="7C0E3CEB" w:rsidR="00F439E1" w:rsidRPr="00453504" w:rsidRDefault="00F439E1" w:rsidP="008F0A7F">
      <w:pPr>
        <w:pStyle w:val="paragraph"/>
        <w:ind w:left="1560" w:hanging="851"/>
        <w:rPr>
          <w:highlight w:val="yellow"/>
        </w:rPr>
      </w:pPr>
      <w:r>
        <w:rPr>
          <w:sz w:val="18"/>
          <w:szCs w:val="18"/>
          <w:shd w:val="clear" w:color="auto" w:fill="FFFFFF"/>
        </w:rPr>
        <w:tab/>
      </w:r>
      <w:r w:rsidRPr="00F439E1">
        <w:rPr>
          <w:sz w:val="18"/>
          <w:szCs w:val="18"/>
          <w:shd w:val="clear" w:color="auto" w:fill="FFFFFF"/>
        </w:rPr>
        <w:t>Note:</w:t>
      </w:r>
      <w:r>
        <w:rPr>
          <w:snapToGrid w:val="0"/>
          <w:lang w:eastAsia="en-US"/>
        </w:rPr>
        <w:t xml:space="preserve"> </w:t>
      </w:r>
      <w:r w:rsidR="008F0A7F">
        <w:rPr>
          <w:snapToGrid w:val="0"/>
          <w:lang w:eastAsia="en-US"/>
        </w:rPr>
        <w:t xml:space="preserve">       </w:t>
      </w:r>
      <w:r w:rsidRPr="005C1E07">
        <w:rPr>
          <w:sz w:val="18"/>
          <w:szCs w:val="18"/>
          <w:shd w:val="clear" w:color="auto" w:fill="FFFFFF"/>
        </w:rPr>
        <w:t>Consultation involves providing an explanation of the proposed change and seeking comment, considering any comments received and advising the conclusion made.</w:t>
      </w:r>
    </w:p>
    <w:p w14:paraId="299FE941" w14:textId="1FF0D43D" w:rsidR="00F439E1" w:rsidRDefault="00F439E1" w:rsidP="00F439E1">
      <w:pPr>
        <w:pStyle w:val="notetext"/>
        <w:spacing w:before="0" w:line="240" w:lineRule="auto"/>
        <w:rPr>
          <w:color w:val="000000" w:themeColor="text1"/>
          <w:szCs w:val="18"/>
        </w:rPr>
      </w:pPr>
    </w:p>
    <w:p w14:paraId="17E12CDB" w14:textId="20999E52" w:rsidR="0088258A" w:rsidRPr="005C1E07" w:rsidRDefault="0088258A" w:rsidP="006E400B">
      <w:pPr>
        <w:pStyle w:val="paragraph"/>
        <w:ind w:left="0" w:firstLine="0"/>
        <w:rPr>
          <w:sz w:val="18"/>
          <w:szCs w:val="18"/>
          <w:shd w:val="clear" w:color="auto" w:fill="FFFFFF"/>
        </w:rPr>
      </w:pPr>
    </w:p>
    <w:p w14:paraId="65F40D9F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5EBB7D9A" w14:textId="77777777" w:rsidR="00D6537E" w:rsidRPr="004E1307" w:rsidRDefault="004E1307" w:rsidP="00D6537E">
      <w:pPr>
        <w:pStyle w:val="ActHead6"/>
      </w:pPr>
      <w:bookmarkStart w:id="18" w:name="_Toc454512518"/>
      <w:bookmarkStart w:id="19" w:name="_Toc106976774"/>
      <w:r>
        <w:lastRenderedPageBreak/>
        <w:t xml:space="preserve">Schedule </w:t>
      </w:r>
      <w:r w:rsidR="00D6537E" w:rsidRPr="004E1307">
        <w:t>1—Repeals</w:t>
      </w:r>
      <w:bookmarkEnd w:id="18"/>
      <w:bookmarkEnd w:id="19"/>
    </w:p>
    <w:p w14:paraId="59CE6BEA" w14:textId="67BA3C09" w:rsidR="00D6537E" w:rsidRPr="00D74A85" w:rsidRDefault="001001CF" w:rsidP="00D6537E">
      <w:pPr>
        <w:pStyle w:val="ActHead9"/>
        <w:rPr>
          <w:i w:val="0"/>
          <w:iCs/>
        </w:rPr>
      </w:pPr>
      <w:bookmarkStart w:id="20" w:name="_Toc106976775"/>
      <w:r>
        <w:t>Regulatory Contribution Determination Guidelines 201</w:t>
      </w:r>
      <w:r w:rsidR="00997F7D">
        <w:t>2</w:t>
      </w:r>
      <w:r w:rsidR="000A651C">
        <w:t xml:space="preserve"> (</w:t>
      </w:r>
      <w:r w:rsidR="00790E88">
        <w:rPr>
          <w:i w:val="0"/>
          <w:iCs/>
        </w:rPr>
        <w:t>F2012L01342)</w:t>
      </w:r>
      <w:bookmarkEnd w:id="20"/>
    </w:p>
    <w:p w14:paraId="5F0ECA38" w14:textId="77777777" w:rsidR="00D6537E" w:rsidRDefault="00D6537E" w:rsidP="00D6537E">
      <w:pPr>
        <w:pStyle w:val="ItemHead"/>
      </w:pPr>
      <w:r w:rsidRPr="00B1728A">
        <w:t xml:space="preserve">1  </w:t>
      </w:r>
      <w:r w:rsidR="00BB1533">
        <w:t>The w</w:t>
      </w:r>
      <w:r>
        <w:t>hole of the instrument</w:t>
      </w:r>
    </w:p>
    <w:p w14:paraId="5570BADB" w14:textId="51B96DC6" w:rsidR="004E1307" w:rsidRDefault="00D6537E" w:rsidP="00D6537E">
      <w:pPr>
        <w:pStyle w:val="Item"/>
      </w:pPr>
      <w:r>
        <w:t>Repeal the instrument</w:t>
      </w:r>
      <w:r w:rsidR="001001CF">
        <w:t>.</w:t>
      </w:r>
    </w:p>
    <w:p w14:paraId="276F5A44" w14:textId="382F4204" w:rsidR="00A75FE9" w:rsidRDefault="00A75FE9" w:rsidP="00554826">
      <w:pPr>
        <w:pStyle w:val="BodyPara"/>
        <w:numPr>
          <w:ilvl w:val="0"/>
          <w:numId w:val="0"/>
        </w:numPr>
        <w:ind w:left="720"/>
      </w:pPr>
    </w:p>
    <w:sectPr w:rsidR="00A75FE9" w:rsidSect="008F0A7F">
      <w:headerReference w:type="even" r:id="rId19"/>
      <w:headerReference w:type="default" r:id="rId20"/>
      <w:footerReference w:type="default" r:id="rId21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4661" w14:textId="77777777" w:rsidR="00F27707" w:rsidRDefault="00F27707" w:rsidP="00715914">
      <w:pPr>
        <w:spacing w:line="240" w:lineRule="auto"/>
      </w:pPr>
      <w:r>
        <w:separator/>
      </w:r>
    </w:p>
  </w:endnote>
  <w:endnote w:type="continuationSeparator" w:id="0">
    <w:p w14:paraId="1150DBD5" w14:textId="77777777" w:rsidR="00F27707" w:rsidRDefault="00F2770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3F0B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6C7F93D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C98275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9E86EA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D5B36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CAA92A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208BF03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0B16F55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494933C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34C4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5133C98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BD1BC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E092CD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D5B36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6CA64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D00742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C75B25" w14:textId="77777777" w:rsidR="0072147A" w:rsidRDefault="0072147A" w:rsidP="00A369E3">
          <w:pPr>
            <w:rPr>
              <w:sz w:val="18"/>
            </w:rPr>
          </w:pPr>
        </w:p>
      </w:tc>
    </w:tr>
  </w:tbl>
  <w:p w14:paraId="75740015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20AD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3EA9BD1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3D66B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993F9B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2A1D0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0C8D442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8FD7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374AFDA7" w14:textId="77777777" w:rsidTr="00A87A58">
      <w:tc>
        <w:tcPr>
          <w:tcW w:w="365" w:type="pct"/>
        </w:tcPr>
        <w:p w14:paraId="6E97F0C9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5FD4C60" w14:textId="2915DF78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F0A7F">
            <w:rPr>
              <w:i/>
              <w:noProof/>
              <w:sz w:val="18"/>
            </w:rPr>
            <w:t>Safety, Rehabilitation and Compensation (97E(2) – Regulatory Contributions Determination) Guidelines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167D45E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220E436B" w14:textId="77777777" w:rsidTr="00A87A58">
      <w:tc>
        <w:tcPr>
          <w:tcW w:w="5000" w:type="pct"/>
          <w:gridSpan w:val="3"/>
        </w:tcPr>
        <w:p w14:paraId="52F1D1E6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183D11B3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5929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124308BF" w14:textId="77777777" w:rsidTr="00A87A58">
      <w:tc>
        <w:tcPr>
          <w:tcW w:w="947" w:type="pct"/>
        </w:tcPr>
        <w:p w14:paraId="5C483FF3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ACA471C" w14:textId="61DF293F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369ED">
            <w:rPr>
              <w:i/>
              <w:noProof/>
              <w:sz w:val="18"/>
            </w:rPr>
            <w:t>Safety, Rehabilitation and Compensation (97E(2) – Regulatory Contributions Determination) Guidelines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D16E45A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66228AC0" w14:textId="77777777" w:rsidTr="00A87A58">
      <w:tc>
        <w:tcPr>
          <w:tcW w:w="5000" w:type="pct"/>
          <w:gridSpan w:val="3"/>
        </w:tcPr>
        <w:p w14:paraId="30B335C5" w14:textId="77777777" w:rsidR="00F6696E" w:rsidRDefault="00F6696E" w:rsidP="000850AC">
          <w:pPr>
            <w:rPr>
              <w:sz w:val="18"/>
            </w:rPr>
          </w:pPr>
        </w:p>
      </w:tc>
    </w:tr>
  </w:tbl>
  <w:p w14:paraId="5631CCD4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7A4A" w14:textId="77777777" w:rsidR="008C2EAC" w:rsidRPr="002B0EA5" w:rsidRDefault="008C2EAC" w:rsidP="008F0A7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798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8506"/>
      <w:gridCol w:w="850"/>
    </w:tblGrid>
    <w:tr w:rsidR="008C2EAC" w14:paraId="1CF31034" w14:textId="77777777" w:rsidTr="008F0A7F">
      <w:tc>
        <w:tcPr>
          <w:tcW w:w="147" w:type="pct"/>
        </w:tcPr>
        <w:p w14:paraId="7AF42D97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4412" w:type="pct"/>
        </w:tcPr>
        <w:p w14:paraId="0485E95B" w14:textId="030BB89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369ED">
            <w:rPr>
              <w:i/>
              <w:noProof/>
              <w:sz w:val="18"/>
            </w:rPr>
            <w:t>Safety, Rehabilitation and Compensation (97E(2) – Regulatory Contributions Determination) Guidelines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441" w:type="pct"/>
        </w:tcPr>
        <w:p w14:paraId="2055F70A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C66611D" w14:textId="77777777" w:rsidTr="008F0A7F">
      <w:tc>
        <w:tcPr>
          <w:tcW w:w="5000" w:type="pct"/>
          <w:gridSpan w:val="3"/>
        </w:tcPr>
        <w:p w14:paraId="33C15F00" w14:textId="77777777" w:rsidR="008C2EAC" w:rsidRDefault="008C2EAC" w:rsidP="000850AC">
          <w:pPr>
            <w:rPr>
              <w:sz w:val="18"/>
            </w:rPr>
          </w:pPr>
        </w:p>
      </w:tc>
    </w:tr>
  </w:tbl>
  <w:p w14:paraId="1EA84E68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E7504" w14:textId="77777777" w:rsidR="00F27707" w:rsidRDefault="00F27707" w:rsidP="00715914">
      <w:pPr>
        <w:spacing w:line="240" w:lineRule="auto"/>
      </w:pPr>
      <w:r>
        <w:separator/>
      </w:r>
    </w:p>
  </w:footnote>
  <w:footnote w:type="continuationSeparator" w:id="0">
    <w:p w14:paraId="24391340" w14:textId="77777777" w:rsidR="00F27707" w:rsidRDefault="00F2770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C5F1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245C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5FA2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1C18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1308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4D54" w14:textId="77777777" w:rsidR="004E1307" w:rsidRDefault="004E1307" w:rsidP="00715914">
    <w:pPr>
      <w:rPr>
        <w:sz w:val="20"/>
      </w:rPr>
    </w:pPr>
  </w:p>
  <w:p w14:paraId="0B2445D8" w14:textId="77777777" w:rsidR="004E1307" w:rsidRDefault="004E1307" w:rsidP="00715914">
    <w:pPr>
      <w:rPr>
        <w:sz w:val="20"/>
      </w:rPr>
    </w:pPr>
  </w:p>
  <w:p w14:paraId="09981709" w14:textId="77777777" w:rsidR="004E1307" w:rsidRPr="007A1328" w:rsidRDefault="004E1307" w:rsidP="00715914">
    <w:pPr>
      <w:rPr>
        <w:sz w:val="20"/>
      </w:rPr>
    </w:pPr>
  </w:p>
  <w:p w14:paraId="2AB86426" w14:textId="77777777" w:rsidR="004E1307" w:rsidRPr="007A1328" w:rsidRDefault="004E1307" w:rsidP="00715914">
    <w:pPr>
      <w:rPr>
        <w:b/>
        <w:sz w:val="24"/>
      </w:rPr>
    </w:pPr>
  </w:p>
  <w:p w14:paraId="7EE6E243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70AD" w14:textId="77777777" w:rsidR="004E1307" w:rsidRPr="007A1328" w:rsidRDefault="004E1307" w:rsidP="00715914">
    <w:pPr>
      <w:jc w:val="right"/>
      <w:rPr>
        <w:sz w:val="20"/>
      </w:rPr>
    </w:pPr>
  </w:p>
  <w:p w14:paraId="33D958DE" w14:textId="77777777" w:rsidR="004E1307" w:rsidRPr="007A1328" w:rsidRDefault="004E1307" w:rsidP="00715914">
    <w:pPr>
      <w:jc w:val="right"/>
      <w:rPr>
        <w:sz w:val="20"/>
      </w:rPr>
    </w:pPr>
  </w:p>
  <w:p w14:paraId="34330315" w14:textId="77777777" w:rsidR="004E1307" w:rsidRPr="007A1328" w:rsidRDefault="004E1307" w:rsidP="00715914">
    <w:pPr>
      <w:jc w:val="right"/>
      <w:rPr>
        <w:sz w:val="20"/>
      </w:rPr>
    </w:pPr>
  </w:p>
  <w:p w14:paraId="240A0C94" w14:textId="77777777" w:rsidR="004E1307" w:rsidRPr="007A1328" w:rsidRDefault="004E1307" w:rsidP="00715914">
    <w:pPr>
      <w:jc w:val="right"/>
      <w:rPr>
        <w:b/>
        <w:sz w:val="24"/>
      </w:rPr>
    </w:pPr>
  </w:p>
  <w:p w14:paraId="30915C56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7E65B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CB5F66"/>
    <w:multiLevelType w:val="hybridMultilevel"/>
    <w:tmpl w:val="5B44A236"/>
    <w:lvl w:ilvl="0" w:tplc="2076A3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7C202CA"/>
    <w:multiLevelType w:val="hybridMultilevel"/>
    <w:tmpl w:val="F656FA0A"/>
    <w:lvl w:ilvl="0" w:tplc="03E82FA0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8C44EF"/>
    <w:multiLevelType w:val="hybridMultilevel"/>
    <w:tmpl w:val="870C5F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4E567A59"/>
    <w:multiLevelType w:val="hybridMultilevel"/>
    <w:tmpl w:val="057EED02"/>
    <w:lvl w:ilvl="0" w:tplc="2076A3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83D74"/>
    <w:multiLevelType w:val="hybridMultilevel"/>
    <w:tmpl w:val="709C6F78"/>
    <w:lvl w:ilvl="0" w:tplc="82F2090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BE5F8F"/>
    <w:multiLevelType w:val="hybridMultilevel"/>
    <w:tmpl w:val="5B44A236"/>
    <w:lvl w:ilvl="0" w:tplc="2076A3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F0D9E"/>
    <w:multiLevelType w:val="hybridMultilevel"/>
    <w:tmpl w:val="A1C6C6CE"/>
    <w:lvl w:ilvl="0" w:tplc="47A8668C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6C36007"/>
    <w:multiLevelType w:val="hybridMultilevel"/>
    <w:tmpl w:val="A1C6C6CE"/>
    <w:lvl w:ilvl="0" w:tplc="47A8668C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36"/>
    <w:rsid w:val="00004174"/>
    <w:rsid w:val="00004470"/>
    <w:rsid w:val="000136AF"/>
    <w:rsid w:val="000258B1"/>
    <w:rsid w:val="000369ED"/>
    <w:rsid w:val="00040A89"/>
    <w:rsid w:val="000437C1"/>
    <w:rsid w:val="0004455A"/>
    <w:rsid w:val="0005365D"/>
    <w:rsid w:val="000614BF"/>
    <w:rsid w:val="0006709C"/>
    <w:rsid w:val="00074376"/>
    <w:rsid w:val="00074456"/>
    <w:rsid w:val="000978F5"/>
    <w:rsid w:val="000A651C"/>
    <w:rsid w:val="000B15CD"/>
    <w:rsid w:val="000B35EB"/>
    <w:rsid w:val="000C6D59"/>
    <w:rsid w:val="000D05EF"/>
    <w:rsid w:val="000E2222"/>
    <w:rsid w:val="000E2261"/>
    <w:rsid w:val="000E78B7"/>
    <w:rsid w:val="000F21C1"/>
    <w:rsid w:val="001001CF"/>
    <w:rsid w:val="0010745C"/>
    <w:rsid w:val="00113DB0"/>
    <w:rsid w:val="00132CEB"/>
    <w:rsid w:val="001339B0"/>
    <w:rsid w:val="00142B62"/>
    <w:rsid w:val="001441B7"/>
    <w:rsid w:val="001516CB"/>
    <w:rsid w:val="00152336"/>
    <w:rsid w:val="0015256D"/>
    <w:rsid w:val="00157B8B"/>
    <w:rsid w:val="00164AEF"/>
    <w:rsid w:val="00166C2F"/>
    <w:rsid w:val="001809D7"/>
    <w:rsid w:val="001939E1"/>
    <w:rsid w:val="00194C3E"/>
    <w:rsid w:val="00195382"/>
    <w:rsid w:val="001A1D9E"/>
    <w:rsid w:val="001B2CB6"/>
    <w:rsid w:val="001C0A9D"/>
    <w:rsid w:val="001C61C5"/>
    <w:rsid w:val="001C69C4"/>
    <w:rsid w:val="001D37EF"/>
    <w:rsid w:val="001D7977"/>
    <w:rsid w:val="001E3590"/>
    <w:rsid w:val="001E7407"/>
    <w:rsid w:val="001F4BC8"/>
    <w:rsid w:val="001F5D5E"/>
    <w:rsid w:val="001F6219"/>
    <w:rsid w:val="001F6CD4"/>
    <w:rsid w:val="00206C4D"/>
    <w:rsid w:val="00213921"/>
    <w:rsid w:val="00215AF1"/>
    <w:rsid w:val="0022321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B7AA1"/>
    <w:rsid w:val="002C3FD1"/>
    <w:rsid w:val="002D014D"/>
    <w:rsid w:val="002D043A"/>
    <w:rsid w:val="002D266B"/>
    <w:rsid w:val="002D6224"/>
    <w:rsid w:val="002F3E53"/>
    <w:rsid w:val="00304784"/>
    <w:rsid w:val="00304F8B"/>
    <w:rsid w:val="00325287"/>
    <w:rsid w:val="00335BC6"/>
    <w:rsid w:val="003415D3"/>
    <w:rsid w:val="00344338"/>
    <w:rsid w:val="00344701"/>
    <w:rsid w:val="00352B0F"/>
    <w:rsid w:val="00360459"/>
    <w:rsid w:val="00360737"/>
    <w:rsid w:val="00375A89"/>
    <w:rsid w:val="003767E2"/>
    <w:rsid w:val="0038049F"/>
    <w:rsid w:val="003C6231"/>
    <w:rsid w:val="003D0BFE"/>
    <w:rsid w:val="003D5700"/>
    <w:rsid w:val="003E341B"/>
    <w:rsid w:val="003E4D00"/>
    <w:rsid w:val="004116CD"/>
    <w:rsid w:val="00412A9A"/>
    <w:rsid w:val="00417EB9"/>
    <w:rsid w:val="00424CA9"/>
    <w:rsid w:val="004276DF"/>
    <w:rsid w:val="00431E9B"/>
    <w:rsid w:val="0043712C"/>
    <w:rsid w:val="004379E3"/>
    <w:rsid w:val="0044015E"/>
    <w:rsid w:val="0044291A"/>
    <w:rsid w:val="00453504"/>
    <w:rsid w:val="00467661"/>
    <w:rsid w:val="00472DBE"/>
    <w:rsid w:val="00474A19"/>
    <w:rsid w:val="0047649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5577"/>
    <w:rsid w:val="00537FBC"/>
    <w:rsid w:val="00552548"/>
    <w:rsid w:val="00554826"/>
    <w:rsid w:val="00562877"/>
    <w:rsid w:val="00584811"/>
    <w:rsid w:val="00585784"/>
    <w:rsid w:val="00593AA6"/>
    <w:rsid w:val="00594161"/>
    <w:rsid w:val="00594749"/>
    <w:rsid w:val="005A65D5"/>
    <w:rsid w:val="005A6E83"/>
    <w:rsid w:val="005B4067"/>
    <w:rsid w:val="005B6F01"/>
    <w:rsid w:val="005C1E07"/>
    <w:rsid w:val="005C3F41"/>
    <w:rsid w:val="005D1D92"/>
    <w:rsid w:val="005D2D09"/>
    <w:rsid w:val="005F1422"/>
    <w:rsid w:val="00600219"/>
    <w:rsid w:val="00602EA6"/>
    <w:rsid w:val="00604F2A"/>
    <w:rsid w:val="00612087"/>
    <w:rsid w:val="00620076"/>
    <w:rsid w:val="00627E0A"/>
    <w:rsid w:val="00646BFA"/>
    <w:rsid w:val="0065488B"/>
    <w:rsid w:val="00670EA1"/>
    <w:rsid w:val="0067153F"/>
    <w:rsid w:val="00677CC2"/>
    <w:rsid w:val="0068744B"/>
    <w:rsid w:val="006905DE"/>
    <w:rsid w:val="0069207B"/>
    <w:rsid w:val="006A154F"/>
    <w:rsid w:val="006A1C53"/>
    <w:rsid w:val="006A437B"/>
    <w:rsid w:val="006B5789"/>
    <w:rsid w:val="006C30C5"/>
    <w:rsid w:val="006C7F8C"/>
    <w:rsid w:val="006E2E1C"/>
    <w:rsid w:val="006E400B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029A"/>
    <w:rsid w:val="00756272"/>
    <w:rsid w:val="00762D38"/>
    <w:rsid w:val="00767E96"/>
    <w:rsid w:val="007715C9"/>
    <w:rsid w:val="00771613"/>
    <w:rsid w:val="00774EDD"/>
    <w:rsid w:val="007757EC"/>
    <w:rsid w:val="00783E89"/>
    <w:rsid w:val="00790E88"/>
    <w:rsid w:val="00793915"/>
    <w:rsid w:val="007A3236"/>
    <w:rsid w:val="007C2253"/>
    <w:rsid w:val="007D1C15"/>
    <w:rsid w:val="007D7911"/>
    <w:rsid w:val="007E163D"/>
    <w:rsid w:val="007E667A"/>
    <w:rsid w:val="007F28C9"/>
    <w:rsid w:val="007F51B2"/>
    <w:rsid w:val="00801F2F"/>
    <w:rsid w:val="008040DD"/>
    <w:rsid w:val="008117E9"/>
    <w:rsid w:val="00824498"/>
    <w:rsid w:val="00826BD1"/>
    <w:rsid w:val="008319AF"/>
    <w:rsid w:val="008372EC"/>
    <w:rsid w:val="00854D0B"/>
    <w:rsid w:val="00856A31"/>
    <w:rsid w:val="00860B4E"/>
    <w:rsid w:val="00867B37"/>
    <w:rsid w:val="00871A2A"/>
    <w:rsid w:val="008754D0"/>
    <w:rsid w:val="00875D13"/>
    <w:rsid w:val="008802C7"/>
    <w:rsid w:val="0088258A"/>
    <w:rsid w:val="008855C9"/>
    <w:rsid w:val="00886456"/>
    <w:rsid w:val="00896176"/>
    <w:rsid w:val="008A46E1"/>
    <w:rsid w:val="008A4F43"/>
    <w:rsid w:val="008A5068"/>
    <w:rsid w:val="008B2706"/>
    <w:rsid w:val="008C2EAC"/>
    <w:rsid w:val="008D0EE0"/>
    <w:rsid w:val="008E0027"/>
    <w:rsid w:val="008E6067"/>
    <w:rsid w:val="008F0A7F"/>
    <w:rsid w:val="008F54E7"/>
    <w:rsid w:val="00903422"/>
    <w:rsid w:val="00915DA1"/>
    <w:rsid w:val="00923E89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87C21"/>
    <w:rsid w:val="009900A3"/>
    <w:rsid w:val="00997F7D"/>
    <w:rsid w:val="009C3413"/>
    <w:rsid w:val="009D449F"/>
    <w:rsid w:val="009D5B36"/>
    <w:rsid w:val="009F1E1C"/>
    <w:rsid w:val="00A0441E"/>
    <w:rsid w:val="00A12128"/>
    <w:rsid w:val="00A22C98"/>
    <w:rsid w:val="00A231E2"/>
    <w:rsid w:val="00A369E3"/>
    <w:rsid w:val="00A4413A"/>
    <w:rsid w:val="00A57600"/>
    <w:rsid w:val="00A64912"/>
    <w:rsid w:val="00A70A74"/>
    <w:rsid w:val="00A75FE9"/>
    <w:rsid w:val="00AA6B2F"/>
    <w:rsid w:val="00AB3631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4870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1B21"/>
    <w:rsid w:val="00BF2465"/>
    <w:rsid w:val="00C16619"/>
    <w:rsid w:val="00C25884"/>
    <w:rsid w:val="00C25E7F"/>
    <w:rsid w:val="00C2746F"/>
    <w:rsid w:val="00C27F3F"/>
    <w:rsid w:val="00C323D6"/>
    <w:rsid w:val="00C324A0"/>
    <w:rsid w:val="00C42BF8"/>
    <w:rsid w:val="00C50043"/>
    <w:rsid w:val="00C62045"/>
    <w:rsid w:val="00C7573B"/>
    <w:rsid w:val="00C97A54"/>
    <w:rsid w:val="00CA5B23"/>
    <w:rsid w:val="00CB19FF"/>
    <w:rsid w:val="00CB602E"/>
    <w:rsid w:val="00CB7E90"/>
    <w:rsid w:val="00CE051D"/>
    <w:rsid w:val="00CE1335"/>
    <w:rsid w:val="00CE493D"/>
    <w:rsid w:val="00CF07FA"/>
    <w:rsid w:val="00CF0BB2"/>
    <w:rsid w:val="00CF3EE8"/>
    <w:rsid w:val="00D125E1"/>
    <w:rsid w:val="00D13441"/>
    <w:rsid w:val="00D150E7"/>
    <w:rsid w:val="00D421F7"/>
    <w:rsid w:val="00D510CD"/>
    <w:rsid w:val="00D52DC2"/>
    <w:rsid w:val="00D53BCC"/>
    <w:rsid w:val="00D54C9E"/>
    <w:rsid w:val="00D6537E"/>
    <w:rsid w:val="00D70DFB"/>
    <w:rsid w:val="00D71CBF"/>
    <w:rsid w:val="00D73D45"/>
    <w:rsid w:val="00D74A85"/>
    <w:rsid w:val="00D766DF"/>
    <w:rsid w:val="00D8206C"/>
    <w:rsid w:val="00D853DF"/>
    <w:rsid w:val="00D91F10"/>
    <w:rsid w:val="00DA186E"/>
    <w:rsid w:val="00DA4116"/>
    <w:rsid w:val="00DB0FFC"/>
    <w:rsid w:val="00DB251C"/>
    <w:rsid w:val="00DB4630"/>
    <w:rsid w:val="00DC4F88"/>
    <w:rsid w:val="00DE107C"/>
    <w:rsid w:val="00DF2388"/>
    <w:rsid w:val="00E0240F"/>
    <w:rsid w:val="00E05704"/>
    <w:rsid w:val="00E209FB"/>
    <w:rsid w:val="00E338EF"/>
    <w:rsid w:val="00E544BB"/>
    <w:rsid w:val="00E7138C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3E0C"/>
    <w:rsid w:val="00F072A7"/>
    <w:rsid w:val="00F078DC"/>
    <w:rsid w:val="00F118F4"/>
    <w:rsid w:val="00F24DBB"/>
    <w:rsid w:val="00F27707"/>
    <w:rsid w:val="00F32BA8"/>
    <w:rsid w:val="00F32EE0"/>
    <w:rsid w:val="00F349F1"/>
    <w:rsid w:val="00F4350D"/>
    <w:rsid w:val="00F439E1"/>
    <w:rsid w:val="00F479C4"/>
    <w:rsid w:val="00F508C9"/>
    <w:rsid w:val="00F539F8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434B1B7"/>
  <w15:docId w15:val="{33A34CD2-B396-4BE4-9581-9157926C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2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Bullet">
    <w:name w:val="List Bullet"/>
    <w:basedOn w:val="Normal"/>
    <w:uiPriority w:val="99"/>
    <w:unhideWhenUsed/>
    <w:rsid w:val="00F508C9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1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F2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F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F2F"/>
    <w:rPr>
      <w:b/>
      <w:bCs/>
    </w:rPr>
  </w:style>
  <w:style w:type="character" w:styleId="Hyperlink">
    <w:name w:val="Hyperlink"/>
    <w:basedOn w:val="DefaultParagraphFont"/>
    <w:uiPriority w:val="99"/>
    <w:unhideWhenUsed/>
    <w:rsid w:val="006120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0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1B2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6073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4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.Jonathan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48</TotalTime>
  <Pages>5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Will</dc:creator>
  <cp:lastModifiedBy>Aaron Simpkins</cp:lastModifiedBy>
  <cp:revision>16</cp:revision>
  <dcterms:created xsi:type="dcterms:W3CDTF">2022-06-23T05:01:00Z</dcterms:created>
  <dcterms:modified xsi:type="dcterms:W3CDTF">2022-08-25T02:00:00Z</dcterms:modified>
</cp:coreProperties>
</file>