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C1D8C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147226A" wp14:editId="40FFF81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644F9" w14:textId="77777777" w:rsidR="0048364F" w:rsidRDefault="0048364F" w:rsidP="0048364F">
      <w:pPr>
        <w:rPr>
          <w:sz w:val="19"/>
        </w:rPr>
      </w:pPr>
    </w:p>
    <w:p w14:paraId="45B0D860" w14:textId="77777777" w:rsidR="0048364F" w:rsidRDefault="00755946" w:rsidP="0048364F">
      <w:pPr>
        <w:pStyle w:val="ShortT"/>
      </w:pPr>
      <w:r w:rsidRPr="00755946">
        <w:t xml:space="preserve">Christmas Island Utilities and Services (Electricity Supply and Services Fees) Amendment (2022 Measures No. 2) </w:t>
      </w:r>
      <w:r w:rsidR="003B5F42">
        <w:t>Determ</w:t>
      </w:r>
      <w:bookmarkStart w:id="0" w:name="_GoBack"/>
      <w:bookmarkEnd w:id="0"/>
      <w:r w:rsidR="003B5F42">
        <w:t>ination 2</w:t>
      </w:r>
      <w:r w:rsidRPr="00755946">
        <w:t>022</w:t>
      </w:r>
    </w:p>
    <w:p w14:paraId="2C69C580" w14:textId="77777777" w:rsidR="00755946" w:rsidRPr="00001A63" w:rsidRDefault="00755946" w:rsidP="00215EC2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Natasha Griggs</w:t>
      </w:r>
      <w:r w:rsidRPr="00001A63">
        <w:rPr>
          <w:szCs w:val="22"/>
        </w:rPr>
        <w:t xml:space="preserve">, </w:t>
      </w:r>
      <w:r>
        <w:rPr>
          <w:szCs w:val="22"/>
        </w:rPr>
        <w:t>Administrator of the Territory of Christmas Island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determination</w:t>
      </w:r>
      <w:r w:rsidRPr="00001A63">
        <w:rPr>
          <w:szCs w:val="22"/>
        </w:rPr>
        <w:t>.</w:t>
      </w:r>
    </w:p>
    <w:p w14:paraId="70CA852E" w14:textId="17750EE0" w:rsidR="00755946" w:rsidRPr="00001A63" w:rsidRDefault="00755946" w:rsidP="00215EC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D0100">
        <w:rPr>
          <w:szCs w:val="22"/>
        </w:rPr>
        <w:t xml:space="preserve">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7D0100">
        <w:rPr>
          <w:szCs w:val="22"/>
        </w:rPr>
        <w:t>30 August 2022</w:t>
      </w:r>
      <w:r w:rsidRPr="00001A63">
        <w:rPr>
          <w:szCs w:val="22"/>
        </w:rPr>
        <w:fldChar w:fldCharType="end"/>
      </w:r>
    </w:p>
    <w:p w14:paraId="24643311" w14:textId="77777777" w:rsidR="00755946" w:rsidRPr="00001A63" w:rsidRDefault="00755946" w:rsidP="00215EC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Natasha Griggs</w:t>
      </w:r>
    </w:p>
    <w:p w14:paraId="3307E8AC" w14:textId="77777777" w:rsidR="00755946" w:rsidRPr="001F2C7F" w:rsidRDefault="00755946" w:rsidP="00215EC2">
      <w:pPr>
        <w:pStyle w:val="SignCoverPageEnd"/>
        <w:rPr>
          <w:szCs w:val="22"/>
        </w:rPr>
      </w:pPr>
      <w:r>
        <w:rPr>
          <w:szCs w:val="22"/>
        </w:rPr>
        <w:t>Administrator of the Territory of Christmas Island</w:t>
      </w:r>
    </w:p>
    <w:p w14:paraId="5175CBA0" w14:textId="77777777" w:rsidR="00755946" w:rsidRDefault="00755946" w:rsidP="00215EC2"/>
    <w:p w14:paraId="2F119B5B" w14:textId="77777777" w:rsidR="0048364F" w:rsidRPr="003F7AE7" w:rsidRDefault="0048364F" w:rsidP="0048364F">
      <w:pPr>
        <w:pStyle w:val="Header"/>
        <w:tabs>
          <w:tab w:val="clear" w:pos="4150"/>
          <w:tab w:val="clear" w:pos="8307"/>
        </w:tabs>
      </w:pPr>
      <w:r w:rsidRPr="003F7AE7">
        <w:rPr>
          <w:rStyle w:val="CharAmSchNo"/>
        </w:rPr>
        <w:t xml:space="preserve"> </w:t>
      </w:r>
      <w:r w:rsidRPr="003F7AE7">
        <w:rPr>
          <w:rStyle w:val="CharAmSchText"/>
        </w:rPr>
        <w:t xml:space="preserve"> </w:t>
      </w:r>
    </w:p>
    <w:p w14:paraId="5181D0EB" w14:textId="77777777" w:rsidR="0048364F" w:rsidRPr="003F7AE7" w:rsidRDefault="0048364F" w:rsidP="0048364F">
      <w:pPr>
        <w:pStyle w:val="Header"/>
        <w:tabs>
          <w:tab w:val="clear" w:pos="4150"/>
          <w:tab w:val="clear" w:pos="8307"/>
        </w:tabs>
      </w:pPr>
      <w:r w:rsidRPr="003F7AE7">
        <w:rPr>
          <w:rStyle w:val="CharAmPartNo"/>
        </w:rPr>
        <w:t xml:space="preserve"> </w:t>
      </w:r>
      <w:r w:rsidRPr="003F7AE7">
        <w:rPr>
          <w:rStyle w:val="CharAmPartText"/>
        </w:rPr>
        <w:t xml:space="preserve"> </w:t>
      </w:r>
    </w:p>
    <w:p w14:paraId="7C389F8F" w14:textId="77777777" w:rsidR="0048364F" w:rsidRDefault="0048364F" w:rsidP="0048364F">
      <w:pPr>
        <w:sectPr w:rsidR="0048364F" w:rsidSect="00CC64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4E2923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88CE4AE" w14:textId="1B91D7EF" w:rsidR="002D2197" w:rsidRDefault="002D21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D2197">
        <w:rPr>
          <w:noProof/>
        </w:rPr>
        <w:tab/>
      </w:r>
      <w:r w:rsidRPr="002D2197">
        <w:rPr>
          <w:noProof/>
        </w:rPr>
        <w:fldChar w:fldCharType="begin"/>
      </w:r>
      <w:r w:rsidRPr="002D2197">
        <w:rPr>
          <w:noProof/>
        </w:rPr>
        <w:instrText xml:space="preserve"> PAGEREF _Toc112063699 \h </w:instrText>
      </w:r>
      <w:r w:rsidRPr="002D2197">
        <w:rPr>
          <w:noProof/>
        </w:rPr>
      </w:r>
      <w:r w:rsidRPr="002D2197">
        <w:rPr>
          <w:noProof/>
        </w:rPr>
        <w:fldChar w:fldCharType="separate"/>
      </w:r>
      <w:r w:rsidR="007D0100">
        <w:rPr>
          <w:noProof/>
        </w:rPr>
        <w:t>1</w:t>
      </w:r>
      <w:r w:rsidRPr="002D2197">
        <w:rPr>
          <w:noProof/>
        </w:rPr>
        <w:fldChar w:fldCharType="end"/>
      </w:r>
    </w:p>
    <w:p w14:paraId="202DAD32" w14:textId="6BBAC58E" w:rsidR="002D2197" w:rsidRDefault="002D21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D2197">
        <w:rPr>
          <w:noProof/>
        </w:rPr>
        <w:tab/>
      </w:r>
      <w:r w:rsidRPr="002D2197">
        <w:rPr>
          <w:noProof/>
        </w:rPr>
        <w:fldChar w:fldCharType="begin"/>
      </w:r>
      <w:r w:rsidRPr="002D2197">
        <w:rPr>
          <w:noProof/>
        </w:rPr>
        <w:instrText xml:space="preserve"> PAGEREF _Toc112063700 \h </w:instrText>
      </w:r>
      <w:r w:rsidRPr="002D2197">
        <w:rPr>
          <w:noProof/>
        </w:rPr>
      </w:r>
      <w:r w:rsidRPr="002D2197">
        <w:rPr>
          <w:noProof/>
        </w:rPr>
        <w:fldChar w:fldCharType="separate"/>
      </w:r>
      <w:r w:rsidR="007D0100">
        <w:rPr>
          <w:noProof/>
        </w:rPr>
        <w:t>1</w:t>
      </w:r>
      <w:r w:rsidRPr="002D2197">
        <w:rPr>
          <w:noProof/>
        </w:rPr>
        <w:fldChar w:fldCharType="end"/>
      </w:r>
    </w:p>
    <w:p w14:paraId="135A23AB" w14:textId="7C594783" w:rsidR="002D2197" w:rsidRDefault="002D21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D2197">
        <w:rPr>
          <w:noProof/>
        </w:rPr>
        <w:tab/>
      </w:r>
      <w:r w:rsidRPr="002D2197">
        <w:rPr>
          <w:noProof/>
        </w:rPr>
        <w:fldChar w:fldCharType="begin"/>
      </w:r>
      <w:r w:rsidRPr="002D2197">
        <w:rPr>
          <w:noProof/>
        </w:rPr>
        <w:instrText xml:space="preserve"> PAGEREF _Toc112063701 \h </w:instrText>
      </w:r>
      <w:r w:rsidRPr="002D2197">
        <w:rPr>
          <w:noProof/>
        </w:rPr>
      </w:r>
      <w:r w:rsidRPr="002D2197">
        <w:rPr>
          <w:noProof/>
        </w:rPr>
        <w:fldChar w:fldCharType="separate"/>
      </w:r>
      <w:r w:rsidR="007D0100">
        <w:rPr>
          <w:noProof/>
        </w:rPr>
        <w:t>1</w:t>
      </w:r>
      <w:r w:rsidRPr="002D2197">
        <w:rPr>
          <w:noProof/>
        </w:rPr>
        <w:fldChar w:fldCharType="end"/>
      </w:r>
    </w:p>
    <w:p w14:paraId="04171C0F" w14:textId="527AF8FA" w:rsidR="002D2197" w:rsidRDefault="002D21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D2197">
        <w:rPr>
          <w:noProof/>
        </w:rPr>
        <w:tab/>
      </w:r>
      <w:r w:rsidRPr="002D2197">
        <w:rPr>
          <w:noProof/>
        </w:rPr>
        <w:fldChar w:fldCharType="begin"/>
      </w:r>
      <w:r w:rsidRPr="002D2197">
        <w:rPr>
          <w:noProof/>
        </w:rPr>
        <w:instrText xml:space="preserve"> PAGEREF _Toc112063702 \h </w:instrText>
      </w:r>
      <w:r w:rsidRPr="002D2197">
        <w:rPr>
          <w:noProof/>
        </w:rPr>
      </w:r>
      <w:r w:rsidRPr="002D2197">
        <w:rPr>
          <w:noProof/>
        </w:rPr>
        <w:fldChar w:fldCharType="separate"/>
      </w:r>
      <w:r w:rsidR="007D0100">
        <w:rPr>
          <w:noProof/>
        </w:rPr>
        <w:t>1</w:t>
      </w:r>
      <w:r w:rsidRPr="002D2197">
        <w:rPr>
          <w:noProof/>
        </w:rPr>
        <w:fldChar w:fldCharType="end"/>
      </w:r>
    </w:p>
    <w:p w14:paraId="059C2320" w14:textId="06739E45" w:rsidR="002D2197" w:rsidRDefault="002D21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D2197">
        <w:rPr>
          <w:b w:val="0"/>
          <w:noProof/>
          <w:sz w:val="18"/>
        </w:rPr>
        <w:tab/>
      </w:r>
      <w:r w:rsidRPr="002D2197">
        <w:rPr>
          <w:b w:val="0"/>
          <w:noProof/>
          <w:sz w:val="18"/>
        </w:rPr>
        <w:fldChar w:fldCharType="begin"/>
      </w:r>
      <w:r w:rsidRPr="002D2197">
        <w:rPr>
          <w:b w:val="0"/>
          <w:noProof/>
          <w:sz w:val="18"/>
        </w:rPr>
        <w:instrText xml:space="preserve"> PAGEREF _Toc112063703 \h </w:instrText>
      </w:r>
      <w:r w:rsidRPr="002D2197">
        <w:rPr>
          <w:b w:val="0"/>
          <w:noProof/>
          <w:sz w:val="18"/>
        </w:rPr>
      </w:r>
      <w:r w:rsidRPr="002D2197">
        <w:rPr>
          <w:b w:val="0"/>
          <w:noProof/>
          <w:sz w:val="18"/>
        </w:rPr>
        <w:fldChar w:fldCharType="separate"/>
      </w:r>
      <w:r w:rsidR="007D0100">
        <w:rPr>
          <w:b w:val="0"/>
          <w:noProof/>
          <w:sz w:val="18"/>
        </w:rPr>
        <w:t>2</w:t>
      </w:r>
      <w:r w:rsidRPr="002D2197">
        <w:rPr>
          <w:b w:val="0"/>
          <w:noProof/>
          <w:sz w:val="18"/>
        </w:rPr>
        <w:fldChar w:fldCharType="end"/>
      </w:r>
    </w:p>
    <w:p w14:paraId="51FC3487" w14:textId="2DFEA3EF" w:rsidR="002D2197" w:rsidRDefault="002D21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Christmas Island Utilities and Services (Electricity Supply and Services Fees) Determination 2016</w:t>
      </w:r>
      <w:r w:rsidRPr="002D2197">
        <w:rPr>
          <w:i w:val="0"/>
          <w:noProof/>
          <w:sz w:val="18"/>
        </w:rPr>
        <w:tab/>
      </w:r>
      <w:r w:rsidRPr="002D2197">
        <w:rPr>
          <w:i w:val="0"/>
          <w:noProof/>
          <w:sz w:val="18"/>
        </w:rPr>
        <w:fldChar w:fldCharType="begin"/>
      </w:r>
      <w:r w:rsidRPr="002D2197">
        <w:rPr>
          <w:i w:val="0"/>
          <w:noProof/>
          <w:sz w:val="18"/>
        </w:rPr>
        <w:instrText xml:space="preserve"> PAGEREF _Toc112063704 \h </w:instrText>
      </w:r>
      <w:r w:rsidRPr="002D2197">
        <w:rPr>
          <w:i w:val="0"/>
          <w:noProof/>
          <w:sz w:val="18"/>
        </w:rPr>
      </w:r>
      <w:r w:rsidRPr="002D2197">
        <w:rPr>
          <w:i w:val="0"/>
          <w:noProof/>
          <w:sz w:val="18"/>
        </w:rPr>
        <w:fldChar w:fldCharType="separate"/>
      </w:r>
      <w:r w:rsidR="007D0100">
        <w:rPr>
          <w:i w:val="0"/>
          <w:noProof/>
          <w:sz w:val="18"/>
        </w:rPr>
        <w:t>2</w:t>
      </w:r>
      <w:r w:rsidRPr="002D2197">
        <w:rPr>
          <w:i w:val="0"/>
          <w:noProof/>
          <w:sz w:val="18"/>
        </w:rPr>
        <w:fldChar w:fldCharType="end"/>
      </w:r>
    </w:p>
    <w:p w14:paraId="5377F7D5" w14:textId="77777777" w:rsidR="0048364F" w:rsidRPr="007A1328" w:rsidRDefault="002D2197" w:rsidP="0048364F">
      <w:r>
        <w:fldChar w:fldCharType="end"/>
      </w:r>
    </w:p>
    <w:p w14:paraId="3C6B8996" w14:textId="77777777" w:rsidR="0048364F" w:rsidRDefault="0048364F" w:rsidP="0048364F">
      <w:pPr>
        <w:sectPr w:rsidR="0048364F" w:rsidSect="00CC64F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8A05DB" w14:textId="77777777" w:rsidR="0048364F" w:rsidRDefault="0048364F" w:rsidP="0048364F">
      <w:pPr>
        <w:pStyle w:val="ActHead5"/>
      </w:pPr>
      <w:bookmarkStart w:id="1" w:name="_Toc112063699"/>
      <w:r w:rsidRPr="003F7AE7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14:paraId="3E0F452D" w14:textId="77777777" w:rsidR="0048364F" w:rsidRDefault="0048364F" w:rsidP="0048364F">
      <w:pPr>
        <w:pStyle w:val="subsection"/>
      </w:pPr>
      <w:r>
        <w:tab/>
      </w:r>
      <w:r>
        <w:tab/>
      </w:r>
      <w:r w:rsidR="00755946">
        <w:t>This instrument is</w:t>
      </w:r>
      <w:r>
        <w:t xml:space="preserve"> the </w:t>
      </w:r>
      <w:r w:rsidR="003B5F42">
        <w:rPr>
          <w:i/>
          <w:noProof/>
        </w:rPr>
        <w:t>Christmas Island Utilities and Services (Electricity Supply and Services Fees) Amendment (2022 Measures No. 2) Determination 2022</w:t>
      </w:r>
      <w:r>
        <w:t>.</w:t>
      </w:r>
    </w:p>
    <w:p w14:paraId="6ADDA60A" w14:textId="77777777" w:rsidR="004F676E" w:rsidRDefault="0048364F" w:rsidP="005452CC">
      <w:pPr>
        <w:pStyle w:val="ActHead5"/>
      </w:pPr>
      <w:bookmarkStart w:id="2" w:name="_Toc112063700"/>
      <w:r w:rsidRPr="003F7AE7">
        <w:rPr>
          <w:rStyle w:val="CharSectno"/>
        </w:rPr>
        <w:t>2</w:t>
      </w:r>
      <w:r>
        <w:t xml:space="preserve">  Commencement</w:t>
      </w:r>
      <w:bookmarkEnd w:id="2"/>
    </w:p>
    <w:p w14:paraId="5437AD8A" w14:textId="77777777" w:rsidR="005452CC" w:rsidRDefault="005452CC" w:rsidP="00215EC2">
      <w:pPr>
        <w:pStyle w:val="subsection"/>
      </w:pPr>
      <w:r>
        <w:tab/>
        <w:t>(1)</w:t>
      </w:r>
      <w:r>
        <w:tab/>
        <w:t xml:space="preserve">Each provision of </w:t>
      </w:r>
      <w:r w:rsidR="00755946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77097427" w14:textId="77777777" w:rsidR="005452CC" w:rsidRDefault="005452CC" w:rsidP="00215EC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52887" w14:paraId="35FA698A" w14:textId="77777777" w:rsidTr="00D528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B9E106" w14:textId="77777777" w:rsidR="005452CC" w:rsidRPr="00D52887" w:rsidRDefault="005452CC" w:rsidP="00D52887">
            <w:pPr>
              <w:pStyle w:val="TableHeading"/>
            </w:pPr>
            <w:r w:rsidRPr="00D52887">
              <w:t>Commencement information</w:t>
            </w:r>
          </w:p>
        </w:tc>
      </w:tr>
      <w:tr w:rsidR="005452CC" w:rsidRPr="00D52887" w14:paraId="59E6A6D7" w14:textId="77777777" w:rsidTr="00D528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AF9C1C" w14:textId="77777777" w:rsidR="005452CC" w:rsidRPr="00D52887" w:rsidRDefault="005452CC" w:rsidP="00D52887">
            <w:pPr>
              <w:pStyle w:val="TableHeading"/>
            </w:pPr>
            <w:r w:rsidRPr="00D5288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04DB3B" w14:textId="77777777" w:rsidR="005452CC" w:rsidRPr="00D52887" w:rsidRDefault="005452CC" w:rsidP="00D52887">
            <w:pPr>
              <w:pStyle w:val="TableHeading"/>
            </w:pPr>
            <w:r w:rsidRPr="00D5288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5B1FFC" w14:textId="77777777" w:rsidR="005452CC" w:rsidRPr="00D52887" w:rsidRDefault="005452CC" w:rsidP="00D52887">
            <w:pPr>
              <w:pStyle w:val="TableHeading"/>
            </w:pPr>
            <w:r w:rsidRPr="00D52887">
              <w:t>Column 3</w:t>
            </w:r>
          </w:p>
        </w:tc>
      </w:tr>
      <w:tr w:rsidR="005452CC" w:rsidRPr="00D52887" w14:paraId="0D73449A" w14:textId="77777777" w:rsidTr="00D528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9B6AF7" w14:textId="77777777" w:rsidR="005452CC" w:rsidRPr="00D52887" w:rsidRDefault="005452CC" w:rsidP="00D52887">
            <w:pPr>
              <w:pStyle w:val="TableHeading"/>
            </w:pPr>
            <w:r w:rsidRPr="00D5288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632593" w14:textId="77777777" w:rsidR="005452CC" w:rsidRPr="00D52887" w:rsidRDefault="005452CC" w:rsidP="00D52887">
            <w:pPr>
              <w:pStyle w:val="TableHeading"/>
            </w:pPr>
            <w:r w:rsidRPr="00D5288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A559D0" w14:textId="77777777" w:rsidR="005452CC" w:rsidRPr="00D52887" w:rsidRDefault="005452CC" w:rsidP="00D52887">
            <w:pPr>
              <w:pStyle w:val="TableHeading"/>
            </w:pPr>
            <w:r w:rsidRPr="00D52887">
              <w:t>Date/Details</w:t>
            </w:r>
          </w:p>
        </w:tc>
      </w:tr>
      <w:tr w:rsidR="005452CC" w14:paraId="246BBD69" w14:textId="77777777" w:rsidTr="00D5288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1B78BA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75594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F33490" w14:textId="77777777" w:rsidR="005452CC" w:rsidRDefault="007968CA" w:rsidP="005452CC">
            <w:pPr>
              <w:pStyle w:val="Tabletext"/>
            </w:pPr>
            <w:r>
              <w:t>1 September</w:t>
            </w:r>
            <w:r w:rsidR="001134C1">
              <w:t xml:space="preserve"> 2022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344C9B" w14:textId="77777777" w:rsidR="005452CC" w:rsidRDefault="007968CA">
            <w:pPr>
              <w:pStyle w:val="Tabletext"/>
            </w:pPr>
            <w:r>
              <w:t>1 September</w:t>
            </w:r>
            <w:r w:rsidR="001134C1">
              <w:t xml:space="preserve"> 2022</w:t>
            </w:r>
          </w:p>
        </w:tc>
      </w:tr>
    </w:tbl>
    <w:p w14:paraId="544E3C96" w14:textId="77777777" w:rsidR="005452CC" w:rsidRPr="001E6DD6" w:rsidRDefault="005452CC" w:rsidP="00215EC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755946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755946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8771F5B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755946">
        <w:t>this instrument</w:t>
      </w:r>
      <w:r w:rsidRPr="005F477A">
        <w:t xml:space="preserve">. Information may be inserted in this column, or information in it may be edited, in any published version of </w:t>
      </w:r>
      <w:r w:rsidR="00755946">
        <w:t>this instrument</w:t>
      </w:r>
      <w:r w:rsidRPr="005F477A">
        <w:t>.</w:t>
      </w:r>
    </w:p>
    <w:p w14:paraId="6CFAD03B" w14:textId="77777777" w:rsidR="00BF6650" w:rsidRDefault="00BF6650" w:rsidP="00BF6650">
      <w:pPr>
        <w:pStyle w:val="ActHead5"/>
      </w:pPr>
      <w:bookmarkStart w:id="3" w:name="_Toc112063701"/>
      <w:r w:rsidRPr="003F7AE7">
        <w:rPr>
          <w:rStyle w:val="CharSectno"/>
        </w:rPr>
        <w:t>3</w:t>
      </w:r>
      <w:r>
        <w:t xml:space="preserve">  Authority</w:t>
      </w:r>
      <w:bookmarkEnd w:id="3"/>
    </w:p>
    <w:p w14:paraId="6D135008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755946">
        <w:t>This instrument is</w:t>
      </w:r>
      <w:r>
        <w:t xml:space="preserve"> made under </w:t>
      </w:r>
      <w:r w:rsidR="001134C1" w:rsidRPr="001134C1">
        <w:t xml:space="preserve">paragraph 7(2)(a) of the </w:t>
      </w:r>
      <w:r w:rsidR="001134C1" w:rsidRPr="001134C1">
        <w:rPr>
          <w:i/>
        </w:rPr>
        <w:t>Christmas Island Utilities and Services Ordinance 2016</w:t>
      </w:r>
      <w:r w:rsidR="00546FA3" w:rsidRPr="00036E24">
        <w:t>.</w:t>
      </w:r>
    </w:p>
    <w:p w14:paraId="18F232A1" w14:textId="77777777" w:rsidR="00557C7A" w:rsidRDefault="00BF6650" w:rsidP="00557C7A">
      <w:pPr>
        <w:pStyle w:val="ActHead5"/>
      </w:pPr>
      <w:bookmarkStart w:id="4" w:name="_Toc112063702"/>
      <w:r w:rsidRPr="003F7AE7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1E8CF75F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755946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755946">
        <w:t>this instrument</w:t>
      </w:r>
      <w:r w:rsidR="00083F48" w:rsidRPr="00083F48">
        <w:t xml:space="preserve"> has effect according to its terms.</w:t>
      </w:r>
    </w:p>
    <w:p w14:paraId="20FAC9C9" w14:textId="77777777" w:rsidR="0048364F" w:rsidRDefault="0048364F" w:rsidP="009C5989">
      <w:pPr>
        <w:pStyle w:val="ActHead6"/>
        <w:pageBreakBefore/>
      </w:pPr>
      <w:bookmarkStart w:id="5" w:name="_Toc112063703"/>
      <w:bookmarkStart w:id="6" w:name="_Hlk109747749"/>
      <w:r w:rsidRPr="003F7AE7">
        <w:rPr>
          <w:rStyle w:val="CharAmSchNo"/>
        </w:rPr>
        <w:lastRenderedPageBreak/>
        <w:t>Schedule 1</w:t>
      </w:r>
      <w:r>
        <w:t>—</w:t>
      </w:r>
      <w:r w:rsidR="00460499" w:rsidRPr="003F7AE7">
        <w:rPr>
          <w:rStyle w:val="CharAmSchText"/>
        </w:rPr>
        <w:t>Amendments</w:t>
      </w:r>
      <w:bookmarkEnd w:id="5"/>
    </w:p>
    <w:p w14:paraId="501BE86E" w14:textId="77777777" w:rsidR="0004044E" w:rsidRPr="003F7AE7" w:rsidRDefault="0004044E" w:rsidP="0004044E">
      <w:pPr>
        <w:pStyle w:val="Header"/>
      </w:pPr>
      <w:r w:rsidRPr="003F7AE7">
        <w:rPr>
          <w:rStyle w:val="CharAmPartNo"/>
        </w:rPr>
        <w:t xml:space="preserve"> </w:t>
      </w:r>
      <w:r w:rsidRPr="003F7AE7">
        <w:rPr>
          <w:rStyle w:val="CharAmPartText"/>
        </w:rPr>
        <w:t xml:space="preserve"> </w:t>
      </w:r>
    </w:p>
    <w:p w14:paraId="59B09794" w14:textId="77777777" w:rsidR="00093D84" w:rsidRDefault="00093D84" w:rsidP="00093D84">
      <w:pPr>
        <w:pStyle w:val="ActHead9"/>
      </w:pPr>
      <w:bookmarkStart w:id="7" w:name="_Toc112063704"/>
      <w:r w:rsidRPr="00093D84">
        <w:t xml:space="preserve">Christmas Island Utilities and Services (Electricity Supply and Services Fees) </w:t>
      </w:r>
      <w:r w:rsidR="003B5F42">
        <w:t>Determination 2</w:t>
      </w:r>
      <w:r w:rsidRPr="00093D84">
        <w:t>016</w:t>
      </w:r>
      <w:bookmarkEnd w:id="7"/>
    </w:p>
    <w:p w14:paraId="66B3FDE0" w14:textId="77777777" w:rsidR="0084172C" w:rsidRDefault="003765C3" w:rsidP="003765C3">
      <w:pPr>
        <w:pStyle w:val="ItemHead"/>
      </w:pPr>
      <w:r>
        <w:t xml:space="preserve">1  </w:t>
      </w:r>
      <w:r w:rsidRPr="003765C3">
        <w:t xml:space="preserve">Section 4 (paragraphs (a) and (b) of the definition of </w:t>
      </w:r>
      <w:r w:rsidRPr="003A39EE">
        <w:rPr>
          <w:i/>
        </w:rPr>
        <w:t>daily dependent child rebate amount</w:t>
      </w:r>
      <w:r w:rsidRPr="003765C3">
        <w:t>)</w:t>
      </w:r>
    </w:p>
    <w:p w14:paraId="221F76E8" w14:textId="77777777" w:rsidR="003A39EE" w:rsidRDefault="003A39EE" w:rsidP="003A39EE">
      <w:pPr>
        <w:pStyle w:val="Item"/>
      </w:pPr>
      <w:r>
        <w:t>Omit “</w:t>
      </w:r>
      <w:r w:rsidRPr="003A39EE">
        <w:t>81.34</w:t>
      </w:r>
      <w:r>
        <w:t>”, substitute “83.38”.</w:t>
      </w:r>
    </w:p>
    <w:p w14:paraId="2C2177C7" w14:textId="77777777" w:rsidR="003A39EE" w:rsidRDefault="003A39EE" w:rsidP="003A39EE">
      <w:pPr>
        <w:pStyle w:val="ItemHead"/>
      </w:pPr>
      <w:r>
        <w:t xml:space="preserve">2  </w:t>
      </w:r>
      <w:r w:rsidRPr="003765C3">
        <w:t>Section 4 (</w:t>
      </w:r>
      <w:r w:rsidR="007D34AB">
        <w:t>paragraph (</w:t>
      </w:r>
      <w:r w:rsidRPr="003765C3">
        <w:t xml:space="preserve">b) of the definition of </w:t>
      </w:r>
      <w:r w:rsidRPr="003A39EE">
        <w:rPr>
          <w:i/>
        </w:rPr>
        <w:t>daily dependent child rebate amount</w:t>
      </w:r>
      <w:r w:rsidRPr="003765C3">
        <w:t>)</w:t>
      </w:r>
    </w:p>
    <w:p w14:paraId="1AFCCA70" w14:textId="77777777" w:rsidR="003A39EE" w:rsidRDefault="003A39EE" w:rsidP="003A39EE">
      <w:pPr>
        <w:pStyle w:val="Item"/>
      </w:pPr>
      <w:r>
        <w:t>Omit “21.32”, substitute “21.85”.</w:t>
      </w:r>
    </w:p>
    <w:p w14:paraId="6EEEE68D" w14:textId="77777777" w:rsidR="003A39EE" w:rsidRDefault="003A39EE" w:rsidP="003A39EE">
      <w:pPr>
        <w:pStyle w:val="ItemHead"/>
      </w:pPr>
      <w:r>
        <w:t xml:space="preserve">3  </w:t>
      </w:r>
      <w:r w:rsidR="007D34AB">
        <w:t>Subsection 6</w:t>
      </w:r>
      <w:r>
        <w:t>(2)</w:t>
      </w:r>
    </w:p>
    <w:p w14:paraId="5E0FB472" w14:textId="77777777" w:rsidR="003A39EE" w:rsidRDefault="003A39EE" w:rsidP="003A39EE">
      <w:pPr>
        <w:pStyle w:val="Item"/>
      </w:pPr>
      <w:r>
        <w:t>Omit “</w:t>
      </w:r>
      <w:r w:rsidR="007D34AB">
        <w:t>1 January</w:t>
      </w:r>
      <w:r>
        <w:t>”, substitute “</w:t>
      </w:r>
      <w:r w:rsidR="007968CA">
        <w:t>1 September</w:t>
      </w:r>
      <w:r>
        <w:t>”.</w:t>
      </w:r>
    </w:p>
    <w:p w14:paraId="1B8A51C2" w14:textId="77777777" w:rsidR="00215EC2" w:rsidRPr="003F5BF4" w:rsidRDefault="00215EC2" w:rsidP="00215EC2">
      <w:pPr>
        <w:pStyle w:val="ItemHead"/>
      </w:pPr>
      <w:r>
        <w:t>4</w:t>
      </w:r>
      <w:r w:rsidRPr="003F5BF4">
        <w:t xml:space="preserve">  Clause 1 of Schedule </w:t>
      </w:r>
      <w:r>
        <w:t>1</w:t>
      </w:r>
      <w:r w:rsidRPr="003F5BF4">
        <w:t xml:space="preserve"> (table)</w:t>
      </w:r>
    </w:p>
    <w:p w14:paraId="246F38E0" w14:textId="77777777" w:rsidR="00215EC2" w:rsidRPr="003F5BF4" w:rsidRDefault="00215EC2" w:rsidP="00215EC2">
      <w:pPr>
        <w:pStyle w:val="Item"/>
      </w:pPr>
      <w:r w:rsidRPr="003F5BF4">
        <w:t>Repeal the table (not including the note), substitute:</w:t>
      </w:r>
    </w:p>
    <w:p w14:paraId="59E5A218" w14:textId="77777777" w:rsidR="00215EC2" w:rsidRPr="003F5BF4" w:rsidRDefault="00215EC2" w:rsidP="00215EC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1"/>
        <w:gridCol w:w="5372"/>
        <w:gridCol w:w="2426"/>
      </w:tblGrid>
      <w:tr w:rsidR="00215EC2" w:rsidRPr="003F5BF4" w14:paraId="5FD09A62" w14:textId="77777777" w:rsidTr="00D5288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885FD0" w14:textId="77777777" w:rsidR="00215EC2" w:rsidRPr="003F5BF4" w:rsidRDefault="00215EC2" w:rsidP="00215EC2">
            <w:pPr>
              <w:pStyle w:val="TableHeading"/>
            </w:pPr>
            <w:r w:rsidRPr="003F5BF4">
              <w:t>Fixed fees for the supply of electricity</w:t>
            </w:r>
          </w:p>
        </w:tc>
      </w:tr>
      <w:tr w:rsidR="00215EC2" w:rsidRPr="003F5BF4" w14:paraId="4AFE0F3F" w14:textId="77777777" w:rsidTr="00D52887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0BF8A0D" w14:textId="77777777" w:rsidR="00215EC2" w:rsidRPr="003F5BF4" w:rsidRDefault="00215EC2" w:rsidP="00215EC2">
            <w:pPr>
              <w:pStyle w:val="TableHeading"/>
            </w:pPr>
            <w:r w:rsidRPr="003F5BF4">
              <w:t>Item</w:t>
            </w:r>
          </w:p>
        </w:tc>
        <w:tc>
          <w:tcPr>
            <w:tcW w:w="314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1FF681" w14:textId="77777777" w:rsidR="00215EC2" w:rsidRPr="003F5BF4" w:rsidRDefault="00215EC2" w:rsidP="00215EC2">
            <w:pPr>
              <w:pStyle w:val="TableHeading"/>
            </w:pPr>
            <w:r w:rsidRPr="003F5BF4">
              <w:t>Column 1</w:t>
            </w:r>
          </w:p>
          <w:p w14:paraId="78408E46" w14:textId="77777777" w:rsidR="00215EC2" w:rsidRPr="003F5BF4" w:rsidRDefault="00215EC2" w:rsidP="00215EC2">
            <w:pPr>
              <w:pStyle w:val="TableHeading"/>
            </w:pPr>
            <w:r w:rsidRPr="003F5BF4">
              <w:t>Category of premises</w:t>
            </w:r>
          </w:p>
        </w:tc>
        <w:tc>
          <w:tcPr>
            <w:tcW w:w="1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9F0458" w14:textId="77777777" w:rsidR="00215EC2" w:rsidRPr="003F5BF4" w:rsidRDefault="00215EC2" w:rsidP="00215EC2">
            <w:pPr>
              <w:pStyle w:val="TableHeading"/>
              <w:jc w:val="right"/>
            </w:pPr>
            <w:r w:rsidRPr="003F5BF4">
              <w:t>Column 2</w:t>
            </w:r>
          </w:p>
          <w:p w14:paraId="727699FA" w14:textId="77777777" w:rsidR="00215EC2" w:rsidRPr="003F5BF4" w:rsidRDefault="00215EC2" w:rsidP="00215EC2">
            <w:pPr>
              <w:pStyle w:val="TableHeading"/>
              <w:jc w:val="right"/>
            </w:pPr>
            <w:r w:rsidRPr="003F5BF4">
              <w:t>Fixed fee (cents per day)</w:t>
            </w:r>
          </w:p>
        </w:tc>
      </w:tr>
      <w:tr w:rsidR="00215EC2" w:rsidRPr="003F5BF4" w14:paraId="47EF56DE" w14:textId="77777777" w:rsidTr="00D52887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0F9BAE72" w14:textId="77777777" w:rsidR="00215EC2" w:rsidRPr="003F5BF4" w:rsidRDefault="00215EC2" w:rsidP="00215EC2">
            <w:pPr>
              <w:pStyle w:val="Tabletext"/>
            </w:pPr>
            <w:r w:rsidRPr="003F5BF4">
              <w:t>1</w:t>
            </w:r>
          </w:p>
        </w:tc>
        <w:tc>
          <w:tcPr>
            <w:tcW w:w="3149" w:type="pct"/>
            <w:tcBorders>
              <w:top w:val="single" w:sz="12" w:space="0" w:color="auto"/>
            </w:tcBorders>
            <w:shd w:val="clear" w:color="auto" w:fill="auto"/>
          </w:tcPr>
          <w:p w14:paraId="627FF49F" w14:textId="77777777" w:rsidR="00215EC2" w:rsidRPr="003F5BF4" w:rsidRDefault="00215EC2" w:rsidP="00215EC2">
            <w:pPr>
              <w:pStyle w:val="Tabletext"/>
            </w:pPr>
            <w:r w:rsidRPr="003F5BF4">
              <w:t>Residential A2</w:t>
            </w:r>
          </w:p>
        </w:tc>
        <w:tc>
          <w:tcPr>
            <w:tcW w:w="1422" w:type="pct"/>
            <w:tcBorders>
              <w:top w:val="single" w:sz="12" w:space="0" w:color="auto"/>
            </w:tcBorders>
            <w:shd w:val="clear" w:color="auto" w:fill="auto"/>
          </w:tcPr>
          <w:p w14:paraId="61D87437" w14:textId="77777777" w:rsidR="00215EC2" w:rsidRPr="003F5BF4" w:rsidRDefault="00215EC2" w:rsidP="00215EC2">
            <w:pPr>
              <w:pStyle w:val="Tabletext"/>
              <w:jc w:val="right"/>
            </w:pPr>
            <w:r w:rsidRPr="003F5BF4">
              <w:t>9</w:t>
            </w:r>
            <w:r w:rsidR="00D05106">
              <w:t>7</w:t>
            </w:r>
            <w:r w:rsidRPr="003F5BF4">
              <w:t>.</w:t>
            </w:r>
            <w:r w:rsidR="00D05106">
              <w:t>9727</w:t>
            </w:r>
          </w:p>
        </w:tc>
      </w:tr>
      <w:tr w:rsidR="00215EC2" w:rsidRPr="003F5BF4" w14:paraId="07C5575B" w14:textId="77777777" w:rsidTr="00D52887">
        <w:tc>
          <w:tcPr>
            <w:tcW w:w="429" w:type="pct"/>
            <w:shd w:val="clear" w:color="auto" w:fill="auto"/>
          </w:tcPr>
          <w:p w14:paraId="43E46A46" w14:textId="77777777" w:rsidR="00215EC2" w:rsidRPr="003F5BF4" w:rsidRDefault="00215EC2" w:rsidP="00215EC2">
            <w:pPr>
              <w:pStyle w:val="Tabletext"/>
            </w:pPr>
            <w:r w:rsidRPr="003F5BF4">
              <w:t>2</w:t>
            </w:r>
          </w:p>
        </w:tc>
        <w:tc>
          <w:tcPr>
            <w:tcW w:w="3149" w:type="pct"/>
            <w:shd w:val="clear" w:color="auto" w:fill="auto"/>
          </w:tcPr>
          <w:p w14:paraId="2CCDE14A" w14:textId="77777777" w:rsidR="00215EC2" w:rsidRPr="003F5BF4" w:rsidRDefault="00215EC2" w:rsidP="00215EC2">
            <w:pPr>
              <w:pStyle w:val="Tabletext"/>
            </w:pPr>
            <w:r w:rsidRPr="003F5BF4">
              <w:t>Community service C2</w:t>
            </w:r>
          </w:p>
        </w:tc>
        <w:tc>
          <w:tcPr>
            <w:tcW w:w="1422" w:type="pct"/>
            <w:shd w:val="clear" w:color="auto" w:fill="auto"/>
          </w:tcPr>
          <w:p w14:paraId="71488FE6" w14:textId="77777777" w:rsidR="00215EC2" w:rsidRPr="003F5BF4" w:rsidRDefault="00215EC2" w:rsidP="00215EC2">
            <w:pPr>
              <w:pStyle w:val="Tabletext"/>
              <w:jc w:val="right"/>
            </w:pPr>
            <w:r w:rsidRPr="003F5BF4">
              <w:t>9</w:t>
            </w:r>
            <w:r w:rsidR="00D05106">
              <w:t>4</w:t>
            </w:r>
            <w:r w:rsidRPr="003F5BF4">
              <w:t>.</w:t>
            </w:r>
            <w:r w:rsidR="00D05106">
              <w:t>5364</w:t>
            </w:r>
          </w:p>
        </w:tc>
      </w:tr>
      <w:tr w:rsidR="00215EC2" w:rsidRPr="003F5BF4" w14:paraId="1AFAA083" w14:textId="77777777" w:rsidTr="00D52887">
        <w:tc>
          <w:tcPr>
            <w:tcW w:w="429" w:type="pct"/>
            <w:shd w:val="clear" w:color="auto" w:fill="auto"/>
          </w:tcPr>
          <w:p w14:paraId="38B4E7A5" w14:textId="77777777" w:rsidR="00215EC2" w:rsidRPr="003F5BF4" w:rsidRDefault="00215EC2" w:rsidP="00215EC2">
            <w:pPr>
              <w:pStyle w:val="Tabletext"/>
            </w:pPr>
            <w:r w:rsidRPr="003F5BF4">
              <w:t>3</w:t>
            </w:r>
          </w:p>
        </w:tc>
        <w:tc>
          <w:tcPr>
            <w:tcW w:w="3149" w:type="pct"/>
            <w:shd w:val="clear" w:color="auto" w:fill="auto"/>
          </w:tcPr>
          <w:p w14:paraId="0F277784" w14:textId="77777777" w:rsidR="00215EC2" w:rsidRPr="003F5BF4" w:rsidRDefault="00215EC2" w:rsidP="00215EC2">
            <w:pPr>
              <w:pStyle w:val="Tabletext"/>
            </w:pPr>
            <w:r w:rsidRPr="003F5BF4">
              <w:t>Charitable residential D2</w:t>
            </w:r>
          </w:p>
        </w:tc>
        <w:tc>
          <w:tcPr>
            <w:tcW w:w="1422" w:type="pct"/>
            <w:shd w:val="clear" w:color="auto" w:fill="auto"/>
          </w:tcPr>
          <w:p w14:paraId="7820BCDF" w14:textId="77777777" w:rsidR="00215EC2" w:rsidRPr="003F5BF4" w:rsidRDefault="00215EC2" w:rsidP="00215EC2">
            <w:pPr>
              <w:pStyle w:val="Tabletext"/>
              <w:jc w:val="right"/>
            </w:pPr>
            <w:r w:rsidRPr="003F5BF4">
              <w:t>9</w:t>
            </w:r>
            <w:r w:rsidR="00D05106">
              <w:t>3</w:t>
            </w:r>
            <w:r w:rsidRPr="003F5BF4">
              <w:t>.</w:t>
            </w:r>
            <w:r w:rsidR="00D05106">
              <w:t>2455</w:t>
            </w:r>
          </w:p>
        </w:tc>
      </w:tr>
      <w:tr w:rsidR="00215EC2" w:rsidRPr="003F5BF4" w14:paraId="58BC1ACB" w14:textId="77777777" w:rsidTr="00D52887">
        <w:tc>
          <w:tcPr>
            <w:tcW w:w="429" w:type="pct"/>
            <w:shd w:val="clear" w:color="auto" w:fill="auto"/>
          </w:tcPr>
          <w:p w14:paraId="1BEC91D7" w14:textId="77777777" w:rsidR="00215EC2" w:rsidRPr="003F5BF4" w:rsidRDefault="00215EC2" w:rsidP="00215EC2">
            <w:pPr>
              <w:pStyle w:val="Tabletext"/>
            </w:pPr>
            <w:r w:rsidRPr="003F5BF4">
              <w:t>4</w:t>
            </w:r>
          </w:p>
        </w:tc>
        <w:tc>
          <w:tcPr>
            <w:tcW w:w="3149" w:type="pct"/>
            <w:shd w:val="clear" w:color="auto" w:fill="auto"/>
          </w:tcPr>
          <w:p w14:paraId="5DA3AD2F" w14:textId="77777777" w:rsidR="00215EC2" w:rsidRPr="003F5BF4" w:rsidRDefault="00215EC2" w:rsidP="00215EC2">
            <w:pPr>
              <w:pStyle w:val="Tabletext"/>
            </w:pPr>
            <w:r w:rsidRPr="003F5BF4">
              <w:t>Business/residential K2</w:t>
            </w:r>
          </w:p>
        </w:tc>
        <w:tc>
          <w:tcPr>
            <w:tcW w:w="1422" w:type="pct"/>
            <w:shd w:val="clear" w:color="auto" w:fill="auto"/>
          </w:tcPr>
          <w:p w14:paraId="6B37DA3C" w14:textId="77777777" w:rsidR="00215EC2" w:rsidRPr="003F5BF4" w:rsidRDefault="00215EC2" w:rsidP="00215EC2">
            <w:pPr>
              <w:pStyle w:val="Tabletext"/>
              <w:jc w:val="right"/>
            </w:pPr>
            <w:r w:rsidRPr="003F5BF4">
              <w:t>1</w:t>
            </w:r>
            <w:r w:rsidR="00D05106">
              <w:t>72</w:t>
            </w:r>
            <w:r w:rsidRPr="003F5BF4">
              <w:t>.</w:t>
            </w:r>
            <w:r w:rsidR="00D05106">
              <w:t>8818</w:t>
            </w:r>
          </w:p>
        </w:tc>
      </w:tr>
      <w:tr w:rsidR="00215EC2" w:rsidRPr="003F5BF4" w14:paraId="75796945" w14:textId="77777777" w:rsidTr="00D52887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435CC645" w14:textId="77777777" w:rsidR="00215EC2" w:rsidRPr="003F5BF4" w:rsidRDefault="00215EC2" w:rsidP="00215EC2">
            <w:pPr>
              <w:pStyle w:val="Tabletext"/>
            </w:pPr>
            <w:r w:rsidRPr="003F5BF4">
              <w:t>5</w:t>
            </w:r>
          </w:p>
        </w:tc>
        <w:tc>
          <w:tcPr>
            <w:tcW w:w="3149" w:type="pct"/>
            <w:tcBorders>
              <w:bottom w:val="single" w:sz="2" w:space="0" w:color="auto"/>
            </w:tcBorders>
            <w:shd w:val="clear" w:color="auto" w:fill="auto"/>
          </w:tcPr>
          <w:p w14:paraId="592F2DD1" w14:textId="77777777" w:rsidR="00215EC2" w:rsidRPr="003F5BF4" w:rsidRDefault="00215EC2" w:rsidP="00215EC2">
            <w:pPr>
              <w:pStyle w:val="Tabletext"/>
            </w:pPr>
            <w:r w:rsidRPr="003F5BF4">
              <w:t>Business and local government L2</w:t>
            </w:r>
          </w:p>
        </w:tc>
        <w:tc>
          <w:tcPr>
            <w:tcW w:w="1422" w:type="pct"/>
            <w:tcBorders>
              <w:bottom w:val="single" w:sz="2" w:space="0" w:color="auto"/>
            </w:tcBorders>
            <w:shd w:val="clear" w:color="auto" w:fill="auto"/>
          </w:tcPr>
          <w:p w14:paraId="01FD8239" w14:textId="77777777" w:rsidR="00215EC2" w:rsidRPr="003F5BF4" w:rsidRDefault="00215EC2" w:rsidP="00215EC2">
            <w:pPr>
              <w:pStyle w:val="Tabletext"/>
              <w:jc w:val="right"/>
            </w:pPr>
            <w:r w:rsidRPr="003F5BF4">
              <w:t>17</w:t>
            </w:r>
            <w:r w:rsidR="00D05106">
              <w:t>4</w:t>
            </w:r>
            <w:r w:rsidRPr="003F5BF4">
              <w:t>.</w:t>
            </w:r>
            <w:r w:rsidR="00D05106">
              <w:t>9000</w:t>
            </w:r>
          </w:p>
        </w:tc>
      </w:tr>
      <w:tr w:rsidR="00215EC2" w:rsidRPr="003F5BF4" w14:paraId="04A3E814" w14:textId="77777777" w:rsidTr="00D52887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DC86E7C" w14:textId="77777777" w:rsidR="00215EC2" w:rsidRPr="003F5BF4" w:rsidRDefault="00215EC2" w:rsidP="00215EC2">
            <w:pPr>
              <w:pStyle w:val="Tabletext"/>
            </w:pPr>
            <w:r w:rsidRPr="003F5BF4">
              <w:t>6</w:t>
            </w:r>
          </w:p>
        </w:tc>
        <w:tc>
          <w:tcPr>
            <w:tcW w:w="314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43638A" w14:textId="77777777" w:rsidR="00215EC2" w:rsidRPr="003F5BF4" w:rsidRDefault="00215EC2" w:rsidP="00215EC2">
            <w:pPr>
              <w:pStyle w:val="Tabletext"/>
            </w:pPr>
            <w:r w:rsidRPr="003F5BF4">
              <w:t>Government (other than local government) N2</w:t>
            </w:r>
          </w:p>
        </w:tc>
        <w:tc>
          <w:tcPr>
            <w:tcW w:w="142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4E6C77" w14:textId="77777777" w:rsidR="00215EC2" w:rsidRPr="003F5BF4" w:rsidRDefault="00215EC2" w:rsidP="00215EC2">
            <w:pPr>
              <w:pStyle w:val="Tabletext"/>
              <w:jc w:val="right"/>
            </w:pPr>
            <w:r w:rsidRPr="003F5BF4">
              <w:t>5</w:t>
            </w:r>
            <w:r w:rsidR="00E257E0">
              <w:t>99.3545</w:t>
            </w:r>
          </w:p>
        </w:tc>
      </w:tr>
    </w:tbl>
    <w:p w14:paraId="1F0AE863" w14:textId="77777777" w:rsidR="00215EC2" w:rsidRPr="003F5BF4" w:rsidRDefault="00215EC2" w:rsidP="00215EC2">
      <w:pPr>
        <w:pStyle w:val="ItemHead"/>
      </w:pPr>
      <w:r>
        <w:t>5</w:t>
      </w:r>
      <w:r w:rsidRPr="003F5BF4">
        <w:t xml:space="preserve">  Clause 1 of </w:t>
      </w:r>
      <w:r w:rsidR="007D34AB">
        <w:t>Schedule 2</w:t>
      </w:r>
      <w:r w:rsidRPr="003F5BF4">
        <w:t xml:space="preserve"> (table)</w:t>
      </w:r>
    </w:p>
    <w:p w14:paraId="0081DC62" w14:textId="77777777" w:rsidR="00215EC2" w:rsidRPr="003F5BF4" w:rsidRDefault="00215EC2" w:rsidP="00215EC2">
      <w:pPr>
        <w:pStyle w:val="Item"/>
      </w:pPr>
      <w:r w:rsidRPr="003F5BF4">
        <w:t>Repeal the table (not including the note), substitute:</w:t>
      </w:r>
    </w:p>
    <w:p w14:paraId="10F05AD8" w14:textId="77777777" w:rsidR="00215EC2" w:rsidRPr="003F5BF4" w:rsidRDefault="00215EC2" w:rsidP="00215EC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2171"/>
        <w:gridCol w:w="5626"/>
      </w:tblGrid>
      <w:tr w:rsidR="00215EC2" w:rsidRPr="003F5BF4" w14:paraId="11FF63EA" w14:textId="77777777" w:rsidTr="00D5288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D9CFA2" w14:textId="77777777" w:rsidR="00215EC2" w:rsidRPr="003F5BF4" w:rsidRDefault="00215EC2" w:rsidP="00215EC2">
            <w:pPr>
              <w:pStyle w:val="TableHeading"/>
            </w:pPr>
            <w:r w:rsidRPr="003F5BF4">
              <w:t>Consumption fees for the supply of electricity</w:t>
            </w:r>
          </w:p>
        </w:tc>
      </w:tr>
      <w:tr w:rsidR="00215EC2" w:rsidRPr="003F5BF4" w14:paraId="23F6A76D" w14:textId="77777777" w:rsidTr="00D52887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8D304" w14:textId="77777777" w:rsidR="00215EC2" w:rsidRPr="003F5BF4" w:rsidRDefault="00215EC2" w:rsidP="00215EC2">
            <w:pPr>
              <w:pStyle w:val="TableHeading"/>
            </w:pPr>
            <w:r w:rsidRPr="003F5BF4">
              <w:t>Item</w:t>
            </w:r>
          </w:p>
        </w:tc>
        <w:tc>
          <w:tcPr>
            <w:tcW w:w="127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0B3ED1D" w14:textId="77777777" w:rsidR="00215EC2" w:rsidRPr="003F5BF4" w:rsidRDefault="00215EC2" w:rsidP="00215EC2">
            <w:pPr>
              <w:pStyle w:val="TableHeading"/>
            </w:pPr>
            <w:r w:rsidRPr="003F5BF4">
              <w:t>Column 1</w:t>
            </w:r>
          </w:p>
          <w:p w14:paraId="319C2EE7" w14:textId="77777777" w:rsidR="00215EC2" w:rsidRPr="003F5BF4" w:rsidRDefault="00215EC2" w:rsidP="00215EC2">
            <w:pPr>
              <w:pStyle w:val="TableHeading"/>
            </w:pPr>
            <w:r w:rsidRPr="003F5BF4">
              <w:t>Category of premises</w:t>
            </w:r>
          </w:p>
        </w:tc>
        <w:tc>
          <w:tcPr>
            <w:tcW w:w="329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C024B1" w14:textId="77777777" w:rsidR="00215EC2" w:rsidRPr="003F5BF4" w:rsidRDefault="00215EC2" w:rsidP="00215EC2">
            <w:pPr>
              <w:pStyle w:val="TableHeading"/>
            </w:pPr>
            <w:r w:rsidRPr="003F5BF4">
              <w:t>Column 2</w:t>
            </w:r>
          </w:p>
          <w:p w14:paraId="194C6CCD" w14:textId="77777777" w:rsidR="00215EC2" w:rsidRPr="003F5BF4" w:rsidRDefault="00215EC2" w:rsidP="00215EC2">
            <w:pPr>
              <w:pStyle w:val="TableHeading"/>
            </w:pPr>
            <w:r w:rsidRPr="003F5BF4">
              <w:t>Consumption fee</w:t>
            </w:r>
          </w:p>
        </w:tc>
      </w:tr>
      <w:tr w:rsidR="00215EC2" w:rsidRPr="003F5BF4" w14:paraId="4BC04D80" w14:textId="77777777" w:rsidTr="00D52887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4881C7DB" w14:textId="77777777" w:rsidR="00215EC2" w:rsidRPr="003F5BF4" w:rsidRDefault="00215EC2" w:rsidP="00215EC2">
            <w:pPr>
              <w:pStyle w:val="Tabletext"/>
            </w:pPr>
            <w:r w:rsidRPr="003F5BF4">
              <w:t>1</w:t>
            </w:r>
          </w:p>
        </w:tc>
        <w:tc>
          <w:tcPr>
            <w:tcW w:w="1273" w:type="pct"/>
            <w:tcBorders>
              <w:top w:val="single" w:sz="12" w:space="0" w:color="auto"/>
            </w:tcBorders>
            <w:shd w:val="clear" w:color="auto" w:fill="auto"/>
          </w:tcPr>
          <w:p w14:paraId="35DCEC6F" w14:textId="77777777" w:rsidR="00215EC2" w:rsidRPr="003F5BF4" w:rsidRDefault="00215EC2" w:rsidP="00215EC2">
            <w:pPr>
              <w:pStyle w:val="Tabletext"/>
            </w:pPr>
            <w:r w:rsidRPr="003F5BF4">
              <w:t>Residential A2</w:t>
            </w:r>
          </w:p>
        </w:tc>
        <w:tc>
          <w:tcPr>
            <w:tcW w:w="3298" w:type="pct"/>
            <w:tcBorders>
              <w:top w:val="single" w:sz="12" w:space="0" w:color="auto"/>
            </w:tcBorders>
            <w:shd w:val="clear" w:color="auto" w:fill="auto"/>
          </w:tcPr>
          <w:p w14:paraId="776729EC" w14:textId="77777777" w:rsidR="00215EC2" w:rsidRPr="003F5BF4" w:rsidRDefault="00215EC2" w:rsidP="00215EC2">
            <w:pPr>
              <w:pStyle w:val="Tabletext"/>
            </w:pPr>
            <w:r w:rsidRPr="003F5BF4">
              <w:rPr>
                <w:rFonts w:eastAsia="Arial"/>
                <w:bCs/>
                <w:spacing w:val="1"/>
              </w:rPr>
              <w:t>2</w:t>
            </w:r>
            <w:r w:rsidR="002A687B">
              <w:rPr>
                <w:rFonts w:eastAsia="Arial"/>
                <w:bCs/>
                <w:spacing w:val="1"/>
              </w:rPr>
              <w:t>7</w:t>
            </w:r>
            <w:r w:rsidRPr="003F5BF4">
              <w:rPr>
                <w:rFonts w:eastAsia="Arial"/>
                <w:bCs/>
                <w:spacing w:val="1"/>
              </w:rPr>
              <w:t>.</w:t>
            </w:r>
            <w:r w:rsidR="002A687B">
              <w:rPr>
                <w:rFonts w:eastAsia="Arial"/>
                <w:bCs/>
                <w:spacing w:val="1"/>
              </w:rPr>
              <w:t>3277</w:t>
            </w:r>
            <w:r w:rsidRPr="003F5BF4">
              <w:t xml:space="preserve"> cents per unit consumed</w:t>
            </w:r>
          </w:p>
        </w:tc>
      </w:tr>
      <w:tr w:rsidR="00215EC2" w:rsidRPr="003F5BF4" w14:paraId="24FFF967" w14:textId="77777777" w:rsidTr="00D52887">
        <w:tc>
          <w:tcPr>
            <w:tcW w:w="429" w:type="pct"/>
            <w:shd w:val="clear" w:color="auto" w:fill="auto"/>
          </w:tcPr>
          <w:p w14:paraId="2B6A10A0" w14:textId="77777777" w:rsidR="00215EC2" w:rsidRPr="003F5BF4" w:rsidRDefault="00215EC2" w:rsidP="00215EC2">
            <w:pPr>
              <w:pStyle w:val="Tabletext"/>
            </w:pPr>
            <w:r w:rsidRPr="003F5BF4">
              <w:t>2</w:t>
            </w:r>
          </w:p>
        </w:tc>
        <w:tc>
          <w:tcPr>
            <w:tcW w:w="1273" w:type="pct"/>
            <w:shd w:val="clear" w:color="auto" w:fill="auto"/>
          </w:tcPr>
          <w:p w14:paraId="1F0C9DE6" w14:textId="77777777" w:rsidR="00215EC2" w:rsidRPr="003F5BF4" w:rsidRDefault="00215EC2" w:rsidP="00215EC2">
            <w:pPr>
              <w:pStyle w:val="Tabletext"/>
            </w:pPr>
            <w:r w:rsidRPr="003F5BF4">
              <w:t>Community service C2</w:t>
            </w:r>
          </w:p>
        </w:tc>
        <w:tc>
          <w:tcPr>
            <w:tcW w:w="3298" w:type="pct"/>
            <w:shd w:val="clear" w:color="auto" w:fill="auto"/>
          </w:tcPr>
          <w:p w14:paraId="421236E1" w14:textId="77777777" w:rsidR="00215EC2" w:rsidRPr="003F5BF4" w:rsidRDefault="00215EC2" w:rsidP="00215EC2">
            <w:pPr>
              <w:pStyle w:val="Tabletext"/>
            </w:pPr>
            <w:r w:rsidRPr="003F5BF4">
              <w:t>For each day, the sum of the following:</w:t>
            </w:r>
          </w:p>
          <w:p w14:paraId="4FD023AA" w14:textId="77777777" w:rsidR="00215EC2" w:rsidRPr="00F57452" w:rsidRDefault="00215EC2" w:rsidP="00F57452">
            <w:pPr>
              <w:pStyle w:val="Tablea"/>
            </w:pPr>
            <w:r w:rsidRPr="00F57452">
              <w:t>(a) for the first 20 units consumed—</w:t>
            </w:r>
            <w:r w:rsidRPr="00F57452">
              <w:rPr>
                <w:rFonts w:eastAsia="Arial"/>
              </w:rPr>
              <w:t>2</w:t>
            </w:r>
            <w:r w:rsidR="00E85223" w:rsidRPr="00F57452">
              <w:rPr>
                <w:rFonts w:eastAsia="Arial"/>
              </w:rPr>
              <w:t>2.0874</w:t>
            </w:r>
            <w:r w:rsidRPr="00F57452">
              <w:t xml:space="preserve"> cents per unit;</w:t>
            </w:r>
          </w:p>
          <w:p w14:paraId="7EF506FF" w14:textId="77777777" w:rsidR="00215EC2" w:rsidRPr="00F57452" w:rsidRDefault="00215EC2" w:rsidP="00F57452">
            <w:pPr>
              <w:pStyle w:val="Tablea"/>
            </w:pPr>
            <w:r w:rsidRPr="00F57452">
              <w:t>(b) for the next 1,630 units consumed—</w:t>
            </w:r>
            <w:r w:rsidRPr="00F57452">
              <w:rPr>
                <w:rFonts w:eastAsia="Arial"/>
              </w:rPr>
              <w:t>2</w:t>
            </w:r>
            <w:r w:rsidR="00E85223" w:rsidRPr="00F57452">
              <w:rPr>
                <w:rFonts w:eastAsia="Arial"/>
              </w:rPr>
              <w:t>3.5657</w:t>
            </w:r>
            <w:r w:rsidRPr="00F57452">
              <w:t xml:space="preserve"> cents per unit;</w:t>
            </w:r>
          </w:p>
          <w:p w14:paraId="191A6777" w14:textId="77777777" w:rsidR="00215EC2" w:rsidRPr="003F5BF4" w:rsidRDefault="00215EC2" w:rsidP="00F57452">
            <w:pPr>
              <w:pStyle w:val="Tablea"/>
            </w:pPr>
            <w:r w:rsidRPr="00F57452">
              <w:t>(c) for each subsequent unit consumed—</w:t>
            </w:r>
            <w:r w:rsidR="00E85223" w:rsidRPr="00F57452">
              <w:t>22.4783</w:t>
            </w:r>
            <w:r w:rsidRPr="00F57452">
              <w:t xml:space="preserve"> cents per unit</w:t>
            </w:r>
          </w:p>
        </w:tc>
      </w:tr>
      <w:tr w:rsidR="00215EC2" w:rsidRPr="003F5BF4" w14:paraId="11380884" w14:textId="77777777" w:rsidTr="00D52887">
        <w:tc>
          <w:tcPr>
            <w:tcW w:w="429" w:type="pct"/>
            <w:shd w:val="clear" w:color="auto" w:fill="auto"/>
          </w:tcPr>
          <w:p w14:paraId="0B0FAE9A" w14:textId="77777777" w:rsidR="00215EC2" w:rsidRPr="003F5BF4" w:rsidRDefault="00215EC2" w:rsidP="00215EC2">
            <w:pPr>
              <w:pStyle w:val="Tabletext"/>
            </w:pPr>
            <w:r w:rsidRPr="003F5BF4">
              <w:t>3</w:t>
            </w:r>
          </w:p>
        </w:tc>
        <w:tc>
          <w:tcPr>
            <w:tcW w:w="1273" w:type="pct"/>
            <w:shd w:val="clear" w:color="auto" w:fill="auto"/>
          </w:tcPr>
          <w:p w14:paraId="73A9F6AD" w14:textId="77777777" w:rsidR="00215EC2" w:rsidRPr="003F5BF4" w:rsidRDefault="00215EC2" w:rsidP="00215EC2">
            <w:pPr>
              <w:pStyle w:val="Tabletext"/>
            </w:pPr>
            <w:r w:rsidRPr="003F5BF4">
              <w:t>Charitable residential D2</w:t>
            </w:r>
          </w:p>
        </w:tc>
        <w:tc>
          <w:tcPr>
            <w:tcW w:w="3298" w:type="pct"/>
            <w:shd w:val="clear" w:color="auto" w:fill="auto"/>
          </w:tcPr>
          <w:p w14:paraId="5A69358B" w14:textId="77777777" w:rsidR="00215EC2" w:rsidRPr="003F5BF4" w:rsidRDefault="00215EC2" w:rsidP="00215EC2">
            <w:pPr>
              <w:pStyle w:val="Tabletext"/>
            </w:pPr>
            <w:r w:rsidRPr="003F5BF4">
              <w:rPr>
                <w:rFonts w:eastAsia="Arial"/>
                <w:spacing w:val="1"/>
              </w:rPr>
              <w:t>23.</w:t>
            </w:r>
            <w:r w:rsidR="002C4D6C">
              <w:rPr>
                <w:rFonts w:eastAsia="Arial"/>
                <w:spacing w:val="1"/>
              </w:rPr>
              <w:t>6914</w:t>
            </w:r>
            <w:r w:rsidRPr="003F5BF4">
              <w:t xml:space="preserve"> cents per unit consumed</w:t>
            </w:r>
          </w:p>
        </w:tc>
      </w:tr>
      <w:tr w:rsidR="00215EC2" w:rsidRPr="003F5BF4" w14:paraId="6A3BB983" w14:textId="77777777" w:rsidTr="00D52887">
        <w:tc>
          <w:tcPr>
            <w:tcW w:w="429" w:type="pct"/>
            <w:shd w:val="clear" w:color="auto" w:fill="auto"/>
          </w:tcPr>
          <w:p w14:paraId="2DAB5C76" w14:textId="77777777" w:rsidR="00215EC2" w:rsidRPr="003F5BF4" w:rsidRDefault="00215EC2" w:rsidP="00215EC2">
            <w:pPr>
              <w:pStyle w:val="Tabletext"/>
            </w:pPr>
            <w:r w:rsidRPr="003F5BF4">
              <w:t>4</w:t>
            </w:r>
          </w:p>
        </w:tc>
        <w:tc>
          <w:tcPr>
            <w:tcW w:w="1273" w:type="pct"/>
            <w:shd w:val="clear" w:color="auto" w:fill="auto"/>
          </w:tcPr>
          <w:p w14:paraId="2206F0AA" w14:textId="77777777" w:rsidR="00215EC2" w:rsidRPr="003F5BF4" w:rsidRDefault="00215EC2" w:rsidP="00215EC2">
            <w:pPr>
              <w:pStyle w:val="Tabletext"/>
            </w:pPr>
            <w:r w:rsidRPr="003F5BF4">
              <w:t>Business/residential K2</w:t>
            </w:r>
          </w:p>
        </w:tc>
        <w:tc>
          <w:tcPr>
            <w:tcW w:w="3298" w:type="pct"/>
            <w:shd w:val="clear" w:color="auto" w:fill="auto"/>
          </w:tcPr>
          <w:p w14:paraId="7F4B5C68" w14:textId="77777777" w:rsidR="00215EC2" w:rsidRPr="003F5BF4" w:rsidRDefault="00215EC2" w:rsidP="00215EC2">
            <w:pPr>
              <w:pStyle w:val="Tabletext"/>
            </w:pPr>
            <w:r w:rsidRPr="003F5BF4">
              <w:t>For each day, the sum of the following:</w:t>
            </w:r>
          </w:p>
          <w:p w14:paraId="0924F9E5" w14:textId="77777777" w:rsidR="00215EC2" w:rsidRPr="00F57452" w:rsidRDefault="00215EC2" w:rsidP="00F57452">
            <w:pPr>
              <w:pStyle w:val="Tablea"/>
            </w:pPr>
            <w:r w:rsidRPr="00F57452">
              <w:t>(a) for the first 20 units consumed—</w:t>
            </w:r>
            <w:r w:rsidRPr="00F57452">
              <w:rPr>
                <w:rFonts w:eastAsia="Arial"/>
              </w:rPr>
              <w:t>2</w:t>
            </w:r>
            <w:r w:rsidR="002B6EE6" w:rsidRPr="00F57452">
              <w:rPr>
                <w:rFonts w:eastAsia="Arial"/>
              </w:rPr>
              <w:t>8.5486</w:t>
            </w:r>
            <w:r w:rsidRPr="00F57452">
              <w:t xml:space="preserve"> cents per unit;</w:t>
            </w:r>
          </w:p>
          <w:p w14:paraId="6A938042" w14:textId="77777777" w:rsidR="00215EC2" w:rsidRPr="00F57452" w:rsidRDefault="00215EC2" w:rsidP="00F57452">
            <w:pPr>
              <w:pStyle w:val="Tablea"/>
            </w:pPr>
            <w:r w:rsidRPr="00F57452">
              <w:lastRenderedPageBreak/>
              <w:t>(b) for the next 1,630 units consumed—</w:t>
            </w:r>
            <w:r w:rsidR="002B6EE6" w:rsidRPr="00F57452">
              <w:rPr>
                <w:rFonts w:eastAsia="Arial"/>
              </w:rPr>
              <w:t>26.9034</w:t>
            </w:r>
            <w:r w:rsidRPr="00F57452">
              <w:t xml:space="preserve"> cents per unit;</w:t>
            </w:r>
          </w:p>
          <w:p w14:paraId="37AC5B6A" w14:textId="77777777" w:rsidR="00215EC2" w:rsidRPr="003F5BF4" w:rsidRDefault="00215EC2" w:rsidP="00F57452">
            <w:pPr>
              <w:pStyle w:val="Tablea"/>
            </w:pPr>
            <w:r w:rsidRPr="00F57452">
              <w:t>(c) for each subsequent unit consumed—</w:t>
            </w:r>
            <w:r w:rsidR="002B6EE6" w:rsidRPr="00F57452">
              <w:t>30.3325</w:t>
            </w:r>
            <w:r w:rsidRPr="00F57452">
              <w:t xml:space="preserve"> cents per unit</w:t>
            </w:r>
          </w:p>
        </w:tc>
      </w:tr>
      <w:tr w:rsidR="00215EC2" w:rsidRPr="003F5BF4" w14:paraId="44D48F2D" w14:textId="77777777" w:rsidTr="00D52887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1048C5C9" w14:textId="77777777" w:rsidR="00215EC2" w:rsidRPr="003F5BF4" w:rsidRDefault="00215EC2" w:rsidP="00215EC2">
            <w:pPr>
              <w:pStyle w:val="Tabletext"/>
            </w:pPr>
            <w:r w:rsidRPr="003F5BF4">
              <w:lastRenderedPageBreak/>
              <w:t>5</w:t>
            </w:r>
          </w:p>
        </w:tc>
        <w:tc>
          <w:tcPr>
            <w:tcW w:w="1273" w:type="pct"/>
            <w:tcBorders>
              <w:bottom w:val="single" w:sz="2" w:space="0" w:color="auto"/>
            </w:tcBorders>
            <w:shd w:val="clear" w:color="auto" w:fill="auto"/>
          </w:tcPr>
          <w:p w14:paraId="52D878C6" w14:textId="77777777" w:rsidR="00215EC2" w:rsidRPr="003F5BF4" w:rsidRDefault="00215EC2" w:rsidP="00215EC2">
            <w:pPr>
              <w:pStyle w:val="Tabletext"/>
            </w:pPr>
            <w:r w:rsidRPr="003F5BF4">
              <w:t>Business and local government L2</w:t>
            </w:r>
          </w:p>
        </w:tc>
        <w:tc>
          <w:tcPr>
            <w:tcW w:w="3298" w:type="pct"/>
            <w:tcBorders>
              <w:bottom w:val="single" w:sz="2" w:space="0" w:color="auto"/>
            </w:tcBorders>
            <w:shd w:val="clear" w:color="auto" w:fill="auto"/>
          </w:tcPr>
          <w:p w14:paraId="559E2C14" w14:textId="77777777" w:rsidR="00215EC2" w:rsidRPr="003F5BF4" w:rsidRDefault="00215EC2" w:rsidP="00215EC2">
            <w:pPr>
              <w:pStyle w:val="Tabletext"/>
            </w:pPr>
            <w:r w:rsidRPr="003F5BF4">
              <w:t>For each day, the sum of the following:</w:t>
            </w:r>
          </w:p>
          <w:p w14:paraId="300DE78A" w14:textId="77777777" w:rsidR="00215EC2" w:rsidRPr="00F57452" w:rsidRDefault="00215EC2" w:rsidP="00F57452">
            <w:pPr>
              <w:pStyle w:val="Tablea"/>
            </w:pPr>
            <w:r w:rsidRPr="00F57452">
              <w:t>(a) for the first 1,6</w:t>
            </w:r>
            <w:r w:rsidR="00E15023" w:rsidRPr="00F57452">
              <w:t>5</w:t>
            </w:r>
            <w:r w:rsidRPr="00F57452">
              <w:t>0 units consumed—</w:t>
            </w:r>
            <w:r w:rsidR="002B6EE6" w:rsidRPr="00F57452">
              <w:t>27.2174</w:t>
            </w:r>
            <w:r w:rsidRPr="00F57452">
              <w:t xml:space="preserve"> cents per unit;</w:t>
            </w:r>
          </w:p>
          <w:p w14:paraId="20785EAB" w14:textId="77777777" w:rsidR="00215EC2" w:rsidRPr="003F5BF4" w:rsidRDefault="00215EC2" w:rsidP="00F57452">
            <w:pPr>
              <w:pStyle w:val="Tablea"/>
            </w:pPr>
            <w:r w:rsidRPr="00F57452">
              <w:t>(b) for each subsequent unit consumed—</w:t>
            </w:r>
            <w:r w:rsidR="002B6EE6" w:rsidRPr="00F57452">
              <w:t>30.6866</w:t>
            </w:r>
            <w:r w:rsidRPr="00F57452">
              <w:t xml:space="preserve"> cents per unit</w:t>
            </w:r>
          </w:p>
        </w:tc>
      </w:tr>
      <w:tr w:rsidR="00215EC2" w:rsidRPr="003F5BF4" w14:paraId="1B4A6DE2" w14:textId="77777777" w:rsidTr="00D52887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9858F02" w14:textId="77777777" w:rsidR="00215EC2" w:rsidRPr="003F5BF4" w:rsidRDefault="00215EC2" w:rsidP="00215EC2">
            <w:pPr>
              <w:pStyle w:val="Tabletext"/>
            </w:pPr>
            <w:r w:rsidRPr="003F5BF4">
              <w:t>6</w:t>
            </w:r>
          </w:p>
        </w:tc>
        <w:tc>
          <w:tcPr>
            <w:tcW w:w="127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CC1B85" w14:textId="77777777" w:rsidR="00215EC2" w:rsidRPr="003F5BF4" w:rsidRDefault="00215EC2" w:rsidP="00215EC2">
            <w:pPr>
              <w:pStyle w:val="Tabletext"/>
            </w:pPr>
            <w:r w:rsidRPr="003F5BF4">
              <w:t>Government (other than local government) N2</w:t>
            </w:r>
          </w:p>
        </w:tc>
        <w:tc>
          <w:tcPr>
            <w:tcW w:w="329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8485DFC" w14:textId="77777777" w:rsidR="00215EC2" w:rsidRPr="003F5BF4" w:rsidRDefault="00215EC2" w:rsidP="00215EC2">
            <w:pPr>
              <w:pStyle w:val="Tabletext"/>
            </w:pPr>
            <w:bookmarkStart w:id="8" w:name="opcCurrentPosition"/>
            <w:r w:rsidRPr="003F5BF4">
              <w:t>5</w:t>
            </w:r>
            <w:r w:rsidR="00E257E0">
              <w:t>1.5449</w:t>
            </w:r>
            <w:r w:rsidRPr="003F5BF4">
              <w:t xml:space="preserve"> cents per unit consumed</w:t>
            </w:r>
            <w:bookmarkEnd w:id="8"/>
          </w:p>
        </w:tc>
      </w:tr>
    </w:tbl>
    <w:bookmarkEnd w:id="6"/>
    <w:p w14:paraId="116628B5" w14:textId="77777777" w:rsidR="00AC20E6" w:rsidRDefault="00AC20E6" w:rsidP="00AC20E6">
      <w:pPr>
        <w:pStyle w:val="ItemHead"/>
      </w:pPr>
      <w:r>
        <w:t>6</w:t>
      </w:r>
      <w:r w:rsidRPr="003F5BF4">
        <w:t xml:space="preserve">  Clause 1 of Schedule 3 (table)</w:t>
      </w:r>
    </w:p>
    <w:p w14:paraId="173464AC" w14:textId="77777777" w:rsidR="00AC20E6" w:rsidRDefault="00AC20E6" w:rsidP="00AC20E6">
      <w:pPr>
        <w:pStyle w:val="Item"/>
      </w:pPr>
      <w:r>
        <w:t>Repeal the table (not including the note), substitute:</w:t>
      </w:r>
    </w:p>
    <w:p w14:paraId="5006E7CF" w14:textId="77777777" w:rsidR="00AC20E6" w:rsidRPr="006A029D" w:rsidRDefault="00AC20E6" w:rsidP="00AC20E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6100"/>
        <w:gridCol w:w="1697"/>
      </w:tblGrid>
      <w:tr w:rsidR="00AC20E6" w:rsidRPr="00120910" w14:paraId="46A9954D" w14:textId="77777777" w:rsidTr="009C5E3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F7DB6C" w14:textId="77777777" w:rsidR="00AC20E6" w:rsidRPr="006A029D" w:rsidRDefault="00AC20E6" w:rsidP="00C31193">
            <w:pPr>
              <w:pStyle w:val="TableHeading"/>
            </w:pPr>
            <w:bookmarkStart w:id="9" w:name="_Hlk111475438"/>
            <w:r w:rsidRPr="006A029D">
              <w:t>Fixed fees for services related to the supply of electricity</w:t>
            </w:r>
          </w:p>
        </w:tc>
      </w:tr>
      <w:tr w:rsidR="00AC20E6" w:rsidRPr="00120910" w14:paraId="281AD639" w14:textId="77777777" w:rsidTr="009C5E38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D1875B" w14:textId="77777777" w:rsidR="00AC20E6" w:rsidRPr="006A029D" w:rsidRDefault="00AC20E6" w:rsidP="00C31193">
            <w:pPr>
              <w:pStyle w:val="TableHeading"/>
            </w:pPr>
            <w:r w:rsidRPr="006A029D">
              <w:t>Item</w:t>
            </w:r>
          </w:p>
        </w:tc>
        <w:tc>
          <w:tcPr>
            <w:tcW w:w="35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42ACD6" w14:textId="77777777" w:rsidR="00AC20E6" w:rsidRPr="006A029D" w:rsidRDefault="00AC20E6" w:rsidP="00C31193">
            <w:pPr>
              <w:pStyle w:val="TableHeading"/>
            </w:pPr>
            <w:r w:rsidRPr="006A029D">
              <w:t>Column 1</w:t>
            </w:r>
          </w:p>
          <w:p w14:paraId="77ED7477" w14:textId="77777777" w:rsidR="00AC20E6" w:rsidRPr="006A029D" w:rsidRDefault="00AC20E6" w:rsidP="00C31193">
            <w:pPr>
              <w:pStyle w:val="TableHeading"/>
            </w:pPr>
            <w:r w:rsidRPr="006A029D">
              <w:t>Service</w:t>
            </w:r>
          </w:p>
        </w:tc>
        <w:tc>
          <w:tcPr>
            <w:tcW w:w="9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99FAA1" w14:textId="77777777" w:rsidR="00AC20E6" w:rsidRPr="006A029D" w:rsidRDefault="00AC20E6" w:rsidP="00C31193">
            <w:pPr>
              <w:pStyle w:val="TableHeading"/>
              <w:jc w:val="right"/>
            </w:pPr>
            <w:r w:rsidRPr="006A029D">
              <w:t>Column 2</w:t>
            </w:r>
          </w:p>
          <w:p w14:paraId="0D30E701" w14:textId="77777777" w:rsidR="00AC20E6" w:rsidRPr="006A029D" w:rsidRDefault="00AC20E6" w:rsidP="00C31193">
            <w:pPr>
              <w:pStyle w:val="TableHeading"/>
              <w:jc w:val="right"/>
            </w:pPr>
            <w:r w:rsidRPr="006A029D">
              <w:t>Fee ($)</w:t>
            </w:r>
          </w:p>
        </w:tc>
      </w:tr>
      <w:tr w:rsidR="00AC20E6" w:rsidRPr="00120910" w14:paraId="5384B0D5" w14:textId="77777777" w:rsidTr="009C5E38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28991FC7" w14:textId="77777777" w:rsidR="00AC20E6" w:rsidRPr="006A029D" w:rsidRDefault="00AC20E6" w:rsidP="00C31193">
            <w:pPr>
              <w:pStyle w:val="Tabletext"/>
            </w:pPr>
            <w:r w:rsidRPr="006A029D">
              <w:t>1</w:t>
            </w:r>
          </w:p>
        </w:tc>
        <w:tc>
          <w:tcPr>
            <w:tcW w:w="3576" w:type="pct"/>
            <w:tcBorders>
              <w:top w:val="single" w:sz="12" w:space="0" w:color="auto"/>
            </w:tcBorders>
            <w:shd w:val="clear" w:color="auto" w:fill="auto"/>
          </w:tcPr>
          <w:p w14:paraId="1564CB52" w14:textId="77777777" w:rsidR="00AC20E6" w:rsidRPr="006A029D" w:rsidRDefault="00AC20E6" w:rsidP="00C31193">
            <w:pPr>
              <w:pStyle w:val="Tabletext"/>
            </w:pPr>
            <w:r w:rsidRPr="006A029D">
              <w:t>Account establishment</w:t>
            </w:r>
          </w:p>
        </w:tc>
        <w:tc>
          <w:tcPr>
            <w:tcW w:w="995" w:type="pct"/>
            <w:tcBorders>
              <w:top w:val="single" w:sz="12" w:space="0" w:color="auto"/>
            </w:tcBorders>
            <w:shd w:val="clear" w:color="auto" w:fill="auto"/>
          </w:tcPr>
          <w:p w14:paraId="56D8BAD7" w14:textId="77777777" w:rsidR="00AC20E6" w:rsidRPr="006A029D" w:rsidRDefault="00AC20E6" w:rsidP="00C31193">
            <w:pPr>
              <w:pStyle w:val="Tabletext"/>
              <w:jc w:val="right"/>
            </w:pPr>
            <w:r>
              <w:t>22.20</w:t>
            </w:r>
          </w:p>
        </w:tc>
      </w:tr>
      <w:tr w:rsidR="00AC20E6" w:rsidRPr="00120910" w14:paraId="48E538BC" w14:textId="77777777" w:rsidTr="009C5E38">
        <w:tc>
          <w:tcPr>
            <w:tcW w:w="429" w:type="pct"/>
            <w:shd w:val="clear" w:color="auto" w:fill="auto"/>
          </w:tcPr>
          <w:p w14:paraId="2480B658" w14:textId="77777777" w:rsidR="00AC20E6" w:rsidRPr="006A029D" w:rsidRDefault="00AC20E6" w:rsidP="00C31193">
            <w:pPr>
              <w:pStyle w:val="Tabletext"/>
            </w:pPr>
            <w:r w:rsidRPr="006A029D">
              <w:t>2</w:t>
            </w:r>
          </w:p>
        </w:tc>
        <w:tc>
          <w:tcPr>
            <w:tcW w:w="3576" w:type="pct"/>
            <w:shd w:val="clear" w:color="auto" w:fill="auto"/>
          </w:tcPr>
          <w:p w14:paraId="78E01513" w14:textId="77777777" w:rsidR="00AC20E6" w:rsidRPr="006A029D" w:rsidRDefault="00AC20E6" w:rsidP="00C31193">
            <w:pPr>
              <w:pStyle w:val="Tabletext"/>
            </w:pPr>
            <w:r w:rsidRPr="006A029D">
              <w:t>Installation of a 3 phase residential meter (new installation or replacement of a single phase meter)</w:t>
            </w:r>
          </w:p>
        </w:tc>
        <w:tc>
          <w:tcPr>
            <w:tcW w:w="995" w:type="pct"/>
            <w:shd w:val="clear" w:color="auto" w:fill="auto"/>
          </w:tcPr>
          <w:p w14:paraId="47956234" w14:textId="77777777" w:rsidR="00AC20E6" w:rsidRPr="006A029D" w:rsidRDefault="00AC20E6" w:rsidP="00C31193">
            <w:pPr>
              <w:pStyle w:val="Tabletext"/>
              <w:jc w:val="right"/>
            </w:pPr>
            <w:r>
              <w:t>845.45</w:t>
            </w:r>
          </w:p>
        </w:tc>
      </w:tr>
      <w:tr w:rsidR="00AC20E6" w:rsidRPr="00120910" w14:paraId="0A5674DA" w14:textId="77777777" w:rsidTr="009C5E38">
        <w:tc>
          <w:tcPr>
            <w:tcW w:w="429" w:type="pct"/>
            <w:shd w:val="clear" w:color="auto" w:fill="auto"/>
          </w:tcPr>
          <w:p w14:paraId="1CBE67F4" w14:textId="77777777" w:rsidR="00AC20E6" w:rsidRDefault="00AC20E6" w:rsidP="00C31193">
            <w:pPr>
              <w:pStyle w:val="Tabletext"/>
            </w:pPr>
            <w:r>
              <w:t>3</w:t>
            </w:r>
          </w:p>
        </w:tc>
        <w:tc>
          <w:tcPr>
            <w:tcW w:w="3576" w:type="pct"/>
            <w:shd w:val="clear" w:color="auto" w:fill="auto"/>
            <w:vAlign w:val="bottom"/>
          </w:tcPr>
          <w:p w14:paraId="4FA6C572" w14:textId="77777777" w:rsidR="00AC20E6" w:rsidRPr="006A029D" w:rsidRDefault="00AC20E6" w:rsidP="00C31193">
            <w:pPr>
              <w:pStyle w:val="Tabletext"/>
            </w:pPr>
            <w:r w:rsidRPr="00AC028E">
              <w:t>Reconnection following disconnection of supply for non</w:t>
            </w:r>
            <w:r w:rsidR="003B5F42">
              <w:noBreakHyphen/>
            </w:r>
            <w:r w:rsidRPr="00AC028E">
              <w:t>payment of fees or any other lawful reason</w:t>
            </w:r>
          </w:p>
        </w:tc>
        <w:tc>
          <w:tcPr>
            <w:tcW w:w="995" w:type="pct"/>
            <w:shd w:val="clear" w:color="auto" w:fill="auto"/>
          </w:tcPr>
          <w:p w14:paraId="4BF17D08" w14:textId="77777777" w:rsidR="00AC20E6" w:rsidRPr="006A029D" w:rsidRDefault="00AC20E6" w:rsidP="00C31193">
            <w:pPr>
              <w:pStyle w:val="Tabletext"/>
              <w:jc w:val="right"/>
            </w:pPr>
            <w:r>
              <w:t>31.08</w:t>
            </w:r>
          </w:p>
        </w:tc>
      </w:tr>
      <w:tr w:rsidR="00C31193" w:rsidRPr="00120910" w14:paraId="511C842C" w14:textId="77777777" w:rsidTr="009C5E38">
        <w:tc>
          <w:tcPr>
            <w:tcW w:w="429" w:type="pct"/>
            <w:shd w:val="clear" w:color="auto" w:fill="auto"/>
          </w:tcPr>
          <w:p w14:paraId="31CD739D" w14:textId="77777777" w:rsidR="00C31193" w:rsidRPr="006A029D" w:rsidRDefault="00C31193" w:rsidP="00C31193">
            <w:pPr>
              <w:pStyle w:val="Tabletext"/>
            </w:pPr>
            <w:r>
              <w:t>4</w:t>
            </w:r>
          </w:p>
        </w:tc>
        <w:tc>
          <w:tcPr>
            <w:tcW w:w="3576" w:type="pct"/>
            <w:shd w:val="clear" w:color="auto" w:fill="auto"/>
            <w:vAlign w:val="bottom"/>
          </w:tcPr>
          <w:p w14:paraId="31D90C27" w14:textId="77777777" w:rsidR="00C31193" w:rsidRDefault="00C31193" w:rsidP="00C31193">
            <w:pPr>
              <w:pStyle w:val="Tabletext"/>
            </w:pPr>
            <w:r w:rsidRPr="006A029D">
              <w:t>Connection of temporary supply:</w:t>
            </w:r>
          </w:p>
          <w:p w14:paraId="6EB3FDE5" w14:textId="77777777" w:rsidR="00C31193" w:rsidRDefault="009C5E38" w:rsidP="00C31193">
            <w:pPr>
              <w:pStyle w:val="Tablea"/>
            </w:pPr>
            <w:r>
              <w:t>(a) single phase;</w:t>
            </w:r>
          </w:p>
          <w:p w14:paraId="0A203035" w14:textId="77777777" w:rsidR="009C5E38" w:rsidRPr="00C31193" w:rsidRDefault="009C5E38" w:rsidP="00C31193">
            <w:pPr>
              <w:pStyle w:val="Tablea"/>
            </w:pPr>
            <w:r>
              <w:t>(b) 3 phase</w:t>
            </w:r>
          </w:p>
        </w:tc>
        <w:tc>
          <w:tcPr>
            <w:tcW w:w="995" w:type="pct"/>
            <w:shd w:val="clear" w:color="auto" w:fill="auto"/>
          </w:tcPr>
          <w:p w14:paraId="0FE61808" w14:textId="77777777" w:rsidR="009C5E38" w:rsidRDefault="009C5E38" w:rsidP="00C31193">
            <w:pPr>
              <w:pStyle w:val="Tabletext"/>
              <w:jc w:val="right"/>
            </w:pPr>
          </w:p>
          <w:p w14:paraId="093495EB" w14:textId="77777777" w:rsidR="00C31193" w:rsidRDefault="00C31193" w:rsidP="00C31193">
            <w:pPr>
              <w:pStyle w:val="Tabletext"/>
              <w:jc w:val="right"/>
            </w:pPr>
            <w:r>
              <w:t>845.45</w:t>
            </w:r>
          </w:p>
          <w:p w14:paraId="416815E3" w14:textId="77777777" w:rsidR="009C5E38" w:rsidRPr="006A029D" w:rsidRDefault="009C5E38" w:rsidP="00C31193">
            <w:pPr>
              <w:pStyle w:val="Tabletext"/>
              <w:jc w:val="right"/>
            </w:pPr>
            <w:r>
              <w:t>845.45</w:t>
            </w:r>
          </w:p>
        </w:tc>
      </w:tr>
      <w:tr w:rsidR="00C31193" w:rsidRPr="00120910" w14:paraId="6014FD56" w14:textId="77777777" w:rsidTr="009C5E38">
        <w:tc>
          <w:tcPr>
            <w:tcW w:w="429" w:type="pct"/>
            <w:shd w:val="clear" w:color="auto" w:fill="auto"/>
          </w:tcPr>
          <w:p w14:paraId="4E077C9A" w14:textId="77777777" w:rsidR="00C31193" w:rsidRDefault="009C5E38" w:rsidP="00C31193">
            <w:pPr>
              <w:pStyle w:val="Tabletext"/>
            </w:pPr>
            <w:r>
              <w:t>5</w:t>
            </w:r>
          </w:p>
        </w:tc>
        <w:tc>
          <w:tcPr>
            <w:tcW w:w="3576" w:type="pct"/>
            <w:shd w:val="clear" w:color="auto" w:fill="auto"/>
            <w:vAlign w:val="bottom"/>
          </w:tcPr>
          <w:p w14:paraId="1043FA03" w14:textId="77777777" w:rsidR="00C31193" w:rsidRDefault="009C5E38" w:rsidP="00C31193">
            <w:pPr>
              <w:pStyle w:val="Tabletext"/>
            </w:pPr>
            <w:r>
              <w:t>Meter testing:</w:t>
            </w:r>
          </w:p>
          <w:p w14:paraId="1ADB054E" w14:textId="77777777" w:rsidR="009C5E38" w:rsidRDefault="009C5E38" w:rsidP="009C5E38">
            <w:pPr>
              <w:pStyle w:val="Tablea"/>
            </w:pPr>
            <w:r>
              <w:t>(a) if paragraph (b) does not apply (standard);</w:t>
            </w:r>
          </w:p>
          <w:p w14:paraId="5F674E5C" w14:textId="77777777" w:rsidR="009C5E38" w:rsidRPr="009C5E38" w:rsidRDefault="009C5E38" w:rsidP="009C5E38">
            <w:pPr>
              <w:pStyle w:val="Tablea"/>
            </w:pPr>
            <w:r>
              <w:t xml:space="preserve">(b) for a consumer </w:t>
            </w:r>
            <w:r w:rsidRPr="00C31193">
              <w:t>entitled to a rebate under subsection 7(1)</w:t>
            </w:r>
          </w:p>
        </w:tc>
        <w:tc>
          <w:tcPr>
            <w:tcW w:w="995" w:type="pct"/>
            <w:shd w:val="clear" w:color="auto" w:fill="auto"/>
          </w:tcPr>
          <w:p w14:paraId="19361523" w14:textId="77777777" w:rsidR="009C5E38" w:rsidRDefault="009C5E38" w:rsidP="00C31193">
            <w:pPr>
              <w:pStyle w:val="Tabletext"/>
              <w:jc w:val="right"/>
            </w:pPr>
          </w:p>
          <w:p w14:paraId="4AD5A0E7" w14:textId="77777777" w:rsidR="00C31193" w:rsidRDefault="009C5E38" w:rsidP="00C31193">
            <w:pPr>
              <w:pStyle w:val="Tabletext"/>
              <w:jc w:val="right"/>
            </w:pPr>
            <w:r>
              <w:t>228.66</w:t>
            </w:r>
          </w:p>
          <w:p w14:paraId="008A98CF" w14:textId="77777777" w:rsidR="009C5E38" w:rsidRPr="006A029D" w:rsidRDefault="009C5E38" w:rsidP="00C31193">
            <w:pPr>
              <w:pStyle w:val="Tabletext"/>
              <w:jc w:val="right"/>
            </w:pPr>
            <w:r>
              <w:t>142.82</w:t>
            </w:r>
          </w:p>
        </w:tc>
      </w:tr>
      <w:tr w:rsidR="00C31193" w:rsidRPr="00120910" w14:paraId="6AA5DDB7" w14:textId="77777777" w:rsidTr="009C5E38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2047B8AB" w14:textId="77777777" w:rsidR="00C31193" w:rsidRDefault="00C31193" w:rsidP="00C31193">
            <w:pPr>
              <w:pStyle w:val="Tabletext"/>
            </w:pPr>
            <w:r>
              <w:t>6</w:t>
            </w:r>
          </w:p>
        </w:tc>
        <w:tc>
          <w:tcPr>
            <w:tcW w:w="3576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A8430B0" w14:textId="77777777" w:rsidR="00C31193" w:rsidRPr="006A029D" w:rsidRDefault="00C31193" w:rsidP="00C31193">
            <w:pPr>
              <w:pStyle w:val="Tablea"/>
            </w:pPr>
            <w:r>
              <w:t>Special meter reading requested by consumer</w:t>
            </w:r>
          </w:p>
        </w:tc>
        <w:tc>
          <w:tcPr>
            <w:tcW w:w="995" w:type="pct"/>
            <w:tcBorders>
              <w:bottom w:val="single" w:sz="2" w:space="0" w:color="auto"/>
            </w:tcBorders>
            <w:shd w:val="clear" w:color="auto" w:fill="auto"/>
          </w:tcPr>
          <w:p w14:paraId="3C4CD576" w14:textId="77777777" w:rsidR="00C31193" w:rsidRPr="006A029D" w:rsidRDefault="00C31193" w:rsidP="00C31193">
            <w:pPr>
              <w:pStyle w:val="Tabletext"/>
              <w:jc w:val="right"/>
            </w:pPr>
            <w:r>
              <w:t>31.08</w:t>
            </w:r>
          </w:p>
        </w:tc>
      </w:tr>
      <w:tr w:rsidR="00C31193" w:rsidRPr="00120910" w14:paraId="576C334C" w14:textId="77777777" w:rsidTr="009C5E38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837AB1D" w14:textId="77777777" w:rsidR="00C31193" w:rsidRPr="006A029D" w:rsidRDefault="00C31193" w:rsidP="00C31193">
            <w:pPr>
              <w:pStyle w:val="Tabletext"/>
            </w:pPr>
            <w:r>
              <w:t>7</w:t>
            </w:r>
          </w:p>
        </w:tc>
        <w:tc>
          <w:tcPr>
            <w:tcW w:w="357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AAC7E7C" w14:textId="77777777" w:rsidR="00C31193" w:rsidRPr="006A029D" w:rsidRDefault="00C31193" w:rsidP="00C31193">
            <w:pPr>
              <w:pStyle w:val="Tablea"/>
            </w:pPr>
            <w:r w:rsidRPr="006A029D">
              <w:t>Disconnection warning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67D13C5" w14:textId="77777777" w:rsidR="00C31193" w:rsidRPr="006A029D" w:rsidRDefault="00C31193" w:rsidP="00C31193">
            <w:pPr>
              <w:pStyle w:val="Tabletext"/>
              <w:jc w:val="right"/>
            </w:pPr>
            <w:r w:rsidRPr="006A029D">
              <w:t>5.</w:t>
            </w:r>
            <w:r>
              <w:t>9</w:t>
            </w:r>
            <w:r w:rsidRPr="006A029D">
              <w:t>0</w:t>
            </w:r>
          </w:p>
        </w:tc>
      </w:tr>
      <w:bookmarkEnd w:id="9"/>
    </w:tbl>
    <w:p w14:paraId="6CF8D66E" w14:textId="77777777" w:rsidR="00AC20E6" w:rsidRDefault="00AC20E6" w:rsidP="00AC20E6">
      <w:pPr>
        <w:pStyle w:val="Tabletext"/>
      </w:pPr>
    </w:p>
    <w:sectPr w:rsidR="00AC20E6" w:rsidSect="00CC64F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47115" w14:textId="77777777" w:rsidR="00EE7F41" w:rsidRDefault="00EE7F41" w:rsidP="0048364F">
      <w:pPr>
        <w:spacing w:line="240" w:lineRule="auto"/>
      </w:pPr>
      <w:r>
        <w:separator/>
      </w:r>
    </w:p>
  </w:endnote>
  <w:endnote w:type="continuationSeparator" w:id="0">
    <w:p w14:paraId="11839401" w14:textId="77777777" w:rsidR="00EE7F41" w:rsidRDefault="00EE7F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07AD6" w14:textId="77777777" w:rsidR="00EE7F41" w:rsidRPr="00CC64F0" w:rsidRDefault="00CC64F0" w:rsidP="00CC64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C64F0">
      <w:rPr>
        <w:i/>
        <w:sz w:val="18"/>
      </w:rPr>
      <w:t>OPC66038 -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DA2B7" w14:textId="77777777" w:rsidR="00EE7F41" w:rsidRDefault="00EE7F41" w:rsidP="00E97334"/>
  <w:p w14:paraId="681834B3" w14:textId="77777777" w:rsidR="00EE7F41" w:rsidRPr="00CC64F0" w:rsidRDefault="00CC64F0" w:rsidP="00CC64F0">
    <w:pPr>
      <w:rPr>
        <w:rFonts w:cs="Times New Roman"/>
        <w:i/>
        <w:sz w:val="18"/>
      </w:rPr>
    </w:pPr>
    <w:r w:rsidRPr="00CC64F0">
      <w:rPr>
        <w:rFonts w:cs="Times New Roman"/>
        <w:i/>
        <w:sz w:val="18"/>
      </w:rPr>
      <w:t>OPC66038 -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C8403" w14:textId="77777777" w:rsidR="00EE7F41" w:rsidRPr="00CC64F0" w:rsidRDefault="00CC64F0" w:rsidP="00CC64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C64F0">
      <w:rPr>
        <w:i/>
        <w:sz w:val="18"/>
      </w:rPr>
      <w:t>OPC66038 -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F423" w14:textId="77777777" w:rsidR="00EE7F41" w:rsidRPr="00E33C1C" w:rsidRDefault="00EE7F4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7F41" w14:paraId="2F853E1E" w14:textId="77777777" w:rsidTr="003F7A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C6DB80" w14:textId="77777777" w:rsidR="00EE7F41" w:rsidRDefault="00EE7F41" w:rsidP="00215EC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DF8FD9" w14:textId="6A005FF0" w:rsidR="00EE7F41" w:rsidRDefault="00EE7F41" w:rsidP="00215E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100">
            <w:rPr>
              <w:i/>
              <w:sz w:val="18"/>
            </w:rPr>
            <w:t>Christmas Island Utilities and Services (Electricity Supply and Services Fees) Amendment (2022 Measures No. 2)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9E4337" w14:textId="77777777" w:rsidR="00EE7F41" w:rsidRDefault="00EE7F41" w:rsidP="00215EC2">
          <w:pPr>
            <w:spacing w:line="0" w:lineRule="atLeast"/>
            <w:jc w:val="right"/>
            <w:rPr>
              <w:sz w:val="18"/>
            </w:rPr>
          </w:pPr>
        </w:p>
      </w:tc>
    </w:tr>
  </w:tbl>
  <w:p w14:paraId="25ACD407" w14:textId="77777777" w:rsidR="00EE7F41" w:rsidRPr="00CC64F0" w:rsidRDefault="00CC64F0" w:rsidP="00CC64F0">
    <w:pPr>
      <w:rPr>
        <w:rFonts w:cs="Times New Roman"/>
        <w:i/>
        <w:sz w:val="18"/>
      </w:rPr>
    </w:pPr>
    <w:r w:rsidRPr="00CC64F0">
      <w:rPr>
        <w:rFonts w:cs="Times New Roman"/>
        <w:i/>
        <w:sz w:val="18"/>
      </w:rPr>
      <w:t>OPC66038 -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80E0D" w14:textId="77777777" w:rsidR="00EE7F41" w:rsidRPr="00E33C1C" w:rsidRDefault="00EE7F4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E7F41" w14:paraId="0D3F48DC" w14:textId="77777777" w:rsidTr="003F7AE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EFEE8D" w14:textId="77777777" w:rsidR="00EE7F41" w:rsidRDefault="00EE7F41" w:rsidP="00215E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9F6B4A" w14:textId="1CA7BD6F" w:rsidR="00EE7F41" w:rsidRDefault="00EE7F41" w:rsidP="00215E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100">
            <w:rPr>
              <w:i/>
              <w:sz w:val="18"/>
            </w:rPr>
            <w:t>Christmas Island Utilities and Services (Electricity Supply and Services Fees) Amendment (2022 Measures No. 2)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2E3EE71" w14:textId="77777777" w:rsidR="00EE7F41" w:rsidRDefault="00EE7F41" w:rsidP="00215E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DAD14D" w14:textId="77777777" w:rsidR="00EE7F41" w:rsidRPr="00CC64F0" w:rsidRDefault="00CC64F0" w:rsidP="00CC64F0">
    <w:pPr>
      <w:rPr>
        <w:rFonts w:cs="Times New Roman"/>
        <w:i/>
        <w:sz w:val="18"/>
      </w:rPr>
    </w:pPr>
    <w:r w:rsidRPr="00CC64F0">
      <w:rPr>
        <w:rFonts w:cs="Times New Roman"/>
        <w:i/>
        <w:sz w:val="18"/>
      </w:rPr>
      <w:t>OPC66038 -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B875E" w14:textId="77777777" w:rsidR="00EE7F41" w:rsidRPr="00E33C1C" w:rsidRDefault="00EE7F4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7F41" w14:paraId="78860F97" w14:textId="77777777" w:rsidTr="003F7A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24DF56" w14:textId="77777777" w:rsidR="00EE7F41" w:rsidRDefault="00EE7F41" w:rsidP="00215EC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98DD4E" w14:textId="11BE31C6" w:rsidR="00EE7F41" w:rsidRDefault="00EE7F41" w:rsidP="00215E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100">
            <w:rPr>
              <w:i/>
              <w:sz w:val="18"/>
            </w:rPr>
            <w:t>Christmas Island Utilities and Services (Electricity Supply and Services Fees) Amendment (2022 Measures No. 2)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6EC4F1" w14:textId="77777777" w:rsidR="00EE7F41" w:rsidRDefault="00EE7F41" w:rsidP="00215EC2">
          <w:pPr>
            <w:spacing w:line="0" w:lineRule="atLeast"/>
            <w:jc w:val="right"/>
            <w:rPr>
              <w:sz w:val="18"/>
            </w:rPr>
          </w:pPr>
        </w:p>
      </w:tc>
    </w:tr>
  </w:tbl>
  <w:p w14:paraId="4A10FCFB" w14:textId="77777777" w:rsidR="00EE7F41" w:rsidRPr="00CC64F0" w:rsidRDefault="00CC64F0" w:rsidP="00CC64F0">
    <w:pPr>
      <w:rPr>
        <w:rFonts w:cs="Times New Roman"/>
        <w:i/>
        <w:sz w:val="18"/>
      </w:rPr>
    </w:pPr>
    <w:r w:rsidRPr="00CC64F0">
      <w:rPr>
        <w:rFonts w:cs="Times New Roman"/>
        <w:i/>
        <w:sz w:val="18"/>
      </w:rPr>
      <w:t>OPC66038 -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D933" w14:textId="77777777" w:rsidR="00EE7F41" w:rsidRPr="00E33C1C" w:rsidRDefault="00EE7F4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7F41" w14:paraId="5B04411E" w14:textId="77777777" w:rsidTr="00215EC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014355" w14:textId="77777777" w:rsidR="00EE7F41" w:rsidRDefault="00EE7F41" w:rsidP="00215E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80EA7E" w14:textId="29DA71F0" w:rsidR="00EE7F41" w:rsidRDefault="00EE7F41" w:rsidP="00215E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100">
            <w:rPr>
              <w:i/>
              <w:sz w:val="18"/>
            </w:rPr>
            <w:t>Christmas Island Utilities and Services (Electricity Supply and Services Fees) Amendment (2022 Measures No. 2)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B0E313" w14:textId="77777777" w:rsidR="00EE7F41" w:rsidRDefault="00EE7F41" w:rsidP="00215E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430758" w14:textId="77777777" w:rsidR="00EE7F41" w:rsidRPr="00CC64F0" w:rsidRDefault="00CC64F0" w:rsidP="00CC64F0">
    <w:pPr>
      <w:rPr>
        <w:rFonts w:cs="Times New Roman"/>
        <w:i/>
        <w:sz w:val="18"/>
      </w:rPr>
    </w:pPr>
    <w:r w:rsidRPr="00CC64F0">
      <w:rPr>
        <w:rFonts w:cs="Times New Roman"/>
        <w:i/>
        <w:sz w:val="18"/>
      </w:rPr>
      <w:t>OPC66038 -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ACB7" w14:textId="77777777" w:rsidR="00EE7F41" w:rsidRPr="00E33C1C" w:rsidRDefault="00EE7F4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7F41" w14:paraId="337ABAC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25ABFF" w14:textId="77777777" w:rsidR="00EE7F41" w:rsidRDefault="00EE7F41" w:rsidP="00215E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43FC00" w14:textId="2BDC42EC" w:rsidR="00EE7F41" w:rsidRDefault="00EE7F41" w:rsidP="00215E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100">
            <w:rPr>
              <w:i/>
              <w:sz w:val="18"/>
            </w:rPr>
            <w:t>Christmas Island Utilities and Services (Electricity Supply and Services Fees) Amendment (2022 Measures No. 2)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2765D6" w14:textId="77777777" w:rsidR="00EE7F41" w:rsidRDefault="00EE7F41" w:rsidP="00215E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5C3DB0" w14:textId="77777777" w:rsidR="00EE7F41" w:rsidRPr="00CC64F0" w:rsidRDefault="00CC64F0" w:rsidP="00CC64F0">
    <w:pPr>
      <w:rPr>
        <w:rFonts w:cs="Times New Roman"/>
        <w:i/>
        <w:sz w:val="18"/>
      </w:rPr>
    </w:pPr>
    <w:r w:rsidRPr="00CC64F0">
      <w:rPr>
        <w:rFonts w:cs="Times New Roman"/>
        <w:i/>
        <w:sz w:val="18"/>
      </w:rPr>
      <w:t>OPC66038 -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74EFF" w14:textId="77777777" w:rsidR="00EE7F41" w:rsidRDefault="00EE7F41" w:rsidP="0048364F">
      <w:pPr>
        <w:spacing w:line="240" w:lineRule="auto"/>
      </w:pPr>
      <w:r>
        <w:separator/>
      </w:r>
    </w:p>
  </w:footnote>
  <w:footnote w:type="continuationSeparator" w:id="0">
    <w:p w14:paraId="6025824D" w14:textId="77777777" w:rsidR="00EE7F41" w:rsidRDefault="00EE7F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391E" w14:textId="77777777" w:rsidR="00EE7F41" w:rsidRPr="005F1388" w:rsidRDefault="00EE7F4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1CEBD" w14:textId="77777777" w:rsidR="00EE7F41" w:rsidRPr="005F1388" w:rsidRDefault="00EE7F4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F984" w14:textId="77777777" w:rsidR="00EE7F41" w:rsidRPr="005F1388" w:rsidRDefault="00EE7F4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FA44" w14:textId="77777777" w:rsidR="00EE7F41" w:rsidRPr="00ED79B6" w:rsidRDefault="00EE7F4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7101" w14:textId="77777777" w:rsidR="00EE7F41" w:rsidRPr="00ED79B6" w:rsidRDefault="00EE7F4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D4106" w14:textId="77777777" w:rsidR="00EE7F41" w:rsidRPr="00ED79B6" w:rsidRDefault="00EE7F4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160A3" w14:textId="5308DF6E" w:rsidR="00EE7F41" w:rsidRPr="00A961C4" w:rsidRDefault="00EE7F4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D0100">
      <w:rPr>
        <w:b/>
        <w:sz w:val="20"/>
      </w:rPr>
      <w:fldChar w:fldCharType="separate"/>
    </w:r>
    <w:r w:rsidR="007D010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D0100">
      <w:rPr>
        <w:sz w:val="20"/>
      </w:rPr>
      <w:fldChar w:fldCharType="separate"/>
    </w:r>
    <w:r w:rsidR="007D0100">
      <w:rPr>
        <w:noProof/>
        <w:sz w:val="20"/>
      </w:rPr>
      <w:t>Amendments</w:t>
    </w:r>
    <w:r>
      <w:rPr>
        <w:sz w:val="20"/>
      </w:rPr>
      <w:fldChar w:fldCharType="end"/>
    </w:r>
  </w:p>
  <w:p w14:paraId="2855410F" w14:textId="13738B59" w:rsidR="00EE7F41" w:rsidRPr="00A961C4" w:rsidRDefault="00EE7F4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9AD9FE2" w14:textId="77777777" w:rsidR="00EE7F41" w:rsidRPr="00A961C4" w:rsidRDefault="00EE7F4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A1AB" w14:textId="29555D63" w:rsidR="00EE7F41" w:rsidRPr="00A961C4" w:rsidRDefault="00EE7F4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9D7EE6A" w14:textId="6CB582CB" w:rsidR="00EE7F41" w:rsidRPr="00A961C4" w:rsidRDefault="00EE7F4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BE25BC8" w14:textId="77777777" w:rsidR="00EE7F41" w:rsidRPr="00A961C4" w:rsidRDefault="00EE7F4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3B93" w14:textId="77777777" w:rsidR="00EE7F41" w:rsidRPr="00A961C4" w:rsidRDefault="00EE7F4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5946"/>
    <w:rsid w:val="00000263"/>
    <w:rsid w:val="000113BC"/>
    <w:rsid w:val="000136AF"/>
    <w:rsid w:val="00021721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3D84"/>
    <w:rsid w:val="000A7DF9"/>
    <w:rsid w:val="000D05EF"/>
    <w:rsid w:val="000D5485"/>
    <w:rsid w:val="000F21C1"/>
    <w:rsid w:val="0010443F"/>
    <w:rsid w:val="00105D72"/>
    <w:rsid w:val="0010745C"/>
    <w:rsid w:val="001134C1"/>
    <w:rsid w:val="00117277"/>
    <w:rsid w:val="00155054"/>
    <w:rsid w:val="0015547D"/>
    <w:rsid w:val="00155873"/>
    <w:rsid w:val="00160BD7"/>
    <w:rsid w:val="001643C9"/>
    <w:rsid w:val="00165568"/>
    <w:rsid w:val="00166082"/>
    <w:rsid w:val="00166C2F"/>
    <w:rsid w:val="001716C9"/>
    <w:rsid w:val="001725A3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5EC2"/>
    <w:rsid w:val="00220A0C"/>
    <w:rsid w:val="00223E4A"/>
    <w:rsid w:val="002302EA"/>
    <w:rsid w:val="00240749"/>
    <w:rsid w:val="002468D7"/>
    <w:rsid w:val="00263886"/>
    <w:rsid w:val="00285CDD"/>
    <w:rsid w:val="00291167"/>
    <w:rsid w:val="00297ECB"/>
    <w:rsid w:val="002A687B"/>
    <w:rsid w:val="002B6EE6"/>
    <w:rsid w:val="002C152A"/>
    <w:rsid w:val="002C4D6C"/>
    <w:rsid w:val="002D043A"/>
    <w:rsid w:val="002D2197"/>
    <w:rsid w:val="003067C9"/>
    <w:rsid w:val="0031713F"/>
    <w:rsid w:val="00321913"/>
    <w:rsid w:val="00324EE6"/>
    <w:rsid w:val="003316DC"/>
    <w:rsid w:val="00332E0D"/>
    <w:rsid w:val="003415D3"/>
    <w:rsid w:val="00346335"/>
    <w:rsid w:val="00350B68"/>
    <w:rsid w:val="00352B0F"/>
    <w:rsid w:val="003561B0"/>
    <w:rsid w:val="00367960"/>
    <w:rsid w:val="003765C3"/>
    <w:rsid w:val="003A15AC"/>
    <w:rsid w:val="003A39EE"/>
    <w:rsid w:val="003A56EB"/>
    <w:rsid w:val="003B0627"/>
    <w:rsid w:val="003B5763"/>
    <w:rsid w:val="003B5F42"/>
    <w:rsid w:val="003C5F2B"/>
    <w:rsid w:val="003D0BFE"/>
    <w:rsid w:val="003D5700"/>
    <w:rsid w:val="003F0F5A"/>
    <w:rsid w:val="003F7AE7"/>
    <w:rsid w:val="00400A30"/>
    <w:rsid w:val="00401225"/>
    <w:rsid w:val="004022CA"/>
    <w:rsid w:val="004116CD"/>
    <w:rsid w:val="00414ADE"/>
    <w:rsid w:val="00416525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26DF"/>
    <w:rsid w:val="00507A67"/>
    <w:rsid w:val="00516B8D"/>
    <w:rsid w:val="0052025D"/>
    <w:rsid w:val="0052686F"/>
    <w:rsid w:val="0052756C"/>
    <w:rsid w:val="00530230"/>
    <w:rsid w:val="00530CC9"/>
    <w:rsid w:val="00537A49"/>
    <w:rsid w:val="00537FBC"/>
    <w:rsid w:val="00541D73"/>
    <w:rsid w:val="005426A6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96425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2105"/>
    <w:rsid w:val="00613EAD"/>
    <w:rsid w:val="006158AC"/>
    <w:rsid w:val="00640402"/>
    <w:rsid w:val="00640F78"/>
    <w:rsid w:val="00645DAF"/>
    <w:rsid w:val="00646E7B"/>
    <w:rsid w:val="00655D6A"/>
    <w:rsid w:val="00656DE9"/>
    <w:rsid w:val="006760A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5946"/>
    <w:rsid w:val="007634AD"/>
    <w:rsid w:val="007715C9"/>
    <w:rsid w:val="00774EDD"/>
    <w:rsid w:val="007757EC"/>
    <w:rsid w:val="007968CA"/>
    <w:rsid w:val="007A115D"/>
    <w:rsid w:val="007A35E6"/>
    <w:rsid w:val="007A6863"/>
    <w:rsid w:val="007D0100"/>
    <w:rsid w:val="007D1E1B"/>
    <w:rsid w:val="007D34AB"/>
    <w:rsid w:val="007D45C1"/>
    <w:rsid w:val="007E17DA"/>
    <w:rsid w:val="007E7D4A"/>
    <w:rsid w:val="007F48ED"/>
    <w:rsid w:val="007F7947"/>
    <w:rsid w:val="00812F45"/>
    <w:rsid w:val="00823B55"/>
    <w:rsid w:val="0083240F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491A"/>
    <w:rsid w:val="00922764"/>
    <w:rsid w:val="00932377"/>
    <w:rsid w:val="009408EA"/>
    <w:rsid w:val="00943102"/>
    <w:rsid w:val="0094523D"/>
    <w:rsid w:val="009559E6"/>
    <w:rsid w:val="009758F0"/>
    <w:rsid w:val="00976A63"/>
    <w:rsid w:val="00983419"/>
    <w:rsid w:val="00994821"/>
    <w:rsid w:val="009C3431"/>
    <w:rsid w:val="009C5989"/>
    <w:rsid w:val="009C5E38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13FB"/>
    <w:rsid w:val="00A90EA8"/>
    <w:rsid w:val="00AA0343"/>
    <w:rsid w:val="00AA2A5C"/>
    <w:rsid w:val="00AB78E9"/>
    <w:rsid w:val="00AC20E6"/>
    <w:rsid w:val="00AD3467"/>
    <w:rsid w:val="00AD5641"/>
    <w:rsid w:val="00AD7252"/>
    <w:rsid w:val="00AE0F9B"/>
    <w:rsid w:val="00AF55FF"/>
    <w:rsid w:val="00B032D8"/>
    <w:rsid w:val="00B33B3C"/>
    <w:rsid w:val="00B35677"/>
    <w:rsid w:val="00B40D74"/>
    <w:rsid w:val="00B52663"/>
    <w:rsid w:val="00B56DCB"/>
    <w:rsid w:val="00B770D2"/>
    <w:rsid w:val="00B82010"/>
    <w:rsid w:val="00B94F68"/>
    <w:rsid w:val="00BA47A3"/>
    <w:rsid w:val="00BA5026"/>
    <w:rsid w:val="00BB6E79"/>
    <w:rsid w:val="00BE3B31"/>
    <w:rsid w:val="00BE719A"/>
    <w:rsid w:val="00BE720A"/>
    <w:rsid w:val="00BF6650"/>
    <w:rsid w:val="00C03E18"/>
    <w:rsid w:val="00C067E5"/>
    <w:rsid w:val="00C164CA"/>
    <w:rsid w:val="00C31193"/>
    <w:rsid w:val="00C341E6"/>
    <w:rsid w:val="00C42BF8"/>
    <w:rsid w:val="00C460AE"/>
    <w:rsid w:val="00C50043"/>
    <w:rsid w:val="00C50A0F"/>
    <w:rsid w:val="00C7573B"/>
    <w:rsid w:val="00C76CF3"/>
    <w:rsid w:val="00CA3909"/>
    <w:rsid w:val="00CA7844"/>
    <w:rsid w:val="00CB58EF"/>
    <w:rsid w:val="00CC64F0"/>
    <w:rsid w:val="00CE7D64"/>
    <w:rsid w:val="00CF0BB2"/>
    <w:rsid w:val="00D05106"/>
    <w:rsid w:val="00D1111F"/>
    <w:rsid w:val="00D13441"/>
    <w:rsid w:val="00D20665"/>
    <w:rsid w:val="00D243A3"/>
    <w:rsid w:val="00D3200B"/>
    <w:rsid w:val="00D33440"/>
    <w:rsid w:val="00D464A5"/>
    <w:rsid w:val="00D52887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4AA6"/>
    <w:rsid w:val="00D92A48"/>
    <w:rsid w:val="00D95891"/>
    <w:rsid w:val="00DB5CB4"/>
    <w:rsid w:val="00DE149E"/>
    <w:rsid w:val="00E05704"/>
    <w:rsid w:val="00E12F1A"/>
    <w:rsid w:val="00E15023"/>
    <w:rsid w:val="00E15561"/>
    <w:rsid w:val="00E21CFB"/>
    <w:rsid w:val="00E22935"/>
    <w:rsid w:val="00E257E0"/>
    <w:rsid w:val="00E54292"/>
    <w:rsid w:val="00E60191"/>
    <w:rsid w:val="00E74DC7"/>
    <w:rsid w:val="00E85223"/>
    <w:rsid w:val="00E87699"/>
    <w:rsid w:val="00E92E27"/>
    <w:rsid w:val="00E9586B"/>
    <w:rsid w:val="00E97334"/>
    <w:rsid w:val="00EA0D36"/>
    <w:rsid w:val="00ED4928"/>
    <w:rsid w:val="00EE3749"/>
    <w:rsid w:val="00EE6190"/>
    <w:rsid w:val="00EE7F41"/>
    <w:rsid w:val="00EF2E3A"/>
    <w:rsid w:val="00EF6402"/>
    <w:rsid w:val="00F01726"/>
    <w:rsid w:val="00F025DF"/>
    <w:rsid w:val="00F047E2"/>
    <w:rsid w:val="00F04D57"/>
    <w:rsid w:val="00F078DC"/>
    <w:rsid w:val="00F13E86"/>
    <w:rsid w:val="00F24EB0"/>
    <w:rsid w:val="00F32FCB"/>
    <w:rsid w:val="00F57452"/>
    <w:rsid w:val="00F6709F"/>
    <w:rsid w:val="00F677A9"/>
    <w:rsid w:val="00F723BD"/>
    <w:rsid w:val="00F732EA"/>
    <w:rsid w:val="00F73880"/>
    <w:rsid w:val="00F82087"/>
    <w:rsid w:val="00F84CF5"/>
    <w:rsid w:val="00F8612E"/>
    <w:rsid w:val="00FA420B"/>
    <w:rsid w:val="00FA4284"/>
    <w:rsid w:val="00FB6A3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1B0B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B5F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F4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F4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F4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F4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5F4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5F4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5F4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5F4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5F4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5F42"/>
  </w:style>
  <w:style w:type="paragraph" w:customStyle="1" w:styleId="OPCParaBase">
    <w:name w:val="OPCParaBase"/>
    <w:qFormat/>
    <w:rsid w:val="003B5F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5F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5F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5F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5F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5F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B5F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5F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5F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5F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5F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5F42"/>
  </w:style>
  <w:style w:type="paragraph" w:customStyle="1" w:styleId="Blocks">
    <w:name w:val="Blocks"/>
    <w:aliases w:val="bb"/>
    <w:basedOn w:val="OPCParaBase"/>
    <w:qFormat/>
    <w:rsid w:val="003B5F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5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5F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5F42"/>
    <w:rPr>
      <w:i/>
    </w:rPr>
  </w:style>
  <w:style w:type="paragraph" w:customStyle="1" w:styleId="BoxList">
    <w:name w:val="BoxList"/>
    <w:aliases w:val="bl"/>
    <w:basedOn w:val="BoxText"/>
    <w:qFormat/>
    <w:rsid w:val="003B5F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5F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5F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5F42"/>
    <w:pPr>
      <w:ind w:left="1985" w:hanging="851"/>
    </w:pPr>
  </w:style>
  <w:style w:type="character" w:customStyle="1" w:styleId="CharAmPartNo">
    <w:name w:val="CharAmPartNo"/>
    <w:basedOn w:val="OPCCharBase"/>
    <w:qFormat/>
    <w:rsid w:val="003B5F42"/>
  </w:style>
  <w:style w:type="character" w:customStyle="1" w:styleId="CharAmPartText">
    <w:name w:val="CharAmPartText"/>
    <w:basedOn w:val="OPCCharBase"/>
    <w:qFormat/>
    <w:rsid w:val="003B5F42"/>
  </w:style>
  <w:style w:type="character" w:customStyle="1" w:styleId="CharAmSchNo">
    <w:name w:val="CharAmSchNo"/>
    <w:basedOn w:val="OPCCharBase"/>
    <w:qFormat/>
    <w:rsid w:val="003B5F42"/>
  </w:style>
  <w:style w:type="character" w:customStyle="1" w:styleId="CharAmSchText">
    <w:name w:val="CharAmSchText"/>
    <w:basedOn w:val="OPCCharBase"/>
    <w:qFormat/>
    <w:rsid w:val="003B5F42"/>
  </w:style>
  <w:style w:type="character" w:customStyle="1" w:styleId="CharBoldItalic">
    <w:name w:val="CharBoldItalic"/>
    <w:basedOn w:val="OPCCharBase"/>
    <w:uiPriority w:val="1"/>
    <w:qFormat/>
    <w:rsid w:val="003B5F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5F42"/>
  </w:style>
  <w:style w:type="character" w:customStyle="1" w:styleId="CharChapText">
    <w:name w:val="CharChapText"/>
    <w:basedOn w:val="OPCCharBase"/>
    <w:uiPriority w:val="1"/>
    <w:qFormat/>
    <w:rsid w:val="003B5F42"/>
  </w:style>
  <w:style w:type="character" w:customStyle="1" w:styleId="CharDivNo">
    <w:name w:val="CharDivNo"/>
    <w:basedOn w:val="OPCCharBase"/>
    <w:uiPriority w:val="1"/>
    <w:qFormat/>
    <w:rsid w:val="003B5F42"/>
  </w:style>
  <w:style w:type="character" w:customStyle="1" w:styleId="CharDivText">
    <w:name w:val="CharDivText"/>
    <w:basedOn w:val="OPCCharBase"/>
    <w:uiPriority w:val="1"/>
    <w:qFormat/>
    <w:rsid w:val="003B5F42"/>
  </w:style>
  <w:style w:type="character" w:customStyle="1" w:styleId="CharItalic">
    <w:name w:val="CharItalic"/>
    <w:basedOn w:val="OPCCharBase"/>
    <w:uiPriority w:val="1"/>
    <w:qFormat/>
    <w:rsid w:val="003B5F42"/>
    <w:rPr>
      <w:i/>
    </w:rPr>
  </w:style>
  <w:style w:type="character" w:customStyle="1" w:styleId="CharPartNo">
    <w:name w:val="CharPartNo"/>
    <w:basedOn w:val="OPCCharBase"/>
    <w:uiPriority w:val="1"/>
    <w:qFormat/>
    <w:rsid w:val="003B5F42"/>
  </w:style>
  <w:style w:type="character" w:customStyle="1" w:styleId="CharPartText">
    <w:name w:val="CharPartText"/>
    <w:basedOn w:val="OPCCharBase"/>
    <w:uiPriority w:val="1"/>
    <w:qFormat/>
    <w:rsid w:val="003B5F42"/>
  </w:style>
  <w:style w:type="character" w:customStyle="1" w:styleId="CharSectno">
    <w:name w:val="CharSectno"/>
    <w:basedOn w:val="OPCCharBase"/>
    <w:qFormat/>
    <w:rsid w:val="003B5F42"/>
  </w:style>
  <w:style w:type="character" w:customStyle="1" w:styleId="CharSubdNo">
    <w:name w:val="CharSubdNo"/>
    <w:basedOn w:val="OPCCharBase"/>
    <w:uiPriority w:val="1"/>
    <w:qFormat/>
    <w:rsid w:val="003B5F42"/>
  </w:style>
  <w:style w:type="character" w:customStyle="1" w:styleId="CharSubdText">
    <w:name w:val="CharSubdText"/>
    <w:basedOn w:val="OPCCharBase"/>
    <w:uiPriority w:val="1"/>
    <w:qFormat/>
    <w:rsid w:val="003B5F42"/>
  </w:style>
  <w:style w:type="paragraph" w:customStyle="1" w:styleId="CTA--">
    <w:name w:val="CTA --"/>
    <w:basedOn w:val="OPCParaBase"/>
    <w:next w:val="Normal"/>
    <w:rsid w:val="003B5F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5F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5F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5F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5F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5F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5F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5F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5F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5F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5F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5F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5F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5F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B5F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5F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B5F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5F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5F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5F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5F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5F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5F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5F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5F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5F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5F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5F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5F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5F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5F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5F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5F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5F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5F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5F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5F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5F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5F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5F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5F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5F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5F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5F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5F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5F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5F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5F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5F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5F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5F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5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5F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5F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5F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B5F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B5F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B5F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B5F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B5F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B5F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B5F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B5F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B5F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B5F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5F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5F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5F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5F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5F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5F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5F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B5F42"/>
    <w:rPr>
      <w:sz w:val="16"/>
    </w:rPr>
  </w:style>
  <w:style w:type="table" w:customStyle="1" w:styleId="CFlag">
    <w:name w:val="CFlag"/>
    <w:basedOn w:val="TableNormal"/>
    <w:uiPriority w:val="99"/>
    <w:rsid w:val="003B5F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B5F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F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5F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B5F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5F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5F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5F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5F4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B5F42"/>
    <w:pPr>
      <w:spacing w:before="120"/>
    </w:pPr>
  </w:style>
  <w:style w:type="paragraph" w:customStyle="1" w:styleId="CompiledActNo">
    <w:name w:val="CompiledActNo"/>
    <w:basedOn w:val="OPCParaBase"/>
    <w:next w:val="Normal"/>
    <w:rsid w:val="003B5F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B5F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5F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B5F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5F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5F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5F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B5F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B5F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5F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5F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5F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5F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5F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5F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B5F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5F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5F42"/>
  </w:style>
  <w:style w:type="character" w:customStyle="1" w:styleId="CharSubPartNoCASA">
    <w:name w:val="CharSubPartNo(CASA)"/>
    <w:basedOn w:val="OPCCharBase"/>
    <w:uiPriority w:val="1"/>
    <w:rsid w:val="003B5F42"/>
  </w:style>
  <w:style w:type="paragraph" w:customStyle="1" w:styleId="ENoteTTIndentHeadingSub">
    <w:name w:val="ENoteTTIndentHeadingSub"/>
    <w:aliases w:val="enTTHis"/>
    <w:basedOn w:val="OPCParaBase"/>
    <w:rsid w:val="003B5F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5F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5F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5F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5F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5F4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5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5F42"/>
    <w:rPr>
      <w:sz w:val="22"/>
    </w:rPr>
  </w:style>
  <w:style w:type="paragraph" w:customStyle="1" w:styleId="SOTextNote">
    <w:name w:val="SO TextNote"/>
    <w:aliases w:val="sont"/>
    <w:basedOn w:val="SOText"/>
    <w:qFormat/>
    <w:rsid w:val="003B5F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5F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5F42"/>
    <w:rPr>
      <w:sz w:val="22"/>
    </w:rPr>
  </w:style>
  <w:style w:type="paragraph" w:customStyle="1" w:styleId="FileName">
    <w:name w:val="FileName"/>
    <w:basedOn w:val="Normal"/>
    <w:rsid w:val="003B5F42"/>
  </w:style>
  <w:style w:type="paragraph" w:customStyle="1" w:styleId="TableHeading">
    <w:name w:val="TableHeading"/>
    <w:aliases w:val="th"/>
    <w:basedOn w:val="OPCParaBase"/>
    <w:next w:val="Tabletext"/>
    <w:rsid w:val="003B5F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5F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5F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5F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5F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5F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5F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5F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5F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5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5F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B5F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5F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5F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5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5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F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5F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5F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B5F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B5F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B5F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B5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B5F42"/>
  </w:style>
  <w:style w:type="character" w:customStyle="1" w:styleId="charlegsubtitle1">
    <w:name w:val="charlegsubtitle1"/>
    <w:basedOn w:val="DefaultParagraphFont"/>
    <w:rsid w:val="003B5F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B5F42"/>
    <w:pPr>
      <w:ind w:left="240" w:hanging="240"/>
    </w:pPr>
  </w:style>
  <w:style w:type="paragraph" w:styleId="Index2">
    <w:name w:val="index 2"/>
    <w:basedOn w:val="Normal"/>
    <w:next w:val="Normal"/>
    <w:autoRedefine/>
    <w:rsid w:val="003B5F42"/>
    <w:pPr>
      <w:ind w:left="480" w:hanging="240"/>
    </w:pPr>
  </w:style>
  <w:style w:type="paragraph" w:styleId="Index3">
    <w:name w:val="index 3"/>
    <w:basedOn w:val="Normal"/>
    <w:next w:val="Normal"/>
    <w:autoRedefine/>
    <w:rsid w:val="003B5F42"/>
    <w:pPr>
      <w:ind w:left="720" w:hanging="240"/>
    </w:pPr>
  </w:style>
  <w:style w:type="paragraph" w:styleId="Index4">
    <w:name w:val="index 4"/>
    <w:basedOn w:val="Normal"/>
    <w:next w:val="Normal"/>
    <w:autoRedefine/>
    <w:rsid w:val="003B5F42"/>
    <w:pPr>
      <w:ind w:left="960" w:hanging="240"/>
    </w:pPr>
  </w:style>
  <w:style w:type="paragraph" w:styleId="Index5">
    <w:name w:val="index 5"/>
    <w:basedOn w:val="Normal"/>
    <w:next w:val="Normal"/>
    <w:autoRedefine/>
    <w:rsid w:val="003B5F42"/>
    <w:pPr>
      <w:ind w:left="1200" w:hanging="240"/>
    </w:pPr>
  </w:style>
  <w:style w:type="paragraph" w:styleId="Index6">
    <w:name w:val="index 6"/>
    <w:basedOn w:val="Normal"/>
    <w:next w:val="Normal"/>
    <w:autoRedefine/>
    <w:rsid w:val="003B5F42"/>
    <w:pPr>
      <w:ind w:left="1440" w:hanging="240"/>
    </w:pPr>
  </w:style>
  <w:style w:type="paragraph" w:styleId="Index7">
    <w:name w:val="index 7"/>
    <w:basedOn w:val="Normal"/>
    <w:next w:val="Normal"/>
    <w:autoRedefine/>
    <w:rsid w:val="003B5F42"/>
    <w:pPr>
      <w:ind w:left="1680" w:hanging="240"/>
    </w:pPr>
  </w:style>
  <w:style w:type="paragraph" w:styleId="Index8">
    <w:name w:val="index 8"/>
    <w:basedOn w:val="Normal"/>
    <w:next w:val="Normal"/>
    <w:autoRedefine/>
    <w:rsid w:val="003B5F42"/>
    <w:pPr>
      <w:ind w:left="1920" w:hanging="240"/>
    </w:pPr>
  </w:style>
  <w:style w:type="paragraph" w:styleId="Index9">
    <w:name w:val="index 9"/>
    <w:basedOn w:val="Normal"/>
    <w:next w:val="Normal"/>
    <w:autoRedefine/>
    <w:rsid w:val="003B5F42"/>
    <w:pPr>
      <w:ind w:left="2160" w:hanging="240"/>
    </w:pPr>
  </w:style>
  <w:style w:type="paragraph" w:styleId="NormalIndent">
    <w:name w:val="Normal Indent"/>
    <w:basedOn w:val="Normal"/>
    <w:rsid w:val="003B5F42"/>
    <w:pPr>
      <w:ind w:left="720"/>
    </w:pPr>
  </w:style>
  <w:style w:type="paragraph" w:styleId="FootnoteText">
    <w:name w:val="footnote text"/>
    <w:basedOn w:val="Normal"/>
    <w:link w:val="FootnoteTextChar"/>
    <w:rsid w:val="003B5F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B5F42"/>
  </w:style>
  <w:style w:type="paragraph" w:styleId="CommentText">
    <w:name w:val="annotation text"/>
    <w:basedOn w:val="Normal"/>
    <w:link w:val="CommentTextChar"/>
    <w:rsid w:val="003B5F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F42"/>
  </w:style>
  <w:style w:type="paragraph" w:styleId="IndexHeading">
    <w:name w:val="index heading"/>
    <w:basedOn w:val="Normal"/>
    <w:next w:val="Index1"/>
    <w:rsid w:val="003B5F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B5F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B5F42"/>
    <w:pPr>
      <w:ind w:left="480" w:hanging="480"/>
    </w:pPr>
  </w:style>
  <w:style w:type="paragraph" w:styleId="EnvelopeAddress">
    <w:name w:val="envelope address"/>
    <w:basedOn w:val="Normal"/>
    <w:rsid w:val="003B5F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B5F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B5F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B5F42"/>
    <w:rPr>
      <w:sz w:val="16"/>
      <w:szCs w:val="16"/>
    </w:rPr>
  </w:style>
  <w:style w:type="character" w:styleId="PageNumber">
    <w:name w:val="page number"/>
    <w:basedOn w:val="DefaultParagraphFont"/>
    <w:rsid w:val="003B5F42"/>
  </w:style>
  <w:style w:type="character" w:styleId="EndnoteReference">
    <w:name w:val="endnote reference"/>
    <w:basedOn w:val="DefaultParagraphFont"/>
    <w:rsid w:val="003B5F42"/>
    <w:rPr>
      <w:vertAlign w:val="superscript"/>
    </w:rPr>
  </w:style>
  <w:style w:type="paragraph" w:styleId="EndnoteText">
    <w:name w:val="endnote text"/>
    <w:basedOn w:val="Normal"/>
    <w:link w:val="EndnoteTextChar"/>
    <w:rsid w:val="003B5F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B5F42"/>
  </w:style>
  <w:style w:type="paragraph" w:styleId="TableofAuthorities">
    <w:name w:val="table of authorities"/>
    <w:basedOn w:val="Normal"/>
    <w:next w:val="Normal"/>
    <w:rsid w:val="003B5F42"/>
    <w:pPr>
      <w:ind w:left="240" w:hanging="240"/>
    </w:pPr>
  </w:style>
  <w:style w:type="paragraph" w:styleId="MacroText">
    <w:name w:val="macro"/>
    <w:link w:val="MacroTextChar"/>
    <w:rsid w:val="003B5F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B5F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B5F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B5F42"/>
    <w:pPr>
      <w:ind w:left="283" w:hanging="283"/>
    </w:pPr>
  </w:style>
  <w:style w:type="paragraph" w:styleId="ListBullet">
    <w:name w:val="List Bullet"/>
    <w:basedOn w:val="Normal"/>
    <w:autoRedefine/>
    <w:rsid w:val="003B5F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B5F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B5F42"/>
    <w:pPr>
      <w:ind w:left="566" w:hanging="283"/>
    </w:pPr>
  </w:style>
  <w:style w:type="paragraph" w:styleId="List3">
    <w:name w:val="List 3"/>
    <w:basedOn w:val="Normal"/>
    <w:rsid w:val="003B5F42"/>
    <w:pPr>
      <w:ind w:left="849" w:hanging="283"/>
    </w:pPr>
  </w:style>
  <w:style w:type="paragraph" w:styleId="List4">
    <w:name w:val="List 4"/>
    <w:basedOn w:val="Normal"/>
    <w:rsid w:val="003B5F42"/>
    <w:pPr>
      <w:ind w:left="1132" w:hanging="283"/>
    </w:pPr>
  </w:style>
  <w:style w:type="paragraph" w:styleId="List5">
    <w:name w:val="List 5"/>
    <w:basedOn w:val="Normal"/>
    <w:rsid w:val="003B5F42"/>
    <w:pPr>
      <w:ind w:left="1415" w:hanging="283"/>
    </w:pPr>
  </w:style>
  <w:style w:type="paragraph" w:styleId="ListBullet2">
    <w:name w:val="List Bullet 2"/>
    <w:basedOn w:val="Normal"/>
    <w:autoRedefine/>
    <w:rsid w:val="003B5F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B5F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B5F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B5F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B5F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B5F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B5F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B5F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B5F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B5F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B5F42"/>
    <w:pPr>
      <w:ind w:left="4252"/>
    </w:pPr>
  </w:style>
  <w:style w:type="character" w:customStyle="1" w:styleId="ClosingChar">
    <w:name w:val="Closing Char"/>
    <w:basedOn w:val="DefaultParagraphFont"/>
    <w:link w:val="Closing"/>
    <w:rsid w:val="003B5F42"/>
    <w:rPr>
      <w:sz w:val="22"/>
    </w:rPr>
  </w:style>
  <w:style w:type="paragraph" w:styleId="Signature">
    <w:name w:val="Signature"/>
    <w:basedOn w:val="Normal"/>
    <w:link w:val="SignatureChar"/>
    <w:rsid w:val="003B5F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B5F42"/>
    <w:rPr>
      <w:sz w:val="22"/>
    </w:rPr>
  </w:style>
  <w:style w:type="paragraph" w:styleId="BodyText">
    <w:name w:val="Body Text"/>
    <w:basedOn w:val="Normal"/>
    <w:link w:val="BodyTextChar"/>
    <w:rsid w:val="003B5F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F42"/>
    <w:rPr>
      <w:sz w:val="22"/>
    </w:rPr>
  </w:style>
  <w:style w:type="paragraph" w:styleId="BodyTextIndent">
    <w:name w:val="Body Text Indent"/>
    <w:basedOn w:val="Normal"/>
    <w:link w:val="BodyTextIndentChar"/>
    <w:rsid w:val="003B5F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B5F42"/>
    <w:rPr>
      <w:sz w:val="22"/>
    </w:rPr>
  </w:style>
  <w:style w:type="paragraph" w:styleId="ListContinue">
    <w:name w:val="List Continue"/>
    <w:basedOn w:val="Normal"/>
    <w:rsid w:val="003B5F42"/>
    <w:pPr>
      <w:spacing w:after="120"/>
      <w:ind w:left="283"/>
    </w:pPr>
  </w:style>
  <w:style w:type="paragraph" w:styleId="ListContinue2">
    <w:name w:val="List Continue 2"/>
    <w:basedOn w:val="Normal"/>
    <w:rsid w:val="003B5F42"/>
    <w:pPr>
      <w:spacing w:after="120"/>
      <w:ind w:left="566"/>
    </w:pPr>
  </w:style>
  <w:style w:type="paragraph" w:styleId="ListContinue3">
    <w:name w:val="List Continue 3"/>
    <w:basedOn w:val="Normal"/>
    <w:rsid w:val="003B5F42"/>
    <w:pPr>
      <w:spacing w:after="120"/>
      <w:ind w:left="849"/>
    </w:pPr>
  </w:style>
  <w:style w:type="paragraph" w:styleId="ListContinue4">
    <w:name w:val="List Continue 4"/>
    <w:basedOn w:val="Normal"/>
    <w:rsid w:val="003B5F42"/>
    <w:pPr>
      <w:spacing w:after="120"/>
      <w:ind w:left="1132"/>
    </w:pPr>
  </w:style>
  <w:style w:type="paragraph" w:styleId="ListContinue5">
    <w:name w:val="List Continue 5"/>
    <w:basedOn w:val="Normal"/>
    <w:rsid w:val="003B5F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B5F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B5F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B5F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B5F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B5F42"/>
  </w:style>
  <w:style w:type="character" w:customStyle="1" w:styleId="SalutationChar">
    <w:name w:val="Salutation Char"/>
    <w:basedOn w:val="DefaultParagraphFont"/>
    <w:link w:val="Salutation"/>
    <w:rsid w:val="003B5F42"/>
    <w:rPr>
      <w:sz w:val="22"/>
    </w:rPr>
  </w:style>
  <w:style w:type="paragraph" w:styleId="Date">
    <w:name w:val="Date"/>
    <w:basedOn w:val="Normal"/>
    <w:next w:val="Normal"/>
    <w:link w:val="DateChar"/>
    <w:rsid w:val="003B5F42"/>
  </w:style>
  <w:style w:type="character" w:customStyle="1" w:styleId="DateChar">
    <w:name w:val="Date Char"/>
    <w:basedOn w:val="DefaultParagraphFont"/>
    <w:link w:val="Date"/>
    <w:rsid w:val="003B5F42"/>
    <w:rPr>
      <w:sz w:val="22"/>
    </w:rPr>
  </w:style>
  <w:style w:type="paragraph" w:styleId="BodyTextFirstIndent">
    <w:name w:val="Body Text First Indent"/>
    <w:basedOn w:val="BodyText"/>
    <w:link w:val="BodyTextFirstIndentChar"/>
    <w:rsid w:val="003B5F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B5F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B5F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B5F42"/>
    <w:rPr>
      <w:sz w:val="22"/>
    </w:rPr>
  </w:style>
  <w:style w:type="paragraph" w:styleId="BodyText2">
    <w:name w:val="Body Text 2"/>
    <w:basedOn w:val="Normal"/>
    <w:link w:val="BodyText2Char"/>
    <w:rsid w:val="003B5F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5F42"/>
    <w:rPr>
      <w:sz w:val="22"/>
    </w:rPr>
  </w:style>
  <w:style w:type="paragraph" w:styleId="BodyText3">
    <w:name w:val="Body Text 3"/>
    <w:basedOn w:val="Normal"/>
    <w:link w:val="BodyText3Char"/>
    <w:rsid w:val="003B5F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5F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B5F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B5F42"/>
    <w:rPr>
      <w:sz w:val="22"/>
    </w:rPr>
  </w:style>
  <w:style w:type="paragraph" w:styleId="BodyTextIndent3">
    <w:name w:val="Body Text Indent 3"/>
    <w:basedOn w:val="Normal"/>
    <w:link w:val="BodyTextIndent3Char"/>
    <w:rsid w:val="003B5F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B5F42"/>
    <w:rPr>
      <w:sz w:val="16"/>
      <w:szCs w:val="16"/>
    </w:rPr>
  </w:style>
  <w:style w:type="paragraph" w:styleId="BlockText">
    <w:name w:val="Block Text"/>
    <w:basedOn w:val="Normal"/>
    <w:rsid w:val="003B5F42"/>
    <w:pPr>
      <w:spacing w:after="120"/>
      <w:ind w:left="1440" w:right="1440"/>
    </w:pPr>
  </w:style>
  <w:style w:type="character" w:styleId="Hyperlink">
    <w:name w:val="Hyperlink"/>
    <w:basedOn w:val="DefaultParagraphFont"/>
    <w:rsid w:val="003B5F42"/>
    <w:rPr>
      <w:color w:val="0000FF"/>
      <w:u w:val="single"/>
    </w:rPr>
  </w:style>
  <w:style w:type="character" w:styleId="FollowedHyperlink">
    <w:name w:val="FollowedHyperlink"/>
    <w:basedOn w:val="DefaultParagraphFont"/>
    <w:rsid w:val="003B5F42"/>
    <w:rPr>
      <w:color w:val="800080"/>
      <w:u w:val="single"/>
    </w:rPr>
  </w:style>
  <w:style w:type="character" w:styleId="Strong">
    <w:name w:val="Strong"/>
    <w:basedOn w:val="DefaultParagraphFont"/>
    <w:qFormat/>
    <w:rsid w:val="003B5F42"/>
    <w:rPr>
      <w:b/>
      <w:bCs/>
    </w:rPr>
  </w:style>
  <w:style w:type="character" w:styleId="Emphasis">
    <w:name w:val="Emphasis"/>
    <w:basedOn w:val="DefaultParagraphFont"/>
    <w:qFormat/>
    <w:rsid w:val="003B5F42"/>
    <w:rPr>
      <w:i/>
      <w:iCs/>
    </w:rPr>
  </w:style>
  <w:style w:type="paragraph" w:styleId="DocumentMap">
    <w:name w:val="Document Map"/>
    <w:basedOn w:val="Normal"/>
    <w:link w:val="DocumentMapChar"/>
    <w:rsid w:val="003B5F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B5F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B5F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B5F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B5F42"/>
  </w:style>
  <w:style w:type="character" w:customStyle="1" w:styleId="E-mailSignatureChar">
    <w:name w:val="E-mail Signature Char"/>
    <w:basedOn w:val="DefaultParagraphFont"/>
    <w:link w:val="E-mailSignature"/>
    <w:rsid w:val="003B5F42"/>
    <w:rPr>
      <w:sz w:val="22"/>
    </w:rPr>
  </w:style>
  <w:style w:type="paragraph" w:styleId="NormalWeb">
    <w:name w:val="Normal (Web)"/>
    <w:basedOn w:val="Normal"/>
    <w:rsid w:val="003B5F42"/>
  </w:style>
  <w:style w:type="character" w:styleId="HTMLAcronym">
    <w:name w:val="HTML Acronym"/>
    <w:basedOn w:val="DefaultParagraphFont"/>
    <w:rsid w:val="003B5F42"/>
  </w:style>
  <w:style w:type="paragraph" w:styleId="HTMLAddress">
    <w:name w:val="HTML Address"/>
    <w:basedOn w:val="Normal"/>
    <w:link w:val="HTMLAddressChar"/>
    <w:rsid w:val="003B5F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B5F42"/>
    <w:rPr>
      <w:i/>
      <w:iCs/>
      <w:sz w:val="22"/>
    </w:rPr>
  </w:style>
  <w:style w:type="character" w:styleId="HTMLCite">
    <w:name w:val="HTML Cite"/>
    <w:basedOn w:val="DefaultParagraphFont"/>
    <w:rsid w:val="003B5F42"/>
    <w:rPr>
      <w:i/>
      <w:iCs/>
    </w:rPr>
  </w:style>
  <w:style w:type="character" w:styleId="HTMLCode">
    <w:name w:val="HTML Code"/>
    <w:basedOn w:val="DefaultParagraphFont"/>
    <w:rsid w:val="003B5F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B5F42"/>
    <w:rPr>
      <w:i/>
      <w:iCs/>
    </w:rPr>
  </w:style>
  <w:style w:type="character" w:styleId="HTMLKeyboard">
    <w:name w:val="HTML Keyboard"/>
    <w:basedOn w:val="DefaultParagraphFont"/>
    <w:rsid w:val="003B5F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B5F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B5F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3B5F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B5F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B5F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B5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F42"/>
    <w:rPr>
      <w:b/>
      <w:bCs/>
    </w:rPr>
  </w:style>
  <w:style w:type="numbering" w:styleId="1ai">
    <w:name w:val="Outline List 1"/>
    <w:basedOn w:val="NoList"/>
    <w:rsid w:val="003B5F42"/>
    <w:pPr>
      <w:numPr>
        <w:numId w:val="14"/>
      </w:numPr>
    </w:pPr>
  </w:style>
  <w:style w:type="numbering" w:styleId="111111">
    <w:name w:val="Outline List 2"/>
    <w:basedOn w:val="NoList"/>
    <w:rsid w:val="003B5F42"/>
    <w:pPr>
      <w:numPr>
        <w:numId w:val="15"/>
      </w:numPr>
    </w:pPr>
  </w:style>
  <w:style w:type="numbering" w:styleId="ArticleSection">
    <w:name w:val="Outline List 3"/>
    <w:basedOn w:val="NoList"/>
    <w:rsid w:val="003B5F42"/>
    <w:pPr>
      <w:numPr>
        <w:numId w:val="17"/>
      </w:numPr>
    </w:pPr>
  </w:style>
  <w:style w:type="table" w:styleId="TableSimple1">
    <w:name w:val="Table Simple 1"/>
    <w:basedOn w:val="TableNormal"/>
    <w:rsid w:val="003B5F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B5F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B5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B5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B5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B5F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B5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B5F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B5F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B5F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B5F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B5F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B5F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B5F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B5F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B5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B5F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B5F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B5F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B5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B5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B5F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B5F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B5F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B5F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B5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B5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B5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B5F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B5F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B5F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B5F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B5F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B5F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B5F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B5F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B5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B5F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B5F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B5F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B5F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B5F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B5F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B5F4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767</Words>
  <Characters>3997</Characters>
  <Application>Microsoft Office Word</Application>
  <DocSecurity>0</DocSecurity>
  <PresentationFormat/>
  <Lines>190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Island Utilities and Services (Electricity Supply and Services Fees) Amendment (2022 Measures No. 2) Determination 2022</vt:lpstr>
    </vt:vector>
  </TitlesOfParts>
  <Manager/>
  <Company/>
  <LinksUpToDate>false</LinksUpToDate>
  <CharactersWithSpaces>4594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2022-08-31T01:15:00Z</dcterms:created>
  <dcterms:modified xsi:type="dcterms:W3CDTF">2022-08-31T01:16:00Z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(Electricity Supply and Services Fees) Amendment (2022 Measures No. 2) Determination 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OPC66038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30 August 2022</vt:lpwstr>
  </property>
</Properties>
</file>