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87A8" w14:textId="77777777" w:rsidR="00AA4E4C" w:rsidRPr="006C22A2" w:rsidRDefault="00963869" w:rsidP="00963869">
      <w:pPr>
        <w:pStyle w:val="Heading1"/>
        <w:rPr>
          <w:rFonts w:ascii="Times New Roman" w:hAnsi="Times New Roman"/>
        </w:rPr>
      </w:pPr>
      <w:r w:rsidRPr="006C22A2">
        <w:rPr>
          <w:rFonts w:ascii="Times New Roman" w:hAnsi="Times New Roman"/>
        </w:rPr>
        <w:t>EXPLANATORY STATEMENT</w:t>
      </w:r>
    </w:p>
    <w:p w14:paraId="37CBA22A" w14:textId="086B115D" w:rsidR="00340A7C" w:rsidRPr="000C0261" w:rsidRDefault="00340A7C" w:rsidP="00340A7C">
      <w:pPr>
        <w:tabs>
          <w:tab w:val="left" w:pos="1080"/>
        </w:tabs>
        <w:ind w:left="960" w:hanging="960"/>
        <w:jc w:val="center"/>
        <w:rPr>
          <w:b/>
          <w:bCs/>
        </w:rPr>
      </w:pPr>
      <w:r>
        <w:rPr>
          <w:b/>
          <w:bCs/>
        </w:rPr>
        <w:t>Issued by the Authority of the Minister for Education</w:t>
      </w:r>
    </w:p>
    <w:p w14:paraId="3C9D0C96" w14:textId="259658E9" w:rsidR="00AA4E4C" w:rsidRPr="006C22A2" w:rsidRDefault="00000B7F" w:rsidP="00340A7C">
      <w:pPr>
        <w:tabs>
          <w:tab w:val="left" w:pos="1080"/>
        </w:tabs>
        <w:ind w:left="960" w:hanging="960"/>
        <w:jc w:val="center"/>
        <w:rPr>
          <w:i/>
          <w:iCs/>
        </w:rPr>
      </w:pPr>
      <w:r w:rsidRPr="006C22A2">
        <w:rPr>
          <w:i/>
          <w:iCs/>
        </w:rPr>
        <w:t>Australian Education Act 2013</w:t>
      </w:r>
    </w:p>
    <w:p w14:paraId="6FF8A264" w14:textId="535CDEF1" w:rsidR="00747812" w:rsidRPr="006C22A2" w:rsidRDefault="00747812" w:rsidP="00733D9C">
      <w:pPr>
        <w:ind w:right="-46"/>
        <w:jc w:val="center"/>
        <w:rPr>
          <w:i/>
        </w:rPr>
      </w:pPr>
      <w:bookmarkStart w:id="0" w:name="_Hlk102395237"/>
      <w:r w:rsidRPr="006C22A2">
        <w:rPr>
          <w:i/>
          <w:iCs/>
        </w:rPr>
        <w:t>Australian Education Amendment</w:t>
      </w:r>
      <w:r w:rsidR="0008359B" w:rsidRPr="006C22A2">
        <w:rPr>
          <w:i/>
          <w:iCs/>
        </w:rPr>
        <w:t xml:space="preserve"> </w:t>
      </w:r>
      <w:r w:rsidR="000714F7" w:rsidRPr="006C22A2">
        <w:rPr>
          <w:i/>
          <w:iCs/>
        </w:rPr>
        <w:t>(202</w:t>
      </w:r>
      <w:r w:rsidR="001F6D00">
        <w:rPr>
          <w:i/>
          <w:iCs/>
        </w:rPr>
        <w:t>2</w:t>
      </w:r>
      <w:r w:rsidR="00852AC0" w:rsidRPr="006C22A2">
        <w:rPr>
          <w:i/>
          <w:iCs/>
        </w:rPr>
        <w:t xml:space="preserve"> </w:t>
      </w:r>
      <w:r w:rsidR="00E14830" w:rsidRPr="006C22A2">
        <w:rPr>
          <w:i/>
          <w:iCs/>
        </w:rPr>
        <w:t xml:space="preserve">Capital Funding </w:t>
      </w:r>
      <w:r w:rsidR="009146FA">
        <w:rPr>
          <w:i/>
          <w:iCs/>
        </w:rPr>
        <w:t>Indexation</w:t>
      </w:r>
      <w:r w:rsidR="00787B5F" w:rsidRPr="006C22A2">
        <w:rPr>
          <w:i/>
          <w:iCs/>
        </w:rPr>
        <w:t>)</w:t>
      </w:r>
      <w:r w:rsidRPr="006C22A2">
        <w:rPr>
          <w:i/>
          <w:iCs/>
        </w:rPr>
        <w:t xml:space="preserve"> Regulation</w:t>
      </w:r>
      <w:r w:rsidR="00BD2448" w:rsidRPr="006C22A2">
        <w:rPr>
          <w:i/>
          <w:iCs/>
        </w:rPr>
        <w:t>s</w:t>
      </w:r>
      <w:r w:rsidRPr="006C22A2">
        <w:rPr>
          <w:i/>
          <w:iCs/>
        </w:rPr>
        <w:t xml:space="preserve"> 20</w:t>
      </w:r>
      <w:r w:rsidR="000714F7" w:rsidRPr="006C22A2">
        <w:rPr>
          <w:i/>
          <w:iCs/>
        </w:rPr>
        <w:t>2</w:t>
      </w:r>
      <w:r w:rsidR="009146FA">
        <w:rPr>
          <w:i/>
          <w:iCs/>
        </w:rPr>
        <w:t>2</w:t>
      </w:r>
    </w:p>
    <w:bookmarkEnd w:id="0"/>
    <w:p w14:paraId="307AD69B" w14:textId="77777777" w:rsidR="00AA4E4C" w:rsidRPr="006C22A2" w:rsidRDefault="00AA4E4C" w:rsidP="00733D9C">
      <w:pPr>
        <w:tabs>
          <w:tab w:val="left" w:pos="1080"/>
        </w:tabs>
        <w:ind w:left="960" w:hanging="960"/>
        <w:rPr>
          <w:i/>
          <w:iCs/>
        </w:rPr>
      </w:pPr>
    </w:p>
    <w:p w14:paraId="7387D0F2" w14:textId="77777777" w:rsidR="0045555D" w:rsidRPr="006C22A2" w:rsidRDefault="0045555D" w:rsidP="0045555D">
      <w:pPr>
        <w:pStyle w:val="Heading2"/>
        <w:rPr>
          <w:rFonts w:ascii="Times New Roman" w:hAnsi="Times New Roman"/>
        </w:rPr>
      </w:pPr>
      <w:r w:rsidRPr="006C22A2">
        <w:rPr>
          <w:rFonts w:ascii="Times New Roman" w:hAnsi="Times New Roman"/>
        </w:rPr>
        <w:t>Authority</w:t>
      </w:r>
    </w:p>
    <w:p w14:paraId="3C67CF8C" w14:textId="74AA35A0" w:rsidR="0045555D" w:rsidRPr="006C22A2" w:rsidRDefault="0045555D" w:rsidP="0045555D">
      <w:r w:rsidRPr="006C22A2">
        <w:t xml:space="preserve">Subsection 130(1) of the </w:t>
      </w:r>
      <w:r w:rsidRPr="006C22A2">
        <w:rPr>
          <w:i/>
        </w:rPr>
        <w:t>Australian Education Act 2013</w:t>
      </w:r>
      <w:r w:rsidRPr="006C22A2">
        <w:t xml:space="preserve"> (the Act) empowers the </w:t>
      </w:r>
      <w:r w:rsidR="003973EA">
        <w:t>Governor</w:t>
      </w:r>
      <w:r w:rsidR="003973EA">
        <w:noBreakHyphen/>
      </w:r>
      <w:r w:rsidRPr="006C22A2">
        <w:t xml:space="preserve">General to make regulations prescribing matters required or permitted by the Act to be prescribed by the regulations, or necessary or convenient to be prescribed for carrying out or giving effect to the Act. </w:t>
      </w:r>
      <w:r w:rsidR="00CA3467">
        <w:t>Subsection 68(3) provides for the regulations to prescribe a</w:t>
      </w:r>
      <w:r w:rsidR="008F3A2A">
        <w:t> </w:t>
      </w:r>
      <w:r w:rsidR="00CA3467">
        <w:t>percentage that is the indexation percentage for the purposes of subsection 68(2).</w:t>
      </w:r>
    </w:p>
    <w:p w14:paraId="7591FC9B" w14:textId="77777777" w:rsidR="0045555D" w:rsidRPr="006C22A2" w:rsidRDefault="0045555D" w:rsidP="0045555D">
      <w:r w:rsidRPr="006C22A2">
        <w:t xml:space="preserve">Under subsection 33(3) of the </w:t>
      </w:r>
      <w:r w:rsidRPr="006C22A2">
        <w:rPr>
          <w:i/>
        </w:rPr>
        <w:t>Acts Interpretation Act 1901</w:t>
      </w:r>
      <w:r w:rsidRPr="006C22A2">
        <w:t xml:space="preserve">, where an Act confers a power to make, grant or issue any instrument of a legislative or administrative character (including rules, </w:t>
      </w:r>
      <w:proofErr w:type="gramStart"/>
      <w:r w:rsidRPr="006C22A2">
        <w:t>regulations</w:t>
      </w:r>
      <w:proofErr w:type="gramEnd"/>
      <w:r w:rsidRPr="006C22A2">
        <w:t xml:space="preserve"> or by-laws), the power shall be construed as including a power exercisable in the like manner and subject to the like conditions (if any) to repeal, rescind, revoke, amend, or vary any such instrument.</w:t>
      </w:r>
    </w:p>
    <w:p w14:paraId="7C94C2D6" w14:textId="77777777" w:rsidR="0045555D" w:rsidRPr="006C22A2" w:rsidRDefault="0045555D" w:rsidP="0045555D">
      <w:pPr>
        <w:pStyle w:val="Heading2"/>
        <w:rPr>
          <w:rFonts w:ascii="Times New Roman" w:hAnsi="Times New Roman"/>
        </w:rPr>
      </w:pPr>
      <w:r w:rsidRPr="006C22A2">
        <w:rPr>
          <w:rFonts w:ascii="Times New Roman" w:hAnsi="Times New Roman"/>
        </w:rPr>
        <w:t>Legislative background</w:t>
      </w:r>
    </w:p>
    <w:p w14:paraId="720387BF" w14:textId="1D9E188F" w:rsidR="0045555D" w:rsidRDefault="0045555D" w:rsidP="0045555D">
      <w:r w:rsidRPr="006C22A2">
        <w:t>The Act is the principal legislation by which the Australian Government provides Commonwealth financial assistance for schools.</w:t>
      </w:r>
    </w:p>
    <w:p w14:paraId="5520D9A6" w14:textId="3B04D3BE" w:rsidR="000C0261" w:rsidRPr="006C22A2" w:rsidRDefault="000C0261" w:rsidP="0045555D">
      <w:bookmarkStart w:id="1" w:name="_Hlk109899608"/>
      <w:r w:rsidRPr="000C0261">
        <w:t>Under the Act, capital funding for non-government schools is provided to the relevant block grant authority for such a school. A block grant authority is a body corporate that is approved for a non-government school by the Minister under the Act. Entities approved to receive financial assistance under the Act, including block grant authorities, must comply with the conditions of approval outlined in the Act</w:t>
      </w:r>
      <w:r w:rsidR="00B213E7">
        <w:t>.</w:t>
      </w:r>
    </w:p>
    <w:bookmarkEnd w:id="1"/>
    <w:p w14:paraId="7D18CDF2" w14:textId="3D878194" w:rsidR="0045555D" w:rsidRPr="006C22A2" w:rsidRDefault="0045555D" w:rsidP="0045555D">
      <w:r w:rsidRPr="006C22A2">
        <w:t xml:space="preserve">The </w:t>
      </w:r>
      <w:r w:rsidRPr="006C22A2">
        <w:rPr>
          <w:i/>
        </w:rPr>
        <w:t>Australian Education Regulation 2013</w:t>
      </w:r>
      <w:r w:rsidRPr="006C22A2">
        <w:t xml:space="preserve"> (the Principal Regulation) contains </w:t>
      </w:r>
      <w:proofErr w:type="gramStart"/>
      <w:r w:rsidRPr="006C22A2">
        <w:t>a number of</w:t>
      </w:r>
      <w:proofErr w:type="gramEnd"/>
      <w:r w:rsidRPr="006C22A2">
        <w:t xml:space="preserve"> provisions on matters concerning conditions and calculations of grants of Commonwealth financial assistance to </w:t>
      </w:r>
      <w:r w:rsidR="000714F7" w:rsidRPr="006C22A2">
        <w:t>s</w:t>
      </w:r>
      <w:r w:rsidRPr="006C22A2">
        <w:t xml:space="preserve">tates and </w:t>
      </w:r>
      <w:r w:rsidR="000714F7" w:rsidRPr="006C22A2">
        <w:t>t</w:t>
      </w:r>
      <w:r w:rsidRPr="006C22A2">
        <w:t>erritories for schools, matters relevant to the effective and efficient administration of that assistance, and matters relevant to the provision of prescribed circumstances funding under the Act.</w:t>
      </w:r>
    </w:p>
    <w:p w14:paraId="3BA1C5BC" w14:textId="77777777" w:rsidR="0045555D" w:rsidRPr="006C22A2" w:rsidRDefault="0045555D" w:rsidP="0045555D">
      <w:r w:rsidRPr="006C22A2">
        <w:t>The Act and Principal Regulation commenced on 1 January 2014.</w:t>
      </w:r>
    </w:p>
    <w:p w14:paraId="482B8AD9" w14:textId="77777777" w:rsidR="00732EB8" w:rsidRPr="006C22A2" w:rsidRDefault="00AE456A" w:rsidP="00AD04F0">
      <w:pPr>
        <w:pStyle w:val="Heading2"/>
        <w:rPr>
          <w:rFonts w:ascii="Times New Roman" w:hAnsi="Times New Roman"/>
        </w:rPr>
      </w:pPr>
      <w:r w:rsidRPr="006C22A2">
        <w:rPr>
          <w:rFonts w:ascii="Times New Roman" w:hAnsi="Times New Roman"/>
        </w:rPr>
        <w:t xml:space="preserve">Purpose </w:t>
      </w:r>
      <w:r w:rsidR="004902D0" w:rsidRPr="006C22A2">
        <w:rPr>
          <w:rFonts w:ascii="Times New Roman" w:hAnsi="Times New Roman"/>
        </w:rPr>
        <w:t xml:space="preserve">and operation </w:t>
      </w:r>
      <w:r w:rsidR="00AD04F0" w:rsidRPr="006C22A2">
        <w:rPr>
          <w:rFonts w:ascii="Times New Roman" w:hAnsi="Times New Roman"/>
        </w:rPr>
        <w:t xml:space="preserve">of </w:t>
      </w:r>
      <w:r w:rsidRPr="006C22A2">
        <w:rPr>
          <w:rFonts w:ascii="Times New Roman" w:hAnsi="Times New Roman"/>
        </w:rPr>
        <w:t>amendments</w:t>
      </w:r>
    </w:p>
    <w:p w14:paraId="1F164CD4" w14:textId="60758DB6" w:rsidR="00C1364D" w:rsidRDefault="007C5061" w:rsidP="00B911E5">
      <w:pPr>
        <w:rPr>
          <w:lang w:val="en-US"/>
        </w:rPr>
      </w:pPr>
      <w:r w:rsidRPr="006C22A2">
        <w:t xml:space="preserve">The purpose of </w:t>
      </w:r>
      <w:r w:rsidRPr="006C22A2">
        <w:rPr>
          <w:lang w:val="en-US"/>
        </w:rPr>
        <w:t xml:space="preserve">the </w:t>
      </w:r>
      <w:r w:rsidRPr="00B66D1A">
        <w:rPr>
          <w:i/>
          <w:iCs/>
        </w:rPr>
        <w:t xml:space="preserve">Australian </w:t>
      </w:r>
      <w:r w:rsidR="009146FA" w:rsidRPr="009146FA">
        <w:rPr>
          <w:i/>
          <w:iCs/>
        </w:rPr>
        <w:t xml:space="preserve">Education Amendment (2022 Capital Funding Indexation) Regulations 2022 </w:t>
      </w:r>
      <w:r w:rsidRPr="006C22A2">
        <w:rPr>
          <w:lang w:val="en-US"/>
        </w:rPr>
        <w:t xml:space="preserve">(the </w:t>
      </w:r>
      <w:r w:rsidR="00443E40" w:rsidRPr="006C22A2">
        <w:rPr>
          <w:lang w:val="en-US"/>
        </w:rPr>
        <w:t>Amendment</w:t>
      </w:r>
      <w:r w:rsidRPr="006C22A2">
        <w:rPr>
          <w:lang w:val="en-US"/>
        </w:rPr>
        <w:t xml:space="preserve"> Regulations) is to prescribe</w:t>
      </w:r>
      <w:r w:rsidR="00C1364D">
        <w:rPr>
          <w:lang w:val="en-US"/>
        </w:rPr>
        <w:t xml:space="preserve"> the</w:t>
      </w:r>
      <w:r w:rsidR="00C1364D" w:rsidRPr="00C1364D">
        <w:rPr>
          <w:lang w:val="en-US"/>
        </w:rPr>
        <w:t xml:space="preserve"> capital funding indexation percentage for block grant authorities for non-government schools in 2022</w:t>
      </w:r>
      <w:r w:rsidR="00C1364D">
        <w:rPr>
          <w:lang w:val="en-US"/>
        </w:rPr>
        <w:t xml:space="preserve">. </w:t>
      </w:r>
    </w:p>
    <w:p w14:paraId="70F295CD" w14:textId="719B6248" w:rsidR="00AB5D03" w:rsidRPr="00132692" w:rsidRDefault="00C1364D" w:rsidP="00B911E5">
      <w:r w:rsidRPr="00132692">
        <w:t>The indexation percentage for 2022 will be set at 108.7</w:t>
      </w:r>
      <w:r w:rsidR="00594F18" w:rsidRPr="00132692">
        <w:t>5</w:t>
      </w:r>
      <w:r w:rsidR="007E5135" w:rsidRPr="00132692">
        <w:t>%</w:t>
      </w:r>
      <w:r w:rsidRPr="00132692">
        <w:t xml:space="preserve"> under </w:t>
      </w:r>
      <w:r w:rsidR="00D01B49">
        <w:t>paragraph</w:t>
      </w:r>
      <w:r w:rsidRPr="00132692">
        <w:t xml:space="preserve"> 68(3)(b) of the Act. </w:t>
      </w:r>
    </w:p>
    <w:p w14:paraId="58986708" w14:textId="5901BF9F" w:rsidR="000B46E9" w:rsidRPr="00664477" w:rsidRDefault="000B46E9" w:rsidP="000B46E9">
      <w:r w:rsidRPr="00664477">
        <w:t>In</w:t>
      </w:r>
      <w:r w:rsidRPr="00664477">
        <w:rPr>
          <w:lang w:val="en-US"/>
        </w:rPr>
        <w:t xml:space="preserve"> </w:t>
      </w:r>
      <w:r w:rsidR="00132692" w:rsidRPr="00664477">
        <w:rPr>
          <w:lang w:val="en-US"/>
        </w:rPr>
        <w:t xml:space="preserve">calculating </w:t>
      </w:r>
      <w:r w:rsidRPr="00664477">
        <w:rPr>
          <w:lang w:val="en-US"/>
        </w:rPr>
        <w:t xml:space="preserve">the indexation percentage for 2022, the Minister for Education considered </w:t>
      </w:r>
      <w:r w:rsidRPr="00664477">
        <w:t>changes in indexes of building prices and wage costs and changes in student enrolments in non-government schools.</w:t>
      </w:r>
    </w:p>
    <w:p w14:paraId="00596478" w14:textId="77EA6FD9" w:rsidR="00132692" w:rsidRPr="00897A93" w:rsidRDefault="000B46E9" w:rsidP="00132692">
      <w:pPr>
        <w:pStyle w:val="ListParagraph"/>
        <w:numPr>
          <w:ilvl w:val="0"/>
          <w:numId w:val="7"/>
        </w:numPr>
      </w:pPr>
      <w:r w:rsidRPr="00897A93">
        <w:lastRenderedPageBreak/>
        <w:t>The index</w:t>
      </w:r>
      <w:r w:rsidR="00132692" w:rsidRPr="00897A93">
        <w:t>es</w:t>
      </w:r>
      <w:r w:rsidRPr="00897A93">
        <w:t xml:space="preserve"> used for determining movement in wages prices and building costs </w:t>
      </w:r>
      <w:r w:rsidR="00664477" w:rsidRPr="00897A93">
        <w:t>is</w:t>
      </w:r>
      <w:r w:rsidRPr="00897A93">
        <w:t xml:space="preserve"> the Australian Bureau of Statistics (ABS) Producer Price Index Non-Residential Building Construction</w:t>
      </w:r>
      <w:r w:rsidR="00132692" w:rsidRPr="00897A93">
        <w:t xml:space="preserve">, and student enrolments in non-government schools is the ABS </w:t>
      </w:r>
      <w:r w:rsidR="00132692" w:rsidRPr="00897A93">
        <w:rPr>
          <w:i/>
          <w:iCs/>
        </w:rPr>
        <w:t>Schools, Australia</w:t>
      </w:r>
      <w:r w:rsidR="00132692" w:rsidRPr="00897A93">
        <w:t xml:space="preserve"> dataset.</w:t>
      </w:r>
    </w:p>
    <w:p w14:paraId="679A3054" w14:textId="0645ACC7" w:rsidR="00C1364D" w:rsidRDefault="00C1364D" w:rsidP="00B911E5">
      <w:pPr>
        <w:rPr>
          <w:lang w:val="en-US"/>
        </w:rPr>
      </w:pPr>
      <w:r w:rsidRPr="00C1364D">
        <w:rPr>
          <w:lang w:val="en-US"/>
        </w:rPr>
        <w:t xml:space="preserve">The capital </w:t>
      </w:r>
      <w:r w:rsidRPr="005159DA">
        <w:rPr>
          <w:lang w:val="en-US"/>
        </w:rPr>
        <w:t xml:space="preserve">funding amount to be allocated to </w:t>
      </w:r>
      <w:r w:rsidR="007E5135" w:rsidRPr="005159DA">
        <w:rPr>
          <w:lang w:val="en-US"/>
        </w:rPr>
        <w:t xml:space="preserve">block grant authorities </w:t>
      </w:r>
      <w:r w:rsidRPr="005159DA">
        <w:rPr>
          <w:lang w:val="en-US"/>
        </w:rPr>
        <w:t>for 2022 is $194,4</w:t>
      </w:r>
      <w:r w:rsidR="000C0261">
        <w:rPr>
          <w:lang w:val="en-US"/>
        </w:rPr>
        <w:t>92</w:t>
      </w:r>
      <w:r w:rsidRPr="005159DA">
        <w:rPr>
          <w:lang w:val="en-US"/>
        </w:rPr>
        <w:t>,000. This is an increase of $15,</w:t>
      </w:r>
      <w:r w:rsidR="000C0261">
        <w:rPr>
          <w:lang w:val="en-US"/>
        </w:rPr>
        <w:t>647</w:t>
      </w:r>
      <w:r w:rsidRPr="005159DA">
        <w:rPr>
          <w:lang w:val="en-US"/>
        </w:rPr>
        <w:t xml:space="preserve">,000 over the 2021 </w:t>
      </w:r>
      <w:r w:rsidR="005E6522" w:rsidRPr="005159DA">
        <w:rPr>
          <w:lang w:val="en-US"/>
        </w:rPr>
        <w:t xml:space="preserve">base assistance </w:t>
      </w:r>
      <w:r w:rsidRPr="005159DA">
        <w:rPr>
          <w:lang w:val="en-US"/>
        </w:rPr>
        <w:t>amount of $178,845,000.</w:t>
      </w:r>
      <w:r w:rsidR="0060712F">
        <w:rPr>
          <w:lang w:val="en-US"/>
        </w:rPr>
        <w:t xml:space="preserve"> </w:t>
      </w:r>
      <w:r w:rsidR="0060712F" w:rsidRPr="0060712F">
        <w:t>The indexation percentage reflects year-on-year movement, from 2020 to 2021, in building prices and wage costs and changes to full-time equivalent student enrolments in non-government schools. Annual indexation ensures the capital funding amount retains its value.</w:t>
      </w:r>
    </w:p>
    <w:p w14:paraId="3A7DBBEC" w14:textId="6E8A1D28" w:rsidR="005E6522" w:rsidRDefault="005E6522" w:rsidP="00B911E5">
      <w:pPr>
        <w:rPr>
          <w:lang w:val="en-US"/>
        </w:rPr>
      </w:pPr>
      <w:r>
        <w:rPr>
          <w:lang w:val="en-US"/>
        </w:rPr>
        <w:t xml:space="preserve">The indexation percentage </w:t>
      </w:r>
      <w:r w:rsidR="00557E14">
        <w:rPr>
          <w:lang w:val="en-US"/>
        </w:rPr>
        <w:t xml:space="preserve">was most recently </w:t>
      </w:r>
      <w:r>
        <w:rPr>
          <w:lang w:val="en-US"/>
        </w:rPr>
        <w:t xml:space="preserve">prescribed in 2017. </w:t>
      </w:r>
      <w:r w:rsidRPr="005E6522">
        <w:rPr>
          <w:lang w:val="en-US"/>
        </w:rPr>
        <w:t>From 2018</w:t>
      </w:r>
      <w:r w:rsidR="00557E14">
        <w:rPr>
          <w:lang w:val="en-US"/>
        </w:rPr>
        <w:t> </w:t>
      </w:r>
      <w:r w:rsidRPr="005E6522">
        <w:rPr>
          <w:lang w:val="en-US"/>
        </w:rPr>
        <w:t>to</w:t>
      </w:r>
      <w:r w:rsidR="00557E14">
        <w:rPr>
          <w:lang w:val="en-US"/>
        </w:rPr>
        <w:t> </w:t>
      </w:r>
      <w:r w:rsidRPr="005E6522">
        <w:rPr>
          <w:lang w:val="en-US"/>
        </w:rPr>
        <w:t>2021 the base assistance amount for capital funding was updated</w:t>
      </w:r>
      <w:r w:rsidR="00557E14">
        <w:rPr>
          <w:lang w:val="en-US"/>
        </w:rPr>
        <w:t xml:space="preserve"> by </w:t>
      </w:r>
      <w:r w:rsidR="00160BCA">
        <w:rPr>
          <w:lang w:val="en-US"/>
        </w:rPr>
        <w:t>amendments to the Principal Regulation</w:t>
      </w:r>
      <w:r w:rsidRPr="005E6522">
        <w:rPr>
          <w:lang w:val="en-US"/>
        </w:rPr>
        <w:t>.</w:t>
      </w:r>
    </w:p>
    <w:p w14:paraId="7BA43848" w14:textId="201FAEE8" w:rsidR="00B15219" w:rsidRPr="006C22A2" w:rsidRDefault="00492EBF" w:rsidP="00AD04F0">
      <w:pPr>
        <w:pStyle w:val="Heading2"/>
        <w:rPr>
          <w:rFonts w:ascii="Times New Roman" w:hAnsi="Times New Roman"/>
        </w:rPr>
      </w:pPr>
      <w:r w:rsidRPr="006C22A2">
        <w:rPr>
          <w:rFonts w:ascii="Times New Roman" w:hAnsi="Times New Roman"/>
        </w:rPr>
        <w:t>Regulation Impact Statement</w:t>
      </w:r>
    </w:p>
    <w:p w14:paraId="66102607" w14:textId="7816BE3D" w:rsidR="005E7458" w:rsidRPr="006C22A2" w:rsidRDefault="00E343AE" w:rsidP="00AD04F0">
      <w:r w:rsidRPr="006C22A2">
        <w:t>The Office of Be</w:t>
      </w:r>
      <w:r w:rsidR="007A000E" w:rsidRPr="006C22A2">
        <w:t>st Practice Regulation</w:t>
      </w:r>
      <w:r w:rsidR="007E5135">
        <w:t xml:space="preserve"> (OBPR)</w:t>
      </w:r>
      <w:r w:rsidR="007A000E" w:rsidRPr="006C22A2">
        <w:t xml:space="preserve"> has agreed a </w:t>
      </w:r>
      <w:r w:rsidR="00E20047" w:rsidRPr="006C22A2">
        <w:t>Regulation Impact Statement is not required in relation to the 20</w:t>
      </w:r>
      <w:r w:rsidR="00A57592" w:rsidRPr="006C22A2">
        <w:t>2</w:t>
      </w:r>
      <w:r w:rsidR="00AB5D03">
        <w:t>2</w:t>
      </w:r>
      <w:r w:rsidR="00E20047" w:rsidRPr="006C22A2">
        <w:t xml:space="preserve"> capital </w:t>
      </w:r>
      <w:r w:rsidR="00E369FC">
        <w:t>funding indexation percentage</w:t>
      </w:r>
      <w:r w:rsidR="00E20047" w:rsidRPr="006C22A2">
        <w:t xml:space="preserve"> (OB</w:t>
      </w:r>
      <w:r w:rsidR="00DE0A36">
        <w:t>PR</w:t>
      </w:r>
      <w:r w:rsidR="00E20047" w:rsidRPr="006C22A2">
        <w:t xml:space="preserve"> reference 21846).</w:t>
      </w:r>
      <w:r w:rsidR="000F7D7E" w:rsidRPr="006C22A2">
        <w:t xml:space="preserve"> </w:t>
      </w:r>
    </w:p>
    <w:p w14:paraId="148FCEC2" w14:textId="77777777" w:rsidR="00AA4E4C" w:rsidRPr="006C22A2" w:rsidRDefault="00AA4E4C" w:rsidP="00AD04F0">
      <w:pPr>
        <w:pStyle w:val="Heading2"/>
        <w:rPr>
          <w:rFonts w:ascii="Times New Roman" w:hAnsi="Times New Roman"/>
        </w:rPr>
      </w:pPr>
      <w:r w:rsidRPr="006C22A2">
        <w:rPr>
          <w:rFonts w:ascii="Times New Roman" w:hAnsi="Times New Roman"/>
        </w:rPr>
        <w:t>Commencement</w:t>
      </w:r>
    </w:p>
    <w:p w14:paraId="6BFBB7C0" w14:textId="07F6A9B8" w:rsidR="00105E62" w:rsidRPr="006C22A2" w:rsidRDefault="00C65E73" w:rsidP="00AD04F0">
      <w:r w:rsidRPr="006C22A2">
        <w:t>The</w:t>
      </w:r>
      <w:r w:rsidR="00105E62" w:rsidRPr="006C22A2">
        <w:t xml:space="preserve"> Amendment Regulation</w:t>
      </w:r>
      <w:r w:rsidR="00AD04F0" w:rsidRPr="006C22A2">
        <w:t>s</w:t>
      </w:r>
      <w:r w:rsidR="00105E62" w:rsidRPr="006C22A2">
        <w:t xml:space="preserve"> </w:t>
      </w:r>
      <w:r w:rsidR="00DC3FB9">
        <w:t xml:space="preserve">will </w:t>
      </w:r>
      <w:r w:rsidR="00105E62" w:rsidRPr="006C22A2">
        <w:t xml:space="preserve">commence on the day after </w:t>
      </w:r>
      <w:r w:rsidR="00594F18">
        <w:t>the instrument</w:t>
      </w:r>
      <w:r w:rsidR="00594F18" w:rsidRPr="006C22A2">
        <w:t xml:space="preserve"> </w:t>
      </w:r>
      <w:r w:rsidR="00105E62" w:rsidRPr="006C22A2">
        <w:t>is registered on the Federal Register of Legislation.</w:t>
      </w:r>
    </w:p>
    <w:p w14:paraId="32C52155" w14:textId="77777777" w:rsidR="008D72AE" w:rsidRPr="006C22A2" w:rsidRDefault="008D72AE" w:rsidP="00AD04F0">
      <w:pPr>
        <w:pStyle w:val="Heading2"/>
        <w:rPr>
          <w:rFonts w:ascii="Times New Roman" w:hAnsi="Times New Roman"/>
        </w:rPr>
      </w:pPr>
      <w:r w:rsidRPr="006C22A2">
        <w:rPr>
          <w:rFonts w:ascii="Times New Roman" w:hAnsi="Times New Roman"/>
        </w:rPr>
        <w:t>Consultation</w:t>
      </w:r>
    </w:p>
    <w:p w14:paraId="543917CC" w14:textId="01B284E5" w:rsidR="000C0261" w:rsidRPr="000C0261" w:rsidRDefault="008C234E" w:rsidP="000B46E9">
      <w:pPr>
        <w:rPr>
          <w:szCs w:val="20"/>
        </w:rPr>
      </w:pPr>
      <w:r w:rsidRPr="006C22A2">
        <w:t xml:space="preserve">The </w:t>
      </w:r>
      <w:r w:rsidRPr="004924AA">
        <w:t>Minister</w:t>
      </w:r>
      <w:r w:rsidRPr="006C22A2">
        <w:t xml:space="preserve"> for Education</w:t>
      </w:r>
      <w:r w:rsidR="00DC3FB9">
        <w:t xml:space="preserve"> </w:t>
      </w:r>
      <w:r w:rsidRPr="006C22A2">
        <w:t xml:space="preserve">wrote to all </w:t>
      </w:r>
      <w:r w:rsidR="00A57592" w:rsidRPr="006C22A2">
        <w:t>s</w:t>
      </w:r>
      <w:r w:rsidRPr="006C22A2">
        <w:t xml:space="preserve">tate and </w:t>
      </w:r>
      <w:r w:rsidR="00A57592" w:rsidRPr="006C22A2">
        <w:t>t</w:t>
      </w:r>
      <w:r w:rsidRPr="006C22A2">
        <w:t xml:space="preserve">erritory </w:t>
      </w:r>
      <w:r w:rsidR="00DC3FB9">
        <w:t>E</w:t>
      </w:r>
      <w:r w:rsidRPr="006C22A2">
        <w:t xml:space="preserve">ducation </w:t>
      </w:r>
      <w:r w:rsidR="00170212">
        <w:t>M</w:t>
      </w:r>
      <w:r w:rsidRPr="006C22A2">
        <w:t xml:space="preserve">inisters, </w:t>
      </w:r>
      <w:r w:rsidRPr="00D31365">
        <w:t>Independent Schools Australia</w:t>
      </w:r>
      <w:r w:rsidR="000C0261">
        <w:t>,</w:t>
      </w:r>
      <w:r w:rsidRPr="00D31365">
        <w:t xml:space="preserve"> </w:t>
      </w:r>
      <w:r w:rsidR="00E234EC">
        <w:t xml:space="preserve">and </w:t>
      </w:r>
      <w:r w:rsidRPr="00613C4B">
        <w:t>the National Catholic Education Commission</w:t>
      </w:r>
      <w:bookmarkStart w:id="2" w:name="_Hlk102400293"/>
      <w:r w:rsidR="007B0F3D" w:rsidRPr="00613C4B">
        <w:t xml:space="preserve"> </w:t>
      </w:r>
      <w:bookmarkEnd w:id="2"/>
      <w:r w:rsidR="000C0261" w:rsidRPr="00613C4B">
        <w:rPr>
          <w:szCs w:val="20"/>
        </w:rPr>
        <w:t xml:space="preserve">(NCEC) on 6 July 2022 to formally consult on the </w:t>
      </w:r>
      <w:r w:rsidR="00A21928">
        <w:rPr>
          <w:szCs w:val="20"/>
        </w:rPr>
        <w:t xml:space="preserve">Amendment </w:t>
      </w:r>
      <w:r w:rsidR="000C0261" w:rsidRPr="00613C4B">
        <w:rPr>
          <w:szCs w:val="20"/>
        </w:rPr>
        <w:t xml:space="preserve">Regulations. </w:t>
      </w:r>
      <w:bookmarkStart w:id="3" w:name="_Hlk109202325"/>
      <w:r w:rsidR="000C0261" w:rsidRPr="00613C4B">
        <w:rPr>
          <w:szCs w:val="20"/>
        </w:rPr>
        <w:t xml:space="preserve">The Department of Education incorporated input from NCEC that resulted in a minor funding variation to the proposed update to the Principal Regulation. </w:t>
      </w:r>
      <w:bookmarkEnd w:id="3"/>
      <w:r w:rsidR="00132692" w:rsidRPr="00613C4B">
        <w:t>The Department of Education also received responses that were supportive of the proposed update to the Principal Regulation.</w:t>
      </w:r>
    </w:p>
    <w:p w14:paraId="45A50276" w14:textId="77777777" w:rsidR="000816D4" w:rsidRPr="006C22A2" w:rsidRDefault="000816D4" w:rsidP="008F51D3"/>
    <w:p w14:paraId="665C54B0" w14:textId="77777777" w:rsidR="000816D4" w:rsidRPr="006C22A2" w:rsidRDefault="000816D4" w:rsidP="008F51D3"/>
    <w:p w14:paraId="7F29CC62" w14:textId="77777777" w:rsidR="000816D4" w:rsidRPr="006C22A2" w:rsidRDefault="000816D4" w:rsidP="008F51D3"/>
    <w:p w14:paraId="0192D3C0" w14:textId="77777777" w:rsidR="000816D4" w:rsidRPr="006C22A2" w:rsidRDefault="000816D4" w:rsidP="008F51D3"/>
    <w:p w14:paraId="78D221DF" w14:textId="77777777" w:rsidR="000816D4" w:rsidRPr="006C22A2" w:rsidRDefault="000816D4" w:rsidP="008F51D3"/>
    <w:p w14:paraId="306A5FE6" w14:textId="77777777" w:rsidR="000816D4" w:rsidRPr="006C22A2" w:rsidRDefault="000816D4" w:rsidP="008F51D3"/>
    <w:p w14:paraId="7BEDD18B" w14:textId="77777777" w:rsidR="000816D4" w:rsidRPr="006C22A2" w:rsidRDefault="000816D4" w:rsidP="008F51D3"/>
    <w:p w14:paraId="6D8CBD46" w14:textId="77777777" w:rsidR="000816D4" w:rsidRPr="006C22A2" w:rsidRDefault="000816D4" w:rsidP="008F51D3"/>
    <w:p w14:paraId="4B462954" w14:textId="77777777" w:rsidR="000816D4" w:rsidRPr="006C22A2" w:rsidRDefault="000816D4" w:rsidP="008F51D3"/>
    <w:p w14:paraId="5DAC61F1" w14:textId="77777777" w:rsidR="000816D4" w:rsidRPr="006C22A2" w:rsidRDefault="000816D4" w:rsidP="008F51D3"/>
    <w:p w14:paraId="39364001" w14:textId="77777777" w:rsidR="000816D4" w:rsidRPr="006C22A2" w:rsidRDefault="000816D4" w:rsidP="008F51D3"/>
    <w:p w14:paraId="71423DF4" w14:textId="77777777" w:rsidR="008F3832" w:rsidRPr="006C22A2" w:rsidRDefault="008F3832">
      <w:pPr>
        <w:spacing w:before="0" w:after="200" w:line="276" w:lineRule="auto"/>
      </w:pPr>
      <w:r w:rsidRPr="006C22A2">
        <w:br w:type="page"/>
      </w:r>
    </w:p>
    <w:p w14:paraId="154FA072" w14:textId="77777777" w:rsidR="004C5A9C" w:rsidRPr="006C22A2" w:rsidRDefault="004C5A9C" w:rsidP="007E60D1"/>
    <w:p w14:paraId="2ACAF0FC" w14:textId="77777777" w:rsidR="00826B30" w:rsidRPr="006C22A2" w:rsidRDefault="00826B30" w:rsidP="00733D9C">
      <w:pPr>
        <w:ind w:right="-285"/>
        <w:jc w:val="center"/>
        <w:rPr>
          <w:b/>
          <w:u w:val="single"/>
        </w:rPr>
      </w:pPr>
      <w:r w:rsidRPr="006C22A2">
        <w:rPr>
          <w:b/>
          <w:u w:val="single"/>
        </w:rPr>
        <w:t>Statement of Compatibility with Human Rights</w:t>
      </w:r>
    </w:p>
    <w:p w14:paraId="468BB688" w14:textId="77777777" w:rsidR="00826B30" w:rsidRPr="006C22A2" w:rsidRDefault="00826B30" w:rsidP="002A7ACB">
      <w:pPr>
        <w:jc w:val="center"/>
      </w:pPr>
      <w:r w:rsidRPr="006C22A2">
        <w:t xml:space="preserve">Prepared in accordance with Part 3 of the </w:t>
      </w:r>
      <w:r w:rsidRPr="006C22A2">
        <w:rPr>
          <w:i/>
        </w:rPr>
        <w:t>Human Rights (Parliamentary Scrutiny) Act 2011</w:t>
      </w:r>
    </w:p>
    <w:p w14:paraId="78E66814" w14:textId="4F67A73C" w:rsidR="00747812" w:rsidRPr="006C22A2" w:rsidRDefault="009146FA" w:rsidP="002A7ACB">
      <w:pPr>
        <w:jc w:val="center"/>
        <w:rPr>
          <w:i/>
        </w:rPr>
      </w:pPr>
      <w:r w:rsidRPr="009146FA">
        <w:rPr>
          <w:i/>
          <w:iCs/>
        </w:rPr>
        <w:t>Australian Education Amendment (2022 Capital Funding Indexation) Regulations 2022</w:t>
      </w:r>
    </w:p>
    <w:p w14:paraId="3A33BDF4" w14:textId="59610C41" w:rsidR="00826B30" w:rsidRPr="006C22A2" w:rsidRDefault="00C37AEA" w:rsidP="00733D9C">
      <w:pPr>
        <w:spacing w:before="240"/>
      </w:pPr>
      <w:r w:rsidRPr="006C22A2">
        <w:t xml:space="preserve">The </w:t>
      </w:r>
      <w:r w:rsidR="009146FA" w:rsidRPr="009146FA">
        <w:rPr>
          <w:i/>
        </w:rPr>
        <w:t xml:space="preserve">Australian Education Amendment (2022 Capital Funding Indexation) Regulations 2022 </w:t>
      </w:r>
      <w:r w:rsidRPr="006C22A2">
        <w:t>(</w:t>
      </w:r>
      <w:r w:rsidR="007B7ED3" w:rsidRPr="006C22A2">
        <w:t>Amendment Regulations</w:t>
      </w:r>
      <w:r w:rsidRPr="006C22A2">
        <w:t xml:space="preserve">) </w:t>
      </w:r>
      <w:r w:rsidR="00826B30" w:rsidRPr="006C22A2">
        <w:t xml:space="preserve">is compatible with the human rights and freedoms recognised or declared in the international instruments listed in section 3 of the </w:t>
      </w:r>
      <w:r w:rsidR="00826B30" w:rsidRPr="006C22A2">
        <w:rPr>
          <w:i/>
        </w:rPr>
        <w:t>Human Rights (Parliamentary Scrutiny) Act 2011</w:t>
      </w:r>
      <w:r w:rsidR="00826B30" w:rsidRPr="006C22A2">
        <w:t>.</w:t>
      </w:r>
    </w:p>
    <w:p w14:paraId="6E0B08B0" w14:textId="77777777" w:rsidR="00F273A8" w:rsidRPr="006C22A2" w:rsidRDefault="00B900C4" w:rsidP="00963869">
      <w:pPr>
        <w:pStyle w:val="Heading2"/>
        <w:rPr>
          <w:rFonts w:ascii="Times New Roman" w:hAnsi="Times New Roman"/>
        </w:rPr>
      </w:pPr>
      <w:r w:rsidRPr="006C22A2">
        <w:rPr>
          <w:rFonts w:ascii="Times New Roman" w:hAnsi="Times New Roman"/>
        </w:rPr>
        <w:t>Overview</w:t>
      </w:r>
    </w:p>
    <w:p w14:paraId="76856F4A" w14:textId="210B11FC" w:rsidR="00E369FC" w:rsidRPr="006C22A2" w:rsidRDefault="00E369FC" w:rsidP="00E369FC">
      <w:r w:rsidRPr="006C22A2">
        <w:t xml:space="preserve">The </w:t>
      </w:r>
      <w:r w:rsidRPr="00F879E3">
        <w:rPr>
          <w:i/>
          <w:iCs/>
        </w:rPr>
        <w:t>Australian Education Act 2013</w:t>
      </w:r>
      <w:r w:rsidRPr="006C22A2">
        <w:t xml:space="preserve"> is the principal legislation by which the Australian Government provides Commonwealth financial assistance for schools.</w:t>
      </w:r>
    </w:p>
    <w:p w14:paraId="782D0A4F" w14:textId="0B9DB662" w:rsidR="000C0261" w:rsidRPr="006C22A2" w:rsidRDefault="000C0261" w:rsidP="000C0261">
      <w:r w:rsidRPr="000C0261">
        <w:t>Under the Act, capital funding for non-government schools is provided to the relevant block grant authority for such a school. A block grant authority is a body corporate that is approved for a non-government school by the Minister under the Act. Entities approved to receive financial assistance under the Act, including block grant authorities, must comply with the conditions of approval outlined in the Act</w:t>
      </w:r>
      <w:r w:rsidR="00F879E3">
        <w:t>.</w:t>
      </w:r>
    </w:p>
    <w:p w14:paraId="68A9C30B" w14:textId="77777777" w:rsidR="00E369FC" w:rsidRPr="006C22A2" w:rsidRDefault="00E369FC" w:rsidP="00E369FC">
      <w:r w:rsidRPr="006C22A2">
        <w:t xml:space="preserve">The </w:t>
      </w:r>
      <w:r w:rsidRPr="006C22A2">
        <w:rPr>
          <w:i/>
        </w:rPr>
        <w:t>Australian Education Regulation 2013</w:t>
      </w:r>
      <w:r w:rsidRPr="006C22A2">
        <w:t xml:space="preserve"> (the Principal Regulation) contains </w:t>
      </w:r>
      <w:proofErr w:type="gramStart"/>
      <w:r w:rsidRPr="006C22A2">
        <w:t>a number of</w:t>
      </w:r>
      <w:proofErr w:type="gramEnd"/>
      <w:r w:rsidRPr="006C22A2">
        <w:t xml:space="preserve"> provisions on matters concerning conditions and calculations of grants of Commonwealth financial assistance to states and territories for schools, matters relevant to the effective and efficient administration of that assistance, and matters relevant to the provision of prescribed circumstances funding under the Act.</w:t>
      </w:r>
    </w:p>
    <w:p w14:paraId="663EC6BA" w14:textId="77777777" w:rsidR="00E369FC" w:rsidRDefault="00E369FC" w:rsidP="00E369FC">
      <w:pPr>
        <w:rPr>
          <w:lang w:val="en-US"/>
        </w:rPr>
      </w:pPr>
      <w:r w:rsidRPr="006C22A2">
        <w:t xml:space="preserve">The purpose of </w:t>
      </w:r>
      <w:r w:rsidRPr="006C22A2">
        <w:rPr>
          <w:lang w:val="en-US"/>
        </w:rPr>
        <w:t xml:space="preserve">the </w:t>
      </w:r>
      <w:r w:rsidRPr="00B66D1A">
        <w:rPr>
          <w:i/>
          <w:iCs/>
        </w:rPr>
        <w:t xml:space="preserve">Australian </w:t>
      </w:r>
      <w:r w:rsidRPr="009146FA">
        <w:rPr>
          <w:i/>
          <w:iCs/>
        </w:rPr>
        <w:t xml:space="preserve">Education Amendment (2022 Capital Funding Indexation) Regulations 2022 </w:t>
      </w:r>
      <w:r w:rsidRPr="006C22A2">
        <w:rPr>
          <w:lang w:val="en-US"/>
        </w:rPr>
        <w:t>(the Amendment Regulations) is to prescribe</w:t>
      </w:r>
      <w:r>
        <w:rPr>
          <w:lang w:val="en-US"/>
        </w:rPr>
        <w:t xml:space="preserve"> the</w:t>
      </w:r>
      <w:r w:rsidRPr="00C1364D">
        <w:rPr>
          <w:lang w:val="en-US"/>
        </w:rPr>
        <w:t xml:space="preserve"> capital funding indexation percentage for block grant authorities for non-government schools in 2022</w:t>
      </w:r>
      <w:r>
        <w:rPr>
          <w:lang w:val="en-US"/>
        </w:rPr>
        <w:t xml:space="preserve">. </w:t>
      </w:r>
    </w:p>
    <w:p w14:paraId="115AC9A8" w14:textId="32083F96" w:rsidR="00E369FC" w:rsidRDefault="00E369FC" w:rsidP="00E369FC">
      <w:pPr>
        <w:rPr>
          <w:lang w:val="en-US"/>
        </w:rPr>
      </w:pPr>
      <w:r w:rsidRPr="00C1364D">
        <w:rPr>
          <w:lang w:val="en-US"/>
        </w:rPr>
        <w:t>The indexation percentage for 2022 will be set at 108.7</w:t>
      </w:r>
      <w:r w:rsidR="00594F18">
        <w:rPr>
          <w:lang w:val="en-US"/>
        </w:rPr>
        <w:t>5</w:t>
      </w:r>
      <w:r>
        <w:rPr>
          <w:lang w:val="en-US"/>
        </w:rPr>
        <w:t>%</w:t>
      </w:r>
      <w:r w:rsidRPr="00C1364D">
        <w:rPr>
          <w:lang w:val="en-US"/>
        </w:rPr>
        <w:t xml:space="preserve"> under </w:t>
      </w:r>
      <w:r w:rsidR="00D01B49">
        <w:rPr>
          <w:lang w:val="en-US"/>
        </w:rPr>
        <w:t>paragraph</w:t>
      </w:r>
      <w:r w:rsidRPr="00C1364D">
        <w:rPr>
          <w:lang w:val="en-US"/>
        </w:rPr>
        <w:t xml:space="preserve"> 68(3)(b) of the Act. </w:t>
      </w:r>
    </w:p>
    <w:p w14:paraId="4E9104D7" w14:textId="77777777" w:rsidR="00132692" w:rsidRPr="00897A93" w:rsidRDefault="00132692" w:rsidP="00132692">
      <w:r w:rsidRPr="00664477">
        <w:t>In</w:t>
      </w:r>
      <w:r w:rsidRPr="00664477">
        <w:rPr>
          <w:lang w:val="en-US"/>
        </w:rPr>
        <w:t xml:space="preserve"> calculating the indexation percentage for 2022, the Minister for Education considered </w:t>
      </w:r>
      <w:r w:rsidRPr="00664477">
        <w:t xml:space="preserve">changes in indexes of building prices and wage costs and changes in student enrolments in </w:t>
      </w:r>
      <w:r w:rsidRPr="00897A93">
        <w:t>non-government schools.</w:t>
      </w:r>
    </w:p>
    <w:p w14:paraId="3E1534A2" w14:textId="55DB8EC4" w:rsidR="00132692" w:rsidRPr="00897A93" w:rsidRDefault="00132692" w:rsidP="00132692">
      <w:pPr>
        <w:pStyle w:val="ListParagraph"/>
        <w:numPr>
          <w:ilvl w:val="0"/>
          <w:numId w:val="7"/>
        </w:numPr>
        <w:rPr>
          <w:lang w:val="en-US"/>
        </w:rPr>
      </w:pPr>
      <w:r w:rsidRPr="00897A93">
        <w:t xml:space="preserve">The indexes used for determining movement in wages prices and building costs </w:t>
      </w:r>
      <w:r w:rsidR="00664477" w:rsidRPr="00897A93">
        <w:t>is</w:t>
      </w:r>
      <w:r w:rsidRPr="00897A93">
        <w:t xml:space="preserve"> the Australian Bureau of Statistics (ABS) Producer Price Index Non-Residential Building Construction, and student enrolments in non-government schools is the ABS </w:t>
      </w:r>
      <w:r w:rsidRPr="00897A93">
        <w:rPr>
          <w:i/>
          <w:iCs/>
        </w:rPr>
        <w:t>Schools, Australia</w:t>
      </w:r>
      <w:r w:rsidRPr="00897A93">
        <w:t xml:space="preserve"> dataset.</w:t>
      </w:r>
    </w:p>
    <w:p w14:paraId="62F6DDB6" w14:textId="645F6DA8" w:rsidR="00E369FC" w:rsidRDefault="00E369FC" w:rsidP="00E369FC">
      <w:pPr>
        <w:rPr>
          <w:lang w:val="en-US"/>
        </w:rPr>
      </w:pPr>
      <w:r w:rsidRPr="00C1364D">
        <w:rPr>
          <w:lang w:val="en-US"/>
        </w:rPr>
        <w:t xml:space="preserve">The capital </w:t>
      </w:r>
      <w:r w:rsidRPr="005159DA">
        <w:rPr>
          <w:lang w:val="en-US"/>
        </w:rPr>
        <w:t>funding amount to be allocated to block grant authorities for 2022 is $194,4</w:t>
      </w:r>
      <w:r w:rsidR="000C0261">
        <w:rPr>
          <w:lang w:val="en-US"/>
        </w:rPr>
        <w:t>92</w:t>
      </w:r>
      <w:r w:rsidRPr="005159DA">
        <w:rPr>
          <w:lang w:val="en-US"/>
        </w:rPr>
        <w:t>,000. This is an increase of $15,</w:t>
      </w:r>
      <w:r w:rsidR="000C0261">
        <w:rPr>
          <w:lang w:val="en-US"/>
        </w:rPr>
        <w:t>647</w:t>
      </w:r>
      <w:r w:rsidRPr="005159DA">
        <w:rPr>
          <w:lang w:val="en-US"/>
        </w:rPr>
        <w:t>,000 over the 2021 base assistance amount of $178,845,000.</w:t>
      </w:r>
      <w:r w:rsidR="001A0B78" w:rsidRPr="001A0B78">
        <w:t xml:space="preserve"> </w:t>
      </w:r>
      <w:r w:rsidR="001A0B78" w:rsidRPr="0060712F">
        <w:t>The indexation percentage reflects year-on-year movement, from 2020 to 2021, in building prices and wage costs and changes to full-time equivalent student enrolments in non-government schools. Annual indexation ensures the capital funding amount retains its value.</w:t>
      </w:r>
    </w:p>
    <w:p w14:paraId="33A48B59" w14:textId="3F2395EC" w:rsidR="00E369FC" w:rsidRDefault="00E369FC" w:rsidP="00E369FC">
      <w:pPr>
        <w:rPr>
          <w:lang w:val="en-US"/>
        </w:rPr>
      </w:pPr>
      <w:r>
        <w:rPr>
          <w:lang w:val="en-US"/>
        </w:rPr>
        <w:t xml:space="preserve">The indexation percentage was most recently prescribed in 2017. </w:t>
      </w:r>
      <w:r w:rsidR="00AA7738">
        <w:rPr>
          <w:lang w:val="en-US"/>
        </w:rPr>
        <w:t>From 2018 to 2021 the base assistance amount for capital funding was updated by amendments to the Principal Regulation.</w:t>
      </w:r>
    </w:p>
    <w:p w14:paraId="52121757" w14:textId="77777777" w:rsidR="00826B30" w:rsidRPr="006C22A2" w:rsidRDefault="00826B30" w:rsidP="00963869">
      <w:pPr>
        <w:pStyle w:val="Heading2"/>
        <w:rPr>
          <w:rFonts w:ascii="Times New Roman" w:hAnsi="Times New Roman"/>
        </w:rPr>
      </w:pPr>
      <w:r w:rsidRPr="005159DA">
        <w:rPr>
          <w:rFonts w:ascii="Times New Roman" w:hAnsi="Times New Roman"/>
        </w:rPr>
        <w:lastRenderedPageBreak/>
        <w:t>Human rights</w:t>
      </w:r>
      <w:r w:rsidRPr="006C22A2">
        <w:rPr>
          <w:rFonts w:ascii="Times New Roman" w:hAnsi="Times New Roman"/>
        </w:rPr>
        <w:t xml:space="preserve"> implications</w:t>
      </w:r>
    </w:p>
    <w:p w14:paraId="1B16578C" w14:textId="6492B4C8" w:rsidR="00826B30" w:rsidRPr="006C22A2" w:rsidRDefault="00826B30" w:rsidP="00733D9C">
      <w:pPr>
        <w:spacing w:before="100" w:beforeAutospacing="1"/>
      </w:pPr>
      <w:r w:rsidRPr="006C22A2">
        <w:t>The Amendment Regulation</w:t>
      </w:r>
      <w:r w:rsidR="00963869" w:rsidRPr="006C22A2">
        <w:t>s</w:t>
      </w:r>
      <w:r w:rsidRPr="006C22A2">
        <w:t xml:space="preserve"> engage the </w:t>
      </w:r>
      <w:r w:rsidR="00963869" w:rsidRPr="006C22A2">
        <w:t xml:space="preserve">right to education under Article 13 of the </w:t>
      </w:r>
      <w:r w:rsidR="00963869" w:rsidRPr="006C22A2">
        <w:rPr>
          <w:i/>
        </w:rPr>
        <w:t>International Covenant on Economic, Social and Cultural Rights</w:t>
      </w:r>
      <w:r w:rsidR="00963869" w:rsidRPr="006C22A2">
        <w:t xml:space="preserve"> (ICESCR), and Articles</w:t>
      </w:r>
      <w:r w:rsidR="00BB201A">
        <w:t> </w:t>
      </w:r>
      <w:r w:rsidR="00963869" w:rsidRPr="006C22A2">
        <w:t xml:space="preserve">28 and 29 of the </w:t>
      </w:r>
      <w:r w:rsidR="00963869" w:rsidRPr="006C22A2">
        <w:rPr>
          <w:i/>
        </w:rPr>
        <w:t xml:space="preserve">Convention on the Rights of the Child </w:t>
      </w:r>
      <w:r w:rsidR="00963869" w:rsidRPr="006C22A2">
        <w:t>(UNCRC).</w:t>
      </w:r>
    </w:p>
    <w:p w14:paraId="432961C3" w14:textId="77777777" w:rsidR="00D77387" w:rsidRPr="000C0261" w:rsidRDefault="00D77387" w:rsidP="00963869">
      <w:pPr>
        <w:pStyle w:val="Heading3"/>
        <w:rPr>
          <w:rFonts w:ascii="Times New Roman" w:hAnsi="Times New Roman"/>
          <w:i w:val="0"/>
          <w:sz w:val="24"/>
          <w:szCs w:val="22"/>
        </w:rPr>
      </w:pPr>
      <w:r w:rsidRPr="000C0261">
        <w:rPr>
          <w:rFonts w:ascii="Times New Roman" w:hAnsi="Times New Roman"/>
          <w:sz w:val="24"/>
          <w:szCs w:val="22"/>
        </w:rPr>
        <w:t>Right to Education</w:t>
      </w:r>
    </w:p>
    <w:p w14:paraId="25984FC1" w14:textId="7EE6F68E" w:rsidR="00FD0ED7" w:rsidRPr="006C22A2" w:rsidRDefault="00FD0ED7" w:rsidP="00733D9C">
      <w:r w:rsidRPr="006C22A2">
        <w:t>Article 13</w:t>
      </w:r>
      <w:r w:rsidR="00AF5A5D">
        <w:t xml:space="preserve"> of the ICESCR</w:t>
      </w:r>
      <w:r w:rsidRPr="006C22A2">
        <w:t xml:space="preserve"> recognises the right of everyone to education, which is directed towards the full development of the human personality and the sense of its dignity, and to enable all persons to participate effectively in society. </w:t>
      </w:r>
      <w:r w:rsidR="004451A0" w:rsidRPr="006C22A2">
        <w:t xml:space="preserve">It also recognises the liberty of parents and guardians to choose non-government schools for their children’s education, provided those schools conform to minimum educational standards. </w:t>
      </w:r>
      <w:r w:rsidRPr="006C22A2">
        <w:t xml:space="preserve">The right to education for children is also found in Articles 28 and 29 of the UNCRC. </w:t>
      </w:r>
    </w:p>
    <w:p w14:paraId="69AE28D3" w14:textId="77777777" w:rsidR="00DE4754" w:rsidRDefault="00554321" w:rsidP="00733D9C">
      <w:r w:rsidRPr="006C22A2">
        <w:t xml:space="preserve">The </w:t>
      </w:r>
      <w:r w:rsidR="00A33DEE" w:rsidRPr="006C22A2">
        <w:t>Amendment Regulation</w:t>
      </w:r>
      <w:r w:rsidR="00680B6C" w:rsidRPr="006C22A2">
        <w:t>s</w:t>
      </w:r>
      <w:r w:rsidR="00A33DEE" w:rsidRPr="006C22A2">
        <w:t xml:space="preserve"> promote the right to education by</w:t>
      </w:r>
      <w:r w:rsidR="00D4752B" w:rsidRPr="006C22A2">
        <w:t xml:space="preserve"> </w:t>
      </w:r>
      <w:r w:rsidR="004474F6" w:rsidRPr="006C22A2">
        <w:t>increasing</w:t>
      </w:r>
      <w:r w:rsidR="00C27D6A" w:rsidRPr="006C22A2">
        <w:t xml:space="preserve"> the amount of capital funding available for block grant authorities for use in providing financial support for capital projects at non-government schools. </w:t>
      </w:r>
      <w:r w:rsidR="00950931" w:rsidRPr="00950931">
        <w:t xml:space="preserve">The </w:t>
      </w:r>
      <w:r w:rsidR="002B498D">
        <w:t xml:space="preserve">Australian Government’s </w:t>
      </w:r>
      <w:r w:rsidR="00950931" w:rsidRPr="00950931">
        <w:t>Capital Grants Program</w:t>
      </w:r>
      <w:r w:rsidR="00ED39B0">
        <w:t xml:space="preserve"> </w:t>
      </w:r>
      <w:r w:rsidR="00950931" w:rsidRPr="00950931">
        <w:t>provides funding for non-government school communities to assist primary and secondary schools to improve capital infrastructure where they otherwise may not have access to sufficient capital resources.</w:t>
      </w:r>
      <w:r w:rsidR="00950931">
        <w:t xml:space="preserve"> </w:t>
      </w:r>
      <w:r w:rsidR="002B498D">
        <w:t>Capital f</w:t>
      </w:r>
      <w:r w:rsidR="00950931" w:rsidRPr="00950931">
        <w:t xml:space="preserve">unding </w:t>
      </w:r>
      <w:r w:rsidR="002B498D">
        <w:t xml:space="preserve">provides </w:t>
      </w:r>
      <w:r w:rsidR="00950931" w:rsidRPr="00950931">
        <w:t>a wide range of</w:t>
      </w:r>
      <w:r w:rsidR="00950931">
        <w:t xml:space="preserve"> </w:t>
      </w:r>
      <w:r w:rsidR="002B498D">
        <w:t xml:space="preserve">new </w:t>
      </w:r>
      <w:r w:rsidR="00950931">
        <w:t xml:space="preserve">infrastructure </w:t>
      </w:r>
      <w:r w:rsidR="002B498D">
        <w:t>and upgrades to existing facilities</w:t>
      </w:r>
      <w:r w:rsidR="00537AC0">
        <w:t>,</w:t>
      </w:r>
      <w:r w:rsidR="002B498D">
        <w:t xml:space="preserve"> </w:t>
      </w:r>
      <w:r w:rsidR="00950931">
        <w:t xml:space="preserve">such as </w:t>
      </w:r>
      <w:r w:rsidR="002B498D">
        <w:t xml:space="preserve">general and specialist learning areas, </w:t>
      </w:r>
      <w:r w:rsidR="00950931" w:rsidRPr="00950931">
        <w:t>libraries, STEM facilities</w:t>
      </w:r>
      <w:r w:rsidR="002B498D">
        <w:t xml:space="preserve"> and outdoor learning areas</w:t>
      </w:r>
      <w:r w:rsidR="00950931" w:rsidRPr="00950931">
        <w:t>.</w:t>
      </w:r>
      <w:r w:rsidR="00E41041" w:rsidRPr="00E41041">
        <w:t xml:space="preserve"> </w:t>
      </w:r>
    </w:p>
    <w:p w14:paraId="5F3877C0" w14:textId="2AA07B7D" w:rsidR="00C27D6A" w:rsidRPr="006C22A2" w:rsidRDefault="00E41041" w:rsidP="00733D9C">
      <w:r w:rsidRPr="006C22A2">
        <w:t>This measure</w:t>
      </w:r>
      <w:r>
        <w:t xml:space="preserve"> </w:t>
      </w:r>
      <w:r w:rsidR="00882D38">
        <w:t xml:space="preserve">will </w:t>
      </w:r>
      <w:r>
        <w:t>t</w:t>
      </w:r>
      <w:r w:rsidRPr="00E41041">
        <w:t>hereby hav</w:t>
      </w:r>
      <w:r>
        <w:t>e</w:t>
      </w:r>
      <w:r w:rsidRPr="00E41041">
        <w:t xml:space="preserve"> a</w:t>
      </w:r>
      <w:r w:rsidR="002E0AB6">
        <w:t> </w:t>
      </w:r>
      <w:r w:rsidRPr="00E41041">
        <w:t xml:space="preserve">beneficial impact on the right to education </w:t>
      </w:r>
      <w:r>
        <w:t xml:space="preserve">and </w:t>
      </w:r>
      <w:r w:rsidR="00BC5D97">
        <w:t>will</w:t>
      </w:r>
      <w:r w:rsidR="00665A9E">
        <w:t xml:space="preserve"> </w:t>
      </w:r>
      <w:r w:rsidR="00FF5C00" w:rsidRPr="006C22A2">
        <w:t>help</w:t>
      </w:r>
      <w:r w:rsidR="00537AC0">
        <w:t xml:space="preserve"> to ensure Australia </w:t>
      </w:r>
      <w:r w:rsidR="00FF5C00" w:rsidRPr="006C22A2">
        <w:t>continue</w:t>
      </w:r>
      <w:r w:rsidR="00537AC0">
        <w:t>s</w:t>
      </w:r>
      <w:r w:rsidR="00FF5C00" w:rsidRPr="006C22A2">
        <w:t xml:space="preserve"> to have functioning and sufficiently supported educational institutions</w:t>
      </w:r>
      <w:r w:rsidR="00C27D6A" w:rsidRPr="006C22A2">
        <w:t xml:space="preserve">. </w:t>
      </w:r>
    </w:p>
    <w:p w14:paraId="1456FC62" w14:textId="77777777" w:rsidR="00826B30" w:rsidRPr="006C22A2" w:rsidRDefault="00826B30" w:rsidP="00963869">
      <w:pPr>
        <w:pStyle w:val="Heading2"/>
        <w:rPr>
          <w:rFonts w:ascii="Times New Roman" w:hAnsi="Times New Roman"/>
        </w:rPr>
      </w:pPr>
      <w:r w:rsidRPr="006C22A2">
        <w:rPr>
          <w:rFonts w:ascii="Times New Roman" w:hAnsi="Times New Roman"/>
        </w:rPr>
        <w:t>Conclusion</w:t>
      </w:r>
    </w:p>
    <w:p w14:paraId="681D0A33" w14:textId="77777777" w:rsidR="00C9519A" w:rsidRPr="006C22A2" w:rsidRDefault="00C9519A" w:rsidP="00B900C4">
      <w:pPr>
        <w:spacing w:before="240"/>
      </w:pPr>
      <w:r w:rsidRPr="006C22A2">
        <w:t>The Amendment Regulation</w:t>
      </w:r>
      <w:r w:rsidR="00963869" w:rsidRPr="006C22A2">
        <w:t>s are</w:t>
      </w:r>
      <w:r w:rsidRPr="006C22A2">
        <w:t xml:space="preserve"> compatible with human rights because </w:t>
      </w:r>
      <w:r w:rsidR="00963869" w:rsidRPr="006C22A2">
        <w:t>they</w:t>
      </w:r>
      <w:r w:rsidRPr="006C22A2">
        <w:t xml:space="preserve"> promote the right to education under the ICESCR and the UNCRC</w:t>
      </w:r>
      <w:r w:rsidR="005647AD" w:rsidRPr="006C22A2">
        <w:t>.</w:t>
      </w:r>
    </w:p>
    <w:p w14:paraId="3D1D351F" w14:textId="77777777" w:rsidR="001544EF" w:rsidRPr="006C22A2" w:rsidRDefault="001544EF" w:rsidP="00733D9C">
      <w:pPr>
        <w:spacing w:after="200" w:line="276" w:lineRule="auto"/>
      </w:pPr>
    </w:p>
    <w:p w14:paraId="248BC400" w14:textId="4435034F" w:rsidR="001544EF" w:rsidRPr="006C22A2" w:rsidRDefault="00AF5A5D" w:rsidP="000C0261">
      <w:pPr>
        <w:jc w:val="center"/>
        <w:rPr>
          <w:b/>
        </w:rPr>
      </w:pPr>
      <w:r>
        <w:rPr>
          <w:b/>
        </w:rPr>
        <w:t xml:space="preserve">The Hon </w:t>
      </w:r>
      <w:r w:rsidR="00E234EC">
        <w:rPr>
          <w:b/>
        </w:rPr>
        <w:t>Jason Clare</w:t>
      </w:r>
      <w:r>
        <w:rPr>
          <w:b/>
        </w:rPr>
        <w:t xml:space="preserve"> MP</w:t>
      </w:r>
    </w:p>
    <w:p w14:paraId="20EAF065" w14:textId="0BD0218F" w:rsidR="00826B30" w:rsidRPr="006C22A2" w:rsidRDefault="001544EF" w:rsidP="000C0261">
      <w:pPr>
        <w:spacing w:after="200" w:line="276" w:lineRule="auto"/>
        <w:jc w:val="center"/>
        <w:rPr>
          <w:b/>
        </w:rPr>
      </w:pPr>
      <w:r w:rsidRPr="006C22A2">
        <w:rPr>
          <w:b/>
        </w:rPr>
        <w:t>Minister for Education</w:t>
      </w:r>
      <w:r w:rsidR="00826B30" w:rsidRPr="006C22A2">
        <w:rPr>
          <w:b/>
        </w:rPr>
        <w:br w:type="page"/>
      </w:r>
    </w:p>
    <w:p w14:paraId="7015159A" w14:textId="05B355A7" w:rsidR="00AA4E4C" w:rsidRPr="006C22A2" w:rsidRDefault="00AA4E4C" w:rsidP="00963869">
      <w:pPr>
        <w:pStyle w:val="Heading2"/>
        <w:rPr>
          <w:rFonts w:ascii="Times New Roman" w:hAnsi="Times New Roman"/>
        </w:rPr>
      </w:pPr>
      <w:r w:rsidRPr="006C22A2">
        <w:rPr>
          <w:rFonts w:ascii="Times New Roman" w:hAnsi="Times New Roman"/>
        </w:rPr>
        <w:lastRenderedPageBreak/>
        <w:t>Detailed explanation of the provisions</w:t>
      </w:r>
      <w:r w:rsidR="00FE2225">
        <w:rPr>
          <w:rFonts w:ascii="Times New Roman" w:hAnsi="Times New Roman"/>
        </w:rPr>
        <w:t xml:space="preserve"> of the </w:t>
      </w:r>
      <w:r w:rsidR="00FE2225" w:rsidRPr="000C0261">
        <w:rPr>
          <w:rFonts w:ascii="Times New Roman" w:hAnsi="Times New Roman"/>
          <w:i/>
          <w:iCs/>
        </w:rPr>
        <w:t>Australian Education Amendment (2022 Capital Funding Indexation) Regulations 2022</w:t>
      </w:r>
    </w:p>
    <w:p w14:paraId="73EA96A6" w14:textId="4D85F989" w:rsidR="004C5E63"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1 – Name</w:t>
      </w:r>
    </w:p>
    <w:p w14:paraId="09A2591E" w14:textId="68A8965E" w:rsidR="00747812" w:rsidRPr="006C22A2" w:rsidRDefault="00000B7F" w:rsidP="00733D9C">
      <w:pPr>
        <w:spacing w:before="240"/>
        <w:ind w:right="91"/>
        <w:rPr>
          <w:bCs/>
          <w:u w:val="single"/>
          <w:lang w:eastAsia="en-US"/>
        </w:rPr>
      </w:pPr>
      <w:r w:rsidRPr="006C22A2">
        <w:rPr>
          <w:lang w:eastAsia="en-US"/>
        </w:rPr>
        <w:t xml:space="preserve">This </w:t>
      </w:r>
      <w:r w:rsidR="004541E9" w:rsidRPr="006C22A2">
        <w:rPr>
          <w:lang w:eastAsia="en-US"/>
        </w:rPr>
        <w:t>section</w:t>
      </w:r>
      <w:r w:rsidRPr="006C22A2">
        <w:rPr>
          <w:lang w:eastAsia="en-US"/>
        </w:rPr>
        <w:t xml:space="preserve"> provides that the title of th</w:t>
      </w:r>
      <w:r w:rsidR="00FE2225">
        <w:rPr>
          <w:lang w:eastAsia="en-US"/>
        </w:rPr>
        <w:t>is instrument</w:t>
      </w:r>
      <w:r w:rsidR="00B87D7B" w:rsidRPr="006C22A2">
        <w:rPr>
          <w:lang w:eastAsia="en-US"/>
        </w:rPr>
        <w:t xml:space="preserve"> is</w:t>
      </w:r>
      <w:r w:rsidRPr="006C22A2">
        <w:rPr>
          <w:lang w:eastAsia="en-US"/>
        </w:rPr>
        <w:t xml:space="preserve"> the </w:t>
      </w:r>
      <w:r w:rsidR="009146FA" w:rsidRPr="009146FA">
        <w:rPr>
          <w:i/>
          <w:iCs/>
        </w:rPr>
        <w:t>Australian Education Amendment (2022 Capital Funding Indexation) Regulations 2022</w:t>
      </w:r>
      <w:r w:rsidR="00FE2225">
        <w:rPr>
          <w:i/>
          <w:iCs/>
        </w:rPr>
        <w:t xml:space="preserve"> </w:t>
      </w:r>
      <w:r w:rsidR="00FE2225">
        <w:t>(the Amendment Regulations)</w:t>
      </w:r>
      <w:r w:rsidR="009146FA">
        <w:rPr>
          <w:i/>
          <w:iCs/>
        </w:rPr>
        <w:t>.</w:t>
      </w:r>
    </w:p>
    <w:p w14:paraId="34417C49" w14:textId="77777777" w:rsidR="00000B7F"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2 – Commencement</w:t>
      </w:r>
    </w:p>
    <w:p w14:paraId="4F49D2B0" w14:textId="5D8C8E6E" w:rsidR="00B87D7B" w:rsidRPr="006C22A2" w:rsidRDefault="004541E9" w:rsidP="00733D9C">
      <w:pPr>
        <w:spacing w:before="240"/>
        <w:ind w:right="91"/>
        <w:rPr>
          <w:lang w:eastAsia="en-US"/>
        </w:rPr>
      </w:pPr>
      <w:r w:rsidRPr="006C22A2">
        <w:rPr>
          <w:lang w:eastAsia="en-US"/>
        </w:rPr>
        <w:t>This section provides</w:t>
      </w:r>
      <w:r w:rsidR="00833DF2" w:rsidRPr="006C22A2">
        <w:rPr>
          <w:lang w:eastAsia="en-US"/>
        </w:rPr>
        <w:t xml:space="preserve"> </w:t>
      </w:r>
      <w:r w:rsidR="00B87D7B" w:rsidRPr="006C22A2">
        <w:rPr>
          <w:lang w:eastAsia="en-US"/>
        </w:rPr>
        <w:t xml:space="preserve">that the Amendment Regulations commence on the day after </w:t>
      </w:r>
      <w:r w:rsidR="001674DD">
        <w:rPr>
          <w:lang w:eastAsia="en-US"/>
        </w:rPr>
        <w:t>they</w:t>
      </w:r>
      <w:r w:rsidR="00F958D5" w:rsidRPr="006C22A2">
        <w:rPr>
          <w:lang w:eastAsia="en-US"/>
        </w:rPr>
        <w:t xml:space="preserve"> </w:t>
      </w:r>
      <w:r w:rsidR="001674DD">
        <w:rPr>
          <w:lang w:eastAsia="en-US"/>
        </w:rPr>
        <w:t>are</w:t>
      </w:r>
      <w:r w:rsidR="00B87D7B" w:rsidRPr="006C22A2">
        <w:rPr>
          <w:lang w:eastAsia="en-US"/>
        </w:rPr>
        <w:t xml:space="preserve"> registered on the Federal Register of Legislation.</w:t>
      </w:r>
    </w:p>
    <w:p w14:paraId="5E247F6E" w14:textId="77777777" w:rsidR="00000B7F" w:rsidRPr="006C22A2" w:rsidRDefault="004541E9" w:rsidP="00733D9C">
      <w:pPr>
        <w:spacing w:before="240"/>
        <w:ind w:right="91"/>
        <w:rPr>
          <w:bCs/>
          <w:u w:val="single"/>
          <w:lang w:eastAsia="en-US"/>
        </w:rPr>
      </w:pPr>
      <w:r w:rsidRPr="006C22A2">
        <w:rPr>
          <w:bCs/>
          <w:u w:val="single"/>
          <w:lang w:eastAsia="en-US"/>
        </w:rPr>
        <w:t>Section</w:t>
      </w:r>
      <w:r w:rsidR="00000B7F" w:rsidRPr="006C22A2">
        <w:rPr>
          <w:bCs/>
          <w:u w:val="single"/>
          <w:lang w:eastAsia="en-US"/>
        </w:rPr>
        <w:t xml:space="preserve"> 3 – Authority</w:t>
      </w:r>
    </w:p>
    <w:p w14:paraId="39398277" w14:textId="30C96289" w:rsidR="00000B7F" w:rsidRPr="00835537" w:rsidRDefault="00000B7F" w:rsidP="00733D9C">
      <w:pPr>
        <w:spacing w:before="240"/>
        <w:ind w:right="91"/>
        <w:rPr>
          <w:lang w:eastAsia="en-US"/>
        </w:rPr>
      </w:pPr>
      <w:r w:rsidRPr="006C22A2">
        <w:rPr>
          <w:lang w:eastAsia="en-US"/>
        </w:rPr>
        <w:t xml:space="preserve">This </w:t>
      </w:r>
      <w:r w:rsidR="004541E9" w:rsidRPr="006C22A2">
        <w:rPr>
          <w:lang w:eastAsia="en-US"/>
        </w:rPr>
        <w:t>section</w:t>
      </w:r>
      <w:r w:rsidRPr="006C22A2">
        <w:rPr>
          <w:lang w:eastAsia="en-US"/>
        </w:rPr>
        <w:t xml:space="preserve"> provides that </w:t>
      </w:r>
      <w:r w:rsidR="00BB559B" w:rsidRPr="006C22A2">
        <w:rPr>
          <w:lang w:eastAsia="en-US"/>
        </w:rPr>
        <w:t xml:space="preserve">the </w:t>
      </w:r>
      <w:r w:rsidR="00442D97" w:rsidRPr="006C22A2">
        <w:rPr>
          <w:lang w:eastAsia="en-US"/>
        </w:rPr>
        <w:t>Amendment Regulation</w:t>
      </w:r>
      <w:r w:rsidR="000D7B53" w:rsidRPr="006C22A2">
        <w:rPr>
          <w:lang w:eastAsia="en-US"/>
        </w:rPr>
        <w:t>s are</w:t>
      </w:r>
      <w:r w:rsidRPr="006C22A2">
        <w:rPr>
          <w:lang w:eastAsia="en-US"/>
        </w:rPr>
        <w:t xml:space="preserve"> made under the</w:t>
      </w:r>
      <w:r w:rsidR="00835537">
        <w:rPr>
          <w:lang w:eastAsia="en-US"/>
        </w:rPr>
        <w:t xml:space="preserve"> </w:t>
      </w:r>
      <w:r w:rsidR="00FE2225" w:rsidRPr="000C0261">
        <w:rPr>
          <w:i/>
          <w:iCs/>
          <w:lang w:eastAsia="en-US"/>
        </w:rPr>
        <w:t xml:space="preserve">Australian Education </w:t>
      </w:r>
      <w:r w:rsidR="00835537" w:rsidRPr="000C0261">
        <w:rPr>
          <w:i/>
          <w:iCs/>
          <w:lang w:eastAsia="en-US"/>
        </w:rPr>
        <w:t>Act</w:t>
      </w:r>
      <w:r w:rsidR="00FE2225" w:rsidRPr="000C0261">
        <w:rPr>
          <w:i/>
          <w:iCs/>
          <w:lang w:eastAsia="en-US"/>
        </w:rPr>
        <w:t xml:space="preserve"> 2013</w:t>
      </w:r>
      <w:r w:rsidR="00FE2225">
        <w:rPr>
          <w:i/>
          <w:iCs/>
          <w:lang w:eastAsia="en-US"/>
        </w:rPr>
        <w:t xml:space="preserve"> </w:t>
      </w:r>
      <w:r w:rsidR="00FE2225">
        <w:rPr>
          <w:lang w:eastAsia="en-US"/>
        </w:rPr>
        <w:t>(the Act)</w:t>
      </w:r>
      <w:r w:rsidR="00835537">
        <w:rPr>
          <w:lang w:eastAsia="en-US"/>
        </w:rPr>
        <w:t>.</w:t>
      </w:r>
      <w:r w:rsidRPr="006C22A2">
        <w:rPr>
          <w:lang w:eastAsia="en-US"/>
        </w:rPr>
        <w:t xml:space="preserve"> </w:t>
      </w:r>
    </w:p>
    <w:p w14:paraId="6E4EF175" w14:textId="77777777" w:rsidR="006E19A9" w:rsidRPr="006C22A2" w:rsidRDefault="004541E9" w:rsidP="00733D9C">
      <w:pPr>
        <w:spacing w:before="240"/>
        <w:ind w:right="91"/>
        <w:rPr>
          <w:u w:val="single"/>
          <w:lang w:eastAsia="en-US"/>
        </w:rPr>
      </w:pPr>
      <w:r w:rsidRPr="006C22A2">
        <w:rPr>
          <w:u w:val="single"/>
          <w:lang w:eastAsia="en-US"/>
        </w:rPr>
        <w:t>Section</w:t>
      </w:r>
      <w:r w:rsidR="00000B7F" w:rsidRPr="006C22A2">
        <w:rPr>
          <w:u w:val="single"/>
          <w:lang w:eastAsia="en-US"/>
        </w:rPr>
        <w:t xml:space="preserve"> 4 – Schedules</w:t>
      </w:r>
    </w:p>
    <w:p w14:paraId="65921AB9" w14:textId="77777777" w:rsidR="00000B7F" w:rsidRPr="006C22A2" w:rsidRDefault="004B0011" w:rsidP="00733D9C">
      <w:pPr>
        <w:spacing w:before="240"/>
        <w:ind w:right="91"/>
        <w:rPr>
          <w:lang w:eastAsia="en-US"/>
        </w:rPr>
      </w:pPr>
      <w:r w:rsidRPr="006C22A2">
        <w:rPr>
          <w:lang w:eastAsia="en-US"/>
        </w:rPr>
        <w:t xml:space="preserve">This </w:t>
      </w:r>
      <w:r w:rsidR="004541E9" w:rsidRPr="006C22A2">
        <w:rPr>
          <w:lang w:eastAsia="en-US"/>
        </w:rPr>
        <w:t xml:space="preserve">section </w:t>
      </w:r>
      <w:r w:rsidRPr="006C22A2">
        <w:rPr>
          <w:lang w:eastAsia="en-US"/>
        </w:rPr>
        <w:t xml:space="preserve">provides that </w:t>
      </w:r>
      <w:r w:rsidR="00000B7F" w:rsidRPr="006C22A2">
        <w:rPr>
          <w:lang w:eastAsia="en-US"/>
        </w:rPr>
        <w:t>each instrument that is specified in a Schedule to th</w:t>
      </w:r>
      <w:r w:rsidR="002B1EFE" w:rsidRPr="006C22A2">
        <w:rPr>
          <w:lang w:eastAsia="en-US"/>
        </w:rPr>
        <w:t>e</w:t>
      </w:r>
      <w:r w:rsidR="00000B7F" w:rsidRPr="006C22A2">
        <w:rPr>
          <w:lang w:eastAsia="en-US"/>
        </w:rPr>
        <w:t xml:space="preserve"> instrument is amended or repealed as set out in the applicable items in the Schedule concerned, and any other item in a Schedule to th</w:t>
      </w:r>
      <w:r w:rsidR="002B1EFE" w:rsidRPr="006C22A2">
        <w:rPr>
          <w:lang w:eastAsia="en-US"/>
        </w:rPr>
        <w:t>e</w:t>
      </w:r>
      <w:r w:rsidR="00000B7F" w:rsidRPr="006C22A2">
        <w:rPr>
          <w:lang w:eastAsia="en-US"/>
        </w:rPr>
        <w:t xml:space="preserve"> instrument has effect according to its terms.</w:t>
      </w:r>
    </w:p>
    <w:p w14:paraId="311829E9" w14:textId="77777777" w:rsidR="00000B7F" w:rsidRPr="006C22A2" w:rsidRDefault="00000B7F" w:rsidP="00733D9C">
      <w:pPr>
        <w:spacing w:before="240"/>
        <w:ind w:right="91"/>
        <w:rPr>
          <w:u w:val="single"/>
          <w:lang w:eastAsia="en-US"/>
        </w:rPr>
      </w:pPr>
      <w:r w:rsidRPr="006C22A2">
        <w:rPr>
          <w:u w:val="single"/>
          <w:lang w:eastAsia="en-US"/>
        </w:rPr>
        <w:t xml:space="preserve">Schedule 1 </w:t>
      </w:r>
      <w:r w:rsidR="009F6171" w:rsidRPr="006C22A2">
        <w:rPr>
          <w:u w:val="single"/>
          <w:lang w:eastAsia="en-US"/>
        </w:rPr>
        <w:t>–</w:t>
      </w:r>
      <w:r w:rsidRPr="006C22A2">
        <w:rPr>
          <w:u w:val="single"/>
          <w:lang w:eastAsia="en-US"/>
        </w:rPr>
        <w:t xml:space="preserve"> Amendments</w:t>
      </w:r>
    </w:p>
    <w:p w14:paraId="6FDF5CEF" w14:textId="4E984D03" w:rsidR="00FE2225" w:rsidRDefault="00FE2225" w:rsidP="00677A1D">
      <w:pPr>
        <w:rPr>
          <w:i/>
          <w:iCs/>
        </w:rPr>
      </w:pPr>
      <w:r>
        <w:rPr>
          <w:i/>
          <w:iCs/>
        </w:rPr>
        <w:t>Australian Education Regulation 2013</w:t>
      </w:r>
    </w:p>
    <w:p w14:paraId="43CF4554" w14:textId="1100B91B" w:rsidR="00FE2225" w:rsidRPr="002B1D74" w:rsidRDefault="00FE2225" w:rsidP="00677A1D">
      <w:pPr>
        <w:rPr>
          <w:b/>
          <w:bCs/>
        </w:rPr>
      </w:pPr>
      <w:r w:rsidRPr="002B1D74">
        <w:rPr>
          <w:b/>
          <w:bCs/>
        </w:rPr>
        <w:t>Item 1 – At the end of regulation 24A</w:t>
      </w:r>
    </w:p>
    <w:p w14:paraId="070CAF68" w14:textId="0C8FF72F" w:rsidR="00B17E4B" w:rsidRDefault="00677A1D" w:rsidP="00677A1D">
      <w:r w:rsidRPr="006C22A2">
        <w:t xml:space="preserve">Section 68 of the Act sets </w:t>
      </w:r>
      <w:r w:rsidR="00B17E4B" w:rsidRPr="006C22A2">
        <w:t xml:space="preserve">the </w:t>
      </w:r>
      <w:r w:rsidRPr="006C22A2">
        <w:t xml:space="preserve">limit on the total amount of capital funding for block grant authorities for a year. </w:t>
      </w:r>
      <w:bookmarkStart w:id="4" w:name="_Hlk102397923"/>
      <w:r w:rsidR="00F2368A" w:rsidRPr="006C22A2">
        <w:t xml:space="preserve">Paragraph </w:t>
      </w:r>
      <w:r w:rsidRPr="006C22A2">
        <w:t>68</w:t>
      </w:r>
      <w:r w:rsidR="00F2368A" w:rsidRPr="006C22A2">
        <w:t>(1)(b) of the Act</w:t>
      </w:r>
      <w:r w:rsidRPr="006C22A2">
        <w:t xml:space="preserve"> provides that</w:t>
      </w:r>
      <w:r w:rsidR="00191C88">
        <w:t xml:space="preserve"> the total </w:t>
      </w:r>
      <w:r w:rsidR="002D4684">
        <w:t xml:space="preserve">amount of capital funding for a year </w:t>
      </w:r>
      <w:r w:rsidR="00191C88">
        <w:t>must not exceed</w:t>
      </w:r>
      <w:r w:rsidRPr="006C22A2">
        <w:t xml:space="preserve"> </w:t>
      </w:r>
      <w:r w:rsidR="00F2368A" w:rsidRPr="006C22A2">
        <w:t xml:space="preserve">the base assistance amount for </w:t>
      </w:r>
      <w:r w:rsidR="002D4684">
        <w:t>the</w:t>
      </w:r>
      <w:r w:rsidR="002D4684" w:rsidRPr="006C22A2">
        <w:t xml:space="preserve"> </w:t>
      </w:r>
      <w:r w:rsidR="00F2368A" w:rsidRPr="006C22A2">
        <w:t xml:space="preserve">year, as indexed in accordance with </w:t>
      </w:r>
      <w:r w:rsidRPr="006C22A2">
        <w:t xml:space="preserve">subsection 68(2), </w:t>
      </w:r>
      <w:r w:rsidR="00F2368A" w:rsidRPr="006C22A2">
        <w:t xml:space="preserve">or the amount prescribed </w:t>
      </w:r>
      <w:r w:rsidR="00191C88" w:rsidRPr="006C22A2">
        <w:t xml:space="preserve">in the regulations </w:t>
      </w:r>
      <w:r w:rsidR="00F2368A" w:rsidRPr="006C22A2">
        <w:t>as the base assistance amount for the year.</w:t>
      </w:r>
    </w:p>
    <w:p w14:paraId="08EFB8EC" w14:textId="2ECD7344" w:rsidR="00191C88" w:rsidRDefault="00191C88" w:rsidP="00677A1D">
      <w:r>
        <w:t xml:space="preserve">Subsection 68(2) provides that the base assistance amount for a year is indexed </w:t>
      </w:r>
      <w:r w:rsidR="00C74B18">
        <w:t xml:space="preserve">by multiplying the base amount for the previous year by the </w:t>
      </w:r>
      <w:r w:rsidR="00C74B18" w:rsidRPr="00C74B18">
        <w:t>indexation percentage</w:t>
      </w:r>
      <w:r w:rsidR="00C74B18">
        <w:t>. Subsection</w:t>
      </w:r>
      <w:r w:rsidR="00F879E3">
        <w:t> </w:t>
      </w:r>
      <w:r w:rsidR="00C74B18">
        <w:t xml:space="preserve">68(3) provides that the </w:t>
      </w:r>
      <w:r w:rsidR="00C74B18" w:rsidRPr="002B1D74">
        <w:rPr>
          <w:b/>
          <w:bCs/>
          <w:i/>
          <w:iCs/>
        </w:rPr>
        <w:t>indexation percentage</w:t>
      </w:r>
      <w:r w:rsidR="00C74B18">
        <w:t xml:space="preserve"> is 100%, or another percentage (whether more or less than 100%) prescribed in the regulations for the purposes of this paragraph. </w:t>
      </w:r>
      <w:r w:rsidR="002D4684">
        <w:t>This means that the limit on the total amount of capital funding for block grant authorities for 2022 is the base assistance amount for 2021, multiplied by the applicable indexation percentage.</w:t>
      </w:r>
    </w:p>
    <w:p w14:paraId="4799087A" w14:textId="0618240F" w:rsidR="00DC1542" w:rsidRPr="005159DA" w:rsidRDefault="00AD65FB" w:rsidP="00AD65FB">
      <w:r w:rsidRPr="006C22A2">
        <w:t xml:space="preserve">Section 24AA of </w:t>
      </w:r>
      <w:r w:rsidRPr="005159DA">
        <w:t>the Principal Regulation currently prescribes that the base assistance amount for 20</w:t>
      </w:r>
      <w:r w:rsidR="00882D38" w:rsidRPr="005159DA">
        <w:t>2</w:t>
      </w:r>
      <w:r w:rsidR="00FF2ED8" w:rsidRPr="005159DA">
        <w:t>1</w:t>
      </w:r>
      <w:r w:rsidRPr="005159DA">
        <w:t xml:space="preserve"> is $</w:t>
      </w:r>
      <w:r w:rsidR="00FF2ED8" w:rsidRPr="005159DA">
        <w:t>178,845,000</w:t>
      </w:r>
      <w:r w:rsidRPr="005159DA">
        <w:t xml:space="preserve">. </w:t>
      </w:r>
    </w:p>
    <w:p w14:paraId="427B99EE" w14:textId="35DC6908" w:rsidR="00FF2ED8" w:rsidRPr="005159DA" w:rsidRDefault="00FE2225" w:rsidP="00AD65FB">
      <w:r>
        <w:rPr>
          <w:bCs/>
        </w:rPr>
        <w:t>This item</w:t>
      </w:r>
      <w:r w:rsidR="00AD65FB" w:rsidRPr="005159DA">
        <w:rPr>
          <w:b/>
        </w:rPr>
        <w:t xml:space="preserve"> </w:t>
      </w:r>
      <w:r w:rsidR="00AD65FB" w:rsidRPr="005159DA">
        <w:t>amend</w:t>
      </w:r>
      <w:r w:rsidR="00EB594B" w:rsidRPr="005159DA">
        <w:t>s</w:t>
      </w:r>
      <w:r w:rsidR="00AD65FB" w:rsidRPr="005159DA">
        <w:t xml:space="preserve"> section 24A to prescribe a</w:t>
      </w:r>
      <w:r w:rsidR="00FF2ED8" w:rsidRPr="005159DA">
        <w:t>n indexation percentage of 108.7</w:t>
      </w:r>
      <w:r w:rsidR="00594F18">
        <w:t>5</w:t>
      </w:r>
      <w:r w:rsidR="007E5135" w:rsidRPr="005159DA">
        <w:t>%</w:t>
      </w:r>
      <w:r w:rsidR="00BB201A" w:rsidRPr="005159DA">
        <w:t xml:space="preserve"> </w:t>
      </w:r>
      <w:r w:rsidR="00FF2ED8" w:rsidRPr="005159DA">
        <w:t>for</w:t>
      </w:r>
      <w:r w:rsidR="00BB201A" w:rsidRPr="005159DA">
        <w:t> </w:t>
      </w:r>
      <w:r w:rsidR="00FF2ED8" w:rsidRPr="005159DA">
        <w:t xml:space="preserve">2022. </w:t>
      </w:r>
    </w:p>
    <w:p w14:paraId="2382D8E9" w14:textId="0E6BFCEA" w:rsidR="00FF2ED8" w:rsidRDefault="00FF2ED8" w:rsidP="00AD65FB">
      <w:r w:rsidRPr="005159DA">
        <w:t xml:space="preserve">When the indexation percentage is applied to the current capital funding amount, the amount to be allocated to </w:t>
      </w:r>
      <w:r w:rsidR="009A6CC3" w:rsidRPr="005159DA">
        <w:t>b</w:t>
      </w:r>
      <w:r w:rsidRPr="005159DA">
        <w:t xml:space="preserve">lock </w:t>
      </w:r>
      <w:r w:rsidR="009A6CC3" w:rsidRPr="005159DA">
        <w:t>g</w:t>
      </w:r>
      <w:r w:rsidRPr="005159DA">
        <w:t xml:space="preserve">rant </w:t>
      </w:r>
      <w:r w:rsidR="009A6CC3" w:rsidRPr="005159DA">
        <w:t>a</w:t>
      </w:r>
      <w:r w:rsidRPr="005159DA">
        <w:t>uthorities for 2022 is $194,4</w:t>
      </w:r>
      <w:r w:rsidR="002B1D74">
        <w:t>92</w:t>
      </w:r>
      <w:r w:rsidRPr="005159DA">
        <w:t>,000. This is an increase of $15,</w:t>
      </w:r>
      <w:r w:rsidR="002B1D74">
        <w:t>647</w:t>
      </w:r>
      <w:r w:rsidRPr="005159DA">
        <w:t xml:space="preserve">,000 over the 2021 </w:t>
      </w:r>
      <w:r w:rsidR="00051B4F" w:rsidRPr="005159DA">
        <w:t xml:space="preserve">base assistance </w:t>
      </w:r>
      <w:r w:rsidRPr="005159DA">
        <w:t>amount of $178,845,000.</w:t>
      </w:r>
      <w:bookmarkEnd w:id="4"/>
    </w:p>
    <w:sectPr w:rsidR="00FF2ED8" w:rsidSect="008960ED">
      <w:footerReference w:type="even"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0BBD" w14:textId="77777777" w:rsidR="00C232A3" w:rsidRDefault="00C232A3">
      <w:r>
        <w:separator/>
      </w:r>
    </w:p>
  </w:endnote>
  <w:endnote w:type="continuationSeparator" w:id="0">
    <w:p w14:paraId="47C960FB" w14:textId="77777777" w:rsidR="00C232A3" w:rsidRDefault="00C2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8AD8"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13D16" w14:textId="77777777" w:rsidR="00F54EA0" w:rsidRDefault="00F54EA0"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768C"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AC0">
      <w:rPr>
        <w:rStyle w:val="PageNumber"/>
        <w:noProof/>
      </w:rPr>
      <w:t>4</w:t>
    </w:r>
    <w:r>
      <w:rPr>
        <w:rStyle w:val="PageNumber"/>
      </w:rPr>
      <w:fldChar w:fldCharType="end"/>
    </w:r>
  </w:p>
  <w:p w14:paraId="728C8823" w14:textId="77777777" w:rsidR="00F54EA0" w:rsidRDefault="00F54EA0" w:rsidP="002849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38876"/>
      <w:docPartObj>
        <w:docPartGallery w:val="Page Numbers (Bottom of Page)"/>
        <w:docPartUnique/>
      </w:docPartObj>
    </w:sdtPr>
    <w:sdtEndPr>
      <w:rPr>
        <w:noProof/>
      </w:rPr>
    </w:sdtEndPr>
    <w:sdtContent>
      <w:p w14:paraId="4C8D10AB" w14:textId="77777777" w:rsidR="00F54EA0" w:rsidRDefault="00F54E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C55DAA" w14:textId="77777777" w:rsidR="00F54EA0" w:rsidRDefault="00F5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F488" w14:textId="77777777" w:rsidR="00C232A3" w:rsidRDefault="00C232A3">
      <w:r>
        <w:separator/>
      </w:r>
    </w:p>
  </w:footnote>
  <w:footnote w:type="continuationSeparator" w:id="0">
    <w:p w14:paraId="4E669C94" w14:textId="77777777" w:rsidR="00C232A3" w:rsidRDefault="00C2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5CAFB36"/>
    <w:lvl w:ilvl="0">
      <w:start w:val="1"/>
      <w:numFmt w:val="decimal"/>
      <w:lvlText w:val="%1."/>
      <w:lvlJc w:val="left"/>
      <w:pPr>
        <w:ind w:left="851" w:hanging="851"/>
      </w:pPr>
      <w:rPr>
        <w:rFonts w:cs="Times New Roman" w:hint="default"/>
        <w:sz w:val="22"/>
        <w:szCs w:val="22"/>
      </w:rPr>
    </w:lvl>
    <w:lvl w:ilvl="1">
      <w:start w:val="1"/>
      <w:numFmt w:val="bullet"/>
      <w:lvlText w:val=""/>
      <w:lvlJc w:val="left"/>
      <w:pPr>
        <w:ind w:left="1276" w:hanging="851"/>
      </w:pPr>
      <w:rPr>
        <w:rFonts w:ascii="Symbol" w:hAnsi="Symbol" w:hint="default"/>
        <w:b w:val="0"/>
        <w:i w:val="0"/>
        <w:sz w:val="20"/>
        <w:szCs w:val="20"/>
      </w:rPr>
    </w:lvl>
    <w:lvl w:ilvl="2">
      <w:start w:val="1"/>
      <w:numFmt w:val="lowerLetter"/>
      <w:lvlText w:val="(%3)"/>
      <w:lvlJc w:val="left"/>
      <w:pPr>
        <w:ind w:left="1701" w:hanging="850"/>
      </w:pPr>
      <w:rPr>
        <w:rFonts w:ascii="Arial" w:hAnsi="Arial" w:cs="Times New Roman" w:hint="default"/>
        <w:b w:val="0"/>
        <w:i w:val="0"/>
        <w:sz w:val="20"/>
        <w:szCs w:val="20"/>
      </w:rPr>
    </w:lvl>
    <w:lvl w:ilvl="3">
      <w:start w:val="1"/>
      <w:numFmt w:val="lowerRoman"/>
      <w:pStyle w:val="Heading4"/>
      <w:lvlText w:val="(%4)"/>
      <w:lvlJc w:val="left"/>
      <w:pPr>
        <w:ind w:left="2268" w:hanging="567"/>
      </w:pPr>
      <w:rPr>
        <w:rFonts w:ascii="Arial" w:hAnsi="Arial" w:cs="Times New Roman" w:hint="default"/>
        <w:b w:val="0"/>
        <w:i w:val="0"/>
        <w:sz w:val="20"/>
        <w:szCs w:val="20"/>
      </w:rPr>
    </w:lvl>
    <w:lvl w:ilvl="4">
      <w:start w:val="1"/>
      <w:numFmt w:val="upperLetter"/>
      <w:pStyle w:val="Heading5"/>
      <w:lvlText w:val="(%5)"/>
      <w:lvlJc w:val="left"/>
      <w:pPr>
        <w:tabs>
          <w:tab w:val="num" w:pos="2835"/>
        </w:tabs>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03F56B14"/>
    <w:multiLevelType w:val="hybridMultilevel"/>
    <w:tmpl w:val="43FC9E70"/>
    <w:lvl w:ilvl="0" w:tplc="6700E292">
      <w:start w:val="1"/>
      <w:numFmt w:val="decimal"/>
      <w:pStyle w:val="MBPoint"/>
      <w:lvlText w:val="%1."/>
      <w:lvlJc w:val="left"/>
      <w:pPr>
        <w:ind w:left="417" w:hanging="360"/>
      </w:pPr>
      <w:rPr>
        <w:rFonts w:hint="default"/>
      </w:rPr>
    </w:lvl>
    <w:lvl w:ilvl="1" w:tplc="82EADBD2">
      <w:start w:val="1"/>
      <w:numFmt w:val="lowerLetter"/>
      <w:lvlText w:val="%2."/>
      <w:lvlJc w:val="left"/>
      <w:pPr>
        <w:ind w:left="1137" w:hanging="360"/>
      </w:pPr>
    </w:lvl>
    <w:lvl w:ilvl="2" w:tplc="ACF26E96" w:tentative="1">
      <w:start w:val="1"/>
      <w:numFmt w:val="lowerRoman"/>
      <w:lvlText w:val="%3."/>
      <w:lvlJc w:val="right"/>
      <w:pPr>
        <w:ind w:left="1857" w:hanging="180"/>
      </w:pPr>
    </w:lvl>
    <w:lvl w:ilvl="3" w:tplc="F64C470C" w:tentative="1">
      <w:start w:val="1"/>
      <w:numFmt w:val="decimal"/>
      <w:lvlText w:val="%4."/>
      <w:lvlJc w:val="left"/>
      <w:pPr>
        <w:ind w:left="2577" w:hanging="360"/>
      </w:pPr>
    </w:lvl>
    <w:lvl w:ilvl="4" w:tplc="E8386AE6" w:tentative="1">
      <w:start w:val="1"/>
      <w:numFmt w:val="lowerLetter"/>
      <w:lvlText w:val="%5."/>
      <w:lvlJc w:val="left"/>
      <w:pPr>
        <w:ind w:left="3297" w:hanging="360"/>
      </w:pPr>
    </w:lvl>
    <w:lvl w:ilvl="5" w:tplc="69E84164" w:tentative="1">
      <w:start w:val="1"/>
      <w:numFmt w:val="lowerRoman"/>
      <w:lvlText w:val="%6."/>
      <w:lvlJc w:val="right"/>
      <w:pPr>
        <w:ind w:left="4017" w:hanging="180"/>
      </w:pPr>
    </w:lvl>
    <w:lvl w:ilvl="6" w:tplc="E87EA62C" w:tentative="1">
      <w:start w:val="1"/>
      <w:numFmt w:val="decimal"/>
      <w:lvlText w:val="%7."/>
      <w:lvlJc w:val="left"/>
      <w:pPr>
        <w:ind w:left="4737" w:hanging="360"/>
      </w:pPr>
    </w:lvl>
    <w:lvl w:ilvl="7" w:tplc="7EEEE0BE" w:tentative="1">
      <w:start w:val="1"/>
      <w:numFmt w:val="lowerLetter"/>
      <w:lvlText w:val="%8."/>
      <w:lvlJc w:val="left"/>
      <w:pPr>
        <w:ind w:left="5457" w:hanging="360"/>
      </w:pPr>
    </w:lvl>
    <w:lvl w:ilvl="8" w:tplc="5CB4E8A0" w:tentative="1">
      <w:start w:val="1"/>
      <w:numFmt w:val="lowerRoman"/>
      <w:lvlText w:val="%9."/>
      <w:lvlJc w:val="right"/>
      <w:pPr>
        <w:ind w:left="6177" w:hanging="180"/>
      </w:pPr>
    </w:lvl>
  </w:abstractNum>
  <w:abstractNum w:abstractNumId="2"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F6261"/>
    <w:multiLevelType w:val="hybridMultilevel"/>
    <w:tmpl w:val="E8F46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D7C29"/>
    <w:multiLevelType w:val="hybridMultilevel"/>
    <w:tmpl w:val="96523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952DC8"/>
    <w:multiLevelType w:val="hybridMultilevel"/>
    <w:tmpl w:val="37FAD7FE"/>
    <w:lvl w:ilvl="0" w:tplc="9D32F2EA">
      <w:start w:val="1"/>
      <w:numFmt w:val="bullet"/>
      <w:pStyle w:val="ListParagraph"/>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63BF8"/>
    <w:multiLevelType w:val="hybridMultilevel"/>
    <w:tmpl w:val="AC5615A6"/>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F1"/>
    <w:rsid w:val="000004DD"/>
    <w:rsid w:val="00000B7F"/>
    <w:rsid w:val="00002544"/>
    <w:rsid w:val="00002F07"/>
    <w:rsid w:val="00003D1A"/>
    <w:rsid w:val="00003E8E"/>
    <w:rsid w:val="00004CAB"/>
    <w:rsid w:val="00005332"/>
    <w:rsid w:val="000059D3"/>
    <w:rsid w:val="000069B2"/>
    <w:rsid w:val="000069C4"/>
    <w:rsid w:val="00006B76"/>
    <w:rsid w:val="0000754B"/>
    <w:rsid w:val="00007A61"/>
    <w:rsid w:val="000103CB"/>
    <w:rsid w:val="00010FFA"/>
    <w:rsid w:val="0001160A"/>
    <w:rsid w:val="000135C8"/>
    <w:rsid w:val="00013C6E"/>
    <w:rsid w:val="00014400"/>
    <w:rsid w:val="00014524"/>
    <w:rsid w:val="000146BC"/>
    <w:rsid w:val="00014704"/>
    <w:rsid w:val="0001513A"/>
    <w:rsid w:val="00015C94"/>
    <w:rsid w:val="00015D30"/>
    <w:rsid w:val="00016D2B"/>
    <w:rsid w:val="000214A3"/>
    <w:rsid w:val="0002170A"/>
    <w:rsid w:val="00021A18"/>
    <w:rsid w:val="0002308D"/>
    <w:rsid w:val="0002459E"/>
    <w:rsid w:val="000250D2"/>
    <w:rsid w:val="000271FD"/>
    <w:rsid w:val="00027C86"/>
    <w:rsid w:val="000304B6"/>
    <w:rsid w:val="00032038"/>
    <w:rsid w:val="00032BF3"/>
    <w:rsid w:val="00032CB9"/>
    <w:rsid w:val="00033C8F"/>
    <w:rsid w:val="000345E8"/>
    <w:rsid w:val="0003578C"/>
    <w:rsid w:val="00036404"/>
    <w:rsid w:val="00037900"/>
    <w:rsid w:val="00037F8E"/>
    <w:rsid w:val="00041867"/>
    <w:rsid w:val="00042156"/>
    <w:rsid w:val="00042D3F"/>
    <w:rsid w:val="000442FA"/>
    <w:rsid w:val="00044F2E"/>
    <w:rsid w:val="00045249"/>
    <w:rsid w:val="00045441"/>
    <w:rsid w:val="00046EAB"/>
    <w:rsid w:val="0005001C"/>
    <w:rsid w:val="00050FED"/>
    <w:rsid w:val="00051130"/>
    <w:rsid w:val="00051667"/>
    <w:rsid w:val="00051B4F"/>
    <w:rsid w:val="0005378B"/>
    <w:rsid w:val="000541BC"/>
    <w:rsid w:val="00055D4C"/>
    <w:rsid w:val="00056351"/>
    <w:rsid w:val="0006034B"/>
    <w:rsid w:val="0006124D"/>
    <w:rsid w:val="000614CF"/>
    <w:rsid w:val="00061C00"/>
    <w:rsid w:val="00062DC8"/>
    <w:rsid w:val="0006386E"/>
    <w:rsid w:val="00063941"/>
    <w:rsid w:val="0006476D"/>
    <w:rsid w:val="00064D83"/>
    <w:rsid w:val="00065172"/>
    <w:rsid w:val="00066121"/>
    <w:rsid w:val="000662B2"/>
    <w:rsid w:val="000709A8"/>
    <w:rsid w:val="00070B8B"/>
    <w:rsid w:val="000712F3"/>
    <w:rsid w:val="000714F7"/>
    <w:rsid w:val="00072A59"/>
    <w:rsid w:val="00073B16"/>
    <w:rsid w:val="00074052"/>
    <w:rsid w:val="00074C21"/>
    <w:rsid w:val="00074EC2"/>
    <w:rsid w:val="000750A6"/>
    <w:rsid w:val="0007572E"/>
    <w:rsid w:val="00075DF6"/>
    <w:rsid w:val="00075FA0"/>
    <w:rsid w:val="000767AF"/>
    <w:rsid w:val="000775BD"/>
    <w:rsid w:val="00080FE5"/>
    <w:rsid w:val="000816D4"/>
    <w:rsid w:val="00081820"/>
    <w:rsid w:val="00082AA4"/>
    <w:rsid w:val="00082B5C"/>
    <w:rsid w:val="000833AB"/>
    <w:rsid w:val="00083507"/>
    <w:rsid w:val="0008359B"/>
    <w:rsid w:val="00083AE5"/>
    <w:rsid w:val="000848AE"/>
    <w:rsid w:val="00084E12"/>
    <w:rsid w:val="000850AD"/>
    <w:rsid w:val="00085604"/>
    <w:rsid w:val="00090DB3"/>
    <w:rsid w:val="000932B9"/>
    <w:rsid w:val="000934CB"/>
    <w:rsid w:val="00093D56"/>
    <w:rsid w:val="00093E37"/>
    <w:rsid w:val="00094D41"/>
    <w:rsid w:val="00095DE3"/>
    <w:rsid w:val="0009680C"/>
    <w:rsid w:val="0009758C"/>
    <w:rsid w:val="000977AB"/>
    <w:rsid w:val="000A19B4"/>
    <w:rsid w:val="000A2732"/>
    <w:rsid w:val="000A3650"/>
    <w:rsid w:val="000A37F0"/>
    <w:rsid w:val="000A3DCE"/>
    <w:rsid w:val="000A4BC1"/>
    <w:rsid w:val="000A4EA7"/>
    <w:rsid w:val="000A58DA"/>
    <w:rsid w:val="000A6117"/>
    <w:rsid w:val="000A690F"/>
    <w:rsid w:val="000A6F08"/>
    <w:rsid w:val="000B0DD0"/>
    <w:rsid w:val="000B0FB3"/>
    <w:rsid w:val="000B1290"/>
    <w:rsid w:val="000B2857"/>
    <w:rsid w:val="000B2EA7"/>
    <w:rsid w:val="000B3361"/>
    <w:rsid w:val="000B398E"/>
    <w:rsid w:val="000B3EE7"/>
    <w:rsid w:val="000B3FF4"/>
    <w:rsid w:val="000B46D4"/>
    <w:rsid w:val="000B46E9"/>
    <w:rsid w:val="000B5008"/>
    <w:rsid w:val="000B6385"/>
    <w:rsid w:val="000C0261"/>
    <w:rsid w:val="000C02DE"/>
    <w:rsid w:val="000C329E"/>
    <w:rsid w:val="000C6ED1"/>
    <w:rsid w:val="000C79C6"/>
    <w:rsid w:val="000D00A0"/>
    <w:rsid w:val="000D07AC"/>
    <w:rsid w:val="000D08DE"/>
    <w:rsid w:val="000D0F18"/>
    <w:rsid w:val="000D149F"/>
    <w:rsid w:val="000D14CA"/>
    <w:rsid w:val="000D1ED4"/>
    <w:rsid w:val="000D2925"/>
    <w:rsid w:val="000D392D"/>
    <w:rsid w:val="000D492C"/>
    <w:rsid w:val="000D4E87"/>
    <w:rsid w:val="000D6A7E"/>
    <w:rsid w:val="000D7B53"/>
    <w:rsid w:val="000E0ABC"/>
    <w:rsid w:val="000E1263"/>
    <w:rsid w:val="000E334A"/>
    <w:rsid w:val="000E4B2C"/>
    <w:rsid w:val="000E5216"/>
    <w:rsid w:val="000E5A17"/>
    <w:rsid w:val="000E5FCA"/>
    <w:rsid w:val="000E668A"/>
    <w:rsid w:val="000F032B"/>
    <w:rsid w:val="000F20AB"/>
    <w:rsid w:val="000F2889"/>
    <w:rsid w:val="000F2FC8"/>
    <w:rsid w:val="000F3466"/>
    <w:rsid w:val="000F3C1E"/>
    <w:rsid w:val="000F40DD"/>
    <w:rsid w:val="000F562C"/>
    <w:rsid w:val="000F727D"/>
    <w:rsid w:val="000F7D7E"/>
    <w:rsid w:val="00100188"/>
    <w:rsid w:val="001009F8"/>
    <w:rsid w:val="001026F4"/>
    <w:rsid w:val="00103224"/>
    <w:rsid w:val="00103AFD"/>
    <w:rsid w:val="00103F01"/>
    <w:rsid w:val="00105A59"/>
    <w:rsid w:val="00105BD7"/>
    <w:rsid w:val="00105E62"/>
    <w:rsid w:val="00106006"/>
    <w:rsid w:val="00110545"/>
    <w:rsid w:val="0011072F"/>
    <w:rsid w:val="00112991"/>
    <w:rsid w:val="001159F5"/>
    <w:rsid w:val="00115A17"/>
    <w:rsid w:val="00115B18"/>
    <w:rsid w:val="0011617E"/>
    <w:rsid w:val="00116799"/>
    <w:rsid w:val="0011701D"/>
    <w:rsid w:val="00122367"/>
    <w:rsid w:val="00122D7C"/>
    <w:rsid w:val="0012349B"/>
    <w:rsid w:val="00123C57"/>
    <w:rsid w:val="00125D84"/>
    <w:rsid w:val="00125EC1"/>
    <w:rsid w:val="001266E9"/>
    <w:rsid w:val="0012686F"/>
    <w:rsid w:val="00127472"/>
    <w:rsid w:val="00130520"/>
    <w:rsid w:val="001308E1"/>
    <w:rsid w:val="00130AC0"/>
    <w:rsid w:val="001313CB"/>
    <w:rsid w:val="00132692"/>
    <w:rsid w:val="00134829"/>
    <w:rsid w:val="001348EE"/>
    <w:rsid w:val="001349FF"/>
    <w:rsid w:val="001354C3"/>
    <w:rsid w:val="00135F64"/>
    <w:rsid w:val="00136603"/>
    <w:rsid w:val="00136885"/>
    <w:rsid w:val="001369D1"/>
    <w:rsid w:val="0013781E"/>
    <w:rsid w:val="00140B78"/>
    <w:rsid w:val="00140DD2"/>
    <w:rsid w:val="00141219"/>
    <w:rsid w:val="001415B7"/>
    <w:rsid w:val="00141943"/>
    <w:rsid w:val="00143924"/>
    <w:rsid w:val="001443A5"/>
    <w:rsid w:val="00144FFF"/>
    <w:rsid w:val="00145177"/>
    <w:rsid w:val="001502AD"/>
    <w:rsid w:val="001544EF"/>
    <w:rsid w:val="001556A3"/>
    <w:rsid w:val="0015597D"/>
    <w:rsid w:val="00155B16"/>
    <w:rsid w:val="00155D78"/>
    <w:rsid w:val="001561F2"/>
    <w:rsid w:val="00157748"/>
    <w:rsid w:val="001577AF"/>
    <w:rsid w:val="00160BCA"/>
    <w:rsid w:val="00161EA3"/>
    <w:rsid w:val="0016225B"/>
    <w:rsid w:val="00162B7C"/>
    <w:rsid w:val="0016393C"/>
    <w:rsid w:val="001640B3"/>
    <w:rsid w:val="00166EE9"/>
    <w:rsid w:val="00166F7B"/>
    <w:rsid w:val="001674DD"/>
    <w:rsid w:val="00170212"/>
    <w:rsid w:val="001719F4"/>
    <w:rsid w:val="00172085"/>
    <w:rsid w:val="001720C2"/>
    <w:rsid w:val="00173335"/>
    <w:rsid w:val="001735AD"/>
    <w:rsid w:val="00175337"/>
    <w:rsid w:val="00176565"/>
    <w:rsid w:val="001771F4"/>
    <w:rsid w:val="001775C7"/>
    <w:rsid w:val="001801DC"/>
    <w:rsid w:val="00180903"/>
    <w:rsid w:val="00180E4B"/>
    <w:rsid w:val="00181741"/>
    <w:rsid w:val="00182056"/>
    <w:rsid w:val="00182229"/>
    <w:rsid w:val="001822E9"/>
    <w:rsid w:val="00183D67"/>
    <w:rsid w:val="0018507D"/>
    <w:rsid w:val="00186815"/>
    <w:rsid w:val="001876F5"/>
    <w:rsid w:val="0019003E"/>
    <w:rsid w:val="0019055F"/>
    <w:rsid w:val="00190F2F"/>
    <w:rsid w:val="00191C88"/>
    <w:rsid w:val="0019246B"/>
    <w:rsid w:val="00192D8A"/>
    <w:rsid w:val="00193062"/>
    <w:rsid w:val="00193AE6"/>
    <w:rsid w:val="00194A5D"/>
    <w:rsid w:val="00196CFD"/>
    <w:rsid w:val="001A0B78"/>
    <w:rsid w:val="001A197A"/>
    <w:rsid w:val="001A1B7B"/>
    <w:rsid w:val="001A2537"/>
    <w:rsid w:val="001A306A"/>
    <w:rsid w:val="001A4118"/>
    <w:rsid w:val="001A438A"/>
    <w:rsid w:val="001A4492"/>
    <w:rsid w:val="001A46AC"/>
    <w:rsid w:val="001A5185"/>
    <w:rsid w:val="001A5CBD"/>
    <w:rsid w:val="001A7F95"/>
    <w:rsid w:val="001B01C3"/>
    <w:rsid w:val="001B0A9D"/>
    <w:rsid w:val="001B0B51"/>
    <w:rsid w:val="001B0BE0"/>
    <w:rsid w:val="001B27E4"/>
    <w:rsid w:val="001B306A"/>
    <w:rsid w:val="001B30AA"/>
    <w:rsid w:val="001B4165"/>
    <w:rsid w:val="001B4868"/>
    <w:rsid w:val="001B5436"/>
    <w:rsid w:val="001B5811"/>
    <w:rsid w:val="001B7C53"/>
    <w:rsid w:val="001B7D27"/>
    <w:rsid w:val="001C024D"/>
    <w:rsid w:val="001C1198"/>
    <w:rsid w:val="001C133F"/>
    <w:rsid w:val="001C2B91"/>
    <w:rsid w:val="001C3868"/>
    <w:rsid w:val="001C4075"/>
    <w:rsid w:val="001C50CF"/>
    <w:rsid w:val="001C5751"/>
    <w:rsid w:val="001C57C3"/>
    <w:rsid w:val="001C5E87"/>
    <w:rsid w:val="001C73FD"/>
    <w:rsid w:val="001C77C4"/>
    <w:rsid w:val="001C7A0B"/>
    <w:rsid w:val="001D291A"/>
    <w:rsid w:val="001D2C76"/>
    <w:rsid w:val="001D2E43"/>
    <w:rsid w:val="001D3C17"/>
    <w:rsid w:val="001D4378"/>
    <w:rsid w:val="001D5230"/>
    <w:rsid w:val="001D6203"/>
    <w:rsid w:val="001D66A9"/>
    <w:rsid w:val="001D6B30"/>
    <w:rsid w:val="001E02AB"/>
    <w:rsid w:val="001E1038"/>
    <w:rsid w:val="001E1537"/>
    <w:rsid w:val="001E3E4F"/>
    <w:rsid w:val="001E4173"/>
    <w:rsid w:val="001E4269"/>
    <w:rsid w:val="001E4C45"/>
    <w:rsid w:val="001E5B32"/>
    <w:rsid w:val="001E64AA"/>
    <w:rsid w:val="001E6979"/>
    <w:rsid w:val="001E77EC"/>
    <w:rsid w:val="001E7E14"/>
    <w:rsid w:val="001F0132"/>
    <w:rsid w:val="001F0C99"/>
    <w:rsid w:val="001F1133"/>
    <w:rsid w:val="001F22DE"/>
    <w:rsid w:val="001F3A93"/>
    <w:rsid w:val="001F3E12"/>
    <w:rsid w:val="001F47C0"/>
    <w:rsid w:val="001F4EF4"/>
    <w:rsid w:val="001F5723"/>
    <w:rsid w:val="001F5CCC"/>
    <w:rsid w:val="001F5F36"/>
    <w:rsid w:val="001F6D00"/>
    <w:rsid w:val="001F6F11"/>
    <w:rsid w:val="001F70D5"/>
    <w:rsid w:val="0020239E"/>
    <w:rsid w:val="00203637"/>
    <w:rsid w:val="0020398B"/>
    <w:rsid w:val="0020405C"/>
    <w:rsid w:val="00205BC4"/>
    <w:rsid w:val="00210259"/>
    <w:rsid w:val="00210D23"/>
    <w:rsid w:val="00211C27"/>
    <w:rsid w:val="00212DD6"/>
    <w:rsid w:val="00213D10"/>
    <w:rsid w:val="002140FA"/>
    <w:rsid w:val="00214638"/>
    <w:rsid w:val="00215DD9"/>
    <w:rsid w:val="00217192"/>
    <w:rsid w:val="0022072D"/>
    <w:rsid w:val="00220926"/>
    <w:rsid w:val="00220C01"/>
    <w:rsid w:val="00222B5E"/>
    <w:rsid w:val="00223B3F"/>
    <w:rsid w:val="002262E3"/>
    <w:rsid w:val="00226573"/>
    <w:rsid w:val="002273EA"/>
    <w:rsid w:val="002274F0"/>
    <w:rsid w:val="00227847"/>
    <w:rsid w:val="00233934"/>
    <w:rsid w:val="0023396B"/>
    <w:rsid w:val="00234AB0"/>
    <w:rsid w:val="0023536E"/>
    <w:rsid w:val="00235A59"/>
    <w:rsid w:val="002368AE"/>
    <w:rsid w:val="00236B34"/>
    <w:rsid w:val="00237170"/>
    <w:rsid w:val="00241119"/>
    <w:rsid w:val="00243753"/>
    <w:rsid w:val="00243BB7"/>
    <w:rsid w:val="00245A6A"/>
    <w:rsid w:val="00246155"/>
    <w:rsid w:val="002469F0"/>
    <w:rsid w:val="00246D4C"/>
    <w:rsid w:val="00247549"/>
    <w:rsid w:val="00247657"/>
    <w:rsid w:val="00247D27"/>
    <w:rsid w:val="00250827"/>
    <w:rsid w:val="00252C53"/>
    <w:rsid w:val="00252FA0"/>
    <w:rsid w:val="0025313D"/>
    <w:rsid w:val="00255D4A"/>
    <w:rsid w:val="00256107"/>
    <w:rsid w:val="00256477"/>
    <w:rsid w:val="002611B6"/>
    <w:rsid w:val="00262093"/>
    <w:rsid w:val="002620F3"/>
    <w:rsid w:val="00262830"/>
    <w:rsid w:val="00264240"/>
    <w:rsid w:val="002642EB"/>
    <w:rsid w:val="00264E8E"/>
    <w:rsid w:val="0026543B"/>
    <w:rsid w:val="0026586F"/>
    <w:rsid w:val="002658AD"/>
    <w:rsid w:val="002670C5"/>
    <w:rsid w:val="002672FC"/>
    <w:rsid w:val="0027023E"/>
    <w:rsid w:val="002723E8"/>
    <w:rsid w:val="00272572"/>
    <w:rsid w:val="0027396B"/>
    <w:rsid w:val="002739F1"/>
    <w:rsid w:val="002746B4"/>
    <w:rsid w:val="00276F2A"/>
    <w:rsid w:val="002775D2"/>
    <w:rsid w:val="0027779F"/>
    <w:rsid w:val="00283EC4"/>
    <w:rsid w:val="00284099"/>
    <w:rsid w:val="002841C3"/>
    <w:rsid w:val="0028494E"/>
    <w:rsid w:val="002852DA"/>
    <w:rsid w:val="00285460"/>
    <w:rsid w:val="00286459"/>
    <w:rsid w:val="002866D9"/>
    <w:rsid w:val="00286A57"/>
    <w:rsid w:val="00286CDD"/>
    <w:rsid w:val="00286F7E"/>
    <w:rsid w:val="00287D40"/>
    <w:rsid w:val="00290480"/>
    <w:rsid w:val="00290E39"/>
    <w:rsid w:val="00291703"/>
    <w:rsid w:val="00291FCF"/>
    <w:rsid w:val="00293152"/>
    <w:rsid w:val="0029365F"/>
    <w:rsid w:val="00293C2F"/>
    <w:rsid w:val="00294051"/>
    <w:rsid w:val="00295973"/>
    <w:rsid w:val="00295A4C"/>
    <w:rsid w:val="00295F23"/>
    <w:rsid w:val="00296CA9"/>
    <w:rsid w:val="00296F9F"/>
    <w:rsid w:val="002A0122"/>
    <w:rsid w:val="002A04B3"/>
    <w:rsid w:val="002A06D2"/>
    <w:rsid w:val="002A0BE7"/>
    <w:rsid w:val="002A3D7D"/>
    <w:rsid w:val="002A5754"/>
    <w:rsid w:val="002A662D"/>
    <w:rsid w:val="002A6E39"/>
    <w:rsid w:val="002A7058"/>
    <w:rsid w:val="002A7601"/>
    <w:rsid w:val="002A7ACB"/>
    <w:rsid w:val="002B03F0"/>
    <w:rsid w:val="002B0742"/>
    <w:rsid w:val="002B1AD4"/>
    <w:rsid w:val="002B1D74"/>
    <w:rsid w:val="002B1EFE"/>
    <w:rsid w:val="002B43F7"/>
    <w:rsid w:val="002B498D"/>
    <w:rsid w:val="002B49D3"/>
    <w:rsid w:val="002C0B6A"/>
    <w:rsid w:val="002C1566"/>
    <w:rsid w:val="002C2D27"/>
    <w:rsid w:val="002C4A28"/>
    <w:rsid w:val="002C4EFA"/>
    <w:rsid w:val="002C53FE"/>
    <w:rsid w:val="002C59B5"/>
    <w:rsid w:val="002C66BA"/>
    <w:rsid w:val="002C6A0E"/>
    <w:rsid w:val="002C7724"/>
    <w:rsid w:val="002D2C8F"/>
    <w:rsid w:val="002D4684"/>
    <w:rsid w:val="002D4C0B"/>
    <w:rsid w:val="002D5D85"/>
    <w:rsid w:val="002D75BF"/>
    <w:rsid w:val="002E0105"/>
    <w:rsid w:val="002E0AB6"/>
    <w:rsid w:val="002E192D"/>
    <w:rsid w:val="002E2D53"/>
    <w:rsid w:val="002E3947"/>
    <w:rsid w:val="002E44F9"/>
    <w:rsid w:val="002E62A4"/>
    <w:rsid w:val="002E648D"/>
    <w:rsid w:val="002F0B88"/>
    <w:rsid w:val="002F1E91"/>
    <w:rsid w:val="002F2837"/>
    <w:rsid w:val="002F29ED"/>
    <w:rsid w:val="002F2FBE"/>
    <w:rsid w:val="002F344C"/>
    <w:rsid w:val="002F3C01"/>
    <w:rsid w:val="002F56D3"/>
    <w:rsid w:val="002F762F"/>
    <w:rsid w:val="002F79D9"/>
    <w:rsid w:val="003008BD"/>
    <w:rsid w:val="00301835"/>
    <w:rsid w:val="003023AF"/>
    <w:rsid w:val="00302522"/>
    <w:rsid w:val="003028E4"/>
    <w:rsid w:val="00303121"/>
    <w:rsid w:val="003050A9"/>
    <w:rsid w:val="003051FF"/>
    <w:rsid w:val="00306DFC"/>
    <w:rsid w:val="00307353"/>
    <w:rsid w:val="003075B5"/>
    <w:rsid w:val="0030788C"/>
    <w:rsid w:val="0031026D"/>
    <w:rsid w:val="003108D5"/>
    <w:rsid w:val="00310D72"/>
    <w:rsid w:val="00312A21"/>
    <w:rsid w:val="00312BF1"/>
    <w:rsid w:val="00312CFD"/>
    <w:rsid w:val="0031578C"/>
    <w:rsid w:val="00316144"/>
    <w:rsid w:val="00316CEF"/>
    <w:rsid w:val="00317D5B"/>
    <w:rsid w:val="00320290"/>
    <w:rsid w:val="00320F1A"/>
    <w:rsid w:val="00321707"/>
    <w:rsid w:val="0032190D"/>
    <w:rsid w:val="00321961"/>
    <w:rsid w:val="00321962"/>
    <w:rsid w:val="00321A59"/>
    <w:rsid w:val="00321EE2"/>
    <w:rsid w:val="003232E7"/>
    <w:rsid w:val="00323A57"/>
    <w:rsid w:val="00323DA1"/>
    <w:rsid w:val="00325933"/>
    <w:rsid w:val="00325C99"/>
    <w:rsid w:val="00325FF9"/>
    <w:rsid w:val="003268AA"/>
    <w:rsid w:val="00326FF8"/>
    <w:rsid w:val="003303E9"/>
    <w:rsid w:val="00332E86"/>
    <w:rsid w:val="0033329F"/>
    <w:rsid w:val="003343F5"/>
    <w:rsid w:val="00335CB4"/>
    <w:rsid w:val="00337ADE"/>
    <w:rsid w:val="0034017D"/>
    <w:rsid w:val="00340301"/>
    <w:rsid w:val="00340A7C"/>
    <w:rsid w:val="00341707"/>
    <w:rsid w:val="00341CE4"/>
    <w:rsid w:val="00342FE3"/>
    <w:rsid w:val="00345B8D"/>
    <w:rsid w:val="00345D96"/>
    <w:rsid w:val="00347B80"/>
    <w:rsid w:val="00350056"/>
    <w:rsid w:val="003517BE"/>
    <w:rsid w:val="00352437"/>
    <w:rsid w:val="00352FCA"/>
    <w:rsid w:val="00353210"/>
    <w:rsid w:val="003542C9"/>
    <w:rsid w:val="003609CF"/>
    <w:rsid w:val="00361860"/>
    <w:rsid w:val="00363135"/>
    <w:rsid w:val="00363ED1"/>
    <w:rsid w:val="003649A3"/>
    <w:rsid w:val="003650B7"/>
    <w:rsid w:val="0036567A"/>
    <w:rsid w:val="003660C4"/>
    <w:rsid w:val="00366813"/>
    <w:rsid w:val="00366D16"/>
    <w:rsid w:val="003673A8"/>
    <w:rsid w:val="00371065"/>
    <w:rsid w:val="00373336"/>
    <w:rsid w:val="00373D6C"/>
    <w:rsid w:val="003755DF"/>
    <w:rsid w:val="003762B2"/>
    <w:rsid w:val="00376313"/>
    <w:rsid w:val="0037775A"/>
    <w:rsid w:val="00377C2B"/>
    <w:rsid w:val="003806E4"/>
    <w:rsid w:val="0038148E"/>
    <w:rsid w:val="003816B6"/>
    <w:rsid w:val="003817E6"/>
    <w:rsid w:val="00381959"/>
    <w:rsid w:val="00382B44"/>
    <w:rsid w:val="00382F6E"/>
    <w:rsid w:val="0038479A"/>
    <w:rsid w:val="00384DB5"/>
    <w:rsid w:val="00385201"/>
    <w:rsid w:val="0038574F"/>
    <w:rsid w:val="00385D1C"/>
    <w:rsid w:val="00386994"/>
    <w:rsid w:val="003877E5"/>
    <w:rsid w:val="00387B53"/>
    <w:rsid w:val="0039018C"/>
    <w:rsid w:val="00391F33"/>
    <w:rsid w:val="003925B9"/>
    <w:rsid w:val="003925E6"/>
    <w:rsid w:val="00394C89"/>
    <w:rsid w:val="00396660"/>
    <w:rsid w:val="00396D8D"/>
    <w:rsid w:val="003973EA"/>
    <w:rsid w:val="003A158C"/>
    <w:rsid w:val="003A169E"/>
    <w:rsid w:val="003A1A37"/>
    <w:rsid w:val="003A1D18"/>
    <w:rsid w:val="003A2FE4"/>
    <w:rsid w:val="003A3645"/>
    <w:rsid w:val="003A3991"/>
    <w:rsid w:val="003A6729"/>
    <w:rsid w:val="003B3134"/>
    <w:rsid w:val="003B35AF"/>
    <w:rsid w:val="003B5B8B"/>
    <w:rsid w:val="003B763A"/>
    <w:rsid w:val="003B7FFC"/>
    <w:rsid w:val="003C0E00"/>
    <w:rsid w:val="003C1AF2"/>
    <w:rsid w:val="003C22BA"/>
    <w:rsid w:val="003C46C4"/>
    <w:rsid w:val="003C4857"/>
    <w:rsid w:val="003C4A2E"/>
    <w:rsid w:val="003C5226"/>
    <w:rsid w:val="003C7BDE"/>
    <w:rsid w:val="003C7C66"/>
    <w:rsid w:val="003D0D59"/>
    <w:rsid w:val="003D2A1A"/>
    <w:rsid w:val="003D349B"/>
    <w:rsid w:val="003D36D3"/>
    <w:rsid w:val="003D5573"/>
    <w:rsid w:val="003D6CA9"/>
    <w:rsid w:val="003D74E4"/>
    <w:rsid w:val="003E04DE"/>
    <w:rsid w:val="003E1A8C"/>
    <w:rsid w:val="003E30B9"/>
    <w:rsid w:val="003E3AA0"/>
    <w:rsid w:val="003E5989"/>
    <w:rsid w:val="003E640D"/>
    <w:rsid w:val="003F087D"/>
    <w:rsid w:val="003F153C"/>
    <w:rsid w:val="003F1A05"/>
    <w:rsid w:val="003F2327"/>
    <w:rsid w:val="003F24CF"/>
    <w:rsid w:val="003F27B4"/>
    <w:rsid w:val="003F2A79"/>
    <w:rsid w:val="003F2B44"/>
    <w:rsid w:val="003F3742"/>
    <w:rsid w:val="003F5773"/>
    <w:rsid w:val="003F6741"/>
    <w:rsid w:val="003F6A43"/>
    <w:rsid w:val="003F6DBB"/>
    <w:rsid w:val="003F7075"/>
    <w:rsid w:val="004010B2"/>
    <w:rsid w:val="00402D95"/>
    <w:rsid w:val="004033AA"/>
    <w:rsid w:val="004055B7"/>
    <w:rsid w:val="004069DC"/>
    <w:rsid w:val="004073EC"/>
    <w:rsid w:val="0041047E"/>
    <w:rsid w:val="0041062B"/>
    <w:rsid w:val="004115A9"/>
    <w:rsid w:val="00412426"/>
    <w:rsid w:val="004125CC"/>
    <w:rsid w:val="00415BBA"/>
    <w:rsid w:val="00416570"/>
    <w:rsid w:val="004165ED"/>
    <w:rsid w:val="00417FE0"/>
    <w:rsid w:val="004200CA"/>
    <w:rsid w:val="004201F3"/>
    <w:rsid w:val="004204B0"/>
    <w:rsid w:val="0042060F"/>
    <w:rsid w:val="004208BA"/>
    <w:rsid w:val="00420B0A"/>
    <w:rsid w:val="00422B59"/>
    <w:rsid w:val="004230FD"/>
    <w:rsid w:val="0042329B"/>
    <w:rsid w:val="00423B76"/>
    <w:rsid w:val="00424819"/>
    <w:rsid w:val="00425C7A"/>
    <w:rsid w:val="0042606D"/>
    <w:rsid w:val="004270C9"/>
    <w:rsid w:val="0042752E"/>
    <w:rsid w:val="00427D77"/>
    <w:rsid w:val="004301B7"/>
    <w:rsid w:val="00430584"/>
    <w:rsid w:val="00430C71"/>
    <w:rsid w:val="00430DD2"/>
    <w:rsid w:val="00431B25"/>
    <w:rsid w:val="00431C6E"/>
    <w:rsid w:val="0043259F"/>
    <w:rsid w:val="004342B0"/>
    <w:rsid w:val="00434D08"/>
    <w:rsid w:val="004353B9"/>
    <w:rsid w:val="004366B6"/>
    <w:rsid w:val="0043680F"/>
    <w:rsid w:val="00440DE2"/>
    <w:rsid w:val="00441ED1"/>
    <w:rsid w:val="00442D97"/>
    <w:rsid w:val="0044334C"/>
    <w:rsid w:val="0044347D"/>
    <w:rsid w:val="00443AC4"/>
    <w:rsid w:val="00443E40"/>
    <w:rsid w:val="004451A0"/>
    <w:rsid w:val="004453FE"/>
    <w:rsid w:val="004462CA"/>
    <w:rsid w:val="004463E7"/>
    <w:rsid w:val="00446523"/>
    <w:rsid w:val="004474F6"/>
    <w:rsid w:val="0044771B"/>
    <w:rsid w:val="00447D25"/>
    <w:rsid w:val="004503CD"/>
    <w:rsid w:val="00452532"/>
    <w:rsid w:val="004541E9"/>
    <w:rsid w:val="00455430"/>
    <w:rsid w:val="0045555D"/>
    <w:rsid w:val="00460076"/>
    <w:rsid w:val="00460A9F"/>
    <w:rsid w:val="00461066"/>
    <w:rsid w:val="00461793"/>
    <w:rsid w:val="00462A70"/>
    <w:rsid w:val="00462F6C"/>
    <w:rsid w:val="0046459D"/>
    <w:rsid w:val="00464FBC"/>
    <w:rsid w:val="004666B2"/>
    <w:rsid w:val="0046782B"/>
    <w:rsid w:val="00471CFD"/>
    <w:rsid w:val="0047277C"/>
    <w:rsid w:val="00472A76"/>
    <w:rsid w:val="004731D3"/>
    <w:rsid w:val="00473FD1"/>
    <w:rsid w:val="0047648F"/>
    <w:rsid w:val="0047701A"/>
    <w:rsid w:val="00477C9E"/>
    <w:rsid w:val="00481955"/>
    <w:rsid w:val="00481DE0"/>
    <w:rsid w:val="004823C3"/>
    <w:rsid w:val="00482C36"/>
    <w:rsid w:val="00483359"/>
    <w:rsid w:val="0048385E"/>
    <w:rsid w:val="00483D60"/>
    <w:rsid w:val="00485AFA"/>
    <w:rsid w:val="00485EF5"/>
    <w:rsid w:val="00487125"/>
    <w:rsid w:val="00487190"/>
    <w:rsid w:val="0048737A"/>
    <w:rsid w:val="00490018"/>
    <w:rsid w:val="004902D0"/>
    <w:rsid w:val="00491482"/>
    <w:rsid w:val="00491FDA"/>
    <w:rsid w:val="0049224C"/>
    <w:rsid w:val="004924AA"/>
    <w:rsid w:val="00492EBF"/>
    <w:rsid w:val="0049440F"/>
    <w:rsid w:val="0049514F"/>
    <w:rsid w:val="0049516A"/>
    <w:rsid w:val="0049655A"/>
    <w:rsid w:val="0049659F"/>
    <w:rsid w:val="00496851"/>
    <w:rsid w:val="00496F2A"/>
    <w:rsid w:val="00497A5C"/>
    <w:rsid w:val="004A1AAB"/>
    <w:rsid w:val="004A2865"/>
    <w:rsid w:val="004A3081"/>
    <w:rsid w:val="004A3089"/>
    <w:rsid w:val="004A52E6"/>
    <w:rsid w:val="004A7FCC"/>
    <w:rsid w:val="004B0011"/>
    <w:rsid w:val="004B0671"/>
    <w:rsid w:val="004B1F16"/>
    <w:rsid w:val="004B28E6"/>
    <w:rsid w:val="004B3F0D"/>
    <w:rsid w:val="004B4474"/>
    <w:rsid w:val="004B4502"/>
    <w:rsid w:val="004B4F6C"/>
    <w:rsid w:val="004B5AA1"/>
    <w:rsid w:val="004C0FC0"/>
    <w:rsid w:val="004C1399"/>
    <w:rsid w:val="004C17B8"/>
    <w:rsid w:val="004C1C31"/>
    <w:rsid w:val="004C1C85"/>
    <w:rsid w:val="004C24B5"/>
    <w:rsid w:val="004C48F7"/>
    <w:rsid w:val="004C499F"/>
    <w:rsid w:val="004C49EE"/>
    <w:rsid w:val="004C5152"/>
    <w:rsid w:val="004C5A9C"/>
    <w:rsid w:val="004C5AD6"/>
    <w:rsid w:val="004C5DC8"/>
    <w:rsid w:val="004C5DE1"/>
    <w:rsid w:val="004C5E63"/>
    <w:rsid w:val="004C796A"/>
    <w:rsid w:val="004D039B"/>
    <w:rsid w:val="004D0A60"/>
    <w:rsid w:val="004D14BF"/>
    <w:rsid w:val="004D196A"/>
    <w:rsid w:val="004D2653"/>
    <w:rsid w:val="004D31A7"/>
    <w:rsid w:val="004D3F60"/>
    <w:rsid w:val="004D4028"/>
    <w:rsid w:val="004D5105"/>
    <w:rsid w:val="004D519E"/>
    <w:rsid w:val="004E0C3C"/>
    <w:rsid w:val="004E26A7"/>
    <w:rsid w:val="004E36D2"/>
    <w:rsid w:val="004E3891"/>
    <w:rsid w:val="004E389E"/>
    <w:rsid w:val="004E4565"/>
    <w:rsid w:val="004E4DB8"/>
    <w:rsid w:val="004E5538"/>
    <w:rsid w:val="004E5A0A"/>
    <w:rsid w:val="004E617A"/>
    <w:rsid w:val="004E6B34"/>
    <w:rsid w:val="004E757D"/>
    <w:rsid w:val="004E796F"/>
    <w:rsid w:val="004F2F59"/>
    <w:rsid w:val="004F3AC5"/>
    <w:rsid w:val="004F4704"/>
    <w:rsid w:val="004F5247"/>
    <w:rsid w:val="004F6949"/>
    <w:rsid w:val="004F7089"/>
    <w:rsid w:val="004F7469"/>
    <w:rsid w:val="004F746A"/>
    <w:rsid w:val="005002D9"/>
    <w:rsid w:val="0050194B"/>
    <w:rsid w:val="005022A4"/>
    <w:rsid w:val="00502FC1"/>
    <w:rsid w:val="00503414"/>
    <w:rsid w:val="00503690"/>
    <w:rsid w:val="00505CC1"/>
    <w:rsid w:val="00506302"/>
    <w:rsid w:val="00506497"/>
    <w:rsid w:val="005134DF"/>
    <w:rsid w:val="00514AA3"/>
    <w:rsid w:val="005159DA"/>
    <w:rsid w:val="00516A95"/>
    <w:rsid w:val="00517658"/>
    <w:rsid w:val="0052219E"/>
    <w:rsid w:val="005234E9"/>
    <w:rsid w:val="0052366F"/>
    <w:rsid w:val="00523E4F"/>
    <w:rsid w:val="00524001"/>
    <w:rsid w:val="00524613"/>
    <w:rsid w:val="005277B9"/>
    <w:rsid w:val="00527EFE"/>
    <w:rsid w:val="00530213"/>
    <w:rsid w:val="0053027D"/>
    <w:rsid w:val="00530CB3"/>
    <w:rsid w:val="00530D77"/>
    <w:rsid w:val="005326B1"/>
    <w:rsid w:val="00532968"/>
    <w:rsid w:val="00533FB2"/>
    <w:rsid w:val="00534C78"/>
    <w:rsid w:val="00536180"/>
    <w:rsid w:val="00536A53"/>
    <w:rsid w:val="005379FA"/>
    <w:rsid w:val="00537AC0"/>
    <w:rsid w:val="005408B4"/>
    <w:rsid w:val="00540E01"/>
    <w:rsid w:val="005412B6"/>
    <w:rsid w:val="0054152E"/>
    <w:rsid w:val="00542041"/>
    <w:rsid w:val="00543FDF"/>
    <w:rsid w:val="00544A21"/>
    <w:rsid w:val="005454B4"/>
    <w:rsid w:val="00545C8A"/>
    <w:rsid w:val="005470D3"/>
    <w:rsid w:val="00550F4A"/>
    <w:rsid w:val="00551888"/>
    <w:rsid w:val="00552A86"/>
    <w:rsid w:val="005535D8"/>
    <w:rsid w:val="00554321"/>
    <w:rsid w:val="00554699"/>
    <w:rsid w:val="0055771D"/>
    <w:rsid w:val="00557E14"/>
    <w:rsid w:val="005603E6"/>
    <w:rsid w:val="00560764"/>
    <w:rsid w:val="00561C5E"/>
    <w:rsid w:val="00562219"/>
    <w:rsid w:val="005630C1"/>
    <w:rsid w:val="0056455A"/>
    <w:rsid w:val="005647AD"/>
    <w:rsid w:val="00564FE4"/>
    <w:rsid w:val="00565F44"/>
    <w:rsid w:val="00566270"/>
    <w:rsid w:val="005679F3"/>
    <w:rsid w:val="00567C53"/>
    <w:rsid w:val="00567D47"/>
    <w:rsid w:val="00567EC7"/>
    <w:rsid w:val="0057048B"/>
    <w:rsid w:val="00571400"/>
    <w:rsid w:val="00571C09"/>
    <w:rsid w:val="00572B03"/>
    <w:rsid w:val="00573991"/>
    <w:rsid w:val="005741F1"/>
    <w:rsid w:val="00574CB3"/>
    <w:rsid w:val="005764D6"/>
    <w:rsid w:val="0057652A"/>
    <w:rsid w:val="0057745E"/>
    <w:rsid w:val="0057779F"/>
    <w:rsid w:val="00580E9C"/>
    <w:rsid w:val="00581CEE"/>
    <w:rsid w:val="00581FF5"/>
    <w:rsid w:val="0058286F"/>
    <w:rsid w:val="00582DFF"/>
    <w:rsid w:val="0058300A"/>
    <w:rsid w:val="00583D9A"/>
    <w:rsid w:val="00584472"/>
    <w:rsid w:val="0058475A"/>
    <w:rsid w:val="00585052"/>
    <w:rsid w:val="005859B5"/>
    <w:rsid w:val="00586CC7"/>
    <w:rsid w:val="005872BC"/>
    <w:rsid w:val="00590582"/>
    <w:rsid w:val="005915EC"/>
    <w:rsid w:val="0059161F"/>
    <w:rsid w:val="00591C31"/>
    <w:rsid w:val="00592094"/>
    <w:rsid w:val="00594300"/>
    <w:rsid w:val="00594E20"/>
    <w:rsid w:val="00594E2C"/>
    <w:rsid w:val="00594F18"/>
    <w:rsid w:val="00595786"/>
    <w:rsid w:val="0059589D"/>
    <w:rsid w:val="0059631F"/>
    <w:rsid w:val="005969DF"/>
    <w:rsid w:val="005A117C"/>
    <w:rsid w:val="005A19DC"/>
    <w:rsid w:val="005A1DA0"/>
    <w:rsid w:val="005A3429"/>
    <w:rsid w:val="005A344B"/>
    <w:rsid w:val="005A3527"/>
    <w:rsid w:val="005A3AD2"/>
    <w:rsid w:val="005A4764"/>
    <w:rsid w:val="005A48AF"/>
    <w:rsid w:val="005A48ED"/>
    <w:rsid w:val="005A6076"/>
    <w:rsid w:val="005A629E"/>
    <w:rsid w:val="005A79AF"/>
    <w:rsid w:val="005A7D54"/>
    <w:rsid w:val="005B18C8"/>
    <w:rsid w:val="005B3644"/>
    <w:rsid w:val="005B3AB9"/>
    <w:rsid w:val="005B570E"/>
    <w:rsid w:val="005B689D"/>
    <w:rsid w:val="005C1365"/>
    <w:rsid w:val="005C17C2"/>
    <w:rsid w:val="005C1C05"/>
    <w:rsid w:val="005C3223"/>
    <w:rsid w:val="005C36F9"/>
    <w:rsid w:val="005C4D92"/>
    <w:rsid w:val="005C4E73"/>
    <w:rsid w:val="005C5CC3"/>
    <w:rsid w:val="005C5DF7"/>
    <w:rsid w:val="005D08B5"/>
    <w:rsid w:val="005D18C4"/>
    <w:rsid w:val="005D2C22"/>
    <w:rsid w:val="005D32D5"/>
    <w:rsid w:val="005D4B03"/>
    <w:rsid w:val="005D54A8"/>
    <w:rsid w:val="005D6BC8"/>
    <w:rsid w:val="005D6E74"/>
    <w:rsid w:val="005D7753"/>
    <w:rsid w:val="005D7EB0"/>
    <w:rsid w:val="005E036B"/>
    <w:rsid w:val="005E0B4C"/>
    <w:rsid w:val="005E15DE"/>
    <w:rsid w:val="005E21F4"/>
    <w:rsid w:val="005E257B"/>
    <w:rsid w:val="005E3721"/>
    <w:rsid w:val="005E4C33"/>
    <w:rsid w:val="005E4F8F"/>
    <w:rsid w:val="005E5397"/>
    <w:rsid w:val="005E63AD"/>
    <w:rsid w:val="005E6522"/>
    <w:rsid w:val="005E7458"/>
    <w:rsid w:val="005E7868"/>
    <w:rsid w:val="005F01A9"/>
    <w:rsid w:val="005F183A"/>
    <w:rsid w:val="005F24D2"/>
    <w:rsid w:val="005F296A"/>
    <w:rsid w:val="005F385F"/>
    <w:rsid w:val="005F4989"/>
    <w:rsid w:val="005F4C6A"/>
    <w:rsid w:val="005F505D"/>
    <w:rsid w:val="005F5617"/>
    <w:rsid w:val="005F65DC"/>
    <w:rsid w:val="005F7872"/>
    <w:rsid w:val="00600502"/>
    <w:rsid w:val="00600D76"/>
    <w:rsid w:val="00601836"/>
    <w:rsid w:val="006028F5"/>
    <w:rsid w:val="00602CF2"/>
    <w:rsid w:val="0060347E"/>
    <w:rsid w:val="006037CE"/>
    <w:rsid w:val="006038D2"/>
    <w:rsid w:val="006048C4"/>
    <w:rsid w:val="006060F4"/>
    <w:rsid w:val="006066CC"/>
    <w:rsid w:val="0060712F"/>
    <w:rsid w:val="00607AC8"/>
    <w:rsid w:val="00610D76"/>
    <w:rsid w:val="00612C19"/>
    <w:rsid w:val="006135AC"/>
    <w:rsid w:val="00613C4B"/>
    <w:rsid w:val="00613F0C"/>
    <w:rsid w:val="00614C4D"/>
    <w:rsid w:val="00614EB1"/>
    <w:rsid w:val="006159A0"/>
    <w:rsid w:val="0061703F"/>
    <w:rsid w:val="006176B9"/>
    <w:rsid w:val="006179BB"/>
    <w:rsid w:val="00617BCB"/>
    <w:rsid w:val="0062257F"/>
    <w:rsid w:val="00622FB3"/>
    <w:rsid w:val="00623554"/>
    <w:rsid w:val="00623984"/>
    <w:rsid w:val="00624C3E"/>
    <w:rsid w:val="006262AB"/>
    <w:rsid w:val="00627387"/>
    <w:rsid w:val="00627A19"/>
    <w:rsid w:val="00627AC8"/>
    <w:rsid w:val="00630306"/>
    <w:rsid w:val="006304AE"/>
    <w:rsid w:val="00630751"/>
    <w:rsid w:val="00631610"/>
    <w:rsid w:val="006317A3"/>
    <w:rsid w:val="00631ED8"/>
    <w:rsid w:val="0063225B"/>
    <w:rsid w:val="00632308"/>
    <w:rsid w:val="00632D38"/>
    <w:rsid w:val="00633EC6"/>
    <w:rsid w:val="0063402C"/>
    <w:rsid w:val="00634314"/>
    <w:rsid w:val="00635477"/>
    <w:rsid w:val="0063554C"/>
    <w:rsid w:val="006364F7"/>
    <w:rsid w:val="006374D5"/>
    <w:rsid w:val="0064057F"/>
    <w:rsid w:val="00640A9B"/>
    <w:rsid w:val="0064150A"/>
    <w:rsid w:val="00641784"/>
    <w:rsid w:val="006427C8"/>
    <w:rsid w:val="00643B35"/>
    <w:rsid w:val="006459AD"/>
    <w:rsid w:val="00646324"/>
    <w:rsid w:val="00650B43"/>
    <w:rsid w:val="006522D7"/>
    <w:rsid w:val="00652CF5"/>
    <w:rsid w:val="006533E0"/>
    <w:rsid w:val="00654D36"/>
    <w:rsid w:val="006562FB"/>
    <w:rsid w:val="006566A8"/>
    <w:rsid w:val="00657E91"/>
    <w:rsid w:val="00660006"/>
    <w:rsid w:val="0066129C"/>
    <w:rsid w:val="00663521"/>
    <w:rsid w:val="00663DE9"/>
    <w:rsid w:val="00664477"/>
    <w:rsid w:val="00664CB9"/>
    <w:rsid w:val="0066553E"/>
    <w:rsid w:val="00665A9E"/>
    <w:rsid w:val="006678F3"/>
    <w:rsid w:val="00670E96"/>
    <w:rsid w:val="00671021"/>
    <w:rsid w:val="00671D00"/>
    <w:rsid w:val="006732DA"/>
    <w:rsid w:val="00674DDF"/>
    <w:rsid w:val="00675173"/>
    <w:rsid w:val="006752E1"/>
    <w:rsid w:val="006767CD"/>
    <w:rsid w:val="00676902"/>
    <w:rsid w:val="00676B9B"/>
    <w:rsid w:val="00676E45"/>
    <w:rsid w:val="00677698"/>
    <w:rsid w:val="00677A1D"/>
    <w:rsid w:val="00680B6C"/>
    <w:rsid w:val="00680D77"/>
    <w:rsid w:val="00681498"/>
    <w:rsid w:val="0068156E"/>
    <w:rsid w:val="006828AE"/>
    <w:rsid w:val="00686DA2"/>
    <w:rsid w:val="0069085D"/>
    <w:rsid w:val="00690BC5"/>
    <w:rsid w:val="00691D36"/>
    <w:rsid w:val="006920A4"/>
    <w:rsid w:val="00692BAA"/>
    <w:rsid w:val="0069405D"/>
    <w:rsid w:val="006942AB"/>
    <w:rsid w:val="006956DD"/>
    <w:rsid w:val="00695ECB"/>
    <w:rsid w:val="00696DB0"/>
    <w:rsid w:val="0069709B"/>
    <w:rsid w:val="00697AA6"/>
    <w:rsid w:val="006A0060"/>
    <w:rsid w:val="006A1984"/>
    <w:rsid w:val="006A24C4"/>
    <w:rsid w:val="006A4692"/>
    <w:rsid w:val="006B1EB6"/>
    <w:rsid w:val="006B1F20"/>
    <w:rsid w:val="006B239D"/>
    <w:rsid w:val="006B2897"/>
    <w:rsid w:val="006B3782"/>
    <w:rsid w:val="006B4F60"/>
    <w:rsid w:val="006B5109"/>
    <w:rsid w:val="006B6A8F"/>
    <w:rsid w:val="006B6C04"/>
    <w:rsid w:val="006C0F90"/>
    <w:rsid w:val="006C1572"/>
    <w:rsid w:val="006C1AC8"/>
    <w:rsid w:val="006C2081"/>
    <w:rsid w:val="006C22A2"/>
    <w:rsid w:val="006C2BB1"/>
    <w:rsid w:val="006C36A0"/>
    <w:rsid w:val="006C3E9B"/>
    <w:rsid w:val="006C5187"/>
    <w:rsid w:val="006C7019"/>
    <w:rsid w:val="006D059A"/>
    <w:rsid w:val="006D0923"/>
    <w:rsid w:val="006D0C4E"/>
    <w:rsid w:val="006D31CE"/>
    <w:rsid w:val="006D436C"/>
    <w:rsid w:val="006D51CA"/>
    <w:rsid w:val="006D5B64"/>
    <w:rsid w:val="006E0921"/>
    <w:rsid w:val="006E12C8"/>
    <w:rsid w:val="006E1902"/>
    <w:rsid w:val="006E19A9"/>
    <w:rsid w:val="006E2EEC"/>
    <w:rsid w:val="006E32F3"/>
    <w:rsid w:val="006E42D0"/>
    <w:rsid w:val="006E5BBB"/>
    <w:rsid w:val="006E63FA"/>
    <w:rsid w:val="006E69AD"/>
    <w:rsid w:val="006E6C03"/>
    <w:rsid w:val="006E7065"/>
    <w:rsid w:val="006F0023"/>
    <w:rsid w:val="006F3CC3"/>
    <w:rsid w:val="006F4529"/>
    <w:rsid w:val="006F4E32"/>
    <w:rsid w:val="006F647D"/>
    <w:rsid w:val="006F75B4"/>
    <w:rsid w:val="006F787B"/>
    <w:rsid w:val="00701DC4"/>
    <w:rsid w:val="00704DDE"/>
    <w:rsid w:val="0070568D"/>
    <w:rsid w:val="00706074"/>
    <w:rsid w:val="0070743F"/>
    <w:rsid w:val="00711B66"/>
    <w:rsid w:val="00712F87"/>
    <w:rsid w:val="0071460C"/>
    <w:rsid w:val="00715147"/>
    <w:rsid w:val="00715259"/>
    <w:rsid w:val="00715CFA"/>
    <w:rsid w:val="00717E57"/>
    <w:rsid w:val="00717EDC"/>
    <w:rsid w:val="00720FFE"/>
    <w:rsid w:val="0072210A"/>
    <w:rsid w:val="00722860"/>
    <w:rsid w:val="00722DF7"/>
    <w:rsid w:val="0072311B"/>
    <w:rsid w:val="00724E72"/>
    <w:rsid w:val="0072584C"/>
    <w:rsid w:val="00725DDE"/>
    <w:rsid w:val="00726226"/>
    <w:rsid w:val="007276BC"/>
    <w:rsid w:val="00730013"/>
    <w:rsid w:val="007301CB"/>
    <w:rsid w:val="007301E5"/>
    <w:rsid w:val="00730291"/>
    <w:rsid w:val="00731D0C"/>
    <w:rsid w:val="00731EDA"/>
    <w:rsid w:val="007323F3"/>
    <w:rsid w:val="00732CAF"/>
    <w:rsid w:val="00732EB8"/>
    <w:rsid w:val="00733D9C"/>
    <w:rsid w:val="00734381"/>
    <w:rsid w:val="00734425"/>
    <w:rsid w:val="007347ED"/>
    <w:rsid w:val="00741BB8"/>
    <w:rsid w:val="00741ED6"/>
    <w:rsid w:val="00742681"/>
    <w:rsid w:val="007439E8"/>
    <w:rsid w:val="007441C3"/>
    <w:rsid w:val="00744768"/>
    <w:rsid w:val="007448CC"/>
    <w:rsid w:val="00745885"/>
    <w:rsid w:val="00747140"/>
    <w:rsid w:val="00747374"/>
    <w:rsid w:val="00747812"/>
    <w:rsid w:val="00747A87"/>
    <w:rsid w:val="007510D1"/>
    <w:rsid w:val="0075126C"/>
    <w:rsid w:val="00751852"/>
    <w:rsid w:val="00751EC6"/>
    <w:rsid w:val="00753213"/>
    <w:rsid w:val="00760CCD"/>
    <w:rsid w:val="007617B0"/>
    <w:rsid w:val="00761A2E"/>
    <w:rsid w:val="007626B1"/>
    <w:rsid w:val="0076503C"/>
    <w:rsid w:val="0076576C"/>
    <w:rsid w:val="007667FE"/>
    <w:rsid w:val="00767040"/>
    <w:rsid w:val="00767CB5"/>
    <w:rsid w:val="00771633"/>
    <w:rsid w:val="00772003"/>
    <w:rsid w:val="007732F4"/>
    <w:rsid w:val="00773410"/>
    <w:rsid w:val="0077370B"/>
    <w:rsid w:val="007739AB"/>
    <w:rsid w:val="00774375"/>
    <w:rsid w:val="00774635"/>
    <w:rsid w:val="007746AC"/>
    <w:rsid w:val="00774774"/>
    <w:rsid w:val="00774996"/>
    <w:rsid w:val="00774D6B"/>
    <w:rsid w:val="00774D77"/>
    <w:rsid w:val="007750C1"/>
    <w:rsid w:val="00775641"/>
    <w:rsid w:val="00776158"/>
    <w:rsid w:val="00776518"/>
    <w:rsid w:val="0077742E"/>
    <w:rsid w:val="00777FBD"/>
    <w:rsid w:val="0078379D"/>
    <w:rsid w:val="007837E9"/>
    <w:rsid w:val="00785E18"/>
    <w:rsid w:val="007865F2"/>
    <w:rsid w:val="0078667B"/>
    <w:rsid w:val="00786919"/>
    <w:rsid w:val="00787629"/>
    <w:rsid w:val="00787B5F"/>
    <w:rsid w:val="007903EB"/>
    <w:rsid w:val="00790CD3"/>
    <w:rsid w:val="0079135A"/>
    <w:rsid w:val="007920D2"/>
    <w:rsid w:val="007929AE"/>
    <w:rsid w:val="00793978"/>
    <w:rsid w:val="00793BEE"/>
    <w:rsid w:val="00793FED"/>
    <w:rsid w:val="00796992"/>
    <w:rsid w:val="007A000E"/>
    <w:rsid w:val="007A0682"/>
    <w:rsid w:val="007A1BD9"/>
    <w:rsid w:val="007A446B"/>
    <w:rsid w:val="007A45AA"/>
    <w:rsid w:val="007A55DE"/>
    <w:rsid w:val="007A58D9"/>
    <w:rsid w:val="007A5C94"/>
    <w:rsid w:val="007A684E"/>
    <w:rsid w:val="007B0088"/>
    <w:rsid w:val="007B0F3D"/>
    <w:rsid w:val="007B22E7"/>
    <w:rsid w:val="007B34B9"/>
    <w:rsid w:val="007B37D1"/>
    <w:rsid w:val="007B56E5"/>
    <w:rsid w:val="007B650E"/>
    <w:rsid w:val="007B66B6"/>
    <w:rsid w:val="007B6ED1"/>
    <w:rsid w:val="007B7ED3"/>
    <w:rsid w:val="007C16AB"/>
    <w:rsid w:val="007C1FEA"/>
    <w:rsid w:val="007C3731"/>
    <w:rsid w:val="007C3F27"/>
    <w:rsid w:val="007C3F94"/>
    <w:rsid w:val="007C442A"/>
    <w:rsid w:val="007C4D7E"/>
    <w:rsid w:val="007C5061"/>
    <w:rsid w:val="007C53E9"/>
    <w:rsid w:val="007C57E7"/>
    <w:rsid w:val="007C6845"/>
    <w:rsid w:val="007C6A91"/>
    <w:rsid w:val="007C7B3C"/>
    <w:rsid w:val="007D0F32"/>
    <w:rsid w:val="007D1449"/>
    <w:rsid w:val="007D230E"/>
    <w:rsid w:val="007D2427"/>
    <w:rsid w:val="007D289A"/>
    <w:rsid w:val="007D49D2"/>
    <w:rsid w:val="007D4B55"/>
    <w:rsid w:val="007D5946"/>
    <w:rsid w:val="007D5AA9"/>
    <w:rsid w:val="007D666C"/>
    <w:rsid w:val="007D66B7"/>
    <w:rsid w:val="007D6B07"/>
    <w:rsid w:val="007D6FD0"/>
    <w:rsid w:val="007D71DC"/>
    <w:rsid w:val="007E25B4"/>
    <w:rsid w:val="007E2AFA"/>
    <w:rsid w:val="007E39C5"/>
    <w:rsid w:val="007E403D"/>
    <w:rsid w:val="007E417E"/>
    <w:rsid w:val="007E4BB2"/>
    <w:rsid w:val="007E5135"/>
    <w:rsid w:val="007E57F9"/>
    <w:rsid w:val="007E5E5E"/>
    <w:rsid w:val="007E60D1"/>
    <w:rsid w:val="007E75CB"/>
    <w:rsid w:val="007F02FC"/>
    <w:rsid w:val="007F05C0"/>
    <w:rsid w:val="007F0678"/>
    <w:rsid w:val="007F0C3B"/>
    <w:rsid w:val="007F15CE"/>
    <w:rsid w:val="007F1D1C"/>
    <w:rsid w:val="007F2193"/>
    <w:rsid w:val="007F24E3"/>
    <w:rsid w:val="007F2996"/>
    <w:rsid w:val="007F3C51"/>
    <w:rsid w:val="007F47A5"/>
    <w:rsid w:val="007F4C12"/>
    <w:rsid w:val="007F5129"/>
    <w:rsid w:val="007F5558"/>
    <w:rsid w:val="007F6C0C"/>
    <w:rsid w:val="007F7163"/>
    <w:rsid w:val="007F7337"/>
    <w:rsid w:val="007F7EAE"/>
    <w:rsid w:val="00800A64"/>
    <w:rsid w:val="00800F80"/>
    <w:rsid w:val="00801104"/>
    <w:rsid w:val="0080122C"/>
    <w:rsid w:val="008032D1"/>
    <w:rsid w:val="0080365C"/>
    <w:rsid w:val="00805C55"/>
    <w:rsid w:val="00806B0F"/>
    <w:rsid w:val="00806D4A"/>
    <w:rsid w:val="0080767A"/>
    <w:rsid w:val="0081051B"/>
    <w:rsid w:val="00811936"/>
    <w:rsid w:val="008119D5"/>
    <w:rsid w:val="00814BC7"/>
    <w:rsid w:val="00816DD5"/>
    <w:rsid w:val="00817998"/>
    <w:rsid w:val="00820F20"/>
    <w:rsid w:val="0082447C"/>
    <w:rsid w:val="00824987"/>
    <w:rsid w:val="008260E3"/>
    <w:rsid w:val="00826B30"/>
    <w:rsid w:val="00826DB6"/>
    <w:rsid w:val="0082728C"/>
    <w:rsid w:val="008279EE"/>
    <w:rsid w:val="00827FB7"/>
    <w:rsid w:val="00830754"/>
    <w:rsid w:val="0083373E"/>
    <w:rsid w:val="008338A4"/>
    <w:rsid w:val="00833976"/>
    <w:rsid w:val="0083399D"/>
    <w:rsid w:val="00833DF2"/>
    <w:rsid w:val="0083515E"/>
    <w:rsid w:val="00835537"/>
    <w:rsid w:val="008360DA"/>
    <w:rsid w:val="00836404"/>
    <w:rsid w:val="00836DFE"/>
    <w:rsid w:val="0083715F"/>
    <w:rsid w:val="00837B78"/>
    <w:rsid w:val="00840F4B"/>
    <w:rsid w:val="008413E5"/>
    <w:rsid w:val="00844A85"/>
    <w:rsid w:val="00844DAD"/>
    <w:rsid w:val="00846F53"/>
    <w:rsid w:val="008472C7"/>
    <w:rsid w:val="00850401"/>
    <w:rsid w:val="00851C59"/>
    <w:rsid w:val="00852145"/>
    <w:rsid w:val="0085292F"/>
    <w:rsid w:val="00852AC0"/>
    <w:rsid w:val="00853D64"/>
    <w:rsid w:val="00853FFE"/>
    <w:rsid w:val="00854202"/>
    <w:rsid w:val="008571AD"/>
    <w:rsid w:val="0085747F"/>
    <w:rsid w:val="008576ED"/>
    <w:rsid w:val="00857E12"/>
    <w:rsid w:val="0086058F"/>
    <w:rsid w:val="008619ED"/>
    <w:rsid w:val="00862331"/>
    <w:rsid w:val="00862C16"/>
    <w:rsid w:val="00863690"/>
    <w:rsid w:val="0086443E"/>
    <w:rsid w:val="00864C60"/>
    <w:rsid w:val="008672CC"/>
    <w:rsid w:val="00867850"/>
    <w:rsid w:val="008678D9"/>
    <w:rsid w:val="008720C2"/>
    <w:rsid w:val="00872609"/>
    <w:rsid w:val="00872AB7"/>
    <w:rsid w:val="00872CB9"/>
    <w:rsid w:val="00873E3E"/>
    <w:rsid w:val="008749D7"/>
    <w:rsid w:val="00875B7D"/>
    <w:rsid w:val="00875C7C"/>
    <w:rsid w:val="00875FEE"/>
    <w:rsid w:val="00876554"/>
    <w:rsid w:val="00880C92"/>
    <w:rsid w:val="00881D98"/>
    <w:rsid w:val="00881F76"/>
    <w:rsid w:val="00882023"/>
    <w:rsid w:val="00882D38"/>
    <w:rsid w:val="008836EE"/>
    <w:rsid w:val="00883843"/>
    <w:rsid w:val="0088468D"/>
    <w:rsid w:val="00885655"/>
    <w:rsid w:val="00885CDC"/>
    <w:rsid w:val="00885DB7"/>
    <w:rsid w:val="00887866"/>
    <w:rsid w:val="00890D56"/>
    <w:rsid w:val="00891086"/>
    <w:rsid w:val="00891495"/>
    <w:rsid w:val="008919CF"/>
    <w:rsid w:val="00891C63"/>
    <w:rsid w:val="008921E9"/>
    <w:rsid w:val="00893E7A"/>
    <w:rsid w:val="00895236"/>
    <w:rsid w:val="00895AD0"/>
    <w:rsid w:val="00895FCB"/>
    <w:rsid w:val="008960ED"/>
    <w:rsid w:val="00897A93"/>
    <w:rsid w:val="008A0649"/>
    <w:rsid w:val="008A0792"/>
    <w:rsid w:val="008A0A43"/>
    <w:rsid w:val="008A0FB3"/>
    <w:rsid w:val="008A21E7"/>
    <w:rsid w:val="008A2973"/>
    <w:rsid w:val="008A31B4"/>
    <w:rsid w:val="008A47D9"/>
    <w:rsid w:val="008A4AF7"/>
    <w:rsid w:val="008A678E"/>
    <w:rsid w:val="008A6E90"/>
    <w:rsid w:val="008A71FF"/>
    <w:rsid w:val="008A784B"/>
    <w:rsid w:val="008A7BCF"/>
    <w:rsid w:val="008B098D"/>
    <w:rsid w:val="008B1177"/>
    <w:rsid w:val="008B124B"/>
    <w:rsid w:val="008B1F47"/>
    <w:rsid w:val="008B2A56"/>
    <w:rsid w:val="008B3A63"/>
    <w:rsid w:val="008B4456"/>
    <w:rsid w:val="008B5323"/>
    <w:rsid w:val="008B6E17"/>
    <w:rsid w:val="008B7CBC"/>
    <w:rsid w:val="008C06E3"/>
    <w:rsid w:val="008C0826"/>
    <w:rsid w:val="008C1802"/>
    <w:rsid w:val="008C193C"/>
    <w:rsid w:val="008C1D43"/>
    <w:rsid w:val="008C234E"/>
    <w:rsid w:val="008C30C6"/>
    <w:rsid w:val="008C598B"/>
    <w:rsid w:val="008C623B"/>
    <w:rsid w:val="008C6855"/>
    <w:rsid w:val="008C703C"/>
    <w:rsid w:val="008D0107"/>
    <w:rsid w:val="008D0BA0"/>
    <w:rsid w:val="008D2B8F"/>
    <w:rsid w:val="008D4A44"/>
    <w:rsid w:val="008D5548"/>
    <w:rsid w:val="008D5DB4"/>
    <w:rsid w:val="008D5E06"/>
    <w:rsid w:val="008D6941"/>
    <w:rsid w:val="008D72AE"/>
    <w:rsid w:val="008D7755"/>
    <w:rsid w:val="008E089B"/>
    <w:rsid w:val="008E0946"/>
    <w:rsid w:val="008E1655"/>
    <w:rsid w:val="008E1951"/>
    <w:rsid w:val="008E3216"/>
    <w:rsid w:val="008E44CE"/>
    <w:rsid w:val="008E6387"/>
    <w:rsid w:val="008E6681"/>
    <w:rsid w:val="008E6F41"/>
    <w:rsid w:val="008F17E5"/>
    <w:rsid w:val="008F1FFD"/>
    <w:rsid w:val="008F362E"/>
    <w:rsid w:val="008F3832"/>
    <w:rsid w:val="008F3A2A"/>
    <w:rsid w:val="008F44C6"/>
    <w:rsid w:val="008F4D0A"/>
    <w:rsid w:val="008F50AE"/>
    <w:rsid w:val="008F51D3"/>
    <w:rsid w:val="008F5AF5"/>
    <w:rsid w:val="008F62BC"/>
    <w:rsid w:val="008F7110"/>
    <w:rsid w:val="008F75E9"/>
    <w:rsid w:val="00901F93"/>
    <w:rsid w:val="0090212F"/>
    <w:rsid w:val="0090282D"/>
    <w:rsid w:val="009048C4"/>
    <w:rsid w:val="00904A4B"/>
    <w:rsid w:val="0090568D"/>
    <w:rsid w:val="0090680B"/>
    <w:rsid w:val="00906AFD"/>
    <w:rsid w:val="009108A0"/>
    <w:rsid w:val="009110BC"/>
    <w:rsid w:val="00911229"/>
    <w:rsid w:val="00911BF3"/>
    <w:rsid w:val="00913C94"/>
    <w:rsid w:val="009146FA"/>
    <w:rsid w:val="009159F1"/>
    <w:rsid w:val="00915AA7"/>
    <w:rsid w:val="0091603C"/>
    <w:rsid w:val="00916C07"/>
    <w:rsid w:val="00916CCA"/>
    <w:rsid w:val="0091730A"/>
    <w:rsid w:val="0091777D"/>
    <w:rsid w:val="00917800"/>
    <w:rsid w:val="00921253"/>
    <w:rsid w:val="00922013"/>
    <w:rsid w:val="0092364B"/>
    <w:rsid w:val="0092436E"/>
    <w:rsid w:val="009253FD"/>
    <w:rsid w:val="00925E5E"/>
    <w:rsid w:val="00927668"/>
    <w:rsid w:val="00930536"/>
    <w:rsid w:val="00930BCD"/>
    <w:rsid w:val="009311C4"/>
    <w:rsid w:val="00931762"/>
    <w:rsid w:val="00932190"/>
    <w:rsid w:val="00935BBA"/>
    <w:rsid w:val="00935FAB"/>
    <w:rsid w:val="0093617F"/>
    <w:rsid w:val="009407E3"/>
    <w:rsid w:val="00941D4C"/>
    <w:rsid w:val="00942321"/>
    <w:rsid w:val="00942BE7"/>
    <w:rsid w:val="00943EB2"/>
    <w:rsid w:val="00943ED4"/>
    <w:rsid w:val="00944A21"/>
    <w:rsid w:val="00944C6D"/>
    <w:rsid w:val="009450D8"/>
    <w:rsid w:val="0094660E"/>
    <w:rsid w:val="00946B44"/>
    <w:rsid w:val="00946D7B"/>
    <w:rsid w:val="00950931"/>
    <w:rsid w:val="0095139B"/>
    <w:rsid w:val="00951E40"/>
    <w:rsid w:val="009525F3"/>
    <w:rsid w:val="00953BFA"/>
    <w:rsid w:val="00957B3F"/>
    <w:rsid w:val="0096105F"/>
    <w:rsid w:val="00963869"/>
    <w:rsid w:val="00964587"/>
    <w:rsid w:val="00964869"/>
    <w:rsid w:val="00965006"/>
    <w:rsid w:val="009667B6"/>
    <w:rsid w:val="0096696E"/>
    <w:rsid w:val="00967030"/>
    <w:rsid w:val="00967698"/>
    <w:rsid w:val="00967A43"/>
    <w:rsid w:val="009714A0"/>
    <w:rsid w:val="009724E3"/>
    <w:rsid w:val="00972914"/>
    <w:rsid w:val="00972CCF"/>
    <w:rsid w:val="009732CA"/>
    <w:rsid w:val="00973357"/>
    <w:rsid w:val="0097397A"/>
    <w:rsid w:val="00974A90"/>
    <w:rsid w:val="00975A21"/>
    <w:rsid w:val="00975DB5"/>
    <w:rsid w:val="009775DF"/>
    <w:rsid w:val="00981884"/>
    <w:rsid w:val="00981DF1"/>
    <w:rsid w:val="00983567"/>
    <w:rsid w:val="00983A03"/>
    <w:rsid w:val="00983B70"/>
    <w:rsid w:val="00984451"/>
    <w:rsid w:val="00984D81"/>
    <w:rsid w:val="0098646A"/>
    <w:rsid w:val="00986BD9"/>
    <w:rsid w:val="00987FA0"/>
    <w:rsid w:val="00994995"/>
    <w:rsid w:val="00994B9F"/>
    <w:rsid w:val="00994D0B"/>
    <w:rsid w:val="009953C9"/>
    <w:rsid w:val="00995474"/>
    <w:rsid w:val="00997746"/>
    <w:rsid w:val="0099798D"/>
    <w:rsid w:val="009A0893"/>
    <w:rsid w:val="009A1B00"/>
    <w:rsid w:val="009A3686"/>
    <w:rsid w:val="009A473D"/>
    <w:rsid w:val="009A4DE7"/>
    <w:rsid w:val="009A4E00"/>
    <w:rsid w:val="009A52AB"/>
    <w:rsid w:val="009A6B9A"/>
    <w:rsid w:val="009A6BD2"/>
    <w:rsid w:val="009A6CC3"/>
    <w:rsid w:val="009A6D69"/>
    <w:rsid w:val="009A7D68"/>
    <w:rsid w:val="009B39CE"/>
    <w:rsid w:val="009B42F0"/>
    <w:rsid w:val="009B5A54"/>
    <w:rsid w:val="009B5B63"/>
    <w:rsid w:val="009B7767"/>
    <w:rsid w:val="009B7933"/>
    <w:rsid w:val="009C13C2"/>
    <w:rsid w:val="009C15F8"/>
    <w:rsid w:val="009C4BD2"/>
    <w:rsid w:val="009C4CC2"/>
    <w:rsid w:val="009C64DC"/>
    <w:rsid w:val="009C7BA2"/>
    <w:rsid w:val="009D0C01"/>
    <w:rsid w:val="009D4CE4"/>
    <w:rsid w:val="009D57EA"/>
    <w:rsid w:val="009D5D65"/>
    <w:rsid w:val="009D62F4"/>
    <w:rsid w:val="009D6750"/>
    <w:rsid w:val="009D7518"/>
    <w:rsid w:val="009D7A1F"/>
    <w:rsid w:val="009D7FCF"/>
    <w:rsid w:val="009E075E"/>
    <w:rsid w:val="009E1286"/>
    <w:rsid w:val="009E2152"/>
    <w:rsid w:val="009E4859"/>
    <w:rsid w:val="009E4CB9"/>
    <w:rsid w:val="009E6D92"/>
    <w:rsid w:val="009E6E3D"/>
    <w:rsid w:val="009E715E"/>
    <w:rsid w:val="009E7954"/>
    <w:rsid w:val="009E7CD1"/>
    <w:rsid w:val="009F1726"/>
    <w:rsid w:val="009F4BF0"/>
    <w:rsid w:val="009F4D7A"/>
    <w:rsid w:val="009F5135"/>
    <w:rsid w:val="009F6171"/>
    <w:rsid w:val="009F689C"/>
    <w:rsid w:val="009F6B8E"/>
    <w:rsid w:val="009F7DFD"/>
    <w:rsid w:val="00A00F71"/>
    <w:rsid w:val="00A0112B"/>
    <w:rsid w:val="00A0121C"/>
    <w:rsid w:val="00A025B0"/>
    <w:rsid w:val="00A03AA7"/>
    <w:rsid w:val="00A03EA9"/>
    <w:rsid w:val="00A03F57"/>
    <w:rsid w:val="00A04087"/>
    <w:rsid w:val="00A0518B"/>
    <w:rsid w:val="00A0594F"/>
    <w:rsid w:val="00A079AC"/>
    <w:rsid w:val="00A108FE"/>
    <w:rsid w:val="00A12F0B"/>
    <w:rsid w:val="00A1332D"/>
    <w:rsid w:val="00A161E7"/>
    <w:rsid w:val="00A16D60"/>
    <w:rsid w:val="00A17D58"/>
    <w:rsid w:val="00A20F32"/>
    <w:rsid w:val="00A2179B"/>
    <w:rsid w:val="00A21928"/>
    <w:rsid w:val="00A22272"/>
    <w:rsid w:val="00A22554"/>
    <w:rsid w:val="00A23C67"/>
    <w:rsid w:val="00A245FE"/>
    <w:rsid w:val="00A249DF"/>
    <w:rsid w:val="00A25A0B"/>
    <w:rsid w:val="00A25AFC"/>
    <w:rsid w:val="00A25D2C"/>
    <w:rsid w:val="00A26CAC"/>
    <w:rsid w:val="00A26D1A"/>
    <w:rsid w:val="00A26E11"/>
    <w:rsid w:val="00A274CB"/>
    <w:rsid w:val="00A31958"/>
    <w:rsid w:val="00A33DEE"/>
    <w:rsid w:val="00A34F99"/>
    <w:rsid w:val="00A35681"/>
    <w:rsid w:val="00A3619B"/>
    <w:rsid w:val="00A41F74"/>
    <w:rsid w:val="00A436D1"/>
    <w:rsid w:val="00A43837"/>
    <w:rsid w:val="00A45F5B"/>
    <w:rsid w:val="00A46005"/>
    <w:rsid w:val="00A46D16"/>
    <w:rsid w:val="00A46E9B"/>
    <w:rsid w:val="00A50647"/>
    <w:rsid w:val="00A50F5B"/>
    <w:rsid w:val="00A514EA"/>
    <w:rsid w:val="00A51C05"/>
    <w:rsid w:val="00A52BCD"/>
    <w:rsid w:val="00A56E5B"/>
    <w:rsid w:val="00A57592"/>
    <w:rsid w:val="00A60689"/>
    <w:rsid w:val="00A6168B"/>
    <w:rsid w:val="00A61E2F"/>
    <w:rsid w:val="00A61FE3"/>
    <w:rsid w:val="00A62380"/>
    <w:rsid w:val="00A630D9"/>
    <w:rsid w:val="00A668B3"/>
    <w:rsid w:val="00A66960"/>
    <w:rsid w:val="00A70381"/>
    <w:rsid w:val="00A706F7"/>
    <w:rsid w:val="00A7132F"/>
    <w:rsid w:val="00A7143F"/>
    <w:rsid w:val="00A7151B"/>
    <w:rsid w:val="00A72078"/>
    <w:rsid w:val="00A72564"/>
    <w:rsid w:val="00A733BE"/>
    <w:rsid w:val="00A73DA4"/>
    <w:rsid w:val="00A7437E"/>
    <w:rsid w:val="00A74B27"/>
    <w:rsid w:val="00A7653D"/>
    <w:rsid w:val="00A76CFF"/>
    <w:rsid w:val="00A7726D"/>
    <w:rsid w:val="00A77D1F"/>
    <w:rsid w:val="00A810B1"/>
    <w:rsid w:val="00A824CF"/>
    <w:rsid w:val="00A828AC"/>
    <w:rsid w:val="00A82D58"/>
    <w:rsid w:val="00A82E27"/>
    <w:rsid w:val="00A83C5D"/>
    <w:rsid w:val="00A83FA2"/>
    <w:rsid w:val="00A844DC"/>
    <w:rsid w:val="00A85B9C"/>
    <w:rsid w:val="00A85C10"/>
    <w:rsid w:val="00A87A21"/>
    <w:rsid w:val="00A87D1F"/>
    <w:rsid w:val="00A904A6"/>
    <w:rsid w:val="00A90B6A"/>
    <w:rsid w:val="00A90F04"/>
    <w:rsid w:val="00A92D44"/>
    <w:rsid w:val="00A94CB8"/>
    <w:rsid w:val="00A9580A"/>
    <w:rsid w:val="00A96C03"/>
    <w:rsid w:val="00A9720A"/>
    <w:rsid w:val="00A97641"/>
    <w:rsid w:val="00AA2603"/>
    <w:rsid w:val="00AA3BAD"/>
    <w:rsid w:val="00AA4E4C"/>
    <w:rsid w:val="00AA5711"/>
    <w:rsid w:val="00AA5DAC"/>
    <w:rsid w:val="00AA6D90"/>
    <w:rsid w:val="00AA70E8"/>
    <w:rsid w:val="00AA7738"/>
    <w:rsid w:val="00AA789A"/>
    <w:rsid w:val="00AB16C7"/>
    <w:rsid w:val="00AB1870"/>
    <w:rsid w:val="00AB1C5E"/>
    <w:rsid w:val="00AB2D90"/>
    <w:rsid w:val="00AB2FDD"/>
    <w:rsid w:val="00AB3391"/>
    <w:rsid w:val="00AB413F"/>
    <w:rsid w:val="00AB45F2"/>
    <w:rsid w:val="00AB4735"/>
    <w:rsid w:val="00AB4AE0"/>
    <w:rsid w:val="00AB54BA"/>
    <w:rsid w:val="00AB5D03"/>
    <w:rsid w:val="00AB6117"/>
    <w:rsid w:val="00AB7B3A"/>
    <w:rsid w:val="00AB7C43"/>
    <w:rsid w:val="00AB7DBF"/>
    <w:rsid w:val="00AC0787"/>
    <w:rsid w:val="00AC11B5"/>
    <w:rsid w:val="00AC1420"/>
    <w:rsid w:val="00AC1C9E"/>
    <w:rsid w:val="00AC1D60"/>
    <w:rsid w:val="00AC282F"/>
    <w:rsid w:val="00AC4127"/>
    <w:rsid w:val="00AC4EC4"/>
    <w:rsid w:val="00AC50A3"/>
    <w:rsid w:val="00AC5A89"/>
    <w:rsid w:val="00AC5AFF"/>
    <w:rsid w:val="00AC5C52"/>
    <w:rsid w:val="00AC6A14"/>
    <w:rsid w:val="00AC6A82"/>
    <w:rsid w:val="00AD0174"/>
    <w:rsid w:val="00AD04F0"/>
    <w:rsid w:val="00AD0638"/>
    <w:rsid w:val="00AD16B4"/>
    <w:rsid w:val="00AD1848"/>
    <w:rsid w:val="00AD3610"/>
    <w:rsid w:val="00AD3B17"/>
    <w:rsid w:val="00AD449F"/>
    <w:rsid w:val="00AD5DF6"/>
    <w:rsid w:val="00AD61C7"/>
    <w:rsid w:val="00AD65FB"/>
    <w:rsid w:val="00AD74BF"/>
    <w:rsid w:val="00AD7880"/>
    <w:rsid w:val="00AD7CF5"/>
    <w:rsid w:val="00AD7EF2"/>
    <w:rsid w:val="00AE1881"/>
    <w:rsid w:val="00AE18F8"/>
    <w:rsid w:val="00AE2464"/>
    <w:rsid w:val="00AE289E"/>
    <w:rsid w:val="00AE2B24"/>
    <w:rsid w:val="00AE413A"/>
    <w:rsid w:val="00AE456A"/>
    <w:rsid w:val="00AE4863"/>
    <w:rsid w:val="00AE4C03"/>
    <w:rsid w:val="00AE598D"/>
    <w:rsid w:val="00AE6A5E"/>
    <w:rsid w:val="00AE7370"/>
    <w:rsid w:val="00AE78F8"/>
    <w:rsid w:val="00AF135D"/>
    <w:rsid w:val="00AF184B"/>
    <w:rsid w:val="00AF1CEE"/>
    <w:rsid w:val="00AF246A"/>
    <w:rsid w:val="00AF3701"/>
    <w:rsid w:val="00AF49E1"/>
    <w:rsid w:val="00AF4A87"/>
    <w:rsid w:val="00AF5A5D"/>
    <w:rsid w:val="00AF6CC4"/>
    <w:rsid w:val="00AF7A69"/>
    <w:rsid w:val="00B00F03"/>
    <w:rsid w:val="00B03435"/>
    <w:rsid w:val="00B0384F"/>
    <w:rsid w:val="00B03F57"/>
    <w:rsid w:val="00B04800"/>
    <w:rsid w:val="00B04C34"/>
    <w:rsid w:val="00B05CFE"/>
    <w:rsid w:val="00B06BC3"/>
    <w:rsid w:val="00B10FD2"/>
    <w:rsid w:val="00B12142"/>
    <w:rsid w:val="00B13541"/>
    <w:rsid w:val="00B1369B"/>
    <w:rsid w:val="00B1392D"/>
    <w:rsid w:val="00B141C2"/>
    <w:rsid w:val="00B15219"/>
    <w:rsid w:val="00B162EF"/>
    <w:rsid w:val="00B17E4B"/>
    <w:rsid w:val="00B2062C"/>
    <w:rsid w:val="00B213E7"/>
    <w:rsid w:val="00B2148B"/>
    <w:rsid w:val="00B21A41"/>
    <w:rsid w:val="00B2265E"/>
    <w:rsid w:val="00B23516"/>
    <w:rsid w:val="00B23A03"/>
    <w:rsid w:val="00B24340"/>
    <w:rsid w:val="00B247CC"/>
    <w:rsid w:val="00B25E6E"/>
    <w:rsid w:val="00B26C9C"/>
    <w:rsid w:val="00B2788F"/>
    <w:rsid w:val="00B301CA"/>
    <w:rsid w:val="00B32E33"/>
    <w:rsid w:val="00B333A9"/>
    <w:rsid w:val="00B33C1E"/>
    <w:rsid w:val="00B33DA5"/>
    <w:rsid w:val="00B36AFB"/>
    <w:rsid w:val="00B3754E"/>
    <w:rsid w:val="00B37FEA"/>
    <w:rsid w:val="00B40C6B"/>
    <w:rsid w:val="00B4183D"/>
    <w:rsid w:val="00B42105"/>
    <w:rsid w:val="00B4297F"/>
    <w:rsid w:val="00B43316"/>
    <w:rsid w:val="00B43EBA"/>
    <w:rsid w:val="00B43F76"/>
    <w:rsid w:val="00B44A9D"/>
    <w:rsid w:val="00B47169"/>
    <w:rsid w:val="00B47F43"/>
    <w:rsid w:val="00B50094"/>
    <w:rsid w:val="00B50449"/>
    <w:rsid w:val="00B514FB"/>
    <w:rsid w:val="00B542EF"/>
    <w:rsid w:val="00B545C6"/>
    <w:rsid w:val="00B5788F"/>
    <w:rsid w:val="00B57EFC"/>
    <w:rsid w:val="00B617DF"/>
    <w:rsid w:val="00B65B33"/>
    <w:rsid w:val="00B65CA1"/>
    <w:rsid w:val="00B6681A"/>
    <w:rsid w:val="00B66D1A"/>
    <w:rsid w:val="00B704DC"/>
    <w:rsid w:val="00B72461"/>
    <w:rsid w:val="00B73467"/>
    <w:rsid w:val="00B737F2"/>
    <w:rsid w:val="00B7423D"/>
    <w:rsid w:val="00B76F5C"/>
    <w:rsid w:val="00B77656"/>
    <w:rsid w:val="00B7784B"/>
    <w:rsid w:val="00B77D30"/>
    <w:rsid w:val="00B80803"/>
    <w:rsid w:val="00B80D70"/>
    <w:rsid w:val="00B83071"/>
    <w:rsid w:val="00B835BD"/>
    <w:rsid w:val="00B83953"/>
    <w:rsid w:val="00B8462D"/>
    <w:rsid w:val="00B84A4F"/>
    <w:rsid w:val="00B84FC0"/>
    <w:rsid w:val="00B85B10"/>
    <w:rsid w:val="00B85F65"/>
    <w:rsid w:val="00B86145"/>
    <w:rsid w:val="00B862D1"/>
    <w:rsid w:val="00B87272"/>
    <w:rsid w:val="00B87D7B"/>
    <w:rsid w:val="00B900C4"/>
    <w:rsid w:val="00B911E5"/>
    <w:rsid w:val="00B92360"/>
    <w:rsid w:val="00B94F0B"/>
    <w:rsid w:val="00B957D4"/>
    <w:rsid w:val="00B965B5"/>
    <w:rsid w:val="00B967BC"/>
    <w:rsid w:val="00BA05A8"/>
    <w:rsid w:val="00BA09DD"/>
    <w:rsid w:val="00BA158D"/>
    <w:rsid w:val="00BA2102"/>
    <w:rsid w:val="00BA2E43"/>
    <w:rsid w:val="00BA3C0D"/>
    <w:rsid w:val="00BA4136"/>
    <w:rsid w:val="00BA51CE"/>
    <w:rsid w:val="00BA5862"/>
    <w:rsid w:val="00BB039A"/>
    <w:rsid w:val="00BB068D"/>
    <w:rsid w:val="00BB1347"/>
    <w:rsid w:val="00BB1A50"/>
    <w:rsid w:val="00BB201A"/>
    <w:rsid w:val="00BB2B86"/>
    <w:rsid w:val="00BB3BCA"/>
    <w:rsid w:val="00BB3F17"/>
    <w:rsid w:val="00BB559B"/>
    <w:rsid w:val="00BB62EC"/>
    <w:rsid w:val="00BB678A"/>
    <w:rsid w:val="00BB71F4"/>
    <w:rsid w:val="00BB7B4C"/>
    <w:rsid w:val="00BC025C"/>
    <w:rsid w:val="00BC0F5F"/>
    <w:rsid w:val="00BC17C7"/>
    <w:rsid w:val="00BC2B37"/>
    <w:rsid w:val="00BC30D8"/>
    <w:rsid w:val="00BC4492"/>
    <w:rsid w:val="00BC45AF"/>
    <w:rsid w:val="00BC490C"/>
    <w:rsid w:val="00BC4E45"/>
    <w:rsid w:val="00BC5D97"/>
    <w:rsid w:val="00BC5DEE"/>
    <w:rsid w:val="00BC639E"/>
    <w:rsid w:val="00BC7B66"/>
    <w:rsid w:val="00BC7E42"/>
    <w:rsid w:val="00BD038C"/>
    <w:rsid w:val="00BD06F0"/>
    <w:rsid w:val="00BD14E7"/>
    <w:rsid w:val="00BD2448"/>
    <w:rsid w:val="00BD38F1"/>
    <w:rsid w:val="00BD4336"/>
    <w:rsid w:val="00BD5C3A"/>
    <w:rsid w:val="00BD7003"/>
    <w:rsid w:val="00BD7A44"/>
    <w:rsid w:val="00BD7B36"/>
    <w:rsid w:val="00BE03C2"/>
    <w:rsid w:val="00BE0BF0"/>
    <w:rsid w:val="00BE22C6"/>
    <w:rsid w:val="00BE4981"/>
    <w:rsid w:val="00BE67F7"/>
    <w:rsid w:val="00BE6A37"/>
    <w:rsid w:val="00BE7191"/>
    <w:rsid w:val="00BF047B"/>
    <w:rsid w:val="00BF13C4"/>
    <w:rsid w:val="00BF280D"/>
    <w:rsid w:val="00BF2B66"/>
    <w:rsid w:val="00BF32C3"/>
    <w:rsid w:val="00BF4210"/>
    <w:rsid w:val="00BF49FC"/>
    <w:rsid w:val="00BF4D1F"/>
    <w:rsid w:val="00BF4E52"/>
    <w:rsid w:val="00BF5CC6"/>
    <w:rsid w:val="00BF60D0"/>
    <w:rsid w:val="00BF6434"/>
    <w:rsid w:val="00BF7EA7"/>
    <w:rsid w:val="00C01B85"/>
    <w:rsid w:val="00C02DC9"/>
    <w:rsid w:val="00C0340E"/>
    <w:rsid w:val="00C03C42"/>
    <w:rsid w:val="00C04955"/>
    <w:rsid w:val="00C05C07"/>
    <w:rsid w:val="00C063CA"/>
    <w:rsid w:val="00C071F0"/>
    <w:rsid w:val="00C07742"/>
    <w:rsid w:val="00C07F16"/>
    <w:rsid w:val="00C10154"/>
    <w:rsid w:val="00C111F3"/>
    <w:rsid w:val="00C1260F"/>
    <w:rsid w:val="00C12ACB"/>
    <w:rsid w:val="00C12CB8"/>
    <w:rsid w:val="00C12FCA"/>
    <w:rsid w:val="00C1364D"/>
    <w:rsid w:val="00C13DBE"/>
    <w:rsid w:val="00C14AD0"/>
    <w:rsid w:val="00C14BF4"/>
    <w:rsid w:val="00C152E0"/>
    <w:rsid w:val="00C16773"/>
    <w:rsid w:val="00C16BC5"/>
    <w:rsid w:val="00C17093"/>
    <w:rsid w:val="00C20E36"/>
    <w:rsid w:val="00C21012"/>
    <w:rsid w:val="00C214A8"/>
    <w:rsid w:val="00C21DFE"/>
    <w:rsid w:val="00C232A3"/>
    <w:rsid w:val="00C23410"/>
    <w:rsid w:val="00C239AD"/>
    <w:rsid w:val="00C23DF1"/>
    <w:rsid w:val="00C24371"/>
    <w:rsid w:val="00C256FC"/>
    <w:rsid w:val="00C25817"/>
    <w:rsid w:val="00C26614"/>
    <w:rsid w:val="00C2752D"/>
    <w:rsid w:val="00C27678"/>
    <w:rsid w:val="00C277DA"/>
    <w:rsid w:val="00C27D6A"/>
    <w:rsid w:val="00C304E8"/>
    <w:rsid w:val="00C306BD"/>
    <w:rsid w:val="00C306CE"/>
    <w:rsid w:val="00C30D29"/>
    <w:rsid w:val="00C3214D"/>
    <w:rsid w:val="00C321C0"/>
    <w:rsid w:val="00C35326"/>
    <w:rsid w:val="00C355AB"/>
    <w:rsid w:val="00C35A63"/>
    <w:rsid w:val="00C366B8"/>
    <w:rsid w:val="00C36812"/>
    <w:rsid w:val="00C37AEA"/>
    <w:rsid w:val="00C4108B"/>
    <w:rsid w:val="00C421D8"/>
    <w:rsid w:val="00C42A17"/>
    <w:rsid w:val="00C43386"/>
    <w:rsid w:val="00C439AF"/>
    <w:rsid w:val="00C464AA"/>
    <w:rsid w:val="00C467D0"/>
    <w:rsid w:val="00C47201"/>
    <w:rsid w:val="00C473F4"/>
    <w:rsid w:val="00C518CE"/>
    <w:rsid w:val="00C5263A"/>
    <w:rsid w:val="00C528FC"/>
    <w:rsid w:val="00C546AA"/>
    <w:rsid w:val="00C547E0"/>
    <w:rsid w:val="00C55AD7"/>
    <w:rsid w:val="00C55E1B"/>
    <w:rsid w:val="00C565F0"/>
    <w:rsid w:val="00C57FFA"/>
    <w:rsid w:val="00C603DE"/>
    <w:rsid w:val="00C60B55"/>
    <w:rsid w:val="00C61C08"/>
    <w:rsid w:val="00C62A62"/>
    <w:rsid w:val="00C6413A"/>
    <w:rsid w:val="00C6581E"/>
    <w:rsid w:val="00C65E73"/>
    <w:rsid w:val="00C66654"/>
    <w:rsid w:val="00C66899"/>
    <w:rsid w:val="00C67534"/>
    <w:rsid w:val="00C70983"/>
    <w:rsid w:val="00C7199B"/>
    <w:rsid w:val="00C73998"/>
    <w:rsid w:val="00C74B18"/>
    <w:rsid w:val="00C74E43"/>
    <w:rsid w:val="00C751A1"/>
    <w:rsid w:val="00C751AB"/>
    <w:rsid w:val="00C75891"/>
    <w:rsid w:val="00C76DDB"/>
    <w:rsid w:val="00C77175"/>
    <w:rsid w:val="00C7799C"/>
    <w:rsid w:val="00C8093D"/>
    <w:rsid w:val="00C80AA2"/>
    <w:rsid w:val="00C812CC"/>
    <w:rsid w:val="00C81A4D"/>
    <w:rsid w:val="00C835D0"/>
    <w:rsid w:val="00C83EEF"/>
    <w:rsid w:val="00C84089"/>
    <w:rsid w:val="00C85A9D"/>
    <w:rsid w:val="00C8683C"/>
    <w:rsid w:val="00C87075"/>
    <w:rsid w:val="00C870AB"/>
    <w:rsid w:val="00C90BD8"/>
    <w:rsid w:val="00C90D75"/>
    <w:rsid w:val="00C929D7"/>
    <w:rsid w:val="00C92E52"/>
    <w:rsid w:val="00C935FB"/>
    <w:rsid w:val="00C93CC4"/>
    <w:rsid w:val="00C943C8"/>
    <w:rsid w:val="00C947CF"/>
    <w:rsid w:val="00C94E63"/>
    <w:rsid w:val="00C9519A"/>
    <w:rsid w:val="00C964E6"/>
    <w:rsid w:val="00C96A7F"/>
    <w:rsid w:val="00C96AF7"/>
    <w:rsid w:val="00C97F23"/>
    <w:rsid w:val="00CA0506"/>
    <w:rsid w:val="00CA0C6C"/>
    <w:rsid w:val="00CA1785"/>
    <w:rsid w:val="00CA1BBD"/>
    <w:rsid w:val="00CA3467"/>
    <w:rsid w:val="00CA4BBB"/>
    <w:rsid w:val="00CB0C0F"/>
    <w:rsid w:val="00CB0E88"/>
    <w:rsid w:val="00CB199E"/>
    <w:rsid w:val="00CB1AEC"/>
    <w:rsid w:val="00CB32B4"/>
    <w:rsid w:val="00CB3561"/>
    <w:rsid w:val="00CB4EF5"/>
    <w:rsid w:val="00CB531F"/>
    <w:rsid w:val="00CB612A"/>
    <w:rsid w:val="00CB7C12"/>
    <w:rsid w:val="00CB7C80"/>
    <w:rsid w:val="00CC0842"/>
    <w:rsid w:val="00CC0A07"/>
    <w:rsid w:val="00CC0FDD"/>
    <w:rsid w:val="00CC15A4"/>
    <w:rsid w:val="00CC1F8D"/>
    <w:rsid w:val="00CC22CC"/>
    <w:rsid w:val="00CC2CCA"/>
    <w:rsid w:val="00CC369E"/>
    <w:rsid w:val="00CC3FFE"/>
    <w:rsid w:val="00CC4DC8"/>
    <w:rsid w:val="00CC58BE"/>
    <w:rsid w:val="00CC70ED"/>
    <w:rsid w:val="00CC74E9"/>
    <w:rsid w:val="00CD170C"/>
    <w:rsid w:val="00CD24DC"/>
    <w:rsid w:val="00CD255C"/>
    <w:rsid w:val="00CD2B14"/>
    <w:rsid w:val="00CD3B3A"/>
    <w:rsid w:val="00CD50C0"/>
    <w:rsid w:val="00CD5929"/>
    <w:rsid w:val="00CD5BBC"/>
    <w:rsid w:val="00CD6A8A"/>
    <w:rsid w:val="00CD7495"/>
    <w:rsid w:val="00CD7793"/>
    <w:rsid w:val="00CE266E"/>
    <w:rsid w:val="00CE2799"/>
    <w:rsid w:val="00CE4BDA"/>
    <w:rsid w:val="00CE51EB"/>
    <w:rsid w:val="00CE5897"/>
    <w:rsid w:val="00CE58A1"/>
    <w:rsid w:val="00CE72E6"/>
    <w:rsid w:val="00CE7AA8"/>
    <w:rsid w:val="00CF00CD"/>
    <w:rsid w:val="00CF0BF7"/>
    <w:rsid w:val="00CF306C"/>
    <w:rsid w:val="00CF46D1"/>
    <w:rsid w:val="00CF5C88"/>
    <w:rsid w:val="00CF5CEC"/>
    <w:rsid w:val="00CF7250"/>
    <w:rsid w:val="00D0095C"/>
    <w:rsid w:val="00D0145F"/>
    <w:rsid w:val="00D01B49"/>
    <w:rsid w:val="00D02A51"/>
    <w:rsid w:val="00D02F22"/>
    <w:rsid w:val="00D0374C"/>
    <w:rsid w:val="00D03F30"/>
    <w:rsid w:val="00D03F47"/>
    <w:rsid w:val="00D046B4"/>
    <w:rsid w:val="00D053BD"/>
    <w:rsid w:val="00D05A31"/>
    <w:rsid w:val="00D07B54"/>
    <w:rsid w:val="00D07E2D"/>
    <w:rsid w:val="00D10398"/>
    <w:rsid w:val="00D114A5"/>
    <w:rsid w:val="00D1185D"/>
    <w:rsid w:val="00D126B1"/>
    <w:rsid w:val="00D1430E"/>
    <w:rsid w:val="00D147D2"/>
    <w:rsid w:val="00D15A4B"/>
    <w:rsid w:val="00D1668F"/>
    <w:rsid w:val="00D16C61"/>
    <w:rsid w:val="00D20F52"/>
    <w:rsid w:val="00D2284D"/>
    <w:rsid w:val="00D232BD"/>
    <w:rsid w:val="00D235C5"/>
    <w:rsid w:val="00D24247"/>
    <w:rsid w:val="00D254F2"/>
    <w:rsid w:val="00D25598"/>
    <w:rsid w:val="00D257FB"/>
    <w:rsid w:val="00D26365"/>
    <w:rsid w:val="00D30412"/>
    <w:rsid w:val="00D30A99"/>
    <w:rsid w:val="00D30AE5"/>
    <w:rsid w:val="00D31365"/>
    <w:rsid w:val="00D3155D"/>
    <w:rsid w:val="00D32DCC"/>
    <w:rsid w:val="00D330AD"/>
    <w:rsid w:val="00D35031"/>
    <w:rsid w:val="00D358F9"/>
    <w:rsid w:val="00D36564"/>
    <w:rsid w:val="00D366CF"/>
    <w:rsid w:val="00D409CC"/>
    <w:rsid w:val="00D43A74"/>
    <w:rsid w:val="00D45DD4"/>
    <w:rsid w:val="00D46C05"/>
    <w:rsid w:val="00D46D7C"/>
    <w:rsid w:val="00D4748C"/>
    <w:rsid w:val="00D4752B"/>
    <w:rsid w:val="00D50836"/>
    <w:rsid w:val="00D51539"/>
    <w:rsid w:val="00D526A3"/>
    <w:rsid w:val="00D53097"/>
    <w:rsid w:val="00D53583"/>
    <w:rsid w:val="00D54975"/>
    <w:rsid w:val="00D54A97"/>
    <w:rsid w:val="00D54EC5"/>
    <w:rsid w:val="00D56307"/>
    <w:rsid w:val="00D579B2"/>
    <w:rsid w:val="00D60572"/>
    <w:rsid w:val="00D60E4F"/>
    <w:rsid w:val="00D613BB"/>
    <w:rsid w:val="00D61447"/>
    <w:rsid w:val="00D61C71"/>
    <w:rsid w:val="00D62224"/>
    <w:rsid w:val="00D62C7A"/>
    <w:rsid w:val="00D640C9"/>
    <w:rsid w:val="00D65AE2"/>
    <w:rsid w:val="00D668AF"/>
    <w:rsid w:val="00D67F4C"/>
    <w:rsid w:val="00D715DA"/>
    <w:rsid w:val="00D72C37"/>
    <w:rsid w:val="00D73E7F"/>
    <w:rsid w:val="00D74F1A"/>
    <w:rsid w:val="00D75D8D"/>
    <w:rsid w:val="00D7688D"/>
    <w:rsid w:val="00D76CC4"/>
    <w:rsid w:val="00D77387"/>
    <w:rsid w:val="00D77A06"/>
    <w:rsid w:val="00D81E02"/>
    <w:rsid w:val="00D82E0A"/>
    <w:rsid w:val="00D833A4"/>
    <w:rsid w:val="00D83A3B"/>
    <w:rsid w:val="00D84E64"/>
    <w:rsid w:val="00D90868"/>
    <w:rsid w:val="00D9146E"/>
    <w:rsid w:val="00D92937"/>
    <w:rsid w:val="00D933B7"/>
    <w:rsid w:val="00D93569"/>
    <w:rsid w:val="00D94755"/>
    <w:rsid w:val="00D94BA8"/>
    <w:rsid w:val="00D94EC9"/>
    <w:rsid w:val="00D957E7"/>
    <w:rsid w:val="00D963F1"/>
    <w:rsid w:val="00D9670A"/>
    <w:rsid w:val="00D96F94"/>
    <w:rsid w:val="00D973A9"/>
    <w:rsid w:val="00DA0A4B"/>
    <w:rsid w:val="00DA11C6"/>
    <w:rsid w:val="00DA19EB"/>
    <w:rsid w:val="00DA1A7C"/>
    <w:rsid w:val="00DA1BCE"/>
    <w:rsid w:val="00DA2241"/>
    <w:rsid w:val="00DA26F2"/>
    <w:rsid w:val="00DA2730"/>
    <w:rsid w:val="00DA2844"/>
    <w:rsid w:val="00DA2EAF"/>
    <w:rsid w:val="00DA4720"/>
    <w:rsid w:val="00DA4889"/>
    <w:rsid w:val="00DA52C8"/>
    <w:rsid w:val="00DA537F"/>
    <w:rsid w:val="00DA6DFA"/>
    <w:rsid w:val="00DB17D1"/>
    <w:rsid w:val="00DB2919"/>
    <w:rsid w:val="00DB3024"/>
    <w:rsid w:val="00DB3A1C"/>
    <w:rsid w:val="00DB3CF9"/>
    <w:rsid w:val="00DB4BCE"/>
    <w:rsid w:val="00DB4DE2"/>
    <w:rsid w:val="00DB4F5C"/>
    <w:rsid w:val="00DB5CBF"/>
    <w:rsid w:val="00DB6223"/>
    <w:rsid w:val="00DB67E6"/>
    <w:rsid w:val="00DC1542"/>
    <w:rsid w:val="00DC1BE7"/>
    <w:rsid w:val="00DC24B2"/>
    <w:rsid w:val="00DC3EB3"/>
    <w:rsid w:val="00DC3FB9"/>
    <w:rsid w:val="00DC42B5"/>
    <w:rsid w:val="00DC4BC5"/>
    <w:rsid w:val="00DC5412"/>
    <w:rsid w:val="00DC5AD2"/>
    <w:rsid w:val="00DC695C"/>
    <w:rsid w:val="00DC7930"/>
    <w:rsid w:val="00DD00E6"/>
    <w:rsid w:val="00DD01C3"/>
    <w:rsid w:val="00DD03CC"/>
    <w:rsid w:val="00DD1173"/>
    <w:rsid w:val="00DD162F"/>
    <w:rsid w:val="00DD171C"/>
    <w:rsid w:val="00DD17C4"/>
    <w:rsid w:val="00DD281E"/>
    <w:rsid w:val="00DD2EE9"/>
    <w:rsid w:val="00DD3097"/>
    <w:rsid w:val="00DD33EC"/>
    <w:rsid w:val="00DD37B0"/>
    <w:rsid w:val="00DD5527"/>
    <w:rsid w:val="00DD647E"/>
    <w:rsid w:val="00DE0228"/>
    <w:rsid w:val="00DE0A36"/>
    <w:rsid w:val="00DE0BFF"/>
    <w:rsid w:val="00DE1684"/>
    <w:rsid w:val="00DE1997"/>
    <w:rsid w:val="00DE3768"/>
    <w:rsid w:val="00DE3E2F"/>
    <w:rsid w:val="00DE422B"/>
    <w:rsid w:val="00DE4754"/>
    <w:rsid w:val="00DE49F1"/>
    <w:rsid w:val="00DE54B2"/>
    <w:rsid w:val="00DE5D83"/>
    <w:rsid w:val="00DE7448"/>
    <w:rsid w:val="00DE795C"/>
    <w:rsid w:val="00DF0951"/>
    <w:rsid w:val="00DF1D45"/>
    <w:rsid w:val="00DF26BD"/>
    <w:rsid w:val="00DF550C"/>
    <w:rsid w:val="00DF700C"/>
    <w:rsid w:val="00DF74E9"/>
    <w:rsid w:val="00DF7C99"/>
    <w:rsid w:val="00E00411"/>
    <w:rsid w:val="00E00EE4"/>
    <w:rsid w:val="00E01456"/>
    <w:rsid w:val="00E0264C"/>
    <w:rsid w:val="00E02C45"/>
    <w:rsid w:val="00E03308"/>
    <w:rsid w:val="00E03D90"/>
    <w:rsid w:val="00E046CF"/>
    <w:rsid w:val="00E046E0"/>
    <w:rsid w:val="00E055C5"/>
    <w:rsid w:val="00E05C8D"/>
    <w:rsid w:val="00E06134"/>
    <w:rsid w:val="00E066A0"/>
    <w:rsid w:val="00E07128"/>
    <w:rsid w:val="00E0737C"/>
    <w:rsid w:val="00E0777E"/>
    <w:rsid w:val="00E07885"/>
    <w:rsid w:val="00E118B9"/>
    <w:rsid w:val="00E121D3"/>
    <w:rsid w:val="00E127F6"/>
    <w:rsid w:val="00E12D2A"/>
    <w:rsid w:val="00E13A2B"/>
    <w:rsid w:val="00E1411D"/>
    <w:rsid w:val="00E1417B"/>
    <w:rsid w:val="00E14830"/>
    <w:rsid w:val="00E1770B"/>
    <w:rsid w:val="00E20047"/>
    <w:rsid w:val="00E234EC"/>
    <w:rsid w:val="00E23ABE"/>
    <w:rsid w:val="00E24C96"/>
    <w:rsid w:val="00E261B0"/>
    <w:rsid w:val="00E26CCA"/>
    <w:rsid w:val="00E27C01"/>
    <w:rsid w:val="00E30398"/>
    <w:rsid w:val="00E30488"/>
    <w:rsid w:val="00E30957"/>
    <w:rsid w:val="00E31752"/>
    <w:rsid w:val="00E31DC4"/>
    <w:rsid w:val="00E3218B"/>
    <w:rsid w:val="00E32A95"/>
    <w:rsid w:val="00E32F6B"/>
    <w:rsid w:val="00E33EA6"/>
    <w:rsid w:val="00E34304"/>
    <w:rsid w:val="00E343AE"/>
    <w:rsid w:val="00E34400"/>
    <w:rsid w:val="00E3473A"/>
    <w:rsid w:val="00E348EF"/>
    <w:rsid w:val="00E35262"/>
    <w:rsid w:val="00E35EFE"/>
    <w:rsid w:val="00E369FC"/>
    <w:rsid w:val="00E37722"/>
    <w:rsid w:val="00E402CA"/>
    <w:rsid w:val="00E41041"/>
    <w:rsid w:val="00E41FA1"/>
    <w:rsid w:val="00E420DB"/>
    <w:rsid w:val="00E4315C"/>
    <w:rsid w:val="00E43553"/>
    <w:rsid w:val="00E442A3"/>
    <w:rsid w:val="00E444BB"/>
    <w:rsid w:val="00E44658"/>
    <w:rsid w:val="00E463CC"/>
    <w:rsid w:val="00E471D6"/>
    <w:rsid w:val="00E47539"/>
    <w:rsid w:val="00E50087"/>
    <w:rsid w:val="00E50CC1"/>
    <w:rsid w:val="00E50E98"/>
    <w:rsid w:val="00E51280"/>
    <w:rsid w:val="00E516A7"/>
    <w:rsid w:val="00E51E0C"/>
    <w:rsid w:val="00E537A9"/>
    <w:rsid w:val="00E53EA3"/>
    <w:rsid w:val="00E54046"/>
    <w:rsid w:val="00E57D19"/>
    <w:rsid w:val="00E60C4B"/>
    <w:rsid w:val="00E60D35"/>
    <w:rsid w:val="00E6126D"/>
    <w:rsid w:val="00E612E3"/>
    <w:rsid w:val="00E6523E"/>
    <w:rsid w:val="00E66BF5"/>
    <w:rsid w:val="00E67C32"/>
    <w:rsid w:val="00E71838"/>
    <w:rsid w:val="00E7267B"/>
    <w:rsid w:val="00E7298F"/>
    <w:rsid w:val="00E72D09"/>
    <w:rsid w:val="00E74F3D"/>
    <w:rsid w:val="00E753CA"/>
    <w:rsid w:val="00E75733"/>
    <w:rsid w:val="00E76A3A"/>
    <w:rsid w:val="00E800C6"/>
    <w:rsid w:val="00E808A0"/>
    <w:rsid w:val="00E81C12"/>
    <w:rsid w:val="00E82975"/>
    <w:rsid w:val="00E82E01"/>
    <w:rsid w:val="00E83737"/>
    <w:rsid w:val="00E837EA"/>
    <w:rsid w:val="00E85F2B"/>
    <w:rsid w:val="00E87D81"/>
    <w:rsid w:val="00E92A3C"/>
    <w:rsid w:val="00E92DE7"/>
    <w:rsid w:val="00E93771"/>
    <w:rsid w:val="00E93AAD"/>
    <w:rsid w:val="00E94666"/>
    <w:rsid w:val="00E94B91"/>
    <w:rsid w:val="00E95711"/>
    <w:rsid w:val="00E96054"/>
    <w:rsid w:val="00E9636C"/>
    <w:rsid w:val="00E968FB"/>
    <w:rsid w:val="00EA233B"/>
    <w:rsid w:val="00EA2866"/>
    <w:rsid w:val="00EA3411"/>
    <w:rsid w:val="00EA39FD"/>
    <w:rsid w:val="00EA454C"/>
    <w:rsid w:val="00EA4AAF"/>
    <w:rsid w:val="00EA4B44"/>
    <w:rsid w:val="00EA533B"/>
    <w:rsid w:val="00EA6D6C"/>
    <w:rsid w:val="00EB0F4B"/>
    <w:rsid w:val="00EB10F3"/>
    <w:rsid w:val="00EB1DDB"/>
    <w:rsid w:val="00EB2317"/>
    <w:rsid w:val="00EB2C58"/>
    <w:rsid w:val="00EB385A"/>
    <w:rsid w:val="00EB3CC5"/>
    <w:rsid w:val="00EB55B6"/>
    <w:rsid w:val="00EB5624"/>
    <w:rsid w:val="00EB594B"/>
    <w:rsid w:val="00EB7266"/>
    <w:rsid w:val="00EB7FB0"/>
    <w:rsid w:val="00EC1B3B"/>
    <w:rsid w:val="00EC2E51"/>
    <w:rsid w:val="00EC335A"/>
    <w:rsid w:val="00EC349E"/>
    <w:rsid w:val="00EC4A2A"/>
    <w:rsid w:val="00EC5121"/>
    <w:rsid w:val="00EC5379"/>
    <w:rsid w:val="00EC6817"/>
    <w:rsid w:val="00ED179C"/>
    <w:rsid w:val="00ED1C6D"/>
    <w:rsid w:val="00ED1F01"/>
    <w:rsid w:val="00ED2BA8"/>
    <w:rsid w:val="00ED2F94"/>
    <w:rsid w:val="00ED39B0"/>
    <w:rsid w:val="00ED3BF2"/>
    <w:rsid w:val="00ED6AE5"/>
    <w:rsid w:val="00ED6BD3"/>
    <w:rsid w:val="00ED73C8"/>
    <w:rsid w:val="00ED7666"/>
    <w:rsid w:val="00ED77FD"/>
    <w:rsid w:val="00EE0121"/>
    <w:rsid w:val="00EE04A8"/>
    <w:rsid w:val="00EE24B0"/>
    <w:rsid w:val="00EE2766"/>
    <w:rsid w:val="00EE2B43"/>
    <w:rsid w:val="00EE4303"/>
    <w:rsid w:val="00EE4AB9"/>
    <w:rsid w:val="00EE7798"/>
    <w:rsid w:val="00EF0598"/>
    <w:rsid w:val="00EF1AF3"/>
    <w:rsid w:val="00EF2E6D"/>
    <w:rsid w:val="00EF2F41"/>
    <w:rsid w:val="00EF5799"/>
    <w:rsid w:val="00EF660E"/>
    <w:rsid w:val="00F0186E"/>
    <w:rsid w:val="00F036D5"/>
    <w:rsid w:val="00F04612"/>
    <w:rsid w:val="00F07EF3"/>
    <w:rsid w:val="00F10075"/>
    <w:rsid w:val="00F11B2E"/>
    <w:rsid w:val="00F132ED"/>
    <w:rsid w:val="00F1415F"/>
    <w:rsid w:val="00F1450D"/>
    <w:rsid w:val="00F145AC"/>
    <w:rsid w:val="00F17CBA"/>
    <w:rsid w:val="00F212F9"/>
    <w:rsid w:val="00F215EF"/>
    <w:rsid w:val="00F217DB"/>
    <w:rsid w:val="00F22131"/>
    <w:rsid w:val="00F22494"/>
    <w:rsid w:val="00F228A2"/>
    <w:rsid w:val="00F2368A"/>
    <w:rsid w:val="00F23B82"/>
    <w:rsid w:val="00F23B84"/>
    <w:rsid w:val="00F2638E"/>
    <w:rsid w:val="00F26B14"/>
    <w:rsid w:val="00F272E0"/>
    <w:rsid w:val="00F273A8"/>
    <w:rsid w:val="00F27B49"/>
    <w:rsid w:val="00F31022"/>
    <w:rsid w:val="00F32747"/>
    <w:rsid w:val="00F32853"/>
    <w:rsid w:val="00F3384D"/>
    <w:rsid w:val="00F3384F"/>
    <w:rsid w:val="00F33856"/>
    <w:rsid w:val="00F340ED"/>
    <w:rsid w:val="00F34759"/>
    <w:rsid w:val="00F35766"/>
    <w:rsid w:val="00F35B8C"/>
    <w:rsid w:val="00F35B92"/>
    <w:rsid w:val="00F4002E"/>
    <w:rsid w:val="00F4036E"/>
    <w:rsid w:val="00F445C5"/>
    <w:rsid w:val="00F469E0"/>
    <w:rsid w:val="00F47523"/>
    <w:rsid w:val="00F5048C"/>
    <w:rsid w:val="00F5088B"/>
    <w:rsid w:val="00F50B04"/>
    <w:rsid w:val="00F51184"/>
    <w:rsid w:val="00F52724"/>
    <w:rsid w:val="00F52E60"/>
    <w:rsid w:val="00F53A91"/>
    <w:rsid w:val="00F53CF0"/>
    <w:rsid w:val="00F54EA0"/>
    <w:rsid w:val="00F5527B"/>
    <w:rsid w:val="00F56C40"/>
    <w:rsid w:val="00F57353"/>
    <w:rsid w:val="00F5797E"/>
    <w:rsid w:val="00F626DE"/>
    <w:rsid w:val="00F62A90"/>
    <w:rsid w:val="00F63499"/>
    <w:rsid w:val="00F639BE"/>
    <w:rsid w:val="00F63A16"/>
    <w:rsid w:val="00F65C40"/>
    <w:rsid w:val="00F65F32"/>
    <w:rsid w:val="00F66C66"/>
    <w:rsid w:val="00F6782B"/>
    <w:rsid w:val="00F703E3"/>
    <w:rsid w:val="00F70487"/>
    <w:rsid w:val="00F70602"/>
    <w:rsid w:val="00F71963"/>
    <w:rsid w:val="00F71FEE"/>
    <w:rsid w:val="00F7287C"/>
    <w:rsid w:val="00F73A89"/>
    <w:rsid w:val="00F74036"/>
    <w:rsid w:val="00F76272"/>
    <w:rsid w:val="00F76B20"/>
    <w:rsid w:val="00F809D0"/>
    <w:rsid w:val="00F815A8"/>
    <w:rsid w:val="00F81653"/>
    <w:rsid w:val="00F820F6"/>
    <w:rsid w:val="00F821C6"/>
    <w:rsid w:val="00F8304C"/>
    <w:rsid w:val="00F84307"/>
    <w:rsid w:val="00F84A6F"/>
    <w:rsid w:val="00F84EBC"/>
    <w:rsid w:val="00F859DD"/>
    <w:rsid w:val="00F863AE"/>
    <w:rsid w:val="00F879E3"/>
    <w:rsid w:val="00F90048"/>
    <w:rsid w:val="00F9106B"/>
    <w:rsid w:val="00F91309"/>
    <w:rsid w:val="00F9255C"/>
    <w:rsid w:val="00F92F60"/>
    <w:rsid w:val="00F93DB1"/>
    <w:rsid w:val="00F94FAC"/>
    <w:rsid w:val="00F958D5"/>
    <w:rsid w:val="00F95BE0"/>
    <w:rsid w:val="00F963A1"/>
    <w:rsid w:val="00FA1110"/>
    <w:rsid w:val="00FA17F1"/>
    <w:rsid w:val="00FA23F9"/>
    <w:rsid w:val="00FA29D7"/>
    <w:rsid w:val="00FA2DB9"/>
    <w:rsid w:val="00FA31E8"/>
    <w:rsid w:val="00FA3528"/>
    <w:rsid w:val="00FA3858"/>
    <w:rsid w:val="00FA5150"/>
    <w:rsid w:val="00FA5B0C"/>
    <w:rsid w:val="00FA63F8"/>
    <w:rsid w:val="00FA657A"/>
    <w:rsid w:val="00FA7810"/>
    <w:rsid w:val="00FB05E2"/>
    <w:rsid w:val="00FB198D"/>
    <w:rsid w:val="00FB3220"/>
    <w:rsid w:val="00FB3F0E"/>
    <w:rsid w:val="00FB48E1"/>
    <w:rsid w:val="00FB50C8"/>
    <w:rsid w:val="00FB7368"/>
    <w:rsid w:val="00FB7613"/>
    <w:rsid w:val="00FC335D"/>
    <w:rsid w:val="00FC4E78"/>
    <w:rsid w:val="00FC5DFF"/>
    <w:rsid w:val="00FC7527"/>
    <w:rsid w:val="00FC7545"/>
    <w:rsid w:val="00FD018A"/>
    <w:rsid w:val="00FD0ED7"/>
    <w:rsid w:val="00FD1566"/>
    <w:rsid w:val="00FD1C70"/>
    <w:rsid w:val="00FD4964"/>
    <w:rsid w:val="00FD593B"/>
    <w:rsid w:val="00FD69B2"/>
    <w:rsid w:val="00FD774A"/>
    <w:rsid w:val="00FE0B8C"/>
    <w:rsid w:val="00FE0E26"/>
    <w:rsid w:val="00FE124B"/>
    <w:rsid w:val="00FE2225"/>
    <w:rsid w:val="00FE3104"/>
    <w:rsid w:val="00FE31B1"/>
    <w:rsid w:val="00FE685B"/>
    <w:rsid w:val="00FE6D7C"/>
    <w:rsid w:val="00FE765F"/>
    <w:rsid w:val="00FF079B"/>
    <w:rsid w:val="00FF2BCF"/>
    <w:rsid w:val="00FF2CBF"/>
    <w:rsid w:val="00FF2ED8"/>
    <w:rsid w:val="00FF3A68"/>
    <w:rsid w:val="00FF3B0C"/>
    <w:rsid w:val="00FF3B4E"/>
    <w:rsid w:val="00FF42C1"/>
    <w:rsid w:val="00FF4547"/>
    <w:rsid w:val="00FF4B35"/>
    <w:rsid w:val="00FF5C00"/>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24EC95"/>
  <w15:docId w15:val="{5C9906FD-2848-421B-8AE3-C69159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F0"/>
    <w:pPr>
      <w:spacing w:before="120" w:after="120" w:line="240" w:lineRule="auto"/>
    </w:pPr>
    <w:rPr>
      <w:sz w:val="24"/>
      <w:szCs w:val="24"/>
    </w:rPr>
  </w:style>
  <w:style w:type="paragraph" w:styleId="Heading1">
    <w:name w:val="heading 1"/>
    <w:basedOn w:val="Normal"/>
    <w:next w:val="Normal"/>
    <w:link w:val="Heading1Char"/>
    <w:uiPriority w:val="9"/>
    <w:qFormat/>
    <w:locked/>
    <w:rsid w:val="00963869"/>
    <w:pPr>
      <w:keepNext/>
      <w:spacing w:before="480"/>
      <w:jc w:val="center"/>
      <w:outlineLvl w:val="0"/>
    </w:pPr>
    <w:rPr>
      <w:rFonts w:ascii="Arial" w:hAnsi="Arial"/>
      <w:b/>
      <w:kern w:val="28"/>
      <w:sz w:val="28"/>
      <w:szCs w:val="20"/>
    </w:rPr>
  </w:style>
  <w:style w:type="paragraph" w:styleId="Heading2">
    <w:name w:val="heading 2"/>
    <w:basedOn w:val="Normal"/>
    <w:next w:val="Normal"/>
    <w:link w:val="Heading2Char"/>
    <w:uiPriority w:val="9"/>
    <w:qFormat/>
    <w:locked/>
    <w:rsid w:val="00AD04F0"/>
    <w:pPr>
      <w:keepNext/>
      <w:spacing w:before="240"/>
      <w:outlineLvl w:val="1"/>
    </w:pPr>
    <w:rPr>
      <w:rFonts w:ascii="Arial" w:hAnsi="Arial"/>
      <w:b/>
      <w:szCs w:val="20"/>
    </w:rPr>
  </w:style>
  <w:style w:type="paragraph" w:styleId="Heading3">
    <w:name w:val="heading 3"/>
    <w:basedOn w:val="Heading2"/>
    <w:link w:val="Heading3Char"/>
    <w:uiPriority w:val="9"/>
    <w:qFormat/>
    <w:locked/>
    <w:rsid w:val="00963869"/>
    <w:pPr>
      <w:outlineLvl w:val="2"/>
    </w:pPr>
    <w:rPr>
      <w:b w:val="0"/>
      <w:i/>
      <w:sz w:val="22"/>
    </w:rPr>
  </w:style>
  <w:style w:type="paragraph" w:styleId="Heading4">
    <w:name w:val="heading 4"/>
    <w:basedOn w:val="Normal"/>
    <w:link w:val="Heading4Char"/>
    <w:uiPriority w:val="9"/>
    <w:qFormat/>
    <w:locked/>
    <w:rsid w:val="00995474"/>
    <w:pPr>
      <w:numPr>
        <w:ilvl w:val="3"/>
        <w:numId w:val="1"/>
      </w:numPr>
      <w:spacing w:before="240"/>
      <w:outlineLvl w:val="3"/>
    </w:pPr>
    <w:rPr>
      <w:rFonts w:ascii="Arial" w:hAnsi="Arial"/>
      <w:sz w:val="20"/>
      <w:szCs w:val="20"/>
    </w:rPr>
  </w:style>
  <w:style w:type="paragraph" w:styleId="Heading5">
    <w:name w:val="heading 5"/>
    <w:basedOn w:val="Normal"/>
    <w:link w:val="Heading5Char"/>
    <w:uiPriority w:val="9"/>
    <w:qFormat/>
    <w:locked/>
    <w:rsid w:val="00995474"/>
    <w:pPr>
      <w:numPr>
        <w:ilvl w:val="4"/>
        <w:numId w:val="1"/>
      </w:numPr>
      <w:spacing w:before="24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105A59"/>
    <w:pPr>
      <w:numPr>
        <w:numId w:val="3"/>
      </w:numPr>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aliases w:val="ss,Subsection"/>
    <w:basedOn w:val="Normal"/>
    <w:link w:val="subsectionChar"/>
    <w:rsid w:val="00787B5F"/>
    <w:pPr>
      <w:spacing w:before="100" w:beforeAutospacing="1" w:after="100" w:afterAutospacing="1"/>
    </w:pPr>
  </w:style>
  <w:style w:type="paragraph" w:customStyle="1" w:styleId="TableTextform">
    <w:name w:val="TableText form"/>
    <w:basedOn w:val="Normal"/>
    <w:qFormat/>
    <w:rsid w:val="00E066A0"/>
    <w:pPr>
      <w:spacing w:before="40" w:after="240"/>
    </w:pPr>
    <w:rPr>
      <w:rFonts w:ascii="Arial" w:eastAsiaTheme="majorEastAsia" w:hAnsi="Arial" w:cs="Arial"/>
      <w:bCs/>
      <w:sz w:val="20"/>
      <w:szCs w:val="20"/>
      <w:lang w:eastAsia="en-US"/>
    </w:rPr>
  </w:style>
  <w:style w:type="character" w:styleId="FollowedHyperlink">
    <w:name w:val="FollowedHyperlink"/>
    <w:basedOn w:val="DefaultParagraphFont"/>
    <w:uiPriority w:val="99"/>
    <w:semiHidden/>
    <w:unhideWhenUsed/>
    <w:rsid w:val="00C366B8"/>
    <w:rPr>
      <w:color w:val="800080" w:themeColor="followedHyperlink"/>
      <w:u w:val="single"/>
    </w:rPr>
  </w:style>
  <w:style w:type="character" w:customStyle="1" w:styleId="Heading1Char">
    <w:name w:val="Heading 1 Char"/>
    <w:basedOn w:val="DefaultParagraphFont"/>
    <w:link w:val="Heading1"/>
    <w:uiPriority w:val="9"/>
    <w:rsid w:val="00963869"/>
    <w:rPr>
      <w:rFonts w:ascii="Arial" w:hAnsi="Arial"/>
      <w:b/>
      <w:kern w:val="28"/>
      <w:sz w:val="28"/>
      <w:szCs w:val="20"/>
    </w:rPr>
  </w:style>
  <w:style w:type="character" w:customStyle="1" w:styleId="Heading2Char">
    <w:name w:val="Heading 2 Char"/>
    <w:basedOn w:val="DefaultParagraphFont"/>
    <w:link w:val="Heading2"/>
    <w:uiPriority w:val="9"/>
    <w:rsid w:val="00AD04F0"/>
    <w:rPr>
      <w:rFonts w:ascii="Arial" w:hAnsi="Arial"/>
      <w:b/>
      <w:sz w:val="24"/>
      <w:szCs w:val="20"/>
    </w:rPr>
  </w:style>
  <w:style w:type="character" w:customStyle="1" w:styleId="Heading3Char">
    <w:name w:val="Heading 3 Char"/>
    <w:basedOn w:val="DefaultParagraphFont"/>
    <w:link w:val="Heading3"/>
    <w:uiPriority w:val="9"/>
    <w:rsid w:val="00963869"/>
    <w:rPr>
      <w:rFonts w:ascii="Arial" w:hAnsi="Arial"/>
      <w:i/>
      <w:szCs w:val="20"/>
    </w:rPr>
  </w:style>
  <w:style w:type="character" w:customStyle="1" w:styleId="Heading4Char">
    <w:name w:val="Heading 4 Char"/>
    <w:basedOn w:val="DefaultParagraphFont"/>
    <w:link w:val="Heading4"/>
    <w:uiPriority w:val="9"/>
    <w:rsid w:val="00995474"/>
    <w:rPr>
      <w:rFonts w:ascii="Arial" w:hAnsi="Arial"/>
      <w:sz w:val="20"/>
      <w:szCs w:val="20"/>
    </w:rPr>
  </w:style>
  <w:style w:type="character" w:customStyle="1" w:styleId="Heading5Char">
    <w:name w:val="Heading 5 Char"/>
    <w:basedOn w:val="DefaultParagraphFont"/>
    <w:link w:val="Heading5"/>
    <w:uiPriority w:val="9"/>
    <w:rsid w:val="00995474"/>
    <w:rPr>
      <w:rFonts w:ascii="Arial" w:hAnsi="Arial"/>
      <w:sz w:val="20"/>
      <w:szCs w:val="20"/>
    </w:rPr>
  </w:style>
  <w:style w:type="paragraph" w:customStyle="1" w:styleId="Headingpara2">
    <w:name w:val="Headingpara2"/>
    <w:basedOn w:val="Heading2"/>
    <w:qFormat/>
    <w:rsid w:val="00995474"/>
    <w:pPr>
      <w:keepNext w:val="0"/>
    </w:pPr>
    <w:rPr>
      <w:b w:val="0"/>
    </w:rPr>
  </w:style>
  <w:style w:type="paragraph" w:styleId="TOC8">
    <w:name w:val="toc 8"/>
    <w:basedOn w:val="Normal"/>
    <w:next w:val="Normal"/>
    <w:autoRedefine/>
    <w:uiPriority w:val="39"/>
    <w:locked/>
    <w:rsid w:val="005A79AF"/>
    <w:pPr>
      <w:ind w:left="1540"/>
    </w:pPr>
    <w:rPr>
      <w:rFonts w:ascii="Arial" w:hAnsi="Arial"/>
      <w:sz w:val="20"/>
      <w:szCs w:val="20"/>
    </w:rPr>
  </w:style>
  <w:style w:type="paragraph" w:customStyle="1" w:styleId="Bullet2">
    <w:name w:val="Bullet2"/>
    <w:basedOn w:val="Normal"/>
    <w:qFormat/>
    <w:rsid w:val="0055771D"/>
    <w:pPr>
      <w:numPr>
        <w:numId w:val="2"/>
      </w:numPr>
      <w:spacing w:before="240"/>
    </w:pPr>
    <w:rPr>
      <w:rFonts w:ascii="Arial" w:hAnsi="Arial" w:cstheme="minorBidi"/>
      <w:sz w:val="20"/>
      <w:szCs w:val="20"/>
      <w:lang w:eastAsia="en-US"/>
    </w:rPr>
  </w:style>
  <w:style w:type="character" w:customStyle="1" w:styleId="subsectionChar">
    <w:name w:val="subsection Char"/>
    <w:aliases w:val="ss Char"/>
    <w:link w:val="subsection"/>
    <w:locked/>
    <w:rsid w:val="00055D4C"/>
    <w:rPr>
      <w:sz w:val="24"/>
      <w:szCs w:val="24"/>
    </w:rPr>
  </w:style>
  <w:style w:type="character" w:customStyle="1" w:styleId="paragraphChar">
    <w:name w:val="paragraph Char"/>
    <w:aliases w:val="a Char"/>
    <w:link w:val="paragraph"/>
    <w:rsid w:val="00055D4C"/>
    <w:rPr>
      <w:szCs w:val="20"/>
    </w:rPr>
  </w:style>
  <w:style w:type="paragraph" w:customStyle="1" w:styleId="Style1">
    <w:name w:val="Style1"/>
    <w:basedOn w:val="Heading2"/>
    <w:qFormat/>
    <w:rsid w:val="00AD04F0"/>
  </w:style>
  <w:style w:type="paragraph" w:styleId="Header">
    <w:name w:val="header"/>
    <w:basedOn w:val="Normal"/>
    <w:link w:val="HeaderChar"/>
    <w:uiPriority w:val="99"/>
    <w:unhideWhenUsed/>
    <w:rsid w:val="00963869"/>
    <w:pPr>
      <w:tabs>
        <w:tab w:val="center" w:pos="4513"/>
        <w:tab w:val="right" w:pos="9026"/>
      </w:tabs>
      <w:spacing w:before="0" w:after="0"/>
    </w:pPr>
  </w:style>
  <w:style w:type="character" w:customStyle="1" w:styleId="HeaderChar">
    <w:name w:val="Header Char"/>
    <w:basedOn w:val="DefaultParagraphFont"/>
    <w:link w:val="Header"/>
    <w:uiPriority w:val="99"/>
    <w:rsid w:val="00963869"/>
    <w:rPr>
      <w:sz w:val="24"/>
      <w:szCs w:val="24"/>
    </w:rPr>
  </w:style>
  <w:style w:type="paragraph" w:customStyle="1" w:styleId="MBPoint">
    <w:name w:val="MB Point"/>
    <w:basedOn w:val="ListParagraph"/>
    <w:link w:val="MBPointChar"/>
    <w:qFormat/>
    <w:rsid w:val="000B46E9"/>
    <w:pPr>
      <w:numPr>
        <w:numId w:val="5"/>
      </w:numPr>
      <w:spacing w:before="0" w:after="60"/>
      <w:contextualSpacing w:val="0"/>
    </w:pPr>
    <w:rPr>
      <w:rFonts w:eastAsiaTheme="minorHAnsi"/>
      <w:lang w:eastAsia="en-US"/>
    </w:rPr>
  </w:style>
  <w:style w:type="character" w:customStyle="1" w:styleId="MBPointChar">
    <w:name w:val="MB Point Char"/>
    <w:basedOn w:val="ListParagraphChar"/>
    <w:link w:val="MBPoint"/>
    <w:rsid w:val="000B46E9"/>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70898">
      <w:bodyDiv w:val="1"/>
      <w:marLeft w:val="0"/>
      <w:marRight w:val="0"/>
      <w:marTop w:val="0"/>
      <w:marBottom w:val="0"/>
      <w:divBdr>
        <w:top w:val="none" w:sz="0" w:space="0" w:color="auto"/>
        <w:left w:val="none" w:sz="0" w:space="0" w:color="auto"/>
        <w:bottom w:val="none" w:sz="0" w:space="0" w:color="auto"/>
        <w:right w:val="none" w:sz="0" w:space="0" w:color="auto"/>
      </w:divBdr>
      <w:divsChild>
        <w:div w:id="1230076456">
          <w:marLeft w:val="0"/>
          <w:marRight w:val="0"/>
          <w:marTop w:val="0"/>
          <w:marBottom w:val="0"/>
          <w:divBdr>
            <w:top w:val="none" w:sz="0" w:space="0" w:color="auto"/>
            <w:left w:val="none" w:sz="0" w:space="0" w:color="auto"/>
            <w:bottom w:val="none" w:sz="0" w:space="0" w:color="auto"/>
            <w:right w:val="none" w:sz="0" w:space="0" w:color="auto"/>
          </w:divBdr>
          <w:divsChild>
            <w:div w:id="495925751">
              <w:marLeft w:val="0"/>
              <w:marRight w:val="0"/>
              <w:marTop w:val="0"/>
              <w:marBottom w:val="0"/>
              <w:divBdr>
                <w:top w:val="none" w:sz="0" w:space="0" w:color="auto"/>
                <w:left w:val="none" w:sz="0" w:space="0" w:color="auto"/>
                <w:bottom w:val="none" w:sz="0" w:space="0" w:color="auto"/>
                <w:right w:val="none" w:sz="0" w:space="0" w:color="auto"/>
              </w:divBdr>
              <w:divsChild>
                <w:div w:id="1288200680">
                  <w:marLeft w:val="0"/>
                  <w:marRight w:val="0"/>
                  <w:marTop w:val="0"/>
                  <w:marBottom w:val="0"/>
                  <w:divBdr>
                    <w:top w:val="none" w:sz="0" w:space="0" w:color="auto"/>
                    <w:left w:val="none" w:sz="0" w:space="0" w:color="auto"/>
                    <w:bottom w:val="none" w:sz="0" w:space="0" w:color="auto"/>
                    <w:right w:val="none" w:sz="0" w:space="0" w:color="auto"/>
                  </w:divBdr>
                  <w:divsChild>
                    <w:div w:id="400254825">
                      <w:marLeft w:val="0"/>
                      <w:marRight w:val="0"/>
                      <w:marTop w:val="0"/>
                      <w:marBottom w:val="0"/>
                      <w:divBdr>
                        <w:top w:val="none" w:sz="0" w:space="0" w:color="auto"/>
                        <w:left w:val="none" w:sz="0" w:space="0" w:color="auto"/>
                        <w:bottom w:val="none" w:sz="0" w:space="0" w:color="auto"/>
                        <w:right w:val="none" w:sz="0" w:space="0" w:color="auto"/>
                      </w:divBdr>
                      <w:divsChild>
                        <w:div w:id="230775084">
                          <w:marLeft w:val="0"/>
                          <w:marRight w:val="0"/>
                          <w:marTop w:val="0"/>
                          <w:marBottom w:val="0"/>
                          <w:divBdr>
                            <w:top w:val="none" w:sz="0" w:space="0" w:color="auto"/>
                            <w:left w:val="none" w:sz="0" w:space="0" w:color="auto"/>
                            <w:bottom w:val="none" w:sz="0" w:space="0" w:color="auto"/>
                            <w:right w:val="none" w:sz="0" w:space="0" w:color="auto"/>
                          </w:divBdr>
                          <w:divsChild>
                            <w:div w:id="783961207">
                              <w:marLeft w:val="0"/>
                              <w:marRight w:val="0"/>
                              <w:marTop w:val="0"/>
                              <w:marBottom w:val="0"/>
                              <w:divBdr>
                                <w:top w:val="none" w:sz="0" w:space="0" w:color="auto"/>
                                <w:left w:val="none" w:sz="0" w:space="0" w:color="auto"/>
                                <w:bottom w:val="none" w:sz="0" w:space="0" w:color="auto"/>
                                <w:right w:val="none" w:sz="0" w:space="0" w:color="auto"/>
                              </w:divBdr>
                              <w:divsChild>
                                <w:div w:id="1591769932">
                                  <w:marLeft w:val="0"/>
                                  <w:marRight w:val="0"/>
                                  <w:marTop w:val="0"/>
                                  <w:marBottom w:val="0"/>
                                  <w:divBdr>
                                    <w:top w:val="none" w:sz="0" w:space="0" w:color="auto"/>
                                    <w:left w:val="none" w:sz="0" w:space="0" w:color="auto"/>
                                    <w:bottom w:val="none" w:sz="0" w:space="0" w:color="auto"/>
                                    <w:right w:val="none" w:sz="0" w:space="0" w:color="auto"/>
                                  </w:divBdr>
                                  <w:divsChild>
                                    <w:div w:id="1265265090">
                                      <w:marLeft w:val="0"/>
                                      <w:marRight w:val="0"/>
                                      <w:marTop w:val="0"/>
                                      <w:marBottom w:val="0"/>
                                      <w:divBdr>
                                        <w:top w:val="none" w:sz="0" w:space="0" w:color="auto"/>
                                        <w:left w:val="none" w:sz="0" w:space="0" w:color="auto"/>
                                        <w:bottom w:val="none" w:sz="0" w:space="0" w:color="auto"/>
                                        <w:right w:val="none" w:sz="0" w:space="0" w:color="auto"/>
                                      </w:divBdr>
                                      <w:divsChild>
                                        <w:div w:id="1788423690">
                                          <w:marLeft w:val="0"/>
                                          <w:marRight w:val="0"/>
                                          <w:marTop w:val="0"/>
                                          <w:marBottom w:val="0"/>
                                          <w:divBdr>
                                            <w:top w:val="none" w:sz="0" w:space="0" w:color="auto"/>
                                            <w:left w:val="none" w:sz="0" w:space="0" w:color="auto"/>
                                            <w:bottom w:val="none" w:sz="0" w:space="0" w:color="auto"/>
                                            <w:right w:val="none" w:sz="0" w:space="0" w:color="auto"/>
                                          </w:divBdr>
                                          <w:divsChild>
                                            <w:div w:id="1502239590">
                                              <w:marLeft w:val="0"/>
                                              <w:marRight w:val="0"/>
                                              <w:marTop w:val="0"/>
                                              <w:marBottom w:val="0"/>
                                              <w:divBdr>
                                                <w:top w:val="none" w:sz="0" w:space="0" w:color="auto"/>
                                                <w:left w:val="none" w:sz="0" w:space="0" w:color="auto"/>
                                                <w:bottom w:val="none" w:sz="0" w:space="0" w:color="auto"/>
                                                <w:right w:val="none" w:sz="0" w:space="0" w:color="auto"/>
                                              </w:divBdr>
                                              <w:divsChild>
                                                <w:div w:id="1173451870">
                                                  <w:marLeft w:val="0"/>
                                                  <w:marRight w:val="0"/>
                                                  <w:marTop w:val="0"/>
                                                  <w:marBottom w:val="0"/>
                                                  <w:divBdr>
                                                    <w:top w:val="none" w:sz="0" w:space="0" w:color="auto"/>
                                                    <w:left w:val="none" w:sz="0" w:space="0" w:color="auto"/>
                                                    <w:bottom w:val="none" w:sz="0" w:space="0" w:color="auto"/>
                                                    <w:right w:val="none" w:sz="0" w:space="0" w:color="auto"/>
                                                  </w:divBdr>
                                                  <w:divsChild>
                                                    <w:div w:id="763379161">
                                                      <w:marLeft w:val="0"/>
                                                      <w:marRight w:val="0"/>
                                                      <w:marTop w:val="0"/>
                                                      <w:marBottom w:val="0"/>
                                                      <w:divBdr>
                                                        <w:top w:val="none" w:sz="0" w:space="0" w:color="auto"/>
                                                        <w:left w:val="none" w:sz="0" w:space="0" w:color="auto"/>
                                                        <w:bottom w:val="none" w:sz="0" w:space="0" w:color="auto"/>
                                                        <w:right w:val="none" w:sz="0" w:space="0" w:color="auto"/>
                                                      </w:divBdr>
                                                      <w:divsChild>
                                                        <w:div w:id="1749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794830621">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355100">
      <w:bodyDiv w:val="1"/>
      <w:marLeft w:val="0"/>
      <w:marRight w:val="0"/>
      <w:marTop w:val="0"/>
      <w:marBottom w:val="0"/>
      <w:divBdr>
        <w:top w:val="none" w:sz="0" w:space="0" w:color="auto"/>
        <w:left w:val="none" w:sz="0" w:space="0" w:color="auto"/>
        <w:bottom w:val="none" w:sz="0" w:space="0" w:color="auto"/>
        <w:right w:val="none" w:sz="0" w:space="0" w:color="auto"/>
      </w:divBdr>
    </w:div>
    <w:div w:id="1589575883">
      <w:bodyDiv w:val="1"/>
      <w:marLeft w:val="0"/>
      <w:marRight w:val="0"/>
      <w:marTop w:val="0"/>
      <w:marBottom w:val="0"/>
      <w:divBdr>
        <w:top w:val="none" w:sz="0" w:space="0" w:color="auto"/>
        <w:left w:val="none" w:sz="0" w:space="0" w:color="auto"/>
        <w:bottom w:val="none" w:sz="0" w:space="0" w:color="auto"/>
        <w:right w:val="none" w:sz="0" w:space="0" w:color="auto"/>
      </w:divBdr>
    </w:div>
    <w:div w:id="1818495176">
      <w:bodyDiv w:val="1"/>
      <w:marLeft w:val="0"/>
      <w:marRight w:val="0"/>
      <w:marTop w:val="0"/>
      <w:marBottom w:val="0"/>
      <w:divBdr>
        <w:top w:val="none" w:sz="0" w:space="0" w:color="auto"/>
        <w:left w:val="none" w:sz="0" w:space="0" w:color="auto"/>
        <w:bottom w:val="none" w:sz="0" w:space="0" w:color="auto"/>
        <w:right w:val="none" w:sz="0" w:space="0" w:color="auto"/>
      </w:divBdr>
      <w:divsChild>
        <w:div w:id="862784329">
          <w:marLeft w:val="0"/>
          <w:marRight w:val="0"/>
          <w:marTop w:val="0"/>
          <w:marBottom w:val="0"/>
          <w:divBdr>
            <w:top w:val="none" w:sz="0" w:space="0" w:color="auto"/>
            <w:left w:val="none" w:sz="0" w:space="0" w:color="auto"/>
            <w:bottom w:val="none" w:sz="0" w:space="0" w:color="auto"/>
            <w:right w:val="none" w:sz="0" w:space="0" w:color="auto"/>
          </w:divBdr>
          <w:divsChild>
            <w:div w:id="1717196787">
              <w:marLeft w:val="0"/>
              <w:marRight w:val="0"/>
              <w:marTop w:val="0"/>
              <w:marBottom w:val="0"/>
              <w:divBdr>
                <w:top w:val="none" w:sz="0" w:space="0" w:color="auto"/>
                <w:left w:val="none" w:sz="0" w:space="0" w:color="auto"/>
                <w:bottom w:val="none" w:sz="0" w:space="0" w:color="auto"/>
                <w:right w:val="none" w:sz="0" w:space="0" w:color="auto"/>
              </w:divBdr>
              <w:divsChild>
                <w:div w:id="1633439388">
                  <w:marLeft w:val="0"/>
                  <w:marRight w:val="0"/>
                  <w:marTop w:val="0"/>
                  <w:marBottom w:val="0"/>
                  <w:divBdr>
                    <w:top w:val="none" w:sz="0" w:space="0" w:color="auto"/>
                    <w:left w:val="none" w:sz="0" w:space="0" w:color="auto"/>
                    <w:bottom w:val="none" w:sz="0" w:space="0" w:color="auto"/>
                    <w:right w:val="none" w:sz="0" w:space="0" w:color="auto"/>
                  </w:divBdr>
                  <w:divsChild>
                    <w:div w:id="507017807">
                      <w:marLeft w:val="0"/>
                      <w:marRight w:val="0"/>
                      <w:marTop w:val="0"/>
                      <w:marBottom w:val="0"/>
                      <w:divBdr>
                        <w:top w:val="none" w:sz="0" w:space="0" w:color="auto"/>
                        <w:left w:val="none" w:sz="0" w:space="0" w:color="auto"/>
                        <w:bottom w:val="none" w:sz="0" w:space="0" w:color="auto"/>
                        <w:right w:val="none" w:sz="0" w:space="0" w:color="auto"/>
                      </w:divBdr>
                      <w:divsChild>
                        <w:div w:id="329989378">
                          <w:marLeft w:val="0"/>
                          <w:marRight w:val="0"/>
                          <w:marTop w:val="0"/>
                          <w:marBottom w:val="0"/>
                          <w:divBdr>
                            <w:top w:val="none" w:sz="0" w:space="0" w:color="auto"/>
                            <w:left w:val="none" w:sz="0" w:space="0" w:color="auto"/>
                            <w:bottom w:val="none" w:sz="0" w:space="0" w:color="auto"/>
                            <w:right w:val="none" w:sz="0" w:space="0" w:color="auto"/>
                          </w:divBdr>
                          <w:divsChild>
                            <w:div w:id="2085105391">
                              <w:marLeft w:val="0"/>
                              <w:marRight w:val="0"/>
                              <w:marTop w:val="0"/>
                              <w:marBottom w:val="0"/>
                              <w:divBdr>
                                <w:top w:val="none" w:sz="0" w:space="0" w:color="auto"/>
                                <w:left w:val="none" w:sz="0" w:space="0" w:color="auto"/>
                                <w:bottom w:val="none" w:sz="0" w:space="0" w:color="auto"/>
                                <w:right w:val="none" w:sz="0" w:space="0" w:color="auto"/>
                              </w:divBdr>
                              <w:divsChild>
                                <w:div w:id="1965845124">
                                  <w:marLeft w:val="0"/>
                                  <w:marRight w:val="0"/>
                                  <w:marTop w:val="0"/>
                                  <w:marBottom w:val="0"/>
                                  <w:divBdr>
                                    <w:top w:val="none" w:sz="0" w:space="0" w:color="auto"/>
                                    <w:left w:val="none" w:sz="0" w:space="0" w:color="auto"/>
                                    <w:bottom w:val="none" w:sz="0" w:space="0" w:color="auto"/>
                                    <w:right w:val="none" w:sz="0" w:space="0" w:color="auto"/>
                                  </w:divBdr>
                                  <w:divsChild>
                                    <w:div w:id="1718504823">
                                      <w:marLeft w:val="0"/>
                                      <w:marRight w:val="0"/>
                                      <w:marTop w:val="0"/>
                                      <w:marBottom w:val="0"/>
                                      <w:divBdr>
                                        <w:top w:val="none" w:sz="0" w:space="0" w:color="auto"/>
                                        <w:left w:val="none" w:sz="0" w:space="0" w:color="auto"/>
                                        <w:bottom w:val="none" w:sz="0" w:space="0" w:color="auto"/>
                                        <w:right w:val="none" w:sz="0" w:space="0" w:color="auto"/>
                                      </w:divBdr>
                                      <w:divsChild>
                                        <w:div w:id="137697107">
                                          <w:marLeft w:val="0"/>
                                          <w:marRight w:val="0"/>
                                          <w:marTop w:val="0"/>
                                          <w:marBottom w:val="0"/>
                                          <w:divBdr>
                                            <w:top w:val="none" w:sz="0" w:space="0" w:color="auto"/>
                                            <w:left w:val="none" w:sz="0" w:space="0" w:color="auto"/>
                                            <w:bottom w:val="none" w:sz="0" w:space="0" w:color="auto"/>
                                            <w:right w:val="none" w:sz="0" w:space="0" w:color="auto"/>
                                          </w:divBdr>
                                          <w:divsChild>
                                            <w:div w:id="661350547">
                                              <w:marLeft w:val="0"/>
                                              <w:marRight w:val="0"/>
                                              <w:marTop w:val="0"/>
                                              <w:marBottom w:val="0"/>
                                              <w:divBdr>
                                                <w:top w:val="none" w:sz="0" w:space="0" w:color="auto"/>
                                                <w:left w:val="none" w:sz="0" w:space="0" w:color="auto"/>
                                                <w:bottom w:val="none" w:sz="0" w:space="0" w:color="auto"/>
                                                <w:right w:val="none" w:sz="0" w:space="0" w:color="auto"/>
                                              </w:divBdr>
                                              <w:divsChild>
                                                <w:div w:id="603458638">
                                                  <w:marLeft w:val="0"/>
                                                  <w:marRight w:val="0"/>
                                                  <w:marTop w:val="0"/>
                                                  <w:marBottom w:val="0"/>
                                                  <w:divBdr>
                                                    <w:top w:val="none" w:sz="0" w:space="0" w:color="auto"/>
                                                    <w:left w:val="none" w:sz="0" w:space="0" w:color="auto"/>
                                                    <w:bottom w:val="none" w:sz="0" w:space="0" w:color="auto"/>
                                                    <w:right w:val="none" w:sz="0" w:space="0" w:color="auto"/>
                                                  </w:divBdr>
                                                  <w:divsChild>
                                                    <w:div w:id="694841456">
                                                      <w:marLeft w:val="0"/>
                                                      <w:marRight w:val="0"/>
                                                      <w:marTop w:val="0"/>
                                                      <w:marBottom w:val="0"/>
                                                      <w:divBdr>
                                                        <w:top w:val="none" w:sz="0" w:space="0" w:color="auto"/>
                                                        <w:left w:val="none" w:sz="0" w:space="0" w:color="auto"/>
                                                        <w:bottom w:val="none" w:sz="0" w:space="0" w:color="auto"/>
                                                        <w:right w:val="none" w:sz="0" w:space="0" w:color="auto"/>
                                                      </w:divBdr>
                                                      <w:divsChild>
                                                        <w:div w:id="558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5946713">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1CC9E17-AC38-4EBA-9DEB-A721DD402B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8EC77CC8889C84DA317CF11F9D331B6" ma:contentTypeVersion="" ma:contentTypeDescription="PDMS Document Site Content Type" ma:contentTypeScope="" ma:versionID="2500836194d2784c1501f56fe93a8127">
  <xsd:schema xmlns:xsd="http://www.w3.org/2001/XMLSchema" xmlns:xs="http://www.w3.org/2001/XMLSchema" xmlns:p="http://schemas.microsoft.com/office/2006/metadata/properties" xmlns:ns2="41CC9E17-AC38-4EBA-9DEB-A721DD402BCA" targetNamespace="http://schemas.microsoft.com/office/2006/metadata/properties" ma:root="true" ma:fieldsID="b0853c3c5cbf1b60a3df27a08d33c618" ns2:_="">
    <xsd:import namespace="41CC9E17-AC38-4EBA-9DEB-A721DD402B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C9E17-AC38-4EBA-9DEB-A721DD402B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ECBBF-2110-4842-9B78-8218AC8CA4B5}">
  <ds:schemaRefs>
    <ds:schemaRef ds:uri="http://schemas.microsoft.com/office/2006/documentManagement/types"/>
    <ds:schemaRef ds:uri="http://purl.org/dc/dcmitype/"/>
    <ds:schemaRef ds:uri="http://purl.org/dc/elements/1.1/"/>
    <ds:schemaRef ds:uri="http://schemas.microsoft.com/office/2006/metadata/properties"/>
    <ds:schemaRef ds:uri="41CC9E17-AC38-4EBA-9DEB-A721DD402BCA"/>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DAF61A6-65B6-4B6E-85A0-3F78CDAF0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C9E17-AC38-4EBA-9DEB-A721DD402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D42AA-BEA2-4F32-863A-B23AEF0BD75F}">
  <ds:schemaRefs>
    <ds:schemaRef ds:uri="http://schemas.openxmlformats.org/officeDocument/2006/bibliography"/>
  </ds:schemaRefs>
</ds:datastoreItem>
</file>

<file path=customXml/itemProps4.xml><?xml version="1.0" encoding="utf-8"?>
<ds:datastoreItem xmlns:ds="http://schemas.openxmlformats.org/officeDocument/2006/customXml" ds:itemID="{4AF4C3CE-A86A-4EEF-A18F-B6DD1FFAE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1712</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NOWLAND,Samuel</cp:lastModifiedBy>
  <cp:revision>2</cp:revision>
  <cp:lastPrinted>2018-11-08T01:19:00Z</cp:lastPrinted>
  <dcterms:created xsi:type="dcterms:W3CDTF">2022-09-02T01:11:00Z</dcterms:created>
  <dcterms:modified xsi:type="dcterms:W3CDTF">2022-09-02T01:11:00Z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0x010100266966F133664895A6EE3632470D45F500F8EC77CC8889C84DA317CF11F9D331B6</vt:lpwstr>
  </property>
  <property fmtid="{D5CDD505-2E9C-101B-9397-08002B2CF9AE}" pid="7" name="MSIP_Label_79d889eb-932f-4752-8739-64d25806ef64_Enabled">
    <vt:lpwstr>true</vt:lpwstr>
  </property>
  <property fmtid="{D5CDD505-2E9C-101B-9397-08002B2CF9AE}" pid="8" name="MSIP_Label_79d889eb-932f-4752-8739-64d25806ef64_SetDate">
    <vt:lpwstr>2022-05-02T04:48:51Z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bcf2bc69-e0e4-4659-9353-dd4941dad4b9</vt:lpwstr>
  </property>
  <property fmtid="{D5CDD505-2E9C-101B-9397-08002B2CF9AE}" pid="13" name="MSIP_Label_79d889eb-932f-4752-8739-64d25806ef64_ContentBits">
    <vt:lpwstr>0</vt:lpwstr>
  </property>
</Properties>
</file>