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69643" w14:textId="77777777" w:rsidR="0007553F" w:rsidRPr="001A3096" w:rsidRDefault="0007553F" w:rsidP="0007553F">
      <w:pPr>
        <w:jc w:val="center"/>
        <w:rPr>
          <w:b/>
          <w:u w:val="single"/>
        </w:rPr>
      </w:pPr>
      <w:r w:rsidRPr="001A3096">
        <w:rPr>
          <w:b/>
          <w:u w:val="single"/>
        </w:rPr>
        <w:t>EXPLANATORY STATEMENT</w:t>
      </w:r>
    </w:p>
    <w:p w14:paraId="692F3E36" w14:textId="77777777" w:rsidR="0007553F" w:rsidRPr="001A3096" w:rsidRDefault="0007553F" w:rsidP="0007553F">
      <w:pPr>
        <w:jc w:val="center"/>
        <w:rPr>
          <w:b/>
          <w:u w:val="single"/>
        </w:rPr>
      </w:pPr>
    </w:p>
    <w:p w14:paraId="54728E75" w14:textId="5BE65BB2" w:rsidR="0007553F" w:rsidRPr="001A3096" w:rsidRDefault="0007553F" w:rsidP="0007553F">
      <w:pPr>
        <w:jc w:val="center"/>
        <w:rPr>
          <w:b/>
        </w:rPr>
      </w:pPr>
      <w:r w:rsidRPr="001A3096">
        <w:rPr>
          <w:b/>
        </w:rPr>
        <w:t xml:space="preserve">Issued by the authority of the Minister for Aged Care </w:t>
      </w:r>
    </w:p>
    <w:p w14:paraId="49D00D79" w14:textId="77777777" w:rsidR="0007553F" w:rsidRPr="001A3096" w:rsidRDefault="0007553F" w:rsidP="0007553F">
      <w:pPr>
        <w:jc w:val="center"/>
        <w:rPr>
          <w:b/>
          <w:i/>
        </w:rPr>
      </w:pPr>
    </w:p>
    <w:p w14:paraId="4DA1B52C" w14:textId="77777777" w:rsidR="0007553F" w:rsidRPr="001A3096" w:rsidRDefault="0007553F" w:rsidP="0007553F">
      <w:pPr>
        <w:jc w:val="center"/>
        <w:rPr>
          <w:b/>
          <w:i/>
        </w:rPr>
      </w:pPr>
      <w:r w:rsidRPr="001A3096">
        <w:rPr>
          <w:b/>
          <w:i/>
        </w:rPr>
        <w:t>Aged Care Act 1997</w:t>
      </w:r>
    </w:p>
    <w:p w14:paraId="4FB02722" w14:textId="77777777" w:rsidR="0007553F" w:rsidRPr="001A3096" w:rsidRDefault="0007553F" w:rsidP="0007553F">
      <w:pPr>
        <w:rPr>
          <w:b/>
        </w:rPr>
      </w:pPr>
    </w:p>
    <w:p w14:paraId="33DA2E80" w14:textId="77777777" w:rsidR="0007553F" w:rsidRPr="001A3096" w:rsidRDefault="0007553F" w:rsidP="0007553F">
      <w:pPr>
        <w:jc w:val="center"/>
        <w:rPr>
          <w:b/>
          <w:i/>
        </w:rPr>
      </w:pPr>
      <w:r w:rsidRPr="001A3096">
        <w:rPr>
          <w:b/>
          <w:i/>
        </w:rPr>
        <w:t>Aged Care Legislation Amendment (Financial Information) Principles 2022</w:t>
      </w:r>
    </w:p>
    <w:p w14:paraId="5436B499" w14:textId="77777777" w:rsidR="0007553F" w:rsidRPr="001A3096" w:rsidRDefault="0007553F" w:rsidP="0007553F">
      <w:pPr>
        <w:jc w:val="center"/>
      </w:pPr>
    </w:p>
    <w:p w14:paraId="51BB3217" w14:textId="77777777" w:rsidR="0007553F" w:rsidRPr="001A3096" w:rsidRDefault="0007553F" w:rsidP="0007553F">
      <w:pPr>
        <w:rPr>
          <w:b/>
        </w:rPr>
      </w:pPr>
      <w:r w:rsidRPr="001A3096">
        <w:rPr>
          <w:b/>
        </w:rPr>
        <w:t>Purpose</w:t>
      </w:r>
    </w:p>
    <w:p w14:paraId="157D7466" w14:textId="77777777" w:rsidR="0007553F" w:rsidRPr="001A3096" w:rsidRDefault="0007553F" w:rsidP="0007553F">
      <w:pPr>
        <w:rPr>
          <w:u w:val="single"/>
        </w:rPr>
      </w:pPr>
    </w:p>
    <w:p w14:paraId="08E730F2" w14:textId="77777777" w:rsidR="0007553F" w:rsidRPr="001A3096" w:rsidRDefault="0007553F" w:rsidP="0007553F">
      <w:pPr>
        <w:jc w:val="both"/>
      </w:pPr>
      <w:r w:rsidRPr="001A3096">
        <w:t xml:space="preserve">The purpose of the </w:t>
      </w:r>
      <w:r w:rsidRPr="001A3096">
        <w:rPr>
          <w:i/>
        </w:rPr>
        <w:t xml:space="preserve">Aged Care Legislation Amendment (Financial Information) Principles 2022 </w:t>
      </w:r>
      <w:r w:rsidRPr="001A3096">
        <w:rPr>
          <w:iCs/>
        </w:rPr>
        <w:t xml:space="preserve">(Amendment Principles) </w:t>
      </w:r>
      <w:r w:rsidRPr="001A3096">
        <w:t xml:space="preserve">is to </w:t>
      </w:r>
      <w:bookmarkStart w:id="0" w:name="_Hlk75784200"/>
      <w:r w:rsidRPr="001A3096">
        <w:t>amend the:</w:t>
      </w:r>
    </w:p>
    <w:p w14:paraId="284D56C2" w14:textId="77777777" w:rsidR="0007553F" w:rsidRPr="001A3096" w:rsidRDefault="0007553F" w:rsidP="0007553F">
      <w:pPr>
        <w:jc w:val="both"/>
      </w:pPr>
    </w:p>
    <w:p w14:paraId="3A0615B6" w14:textId="77777777" w:rsidR="0007553F" w:rsidRPr="001A3096" w:rsidRDefault="0007553F" w:rsidP="0007553F">
      <w:pPr>
        <w:numPr>
          <w:ilvl w:val="0"/>
          <w:numId w:val="2"/>
        </w:numPr>
        <w:jc w:val="both"/>
      </w:pPr>
      <w:r w:rsidRPr="001A3096">
        <w:rPr>
          <w:i/>
        </w:rPr>
        <w:t xml:space="preserve">Accountability Principles 2014 </w:t>
      </w:r>
      <w:r w:rsidRPr="001A3096">
        <w:rPr>
          <w:iCs/>
        </w:rPr>
        <w:t>(Accountability Principles</w:t>
      </w:r>
      <w:proofErr w:type="gramStart"/>
      <w:r w:rsidRPr="001A3096">
        <w:rPr>
          <w:iCs/>
        </w:rPr>
        <w:t>);</w:t>
      </w:r>
      <w:proofErr w:type="gramEnd"/>
    </w:p>
    <w:p w14:paraId="167BBAAA" w14:textId="77777777" w:rsidR="0007553F" w:rsidRPr="001A3096" w:rsidRDefault="0007553F" w:rsidP="0007553F">
      <w:pPr>
        <w:numPr>
          <w:ilvl w:val="0"/>
          <w:numId w:val="2"/>
        </w:numPr>
        <w:jc w:val="both"/>
      </w:pPr>
      <w:r w:rsidRPr="001A3096">
        <w:rPr>
          <w:i/>
        </w:rPr>
        <w:t xml:space="preserve">Fees and Payments Principles 2014 </w:t>
      </w:r>
      <w:r w:rsidRPr="001A3096">
        <w:rPr>
          <w:iCs/>
        </w:rPr>
        <w:t>(Fees and Payments Principles); and</w:t>
      </w:r>
    </w:p>
    <w:p w14:paraId="23B4D38B" w14:textId="77777777" w:rsidR="0007553F" w:rsidRPr="001A3096" w:rsidRDefault="0007553F" w:rsidP="0007553F">
      <w:pPr>
        <w:numPr>
          <w:ilvl w:val="0"/>
          <w:numId w:val="2"/>
        </w:numPr>
        <w:jc w:val="both"/>
      </w:pPr>
      <w:r w:rsidRPr="001A3096">
        <w:rPr>
          <w:i/>
        </w:rPr>
        <w:t>Information Principles 2014</w:t>
      </w:r>
      <w:r w:rsidRPr="001A3096">
        <w:rPr>
          <w:iCs/>
        </w:rPr>
        <w:t xml:space="preserve"> (Information Principles),</w:t>
      </w:r>
    </w:p>
    <w:p w14:paraId="6B242F6B" w14:textId="77777777" w:rsidR="0007553F" w:rsidRPr="001A3096" w:rsidRDefault="0007553F" w:rsidP="0007553F">
      <w:pPr>
        <w:jc w:val="both"/>
      </w:pPr>
    </w:p>
    <w:p w14:paraId="663C175A" w14:textId="7943765B" w:rsidR="0007553F" w:rsidRPr="001A3096" w:rsidRDefault="0007553F" w:rsidP="0007553F">
      <w:pPr>
        <w:jc w:val="both"/>
      </w:pPr>
      <w:bookmarkStart w:id="1" w:name="_Hlk107304064"/>
      <w:r w:rsidRPr="001A3096">
        <w:t xml:space="preserve">to improve the accuracy and frequency of financial reporting to the Australian Government (Government) by approved providers of aged care; increase transparency of approved providers’ financial information available to the public, including </w:t>
      </w:r>
      <w:r w:rsidR="005315D5" w:rsidRPr="001A3096">
        <w:t xml:space="preserve">to </w:t>
      </w:r>
      <w:r w:rsidR="004D6A36" w:rsidRPr="001A3096">
        <w:t>care recipients</w:t>
      </w:r>
      <w:r w:rsidRPr="001A3096">
        <w:t xml:space="preserve">; and clarify existing legislation. These amendments seek to </w:t>
      </w:r>
      <w:r w:rsidR="000B51CF" w:rsidRPr="001A3096">
        <w:t xml:space="preserve">improve Government oversight </w:t>
      </w:r>
      <w:r w:rsidRPr="001A3096">
        <w:t>of</w:t>
      </w:r>
      <w:r w:rsidR="006E5099" w:rsidRPr="001A3096">
        <w:t xml:space="preserve"> approved</w:t>
      </w:r>
      <w:r w:rsidRPr="001A3096">
        <w:t xml:space="preserve"> provider</w:t>
      </w:r>
      <w:r w:rsidR="000B51CF" w:rsidRPr="001A3096">
        <w:t>’</w:t>
      </w:r>
      <w:r w:rsidRPr="001A3096">
        <w:t xml:space="preserve">s </w:t>
      </w:r>
      <w:r w:rsidR="000B51CF" w:rsidRPr="001A3096">
        <w:t>financial viability risks, reduce</w:t>
      </w:r>
      <w:r w:rsidR="003E7381" w:rsidRPr="001A3096">
        <w:t xml:space="preserve"> the risk of</w:t>
      </w:r>
      <w:r w:rsidR="000B51CF" w:rsidRPr="001A3096">
        <w:t xml:space="preserve"> approved providers</w:t>
      </w:r>
      <w:r w:rsidR="003E7381" w:rsidRPr="001A3096">
        <w:t xml:space="preserve"> </w:t>
      </w:r>
      <w:r w:rsidR="006E5099" w:rsidRPr="001A3096">
        <w:t xml:space="preserve">becoming non-compliant with their responsibilities under the </w:t>
      </w:r>
      <w:r w:rsidR="006E5099" w:rsidRPr="001A3096">
        <w:rPr>
          <w:i/>
          <w:iCs/>
        </w:rPr>
        <w:t xml:space="preserve">Aged Care Act 1997 </w:t>
      </w:r>
      <w:r w:rsidR="006E5099" w:rsidRPr="001A3096">
        <w:t>(Act)</w:t>
      </w:r>
      <w:r w:rsidRPr="001A3096">
        <w:t>,</w:t>
      </w:r>
      <w:r w:rsidR="006E5099" w:rsidRPr="001A3096">
        <w:t xml:space="preserve"> and</w:t>
      </w:r>
      <w:r w:rsidRPr="001A3096">
        <w:t xml:space="preserve"> to</w:t>
      </w:r>
      <w:r w:rsidR="006E5099" w:rsidRPr="001A3096">
        <w:t xml:space="preserve"> increase</w:t>
      </w:r>
      <w:r w:rsidRPr="001A3096">
        <w:t xml:space="preserve"> </w:t>
      </w:r>
      <w:r w:rsidR="004D6A36" w:rsidRPr="001A3096">
        <w:t xml:space="preserve">care recipient </w:t>
      </w:r>
      <w:r w:rsidRPr="001A3096">
        <w:t>choice through greater financial transparency of the sector.</w:t>
      </w:r>
    </w:p>
    <w:bookmarkEnd w:id="0"/>
    <w:bookmarkEnd w:id="1"/>
    <w:p w14:paraId="2A58BEB9" w14:textId="77777777" w:rsidR="0007553F" w:rsidRPr="001A3096" w:rsidRDefault="0007553F" w:rsidP="0007553F">
      <w:pPr>
        <w:jc w:val="both"/>
      </w:pPr>
    </w:p>
    <w:p w14:paraId="29998FAF" w14:textId="77777777" w:rsidR="0007553F" w:rsidRPr="001A3096" w:rsidRDefault="0007553F" w:rsidP="0007553F">
      <w:pPr>
        <w:jc w:val="both"/>
      </w:pPr>
      <w:r w:rsidRPr="001A3096">
        <w:t xml:space="preserve">The Amendment Principles are a legislative instrument for the purposes of the </w:t>
      </w:r>
      <w:r w:rsidRPr="001A3096">
        <w:rPr>
          <w:i/>
          <w:iCs/>
        </w:rPr>
        <w:t>Legislation Act 2003</w:t>
      </w:r>
      <w:r w:rsidRPr="001A3096">
        <w:t>. Details of the Amendment Principles are set out in the Attachment below.</w:t>
      </w:r>
    </w:p>
    <w:p w14:paraId="0329E333" w14:textId="77777777" w:rsidR="0007553F" w:rsidRPr="001A3096" w:rsidRDefault="0007553F" w:rsidP="0007553F">
      <w:pPr>
        <w:jc w:val="both"/>
      </w:pPr>
    </w:p>
    <w:p w14:paraId="78FDDEF6" w14:textId="77777777" w:rsidR="0007553F" w:rsidRPr="001A3096" w:rsidRDefault="0007553F" w:rsidP="0007553F">
      <w:pPr>
        <w:jc w:val="both"/>
        <w:rPr>
          <w:b/>
        </w:rPr>
      </w:pPr>
      <w:r w:rsidRPr="001A3096">
        <w:rPr>
          <w:b/>
        </w:rPr>
        <w:t>Background</w:t>
      </w:r>
    </w:p>
    <w:p w14:paraId="3E5F6F7E" w14:textId="77777777" w:rsidR="0007553F" w:rsidRPr="001A3096" w:rsidRDefault="0007553F" w:rsidP="0007553F">
      <w:pPr>
        <w:jc w:val="both"/>
      </w:pPr>
    </w:p>
    <w:p w14:paraId="6E45035F" w14:textId="77777777" w:rsidR="0007553F" w:rsidRPr="001A3096" w:rsidRDefault="0007553F" w:rsidP="0007553F">
      <w:pPr>
        <w:jc w:val="both"/>
      </w:pPr>
      <w:r w:rsidRPr="001A3096">
        <w:t xml:space="preserve">The Act provides for the regulation and funding of aged care services. Persons who are approved under the Act to provide aged care services (approved providers) can be eligible to receive subsidy payments in respect of the care they provide to approved care recipients. </w:t>
      </w:r>
    </w:p>
    <w:p w14:paraId="689F421B" w14:textId="77777777" w:rsidR="0007553F" w:rsidRPr="001A3096" w:rsidRDefault="0007553F" w:rsidP="0007553F">
      <w:pPr>
        <w:jc w:val="both"/>
      </w:pPr>
    </w:p>
    <w:p w14:paraId="40B7E38B" w14:textId="21659365" w:rsidR="0007553F" w:rsidRPr="001A3096" w:rsidRDefault="0007553F" w:rsidP="0007553F">
      <w:pPr>
        <w:jc w:val="both"/>
      </w:pPr>
      <w:r w:rsidRPr="001A3096">
        <w:t xml:space="preserve">As part of the 2021-22 Budget, a new financial and prudential monitoring, </w:t>
      </w:r>
      <w:proofErr w:type="gramStart"/>
      <w:r w:rsidRPr="001A3096">
        <w:t>compliance</w:t>
      </w:r>
      <w:proofErr w:type="gramEnd"/>
      <w:r w:rsidRPr="001A3096">
        <w:t xml:space="preserve"> and intervention framework (the Framework) </w:t>
      </w:r>
      <w:r w:rsidR="00DE48AC" w:rsidRPr="001A3096">
        <w:t xml:space="preserve">was announced </w:t>
      </w:r>
      <w:r w:rsidRPr="001A3096">
        <w:t xml:space="preserve">for approved providers of aged care services. The Framework is designed to increase government oversight </w:t>
      </w:r>
      <w:r w:rsidR="00FF570F" w:rsidRPr="001A3096">
        <w:t xml:space="preserve">and transparency </w:t>
      </w:r>
      <w:r w:rsidRPr="001A3096">
        <w:t>of approved providers’ financial performance, improve the financial resilience of the sector, and enhance the Government’s intervention powers to ensure</w:t>
      </w:r>
      <w:r w:rsidR="006E5099" w:rsidRPr="001A3096">
        <w:t xml:space="preserve"> approved</w:t>
      </w:r>
      <w:r w:rsidRPr="001A3096">
        <w:t xml:space="preserve"> providers that are financially underperforming either improve or exit the market. </w:t>
      </w:r>
      <w:r w:rsidR="001869C3" w:rsidRPr="001A3096">
        <w:t xml:space="preserve">The Framework is being implemented over three phases. </w:t>
      </w:r>
      <w:r w:rsidRPr="001A3096">
        <w:t>The Amendment Principles implement the subordinate legislative amendments of the second phase of the Framework, including amendments to:</w:t>
      </w:r>
    </w:p>
    <w:p w14:paraId="69A12E40" w14:textId="77777777" w:rsidR="0007553F" w:rsidRPr="001A3096" w:rsidRDefault="0007553F" w:rsidP="0007553F">
      <w:pPr>
        <w:jc w:val="both"/>
      </w:pPr>
    </w:p>
    <w:p w14:paraId="67783686" w14:textId="36A021C6" w:rsidR="0007553F" w:rsidRPr="001A3096" w:rsidRDefault="0007553F" w:rsidP="0007553F">
      <w:pPr>
        <w:numPr>
          <w:ilvl w:val="0"/>
          <w:numId w:val="3"/>
        </w:numPr>
        <w:jc w:val="both"/>
      </w:pPr>
      <w:r w:rsidRPr="001A3096">
        <w:t>Introduce more frequent quarterly financial reporting</w:t>
      </w:r>
      <w:r w:rsidR="00B235DF" w:rsidRPr="001A3096">
        <w:t>, which</w:t>
      </w:r>
      <w:r w:rsidRPr="001A3096">
        <w:t xml:space="preserve"> will provide the Government with more </w:t>
      </w:r>
      <w:r w:rsidR="001869C3" w:rsidRPr="001A3096">
        <w:t>timely information on</w:t>
      </w:r>
      <w:r w:rsidRPr="001A3096">
        <w:t xml:space="preserve"> the financial viability of the sector. Approved providers currently report financial information to the Department of </w:t>
      </w:r>
      <w:r w:rsidRPr="001A3096">
        <w:lastRenderedPageBreak/>
        <w:t>Health</w:t>
      </w:r>
      <w:r w:rsidR="00E8281C" w:rsidRPr="001A3096">
        <w:t xml:space="preserve"> </w:t>
      </w:r>
      <w:r w:rsidR="009355DB" w:rsidRPr="001A3096">
        <w:t xml:space="preserve">and Aged Care </w:t>
      </w:r>
      <w:r w:rsidR="00E8281C" w:rsidRPr="001A3096">
        <w:t>(department)</w:t>
      </w:r>
      <w:r w:rsidRPr="001A3096">
        <w:t xml:space="preserve"> annually, four months after the end of their financial year. This means that at certain times, the Government may be reliant on financial information that is up to 16 months old. </w:t>
      </w:r>
    </w:p>
    <w:p w14:paraId="09D09464" w14:textId="68408E7A" w:rsidR="0007553F" w:rsidRPr="001A3096" w:rsidRDefault="0007553F" w:rsidP="0007553F">
      <w:pPr>
        <w:numPr>
          <w:ilvl w:val="0"/>
          <w:numId w:val="3"/>
        </w:numPr>
        <w:jc w:val="both"/>
      </w:pPr>
      <w:r w:rsidRPr="001A3096">
        <w:t xml:space="preserve">Increase financial information available to the public, </w:t>
      </w:r>
      <w:r w:rsidR="00B235DF" w:rsidRPr="001A3096">
        <w:t>including</w:t>
      </w:r>
      <w:r w:rsidRPr="001A3096">
        <w:t xml:space="preserve"> current and prospective care recipients</w:t>
      </w:r>
      <w:r w:rsidR="00B235DF" w:rsidRPr="001A3096">
        <w:t xml:space="preserve">, </w:t>
      </w:r>
      <w:r w:rsidR="00320A9F" w:rsidRPr="001A3096">
        <w:t>by providing the Secretary with the discretion to publish specifi</w:t>
      </w:r>
      <w:r w:rsidR="007B0D8B" w:rsidRPr="001A3096">
        <w:t>ed</w:t>
      </w:r>
      <w:r w:rsidR="00320A9F" w:rsidRPr="001A3096">
        <w:t xml:space="preserve"> financial information. This is done</w:t>
      </w:r>
      <w:r w:rsidR="00B235DF" w:rsidRPr="001A3096">
        <w:t xml:space="preserve"> with the aim of</w:t>
      </w:r>
      <w:r w:rsidRPr="001A3096">
        <w:t xml:space="preserve"> improv</w:t>
      </w:r>
      <w:r w:rsidR="00B235DF" w:rsidRPr="001A3096">
        <w:t>ing</w:t>
      </w:r>
      <w:r w:rsidRPr="001A3096">
        <w:t xml:space="preserve"> transparency </w:t>
      </w:r>
      <w:r w:rsidR="001D29D2" w:rsidRPr="001A3096">
        <w:t xml:space="preserve">to assist </w:t>
      </w:r>
      <w:r w:rsidRPr="001A3096">
        <w:t>older Australians and their families to make more informed choices about aged care services.</w:t>
      </w:r>
    </w:p>
    <w:p w14:paraId="21D96E69" w14:textId="77777777" w:rsidR="0007553F" w:rsidRPr="001A3096" w:rsidRDefault="00B235DF" w:rsidP="0007553F">
      <w:pPr>
        <w:numPr>
          <w:ilvl w:val="0"/>
          <w:numId w:val="3"/>
        </w:numPr>
        <w:jc w:val="both"/>
      </w:pPr>
      <w:r w:rsidRPr="001A3096">
        <w:t xml:space="preserve">Clarify the law in relation to the use of refundable deposits and accommodation bonds for capital expenditure. </w:t>
      </w:r>
      <w:r w:rsidR="0007553F" w:rsidRPr="001A3096">
        <w:t>For capital expenditure made with a refundable deposit or accommodation bond to be permitted</w:t>
      </w:r>
      <w:r w:rsidRPr="001A3096">
        <w:t>, the expenditure</w:t>
      </w:r>
      <w:r w:rsidR="0007553F" w:rsidRPr="001A3096">
        <w:t xml:space="preserve"> must comply with all requirements at section 62 of the Fees and Payments Principles. </w:t>
      </w:r>
    </w:p>
    <w:p w14:paraId="2D6D80D2" w14:textId="77777777" w:rsidR="0007553F" w:rsidRPr="001A3096" w:rsidRDefault="0007553F" w:rsidP="0007553F">
      <w:pPr>
        <w:ind w:left="360"/>
        <w:jc w:val="both"/>
      </w:pPr>
    </w:p>
    <w:p w14:paraId="5CF3C77D" w14:textId="77777777" w:rsidR="0007553F" w:rsidRPr="001A3096" w:rsidRDefault="0007553F" w:rsidP="0007553F">
      <w:pPr>
        <w:jc w:val="both"/>
        <w:rPr>
          <w:b/>
        </w:rPr>
      </w:pPr>
      <w:r w:rsidRPr="001A3096">
        <w:rPr>
          <w:b/>
        </w:rPr>
        <w:t xml:space="preserve">Authority </w:t>
      </w:r>
    </w:p>
    <w:p w14:paraId="0F38E007" w14:textId="77777777" w:rsidR="0007553F" w:rsidRPr="001A3096" w:rsidRDefault="0007553F" w:rsidP="0007553F">
      <w:pPr>
        <w:jc w:val="both"/>
      </w:pPr>
    </w:p>
    <w:p w14:paraId="13F72950" w14:textId="77777777" w:rsidR="0007553F" w:rsidRPr="001A3096" w:rsidRDefault="0007553F" w:rsidP="0007553F">
      <w:pPr>
        <w:pStyle w:val="ListParagraph"/>
        <w:ind w:left="0"/>
        <w:jc w:val="both"/>
        <w:rPr>
          <w:rFonts w:ascii="Times New Roman" w:eastAsia="Times New Roman" w:hAnsi="Times New Roman"/>
          <w:lang w:eastAsia="en-AU"/>
        </w:rPr>
      </w:pPr>
      <w:r w:rsidRPr="001A3096">
        <w:rPr>
          <w:rFonts w:ascii="Times New Roman" w:hAnsi="Times New Roman"/>
        </w:rPr>
        <w:t>Under section 96</w:t>
      </w:r>
      <w:r w:rsidRPr="001A3096">
        <w:rPr>
          <w:rFonts w:ascii="Times New Roman" w:hAnsi="Times New Roman"/>
        </w:rPr>
        <w:noBreakHyphen/>
        <w:t xml:space="preserve">1 of </w:t>
      </w:r>
      <w:r w:rsidRPr="001A3096">
        <w:rPr>
          <w:rFonts w:ascii="Times New Roman" w:hAnsi="Times New Roman"/>
          <w:lang w:val="en-AU"/>
        </w:rPr>
        <w:t>the Act, t</w:t>
      </w:r>
      <w:r w:rsidRPr="001A3096">
        <w:rPr>
          <w:rFonts w:ascii="Times New Roman" w:eastAsia="Times New Roman" w:hAnsi="Times New Roman"/>
          <w:lang w:val="en-AU" w:eastAsia="en-AU"/>
        </w:rPr>
        <w:t xml:space="preserve">he Minister can make Principles by legislative instrument. This is to provide for matters required or permitted by the corresponding Part or section of </w:t>
      </w:r>
      <w:r w:rsidRPr="001A3096">
        <w:rPr>
          <w:rFonts w:ascii="Times New Roman" w:hAnsi="Times New Roman"/>
          <w:lang w:val="en-AU"/>
        </w:rPr>
        <w:t>the Act</w:t>
      </w:r>
      <w:r w:rsidRPr="001A3096">
        <w:rPr>
          <w:rFonts w:ascii="Times New Roman" w:hAnsi="Times New Roman"/>
          <w:i/>
          <w:lang w:val="en-AU"/>
        </w:rPr>
        <w:t>,</w:t>
      </w:r>
      <w:r w:rsidRPr="001A3096">
        <w:rPr>
          <w:rFonts w:ascii="Times New Roman" w:eastAsia="Times New Roman" w:hAnsi="Times New Roman"/>
          <w:lang w:val="en-AU" w:eastAsia="en-AU"/>
        </w:rPr>
        <w:t xml:space="preserve"> or that are necessary or convenient </w:t>
      </w:r>
      <w:proofErr w:type="gramStart"/>
      <w:r w:rsidRPr="001A3096">
        <w:rPr>
          <w:rFonts w:ascii="Times New Roman" w:eastAsia="Times New Roman" w:hAnsi="Times New Roman"/>
          <w:lang w:val="en-AU" w:eastAsia="en-AU"/>
        </w:rPr>
        <w:t>in order to</w:t>
      </w:r>
      <w:proofErr w:type="gramEnd"/>
      <w:r w:rsidRPr="001A3096">
        <w:rPr>
          <w:rFonts w:ascii="Times New Roman" w:eastAsia="Times New Roman" w:hAnsi="Times New Roman"/>
          <w:lang w:val="en-AU" w:eastAsia="en-AU"/>
        </w:rPr>
        <w:t xml:space="preserve"> carry out or give effect to that Part or section of the Act.</w:t>
      </w:r>
    </w:p>
    <w:p w14:paraId="0BF8A175" w14:textId="77777777" w:rsidR="0007553F" w:rsidRPr="001A3096" w:rsidRDefault="0007553F" w:rsidP="0007553F">
      <w:pPr>
        <w:rPr>
          <w:u w:val="single"/>
        </w:rPr>
      </w:pPr>
    </w:p>
    <w:p w14:paraId="5C56AC3E" w14:textId="77777777" w:rsidR="0007553F" w:rsidRPr="001A3096" w:rsidRDefault="0007553F" w:rsidP="0007553F">
      <w:pPr>
        <w:shd w:val="clear" w:color="auto" w:fill="FFFFFF"/>
        <w:rPr>
          <w:color w:val="000000"/>
        </w:rPr>
      </w:pPr>
      <w:r w:rsidRPr="001A3096">
        <w:rPr>
          <w:b/>
          <w:bCs/>
          <w:color w:val="000000"/>
        </w:rPr>
        <w:t>Reliance on subsection 33(3) of the </w:t>
      </w:r>
      <w:r w:rsidRPr="001A3096">
        <w:rPr>
          <w:b/>
          <w:bCs/>
          <w:i/>
          <w:iCs/>
          <w:color w:val="000000"/>
        </w:rPr>
        <w:t>Acts Interpretation Act 1901</w:t>
      </w:r>
    </w:p>
    <w:p w14:paraId="041A9CD8" w14:textId="77777777" w:rsidR="0007553F" w:rsidRPr="001A3096" w:rsidRDefault="0007553F" w:rsidP="0007553F">
      <w:pPr>
        <w:shd w:val="clear" w:color="auto" w:fill="FFFFFF"/>
        <w:jc w:val="both"/>
        <w:rPr>
          <w:color w:val="000000"/>
        </w:rPr>
      </w:pPr>
      <w:r w:rsidRPr="001A3096">
        <w:rPr>
          <w:color w:val="000000"/>
        </w:rPr>
        <w:t>Under subsection 33(3) of the </w:t>
      </w:r>
      <w:r w:rsidRPr="001A3096">
        <w:rPr>
          <w:i/>
          <w:iCs/>
          <w:color w:val="000000"/>
        </w:rPr>
        <w:t>Acts Interpretation Act 1901</w:t>
      </w:r>
      <w:r w:rsidRPr="001A3096">
        <w:rPr>
          <w:color w:val="000000"/>
        </w:rPr>
        <w:t xml:space="preserve">, where an Act confers a power to make, grant or issue any instrument of a legislative or administrative character (including rules, </w:t>
      </w:r>
      <w:proofErr w:type="gramStart"/>
      <w:r w:rsidRPr="001A3096">
        <w:rPr>
          <w:color w:val="000000"/>
        </w:rPr>
        <w:t>regulations</w:t>
      </w:r>
      <w:proofErr w:type="gramEnd"/>
      <w:r w:rsidRPr="001A3096">
        <w:rPr>
          <w:color w:val="000000"/>
        </w:rPr>
        <w:t xml:space="preserve"> or by-laws), the power shall be construed as including a power exercisable in the like manner and subject to the like conditions (if any) to repeal, rescind, revoke, amend, or vary any such instrument.</w:t>
      </w:r>
    </w:p>
    <w:p w14:paraId="0BFFC78A" w14:textId="77777777" w:rsidR="0007553F" w:rsidRPr="001A3096" w:rsidRDefault="0007553F" w:rsidP="0007553F">
      <w:pPr>
        <w:rPr>
          <w:u w:val="single"/>
        </w:rPr>
      </w:pPr>
    </w:p>
    <w:p w14:paraId="6E96AE08" w14:textId="77777777" w:rsidR="0007553F" w:rsidRPr="001A3096" w:rsidRDefault="0007553F" w:rsidP="0007553F">
      <w:pPr>
        <w:keepNext/>
        <w:rPr>
          <w:b/>
        </w:rPr>
      </w:pPr>
      <w:r w:rsidRPr="001A3096">
        <w:rPr>
          <w:b/>
        </w:rPr>
        <w:t>Commencement</w:t>
      </w:r>
    </w:p>
    <w:p w14:paraId="259F4BE3" w14:textId="77777777" w:rsidR="0007553F" w:rsidRPr="001A3096" w:rsidRDefault="0007553F" w:rsidP="0007553F">
      <w:pPr>
        <w:keepNext/>
        <w:rPr>
          <w:b/>
        </w:rPr>
      </w:pPr>
    </w:p>
    <w:p w14:paraId="6B2F1B5A" w14:textId="77777777" w:rsidR="0007553F" w:rsidRPr="001A3096" w:rsidRDefault="0007553F" w:rsidP="0007553F">
      <w:pPr>
        <w:jc w:val="both"/>
      </w:pPr>
      <w:r w:rsidRPr="001A3096">
        <w:t xml:space="preserve">The Amendment Principles commence on the later of 1 July 2022 and the day after it is registered on the Federal Register of Legislation. </w:t>
      </w:r>
    </w:p>
    <w:p w14:paraId="09394E60" w14:textId="77777777" w:rsidR="0007553F" w:rsidRPr="001A3096" w:rsidRDefault="0007553F" w:rsidP="0007553F">
      <w:pPr>
        <w:jc w:val="both"/>
        <w:rPr>
          <w:b/>
        </w:rPr>
      </w:pPr>
    </w:p>
    <w:p w14:paraId="768063F5" w14:textId="77777777" w:rsidR="0007553F" w:rsidRPr="001A3096" w:rsidRDefault="0007553F" w:rsidP="0007553F">
      <w:pPr>
        <w:jc w:val="both"/>
        <w:rPr>
          <w:b/>
        </w:rPr>
      </w:pPr>
      <w:r w:rsidRPr="001A3096">
        <w:rPr>
          <w:b/>
        </w:rPr>
        <w:t>Consultation</w:t>
      </w:r>
    </w:p>
    <w:p w14:paraId="368798DA" w14:textId="77777777" w:rsidR="0007553F" w:rsidRPr="001A3096" w:rsidRDefault="0007553F" w:rsidP="0007553F">
      <w:pPr>
        <w:jc w:val="both"/>
        <w:rPr>
          <w:u w:val="single"/>
        </w:rPr>
      </w:pPr>
    </w:p>
    <w:p w14:paraId="293394A1" w14:textId="70F39126" w:rsidR="0007553F" w:rsidRPr="001A3096" w:rsidRDefault="0007553F" w:rsidP="0007553F">
      <w:pPr>
        <w:jc w:val="both"/>
      </w:pPr>
      <w:r w:rsidRPr="001A3096">
        <w:t xml:space="preserve">In the 2018-19 Budget, the </w:t>
      </w:r>
      <w:r w:rsidR="00DE48AC" w:rsidRPr="001A3096">
        <w:t>former government</w:t>
      </w:r>
      <w:r w:rsidRPr="001A3096">
        <w:t xml:space="preserve"> announced that it supported strengthening</w:t>
      </w:r>
      <w:r w:rsidR="002E2920" w:rsidRPr="001A3096">
        <w:t xml:space="preserve"> the</w:t>
      </w:r>
      <w:r w:rsidRPr="001A3096">
        <w:t xml:space="preserve"> prudential framework</w:t>
      </w:r>
      <w:r w:rsidR="002E2920" w:rsidRPr="001A3096">
        <w:t xml:space="preserve"> for aged care</w:t>
      </w:r>
      <w:r w:rsidRPr="001A3096">
        <w:t xml:space="preserve"> (</w:t>
      </w:r>
      <w:r w:rsidRPr="001A3096">
        <w:rPr>
          <w:i/>
        </w:rPr>
        <w:t>Better Quality Care </w:t>
      </w:r>
      <w:r w:rsidRPr="001A3096">
        <w:rPr>
          <w:i/>
        </w:rPr>
        <w:noBreakHyphen/>
        <w:t xml:space="preserve"> Managing Prudential Risk in Residential Care </w:t>
      </w:r>
      <w:r w:rsidRPr="001A3096">
        <w:t xml:space="preserve">measure). In 2019, the </w:t>
      </w:r>
      <w:r w:rsidR="001D29D2" w:rsidRPr="001A3096">
        <w:t>department</w:t>
      </w:r>
      <w:r w:rsidRPr="001A3096">
        <w:t xml:space="preserve"> consulted</w:t>
      </w:r>
      <w:r w:rsidR="00E00C65" w:rsidRPr="001A3096">
        <w:t xml:space="preserve"> with</w:t>
      </w:r>
      <w:r w:rsidRPr="001A3096">
        <w:t xml:space="preserve"> the sector and broader community about managing prudential risk </w:t>
      </w:r>
      <w:r w:rsidR="00E00C65" w:rsidRPr="001A3096">
        <w:t>by releasing</w:t>
      </w:r>
      <w:r w:rsidR="003C7D22" w:rsidRPr="001A3096">
        <w:t xml:space="preserve"> and inviting submissions to</w:t>
      </w:r>
      <w:r w:rsidR="00E00C65" w:rsidRPr="001A3096">
        <w:t xml:space="preserve"> a public</w:t>
      </w:r>
      <w:r w:rsidR="009355DB" w:rsidRPr="001A3096">
        <w:t xml:space="preserve"> discussion paper entitled,</w:t>
      </w:r>
      <w:r w:rsidR="00E00C65" w:rsidRPr="001A3096">
        <w:t xml:space="preserve"> </w:t>
      </w:r>
      <w:r w:rsidR="00E00C65" w:rsidRPr="001A3096">
        <w:rPr>
          <w:i/>
        </w:rPr>
        <w:t>Managing Prudential Risk in Residential Aged Care</w:t>
      </w:r>
      <w:r w:rsidR="00330D48" w:rsidRPr="001A3096">
        <w:rPr>
          <w:i/>
        </w:rPr>
        <w:t>.</w:t>
      </w:r>
      <w:r w:rsidR="00E00C65" w:rsidRPr="001A3096">
        <w:rPr>
          <w:i/>
        </w:rPr>
        <w:t xml:space="preserve"> </w:t>
      </w:r>
      <w:r w:rsidRPr="001A3096">
        <w:t xml:space="preserve">The </w:t>
      </w:r>
      <w:r w:rsidR="009355DB" w:rsidRPr="001A3096">
        <w:t xml:space="preserve">discussion </w:t>
      </w:r>
      <w:r w:rsidR="00E00C65" w:rsidRPr="001A3096">
        <w:t xml:space="preserve">paper </w:t>
      </w:r>
      <w:r w:rsidRPr="001A3096">
        <w:t xml:space="preserve">consulted on reform options recommended through two previous reviews; </w:t>
      </w:r>
      <w:r w:rsidRPr="001A3096">
        <w:rPr>
          <w:i/>
        </w:rPr>
        <w:t xml:space="preserve">Ernst &amp; Young 2017 Review of Aged Care legislation which provides for the regulation and protection of Refundable Accommodation Payments in Residential Aged Care; </w:t>
      </w:r>
      <w:r w:rsidRPr="001A3096">
        <w:t xml:space="preserve">and the </w:t>
      </w:r>
      <w:r w:rsidRPr="001A3096">
        <w:rPr>
          <w:i/>
        </w:rPr>
        <w:t xml:space="preserve">2017 Legislated Review of Aged Care </w:t>
      </w:r>
      <w:r w:rsidRPr="001A3096">
        <w:t>(Tune Review).</w:t>
      </w:r>
      <w:r w:rsidR="003C7D22" w:rsidRPr="001A3096">
        <w:t xml:space="preserve"> S</w:t>
      </w:r>
      <w:r w:rsidR="00330D48" w:rsidRPr="001A3096">
        <w:t xml:space="preserve">ubmissions received were considered in the development of the department’s </w:t>
      </w:r>
      <w:r w:rsidR="003C7D22" w:rsidRPr="001A3096">
        <w:t>prudential</w:t>
      </w:r>
      <w:r w:rsidR="00330D48" w:rsidRPr="001A3096">
        <w:t xml:space="preserve"> </w:t>
      </w:r>
      <w:r w:rsidR="003C7D22" w:rsidRPr="001A3096">
        <w:t>amendments</w:t>
      </w:r>
      <w:r w:rsidR="004D5FFD" w:rsidRPr="001A3096">
        <w:t xml:space="preserve"> including</w:t>
      </w:r>
      <w:r w:rsidR="003C7D22" w:rsidRPr="001A3096">
        <w:t xml:space="preserve"> these reforms</w:t>
      </w:r>
      <w:r w:rsidR="00330D48" w:rsidRPr="001A3096">
        <w:t xml:space="preserve">. </w:t>
      </w:r>
      <w:r w:rsidRPr="001A3096">
        <w:t>Both reviews and the</w:t>
      </w:r>
      <w:r w:rsidR="004C6D02" w:rsidRPr="001A3096">
        <w:t xml:space="preserve"> stakeholder</w:t>
      </w:r>
      <w:r w:rsidRPr="001A3096">
        <w:t xml:space="preserve"> responses to the </w:t>
      </w:r>
      <w:r w:rsidR="009355DB" w:rsidRPr="001A3096">
        <w:t xml:space="preserve">discussion </w:t>
      </w:r>
      <w:r w:rsidR="003C7D22" w:rsidRPr="001A3096">
        <w:t>p</w:t>
      </w:r>
      <w:r w:rsidRPr="001A3096">
        <w:t xml:space="preserve">aper supported greater transparency and improved </w:t>
      </w:r>
      <w:r w:rsidR="004C6D02" w:rsidRPr="001A3096">
        <w:t xml:space="preserve">disclosure of financial reporting by approved </w:t>
      </w:r>
      <w:r w:rsidRPr="001A3096">
        <w:t>provider</w:t>
      </w:r>
      <w:r w:rsidR="004C6D02" w:rsidRPr="001A3096">
        <w:t>s</w:t>
      </w:r>
      <w:r w:rsidRPr="001A3096">
        <w:t xml:space="preserve">. </w:t>
      </w:r>
    </w:p>
    <w:p w14:paraId="3AD9B736" w14:textId="77777777" w:rsidR="0007553F" w:rsidRPr="001A3096" w:rsidRDefault="0007553F" w:rsidP="0007553F">
      <w:pPr>
        <w:jc w:val="both"/>
      </w:pPr>
    </w:p>
    <w:p w14:paraId="4D565A79" w14:textId="6D05FFEC" w:rsidR="00082E24" w:rsidRPr="001A3096" w:rsidRDefault="0007553F" w:rsidP="0007553F">
      <w:bookmarkStart w:id="2" w:name="_Hlk108790326"/>
      <w:r w:rsidRPr="001A3096">
        <w:t xml:space="preserve">The </w:t>
      </w:r>
      <w:r w:rsidR="00E8281C" w:rsidRPr="001A3096">
        <w:t>department</w:t>
      </w:r>
      <w:r w:rsidRPr="001A3096">
        <w:t xml:space="preserve"> consulted with the sector on the new requirements for approved providers to submit quarterly financial reports and the publication of their </w:t>
      </w:r>
      <w:proofErr w:type="gramStart"/>
      <w:r w:rsidRPr="001A3096">
        <w:t xml:space="preserve">general </w:t>
      </w:r>
      <w:r w:rsidRPr="001A3096">
        <w:lastRenderedPageBreak/>
        <w:t>purpose</w:t>
      </w:r>
      <w:proofErr w:type="gramEnd"/>
      <w:r w:rsidRPr="001A3096">
        <w:t xml:space="preserve"> financial reports. </w:t>
      </w:r>
      <w:r w:rsidR="00023D67" w:rsidRPr="001A3096">
        <w:t>In December 2021</w:t>
      </w:r>
      <w:r w:rsidRPr="001A3096">
        <w:t xml:space="preserve">, a consultation paper was provided to a group of residential and home care providers and a subsequent consultation forum was held, which was open to the Chief Financial Officers and General Managers from the same group. </w:t>
      </w:r>
      <w:r w:rsidR="007425EE" w:rsidRPr="001A3096">
        <w:t>The department subsequently consulted further with the sector</w:t>
      </w:r>
      <w:r w:rsidR="00DA0EEC" w:rsidRPr="001A3096">
        <w:t>,</w:t>
      </w:r>
      <w:r w:rsidR="007425EE" w:rsidRPr="001A3096">
        <w:t xml:space="preserve"> through multiple webinars</w:t>
      </w:r>
      <w:r w:rsidR="00DA0EEC" w:rsidRPr="001A3096">
        <w:t>,</w:t>
      </w:r>
      <w:r w:rsidR="007425EE" w:rsidRPr="001A3096">
        <w:t xml:space="preserve"> on the quarterly financial report submission timeframe and </w:t>
      </w:r>
      <w:proofErr w:type="gramStart"/>
      <w:r w:rsidR="0004747B" w:rsidRPr="001A3096">
        <w:t>general purpose</w:t>
      </w:r>
      <w:proofErr w:type="gramEnd"/>
      <w:r w:rsidR="0004747B" w:rsidRPr="001A3096">
        <w:t xml:space="preserve"> financial report</w:t>
      </w:r>
      <w:r w:rsidR="007425EE" w:rsidRPr="001A3096">
        <w:t xml:space="preserve"> publication date.</w:t>
      </w:r>
      <w:r w:rsidRPr="001A3096">
        <w:t xml:space="preserve"> </w:t>
      </w:r>
      <w:bookmarkStart w:id="3" w:name="_Hlk108769713"/>
      <w:r w:rsidR="00082E24" w:rsidRPr="001A3096">
        <w:t xml:space="preserve">Feedback from the </w:t>
      </w:r>
      <w:r w:rsidR="00702D6C" w:rsidRPr="001A3096">
        <w:t>s</w:t>
      </w:r>
      <w:r w:rsidR="00082E24" w:rsidRPr="001A3096">
        <w:t>ector was that the proposed due date for the quarterly financial report of 21 days after the end of a provider’s financial year was insufficient. In response to this feedback, the due date was extended to:</w:t>
      </w:r>
    </w:p>
    <w:p w14:paraId="04D9B538" w14:textId="497493C5" w:rsidR="00082E24" w:rsidRPr="001A3096" w:rsidRDefault="00082E24" w:rsidP="00082E24">
      <w:pPr>
        <w:numPr>
          <w:ilvl w:val="0"/>
          <w:numId w:val="60"/>
        </w:numPr>
      </w:pPr>
      <w:r w:rsidRPr="001A3096">
        <w:t xml:space="preserve">for a quarter ending </w:t>
      </w:r>
      <w:proofErr w:type="gramStart"/>
      <w:r w:rsidRPr="001A3096">
        <w:t>at</w:t>
      </w:r>
      <w:proofErr w:type="gramEnd"/>
      <w:r w:rsidRPr="001A3096">
        <w:t xml:space="preserve"> 31 December—within 45 days after the end of the quarter; and</w:t>
      </w:r>
    </w:p>
    <w:p w14:paraId="2F09CFFB" w14:textId="77777777" w:rsidR="00082E24" w:rsidRPr="001A3096" w:rsidRDefault="00082E24" w:rsidP="00082E24">
      <w:pPr>
        <w:numPr>
          <w:ilvl w:val="0"/>
          <w:numId w:val="60"/>
        </w:numPr>
      </w:pPr>
      <w:r w:rsidRPr="001A3096">
        <w:t>for any other quarter—within 35 days after the end of the quarter.</w:t>
      </w:r>
    </w:p>
    <w:p w14:paraId="3598B3AE" w14:textId="1855B7DF" w:rsidR="009355DB" w:rsidRPr="001A3096" w:rsidRDefault="009355DB" w:rsidP="009355DB">
      <w:pPr>
        <w:jc w:val="both"/>
        <w:rPr>
          <w:bCs/>
        </w:rPr>
      </w:pPr>
      <w:r w:rsidRPr="001A3096">
        <w:t xml:space="preserve"> </w:t>
      </w:r>
      <w:r w:rsidRPr="001A3096">
        <w:rPr>
          <w:bCs/>
        </w:rPr>
        <w:t xml:space="preserve">The extended period for quarters ending </w:t>
      </w:r>
      <w:proofErr w:type="gramStart"/>
      <w:r w:rsidRPr="001A3096">
        <w:rPr>
          <w:bCs/>
        </w:rPr>
        <w:t>at</w:t>
      </w:r>
      <w:proofErr w:type="gramEnd"/>
      <w:r w:rsidRPr="001A3096">
        <w:rPr>
          <w:bCs/>
        </w:rPr>
        <w:t xml:space="preserve"> 31 December is in response to feedback that many approved providers experience leave and shutdown over the Christmas period.</w:t>
      </w:r>
    </w:p>
    <w:bookmarkEnd w:id="2"/>
    <w:bookmarkEnd w:id="3"/>
    <w:p w14:paraId="13DC04A9" w14:textId="77777777" w:rsidR="0007553F" w:rsidRPr="001A3096" w:rsidRDefault="0007553F" w:rsidP="0007553F">
      <w:pPr>
        <w:jc w:val="both"/>
      </w:pPr>
    </w:p>
    <w:p w14:paraId="7AAB8FC6" w14:textId="77777777" w:rsidR="0007553F" w:rsidRPr="001A3096" w:rsidRDefault="0007553F" w:rsidP="0007553F">
      <w:pPr>
        <w:jc w:val="right"/>
        <w:rPr>
          <w:b/>
          <w:bCs/>
        </w:rPr>
      </w:pPr>
      <w:r w:rsidRPr="001A3096">
        <w:br w:type="page"/>
      </w:r>
      <w:r w:rsidRPr="001A3096">
        <w:rPr>
          <w:b/>
          <w:bCs/>
        </w:rPr>
        <w:lastRenderedPageBreak/>
        <w:t>ATTACHMENT</w:t>
      </w:r>
    </w:p>
    <w:p w14:paraId="22B78A9B" w14:textId="77777777" w:rsidR="0007553F" w:rsidRPr="001A3096" w:rsidRDefault="0007553F" w:rsidP="0007553F">
      <w:pPr>
        <w:jc w:val="both"/>
      </w:pPr>
    </w:p>
    <w:p w14:paraId="764D1088" w14:textId="77777777" w:rsidR="0007553F" w:rsidRPr="001A3096" w:rsidRDefault="0007553F" w:rsidP="0007553F">
      <w:pPr>
        <w:jc w:val="both"/>
        <w:rPr>
          <w:b/>
          <w:i/>
          <w:u w:val="single"/>
        </w:rPr>
      </w:pPr>
      <w:r w:rsidRPr="001A3096">
        <w:rPr>
          <w:b/>
          <w:u w:val="single"/>
        </w:rPr>
        <w:t xml:space="preserve">Details of the </w:t>
      </w:r>
      <w:r w:rsidRPr="001A3096">
        <w:rPr>
          <w:b/>
          <w:i/>
          <w:u w:val="single"/>
        </w:rPr>
        <w:t>Aged Care Legislation Amendment (Financial Information) Principles 2022</w:t>
      </w:r>
    </w:p>
    <w:p w14:paraId="05802267" w14:textId="77777777" w:rsidR="0007553F" w:rsidRPr="001A3096" w:rsidRDefault="0007553F" w:rsidP="0007553F">
      <w:pPr>
        <w:jc w:val="both"/>
        <w:rPr>
          <w:i/>
          <w:u w:val="single"/>
        </w:rPr>
      </w:pPr>
    </w:p>
    <w:p w14:paraId="1FB47999" w14:textId="77777777" w:rsidR="0007553F" w:rsidRPr="001A3096" w:rsidRDefault="0007553F" w:rsidP="0007553F">
      <w:pPr>
        <w:jc w:val="both"/>
      </w:pPr>
      <w:r w:rsidRPr="001A3096">
        <w:rPr>
          <w:b/>
        </w:rPr>
        <w:t>Section 1</w:t>
      </w:r>
      <w:r w:rsidRPr="001A3096">
        <w:t xml:space="preserve"> provides that the name of the instrument is the </w:t>
      </w:r>
      <w:r w:rsidRPr="001A3096">
        <w:rPr>
          <w:i/>
        </w:rPr>
        <w:t>Aged Care Legislation Amendment (Financial Information) Principles 2022</w:t>
      </w:r>
      <w:r w:rsidRPr="001A3096">
        <w:t>.</w:t>
      </w:r>
    </w:p>
    <w:p w14:paraId="69A9B48D" w14:textId="77777777" w:rsidR="0007553F" w:rsidRPr="001A3096" w:rsidRDefault="0007553F" w:rsidP="0007553F">
      <w:pPr>
        <w:jc w:val="both"/>
        <w:rPr>
          <w:b/>
        </w:rPr>
      </w:pPr>
    </w:p>
    <w:p w14:paraId="2E807A7D" w14:textId="77777777" w:rsidR="0007553F" w:rsidRPr="001A3096" w:rsidRDefault="0007553F" w:rsidP="0007553F">
      <w:pPr>
        <w:jc w:val="both"/>
      </w:pPr>
      <w:r w:rsidRPr="001A3096">
        <w:rPr>
          <w:b/>
        </w:rPr>
        <w:t>Section 2</w:t>
      </w:r>
      <w:r w:rsidRPr="001A3096">
        <w:t xml:space="preserve"> provides that the instrument commences on the later of:</w:t>
      </w:r>
    </w:p>
    <w:p w14:paraId="11E7CB27" w14:textId="77777777" w:rsidR="0007553F" w:rsidRPr="001A3096" w:rsidRDefault="0007553F" w:rsidP="0007553F">
      <w:pPr>
        <w:numPr>
          <w:ilvl w:val="0"/>
          <w:numId w:val="51"/>
        </w:numPr>
        <w:jc w:val="both"/>
      </w:pPr>
      <w:r w:rsidRPr="001A3096">
        <w:t>1 July 2022; and</w:t>
      </w:r>
    </w:p>
    <w:p w14:paraId="0469646C" w14:textId="77777777" w:rsidR="0007553F" w:rsidRPr="001A3096" w:rsidRDefault="0007553F" w:rsidP="0007553F">
      <w:pPr>
        <w:numPr>
          <w:ilvl w:val="0"/>
          <w:numId w:val="51"/>
        </w:numPr>
        <w:jc w:val="both"/>
      </w:pPr>
      <w:r w:rsidRPr="001A3096">
        <w:t xml:space="preserve">the day after it is registered on the Federal Register of Legislation. </w:t>
      </w:r>
    </w:p>
    <w:p w14:paraId="5A3E4120" w14:textId="77777777" w:rsidR="0007553F" w:rsidRPr="001A3096" w:rsidRDefault="0007553F" w:rsidP="0007553F">
      <w:pPr>
        <w:jc w:val="both"/>
        <w:rPr>
          <w:b/>
        </w:rPr>
      </w:pPr>
    </w:p>
    <w:p w14:paraId="215543D1" w14:textId="77777777" w:rsidR="0007553F" w:rsidRPr="001A3096" w:rsidRDefault="0007553F" w:rsidP="0007553F">
      <w:pPr>
        <w:jc w:val="both"/>
      </w:pPr>
      <w:r w:rsidRPr="001A3096">
        <w:rPr>
          <w:b/>
        </w:rPr>
        <w:t>Section 3</w:t>
      </w:r>
      <w:r w:rsidRPr="001A3096">
        <w:t xml:space="preserve"> states that the authority for making the instrument is the </w:t>
      </w:r>
      <w:r w:rsidRPr="001A3096">
        <w:rPr>
          <w:i/>
        </w:rPr>
        <w:t>Aged Care Act 1997</w:t>
      </w:r>
      <w:r w:rsidRPr="001A3096">
        <w:t>.</w:t>
      </w:r>
    </w:p>
    <w:p w14:paraId="5F175E93" w14:textId="77777777" w:rsidR="0007553F" w:rsidRPr="001A3096" w:rsidRDefault="0007553F" w:rsidP="0007553F">
      <w:pPr>
        <w:jc w:val="both"/>
      </w:pPr>
    </w:p>
    <w:p w14:paraId="1E940957" w14:textId="77777777" w:rsidR="0007553F" w:rsidRPr="001A3096" w:rsidRDefault="0007553F" w:rsidP="0007553F">
      <w:pPr>
        <w:jc w:val="both"/>
      </w:pPr>
      <w:r w:rsidRPr="001A3096">
        <w:rPr>
          <w:b/>
        </w:rPr>
        <w:t xml:space="preserve">Section 4 </w:t>
      </w:r>
      <w:r w:rsidRPr="001A3096">
        <w:t>provides each instrument that is specified in a Schedule to this instrument is amended or repealed as set out in the applicable items in the Schedule concerned, and any other item in a Schedule to this instrument has effect according to its terms.</w:t>
      </w:r>
    </w:p>
    <w:p w14:paraId="30372393" w14:textId="77777777" w:rsidR="0007553F" w:rsidRPr="001A3096" w:rsidRDefault="0007553F" w:rsidP="0007553F">
      <w:pPr>
        <w:jc w:val="both"/>
      </w:pPr>
    </w:p>
    <w:p w14:paraId="4E5C977E" w14:textId="77777777" w:rsidR="0007553F" w:rsidRPr="001A3096" w:rsidRDefault="0007553F" w:rsidP="0007553F">
      <w:pPr>
        <w:jc w:val="both"/>
        <w:rPr>
          <w:b/>
        </w:rPr>
      </w:pPr>
      <w:r w:rsidRPr="001A3096">
        <w:rPr>
          <w:b/>
        </w:rPr>
        <w:t>Schedule 1—Amendments</w:t>
      </w:r>
    </w:p>
    <w:p w14:paraId="512C957D" w14:textId="77777777" w:rsidR="0007553F" w:rsidRPr="001A3096" w:rsidRDefault="0007553F" w:rsidP="0007553F">
      <w:pPr>
        <w:jc w:val="both"/>
        <w:rPr>
          <w:b/>
        </w:rPr>
      </w:pPr>
    </w:p>
    <w:p w14:paraId="366FB8A6" w14:textId="77777777" w:rsidR="0007553F" w:rsidRPr="001A3096" w:rsidRDefault="0007553F" w:rsidP="0007553F">
      <w:pPr>
        <w:jc w:val="both"/>
        <w:rPr>
          <w:b/>
        </w:rPr>
      </w:pPr>
      <w:r w:rsidRPr="001A3096">
        <w:rPr>
          <w:b/>
        </w:rPr>
        <w:t>Part 1—Quarterly financial reports</w:t>
      </w:r>
    </w:p>
    <w:p w14:paraId="770B82C8" w14:textId="77777777" w:rsidR="0007553F" w:rsidRPr="001A3096" w:rsidRDefault="0007553F" w:rsidP="0007553F">
      <w:pPr>
        <w:jc w:val="both"/>
        <w:rPr>
          <w:b/>
        </w:rPr>
      </w:pPr>
      <w:r w:rsidRPr="001A3096">
        <w:rPr>
          <w:b/>
        </w:rPr>
        <w:t xml:space="preserve">  </w:t>
      </w:r>
    </w:p>
    <w:p w14:paraId="0FA521A1" w14:textId="77777777" w:rsidR="0007553F" w:rsidRPr="001A3096" w:rsidRDefault="0007553F" w:rsidP="0007553F">
      <w:pPr>
        <w:jc w:val="both"/>
        <w:rPr>
          <w:b/>
          <w:i/>
        </w:rPr>
      </w:pPr>
      <w:r w:rsidRPr="001A3096">
        <w:rPr>
          <w:b/>
          <w:i/>
        </w:rPr>
        <w:t>Accountability Principles 2014</w:t>
      </w:r>
    </w:p>
    <w:p w14:paraId="4D07D16A" w14:textId="77777777" w:rsidR="0007553F" w:rsidRPr="001A3096" w:rsidRDefault="0007553F" w:rsidP="0007553F">
      <w:pPr>
        <w:jc w:val="both"/>
        <w:rPr>
          <w:b/>
          <w:i/>
        </w:rPr>
      </w:pPr>
    </w:p>
    <w:p w14:paraId="3FF9A4A0" w14:textId="77777777" w:rsidR="0007553F" w:rsidRPr="001A3096" w:rsidRDefault="0007553F" w:rsidP="0007553F">
      <w:pPr>
        <w:jc w:val="both"/>
      </w:pPr>
      <w:r w:rsidRPr="001A3096">
        <w:rPr>
          <w:b/>
        </w:rPr>
        <w:t>Item 1 – Section 4</w:t>
      </w:r>
    </w:p>
    <w:p w14:paraId="672D7526" w14:textId="77777777" w:rsidR="0007553F" w:rsidRPr="001A3096" w:rsidRDefault="0007553F" w:rsidP="0007553F">
      <w:pPr>
        <w:jc w:val="both"/>
      </w:pPr>
      <w:r w:rsidRPr="001A3096">
        <w:t xml:space="preserve">Item 1 inserts definitions of “quarter” and “quarterly financial report” into section 4 of the Accountability Principles. </w:t>
      </w:r>
    </w:p>
    <w:p w14:paraId="55F429A4" w14:textId="77777777" w:rsidR="0007553F" w:rsidRPr="001A3096" w:rsidRDefault="0007553F" w:rsidP="0007553F">
      <w:pPr>
        <w:numPr>
          <w:ilvl w:val="0"/>
          <w:numId w:val="16"/>
        </w:numPr>
        <w:jc w:val="both"/>
      </w:pPr>
      <w:r w:rsidRPr="001A3096">
        <w:t>“quarter” is given the meaning given by new subsection 43(5).</w:t>
      </w:r>
    </w:p>
    <w:p w14:paraId="12EE5591" w14:textId="77777777" w:rsidR="0007553F" w:rsidRPr="001A3096" w:rsidRDefault="0007553F" w:rsidP="0007553F">
      <w:pPr>
        <w:numPr>
          <w:ilvl w:val="0"/>
          <w:numId w:val="16"/>
        </w:numPr>
        <w:jc w:val="both"/>
      </w:pPr>
      <w:r w:rsidRPr="001A3096">
        <w:t>“quarterly financial report” is given the meaning given by new section 43(1).</w:t>
      </w:r>
    </w:p>
    <w:p w14:paraId="5C555F1C" w14:textId="77777777" w:rsidR="0007553F" w:rsidRPr="001A3096" w:rsidRDefault="0007553F" w:rsidP="0007553F">
      <w:pPr>
        <w:jc w:val="both"/>
      </w:pPr>
    </w:p>
    <w:p w14:paraId="522EA14B" w14:textId="77777777" w:rsidR="0007553F" w:rsidRPr="001A3096" w:rsidRDefault="0007553F" w:rsidP="0007553F">
      <w:pPr>
        <w:jc w:val="both"/>
        <w:rPr>
          <w:b/>
        </w:rPr>
      </w:pPr>
      <w:r w:rsidRPr="001A3096">
        <w:rPr>
          <w:b/>
        </w:rPr>
        <w:t>Item 2 – At the end of section 31</w:t>
      </w:r>
    </w:p>
    <w:p w14:paraId="61EE9834" w14:textId="3C4BEC05" w:rsidR="0007553F" w:rsidRPr="001A3096" w:rsidRDefault="0007553F" w:rsidP="0007553F">
      <w:pPr>
        <w:jc w:val="both"/>
      </w:pPr>
      <w:r w:rsidRPr="001A3096">
        <w:t>Item 2 inserts a note at the end of section 31 to clarify that Part 4A of the Accountability Principles specifies “additional</w:t>
      </w:r>
      <w:r w:rsidRPr="001A3096">
        <w:rPr>
          <w:i/>
        </w:rPr>
        <w:t xml:space="preserve"> </w:t>
      </w:r>
      <w:r w:rsidRPr="001A3096">
        <w:t>financial reporting responsibilities of approved providers”. This clarifies that the reporting responsibilities under Part 4A are in addition to those under Part 4 of the Accountability Principles</w:t>
      </w:r>
      <w:r w:rsidR="004C6D02" w:rsidRPr="001A3096">
        <w:t>, which deal</w:t>
      </w:r>
      <w:r w:rsidR="001D29D2" w:rsidRPr="001A3096">
        <w:t>s</w:t>
      </w:r>
      <w:r w:rsidR="004C6D02" w:rsidRPr="001A3096">
        <w:t xml:space="preserve"> with the </w:t>
      </w:r>
      <w:r w:rsidR="00082E24" w:rsidRPr="001A3096">
        <w:t>a</w:t>
      </w:r>
      <w:r w:rsidR="004C6D02" w:rsidRPr="001A3096">
        <w:t xml:space="preserve">ged </w:t>
      </w:r>
      <w:r w:rsidR="00082E24" w:rsidRPr="001A3096">
        <w:t>c</w:t>
      </w:r>
      <w:r w:rsidR="004C6D02" w:rsidRPr="001A3096">
        <w:t xml:space="preserve">are </w:t>
      </w:r>
      <w:r w:rsidR="00082E24" w:rsidRPr="001A3096">
        <w:t>f</w:t>
      </w:r>
      <w:r w:rsidR="004C6D02" w:rsidRPr="001A3096">
        <w:t xml:space="preserve">inancial </w:t>
      </w:r>
      <w:r w:rsidR="00082E24" w:rsidRPr="001A3096">
        <w:t>r</w:t>
      </w:r>
      <w:r w:rsidR="004C6D02" w:rsidRPr="001A3096">
        <w:t>eport</w:t>
      </w:r>
      <w:r w:rsidRPr="001A3096">
        <w:t>.</w:t>
      </w:r>
    </w:p>
    <w:p w14:paraId="1951FA8E" w14:textId="77777777" w:rsidR="0007553F" w:rsidRPr="001A3096" w:rsidRDefault="0007553F" w:rsidP="0007553F">
      <w:pPr>
        <w:jc w:val="both"/>
      </w:pPr>
    </w:p>
    <w:p w14:paraId="7905D021" w14:textId="77777777" w:rsidR="0007553F" w:rsidRPr="001A3096" w:rsidRDefault="0007553F" w:rsidP="0007553F">
      <w:pPr>
        <w:jc w:val="both"/>
        <w:rPr>
          <w:b/>
        </w:rPr>
      </w:pPr>
      <w:r w:rsidRPr="001A3096">
        <w:rPr>
          <w:b/>
        </w:rPr>
        <w:t>Item 3 – After part 4</w:t>
      </w:r>
    </w:p>
    <w:p w14:paraId="6F0E8B2E" w14:textId="77777777" w:rsidR="0007553F" w:rsidRPr="001A3096" w:rsidRDefault="0007553F" w:rsidP="0007553F">
      <w:pPr>
        <w:jc w:val="both"/>
        <w:rPr>
          <w:bCs/>
          <w:iCs/>
        </w:rPr>
      </w:pPr>
      <w:r w:rsidRPr="001A3096">
        <w:rPr>
          <w:bCs/>
          <w:iCs/>
        </w:rPr>
        <w:t>This item inserts new</w:t>
      </w:r>
      <w:r w:rsidR="004C6D02" w:rsidRPr="001A3096">
        <w:rPr>
          <w:bCs/>
          <w:iCs/>
        </w:rPr>
        <w:t xml:space="preserve"> Part 4A</w:t>
      </w:r>
      <w:r w:rsidR="009B420C" w:rsidRPr="001A3096">
        <w:rPr>
          <w:bCs/>
          <w:iCs/>
        </w:rPr>
        <w:t xml:space="preserve"> – Quarterly financial report</w:t>
      </w:r>
      <w:r w:rsidRPr="001A3096">
        <w:rPr>
          <w:bCs/>
          <w:iCs/>
        </w:rPr>
        <w:t xml:space="preserve"> into the Accountability Principles.</w:t>
      </w:r>
    </w:p>
    <w:p w14:paraId="1BFE5408" w14:textId="77777777" w:rsidR="0007553F" w:rsidRPr="001A3096" w:rsidRDefault="0007553F" w:rsidP="0007553F">
      <w:pPr>
        <w:jc w:val="both"/>
        <w:rPr>
          <w:bCs/>
          <w:i/>
          <w:iCs/>
        </w:rPr>
      </w:pPr>
    </w:p>
    <w:p w14:paraId="06EA752D" w14:textId="77777777" w:rsidR="0007553F" w:rsidRPr="001A3096" w:rsidRDefault="0007553F" w:rsidP="0007553F">
      <w:pPr>
        <w:jc w:val="both"/>
        <w:rPr>
          <w:bCs/>
          <w:i/>
          <w:iCs/>
        </w:rPr>
      </w:pPr>
      <w:r w:rsidRPr="001A3096">
        <w:rPr>
          <w:bCs/>
          <w:i/>
          <w:iCs/>
        </w:rPr>
        <w:t>Section 42</w:t>
      </w:r>
    </w:p>
    <w:p w14:paraId="6B9DF0A6" w14:textId="77777777" w:rsidR="009B420C" w:rsidRPr="001A3096" w:rsidRDefault="009B420C" w:rsidP="0007553F">
      <w:pPr>
        <w:jc w:val="both"/>
        <w:rPr>
          <w:bCs/>
        </w:rPr>
      </w:pPr>
      <w:r w:rsidRPr="001A3096">
        <w:rPr>
          <w:bCs/>
        </w:rPr>
        <w:t xml:space="preserve">New section 42 sets out </w:t>
      </w:r>
      <w:r w:rsidR="00F23387" w:rsidRPr="001A3096">
        <w:rPr>
          <w:bCs/>
        </w:rPr>
        <w:t>the purpose and application of new Part 4A.</w:t>
      </w:r>
    </w:p>
    <w:p w14:paraId="2525FE14" w14:textId="77777777" w:rsidR="009B420C" w:rsidRPr="001A3096" w:rsidRDefault="009B420C" w:rsidP="0007553F">
      <w:pPr>
        <w:jc w:val="both"/>
        <w:rPr>
          <w:bCs/>
        </w:rPr>
      </w:pPr>
    </w:p>
    <w:p w14:paraId="3D90FCCA" w14:textId="4B5280DB" w:rsidR="0007553F" w:rsidRPr="001A3096" w:rsidRDefault="009B420C" w:rsidP="0007553F">
      <w:pPr>
        <w:jc w:val="both"/>
        <w:rPr>
          <w:bCs/>
        </w:rPr>
      </w:pPr>
      <w:r w:rsidRPr="001A3096">
        <w:rPr>
          <w:bCs/>
        </w:rPr>
        <w:t>New s</w:t>
      </w:r>
      <w:r w:rsidR="0007553F" w:rsidRPr="001A3096">
        <w:rPr>
          <w:bCs/>
        </w:rPr>
        <w:t xml:space="preserve">ubsection 42(1) specifies that for the purposes of paragraph 63-1(1)(m) of the Act, Part 4A specifies financial reporting responsibilities of approved providers. The note specifies that Part 4 of the Accountability Principles specifies additional financial reporting responsibilities of approved providers. </w:t>
      </w:r>
    </w:p>
    <w:p w14:paraId="7E3E9BB5" w14:textId="77777777" w:rsidR="0007553F" w:rsidRPr="001A3096" w:rsidRDefault="0007553F" w:rsidP="0007553F">
      <w:pPr>
        <w:jc w:val="both"/>
        <w:rPr>
          <w:bCs/>
        </w:rPr>
      </w:pPr>
    </w:p>
    <w:p w14:paraId="42E87626" w14:textId="77777777" w:rsidR="0007553F" w:rsidRPr="001A3096" w:rsidRDefault="00F23387" w:rsidP="0007553F">
      <w:pPr>
        <w:jc w:val="both"/>
        <w:rPr>
          <w:bCs/>
        </w:rPr>
      </w:pPr>
      <w:r w:rsidRPr="001A3096">
        <w:rPr>
          <w:bCs/>
        </w:rPr>
        <w:lastRenderedPageBreak/>
        <w:t>New s</w:t>
      </w:r>
      <w:r w:rsidR="0007553F" w:rsidRPr="001A3096">
        <w:rPr>
          <w:bCs/>
        </w:rPr>
        <w:t xml:space="preserve">ubsection 42(2) specifies that </w:t>
      </w:r>
      <w:r w:rsidRPr="001A3096">
        <w:rPr>
          <w:bCs/>
        </w:rPr>
        <w:t xml:space="preserve">new </w:t>
      </w:r>
      <w:r w:rsidR="0007553F" w:rsidRPr="001A3096">
        <w:rPr>
          <w:bCs/>
        </w:rPr>
        <w:t>Part 4A applies to an approved provider if the approved provider is:</w:t>
      </w:r>
    </w:p>
    <w:p w14:paraId="6B097255" w14:textId="77777777" w:rsidR="0007553F" w:rsidRPr="001A3096" w:rsidRDefault="0007553F" w:rsidP="0007553F">
      <w:pPr>
        <w:numPr>
          <w:ilvl w:val="0"/>
          <w:numId w:val="52"/>
        </w:numPr>
        <w:jc w:val="both"/>
        <w:rPr>
          <w:bCs/>
        </w:rPr>
      </w:pPr>
      <w:r w:rsidRPr="001A3096">
        <w:rPr>
          <w:bCs/>
        </w:rPr>
        <w:t>an approved provider of a residential care service; or</w:t>
      </w:r>
    </w:p>
    <w:p w14:paraId="6474219C" w14:textId="77777777" w:rsidR="0007553F" w:rsidRPr="001A3096" w:rsidRDefault="0007553F" w:rsidP="0007553F">
      <w:pPr>
        <w:numPr>
          <w:ilvl w:val="0"/>
          <w:numId w:val="52"/>
        </w:numPr>
        <w:jc w:val="both"/>
        <w:rPr>
          <w:bCs/>
        </w:rPr>
      </w:pPr>
      <w:r w:rsidRPr="001A3096">
        <w:rPr>
          <w:bCs/>
        </w:rPr>
        <w:t>an approved provider of a home care service; or</w:t>
      </w:r>
    </w:p>
    <w:p w14:paraId="563A4BE4" w14:textId="77777777" w:rsidR="0007553F" w:rsidRPr="001A3096" w:rsidRDefault="0007553F" w:rsidP="0007553F">
      <w:pPr>
        <w:numPr>
          <w:ilvl w:val="0"/>
          <w:numId w:val="52"/>
        </w:numPr>
        <w:jc w:val="both"/>
        <w:rPr>
          <w:bCs/>
        </w:rPr>
      </w:pPr>
      <w:r w:rsidRPr="001A3096">
        <w:t xml:space="preserve">an approved provider of </w:t>
      </w:r>
      <w:r w:rsidRPr="001A3096">
        <w:rPr>
          <w:bCs/>
        </w:rPr>
        <w:t>a multi-purpose service.</w:t>
      </w:r>
    </w:p>
    <w:p w14:paraId="157E4B17" w14:textId="77777777" w:rsidR="0007553F" w:rsidRPr="001A3096" w:rsidRDefault="0007553F" w:rsidP="0007553F">
      <w:pPr>
        <w:jc w:val="both"/>
        <w:rPr>
          <w:bCs/>
        </w:rPr>
      </w:pPr>
    </w:p>
    <w:p w14:paraId="29135BFE" w14:textId="77777777" w:rsidR="0007553F" w:rsidRPr="001A3096" w:rsidRDefault="0007553F" w:rsidP="0007553F">
      <w:pPr>
        <w:jc w:val="both"/>
        <w:rPr>
          <w:bCs/>
          <w:i/>
          <w:iCs/>
        </w:rPr>
      </w:pPr>
      <w:r w:rsidRPr="001A3096">
        <w:rPr>
          <w:bCs/>
          <w:i/>
          <w:iCs/>
        </w:rPr>
        <w:t>Section 43</w:t>
      </w:r>
    </w:p>
    <w:p w14:paraId="76F62A03" w14:textId="77777777" w:rsidR="00EE5F34" w:rsidRPr="001A3096" w:rsidRDefault="00EE5F34" w:rsidP="0007553F">
      <w:pPr>
        <w:jc w:val="both"/>
        <w:rPr>
          <w:bCs/>
        </w:rPr>
      </w:pPr>
      <w:r w:rsidRPr="001A3096">
        <w:rPr>
          <w:bCs/>
        </w:rPr>
        <w:t>New section 43 sets out a new responsibility for certain approved providers to provide a quarterly financial report.</w:t>
      </w:r>
    </w:p>
    <w:p w14:paraId="5CB6A3D5" w14:textId="77777777" w:rsidR="00EE5F34" w:rsidRPr="001A3096" w:rsidRDefault="00EE5F34" w:rsidP="0007553F">
      <w:pPr>
        <w:jc w:val="both"/>
        <w:rPr>
          <w:bCs/>
        </w:rPr>
      </w:pPr>
    </w:p>
    <w:p w14:paraId="65B80E33" w14:textId="77777777" w:rsidR="00EE5F34" w:rsidRPr="001A3096" w:rsidRDefault="00EE5F34" w:rsidP="0007553F">
      <w:pPr>
        <w:jc w:val="both"/>
        <w:rPr>
          <w:bCs/>
          <w:i/>
          <w:iCs/>
        </w:rPr>
      </w:pPr>
      <w:r w:rsidRPr="001A3096">
        <w:rPr>
          <w:bCs/>
          <w:i/>
          <w:iCs/>
        </w:rPr>
        <w:t xml:space="preserve">Subsection </w:t>
      </w:r>
      <w:r w:rsidR="00F23387" w:rsidRPr="001A3096">
        <w:rPr>
          <w:bCs/>
          <w:i/>
          <w:iCs/>
        </w:rPr>
        <w:t>43(</w:t>
      </w:r>
      <w:r w:rsidRPr="001A3096">
        <w:rPr>
          <w:bCs/>
          <w:i/>
          <w:iCs/>
        </w:rPr>
        <w:t>1</w:t>
      </w:r>
      <w:r w:rsidR="00F23387" w:rsidRPr="001A3096">
        <w:rPr>
          <w:bCs/>
          <w:i/>
          <w:iCs/>
        </w:rPr>
        <w:t>)</w:t>
      </w:r>
    </w:p>
    <w:p w14:paraId="6105A2FA" w14:textId="77777777" w:rsidR="0007553F" w:rsidRPr="001A3096" w:rsidRDefault="0007553F" w:rsidP="0007553F">
      <w:pPr>
        <w:jc w:val="both"/>
        <w:rPr>
          <w:bCs/>
        </w:rPr>
      </w:pPr>
      <w:r w:rsidRPr="001A3096">
        <w:rPr>
          <w:bCs/>
        </w:rPr>
        <w:t xml:space="preserve">New subsection </w:t>
      </w:r>
      <w:r w:rsidR="00A86012" w:rsidRPr="001A3096">
        <w:rPr>
          <w:bCs/>
        </w:rPr>
        <w:t>43(</w:t>
      </w:r>
      <w:r w:rsidRPr="001A3096">
        <w:rPr>
          <w:bCs/>
        </w:rPr>
        <w:t>1</w:t>
      </w:r>
      <w:r w:rsidR="00A86012" w:rsidRPr="001A3096">
        <w:rPr>
          <w:bCs/>
        </w:rPr>
        <w:t>)</w:t>
      </w:r>
      <w:r w:rsidRPr="001A3096">
        <w:rPr>
          <w:bCs/>
        </w:rPr>
        <w:t xml:space="preserve"> specifies that an approved provider must give the Secretary a quarterly financial report for the approved provider for each quarter of a financial year for the approved provider. </w:t>
      </w:r>
    </w:p>
    <w:p w14:paraId="304A329A" w14:textId="77777777" w:rsidR="0007553F" w:rsidRPr="001A3096" w:rsidRDefault="0007553F" w:rsidP="0007553F">
      <w:pPr>
        <w:jc w:val="both"/>
        <w:rPr>
          <w:bCs/>
        </w:rPr>
      </w:pPr>
    </w:p>
    <w:p w14:paraId="2984195C" w14:textId="77777777" w:rsidR="0007553F" w:rsidRPr="001A3096" w:rsidRDefault="0007553F" w:rsidP="0007553F">
      <w:pPr>
        <w:jc w:val="both"/>
        <w:rPr>
          <w:bCs/>
          <w:i/>
        </w:rPr>
      </w:pPr>
      <w:r w:rsidRPr="001A3096">
        <w:rPr>
          <w:bCs/>
          <w:i/>
        </w:rPr>
        <w:t xml:space="preserve">Subsection </w:t>
      </w:r>
      <w:r w:rsidR="00F23387" w:rsidRPr="001A3096">
        <w:rPr>
          <w:bCs/>
          <w:i/>
        </w:rPr>
        <w:t>43(</w:t>
      </w:r>
      <w:r w:rsidRPr="001A3096">
        <w:rPr>
          <w:bCs/>
          <w:i/>
        </w:rPr>
        <w:t>2</w:t>
      </w:r>
      <w:r w:rsidR="00F23387" w:rsidRPr="001A3096">
        <w:rPr>
          <w:bCs/>
          <w:i/>
        </w:rPr>
        <w:t>)</w:t>
      </w:r>
    </w:p>
    <w:p w14:paraId="4BCDA8FA" w14:textId="77777777" w:rsidR="0007553F" w:rsidRPr="001A3096" w:rsidRDefault="0007553F" w:rsidP="0007553F">
      <w:pPr>
        <w:jc w:val="both"/>
        <w:rPr>
          <w:bCs/>
        </w:rPr>
      </w:pPr>
      <w:r w:rsidRPr="001A3096">
        <w:rPr>
          <w:bCs/>
        </w:rPr>
        <w:t xml:space="preserve">New subsection </w:t>
      </w:r>
      <w:r w:rsidR="00A86012" w:rsidRPr="001A3096">
        <w:rPr>
          <w:bCs/>
        </w:rPr>
        <w:t>43(</w:t>
      </w:r>
      <w:r w:rsidRPr="001A3096">
        <w:rPr>
          <w:bCs/>
        </w:rPr>
        <w:t>2</w:t>
      </w:r>
      <w:r w:rsidR="00A86012" w:rsidRPr="001A3096">
        <w:rPr>
          <w:bCs/>
        </w:rPr>
        <w:t>)</w:t>
      </w:r>
      <w:r w:rsidRPr="001A3096">
        <w:rPr>
          <w:bCs/>
        </w:rPr>
        <w:t xml:space="preserve"> specifies that each quarterly financial report </w:t>
      </w:r>
      <w:r w:rsidR="00ED23E3" w:rsidRPr="001A3096">
        <w:rPr>
          <w:bCs/>
        </w:rPr>
        <w:t xml:space="preserve">for an approved provider </w:t>
      </w:r>
      <w:r w:rsidRPr="001A3096">
        <w:rPr>
          <w:bCs/>
        </w:rPr>
        <w:t>is due:</w:t>
      </w:r>
    </w:p>
    <w:p w14:paraId="2BD84E65" w14:textId="37262734" w:rsidR="0007553F" w:rsidRPr="001A3096" w:rsidRDefault="0007553F" w:rsidP="0007553F">
      <w:pPr>
        <w:numPr>
          <w:ilvl w:val="0"/>
          <w:numId w:val="53"/>
        </w:numPr>
        <w:jc w:val="both"/>
        <w:rPr>
          <w:bCs/>
        </w:rPr>
      </w:pPr>
      <w:r w:rsidRPr="001A3096">
        <w:rPr>
          <w:bCs/>
        </w:rPr>
        <w:t>for a quarter ending 31 December—within 45 days after the end of the quarter; and</w:t>
      </w:r>
    </w:p>
    <w:p w14:paraId="24444EC9" w14:textId="77777777" w:rsidR="0007553F" w:rsidRPr="001A3096" w:rsidRDefault="0007553F" w:rsidP="0007553F">
      <w:pPr>
        <w:numPr>
          <w:ilvl w:val="0"/>
          <w:numId w:val="53"/>
        </w:numPr>
        <w:jc w:val="both"/>
        <w:rPr>
          <w:bCs/>
        </w:rPr>
      </w:pPr>
      <w:r w:rsidRPr="001A3096">
        <w:rPr>
          <w:bCs/>
        </w:rPr>
        <w:t>for any other quarter—within 35 days after the end of the quarter.</w:t>
      </w:r>
    </w:p>
    <w:p w14:paraId="6B8F438B" w14:textId="4DBAC0F8" w:rsidR="0007553F" w:rsidRPr="001A3096" w:rsidRDefault="0007553F" w:rsidP="0007553F">
      <w:pPr>
        <w:jc w:val="both"/>
        <w:rPr>
          <w:bCs/>
        </w:rPr>
      </w:pPr>
      <w:r w:rsidRPr="001A3096">
        <w:rPr>
          <w:bCs/>
        </w:rPr>
        <w:t xml:space="preserve">The extended period for quarters that end </w:t>
      </w:r>
      <w:r w:rsidR="00915FDA" w:rsidRPr="001A3096">
        <w:rPr>
          <w:bCs/>
        </w:rPr>
        <w:t xml:space="preserve">on </w:t>
      </w:r>
      <w:r w:rsidRPr="001A3096">
        <w:rPr>
          <w:bCs/>
        </w:rPr>
        <w:t xml:space="preserve">31 December is to account for Christmas shutdown and leave that many </w:t>
      </w:r>
      <w:r w:rsidR="00AB5735" w:rsidRPr="001A3096">
        <w:rPr>
          <w:bCs/>
        </w:rPr>
        <w:t xml:space="preserve">approved </w:t>
      </w:r>
      <w:r w:rsidRPr="001A3096">
        <w:rPr>
          <w:bCs/>
        </w:rPr>
        <w:t>providers may experience.</w:t>
      </w:r>
    </w:p>
    <w:p w14:paraId="721F131F" w14:textId="77777777" w:rsidR="0007553F" w:rsidRPr="001A3096" w:rsidRDefault="0007553F" w:rsidP="0007553F">
      <w:pPr>
        <w:jc w:val="both"/>
        <w:rPr>
          <w:bCs/>
        </w:rPr>
      </w:pPr>
    </w:p>
    <w:p w14:paraId="2D2D6E32" w14:textId="77777777" w:rsidR="0007553F" w:rsidRPr="001A3096" w:rsidRDefault="0007553F" w:rsidP="0007553F">
      <w:pPr>
        <w:jc w:val="both"/>
        <w:rPr>
          <w:bCs/>
        </w:rPr>
      </w:pPr>
      <w:r w:rsidRPr="001A3096">
        <w:rPr>
          <w:bCs/>
          <w:i/>
        </w:rPr>
        <w:t xml:space="preserve">Subsection </w:t>
      </w:r>
      <w:r w:rsidR="00F23387" w:rsidRPr="001A3096">
        <w:rPr>
          <w:bCs/>
          <w:i/>
        </w:rPr>
        <w:t>43(</w:t>
      </w:r>
      <w:r w:rsidRPr="001A3096">
        <w:rPr>
          <w:bCs/>
          <w:i/>
        </w:rPr>
        <w:t>3</w:t>
      </w:r>
      <w:r w:rsidR="00F23387" w:rsidRPr="001A3096">
        <w:rPr>
          <w:bCs/>
          <w:i/>
        </w:rPr>
        <w:t>)</w:t>
      </w:r>
    </w:p>
    <w:p w14:paraId="42E9373A" w14:textId="77777777" w:rsidR="0007553F" w:rsidRPr="001A3096" w:rsidRDefault="0007553F" w:rsidP="0007553F">
      <w:pPr>
        <w:jc w:val="both"/>
        <w:rPr>
          <w:bCs/>
        </w:rPr>
      </w:pPr>
      <w:r w:rsidRPr="001A3096">
        <w:rPr>
          <w:bCs/>
        </w:rPr>
        <w:t xml:space="preserve">New subsection </w:t>
      </w:r>
      <w:r w:rsidR="00A86012" w:rsidRPr="001A3096">
        <w:rPr>
          <w:bCs/>
        </w:rPr>
        <w:t>43(</w:t>
      </w:r>
      <w:r w:rsidRPr="001A3096">
        <w:rPr>
          <w:bCs/>
        </w:rPr>
        <w:t>3</w:t>
      </w:r>
      <w:r w:rsidR="00A86012" w:rsidRPr="001A3096">
        <w:rPr>
          <w:bCs/>
        </w:rPr>
        <w:t>)</w:t>
      </w:r>
      <w:r w:rsidRPr="001A3096">
        <w:rPr>
          <w:bCs/>
        </w:rPr>
        <w:t xml:space="preserve"> specifies that a quarterly financial report for an approved provider must:</w:t>
      </w:r>
    </w:p>
    <w:p w14:paraId="07F8755B" w14:textId="77777777" w:rsidR="0007553F" w:rsidRPr="001A3096" w:rsidRDefault="0007553F" w:rsidP="0007553F">
      <w:pPr>
        <w:numPr>
          <w:ilvl w:val="0"/>
          <w:numId w:val="54"/>
        </w:numPr>
        <w:jc w:val="both"/>
        <w:rPr>
          <w:bCs/>
        </w:rPr>
      </w:pPr>
      <w:r w:rsidRPr="001A3096">
        <w:rPr>
          <w:bCs/>
        </w:rPr>
        <w:t>be in writing; and</w:t>
      </w:r>
    </w:p>
    <w:p w14:paraId="61BAC9E5" w14:textId="77777777" w:rsidR="0007553F" w:rsidRPr="001A3096" w:rsidRDefault="0007553F" w:rsidP="0007553F">
      <w:pPr>
        <w:numPr>
          <w:ilvl w:val="0"/>
          <w:numId w:val="54"/>
        </w:numPr>
        <w:jc w:val="both"/>
        <w:rPr>
          <w:bCs/>
        </w:rPr>
      </w:pPr>
      <w:r w:rsidRPr="001A3096">
        <w:rPr>
          <w:bCs/>
        </w:rPr>
        <w:t>be in a form approved, in writing, by the Secretary in relation to the approved provider or a class of approved providers to which the approved provider belongs; and</w:t>
      </w:r>
    </w:p>
    <w:p w14:paraId="55E04BFA" w14:textId="77777777" w:rsidR="0007553F" w:rsidRPr="001A3096" w:rsidRDefault="0007553F" w:rsidP="0007553F">
      <w:pPr>
        <w:numPr>
          <w:ilvl w:val="0"/>
          <w:numId w:val="54"/>
        </w:numPr>
        <w:jc w:val="both"/>
        <w:rPr>
          <w:bCs/>
        </w:rPr>
      </w:pPr>
      <w:r w:rsidRPr="001A3096">
        <w:rPr>
          <w:bCs/>
        </w:rPr>
        <w:t>include any information or statements that the provider is required by the approved form to include in the report.</w:t>
      </w:r>
    </w:p>
    <w:p w14:paraId="18CFA458" w14:textId="79441C8E" w:rsidR="0007553F" w:rsidRPr="001A3096" w:rsidRDefault="0007553F" w:rsidP="0007553F">
      <w:pPr>
        <w:jc w:val="both"/>
        <w:rPr>
          <w:bCs/>
        </w:rPr>
      </w:pPr>
      <w:r w:rsidRPr="001A3096">
        <w:rPr>
          <w:bCs/>
        </w:rPr>
        <w:t xml:space="preserve">This </w:t>
      </w:r>
      <w:r w:rsidR="00F23387" w:rsidRPr="001A3096">
        <w:rPr>
          <w:bCs/>
        </w:rPr>
        <w:t xml:space="preserve">provision allows </w:t>
      </w:r>
      <w:r w:rsidRPr="001A3096">
        <w:rPr>
          <w:bCs/>
        </w:rPr>
        <w:t xml:space="preserve">the form of the </w:t>
      </w:r>
      <w:r w:rsidR="00F23387" w:rsidRPr="001A3096">
        <w:rPr>
          <w:bCs/>
        </w:rPr>
        <w:t xml:space="preserve">quarterly financial </w:t>
      </w:r>
      <w:r w:rsidRPr="001A3096">
        <w:rPr>
          <w:bCs/>
        </w:rPr>
        <w:t xml:space="preserve">report </w:t>
      </w:r>
      <w:r w:rsidR="00F23387" w:rsidRPr="001A3096">
        <w:rPr>
          <w:bCs/>
        </w:rPr>
        <w:t xml:space="preserve">to </w:t>
      </w:r>
      <w:r w:rsidRPr="001A3096">
        <w:rPr>
          <w:bCs/>
        </w:rPr>
        <w:t>be amended year to year.</w:t>
      </w:r>
      <w:r w:rsidR="00051395" w:rsidRPr="001A3096">
        <w:rPr>
          <w:bCs/>
        </w:rPr>
        <w:t xml:space="preserve"> For example, to expand the information collected and/or to omit information from being required by the form if it </w:t>
      </w:r>
      <w:r w:rsidR="00915FDA" w:rsidRPr="001A3096">
        <w:rPr>
          <w:bCs/>
        </w:rPr>
        <w:t xml:space="preserve">is </w:t>
      </w:r>
      <w:r w:rsidR="00051395" w:rsidRPr="001A3096">
        <w:rPr>
          <w:bCs/>
        </w:rPr>
        <w:t>realised that such information was no longer required.</w:t>
      </w:r>
    </w:p>
    <w:p w14:paraId="70E0745F" w14:textId="77777777" w:rsidR="0007553F" w:rsidRPr="001A3096" w:rsidRDefault="0007553F" w:rsidP="0007553F">
      <w:pPr>
        <w:jc w:val="both"/>
        <w:rPr>
          <w:bCs/>
        </w:rPr>
      </w:pPr>
    </w:p>
    <w:p w14:paraId="6DDD4763" w14:textId="77777777" w:rsidR="0007553F" w:rsidRPr="001A3096" w:rsidRDefault="0007553F" w:rsidP="0007553F">
      <w:pPr>
        <w:jc w:val="both"/>
        <w:rPr>
          <w:bCs/>
          <w:i/>
        </w:rPr>
      </w:pPr>
      <w:r w:rsidRPr="001A3096">
        <w:rPr>
          <w:bCs/>
          <w:i/>
        </w:rPr>
        <w:t xml:space="preserve">Subsection </w:t>
      </w:r>
      <w:r w:rsidR="00F23387" w:rsidRPr="001A3096">
        <w:rPr>
          <w:bCs/>
          <w:i/>
        </w:rPr>
        <w:t>43(</w:t>
      </w:r>
      <w:r w:rsidRPr="001A3096">
        <w:rPr>
          <w:bCs/>
          <w:i/>
        </w:rPr>
        <w:t>4</w:t>
      </w:r>
      <w:r w:rsidR="00F23387" w:rsidRPr="001A3096">
        <w:rPr>
          <w:bCs/>
          <w:i/>
        </w:rPr>
        <w:t>)</w:t>
      </w:r>
    </w:p>
    <w:p w14:paraId="5D0889F0" w14:textId="10C8B307" w:rsidR="0007553F" w:rsidRPr="001A3096" w:rsidRDefault="0007553F" w:rsidP="0007553F">
      <w:pPr>
        <w:jc w:val="both"/>
        <w:rPr>
          <w:bCs/>
        </w:rPr>
      </w:pPr>
      <w:r w:rsidRPr="001A3096">
        <w:rPr>
          <w:bCs/>
        </w:rPr>
        <w:t xml:space="preserve">New subsection </w:t>
      </w:r>
      <w:r w:rsidR="00A86012" w:rsidRPr="001A3096">
        <w:rPr>
          <w:bCs/>
        </w:rPr>
        <w:t>43(</w:t>
      </w:r>
      <w:r w:rsidRPr="001A3096">
        <w:rPr>
          <w:bCs/>
        </w:rPr>
        <w:t>4</w:t>
      </w:r>
      <w:r w:rsidR="00A86012" w:rsidRPr="001A3096">
        <w:rPr>
          <w:bCs/>
        </w:rPr>
        <w:t>)</w:t>
      </w:r>
      <w:r w:rsidRPr="001A3096">
        <w:rPr>
          <w:bCs/>
        </w:rPr>
        <w:t xml:space="preserve"> specifies that the Secretary may</w:t>
      </w:r>
      <w:r w:rsidR="00AB5735" w:rsidRPr="001A3096">
        <w:rPr>
          <w:bCs/>
        </w:rPr>
        <w:t>, for the purposes of paragraph (3)(b),</w:t>
      </w:r>
      <w:r w:rsidRPr="001A3096">
        <w:rPr>
          <w:bCs/>
        </w:rPr>
        <w:t xml:space="preserve"> approve different forms in relation to different approved providers or classes of approved providers. </w:t>
      </w:r>
      <w:r w:rsidR="00640028" w:rsidRPr="001A3096">
        <w:rPr>
          <w:bCs/>
        </w:rPr>
        <w:t>T</w:t>
      </w:r>
      <w:r w:rsidRPr="001A3096">
        <w:rPr>
          <w:bCs/>
        </w:rPr>
        <w:t>his means that different approved providers or classes of approved providers may be required to report different information by the</w:t>
      </w:r>
      <w:r w:rsidR="00AB5735" w:rsidRPr="001A3096">
        <w:rPr>
          <w:bCs/>
        </w:rPr>
        <w:t xml:space="preserve"> approved</w:t>
      </w:r>
      <w:r w:rsidRPr="001A3096">
        <w:rPr>
          <w:bCs/>
        </w:rPr>
        <w:t xml:space="preserve"> form.</w:t>
      </w:r>
      <w:r w:rsidR="003319DF" w:rsidRPr="001A3096">
        <w:rPr>
          <w:bCs/>
        </w:rPr>
        <w:t xml:space="preserve"> This will enable the Secretary to minimise the reporting burden on the sector, by </w:t>
      </w:r>
      <w:r w:rsidR="00915FDA" w:rsidRPr="001A3096">
        <w:rPr>
          <w:bCs/>
        </w:rPr>
        <w:t xml:space="preserve">allowing the Secretary not to require </w:t>
      </w:r>
      <w:r w:rsidR="003319DF" w:rsidRPr="001A3096">
        <w:rPr>
          <w:bCs/>
        </w:rPr>
        <w:t>certain approved providers or classes or approved providers to respond to questions that do not relate to them.</w:t>
      </w:r>
    </w:p>
    <w:p w14:paraId="2BA0A876" w14:textId="77777777" w:rsidR="0007553F" w:rsidRPr="001A3096" w:rsidRDefault="0007553F" w:rsidP="0007553F">
      <w:pPr>
        <w:jc w:val="both"/>
        <w:rPr>
          <w:bCs/>
        </w:rPr>
      </w:pPr>
    </w:p>
    <w:p w14:paraId="4D6B7C66" w14:textId="77777777" w:rsidR="0007553F" w:rsidRPr="001A3096" w:rsidRDefault="0007553F" w:rsidP="0007553F">
      <w:pPr>
        <w:jc w:val="both"/>
        <w:rPr>
          <w:bCs/>
          <w:i/>
        </w:rPr>
      </w:pPr>
      <w:r w:rsidRPr="001A3096">
        <w:rPr>
          <w:bCs/>
          <w:i/>
        </w:rPr>
        <w:t xml:space="preserve">Subsection </w:t>
      </w:r>
      <w:r w:rsidR="00640028" w:rsidRPr="001A3096">
        <w:rPr>
          <w:bCs/>
          <w:i/>
        </w:rPr>
        <w:t>43(</w:t>
      </w:r>
      <w:r w:rsidRPr="001A3096">
        <w:rPr>
          <w:bCs/>
          <w:i/>
        </w:rPr>
        <w:t>5</w:t>
      </w:r>
      <w:r w:rsidR="00640028" w:rsidRPr="001A3096">
        <w:rPr>
          <w:bCs/>
          <w:i/>
        </w:rPr>
        <w:t>)</w:t>
      </w:r>
    </w:p>
    <w:p w14:paraId="2F904479" w14:textId="77777777" w:rsidR="0007553F" w:rsidRPr="001A3096" w:rsidRDefault="0007553F" w:rsidP="00640028">
      <w:pPr>
        <w:jc w:val="both"/>
        <w:rPr>
          <w:bCs/>
        </w:rPr>
      </w:pPr>
      <w:r w:rsidRPr="001A3096">
        <w:rPr>
          <w:bCs/>
        </w:rPr>
        <w:t xml:space="preserve">New subsection </w:t>
      </w:r>
      <w:r w:rsidR="00A86012" w:rsidRPr="001A3096">
        <w:rPr>
          <w:bCs/>
        </w:rPr>
        <w:t>43(</w:t>
      </w:r>
      <w:r w:rsidRPr="001A3096">
        <w:rPr>
          <w:bCs/>
        </w:rPr>
        <w:t>5</w:t>
      </w:r>
      <w:r w:rsidR="00A86012" w:rsidRPr="001A3096">
        <w:rPr>
          <w:bCs/>
        </w:rPr>
        <w:t>)</w:t>
      </w:r>
      <w:r w:rsidRPr="001A3096">
        <w:rPr>
          <w:bCs/>
        </w:rPr>
        <w:t xml:space="preserve"> specifies </w:t>
      </w:r>
      <w:r w:rsidR="00640028" w:rsidRPr="001A3096">
        <w:rPr>
          <w:bCs/>
        </w:rPr>
        <w:t xml:space="preserve">who must sign a quarterly financial report if the approved provider is not a State, Territory or an authority of a State, </w:t>
      </w:r>
      <w:proofErr w:type="gramStart"/>
      <w:r w:rsidR="00640028" w:rsidRPr="001A3096">
        <w:rPr>
          <w:bCs/>
        </w:rPr>
        <w:t>Territory</w:t>
      </w:r>
      <w:proofErr w:type="gramEnd"/>
      <w:r w:rsidR="00640028" w:rsidRPr="001A3096">
        <w:rPr>
          <w:bCs/>
        </w:rPr>
        <w:t xml:space="preserve"> or local government authority. </w:t>
      </w:r>
    </w:p>
    <w:p w14:paraId="4C9FB39E" w14:textId="77777777" w:rsidR="0007553F" w:rsidRPr="001A3096" w:rsidRDefault="0007553F" w:rsidP="0007553F">
      <w:pPr>
        <w:jc w:val="both"/>
        <w:rPr>
          <w:bCs/>
        </w:rPr>
      </w:pPr>
    </w:p>
    <w:p w14:paraId="25BA9030" w14:textId="77777777" w:rsidR="0007553F" w:rsidRPr="001A3096" w:rsidRDefault="0007553F" w:rsidP="0007553F">
      <w:pPr>
        <w:jc w:val="both"/>
        <w:rPr>
          <w:bCs/>
        </w:rPr>
      </w:pPr>
      <w:r w:rsidRPr="001A3096">
        <w:rPr>
          <w:bCs/>
          <w:i/>
        </w:rPr>
        <w:t>Subsection 6</w:t>
      </w:r>
    </w:p>
    <w:p w14:paraId="013A4879" w14:textId="77777777" w:rsidR="0007553F" w:rsidRPr="001A3096" w:rsidRDefault="0007553F" w:rsidP="0007553F">
      <w:pPr>
        <w:jc w:val="both"/>
        <w:rPr>
          <w:color w:val="000000"/>
          <w:shd w:val="clear" w:color="auto" w:fill="FFFFFF"/>
        </w:rPr>
      </w:pPr>
      <w:r w:rsidRPr="001A3096">
        <w:rPr>
          <w:color w:val="000000"/>
          <w:shd w:val="clear" w:color="auto" w:fill="FFFFFF"/>
        </w:rPr>
        <w:t xml:space="preserve">New subsection </w:t>
      </w:r>
      <w:r w:rsidR="00A86012" w:rsidRPr="001A3096">
        <w:rPr>
          <w:color w:val="000000"/>
          <w:shd w:val="clear" w:color="auto" w:fill="FFFFFF"/>
        </w:rPr>
        <w:t>43(</w:t>
      </w:r>
      <w:r w:rsidR="0078322A" w:rsidRPr="001A3096">
        <w:rPr>
          <w:color w:val="000000"/>
          <w:shd w:val="clear" w:color="auto" w:fill="FFFFFF"/>
        </w:rPr>
        <w:t>6</w:t>
      </w:r>
      <w:r w:rsidR="00A86012" w:rsidRPr="001A3096">
        <w:rPr>
          <w:color w:val="000000"/>
          <w:shd w:val="clear" w:color="auto" w:fill="FFFFFF"/>
        </w:rPr>
        <w:t>)</w:t>
      </w:r>
      <w:r w:rsidRPr="001A3096">
        <w:rPr>
          <w:color w:val="000000"/>
          <w:shd w:val="clear" w:color="auto" w:fill="FFFFFF"/>
        </w:rPr>
        <w:t xml:space="preserve"> specifies </w:t>
      </w:r>
      <w:r w:rsidR="00640028" w:rsidRPr="001A3096">
        <w:rPr>
          <w:bCs/>
        </w:rPr>
        <w:t xml:space="preserve">who must sign a quarterly financial report if the approved provider is a State, Territory or an authority of a State, </w:t>
      </w:r>
      <w:proofErr w:type="gramStart"/>
      <w:r w:rsidR="00640028" w:rsidRPr="001A3096">
        <w:rPr>
          <w:bCs/>
        </w:rPr>
        <w:t>Territory</w:t>
      </w:r>
      <w:proofErr w:type="gramEnd"/>
      <w:r w:rsidR="00640028" w:rsidRPr="001A3096">
        <w:rPr>
          <w:bCs/>
        </w:rPr>
        <w:t xml:space="preserve"> or local government authority</w:t>
      </w:r>
      <w:r w:rsidRPr="001A3096">
        <w:rPr>
          <w:color w:val="000000"/>
          <w:shd w:val="clear" w:color="auto" w:fill="FFFFFF"/>
        </w:rPr>
        <w:t>.</w:t>
      </w:r>
    </w:p>
    <w:p w14:paraId="33FB04ED" w14:textId="77777777" w:rsidR="0007553F" w:rsidRPr="001A3096" w:rsidRDefault="0007553F" w:rsidP="0007553F">
      <w:pPr>
        <w:jc w:val="both"/>
        <w:rPr>
          <w:color w:val="000000"/>
          <w:shd w:val="clear" w:color="auto" w:fill="FFFFFF"/>
        </w:rPr>
      </w:pPr>
    </w:p>
    <w:p w14:paraId="3FF8D011" w14:textId="77777777" w:rsidR="0007553F" w:rsidRPr="001A3096" w:rsidRDefault="0007553F" w:rsidP="0007553F">
      <w:pPr>
        <w:jc w:val="both"/>
        <w:rPr>
          <w:i/>
          <w:color w:val="000000"/>
          <w:shd w:val="clear" w:color="auto" w:fill="FFFFFF"/>
        </w:rPr>
      </w:pPr>
      <w:r w:rsidRPr="001A3096">
        <w:rPr>
          <w:i/>
          <w:color w:val="000000"/>
          <w:shd w:val="clear" w:color="auto" w:fill="FFFFFF"/>
        </w:rPr>
        <w:t>Subsection 7</w:t>
      </w:r>
    </w:p>
    <w:p w14:paraId="4752E498" w14:textId="77777777" w:rsidR="0007553F" w:rsidRPr="001A3096" w:rsidRDefault="0007553F" w:rsidP="0007553F">
      <w:pPr>
        <w:jc w:val="both"/>
        <w:rPr>
          <w:color w:val="000000"/>
          <w:shd w:val="clear" w:color="auto" w:fill="FFFFFF"/>
        </w:rPr>
      </w:pPr>
      <w:r w:rsidRPr="001A3096">
        <w:rPr>
          <w:color w:val="000000"/>
          <w:shd w:val="clear" w:color="auto" w:fill="FFFFFF"/>
        </w:rPr>
        <w:t xml:space="preserve">New subsection </w:t>
      </w:r>
      <w:r w:rsidR="00A86012" w:rsidRPr="001A3096">
        <w:rPr>
          <w:color w:val="000000"/>
          <w:shd w:val="clear" w:color="auto" w:fill="FFFFFF"/>
        </w:rPr>
        <w:t>43(</w:t>
      </w:r>
      <w:r w:rsidRPr="001A3096">
        <w:rPr>
          <w:color w:val="000000"/>
          <w:shd w:val="clear" w:color="auto" w:fill="FFFFFF"/>
        </w:rPr>
        <w:t>7</w:t>
      </w:r>
      <w:r w:rsidR="00A86012" w:rsidRPr="001A3096">
        <w:rPr>
          <w:color w:val="000000"/>
          <w:shd w:val="clear" w:color="auto" w:fill="FFFFFF"/>
        </w:rPr>
        <w:t>)</w:t>
      </w:r>
      <w:r w:rsidRPr="001A3096">
        <w:rPr>
          <w:color w:val="000000"/>
          <w:shd w:val="clear" w:color="auto" w:fill="FFFFFF"/>
        </w:rPr>
        <w:t xml:space="preserve"> </w:t>
      </w:r>
      <w:r w:rsidR="00640028" w:rsidRPr="001A3096">
        <w:rPr>
          <w:color w:val="000000"/>
          <w:shd w:val="clear" w:color="auto" w:fill="FFFFFF"/>
        </w:rPr>
        <w:t xml:space="preserve">sets out what is </w:t>
      </w:r>
      <w:r w:rsidRPr="001A3096">
        <w:rPr>
          <w:color w:val="000000"/>
          <w:shd w:val="clear" w:color="auto" w:fill="FFFFFF"/>
        </w:rPr>
        <w:t xml:space="preserve">a </w:t>
      </w:r>
      <w:r w:rsidRPr="001A3096">
        <w:rPr>
          <w:i/>
          <w:color w:val="000000"/>
          <w:shd w:val="clear" w:color="auto" w:fill="FFFFFF"/>
        </w:rPr>
        <w:t>quarter</w:t>
      </w:r>
      <w:r w:rsidRPr="001A3096">
        <w:rPr>
          <w:color w:val="000000"/>
          <w:shd w:val="clear" w:color="auto" w:fill="FFFFFF"/>
        </w:rPr>
        <w:t xml:space="preserve"> of a financial year for an approved provider</w:t>
      </w:r>
      <w:r w:rsidR="00640028" w:rsidRPr="001A3096">
        <w:rPr>
          <w:color w:val="000000"/>
          <w:shd w:val="clear" w:color="auto" w:fill="FFFFFF"/>
        </w:rPr>
        <w:t>. That is</w:t>
      </w:r>
      <w:r w:rsidRPr="001A3096">
        <w:rPr>
          <w:color w:val="000000"/>
          <w:shd w:val="clear" w:color="auto" w:fill="FFFFFF"/>
        </w:rPr>
        <w:t>:</w:t>
      </w:r>
    </w:p>
    <w:p w14:paraId="5218773B" w14:textId="77777777" w:rsidR="0007553F" w:rsidRPr="001A3096" w:rsidRDefault="0007553F" w:rsidP="0007553F">
      <w:pPr>
        <w:numPr>
          <w:ilvl w:val="0"/>
          <w:numId w:val="56"/>
        </w:numPr>
        <w:jc w:val="both"/>
        <w:rPr>
          <w:bCs/>
        </w:rPr>
      </w:pPr>
      <w:r w:rsidRPr="001A3096">
        <w:rPr>
          <w:bCs/>
        </w:rPr>
        <w:t xml:space="preserve">the period of 3 months beginning on the first day of the financial year for the </w:t>
      </w:r>
      <w:r w:rsidRPr="001A3096">
        <w:t>approved</w:t>
      </w:r>
      <w:r w:rsidRPr="001A3096">
        <w:rPr>
          <w:bCs/>
        </w:rPr>
        <w:t xml:space="preserve"> provider</w:t>
      </w:r>
    </w:p>
    <w:p w14:paraId="0FA2EE60" w14:textId="77777777" w:rsidR="0007553F" w:rsidRPr="001A3096" w:rsidRDefault="0007553F" w:rsidP="0007553F">
      <w:pPr>
        <w:numPr>
          <w:ilvl w:val="0"/>
          <w:numId w:val="56"/>
        </w:numPr>
        <w:jc w:val="both"/>
        <w:rPr>
          <w:bCs/>
        </w:rPr>
      </w:pPr>
      <w:r w:rsidRPr="001A3096">
        <w:rPr>
          <w:bCs/>
        </w:rPr>
        <w:t xml:space="preserve">each successive period of 3 months that occurs during the financial year for the </w:t>
      </w:r>
      <w:r w:rsidRPr="001A3096">
        <w:t>approved</w:t>
      </w:r>
      <w:r w:rsidRPr="001A3096">
        <w:rPr>
          <w:bCs/>
        </w:rPr>
        <w:t xml:space="preserve"> provider after the end of the period mentioned in paragraph (a).</w:t>
      </w:r>
    </w:p>
    <w:p w14:paraId="789F877A" w14:textId="77777777" w:rsidR="0007553F" w:rsidRPr="001A3096" w:rsidRDefault="0007553F" w:rsidP="0007553F">
      <w:pPr>
        <w:jc w:val="both"/>
        <w:rPr>
          <w:bCs/>
        </w:rPr>
      </w:pPr>
    </w:p>
    <w:p w14:paraId="1B1D52C7" w14:textId="77777777" w:rsidR="0007553F" w:rsidRPr="001A3096" w:rsidRDefault="00640028" w:rsidP="0007553F">
      <w:pPr>
        <w:jc w:val="both"/>
        <w:rPr>
          <w:bCs/>
        </w:rPr>
      </w:pPr>
      <w:r w:rsidRPr="001A3096">
        <w:rPr>
          <w:bCs/>
        </w:rPr>
        <w:t xml:space="preserve">As made clear by the note, this provision reflects that </w:t>
      </w:r>
      <w:r w:rsidR="0007553F" w:rsidRPr="001A3096">
        <w:rPr>
          <w:bCs/>
        </w:rPr>
        <w:t>a financial year for an approved provider may begin on a day other than 1 July.</w:t>
      </w:r>
    </w:p>
    <w:p w14:paraId="4EFD4EB8" w14:textId="77777777" w:rsidR="0007553F" w:rsidRPr="001A3096" w:rsidRDefault="0007553F" w:rsidP="0007553F">
      <w:pPr>
        <w:jc w:val="both"/>
        <w:rPr>
          <w:bCs/>
        </w:rPr>
      </w:pPr>
    </w:p>
    <w:p w14:paraId="66C1CC0C" w14:textId="77777777" w:rsidR="0007553F" w:rsidRPr="001A3096" w:rsidRDefault="0007553F" w:rsidP="0007553F">
      <w:pPr>
        <w:jc w:val="both"/>
        <w:rPr>
          <w:b/>
          <w:bCs/>
        </w:rPr>
      </w:pPr>
      <w:r w:rsidRPr="001A3096">
        <w:rPr>
          <w:b/>
          <w:bCs/>
        </w:rPr>
        <w:t>Part 2—Publication of reports and information</w:t>
      </w:r>
    </w:p>
    <w:p w14:paraId="33BDD515" w14:textId="77777777" w:rsidR="0007553F" w:rsidRPr="001A3096" w:rsidRDefault="0007553F" w:rsidP="0007553F">
      <w:pPr>
        <w:jc w:val="both"/>
        <w:rPr>
          <w:b/>
          <w:bCs/>
        </w:rPr>
      </w:pPr>
    </w:p>
    <w:p w14:paraId="14A44F9D" w14:textId="77777777" w:rsidR="0007553F" w:rsidRPr="001A3096" w:rsidRDefault="0007553F" w:rsidP="0007553F">
      <w:pPr>
        <w:jc w:val="both"/>
        <w:rPr>
          <w:b/>
          <w:bCs/>
          <w:i/>
        </w:rPr>
      </w:pPr>
      <w:r w:rsidRPr="001A3096">
        <w:rPr>
          <w:b/>
          <w:bCs/>
          <w:i/>
        </w:rPr>
        <w:t>Accountability Principles 2014</w:t>
      </w:r>
    </w:p>
    <w:p w14:paraId="7E8EEA5C" w14:textId="77777777" w:rsidR="0007553F" w:rsidRPr="001A3096" w:rsidRDefault="0007553F" w:rsidP="0007553F">
      <w:pPr>
        <w:jc w:val="both"/>
        <w:rPr>
          <w:bCs/>
        </w:rPr>
      </w:pPr>
    </w:p>
    <w:p w14:paraId="4BC1D1B1" w14:textId="77777777" w:rsidR="0007553F" w:rsidRPr="001A3096" w:rsidRDefault="0007553F" w:rsidP="0007553F">
      <w:pPr>
        <w:jc w:val="both"/>
        <w:rPr>
          <w:b/>
        </w:rPr>
      </w:pPr>
      <w:r w:rsidRPr="001A3096">
        <w:rPr>
          <w:b/>
        </w:rPr>
        <w:t>Item 4 – At the end of subsection 35</w:t>
      </w:r>
      <w:proofErr w:type="gramStart"/>
      <w:r w:rsidRPr="001A3096">
        <w:rPr>
          <w:b/>
        </w:rPr>
        <w:t>A(</w:t>
      </w:r>
      <w:proofErr w:type="gramEnd"/>
      <w:r w:rsidRPr="001A3096">
        <w:rPr>
          <w:b/>
        </w:rPr>
        <w:t>1)</w:t>
      </w:r>
    </w:p>
    <w:p w14:paraId="65966052" w14:textId="77777777" w:rsidR="003319DF" w:rsidRPr="001A3096" w:rsidRDefault="004414B8" w:rsidP="003319DF">
      <w:pPr>
        <w:jc w:val="both"/>
        <w:rPr>
          <w:bCs/>
        </w:rPr>
      </w:pPr>
      <w:r w:rsidRPr="001A3096">
        <w:rPr>
          <w:bCs/>
        </w:rPr>
        <w:t xml:space="preserve">Item 4 </w:t>
      </w:r>
      <w:r w:rsidR="0007553F" w:rsidRPr="001A3096">
        <w:rPr>
          <w:bCs/>
        </w:rPr>
        <w:t>inserts a new note at the end of subsection 35</w:t>
      </w:r>
      <w:proofErr w:type="gramStart"/>
      <w:r w:rsidR="0007553F" w:rsidRPr="001A3096">
        <w:rPr>
          <w:bCs/>
        </w:rPr>
        <w:t>A(</w:t>
      </w:r>
      <w:proofErr w:type="gramEnd"/>
      <w:r w:rsidR="0007553F" w:rsidRPr="001A3096">
        <w:rPr>
          <w:bCs/>
        </w:rPr>
        <w:t>1) specifying</w:t>
      </w:r>
      <w:r w:rsidR="003319DF" w:rsidRPr="001A3096">
        <w:rPr>
          <w:bCs/>
        </w:rPr>
        <w:t>:</w:t>
      </w:r>
    </w:p>
    <w:p w14:paraId="54FA0EA4" w14:textId="62CBBF84" w:rsidR="003319DF" w:rsidRPr="001A3096" w:rsidRDefault="009208C8" w:rsidP="009355DB">
      <w:pPr>
        <w:numPr>
          <w:ilvl w:val="0"/>
          <w:numId w:val="65"/>
        </w:numPr>
        <w:jc w:val="both"/>
        <w:rPr>
          <w:bCs/>
        </w:rPr>
      </w:pPr>
      <w:r w:rsidRPr="001A3096">
        <w:rPr>
          <w:bCs/>
        </w:rPr>
        <w:t xml:space="preserve">when </w:t>
      </w:r>
      <w:r w:rsidR="0007553F" w:rsidRPr="001A3096">
        <w:rPr>
          <w:bCs/>
        </w:rPr>
        <w:t xml:space="preserve">copies of </w:t>
      </w:r>
      <w:proofErr w:type="gramStart"/>
      <w:r w:rsidR="0007553F" w:rsidRPr="001A3096">
        <w:rPr>
          <w:bCs/>
        </w:rPr>
        <w:t>general purpose</w:t>
      </w:r>
      <w:proofErr w:type="gramEnd"/>
      <w:r w:rsidR="0007553F" w:rsidRPr="001A3096">
        <w:rPr>
          <w:bCs/>
        </w:rPr>
        <w:t xml:space="preserve"> financial reports for a financial year must be</w:t>
      </w:r>
      <w:r w:rsidRPr="001A3096">
        <w:rPr>
          <w:bCs/>
        </w:rPr>
        <w:t xml:space="preserve"> given</w:t>
      </w:r>
      <w:r w:rsidR="003319DF" w:rsidRPr="001A3096">
        <w:rPr>
          <w:bCs/>
        </w:rPr>
        <w:t xml:space="preserve"> to</w:t>
      </w:r>
      <w:r w:rsidRPr="001A3096">
        <w:rPr>
          <w:bCs/>
        </w:rPr>
        <w:t xml:space="preserve"> the Secretary or other persons</w:t>
      </w:r>
      <w:r w:rsidR="003319DF" w:rsidRPr="001A3096">
        <w:rPr>
          <w:bCs/>
        </w:rPr>
        <w:t>;</w:t>
      </w:r>
      <w:r w:rsidRPr="001A3096">
        <w:rPr>
          <w:bCs/>
        </w:rPr>
        <w:t xml:space="preserve"> and</w:t>
      </w:r>
    </w:p>
    <w:p w14:paraId="18109627" w14:textId="77777777" w:rsidR="0007553F" w:rsidRPr="001A3096" w:rsidRDefault="009208C8" w:rsidP="009355DB">
      <w:pPr>
        <w:numPr>
          <w:ilvl w:val="0"/>
          <w:numId w:val="65"/>
        </w:numPr>
        <w:jc w:val="both"/>
        <w:rPr>
          <w:bCs/>
        </w:rPr>
      </w:pPr>
      <w:r w:rsidRPr="001A3096">
        <w:rPr>
          <w:bCs/>
        </w:rPr>
        <w:t>publication requirements</w:t>
      </w:r>
      <w:r w:rsidR="003319DF" w:rsidRPr="001A3096">
        <w:rPr>
          <w:bCs/>
        </w:rPr>
        <w:t xml:space="preserve"> of </w:t>
      </w:r>
      <w:proofErr w:type="gramStart"/>
      <w:r w:rsidR="003319DF" w:rsidRPr="001A3096">
        <w:rPr>
          <w:bCs/>
        </w:rPr>
        <w:t>general purpose</w:t>
      </w:r>
      <w:proofErr w:type="gramEnd"/>
      <w:r w:rsidR="003319DF" w:rsidRPr="001A3096">
        <w:rPr>
          <w:bCs/>
        </w:rPr>
        <w:t xml:space="preserve"> financial reports</w:t>
      </w:r>
      <w:r w:rsidRPr="001A3096">
        <w:rPr>
          <w:bCs/>
        </w:rPr>
        <w:t>.</w:t>
      </w:r>
    </w:p>
    <w:p w14:paraId="4F5D1136" w14:textId="77777777" w:rsidR="0007553F" w:rsidRPr="001A3096" w:rsidRDefault="0007553F" w:rsidP="0007553F">
      <w:pPr>
        <w:jc w:val="both"/>
        <w:rPr>
          <w:bCs/>
        </w:rPr>
      </w:pPr>
    </w:p>
    <w:p w14:paraId="406A238D" w14:textId="77777777" w:rsidR="0007553F" w:rsidRPr="001A3096" w:rsidRDefault="0007553F" w:rsidP="0007553F">
      <w:pPr>
        <w:jc w:val="both"/>
        <w:rPr>
          <w:b/>
        </w:rPr>
      </w:pPr>
      <w:r w:rsidRPr="001A3096">
        <w:rPr>
          <w:b/>
        </w:rPr>
        <w:t>Item 5 – Subsection 35</w:t>
      </w:r>
      <w:proofErr w:type="gramStart"/>
      <w:r w:rsidRPr="001A3096">
        <w:rPr>
          <w:b/>
        </w:rPr>
        <w:t>A(</w:t>
      </w:r>
      <w:proofErr w:type="gramEnd"/>
      <w:r w:rsidRPr="001A3096">
        <w:rPr>
          <w:b/>
        </w:rPr>
        <w:t>4) (note)</w:t>
      </w:r>
    </w:p>
    <w:p w14:paraId="42E2B762" w14:textId="77777777" w:rsidR="0007553F" w:rsidRPr="001A3096" w:rsidRDefault="004414B8" w:rsidP="0007553F">
      <w:pPr>
        <w:jc w:val="both"/>
        <w:rPr>
          <w:bCs/>
        </w:rPr>
      </w:pPr>
      <w:r w:rsidRPr="001A3096">
        <w:rPr>
          <w:bCs/>
        </w:rPr>
        <w:t xml:space="preserve">Item 5 </w:t>
      </w:r>
      <w:r w:rsidR="0007553F" w:rsidRPr="001A3096">
        <w:rPr>
          <w:bCs/>
        </w:rPr>
        <w:t>repeals the note at subsection 35</w:t>
      </w:r>
      <w:proofErr w:type="gramStart"/>
      <w:r w:rsidR="0007553F" w:rsidRPr="001A3096">
        <w:rPr>
          <w:bCs/>
        </w:rPr>
        <w:t>A(</w:t>
      </w:r>
      <w:proofErr w:type="gramEnd"/>
      <w:r w:rsidR="0007553F" w:rsidRPr="001A3096">
        <w:rPr>
          <w:bCs/>
        </w:rPr>
        <w:t>4). This</w:t>
      </w:r>
      <w:r w:rsidR="009208C8" w:rsidRPr="001A3096">
        <w:rPr>
          <w:bCs/>
        </w:rPr>
        <w:t xml:space="preserve"> a consequential amendment to </w:t>
      </w:r>
      <w:r w:rsidR="0007553F" w:rsidRPr="001A3096">
        <w:rPr>
          <w:bCs/>
        </w:rPr>
        <w:t>item 4</w:t>
      </w:r>
      <w:r w:rsidR="009208C8" w:rsidRPr="001A3096">
        <w:rPr>
          <w:bCs/>
        </w:rPr>
        <w:t xml:space="preserve"> above</w:t>
      </w:r>
      <w:r w:rsidR="0007553F" w:rsidRPr="001A3096">
        <w:rPr>
          <w:bCs/>
        </w:rPr>
        <w:t>.</w:t>
      </w:r>
    </w:p>
    <w:p w14:paraId="0EA1F84E" w14:textId="77777777" w:rsidR="0007553F" w:rsidRPr="001A3096" w:rsidRDefault="0007553F" w:rsidP="0007553F">
      <w:pPr>
        <w:jc w:val="both"/>
        <w:rPr>
          <w:bCs/>
        </w:rPr>
      </w:pPr>
    </w:p>
    <w:p w14:paraId="76BF89AC" w14:textId="77777777" w:rsidR="0007553F" w:rsidRPr="001A3096" w:rsidRDefault="0007553F" w:rsidP="0007553F">
      <w:pPr>
        <w:jc w:val="both"/>
        <w:rPr>
          <w:b/>
        </w:rPr>
      </w:pPr>
      <w:r w:rsidRPr="001A3096">
        <w:rPr>
          <w:b/>
        </w:rPr>
        <w:t>Item 6 – Section 36 (heading)</w:t>
      </w:r>
    </w:p>
    <w:p w14:paraId="2D11744F" w14:textId="77777777" w:rsidR="0007553F" w:rsidRPr="001A3096" w:rsidRDefault="004414B8" w:rsidP="0007553F">
      <w:pPr>
        <w:jc w:val="both"/>
        <w:rPr>
          <w:bCs/>
        </w:rPr>
      </w:pPr>
      <w:r w:rsidRPr="001A3096">
        <w:rPr>
          <w:bCs/>
        </w:rPr>
        <w:t xml:space="preserve">Item 6 </w:t>
      </w:r>
      <w:r w:rsidR="0007553F" w:rsidRPr="001A3096">
        <w:rPr>
          <w:bCs/>
        </w:rPr>
        <w:t xml:space="preserve">omits the words “—non‑government approved providers” from the heading of section 36. This simplifies the heading without changing the </w:t>
      </w:r>
      <w:r w:rsidR="0078322A" w:rsidRPr="001A3096">
        <w:rPr>
          <w:bCs/>
        </w:rPr>
        <w:t xml:space="preserve">existing provisions that relate to the </w:t>
      </w:r>
      <w:proofErr w:type="gramStart"/>
      <w:r w:rsidR="0078322A" w:rsidRPr="001A3096">
        <w:rPr>
          <w:bCs/>
        </w:rPr>
        <w:t>general purpose</w:t>
      </w:r>
      <w:proofErr w:type="gramEnd"/>
      <w:r w:rsidR="0078322A" w:rsidRPr="001A3096">
        <w:rPr>
          <w:bCs/>
        </w:rPr>
        <w:t xml:space="preserve"> financial report</w:t>
      </w:r>
      <w:r w:rsidR="003319DF" w:rsidRPr="001A3096">
        <w:rPr>
          <w:bCs/>
        </w:rPr>
        <w:t>,</w:t>
      </w:r>
      <w:r w:rsidR="0007553F" w:rsidRPr="001A3096">
        <w:rPr>
          <w:bCs/>
        </w:rPr>
        <w:t xml:space="preserve"> which is specified by section 35(4) and clarified by the heading of section 35A.</w:t>
      </w:r>
    </w:p>
    <w:p w14:paraId="11A7D909" w14:textId="77777777" w:rsidR="0007553F" w:rsidRPr="001A3096" w:rsidRDefault="0007553F" w:rsidP="0007553F">
      <w:pPr>
        <w:jc w:val="both"/>
        <w:rPr>
          <w:b/>
        </w:rPr>
      </w:pPr>
    </w:p>
    <w:p w14:paraId="6F3DFC0B" w14:textId="77777777" w:rsidR="0007553F" w:rsidRPr="001A3096" w:rsidRDefault="0007553F" w:rsidP="0007553F">
      <w:pPr>
        <w:jc w:val="both"/>
        <w:rPr>
          <w:b/>
        </w:rPr>
      </w:pPr>
      <w:r w:rsidRPr="001A3096">
        <w:rPr>
          <w:b/>
        </w:rPr>
        <w:t>Item 7 – Section 37A (heading)</w:t>
      </w:r>
    </w:p>
    <w:p w14:paraId="37FB20AA" w14:textId="77777777" w:rsidR="0007553F" w:rsidRPr="001A3096" w:rsidRDefault="004414B8" w:rsidP="0007553F">
      <w:pPr>
        <w:jc w:val="both"/>
        <w:rPr>
          <w:bCs/>
        </w:rPr>
      </w:pPr>
      <w:r w:rsidRPr="001A3096">
        <w:rPr>
          <w:bCs/>
        </w:rPr>
        <w:t xml:space="preserve">Item 7 </w:t>
      </w:r>
      <w:r w:rsidR="0007553F" w:rsidRPr="001A3096">
        <w:rPr>
          <w:bCs/>
        </w:rPr>
        <w:t>omits the wording “by non</w:t>
      </w:r>
      <w:r w:rsidR="0007553F" w:rsidRPr="001A3096">
        <w:rPr>
          <w:bCs/>
        </w:rPr>
        <w:noBreakHyphen/>
        <w:t>government approved providers” from the heading of section 37A. This simplifies the heading without changing the</w:t>
      </w:r>
      <w:r w:rsidR="00C34605" w:rsidRPr="001A3096">
        <w:rPr>
          <w:bCs/>
        </w:rPr>
        <w:t xml:space="preserve"> existing provisions that relate the </w:t>
      </w:r>
      <w:proofErr w:type="gramStart"/>
      <w:r w:rsidR="00C34605" w:rsidRPr="001A3096">
        <w:rPr>
          <w:bCs/>
        </w:rPr>
        <w:t>general purpose</w:t>
      </w:r>
      <w:proofErr w:type="gramEnd"/>
      <w:r w:rsidR="00C34605" w:rsidRPr="001A3096">
        <w:rPr>
          <w:bCs/>
        </w:rPr>
        <w:t xml:space="preserve"> financial report</w:t>
      </w:r>
      <w:r w:rsidR="0007553F" w:rsidRPr="001A3096">
        <w:rPr>
          <w:bCs/>
        </w:rPr>
        <w:t>, which is specified by section 35(4) and clarified by the heading of section 35A.</w:t>
      </w:r>
    </w:p>
    <w:p w14:paraId="3820FE8A" w14:textId="77777777" w:rsidR="0007553F" w:rsidRPr="001A3096" w:rsidRDefault="0007553F" w:rsidP="0007553F">
      <w:pPr>
        <w:jc w:val="both"/>
        <w:rPr>
          <w:bCs/>
        </w:rPr>
      </w:pPr>
    </w:p>
    <w:p w14:paraId="64D1B35F" w14:textId="77777777" w:rsidR="0007553F" w:rsidRPr="001A3096" w:rsidRDefault="0007553F" w:rsidP="0007553F">
      <w:pPr>
        <w:jc w:val="both"/>
        <w:rPr>
          <w:b/>
        </w:rPr>
      </w:pPr>
      <w:r w:rsidRPr="001A3096">
        <w:rPr>
          <w:b/>
        </w:rPr>
        <w:t>Item 8 – Section 37A</w:t>
      </w:r>
    </w:p>
    <w:p w14:paraId="5BDB290A" w14:textId="77777777" w:rsidR="0007553F" w:rsidRPr="001A3096" w:rsidRDefault="004414B8" w:rsidP="0007553F">
      <w:pPr>
        <w:jc w:val="both"/>
        <w:rPr>
          <w:bCs/>
        </w:rPr>
      </w:pPr>
      <w:r w:rsidRPr="001A3096">
        <w:rPr>
          <w:bCs/>
        </w:rPr>
        <w:t xml:space="preserve">Item 8 </w:t>
      </w:r>
      <w:r w:rsidR="0007553F" w:rsidRPr="001A3096">
        <w:rPr>
          <w:bCs/>
        </w:rPr>
        <w:t>inserts the words “mentioned in subsection 35(4)” after “An approved provider”. This clarifies that section 37A only applies in relation to an approved provider mentioned in subsection 35(4).</w:t>
      </w:r>
    </w:p>
    <w:p w14:paraId="01C24332" w14:textId="77777777" w:rsidR="0007553F" w:rsidRPr="001A3096" w:rsidRDefault="0007553F" w:rsidP="0007553F">
      <w:pPr>
        <w:jc w:val="both"/>
        <w:rPr>
          <w:bCs/>
        </w:rPr>
      </w:pPr>
    </w:p>
    <w:p w14:paraId="1498917C" w14:textId="77777777" w:rsidR="0007553F" w:rsidRPr="001A3096" w:rsidRDefault="0007553F" w:rsidP="0007553F">
      <w:pPr>
        <w:keepNext/>
        <w:jc w:val="both"/>
        <w:rPr>
          <w:b/>
        </w:rPr>
      </w:pPr>
      <w:r w:rsidRPr="001A3096">
        <w:rPr>
          <w:b/>
        </w:rPr>
        <w:lastRenderedPageBreak/>
        <w:t>Item 9 – After section 37A</w:t>
      </w:r>
    </w:p>
    <w:p w14:paraId="3C11FDFE" w14:textId="77777777" w:rsidR="0007553F" w:rsidRPr="001A3096" w:rsidRDefault="004414B8" w:rsidP="0007553F">
      <w:pPr>
        <w:keepNext/>
        <w:jc w:val="both"/>
        <w:rPr>
          <w:bCs/>
        </w:rPr>
      </w:pPr>
      <w:r w:rsidRPr="001A3096">
        <w:rPr>
          <w:bCs/>
        </w:rPr>
        <w:t xml:space="preserve">Item 9 </w:t>
      </w:r>
      <w:r w:rsidR="0007553F" w:rsidRPr="001A3096">
        <w:rPr>
          <w:bCs/>
        </w:rPr>
        <w:t>inserts new section 37B</w:t>
      </w:r>
      <w:r w:rsidR="00164F9C" w:rsidRPr="001A3096">
        <w:rPr>
          <w:bCs/>
        </w:rPr>
        <w:t xml:space="preserve">, which deals with the publication of </w:t>
      </w:r>
      <w:proofErr w:type="gramStart"/>
      <w:r w:rsidR="00164F9C" w:rsidRPr="001A3096">
        <w:rPr>
          <w:bCs/>
        </w:rPr>
        <w:t>general purpose</w:t>
      </w:r>
      <w:proofErr w:type="gramEnd"/>
      <w:r w:rsidR="00164F9C" w:rsidRPr="001A3096">
        <w:rPr>
          <w:bCs/>
        </w:rPr>
        <w:t xml:space="preserve"> financial reports and audit opinions</w:t>
      </w:r>
      <w:r w:rsidR="0007553F" w:rsidRPr="001A3096">
        <w:rPr>
          <w:bCs/>
        </w:rPr>
        <w:t>.</w:t>
      </w:r>
    </w:p>
    <w:p w14:paraId="1949CFBE" w14:textId="77777777" w:rsidR="0007553F" w:rsidRPr="001A3096" w:rsidRDefault="0007553F" w:rsidP="0007553F">
      <w:pPr>
        <w:keepNext/>
        <w:jc w:val="both"/>
        <w:rPr>
          <w:bCs/>
        </w:rPr>
      </w:pPr>
    </w:p>
    <w:p w14:paraId="3FB37707" w14:textId="77777777" w:rsidR="0007553F" w:rsidRPr="001A3096" w:rsidRDefault="0007553F" w:rsidP="0007553F">
      <w:pPr>
        <w:keepNext/>
        <w:jc w:val="both"/>
        <w:rPr>
          <w:bCs/>
          <w:i/>
        </w:rPr>
      </w:pPr>
      <w:r w:rsidRPr="001A3096">
        <w:rPr>
          <w:bCs/>
          <w:i/>
        </w:rPr>
        <w:t xml:space="preserve">Subsection </w:t>
      </w:r>
      <w:r w:rsidR="00164F9C" w:rsidRPr="001A3096">
        <w:rPr>
          <w:bCs/>
          <w:i/>
        </w:rPr>
        <w:t>37</w:t>
      </w:r>
      <w:proofErr w:type="gramStart"/>
      <w:r w:rsidR="00164F9C" w:rsidRPr="001A3096">
        <w:rPr>
          <w:bCs/>
          <w:i/>
        </w:rPr>
        <w:t>B(</w:t>
      </w:r>
      <w:proofErr w:type="gramEnd"/>
      <w:r w:rsidRPr="001A3096">
        <w:rPr>
          <w:bCs/>
          <w:i/>
        </w:rPr>
        <w:t>1</w:t>
      </w:r>
      <w:r w:rsidR="00164F9C" w:rsidRPr="001A3096">
        <w:rPr>
          <w:bCs/>
          <w:i/>
        </w:rPr>
        <w:t>)</w:t>
      </w:r>
    </w:p>
    <w:p w14:paraId="62EA1A90" w14:textId="77777777" w:rsidR="0007553F" w:rsidRPr="001A3096" w:rsidRDefault="00164F9C" w:rsidP="0007553F">
      <w:pPr>
        <w:keepNext/>
        <w:jc w:val="both"/>
        <w:rPr>
          <w:bCs/>
        </w:rPr>
      </w:pPr>
      <w:r w:rsidRPr="001A3096">
        <w:rPr>
          <w:bCs/>
        </w:rPr>
        <w:t>New s</w:t>
      </w:r>
      <w:r w:rsidR="0007553F" w:rsidRPr="001A3096">
        <w:rPr>
          <w:bCs/>
        </w:rPr>
        <w:t xml:space="preserve">ubsection </w:t>
      </w:r>
      <w:r w:rsidR="00A86012" w:rsidRPr="001A3096">
        <w:rPr>
          <w:bCs/>
        </w:rPr>
        <w:t>37</w:t>
      </w:r>
      <w:proofErr w:type="gramStart"/>
      <w:r w:rsidR="00A86012" w:rsidRPr="001A3096">
        <w:rPr>
          <w:bCs/>
        </w:rPr>
        <w:t>B(</w:t>
      </w:r>
      <w:proofErr w:type="gramEnd"/>
      <w:r w:rsidR="0007553F" w:rsidRPr="001A3096">
        <w:rPr>
          <w:bCs/>
        </w:rPr>
        <w:t>1</w:t>
      </w:r>
      <w:r w:rsidR="00A86012" w:rsidRPr="001A3096">
        <w:rPr>
          <w:bCs/>
        </w:rPr>
        <w:t>)</w:t>
      </w:r>
      <w:r w:rsidR="0007553F" w:rsidRPr="001A3096">
        <w:rPr>
          <w:bCs/>
        </w:rPr>
        <w:t xml:space="preserve"> specifies that if an approved provider is required under section 35A to prepare one or more general purpose financial reports for a financial year </w:t>
      </w:r>
      <w:r w:rsidR="00792F97" w:rsidRPr="001A3096">
        <w:rPr>
          <w:bCs/>
        </w:rPr>
        <w:t>for</w:t>
      </w:r>
      <w:r w:rsidR="0007553F" w:rsidRPr="001A3096">
        <w:rPr>
          <w:bCs/>
        </w:rPr>
        <w:t xml:space="preserve"> the approved provider, then the approved provider must ensure that, for a period of at least 3 years starting no later than 5 months after the end of the financial year for the approved provider:</w:t>
      </w:r>
    </w:p>
    <w:p w14:paraId="4A09EA0B" w14:textId="77777777" w:rsidR="0007553F" w:rsidRPr="001A3096" w:rsidRDefault="0007553F" w:rsidP="0007553F">
      <w:pPr>
        <w:keepNext/>
        <w:numPr>
          <w:ilvl w:val="0"/>
          <w:numId w:val="40"/>
        </w:numPr>
        <w:jc w:val="both"/>
        <w:rPr>
          <w:bCs/>
        </w:rPr>
      </w:pPr>
      <w:r w:rsidRPr="001A3096">
        <w:rPr>
          <w:bCs/>
        </w:rPr>
        <w:t xml:space="preserve">each </w:t>
      </w:r>
      <w:proofErr w:type="gramStart"/>
      <w:r w:rsidRPr="001A3096">
        <w:rPr>
          <w:bCs/>
        </w:rPr>
        <w:t>general purpose</w:t>
      </w:r>
      <w:proofErr w:type="gramEnd"/>
      <w:r w:rsidRPr="001A3096">
        <w:rPr>
          <w:bCs/>
        </w:rPr>
        <w:t xml:space="preserve"> financial report is published in a way that makes the report readily accessible to members of the public, on:</w:t>
      </w:r>
    </w:p>
    <w:p w14:paraId="796478C4" w14:textId="77777777" w:rsidR="0007553F" w:rsidRPr="001A3096" w:rsidRDefault="0007553F" w:rsidP="0007553F">
      <w:pPr>
        <w:keepNext/>
        <w:numPr>
          <w:ilvl w:val="1"/>
          <w:numId w:val="40"/>
        </w:numPr>
        <w:jc w:val="both"/>
        <w:rPr>
          <w:bCs/>
        </w:rPr>
      </w:pPr>
      <w:r w:rsidRPr="001A3096">
        <w:rPr>
          <w:bCs/>
        </w:rPr>
        <w:t>if the approved provider has a website—on a website of the approved provider; or</w:t>
      </w:r>
    </w:p>
    <w:p w14:paraId="1E79F011" w14:textId="77777777" w:rsidR="0007553F" w:rsidRPr="001A3096" w:rsidRDefault="0007553F" w:rsidP="0007553F">
      <w:pPr>
        <w:keepNext/>
        <w:numPr>
          <w:ilvl w:val="1"/>
          <w:numId w:val="40"/>
        </w:numPr>
        <w:jc w:val="both"/>
        <w:rPr>
          <w:bCs/>
        </w:rPr>
      </w:pPr>
      <w:r w:rsidRPr="001A3096">
        <w:rPr>
          <w:bCs/>
        </w:rPr>
        <w:t>if the approved provider does not have a website—on another website; and</w:t>
      </w:r>
    </w:p>
    <w:p w14:paraId="46FB6F34" w14:textId="77777777" w:rsidR="0007553F" w:rsidRPr="001A3096" w:rsidRDefault="0007553F" w:rsidP="0007553F">
      <w:pPr>
        <w:keepNext/>
        <w:numPr>
          <w:ilvl w:val="0"/>
          <w:numId w:val="40"/>
        </w:numPr>
        <w:jc w:val="both"/>
        <w:rPr>
          <w:bCs/>
        </w:rPr>
      </w:pPr>
      <w:r w:rsidRPr="001A3096">
        <w:rPr>
          <w:bCs/>
        </w:rPr>
        <w:t>each audit opinion about such a report that is obtained in accordance with section 36 of the Accountability Principles is published on the same website.</w:t>
      </w:r>
    </w:p>
    <w:p w14:paraId="36E5EC1E" w14:textId="77777777" w:rsidR="0007553F" w:rsidRPr="001A3096" w:rsidRDefault="0007553F" w:rsidP="0007553F">
      <w:pPr>
        <w:keepNext/>
        <w:jc w:val="both"/>
        <w:rPr>
          <w:bCs/>
        </w:rPr>
      </w:pPr>
    </w:p>
    <w:p w14:paraId="2DA006A7" w14:textId="4FC2D502" w:rsidR="0007553F" w:rsidRPr="001A3096" w:rsidRDefault="0007553F" w:rsidP="0007553F">
      <w:pPr>
        <w:keepNext/>
        <w:jc w:val="both"/>
        <w:rPr>
          <w:bCs/>
        </w:rPr>
      </w:pPr>
      <w:r w:rsidRPr="001A3096">
        <w:rPr>
          <w:bCs/>
        </w:rPr>
        <w:t xml:space="preserve">This will increase financial transparency and </w:t>
      </w:r>
      <w:r w:rsidR="00164F9C" w:rsidRPr="001A3096">
        <w:rPr>
          <w:bCs/>
        </w:rPr>
        <w:t xml:space="preserve">assist </w:t>
      </w:r>
      <w:r w:rsidRPr="001A3096">
        <w:rPr>
          <w:bCs/>
        </w:rPr>
        <w:t xml:space="preserve">current and prospective </w:t>
      </w:r>
      <w:r w:rsidR="004D6A36" w:rsidRPr="001A3096">
        <w:rPr>
          <w:bCs/>
        </w:rPr>
        <w:t xml:space="preserve">care recipients </w:t>
      </w:r>
      <w:r w:rsidRPr="001A3096">
        <w:rPr>
          <w:bCs/>
        </w:rPr>
        <w:t>of aged care services</w:t>
      </w:r>
      <w:r w:rsidR="00792F97" w:rsidRPr="001A3096">
        <w:rPr>
          <w:bCs/>
        </w:rPr>
        <w:t xml:space="preserve"> to make more informed choices about their care</w:t>
      </w:r>
      <w:r w:rsidR="00164F9C" w:rsidRPr="001A3096">
        <w:rPr>
          <w:bCs/>
        </w:rPr>
        <w:t xml:space="preserve"> by ensuring up to date financial information about approved providers</w:t>
      </w:r>
      <w:r w:rsidR="00A40C5C" w:rsidRPr="001A3096">
        <w:rPr>
          <w:bCs/>
        </w:rPr>
        <w:t xml:space="preserve"> is</w:t>
      </w:r>
      <w:r w:rsidR="00164F9C" w:rsidRPr="001A3096">
        <w:rPr>
          <w:bCs/>
        </w:rPr>
        <w:t xml:space="preserve"> more easily accessible</w:t>
      </w:r>
      <w:r w:rsidRPr="001A3096">
        <w:rPr>
          <w:bCs/>
        </w:rPr>
        <w:t xml:space="preserve">. </w:t>
      </w:r>
    </w:p>
    <w:p w14:paraId="6F2C00A5" w14:textId="77777777" w:rsidR="0007553F" w:rsidRPr="001A3096" w:rsidRDefault="0007553F" w:rsidP="0007553F">
      <w:pPr>
        <w:keepNext/>
        <w:jc w:val="both"/>
        <w:rPr>
          <w:bCs/>
        </w:rPr>
      </w:pPr>
    </w:p>
    <w:p w14:paraId="06219AD4" w14:textId="77777777" w:rsidR="0007553F" w:rsidRPr="001A3096" w:rsidRDefault="0007553F" w:rsidP="0007553F">
      <w:pPr>
        <w:keepNext/>
        <w:jc w:val="both"/>
        <w:rPr>
          <w:bCs/>
          <w:i/>
        </w:rPr>
      </w:pPr>
      <w:r w:rsidRPr="001A3096">
        <w:rPr>
          <w:bCs/>
          <w:i/>
        </w:rPr>
        <w:t xml:space="preserve">Subsection </w:t>
      </w:r>
      <w:r w:rsidR="00164F9C" w:rsidRPr="001A3096">
        <w:rPr>
          <w:bCs/>
          <w:i/>
        </w:rPr>
        <w:t>37</w:t>
      </w:r>
      <w:proofErr w:type="gramStart"/>
      <w:r w:rsidR="00164F9C" w:rsidRPr="001A3096">
        <w:rPr>
          <w:bCs/>
          <w:i/>
        </w:rPr>
        <w:t>B(</w:t>
      </w:r>
      <w:proofErr w:type="gramEnd"/>
      <w:r w:rsidRPr="001A3096">
        <w:rPr>
          <w:bCs/>
          <w:i/>
        </w:rPr>
        <w:t>2</w:t>
      </w:r>
      <w:r w:rsidR="00164F9C" w:rsidRPr="001A3096">
        <w:rPr>
          <w:bCs/>
          <w:i/>
        </w:rPr>
        <w:t>)</w:t>
      </w:r>
    </w:p>
    <w:p w14:paraId="523D653F" w14:textId="49E55912" w:rsidR="0007553F" w:rsidRPr="001A3096" w:rsidRDefault="00164F9C" w:rsidP="0007553F">
      <w:pPr>
        <w:keepNext/>
        <w:jc w:val="both"/>
        <w:rPr>
          <w:bCs/>
        </w:rPr>
      </w:pPr>
      <w:r w:rsidRPr="001A3096">
        <w:rPr>
          <w:bCs/>
        </w:rPr>
        <w:t>New s</w:t>
      </w:r>
      <w:r w:rsidR="0007553F" w:rsidRPr="001A3096">
        <w:rPr>
          <w:bCs/>
        </w:rPr>
        <w:t xml:space="preserve">ubsection </w:t>
      </w:r>
      <w:r w:rsidR="00A86012" w:rsidRPr="001A3096">
        <w:rPr>
          <w:bCs/>
        </w:rPr>
        <w:t>37</w:t>
      </w:r>
      <w:proofErr w:type="gramStart"/>
      <w:r w:rsidR="00A86012" w:rsidRPr="001A3096">
        <w:rPr>
          <w:bCs/>
        </w:rPr>
        <w:t>B(</w:t>
      </w:r>
      <w:proofErr w:type="gramEnd"/>
      <w:r w:rsidR="0007553F" w:rsidRPr="001A3096">
        <w:rPr>
          <w:bCs/>
        </w:rPr>
        <w:t>2</w:t>
      </w:r>
      <w:r w:rsidR="00A86012" w:rsidRPr="001A3096">
        <w:rPr>
          <w:bCs/>
        </w:rPr>
        <w:t>)</w:t>
      </w:r>
      <w:r w:rsidR="0007553F" w:rsidRPr="001A3096">
        <w:rPr>
          <w:bCs/>
        </w:rPr>
        <w:t xml:space="preserve"> specifies that all material published under subsection </w:t>
      </w:r>
      <w:r w:rsidR="003319DF" w:rsidRPr="001A3096">
        <w:rPr>
          <w:bCs/>
        </w:rPr>
        <w:t>(</w:t>
      </w:r>
      <w:r w:rsidR="0007553F" w:rsidRPr="001A3096">
        <w:rPr>
          <w:bCs/>
        </w:rPr>
        <w:t>1</w:t>
      </w:r>
      <w:r w:rsidR="003319DF" w:rsidRPr="001A3096">
        <w:rPr>
          <w:bCs/>
        </w:rPr>
        <w:t>)</w:t>
      </w:r>
      <w:r w:rsidR="0007553F" w:rsidRPr="001A3096">
        <w:rPr>
          <w:bCs/>
        </w:rPr>
        <w:t xml:space="preserve"> </w:t>
      </w:r>
      <w:r w:rsidR="0007553F" w:rsidRPr="001A3096">
        <w:t xml:space="preserve">must be published on </w:t>
      </w:r>
      <w:r w:rsidRPr="001A3096">
        <w:t xml:space="preserve">the same </w:t>
      </w:r>
      <w:r w:rsidR="0007553F" w:rsidRPr="001A3096">
        <w:t>website</w:t>
      </w:r>
      <w:r w:rsidRPr="001A3096">
        <w:t xml:space="preserve"> even if that website </w:t>
      </w:r>
      <w:r w:rsidR="0007553F" w:rsidRPr="001A3096">
        <w:t>may change from time to time.</w:t>
      </w:r>
      <w:r w:rsidR="0007553F" w:rsidRPr="001A3096">
        <w:rPr>
          <w:bCs/>
        </w:rPr>
        <w:t xml:space="preserve"> This </w:t>
      </w:r>
      <w:r w:rsidRPr="001A3096">
        <w:rPr>
          <w:bCs/>
        </w:rPr>
        <w:t xml:space="preserve">ensures </w:t>
      </w:r>
      <w:r w:rsidR="00792F97" w:rsidRPr="001A3096">
        <w:rPr>
          <w:bCs/>
        </w:rPr>
        <w:t>a person</w:t>
      </w:r>
      <w:r w:rsidR="0007553F" w:rsidRPr="001A3096">
        <w:rPr>
          <w:bCs/>
        </w:rPr>
        <w:t xml:space="preserve"> </w:t>
      </w:r>
      <w:r w:rsidRPr="001A3096">
        <w:rPr>
          <w:bCs/>
        </w:rPr>
        <w:t xml:space="preserve">is </w:t>
      </w:r>
      <w:r w:rsidR="0007553F" w:rsidRPr="001A3096">
        <w:rPr>
          <w:bCs/>
        </w:rPr>
        <w:t xml:space="preserve">be able to access all information </w:t>
      </w:r>
      <w:r w:rsidR="00B509F1" w:rsidRPr="001A3096">
        <w:rPr>
          <w:bCs/>
        </w:rPr>
        <w:t xml:space="preserve">published under subsection (1) </w:t>
      </w:r>
      <w:r w:rsidRPr="001A3096">
        <w:rPr>
          <w:bCs/>
        </w:rPr>
        <w:t>in one place. This aims to</w:t>
      </w:r>
      <w:r w:rsidR="0007553F" w:rsidRPr="001A3096">
        <w:rPr>
          <w:bCs/>
        </w:rPr>
        <w:t xml:space="preserve"> improv</w:t>
      </w:r>
      <w:r w:rsidRPr="001A3096">
        <w:rPr>
          <w:bCs/>
        </w:rPr>
        <w:t>e</w:t>
      </w:r>
      <w:r w:rsidR="0007553F" w:rsidRPr="001A3096">
        <w:rPr>
          <w:bCs/>
        </w:rPr>
        <w:t xml:space="preserve"> transparency</w:t>
      </w:r>
      <w:r w:rsidR="00792F97" w:rsidRPr="001A3096">
        <w:rPr>
          <w:bCs/>
        </w:rPr>
        <w:t xml:space="preserve"> and accessibility of the information</w:t>
      </w:r>
      <w:r w:rsidRPr="001A3096">
        <w:rPr>
          <w:bCs/>
        </w:rPr>
        <w:t xml:space="preserve"> </w:t>
      </w:r>
      <w:r w:rsidR="00B509F1" w:rsidRPr="001A3096">
        <w:rPr>
          <w:bCs/>
        </w:rPr>
        <w:t xml:space="preserve">for </w:t>
      </w:r>
      <w:r w:rsidR="004D6A36" w:rsidRPr="001A3096">
        <w:rPr>
          <w:bCs/>
        </w:rPr>
        <w:t>care recipients</w:t>
      </w:r>
      <w:r w:rsidR="00B509F1" w:rsidRPr="001A3096">
        <w:rPr>
          <w:bCs/>
        </w:rPr>
        <w:t>,</w:t>
      </w:r>
      <w:r w:rsidRPr="001A3096">
        <w:rPr>
          <w:bCs/>
        </w:rPr>
        <w:t xml:space="preserve"> while also recognising that approved providers may need flexibility to </w:t>
      </w:r>
      <w:r w:rsidR="0007553F" w:rsidRPr="001A3096">
        <w:rPr>
          <w:bCs/>
        </w:rPr>
        <w:t>change the website the information is published on at any time</w:t>
      </w:r>
      <w:r w:rsidRPr="001A3096">
        <w:rPr>
          <w:bCs/>
        </w:rPr>
        <w:t>.</w:t>
      </w:r>
      <w:r w:rsidR="0007553F" w:rsidRPr="001A3096">
        <w:rPr>
          <w:bCs/>
        </w:rPr>
        <w:t xml:space="preserve"> </w:t>
      </w:r>
    </w:p>
    <w:p w14:paraId="1861FE80" w14:textId="77777777" w:rsidR="0007553F" w:rsidRPr="001A3096" w:rsidRDefault="0007553F" w:rsidP="0007553F">
      <w:pPr>
        <w:keepNext/>
        <w:jc w:val="both"/>
        <w:rPr>
          <w:bCs/>
        </w:rPr>
      </w:pPr>
    </w:p>
    <w:p w14:paraId="026D3B76" w14:textId="77777777" w:rsidR="0007553F" w:rsidRPr="001A3096" w:rsidRDefault="0007553F" w:rsidP="0007553F">
      <w:pPr>
        <w:jc w:val="both"/>
        <w:rPr>
          <w:b/>
          <w:i/>
          <w:iCs/>
        </w:rPr>
      </w:pPr>
      <w:r w:rsidRPr="001A3096">
        <w:rPr>
          <w:b/>
          <w:i/>
          <w:iCs/>
        </w:rPr>
        <w:t>Information principles 2014</w:t>
      </w:r>
    </w:p>
    <w:p w14:paraId="338ED1DE" w14:textId="77777777" w:rsidR="0007553F" w:rsidRPr="001A3096" w:rsidRDefault="0007553F" w:rsidP="0007553F">
      <w:pPr>
        <w:jc w:val="both"/>
        <w:rPr>
          <w:b/>
        </w:rPr>
      </w:pPr>
    </w:p>
    <w:p w14:paraId="09160DBE" w14:textId="77777777" w:rsidR="0007553F" w:rsidRPr="001A3096" w:rsidRDefault="0007553F" w:rsidP="0007553F">
      <w:pPr>
        <w:jc w:val="both"/>
        <w:rPr>
          <w:b/>
        </w:rPr>
      </w:pPr>
      <w:r w:rsidRPr="001A3096">
        <w:rPr>
          <w:b/>
        </w:rPr>
        <w:t>Item 10 – At the end of section 8</w:t>
      </w:r>
    </w:p>
    <w:p w14:paraId="22025604" w14:textId="7CDF18A8" w:rsidR="0007553F" w:rsidRPr="001A3096" w:rsidRDefault="00411AC6" w:rsidP="00013210">
      <w:pPr>
        <w:keepNext/>
        <w:jc w:val="both"/>
        <w:rPr>
          <w:bCs/>
        </w:rPr>
      </w:pPr>
      <w:r w:rsidRPr="001A3096">
        <w:rPr>
          <w:bCs/>
        </w:rPr>
        <w:t>I</w:t>
      </w:r>
      <w:r w:rsidR="0007553F" w:rsidRPr="001A3096">
        <w:rPr>
          <w:bCs/>
        </w:rPr>
        <w:t xml:space="preserve">tem 10 inserts new paragraphs (f) and (g) </w:t>
      </w:r>
      <w:r w:rsidR="00792F97" w:rsidRPr="001A3096">
        <w:rPr>
          <w:bCs/>
        </w:rPr>
        <w:t>in</w:t>
      </w:r>
      <w:r w:rsidR="0007553F" w:rsidRPr="001A3096">
        <w:rPr>
          <w:bCs/>
        </w:rPr>
        <w:t xml:space="preserve">to section 8 of the Information Principles. </w:t>
      </w:r>
      <w:r w:rsidR="0007553F" w:rsidRPr="001A3096">
        <w:rPr>
          <w:bCs/>
          <w:iCs/>
        </w:rPr>
        <w:t xml:space="preserve">This item </w:t>
      </w:r>
      <w:r w:rsidRPr="001A3096">
        <w:rPr>
          <w:bCs/>
          <w:iCs/>
        </w:rPr>
        <w:t xml:space="preserve">aims to </w:t>
      </w:r>
      <w:r w:rsidR="0007553F" w:rsidRPr="001A3096">
        <w:rPr>
          <w:bCs/>
          <w:iCs/>
        </w:rPr>
        <w:t xml:space="preserve">increase transparency </w:t>
      </w:r>
      <w:r w:rsidRPr="001A3096">
        <w:rPr>
          <w:bCs/>
          <w:iCs/>
        </w:rPr>
        <w:t xml:space="preserve">by </w:t>
      </w:r>
      <w:r w:rsidR="006F51E0" w:rsidRPr="001A3096">
        <w:rPr>
          <w:bCs/>
          <w:iCs/>
        </w:rPr>
        <w:t>enabl</w:t>
      </w:r>
      <w:r w:rsidRPr="001A3096">
        <w:rPr>
          <w:bCs/>
          <w:iCs/>
        </w:rPr>
        <w:t>ing</w:t>
      </w:r>
      <w:r w:rsidR="0007553F" w:rsidRPr="001A3096">
        <w:rPr>
          <w:bCs/>
          <w:iCs/>
        </w:rPr>
        <w:t xml:space="preserve"> the Secretary to publish</w:t>
      </w:r>
      <w:r w:rsidR="00702D6C" w:rsidRPr="001A3096">
        <w:rPr>
          <w:bCs/>
          <w:iCs/>
        </w:rPr>
        <w:t xml:space="preserve"> certain</w:t>
      </w:r>
      <w:r w:rsidR="0007553F" w:rsidRPr="001A3096">
        <w:rPr>
          <w:bCs/>
          <w:iCs/>
        </w:rPr>
        <w:t xml:space="preserve"> information</w:t>
      </w:r>
      <w:r w:rsidR="00702D6C" w:rsidRPr="001A3096">
        <w:rPr>
          <w:bCs/>
          <w:iCs/>
        </w:rPr>
        <w:t>, including specific</w:t>
      </w:r>
      <w:r w:rsidR="004F511A" w:rsidRPr="001A3096">
        <w:rPr>
          <w:bCs/>
          <w:iCs/>
        </w:rPr>
        <w:t xml:space="preserve"> financial</w:t>
      </w:r>
      <w:r w:rsidR="00702D6C" w:rsidRPr="001A3096">
        <w:rPr>
          <w:bCs/>
          <w:iCs/>
        </w:rPr>
        <w:t xml:space="preserve"> reports,</w:t>
      </w:r>
      <w:r w:rsidR="0007553F" w:rsidRPr="001A3096">
        <w:rPr>
          <w:bCs/>
          <w:iCs/>
        </w:rPr>
        <w:t xml:space="preserve"> to </w:t>
      </w:r>
      <w:r w:rsidRPr="001A3096">
        <w:rPr>
          <w:bCs/>
          <w:iCs/>
        </w:rPr>
        <w:t xml:space="preserve">assist </w:t>
      </w:r>
      <w:r w:rsidR="0007553F" w:rsidRPr="001A3096">
        <w:rPr>
          <w:bCs/>
          <w:iCs/>
        </w:rPr>
        <w:t xml:space="preserve">current and prospective </w:t>
      </w:r>
      <w:r w:rsidR="004D6A36" w:rsidRPr="001A3096">
        <w:rPr>
          <w:bCs/>
          <w:iCs/>
        </w:rPr>
        <w:t xml:space="preserve">care recipients </w:t>
      </w:r>
      <w:r w:rsidR="0007553F" w:rsidRPr="001A3096">
        <w:rPr>
          <w:bCs/>
          <w:iCs/>
        </w:rPr>
        <w:t>of aged care services to make better</w:t>
      </w:r>
      <w:r w:rsidR="0007553F" w:rsidRPr="001A3096">
        <w:rPr>
          <w:bCs/>
          <w:iCs/>
        </w:rPr>
        <w:noBreakHyphen/>
        <w:t xml:space="preserve">informed decisions about their </w:t>
      </w:r>
      <w:r w:rsidRPr="001A3096">
        <w:rPr>
          <w:bCs/>
          <w:iCs/>
        </w:rPr>
        <w:t xml:space="preserve">aged </w:t>
      </w:r>
      <w:r w:rsidR="0007553F" w:rsidRPr="001A3096">
        <w:rPr>
          <w:bCs/>
          <w:iCs/>
        </w:rPr>
        <w:t xml:space="preserve">care. </w:t>
      </w:r>
      <w:r w:rsidR="006F51E0" w:rsidRPr="001A3096">
        <w:rPr>
          <w:bCs/>
          <w:iCs/>
        </w:rPr>
        <w:t>This includes any information taken or derived from the types of information listed in paragraphs (f) and (g).</w:t>
      </w:r>
      <w:r w:rsidR="004B70C2" w:rsidRPr="001A3096">
        <w:rPr>
          <w:bCs/>
          <w:iCs/>
        </w:rPr>
        <w:t xml:space="preserve"> For the avoidance of doubt, this may include information that is summarised o</w:t>
      </w:r>
      <w:r w:rsidR="00B366ED" w:rsidRPr="001A3096">
        <w:rPr>
          <w:bCs/>
          <w:iCs/>
        </w:rPr>
        <w:t>r</w:t>
      </w:r>
      <w:r w:rsidR="004B70C2" w:rsidRPr="001A3096">
        <w:rPr>
          <w:bCs/>
          <w:iCs/>
        </w:rPr>
        <w:t xml:space="preserve"> manipulated prior to publishing.</w:t>
      </w:r>
    </w:p>
    <w:p w14:paraId="4EAA97AB" w14:textId="77777777" w:rsidR="0007553F" w:rsidRPr="001A3096" w:rsidRDefault="0007553F" w:rsidP="0007553F">
      <w:pPr>
        <w:keepNext/>
        <w:jc w:val="both"/>
        <w:rPr>
          <w:b/>
          <w:bCs/>
        </w:rPr>
      </w:pPr>
    </w:p>
    <w:p w14:paraId="01894827" w14:textId="77777777" w:rsidR="0007553F" w:rsidRPr="001A3096" w:rsidRDefault="0007553F" w:rsidP="0007553F">
      <w:pPr>
        <w:keepNext/>
        <w:jc w:val="both"/>
        <w:rPr>
          <w:b/>
          <w:bCs/>
        </w:rPr>
      </w:pPr>
      <w:r w:rsidRPr="001A3096">
        <w:rPr>
          <w:b/>
          <w:bCs/>
        </w:rPr>
        <w:t>Part 3—Permitted uses of refundable deposits and accommodation bonds</w:t>
      </w:r>
    </w:p>
    <w:p w14:paraId="0AA1A928" w14:textId="77777777" w:rsidR="0007553F" w:rsidRPr="001A3096" w:rsidRDefault="0007553F" w:rsidP="0007553F">
      <w:pPr>
        <w:keepNext/>
        <w:ind w:left="720"/>
        <w:jc w:val="both"/>
        <w:rPr>
          <w:bCs/>
        </w:rPr>
      </w:pPr>
    </w:p>
    <w:p w14:paraId="76E324B8" w14:textId="77777777" w:rsidR="0007553F" w:rsidRPr="001A3096" w:rsidRDefault="0007553F" w:rsidP="0007553F">
      <w:pPr>
        <w:keepNext/>
        <w:jc w:val="both"/>
        <w:rPr>
          <w:b/>
          <w:i/>
          <w:iCs/>
        </w:rPr>
      </w:pPr>
      <w:r w:rsidRPr="001A3096">
        <w:rPr>
          <w:b/>
          <w:i/>
          <w:iCs/>
        </w:rPr>
        <w:t>Fees and Payments Principles 2014 (No. 2)</w:t>
      </w:r>
    </w:p>
    <w:p w14:paraId="03048D3D" w14:textId="77777777" w:rsidR="0007553F" w:rsidRPr="001A3096" w:rsidRDefault="0007553F" w:rsidP="0007553F">
      <w:pPr>
        <w:keepNext/>
        <w:jc w:val="both"/>
        <w:rPr>
          <w:b/>
        </w:rPr>
      </w:pPr>
    </w:p>
    <w:p w14:paraId="60AB05B2" w14:textId="77777777" w:rsidR="0007553F" w:rsidRPr="001A3096" w:rsidRDefault="0007553F" w:rsidP="0007553F">
      <w:pPr>
        <w:keepNext/>
        <w:jc w:val="both"/>
        <w:rPr>
          <w:b/>
        </w:rPr>
      </w:pPr>
      <w:r w:rsidRPr="001A3096">
        <w:rPr>
          <w:b/>
        </w:rPr>
        <w:t>Item 11 – At the end of paragraph 62(a)</w:t>
      </w:r>
    </w:p>
    <w:p w14:paraId="1C0661C6" w14:textId="77777777" w:rsidR="0032094A" w:rsidRPr="001A3096" w:rsidRDefault="0032094A" w:rsidP="00A86012">
      <w:pPr>
        <w:keepNext/>
        <w:jc w:val="both"/>
        <w:rPr>
          <w:bCs/>
        </w:rPr>
      </w:pPr>
      <w:r w:rsidRPr="001A3096">
        <w:rPr>
          <w:bCs/>
        </w:rPr>
        <w:t xml:space="preserve">Item 11 </w:t>
      </w:r>
      <w:r w:rsidR="0007553F" w:rsidRPr="001A3096">
        <w:rPr>
          <w:bCs/>
        </w:rPr>
        <w:t xml:space="preserve">inserts at the end of paragraph 62(a) </w:t>
      </w:r>
      <w:r w:rsidR="006F51E0" w:rsidRPr="001A3096">
        <w:rPr>
          <w:bCs/>
        </w:rPr>
        <w:t xml:space="preserve">the words </w:t>
      </w:r>
      <w:r w:rsidR="0007553F" w:rsidRPr="001A3096">
        <w:rPr>
          <w:bCs/>
        </w:rPr>
        <w:t xml:space="preserve">“, but only to the extent that the expenditure relates to those premises”. This clarifies the existing </w:t>
      </w:r>
      <w:r w:rsidR="00A86012" w:rsidRPr="001A3096">
        <w:rPr>
          <w:bCs/>
        </w:rPr>
        <w:t>legislation</w:t>
      </w:r>
      <w:r w:rsidR="0007553F" w:rsidRPr="001A3096">
        <w:rPr>
          <w:bCs/>
        </w:rPr>
        <w:t xml:space="preserve"> that a </w:t>
      </w:r>
      <w:r w:rsidR="0007553F" w:rsidRPr="001A3096">
        <w:rPr>
          <w:bCs/>
        </w:rPr>
        <w:lastRenderedPageBreak/>
        <w:t>refundable deposit or accommodation bond is only permitted to be spen</w:t>
      </w:r>
      <w:r w:rsidR="006F51E0" w:rsidRPr="001A3096">
        <w:rPr>
          <w:bCs/>
        </w:rPr>
        <w:t>t</w:t>
      </w:r>
      <w:r w:rsidRPr="001A3096">
        <w:rPr>
          <w:bCs/>
        </w:rPr>
        <w:t xml:space="preserve"> on capital expenditure</w:t>
      </w:r>
      <w:r w:rsidR="0007553F" w:rsidRPr="001A3096">
        <w:rPr>
          <w:bCs/>
        </w:rPr>
        <w:t xml:space="preserve"> </w:t>
      </w:r>
      <w:r w:rsidRPr="001A3096">
        <w:rPr>
          <w:bCs/>
        </w:rPr>
        <w:t xml:space="preserve">in accordance with </w:t>
      </w:r>
      <w:r w:rsidR="00A86012" w:rsidRPr="001A3096">
        <w:rPr>
          <w:bCs/>
        </w:rPr>
        <w:t xml:space="preserve">paragraph </w:t>
      </w:r>
      <w:r w:rsidR="0007553F" w:rsidRPr="001A3096">
        <w:rPr>
          <w:bCs/>
        </w:rPr>
        <w:t xml:space="preserve">62(a) </w:t>
      </w:r>
      <w:r w:rsidRPr="001A3096">
        <w:rPr>
          <w:bCs/>
        </w:rPr>
        <w:t xml:space="preserve">if it </w:t>
      </w:r>
      <w:r w:rsidR="00A86012" w:rsidRPr="001A3096">
        <w:rPr>
          <w:bCs/>
        </w:rPr>
        <w:t>relates to</w:t>
      </w:r>
      <w:r w:rsidR="0007553F" w:rsidRPr="001A3096">
        <w:rPr>
          <w:bCs/>
        </w:rPr>
        <w:t xml:space="preserve"> premises</w:t>
      </w:r>
      <w:r w:rsidRPr="001A3096">
        <w:rPr>
          <w:bCs/>
        </w:rPr>
        <w:t xml:space="preserve"> used to</w:t>
      </w:r>
      <w:r w:rsidR="0007553F" w:rsidRPr="001A3096">
        <w:rPr>
          <w:bCs/>
        </w:rPr>
        <w:t xml:space="preserve"> provid</w:t>
      </w:r>
      <w:r w:rsidRPr="001A3096">
        <w:rPr>
          <w:bCs/>
        </w:rPr>
        <w:t>e</w:t>
      </w:r>
      <w:r w:rsidR="0007553F" w:rsidRPr="001A3096">
        <w:rPr>
          <w:bCs/>
        </w:rPr>
        <w:t xml:space="preserve"> residential or flexible care. </w:t>
      </w:r>
    </w:p>
    <w:p w14:paraId="3BE1A6D2" w14:textId="77777777" w:rsidR="0032094A" w:rsidRPr="001A3096" w:rsidRDefault="0032094A" w:rsidP="00A86012">
      <w:pPr>
        <w:keepNext/>
        <w:jc w:val="both"/>
        <w:rPr>
          <w:bCs/>
        </w:rPr>
      </w:pPr>
    </w:p>
    <w:p w14:paraId="5AC9A17A" w14:textId="77777777" w:rsidR="0007553F" w:rsidRPr="001A3096" w:rsidRDefault="0007553F" w:rsidP="0032094A">
      <w:pPr>
        <w:keepNext/>
        <w:jc w:val="both"/>
        <w:rPr>
          <w:bCs/>
        </w:rPr>
      </w:pPr>
      <w:r w:rsidRPr="001A3096">
        <w:rPr>
          <w:bCs/>
        </w:rPr>
        <w:t xml:space="preserve">This means that if </w:t>
      </w:r>
      <w:r w:rsidR="0032094A" w:rsidRPr="001A3096">
        <w:rPr>
          <w:bCs/>
        </w:rPr>
        <w:t xml:space="preserve">a </w:t>
      </w:r>
      <w:proofErr w:type="gramStart"/>
      <w:r w:rsidRPr="001A3096">
        <w:rPr>
          <w:bCs/>
        </w:rPr>
        <w:t>premises</w:t>
      </w:r>
      <w:proofErr w:type="gramEnd"/>
      <w:r w:rsidRPr="001A3096">
        <w:rPr>
          <w:bCs/>
        </w:rPr>
        <w:t xml:space="preserve"> </w:t>
      </w:r>
      <w:r w:rsidR="0032094A" w:rsidRPr="001A3096">
        <w:rPr>
          <w:bCs/>
        </w:rPr>
        <w:t xml:space="preserve">is being used or </w:t>
      </w:r>
      <w:r w:rsidRPr="001A3096">
        <w:rPr>
          <w:bCs/>
        </w:rPr>
        <w:t>will be used for providing residential or flexible</w:t>
      </w:r>
      <w:r w:rsidR="0032094A" w:rsidRPr="001A3096">
        <w:rPr>
          <w:bCs/>
        </w:rPr>
        <w:t xml:space="preserve"> care services</w:t>
      </w:r>
      <w:r w:rsidRPr="001A3096">
        <w:rPr>
          <w:bCs/>
        </w:rPr>
        <w:t xml:space="preserve"> and</w:t>
      </w:r>
      <w:r w:rsidR="0032094A" w:rsidRPr="001A3096">
        <w:rPr>
          <w:bCs/>
        </w:rPr>
        <w:t xml:space="preserve"> </w:t>
      </w:r>
      <w:r w:rsidRPr="001A3096">
        <w:rPr>
          <w:bCs/>
        </w:rPr>
        <w:t>another purpose (for example, an independent living unit or retirement village),</w:t>
      </w:r>
      <w:r w:rsidR="00013210" w:rsidRPr="001A3096">
        <w:rPr>
          <w:bCs/>
        </w:rPr>
        <w:t xml:space="preserve"> </w:t>
      </w:r>
      <w:r w:rsidRPr="001A3096">
        <w:rPr>
          <w:bCs/>
        </w:rPr>
        <w:t xml:space="preserve">then a refundable deposit or accommodation bond is not permitted to be used for the component of the expenditure that will be used for another purpose. </w:t>
      </w:r>
    </w:p>
    <w:p w14:paraId="0444A156" w14:textId="77777777" w:rsidR="0007553F" w:rsidRPr="001A3096" w:rsidRDefault="0007553F" w:rsidP="0007553F">
      <w:pPr>
        <w:jc w:val="both"/>
        <w:rPr>
          <w:b/>
        </w:rPr>
      </w:pPr>
    </w:p>
    <w:p w14:paraId="57EE15D1" w14:textId="77777777" w:rsidR="0007553F" w:rsidRPr="001A3096" w:rsidRDefault="0007553F" w:rsidP="0007553F">
      <w:pPr>
        <w:jc w:val="both"/>
        <w:rPr>
          <w:bCs/>
        </w:rPr>
      </w:pPr>
      <w:r w:rsidRPr="001A3096">
        <w:rPr>
          <w:b/>
        </w:rPr>
        <w:t>Item 12 – At the end of paragraph 62(b)</w:t>
      </w:r>
    </w:p>
    <w:p w14:paraId="63C7C7E5" w14:textId="007282ED" w:rsidR="0007553F" w:rsidRPr="001A3096" w:rsidRDefault="0032094A" w:rsidP="0007553F">
      <w:pPr>
        <w:jc w:val="both"/>
        <w:rPr>
          <w:bCs/>
        </w:rPr>
      </w:pPr>
      <w:r w:rsidRPr="001A3096">
        <w:rPr>
          <w:bCs/>
        </w:rPr>
        <w:t xml:space="preserve">Item 12 </w:t>
      </w:r>
      <w:r w:rsidR="0007553F" w:rsidRPr="001A3096">
        <w:rPr>
          <w:bCs/>
        </w:rPr>
        <w:t>inserts at the end of paragraph 62(b) “, but only to the extent that the expenditure relates to the provision of that residential care or flexible care”. This is a clarification of the existing</w:t>
      </w:r>
      <w:r w:rsidR="00A86012" w:rsidRPr="001A3096">
        <w:rPr>
          <w:bCs/>
        </w:rPr>
        <w:t xml:space="preserve"> legislation</w:t>
      </w:r>
      <w:r w:rsidR="0007553F" w:rsidRPr="001A3096">
        <w:rPr>
          <w:bCs/>
        </w:rPr>
        <w:t xml:space="preserve">. It clarifies that </w:t>
      </w:r>
      <w:r w:rsidR="00A86012" w:rsidRPr="001A3096">
        <w:rPr>
          <w:bCs/>
        </w:rPr>
        <w:t xml:space="preserve">capital </w:t>
      </w:r>
      <w:r w:rsidR="0007553F" w:rsidRPr="001A3096">
        <w:rPr>
          <w:bCs/>
        </w:rPr>
        <w:t xml:space="preserve">expenditure </w:t>
      </w:r>
      <w:r w:rsidRPr="001A3096">
        <w:rPr>
          <w:bCs/>
        </w:rPr>
        <w:t xml:space="preserve">paid for using </w:t>
      </w:r>
      <w:r w:rsidR="0007553F" w:rsidRPr="001A3096">
        <w:rPr>
          <w:bCs/>
        </w:rPr>
        <w:t>a refundable deposit or accommodation bond</w:t>
      </w:r>
      <w:r w:rsidRPr="001A3096">
        <w:rPr>
          <w:bCs/>
        </w:rPr>
        <w:t>, and</w:t>
      </w:r>
      <w:r w:rsidR="00A86012" w:rsidRPr="001A3096">
        <w:rPr>
          <w:bCs/>
        </w:rPr>
        <w:t xml:space="preserve"> that is used</w:t>
      </w:r>
      <w:r w:rsidR="0007553F" w:rsidRPr="001A3096">
        <w:rPr>
          <w:bCs/>
        </w:rPr>
        <w:t xml:space="preserve"> to acquire, erect, extend or significantly alter premises used or proposed to be used for providing residential care or flexible care</w:t>
      </w:r>
      <w:r w:rsidR="00A40C5C" w:rsidRPr="001A3096">
        <w:rPr>
          <w:bCs/>
        </w:rPr>
        <w:t>,</w:t>
      </w:r>
      <w:r w:rsidR="0007553F" w:rsidRPr="001A3096">
        <w:rPr>
          <w:bCs/>
        </w:rPr>
        <w:t xml:space="preserve"> is only permitted to the extent that the expenditure relates to the provision of that residential care or flexible care. This includes </w:t>
      </w:r>
      <w:r w:rsidRPr="001A3096">
        <w:rPr>
          <w:bCs/>
        </w:rPr>
        <w:t xml:space="preserve">capital </w:t>
      </w:r>
      <w:r w:rsidR="0007553F" w:rsidRPr="001A3096">
        <w:rPr>
          <w:bCs/>
        </w:rPr>
        <w:t xml:space="preserve">expenditure designed to </w:t>
      </w:r>
      <w:r w:rsidR="00A86012" w:rsidRPr="001A3096">
        <w:rPr>
          <w:bCs/>
        </w:rPr>
        <w:t xml:space="preserve">enable or </w:t>
      </w:r>
      <w:r w:rsidR="0007553F" w:rsidRPr="001A3096">
        <w:rPr>
          <w:bCs/>
        </w:rPr>
        <w:t>support the provision of care</w:t>
      </w:r>
      <w:r w:rsidR="00A86012" w:rsidRPr="001A3096">
        <w:rPr>
          <w:bCs/>
        </w:rPr>
        <w:t xml:space="preserve"> in the premises</w:t>
      </w:r>
      <w:r w:rsidR="0007553F" w:rsidRPr="001A3096">
        <w:rPr>
          <w:bCs/>
        </w:rPr>
        <w:t xml:space="preserve"> (for example </w:t>
      </w:r>
      <w:r w:rsidR="00A86012" w:rsidRPr="001A3096">
        <w:rPr>
          <w:bCs/>
        </w:rPr>
        <w:t xml:space="preserve">hallways, </w:t>
      </w:r>
      <w:proofErr w:type="gramStart"/>
      <w:r w:rsidR="0007553F" w:rsidRPr="001A3096">
        <w:rPr>
          <w:bCs/>
        </w:rPr>
        <w:t>receptions</w:t>
      </w:r>
      <w:proofErr w:type="gramEnd"/>
      <w:r w:rsidR="0007553F" w:rsidRPr="001A3096">
        <w:rPr>
          <w:bCs/>
        </w:rPr>
        <w:t xml:space="preserve"> or staff rooms). This means expenditure to acquire, erect, extend or significantly alter the premises for any other purpose is not permitted.</w:t>
      </w:r>
    </w:p>
    <w:p w14:paraId="024C7549" w14:textId="77777777" w:rsidR="0007553F" w:rsidRPr="001A3096" w:rsidRDefault="0007553F" w:rsidP="0007553F">
      <w:pPr>
        <w:jc w:val="both"/>
        <w:rPr>
          <w:bCs/>
        </w:rPr>
      </w:pPr>
    </w:p>
    <w:p w14:paraId="4A3C23DF" w14:textId="77777777" w:rsidR="0007553F" w:rsidRPr="001A3096" w:rsidRDefault="0007553F" w:rsidP="0007553F">
      <w:pPr>
        <w:jc w:val="both"/>
        <w:rPr>
          <w:bCs/>
        </w:rPr>
      </w:pPr>
      <w:r w:rsidRPr="001A3096">
        <w:rPr>
          <w:b/>
        </w:rPr>
        <w:t>Item 13 – At the end of paragraph 62(c)</w:t>
      </w:r>
    </w:p>
    <w:p w14:paraId="0038FE41" w14:textId="77777777" w:rsidR="0007553F" w:rsidRPr="001A3096" w:rsidRDefault="0007553F" w:rsidP="0007553F">
      <w:pPr>
        <w:jc w:val="both"/>
        <w:rPr>
          <w:bCs/>
        </w:rPr>
      </w:pPr>
      <w:r w:rsidRPr="001A3096">
        <w:rPr>
          <w:bCs/>
        </w:rPr>
        <w:t xml:space="preserve">This item inserts at the end of paragraph 62(c) “, but only to the extent that the expenditure relates to the provision of that residential care or flexible care”. This is a clarification of the existing </w:t>
      </w:r>
      <w:r w:rsidR="00A86012" w:rsidRPr="001A3096">
        <w:rPr>
          <w:bCs/>
        </w:rPr>
        <w:t>legislation</w:t>
      </w:r>
      <w:r w:rsidRPr="001A3096">
        <w:rPr>
          <w:bCs/>
        </w:rPr>
        <w:t>. It clarifies that</w:t>
      </w:r>
      <w:r w:rsidR="00A86012" w:rsidRPr="001A3096">
        <w:rPr>
          <w:bCs/>
        </w:rPr>
        <w:t xml:space="preserve"> capital</w:t>
      </w:r>
      <w:r w:rsidRPr="001A3096">
        <w:rPr>
          <w:bCs/>
        </w:rPr>
        <w:t xml:space="preserve"> expenditure with a refundable deposit or accommodation bond </w:t>
      </w:r>
      <w:r w:rsidR="00A86012" w:rsidRPr="001A3096">
        <w:rPr>
          <w:bCs/>
        </w:rPr>
        <w:t xml:space="preserve">that is </w:t>
      </w:r>
      <w:r w:rsidRPr="001A3096">
        <w:rPr>
          <w:bCs/>
        </w:rPr>
        <w:t xml:space="preserve">used to acquire or install furniture, fittings or equipment for premises used or proposed to be used for providing residential care or flexible care: </w:t>
      </w:r>
    </w:p>
    <w:p w14:paraId="257EBEBC" w14:textId="77777777" w:rsidR="0007553F" w:rsidRPr="001A3096" w:rsidRDefault="0007553F" w:rsidP="0007553F">
      <w:pPr>
        <w:numPr>
          <w:ilvl w:val="0"/>
          <w:numId w:val="44"/>
        </w:numPr>
        <w:jc w:val="both"/>
        <w:rPr>
          <w:bCs/>
        </w:rPr>
      </w:pPr>
      <w:r w:rsidRPr="001A3096">
        <w:rPr>
          <w:bCs/>
        </w:rPr>
        <w:t xml:space="preserve">when those premises are initially erected; or </w:t>
      </w:r>
    </w:p>
    <w:p w14:paraId="0A67F1D7" w14:textId="77777777" w:rsidR="0007553F" w:rsidRPr="001A3096" w:rsidRDefault="0007553F" w:rsidP="0007553F">
      <w:pPr>
        <w:numPr>
          <w:ilvl w:val="0"/>
          <w:numId w:val="44"/>
        </w:numPr>
        <w:jc w:val="both"/>
        <w:rPr>
          <w:bCs/>
        </w:rPr>
      </w:pPr>
      <w:r w:rsidRPr="001A3096">
        <w:rPr>
          <w:bCs/>
        </w:rPr>
        <w:t xml:space="preserve">following an extension, a significant </w:t>
      </w:r>
      <w:proofErr w:type="gramStart"/>
      <w:r w:rsidRPr="001A3096">
        <w:rPr>
          <w:bCs/>
        </w:rPr>
        <w:t>alteration</w:t>
      </w:r>
      <w:proofErr w:type="gramEnd"/>
      <w:r w:rsidRPr="001A3096">
        <w:rPr>
          <w:bCs/>
        </w:rPr>
        <w:t xml:space="preserve"> or a significant refurbishment,</w:t>
      </w:r>
    </w:p>
    <w:p w14:paraId="50B5882A" w14:textId="77777777" w:rsidR="0007553F" w:rsidRPr="001A3096" w:rsidRDefault="0007553F" w:rsidP="0007553F">
      <w:pPr>
        <w:jc w:val="both"/>
        <w:rPr>
          <w:bCs/>
        </w:rPr>
      </w:pPr>
      <w:r w:rsidRPr="001A3096">
        <w:rPr>
          <w:bCs/>
        </w:rPr>
        <w:t xml:space="preserve">is only permitted to the extent that the </w:t>
      </w:r>
      <w:r w:rsidR="000E1153" w:rsidRPr="001A3096">
        <w:rPr>
          <w:bCs/>
        </w:rPr>
        <w:t xml:space="preserve">capital </w:t>
      </w:r>
      <w:r w:rsidRPr="001A3096">
        <w:rPr>
          <w:bCs/>
        </w:rPr>
        <w:t>expenditure relates to the provision of that residential care or flexible care.</w:t>
      </w:r>
    </w:p>
    <w:p w14:paraId="5F35A2E6" w14:textId="77777777" w:rsidR="0007553F" w:rsidRPr="001A3096" w:rsidRDefault="0007553F" w:rsidP="0007553F">
      <w:pPr>
        <w:jc w:val="both"/>
        <w:rPr>
          <w:bCs/>
        </w:rPr>
      </w:pPr>
    </w:p>
    <w:p w14:paraId="27B7441F" w14:textId="77777777" w:rsidR="0007553F" w:rsidRPr="001A3096" w:rsidRDefault="0007553F" w:rsidP="0007553F">
      <w:pPr>
        <w:jc w:val="both"/>
        <w:rPr>
          <w:bCs/>
        </w:rPr>
      </w:pPr>
      <w:r w:rsidRPr="001A3096">
        <w:rPr>
          <w:b/>
        </w:rPr>
        <w:t>Item 14 – Paragraph 62(d)</w:t>
      </w:r>
    </w:p>
    <w:p w14:paraId="3FCEB018" w14:textId="0D14E749" w:rsidR="0007553F" w:rsidRPr="001A3096" w:rsidRDefault="0007553F" w:rsidP="00096548">
      <w:pPr>
        <w:jc w:val="both"/>
        <w:rPr>
          <w:bCs/>
        </w:rPr>
      </w:pPr>
      <w:r w:rsidRPr="001A3096">
        <w:rPr>
          <w:bCs/>
        </w:rPr>
        <w:t xml:space="preserve">This item omits “directly attributable to doing a thing referred to in” and substitutes </w:t>
      </w:r>
      <w:r w:rsidRPr="001A3096">
        <w:t>“directly connected to expenditure covered by”</w:t>
      </w:r>
      <w:r w:rsidRPr="001A3096">
        <w:rPr>
          <w:bCs/>
        </w:rPr>
        <w:t xml:space="preserve">. This is a clarification of the existing </w:t>
      </w:r>
      <w:r w:rsidR="00A86012" w:rsidRPr="001A3096">
        <w:rPr>
          <w:bCs/>
        </w:rPr>
        <w:t>legislation</w:t>
      </w:r>
      <w:r w:rsidRPr="001A3096">
        <w:rPr>
          <w:bCs/>
        </w:rPr>
        <w:t xml:space="preserve"> and means</w:t>
      </w:r>
      <w:r w:rsidR="00A86012" w:rsidRPr="001A3096">
        <w:rPr>
          <w:bCs/>
        </w:rPr>
        <w:t xml:space="preserve"> </w:t>
      </w:r>
      <w:r w:rsidR="000E1153" w:rsidRPr="001A3096">
        <w:rPr>
          <w:bCs/>
        </w:rPr>
        <w:t xml:space="preserve">capital </w:t>
      </w:r>
      <w:r w:rsidR="00A86012" w:rsidRPr="001A3096">
        <w:rPr>
          <w:bCs/>
        </w:rPr>
        <w:t xml:space="preserve">expenditure </w:t>
      </w:r>
      <w:r w:rsidR="000E1153" w:rsidRPr="001A3096">
        <w:rPr>
          <w:bCs/>
        </w:rPr>
        <w:t xml:space="preserve">paid for using </w:t>
      </w:r>
      <w:r w:rsidRPr="001A3096">
        <w:rPr>
          <w:bCs/>
        </w:rPr>
        <w:t>a refundable deposit or accommodation bond</w:t>
      </w:r>
      <w:r w:rsidR="002D733C" w:rsidRPr="001A3096">
        <w:rPr>
          <w:bCs/>
        </w:rPr>
        <w:t xml:space="preserve"> </w:t>
      </w:r>
      <w:r w:rsidRPr="001A3096">
        <w:rPr>
          <w:bCs/>
        </w:rPr>
        <w:t xml:space="preserve">may be used for incidental costs such as administrative costs that are directly connected to </w:t>
      </w:r>
      <w:r w:rsidR="000E1153" w:rsidRPr="001A3096">
        <w:rPr>
          <w:bCs/>
        </w:rPr>
        <w:t xml:space="preserve">capital </w:t>
      </w:r>
      <w:r w:rsidRPr="001A3096">
        <w:rPr>
          <w:bCs/>
        </w:rPr>
        <w:t xml:space="preserve">expenditure covered by </w:t>
      </w:r>
      <w:r w:rsidR="00A86012" w:rsidRPr="001A3096">
        <w:rPr>
          <w:bCs/>
        </w:rPr>
        <w:t xml:space="preserve">paragraph </w:t>
      </w:r>
      <w:r w:rsidRPr="001A3096">
        <w:rPr>
          <w:bCs/>
        </w:rPr>
        <w:t>62(a), (b) or (c)</w:t>
      </w:r>
      <w:r w:rsidR="002D733C" w:rsidRPr="001A3096">
        <w:rPr>
          <w:bCs/>
        </w:rPr>
        <w:t>.</w:t>
      </w:r>
    </w:p>
    <w:p w14:paraId="61C9FEEC" w14:textId="77777777" w:rsidR="0007553F" w:rsidRPr="001A3096" w:rsidRDefault="0007553F" w:rsidP="0007553F">
      <w:pPr>
        <w:jc w:val="both"/>
        <w:rPr>
          <w:bCs/>
        </w:rPr>
      </w:pPr>
    </w:p>
    <w:p w14:paraId="1D458CB6" w14:textId="77777777" w:rsidR="0007553F" w:rsidRPr="001A3096" w:rsidRDefault="0007553F" w:rsidP="0007553F">
      <w:pPr>
        <w:jc w:val="both"/>
        <w:rPr>
          <w:b/>
          <w:bCs/>
        </w:rPr>
      </w:pPr>
    </w:p>
    <w:p w14:paraId="1033E7F4" w14:textId="77777777" w:rsidR="0007553F" w:rsidRPr="001A3096" w:rsidRDefault="0007553F" w:rsidP="0007553F">
      <w:pPr>
        <w:jc w:val="both"/>
        <w:rPr>
          <w:b/>
          <w:bCs/>
        </w:rPr>
      </w:pPr>
      <w:r w:rsidRPr="001A3096">
        <w:rPr>
          <w:b/>
          <w:bCs/>
        </w:rPr>
        <w:t>Part 4—Permitted uses reconciliation</w:t>
      </w:r>
    </w:p>
    <w:p w14:paraId="32563A35" w14:textId="77777777" w:rsidR="0007553F" w:rsidRPr="001A3096" w:rsidRDefault="0007553F" w:rsidP="0007553F">
      <w:pPr>
        <w:jc w:val="both"/>
        <w:rPr>
          <w:bCs/>
        </w:rPr>
      </w:pPr>
    </w:p>
    <w:p w14:paraId="3103D06E" w14:textId="77777777" w:rsidR="0007553F" w:rsidRPr="001A3096" w:rsidRDefault="0007553F" w:rsidP="0007553F">
      <w:pPr>
        <w:jc w:val="both"/>
        <w:rPr>
          <w:bCs/>
        </w:rPr>
      </w:pPr>
      <w:r w:rsidRPr="001A3096">
        <w:rPr>
          <w:b/>
          <w:i/>
          <w:iCs/>
        </w:rPr>
        <w:t>Accountability Principles 2014</w:t>
      </w:r>
    </w:p>
    <w:p w14:paraId="7A5FE93E" w14:textId="77777777" w:rsidR="0007553F" w:rsidRPr="001A3096" w:rsidRDefault="0007553F" w:rsidP="0007553F">
      <w:pPr>
        <w:jc w:val="both"/>
        <w:rPr>
          <w:bCs/>
        </w:rPr>
      </w:pPr>
    </w:p>
    <w:p w14:paraId="4C83F532" w14:textId="77777777" w:rsidR="0007553F" w:rsidRPr="001A3096" w:rsidRDefault="0007553F" w:rsidP="0007553F">
      <w:pPr>
        <w:jc w:val="both"/>
      </w:pPr>
      <w:r w:rsidRPr="001A3096">
        <w:rPr>
          <w:b/>
        </w:rPr>
        <w:t>Item 15 – Section 4</w:t>
      </w:r>
    </w:p>
    <w:p w14:paraId="7D625ACC" w14:textId="77777777" w:rsidR="0007553F" w:rsidRPr="001A3096" w:rsidRDefault="000E1153" w:rsidP="0007553F">
      <w:pPr>
        <w:tabs>
          <w:tab w:val="left" w:pos="1547"/>
        </w:tabs>
        <w:jc w:val="both"/>
        <w:rPr>
          <w:b/>
        </w:rPr>
      </w:pPr>
      <w:r w:rsidRPr="001A3096">
        <w:rPr>
          <w:bCs/>
        </w:rPr>
        <w:t xml:space="preserve">Item 15 </w:t>
      </w:r>
      <w:r w:rsidR="0007553F" w:rsidRPr="001A3096">
        <w:rPr>
          <w:bCs/>
        </w:rPr>
        <w:t>inserts the meaning of “</w:t>
      </w:r>
      <w:r w:rsidR="0007553F" w:rsidRPr="001A3096">
        <w:rPr>
          <w:b/>
          <w:bCs/>
          <w:i/>
        </w:rPr>
        <w:t>permitted uses reconciliation</w:t>
      </w:r>
      <w:r w:rsidR="0007553F" w:rsidRPr="001A3096">
        <w:rPr>
          <w:bCs/>
        </w:rPr>
        <w:t xml:space="preserve">” into </w:t>
      </w:r>
      <w:r w:rsidRPr="001A3096">
        <w:rPr>
          <w:bCs/>
        </w:rPr>
        <w:t xml:space="preserve">section 4 of </w:t>
      </w:r>
      <w:r w:rsidR="0007553F" w:rsidRPr="001A3096">
        <w:rPr>
          <w:bCs/>
        </w:rPr>
        <w:t>the Accountability Principles. The meaning is the same as the meaning given by subsection 40</w:t>
      </w:r>
      <w:proofErr w:type="gramStart"/>
      <w:r w:rsidR="0007553F" w:rsidRPr="001A3096">
        <w:rPr>
          <w:bCs/>
        </w:rPr>
        <w:t>A(</w:t>
      </w:r>
      <w:proofErr w:type="gramEnd"/>
      <w:r w:rsidR="0007553F" w:rsidRPr="001A3096">
        <w:rPr>
          <w:bCs/>
        </w:rPr>
        <w:t>1) of the Accountability Principles (as inserted by item 16</w:t>
      </w:r>
      <w:r w:rsidR="005D3726" w:rsidRPr="001A3096">
        <w:rPr>
          <w:bCs/>
        </w:rPr>
        <w:t xml:space="preserve"> of the Amendment Principles</w:t>
      </w:r>
      <w:r w:rsidRPr="001A3096">
        <w:rPr>
          <w:bCs/>
        </w:rPr>
        <w:t>, below</w:t>
      </w:r>
      <w:r w:rsidR="0007553F" w:rsidRPr="001A3096">
        <w:rPr>
          <w:bCs/>
        </w:rPr>
        <w:t>).</w:t>
      </w:r>
    </w:p>
    <w:p w14:paraId="414249EE" w14:textId="77777777" w:rsidR="0007553F" w:rsidRPr="001A3096" w:rsidRDefault="0007553F" w:rsidP="0007553F">
      <w:pPr>
        <w:jc w:val="both"/>
        <w:rPr>
          <w:bCs/>
        </w:rPr>
      </w:pPr>
    </w:p>
    <w:p w14:paraId="271B1930" w14:textId="77777777" w:rsidR="0007553F" w:rsidRPr="001A3096" w:rsidRDefault="0007553F" w:rsidP="0007553F">
      <w:pPr>
        <w:jc w:val="both"/>
        <w:rPr>
          <w:b/>
        </w:rPr>
      </w:pPr>
      <w:r w:rsidRPr="001A3096">
        <w:rPr>
          <w:b/>
        </w:rPr>
        <w:t>Item 16 – After section 40</w:t>
      </w:r>
    </w:p>
    <w:p w14:paraId="55A2053A" w14:textId="77777777" w:rsidR="0007553F" w:rsidRPr="001A3096" w:rsidRDefault="000E1153" w:rsidP="0007553F">
      <w:pPr>
        <w:jc w:val="both"/>
        <w:rPr>
          <w:bCs/>
        </w:rPr>
      </w:pPr>
      <w:r w:rsidRPr="001A3096">
        <w:rPr>
          <w:bCs/>
        </w:rPr>
        <w:t xml:space="preserve">Item 16 </w:t>
      </w:r>
      <w:r w:rsidR="0007553F" w:rsidRPr="001A3096">
        <w:rPr>
          <w:bCs/>
        </w:rPr>
        <w:t>inserts new section 40A into the Accountability Principles</w:t>
      </w:r>
      <w:r w:rsidRPr="001A3096">
        <w:rPr>
          <w:bCs/>
        </w:rPr>
        <w:t>, which provides for the provision of a permitted uses reconciliation</w:t>
      </w:r>
      <w:r w:rsidR="0007553F" w:rsidRPr="001A3096">
        <w:rPr>
          <w:bCs/>
        </w:rPr>
        <w:t>.</w:t>
      </w:r>
    </w:p>
    <w:p w14:paraId="43AF6427" w14:textId="77777777" w:rsidR="0007553F" w:rsidRPr="001A3096" w:rsidRDefault="0007553F" w:rsidP="0007553F">
      <w:pPr>
        <w:jc w:val="both"/>
        <w:rPr>
          <w:bCs/>
        </w:rPr>
      </w:pPr>
    </w:p>
    <w:p w14:paraId="3AA1FD17" w14:textId="77777777" w:rsidR="0007553F" w:rsidRPr="001A3096" w:rsidRDefault="0007553F" w:rsidP="0007553F">
      <w:pPr>
        <w:jc w:val="both"/>
        <w:rPr>
          <w:bCs/>
        </w:rPr>
      </w:pPr>
      <w:r w:rsidRPr="001A3096">
        <w:rPr>
          <w:bCs/>
          <w:i/>
        </w:rPr>
        <w:t xml:space="preserve">Subsection </w:t>
      </w:r>
      <w:r w:rsidR="000E1153" w:rsidRPr="001A3096">
        <w:rPr>
          <w:bCs/>
          <w:i/>
        </w:rPr>
        <w:t>40</w:t>
      </w:r>
      <w:proofErr w:type="gramStart"/>
      <w:r w:rsidR="000E1153" w:rsidRPr="001A3096">
        <w:rPr>
          <w:bCs/>
          <w:i/>
        </w:rPr>
        <w:t>A(</w:t>
      </w:r>
      <w:proofErr w:type="gramEnd"/>
      <w:r w:rsidRPr="001A3096">
        <w:rPr>
          <w:bCs/>
          <w:i/>
        </w:rPr>
        <w:t>1</w:t>
      </w:r>
      <w:r w:rsidR="000E1153" w:rsidRPr="001A3096">
        <w:rPr>
          <w:bCs/>
          <w:i/>
        </w:rPr>
        <w:t>)</w:t>
      </w:r>
    </w:p>
    <w:p w14:paraId="73773BC9" w14:textId="77777777" w:rsidR="0007553F" w:rsidRPr="001A3096" w:rsidRDefault="000E1153" w:rsidP="000E1153">
      <w:pPr>
        <w:jc w:val="both"/>
        <w:rPr>
          <w:bCs/>
        </w:rPr>
      </w:pPr>
      <w:r w:rsidRPr="001A3096">
        <w:rPr>
          <w:bCs/>
        </w:rPr>
        <w:t>New s</w:t>
      </w:r>
      <w:r w:rsidR="0007553F" w:rsidRPr="001A3096">
        <w:rPr>
          <w:bCs/>
        </w:rPr>
        <w:t xml:space="preserve">ubsection </w:t>
      </w:r>
      <w:r w:rsidR="00153E5A" w:rsidRPr="001A3096">
        <w:rPr>
          <w:bCs/>
        </w:rPr>
        <w:t>40</w:t>
      </w:r>
      <w:proofErr w:type="gramStart"/>
      <w:r w:rsidR="00153E5A" w:rsidRPr="001A3096">
        <w:rPr>
          <w:bCs/>
        </w:rPr>
        <w:t>A(</w:t>
      </w:r>
      <w:proofErr w:type="gramEnd"/>
      <w:r w:rsidR="0007553F" w:rsidRPr="001A3096">
        <w:rPr>
          <w:bCs/>
        </w:rPr>
        <w:t>1</w:t>
      </w:r>
      <w:r w:rsidR="00153E5A" w:rsidRPr="001A3096">
        <w:rPr>
          <w:bCs/>
        </w:rPr>
        <w:t>)</w:t>
      </w:r>
      <w:r w:rsidR="0007553F" w:rsidRPr="001A3096">
        <w:rPr>
          <w:bCs/>
        </w:rPr>
        <w:t xml:space="preserve"> specifies that a form approved by the Secretary for an aged care financial report for an approved provider may require such a report to include a statement </w:t>
      </w:r>
      <w:r w:rsidRPr="001A3096">
        <w:rPr>
          <w:bCs/>
        </w:rPr>
        <w:t xml:space="preserve">setting out information about reportable uses of funds by an approved provider. This report is referred to as </w:t>
      </w:r>
      <w:r w:rsidR="0007553F" w:rsidRPr="001A3096">
        <w:rPr>
          <w:bCs/>
        </w:rPr>
        <w:t xml:space="preserve">a </w:t>
      </w:r>
      <w:r w:rsidR="008E67E6" w:rsidRPr="001A3096">
        <w:rPr>
          <w:bCs/>
        </w:rPr>
        <w:t>“</w:t>
      </w:r>
      <w:r w:rsidR="0007553F" w:rsidRPr="001A3096">
        <w:rPr>
          <w:b/>
          <w:bCs/>
          <w:i/>
        </w:rPr>
        <w:t>permitted uses reconciliation</w:t>
      </w:r>
      <w:r w:rsidR="008E67E6" w:rsidRPr="001A3096">
        <w:rPr>
          <w:iCs/>
        </w:rPr>
        <w:t>”</w:t>
      </w:r>
      <w:r w:rsidRPr="001A3096">
        <w:rPr>
          <w:bCs/>
        </w:rPr>
        <w:t>. The provision makes clear that the information in a permitted uses reconciliation may be for one or more specified financial years.</w:t>
      </w:r>
    </w:p>
    <w:p w14:paraId="403D8575" w14:textId="77777777" w:rsidR="008E67E6" w:rsidRPr="001A3096" w:rsidRDefault="008E67E6" w:rsidP="0007553F">
      <w:pPr>
        <w:jc w:val="both"/>
        <w:rPr>
          <w:bCs/>
        </w:rPr>
      </w:pPr>
    </w:p>
    <w:p w14:paraId="1335A1AA" w14:textId="77777777" w:rsidR="00B32E8A" w:rsidRPr="001A3096" w:rsidRDefault="00B32E8A" w:rsidP="0007553F">
      <w:pPr>
        <w:jc w:val="both"/>
        <w:rPr>
          <w:bCs/>
        </w:rPr>
      </w:pPr>
      <w:r w:rsidRPr="001A3096">
        <w:rPr>
          <w:bCs/>
        </w:rPr>
        <w:t>The permitted uses reconciliation will provide more detailed information about expenditure by an approved provider about reportable uses of funds than the categories of permitted uses in the Act and Fees and Payments Principles.</w:t>
      </w:r>
    </w:p>
    <w:p w14:paraId="0B87A72A" w14:textId="77777777" w:rsidR="00B32E8A" w:rsidRPr="001A3096" w:rsidRDefault="00B32E8A" w:rsidP="0007553F">
      <w:pPr>
        <w:jc w:val="both"/>
        <w:rPr>
          <w:bCs/>
        </w:rPr>
      </w:pPr>
    </w:p>
    <w:p w14:paraId="6E24B6C5" w14:textId="77777777" w:rsidR="0007553F" w:rsidRPr="001A3096" w:rsidRDefault="0007553F" w:rsidP="0007553F">
      <w:pPr>
        <w:jc w:val="both"/>
        <w:rPr>
          <w:bCs/>
          <w:i/>
        </w:rPr>
      </w:pPr>
      <w:r w:rsidRPr="001A3096">
        <w:rPr>
          <w:bCs/>
          <w:i/>
        </w:rPr>
        <w:t xml:space="preserve">Subsection </w:t>
      </w:r>
      <w:r w:rsidR="000E1153" w:rsidRPr="001A3096">
        <w:rPr>
          <w:bCs/>
          <w:i/>
        </w:rPr>
        <w:t>40</w:t>
      </w:r>
      <w:proofErr w:type="gramStart"/>
      <w:r w:rsidR="000E1153" w:rsidRPr="001A3096">
        <w:rPr>
          <w:bCs/>
          <w:i/>
        </w:rPr>
        <w:t>A(</w:t>
      </w:r>
      <w:proofErr w:type="gramEnd"/>
      <w:r w:rsidRPr="001A3096">
        <w:rPr>
          <w:bCs/>
          <w:i/>
        </w:rPr>
        <w:t>2</w:t>
      </w:r>
      <w:r w:rsidR="000E1153" w:rsidRPr="001A3096">
        <w:rPr>
          <w:bCs/>
          <w:i/>
        </w:rPr>
        <w:t>)</w:t>
      </w:r>
    </w:p>
    <w:p w14:paraId="11848C78" w14:textId="77777777" w:rsidR="0007553F" w:rsidRPr="001A3096" w:rsidRDefault="000E1153" w:rsidP="00B32E8A">
      <w:pPr>
        <w:jc w:val="both"/>
        <w:rPr>
          <w:bCs/>
        </w:rPr>
      </w:pPr>
      <w:r w:rsidRPr="001A3096">
        <w:rPr>
          <w:bCs/>
        </w:rPr>
        <w:t>New s</w:t>
      </w:r>
      <w:r w:rsidR="0007553F" w:rsidRPr="001A3096">
        <w:rPr>
          <w:bCs/>
        </w:rPr>
        <w:t xml:space="preserve">ubsection </w:t>
      </w:r>
      <w:r w:rsidR="00153E5A" w:rsidRPr="001A3096">
        <w:rPr>
          <w:bCs/>
        </w:rPr>
        <w:t>40</w:t>
      </w:r>
      <w:proofErr w:type="gramStart"/>
      <w:r w:rsidR="00153E5A" w:rsidRPr="001A3096">
        <w:rPr>
          <w:bCs/>
        </w:rPr>
        <w:t>A(</w:t>
      </w:r>
      <w:proofErr w:type="gramEnd"/>
      <w:r w:rsidR="0007553F" w:rsidRPr="001A3096">
        <w:rPr>
          <w:bCs/>
        </w:rPr>
        <w:t>2</w:t>
      </w:r>
      <w:r w:rsidR="00153E5A" w:rsidRPr="001A3096">
        <w:rPr>
          <w:bCs/>
        </w:rPr>
        <w:t>)</w:t>
      </w:r>
      <w:r w:rsidR="0007553F" w:rsidRPr="001A3096">
        <w:rPr>
          <w:bCs/>
        </w:rPr>
        <w:t xml:space="preserve"> specifies </w:t>
      </w:r>
      <w:r w:rsidR="00B32E8A" w:rsidRPr="001A3096">
        <w:rPr>
          <w:bCs/>
        </w:rPr>
        <w:t xml:space="preserve">what is a reportable use of funds </w:t>
      </w:r>
      <w:r w:rsidR="0007553F" w:rsidRPr="001A3096">
        <w:rPr>
          <w:bCs/>
        </w:rPr>
        <w:t xml:space="preserve">for </w:t>
      </w:r>
      <w:r w:rsidR="00B32E8A" w:rsidRPr="001A3096">
        <w:rPr>
          <w:bCs/>
        </w:rPr>
        <w:t xml:space="preserve">the purposes of </w:t>
      </w:r>
      <w:r w:rsidR="0007553F" w:rsidRPr="001A3096">
        <w:rPr>
          <w:bCs/>
        </w:rPr>
        <w:t>subsection 1</w:t>
      </w:r>
      <w:r w:rsidR="00B32E8A" w:rsidRPr="001A3096">
        <w:rPr>
          <w:bCs/>
        </w:rPr>
        <w:t>.</w:t>
      </w:r>
      <w:r w:rsidR="0007553F" w:rsidRPr="001A3096">
        <w:rPr>
          <w:bCs/>
        </w:rPr>
        <w:t xml:space="preserve"> </w:t>
      </w:r>
    </w:p>
    <w:p w14:paraId="250D9676" w14:textId="77777777" w:rsidR="00B32E8A" w:rsidRPr="001A3096" w:rsidRDefault="00B32E8A" w:rsidP="0007553F">
      <w:pPr>
        <w:jc w:val="both"/>
        <w:rPr>
          <w:bCs/>
        </w:rPr>
      </w:pPr>
    </w:p>
    <w:p w14:paraId="1551EF8E" w14:textId="77777777" w:rsidR="0007553F" w:rsidRPr="001A3096" w:rsidRDefault="0007553F" w:rsidP="0007553F">
      <w:pPr>
        <w:jc w:val="both"/>
        <w:rPr>
          <w:bCs/>
        </w:rPr>
      </w:pPr>
      <w:r w:rsidRPr="001A3096">
        <w:rPr>
          <w:bCs/>
        </w:rPr>
        <w:t xml:space="preserve">Subsection (2) is necessary to enable the permitted uses reconciliation to reconcile with the annual prudential compliance statement (which also requires an approved provider to report on the total amount expended by the approved provider against each permitted use, regardless of whether the amount expended was a refundable deposit or accommodation bond). </w:t>
      </w:r>
    </w:p>
    <w:p w14:paraId="035FE764" w14:textId="77777777" w:rsidR="0007553F" w:rsidRPr="001A3096" w:rsidRDefault="0007553F" w:rsidP="0007553F">
      <w:pPr>
        <w:jc w:val="both"/>
        <w:rPr>
          <w:bCs/>
        </w:rPr>
      </w:pPr>
    </w:p>
    <w:p w14:paraId="113CA1C6" w14:textId="77777777" w:rsidR="0007553F" w:rsidRPr="001A3096" w:rsidRDefault="0007553F" w:rsidP="0007553F">
      <w:pPr>
        <w:jc w:val="both"/>
        <w:rPr>
          <w:bCs/>
        </w:rPr>
      </w:pPr>
      <w:r w:rsidRPr="001A3096">
        <w:rPr>
          <w:bCs/>
        </w:rPr>
        <w:t>The note clarifies that section 52N-1 of the Act specifies permitted uses of refundable deposits and accommodation bonds.</w:t>
      </w:r>
    </w:p>
    <w:p w14:paraId="5E16F67B" w14:textId="77777777" w:rsidR="0007553F" w:rsidRPr="001A3096" w:rsidRDefault="0007553F" w:rsidP="0007553F">
      <w:pPr>
        <w:rPr>
          <w:bCs/>
        </w:rPr>
      </w:pPr>
    </w:p>
    <w:p w14:paraId="31FAA673" w14:textId="77777777" w:rsidR="0007553F" w:rsidRPr="001A3096" w:rsidRDefault="0007553F" w:rsidP="0007553F">
      <w:pPr>
        <w:rPr>
          <w:b/>
          <w:bCs/>
        </w:rPr>
      </w:pPr>
      <w:r w:rsidRPr="001A3096">
        <w:rPr>
          <w:b/>
          <w:bCs/>
        </w:rPr>
        <w:t>Part 5—Disclosure to care recipients</w:t>
      </w:r>
    </w:p>
    <w:p w14:paraId="77D0547A" w14:textId="77777777" w:rsidR="0007553F" w:rsidRPr="001A3096" w:rsidRDefault="0007553F" w:rsidP="0007553F"/>
    <w:p w14:paraId="0E45D033" w14:textId="77777777" w:rsidR="0007553F" w:rsidRPr="001A3096" w:rsidRDefault="0007553F" w:rsidP="0007553F">
      <w:pPr>
        <w:jc w:val="both"/>
        <w:rPr>
          <w:b/>
          <w:i/>
        </w:rPr>
      </w:pPr>
      <w:r w:rsidRPr="001A3096">
        <w:rPr>
          <w:b/>
          <w:i/>
        </w:rPr>
        <w:t>Fees and Payments Principles 2014 (No. 2)</w:t>
      </w:r>
    </w:p>
    <w:p w14:paraId="2750DC04" w14:textId="77777777" w:rsidR="0007553F" w:rsidRPr="001A3096" w:rsidRDefault="0007553F" w:rsidP="0007553F">
      <w:pPr>
        <w:jc w:val="both"/>
        <w:rPr>
          <w:b/>
          <w:iCs/>
        </w:rPr>
      </w:pPr>
    </w:p>
    <w:p w14:paraId="641554BA" w14:textId="77777777" w:rsidR="0007553F" w:rsidRPr="001A3096" w:rsidRDefault="0007553F" w:rsidP="0007553F">
      <w:pPr>
        <w:jc w:val="both"/>
        <w:rPr>
          <w:b/>
          <w:iCs/>
        </w:rPr>
      </w:pPr>
      <w:r w:rsidRPr="001A3096">
        <w:rPr>
          <w:b/>
          <w:iCs/>
        </w:rPr>
        <w:t>Item 17 – Section 4</w:t>
      </w:r>
    </w:p>
    <w:p w14:paraId="21604428" w14:textId="77777777" w:rsidR="0007553F" w:rsidRPr="001A3096" w:rsidRDefault="00816E05" w:rsidP="0007553F">
      <w:pPr>
        <w:jc w:val="both"/>
        <w:rPr>
          <w:bCs/>
          <w:iCs/>
        </w:rPr>
      </w:pPr>
      <w:r w:rsidRPr="001A3096">
        <w:rPr>
          <w:bCs/>
          <w:iCs/>
        </w:rPr>
        <w:t xml:space="preserve">Item 17 </w:t>
      </w:r>
      <w:r w:rsidR="0007553F" w:rsidRPr="001A3096">
        <w:rPr>
          <w:bCs/>
        </w:rPr>
        <w:t>inserts the meaning of “</w:t>
      </w:r>
      <w:r w:rsidR="0007553F" w:rsidRPr="001A3096">
        <w:rPr>
          <w:b/>
          <w:bCs/>
          <w:i/>
        </w:rPr>
        <w:t>permitted uses reconciliation</w:t>
      </w:r>
      <w:r w:rsidR="0007553F" w:rsidRPr="001A3096">
        <w:rPr>
          <w:bCs/>
        </w:rPr>
        <w:t>” into the</w:t>
      </w:r>
      <w:r w:rsidR="0007553F" w:rsidRPr="001A3096">
        <w:rPr>
          <w:bCs/>
          <w:iCs/>
        </w:rPr>
        <w:t xml:space="preserve"> Fees and Payments Principles</w:t>
      </w:r>
      <w:r w:rsidR="004B06AA" w:rsidRPr="001A3096">
        <w:rPr>
          <w:bCs/>
          <w:iCs/>
        </w:rPr>
        <w:t xml:space="preserve">, which </w:t>
      </w:r>
      <w:r w:rsidR="0007553F" w:rsidRPr="001A3096">
        <w:rPr>
          <w:bCs/>
          <w:iCs/>
        </w:rPr>
        <w:t>has the same meaning as in the Accountability Principles</w:t>
      </w:r>
      <w:r w:rsidRPr="001A3096">
        <w:rPr>
          <w:bCs/>
          <w:iCs/>
        </w:rPr>
        <w:t>, discussed above</w:t>
      </w:r>
      <w:r w:rsidR="0007553F" w:rsidRPr="001A3096">
        <w:rPr>
          <w:bCs/>
          <w:iCs/>
        </w:rPr>
        <w:t xml:space="preserve">. </w:t>
      </w:r>
    </w:p>
    <w:p w14:paraId="05236B2E" w14:textId="77777777" w:rsidR="0007553F" w:rsidRPr="001A3096" w:rsidRDefault="0007553F" w:rsidP="0007553F">
      <w:pPr>
        <w:jc w:val="both"/>
        <w:rPr>
          <w:b/>
          <w:i/>
        </w:rPr>
      </w:pPr>
    </w:p>
    <w:p w14:paraId="3AD3837A" w14:textId="77777777" w:rsidR="0007553F" w:rsidRPr="001A3096" w:rsidRDefault="0007553F" w:rsidP="0007553F">
      <w:pPr>
        <w:jc w:val="both"/>
        <w:rPr>
          <w:b/>
          <w:i/>
        </w:rPr>
      </w:pPr>
      <w:r w:rsidRPr="001A3096">
        <w:rPr>
          <w:b/>
        </w:rPr>
        <w:t>Item 18 – Before subsection 57(1)</w:t>
      </w:r>
    </w:p>
    <w:p w14:paraId="5F67A8E6" w14:textId="124368A4" w:rsidR="0007553F" w:rsidRPr="001A3096" w:rsidRDefault="00816E05" w:rsidP="0007553F">
      <w:pPr>
        <w:jc w:val="both"/>
        <w:rPr>
          <w:bCs/>
        </w:rPr>
      </w:pPr>
      <w:r w:rsidRPr="001A3096">
        <w:rPr>
          <w:bCs/>
        </w:rPr>
        <w:t xml:space="preserve">Item 18 </w:t>
      </w:r>
      <w:r w:rsidR="0027566C" w:rsidRPr="001A3096">
        <w:rPr>
          <w:bCs/>
        </w:rPr>
        <w:t xml:space="preserve">is a consequential amendment and </w:t>
      </w:r>
      <w:r w:rsidR="0007553F" w:rsidRPr="001A3096">
        <w:rPr>
          <w:bCs/>
        </w:rPr>
        <w:t xml:space="preserve">inserts a subtitle “Notification by approved provider” </w:t>
      </w:r>
      <w:r w:rsidRPr="001A3096">
        <w:rPr>
          <w:bCs/>
        </w:rPr>
        <w:t xml:space="preserve">to the </w:t>
      </w:r>
      <w:r w:rsidR="0007553F" w:rsidRPr="001A3096">
        <w:rPr>
          <w:bCs/>
        </w:rPr>
        <w:t>subsection to clarify</w:t>
      </w:r>
      <w:r w:rsidR="0052502C" w:rsidRPr="001A3096">
        <w:rPr>
          <w:bCs/>
        </w:rPr>
        <w:t xml:space="preserve"> </w:t>
      </w:r>
      <w:r w:rsidR="0007553F" w:rsidRPr="001A3096">
        <w:rPr>
          <w:bCs/>
        </w:rPr>
        <w:t xml:space="preserve">the purpose of </w:t>
      </w:r>
      <w:r w:rsidR="00702D6C" w:rsidRPr="001A3096">
        <w:rPr>
          <w:bCs/>
        </w:rPr>
        <w:t>that</w:t>
      </w:r>
      <w:r w:rsidRPr="001A3096">
        <w:rPr>
          <w:bCs/>
        </w:rPr>
        <w:t xml:space="preserve"> </w:t>
      </w:r>
      <w:r w:rsidR="0007553F" w:rsidRPr="001A3096">
        <w:rPr>
          <w:bCs/>
        </w:rPr>
        <w:t>subsection.</w:t>
      </w:r>
    </w:p>
    <w:p w14:paraId="26C767A2" w14:textId="77777777" w:rsidR="0007553F" w:rsidRPr="001A3096" w:rsidRDefault="0007553F" w:rsidP="0007553F">
      <w:pPr>
        <w:jc w:val="both"/>
        <w:rPr>
          <w:b/>
          <w:i/>
        </w:rPr>
      </w:pPr>
    </w:p>
    <w:p w14:paraId="4ADF70CA" w14:textId="77777777" w:rsidR="0007553F" w:rsidRPr="001A3096" w:rsidRDefault="0007553F" w:rsidP="0007553F">
      <w:pPr>
        <w:jc w:val="both"/>
        <w:rPr>
          <w:b/>
          <w:i/>
        </w:rPr>
      </w:pPr>
      <w:r w:rsidRPr="001A3096">
        <w:rPr>
          <w:b/>
        </w:rPr>
        <w:t>Item 19 – After paragraph 57(1)(a)</w:t>
      </w:r>
    </w:p>
    <w:p w14:paraId="78F6E566" w14:textId="77777777" w:rsidR="0007553F" w:rsidRPr="001A3096" w:rsidRDefault="00816E05" w:rsidP="0007553F">
      <w:pPr>
        <w:jc w:val="both"/>
        <w:rPr>
          <w:bCs/>
        </w:rPr>
      </w:pPr>
      <w:r w:rsidRPr="001A3096">
        <w:rPr>
          <w:bCs/>
        </w:rPr>
        <w:t xml:space="preserve">Item 19 </w:t>
      </w:r>
      <w:r w:rsidR="0007553F" w:rsidRPr="001A3096">
        <w:rPr>
          <w:bCs/>
        </w:rPr>
        <w:t>inserts new paragraph 57(</w:t>
      </w:r>
      <w:proofErr w:type="gramStart"/>
      <w:r w:rsidR="0007553F" w:rsidRPr="001A3096">
        <w:rPr>
          <w:bCs/>
        </w:rPr>
        <w:t>1)(</w:t>
      </w:r>
      <w:proofErr w:type="gramEnd"/>
      <w:r w:rsidR="0007553F" w:rsidRPr="001A3096">
        <w:rPr>
          <w:bCs/>
        </w:rPr>
        <w:t xml:space="preserve">aa) into the Fees and Payments Principles. </w:t>
      </w:r>
      <w:r w:rsidRPr="001A3096">
        <w:rPr>
          <w:bCs/>
        </w:rPr>
        <w:t>New p</w:t>
      </w:r>
      <w:r w:rsidR="00C66DAF" w:rsidRPr="001A3096">
        <w:rPr>
          <w:bCs/>
        </w:rPr>
        <w:t>aragraph 57(</w:t>
      </w:r>
      <w:proofErr w:type="gramStart"/>
      <w:r w:rsidR="00C66DAF" w:rsidRPr="001A3096">
        <w:rPr>
          <w:bCs/>
        </w:rPr>
        <w:t>1)(</w:t>
      </w:r>
      <w:proofErr w:type="gramEnd"/>
      <w:r w:rsidR="00C66DAF" w:rsidRPr="001A3096">
        <w:rPr>
          <w:bCs/>
        </w:rPr>
        <w:t>aa)</w:t>
      </w:r>
      <w:r w:rsidR="0007553F" w:rsidRPr="001A3096">
        <w:rPr>
          <w:bCs/>
        </w:rPr>
        <w:t xml:space="preserve"> </w:t>
      </w:r>
      <w:r w:rsidRPr="001A3096">
        <w:rPr>
          <w:bCs/>
        </w:rPr>
        <w:t xml:space="preserve">makes clear </w:t>
      </w:r>
      <w:r w:rsidR="0007553F" w:rsidRPr="001A3096">
        <w:rPr>
          <w:bCs/>
        </w:rPr>
        <w:t xml:space="preserve">that if, during the 2 years prior to a request by a care recipient under subsection 57(1), the approved provider has given the Secretary an aged care </w:t>
      </w:r>
      <w:r w:rsidR="00C66DAF" w:rsidRPr="001A3096">
        <w:rPr>
          <w:bCs/>
        </w:rPr>
        <w:t xml:space="preserve">financial </w:t>
      </w:r>
      <w:r w:rsidR="0007553F" w:rsidRPr="001A3096">
        <w:rPr>
          <w:bCs/>
        </w:rPr>
        <w:t>report for the approved provider that included a permitted uses reconciliation, the approved provider must give a copy of the permitted uses reconciliation included in the most recent such report</w:t>
      </w:r>
      <w:r w:rsidRPr="001A3096">
        <w:rPr>
          <w:bCs/>
        </w:rPr>
        <w:t xml:space="preserve"> to the care recipient</w:t>
      </w:r>
      <w:r w:rsidR="0007553F" w:rsidRPr="001A3096">
        <w:rPr>
          <w:bCs/>
        </w:rPr>
        <w:t>.</w:t>
      </w:r>
    </w:p>
    <w:p w14:paraId="32CB6919" w14:textId="77777777" w:rsidR="0007553F" w:rsidRPr="001A3096" w:rsidRDefault="0007553F" w:rsidP="0007553F">
      <w:pPr>
        <w:jc w:val="both"/>
        <w:rPr>
          <w:bCs/>
        </w:rPr>
      </w:pPr>
    </w:p>
    <w:p w14:paraId="60EA0445" w14:textId="511CC17A" w:rsidR="00313191" w:rsidRPr="001A3096" w:rsidRDefault="008E506D" w:rsidP="0007553F">
      <w:pPr>
        <w:jc w:val="both"/>
        <w:rPr>
          <w:bCs/>
        </w:rPr>
      </w:pPr>
      <w:r w:rsidRPr="001A3096">
        <w:rPr>
          <w:bCs/>
        </w:rPr>
        <w:t>An approved provider’s permitted uses reconciliation is given as part of its aged care financial report, which is due four months after the end of the approved provider’s financial year.</w:t>
      </w:r>
      <w:r w:rsidR="003E7381" w:rsidRPr="001A3096">
        <w:rPr>
          <w:bCs/>
        </w:rPr>
        <w:t xml:space="preserve"> </w:t>
      </w:r>
      <w:r w:rsidR="00AD1CF1" w:rsidRPr="001A3096">
        <w:rPr>
          <w:bCs/>
        </w:rPr>
        <w:t>A care recipient will be unable to receive the permitted uses reconciliation for the previous financial year i</w:t>
      </w:r>
      <w:r w:rsidR="003E7381" w:rsidRPr="001A3096">
        <w:rPr>
          <w:bCs/>
        </w:rPr>
        <w:t xml:space="preserve">f </w:t>
      </w:r>
      <w:r w:rsidR="00AD1CF1" w:rsidRPr="001A3096">
        <w:rPr>
          <w:bCs/>
        </w:rPr>
        <w:t xml:space="preserve">it is </w:t>
      </w:r>
      <w:r w:rsidR="003E7381" w:rsidRPr="001A3096">
        <w:rPr>
          <w:bCs/>
        </w:rPr>
        <w:t>request</w:t>
      </w:r>
      <w:r w:rsidR="00AD1CF1" w:rsidRPr="001A3096">
        <w:rPr>
          <w:bCs/>
        </w:rPr>
        <w:t>ed</w:t>
      </w:r>
      <w:r w:rsidR="003E7381" w:rsidRPr="001A3096">
        <w:rPr>
          <w:bCs/>
        </w:rPr>
        <w:t xml:space="preserve"> under subsection 57(1)</w:t>
      </w:r>
      <w:r w:rsidR="00313191" w:rsidRPr="001A3096">
        <w:rPr>
          <w:bCs/>
        </w:rPr>
        <w:t>:</w:t>
      </w:r>
    </w:p>
    <w:p w14:paraId="36D90446" w14:textId="525EDA09" w:rsidR="00313191" w:rsidRPr="001A3096" w:rsidRDefault="00313191" w:rsidP="00313191">
      <w:pPr>
        <w:pStyle w:val="ListParagraph"/>
        <w:numPr>
          <w:ilvl w:val="0"/>
          <w:numId w:val="69"/>
        </w:numPr>
        <w:jc w:val="both"/>
        <w:rPr>
          <w:rFonts w:ascii="Times New Roman" w:hAnsi="Times New Roman"/>
          <w:bCs/>
        </w:rPr>
      </w:pPr>
      <w:r w:rsidRPr="001A3096">
        <w:rPr>
          <w:rFonts w:ascii="Times New Roman" w:hAnsi="Times New Roman"/>
          <w:bCs/>
        </w:rPr>
        <w:t>after the end of an approved provider’s financial year;</w:t>
      </w:r>
      <w:r w:rsidR="008F7815" w:rsidRPr="001A3096">
        <w:rPr>
          <w:rFonts w:ascii="Times New Roman" w:hAnsi="Times New Roman"/>
          <w:bCs/>
        </w:rPr>
        <w:t xml:space="preserve"> </w:t>
      </w:r>
      <w:r w:rsidRPr="001A3096">
        <w:rPr>
          <w:rFonts w:ascii="Times New Roman" w:hAnsi="Times New Roman"/>
          <w:bCs/>
        </w:rPr>
        <w:t>and</w:t>
      </w:r>
    </w:p>
    <w:p w14:paraId="6D08113A" w14:textId="72DFDDFA" w:rsidR="00313191" w:rsidRPr="001A3096" w:rsidRDefault="008F7815" w:rsidP="00313191">
      <w:pPr>
        <w:pStyle w:val="ListParagraph"/>
        <w:numPr>
          <w:ilvl w:val="0"/>
          <w:numId w:val="69"/>
        </w:numPr>
        <w:jc w:val="both"/>
        <w:rPr>
          <w:rFonts w:ascii="Times New Roman" w:hAnsi="Times New Roman"/>
          <w:bCs/>
        </w:rPr>
      </w:pPr>
      <w:r w:rsidRPr="001A3096">
        <w:rPr>
          <w:rFonts w:ascii="Times New Roman" w:hAnsi="Times New Roman"/>
          <w:bCs/>
        </w:rPr>
        <w:t xml:space="preserve">before the approved provider has given </w:t>
      </w:r>
      <w:r w:rsidR="00313191" w:rsidRPr="001A3096">
        <w:rPr>
          <w:rFonts w:ascii="Times New Roman" w:hAnsi="Times New Roman"/>
          <w:bCs/>
        </w:rPr>
        <w:t xml:space="preserve">the aged care financial report for </w:t>
      </w:r>
      <w:r w:rsidR="00AD1CF1" w:rsidRPr="001A3096" w:rsidDel="00096548">
        <w:rPr>
          <w:rFonts w:ascii="Times New Roman" w:hAnsi="Times New Roman"/>
          <w:bCs/>
        </w:rPr>
        <w:t>th</w:t>
      </w:r>
      <w:r w:rsidR="00AD1CF1" w:rsidRPr="001A3096">
        <w:rPr>
          <w:rFonts w:ascii="Times New Roman" w:hAnsi="Times New Roman"/>
          <w:bCs/>
        </w:rPr>
        <w:t>at</w:t>
      </w:r>
      <w:r w:rsidR="00AD1CF1" w:rsidRPr="001A3096" w:rsidDel="00096548">
        <w:rPr>
          <w:rFonts w:ascii="Times New Roman" w:hAnsi="Times New Roman"/>
          <w:bCs/>
        </w:rPr>
        <w:t xml:space="preserve"> </w:t>
      </w:r>
      <w:r w:rsidR="001F2F34" w:rsidRPr="001A3096">
        <w:rPr>
          <w:rFonts w:ascii="Times New Roman" w:hAnsi="Times New Roman"/>
          <w:bCs/>
        </w:rPr>
        <w:t xml:space="preserve">most recently ended </w:t>
      </w:r>
      <w:r w:rsidR="0086538E" w:rsidRPr="001A3096">
        <w:rPr>
          <w:rFonts w:ascii="Times New Roman" w:hAnsi="Times New Roman"/>
          <w:bCs/>
        </w:rPr>
        <w:t>financial year</w:t>
      </w:r>
      <w:r w:rsidR="00313191" w:rsidRPr="001A3096">
        <w:rPr>
          <w:rFonts w:ascii="Times New Roman" w:hAnsi="Times New Roman"/>
          <w:bCs/>
        </w:rPr>
        <w:t xml:space="preserve"> </w:t>
      </w:r>
      <w:r w:rsidRPr="001A3096">
        <w:rPr>
          <w:rFonts w:ascii="Times New Roman" w:hAnsi="Times New Roman"/>
          <w:bCs/>
        </w:rPr>
        <w:t>to the Secretary</w:t>
      </w:r>
      <w:r w:rsidR="001F2F34" w:rsidRPr="001A3096">
        <w:rPr>
          <w:rFonts w:ascii="Times New Roman" w:hAnsi="Times New Roman"/>
          <w:bCs/>
        </w:rPr>
        <w:t xml:space="preserve">. </w:t>
      </w:r>
    </w:p>
    <w:p w14:paraId="408BC56A" w14:textId="3E36A49F" w:rsidR="0007553F" w:rsidRPr="001A3096" w:rsidRDefault="008E506D" w:rsidP="00313191">
      <w:pPr>
        <w:jc w:val="both"/>
        <w:rPr>
          <w:bCs/>
        </w:rPr>
      </w:pPr>
      <w:r w:rsidRPr="001A3096">
        <w:rPr>
          <w:bCs/>
        </w:rPr>
        <w:t xml:space="preserve">Item 18 means that </w:t>
      </w:r>
      <w:r w:rsidR="003E7381" w:rsidRPr="001A3096">
        <w:rPr>
          <w:bCs/>
        </w:rPr>
        <w:t xml:space="preserve">if a request </w:t>
      </w:r>
      <w:r w:rsidR="00AD1CF1" w:rsidRPr="001A3096">
        <w:rPr>
          <w:bCs/>
        </w:rPr>
        <w:t>is made</w:t>
      </w:r>
      <w:r w:rsidR="003E7381" w:rsidRPr="001A3096">
        <w:rPr>
          <w:bCs/>
        </w:rPr>
        <w:t xml:space="preserve"> during </w:t>
      </w:r>
      <w:r w:rsidR="00313191" w:rsidRPr="001A3096">
        <w:rPr>
          <w:bCs/>
        </w:rPr>
        <w:t>such a</w:t>
      </w:r>
      <w:r w:rsidR="003E7381" w:rsidRPr="001A3096">
        <w:rPr>
          <w:bCs/>
        </w:rPr>
        <w:t xml:space="preserve"> period</w:t>
      </w:r>
      <w:r w:rsidR="00B366ED" w:rsidRPr="001A3096">
        <w:rPr>
          <w:bCs/>
        </w:rPr>
        <w:t>,</w:t>
      </w:r>
      <w:r w:rsidR="008F7815" w:rsidRPr="001A3096">
        <w:rPr>
          <w:bCs/>
        </w:rPr>
        <w:t xml:space="preserve"> </w:t>
      </w:r>
      <w:r w:rsidR="003E7381" w:rsidRPr="001A3096">
        <w:rPr>
          <w:bCs/>
        </w:rPr>
        <w:t>the</w:t>
      </w:r>
      <w:r w:rsidR="00313191" w:rsidRPr="001A3096">
        <w:rPr>
          <w:bCs/>
        </w:rPr>
        <w:t xml:space="preserve">n in cases in which the approved provider gave a permitted uses reconciliation for </w:t>
      </w:r>
      <w:r w:rsidR="00D741E4" w:rsidRPr="001A3096">
        <w:rPr>
          <w:bCs/>
        </w:rPr>
        <w:t>the</w:t>
      </w:r>
      <w:r w:rsidR="00313191" w:rsidRPr="001A3096">
        <w:rPr>
          <w:bCs/>
        </w:rPr>
        <w:t xml:space="preserve"> financial year</w:t>
      </w:r>
      <w:r w:rsidR="00551A62" w:rsidRPr="001A3096">
        <w:rPr>
          <w:bCs/>
        </w:rPr>
        <w:t xml:space="preserve"> prior to the one that </w:t>
      </w:r>
      <w:r w:rsidR="001F2F34" w:rsidRPr="001A3096">
        <w:rPr>
          <w:bCs/>
        </w:rPr>
        <w:t>most recently</w:t>
      </w:r>
      <w:r w:rsidR="00551A62" w:rsidRPr="001A3096">
        <w:rPr>
          <w:bCs/>
        </w:rPr>
        <w:t xml:space="preserve"> ended</w:t>
      </w:r>
      <w:r w:rsidR="001F2F34" w:rsidRPr="001A3096">
        <w:rPr>
          <w:bCs/>
        </w:rPr>
        <w:t>,</w:t>
      </w:r>
      <w:r w:rsidR="00313191" w:rsidRPr="001A3096">
        <w:rPr>
          <w:bCs/>
        </w:rPr>
        <w:t xml:space="preserve"> the care recipient</w:t>
      </w:r>
      <w:r w:rsidR="003E7381" w:rsidRPr="001A3096">
        <w:rPr>
          <w:bCs/>
        </w:rPr>
        <w:t xml:space="preserve"> will</w:t>
      </w:r>
      <w:r w:rsidR="008F7815" w:rsidRPr="001A3096">
        <w:rPr>
          <w:bCs/>
        </w:rPr>
        <w:t xml:space="preserve"> </w:t>
      </w:r>
      <w:r w:rsidR="003E7381" w:rsidRPr="001A3096">
        <w:rPr>
          <w:bCs/>
        </w:rPr>
        <w:t>be able to access</w:t>
      </w:r>
      <w:r w:rsidR="008F7815" w:rsidRPr="001A3096">
        <w:rPr>
          <w:bCs/>
        </w:rPr>
        <w:t xml:space="preserve"> </w:t>
      </w:r>
      <w:r w:rsidR="00AD1CF1" w:rsidRPr="001A3096">
        <w:rPr>
          <w:bCs/>
        </w:rPr>
        <w:t>th</w:t>
      </w:r>
      <w:r w:rsidR="00D741E4" w:rsidRPr="001A3096">
        <w:rPr>
          <w:bCs/>
        </w:rPr>
        <w:t>at</w:t>
      </w:r>
      <w:r w:rsidR="00AD1CF1" w:rsidRPr="001A3096">
        <w:rPr>
          <w:bCs/>
        </w:rPr>
        <w:t xml:space="preserve"> </w:t>
      </w:r>
      <w:r w:rsidR="003E7381" w:rsidRPr="001A3096">
        <w:rPr>
          <w:bCs/>
        </w:rPr>
        <w:t xml:space="preserve">permitted uses </w:t>
      </w:r>
      <w:r w:rsidR="00313191" w:rsidRPr="001A3096">
        <w:rPr>
          <w:bCs/>
        </w:rPr>
        <w:t>reconciliation</w:t>
      </w:r>
      <w:r w:rsidR="003E7381" w:rsidRPr="001A3096">
        <w:rPr>
          <w:bCs/>
        </w:rPr>
        <w:t xml:space="preserve">. </w:t>
      </w:r>
      <w:r w:rsidR="00313191" w:rsidRPr="001A3096">
        <w:rPr>
          <w:bCs/>
        </w:rPr>
        <w:t>The care recipient may then request the more recent permitted uses reconciliation following the approved provider’s submission of a more recent aged care financial report.</w:t>
      </w:r>
    </w:p>
    <w:p w14:paraId="4D214B79" w14:textId="77777777" w:rsidR="0007553F" w:rsidRPr="001A3096" w:rsidRDefault="0007553F" w:rsidP="0007553F">
      <w:pPr>
        <w:jc w:val="both"/>
        <w:rPr>
          <w:bCs/>
        </w:rPr>
      </w:pPr>
    </w:p>
    <w:p w14:paraId="1159443D" w14:textId="77777777" w:rsidR="0007553F" w:rsidRPr="001A3096" w:rsidRDefault="0007553F" w:rsidP="0007553F">
      <w:pPr>
        <w:jc w:val="both"/>
        <w:rPr>
          <w:b/>
          <w:i/>
        </w:rPr>
      </w:pPr>
      <w:r w:rsidRPr="001A3096">
        <w:rPr>
          <w:b/>
        </w:rPr>
        <w:t>Item 20 – Before subsection 57(2)</w:t>
      </w:r>
    </w:p>
    <w:p w14:paraId="289BA57D" w14:textId="77777777" w:rsidR="0007553F" w:rsidRPr="001A3096" w:rsidRDefault="0027566C" w:rsidP="0007553F">
      <w:pPr>
        <w:jc w:val="both"/>
        <w:rPr>
          <w:b/>
          <w:i/>
        </w:rPr>
      </w:pPr>
      <w:r w:rsidRPr="001A3096">
        <w:rPr>
          <w:bCs/>
        </w:rPr>
        <w:t xml:space="preserve">Item 20 is a consequential amendment and </w:t>
      </w:r>
      <w:r w:rsidR="0007553F" w:rsidRPr="001A3096">
        <w:rPr>
          <w:bCs/>
        </w:rPr>
        <w:t>inserts a subtitle “Disclosure on request” for subsection 57(2) of the Fees and Payments Principles to clarify the purpose of that subsection.</w:t>
      </w:r>
    </w:p>
    <w:p w14:paraId="76287144" w14:textId="77777777" w:rsidR="0007553F" w:rsidRPr="001A3096" w:rsidRDefault="0007553F" w:rsidP="0007553F">
      <w:pPr>
        <w:jc w:val="both"/>
        <w:rPr>
          <w:b/>
        </w:rPr>
      </w:pPr>
    </w:p>
    <w:p w14:paraId="088E3B23" w14:textId="77777777" w:rsidR="0007553F" w:rsidRPr="001A3096" w:rsidRDefault="0007553F" w:rsidP="0007553F">
      <w:pPr>
        <w:jc w:val="both"/>
        <w:rPr>
          <w:b/>
          <w:i/>
        </w:rPr>
      </w:pPr>
      <w:r w:rsidRPr="001A3096">
        <w:rPr>
          <w:b/>
        </w:rPr>
        <w:t>Item 21 – Subsection 57(2)</w:t>
      </w:r>
    </w:p>
    <w:p w14:paraId="537F63E3" w14:textId="6C9CC8DA" w:rsidR="0007553F" w:rsidRPr="001A3096" w:rsidRDefault="00C31C7C" w:rsidP="00C31C7C">
      <w:pPr>
        <w:jc w:val="both"/>
        <w:rPr>
          <w:bCs/>
        </w:rPr>
      </w:pPr>
      <w:r w:rsidRPr="001A3096">
        <w:rPr>
          <w:bCs/>
        </w:rPr>
        <w:t xml:space="preserve">Item 21 </w:t>
      </w:r>
      <w:r w:rsidR="0007553F" w:rsidRPr="001A3096">
        <w:rPr>
          <w:bCs/>
        </w:rPr>
        <w:t>omits the words “If a care recipient who has paid a refundable deposit, an accommodation bond or an entry contribution requests the approved provider of the service through which the care recipient is being provided with care” and</w:t>
      </w:r>
      <w:r w:rsidRPr="001A3096">
        <w:rPr>
          <w:bCs/>
        </w:rPr>
        <w:t xml:space="preserve"> </w:t>
      </w:r>
      <w:r w:rsidR="0007553F" w:rsidRPr="001A3096">
        <w:rPr>
          <w:bCs/>
        </w:rPr>
        <w:t>substitutes the words “If a care recipient requests the approved provider of the aged care service through which the care recipient is being provided with aged care”.</w:t>
      </w:r>
    </w:p>
    <w:p w14:paraId="5927E1D1" w14:textId="77777777" w:rsidR="0007553F" w:rsidRPr="001A3096" w:rsidRDefault="0007553F" w:rsidP="0007553F">
      <w:pPr>
        <w:jc w:val="both"/>
        <w:rPr>
          <w:bCs/>
        </w:rPr>
      </w:pPr>
    </w:p>
    <w:p w14:paraId="6A0EED68" w14:textId="6AF8713F" w:rsidR="0007553F" w:rsidRPr="001A3096" w:rsidRDefault="00C31C7C" w:rsidP="0007553F">
      <w:pPr>
        <w:jc w:val="both"/>
        <w:rPr>
          <w:bCs/>
        </w:rPr>
      </w:pPr>
      <w:r w:rsidRPr="001A3096">
        <w:rPr>
          <w:bCs/>
        </w:rPr>
        <w:t>S</w:t>
      </w:r>
      <w:r w:rsidR="0007553F" w:rsidRPr="001A3096">
        <w:rPr>
          <w:bCs/>
        </w:rPr>
        <w:t>ubsection 57(2)</w:t>
      </w:r>
      <w:r w:rsidRPr="001A3096">
        <w:rPr>
          <w:bCs/>
        </w:rPr>
        <w:t xml:space="preserve"> therefore</w:t>
      </w:r>
      <w:r w:rsidR="0007553F" w:rsidRPr="001A3096">
        <w:rPr>
          <w:bCs/>
        </w:rPr>
        <w:t xml:space="preserve"> applies in respect of each care recipient of an approved provider of an aged care service</w:t>
      </w:r>
      <w:r w:rsidR="00A0579E" w:rsidRPr="001A3096">
        <w:rPr>
          <w:bCs/>
        </w:rPr>
        <w:t xml:space="preserve">, regardless of </w:t>
      </w:r>
      <w:proofErr w:type="gramStart"/>
      <w:r w:rsidR="00A0579E" w:rsidRPr="001A3096">
        <w:rPr>
          <w:bCs/>
        </w:rPr>
        <w:t>whether or not</w:t>
      </w:r>
      <w:proofErr w:type="gramEnd"/>
      <w:r w:rsidR="00A0579E" w:rsidRPr="001A3096">
        <w:rPr>
          <w:bCs/>
        </w:rPr>
        <w:t xml:space="preserve"> the care recipient has paid a refundable deposit, an accommodation bond or an entry contribution</w:t>
      </w:r>
      <w:r w:rsidR="00D80C8D" w:rsidRPr="001A3096">
        <w:rPr>
          <w:bCs/>
        </w:rPr>
        <w:t>.</w:t>
      </w:r>
      <w:r w:rsidR="00A0579E" w:rsidRPr="001A3096">
        <w:rPr>
          <w:bCs/>
        </w:rPr>
        <w:t xml:space="preserve"> This </w:t>
      </w:r>
      <w:r w:rsidRPr="001A3096">
        <w:rPr>
          <w:bCs/>
        </w:rPr>
        <w:t xml:space="preserve">enables </w:t>
      </w:r>
      <w:r w:rsidR="00A0579E" w:rsidRPr="001A3096">
        <w:rPr>
          <w:bCs/>
        </w:rPr>
        <w:t>all care recipients being provided with care through an aged care service to request that the approved provider give them any of the information or documents specified in subsection 57(1).</w:t>
      </w:r>
    </w:p>
    <w:p w14:paraId="59B6B0DB" w14:textId="77777777" w:rsidR="0007553F" w:rsidRPr="001A3096" w:rsidRDefault="0007553F" w:rsidP="0007553F">
      <w:pPr>
        <w:jc w:val="both"/>
        <w:rPr>
          <w:b/>
          <w:i/>
        </w:rPr>
      </w:pPr>
    </w:p>
    <w:p w14:paraId="50ABA7FC" w14:textId="77777777" w:rsidR="0007553F" w:rsidRPr="001A3096" w:rsidRDefault="0007553F" w:rsidP="0007553F">
      <w:pPr>
        <w:jc w:val="both"/>
        <w:rPr>
          <w:b/>
        </w:rPr>
      </w:pPr>
      <w:r w:rsidRPr="001A3096">
        <w:rPr>
          <w:b/>
        </w:rPr>
        <w:t>Item 22 – After subsection 57(2)</w:t>
      </w:r>
    </w:p>
    <w:p w14:paraId="645853FF" w14:textId="77777777" w:rsidR="0007553F" w:rsidRPr="001A3096" w:rsidRDefault="0007553F" w:rsidP="0007553F">
      <w:pPr>
        <w:jc w:val="both"/>
        <w:rPr>
          <w:bCs/>
        </w:rPr>
      </w:pPr>
      <w:r w:rsidRPr="001A3096">
        <w:rPr>
          <w:bCs/>
        </w:rPr>
        <w:t>This item inserts new subsections 57(2A) and (2B) to the Fees and Payments Principles.</w:t>
      </w:r>
    </w:p>
    <w:p w14:paraId="2B9B5B98" w14:textId="77777777" w:rsidR="0007553F" w:rsidRPr="001A3096" w:rsidRDefault="0007553F" w:rsidP="0007553F">
      <w:pPr>
        <w:jc w:val="both"/>
        <w:rPr>
          <w:bCs/>
        </w:rPr>
      </w:pPr>
    </w:p>
    <w:p w14:paraId="021596A9" w14:textId="77777777" w:rsidR="0007553F" w:rsidRPr="001A3096" w:rsidRDefault="0007553F" w:rsidP="0007553F">
      <w:pPr>
        <w:jc w:val="both"/>
        <w:rPr>
          <w:bCs/>
          <w:i/>
        </w:rPr>
      </w:pPr>
      <w:r w:rsidRPr="001A3096">
        <w:rPr>
          <w:bCs/>
          <w:i/>
        </w:rPr>
        <w:t xml:space="preserve">Subsection </w:t>
      </w:r>
      <w:r w:rsidR="00011ED3" w:rsidRPr="001A3096">
        <w:rPr>
          <w:bCs/>
          <w:i/>
        </w:rPr>
        <w:t>57(</w:t>
      </w:r>
      <w:r w:rsidRPr="001A3096">
        <w:rPr>
          <w:bCs/>
          <w:i/>
        </w:rPr>
        <w:t>2A</w:t>
      </w:r>
      <w:r w:rsidR="00011ED3" w:rsidRPr="001A3096">
        <w:rPr>
          <w:bCs/>
          <w:i/>
        </w:rPr>
        <w:t>)</w:t>
      </w:r>
    </w:p>
    <w:p w14:paraId="11418CF7" w14:textId="77777777" w:rsidR="0007553F" w:rsidRPr="001A3096" w:rsidRDefault="00011ED3" w:rsidP="0007553F">
      <w:pPr>
        <w:jc w:val="both"/>
        <w:rPr>
          <w:bCs/>
        </w:rPr>
      </w:pPr>
      <w:r w:rsidRPr="001A3096">
        <w:rPr>
          <w:bCs/>
        </w:rPr>
        <w:t>New s</w:t>
      </w:r>
      <w:r w:rsidR="0007553F" w:rsidRPr="001A3096">
        <w:rPr>
          <w:bCs/>
        </w:rPr>
        <w:t>ubsection 57(2A) specifies that subsection 57(2) applies to each care recipient of an aged care service regardless of:</w:t>
      </w:r>
    </w:p>
    <w:p w14:paraId="1AC9A2B9" w14:textId="77777777" w:rsidR="0007553F" w:rsidRPr="001A3096" w:rsidRDefault="0007553F" w:rsidP="0007553F">
      <w:pPr>
        <w:numPr>
          <w:ilvl w:val="0"/>
          <w:numId w:val="58"/>
        </w:numPr>
        <w:jc w:val="both"/>
        <w:rPr>
          <w:bCs/>
        </w:rPr>
      </w:pPr>
      <w:r w:rsidRPr="001A3096">
        <w:rPr>
          <w:bCs/>
        </w:rPr>
        <w:t>whether the aged care is residential care or another kind of aged care; and</w:t>
      </w:r>
    </w:p>
    <w:p w14:paraId="44744629" w14:textId="77777777" w:rsidR="0007553F" w:rsidRPr="001A3096" w:rsidRDefault="0007553F" w:rsidP="0007553F">
      <w:pPr>
        <w:numPr>
          <w:ilvl w:val="0"/>
          <w:numId w:val="58"/>
        </w:numPr>
        <w:jc w:val="both"/>
        <w:rPr>
          <w:bCs/>
        </w:rPr>
      </w:pPr>
      <w:r w:rsidRPr="001A3096">
        <w:rPr>
          <w:bCs/>
        </w:rPr>
        <w:t>whether or not the care recipient has entered into an accommodation agreement with the approved provider of the aged care service; and</w:t>
      </w:r>
    </w:p>
    <w:p w14:paraId="3BB45A27" w14:textId="77777777" w:rsidR="0007553F" w:rsidRPr="001A3096" w:rsidRDefault="0007553F" w:rsidP="0007553F">
      <w:pPr>
        <w:numPr>
          <w:ilvl w:val="0"/>
          <w:numId w:val="58"/>
        </w:numPr>
        <w:jc w:val="both"/>
        <w:rPr>
          <w:bCs/>
        </w:rPr>
      </w:pPr>
      <w:r w:rsidRPr="001A3096">
        <w:rPr>
          <w:bCs/>
        </w:rPr>
        <w:t xml:space="preserve">whether or not the care recipient has paid a refundable deposit, an accommodation </w:t>
      </w:r>
      <w:proofErr w:type="gramStart"/>
      <w:r w:rsidRPr="001A3096">
        <w:rPr>
          <w:bCs/>
        </w:rPr>
        <w:t>bond</w:t>
      </w:r>
      <w:proofErr w:type="gramEnd"/>
      <w:r w:rsidRPr="001A3096">
        <w:rPr>
          <w:bCs/>
        </w:rPr>
        <w:t xml:space="preserve"> or an entry contribution to that approved provider.</w:t>
      </w:r>
    </w:p>
    <w:p w14:paraId="10F35A0B" w14:textId="77777777" w:rsidR="0007553F" w:rsidRPr="001A3096" w:rsidRDefault="0007553F" w:rsidP="0007553F">
      <w:pPr>
        <w:jc w:val="both"/>
        <w:rPr>
          <w:bCs/>
        </w:rPr>
      </w:pPr>
    </w:p>
    <w:p w14:paraId="62D22399" w14:textId="6FAB3274" w:rsidR="0007553F" w:rsidRPr="001A3096" w:rsidRDefault="008466A7" w:rsidP="0007553F">
      <w:pPr>
        <w:jc w:val="both"/>
        <w:rPr>
          <w:bCs/>
        </w:rPr>
      </w:pPr>
      <w:r w:rsidRPr="001A3096">
        <w:rPr>
          <w:bCs/>
        </w:rPr>
        <w:t xml:space="preserve">The provision makes clear to whom subsection (2) applies. This </w:t>
      </w:r>
      <w:r w:rsidR="0007553F" w:rsidRPr="001A3096">
        <w:rPr>
          <w:bCs/>
        </w:rPr>
        <w:t>aim</w:t>
      </w:r>
      <w:r w:rsidRPr="001A3096">
        <w:rPr>
          <w:bCs/>
        </w:rPr>
        <w:t>s</w:t>
      </w:r>
      <w:r w:rsidR="0007553F" w:rsidRPr="001A3096">
        <w:rPr>
          <w:bCs/>
        </w:rPr>
        <w:t xml:space="preserve"> to ensure that each care recipient of an approved provider of an aged care service </w:t>
      </w:r>
      <w:r w:rsidR="00A0579E" w:rsidRPr="001A3096">
        <w:rPr>
          <w:bCs/>
        </w:rPr>
        <w:t>can</w:t>
      </w:r>
      <w:r w:rsidR="0007553F" w:rsidRPr="001A3096">
        <w:rPr>
          <w:bCs/>
        </w:rPr>
        <w:t xml:space="preserve"> request and receive the information and documents specified in subsection 57(1).</w:t>
      </w:r>
      <w:r w:rsidR="001031AC" w:rsidRPr="001A3096">
        <w:rPr>
          <w:bCs/>
        </w:rPr>
        <w:t xml:space="preserve"> This is consistent with item 21.</w:t>
      </w:r>
    </w:p>
    <w:p w14:paraId="32AC88FD" w14:textId="77777777" w:rsidR="0007553F" w:rsidRPr="001A3096" w:rsidRDefault="0007553F" w:rsidP="0007553F">
      <w:pPr>
        <w:jc w:val="both"/>
        <w:rPr>
          <w:bCs/>
        </w:rPr>
      </w:pPr>
    </w:p>
    <w:p w14:paraId="201014AC" w14:textId="77777777" w:rsidR="0007553F" w:rsidRPr="001A3096" w:rsidRDefault="0007553F" w:rsidP="0007553F">
      <w:pPr>
        <w:jc w:val="both"/>
        <w:rPr>
          <w:bCs/>
          <w:i/>
        </w:rPr>
      </w:pPr>
      <w:r w:rsidRPr="001A3096">
        <w:rPr>
          <w:bCs/>
          <w:i/>
        </w:rPr>
        <w:t xml:space="preserve">Subsection </w:t>
      </w:r>
      <w:r w:rsidR="008466A7" w:rsidRPr="001A3096">
        <w:rPr>
          <w:bCs/>
          <w:i/>
        </w:rPr>
        <w:t>57(</w:t>
      </w:r>
      <w:r w:rsidRPr="001A3096">
        <w:rPr>
          <w:bCs/>
          <w:i/>
        </w:rPr>
        <w:t>2B</w:t>
      </w:r>
      <w:r w:rsidR="008466A7" w:rsidRPr="001A3096">
        <w:rPr>
          <w:bCs/>
          <w:i/>
        </w:rPr>
        <w:t>)</w:t>
      </w:r>
    </w:p>
    <w:p w14:paraId="23F5DE42" w14:textId="15BB77F7" w:rsidR="0007553F" w:rsidRPr="001A3096" w:rsidRDefault="008466A7" w:rsidP="009C31FD">
      <w:pPr>
        <w:jc w:val="both"/>
        <w:rPr>
          <w:bCs/>
        </w:rPr>
      </w:pPr>
      <w:r w:rsidRPr="001A3096">
        <w:rPr>
          <w:bCs/>
        </w:rPr>
        <w:t>New s</w:t>
      </w:r>
      <w:r w:rsidR="0007553F" w:rsidRPr="001A3096">
        <w:rPr>
          <w:bCs/>
        </w:rPr>
        <w:t xml:space="preserve">ubsection 57(2B) </w:t>
      </w:r>
      <w:r w:rsidRPr="001A3096">
        <w:rPr>
          <w:bCs/>
        </w:rPr>
        <w:t xml:space="preserve">provides </w:t>
      </w:r>
      <w:r w:rsidR="0007553F" w:rsidRPr="001A3096">
        <w:rPr>
          <w:bCs/>
        </w:rPr>
        <w:t>that if</w:t>
      </w:r>
      <w:r w:rsidRPr="001A3096">
        <w:rPr>
          <w:bCs/>
        </w:rPr>
        <w:t xml:space="preserve"> an approved provider is required under subsection (2) to give a care recipient a summary of permitted uses, an approved provider can satisfy this requirement by providing the care recipient a copy of the permitted uses reconciliation where </w:t>
      </w:r>
      <w:r w:rsidR="0007553F" w:rsidRPr="001A3096">
        <w:rPr>
          <w:bCs/>
        </w:rPr>
        <w:t>the approved provider has given the Secretary an aged care financial report for the approved provider for the previous financial year, and that report included a permitted uses reconciliation</w:t>
      </w:r>
      <w:r w:rsidR="009C31FD" w:rsidRPr="001A3096">
        <w:rPr>
          <w:bCs/>
        </w:rPr>
        <w:t>.</w:t>
      </w:r>
    </w:p>
    <w:p w14:paraId="2A5C404D" w14:textId="77777777" w:rsidR="0007553F" w:rsidRPr="001A3096" w:rsidRDefault="0007553F" w:rsidP="0007553F">
      <w:pPr>
        <w:jc w:val="both"/>
        <w:rPr>
          <w:bCs/>
        </w:rPr>
      </w:pPr>
    </w:p>
    <w:p w14:paraId="301B97E6" w14:textId="169D31D3" w:rsidR="0007553F" w:rsidRPr="001A3096" w:rsidRDefault="0007553F" w:rsidP="0007553F">
      <w:pPr>
        <w:jc w:val="both"/>
        <w:rPr>
          <w:bCs/>
        </w:rPr>
      </w:pPr>
      <w:r w:rsidRPr="001A3096">
        <w:rPr>
          <w:bCs/>
        </w:rPr>
        <w:t>This means</w:t>
      </w:r>
      <w:r w:rsidR="009C31FD" w:rsidRPr="001A3096">
        <w:rPr>
          <w:bCs/>
        </w:rPr>
        <w:t xml:space="preserve"> that an approved provider can still meet their disclosure requirements where they have not produced</w:t>
      </w:r>
      <w:r w:rsidR="001031AC" w:rsidRPr="001A3096">
        <w:rPr>
          <w:bCs/>
        </w:rPr>
        <w:t xml:space="preserve"> or given</w:t>
      </w:r>
      <w:r w:rsidR="00702D6C" w:rsidRPr="001A3096">
        <w:rPr>
          <w:bCs/>
        </w:rPr>
        <w:t xml:space="preserve"> to the Secretary</w:t>
      </w:r>
      <w:r w:rsidR="009C31FD" w:rsidRPr="001A3096">
        <w:rPr>
          <w:bCs/>
        </w:rPr>
        <w:t xml:space="preserve"> a summary of permitted uses</w:t>
      </w:r>
      <w:r w:rsidR="00F87042" w:rsidRPr="001A3096">
        <w:rPr>
          <w:bCs/>
        </w:rPr>
        <w:t xml:space="preserve"> by providing the care recipient a copy of the permitted uses reconciliation</w:t>
      </w:r>
      <w:r w:rsidR="009C31FD" w:rsidRPr="001A3096">
        <w:rPr>
          <w:bCs/>
        </w:rPr>
        <w:t xml:space="preserve">. </w:t>
      </w:r>
      <w:r w:rsidR="009C31FD" w:rsidRPr="001A3096">
        <w:rPr>
          <w:bCs/>
        </w:rPr>
        <w:tab/>
      </w:r>
    </w:p>
    <w:p w14:paraId="2D9F28CC" w14:textId="77777777" w:rsidR="0007553F" w:rsidRPr="001A3096" w:rsidRDefault="0007553F" w:rsidP="0007553F">
      <w:pPr>
        <w:jc w:val="both"/>
        <w:rPr>
          <w:bCs/>
        </w:rPr>
      </w:pPr>
    </w:p>
    <w:p w14:paraId="4DECF692" w14:textId="77777777" w:rsidR="0007553F" w:rsidRPr="001A3096" w:rsidRDefault="0007553F" w:rsidP="0007553F">
      <w:pPr>
        <w:jc w:val="both"/>
        <w:rPr>
          <w:bCs/>
        </w:rPr>
      </w:pPr>
      <w:r w:rsidRPr="001A3096">
        <w:rPr>
          <w:b/>
        </w:rPr>
        <w:t>Item 23 – Before subsection 57(3)</w:t>
      </w:r>
    </w:p>
    <w:p w14:paraId="16BC1E6D" w14:textId="77777777" w:rsidR="0007553F" w:rsidRPr="001A3096" w:rsidRDefault="009C31FD" w:rsidP="0007553F">
      <w:pPr>
        <w:jc w:val="both"/>
        <w:rPr>
          <w:bCs/>
        </w:rPr>
      </w:pPr>
      <w:r w:rsidRPr="001A3096">
        <w:rPr>
          <w:bCs/>
        </w:rPr>
        <w:t xml:space="preserve">Item 23 is a consequential amendment and </w:t>
      </w:r>
      <w:r w:rsidR="0007553F" w:rsidRPr="001A3096">
        <w:rPr>
          <w:bCs/>
        </w:rPr>
        <w:t>inserts a subtitle “Disclosure after end of financial year for approved provider” for subsection 57(3) of the Fees and Payments Principles to clarify the purpose of that subsection.</w:t>
      </w:r>
    </w:p>
    <w:p w14:paraId="49E7F7D7" w14:textId="77777777" w:rsidR="0007553F" w:rsidRPr="001A3096" w:rsidRDefault="0007553F" w:rsidP="0007553F">
      <w:pPr>
        <w:keepNext/>
        <w:tabs>
          <w:tab w:val="left" w:pos="1270"/>
        </w:tabs>
        <w:jc w:val="both"/>
        <w:rPr>
          <w:bCs/>
        </w:rPr>
      </w:pPr>
    </w:p>
    <w:p w14:paraId="631BCE71" w14:textId="77777777" w:rsidR="0007553F" w:rsidRPr="001A3096" w:rsidRDefault="0007553F" w:rsidP="0007553F">
      <w:pPr>
        <w:keepNext/>
        <w:tabs>
          <w:tab w:val="left" w:pos="1270"/>
        </w:tabs>
        <w:jc w:val="both"/>
        <w:rPr>
          <w:b/>
        </w:rPr>
      </w:pPr>
      <w:r w:rsidRPr="001A3096">
        <w:rPr>
          <w:b/>
        </w:rPr>
        <w:t>Part 6—Application provisions</w:t>
      </w:r>
    </w:p>
    <w:p w14:paraId="3CCBAF00" w14:textId="77777777" w:rsidR="0007553F" w:rsidRPr="001A3096" w:rsidRDefault="0007553F" w:rsidP="0007553F">
      <w:pPr>
        <w:keepNext/>
        <w:jc w:val="both"/>
        <w:rPr>
          <w:b/>
          <w:bCs/>
        </w:rPr>
      </w:pPr>
    </w:p>
    <w:p w14:paraId="6D0566B1" w14:textId="77777777" w:rsidR="0007553F" w:rsidRPr="001A3096" w:rsidRDefault="0007553F" w:rsidP="0007553F">
      <w:pPr>
        <w:keepNext/>
        <w:jc w:val="both"/>
        <w:rPr>
          <w:b/>
          <w:bCs/>
          <w:i/>
        </w:rPr>
      </w:pPr>
      <w:r w:rsidRPr="001A3096">
        <w:rPr>
          <w:b/>
          <w:bCs/>
          <w:i/>
        </w:rPr>
        <w:t>Accountability Principles 2014</w:t>
      </w:r>
    </w:p>
    <w:p w14:paraId="03419063" w14:textId="77777777" w:rsidR="0007553F" w:rsidRPr="001A3096" w:rsidRDefault="0007553F" w:rsidP="0007553F">
      <w:pPr>
        <w:keepNext/>
        <w:jc w:val="both"/>
        <w:rPr>
          <w:b/>
          <w:bCs/>
          <w:i/>
        </w:rPr>
      </w:pPr>
      <w:r w:rsidRPr="001A3096">
        <w:rPr>
          <w:b/>
          <w:bCs/>
          <w:i/>
        </w:rPr>
        <w:t xml:space="preserve"> </w:t>
      </w:r>
    </w:p>
    <w:p w14:paraId="054CD1A7" w14:textId="77777777" w:rsidR="0007553F" w:rsidRPr="001A3096" w:rsidRDefault="0007553F" w:rsidP="0007553F">
      <w:pPr>
        <w:jc w:val="both"/>
        <w:rPr>
          <w:b/>
        </w:rPr>
      </w:pPr>
      <w:r w:rsidRPr="001A3096">
        <w:rPr>
          <w:b/>
        </w:rPr>
        <w:t>Item 24 – In the appropriate position in Part 8</w:t>
      </w:r>
    </w:p>
    <w:p w14:paraId="6F13A32C" w14:textId="77777777" w:rsidR="0007553F" w:rsidRPr="001A3096" w:rsidRDefault="003E7A68" w:rsidP="0007553F">
      <w:pPr>
        <w:jc w:val="both"/>
        <w:rPr>
          <w:bCs/>
        </w:rPr>
      </w:pPr>
      <w:r w:rsidRPr="001A3096">
        <w:rPr>
          <w:bCs/>
        </w:rPr>
        <w:t xml:space="preserve">Item 24 </w:t>
      </w:r>
      <w:r w:rsidR="0007553F" w:rsidRPr="001A3096">
        <w:rPr>
          <w:bCs/>
        </w:rPr>
        <w:t>inserts new section 58 into the Accountability Principles, which is an application provision for certain amendments introduced by the Amendment Principles.</w:t>
      </w:r>
    </w:p>
    <w:p w14:paraId="5F67C5F6" w14:textId="77777777" w:rsidR="0007553F" w:rsidRPr="001A3096" w:rsidRDefault="0007553F" w:rsidP="0007553F">
      <w:pPr>
        <w:jc w:val="both"/>
        <w:rPr>
          <w:bCs/>
        </w:rPr>
      </w:pPr>
    </w:p>
    <w:p w14:paraId="2B224A28" w14:textId="77777777" w:rsidR="0007553F" w:rsidRPr="001A3096" w:rsidRDefault="0007553F" w:rsidP="0007553F">
      <w:pPr>
        <w:jc w:val="both"/>
        <w:rPr>
          <w:bCs/>
          <w:i/>
        </w:rPr>
      </w:pPr>
      <w:r w:rsidRPr="001A3096">
        <w:rPr>
          <w:bCs/>
          <w:i/>
        </w:rPr>
        <w:t xml:space="preserve">Subsection </w:t>
      </w:r>
      <w:r w:rsidR="003E7A68" w:rsidRPr="001A3096">
        <w:rPr>
          <w:bCs/>
          <w:i/>
        </w:rPr>
        <w:t>58(</w:t>
      </w:r>
      <w:r w:rsidRPr="001A3096">
        <w:rPr>
          <w:bCs/>
          <w:i/>
        </w:rPr>
        <w:t>1</w:t>
      </w:r>
      <w:r w:rsidR="003E7A68" w:rsidRPr="001A3096">
        <w:rPr>
          <w:bCs/>
          <w:i/>
        </w:rPr>
        <w:t>)</w:t>
      </w:r>
    </w:p>
    <w:p w14:paraId="1EC020A6" w14:textId="77777777" w:rsidR="0007553F" w:rsidRPr="001A3096" w:rsidRDefault="0007553F" w:rsidP="0007553F">
      <w:pPr>
        <w:jc w:val="both"/>
        <w:rPr>
          <w:bCs/>
        </w:rPr>
      </w:pPr>
      <w:r w:rsidRPr="001A3096">
        <w:rPr>
          <w:bCs/>
        </w:rPr>
        <w:t xml:space="preserve">New subsection </w:t>
      </w:r>
      <w:r w:rsidR="00870310" w:rsidRPr="001A3096">
        <w:rPr>
          <w:bCs/>
        </w:rPr>
        <w:t>58(</w:t>
      </w:r>
      <w:r w:rsidRPr="001A3096">
        <w:rPr>
          <w:bCs/>
        </w:rPr>
        <w:t>1</w:t>
      </w:r>
      <w:r w:rsidR="00870310" w:rsidRPr="001A3096">
        <w:rPr>
          <w:bCs/>
        </w:rPr>
        <w:t>)</w:t>
      </w:r>
      <w:r w:rsidRPr="001A3096">
        <w:rPr>
          <w:bCs/>
        </w:rPr>
        <w:t xml:space="preserve"> specifies that </w:t>
      </w:r>
      <w:r w:rsidR="003E7A68" w:rsidRPr="001A3096">
        <w:rPr>
          <w:bCs/>
        </w:rPr>
        <w:t xml:space="preserve">new </w:t>
      </w:r>
      <w:r w:rsidRPr="001A3096">
        <w:rPr>
          <w:bCs/>
        </w:rPr>
        <w:t xml:space="preserve">Part 4A applies in relation to a quarter of a financial year for an approved provider </w:t>
      </w:r>
      <w:r w:rsidR="003E7A68" w:rsidRPr="001A3096">
        <w:rPr>
          <w:bCs/>
        </w:rPr>
        <w:t xml:space="preserve">ending </w:t>
      </w:r>
      <w:r w:rsidRPr="001A3096">
        <w:rPr>
          <w:bCs/>
        </w:rPr>
        <w:t>on or after the commencement of that Part. This means the subsection applies even if a quarter commenced prior to the commencement of that Part of the Amendment Principles</w:t>
      </w:r>
      <w:r w:rsidR="003E7A68" w:rsidRPr="001A3096">
        <w:rPr>
          <w:bCs/>
        </w:rPr>
        <w:t xml:space="preserve"> but had not yet ended</w:t>
      </w:r>
      <w:r w:rsidRPr="001A3096">
        <w:rPr>
          <w:bCs/>
        </w:rPr>
        <w:t>.</w:t>
      </w:r>
    </w:p>
    <w:p w14:paraId="4BB131E8" w14:textId="77777777" w:rsidR="0007553F" w:rsidRPr="001A3096" w:rsidRDefault="0007553F" w:rsidP="0007553F">
      <w:pPr>
        <w:jc w:val="both"/>
        <w:rPr>
          <w:bCs/>
        </w:rPr>
      </w:pPr>
    </w:p>
    <w:p w14:paraId="67D4748F" w14:textId="77777777" w:rsidR="0007553F" w:rsidRPr="001A3096" w:rsidRDefault="0007553F" w:rsidP="0007553F">
      <w:pPr>
        <w:jc w:val="both"/>
        <w:rPr>
          <w:bCs/>
          <w:i/>
        </w:rPr>
      </w:pPr>
      <w:r w:rsidRPr="001A3096">
        <w:rPr>
          <w:bCs/>
          <w:i/>
        </w:rPr>
        <w:t xml:space="preserve">Subsection </w:t>
      </w:r>
      <w:r w:rsidR="003E7A68" w:rsidRPr="001A3096">
        <w:rPr>
          <w:bCs/>
          <w:i/>
        </w:rPr>
        <w:t>58(</w:t>
      </w:r>
      <w:r w:rsidRPr="001A3096">
        <w:rPr>
          <w:bCs/>
          <w:i/>
        </w:rPr>
        <w:t>2</w:t>
      </w:r>
      <w:r w:rsidR="003E7A68" w:rsidRPr="001A3096">
        <w:rPr>
          <w:bCs/>
          <w:i/>
        </w:rPr>
        <w:t>)</w:t>
      </w:r>
    </w:p>
    <w:p w14:paraId="5C8885A3" w14:textId="1F8D1395" w:rsidR="0007553F" w:rsidRPr="001A3096" w:rsidRDefault="0007553F" w:rsidP="0007553F">
      <w:pPr>
        <w:jc w:val="both"/>
        <w:rPr>
          <w:bCs/>
        </w:rPr>
      </w:pPr>
      <w:r w:rsidRPr="001A3096">
        <w:rPr>
          <w:bCs/>
        </w:rPr>
        <w:t xml:space="preserve">New subsection </w:t>
      </w:r>
      <w:r w:rsidR="00870310" w:rsidRPr="001A3096">
        <w:rPr>
          <w:bCs/>
        </w:rPr>
        <w:t>58(</w:t>
      </w:r>
      <w:r w:rsidRPr="001A3096">
        <w:rPr>
          <w:bCs/>
        </w:rPr>
        <w:t>2</w:t>
      </w:r>
      <w:r w:rsidR="00870310" w:rsidRPr="001A3096">
        <w:rPr>
          <w:bCs/>
        </w:rPr>
        <w:t>)</w:t>
      </w:r>
      <w:r w:rsidRPr="001A3096">
        <w:rPr>
          <w:bCs/>
        </w:rPr>
        <w:t xml:space="preserve"> specifies that </w:t>
      </w:r>
      <w:r w:rsidR="003E7A68" w:rsidRPr="001A3096">
        <w:rPr>
          <w:bCs/>
        </w:rPr>
        <w:t xml:space="preserve">new </w:t>
      </w:r>
      <w:r w:rsidRPr="001A3096">
        <w:rPr>
          <w:bCs/>
        </w:rPr>
        <w:t>section 37B applies in relation to a financial year for an approved provider beginning on or after 1 July 2021.</w:t>
      </w:r>
      <w:r w:rsidR="00F62238" w:rsidRPr="001A3096">
        <w:rPr>
          <w:bCs/>
        </w:rPr>
        <w:t xml:space="preserve"> This means that </w:t>
      </w:r>
      <w:r w:rsidR="001031AC" w:rsidRPr="001A3096">
        <w:rPr>
          <w:bCs/>
        </w:rPr>
        <w:t xml:space="preserve">a relevant </w:t>
      </w:r>
      <w:r w:rsidR="003E7A68" w:rsidRPr="001A3096">
        <w:rPr>
          <w:bCs/>
        </w:rPr>
        <w:t xml:space="preserve">approved </w:t>
      </w:r>
      <w:r w:rsidR="00F62238" w:rsidRPr="001A3096">
        <w:rPr>
          <w:bCs/>
        </w:rPr>
        <w:t xml:space="preserve">provider must publish each </w:t>
      </w:r>
      <w:proofErr w:type="gramStart"/>
      <w:r w:rsidR="00F62238" w:rsidRPr="001A3096">
        <w:rPr>
          <w:bCs/>
        </w:rPr>
        <w:t>general purpose</w:t>
      </w:r>
      <w:proofErr w:type="gramEnd"/>
      <w:r w:rsidR="00F62238" w:rsidRPr="001A3096">
        <w:rPr>
          <w:bCs/>
        </w:rPr>
        <w:t xml:space="preserve"> financial report, and the audit opinion for the report, for </w:t>
      </w:r>
      <w:r w:rsidR="001031AC" w:rsidRPr="001A3096">
        <w:rPr>
          <w:bCs/>
        </w:rPr>
        <w:t>each</w:t>
      </w:r>
      <w:r w:rsidR="00F62238" w:rsidRPr="001A3096">
        <w:rPr>
          <w:bCs/>
        </w:rPr>
        <w:t xml:space="preserve"> financial year that began </w:t>
      </w:r>
      <w:r w:rsidR="003E7A68" w:rsidRPr="001A3096">
        <w:rPr>
          <w:bCs/>
        </w:rPr>
        <w:t>on or after 1 July 2021</w:t>
      </w:r>
      <w:r w:rsidR="001031AC" w:rsidRPr="001A3096">
        <w:rPr>
          <w:bCs/>
        </w:rPr>
        <w:t>,</w:t>
      </w:r>
      <w:r w:rsidR="003E7A68" w:rsidRPr="001A3096">
        <w:rPr>
          <w:bCs/>
        </w:rPr>
        <w:t xml:space="preserve"> including where the financial year commenced before the commencement </w:t>
      </w:r>
      <w:r w:rsidR="00F62238" w:rsidRPr="001A3096">
        <w:rPr>
          <w:bCs/>
        </w:rPr>
        <w:t>of Part 2 of the Amendment Principles.</w:t>
      </w:r>
    </w:p>
    <w:p w14:paraId="7C7BA96F" w14:textId="77777777" w:rsidR="0007553F" w:rsidRPr="001A3096" w:rsidRDefault="0007553F" w:rsidP="0007553F">
      <w:pPr>
        <w:jc w:val="both"/>
        <w:rPr>
          <w:bCs/>
        </w:rPr>
      </w:pPr>
    </w:p>
    <w:p w14:paraId="2F2004C1" w14:textId="77777777" w:rsidR="0007553F" w:rsidRPr="001A3096" w:rsidRDefault="0007553F" w:rsidP="0007553F">
      <w:pPr>
        <w:jc w:val="both"/>
        <w:rPr>
          <w:i/>
        </w:rPr>
      </w:pPr>
      <w:r w:rsidRPr="001A3096">
        <w:rPr>
          <w:i/>
        </w:rPr>
        <w:t xml:space="preserve">Subsection </w:t>
      </w:r>
      <w:r w:rsidR="003E7A68" w:rsidRPr="001A3096">
        <w:rPr>
          <w:i/>
        </w:rPr>
        <w:t>58(</w:t>
      </w:r>
      <w:r w:rsidRPr="001A3096">
        <w:rPr>
          <w:i/>
        </w:rPr>
        <w:t>3</w:t>
      </w:r>
      <w:r w:rsidR="003E7A68" w:rsidRPr="001A3096">
        <w:rPr>
          <w:i/>
        </w:rPr>
        <w:t>)</w:t>
      </w:r>
    </w:p>
    <w:p w14:paraId="7A633CA5" w14:textId="77777777" w:rsidR="0007553F" w:rsidRPr="001A3096" w:rsidRDefault="0007553F" w:rsidP="0007553F">
      <w:pPr>
        <w:jc w:val="both"/>
      </w:pPr>
      <w:r w:rsidRPr="001A3096">
        <w:t>New subsection</w:t>
      </w:r>
      <w:r w:rsidR="004B06AA" w:rsidRPr="001A3096">
        <w:t xml:space="preserve"> 58(</w:t>
      </w:r>
      <w:r w:rsidRPr="001A3096">
        <w:t>3</w:t>
      </w:r>
      <w:r w:rsidR="004B06AA" w:rsidRPr="001A3096">
        <w:t>)</w:t>
      </w:r>
      <w:r w:rsidRPr="001A3096">
        <w:t xml:space="preserve"> specifies that </w:t>
      </w:r>
      <w:r w:rsidR="003E7A68" w:rsidRPr="001A3096">
        <w:t xml:space="preserve">new </w:t>
      </w:r>
      <w:r w:rsidRPr="001A3096">
        <w:t>section 40A applies in relation to an aged care financial report for a financial year for an approved provider if the financial year for the approved provider begins on or after 1 July 2021, regardless of the commencement date of that Part of the Amendment Principles.</w:t>
      </w:r>
    </w:p>
    <w:p w14:paraId="4C1A92A8" w14:textId="77777777" w:rsidR="0007553F" w:rsidRPr="001A3096" w:rsidRDefault="0007553F" w:rsidP="0007553F">
      <w:pPr>
        <w:jc w:val="both"/>
      </w:pPr>
    </w:p>
    <w:p w14:paraId="327915AB" w14:textId="77777777" w:rsidR="0007553F" w:rsidRPr="001A3096" w:rsidRDefault="0007553F" w:rsidP="0007553F">
      <w:pPr>
        <w:jc w:val="both"/>
        <w:rPr>
          <w:bCs/>
          <w:i/>
        </w:rPr>
      </w:pPr>
      <w:r w:rsidRPr="001A3096">
        <w:rPr>
          <w:i/>
        </w:rPr>
        <w:t xml:space="preserve">Subsection </w:t>
      </w:r>
      <w:r w:rsidR="003E7A68" w:rsidRPr="001A3096">
        <w:rPr>
          <w:i/>
        </w:rPr>
        <w:t>58(</w:t>
      </w:r>
      <w:r w:rsidRPr="001A3096">
        <w:rPr>
          <w:i/>
        </w:rPr>
        <w:t>4</w:t>
      </w:r>
      <w:r w:rsidR="003E7A68" w:rsidRPr="001A3096">
        <w:rPr>
          <w:i/>
        </w:rPr>
        <w:t>)</w:t>
      </w:r>
    </w:p>
    <w:p w14:paraId="6A410468" w14:textId="77777777" w:rsidR="0007553F" w:rsidRPr="001A3096" w:rsidRDefault="0007553F" w:rsidP="0007553F">
      <w:pPr>
        <w:jc w:val="both"/>
      </w:pPr>
      <w:r w:rsidRPr="001A3096">
        <w:t xml:space="preserve">New subsection </w:t>
      </w:r>
      <w:r w:rsidR="003E7A68" w:rsidRPr="001A3096">
        <w:t>58(</w:t>
      </w:r>
      <w:r w:rsidRPr="001A3096">
        <w:t>4</w:t>
      </w:r>
      <w:r w:rsidR="003E7A68" w:rsidRPr="001A3096">
        <w:t>)</w:t>
      </w:r>
      <w:r w:rsidRPr="001A3096">
        <w:t xml:space="preserve"> specifies that an approved form for an aged care financial report for an approved provider may, under </w:t>
      </w:r>
      <w:r w:rsidR="003E7A68" w:rsidRPr="001A3096">
        <w:t xml:space="preserve">new </w:t>
      </w:r>
      <w:r w:rsidRPr="001A3096">
        <w:t xml:space="preserve">section 40A specify a financial year or years for the approved provider whether the specified financial year, or any of the specified </w:t>
      </w:r>
      <w:r w:rsidRPr="001A3096">
        <w:lastRenderedPageBreak/>
        <w:t xml:space="preserve">financial years, began before, on or after the commencement of Part 4 of the </w:t>
      </w:r>
      <w:r w:rsidR="003E7A68" w:rsidRPr="001A3096">
        <w:t>Amendment Principles</w:t>
      </w:r>
      <w:r w:rsidRPr="001A3096">
        <w:t xml:space="preserve">. This means that the specified financial year or financial years may be any financial year or financial years of the approved provider. For example, an approved form in </w:t>
      </w:r>
      <w:r w:rsidR="004B06AA" w:rsidRPr="001A3096">
        <w:t xml:space="preserve">the financial year of </w:t>
      </w:r>
      <w:r w:rsidRPr="001A3096">
        <w:t xml:space="preserve">2024-25 may specify the </w:t>
      </w:r>
      <w:r w:rsidR="004B06AA" w:rsidRPr="001A3096">
        <w:t xml:space="preserve">financial </w:t>
      </w:r>
      <w:r w:rsidRPr="001A3096">
        <w:t>years</w:t>
      </w:r>
      <w:r w:rsidR="004B06AA" w:rsidRPr="001A3096">
        <w:t xml:space="preserve"> of</w:t>
      </w:r>
      <w:r w:rsidRPr="001A3096">
        <w:t xml:space="preserve"> 2017-18 to 2018</w:t>
      </w:r>
      <w:r w:rsidRPr="001A3096">
        <w:noBreakHyphen/>
        <w:t>19.</w:t>
      </w:r>
    </w:p>
    <w:p w14:paraId="5B52E7F7" w14:textId="77777777" w:rsidR="0007553F" w:rsidRPr="001A3096" w:rsidRDefault="0007553F" w:rsidP="0007553F">
      <w:pPr>
        <w:jc w:val="both"/>
        <w:rPr>
          <w:bCs/>
          <w:i/>
        </w:rPr>
      </w:pPr>
    </w:p>
    <w:p w14:paraId="1699D4EF" w14:textId="77777777" w:rsidR="0007553F" w:rsidRPr="001A3096" w:rsidRDefault="0007553F" w:rsidP="0007553F">
      <w:pPr>
        <w:jc w:val="both"/>
        <w:rPr>
          <w:bCs/>
          <w:i/>
        </w:rPr>
      </w:pPr>
      <w:r w:rsidRPr="001A3096">
        <w:rPr>
          <w:bCs/>
          <w:i/>
        </w:rPr>
        <w:t xml:space="preserve">Subsection </w:t>
      </w:r>
      <w:r w:rsidR="003E7A68" w:rsidRPr="001A3096">
        <w:rPr>
          <w:bCs/>
          <w:i/>
        </w:rPr>
        <w:t>58(</w:t>
      </w:r>
      <w:r w:rsidRPr="001A3096">
        <w:rPr>
          <w:bCs/>
          <w:i/>
        </w:rPr>
        <w:t>5</w:t>
      </w:r>
      <w:r w:rsidR="003E7A68" w:rsidRPr="001A3096">
        <w:rPr>
          <w:bCs/>
          <w:i/>
        </w:rPr>
        <w:t>)</w:t>
      </w:r>
    </w:p>
    <w:p w14:paraId="268AA560" w14:textId="77777777" w:rsidR="0007553F" w:rsidRPr="001A3096" w:rsidRDefault="0007553F" w:rsidP="006850C1">
      <w:pPr>
        <w:tabs>
          <w:tab w:val="left" w:pos="5245"/>
        </w:tabs>
        <w:jc w:val="both"/>
        <w:rPr>
          <w:bCs/>
        </w:rPr>
      </w:pPr>
      <w:r w:rsidRPr="001A3096">
        <w:rPr>
          <w:bCs/>
        </w:rPr>
        <w:t xml:space="preserve">New subsection </w:t>
      </w:r>
      <w:r w:rsidR="003E7A68" w:rsidRPr="001A3096">
        <w:rPr>
          <w:bCs/>
        </w:rPr>
        <w:t>58(</w:t>
      </w:r>
      <w:r w:rsidRPr="001A3096">
        <w:rPr>
          <w:bCs/>
        </w:rPr>
        <w:t>5</w:t>
      </w:r>
      <w:r w:rsidR="003E7A68" w:rsidRPr="001A3096">
        <w:rPr>
          <w:bCs/>
        </w:rPr>
        <w:t>)</w:t>
      </w:r>
      <w:r w:rsidRPr="001A3096">
        <w:rPr>
          <w:bCs/>
        </w:rPr>
        <w:t xml:space="preserve"> </w:t>
      </w:r>
      <w:r w:rsidR="003E7A68" w:rsidRPr="001A3096">
        <w:rPr>
          <w:bCs/>
        </w:rPr>
        <w:t>sets out the definition of amending Schedule</w:t>
      </w:r>
      <w:r w:rsidR="006850C1" w:rsidRPr="001A3096">
        <w:rPr>
          <w:bCs/>
        </w:rPr>
        <w:t xml:space="preserve"> for the purposes of new section 58</w:t>
      </w:r>
      <w:r w:rsidR="003E7A68" w:rsidRPr="001A3096">
        <w:rPr>
          <w:bCs/>
        </w:rPr>
        <w:t>.</w:t>
      </w:r>
    </w:p>
    <w:p w14:paraId="2FF71178" w14:textId="77777777" w:rsidR="0007553F" w:rsidRPr="001A3096" w:rsidRDefault="0007553F" w:rsidP="0007553F">
      <w:pPr>
        <w:jc w:val="both"/>
        <w:rPr>
          <w:i/>
        </w:rPr>
      </w:pPr>
    </w:p>
    <w:p w14:paraId="3465E7E9" w14:textId="77777777" w:rsidR="0007553F" w:rsidRPr="001A3096" w:rsidRDefault="0007553F" w:rsidP="0007553F">
      <w:pPr>
        <w:keepNext/>
        <w:jc w:val="both"/>
        <w:rPr>
          <w:b/>
          <w:bCs/>
          <w:i/>
        </w:rPr>
      </w:pPr>
      <w:r w:rsidRPr="001A3096">
        <w:rPr>
          <w:b/>
          <w:bCs/>
          <w:i/>
        </w:rPr>
        <w:t>Fees and Payments Principles 2014 (No. 2)</w:t>
      </w:r>
    </w:p>
    <w:p w14:paraId="447E9BC7" w14:textId="77777777" w:rsidR="0007553F" w:rsidRPr="001A3096" w:rsidRDefault="0007553F" w:rsidP="0007553F">
      <w:pPr>
        <w:keepNext/>
        <w:jc w:val="both"/>
        <w:rPr>
          <w:b/>
          <w:bCs/>
          <w:i/>
        </w:rPr>
      </w:pPr>
    </w:p>
    <w:p w14:paraId="482AFBBB" w14:textId="77777777" w:rsidR="0007553F" w:rsidRPr="001A3096" w:rsidRDefault="0007553F" w:rsidP="0007553F">
      <w:pPr>
        <w:keepNext/>
        <w:jc w:val="both"/>
        <w:rPr>
          <w:b/>
          <w:bCs/>
        </w:rPr>
      </w:pPr>
      <w:r w:rsidRPr="001A3096">
        <w:rPr>
          <w:b/>
          <w:bCs/>
        </w:rPr>
        <w:t>Item 25 – In the appropriate position in Part 9</w:t>
      </w:r>
    </w:p>
    <w:p w14:paraId="340817FD" w14:textId="77777777" w:rsidR="0007553F" w:rsidRPr="001A3096" w:rsidRDefault="0007553F" w:rsidP="0007553F">
      <w:pPr>
        <w:keepNext/>
        <w:jc w:val="both"/>
        <w:rPr>
          <w:bCs/>
        </w:rPr>
      </w:pPr>
    </w:p>
    <w:p w14:paraId="358D23B2" w14:textId="77777777" w:rsidR="0007553F" w:rsidRPr="001A3096" w:rsidRDefault="006850C1" w:rsidP="0007553F">
      <w:pPr>
        <w:jc w:val="both"/>
        <w:rPr>
          <w:bCs/>
        </w:rPr>
      </w:pPr>
      <w:r w:rsidRPr="001A3096">
        <w:rPr>
          <w:bCs/>
        </w:rPr>
        <w:t xml:space="preserve">Item 25 </w:t>
      </w:r>
      <w:r w:rsidR="0007553F" w:rsidRPr="001A3096">
        <w:rPr>
          <w:bCs/>
        </w:rPr>
        <w:t>inserts new section 78 into the Fees and Payments Principles, which is an application provision for certain amendments introduced by the Amendment Principles.</w:t>
      </w:r>
    </w:p>
    <w:p w14:paraId="029F34E4" w14:textId="77777777" w:rsidR="0007553F" w:rsidRPr="001A3096" w:rsidRDefault="0007553F" w:rsidP="0007553F">
      <w:pPr>
        <w:jc w:val="both"/>
        <w:rPr>
          <w:bCs/>
        </w:rPr>
      </w:pPr>
    </w:p>
    <w:p w14:paraId="30BCBE69" w14:textId="77777777" w:rsidR="0007553F" w:rsidRPr="001A3096" w:rsidRDefault="0007553F" w:rsidP="0007553F">
      <w:pPr>
        <w:jc w:val="both"/>
        <w:rPr>
          <w:bCs/>
          <w:i/>
        </w:rPr>
      </w:pPr>
      <w:r w:rsidRPr="001A3096">
        <w:rPr>
          <w:bCs/>
          <w:i/>
        </w:rPr>
        <w:t xml:space="preserve">Subsection </w:t>
      </w:r>
      <w:r w:rsidR="006850C1" w:rsidRPr="001A3096">
        <w:rPr>
          <w:bCs/>
          <w:i/>
        </w:rPr>
        <w:t>78(</w:t>
      </w:r>
      <w:r w:rsidRPr="001A3096">
        <w:rPr>
          <w:bCs/>
          <w:i/>
        </w:rPr>
        <w:t>1</w:t>
      </w:r>
      <w:r w:rsidR="006850C1" w:rsidRPr="001A3096">
        <w:rPr>
          <w:bCs/>
          <w:i/>
        </w:rPr>
        <w:t>)</w:t>
      </w:r>
    </w:p>
    <w:p w14:paraId="53E182BC" w14:textId="77777777" w:rsidR="0007553F" w:rsidRPr="001A3096" w:rsidRDefault="0007553F" w:rsidP="0007553F">
      <w:pPr>
        <w:jc w:val="both"/>
        <w:rPr>
          <w:bCs/>
        </w:rPr>
      </w:pPr>
      <w:r w:rsidRPr="001A3096">
        <w:rPr>
          <w:bCs/>
        </w:rPr>
        <w:t xml:space="preserve">New subsection </w:t>
      </w:r>
      <w:r w:rsidR="007F1111" w:rsidRPr="001A3096">
        <w:rPr>
          <w:bCs/>
        </w:rPr>
        <w:t>78(</w:t>
      </w:r>
      <w:r w:rsidRPr="001A3096">
        <w:rPr>
          <w:bCs/>
        </w:rPr>
        <w:t>1</w:t>
      </w:r>
      <w:r w:rsidR="007F1111" w:rsidRPr="001A3096">
        <w:rPr>
          <w:bCs/>
        </w:rPr>
        <w:t>)</w:t>
      </w:r>
      <w:r w:rsidRPr="001A3096">
        <w:rPr>
          <w:bCs/>
        </w:rPr>
        <w:t xml:space="preserve"> specifies that </w:t>
      </w:r>
      <w:r w:rsidR="006850C1" w:rsidRPr="001A3096">
        <w:rPr>
          <w:bCs/>
        </w:rPr>
        <w:t xml:space="preserve">new </w:t>
      </w:r>
      <w:r w:rsidRPr="001A3096">
        <w:rPr>
          <w:bCs/>
        </w:rPr>
        <w:t>paragraph 57(</w:t>
      </w:r>
      <w:proofErr w:type="gramStart"/>
      <w:r w:rsidRPr="001A3096">
        <w:rPr>
          <w:bCs/>
        </w:rPr>
        <w:t>1)(</w:t>
      </w:r>
      <w:proofErr w:type="gramEnd"/>
      <w:r w:rsidRPr="001A3096">
        <w:rPr>
          <w:bCs/>
        </w:rPr>
        <w:t>aa) applies in relation to an aged care financial report referred to in that paragraph whether the report was given to the Secretary before, on or after the commencement of that Part.</w:t>
      </w:r>
    </w:p>
    <w:p w14:paraId="0D6146CF" w14:textId="77777777" w:rsidR="0007553F" w:rsidRPr="001A3096" w:rsidRDefault="0007553F" w:rsidP="0007553F">
      <w:pPr>
        <w:jc w:val="both"/>
        <w:rPr>
          <w:bCs/>
        </w:rPr>
      </w:pPr>
    </w:p>
    <w:p w14:paraId="67E624E0" w14:textId="77777777" w:rsidR="0007553F" w:rsidRPr="001A3096" w:rsidRDefault="0007553F" w:rsidP="0007553F">
      <w:pPr>
        <w:jc w:val="both"/>
        <w:rPr>
          <w:bCs/>
          <w:i/>
        </w:rPr>
      </w:pPr>
      <w:r w:rsidRPr="001A3096">
        <w:rPr>
          <w:bCs/>
          <w:i/>
        </w:rPr>
        <w:t xml:space="preserve">Subsection </w:t>
      </w:r>
      <w:r w:rsidR="006850C1" w:rsidRPr="001A3096">
        <w:rPr>
          <w:bCs/>
          <w:i/>
        </w:rPr>
        <w:t>78(</w:t>
      </w:r>
      <w:r w:rsidRPr="001A3096">
        <w:rPr>
          <w:bCs/>
          <w:i/>
        </w:rPr>
        <w:t>2</w:t>
      </w:r>
      <w:r w:rsidR="006850C1" w:rsidRPr="001A3096">
        <w:rPr>
          <w:bCs/>
          <w:i/>
        </w:rPr>
        <w:t>)</w:t>
      </w:r>
    </w:p>
    <w:p w14:paraId="03218FA1" w14:textId="77777777" w:rsidR="0007553F" w:rsidRPr="001A3096" w:rsidRDefault="0007553F" w:rsidP="0007553F">
      <w:pPr>
        <w:jc w:val="both"/>
        <w:rPr>
          <w:bCs/>
        </w:rPr>
      </w:pPr>
      <w:r w:rsidRPr="001A3096">
        <w:rPr>
          <w:bCs/>
        </w:rPr>
        <w:t xml:space="preserve">New subsection </w:t>
      </w:r>
      <w:r w:rsidR="00870310" w:rsidRPr="001A3096">
        <w:rPr>
          <w:bCs/>
        </w:rPr>
        <w:t>78(</w:t>
      </w:r>
      <w:r w:rsidRPr="001A3096">
        <w:rPr>
          <w:bCs/>
        </w:rPr>
        <w:t>2</w:t>
      </w:r>
      <w:r w:rsidR="00870310" w:rsidRPr="001A3096">
        <w:rPr>
          <w:bCs/>
        </w:rPr>
        <w:t>)</w:t>
      </w:r>
      <w:r w:rsidRPr="001A3096">
        <w:rPr>
          <w:bCs/>
        </w:rPr>
        <w:t xml:space="preserve"> specifies that</w:t>
      </w:r>
      <w:r w:rsidR="006850C1" w:rsidRPr="001A3096">
        <w:rPr>
          <w:bCs/>
        </w:rPr>
        <w:t xml:space="preserve"> new</w:t>
      </w:r>
      <w:r w:rsidRPr="001A3096">
        <w:rPr>
          <w:bCs/>
        </w:rPr>
        <w:t xml:space="preserve"> paragraph 57(</w:t>
      </w:r>
      <w:proofErr w:type="gramStart"/>
      <w:r w:rsidRPr="001A3096">
        <w:rPr>
          <w:bCs/>
        </w:rPr>
        <w:t>1)(</w:t>
      </w:r>
      <w:proofErr w:type="gramEnd"/>
      <w:r w:rsidRPr="001A3096">
        <w:rPr>
          <w:bCs/>
        </w:rPr>
        <w:t xml:space="preserve">aa) </w:t>
      </w:r>
      <w:r w:rsidRPr="001A3096">
        <w:t>also applies in relation to:</w:t>
      </w:r>
    </w:p>
    <w:p w14:paraId="398FB655" w14:textId="77777777" w:rsidR="0007553F" w:rsidRPr="001A3096" w:rsidRDefault="0007553F" w:rsidP="0007553F">
      <w:pPr>
        <w:numPr>
          <w:ilvl w:val="0"/>
          <w:numId w:val="50"/>
        </w:numPr>
        <w:jc w:val="both"/>
        <w:rPr>
          <w:bCs/>
        </w:rPr>
      </w:pPr>
      <w:r w:rsidRPr="001A3096">
        <w:rPr>
          <w:bCs/>
        </w:rPr>
        <w:t>a notification given by an approved provider under subsection 57(1) of these principles on or after the commencement of that Part, whether the accommodation agreement mentioned in that subsection was entered into before, on or after that commencement; and</w:t>
      </w:r>
    </w:p>
    <w:p w14:paraId="5952A01D" w14:textId="77777777" w:rsidR="0007553F" w:rsidRPr="001A3096" w:rsidRDefault="0007553F" w:rsidP="0007553F">
      <w:pPr>
        <w:numPr>
          <w:ilvl w:val="0"/>
          <w:numId w:val="50"/>
        </w:numPr>
        <w:jc w:val="both"/>
        <w:rPr>
          <w:bCs/>
        </w:rPr>
      </w:pPr>
      <w:r w:rsidRPr="001A3096">
        <w:rPr>
          <w:bCs/>
        </w:rPr>
        <w:t>a request made by a care recipient under subsection 57(2) of these principles on or after the commencement of that Part; and</w:t>
      </w:r>
      <w:r w:rsidRPr="001A3096" w:rsidDel="001E18B2">
        <w:rPr>
          <w:bCs/>
        </w:rPr>
        <w:t xml:space="preserve"> </w:t>
      </w:r>
    </w:p>
    <w:p w14:paraId="51D56315" w14:textId="77777777" w:rsidR="0007553F" w:rsidRPr="001A3096" w:rsidRDefault="0007553F" w:rsidP="0007553F">
      <w:pPr>
        <w:numPr>
          <w:ilvl w:val="0"/>
          <w:numId w:val="50"/>
        </w:numPr>
        <w:jc w:val="both"/>
        <w:rPr>
          <w:bCs/>
        </w:rPr>
      </w:pPr>
      <w:r w:rsidRPr="001A3096">
        <w:rPr>
          <w:bCs/>
        </w:rPr>
        <w:t>a written statement given by an approved provider under paragraph 57(3)(b) of these principles on or after the commencement of that Part, whether the financial year for the approved provider mentioned in subsection 57(3) of these principles ends before, on or after that commencement.</w:t>
      </w:r>
    </w:p>
    <w:p w14:paraId="024701B6" w14:textId="77777777" w:rsidR="006850C1" w:rsidRPr="001A3096" w:rsidRDefault="006850C1" w:rsidP="0007553F">
      <w:pPr>
        <w:jc w:val="both"/>
        <w:rPr>
          <w:bCs/>
        </w:rPr>
      </w:pPr>
    </w:p>
    <w:p w14:paraId="791957DD" w14:textId="7D52A34E" w:rsidR="0007553F" w:rsidRPr="001A3096" w:rsidRDefault="0007553F" w:rsidP="0007553F">
      <w:pPr>
        <w:jc w:val="both"/>
        <w:rPr>
          <w:bCs/>
        </w:rPr>
      </w:pPr>
      <w:r w:rsidRPr="001A3096">
        <w:rPr>
          <w:bCs/>
        </w:rPr>
        <w:t xml:space="preserve">This </w:t>
      </w:r>
      <w:r w:rsidR="006850C1" w:rsidRPr="001A3096">
        <w:rPr>
          <w:bCs/>
        </w:rPr>
        <w:t xml:space="preserve">aligns </w:t>
      </w:r>
      <w:r w:rsidRPr="001A3096">
        <w:rPr>
          <w:bCs/>
        </w:rPr>
        <w:t xml:space="preserve">with Part 5 of </w:t>
      </w:r>
      <w:r w:rsidR="00870310" w:rsidRPr="001A3096">
        <w:rPr>
          <w:bCs/>
        </w:rPr>
        <w:t xml:space="preserve">the </w:t>
      </w:r>
      <w:r w:rsidR="006850C1" w:rsidRPr="001A3096">
        <w:rPr>
          <w:bCs/>
        </w:rPr>
        <w:t>Amendment Principles</w:t>
      </w:r>
      <w:r w:rsidRPr="001A3096">
        <w:rPr>
          <w:bCs/>
        </w:rPr>
        <w:t>, which aim</w:t>
      </w:r>
      <w:r w:rsidR="00870310" w:rsidRPr="001A3096">
        <w:rPr>
          <w:bCs/>
        </w:rPr>
        <w:t>s</w:t>
      </w:r>
      <w:r w:rsidRPr="001A3096">
        <w:rPr>
          <w:bCs/>
        </w:rPr>
        <w:t xml:space="preserve"> to improve transparency by expanding the</w:t>
      </w:r>
      <w:r w:rsidR="00870310" w:rsidRPr="001A3096">
        <w:rPr>
          <w:bCs/>
        </w:rPr>
        <w:t xml:space="preserve"> information and documents that can be made available to care recipients on their request</w:t>
      </w:r>
      <w:r w:rsidRPr="001A3096">
        <w:rPr>
          <w:bCs/>
        </w:rPr>
        <w:t>.</w:t>
      </w:r>
      <w:r w:rsidR="007B621B" w:rsidRPr="001A3096">
        <w:rPr>
          <w:bCs/>
        </w:rPr>
        <w:t xml:space="preserve"> This is to</w:t>
      </w:r>
      <w:r w:rsidR="005B6529" w:rsidRPr="001A3096">
        <w:rPr>
          <w:bCs/>
        </w:rPr>
        <w:t xml:space="preserve"> allow for</w:t>
      </w:r>
      <w:r w:rsidR="007B621B" w:rsidRPr="001A3096">
        <w:rPr>
          <w:bCs/>
        </w:rPr>
        <w:t xml:space="preserve"> </w:t>
      </w:r>
      <w:bookmarkStart w:id="4" w:name="_Hlk107919880"/>
      <w:r w:rsidR="007B621B" w:rsidRPr="001A3096">
        <w:rPr>
          <w:bCs/>
        </w:rPr>
        <w:t>as much information to be disclosed as is desired by the care recipient.</w:t>
      </w:r>
      <w:bookmarkEnd w:id="4"/>
    </w:p>
    <w:p w14:paraId="5C4CB4B1" w14:textId="77777777" w:rsidR="0007553F" w:rsidRPr="001A3096" w:rsidRDefault="0007553F" w:rsidP="0007553F">
      <w:pPr>
        <w:jc w:val="both"/>
        <w:rPr>
          <w:bCs/>
        </w:rPr>
      </w:pPr>
    </w:p>
    <w:p w14:paraId="05BCE15E" w14:textId="77777777" w:rsidR="0007553F" w:rsidRPr="001A3096" w:rsidRDefault="0007553F" w:rsidP="0007553F">
      <w:pPr>
        <w:jc w:val="both"/>
        <w:rPr>
          <w:bCs/>
          <w:i/>
        </w:rPr>
      </w:pPr>
      <w:r w:rsidRPr="001A3096">
        <w:rPr>
          <w:bCs/>
          <w:i/>
        </w:rPr>
        <w:t xml:space="preserve">Subsection </w:t>
      </w:r>
      <w:r w:rsidR="006850C1" w:rsidRPr="001A3096">
        <w:rPr>
          <w:bCs/>
          <w:i/>
        </w:rPr>
        <w:t>78(</w:t>
      </w:r>
      <w:r w:rsidRPr="001A3096">
        <w:rPr>
          <w:bCs/>
          <w:i/>
        </w:rPr>
        <w:t>3</w:t>
      </w:r>
      <w:r w:rsidR="006850C1" w:rsidRPr="001A3096">
        <w:rPr>
          <w:bCs/>
          <w:i/>
        </w:rPr>
        <w:t>)</w:t>
      </w:r>
    </w:p>
    <w:p w14:paraId="3DFA7280" w14:textId="26D81F3C" w:rsidR="0007553F" w:rsidRPr="001A3096" w:rsidRDefault="0007553F" w:rsidP="0007553F">
      <w:pPr>
        <w:jc w:val="both"/>
        <w:rPr>
          <w:bCs/>
        </w:rPr>
      </w:pPr>
      <w:r w:rsidRPr="001A3096">
        <w:t xml:space="preserve">New subsection </w:t>
      </w:r>
      <w:r w:rsidR="006850C1" w:rsidRPr="001A3096">
        <w:t>78(</w:t>
      </w:r>
      <w:r w:rsidRPr="001A3096">
        <w:t>3</w:t>
      </w:r>
      <w:r w:rsidR="006850C1" w:rsidRPr="001A3096">
        <w:t>)</w:t>
      </w:r>
      <w:r w:rsidRPr="001A3096">
        <w:t xml:space="preserve"> specifies that </w:t>
      </w:r>
      <w:r w:rsidR="006850C1" w:rsidRPr="001A3096">
        <w:t xml:space="preserve">amended </w:t>
      </w:r>
      <w:r w:rsidRPr="001A3096">
        <w:t xml:space="preserve">subsection 57(2), and </w:t>
      </w:r>
      <w:r w:rsidR="006850C1" w:rsidRPr="001A3096">
        <w:t xml:space="preserve">new </w:t>
      </w:r>
      <w:r w:rsidRPr="001A3096">
        <w:t>subsections 57(2A) and (2B), of the Fees and Payments Principles apply in relation to a request made by a care recipient on or after the commencement of that Part</w:t>
      </w:r>
      <w:r w:rsidR="006850C1" w:rsidRPr="001A3096">
        <w:t xml:space="preserve"> of the Amendment Principles</w:t>
      </w:r>
      <w:r w:rsidRPr="001A3096">
        <w:t>, whether the care recipient began to be provided with aged care before, on or after that commencement.</w:t>
      </w:r>
      <w:r w:rsidRPr="001A3096">
        <w:rPr>
          <w:bCs/>
        </w:rPr>
        <w:t xml:space="preserve"> This </w:t>
      </w:r>
      <w:r w:rsidR="006850C1" w:rsidRPr="001A3096">
        <w:rPr>
          <w:bCs/>
        </w:rPr>
        <w:t xml:space="preserve">aligns </w:t>
      </w:r>
      <w:r w:rsidRPr="001A3096">
        <w:rPr>
          <w:bCs/>
        </w:rPr>
        <w:t>with Part 5 of Schedule 1, which aim</w:t>
      </w:r>
      <w:r w:rsidR="006850C1" w:rsidRPr="001A3096">
        <w:rPr>
          <w:bCs/>
        </w:rPr>
        <w:t>s</w:t>
      </w:r>
      <w:r w:rsidRPr="001A3096">
        <w:rPr>
          <w:bCs/>
        </w:rPr>
        <w:t xml:space="preserve"> to improve transparency by expanding the disclosures as broadly as was reasonable.</w:t>
      </w:r>
      <w:r w:rsidR="00524B26" w:rsidRPr="001A3096">
        <w:t xml:space="preserve"> </w:t>
      </w:r>
      <w:r w:rsidR="00524B26" w:rsidRPr="001A3096">
        <w:rPr>
          <w:bCs/>
        </w:rPr>
        <w:t>This is to</w:t>
      </w:r>
      <w:r w:rsidR="00524B26" w:rsidRPr="001A3096">
        <w:t xml:space="preserve"> </w:t>
      </w:r>
      <w:r w:rsidR="00524B26" w:rsidRPr="001A3096">
        <w:rPr>
          <w:bCs/>
        </w:rPr>
        <w:t xml:space="preserve">enable as much information to be disclosed </w:t>
      </w:r>
      <w:r w:rsidR="000B51CF" w:rsidRPr="001A3096">
        <w:rPr>
          <w:bCs/>
        </w:rPr>
        <w:t>as</w:t>
      </w:r>
      <w:r w:rsidR="00524B26" w:rsidRPr="001A3096">
        <w:rPr>
          <w:bCs/>
        </w:rPr>
        <w:t xml:space="preserve"> desired by the care recipient.</w:t>
      </w:r>
    </w:p>
    <w:p w14:paraId="4C075F62" w14:textId="77777777" w:rsidR="0007553F" w:rsidRPr="001A3096" w:rsidRDefault="0007553F" w:rsidP="0007553F">
      <w:pPr>
        <w:jc w:val="both"/>
      </w:pPr>
    </w:p>
    <w:p w14:paraId="51E305FF" w14:textId="77777777" w:rsidR="0007553F" w:rsidRPr="001A3096" w:rsidRDefault="0007553F" w:rsidP="0007553F">
      <w:pPr>
        <w:jc w:val="both"/>
        <w:rPr>
          <w:i/>
        </w:rPr>
      </w:pPr>
      <w:r w:rsidRPr="001A3096">
        <w:rPr>
          <w:i/>
        </w:rPr>
        <w:lastRenderedPageBreak/>
        <w:t xml:space="preserve">Subsection </w:t>
      </w:r>
      <w:r w:rsidR="006850C1" w:rsidRPr="001A3096">
        <w:rPr>
          <w:i/>
        </w:rPr>
        <w:t>78(</w:t>
      </w:r>
      <w:r w:rsidRPr="001A3096">
        <w:rPr>
          <w:i/>
        </w:rPr>
        <w:t>4</w:t>
      </w:r>
      <w:r w:rsidR="006850C1" w:rsidRPr="001A3096">
        <w:rPr>
          <w:i/>
        </w:rPr>
        <w:t>)</w:t>
      </w:r>
    </w:p>
    <w:p w14:paraId="32F02C00" w14:textId="77777777" w:rsidR="0007553F" w:rsidRPr="001A3096" w:rsidRDefault="0007553F" w:rsidP="0007553F">
      <w:pPr>
        <w:jc w:val="both"/>
      </w:pPr>
      <w:r w:rsidRPr="001A3096">
        <w:t xml:space="preserve">New subsection </w:t>
      </w:r>
      <w:r w:rsidR="006850C1" w:rsidRPr="001A3096">
        <w:t>78(</w:t>
      </w:r>
      <w:r w:rsidRPr="001A3096">
        <w:t>4</w:t>
      </w:r>
      <w:r w:rsidR="006850C1" w:rsidRPr="001A3096">
        <w:t>)</w:t>
      </w:r>
      <w:r w:rsidRPr="001A3096">
        <w:t xml:space="preserve"> </w:t>
      </w:r>
      <w:r w:rsidR="006850C1" w:rsidRPr="001A3096">
        <w:rPr>
          <w:bCs/>
        </w:rPr>
        <w:t>sets out the definition of amending Schedule for the purposes of new section 78.</w:t>
      </w:r>
    </w:p>
    <w:p w14:paraId="42D4D05F" w14:textId="77777777" w:rsidR="0007553F" w:rsidRPr="001A3096" w:rsidRDefault="0007553F" w:rsidP="0007553F">
      <w:pPr>
        <w:jc w:val="both"/>
      </w:pPr>
    </w:p>
    <w:p w14:paraId="794A9437" w14:textId="77777777" w:rsidR="0007553F" w:rsidRPr="001A3096" w:rsidRDefault="0007553F" w:rsidP="0007553F">
      <w:pPr>
        <w:keepNext/>
        <w:jc w:val="both"/>
        <w:rPr>
          <w:b/>
          <w:i/>
        </w:rPr>
      </w:pPr>
      <w:r w:rsidRPr="001A3096">
        <w:rPr>
          <w:b/>
          <w:i/>
        </w:rPr>
        <w:t>Information Principles 2014</w:t>
      </w:r>
    </w:p>
    <w:p w14:paraId="3D24FBAA" w14:textId="77777777" w:rsidR="0007553F" w:rsidRPr="001A3096" w:rsidRDefault="0007553F" w:rsidP="0007553F">
      <w:pPr>
        <w:keepNext/>
        <w:jc w:val="both"/>
        <w:rPr>
          <w:b/>
        </w:rPr>
      </w:pPr>
    </w:p>
    <w:p w14:paraId="4ED781FF" w14:textId="77777777" w:rsidR="0007553F" w:rsidRPr="001A3096" w:rsidRDefault="0007553F" w:rsidP="0007553F">
      <w:pPr>
        <w:keepNext/>
        <w:jc w:val="both"/>
        <w:rPr>
          <w:b/>
        </w:rPr>
      </w:pPr>
      <w:r w:rsidRPr="001A3096">
        <w:rPr>
          <w:b/>
        </w:rPr>
        <w:t>Item 26 – At the end of the instrument</w:t>
      </w:r>
    </w:p>
    <w:p w14:paraId="3CA2FA4A" w14:textId="77777777" w:rsidR="0007553F" w:rsidRPr="001A3096" w:rsidRDefault="0007553F" w:rsidP="0007553F">
      <w:pPr>
        <w:jc w:val="both"/>
        <w:rPr>
          <w:bCs/>
        </w:rPr>
      </w:pPr>
    </w:p>
    <w:p w14:paraId="5368BCE0" w14:textId="77777777" w:rsidR="008C1FFB" w:rsidRPr="001A3096" w:rsidRDefault="008C1FFB" w:rsidP="00181111">
      <w:pPr>
        <w:jc w:val="both"/>
      </w:pPr>
      <w:r w:rsidRPr="001A3096">
        <w:rPr>
          <w:bCs/>
        </w:rPr>
        <w:t xml:space="preserve">Item 26 </w:t>
      </w:r>
      <w:r w:rsidR="0007553F" w:rsidRPr="001A3096">
        <w:rPr>
          <w:bCs/>
        </w:rPr>
        <w:t>inserts new</w:t>
      </w:r>
      <w:r w:rsidR="007F1111" w:rsidRPr="001A3096">
        <w:rPr>
          <w:bCs/>
        </w:rPr>
        <w:t xml:space="preserve"> </w:t>
      </w:r>
      <w:r w:rsidR="0007553F" w:rsidRPr="001A3096">
        <w:rPr>
          <w:bCs/>
        </w:rPr>
        <w:t>Part 4 into the Information Principles</w:t>
      </w:r>
      <w:r w:rsidRPr="001A3096">
        <w:t>, which sets out the application provisions</w:t>
      </w:r>
      <w:r w:rsidR="00CF73CB" w:rsidRPr="001A3096">
        <w:t xml:space="preserve"> for the Amendment </w:t>
      </w:r>
      <w:r w:rsidR="00837824" w:rsidRPr="001A3096">
        <w:t>Principles</w:t>
      </w:r>
      <w:r w:rsidR="00CF73CB" w:rsidRPr="001A3096">
        <w:t>.</w:t>
      </w:r>
    </w:p>
    <w:p w14:paraId="7422CEF7" w14:textId="77777777" w:rsidR="008C1FFB" w:rsidRPr="001A3096" w:rsidRDefault="008C1FFB" w:rsidP="0007553F">
      <w:pPr>
        <w:keepNext/>
        <w:jc w:val="both"/>
      </w:pPr>
    </w:p>
    <w:p w14:paraId="766AC1A7" w14:textId="77777777" w:rsidR="0007553F" w:rsidRPr="001A3096" w:rsidRDefault="0007553F" w:rsidP="0007553F">
      <w:pPr>
        <w:keepNext/>
        <w:jc w:val="both"/>
        <w:rPr>
          <w:i/>
        </w:rPr>
      </w:pPr>
      <w:r w:rsidRPr="001A3096">
        <w:rPr>
          <w:i/>
        </w:rPr>
        <w:t xml:space="preserve">Subsection </w:t>
      </w:r>
      <w:r w:rsidR="00CF73CB" w:rsidRPr="001A3096">
        <w:rPr>
          <w:i/>
        </w:rPr>
        <w:t>9(</w:t>
      </w:r>
      <w:r w:rsidRPr="001A3096">
        <w:rPr>
          <w:i/>
        </w:rPr>
        <w:t>1</w:t>
      </w:r>
      <w:r w:rsidR="00CF73CB" w:rsidRPr="001A3096">
        <w:rPr>
          <w:i/>
        </w:rPr>
        <w:t>)</w:t>
      </w:r>
    </w:p>
    <w:p w14:paraId="78942178" w14:textId="77777777" w:rsidR="0007553F" w:rsidRPr="001A3096" w:rsidRDefault="0007553F" w:rsidP="0007553F">
      <w:pPr>
        <w:keepNext/>
        <w:jc w:val="both"/>
      </w:pPr>
      <w:r w:rsidRPr="001A3096">
        <w:t xml:space="preserve">New subsection </w:t>
      </w:r>
      <w:r w:rsidR="007F1111" w:rsidRPr="001A3096">
        <w:t>9(</w:t>
      </w:r>
      <w:r w:rsidRPr="001A3096">
        <w:t>1</w:t>
      </w:r>
      <w:r w:rsidR="007F1111" w:rsidRPr="001A3096">
        <w:t>)</w:t>
      </w:r>
      <w:r w:rsidRPr="001A3096">
        <w:t xml:space="preserve"> specifies that </w:t>
      </w:r>
      <w:r w:rsidR="00CF73CB" w:rsidRPr="001A3096">
        <w:t xml:space="preserve">new </w:t>
      </w:r>
      <w:r w:rsidRPr="001A3096">
        <w:t>paragraph 8(f) applies in relation to information referred to in that paragraph that is given to the Secretary after the commencement of that Part.</w:t>
      </w:r>
    </w:p>
    <w:p w14:paraId="65D4F7E5" w14:textId="77777777" w:rsidR="0007553F" w:rsidRPr="001A3096" w:rsidRDefault="0007553F" w:rsidP="0007553F">
      <w:pPr>
        <w:keepNext/>
        <w:jc w:val="both"/>
      </w:pPr>
    </w:p>
    <w:p w14:paraId="3636FD69" w14:textId="77777777" w:rsidR="0007553F" w:rsidRPr="001A3096" w:rsidRDefault="0007553F" w:rsidP="0007553F">
      <w:pPr>
        <w:keepNext/>
        <w:jc w:val="both"/>
        <w:rPr>
          <w:i/>
        </w:rPr>
      </w:pPr>
      <w:r w:rsidRPr="001A3096">
        <w:rPr>
          <w:i/>
        </w:rPr>
        <w:t xml:space="preserve">Subsection </w:t>
      </w:r>
      <w:r w:rsidR="00CF73CB" w:rsidRPr="001A3096">
        <w:rPr>
          <w:i/>
        </w:rPr>
        <w:t>9(</w:t>
      </w:r>
      <w:r w:rsidRPr="001A3096">
        <w:rPr>
          <w:i/>
        </w:rPr>
        <w:t>2</w:t>
      </w:r>
      <w:r w:rsidR="00CF73CB" w:rsidRPr="001A3096">
        <w:rPr>
          <w:i/>
        </w:rPr>
        <w:t>)</w:t>
      </w:r>
    </w:p>
    <w:p w14:paraId="76A46A3A" w14:textId="77777777" w:rsidR="0007553F" w:rsidRPr="001A3096" w:rsidRDefault="0007553F" w:rsidP="0007553F">
      <w:pPr>
        <w:keepNext/>
        <w:jc w:val="both"/>
      </w:pPr>
      <w:r w:rsidRPr="001A3096">
        <w:t xml:space="preserve">New subsection </w:t>
      </w:r>
      <w:r w:rsidR="007F1111" w:rsidRPr="001A3096">
        <w:t>9(</w:t>
      </w:r>
      <w:r w:rsidRPr="001A3096">
        <w:t>2</w:t>
      </w:r>
      <w:r w:rsidR="007F1111" w:rsidRPr="001A3096">
        <w:t>)</w:t>
      </w:r>
      <w:r w:rsidRPr="001A3096">
        <w:t xml:space="preserve"> specifies that </w:t>
      </w:r>
      <w:r w:rsidR="00837824" w:rsidRPr="001A3096">
        <w:t xml:space="preserve">new </w:t>
      </w:r>
      <w:r w:rsidRPr="001A3096">
        <w:t xml:space="preserve">paragraph 8(g) applies in relation to information about whether an approved provider has given the Secretary a financial support statement under section 39 of the Accountability Principles if the information relates to the approved provider’s giving, or not giving, such a statement to the Secretary after the commencement of that Part. </w:t>
      </w:r>
    </w:p>
    <w:p w14:paraId="1C8C1F0B" w14:textId="77777777" w:rsidR="0007553F" w:rsidRPr="001A3096" w:rsidRDefault="0007553F" w:rsidP="0007553F">
      <w:pPr>
        <w:keepNext/>
        <w:jc w:val="both"/>
        <w:rPr>
          <w:b/>
        </w:rPr>
      </w:pPr>
    </w:p>
    <w:p w14:paraId="468FB918" w14:textId="77777777" w:rsidR="0007553F" w:rsidRPr="001A3096" w:rsidRDefault="0007553F" w:rsidP="0007553F">
      <w:pPr>
        <w:keepNext/>
        <w:jc w:val="both"/>
        <w:rPr>
          <w:b/>
        </w:rPr>
        <w:sectPr w:rsidR="0007553F" w:rsidRPr="001A3096">
          <w:pgSz w:w="11906" w:h="16838"/>
          <w:pgMar w:top="1440" w:right="1800" w:bottom="1440" w:left="1800" w:header="708" w:footer="708" w:gutter="0"/>
          <w:cols w:space="708"/>
          <w:docGrid w:linePitch="360"/>
        </w:sectPr>
      </w:pPr>
    </w:p>
    <w:p w14:paraId="12BCAE3B" w14:textId="77777777" w:rsidR="0007553F" w:rsidRPr="001A3096" w:rsidRDefault="0007553F" w:rsidP="0007553F">
      <w:pPr>
        <w:pStyle w:val="Title"/>
        <w:shd w:val="clear" w:color="auto" w:fill="FFFFFF"/>
        <w:spacing w:before="0" w:beforeAutospacing="0" w:after="0" w:afterAutospacing="0"/>
        <w:jc w:val="center"/>
        <w:rPr>
          <w:b/>
          <w:bCs/>
          <w:color w:val="000000"/>
        </w:rPr>
      </w:pPr>
      <w:r w:rsidRPr="001A3096">
        <w:rPr>
          <w:b/>
          <w:bCs/>
          <w:color w:val="000000"/>
          <w:sz w:val="28"/>
          <w:szCs w:val="28"/>
        </w:rPr>
        <w:lastRenderedPageBreak/>
        <w:t>Statement of Compatibility with Human Rights</w:t>
      </w:r>
      <w:r w:rsidRPr="001A3096">
        <w:rPr>
          <w:b/>
          <w:bCs/>
          <w:color w:val="000000"/>
          <w:sz w:val="28"/>
          <w:szCs w:val="28"/>
        </w:rPr>
        <w:br/>
      </w:r>
      <w:r w:rsidRPr="001A3096">
        <w:rPr>
          <w:i/>
          <w:iCs/>
          <w:color w:val="000000"/>
        </w:rPr>
        <w:t>Prepared in accordance with Part 3 of the Humans Rights (Parliamentary Scrutiny) Act 2011</w:t>
      </w:r>
    </w:p>
    <w:p w14:paraId="6B74BF1C" w14:textId="77777777" w:rsidR="0007553F" w:rsidRPr="001A3096" w:rsidRDefault="0007553F" w:rsidP="0007553F">
      <w:pPr>
        <w:pStyle w:val="Title"/>
        <w:shd w:val="clear" w:color="auto" w:fill="FFFFFF"/>
        <w:spacing w:before="0" w:beforeAutospacing="0" w:after="0" w:afterAutospacing="0"/>
        <w:jc w:val="center"/>
        <w:rPr>
          <w:b/>
          <w:bCs/>
          <w:color w:val="000000"/>
        </w:rPr>
      </w:pPr>
      <w:r w:rsidRPr="001A3096">
        <w:rPr>
          <w:b/>
          <w:bCs/>
          <w:i/>
          <w:iCs/>
          <w:color w:val="000000"/>
        </w:rPr>
        <w:t> </w:t>
      </w:r>
    </w:p>
    <w:p w14:paraId="78D47F6B" w14:textId="77777777" w:rsidR="0007553F" w:rsidRPr="001A3096" w:rsidRDefault="0007553F" w:rsidP="0007553F">
      <w:pPr>
        <w:pStyle w:val="Title"/>
        <w:shd w:val="clear" w:color="auto" w:fill="FFFFFF"/>
        <w:spacing w:before="0" w:beforeAutospacing="0" w:after="0" w:afterAutospacing="0"/>
        <w:jc w:val="center"/>
        <w:rPr>
          <w:b/>
          <w:bCs/>
          <w:color w:val="000000"/>
        </w:rPr>
      </w:pPr>
      <w:r w:rsidRPr="001A3096">
        <w:rPr>
          <w:b/>
          <w:bCs/>
          <w:i/>
          <w:iCs/>
          <w:color w:val="000000"/>
        </w:rPr>
        <w:t>Accountability Amendment (Financial Information) Principles 2021</w:t>
      </w:r>
    </w:p>
    <w:p w14:paraId="0B291B98" w14:textId="77777777" w:rsidR="0007553F" w:rsidRPr="001A3096" w:rsidRDefault="0007553F" w:rsidP="0007553F">
      <w:pPr>
        <w:jc w:val="center"/>
        <w:rPr>
          <w:b/>
        </w:rPr>
      </w:pPr>
    </w:p>
    <w:p w14:paraId="4314431A" w14:textId="77777777" w:rsidR="0007553F" w:rsidRPr="001A3096" w:rsidRDefault="0007553F" w:rsidP="0007553F">
      <w:pPr>
        <w:jc w:val="center"/>
        <w:rPr>
          <w:b/>
        </w:rPr>
      </w:pPr>
    </w:p>
    <w:p w14:paraId="7B5F0EB7" w14:textId="77777777" w:rsidR="0007553F" w:rsidRPr="001A3096" w:rsidRDefault="0007553F" w:rsidP="0007553F">
      <w:r w:rsidRPr="001A3096">
        <w:rPr>
          <w:color w:val="000000"/>
          <w:shd w:val="clear" w:color="auto" w:fill="FFFFFF"/>
        </w:rPr>
        <w:t xml:space="preserve">The </w:t>
      </w:r>
      <w:r w:rsidRPr="001A3096">
        <w:rPr>
          <w:i/>
        </w:rPr>
        <w:t xml:space="preserve">Aged Care Legislation Amendment (Financial Information) Principles 2022 </w:t>
      </w:r>
      <w:r w:rsidRPr="001A3096">
        <w:rPr>
          <w:iCs/>
        </w:rPr>
        <w:t>(Amendment Principles)</w:t>
      </w:r>
      <w:r w:rsidRPr="001A3096">
        <w:rPr>
          <w:color w:val="000000"/>
          <w:shd w:val="clear" w:color="auto" w:fill="FFFFFF"/>
        </w:rPr>
        <w:t xml:space="preserve"> </w:t>
      </w:r>
      <w:r w:rsidR="00ED55FB" w:rsidRPr="001A3096">
        <w:rPr>
          <w:color w:val="000000"/>
          <w:shd w:val="clear" w:color="auto" w:fill="FFFFFF"/>
        </w:rPr>
        <w:t>are</w:t>
      </w:r>
      <w:r w:rsidRPr="001A3096">
        <w:rPr>
          <w:color w:val="000000"/>
          <w:shd w:val="clear" w:color="auto" w:fill="FFFFFF"/>
        </w:rPr>
        <w:t xml:space="preserve"> compatible with the human rights and freedoms recognised or declared in the international instruments listed in section 3 of the </w:t>
      </w:r>
      <w:r w:rsidRPr="001A3096">
        <w:rPr>
          <w:i/>
          <w:iCs/>
          <w:color w:val="000000"/>
          <w:shd w:val="clear" w:color="auto" w:fill="FFFFFF"/>
        </w:rPr>
        <w:t>Human Rights (Parliamentary Scrutiny Act) Act 2011</w:t>
      </w:r>
      <w:r w:rsidRPr="001A3096">
        <w:rPr>
          <w:color w:val="000000"/>
          <w:shd w:val="clear" w:color="auto" w:fill="FFFFFF"/>
        </w:rPr>
        <w:t>.</w:t>
      </w:r>
    </w:p>
    <w:p w14:paraId="08C46D42" w14:textId="77777777" w:rsidR="0007553F" w:rsidRPr="001A3096" w:rsidRDefault="0007553F" w:rsidP="0007553F"/>
    <w:p w14:paraId="72A02A4E" w14:textId="77777777" w:rsidR="0007553F" w:rsidRPr="001A3096" w:rsidRDefault="0007553F" w:rsidP="0007553F">
      <w:pPr>
        <w:rPr>
          <w:rFonts w:ascii="&amp;quot" w:hAnsi="&amp;quot"/>
          <w:color w:val="000000"/>
        </w:rPr>
      </w:pPr>
      <w:r w:rsidRPr="001A3096">
        <w:rPr>
          <w:rFonts w:ascii="&amp;quot" w:hAnsi="&amp;quot"/>
          <w:b/>
          <w:bCs/>
          <w:color w:val="000000"/>
        </w:rPr>
        <w:t>Overview of the Legislative Instrument</w:t>
      </w:r>
    </w:p>
    <w:p w14:paraId="0583EE6C" w14:textId="77777777" w:rsidR="0007553F" w:rsidRPr="001A3096" w:rsidRDefault="0007553F" w:rsidP="0007553F">
      <w:pPr>
        <w:rPr>
          <w:rFonts w:ascii="&amp;quot" w:hAnsi="&amp;quot"/>
          <w:color w:val="000000"/>
          <w:lang w:val="en-US"/>
        </w:rPr>
      </w:pPr>
      <w:r w:rsidRPr="001A3096">
        <w:rPr>
          <w:rFonts w:ascii="&amp;quot" w:hAnsi="&amp;quot"/>
          <w:color w:val="000000"/>
          <w:lang w:val="en-US"/>
        </w:rPr>
        <w:t>The Amendment Principles amend the:</w:t>
      </w:r>
    </w:p>
    <w:p w14:paraId="315E50EB" w14:textId="77777777" w:rsidR="0007553F" w:rsidRPr="001A3096" w:rsidRDefault="0007553F" w:rsidP="0007553F">
      <w:pPr>
        <w:rPr>
          <w:rFonts w:ascii="&amp;quot" w:hAnsi="&amp;quot"/>
          <w:color w:val="000000"/>
          <w:lang w:val="en-US"/>
        </w:rPr>
      </w:pPr>
    </w:p>
    <w:p w14:paraId="0A531D3E" w14:textId="77777777" w:rsidR="0007553F" w:rsidRPr="001A3096" w:rsidRDefault="0007553F" w:rsidP="0007553F">
      <w:pPr>
        <w:numPr>
          <w:ilvl w:val="0"/>
          <w:numId w:val="11"/>
        </w:numPr>
        <w:rPr>
          <w:rFonts w:ascii="&amp;quot" w:hAnsi="&amp;quot"/>
          <w:color w:val="000000"/>
        </w:rPr>
      </w:pPr>
      <w:r w:rsidRPr="001A3096">
        <w:rPr>
          <w:rFonts w:ascii="&amp;quot" w:hAnsi="&amp;quot"/>
          <w:i/>
          <w:iCs/>
          <w:color w:val="000000"/>
          <w:lang w:val="en-US"/>
        </w:rPr>
        <w:t>Accountability Principles 2014</w:t>
      </w:r>
      <w:r w:rsidRPr="001A3096">
        <w:rPr>
          <w:rFonts w:ascii="&amp;quot" w:hAnsi="&amp;quot"/>
          <w:color w:val="000000"/>
          <w:lang w:val="en-US"/>
        </w:rPr>
        <w:t xml:space="preserve"> (Accountability Principles),</w:t>
      </w:r>
    </w:p>
    <w:p w14:paraId="31958D25" w14:textId="77777777" w:rsidR="0007553F" w:rsidRPr="001A3096" w:rsidRDefault="0007553F" w:rsidP="0007553F">
      <w:pPr>
        <w:numPr>
          <w:ilvl w:val="0"/>
          <w:numId w:val="11"/>
        </w:numPr>
        <w:rPr>
          <w:rFonts w:ascii="&amp;quot" w:hAnsi="&amp;quot"/>
          <w:color w:val="000000"/>
        </w:rPr>
      </w:pPr>
      <w:r w:rsidRPr="001A3096">
        <w:rPr>
          <w:rFonts w:ascii="&amp;quot" w:hAnsi="&amp;quot"/>
          <w:i/>
          <w:iCs/>
          <w:color w:val="000000"/>
          <w:lang w:val="en-US"/>
        </w:rPr>
        <w:t xml:space="preserve">Fees and Payments Principles 2014 </w:t>
      </w:r>
      <w:r w:rsidRPr="001A3096">
        <w:rPr>
          <w:rFonts w:ascii="&amp;quot" w:hAnsi="&amp;quot"/>
          <w:color w:val="000000"/>
          <w:lang w:val="en-US"/>
        </w:rPr>
        <w:t>(Fees and Payments Principles); and</w:t>
      </w:r>
    </w:p>
    <w:p w14:paraId="51549211" w14:textId="77777777" w:rsidR="0007553F" w:rsidRPr="001A3096" w:rsidRDefault="0007553F" w:rsidP="0007553F">
      <w:pPr>
        <w:numPr>
          <w:ilvl w:val="0"/>
          <w:numId w:val="11"/>
        </w:numPr>
        <w:rPr>
          <w:rFonts w:ascii="&amp;quot" w:hAnsi="&amp;quot"/>
          <w:color w:val="000000"/>
        </w:rPr>
      </w:pPr>
      <w:r w:rsidRPr="001A3096">
        <w:rPr>
          <w:rFonts w:ascii="&amp;quot" w:hAnsi="&amp;quot"/>
          <w:i/>
          <w:iCs/>
          <w:color w:val="000000"/>
          <w:lang w:val="en-US"/>
        </w:rPr>
        <w:t xml:space="preserve">Information Principles 2014 </w:t>
      </w:r>
      <w:r w:rsidRPr="001A3096">
        <w:rPr>
          <w:rFonts w:ascii="&amp;quot" w:hAnsi="&amp;quot"/>
          <w:color w:val="000000"/>
          <w:lang w:val="en-US"/>
        </w:rPr>
        <w:t>(Information Principles),</w:t>
      </w:r>
    </w:p>
    <w:p w14:paraId="347476E9" w14:textId="77777777" w:rsidR="0007553F" w:rsidRPr="001A3096" w:rsidRDefault="0007553F" w:rsidP="0007553F">
      <w:pPr>
        <w:ind w:left="778"/>
        <w:rPr>
          <w:rFonts w:ascii="&amp;quot" w:hAnsi="&amp;quot"/>
          <w:color w:val="000000"/>
        </w:rPr>
      </w:pPr>
    </w:p>
    <w:p w14:paraId="73028F39" w14:textId="5BEB7AEB" w:rsidR="0007553F" w:rsidRPr="001A3096" w:rsidRDefault="0007553F" w:rsidP="0007553F">
      <w:pPr>
        <w:rPr>
          <w:rFonts w:ascii="&amp;quot" w:hAnsi="&amp;quot"/>
          <w:color w:val="000000"/>
        </w:rPr>
      </w:pPr>
      <w:r w:rsidRPr="001A3096">
        <w:t xml:space="preserve">to improve the accuracy and frequency of financial reporting to </w:t>
      </w:r>
      <w:r w:rsidR="00A86012" w:rsidRPr="001A3096">
        <w:t xml:space="preserve">the Australian </w:t>
      </w:r>
      <w:r w:rsidRPr="001A3096">
        <w:t>Government by approved providers of aged care; increase transparency of financial information available to</w:t>
      </w:r>
      <w:r w:rsidR="00A86012" w:rsidRPr="001A3096">
        <w:t xml:space="preserve"> the public, including</w:t>
      </w:r>
      <w:r w:rsidRPr="001A3096">
        <w:t xml:space="preserve"> </w:t>
      </w:r>
      <w:r w:rsidR="004D6A36" w:rsidRPr="001A3096">
        <w:t>care recipients</w:t>
      </w:r>
      <w:r w:rsidRPr="001A3096">
        <w:t xml:space="preserve">; and clarify existing legislation. </w:t>
      </w:r>
      <w:r w:rsidR="00A86012" w:rsidRPr="001A3096">
        <w:t xml:space="preserve">The amendments seek to </w:t>
      </w:r>
      <w:r w:rsidR="000B51CF" w:rsidRPr="001A3096">
        <w:t>improve Government oversight of approved provider’s financial viability risks, reduce</w:t>
      </w:r>
      <w:r w:rsidR="003E7381" w:rsidRPr="001A3096">
        <w:t xml:space="preserve"> the risk of</w:t>
      </w:r>
      <w:r w:rsidR="000B51CF" w:rsidRPr="001A3096">
        <w:t xml:space="preserve"> approved providers </w:t>
      </w:r>
      <w:r w:rsidR="00A86012" w:rsidRPr="001A3096">
        <w:t xml:space="preserve">becoming non-compliant with their responsibilities under the </w:t>
      </w:r>
      <w:r w:rsidR="00A86012" w:rsidRPr="001A3096">
        <w:rPr>
          <w:i/>
          <w:iCs/>
        </w:rPr>
        <w:t>Aged Care Act 1997</w:t>
      </w:r>
      <w:r w:rsidR="00A86012" w:rsidRPr="001A3096">
        <w:t xml:space="preserve">, and to increase </w:t>
      </w:r>
      <w:r w:rsidR="004D6A36" w:rsidRPr="001A3096">
        <w:t xml:space="preserve">care recipient </w:t>
      </w:r>
      <w:r w:rsidR="00A86012" w:rsidRPr="001A3096">
        <w:t>choice through greater financial transparency of the sector.</w:t>
      </w:r>
    </w:p>
    <w:p w14:paraId="443D81F5" w14:textId="77777777" w:rsidR="0007553F" w:rsidRPr="001A3096" w:rsidRDefault="0007553F" w:rsidP="0007553F">
      <w:pPr>
        <w:jc w:val="both"/>
      </w:pPr>
    </w:p>
    <w:p w14:paraId="06AF5E69" w14:textId="287346E3" w:rsidR="0007553F" w:rsidRPr="001A3096" w:rsidRDefault="0007553F" w:rsidP="0007553F">
      <w:pPr>
        <w:jc w:val="both"/>
      </w:pPr>
      <w:r w:rsidRPr="001A3096">
        <w:t xml:space="preserve">The Amendment Principles are a legislative instrument for the purposes of the </w:t>
      </w:r>
      <w:r w:rsidRPr="001A3096">
        <w:rPr>
          <w:i/>
          <w:iCs/>
        </w:rPr>
        <w:t>Legislation Act 2003</w:t>
      </w:r>
      <w:r w:rsidRPr="001A3096">
        <w:t xml:space="preserve">. </w:t>
      </w:r>
    </w:p>
    <w:p w14:paraId="10C5A3C9" w14:textId="77777777" w:rsidR="0007553F" w:rsidRPr="001A3096" w:rsidRDefault="0007553F" w:rsidP="0007553F"/>
    <w:p w14:paraId="09290DFF" w14:textId="77777777" w:rsidR="0007553F" w:rsidRPr="001A3096" w:rsidRDefault="0007553F" w:rsidP="0007553F">
      <w:pPr>
        <w:rPr>
          <w:rFonts w:ascii="&amp;quot" w:hAnsi="&amp;quot"/>
          <w:color w:val="000000"/>
        </w:rPr>
      </w:pPr>
      <w:r w:rsidRPr="001A3096">
        <w:rPr>
          <w:rFonts w:ascii="&amp;quot" w:hAnsi="&amp;quot"/>
          <w:b/>
          <w:bCs/>
          <w:color w:val="000000"/>
        </w:rPr>
        <w:t>Human Rights Implications</w:t>
      </w:r>
    </w:p>
    <w:p w14:paraId="5CEED785" w14:textId="77777777" w:rsidR="00DC3777" w:rsidRPr="001A3096" w:rsidRDefault="0007553F" w:rsidP="0007553F">
      <w:pPr>
        <w:rPr>
          <w:rFonts w:ascii="&amp;quot" w:hAnsi="&amp;quot"/>
          <w:color w:val="000000"/>
        </w:rPr>
      </w:pPr>
      <w:r w:rsidRPr="001A3096">
        <w:rPr>
          <w:rFonts w:ascii="&amp;quot" w:hAnsi="&amp;quot"/>
          <w:color w:val="000000"/>
        </w:rPr>
        <w:t xml:space="preserve">The Amendment Principles </w:t>
      </w:r>
      <w:r w:rsidR="00DC3777" w:rsidRPr="001A3096">
        <w:rPr>
          <w:rFonts w:ascii="&amp;quot" w:hAnsi="&amp;quot"/>
          <w:color w:val="000000"/>
        </w:rPr>
        <w:t>promotes:</w:t>
      </w:r>
    </w:p>
    <w:p w14:paraId="649DF1ED" w14:textId="6131723E" w:rsidR="00DC3777" w:rsidRPr="001A3096" w:rsidRDefault="00DC3777" w:rsidP="00DC3777">
      <w:pPr>
        <w:numPr>
          <w:ilvl w:val="0"/>
          <w:numId w:val="1"/>
        </w:numPr>
      </w:pPr>
      <w:r w:rsidRPr="001A3096">
        <w:t xml:space="preserve">the highest attainable standard of physical and mental health, as contained in article 12(1) of the </w:t>
      </w:r>
      <w:r w:rsidRPr="001A3096">
        <w:rPr>
          <w:i/>
          <w:iCs/>
        </w:rPr>
        <w:t>International Covenant on Economic, Social and Cultural Rights</w:t>
      </w:r>
      <w:r w:rsidRPr="001A3096">
        <w:t xml:space="preserve"> (ICESCR); and</w:t>
      </w:r>
    </w:p>
    <w:p w14:paraId="099F9631" w14:textId="1A56EDF0" w:rsidR="00DC3777" w:rsidRPr="001A3096" w:rsidRDefault="00DC3777" w:rsidP="00DC3777">
      <w:pPr>
        <w:numPr>
          <w:ilvl w:val="0"/>
          <w:numId w:val="1"/>
        </w:numPr>
        <w:rPr>
          <w:rFonts w:ascii="&amp;quot" w:hAnsi="&amp;quot"/>
          <w:color w:val="000000"/>
        </w:rPr>
      </w:pPr>
      <w:r w:rsidRPr="001A3096">
        <w:t xml:space="preserve">an adequate standard of living including adequate food, </w:t>
      </w:r>
      <w:proofErr w:type="gramStart"/>
      <w:r w:rsidRPr="001A3096">
        <w:t>water</w:t>
      </w:r>
      <w:proofErr w:type="gramEnd"/>
      <w:r w:rsidRPr="001A3096">
        <w:t xml:space="preserve"> and housing and to the continuous improvement of living conditions, as contained in article 11(1) of the ICESCR.</w:t>
      </w:r>
    </w:p>
    <w:p w14:paraId="6396BEF0" w14:textId="77777777" w:rsidR="00DC3777" w:rsidRPr="001A3096" w:rsidRDefault="00DC3777" w:rsidP="0007553F">
      <w:pPr>
        <w:rPr>
          <w:rFonts w:ascii="&amp;quot" w:hAnsi="&amp;quot"/>
          <w:color w:val="000000"/>
        </w:rPr>
      </w:pPr>
    </w:p>
    <w:p w14:paraId="4FF6B95E" w14:textId="043F71FA" w:rsidR="00DC3777" w:rsidRPr="001A3096" w:rsidRDefault="00DC3777" w:rsidP="0007553F">
      <w:pPr>
        <w:rPr>
          <w:rFonts w:ascii="&amp;quot" w:hAnsi="&amp;quot"/>
          <w:color w:val="000000"/>
        </w:rPr>
      </w:pPr>
      <w:r w:rsidRPr="001A3096">
        <w:rPr>
          <w:rFonts w:ascii="&amp;quot" w:hAnsi="&amp;quot"/>
          <w:color w:val="000000"/>
        </w:rPr>
        <w:t xml:space="preserve">The Amendment Principles do this by </w:t>
      </w:r>
      <w:r w:rsidR="0007553F" w:rsidRPr="001A3096">
        <w:rPr>
          <w:rFonts w:ascii="&amp;quot" w:hAnsi="&amp;quot"/>
          <w:color w:val="000000"/>
        </w:rPr>
        <w:t>enabl</w:t>
      </w:r>
      <w:r w:rsidRPr="001A3096">
        <w:rPr>
          <w:rFonts w:ascii="&amp;quot" w:hAnsi="&amp;quot"/>
          <w:color w:val="000000"/>
        </w:rPr>
        <w:t>ing</w:t>
      </w:r>
      <w:r w:rsidR="0007553F" w:rsidRPr="001A3096">
        <w:rPr>
          <w:rFonts w:ascii="&amp;quot" w:hAnsi="&amp;quot"/>
          <w:color w:val="000000"/>
        </w:rPr>
        <w:t xml:space="preserve"> the </w:t>
      </w:r>
      <w:r w:rsidRPr="001A3096">
        <w:rPr>
          <w:rFonts w:ascii="&amp;quot" w:hAnsi="&amp;quot"/>
          <w:color w:val="000000"/>
        </w:rPr>
        <w:t>G</w:t>
      </w:r>
      <w:r w:rsidR="0007553F" w:rsidRPr="001A3096">
        <w:rPr>
          <w:rFonts w:ascii="&amp;quot" w:hAnsi="&amp;quot"/>
          <w:color w:val="000000"/>
        </w:rPr>
        <w:t>overnment to better assess, monitor and mitigate financial risks in the aged care sector</w:t>
      </w:r>
      <w:r w:rsidRPr="001A3096">
        <w:rPr>
          <w:rFonts w:ascii="&amp;quot" w:hAnsi="&amp;quot"/>
          <w:color w:val="000000"/>
        </w:rPr>
        <w:t xml:space="preserve"> through increased financial reporting</w:t>
      </w:r>
      <w:r w:rsidR="0007553F" w:rsidRPr="001A3096">
        <w:rPr>
          <w:rFonts w:ascii="&amp;quot" w:hAnsi="&amp;quot"/>
          <w:color w:val="000000"/>
        </w:rPr>
        <w:t xml:space="preserve">. In better managing financial risks, </w:t>
      </w:r>
      <w:r w:rsidR="00152AC6" w:rsidRPr="001A3096">
        <w:rPr>
          <w:rFonts w:ascii="&amp;quot" w:hAnsi="&amp;quot"/>
          <w:color w:val="000000"/>
        </w:rPr>
        <w:t>G</w:t>
      </w:r>
      <w:r w:rsidR="0007553F" w:rsidRPr="001A3096">
        <w:rPr>
          <w:rFonts w:ascii="&amp;quot" w:hAnsi="&amp;quot"/>
          <w:color w:val="000000"/>
        </w:rPr>
        <w:t xml:space="preserve">overnment is seeking to reduce the risk of a sudden cessation of care, and to support the continuity of </w:t>
      </w:r>
      <w:r w:rsidR="00ED55FB" w:rsidRPr="001A3096">
        <w:rPr>
          <w:rFonts w:ascii="&amp;quot" w:hAnsi="&amp;quot"/>
          <w:color w:val="000000"/>
        </w:rPr>
        <w:t xml:space="preserve">the </w:t>
      </w:r>
      <w:r w:rsidR="0007553F" w:rsidRPr="001A3096">
        <w:rPr>
          <w:rFonts w:ascii="&amp;quot" w:hAnsi="&amp;quot"/>
          <w:color w:val="000000"/>
        </w:rPr>
        <w:t xml:space="preserve">provision of care for aged care recipients. </w:t>
      </w:r>
      <w:r w:rsidRPr="001A3096">
        <w:rPr>
          <w:rFonts w:ascii="&amp;quot" w:hAnsi="&amp;quot"/>
          <w:color w:val="000000"/>
        </w:rPr>
        <w:t xml:space="preserve">By supporting the continuity of care, this promotes the right to health and an adequate standard of living by ensuring that care recipients continue to receive appropriate care to support their physical and mental health and ensure their continued access to </w:t>
      </w:r>
      <w:r w:rsidR="009E4F65" w:rsidRPr="001A3096">
        <w:rPr>
          <w:rFonts w:ascii="&amp;quot" w:hAnsi="&amp;quot"/>
          <w:color w:val="000000"/>
        </w:rPr>
        <w:t xml:space="preserve">adequate food, </w:t>
      </w:r>
      <w:proofErr w:type="gramStart"/>
      <w:r w:rsidR="009E4F65" w:rsidRPr="001A3096">
        <w:rPr>
          <w:rFonts w:ascii="&amp;quot" w:hAnsi="&amp;quot"/>
          <w:color w:val="000000"/>
        </w:rPr>
        <w:t>water</w:t>
      </w:r>
      <w:proofErr w:type="gramEnd"/>
      <w:r w:rsidR="009E4F65" w:rsidRPr="001A3096">
        <w:rPr>
          <w:rFonts w:ascii="&amp;quot" w:hAnsi="&amp;quot"/>
          <w:color w:val="000000"/>
        </w:rPr>
        <w:t xml:space="preserve"> and housing.</w:t>
      </w:r>
    </w:p>
    <w:p w14:paraId="6A3D6A05" w14:textId="77777777" w:rsidR="00DC3777" w:rsidRPr="001A3096" w:rsidRDefault="00DC3777" w:rsidP="0007553F">
      <w:pPr>
        <w:rPr>
          <w:rFonts w:ascii="&amp;quot" w:hAnsi="&amp;quot"/>
          <w:color w:val="000000"/>
        </w:rPr>
      </w:pPr>
    </w:p>
    <w:p w14:paraId="7268C436" w14:textId="51564905" w:rsidR="0007553F" w:rsidRPr="001A3096" w:rsidRDefault="00ED55FB" w:rsidP="00B941DE">
      <w:pPr>
        <w:rPr>
          <w:rFonts w:ascii="&amp;quot" w:hAnsi="&amp;quot"/>
          <w:color w:val="000000"/>
        </w:rPr>
      </w:pPr>
      <w:r w:rsidRPr="001A3096">
        <w:rPr>
          <w:rFonts w:ascii="&amp;quot" w:hAnsi="&amp;quot"/>
          <w:color w:val="000000"/>
        </w:rPr>
        <w:t>The Amendment Principles</w:t>
      </w:r>
      <w:r w:rsidR="0007553F" w:rsidRPr="001A3096">
        <w:rPr>
          <w:rFonts w:ascii="&amp;quot" w:hAnsi="&amp;quot"/>
          <w:color w:val="000000"/>
        </w:rPr>
        <w:t xml:space="preserve"> will also </w:t>
      </w:r>
      <w:r w:rsidR="00152AC6" w:rsidRPr="001A3096">
        <w:rPr>
          <w:rFonts w:ascii="&amp;quot" w:hAnsi="&amp;quot"/>
          <w:color w:val="000000"/>
        </w:rPr>
        <w:t>enable the provision of</w:t>
      </w:r>
      <w:r w:rsidR="0007553F" w:rsidRPr="001A3096">
        <w:rPr>
          <w:rFonts w:ascii="&amp;quot" w:hAnsi="&amp;quot"/>
          <w:color w:val="000000"/>
        </w:rPr>
        <w:t xml:space="preserve"> more</w:t>
      </w:r>
      <w:r w:rsidRPr="001A3096">
        <w:rPr>
          <w:rFonts w:ascii="&amp;quot" w:hAnsi="&amp;quot"/>
          <w:color w:val="000000"/>
        </w:rPr>
        <w:t xml:space="preserve"> financial</w:t>
      </w:r>
      <w:r w:rsidR="0007553F" w:rsidRPr="001A3096">
        <w:rPr>
          <w:rFonts w:ascii="&amp;quot" w:hAnsi="&amp;quot"/>
          <w:color w:val="000000"/>
        </w:rPr>
        <w:t xml:space="preserve"> information </w:t>
      </w:r>
      <w:r w:rsidR="00152AC6" w:rsidRPr="001A3096">
        <w:rPr>
          <w:rFonts w:ascii="&amp;quot" w:hAnsi="&amp;quot"/>
          <w:color w:val="000000"/>
        </w:rPr>
        <w:t xml:space="preserve">to the </w:t>
      </w:r>
      <w:r w:rsidR="0007553F" w:rsidRPr="001A3096">
        <w:rPr>
          <w:rFonts w:ascii="&amp;quot" w:hAnsi="&amp;quot"/>
          <w:color w:val="000000"/>
        </w:rPr>
        <w:t>public</w:t>
      </w:r>
      <w:r w:rsidR="00152AC6" w:rsidRPr="001A3096">
        <w:rPr>
          <w:rFonts w:ascii="&amp;quot" w:hAnsi="&amp;quot"/>
          <w:color w:val="000000"/>
        </w:rPr>
        <w:t xml:space="preserve">, </w:t>
      </w:r>
      <w:proofErr w:type="gramStart"/>
      <w:r w:rsidR="00152AC6" w:rsidRPr="001A3096">
        <w:rPr>
          <w:rFonts w:ascii="&amp;quot" w:hAnsi="&amp;quot"/>
          <w:color w:val="000000"/>
        </w:rPr>
        <w:t>in order</w:t>
      </w:r>
      <w:r w:rsidR="0007553F" w:rsidRPr="001A3096">
        <w:rPr>
          <w:rFonts w:ascii="&amp;quot" w:hAnsi="&amp;quot"/>
          <w:color w:val="000000"/>
        </w:rPr>
        <w:t xml:space="preserve"> to</w:t>
      </w:r>
      <w:proofErr w:type="gramEnd"/>
      <w:r w:rsidR="0007553F" w:rsidRPr="001A3096">
        <w:rPr>
          <w:rFonts w:ascii="&amp;quot" w:hAnsi="&amp;quot"/>
          <w:color w:val="000000"/>
        </w:rPr>
        <w:t xml:space="preserve"> increase transparency</w:t>
      </w:r>
      <w:r w:rsidR="009E4F65" w:rsidRPr="001A3096">
        <w:rPr>
          <w:rFonts w:ascii="&amp;quot" w:hAnsi="&amp;quot"/>
          <w:color w:val="000000"/>
        </w:rPr>
        <w:t xml:space="preserve">. This </w:t>
      </w:r>
      <w:r w:rsidR="005311DF" w:rsidRPr="001A3096">
        <w:rPr>
          <w:rFonts w:ascii="&amp;quot" w:hAnsi="&amp;quot"/>
          <w:color w:val="000000"/>
        </w:rPr>
        <w:t xml:space="preserve">aims to </w:t>
      </w:r>
      <w:r w:rsidR="0007553F" w:rsidRPr="001A3096">
        <w:rPr>
          <w:rFonts w:ascii="&amp;quot" w:hAnsi="&amp;quot"/>
          <w:color w:val="000000"/>
        </w:rPr>
        <w:t xml:space="preserve">empower </w:t>
      </w:r>
      <w:r w:rsidR="0007553F" w:rsidRPr="001A3096">
        <w:rPr>
          <w:rFonts w:ascii="&amp;quot" w:hAnsi="&amp;quot"/>
          <w:color w:val="000000"/>
        </w:rPr>
        <w:lastRenderedPageBreak/>
        <w:t>current and prospective care recipient</w:t>
      </w:r>
      <w:r w:rsidRPr="001A3096">
        <w:rPr>
          <w:rFonts w:ascii="&amp;quot" w:hAnsi="&amp;quot"/>
          <w:color w:val="000000"/>
        </w:rPr>
        <w:t>s</w:t>
      </w:r>
      <w:r w:rsidR="00181111" w:rsidRPr="001A3096">
        <w:rPr>
          <w:rFonts w:ascii="&amp;quot" w:hAnsi="&amp;quot"/>
          <w:color w:val="000000"/>
        </w:rPr>
        <w:t xml:space="preserve"> to make more informed</w:t>
      </w:r>
      <w:r w:rsidR="005311DF" w:rsidRPr="001A3096">
        <w:rPr>
          <w:rFonts w:ascii="&amp;quot" w:hAnsi="&amp;quot"/>
          <w:color w:val="000000"/>
        </w:rPr>
        <w:t xml:space="preserve"> decisions about their</w:t>
      </w:r>
      <w:r w:rsidR="00181111" w:rsidRPr="001A3096">
        <w:rPr>
          <w:rFonts w:ascii="&amp;quot" w:hAnsi="&amp;quot"/>
          <w:color w:val="000000"/>
        </w:rPr>
        <w:t xml:space="preserve"> care </w:t>
      </w:r>
      <w:r w:rsidR="005311DF" w:rsidRPr="001A3096">
        <w:rPr>
          <w:rFonts w:ascii="&amp;quot" w:hAnsi="&amp;quot"/>
          <w:color w:val="000000"/>
        </w:rPr>
        <w:t>or prospective care</w:t>
      </w:r>
      <w:r w:rsidR="009E4F65" w:rsidRPr="001A3096">
        <w:rPr>
          <w:rFonts w:ascii="&amp;quot" w:hAnsi="&amp;quot"/>
          <w:color w:val="000000"/>
        </w:rPr>
        <w:t xml:space="preserve">. This </w:t>
      </w:r>
      <w:r w:rsidR="0007553F" w:rsidRPr="001A3096">
        <w:rPr>
          <w:rFonts w:ascii="&amp;quot" w:hAnsi="&amp;quot"/>
          <w:color w:val="000000"/>
        </w:rPr>
        <w:t xml:space="preserve">promotes the </w:t>
      </w:r>
      <w:r w:rsidR="009E4F65" w:rsidRPr="001A3096">
        <w:rPr>
          <w:rFonts w:ascii="&amp;quot" w:hAnsi="&amp;quot"/>
          <w:color w:val="000000"/>
        </w:rPr>
        <w:t>right to health by maximising a care recipient’s ability to receive the best care appropriate for their needs</w:t>
      </w:r>
      <w:r w:rsidR="00DC3777" w:rsidRPr="001A3096">
        <w:rPr>
          <w:rFonts w:ascii="&amp;quot" w:hAnsi="&amp;quot"/>
          <w:color w:val="000000"/>
        </w:rPr>
        <w:t>.</w:t>
      </w:r>
    </w:p>
    <w:p w14:paraId="0E4E0B80" w14:textId="77777777" w:rsidR="00DC3777" w:rsidRPr="001A3096" w:rsidRDefault="00DC3777" w:rsidP="0007553F">
      <w:pPr>
        <w:rPr>
          <w:rFonts w:ascii="&amp;quot" w:hAnsi="&amp;quot"/>
          <w:color w:val="000000"/>
        </w:rPr>
      </w:pPr>
    </w:p>
    <w:p w14:paraId="383C3976" w14:textId="77777777" w:rsidR="0007553F" w:rsidRPr="001A3096" w:rsidRDefault="0007553F" w:rsidP="0007553F">
      <w:pPr>
        <w:rPr>
          <w:rFonts w:ascii="&amp;quot" w:hAnsi="&amp;quot"/>
          <w:color w:val="000000"/>
        </w:rPr>
      </w:pPr>
      <w:r w:rsidRPr="001A3096">
        <w:rPr>
          <w:rFonts w:ascii="&amp;quot" w:hAnsi="&amp;quot"/>
          <w:b/>
          <w:bCs/>
          <w:color w:val="000000"/>
        </w:rPr>
        <w:t>Conclusion</w:t>
      </w:r>
    </w:p>
    <w:p w14:paraId="797548CB" w14:textId="77777777" w:rsidR="0007553F" w:rsidRPr="001A3096" w:rsidRDefault="0007553F" w:rsidP="0007553F">
      <w:pPr>
        <w:rPr>
          <w:rFonts w:ascii="&amp;quot" w:hAnsi="&amp;quot"/>
          <w:color w:val="000000"/>
        </w:rPr>
      </w:pPr>
      <w:r w:rsidRPr="001A3096">
        <w:rPr>
          <w:rFonts w:ascii="&amp;quot" w:hAnsi="&amp;quot"/>
          <w:color w:val="000000"/>
        </w:rPr>
        <w:t>The Amendment Principles are compatible with human rights as they promote the human rights to an adequate standard of living, the highest attainable standard of physical and mental health, and access to a social security scheme that provides a minimum essential level of benefits to all individuals and families.</w:t>
      </w:r>
    </w:p>
    <w:p w14:paraId="2376874A" w14:textId="77777777" w:rsidR="0007553F" w:rsidRPr="001A3096" w:rsidRDefault="0007553F" w:rsidP="0007553F"/>
    <w:p w14:paraId="1530D8F5" w14:textId="77777777" w:rsidR="0007553F" w:rsidRPr="001A3096" w:rsidRDefault="0007553F" w:rsidP="0007553F"/>
    <w:p w14:paraId="0DFFF5E4" w14:textId="77777777" w:rsidR="0007553F" w:rsidRPr="001A3096" w:rsidRDefault="0007553F" w:rsidP="0007553F">
      <w:pPr>
        <w:shd w:val="clear" w:color="auto" w:fill="FFFFFF"/>
        <w:jc w:val="center"/>
        <w:rPr>
          <w:b/>
          <w:bCs/>
          <w:color w:val="000000"/>
        </w:rPr>
      </w:pPr>
    </w:p>
    <w:p w14:paraId="2F88D8DD" w14:textId="77777777" w:rsidR="0007553F" w:rsidRPr="001A3096" w:rsidRDefault="0007553F" w:rsidP="0007553F">
      <w:pPr>
        <w:shd w:val="clear" w:color="auto" w:fill="FFFFFF"/>
        <w:jc w:val="center"/>
        <w:rPr>
          <w:b/>
          <w:bCs/>
          <w:color w:val="000000"/>
        </w:rPr>
      </w:pPr>
      <w:r w:rsidRPr="001A3096">
        <w:rPr>
          <w:b/>
          <w:bCs/>
          <w:color w:val="000000"/>
        </w:rPr>
        <w:t>Hon Anika Wells MP</w:t>
      </w:r>
    </w:p>
    <w:p w14:paraId="2FF45022" w14:textId="77777777" w:rsidR="0007553F" w:rsidRPr="0008021C" w:rsidRDefault="0007553F" w:rsidP="0007553F">
      <w:pPr>
        <w:shd w:val="clear" w:color="auto" w:fill="FFFFFF"/>
        <w:jc w:val="center"/>
        <w:rPr>
          <w:b/>
          <w:bCs/>
          <w:color w:val="000000"/>
        </w:rPr>
      </w:pPr>
      <w:r w:rsidRPr="001A3096">
        <w:rPr>
          <w:b/>
          <w:bCs/>
          <w:color w:val="000000"/>
        </w:rPr>
        <w:t>Minister for Aged Care</w:t>
      </w:r>
    </w:p>
    <w:p w14:paraId="4AB2E485" w14:textId="77777777" w:rsidR="0007553F" w:rsidRPr="00A738B4" w:rsidRDefault="0007553F" w:rsidP="0007553F"/>
    <w:p w14:paraId="4BF596AF" w14:textId="77777777" w:rsidR="0008021C" w:rsidRPr="0007553F" w:rsidRDefault="0008021C" w:rsidP="0007553F"/>
    <w:sectPr w:rsidR="0008021C" w:rsidRPr="000755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885C" w14:textId="77777777" w:rsidR="00551A62" w:rsidRDefault="00551A62" w:rsidP="00FF75A0">
      <w:r>
        <w:separator/>
      </w:r>
    </w:p>
  </w:endnote>
  <w:endnote w:type="continuationSeparator" w:id="0">
    <w:p w14:paraId="3ED14E06" w14:textId="77777777" w:rsidR="00551A62" w:rsidRDefault="00551A62" w:rsidP="00FF75A0">
      <w:r>
        <w:continuationSeparator/>
      </w:r>
    </w:p>
  </w:endnote>
  <w:endnote w:type="continuationNotice" w:id="1">
    <w:p w14:paraId="0333BE1B" w14:textId="77777777" w:rsidR="00FB1DC3" w:rsidRDefault="00FB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F6A8" w14:textId="77777777" w:rsidR="00551A62" w:rsidRDefault="00551A62" w:rsidP="00FF75A0">
      <w:r>
        <w:separator/>
      </w:r>
    </w:p>
  </w:footnote>
  <w:footnote w:type="continuationSeparator" w:id="0">
    <w:p w14:paraId="02E81C96" w14:textId="77777777" w:rsidR="00551A62" w:rsidRDefault="00551A62" w:rsidP="00FF75A0">
      <w:r>
        <w:continuationSeparator/>
      </w:r>
    </w:p>
  </w:footnote>
  <w:footnote w:type="continuationNotice" w:id="1">
    <w:p w14:paraId="37D3994E" w14:textId="77777777" w:rsidR="00FB1DC3" w:rsidRDefault="00FB1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861"/>
    <w:multiLevelType w:val="hybridMultilevel"/>
    <w:tmpl w:val="0108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83D0B"/>
    <w:multiLevelType w:val="hybridMultilevel"/>
    <w:tmpl w:val="36F0E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E3BD6"/>
    <w:multiLevelType w:val="hybridMultilevel"/>
    <w:tmpl w:val="DFA4532E"/>
    <w:lvl w:ilvl="0" w:tplc="C31483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C6308"/>
    <w:multiLevelType w:val="hybridMultilevel"/>
    <w:tmpl w:val="FAC2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5744"/>
    <w:multiLevelType w:val="hybridMultilevel"/>
    <w:tmpl w:val="3A0EB5AC"/>
    <w:lvl w:ilvl="0" w:tplc="1BCE0A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A29DE"/>
    <w:multiLevelType w:val="hybridMultilevel"/>
    <w:tmpl w:val="C0564566"/>
    <w:lvl w:ilvl="0" w:tplc="316C4A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CB23D10"/>
    <w:multiLevelType w:val="hybridMultilevel"/>
    <w:tmpl w:val="A138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71B07"/>
    <w:multiLevelType w:val="hybridMultilevel"/>
    <w:tmpl w:val="4CE68960"/>
    <w:lvl w:ilvl="0" w:tplc="38DCD78A">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09E39C4"/>
    <w:multiLevelType w:val="hybridMultilevel"/>
    <w:tmpl w:val="9F9CA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17B4F6C"/>
    <w:multiLevelType w:val="hybridMultilevel"/>
    <w:tmpl w:val="2A96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3E353E"/>
    <w:multiLevelType w:val="hybridMultilevel"/>
    <w:tmpl w:val="9884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C00F3"/>
    <w:multiLevelType w:val="hybridMultilevel"/>
    <w:tmpl w:val="453A50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1C6126"/>
    <w:multiLevelType w:val="hybridMultilevel"/>
    <w:tmpl w:val="81D437E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3" w15:restartNumberingAfterBreak="0">
    <w:nsid w:val="16C94F04"/>
    <w:multiLevelType w:val="hybridMultilevel"/>
    <w:tmpl w:val="05389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B5999"/>
    <w:multiLevelType w:val="hybridMultilevel"/>
    <w:tmpl w:val="368AB7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E500ED0"/>
    <w:multiLevelType w:val="hybridMultilevel"/>
    <w:tmpl w:val="01A0CEC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1F3A3E12"/>
    <w:multiLevelType w:val="hybridMultilevel"/>
    <w:tmpl w:val="EBBC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635E85"/>
    <w:multiLevelType w:val="hybridMultilevel"/>
    <w:tmpl w:val="CF769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D343D"/>
    <w:multiLevelType w:val="hybridMultilevel"/>
    <w:tmpl w:val="3A0EB5AC"/>
    <w:lvl w:ilvl="0" w:tplc="1BCE0A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300EA1"/>
    <w:multiLevelType w:val="hybridMultilevel"/>
    <w:tmpl w:val="B1EC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FF2D11"/>
    <w:multiLevelType w:val="hybridMultilevel"/>
    <w:tmpl w:val="57303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924171"/>
    <w:multiLevelType w:val="hybridMultilevel"/>
    <w:tmpl w:val="B52A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E466ED"/>
    <w:multiLevelType w:val="hybridMultilevel"/>
    <w:tmpl w:val="E9E808EE"/>
    <w:lvl w:ilvl="0" w:tplc="697664A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117D51"/>
    <w:multiLevelType w:val="hybridMultilevel"/>
    <w:tmpl w:val="CD46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A6A44"/>
    <w:multiLevelType w:val="hybridMultilevel"/>
    <w:tmpl w:val="E7008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B639AC"/>
    <w:multiLevelType w:val="hybridMultilevel"/>
    <w:tmpl w:val="7BB8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824A77"/>
    <w:multiLevelType w:val="hybridMultilevel"/>
    <w:tmpl w:val="F0E069F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37A31928"/>
    <w:multiLevelType w:val="hybridMultilevel"/>
    <w:tmpl w:val="72187EF4"/>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8" w15:restartNumberingAfterBreak="0">
    <w:nsid w:val="37C413EE"/>
    <w:multiLevelType w:val="hybridMultilevel"/>
    <w:tmpl w:val="7004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20954"/>
    <w:multiLevelType w:val="hybridMultilevel"/>
    <w:tmpl w:val="06E629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3F4E60B8"/>
    <w:multiLevelType w:val="hybridMultilevel"/>
    <w:tmpl w:val="DFA4532E"/>
    <w:lvl w:ilvl="0" w:tplc="C31483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B222C9"/>
    <w:multiLevelType w:val="hybridMultilevel"/>
    <w:tmpl w:val="6F04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9A6454"/>
    <w:multiLevelType w:val="hybridMultilevel"/>
    <w:tmpl w:val="4ED6E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0D22BF"/>
    <w:multiLevelType w:val="hybridMultilevel"/>
    <w:tmpl w:val="68D0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93AC3"/>
    <w:multiLevelType w:val="hybridMultilevel"/>
    <w:tmpl w:val="39CA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4B69AC"/>
    <w:multiLevelType w:val="hybridMultilevel"/>
    <w:tmpl w:val="7F88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302DD0"/>
    <w:multiLevelType w:val="hybridMultilevel"/>
    <w:tmpl w:val="C69A960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5B0A48"/>
    <w:multiLevelType w:val="hybridMultilevel"/>
    <w:tmpl w:val="C13A43D4"/>
    <w:lvl w:ilvl="0" w:tplc="8F9E3BBA">
      <w:start w:val="1"/>
      <w:numFmt w:val="lowerRoman"/>
      <w:lvlText w:val="(%1)"/>
      <w:lvlJc w:val="righ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6B4CAF"/>
    <w:multiLevelType w:val="hybridMultilevel"/>
    <w:tmpl w:val="3E26CA48"/>
    <w:lvl w:ilvl="0" w:tplc="C0D664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813A8F"/>
    <w:multiLevelType w:val="hybridMultilevel"/>
    <w:tmpl w:val="5E4AB1C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0" w15:restartNumberingAfterBreak="0">
    <w:nsid w:val="4690564D"/>
    <w:multiLevelType w:val="hybridMultilevel"/>
    <w:tmpl w:val="3EAE0C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1" w15:restartNumberingAfterBreak="0">
    <w:nsid w:val="46FB4E37"/>
    <w:multiLevelType w:val="hybridMultilevel"/>
    <w:tmpl w:val="8F94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587EB2"/>
    <w:multiLevelType w:val="hybridMultilevel"/>
    <w:tmpl w:val="A41EB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235B23"/>
    <w:multiLevelType w:val="hybridMultilevel"/>
    <w:tmpl w:val="4386D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897B1D"/>
    <w:multiLevelType w:val="hybridMultilevel"/>
    <w:tmpl w:val="A29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8B5980"/>
    <w:multiLevelType w:val="hybridMultilevel"/>
    <w:tmpl w:val="C862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3B10B5"/>
    <w:multiLevelType w:val="hybridMultilevel"/>
    <w:tmpl w:val="4400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FE095F"/>
    <w:multiLevelType w:val="hybridMultilevel"/>
    <w:tmpl w:val="67C2F4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8" w15:restartNumberingAfterBreak="0">
    <w:nsid w:val="5088431A"/>
    <w:multiLevelType w:val="hybridMultilevel"/>
    <w:tmpl w:val="C13A43D4"/>
    <w:lvl w:ilvl="0" w:tplc="8F9E3BBA">
      <w:start w:val="1"/>
      <w:numFmt w:val="lowerRoman"/>
      <w:lvlText w:val="(%1)"/>
      <w:lvlJc w:val="righ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CC4DA4"/>
    <w:multiLevelType w:val="hybridMultilevel"/>
    <w:tmpl w:val="FA5C61E2"/>
    <w:lvl w:ilvl="0" w:tplc="3E465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D40AFC"/>
    <w:multiLevelType w:val="hybridMultilevel"/>
    <w:tmpl w:val="3A0EB5AC"/>
    <w:lvl w:ilvl="0" w:tplc="1BCE0A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588775A"/>
    <w:multiLevelType w:val="hybridMultilevel"/>
    <w:tmpl w:val="DFA4532E"/>
    <w:lvl w:ilvl="0" w:tplc="C31483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DB0344"/>
    <w:multiLevelType w:val="hybridMultilevel"/>
    <w:tmpl w:val="DFA4532E"/>
    <w:lvl w:ilvl="0" w:tplc="C31483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C40581"/>
    <w:multiLevelType w:val="hybridMultilevel"/>
    <w:tmpl w:val="E1BA5466"/>
    <w:lvl w:ilvl="0" w:tplc="E0222F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D04AD8"/>
    <w:multiLevelType w:val="hybridMultilevel"/>
    <w:tmpl w:val="F21EF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AA53A3"/>
    <w:multiLevelType w:val="hybridMultilevel"/>
    <w:tmpl w:val="BBF65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3758C3"/>
    <w:multiLevelType w:val="hybridMultilevel"/>
    <w:tmpl w:val="D73CB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DB7F0F"/>
    <w:multiLevelType w:val="hybridMultilevel"/>
    <w:tmpl w:val="64F0C8DA"/>
    <w:lvl w:ilvl="0" w:tplc="814229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757FCB"/>
    <w:multiLevelType w:val="hybridMultilevel"/>
    <w:tmpl w:val="8E909002"/>
    <w:lvl w:ilvl="0" w:tplc="0008A1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34F1E01"/>
    <w:multiLevelType w:val="hybridMultilevel"/>
    <w:tmpl w:val="98C66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B94164"/>
    <w:multiLevelType w:val="hybridMultilevel"/>
    <w:tmpl w:val="9412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5B017A"/>
    <w:multiLevelType w:val="hybridMultilevel"/>
    <w:tmpl w:val="BE8A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08432B"/>
    <w:multiLevelType w:val="hybridMultilevel"/>
    <w:tmpl w:val="28F25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BC4A58"/>
    <w:multiLevelType w:val="hybridMultilevel"/>
    <w:tmpl w:val="B7C45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7392943"/>
    <w:multiLevelType w:val="hybridMultilevel"/>
    <w:tmpl w:val="4F10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7933FF"/>
    <w:multiLevelType w:val="hybridMultilevel"/>
    <w:tmpl w:val="FD22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6D4778"/>
    <w:multiLevelType w:val="hybridMultilevel"/>
    <w:tmpl w:val="099E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434059"/>
    <w:multiLevelType w:val="hybridMultilevel"/>
    <w:tmpl w:val="CF62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DD3C67"/>
    <w:multiLevelType w:val="hybridMultilevel"/>
    <w:tmpl w:val="D694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8B2BCE"/>
    <w:multiLevelType w:val="hybridMultilevel"/>
    <w:tmpl w:val="C42447E8"/>
    <w:lvl w:ilvl="0" w:tplc="C3148340">
      <w:start w:val="1"/>
      <w:numFmt w:val="lowerLetter"/>
      <w:lvlText w:val="(%1)"/>
      <w:lvlJc w:val="left"/>
      <w:pPr>
        <w:ind w:left="720" w:hanging="360"/>
      </w:pPr>
      <w:rPr>
        <w:rFonts w:hint="default"/>
      </w:rPr>
    </w:lvl>
    <w:lvl w:ilvl="1" w:tplc="8F9E3BBA">
      <w:start w:val="1"/>
      <w:numFmt w:val="lowerRoman"/>
      <w:lvlText w:val="(%2)"/>
      <w:lvlJc w:val="right"/>
      <w:pPr>
        <w:ind w:left="1440" w:hanging="360"/>
      </w:pPr>
      <w:rPr>
        <w:rFonts w:hint="default"/>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6"/>
  </w:num>
  <w:num w:numId="3">
    <w:abstractNumId w:val="63"/>
  </w:num>
  <w:num w:numId="4">
    <w:abstractNumId w:val="47"/>
  </w:num>
  <w:num w:numId="5">
    <w:abstractNumId w:val="32"/>
  </w:num>
  <w:num w:numId="6">
    <w:abstractNumId w:val="21"/>
  </w:num>
  <w:num w:numId="7">
    <w:abstractNumId w:val="67"/>
  </w:num>
  <w:num w:numId="8">
    <w:abstractNumId w:val="64"/>
  </w:num>
  <w:num w:numId="9">
    <w:abstractNumId w:val="9"/>
  </w:num>
  <w:num w:numId="10">
    <w:abstractNumId w:val="0"/>
  </w:num>
  <w:num w:numId="11">
    <w:abstractNumId w:val="29"/>
  </w:num>
  <w:num w:numId="12">
    <w:abstractNumId w:val="24"/>
  </w:num>
  <w:num w:numId="13">
    <w:abstractNumId w:val="44"/>
  </w:num>
  <w:num w:numId="14">
    <w:abstractNumId w:val="62"/>
  </w:num>
  <w:num w:numId="15">
    <w:abstractNumId w:val="42"/>
  </w:num>
  <w:num w:numId="16">
    <w:abstractNumId w:val="54"/>
  </w:num>
  <w:num w:numId="17">
    <w:abstractNumId w:val="1"/>
  </w:num>
  <w:num w:numId="18">
    <w:abstractNumId w:val="31"/>
  </w:num>
  <w:num w:numId="19">
    <w:abstractNumId w:val="11"/>
  </w:num>
  <w:num w:numId="20">
    <w:abstractNumId w:val="58"/>
  </w:num>
  <w:num w:numId="21">
    <w:abstractNumId w:val="37"/>
  </w:num>
  <w:num w:numId="22">
    <w:abstractNumId w:val="17"/>
  </w:num>
  <w:num w:numId="23">
    <w:abstractNumId w:val="55"/>
  </w:num>
  <w:num w:numId="24">
    <w:abstractNumId w:val="56"/>
  </w:num>
  <w:num w:numId="25">
    <w:abstractNumId w:val="66"/>
  </w:num>
  <w:num w:numId="26">
    <w:abstractNumId w:val="65"/>
  </w:num>
  <w:num w:numId="27">
    <w:abstractNumId w:val="10"/>
  </w:num>
  <w:num w:numId="28">
    <w:abstractNumId w:val="12"/>
  </w:num>
  <w:num w:numId="29">
    <w:abstractNumId w:val="61"/>
  </w:num>
  <w:num w:numId="30">
    <w:abstractNumId w:val="41"/>
  </w:num>
  <w:num w:numId="31">
    <w:abstractNumId w:val="35"/>
  </w:num>
  <w:num w:numId="32">
    <w:abstractNumId w:val="19"/>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68"/>
  </w:num>
  <w:num w:numId="37">
    <w:abstractNumId w:val="20"/>
  </w:num>
  <w:num w:numId="38">
    <w:abstractNumId w:val="18"/>
  </w:num>
  <w:num w:numId="39">
    <w:abstractNumId w:val="13"/>
  </w:num>
  <w:num w:numId="40">
    <w:abstractNumId w:val="69"/>
  </w:num>
  <w:num w:numId="41">
    <w:abstractNumId w:val="14"/>
  </w:num>
  <w:num w:numId="42">
    <w:abstractNumId w:val="46"/>
  </w:num>
  <w:num w:numId="43">
    <w:abstractNumId w:val="25"/>
  </w:num>
  <w:num w:numId="44">
    <w:abstractNumId w:val="48"/>
  </w:num>
  <w:num w:numId="45">
    <w:abstractNumId w:val="4"/>
  </w:num>
  <w:num w:numId="46">
    <w:abstractNumId w:val="45"/>
  </w:num>
  <w:num w:numId="47">
    <w:abstractNumId w:val="57"/>
  </w:num>
  <w:num w:numId="48">
    <w:abstractNumId w:val="3"/>
  </w:num>
  <w:num w:numId="49">
    <w:abstractNumId w:val="49"/>
  </w:num>
  <w:num w:numId="50">
    <w:abstractNumId w:val="53"/>
  </w:num>
  <w:num w:numId="51">
    <w:abstractNumId w:val="15"/>
  </w:num>
  <w:num w:numId="52">
    <w:abstractNumId w:val="34"/>
  </w:num>
  <w:num w:numId="53">
    <w:abstractNumId w:val="52"/>
  </w:num>
  <w:num w:numId="54">
    <w:abstractNumId w:val="51"/>
  </w:num>
  <w:num w:numId="55">
    <w:abstractNumId w:val="2"/>
  </w:num>
  <w:num w:numId="56">
    <w:abstractNumId w:val="30"/>
  </w:num>
  <w:num w:numId="57">
    <w:abstractNumId w:val="40"/>
  </w:num>
  <w:num w:numId="58">
    <w:abstractNumId w:val="50"/>
  </w:num>
  <w:num w:numId="59">
    <w:abstractNumId w:val="28"/>
  </w:num>
  <w:num w:numId="60">
    <w:abstractNumId w:val="60"/>
  </w:num>
  <w:num w:numId="61">
    <w:abstractNumId w:val="33"/>
  </w:num>
  <w:num w:numId="62">
    <w:abstractNumId w:val="27"/>
  </w:num>
  <w:num w:numId="63">
    <w:abstractNumId w:val="59"/>
  </w:num>
  <w:num w:numId="64">
    <w:abstractNumId w:val="38"/>
  </w:num>
  <w:num w:numId="65">
    <w:abstractNumId w:val="43"/>
  </w:num>
  <w:num w:numId="66">
    <w:abstractNumId w:val="36"/>
  </w:num>
  <w:num w:numId="67">
    <w:abstractNumId w:val="22"/>
  </w:num>
  <w:num w:numId="68">
    <w:abstractNumId w:val="7"/>
  </w:num>
  <w:num w:numId="69">
    <w:abstractNumId w:val="6"/>
  </w:num>
  <w:num w:numId="70">
    <w:abstractNumId w:val="8"/>
  </w:num>
  <w:num w:numId="71">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82"/>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ED3"/>
    <w:rsid w:val="00012187"/>
    <w:rsid w:val="000126AA"/>
    <w:rsid w:val="00012DB7"/>
    <w:rsid w:val="00012DB8"/>
    <w:rsid w:val="000130B4"/>
    <w:rsid w:val="00013210"/>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A1E"/>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3D67"/>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7D1"/>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4A9E"/>
    <w:rsid w:val="00034EA4"/>
    <w:rsid w:val="00035325"/>
    <w:rsid w:val="00036095"/>
    <w:rsid w:val="00036160"/>
    <w:rsid w:val="0003619F"/>
    <w:rsid w:val="0003632D"/>
    <w:rsid w:val="000363D8"/>
    <w:rsid w:val="00036632"/>
    <w:rsid w:val="000367A1"/>
    <w:rsid w:val="00036FB1"/>
    <w:rsid w:val="000373B0"/>
    <w:rsid w:val="00037B83"/>
    <w:rsid w:val="00037B8B"/>
    <w:rsid w:val="00037E02"/>
    <w:rsid w:val="00037E0B"/>
    <w:rsid w:val="00037E17"/>
    <w:rsid w:val="00037F0F"/>
    <w:rsid w:val="00040108"/>
    <w:rsid w:val="000402A1"/>
    <w:rsid w:val="00040647"/>
    <w:rsid w:val="0004068F"/>
    <w:rsid w:val="000408EA"/>
    <w:rsid w:val="00040E88"/>
    <w:rsid w:val="000410BA"/>
    <w:rsid w:val="000411DB"/>
    <w:rsid w:val="0004124E"/>
    <w:rsid w:val="0004138B"/>
    <w:rsid w:val="00041A76"/>
    <w:rsid w:val="00041B9C"/>
    <w:rsid w:val="0004200B"/>
    <w:rsid w:val="000420A2"/>
    <w:rsid w:val="0004238E"/>
    <w:rsid w:val="0004260D"/>
    <w:rsid w:val="0004279D"/>
    <w:rsid w:val="000428E5"/>
    <w:rsid w:val="00042F0D"/>
    <w:rsid w:val="00043092"/>
    <w:rsid w:val="00043093"/>
    <w:rsid w:val="0004309F"/>
    <w:rsid w:val="000436C5"/>
    <w:rsid w:val="0004371E"/>
    <w:rsid w:val="000442CF"/>
    <w:rsid w:val="00044CD8"/>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47B"/>
    <w:rsid w:val="000476AD"/>
    <w:rsid w:val="00047AB3"/>
    <w:rsid w:val="000501F7"/>
    <w:rsid w:val="00050A0C"/>
    <w:rsid w:val="00050C99"/>
    <w:rsid w:val="00050F4D"/>
    <w:rsid w:val="000512B0"/>
    <w:rsid w:val="00051395"/>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7F0"/>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1"/>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6D3"/>
    <w:rsid w:val="000677F4"/>
    <w:rsid w:val="000704EF"/>
    <w:rsid w:val="00070CCF"/>
    <w:rsid w:val="0007136A"/>
    <w:rsid w:val="000714ED"/>
    <w:rsid w:val="00071926"/>
    <w:rsid w:val="00071DA1"/>
    <w:rsid w:val="00071EC3"/>
    <w:rsid w:val="0007284C"/>
    <w:rsid w:val="0007296D"/>
    <w:rsid w:val="00072A7F"/>
    <w:rsid w:val="00072E28"/>
    <w:rsid w:val="00072E2C"/>
    <w:rsid w:val="00072E77"/>
    <w:rsid w:val="000732CF"/>
    <w:rsid w:val="000733B2"/>
    <w:rsid w:val="00073602"/>
    <w:rsid w:val="00073751"/>
    <w:rsid w:val="00073779"/>
    <w:rsid w:val="000737BF"/>
    <w:rsid w:val="0007380D"/>
    <w:rsid w:val="00073936"/>
    <w:rsid w:val="00073AD1"/>
    <w:rsid w:val="00073B4D"/>
    <w:rsid w:val="00073FDC"/>
    <w:rsid w:val="00074C8C"/>
    <w:rsid w:val="00074C9B"/>
    <w:rsid w:val="00074CF7"/>
    <w:rsid w:val="00074D41"/>
    <w:rsid w:val="0007553F"/>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1F69"/>
    <w:rsid w:val="00082301"/>
    <w:rsid w:val="000829EC"/>
    <w:rsid w:val="00082D61"/>
    <w:rsid w:val="00082E24"/>
    <w:rsid w:val="0008321A"/>
    <w:rsid w:val="0008342B"/>
    <w:rsid w:val="00083D76"/>
    <w:rsid w:val="00084072"/>
    <w:rsid w:val="000840B6"/>
    <w:rsid w:val="0008415B"/>
    <w:rsid w:val="000842CA"/>
    <w:rsid w:val="00084443"/>
    <w:rsid w:val="0008444F"/>
    <w:rsid w:val="000844E1"/>
    <w:rsid w:val="00084840"/>
    <w:rsid w:val="000848ED"/>
    <w:rsid w:val="000850B6"/>
    <w:rsid w:val="000854C6"/>
    <w:rsid w:val="00085740"/>
    <w:rsid w:val="00085D88"/>
    <w:rsid w:val="00086299"/>
    <w:rsid w:val="00086511"/>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7B"/>
    <w:rsid w:val="000947B9"/>
    <w:rsid w:val="00094828"/>
    <w:rsid w:val="00094AAC"/>
    <w:rsid w:val="00094D8B"/>
    <w:rsid w:val="00094E85"/>
    <w:rsid w:val="0009518B"/>
    <w:rsid w:val="00095203"/>
    <w:rsid w:val="0009592D"/>
    <w:rsid w:val="000959A4"/>
    <w:rsid w:val="0009604D"/>
    <w:rsid w:val="0009644E"/>
    <w:rsid w:val="00096548"/>
    <w:rsid w:val="000976C8"/>
    <w:rsid w:val="00097DEB"/>
    <w:rsid w:val="00097E77"/>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5B85"/>
    <w:rsid w:val="000A65FC"/>
    <w:rsid w:val="000A6D2C"/>
    <w:rsid w:val="000A6DB5"/>
    <w:rsid w:val="000A6FA3"/>
    <w:rsid w:val="000A7419"/>
    <w:rsid w:val="000A7628"/>
    <w:rsid w:val="000A7B18"/>
    <w:rsid w:val="000A7BD4"/>
    <w:rsid w:val="000A7FF6"/>
    <w:rsid w:val="000B06EF"/>
    <w:rsid w:val="000B072B"/>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72"/>
    <w:rsid w:val="000B479E"/>
    <w:rsid w:val="000B4DF7"/>
    <w:rsid w:val="000B51CF"/>
    <w:rsid w:val="000B5392"/>
    <w:rsid w:val="000B5643"/>
    <w:rsid w:val="000B5CDE"/>
    <w:rsid w:val="000B6065"/>
    <w:rsid w:val="000B6124"/>
    <w:rsid w:val="000B687F"/>
    <w:rsid w:val="000B6A38"/>
    <w:rsid w:val="000B7E3E"/>
    <w:rsid w:val="000B7E44"/>
    <w:rsid w:val="000B7EDF"/>
    <w:rsid w:val="000C08B0"/>
    <w:rsid w:val="000C11F5"/>
    <w:rsid w:val="000C1522"/>
    <w:rsid w:val="000C172F"/>
    <w:rsid w:val="000C1A18"/>
    <w:rsid w:val="000C1C2A"/>
    <w:rsid w:val="000C1CFD"/>
    <w:rsid w:val="000C1E38"/>
    <w:rsid w:val="000C2437"/>
    <w:rsid w:val="000C2FE1"/>
    <w:rsid w:val="000C3090"/>
    <w:rsid w:val="000C3144"/>
    <w:rsid w:val="000C33C6"/>
    <w:rsid w:val="000C376F"/>
    <w:rsid w:val="000C3A44"/>
    <w:rsid w:val="000C40B9"/>
    <w:rsid w:val="000C4228"/>
    <w:rsid w:val="000C47FF"/>
    <w:rsid w:val="000C4805"/>
    <w:rsid w:val="000C4CEA"/>
    <w:rsid w:val="000C4D64"/>
    <w:rsid w:val="000C500A"/>
    <w:rsid w:val="000C500D"/>
    <w:rsid w:val="000C50EE"/>
    <w:rsid w:val="000C5393"/>
    <w:rsid w:val="000C6B6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093"/>
    <w:rsid w:val="000D2391"/>
    <w:rsid w:val="000D27EE"/>
    <w:rsid w:val="000D292F"/>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4FC"/>
    <w:rsid w:val="000D7C6B"/>
    <w:rsid w:val="000E0633"/>
    <w:rsid w:val="000E06D3"/>
    <w:rsid w:val="000E0DA4"/>
    <w:rsid w:val="000E0E77"/>
    <w:rsid w:val="000E0F5F"/>
    <w:rsid w:val="000E1153"/>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43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3D47"/>
    <w:rsid w:val="000F418C"/>
    <w:rsid w:val="000F4DBF"/>
    <w:rsid w:val="000F4EFF"/>
    <w:rsid w:val="000F56A0"/>
    <w:rsid w:val="000F56D9"/>
    <w:rsid w:val="000F591E"/>
    <w:rsid w:val="000F5A9D"/>
    <w:rsid w:val="000F6555"/>
    <w:rsid w:val="000F66FE"/>
    <w:rsid w:val="000F73ED"/>
    <w:rsid w:val="000F7C88"/>
    <w:rsid w:val="000F7E51"/>
    <w:rsid w:val="0010019C"/>
    <w:rsid w:val="0010075E"/>
    <w:rsid w:val="00100AE5"/>
    <w:rsid w:val="00100B82"/>
    <w:rsid w:val="001013F8"/>
    <w:rsid w:val="00101CE3"/>
    <w:rsid w:val="00101FBC"/>
    <w:rsid w:val="0010225B"/>
    <w:rsid w:val="00102A5D"/>
    <w:rsid w:val="00102AE1"/>
    <w:rsid w:val="00103084"/>
    <w:rsid w:val="001031AC"/>
    <w:rsid w:val="0010357E"/>
    <w:rsid w:val="00103639"/>
    <w:rsid w:val="00103724"/>
    <w:rsid w:val="00103905"/>
    <w:rsid w:val="001039CF"/>
    <w:rsid w:val="00103BD6"/>
    <w:rsid w:val="001041E6"/>
    <w:rsid w:val="0010474F"/>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09C"/>
    <w:rsid w:val="001111DF"/>
    <w:rsid w:val="001113DB"/>
    <w:rsid w:val="0011176C"/>
    <w:rsid w:val="00111B2A"/>
    <w:rsid w:val="00111BFA"/>
    <w:rsid w:val="00111D3E"/>
    <w:rsid w:val="00111D7B"/>
    <w:rsid w:val="00111DAD"/>
    <w:rsid w:val="001123C2"/>
    <w:rsid w:val="0011245E"/>
    <w:rsid w:val="00112466"/>
    <w:rsid w:val="00112884"/>
    <w:rsid w:val="00112E92"/>
    <w:rsid w:val="00113152"/>
    <w:rsid w:val="00113F04"/>
    <w:rsid w:val="0011412F"/>
    <w:rsid w:val="0011436A"/>
    <w:rsid w:val="00115309"/>
    <w:rsid w:val="0011530B"/>
    <w:rsid w:val="0011534A"/>
    <w:rsid w:val="00116016"/>
    <w:rsid w:val="00116CE7"/>
    <w:rsid w:val="00116FE7"/>
    <w:rsid w:val="001178DB"/>
    <w:rsid w:val="0011797D"/>
    <w:rsid w:val="00120154"/>
    <w:rsid w:val="001206D9"/>
    <w:rsid w:val="00120DF9"/>
    <w:rsid w:val="00121348"/>
    <w:rsid w:val="00121425"/>
    <w:rsid w:val="001215A1"/>
    <w:rsid w:val="00122287"/>
    <w:rsid w:val="00123371"/>
    <w:rsid w:val="00123F68"/>
    <w:rsid w:val="0012409F"/>
    <w:rsid w:val="0012447E"/>
    <w:rsid w:val="001245B4"/>
    <w:rsid w:val="00124B08"/>
    <w:rsid w:val="0012534A"/>
    <w:rsid w:val="0012556E"/>
    <w:rsid w:val="00125682"/>
    <w:rsid w:val="001256EE"/>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79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84"/>
    <w:rsid w:val="001368A5"/>
    <w:rsid w:val="00136AB6"/>
    <w:rsid w:val="00136BDC"/>
    <w:rsid w:val="00136CFE"/>
    <w:rsid w:val="00136E9C"/>
    <w:rsid w:val="00136F32"/>
    <w:rsid w:val="001370F4"/>
    <w:rsid w:val="0013723F"/>
    <w:rsid w:val="001372C5"/>
    <w:rsid w:val="001375A9"/>
    <w:rsid w:val="00137629"/>
    <w:rsid w:val="0013777E"/>
    <w:rsid w:val="001379B8"/>
    <w:rsid w:val="00137F7D"/>
    <w:rsid w:val="001401EC"/>
    <w:rsid w:val="001404DF"/>
    <w:rsid w:val="0014059B"/>
    <w:rsid w:val="00140BAC"/>
    <w:rsid w:val="00140BCB"/>
    <w:rsid w:val="00140F10"/>
    <w:rsid w:val="00141708"/>
    <w:rsid w:val="00141BF5"/>
    <w:rsid w:val="001429C0"/>
    <w:rsid w:val="00142BE0"/>
    <w:rsid w:val="00142ED7"/>
    <w:rsid w:val="001431EE"/>
    <w:rsid w:val="001434F1"/>
    <w:rsid w:val="00143627"/>
    <w:rsid w:val="00143823"/>
    <w:rsid w:val="00143E17"/>
    <w:rsid w:val="001440AB"/>
    <w:rsid w:val="001440F5"/>
    <w:rsid w:val="001445C3"/>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28"/>
    <w:rsid w:val="0015297A"/>
    <w:rsid w:val="00152AC6"/>
    <w:rsid w:val="00152DEA"/>
    <w:rsid w:val="001538E0"/>
    <w:rsid w:val="00153E5A"/>
    <w:rsid w:val="00153EE1"/>
    <w:rsid w:val="00153FD9"/>
    <w:rsid w:val="00154168"/>
    <w:rsid w:val="001543E5"/>
    <w:rsid w:val="00154654"/>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A39"/>
    <w:rsid w:val="00162E2E"/>
    <w:rsid w:val="00163209"/>
    <w:rsid w:val="00163377"/>
    <w:rsid w:val="00163383"/>
    <w:rsid w:val="00163A84"/>
    <w:rsid w:val="00164001"/>
    <w:rsid w:val="0016412A"/>
    <w:rsid w:val="001643CD"/>
    <w:rsid w:val="001644AF"/>
    <w:rsid w:val="00164970"/>
    <w:rsid w:val="00164B90"/>
    <w:rsid w:val="00164F9C"/>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67EBB"/>
    <w:rsid w:val="00170250"/>
    <w:rsid w:val="00170FA4"/>
    <w:rsid w:val="001714F4"/>
    <w:rsid w:val="001723DF"/>
    <w:rsid w:val="0017291B"/>
    <w:rsid w:val="00172E0E"/>
    <w:rsid w:val="001730E1"/>
    <w:rsid w:val="00173156"/>
    <w:rsid w:val="00173233"/>
    <w:rsid w:val="001732E5"/>
    <w:rsid w:val="0017372D"/>
    <w:rsid w:val="00173877"/>
    <w:rsid w:val="00173D87"/>
    <w:rsid w:val="00173D9F"/>
    <w:rsid w:val="00173E5E"/>
    <w:rsid w:val="00173F3A"/>
    <w:rsid w:val="001750CC"/>
    <w:rsid w:val="001757A9"/>
    <w:rsid w:val="00175806"/>
    <w:rsid w:val="001762A3"/>
    <w:rsid w:val="0017630D"/>
    <w:rsid w:val="00176586"/>
    <w:rsid w:val="00176CBA"/>
    <w:rsid w:val="00177116"/>
    <w:rsid w:val="001771BF"/>
    <w:rsid w:val="00177562"/>
    <w:rsid w:val="00177653"/>
    <w:rsid w:val="001779B2"/>
    <w:rsid w:val="00177FC0"/>
    <w:rsid w:val="00181111"/>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75E"/>
    <w:rsid w:val="00185985"/>
    <w:rsid w:val="0018619B"/>
    <w:rsid w:val="001869C3"/>
    <w:rsid w:val="00186BFC"/>
    <w:rsid w:val="00186CCB"/>
    <w:rsid w:val="00186F50"/>
    <w:rsid w:val="00187930"/>
    <w:rsid w:val="00187E91"/>
    <w:rsid w:val="001902FD"/>
    <w:rsid w:val="00190327"/>
    <w:rsid w:val="001906AC"/>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A17"/>
    <w:rsid w:val="00194FF6"/>
    <w:rsid w:val="001954E6"/>
    <w:rsid w:val="001956D0"/>
    <w:rsid w:val="00195BBA"/>
    <w:rsid w:val="00195C5A"/>
    <w:rsid w:val="00195CC0"/>
    <w:rsid w:val="00195DEB"/>
    <w:rsid w:val="00196C42"/>
    <w:rsid w:val="00197380"/>
    <w:rsid w:val="001976DE"/>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096"/>
    <w:rsid w:val="001A31D1"/>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0D"/>
    <w:rsid w:val="001B4B52"/>
    <w:rsid w:val="001B5086"/>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9D2"/>
    <w:rsid w:val="001C3DD0"/>
    <w:rsid w:val="001C45D0"/>
    <w:rsid w:val="001C4622"/>
    <w:rsid w:val="001C56C4"/>
    <w:rsid w:val="001C5B44"/>
    <w:rsid w:val="001C6368"/>
    <w:rsid w:val="001C6550"/>
    <w:rsid w:val="001C66B9"/>
    <w:rsid w:val="001C6737"/>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1C52"/>
    <w:rsid w:val="001D20B0"/>
    <w:rsid w:val="001D26E6"/>
    <w:rsid w:val="001D29D2"/>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882"/>
    <w:rsid w:val="001E0B2E"/>
    <w:rsid w:val="001E12BC"/>
    <w:rsid w:val="001E1345"/>
    <w:rsid w:val="001E141A"/>
    <w:rsid w:val="001E18B2"/>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96B"/>
    <w:rsid w:val="001E6F4F"/>
    <w:rsid w:val="001E70DD"/>
    <w:rsid w:val="001E76FE"/>
    <w:rsid w:val="001F0060"/>
    <w:rsid w:val="001F0479"/>
    <w:rsid w:val="001F0721"/>
    <w:rsid w:val="001F08FD"/>
    <w:rsid w:val="001F0BE1"/>
    <w:rsid w:val="001F0C89"/>
    <w:rsid w:val="001F119A"/>
    <w:rsid w:val="001F1293"/>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2F34"/>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27"/>
    <w:rsid w:val="00200427"/>
    <w:rsid w:val="00200880"/>
    <w:rsid w:val="00200F1E"/>
    <w:rsid w:val="00201004"/>
    <w:rsid w:val="00201447"/>
    <w:rsid w:val="0020168A"/>
    <w:rsid w:val="002018A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0E2A"/>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6A6"/>
    <w:rsid w:val="00217965"/>
    <w:rsid w:val="00217AC4"/>
    <w:rsid w:val="00217B97"/>
    <w:rsid w:val="00217CAA"/>
    <w:rsid w:val="00217DBF"/>
    <w:rsid w:val="00220605"/>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8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97E"/>
    <w:rsid w:val="00237AB6"/>
    <w:rsid w:val="00237C7F"/>
    <w:rsid w:val="00237DA4"/>
    <w:rsid w:val="00240046"/>
    <w:rsid w:val="002401CF"/>
    <w:rsid w:val="002402BF"/>
    <w:rsid w:val="00240648"/>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7BB"/>
    <w:rsid w:val="00244DD2"/>
    <w:rsid w:val="00245450"/>
    <w:rsid w:val="0024559A"/>
    <w:rsid w:val="00245611"/>
    <w:rsid w:val="00245A32"/>
    <w:rsid w:val="00245C4B"/>
    <w:rsid w:val="00245E45"/>
    <w:rsid w:val="00246649"/>
    <w:rsid w:val="00246CDB"/>
    <w:rsid w:val="00246DA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82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65B"/>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5F1"/>
    <w:rsid w:val="0027566C"/>
    <w:rsid w:val="00276030"/>
    <w:rsid w:val="0027625E"/>
    <w:rsid w:val="0027631F"/>
    <w:rsid w:val="00276CA6"/>
    <w:rsid w:val="00277120"/>
    <w:rsid w:val="0027719C"/>
    <w:rsid w:val="00277707"/>
    <w:rsid w:val="00277C65"/>
    <w:rsid w:val="00277CAF"/>
    <w:rsid w:val="002807CA"/>
    <w:rsid w:val="002809CF"/>
    <w:rsid w:val="0028109A"/>
    <w:rsid w:val="0028118D"/>
    <w:rsid w:val="00281203"/>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555"/>
    <w:rsid w:val="00287E83"/>
    <w:rsid w:val="00287E8B"/>
    <w:rsid w:val="00287F91"/>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140"/>
    <w:rsid w:val="002A01C0"/>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3FE4"/>
    <w:rsid w:val="002A461D"/>
    <w:rsid w:val="002A4658"/>
    <w:rsid w:val="002A481B"/>
    <w:rsid w:val="002A48FA"/>
    <w:rsid w:val="002A4938"/>
    <w:rsid w:val="002A4BE0"/>
    <w:rsid w:val="002A4C45"/>
    <w:rsid w:val="002A4E83"/>
    <w:rsid w:val="002A4FC3"/>
    <w:rsid w:val="002A4FDB"/>
    <w:rsid w:val="002A557B"/>
    <w:rsid w:val="002A597D"/>
    <w:rsid w:val="002A5A76"/>
    <w:rsid w:val="002A5C52"/>
    <w:rsid w:val="002A5E2D"/>
    <w:rsid w:val="002A5E33"/>
    <w:rsid w:val="002A602B"/>
    <w:rsid w:val="002A6420"/>
    <w:rsid w:val="002A649A"/>
    <w:rsid w:val="002A6580"/>
    <w:rsid w:val="002A673F"/>
    <w:rsid w:val="002A688B"/>
    <w:rsid w:val="002A692E"/>
    <w:rsid w:val="002A6E16"/>
    <w:rsid w:val="002A74FD"/>
    <w:rsid w:val="002A7639"/>
    <w:rsid w:val="002B02D9"/>
    <w:rsid w:val="002B06B7"/>
    <w:rsid w:val="002B0723"/>
    <w:rsid w:val="002B0864"/>
    <w:rsid w:val="002B0B0B"/>
    <w:rsid w:val="002B0D69"/>
    <w:rsid w:val="002B0F83"/>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91"/>
    <w:rsid w:val="002B43DB"/>
    <w:rsid w:val="002B4535"/>
    <w:rsid w:val="002B49F2"/>
    <w:rsid w:val="002B4AF8"/>
    <w:rsid w:val="002B4B24"/>
    <w:rsid w:val="002B4B56"/>
    <w:rsid w:val="002B4D32"/>
    <w:rsid w:val="002B4F68"/>
    <w:rsid w:val="002B54DF"/>
    <w:rsid w:val="002B586E"/>
    <w:rsid w:val="002B5FA3"/>
    <w:rsid w:val="002B6139"/>
    <w:rsid w:val="002B6C59"/>
    <w:rsid w:val="002B6E2E"/>
    <w:rsid w:val="002B74C0"/>
    <w:rsid w:val="002B74D6"/>
    <w:rsid w:val="002B7824"/>
    <w:rsid w:val="002B788B"/>
    <w:rsid w:val="002B78E3"/>
    <w:rsid w:val="002C006A"/>
    <w:rsid w:val="002C0266"/>
    <w:rsid w:val="002C03F0"/>
    <w:rsid w:val="002C051E"/>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C7F"/>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6B5"/>
    <w:rsid w:val="002D2ADA"/>
    <w:rsid w:val="002D2FD2"/>
    <w:rsid w:val="002D3455"/>
    <w:rsid w:val="002D45A8"/>
    <w:rsid w:val="002D48C9"/>
    <w:rsid w:val="002D4AC5"/>
    <w:rsid w:val="002D4CAB"/>
    <w:rsid w:val="002D4DB6"/>
    <w:rsid w:val="002D4F96"/>
    <w:rsid w:val="002D5542"/>
    <w:rsid w:val="002D569B"/>
    <w:rsid w:val="002D593B"/>
    <w:rsid w:val="002D5EA6"/>
    <w:rsid w:val="002D5EAA"/>
    <w:rsid w:val="002D5F2C"/>
    <w:rsid w:val="002D6738"/>
    <w:rsid w:val="002D675F"/>
    <w:rsid w:val="002D6B05"/>
    <w:rsid w:val="002D6BA2"/>
    <w:rsid w:val="002D733C"/>
    <w:rsid w:val="002D7904"/>
    <w:rsid w:val="002D7C14"/>
    <w:rsid w:val="002E0525"/>
    <w:rsid w:val="002E07A2"/>
    <w:rsid w:val="002E122C"/>
    <w:rsid w:val="002E1429"/>
    <w:rsid w:val="002E1556"/>
    <w:rsid w:val="002E21D3"/>
    <w:rsid w:val="002E224B"/>
    <w:rsid w:val="002E2387"/>
    <w:rsid w:val="002E238E"/>
    <w:rsid w:val="002E26B0"/>
    <w:rsid w:val="002E2920"/>
    <w:rsid w:val="002E4BDF"/>
    <w:rsid w:val="002E5BA1"/>
    <w:rsid w:val="002E5F4C"/>
    <w:rsid w:val="002E65A1"/>
    <w:rsid w:val="002E66B7"/>
    <w:rsid w:val="002E67C4"/>
    <w:rsid w:val="002E6ACD"/>
    <w:rsid w:val="002E6C41"/>
    <w:rsid w:val="002E6D0C"/>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1DF"/>
    <w:rsid w:val="002F55CB"/>
    <w:rsid w:val="002F5CFB"/>
    <w:rsid w:val="002F5EE7"/>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3D48"/>
    <w:rsid w:val="003042C0"/>
    <w:rsid w:val="00304947"/>
    <w:rsid w:val="00304BCE"/>
    <w:rsid w:val="00304D99"/>
    <w:rsid w:val="003052E9"/>
    <w:rsid w:val="003057DE"/>
    <w:rsid w:val="0030593E"/>
    <w:rsid w:val="00305A36"/>
    <w:rsid w:val="00305C4D"/>
    <w:rsid w:val="00305F0C"/>
    <w:rsid w:val="00306307"/>
    <w:rsid w:val="003063C0"/>
    <w:rsid w:val="00306476"/>
    <w:rsid w:val="003065AB"/>
    <w:rsid w:val="00306B87"/>
    <w:rsid w:val="00306BEC"/>
    <w:rsid w:val="00306D28"/>
    <w:rsid w:val="00306F8B"/>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2A5F"/>
    <w:rsid w:val="003130D2"/>
    <w:rsid w:val="00313191"/>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59D"/>
    <w:rsid w:val="003179F2"/>
    <w:rsid w:val="00317A1A"/>
    <w:rsid w:val="00317A6B"/>
    <w:rsid w:val="003206B0"/>
    <w:rsid w:val="0032094A"/>
    <w:rsid w:val="00320A9F"/>
    <w:rsid w:val="00320B52"/>
    <w:rsid w:val="00320E41"/>
    <w:rsid w:val="003210D7"/>
    <w:rsid w:val="0032192C"/>
    <w:rsid w:val="003219E8"/>
    <w:rsid w:val="00321E3A"/>
    <w:rsid w:val="00322C9B"/>
    <w:rsid w:val="00322C9C"/>
    <w:rsid w:val="00322CBA"/>
    <w:rsid w:val="00322E83"/>
    <w:rsid w:val="00323DD8"/>
    <w:rsid w:val="003243E4"/>
    <w:rsid w:val="00324E72"/>
    <w:rsid w:val="00324EBC"/>
    <w:rsid w:val="00325665"/>
    <w:rsid w:val="0032578C"/>
    <w:rsid w:val="00325B90"/>
    <w:rsid w:val="00326169"/>
    <w:rsid w:val="003263C0"/>
    <w:rsid w:val="00326467"/>
    <w:rsid w:val="00326749"/>
    <w:rsid w:val="003268D9"/>
    <w:rsid w:val="003275A9"/>
    <w:rsid w:val="003276D2"/>
    <w:rsid w:val="00327B5D"/>
    <w:rsid w:val="00330367"/>
    <w:rsid w:val="00330886"/>
    <w:rsid w:val="00330D08"/>
    <w:rsid w:val="00330D48"/>
    <w:rsid w:val="00330DE0"/>
    <w:rsid w:val="0033128A"/>
    <w:rsid w:val="0033151E"/>
    <w:rsid w:val="0033187D"/>
    <w:rsid w:val="003319DF"/>
    <w:rsid w:val="00331AF8"/>
    <w:rsid w:val="00331B2D"/>
    <w:rsid w:val="00331C31"/>
    <w:rsid w:val="00331E96"/>
    <w:rsid w:val="003320AE"/>
    <w:rsid w:val="003321F3"/>
    <w:rsid w:val="00332AAE"/>
    <w:rsid w:val="0033339D"/>
    <w:rsid w:val="003336EE"/>
    <w:rsid w:val="00333A8A"/>
    <w:rsid w:val="00333B38"/>
    <w:rsid w:val="003340EA"/>
    <w:rsid w:val="00334106"/>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80C"/>
    <w:rsid w:val="00337EFF"/>
    <w:rsid w:val="003406C6"/>
    <w:rsid w:val="00340E3A"/>
    <w:rsid w:val="00341034"/>
    <w:rsid w:val="00341241"/>
    <w:rsid w:val="00341570"/>
    <w:rsid w:val="003418E6"/>
    <w:rsid w:val="003425A8"/>
    <w:rsid w:val="003425BB"/>
    <w:rsid w:val="00342A17"/>
    <w:rsid w:val="00342D10"/>
    <w:rsid w:val="00343053"/>
    <w:rsid w:val="00343113"/>
    <w:rsid w:val="00343490"/>
    <w:rsid w:val="00344029"/>
    <w:rsid w:val="003441B4"/>
    <w:rsid w:val="00344ACB"/>
    <w:rsid w:val="00344B4D"/>
    <w:rsid w:val="0034552C"/>
    <w:rsid w:val="0034561F"/>
    <w:rsid w:val="0034563B"/>
    <w:rsid w:val="00345B66"/>
    <w:rsid w:val="003462C6"/>
    <w:rsid w:val="003462F9"/>
    <w:rsid w:val="0034675C"/>
    <w:rsid w:val="00346A76"/>
    <w:rsid w:val="00346AEB"/>
    <w:rsid w:val="00346C57"/>
    <w:rsid w:val="00346C61"/>
    <w:rsid w:val="003471D0"/>
    <w:rsid w:val="003473DB"/>
    <w:rsid w:val="003475F0"/>
    <w:rsid w:val="0035085C"/>
    <w:rsid w:val="003509FE"/>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59"/>
    <w:rsid w:val="003555A9"/>
    <w:rsid w:val="00355936"/>
    <w:rsid w:val="00355B8C"/>
    <w:rsid w:val="003560FF"/>
    <w:rsid w:val="00356685"/>
    <w:rsid w:val="003566A9"/>
    <w:rsid w:val="00356ACB"/>
    <w:rsid w:val="00357333"/>
    <w:rsid w:val="0035763C"/>
    <w:rsid w:val="00357773"/>
    <w:rsid w:val="00357F21"/>
    <w:rsid w:val="00360186"/>
    <w:rsid w:val="00360316"/>
    <w:rsid w:val="00360363"/>
    <w:rsid w:val="00360806"/>
    <w:rsid w:val="00360B71"/>
    <w:rsid w:val="00360FA2"/>
    <w:rsid w:val="00361094"/>
    <w:rsid w:val="003610D4"/>
    <w:rsid w:val="003610EE"/>
    <w:rsid w:val="00361230"/>
    <w:rsid w:val="003612D0"/>
    <w:rsid w:val="003614D2"/>
    <w:rsid w:val="00361853"/>
    <w:rsid w:val="00361A03"/>
    <w:rsid w:val="00361F31"/>
    <w:rsid w:val="003620E2"/>
    <w:rsid w:val="0036212E"/>
    <w:rsid w:val="003625FE"/>
    <w:rsid w:val="00363029"/>
    <w:rsid w:val="0036388C"/>
    <w:rsid w:val="003638E1"/>
    <w:rsid w:val="00363CDF"/>
    <w:rsid w:val="00363E0F"/>
    <w:rsid w:val="00364722"/>
    <w:rsid w:val="00364C2B"/>
    <w:rsid w:val="00365AEC"/>
    <w:rsid w:val="0036602B"/>
    <w:rsid w:val="00366241"/>
    <w:rsid w:val="0036695E"/>
    <w:rsid w:val="00366AC9"/>
    <w:rsid w:val="00366C11"/>
    <w:rsid w:val="00366D94"/>
    <w:rsid w:val="003672E7"/>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08"/>
    <w:rsid w:val="0037442E"/>
    <w:rsid w:val="0037448C"/>
    <w:rsid w:val="00374C2A"/>
    <w:rsid w:val="00374CC0"/>
    <w:rsid w:val="003756E4"/>
    <w:rsid w:val="00375CE3"/>
    <w:rsid w:val="0037699F"/>
    <w:rsid w:val="003769CD"/>
    <w:rsid w:val="003777E7"/>
    <w:rsid w:val="00377ABA"/>
    <w:rsid w:val="00377C8B"/>
    <w:rsid w:val="00380111"/>
    <w:rsid w:val="00380123"/>
    <w:rsid w:val="00380261"/>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85"/>
    <w:rsid w:val="003853D0"/>
    <w:rsid w:val="00385ED5"/>
    <w:rsid w:val="00386417"/>
    <w:rsid w:val="00386664"/>
    <w:rsid w:val="00386F3B"/>
    <w:rsid w:val="00387023"/>
    <w:rsid w:val="00387B31"/>
    <w:rsid w:val="00387F18"/>
    <w:rsid w:val="00390378"/>
    <w:rsid w:val="00390E38"/>
    <w:rsid w:val="003913A4"/>
    <w:rsid w:val="003913EE"/>
    <w:rsid w:val="003917A1"/>
    <w:rsid w:val="00391840"/>
    <w:rsid w:val="00392753"/>
    <w:rsid w:val="00392B12"/>
    <w:rsid w:val="00392E6B"/>
    <w:rsid w:val="00392EE5"/>
    <w:rsid w:val="00393129"/>
    <w:rsid w:val="003932B5"/>
    <w:rsid w:val="00393499"/>
    <w:rsid w:val="0039372A"/>
    <w:rsid w:val="00393DBB"/>
    <w:rsid w:val="0039408C"/>
    <w:rsid w:val="00394125"/>
    <w:rsid w:val="00394F85"/>
    <w:rsid w:val="00395137"/>
    <w:rsid w:val="0039538A"/>
    <w:rsid w:val="00395752"/>
    <w:rsid w:val="0039619B"/>
    <w:rsid w:val="00396EC8"/>
    <w:rsid w:val="00397D6E"/>
    <w:rsid w:val="003A01E1"/>
    <w:rsid w:val="003A0201"/>
    <w:rsid w:val="003A02E7"/>
    <w:rsid w:val="003A063C"/>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B76"/>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0C"/>
    <w:rsid w:val="003B01EC"/>
    <w:rsid w:val="003B0418"/>
    <w:rsid w:val="003B04A7"/>
    <w:rsid w:val="003B05A4"/>
    <w:rsid w:val="003B06A0"/>
    <w:rsid w:val="003B06B8"/>
    <w:rsid w:val="003B0E3A"/>
    <w:rsid w:val="003B11E5"/>
    <w:rsid w:val="003B1320"/>
    <w:rsid w:val="003B14D2"/>
    <w:rsid w:val="003B2339"/>
    <w:rsid w:val="003B2A4B"/>
    <w:rsid w:val="003B2C04"/>
    <w:rsid w:val="003B3110"/>
    <w:rsid w:val="003B3559"/>
    <w:rsid w:val="003B3E2B"/>
    <w:rsid w:val="003B4897"/>
    <w:rsid w:val="003B57B2"/>
    <w:rsid w:val="003B59AF"/>
    <w:rsid w:val="003B6034"/>
    <w:rsid w:val="003B6935"/>
    <w:rsid w:val="003B6DA8"/>
    <w:rsid w:val="003B6F8F"/>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9C2"/>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C7D22"/>
    <w:rsid w:val="003D027A"/>
    <w:rsid w:val="003D06E9"/>
    <w:rsid w:val="003D076F"/>
    <w:rsid w:val="003D08D3"/>
    <w:rsid w:val="003D0950"/>
    <w:rsid w:val="003D0C22"/>
    <w:rsid w:val="003D10EF"/>
    <w:rsid w:val="003D1CB0"/>
    <w:rsid w:val="003D2625"/>
    <w:rsid w:val="003D2BB5"/>
    <w:rsid w:val="003D32F9"/>
    <w:rsid w:val="003D34AA"/>
    <w:rsid w:val="003D3C06"/>
    <w:rsid w:val="003D3EAC"/>
    <w:rsid w:val="003D3EB8"/>
    <w:rsid w:val="003D4031"/>
    <w:rsid w:val="003D40A0"/>
    <w:rsid w:val="003D422F"/>
    <w:rsid w:val="003D45F7"/>
    <w:rsid w:val="003D4E74"/>
    <w:rsid w:val="003D5B61"/>
    <w:rsid w:val="003D5D1A"/>
    <w:rsid w:val="003D61EB"/>
    <w:rsid w:val="003D695E"/>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8E2"/>
    <w:rsid w:val="003E4E79"/>
    <w:rsid w:val="003E5065"/>
    <w:rsid w:val="003E598C"/>
    <w:rsid w:val="003E59BC"/>
    <w:rsid w:val="003E6742"/>
    <w:rsid w:val="003E69C1"/>
    <w:rsid w:val="003E6FA7"/>
    <w:rsid w:val="003E7381"/>
    <w:rsid w:val="003E777F"/>
    <w:rsid w:val="003E7A68"/>
    <w:rsid w:val="003E7CCB"/>
    <w:rsid w:val="003E7D67"/>
    <w:rsid w:val="003F06BF"/>
    <w:rsid w:val="003F0957"/>
    <w:rsid w:val="003F0D34"/>
    <w:rsid w:val="003F14C2"/>
    <w:rsid w:val="003F19A5"/>
    <w:rsid w:val="003F1CD2"/>
    <w:rsid w:val="003F23D4"/>
    <w:rsid w:val="003F2489"/>
    <w:rsid w:val="003F255E"/>
    <w:rsid w:val="003F28B6"/>
    <w:rsid w:val="003F2F60"/>
    <w:rsid w:val="003F3368"/>
    <w:rsid w:val="003F33E3"/>
    <w:rsid w:val="003F358C"/>
    <w:rsid w:val="003F36BD"/>
    <w:rsid w:val="003F38BC"/>
    <w:rsid w:val="003F3B27"/>
    <w:rsid w:val="003F3E48"/>
    <w:rsid w:val="003F423F"/>
    <w:rsid w:val="003F42B2"/>
    <w:rsid w:val="003F46A9"/>
    <w:rsid w:val="003F477C"/>
    <w:rsid w:val="003F4785"/>
    <w:rsid w:val="003F4ACC"/>
    <w:rsid w:val="003F5C68"/>
    <w:rsid w:val="003F5DDF"/>
    <w:rsid w:val="003F64FC"/>
    <w:rsid w:val="003F701B"/>
    <w:rsid w:val="003F7583"/>
    <w:rsid w:val="003F77CC"/>
    <w:rsid w:val="003F79E7"/>
    <w:rsid w:val="003F7BCD"/>
    <w:rsid w:val="003F7F52"/>
    <w:rsid w:val="00400A39"/>
    <w:rsid w:val="00400E02"/>
    <w:rsid w:val="00400F41"/>
    <w:rsid w:val="0040176F"/>
    <w:rsid w:val="00401F50"/>
    <w:rsid w:val="00401FDE"/>
    <w:rsid w:val="004020F7"/>
    <w:rsid w:val="00402831"/>
    <w:rsid w:val="00402B19"/>
    <w:rsid w:val="00402E6E"/>
    <w:rsid w:val="00402F9A"/>
    <w:rsid w:val="004031E2"/>
    <w:rsid w:val="00403486"/>
    <w:rsid w:val="00403499"/>
    <w:rsid w:val="0040375A"/>
    <w:rsid w:val="0040388E"/>
    <w:rsid w:val="0040389E"/>
    <w:rsid w:val="00403996"/>
    <w:rsid w:val="00403A83"/>
    <w:rsid w:val="00403B13"/>
    <w:rsid w:val="00403E4C"/>
    <w:rsid w:val="00403EE3"/>
    <w:rsid w:val="00404151"/>
    <w:rsid w:val="00404499"/>
    <w:rsid w:val="0040465E"/>
    <w:rsid w:val="00404E29"/>
    <w:rsid w:val="00405478"/>
    <w:rsid w:val="0040554E"/>
    <w:rsid w:val="004059AB"/>
    <w:rsid w:val="00405B56"/>
    <w:rsid w:val="00405F28"/>
    <w:rsid w:val="004063C0"/>
    <w:rsid w:val="00406A32"/>
    <w:rsid w:val="00406AE8"/>
    <w:rsid w:val="00406CF0"/>
    <w:rsid w:val="0040700B"/>
    <w:rsid w:val="004073F9"/>
    <w:rsid w:val="0040752C"/>
    <w:rsid w:val="0040789A"/>
    <w:rsid w:val="00407A00"/>
    <w:rsid w:val="00407AFD"/>
    <w:rsid w:val="00407FE8"/>
    <w:rsid w:val="00410130"/>
    <w:rsid w:val="00410D6C"/>
    <w:rsid w:val="00410E7F"/>
    <w:rsid w:val="0041109E"/>
    <w:rsid w:val="00411AC6"/>
    <w:rsid w:val="00411B20"/>
    <w:rsid w:val="00411E6A"/>
    <w:rsid w:val="004127BC"/>
    <w:rsid w:val="004138EC"/>
    <w:rsid w:val="00413928"/>
    <w:rsid w:val="00413D1A"/>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0EF"/>
    <w:rsid w:val="00421368"/>
    <w:rsid w:val="004217B5"/>
    <w:rsid w:val="00421AFD"/>
    <w:rsid w:val="00421BBF"/>
    <w:rsid w:val="004223E9"/>
    <w:rsid w:val="0042267B"/>
    <w:rsid w:val="0042275E"/>
    <w:rsid w:val="00422C13"/>
    <w:rsid w:val="00423DDB"/>
    <w:rsid w:val="00424814"/>
    <w:rsid w:val="00424B31"/>
    <w:rsid w:val="00424F2E"/>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2D4"/>
    <w:rsid w:val="0043697F"/>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4B8"/>
    <w:rsid w:val="00441A38"/>
    <w:rsid w:val="00441C9A"/>
    <w:rsid w:val="00441D0D"/>
    <w:rsid w:val="00442D38"/>
    <w:rsid w:val="00442E7D"/>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CB"/>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E94"/>
    <w:rsid w:val="00453F23"/>
    <w:rsid w:val="00454083"/>
    <w:rsid w:val="004540A9"/>
    <w:rsid w:val="00454163"/>
    <w:rsid w:val="00454870"/>
    <w:rsid w:val="00454AC2"/>
    <w:rsid w:val="004550AB"/>
    <w:rsid w:val="004552A3"/>
    <w:rsid w:val="0045624C"/>
    <w:rsid w:val="0045640D"/>
    <w:rsid w:val="00456D7C"/>
    <w:rsid w:val="00456DE5"/>
    <w:rsid w:val="004572F8"/>
    <w:rsid w:val="004573A1"/>
    <w:rsid w:val="00457ACF"/>
    <w:rsid w:val="00457E75"/>
    <w:rsid w:val="00457F14"/>
    <w:rsid w:val="0046015E"/>
    <w:rsid w:val="0046016D"/>
    <w:rsid w:val="00460AC6"/>
    <w:rsid w:val="0046122C"/>
    <w:rsid w:val="00461562"/>
    <w:rsid w:val="00462043"/>
    <w:rsid w:val="00462178"/>
    <w:rsid w:val="004629AF"/>
    <w:rsid w:val="00462C5B"/>
    <w:rsid w:val="00462F3B"/>
    <w:rsid w:val="00462FB8"/>
    <w:rsid w:val="00463507"/>
    <w:rsid w:val="0046361E"/>
    <w:rsid w:val="00464174"/>
    <w:rsid w:val="0046426E"/>
    <w:rsid w:val="00464648"/>
    <w:rsid w:val="0046521E"/>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D31"/>
    <w:rsid w:val="004711E0"/>
    <w:rsid w:val="004715A0"/>
    <w:rsid w:val="00471AB0"/>
    <w:rsid w:val="00471EC7"/>
    <w:rsid w:val="00471FCA"/>
    <w:rsid w:val="004720DF"/>
    <w:rsid w:val="00472338"/>
    <w:rsid w:val="004725FE"/>
    <w:rsid w:val="00472688"/>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238"/>
    <w:rsid w:val="004803A5"/>
    <w:rsid w:val="004808B7"/>
    <w:rsid w:val="00480B8D"/>
    <w:rsid w:val="00480E1F"/>
    <w:rsid w:val="00480F43"/>
    <w:rsid w:val="004810D4"/>
    <w:rsid w:val="00481141"/>
    <w:rsid w:val="00481206"/>
    <w:rsid w:val="004816A6"/>
    <w:rsid w:val="00481839"/>
    <w:rsid w:val="00481B19"/>
    <w:rsid w:val="00481B91"/>
    <w:rsid w:val="00481E8E"/>
    <w:rsid w:val="0048207C"/>
    <w:rsid w:val="00482AAF"/>
    <w:rsid w:val="00482DB0"/>
    <w:rsid w:val="00483C82"/>
    <w:rsid w:val="0048435E"/>
    <w:rsid w:val="00484764"/>
    <w:rsid w:val="00484870"/>
    <w:rsid w:val="00484B8B"/>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0AF"/>
    <w:rsid w:val="0049116B"/>
    <w:rsid w:val="004916DD"/>
    <w:rsid w:val="00491728"/>
    <w:rsid w:val="00491D51"/>
    <w:rsid w:val="00492027"/>
    <w:rsid w:val="00492B02"/>
    <w:rsid w:val="00492D9A"/>
    <w:rsid w:val="00493070"/>
    <w:rsid w:val="0049328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2E49"/>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6AA"/>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9DC"/>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0C2"/>
    <w:rsid w:val="004B789A"/>
    <w:rsid w:val="004B7906"/>
    <w:rsid w:val="004B7C02"/>
    <w:rsid w:val="004B7C44"/>
    <w:rsid w:val="004B7FD0"/>
    <w:rsid w:val="004C0266"/>
    <w:rsid w:val="004C0768"/>
    <w:rsid w:val="004C0AFC"/>
    <w:rsid w:val="004C1440"/>
    <w:rsid w:val="004C160D"/>
    <w:rsid w:val="004C18FA"/>
    <w:rsid w:val="004C1B8F"/>
    <w:rsid w:val="004C1DA6"/>
    <w:rsid w:val="004C2183"/>
    <w:rsid w:val="004C244E"/>
    <w:rsid w:val="004C283E"/>
    <w:rsid w:val="004C29D0"/>
    <w:rsid w:val="004C308F"/>
    <w:rsid w:val="004C3749"/>
    <w:rsid w:val="004C3B96"/>
    <w:rsid w:val="004C3EC9"/>
    <w:rsid w:val="004C46DC"/>
    <w:rsid w:val="004C47DD"/>
    <w:rsid w:val="004C49E5"/>
    <w:rsid w:val="004C4A18"/>
    <w:rsid w:val="004C4D92"/>
    <w:rsid w:val="004C4DBC"/>
    <w:rsid w:val="004C5010"/>
    <w:rsid w:val="004C5095"/>
    <w:rsid w:val="004C515A"/>
    <w:rsid w:val="004C5339"/>
    <w:rsid w:val="004C53A6"/>
    <w:rsid w:val="004C5450"/>
    <w:rsid w:val="004C5E6F"/>
    <w:rsid w:val="004C5FDA"/>
    <w:rsid w:val="004C6495"/>
    <w:rsid w:val="004C64E1"/>
    <w:rsid w:val="004C6B77"/>
    <w:rsid w:val="004C6D02"/>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5FFD"/>
    <w:rsid w:val="004D603D"/>
    <w:rsid w:val="004D682B"/>
    <w:rsid w:val="004D6A36"/>
    <w:rsid w:val="004D6BA5"/>
    <w:rsid w:val="004D6D73"/>
    <w:rsid w:val="004D7063"/>
    <w:rsid w:val="004D73F7"/>
    <w:rsid w:val="004D75BA"/>
    <w:rsid w:val="004D7633"/>
    <w:rsid w:val="004D779F"/>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1908"/>
    <w:rsid w:val="004F2041"/>
    <w:rsid w:val="004F226B"/>
    <w:rsid w:val="004F2917"/>
    <w:rsid w:val="004F291C"/>
    <w:rsid w:val="004F31EA"/>
    <w:rsid w:val="004F3AF4"/>
    <w:rsid w:val="004F3C2B"/>
    <w:rsid w:val="004F40C6"/>
    <w:rsid w:val="004F45C9"/>
    <w:rsid w:val="004F45F8"/>
    <w:rsid w:val="004F4ED0"/>
    <w:rsid w:val="004F511A"/>
    <w:rsid w:val="004F5866"/>
    <w:rsid w:val="004F58BB"/>
    <w:rsid w:val="004F5CBC"/>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91"/>
    <w:rsid w:val="00503CB2"/>
    <w:rsid w:val="00503E3F"/>
    <w:rsid w:val="00503EB6"/>
    <w:rsid w:val="0050416B"/>
    <w:rsid w:val="005042BC"/>
    <w:rsid w:val="0050460B"/>
    <w:rsid w:val="00504793"/>
    <w:rsid w:val="00504D41"/>
    <w:rsid w:val="0050516A"/>
    <w:rsid w:val="00505BDE"/>
    <w:rsid w:val="00505E25"/>
    <w:rsid w:val="00506EA9"/>
    <w:rsid w:val="00506FDF"/>
    <w:rsid w:val="005073F1"/>
    <w:rsid w:val="00507923"/>
    <w:rsid w:val="00507A57"/>
    <w:rsid w:val="00510AB2"/>
    <w:rsid w:val="00510DBD"/>
    <w:rsid w:val="0051117D"/>
    <w:rsid w:val="005114A4"/>
    <w:rsid w:val="005118F6"/>
    <w:rsid w:val="00511910"/>
    <w:rsid w:val="005119BB"/>
    <w:rsid w:val="00511C53"/>
    <w:rsid w:val="00511E7D"/>
    <w:rsid w:val="00511E8F"/>
    <w:rsid w:val="00511FFD"/>
    <w:rsid w:val="0051227D"/>
    <w:rsid w:val="005124D0"/>
    <w:rsid w:val="005127E4"/>
    <w:rsid w:val="00512B7A"/>
    <w:rsid w:val="00512C95"/>
    <w:rsid w:val="00513011"/>
    <w:rsid w:val="00513331"/>
    <w:rsid w:val="005137A8"/>
    <w:rsid w:val="0051438C"/>
    <w:rsid w:val="00514902"/>
    <w:rsid w:val="00515032"/>
    <w:rsid w:val="00515070"/>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B31"/>
    <w:rsid w:val="00521C3D"/>
    <w:rsid w:val="00521CE3"/>
    <w:rsid w:val="0052227C"/>
    <w:rsid w:val="005223D5"/>
    <w:rsid w:val="005228DC"/>
    <w:rsid w:val="00522B91"/>
    <w:rsid w:val="00523588"/>
    <w:rsid w:val="0052389A"/>
    <w:rsid w:val="00523B12"/>
    <w:rsid w:val="0052476E"/>
    <w:rsid w:val="00524B17"/>
    <w:rsid w:val="00524B26"/>
    <w:rsid w:val="0052502C"/>
    <w:rsid w:val="00525170"/>
    <w:rsid w:val="005251D0"/>
    <w:rsid w:val="00525814"/>
    <w:rsid w:val="0052664E"/>
    <w:rsid w:val="005266FD"/>
    <w:rsid w:val="00526763"/>
    <w:rsid w:val="005269D2"/>
    <w:rsid w:val="00526B87"/>
    <w:rsid w:val="00526D2E"/>
    <w:rsid w:val="00526F20"/>
    <w:rsid w:val="00526F8D"/>
    <w:rsid w:val="005271B6"/>
    <w:rsid w:val="005276A6"/>
    <w:rsid w:val="00527CD4"/>
    <w:rsid w:val="00527FA6"/>
    <w:rsid w:val="00530184"/>
    <w:rsid w:val="005307E1"/>
    <w:rsid w:val="00530E0F"/>
    <w:rsid w:val="0053110E"/>
    <w:rsid w:val="005311DF"/>
    <w:rsid w:val="005314B5"/>
    <w:rsid w:val="005315D5"/>
    <w:rsid w:val="00531F89"/>
    <w:rsid w:val="005321F8"/>
    <w:rsid w:val="00532380"/>
    <w:rsid w:val="005323B9"/>
    <w:rsid w:val="00532805"/>
    <w:rsid w:val="005329CF"/>
    <w:rsid w:val="00532BF8"/>
    <w:rsid w:val="0053362D"/>
    <w:rsid w:val="00533663"/>
    <w:rsid w:val="005337E8"/>
    <w:rsid w:val="005339AA"/>
    <w:rsid w:val="00534245"/>
    <w:rsid w:val="005347B3"/>
    <w:rsid w:val="00535675"/>
    <w:rsid w:val="00535F8B"/>
    <w:rsid w:val="00536086"/>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872"/>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A62"/>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1F6"/>
    <w:rsid w:val="005606C7"/>
    <w:rsid w:val="00560C21"/>
    <w:rsid w:val="005612B3"/>
    <w:rsid w:val="005612F8"/>
    <w:rsid w:val="00561C3A"/>
    <w:rsid w:val="00562AA0"/>
    <w:rsid w:val="00562FE7"/>
    <w:rsid w:val="00563271"/>
    <w:rsid w:val="005636E0"/>
    <w:rsid w:val="00563B47"/>
    <w:rsid w:val="00563BE9"/>
    <w:rsid w:val="00563E56"/>
    <w:rsid w:val="005641BA"/>
    <w:rsid w:val="005642A3"/>
    <w:rsid w:val="00564381"/>
    <w:rsid w:val="005643C4"/>
    <w:rsid w:val="00564678"/>
    <w:rsid w:val="005648B0"/>
    <w:rsid w:val="00564FDA"/>
    <w:rsid w:val="005651FA"/>
    <w:rsid w:val="00565283"/>
    <w:rsid w:val="005652A6"/>
    <w:rsid w:val="00565A3B"/>
    <w:rsid w:val="00565FAA"/>
    <w:rsid w:val="005661FC"/>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99B"/>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03D"/>
    <w:rsid w:val="00586260"/>
    <w:rsid w:val="00586BC3"/>
    <w:rsid w:val="00586DC6"/>
    <w:rsid w:val="00587313"/>
    <w:rsid w:val="005878FA"/>
    <w:rsid w:val="00587B41"/>
    <w:rsid w:val="00587BC6"/>
    <w:rsid w:val="00590041"/>
    <w:rsid w:val="0059032C"/>
    <w:rsid w:val="00590A01"/>
    <w:rsid w:val="00590C61"/>
    <w:rsid w:val="005919F4"/>
    <w:rsid w:val="00591A13"/>
    <w:rsid w:val="00592250"/>
    <w:rsid w:val="005925F6"/>
    <w:rsid w:val="005928E6"/>
    <w:rsid w:val="00592923"/>
    <w:rsid w:val="00592A37"/>
    <w:rsid w:val="00592A48"/>
    <w:rsid w:val="00592C56"/>
    <w:rsid w:val="00592F24"/>
    <w:rsid w:val="00593B5A"/>
    <w:rsid w:val="00593F99"/>
    <w:rsid w:val="00593FCB"/>
    <w:rsid w:val="0059402F"/>
    <w:rsid w:val="005940B4"/>
    <w:rsid w:val="00594284"/>
    <w:rsid w:val="00594CE9"/>
    <w:rsid w:val="00595043"/>
    <w:rsid w:val="00595514"/>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13E"/>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B9F"/>
    <w:rsid w:val="005B1D37"/>
    <w:rsid w:val="005B23F1"/>
    <w:rsid w:val="005B26D0"/>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529"/>
    <w:rsid w:val="005B70A2"/>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4C"/>
    <w:rsid w:val="005C32A4"/>
    <w:rsid w:val="005C3ACE"/>
    <w:rsid w:val="005C3F74"/>
    <w:rsid w:val="005C411B"/>
    <w:rsid w:val="005C41BB"/>
    <w:rsid w:val="005C4EB4"/>
    <w:rsid w:val="005C510C"/>
    <w:rsid w:val="005C5151"/>
    <w:rsid w:val="005C5BA4"/>
    <w:rsid w:val="005C5E95"/>
    <w:rsid w:val="005C5F6E"/>
    <w:rsid w:val="005C600C"/>
    <w:rsid w:val="005C6295"/>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726"/>
    <w:rsid w:val="005D39E1"/>
    <w:rsid w:val="005D3BB5"/>
    <w:rsid w:val="005D3BF7"/>
    <w:rsid w:val="005D3CDE"/>
    <w:rsid w:val="005D3F59"/>
    <w:rsid w:val="005D440E"/>
    <w:rsid w:val="005D48C0"/>
    <w:rsid w:val="005D49DE"/>
    <w:rsid w:val="005D4EF9"/>
    <w:rsid w:val="005D52BF"/>
    <w:rsid w:val="005D54C3"/>
    <w:rsid w:val="005D5F81"/>
    <w:rsid w:val="005D60F4"/>
    <w:rsid w:val="005D68DC"/>
    <w:rsid w:val="005D695A"/>
    <w:rsid w:val="005D6CE7"/>
    <w:rsid w:val="005D76A3"/>
    <w:rsid w:val="005D7BBF"/>
    <w:rsid w:val="005D7D9B"/>
    <w:rsid w:val="005D7DBB"/>
    <w:rsid w:val="005D7F5A"/>
    <w:rsid w:val="005E0424"/>
    <w:rsid w:val="005E0892"/>
    <w:rsid w:val="005E1090"/>
    <w:rsid w:val="005E13A1"/>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4CE"/>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0E7B"/>
    <w:rsid w:val="005F0F46"/>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559"/>
    <w:rsid w:val="005F7641"/>
    <w:rsid w:val="005F772F"/>
    <w:rsid w:val="005F7B8F"/>
    <w:rsid w:val="005F7E17"/>
    <w:rsid w:val="0060061D"/>
    <w:rsid w:val="0060089D"/>
    <w:rsid w:val="00600E8F"/>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BBF"/>
    <w:rsid w:val="00606F48"/>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2D50"/>
    <w:rsid w:val="006138A4"/>
    <w:rsid w:val="006138E0"/>
    <w:rsid w:val="00613D0B"/>
    <w:rsid w:val="00613E9F"/>
    <w:rsid w:val="00614115"/>
    <w:rsid w:val="006142B7"/>
    <w:rsid w:val="00614804"/>
    <w:rsid w:val="006148C9"/>
    <w:rsid w:val="006149D2"/>
    <w:rsid w:val="00614D91"/>
    <w:rsid w:val="00614E36"/>
    <w:rsid w:val="00615019"/>
    <w:rsid w:val="00615034"/>
    <w:rsid w:val="00615627"/>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19F"/>
    <w:rsid w:val="00622843"/>
    <w:rsid w:val="00622C17"/>
    <w:rsid w:val="00622C7F"/>
    <w:rsid w:val="00622C90"/>
    <w:rsid w:val="006230C1"/>
    <w:rsid w:val="00623283"/>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521"/>
    <w:rsid w:val="00627A75"/>
    <w:rsid w:val="00627AF7"/>
    <w:rsid w:val="00627E5E"/>
    <w:rsid w:val="00627F31"/>
    <w:rsid w:val="00630022"/>
    <w:rsid w:val="0063061C"/>
    <w:rsid w:val="00630DA1"/>
    <w:rsid w:val="00630FDB"/>
    <w:rsid w:val="00631971"/>
    <w:rsid w:val="00631B23"/>
    <w:rsid w:val="00632205"/>
    <w:rsid w:val="00632352"/>
    <w:rsid w:val="00632757"/>
    <w:rsid w:val="00632E62"/>
    <w:rsid w:val="0063321F"/>
    <w:rsid w:val="00633379"/>
    <w:rsid w:val="00633527"/>
    <w:rsid w:val="0063382C"/>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028"/>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11"/>
    <w:rsid w:val="006468B7"/>
    <w:rsid w:val="00646B97"/>
    <w:rsid w:val="00646EAB"/>
    <w:rsid w:val="006471DA"/>
    <w:rsid w:val="00647CD6"/>
    <w:rsid w:val="00650464"/>
    <w:rsid w:val="006505F6"/>
    <w:rsid w:val="00650986"/>
    <w:rsid w:val="00650ABF"/>
    <w:rsid w:val="00650B0B"/>
    <w:rsid w:val="00650CDA"/>
    <w:rsid w:val="00650F75"/>
    <w:rsid w:val="00651438"/>
    <w:rsid w:val="0065179B"/>
    <w:rsid w:val="00651A58"/>
    <w:rsid w:val="00651AAA"/>
    <w:rsid w:val="00651B09"/>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78"/>
    <w:rsid w:val="00654DD6"/>
    <w:rsid w:val="00654EF1"/>
    <w:rsid w:val="00654FFF"/>
    <w:rsid w:val="0065517B"/>
    <w:rsid w:val="0065523A"/>
    <w:rsid w:val="00655807"/>
    <w:rsid w:val="00656399"/>
    <w:rsid w:val="00656891"/>
    <w:rsid w:val="00656B7F"/>
    <w:rsid w:val="00656E83"/>
    <w:rsid w:val="00657056"/>
    <w:rsid w:val="00657978"/>
    <w:rsid w:val="006601DE"/>
    <w:rsid w:val="006602CA"/>
    <w:rsid w:val="00660523"/>
    <w:rsid w:val="0066094D"/>
    <w:rsid w:val="006609C0"/>
    <w:rsid w:val="00660A41"/>
    <w:rsid w:val="00660D3B"/>
    <w:rsid w:val="006612DD"/>
    <w:rsid w:val="0066153A"/>
    <w:rsid w:val="00661AA2"/>
    <w:rsid w:val="00661D4A"/>
    <w:rsid w:val="0066223A"/>
    <w:rsid w:val="00662715"/>
    <w:rsid w:val="00662874"/>
    <w:rsid w:val="00663068"/>
    <w:rsid w:val="00663393"/>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6A3"/>
    <w:rsid w:val="00666AF7"/>
    <w:rsid w:val="00666C8D"/>
    <w:rsid w:val="00666E3C"/>
    <w:rsid w:val="0066739D"/>
    <w:rsid w:val="006676B1"/>
    <w:rsid w:val="00667E04"/>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D7"/>
    <w:rsid w:val="00676467"/>
    <w:rsid w:val="0067686C"/>
    <w:rsid w:val="0067695C"/>
    <w:rsid w:val="00676BB5"/>
    <w:rsid w:val="00676D9E"/>
    <w:rsid w:val="00677126"/>
    <w:rsid w:val="0067727C"/>
    <w:rsid w:val="00680185"/>
    <w:rsid w:val="0068061A"/>
    <w:rsid w:val="006806E6"/>
    <w:rsid w:val="00680A0A"/>
    <w:rsid w:val="006813B9"/>
    <w:rsid w:val="006815DE"/>
    <w:rsid w:val="00681D3A"/>
    <w:rsid w:val="00681DBF"/>
    <w:rsid w:val="00682113"/>
    <w:rsid w:val="0068225C"/>
    <w:rsid w:val="00682D91"/>
    <w:rsid w:val="00682FF4"/>
    <w:rsid w:val="00683269"/>
    <w:rsid w:val="006836B3"/>
    <w:rsid w:val="0068396F"/>
    <w:rsid w:val="00684792"/>
    <w:rsid w:val="006850C1"/>
    <w:rsid w:val="006850CB"/>
    <w:rsid w:val="00685730"/>
    <w:rsid w:val="0068586A"/>
    <w:rsid w:val="00685A27"/>
    <w:rsid w:val="00685B8D"/>
    <w:rsid w:val="00685BDB"/>
    <w:rsid w:val="0068638B"/>
    <w:rsid w:val="0068640F"/>
    <w:rsid w:val="00686927"/>
    <w:rsid w:val="00686A1A"/>
    <w:rsid w:val="00686D8A"/>
    <w:rsid w:val="00686DBB"/>
    <w:rsid w:val="0068708E"/>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8E"/>
    <w:rsid w:val="006953D5"/>
    <w:rsid w:val="006959C3"/>
    <w:rsid w:val="00695C8D"/>
    <w:rsid w:val="0069615F"/>
    <w:rsid w:val="0069618D"/>
    <w:rsid w:val="00696731"/>
    <w:rsid w:val="00696745"/>
    <w:rsid w:val="00696978"/>
    <w:rsid w:val="00696B3A"/>
    <w:rsid w:val="00696B75"/>
    <w:rsid w:val="00696C31"/>
    <w:rsid w:val="00697192"/>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3C4"/>
    <w:rsid w:val="006A36BD"/>
    <w:rsid w:val="006A3BC9"/>
    <w:rsid w:val="006A4262"/>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111"/>
    <w:rsid w:val="006B777A"/>
    <w:rsid w:val="006B79A6"/>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5989"/>
    <w:rsid w:val="006C6802"/>
    <w:rsid w:val="006C6D1F"/>
    <w:rsid w:val="006C745C"/>
    <w:rsid w:val="006C75D1"/>
    <w:rsid w:val="006C7760"/>
    <w:rsid w:val="006C787C"/>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D7FB1"/>
    <w:rsid w:val="006E067B"/>
    <w:rsid w:val="006E105B"/>
    <w:rsid w:val="006E135F"/>
    <w:rsid w:val="006E139A"/>
    <w:rsid w:val="006E2106"/>
    <w:rsid w:val="006E2B78"/>
    <w:rsid w:val="006E2D21"/>
    <w:rsid w:val="006E2E21"/>
    <w:rsid w:val="006E32B2"/>
    <w:rsid w:val="006E3A26"/>
    <w:rsid w:val="006E4384"/>
    <w:rsid w:val="006E4687"/>
    <w:rsid w:val="006E47B4"/>
    <w:rsid w:val="006E5099"/>
    <w:rsid w:val="006E5467"/>
    <w:rsid w:val="006E5E21"/>
    <w:rsid w:val="006E5F12"/>
    <w:rsid w:val="006E639B"/>
    <w:rsid w:val="006E65EF"/>
    <w:rsid w:val="006E66B4"/>
    <w:rsid w:val="006E6752"/>
    <w:rsid w:val="006E6843"/>
    <w:rsid w:val="006E68BB"/>
    <w:rsid w:val="006E6BC3"/>
    <w:rsid w:val="006E7168"/>
    <w:rsid w:val="006E7424"/>
    <w:rsid w:val="006E7744"/>
    <w:rsid w:val="006F03CA"/>
    <w:rsid w:val="006F0660"/>
    <w:rsid w:val="006F1075"/>
    <w:rsid w:val="006F1093"/>
    <w:rsid w:val="006F188C"/>
    <w:rsid w:val="006F217A"/>
    <w:rsid w:val="006F25CD"/>
    <w:rsid w:val="006F293F"/>
    <w:rsid w:val="006F29E5"/>
    <w:rsid w:val="006F2A57"/>
    <w:rsid w:val="006F33D8"/>
    <w:rsid w:val="006F3D6C"/>
    <w:rsid w:val="006F3F1E"/>
    <w:rsid w:val="006F422D"/>
    <w:rsid w:val="006F44A0"/>
    <w:rsid w:val="006F466F"/>
    <w:rsid w:val="006F487B"/>
    <w:rsid w:val="006F4A9D"/>
    <w:rsid w:val="006F4D8D"/>
    <w:rsid w:val="006F5003"/>
    <w:rsid w:val="006F51E0"/>
    <w:rsid w:val="006F551E"/>
    <w:rsid w:val="006F56C7"/>
    <w:rsid w:val="006F5812"/>
    <w:rsid w:val="006F5839"/>
    <w:rsid w:val="006F5881"/>
    <w:rsid w:val="006F5DD7"/>
    <w:rsid w:val="006F5EFF"/>
    <w:rsid w:val="006F63DD"/>
    <w:rsid w:val="006F6450"/>
    <w:rsid w:val="006F664E"/>
    <w:rsid w:val="006F7F7B"/>
    <w:rsid w:val="00700023"/>
    <w:rsid w:val="00700090"/>
    <w:rsid w:val="00700281"/>
    <w:rsid w:val="007006A0"/>
    <w:rsid w:val="007007A3"/>
    <w:rsid w:val="00700990"/>
    <w:rsid w:val="00700B47"/>
    <w:rsid w:val="00700CC0"/>
    <w:rsid w:val="00700F17"/>
    <w:rsid w:val="007017D6"/>
    <w:rsid w:val="0070197D"/>
    <w:rsid w:val="00701B9F"/>
    <w:rsid w:val="00701C21"/>
    <w:rsid w:val="00701ECE"/>
    <w:rsid w:val="00702291"/>
    <w:rsid w:val="00702943"/>
    <w:rsid w:val="00702AF0"/>
    <w:rsid w:val="00702D6C"/>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5C"/>
    <w:rsid w:val="007148F3"/>
    <w:rsid w:val="00714B5B"/>
    <w:rsid w:val="00714F7C"/>
    <w:rsid w:val="007150E1"/>
    <w:rsid w:val="0071549A"/>
    <w:rsid w:val="0071570C"/>
    <w:rsid w:val="007159A5"/>
    <w:rsid w:val="00715D94"/>
    <w:rsid w:val="00715F80"/>
    <w:rsid w:val="00715FA8"/>
    <w:rsid w:val="007161AD"/>
    <w:rsid w:val="00716493"/>
    <w:rsid w:val="0071659E"/>
    <w:rsid w:val="0071665B"/>
    <w:rsid w:val="00716A20"/>
    <w:rsid w:val="00716EA9"/>
    <w:rsid w:val="00716F85"/>
    <w:rsid w:val="0071704D"/>
    <w:rsid w:val="007174D0"/>
    <w:rsid w:val="00717600"/>
    <w:rsid w:val="0071766D"/>
    <w:rsid w:val="00717749"/>
    <w:rsid w:val="00717E6E"/>
    <w:rsid w:val="00720040"/>
    <w:rsid w:val="007201F8"/>
    <w:rsid w:val="0072056D"/>
    <w:rsid w:val="0072070C"/>
    <w:rsid w:val="007209EE"/>
    <w:rsid w:val="00720A0D"/>
    <w:rsid w:val="00720C2E"/>
    <w:rsid w:val="00720C4F"/>
    <w:rsid w:val="00720F0A"/>
    <w:rsid w:val="007217B4"/>
    <w:rsid w:val="00722623"/>
    <w:rsid w:val="007230CE"/>
    <w:rsid w:val="00723231"/>
    <w:rsid w:val="00723D66"/>
    <w:rsid w:val="007241CB"/>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08C8"/>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25C"/>
    <w:rsid w:val="0073598E"/>
    <w:rsid w:val="00735F7F"/>
    <w:rsid w:val="00736A76"/>
    <w:rsid w:val="00736C7A"/>
    <w:rsid w:val="00736E5C"/>
    <w:rsid w:val="00737299"/>
    <w:rsid w:val="007372DC"/>
    <w:rsid w:val="00737404"/>
    <w:rsid w:val="00737489"/>
    <w:rsid w:val="007375EA"/>
    <w:rsid w:val="00737EAE"/>
    <w:rsid w:val="007405CF"/>
    <w:rsid w:val="00740844"/>
    <w:rsid w:val="00741308"/>
    <w:rsid w:val="0074172A"/>
    <w:rsid w:val="0074172B"/>
    <w:rsid w:val="0074177F"/>
    <w:rsid w:val="00741BDE"/>
    <w:rsid w:val="00741C32"/>
    <w:rsid w:val="00741C56"/>
    <w:rsid w:val="00741E47"/>
    <w:rsid w:val="00741F13"/>
    <w:rsid w:val="00742170"/>
    <w:rsid w:val="007424A8"/>
    <w:rsid w:val="007425EE"/>
    <w:rsid w:val="007427D1"/>
    <w:rsid w:val="00742A83"/>
    <w:rsid w:val="00743305"/>
    <w:rsid w:val="00743985"/>
    <w:rsid w:val="00744053"/>
    <w:rsid w:val="007443C5"/>
    <w:rsid w:val="007454CA"/>
    <w:rsid w:val="00745713"/>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6FBA"/>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C31"/>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4F01"/>
    <w:rsid w:val="007750E7"/>
    <w:rsid w:val="007757EA"/>
    <w:rsid w:val="00775880"/>
    <w:rsid w:val="00776132"/>
    <w:rsid w:val="00776295"/>
    <w:rsid w:val="007765C8"/>
    <w:rsid w:val="00776783"/>
    <w:rsid w:val="00776A7A"/>
    <w:rsid w:val="00777140"/>
    <w:rsid w:val="00777476"/>
    <w:rsid w:val="00777D8A"/>
    <w:rsid w:val="00777ECC"/>
    <w:rsid w:val="00777ED0"/>
    <w:rsid w:val="00780193"/>
    <w:rsid w:val="0078043A"/>
    <w:rsid w:val="00781E9E"/>
    <w:rsid w:val="00782231"/>
    <w:rsid w:val="00782262"/>
    <w:rsid w:val="00783218"/>
    <w:rsid w:val="0078322A"/>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69D2"/>
    <w:rsid w:val="0078751B"/>
    <w:rsid w:val="00787CAA"/>
    <w:rsid w:val="00787DD9"/>
    <w:rsid w:val="00790334"/>
    <w:rsid w:val="007905F1"/>
    <w:rsid w:val="007909A5"/>
    <w:rsid w:val="00790C69"/>
    <w:rsid w:val="00790E5D"/>
    <w:rsid w:val="00790E87"/>
    <w:rsid w:val="00790FE5"/>
    <w:rsid w:val="007916D0"/>
    <w:rsid w:val="00791A2D"/>
    <w:rsid w:val="00791BB2"/>
    <w:rsid w:val="00791E7A"/>
    <w:rsid w:val="00792322"/>
    <w:rsid w:val="0079235A"/>
    <w:rsid w:val="00792C15"/>
    <w:rsid w:val="00792F97"/>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B35"/>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5FA1"/>
    <w:rsid w:val="007A61E7"/>
    <w:rsid w:val="007A6BA1"/>
    <w:rsid w:val="007A6E45"/>
    <w:rsid w:val="007A6F31"/>
    <w:rsid w:val="007A7316"/>
    <w:rsid w:val="007A76E1"/>
    <w:rsid w:val="007A78ED"/>
    <w:rsid w:val="007A78F5"/>
    <w:rsid w:val="007A7F28"/>
    <w:rsid w:val="007B012C"/>
    <w:rsid w:val="007B0AC9"/>
    <w:rsid w:val="007B0B6C"/>
    <w:rsid w:val="007B0D8B"/>
    <w:rsid w:val="007B111D"/>
    <w:rsid w:val="007B1491"/>
    <w:rsid w:val="007B1633"/>
    <w:rsid w:val="007B168D"/>
    <w:rsid w:val="007B1EAA"/>
    <w:rsid w:val="007B2159"/>
    <w:rsid w:val="007B21F4"/>
    <w:rsid w:val="007B242A"/>
    <w:rsid w:val="007B2440"/>
    <w:rsid w:val="007B29F5"/>
    <w:rsid w:val="007B2BBA"/>
    <w:rsid w:val="007B348F"/>
    <w:rsid w:val="007B36C4"/>
    <w:rsid w:val="007B3797"/>
    <w:rsid w:val="007B3BBD"/>
    <w:rsid w:val="007B4BCE"/>
    <w:rsid w:val="007B4C82"/>
    <w:rsid w:val="007B4EFE"/>
    <w:rsid w:val="007B50AC"/>
    <w:rsid w:val="007B5216"/>
    <w:rsid w:val="007B522B"/>
    <w:rsid w:val="007B55B0"/>
    <w:rsid w:val="007B5A6B"/>
    <w:rsid w:val="007B5BB9"/>
    <w:rsid w:val="007B5DD0"/>
    <w:rsid w:val="007B5E2B"/>
    <w:rsid w:val="007B6198"/>
    <w:rsid w:val="007B61AB"/>
    <w:rsid w:val="007B621B"/>
    <w:rsid w:val="007B6AA2"/>
    <w:rsid w:val="007B6AC7"/>
    <w:rsid w:val="007B6E3D"/>
    <w:rsid w:val="007B7516"/>
    <w:rsid w:val="007B797B"/>
    <w:rsid w:val="007B7D01"/>
    <w:rsid w:val="007C0154"/>
    <w:rsid w:val="007C020E"/>
    <w:rsid w:val="007C025F"/>
    <w:rsid w:val="007C0D6D"/>
    <w:rsid w:val="007C1137"/>
    <w:rsid w:val="007C1819"/>
    <w:rsid w:val="007C24F6"/>
    <w:rsid w:val="007C28A3"/>
    <w:rsid w:val="007C2BDF"/>
    <w:rsid w:val="007C2C9E"/>
    <w:rsid w:val="007C2E22"/>
    <w:rsid w:val="007C3158"/>
    <w:rsid w:val="007C37A2"/>
    <w:rsid w:val="007C3FC4"/>
    <w:rsid w:val="007C4339"/>
    <w:rsid w:val="007C4533"/>
    <w:rsid w:val="007C494D"/>
    <w:rsid w:val="007C4C3A"/>
    <w:rsid w:val="007C4EE9"/>
    <w:rsid w:val="007C4F59"/>
    <w:rsid w:val="007C4F6A"/>
    <w:rsid w:val="007C4FA9"/>
    <w:rsid w:val="007C50F0"/>
    <w:rsid w:val="007C54AE"/>
    <w:rsid w:val="007C65E9"/>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06B"/>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41C"/>
    <w:rsid w:val="007D7BB3"/>
    <w:rsid w:val="007E06F6"/>
    <w:rsid w:val="007E0906"/>
    <w:rsid w:val="007E091F"/>
    <w:rsid w:val="007E096A"/>
    <w:rsid w:val="007E1E6D"/>
    <w:rsid w:val="007E2134"/>
    <w:rsid w:val="007E24D9"/>
    <w:rsid w:val="007E2725"/>
    <w:rsid w:val="007E2B3E"/>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111"/>
    <w:rsid w:val="007F1579"/>
    <w:rsid w:val="007F17D2"/>
    <w:rsid w:val="007F1E07"/>
    <w:rsid w:val="007F201F"/>
    <w:rsid w:val="007F2147"/>
    <w:rsid w:val="007F23B6"/>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745"/>
    <w:rsid w:val="007F69B0"/>
    <w:rsid w:val="007F7AD7"/>
    <w:rsid w:val="007F7C89"/>
    <w:rsid w:val="008000EA"/>
    <w:rsid w:val="0080033B"/>
    <w:rsid w:val="008006C8"/>
    <w:rsid w:val="00800BAE"/>
    <w:rsid w:val="0080143E"/>
    <w:rsid w:val="00801722"/>
    <w:rsid w:val="00801821"/>
    <w:rsid w:val="00801D72"/>
    <w:rsid w:val="008023FE"/>
    <w:rsid w:val="00802534"/>
    <w:rsid w:val="00802769"/>
    <w:rsid w:val="00802C9F"/>
    <w:rsid w:val="00802D40"/>
    <w:rsid w:val="00802F18"/>
    <w:rsid w:val="0080399A"/>
    <w:rsid w:val="00803AF8"/>
    <w:rsid w:val="00803B67"/>
    <w:rsid w:val="00803C9B"/>
    <w:rsid w:val="00803CA0"/>
    <w:rsid w:val="00803EDC"/>
    <w:rsid w:val="008042A6"/>
    <w:rsid w:val="008044ED"/>
    <w:rsid w:val="00804FA0"/>
    <w:rsid w:val="00805272"/>
    <w:rsid w:val="008052E6"/>
    <w:rsid w:val="00806817"/>
    <w:rsid w:val="00806A87"/>
    <w:rsid w:val="00806CEE"/>
    <w:rsid w:val="00806DE4"/>
    <w:rsid w:val="008071E5"/>
    <w:rsid w:val="008073D1"/>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01"/>
    <w:rsid w:val="00814E5C"/>
    <w:rsid w:val="00814E84"/>
    <w:rsid w:val="00815327"/>
    <w:rsid w:val="008154B4"/>
    <w:rsid w:val="00815653"/>
    <w:rsid w:val="008162BC"/>
    <w:rsid w:val="008164AC"/>
    <w:rsid w:val="00816507"/>
    <w:rsid w:val="00816559"/>
    <w:rsid w:val="00816A50"/>
    <w:rsid w:val="00816E05"/>
    <w:rsid w:val="00817126"/>
    <w:rsid w:val="0081722A"/>
    <w:rsid w:val="00820047"/>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8A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0E7"/>
    <w:rsid w:val="00836159"/>
    <w:rsid w:val="008367DD"/>
    <w:rsid w:val="00836B9F"/>
    <w:rsid w:val="0083753C"/>
    <w:rsid w:val="00837604"/>
    <w:rsid w:val="00837824"/>
    <w:rsid w:val="00837E56"/>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39D6"/>
    <w:rsid w:val="0084442D"/>
    <w:rsid w:val="00844592"/>
    <w:rsid w:val="008457DE"/>
    <w:rsid w:val="00845801"/>
    <w:rsid w:val="00845B68"/>
    <w:rsid w:val="00845F84"/>
    <w:rsid w:val="008461A6"/>
    <w:rsid w:val="00846343"/>
    <w:rsid w:val="0084646F"/>
    <w:rsid w:val="008466A7"/>
    <w:rsid w:val="008469A2"/>
    <w:rsid w:val="00846E4A"/>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27C"/>
    <w:rsid w:val="008543B0"/>
    <w:rsid w:val="00854878"/>
    <w:rsid w:val="008549B0"/>
    <w:rsid w:val="008550EC"/>
    <w:rsid w:val="00855291"/>
    <w:rsid w:val="0085555F"/>
    <w:rsid w:val="00855708"/>
    <w:rsid w:val="00856009"/>
    <w:rsid w:val="00856137"/>
    <w:rsid w:val="0085666A"/>
    <w:rsid w:val="008567D0"/>
    <w:rsid w:val="00856839"/>
    <w:rsid w:val="00856A3F"/>
    <w:rsid w:val="00856A97"/>
    <w:rsid w:val="00856BB3"/>
    <w:rsid w:val="0085759B"/>
    <w:rsid w:val="00857B44"/>
    <w:rsid w:val="00857BAE"/>
    <w:rsid w:val="00857C1D"/>
    <w:rsid w:val="00860293"/>
    <w:rsid w:val="008604CD"/>
    <w:rsid w:val="008606A8"/>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C47"/>
    <w:rsid w:val="00864D9D"/>
    <w:rsid w:val="0086507C"/>
    <w:rsid w:val="00865127"/>
    <w:rsid w:val="008652D6"/>
    <w:rsid w:val="0086532A"/>
    <w:rsid w:val="0086538E"/>
    <w:rsid w:val="008655A2"/>
    <w:rsid w:val="008657E9"/>
    <w:rsid w:val="0086681A"/>
    <w:rsid w:val="00866EF7"/>
    <w:rsid w:val="0086717E"/>
    <w:rsid w:val="008675BB"/>
    <w:rsid w:val="00870310"/>
    <w:rsid w:val="00870515"/>
    <w:rsid w:val="008707A8"/>
    <w:rsid w:val="00870F48"/>
    <w:rsid w:val="008711D4"/>
    <w:rsid w:val="0087129C"/>
    <w:rsid w:val="00871627"/>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B7E"/>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87EBB"/>
    <w:rsid w:val="008906D2"/>
    <w:rsid w:val="00890F45"/>
    <w:rsid w:val="00891152"/>
    <w:rsid w:val="008917ED"/>
    <w:rsid w:val="00891A0D"/>
    <w:rsid w:val="00891C03"/>
    <w:rsid w:val="008920F8"/>
    <w:rsid w:val="0089365D"/>
    <w:rsid w:val="00893753"/>
    <w:rsid w:val="0089378A"/>
    <w:rsid w:val="00893E27"/>
    <w:rsid w:val="00893F02"/>
    <w:rsid w:val="00894997"/>
    <w:rsid w:val="00894B54"/>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5CF"/>
    <w:rsid w:val="008A5638"/>
    <w:rsid w:val="008A56DC"/>
    <w:rsid w:val="008A5C00"/>
    <w:rsid w:val="008A5DC5"/>
    <w:rsid w:val="008A6028"/>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BB2"/>
    <w:rsid w:val="008C0CAC"/>
    <w:rsid w:val="008C0ED6"/>
    <w:rsid w:val="008C166E"/>
    <w:rsid w:val="008C1FFB"/>
    <w:rsid w:val="008C21F1"/>
    <w:rsid w:val="008C2237"/>
    <w:rsid w:val="008C2902"/>
    <w:rsid w:val="008C3846"/>
    <w:rsid w:val="008C3E32"/>
    <w:rsid w:val="008C3F1D"/>
    <w:rsid w:val="008C45D3"/>
    <w:rsid w:val="008C47AC"/>
    <w:rsid w:val="008C4A1D"/>
    <w:rsid w:val="008C4BBB"/>
    <w:rsid w:val="008C4C65"/>
    <w:rsid w:val="008C4EC1"/>
    <w:rsid w:val="008C4ED5"/>
    <w:rsid w:val="008C52B9"/>
    <w:rsid w:val="008C5418"/>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49A"/>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263"/>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419"/>
    <w:rsid w:val="008E4A81"/>
    <w:rsid w:val="008E4F78"/>
    <w:rsid w:val="008E506D"/>
    <w:rsid w:val="008E5361"/>
    <w:rsid w:val="008E5707"/>
    <w:rsid w:val="008E59ED"/>
    <w:rsid w:val="008E5B03"/>
    <w:rsid w:val="008E5D3E"/>
    <w:rsid w:val="008E5E70"/>
    <w:rsid w:val="008E67E6"/>
    <w:rsid w:val="008E6CB7"/>
    <w:rsid w:val="008E6FA4"/>
    <w:rsid w:val="008E7025"/>
    <w:rsid w:val="008E72F4"/>
    <w:rsid w:val="008E747B"/>
    <w:rsid w:val="008E7BCF"/>
    <w:rsid w:val="008F00FF"/>
    <w:rsid w:val="008F0568"/>
    <w:rsid w:val="008F0656"/>
    <w:rsid w:val="008F09ED"/>
    <w:rsid w:val="008F0AEB"/>
    <w:rsid w:val="008F0E88"/>
    <w:rsid w:val="008F11E1"/>
    <w:rsid w:val="008F16A0"/>
    <w:rsid w:val="008F1A26"/>
    <w:rsid w:val="008F1B3C"/>
    <w:rsid w:val="008F1BCC"/>
    <w:rsid w:val="008F1ED1"/>
    <w:rsid w:val="008F2A74"/>
    <w:rsid w:val="008F2AA8"/>
    <w:rsid w:val="008F3187"/>
    <w:rsid w:val="008F38F5"/>
    <w:rsid w:val="008F420E"/>
    <w:rsid w:val="008F4689"/>
    <w:rsid w:val="008F4A21"/>
    <w:rsid w:val="008F4B15"/>
    <w:rsid w:val="008F4B44"/>
    <w:rsid w:val="008F4E72"/>
    <w:rsid w:val="008F4EAA"/>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815"/>
    <w:rsid w:val="008F7AC6"/>
    <w:rsid w:val="008F7C8F"/>
    <w:rsid w:val="008F7E27"/>
    <w:rsid w:val="008F7FDC"/>
    <w:rsid w:val="0090003D"/>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0CB"/>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8B6"/>
    <w:rsid w:val="00914F34"/>
    <w:rsid w:val="00915684"/>
    <w:rsid w:val="00915D91"/>
    <w:rsid w:val="00915DAF"/>
    <w:rsid w:val="00915FDA"/>
    <w:rsid w:val="00916153"/>
    <w:rsid w:val="00916162"/>
    <w:rsid w:val="00916364"/>
    <w:rsid w:val="00916791"/>
    <w:rsid w:val="0091695E"/>
    <w:rsid w:val="00916D34"/>
    <w:rsid w:val="00916E0F"/>
    <w:rsid w:val="00917231"/>
    <w:rsid w:val="00917A82"/>
    <w:rsid w:val="00917B9B"/>
    <w:rsid w:val="009206A4"/>
    <w:rsid w:val="009208C8"/>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A99"/>
    <w:rsid w:val="00926C2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5DB"/>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019"/>
    <w:rsid w:val="00944814"/>
    <w:rsid w:val="009459C8"/>
    <w:rsid w:val="00946C0B"/>
    <w:rsid w:val="00946F14"/>
    <w:rsid w:val="009471C0"/>
    <w:rsid w:val="00947A0B"/>
    <w:rsid w:val="00947A23"/>
    <w:rsid w:val="00947CB2"/>
    <w:rsid w:val="00947F63"/>
    <w:rsid w:val="00950194"/>
    <w:rsid w:val="00950227"/>
    <w:rsid w:val="00950D2E"/>
    <w:rsid w:val="00950D8C"/>
    <w:rsid w:val="00950E74"/>
    <w:rsid w:val="00951A39"/>
    <w:rsid w:val="00951A89"/>
    <w:rsid w:val="00951C4D"/>
    <w:rsid w:val="00951FB7"/>
    <w:rsid w:val="00952361"/>
    <w:rsid w:val="00952585"/>
    <w:rsid w:val="00952793"/>
    <w:rsid w:val="009532C4"/>
    <w:rsid w:val="009532E9"/>
    <w:rsid w:val="00953E12"/>
    <w:rsid w:val="00954046"/>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2"/>
    <w:rsid w:val="00956E4A"/>
    <w:rsid w:val="0095722C"/>
    <w:rsid w:val="0095759D"/>
    <w:rsid w:val="00957F6E"/>
    <w:rsid w:val="009609DC"/>
    <w:rsid w:val="00961097"/>
    <w:rsid w:val="009615AA"/>
    <w:rsid w:val="00961CE7"/>
    <w:rsid w:val="00962007"/>
    <w:rsid w:val="00962250"/>
    <w:rsid w:val="00962516"/>
    <w:rsid w:val="00962696"/>
    <w:rsid w:val="00962E57"/>
    <w:rsid w:val="00962EDB"/>
    <w:rsid w:val="00963019"/>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73C"/>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4EA"/>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020"/>
    <w:rsid w:val="009A4204"/>
    <w:rsid w:val="009A4374"/>
    <w:rsid w:val="009A489B"/>
    <w:rsid w:val="009A4C2B"/>
    <w:rsid w:val="009A4D33"/>
    <w:rsid w:val="009A4F06"/>
    <w:rsid w:val="009A5A06"/>
    <w:rsid w:val="009A5B1E"/>
    <w:rsid w:val="009A6158"/>
    <w:rsid w:val="009A68A7"/>
    <w:rsid w:val="009A68ED"/>
    <w:rsid w:val="009A69D7"/>
    <w:rsid w:val="009A6EF5"/>
    <w:rsid w:val="009A6FAC"/>
    <w:rsid w:val="009A7BBF"/>
    <w:rsid w:val="009A7DA6"/>
    <w:rsid w:val="009B0217"/>
    <w:rsid w:val="009B0246"/>
    <w:rsid w:val="009B0349"/>
    <w:rsid w:val="009B0DB0"/>
    <w:rsid w:val="009B0FC8"/>
    <w:rsid w:val="009B108A"/>
    <w:rsid w:val="009B13AB"/>
    <w:rsid w:val="009B17D8"/>
    <w:rsid w:val="009B1861"/>
    <w:rsid w:val="009B1A67"/>
    <w:rsid w:val="009B1DE8"/>
    <w:rsid w:val="009B2565"/>
    <w:rsid w:val="009B2896"/>
    <w:rsid w:val="009B2DE4"/>
    <w:rsid w:val="009B31F8"/>
    <w:rsid w:val="009B363E"/>
    <w:rsid w:val="009B379C"/>
    <w:rsid w:val="009B38F1"/>
    <w:rsid w:val="009B3D53"/>
    <w:rsid w:val="009B3F58"/>
    <w:rsid w:val="009B3F70"/>
    <w:rsid w:val="009B420C"/>
    <w:rsid w:val="009B53A3"/>
    <w:rsid w:val="009B5537"/>
    <w:rsid w:val="009B5552"/>
    <w:rsid w:val="009B59C8"/>
    <w:rsid w:val="009B5E62"/>
    <w:rsid w:val="009B7310"/>
    <w:rsid w:val="009C0273"/>
    <w:rsid w:val="009C0B24"/>
    <w:rsid w:val="009C0FDF"/>
    <w:rsid w:val="009C107C"/>
    <w:rsid w:val="009C14AD"/>
    <w:rsid w:val="009C180C"/>
    <w:rsid w:val="009C1975"/>
    <w:rsid w:val="009C19B1"/>
    <w:rsid w:val="009C1ACD"/>
    <w:rsid w:val="009C1BE2"/>
    <w:rsid w:val="009C1DA0"/>
    <w:rsid w:val="009C2105"/>
    <w:rsid w:val="009C23C9"/>
    <w:rsid w:val="009C2BB0"/>
    <w:rsid w:val="009C2D5F"/>
    <w:rsid w:val="009C31FD"/>
    <w:rsid w:val="009C38DB"/>
    <w:rsid w:val="009C3940"/>
    <w:rsid w:val="009C3C45"/>
    <w:rsid w:val="009C3DD7"/>
    <w:rsid w:val="009C4152"/>
    <w:rsid w:val="009C43BC"/>
    <w:rsid w:val="009C4447"/>
    <w:rsid w:val="009C4584"/>
    <w:rsid w:val="009C47A5"/>
    <w:rsid w:val="009C47F6"/>
    <w:rsid w:val="009C4ABC"/>
    <w:rsid w:val="009C68B7"/>
    <w:rsid w:val="009C6C02"/>
    <w:rsid w:val="009C7433"/>
    <w:rsid w:val="009C763D"/>
    <w:rsid w:val="009C79D5"/>
    <w:rsid w:val="009D009C"/>
    <w:rsid w:val="009D00E8"/>
    <w:rsid w:val="009D0730"/>
    <w:rsid w:val="009D07C6"/>
    <w:rsid w:val="009D0FDB"/>
    <w:rsid w:val="009D14DA"/>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4F65"/>
    <w:rsid w:val="009E5168"/>
    <w:rsid w:val="009E5484"/>
    <w:rsid w:val="009E59B3"/>
    <w:rsid w:val="009E5D65"/>
    <w:rsid w:val="009E5D8A"/>
    <w:rsid w:val="009E5FBC"/>
    <w:rsid w:val="009E615A"/>
    <w:rsid w:val="009E6346"/>
    <w:rsid w:val="009E65DE"/>
    <w:rsid w:val="009E689D"/>
    <w:rsid w:val="009E6C75"/>
    <w:rsid w:val="009E6D0B"/>
    <w:rsid w:val="009E70F6"/>
    <w:rsid w:val="009E7A12"/>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BB1"/>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34D"/>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9E"/>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4B9"/>
    <w:rsid w:val="00A10791"/>
    <w:rsid w:val="00A10B7D"/>
    <w:rsid w:val="00A12003"/>
    <w:rsid w:val="00A12877"/>
    <w:rsid w:val="00A13157"/>
    <w:rsid w:val="00A13B91"/>
    <w:rsid w:val="00A13D58"/>
    <w:rsid w:val="00A13DC6"/>
    <w:rsid w:val="00A13E10"/>
    <w:rsid w:val="00A14662"/>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7D8"/>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5CF3"/>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3EBF"/>
    <w:rsid w:val="00A34040"/>
    <w:rsid w:val="00A34184"/>
    <w:rsid w:val="00A3439A"/>
    <w:rsid w:val="00A3472F"/>
    <w:rsid w:val="00A3517C"/>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2E7"/>
    <w:rsid w:val="00A40320"/>
    <w:rsid w:val="00A404FC"/>
    <w:rsid w:val="00A405B4"/>
    <w:rsid w:val="00A40780"/>
    <w:rsid w:val="00A408D7"/>
    <w:rsid w:val="00A40C5C"/>
    <w:rsid w:val="00A40C7E"/>
    <w:rsid w:val="00A40DE7"/>
    <w:rsid w:val="00A410FB"/>
    <w:rsid w:val="00A413BE"/>
    <w:rsid w:val="00A414E1"/>
    <w:rsid w:val="00A419B4"/>
    <w:rsid w:val="00A41CC1"/>
    <w:rsid w:val="00A41E14"/>
    <w:rsid w:val="00A42297"/>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3"/>
    <w:rsid w:val="00A57517"/>
    <w:rsid w:val="00A57797"/>
    <w:rsid w:val="00A5788A"/>
    <w:rsid w:val="00A57AEF"/>
    <w:rsid w:val="00A605AB"/>
    <w:rsid w:val="00A6084C"/>
    <w:rsid w:val="00A60927"/>
    <w:rsid w:val="00A60B73"/>
    <w:rsid w:val="00A6157A"/>
    <w:rsid w:val="00A617DC"/>
    <w:rsid w:val="00A618E5"/>
    <w:rsid w:val="00A61A63"/>
    <w:rsid w:val="00A61DCF"/>
    <w:rsid w:val="00A62310"/>
    <w:rsid w:val="00A6252B"/>
    <w:rsid w:val="00A62689"/>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8B4"/>
    <w:rsid w:val="00A73E04"/>
    <w:rsid w:val="00A740A9"/>
    <w:rsid w:val="00A74334"/>
    <w:rsid w:val="00A748DF"/>
    <w:rsid w:val="00A74A1C"/>
    <w:rsid w:val="00A75954"/>
    <w:rsid w:val="00A75B81"/>
    <w:rsid w:val="00A75D45"/>
    <w:rsid w:val="00A75EBB"/>
    <w:rsid w:val="00A762B7"/>
    <w:rsid w:val="00A768B0"/>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012"/>
    <w:rsid w:val="00A863C2"/>
    <w:rsid w:val="00A8685A"/>
    <w:rsid w:val="00A8693F"/>
    <w:rsid w:val="00A86DBD"/>
    <w:rsid w:val="00A87108"/>
    <w:rsid w:val="00A903AB"/>
    <w:rsid w:val="00A90579"/>
    <w:rsid w:val="00A90E0B"/>
    <w:rsid w:val="00A90F12"/>
    <w:rsid w:val="00A90F30"/>
    <w:rsid w:val="00A9120A"/>
    <w:rsid w:val="00A9134B"/>
    <w:rsid w:val="00A91816"/>
    <w:rsid w:val="00A92188"/>
    <w:rsid w:val="00A922C3"/>
    <w:rsid w:val="00A924E7"/>
    <w:rsid w:val="00A92617"/>
    <w:rsid w:val="00A92AD7"/>
    <w:rsid w:val="00A92DE4"/>
    <w:rsid w:val="00A92EF9"/>
    <w:rsid w:val="00A93683"/>
    <w:rsid w:val="00A93D3A"/>
    <w:rsid w:val="00A93DD4"/>
    <w:rsid w:val="00A9436C"/>
    <w:rsid w:val="00A9463B"/>
    <w:rsid w:val="00A94D59"/>
    <w:rsid w:val="00A94F76"/>
    <w:rsid w:val="00A95050"/>
    <w:rsid w:val="00A954C1"/>
    <w:rsid w:val="00A956C4"/>
    <w:rsid w:val="00A95DB7"/>
    <w:rsid w:val="00A95F71"/>
    <w:rsid w:val="00A960CC"/>
    <w:rsid w:val="00A96162"/>
    <w:rsid w:val="00A97376"/>
    <w:rsid w:val="00A974EF"/>
    <w:rsid w:val="00A97A42"/>
    <w:rsid w:val="00A97E1E"/>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735"/>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BC5"/>
    <w:rsid w:val="00AC1D1E"/>
    <w:rsid w:val="00AC1FA4"/>
    <w:rsid w:val="00AC21DD"/>
    <w:rsid w:val="00AC2267"/>
    <w:rsid w:val="00AC2766"/>
    <w:rsid w:val="00AC34AD"/>
    <w:rsid w:val="00AC38A3"/>
    <w:rsid w:val="00AC41BD"/>
    <w:rsid w:val="00AC509C"/>
    <w:rsid w:val="00AC546D"/>
    <w:rsid w:val="00AC6A53"/>
    <w:rsid w:val="00AC6D4B"/>
    <w:rsid w:val="00AC722F"/>
    <w:rsid w:val="00AC723D"/>
    <w:rsid w:val="00AC7442"/>
    <w:rsid w:val="00AC74D5"/>
    <w:rsid w:val="00AC75DD"/>
    <w:rsid w:val="00AC786D"/>
    <w:rsid w:val="00AD08E4"/>
    <w:rsid w:val="00AD09CD"/>
    <w:rsid w:val="00AD0C5F"/>
    <w:rsid w:val="00AD0E72"/>
    <w:rsid w:val="00AD1351"/>
    <w:rsid w:val="00AD18EB"/>
    <w:rsid w:val="00AD1BD0"/>
    <w:rsid w:val="00AD1BDD"/>
    <w:rsid w:val="00AD1CF1"/>
    <w:rsid w:val="00AD28D8"/>
    <w:rsid w:val="00AD292C"/>
    <w:rsid w:val="00AD2C26"/>
    <w:rsid w:val="00AD2C63"/>
    <w:rsid w:val="00AD2E20"/>
    <w:rsid w:val="00AD3BA8"/>
    <w:rsid w:val="00AD3CF4"/>
    <w:rsid w:val="00AD421F"/>
    <w:rsid w:val="00AD4EE4"/>
    <w:rsid w:val="00AD5115"/>
    <w:rsid w:val="00AD5B70"/>
    <w:rsid w:val="00AD60A8"/>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A3"/>
    <w:rsid w:val="00AE62DD"/>
    <w:rsid w:val="00AE6C51"/>
    <w:rsid w:val="00AE702D"/>
    <w:rsid w:val="00AE70EE"/>
    <w:rsid w:val="00AE7998"/>
    <w:rsid w:val="00AE7BA5"/>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3F8"/>
    <w:rsid w:val="00AF47B7"/>
    <w:rsid w:val="00AF4B0A"/>
    <w:rsid w:val="00AF4C83"/>
    <w:rsid w:val="00AF5239"/>
    <w:rsid w:val="00AF54E8"/>
    <w:rsid w:val="00AF5655"/>
    <w:rsid w:val="00AF56B7"/>
    <w:rsid w:val="00AF5C00"/>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556"/>
    <w:rsid w:val="00B03B72"/>
    <w:rsid w:val="00B03B94"/>
    <w:rsid w:val="00B03C56"/>
    <w:rsid w:val="00B03EC6"/>
    <w:rsid w:val="00B03F08"/>
    <w:rsid w:val="00B040B7"/>
    <w:rsid w:val="00B04572"/>
    <w:rsid w:val="00B047BC"/>
    <w:rsid w:val="00B056E0"/>
    <w:rsid w:val="00B05A38"/>
    <w:rsid w:val="00B061E6"/>
    <w:rsid w:val="00B062B9"/>
    <w:rsid w:val="00B06B71"/>
    <w:rsid w:val="00B06CFF"/>
    <w:rsid w:val="00B06D5B"/>
    <w:rsid w:val="00B06DE5"/>
    <w:rsid w:val="00B0755E"/>
    <w:rsid w:val="00B07A6A"/>
    <w:rsid w:val="00B07C2F"/>
    <w:rsid w:val="00B07CCD"/>
    <w:rsid w:val="00B10380"/>
    <w:rsid w:val="00B10569"/>
    <w:rsid w:val="00B109EF"/>
    <w:rsid w:val="00B10A0E"/>
    <w:rsid w:val="00B10A26"/>
    <w:rsid w:val="00B1157A"/>
    <w:rsid w:val="00B11689"/>
    <w:rsid w:val="00B1178A"/>
    <w:rsid w:val="00B12028"/>
    <w:rsid w:val="00B12153"/>
    <w:rsid w:val="00B12210"/>
    <w:rsid w:val="00B12F82"/>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5DF"/>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1688"/>
    <w:rsid w:val="00B3205F"/>
    <w:rsid w:val="00B3210C"/>
    <w:rsid w:val="00B3226B"/>
    <w:rsid w:val="00B32333"/>
    <w:rsid w:val="00B324CF"/>
    <w:rsid w:val="00B32536"/>
    <w:rsid w:val="00B32E8A"/>
    <w:rsid w:val="00B33530"/>
    <w:rsid w:val="00B34004"/>
    <w:rsid w:val="00B34521"/>
    <w:rsid w:val="00B34563"/>
    <w:rsid w:val="00B34780"/>
    <w:rsid w:val="00B348FD"/>
    <w:rsid w:val="00B349D7"/>
    <w:rsid w:val="00B34AA6"/>
    <w:rsid w:val="00B34DB8"/>
    <w:rsid w:val="00B352CB"/>
    <w:rsid w:val="00B35489"/>
    <w:rsid w:val="00B35595"/>
    <w:rsid w:val="00B35619"/>
    <w:rsid w:val="00B35D2F"/>
    <w:rsid w:val="00B35EC3"/>
    <w:rsid w:val="00B35F1F"/>
    <w:rsid w:val="00B36153"/>
    <w:rsid w:val="00B3626E"/>
    <w:rsid w:val="00B365EB"/>
    <w:rsid w:val="00B366ED"/>
    <w:rsid w:val="00B36C2B"/>
    <w:rsid w:val="00B36C34"/>
    <w:rsid w:val="00B36C5C"/>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4"/>
    <w:rsid w:val="00B41E67"/>
    <w:rsid w:val="00B426B1"/>
    <w:rsid w:val="00B426EB"/>
    <w:rsid w:val="00B4295F"/>
    <w:rsid w:val="00B42D42"/>
    <w:rsid w:val="00B43002"/>
    <w:rsid w:val="00B4322A"/>
    <w:rsid w:val="00B43925"/>
    <w:rsid w:val="00B43B09"/>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9F1"/>
    <w:rsid w:val="00B50AFA"/>
    <w:rsid w:val="00B51081"/>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351"/>
    <w:rsid w:val="00B5754F"/>
    <w:rsid w:val="00B576C2"/>
    <w:rsid w:val="00B57765"/>
    <w:rsid w:val="00B5795D"/>
    <w:rsid w:val="00B57D55"/>
    <w:rsid w:val="00B57E2D"/>
    <w:rsid w:val="00B601FF"/>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4F8"/>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17E"/>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30B"/>
    <w:rsid w:val="00B81969"/>
    <w:rsid w:val="00B81FF0"/>
    <w:rsid w:val="00B824B6"/>
    <w:rsid w:val="00B825A7"/>
    <w:rsid w:val="00B828A9"/>
    <w:rsid w:val="00B82BC2"/>
    <w:rsid w:val="00B837BA"/>
    <w:rsid w:val="00B8384D"/>
    <w:rsid w:val="00B83DA3"/>
    <w:rsid w:val="00B8427D"/>
    <w:rsid w:val="00B8467F"/>
    <w:rsid w:val="00B846A2"/>
    <w:rsid w:val="00B84B08"/>
    <w:rsid w:val="00B85178"/>
    <w:rsid w:val="00B85E4B"/>
    <w:rsid w:val="00B86635"/>
    <w:rsid w:val="00B86757"/>
    <w:rsid w:val="00B86F5D"/>
    <w:rsid w:val="00B87024"/>
    <w:rsid w:val="00B871BF"/>
    <w:rsid w:val="00B87683"/>
    <w:rsid w:val="00B9028A"/>
    <w:rsid w:val="00B903C1"/>
    <w:rsid w:val="00B906A9"/>
    <w:rsid w:val="00B90E9C"/>
    <w:rsid w:val="00B91067"/>
    <w:rsid w:val="00B91985"/>
    <w:rsid w:val="00B92648"/>
    <w:rsid w:val="00B92853"/>
    <w:rsid w:val="00B9314E"/>
    <w:rsid w:val="00B932B0"/>
    <w:rsid w:val="00B93386"/>
    <w:rsid w:val="00B9357D"/>
    <w:rsid w:val="00B9386E"/>
    <w:rsid w:val="00B941D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963"/>
    <w:rsid w:val="00BA3BDC"/>
    <w:rsid w:val="00BA3F3D"/>
    <w:rsid w:val="00BA4944"/>
    <w:rsid w:val="00BA4B18"/>
    <w:rsid w:val="00BA5324"/>
    <w:rsid w:val="00BA5389"/>
    <w:rsid w:val="00BA53F5"/>
    <w:rsid w:val="00BA5580"/>
    <w:rsid w:val="00BA5CB6"/>
    <w:rsid w:val="00BA63A5"/>
    <w:rsid w:val="00BA6578"/>
    <w:rsid w:val="00BA6B16"/>
    <w:rsid w:val="00BA6C7A"/>
    <w:rsid w:val="00BA6FC0"/>
    <w:rsid w:val="00BA7333"/>
    <w:rsid w:val="00BA782A"/>
    <w:rsid w:val="00BA7C2A"/>
    <w:rsid w:val="00BB082C"/>
    <w:rsid w:val="00BB096F"/>
    <w:rsid w:val="00BB1284"/>
    <w:rsid w:val="00BB171B"/>
    <w:rsid w:val="00BB1E58"/>
    <w:rsid w:val="00BB2441"/>
    <w:rsid w:val="00BB261A"/>
    <w:rsid w:val="00BB2D5C"/>
    <w:rsid w:val="00BB3798"/>
    <w:rsid w:val="00BB379E"/>
    <w:rsid w:val="00BB3BEE"/>
    <w:rsid w:val="00BB3FEF"/>
    <w:rsid w:val="00BB4179"/>
    <w:rsid w:val="00BB4248"/>
    <w:rsid w:val="00BB42C3"/>
    <w:rsid w:val="00BB50E6"/>
    <w:rsid w:val="00BB5677"/>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0AF"/>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640"/>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6D4E"/>
    <w:rsid w:val="00BD7012"/>
    <w:rsid w:val="00BD73EE"/>
    <w:rsid w:val="00BD752A"/>
    <w:rsid w:val="00BE02A8"/>
    <w:rsid w:val="00BE02AB"/>
    <w:rsid w:val="00BE09CA"/>
    <w:rsid w:val="00BE1022"/>
    <w:rsid w:val="00BE1301"/>
    <w:rsid w:val="00BE1EAF"/>
    <w:rsid w:val="00BE2171"/>
    <w:rsid w:val="00BE24A2"/>
    <w:rsid w:val="00BE2500"/>
    <w:rsid w:val="00BE2A2A"/>
    <w:rsid w:val="00BE2E2F"/>
    <w:rsid w:val="00BE3550"/>
    <w:rsid w:val="00BE3BB3"/>
    <w:rsid w:val="00BE4AB0"/>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916"/>
    <w:rsid w:val="00BF69E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9F8"/>
    <w:rsid w:val="00C02C20"/>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79D"/>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7C"/>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05"/>
    <w:rsid w:val="00C34680"/>
    <w:rsid w:val="00C3485B"/>
    <w:rsid w:val="00C3498D"/>
    <w:rsid w:val="00C34A1A"/>
    <w:rsid w:val="00C34C1C"/>
    <w:rsid w:val="00C34F55"/>
    <w:rsid w:val="00C35000"/>
    <w:rsid w:val="00C351CB"/>
    <w:rsid w:val="00C35BE1"/>
    <w:rsid w:val="00C36084"/>
    <w:rsid w:val="00C36619"/>
    <w:rsid w:val="00C36909"/>
    <w:rsid w:val="00C36E0C"/>
    <w:rsid w:val="00C36FAA"/>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3D8"/>
    <w:rsid w:val="00C4699E"/>
    <w:rsid w:val="00C46B60"/>
    <w:rsid w:val="00C46FE2"/>
    <w:rsid w:val="00C47A21"/>
    <w:rsid w:val="00C47BB4"/>
    <w:rsid w:val="00C47C9B"/>
    <w:rsid w:val="00C47F2E"/>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39A5"/>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6FEF"/>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1D2"/>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AF"/>
    <w:rsid w:val="00C66DE4"/>
    <w:rsid w:val="00C66F63"/>
    <w:rsid w:val="00C6773F"/>
    <w:rsid w:val="00C67B33"/>
    <w:rsid w:val="00C67B8C"/>
    <w:rsid w:val="00C7045B"/>
    <w:rsid w:val="00C706E2"/>
    <w:rsid w:val="00C70DC2"/>
    <w:rsid w:val="00C710B5"/>
    <w:rsid w:val="00C71367"/>
    <w:rsid w:val="00C7173C"/>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25"/>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CAB"/>
    <w:rsid w:val="00C92DE0"/>
    <w:rsid w:val="00C936F6"/>
    <w:rsid w:val="00C937B1"/>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C73"/>
    <w:rsid w:val="00CA4D65"/>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6B1"/>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A23"/>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B7D"/>
    <w:rsid w:val="00CD6EED"/>
    <w:rsid w:val="00CD6F5F"/>
    <w:rsid w:val="00CD7249"/>
    <w:rsid w:val="00CD741C"/>
    <w:rsid w:val="00CD78B2"/>
    <w:rsid w:val="00CD7991"/>
    <w:rsid w:val="00CD7AD6"/>
    <w:rsid w:val="00CD7D15"/>
    <w:rsid w:val="00CE0BEA"/>
    <w:rsid w:val="00CE0C0A"/>
    <w:rsid w:val="00CE0D14"/>
    <w:rsid w:val="00CE108C"/>
    <w:rsid w:val="00CE1202"/>
    <w:rsid w:val="00CE1204"/>
    <w:rsid w:val="00CE13E3"/>
    <w:rsid w:val="00CE1416"/>
    <w:rsid w:val="00CE170F"/>
    <w:rsid w:val="00CE20B8"/>
    <w:rsid w:val="00CE20D4"/>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6AA6"/>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3CB"/>
    <w:rsid w:val="00CF77EC"/>
    <w:rsid w:val="00CF79AC"/>
    <w:rsid w:val="00CF7B1E"/>
    <w:rsid w:val="00CF7DF1"/>
    <w:rsid w:val="00D00CC2"/>
    <w:rsid w:val="00D01287"/>
    <w:rsid w:val="00D02577"/>
    <w:rsid w:val="00D027CC"/>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6FE2"/>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6AC"/>
    <w:rsid w:val="00D1595E"/>
    <w:rsid w:val="00D15980"/>
    <w:rsid w:val="00D159C3"/>
    <w:rsid w:val="00D15C1D"/>
    <w:rsid w:val="00D15C7D"/>
    <w:rsid w:val="00D167AB"/>
    <w:rsid w:val="00D16A73"/>
    <w:rsid w:val="00D16FB7"/>
    <w:rsid w:val="00D17198"/>
    <w:rsid w:val="00D17C8E"/>
    <w:rsid w:val="00D17CA8"/>
    <w:rsid w:val="00D17E5C"/>
    <w:rsid w:val="00D2033C"/>
    <w:rsid w:val="00D2086D"/>
    <w:rsid w:val="00D20AD8"/>
    <w:rsid w:val="00D21196"/>
    <w:rsid w:val="00D212B9"/>
    <w:rsid w:val="00D21800"/>
    <w:rsid w:val="00D21928"/>
    <w:rsid w:val="00D21C91"/>
    <w:rsid w:val="00D21CC6"/>
    <w:rsid w:val="00D22B0A"/>
    <w:rsid w:val="00D22B4B"/>
    <w:rsid w:val="00D22CC8"/>
    <w:rsid w:val="00D23902"/>
    <w:rsid w:val="00D23E7D"/>
    <w:rsid w:val="00D23F5D"/>
    <w:rsid w:val="00D241A0"/>
    <w:rsid w:val="00D241DC"/>
    <w:rsid w:val="00D2427F"/>
    <w:rsid w:val="00D24625"/>
    <w:rsid w:val="00D24657"/>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8B"/>
    <w:rsid w:val="00D345AD"/>
    <w:rsid w:val="00D348C5"/>
    <w:rsid w:val="00D34C97"/>
    <w:rsid w:val="00D34D01"/>
    <w:rsid w:val="00D34EBD"/>
    <w:rsid w:val="00D35AEC"/>
    <w:rsid w:val="00D35EDE"/>
    <w:rsid w:val="00D360AD"/>
    <w:rsid w:val="00D36483"/>
    <w:rsid w:val="00D365B6"/>
    <w:rsid w:val="00D3683A"/>
    <w:rsid w:val="00D36947"/>
    <w:rsid w:val="00D36ED8"/>
    <w:rsid w:val="00D372C6"/>
    <w:rsid w:val="00D374B4"/>
    <w:rsid w:val="00D37738"/>
    <w:rsid w:val="00D37B75"/>
    <w:rsid w:val="00D37D3E"/>
    <w:rsid w:val="00D40681"/>
    <w:rsid w:val="00D407AA"/>
    <w:rsid w:val="00D413E2"/>
    <w:rsid w:val="00D4149F"/>
    <w:rsid w:val="00D419AA"/>
    <w:rsid w:val="00D41B37"/>
    <w:rsid w:val="00D41B6C"/>
    <w:rsid w:val="00D4200F"/>
    <w:rsid w:val="00D42260"/>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129"/>
    <w:rsid w:val="00D547A3"/>
    <w:rsid w:val="00D54DE4"/>
    <w:rsid w:val="00D554A7"/>
    <w:rsid w:val="00D556B3"/>
    <w:rsid w:val="00D55971"/>
    <w:rsid w:val="00D55D06"/>
    <w:rsid w:val="00D56434"/>
    <w:rsid w:val="00D566D6"/>
    <w:rsid w:val="00D56A74"/>
    <w:rsid w:val="00D57075"/>
    <w:rsid w:val="00D5711D"/>
    <w:rsid w:val="00D571A6"/>
    <w:rsid w:val="00D57390"/>
    <w:rsid w:val="00D60270"/>
    <w:rsid w:val="00D60518"/>
    <w:rsid w:val="00D60806"/>
    <w:rsid w:val="00D60AC2"/>
    <w:rsid w:val="00D60B80"/>
    <w:rsid w:val="00D60E2E"/>
    <w:rsid w:val="00D61236"/>
    <w:rsid w:val="00D6185D"/>
    <w:rsid w:val="00D61969"/>
    <w:rsid w:val="00D61BD5"/>
    <w:rsid w:val="00D61F4F"/>
    <w:rsid w:val="00D62771"/>
    <w:rsid w:val="00D628D2"/>
    <w:rsid w:val="00D633C6"/>
    <w:rsid w:val="00D638B8"/>
    <w:rsid w:val="00D64275"/>
    <w:rsid w:val="00D651A4"/>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10"/>
    <w:rsid w:val="00D71148"/>
    <w:rsid w:val="00D71764"/>
    <w:rsid w:val="00D71D6E"/>
    <w:rsid w:val="00D721C5"/>
    <w:rsid w:val="00D72554"/>
    <w:rsid w:val="00D72DA2"/>
    <w:rsid w:val="00D731E1"/>
    <w:rsid w:val="00D73FE9"/>
    <w:rsid w:val="00D73FF9"/>
    <w:rsid w:val="00D741E4"/>
    <w:rsid w:val="00D7429A"/>
    <w:rsid w:val="00D749EA"/>
    <w:rsid w:val="00D74A22"/>
    <w:rsid w:val="00D750E8"/>
    <w:rsid w:val="00D752C7"/>
    <w:rsid w:val="00D75333"/>
    <w:rsid w:val="00D75605"/>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C8D"/>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310"/>
    <w:rsid w:val="00D875EA"/>
    <w:rsid w:val="00D87DF1"/>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0EE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51F"/>
    <w:rsid w:val="00DA4881"/>
    <w:rsid w:val="00DA4F57"/>
    <w:rsid w:val="00DA517F"/>
    <w:rsid w:val="00DA56DF"/>
    <w:rsid w:val="00DA59F4"/>
    <w:rsid w:val="00DA61EA"/>
    <w:rsid w:val="00DA6415"/>
    <w:rsid w:val="00DA6776"/>
    <w:rsid w:val="00DA6EDE"/>
    <w:rsid w:val="00DA71EE"/>
    <w:rsid w:val="00DA72EE"/>
    <w:rsid w:val="00DA7A12"/>
    <w:rsid w:val="00DB07B7"/>
    <w:rsid w:val="00DB0840"/>
    <w:rsid w:val="00DB092E"/>
    <w:rsid w:val="00DB098C"/>
    <w:rsid w:val="00DB09E6"/>
    <w:rsid w:val="00DB11EB"/>
    <w:rsid w:val="00DB1529"/>
    <w:rsid w:val="00DB171E"/>
    <w:rsid w:val="00DB1D70"/>
    <w:rsid w:val="00DB28CB"/>
    <w:rsid w:val="00DB2DCE"/>
    <w:rsid w:val="00DB2E86"/>
    <w:rsid w:val="00DB343F"/>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1BD"/>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777"/>
    <w:rsid w:val="00DC388A"/>
    <w:rsid w:val="00DC392B"/>
    <w:rsid w:val="00DC3D79"/>
    <w:rsid w:val="00DC49A2"/>
    <w:rsid w:val="00DC4A88"/>
    <w:rsid w:val="00DC507F"/>
    <w:rsid w:val="00DC51AD"/>
    <w:rsid w:val="00DC5DB1"/>
    <w:rsid w:val="00DC6261"/>
    <w:rsid w:val="00DC64E4"/>
    <w:rsid w:val="00DC68F4"/>
    <w:rsid w:val="00DC756D"/>
    <w:rsid w:val="00DC7643"/>
    <w:rsid w:val="00DC772B"/>
    <w:rsid w:val="00DD0296"/>
    <w:rsid w:val="00DD0419"/>
    <w:rsid w:val="00DD093C"/>
    <w:rsid w:val="00DD0BCF"/>
    <w:rsid w:val="00DD0C20"/>
    <w:rsid w:val="00DD0CC8"/>
    <w:rsid w:val="00DD0D44"/>
    <w:rsid w:val="00DD0F7A"/>
    <w:rsid w:val="00DD112A"/>
    <w:rsid w:val="00DD2631"/>
    <w:rsid w:val="00DD264C"/>
    <w:rsid w:val="00DD28A6"/>
    <w:rsid w:val="00DD2941"/>
    <w:rsid w:val="00DD2B06"/>
    <w:rsid w:val="00DD30F8"/>
    <w:rsid w:val="00DD3651"/>
    <w:rsid w:val="00DD398E"/>
    <w:rsid w:val="00DD3C0A"/>
    <w:rsid w:val="00DD4622"/>
    <w:rsid w:val="00DD4BCC"/>
    <w:rsid w:val="00DD4C8F"/>
    <w:rsid w:val="00DD4CFA"/>
    <w:rsid w:val="00DD5886"/>
    <w:rsid w:val="00DD59CE"/>
    <w:rsid w:val="00DD5B15"/>
    <w:rsid w:val="00DD5B32"/>
    <w:rsid w:val="00DD5DA9"/>
    <w:rsid w:val="00DD5FE3"/>
    <w:rsid w:val="00DD5FED"/>
    <w:rsid w:val="00DD6288"/>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DC"/>
    <w:rsid w:val="00DE31F3"/>
    <w:rsid w:val="00DE3352"/>
    <w:rsid w:val="00DE3361"/>
    <w:rsid w:val="00DE3463"/>
    <w:rsid w:val="00DE3480"/>
    <w:rsid w:val="00DE3506"/>
    <w:rsid w:val="00DE4358"/>
    <w:rsid w:val="00DE45B2"/>
    <w:rsid w:val="00DE48AC"/>
    <w:rsid w:val="00DE4D33"/>
    <w:rsid w:val="00DE4DB3"/>
    <w:rsid w:val="00DE4E7A"/>
    <w:rsid w:val="00DE4FB4"/>
    <w:rsid w:val="00DE5573"/>
    <w:rsid w:val="00DE62CE"/>
    <w:rsid w:val="00DE63DC"/>
    <w:rsid w:val="00DE6538"/>
    <w:rsid w:val="00DE6A7C"/>
    <w:rsid w:val="00DE6B8B"/>
    <w:rsid w:val="00DE7BE8"/>
    <w:rsid w:val="00DE7F13"/>
    <w:rsid w:val="00DE7F94"/>
    <w:rsid w:val="00DF0548"/>
    <w:rsid w:val="00DF08CB"/>
    <w:rsid w:val="00DF1AEC"/>
    <w:rsid w:val="00DF1CF1"/>
    <w:rsid w:val="00DF21E2"/>
    <w:rsid w:val="00DF26FF"/>
    <w:rsid w:val="00DF2A6B"/>
    <w:rsid w:val="00DF2F47"/>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5"/>
    <w:rsid w:val="00DF689D"/>
    <w:rsid w:val="00DF7266"/>
    <w:rsid w:val="00E00371"/>
    <w:rsid w:val="00E007DB"/>
    <w:rsid w:val="00E0085E"/>
    <w:rsid w:val="00E00C45"/>
    <w:rsid w:val="00E00C6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5DB"/>
    <w:rsid w:val="00E23A12"/>
    <w:rsid w:val="00E24089"/>
    <w:rsid w:val="00E24343"/>
    <w:rsid w:val="00E2468F"/>
    <w:rsid w:val="00E248A7"/>
    <w:rsid w:val="00E24A36"/>
    <w:rsid w:val="00E254A8"/>
    <w:rsid w:val="00E255C1"/>
    <w:rsid w:val="00E25943"/>
    <w:rsid w:val="00E25B70"/>
    <w:rsid w:val="00E26024"/>
    <w:rsid w:val="00E26249"/>
    <w:rsid w:val="00E2670C"/>
    <w:rsid w:val="00E26760"/>
    <w:rsid w:val="00E269BF"/>
    <w:rsid w:val="00E26C94"/>
    <w:rsid w:val="00E27057"/>
    <w:rsid w:val="00E27180"/>
    <w:rsid w:val="00E27270"/>
    <w:rsid w:val="00E27BD9"/>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5B3"/>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4BDD"/>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1DF"/>
    <w:rsid w:val="00E5420A"/>
    <w:rsid w:val="00E5441E"/>
    <w:rsid w:val="00E54441"/>
    <w:rsid w:val="00E54CD3"/>
    <w:rsid w:val="00E5502F"/>
    <w:rsid w:val="00E5605E"/>
    <w:rsid w:val="00E56B21"/>
    <w:rsid w:val="00E56CB6"/>
    <w:rsid w:val="00E56E37"/>
    <w:rsid w:val="00E57026"/>
    <w:rsid w:val="00E5702F"/>
    <w:rsid w:val="00E606E1"/>
    <w:rsid w:val="00E60A7D"/>
    <w:rsid w:val="00E60AF0"/>
    <w:rsid w:val="00E60C28"/>
    <w:rsid w:val="00E61AD1"/>
    <w:rsid w:val="00E62004"/>
    <w:rsid w:val="00E6219A"/>
    <w:rsid w:val="00E6222D"/>
    <w:rsid w:val="00E62CE5"/>
    <w:rsid w:val="00E630B3"/>
    <w:rsid w:val="00E63311"/>
    <w:rsid w:val="00E63E2E"/>
    <w:rsid w:val="00E63EBF"/>
    <w:rsid w:val="00E642A5"/>
    <w:rsid w:val="00E6492C"/>
    <w:rsid w:val="00E65129"/>
    <w:rsid w:val="00E65232"/>
    <w:rsid w:val="00E65330"/>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489"/>
    <w:rsid w:val="00E7250A"/>
    <w:rsid w:val="00E727F6"/>
    <w:rsid w:val="00E72951"/>
    <w:rsid w:val="00E7296F"/>
    <w:rsid w:val="00E72D6B"/>
    <w:rsid w:val="00E72DB2"/>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2F1"/>
    <w:rsid w:val="00E81C2C"/>
    <w:rsid w:val="00E81CBA"/>
    <w:rsid w:val="00E81F03"/>
    <w:rsid w:val="00E82017"/>
    <w:rsid w:val="00E8217B"/>
    <w:rsid w:val="00E8281C"/>
    <w:rsid w:val="00E82D6C"/>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30"/>
    <w:rsid w:val="00E87C4C"/>
    <w:rsid w:val="00E9045A"/>
    <w:rsid w:val="00E909AA"/>
    <w:rsid w:val="00E90C2E"/>
    <w:rsid w:val="00E90C65"/>
    <w:rsid w:val="00E90CFA"/>
    <w:rsid w:val="00E91162"/>
    <w:rsid w:val="00E912DD"/>
    <w:rsid w:val="00E9178F"/>
    <w:rsid w:val="00E918CE"/>
    <w:rsid w:val="00E91FC8"/>
    <w:rsid w:val="00E92346"/>
    <w:rsid w:val="00E923C2"/>
    <w:rsid w:val="00E9241A"/>
    <w:rsid w:val="00E925C6"/>
    <w:rsid w:val="00E925F1"/>
    <w:rsid w:val="00E92714"/>
    <w:rsid w:val="00E92749"/>
    <w:rsid w:val="00E92849"/>
    <w:rsid w:val="00E92B91"/>
    <w:rsid w:val="00E92BD4"/>
    <w:rsid w:val="00E92F29"/>
    <w:rsid w:val="00E935D5"/>
    <w:rsid w:val="00E937FC"/>
    <w:rsid w:val="00E93997"/>
    <w:rsid w:val="00E93F8D"/>
    <w:rsid w:val="00E94862"/>
    <w:rsid w:val="00E94B2A"/>
    <w:rsid w:val="00E94E6B"/>
    <w:rsid w:val="00E952AB"/>
    <w:rsid w:val="00E95729"/>
    <w:rsid w:val="00E95E93"/>
    <w:rsid w:val="00E9622F"/>
    <w:rsid w:val="00E965C1"/>
    <w:rsid w:val="00E96A53"/>
    <w:rsid w:val="00E96BAF"/>
    <w:rsid w:val="00E96CCB"/>
    <w:rsid w:val="00E96EBA"/>
    <w:rsid w:val="00E96FAD"/>
    <w:rsid w:val="00E96FAE"/>
    <w:rsid w:val="00E975D8"/>
    <w:rsid w:val="00E977D6"/>
    <w:rsid w:val="00E97E78"/>
    <w:rsid w:val="00EA009E"/>
    <w:rsid w:val="00EA0A2B"/>
    <w:rsid w:val="00EA1314"/>
    <w:rsid w:val="00EA148E"/>
    <w:rsid w:val="00EA14C6"/>
    <w:rsid w:val="00EA16F8"/>
    <w:rsid w:val="00EA17BF"/>
    <w:rsid w:val="00EA19E2"/>
    <w:rsid w:val="00EA1AE4"/>
    <w:rsid w:val="00EA1BD2"/>
    <w:rsid w:val="00EA1C9D"/>
    <w:rsid w:val="00EA1CF4"/>
    <w:rsid w:val="00EA1DF1"/>
    <w:rsid w:val="00EA1EA5"/>
    <w:rsid w:val="00EA23DF"/>
    <w:rsid w:val="00EA26BA"/>
    <w:rsid w:val="00EA274D"/>
    <w:rsid w:val="00EA278D"/>
    <w:rsid w:val="00EA2882"/>
    <w:rsid w:val="00EA2C74"/>
    <w:rsid w:val="00EA2CA5"/>
    <w:rsid w:val="00EA30F7"/>
    <w:rsid w:val="00EA36F3"/>
    <w:rsid w:val="00EA3A0A"/>
    <w:rsid w:val="00EA401D"/>
    <w:rsid w:val="00EA4D3A"/>
    <w:rsid w:val="00EA53A8"/>
    <w:rsid w:val="00EA5755"/>
    <w:rsid w:val="00EA57D3"/>
    <w:rsid w:val="00EA5D58"/>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2C6"/>
    <w:rsid w:val="00EB4A0C"/>
    <w:rsid w:val="00EB54A4"/>
    <w:rsid w:val="00EB5B11"/>
    <w:rsid w:val="00EB5D1F"/>
    <w:rsid w:val="00EB5E5C"/>
    <w:rsid w:val="00EB69D3"/>
    <w:rsid w:val="00EB6A09"/>
    <w:rsid w:val="00EB6AC2"/>
    <w:rsid w:val="00EB6BB2"/>
    <w:rsid w:val="00EB6DBB"/>
    <w:rsid w:val="00EB7260"/>
    <w:rsid w:val="00EB7443"/>
    <w:rsid w:val="00EB776D"/>
    <w:rsid w:val="00EB7F9E"/>
    <w:rsid w:val="00EC0743"/>
    <w:rsid w:val="00EC09A7"/>
    <w:rsid w:val="00EC09DC"/>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47BD"/>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DE2"/>
    <w:rsid w:val="00ED16D3"/>
    <w:rsid w:val="00ED176B"/>
    <w:rsid w:val="00ED1BE2"/>
    <w:rsid w:val="00ED1F09"/>
    <w:rsid w:val="00ED1F9C"/>
    <w:rsid w:val="00ED1FAA"/>
    <w:rsid w:val="00ED1FF4"/>
    <w:rsid w:val="00ED2142"/>
    <w:rsid w:val="00ED223D"/>
    <w:rsid w:val="00ED23E3"/>
    <w:rsid w:val="00ED23F0"/>
    <w:rsid w:val="00ED2751"/>
    <w:rsid w:val="00ED2F85"/>
    <w:rsid w:val="00ED32A8"/>
    <w:rsid w:val="00ED3A66"/>
    <w:rsid w:val="00ED3F71"/>
    <w:rsid w:val="00ED43A4"/>
    <w:rsid w:val="00ED4D57"/>
    <w:rsid w:val="00ED4DD6"/>
    <w:rsid w:val="00ED4E49"/>
    <w:rsid w:val="00ED502C"/>
    <w:rsid w:val="00ED55FB"/>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AF8"/>
    <w:rsid w:val="00EE3CB0"/>
    <w:rsid w:val="00EE44D7"/>
    <w:rsid w:val="00EE4C40"/>
    <w:rsid w:val="00EE4F71"/>
    <w:rsid w:val="00EE5202"/>
    <w:rsid w:val="00EE5F34"/>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339"/>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C7B"/>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944"/>
    <w:rsid w:val="00F05EEB"/>
    <w:rsid w:val="00F0602F"/>
    <w:rsid w:val="00F064E2"/>
    <w:rsid w:val="00F064E3"/>
    <w:rsid w:val="00F065E9"/>
    <w:rsid w:val="00F0678E"/>
    <w:rsid w:val="00F0684A"/>
    <w:rsid w:val="00F06D3D"/>
    <w:rsid w:val="00F06F8F"/>
    <w:rsid w:val="00F0700D"/>
    <w:rsid w:val="00F07068"/>
    <w:rsid w:val="00F07920"/>
    <w:rsid w:val="00F07A2F"/>
    <w:rsid w:val="00F07F91"/>
    <w:rsid w:val="00F07FE8"/>
    <w:rsid w:val="00F1024C"/>
    <w:rsid w:val="00F10A66"/>
    <w:rsid w:val="00F10E0C"/>
    <w:rsid w:val="00F11408"/>
    <w:rsid w:val="00F11637"/>
    <w:rsid w:val="00F116EB"/>
    <w:rsid w:val="00F11A09"/>
    <w:rsid w:val="00F11E8D"/>
    <w:rsid w:val="00F11F0B"/>
    <w:rsid w:val="00F1227A"/>
    <w:rsid w:val="00F1243A"/>
    <w:rsid w:val="00F124D6"/>
    <w:rsid w:val="00F12B05"/>
    <w:rsid w:val="00F12D0D"/>
    <w:rsid w:val="00F12FA2"/>
    <w:rsid w:val="00F13023"/>
    <w:rsid w:val="00F13339"/>
    <w:rsid w:val="00F13465"/>
    <w:rsid w:val="00F14795"/>
    <w:rsid w:val="00F150F0"/>
    <w:rsid w:val="00F152D4"/>
    <w:rsid w:val="00F154C1"/>
    <w:rsid w:val="00F15703"/>
    <w:rsid w:val="00F15A6B"/>
    <w:rsid w:val="00F15ACC"/>
    <w:rsid w:val="00F15AE6"/>
    <w:rsid w:val="00F15B04"/>
    <w:rsid w:val="00F167B6"/>
    <w:rsid w:val="00F1690D"/>
    <w:rsid w:val="00F16B9B"/>
    <w:rsid w:val="00F16D07"/>
    <w:rsid w:val="00F16D1F"/>
    <w:rsid w:val="00F16EEF"/>
    <w:rsid w:val="00F17333"/>
    <w:rsid w:val="00F1778C"/>
    <w:rsid w:val="00F20181"/>
    <w:rsid w:val="00F206F5"/>
    <w:rsid w:val="00F2082B"/>
    <w:rsid w:val="00F21083"/>
    <w:rsid w:val="00F211A7"/>
    <w:rsid w:val="00F214D7"/>
    <w:rsid w:val="00F215BA"/>
    <w:rsid w:val="00F21812"/>
    <w:rsid w:val="00F21919"/>
    <w:rsid w:val="00F21B12"/>
    <w:rsid w:val="00F21BC2"/>
    <w:rsid w:val="00F21C25"/>
    <w:rsid w:val="00F21D24"/>
    <w:rsid w:val="00F21E1A"/>
    <w:rsid w:val="00F21EDF"/>
    <w:rsid w:val="00F22235"/>
    <w:rsid w:val="00F22673"/>
    <w:rsid w:val="00F22697"/>
    <w:rsid w:val="00F22EB8"/>
    <w:rsid w:val="00F22F3E"/>
    <w:rsid w:val="00F2312D"/>
    <w:rsid w:val="00F23387"/>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2B"/>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64D"/>
    <w:rsid w:val="00F57754"/>
    <w:rsid w:val="00F57EA6"/>
    <w:rsid w:val="00F60F72"/>
    <w:rsid w:val="00F61012"/>
    <w:rsid w:val="00F61311"/>
    <w:rsid w:val="00F62238"/>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30"/>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3F37"/>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2E1F"/>
    <w:rsid w:val="00F8302D"/>
    <w:rsid w:val="00F831D8"/>
    <w:rsid w:val="00F836BB"/>
    <w:rsid w:val="00F83972"/>
    <w:rsid w:val="00F83EB5"/>
    <w:rsid w:val="00F842EC"/>
    <w:rsid w:val="00F84E25"/>
    <w:rsid w:val="00F8518C"/>
    <w:rsid w:val="00F853C6"/>
    <w:rsid w:val="00F85DCD"/>
    <w:rsid w:val="00F86AC8"/>
    <w:rsid w:val="00F86CAE"/>
    <w:rsid w:val="00F87042"/>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1DC3"/>
    <w:rsid w:val="00FB2697"/>
    <w:rsid w:val="00FB2B5A"/>
    <w:rsid w:val="00FB2B91"/>
    <w:rsid w:val="00FB2BA9"/>
    <w:rsid w:val="00FB3109"/>
    <w:rsid w:val="00FB31F1"/>
    <w:rsid w:val="00FB3272"/>
    <w:rsid w:val="00FB3297"/>
    <w:rsid w:val="00FB32FD"/>
    <w:rsid w:val="00FB3871"/>
    <w:rsid w:val="00FB3DAC"/>
    <w:rsid w:val="00FB4564"/>
    <w:rsid w:val="00FB457D"/>
    <w:rsid w:val="00FB52B8"/>
    <w:rsid w:val="00FB5410"/>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857"/>
    <w:rsid w:val="00FC294E"/>
    <w:rsid w:val="00FC318D"/>
    <w:rsid w:val="00FC3F6D"/>
    <w:rsid w:val="00FC44C1"/>
    <w:rsid w:val="00FC45C8"/>
    <w:rsid w:val="00FC4600"/>
    <w:rsid w:val="00FC4841"/>
    <w:rsid w:val="00FC4A86"/>
    <w:rsid w:val="00FC4B4C"/>
    <w:rsid w:val="00FC5473"/>
    <w:rsid w:val="00FC5B29"/>
    <w:rsid w:val="00FC5F33"/>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BD1"/>
    <w:rsid w:val="00FD0F0A"/>
    <w:rsid w:val="00FD1299"/>
    <w:rsid w:val="00FD12A0"/>
    <w:rsid w:val="00FD14EA"/>
    <w:rsid w:val="00FD150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0EB1"/>
    <w:rsid w:val="00FE1076"/>
    <w:rsid w:val="00FE10AC"/>
    <w:rsid w:val="00FE1177"/>
    <w:rsid w:val="00FE121A"/>
    <w:rsid w:val="00FE18EE"/>
    <w:rsid w:val="00FE1AE2"/>
    <w:rsid w:val="00FE2387"/>
    <w:rsid w:val="00FE32A2"/>
    <w:rsid w:val="00FE342A"/>
    <w:rsid w:val="00FE35EE"/>
    <w:rsid w:val="00FE38BC"/>
    <w:rsid w:val="00FE3ED6"/>
    <w:rsid w:val="00FE3F46"/>
    <w:rsid w:val="00FE3FEF"/>
    <w:rsid w:val="00FE529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70F"/>
    <w:rsid w:val="00FF59A8"/>
    <w:rsid w:val="00FF60BD"/>
    <w:rsid w:val="00FF6548"/>
    <w:rsid w:val="00FF6998"/>
    <w:rsid w:val="00FF75A0"/>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BB404"/>
  <w15:chartTrackingRefBased/>
  <w15:docId w15:val="{DBF34071-D83A-4401-8BD3-B84D83FC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link w:val="ListParagraphChar"/>
    <w:uiPriority w:val="34"/>
    <w:qFormat/>
    <w:rsid w:val="00D3458B"/>
    <w:pPr>
      <w:ind w:left="720"/>
      <w:contextualSpacing/>
    </w:pPr>
    <w:rPr>
      <w:rFonts w:ascii="Calibri" w:eastAsia="Calibri" w:hAnsi="Calibri"/>
      <w:lang w:val="en-US" w:eastAsia="en-US"/>
    </w:rPr>
  </w:style>
  <w:style w:type="character" w:customStyle="1" w:styleId="ListParagraphChar">
    <w:name w:val="List Paragraph Char"/>
    <w:link w:val="ListParagraph"/>
    <w:uiPriority w:val="34"/>
    <w:locked/>
    <w:rsid w:val="00D3458B"/>
    <w:rPr>
      <w:rFonts w:ascii="Calibri" w:eastAsia="Calibri" w:hAnsi="Calibri"/>
      <w:sz w:val="24"/>
      <w:szCs w:val="24"/>
      <w:lang w:val="en-US" w:eastAsia="en-US"/>
    </w:rPr>
  </w:style>
  <w:style w:type="character" w:styleId="UnresolvedMention">
    <w:name w:val="Unresolved Mention"/>
    <w:uiPriority w:val="99"/>
    <w:semiHidden/>
    <w:unhideWhenUsed/>
    <w:rsid w:val="005661FC"/>
    <w:rPr>
      <w:color w:val="605E5C"/>
      <w:shd w:val="clear" w:color="auto" w:fill="E1DFDD"/>
    </w:rPr>
  </w:style>
  <w:style w:type="paragraph" w:styleId="Revision">
    <w:name w:val="Revision"/>
    <w:hidden/>
    <w:uiPriority w:val="99"/>
    <w:semiHidden/>
    <w:rsid w:val="003625FE"/>
    <w:rPr>
      <w:sz w:val="24"/>
      <w:szCs w:val="24"/>
    </w:rPr>
  </w:style>
  <w:style w:type="paragraph" w:customStyle="1" w:styleId="ActHead7">
    <w:name w:val="ActHead 7"/>
    <w:aliases w:val="ap"/>
    <w:basedOn w:val="Normal"/>
    <w:next w:val="Normal"/>
    <w:qFormat/>
    <w:rsid w:val="00814E01"/>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814E01"/>
  </w:style>
  <w:style w:type="character" w:customStyle="1" w:styleId="CharAmPartText">
    <w:name w:val="CharAmPartText"/>
    <w:basedOn w:val="DefaultParagraphFont"/>
    <w:qFormat/>
    <w:rsid w:val="00814E01"/>
  </w:style>
  <w:style w:type="paragraph" w:customStyle="1" w:styleId="subsection">
    <w:name w:val="subsection"/>
    <w:aliases w:val="ss,Subsection"/>
    <w:basedOn w:val="Normal"/>
    <w:link w:val="subsectionChar"/>
    <w:rsid w:val="00413D1A"/>
    <w:pPr>
      <w:tabs>
        <w:tab w:val="right" w:pos="1021"/>
      </w:tabs>
      <w:spacing w:before="180"/>
      <w:ind w:left="1134" w:hanging="1134"/>
    </w:pPr>
    <w:rPr>
      <w:sz w:val="22"/>
      <w:szCs w:val="20"/>
    </w:rPr>
  </w:style>
  <w:style w:type="paragraph" w:customStyle="1" w:styleId="paragraph">
    <w:name w:val="paragraph"/>
    <w:aliases w:val="a"/>
    <w:basedOn w:val="Normal"/>
    <w:rsid w:val="00413D1A"/>
    <w:pPr>
      <w:tabs>
        <w:tab w:val="right" w:pos="1531"/>
      </w:tabs>
      <w:spacing w:before="40"/>
      <w:ind w:left="1644" w:hanging="1644"/>
    </w:pPr>
    <w:rPr>
      <w:sz w:val="22"/>
      <w:szCs w:val="20"/>
    </w:rPr>
  </w:style>
  <w:style w:type="character" w:customStyle="1" w:styleId="subsectionChar">
    <w:name w:val="subsection Char"/>
    <w:aliases w:val="ss Char"/>
    <w:link w:val="subsection"/>
    <w:locked/>
    <w:rsid w:val="00413D1A"/>
    <w:rPr>
      <w:sz w:val="22"/>
    </w:rPr>
  </w:style>
  <w:style w:type="paragraph" w:styleId="Header">
    <w:name w:val="header"/>
    <w:basedOn w:val="Normal"/>
    <w:link w:val="HeaderChar"/>
    <w:rsid w:val="00FF75A0"/>
    <w:pPr>
      <w:tabs>
        <w:tab w:val="center" w:pos="4513"/>
        <w:tab w:val="right" w:pos="9026"/>
      </w:tabs>
    </w:pPr>
  </w:style>
  <w:style w:type="character" w:customStyle="1" w:styleId="HeaderChar">
    <w:name w:val="Header Char"/>
    <w:link w:val="Header"/>
    <w:rsid w:val="00FF75A0"/>
    <w:rPr>
      <w:sz w:val="24"/>
      <w:szCs w:val="24"/>
    </w:rPr>
  </w:style>
  <w:style w:type="paragraph" w:styleId="Footer">
    <w:name w:val="footer"/>
    <w:basedOn w:val="Normal"/>
    <w:link w:val="FooterChar"/>
    <w:rsid w:val="00FF75A0"/>
    <w:pPr>
      <w:tabs>
        <w:tab w:val="center" w:pos="4513"/>
        <w:tab w:val="right" w:pos="9026"/>
      </w:tabs>
    </w:pPr>
  </w:style>
  <w:style w:type="character" w:customStyle="1" w:styleId="FooterChar">
    <w:name w:val="Footer Char"/>
    <w:link w:val="Footer"/>
    <w:rsid w:val="00FF75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36381">
      <w:bodyDiv w:val="1"/>
      <w:marLeft w:val="0"/>
      <w:marRight w:val="0"/>
      <w:marTop w:val="0"/>
      <w:marBottom w:val="0"/>
      <w:divBdr>
        <w:top w:val="none" w:sz="0" w:space="0" w:color="auto"/>
        <w:left w:val="none" w:sz="0" w:space="0" w:color="auto"/>
        <w:bottom w:val="none" w:sz="0" w:space="0" w:color="auto"/>
        <w:right w:val="none" w:sz="0" w:space="0" w:color="auto"/>
      </w:divBdr>
    </w:div>
    <w:div w:id="628777721">
      <w:bodyDiv w:val="1"/>
      <w:marLeft w:val="0"/>
      <w:marRight w:val="0"/>
      <w:marTop w:val="0"/>
      <w:marBottom w:val="0"/>
      <w:divBdr>
        <w:top w:val="none" w:sz="0" w:space="0" w:color="auto"/>
        <w:left w:val="none" w:sz="0" w:space="0" w:color="auto"/>
        <w:bottom w:val="none" w:sz="0" w:space="0" w:color="auto"/>
        <w:right w:val="none" w:sz="0" w:space="0" w:color="auto"/>
      </w:divBdr>
    </w:div>
    <w:div w:id="768696870">
      <w:bodyDiv w:val="1"/>
      <w:marLeft w:val="0"/>
      <w:marRight w:val="0"/>
      <w:marTop w:val="0"/>
      <w:marBottom w:val="0"/>
      <w:divBdr>
        <w:top w:val="none" w:sz="0" w:space="0" w:color="auto"/>
        <w:left w:val="none" w:sz="0" w:space="0" w:color="auto"/>
        <w:bottom w:val="none" w:sz="0" w:space="0" w:color="auto"/>
        <w:right w:val="none" w:sz="0" w:space="0" w:color="auto"/>
      </w:divBdr>
    </w:div>
    <w:div w:id="888145827">
      <w:bodyDiv w:val="1"/>
      <w:marLeft w:val="0"/>
      <w:marRight w:val="0"/>
      <w:marTop w:val="0"/>
      <w:marBottom w:val="0"/>
      <w:divBdr>
        <w:top w:val="none" w:sz="0" w:space="0" w:color="auto"/>
        <w:left w:val="none" w:sz="0" w:space="0" w:color="auto"/>
        <w:bottom w:val="none" w:sz="0" w:space="0" w:color="auto"/>
        <w:right w:val="none" w:sz="0" w:space="0" w:color="auto"/>
      </w:divBdr>
    </w:div>
    <w:div w:id="113582795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04177033">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85407782">
      <w:bodyDiv w:val="1"/>
      <w:marLeft w:val="0"/>
      <w:marRight w:val="0"/>
      <w:marTop w:val="0"/>
      <w:marBottom w:val="0"/>
      <w:divBdr>
        <w:top w:val="none" w:sz="0" w:space="0" w:color="auto"/>
        <w:left w:val="none" w:sz="0" w:space="0" w:color="auto"/>
        <w:bottom w:val="none" w:sz="0" w:space="0" w:color="auto"/>
        <w:right w:val="none" w:sz="0" w:space="0" w:color="auto"/>
      </w:divBdr>
    </w:div>
    <w:div w:id="1914586553">
      <w:bodyDiv w:val="1"/>
      <w:marLeft w:val="0"/>
      <w:marRight w:val="0"/>
      <w:marTop w:val="0"/>
      <w:marBottom w:val="0"/>
      <w:divBdr>
        <w:top w:val="none" w:sz="0" w:space="0" w:color="auto"/>
        <w:left w:val="none" w:sz="0" w:space="0" w:color="auto"/>
        <w:bottom w:val="none" w:sz="0" w:space="0" w:color="auto"/>
        <w:right w:val="none" w:sz="0" w:space="0" w:color="auto"/>
      </w:divBdr>
    </w:div>
    <w:div w:id="2108957765">
      <w:bodyDiv w:val="1"/>
      <w:marLeft w:val="0"/>
      <w:marRight w:val="0"/>
      <w:marTop w:val="0"/>
      <w:marBottom w:val="0"/>
      <w:divBdr>
        <w:top w:val="none" w:sz="0" w:space="0" w:color="auto"/>
        <w:left w:val="none" w:sz="0" w:space="0" w:color="auto"/>
        <w:bottom w:val="none" w:sz="0" w:space="0" w:color="auto"/>
        <w:right w:val="none" w:sz="0" w:space="0" w:color="auto"/>
      </w:divBdr>
    </w:div>
    <w:div w:id="21159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F22601F-7218-4890-A2B7-D389AD9766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9239AE3B148247B7B49DB638B70FF0" ma:contentTypeVersion="" ma:contentTypeDescription="PDMS Document Site Content Type" ma:contentTypeScope="" ma:versionID="9322d53526ee6e71aaf90c296bbf4e10">
  <xsd:schema xmlns:xsd="http://www.w3.org/2001/XMLSchema" xmlns:xs="http://www.w3.org/2001/XMLSchema" xmlns:p="http://schemas.microsoft.com/office/2006/metadata/properties" xmlns:ns2="3F22601F-7218-4890-A2B7-D389AD976645" targetNamespace="http://schemas.microsoft.com/office/2006/metadata/properties" ma:root="true" ma:fieldsID="261d719f7cad480e513a12d05c61a0aa" ns2:_="">
    <xsd:import namespace="3F22601F-7218-4890-A2B7-D389AD97664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2601F-7218-4890-A2B7-D389AD97664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B1AE-9DFD-442A-BA91-6CB925FBA4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F22601F-7218-4890-A2B7-D389AD976645"/>
    <ds:schemaRef ds:uri="http://www.w3.org/XML/1998/namespace"/>
    <ds:schemaRef ds:uri="http://purl.org/dc/dcmitype/"/>
  </ds:schemaRefs>
</ds:datastoreItem>
</file>

<file path=customXml/itemProps2.xml><?xml version="1.0" encoding="utf-8"?>
<ds:datastoreItem xmlns:ds="http://schemas.openxmlformats.org/officeDocument/2006/customXml" ds:itemID="{EAC25A93-225C-4C47-A796-F4670D347102}">
  <ds:schemaRefs>
    <ds:schemaRef ds:uri="http://schemas.openxmlformats.org/officeDocument/2006/bibliography"/>
  </ds:schemaRefs>
</ds:datastoreItem>
</file>

<file path=customXml/itemProps3.xml><?xml version="1.0" encoding="utf-8"?>
<ds:datastoreItem xmlns:ds="http://schemas.openxmlformats.org/officeDocument/2006/customXml" ds:itemID="{15850712-776B-4638-811E-A19F33CF14B7}">
  <ds:schemaRefs>
    <ds:schemaRef ds:uri="http://schemas.microsoft.com/office/2006/metadata/longProperties"/>
  </ds:schemaRefs>
</ds:datastoreItem>
</file>

<file path=customXml/itemProps4.xml><?xml version="1.0" encoding="utf-8"?>
<ds:datastoreItem xmlns:ds="http://schemas.openxmlformats.org/officeDocument/2006/customXml" ds:itemID="{2FE0DD51-6C69-40D4-BF8F-1461712B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2601F-7218-4890-A2B7-D389AD976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2D048-A072-4676-B05B-3BC6B2597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5278</Words>
  <Characters>28683</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CULLEN, Fionn</dc:creator>
  <cp:keywords/>
  <dc:description/>
  <cp:lastModifiedBy>GARNHAM, Katherine</cp:lastModifiedBy>
  <cp:revision>2</cp:revision>
  <cp:lastPrinted>2009-12-03T05:05:00Z</cp:lastPrinted>
  <dcterms:created xsi:type="dcterms:W3CDTF">2022-09-02T00:34:00Z</dcterms:created>
  <dcterms:modified xsi:type="dcterms:W3CDTF">2022-09-02T00:34:00Z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SecurityClassification">
    <vt:lpwstr/>
  </property>
  <property fmtid="{D5CDD505-2E9C-101B-9397-08002B2CF9AE}" pid="12" name="ContentTypeId">
    <vt:lpwstr>0x010100266966F133664895A6EE3632470D45F500599239AE3B148247B7B49DB638B70FF0</vt:lpwstr>
  </property>
</Properties>
</file>