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D2C22" w14:textId="77777777" w:rsidR="00955175" w:rsidRPr="00F215AF" w:rsidRDefault="00955175" w:rsidP="00E2168B">
      <w:pPr>
        <w:spacing w:before="280" w:after="240"/>
        <w:rPr>
          <w:b/>
          <w:sz w:val="32"/>
          <w:szCs w:val="32"/>
        </w:rPr>
      </w:pPr>
    </w:p>
    <w:p w14:paraId="34C30160" w14:textId="228EABA9" w:rsidR="00955175" w:rsidRPr="007F03BB" w:rsidRDefault="00F2625D" w:rsidP="00E2168B">
      <w:pPr>
        <w:spacing w:before="280" w:after="240"/>
        <w:rPr>
          <w:b/>
          <w:sz w:val="32"/>
          <w:szCs w:val="32"/>
        </w:rPr>
      </w:pPr>
      <w:r w:rsidRPr="007F03BB">
        <w:rPr>
          <w:noProof/>
        </w:rPr>
        <w:drawing>
          <wp:anchor distT="0" distB="0" distL="114300" distR="114300" simplePos="0" relativeHeight="251658240" behindDoc="0" locked="0" layoutInCell="1" allowOverlap="1" wp14:anchorId="15A76A7D" wp14:editId="6BD156C0">
            <wp:simplePos x="0" y="0"/>
            <wp:positionH relativeFrom="margin">
              <wp:align>center</wp:align>
            </wp:positionH>
            <wp:positionV relativeFrom="margin">
              <wp:align>top</wp:align>
            </wp:positionV>
            <wp:extent cx="3542030" cy="746760"/>
            <wp:effectExtent l="0" t="0" r="0" b="0"/>
            <wp:wrapSquare wrapText="bothSides"/>
            <wp:docPr id="3" name="Picture 3" descr="Australian Securities and Investments Commission logo and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Securities and Investments Commission logo and Commonwealth Coat of Arm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38187E5E" w14:textId="77777777" w:rsidR="00955175" w:rsidRPr="007F03BB" w:rsidRDefault="00955175" w:rsidP="00955175">
      <w:pPr>
        <w:pStyle w:val="LI-Title"/>
        <w:pBdr>
          <w:top w:val="none" w:sz="0" w:space="0" w:color="auto"/>
        </w:pBdr>
        <w:jc w:val="center"/>
      </w:pPr>
    </w:p>
    <w:p w14:paraId="1EB4A25C" w14:textId="77777777" w:rsidR="00955175" w:rsidRPr="007F03BB" w:rsidRDefault="00955175" w:rsidP="00955175">
      <w:pPr>
        <w:pStyle w:val="LI-Title"/>
        <w:pBdr>
          <w:top w:val="none" w:sz="0" w:space="0" w:color="auto"/>
        </w:pBdr>
        <w:jc w:val="center"/>
      </w:pPr>
      <w:r w:rsidRPr="007F03BB">
        <w:t>Explanatory Statement</w:t>
      </w:r>
    </w:p>
    <w:p w14:paraId="12C55E78" w14:textId="77777777" w:rsidR="00955175" w:rsidRPr="007F03BB" w:rsidRDefault="00955175" w:rsidP="00955175">
      <w:pPr>
        <w:rPr>
          <w:lang w:eastAsia="en-AU"/>
        </w:rPr>
      </w:pPr>
    </w:p>
    <w:p w14:paraId="33B8413D" w14:textId="77777777" w:rsidR="00BA2E44" w:rsidRPr="007F03BB" w:rsidRDefault="00265CE5" w:rsidP="00BA2E44">
      <w:pPr>
        <w:jc w:val="center"/>
        <w:rPr>
          <w:b/>
          <w:i/>
          <w:sz w:val="28"/>
          <w:szCs w:val="28"/>
          <w:lang w:eastAsia="en-AU"/>
        </w:rPr>
      </w:pPr>
      <w:bookmarkStart w:id="0" w:name="_Hlk79504200"/>
      <w:r w:rsidRPr="007F03BB">
        <w:rPr>
          <w:b/>
          <w:i/>
          <w:sz w:val="28"/>
          <w:szCs w:val="28"/>
          <w:lang w:eastAsia="en-AU"/>
        </w:rPr>
        <w:t>ASIC Corporations (</w:t>
      </w:r>
      <w:r w:rsidR="00D510AF" w:rsidRPr="007F03BB">
        <w:rPr>
          <w:b/>
          <w:i/>
          <w:sz w:val="28"/>
          <w:szCs w:val="28"/>
          <w:lang w:eastAsia="en-AU"/>
        </w:rPr>
        <w:t>Financial Requirements for Issuers of Retail OTC Derivatives</w:t>
      </w:r>
      <w:r w:rsidRPr="007F03BB">
        <w:rPr>
          <w:b/>
          <w:i/>
          <w:sz w:val="28"/>
          <w:szCs w:val="28"/>
          <w:lang w:eastAsia="en-AU"/>
        </w:rPr>
        <w:t>) Instrument 202</w:t>
      </w:r>
      <w:r w:rsidR="00D510AF" w:rsidRPr="007F03BB">
        <w:rPr>
          <w:b/>
          <w:i/>
          <w:sz w:val="28"/>
          <w:szCs w:val="28"/>
          <w:lang w:eastAsia="en-AU"/>
        </w:rPr>
        <w:t>2</w:t>
      </w:r>
      <w:r w:rsidRPr="007F03BB">
        <w:rPr>
          <w:b/>
          <w:i/>
          <w:sz w:val="28"/>
          <w:szCs w:val="28"/>
          <w:lang w:eastAsia="en-AU"/>
        </w:rPr>
        <w:t>/</w:t>
      </w:r>
      <w:r w:rsidR="008E6E8D" w:rsidRPr="007F03BB">
        <w:rPr>
          <w:b/>
          <w:i/>
          <w:sz w:val="28"/>
          <w:szCs w:val="28"/>
          <w:lang w:eastAsia="en-AU"/>
        </w:rPr>
        <w:t>70</w:t>
      </w:r>
      <w:r w:rsidR="001C56B9" w:rsidRPr="007F03BB">
        <w:rPr>
          <w:b/>
          <w:i/>
          <w:sz w:val="28"/>
          <w:szCs w:val="28"/>
          <w:lang w:eastAsia="en-AU"/>
        </w:rPr>
        <w:t>5</w:t>
      </w:r>
      <w:r w:rsidR="00752C8D" w:rsidRPr="007F03BB">
        <w:rPr>
          <w:b/>
          <w:i/>
          <w:sz w:val="28"/>
          <w:szCs w:val="28"/>
          <w:lang w:eastAsia="en-AU"/>
        </w:rPr>
        <w:t xml:space="preserve"> and </w:t>
      </w:r>
      <w:bookmarkStart w:id="1" w:name="_Hlk83646458"/>
      <w:r w:rsidR="00BA2E44" w:rsidRPr="007F03BB">
        <w:rPr>
          <w:b/>
          <w:i/>
          <w:sz w:val="28"/>
          <w:szCs w:val="28"/>
          <w:lang w:eastAsia="en-AU"/>
        </w:rPr>
        <w:t>ASIC Corporations (Repeal) Instrument 2022/</w:t>
      </w:r>
      <w:bookmarkEnd w:id="1"/>
      <w:r w:rsidR="00BA2E44" w:rsidRPr="007F03BB">
        <w:rPr>
          <w:b/>
          <w:i/>
          <w:sz w:val="28"/>
          <w:szCs w:val="28"/>
          <w:lang w:eastAsia="en-AU"/>
        </w:rPr>
        <w:t>704</w:t>
      </w:r>
    </w:p>
    <w:bookmarkEnd w:id="0"/>
    <w:p w14:paraId="38C5DA2A" w14:textId="7A39BD80" w:rsidR="00C4170B" w:rsidRPr="007F03BB" w:rsidRDefault="00C4170B" w:rsidP="00A80440">
      <w:pPr>
        <w:rPr>
          <w:b/>
          <w:i/>
          <w:sz w:val="28"/>
          <w:szCs w:val="28"/>
          <w:lang w:eastAsia="en-AU"/>
        </w:rPr>
      </w:pPr>
    </w:p>
    <w:p w14:paraId="194F5C6B" w14:textId="20800D6C" w:rsidR="00863657" w:rsidRPr="007F03BB" w:rsidRDefault="00F800C9" w:rsidP="00F800C9">
      <w:pPr>
        <w:pStyle w:val="LI-BodyTextParaa"/>
        <w:ind w:left="0" w:firstLine="0"/>
        <w:rPr>
          <w:bCs/>
        </w:rPr>
      </w:pPr>
      <w:bookmarkStart w:id="2" w:name="BK_S3P1L1C1"/>
      <w:bookmarkEnd w:id="2"/>
      <w:r w:rsidRPr="007F03BB">
        <w:t xml:space="preserve">This is the Explanatory Statement for </w:t>
      </w:r>
      <w:r w:rsidR="00265CE5" w:rsidRPr="007F03BB">
        <w:rPr>
          <w:i/>
          <w:iCs/>
        </w:rPr>
        <w:t>ASIC Corporations (</w:t>
      </w:r>
      <w:r w:rsidR="00FF13A2" w:rsidRPr="007F03BB">
        <w:rPr>
          <w:i/>
        </w:rPr>
        <w:t>Financial Requirements for Issuers of Retail OTC Derivatives</w:t>
      </w:r>
      <w:r w:rsidR="00265CE5" w:rsidRPr="007F03BB">
        <w:rPr>
          <w:i/>
          <w:iCs/>
        </w:rPr>
        <w:t>) Instrument 202</w:t>
      </w:r>
      <w:r w:rsidR="00D510AF" w:rsidRPr="007F03BB">
        <w:rPr>
          <w:i/>
          <w:iCs/>
        </w:rPr>
        <w:t>2</w:t>
      </w:r>
      <w:r w:rsidR="00265CE5" w:rsidRPr="007F03BB">
        <w:rPr>
          <w:i/>
          <w:iCs/>
        </w:rPr>
        <w:t>/</w:t>
      </w:r>
      <w:r w:rsidR="003B6D5B" w:rsidRPr="007F03BB">
        <w:rPr>
          <w:i/>
          <w:iCs/>
        </w:rPr>
        <w:t>705</w:t>
      </w:r>
      <w:r w:rsidR="004969C3" w:rsidRPr="007F03BB">
        <w:rPr>
          <w:i/>
          <w:iCs/>
        </w:rPr>
        <w:t xml:space="preserve"> </w:t>
      </w:r>
      <w:r w:rsidR="004969C3" w:rsidRPr="007F03BB">
        <w:t xml:space="preserve">(the </w:t>
      </w:r>
      <w:r w:rsidR="004969C3" w:rsidRPr="007F03BB">
        <w:rPr>
          <w:b/>
          <w:bCs/>
        </w:rPr>
        <w:t>Instrument</w:t>
      </w:r>
      <w:r w:rsidR="004969C3" w:rsidRPr="007F03BB">
        <w:t>)</w:t>
      </w:r>
      <w:r w:rsidR="00BA2E44" w:rsidRPr="007F03BB">
        <w:t xml:space="preserve"> and </w:t>
      </w:r>
      <w:r w:rsidR="00CE45C4" w:rsidRPr="007F03BB">
        <w:rPr>
          <w:bCs/>
          <w:i/>
        </w:rPr>
        <w:t xml:space="preserve">ASIC Corporations (Repeal) Instrument 2022/704 </w:t>
      </w:r>
      <w:r w:rsidR="00CE45C4" w:rsidRPr="007F03BB">
        <w:rPr>
          <w:bCs/>
          <w:iCs/>
        </w:rPr>
        <w:t xml:space="preserve">(the </w:t>
      </w:r>
      <w:r w:rsidR="00CE45C4" w:rsidRPr="007F03BB">
        <w:rPr>
          <w:b/>
          <w:iCs/>
        </w:rPr>
        <w:t>Repeal Instrument</w:t>
      </w:r>
      <w:r w:rsidR="00CE45C4" w:rsidRPr="007F03BB">
        <w:rPr>
          <w:bCs/>
          <w:iCs/>
        </w:rPr>
        <w:t>).</w:t>
      </w:r>
    </w:p>
    <w:p w14:paraId="14994293" w14:textId="77777777" w:rsidR="00F800C9" w:rsidRPr="006A6DC3" w:rsidRDefault="00863657" w:rsidP="00F800C9">
      <w:pPr>
        <w:pStyle w:val="LI-BodyTextParaa"/>
        <w:ind w:left="0" w:firstLine="0"/>
      </w:pPr>
      <w:r w:rsidRPr="007F03BB">
        <w:t>Th</w:t>
      </w:r>
      <w:r w:rsidR="00F800C9" w:rsidRPr="007F03BB">
        <w:t>e</w:t>
      </w:r>
      <w:r w:rsidRPr="007F03BB">
        <w:t xml:space="preserve"> </w:t>
      </w:r>
      <w:r w:rsidR="00F800C9" w:rsidRPr="007F03BB">
        <w:t>Explanatory Statement is approved by the Australian Securities and Investments Commission (</w:t>
      </w:r>
      <w:r w:rsidR="00F800C9" w:rsidRPr="007F03BB">
        <w:rPr>
          <w:b/>
          <w:i/>
        </w:rPr>
        <w:t>ASIC</w:t>
      </w:r>
      <w:r w:rsidR="00F800C9" w:rsidRPr="007F03BB">
        <w:t>).</w:t>
      </w:r>
    </w:p>
    <w:p w14:paraId="569BC2BD" w14:textId="77777777" w:rsidR="00F800C9" w:rsidRPr="006A6DC3" w:rsidRDefault="005D1FEA" w:rsidP="00F800C9">
      <w:pPr>
        <w:pStyle w:val="LI-BodyTextNumbered"/>
        <w:ind w:left="0" w:firstLine="0"/>
        <w:rPr>
          <w:b/>
        </w:rPr>
      </w:pPr>
      <w:r w:rsidRPr="006A6DC3">
        <w:rPr>
          <w:b/>
        </w:rPr>
        <w:t>Summary</w:t>
      </w:r>
    </w:p>
    <w:p w14:paraId="6A50B4DE" w14:textId="04836571" w:rsidR="00B068C5" w:rsidRPr="006A6DC3" w:rsidRDefault="00101A51" w:rsidP="00B068C5">
      <w:pPr>
        <w:pStyle w:val="LI-BodyTextParaa"/>
        <w:numPr>
          <w:ilvl w:val="0"/>
          <w:numId w:val="2"/>
        </w:numPr>
      </w:pPr>
      <w:r w:rsidRPr="006A6DC3">
        <w:t>Th</w:t>
      </w:r>
      <w:r w:rsidR="00280C7A" w:rsidRPr="006A6DC3">
        <w:t>e</w:t>
      </w:r>
      <w:r w:rsidRPr="006A6DC3">
        <w:t xml:space="preserve"> </w:t>
      </w:r>
      <w:r w:rsidR="00B068C5" w:rsidRPr="006A6DC3">
        <w:t>Instrument</w:t>
      </w:r>
      <w:r w:rsidR="005270AD" w:rsidRPr="006A6DC3">
        <w:t xml:space="preserve"> </w:t>
      </w:r>
      <w:r w:rsidR="00B068C5" w:rsidRPr="006A6DC3">
        <w:t>imposes specific financial requirements on Australian financial services (</w:t>
      </w:r>
      <w:r w:rsidR="00B068C5" w:rsidRPr="006A6DC3">
        <w:rPr>
          <w:b/>
          <w:bCs/>
        </w:rPr>
        <w:t>AFS</w:t>
      </w:r>
      <w:r w:rsidR="00B068C5" w:rsidRPr="006A6DC3">
        <w:t xml:space="preserve">) licensees that are authorised to make a market in </w:t>
      </w:r>
      <w:proofErr w:type="gramStart"/>
      <w:r w:rsidR="00B068C5" w:rsidRPr="006A6DC3">
        <w:t>over-the-counter</w:t>
      </w:r>
      <w:proofErr w:type="gramEnd"/>
      <w:r w:rsidR="00B068C5" w:rsidRPr="006A6DC3">
        <w:t xml:space="preserve"> (</w:t>
      </w:r>
      <w:r w:rsidR="00B068C5" w:rsidRPr="006A6DC3">
        <w:rPr>
          <w:b/>
          <w:bCs/>
        </w:rPr>
        <w:t>OTC</w:t>
      </w:r>
      <w:r w:rsidR="00B068C5" w:rsidRPr="006A6DC3">
        <w:t>) derivatives to retail clients. Th</w:t>
      </w:r>
      <w:r w:rsidR="005270AD" w:rsidRPr="006A6DC3">
        <w:t>e Instrument</w:t>
      </w:r>
      <w:r w:rsidR="00B068C5" w:rsidRPr="006A6DC3">
        <w:t xml:space="preserve"> modifies the </w:t>
      </w:r>
      <w:r w:rsidR="00B068C5" w:rsidRPr="006A6DC3">
        <w:rPr>
          <w:i/>
          <w:iCs/>
        </w:rPr>
        <w:t>Corporations Act 2001</w:t>
      </w:r>
      <w:r w:rsidR="00B068C5" w:rsidRPr="006A6DC3">
        <w:t xml:space="preserve"> (the </w:t>
      </w:r>
      <w:r w:rsidR="00B96453" w:rsidRPr="006A6DC3">
        <w:rPr>
          <w:b/>
          <w:bCs/>
        </w:rPr>
        <w:t xml:space="preserve">Corporations </w:t>
      </w:r>
      <w:r w:rsidR="00B068C5" w:rsidRPr="006A6DC3">
        <w:rPr>
          <w:b/>
          <w:bCs/>
        </w:rPr>
        <w:t>Act</w:t>
      </w:r>
      <w:r w:rsidR="00B068C5" w:rsidRPr="006A6DC3">
        <w:t>) by ins</w:t>
      </w:r>
      <w:r w:rsidR="00233EB9" w:rsidRPr="006A6DC3">
        <w:t>er</w:t>
      </w:r>
      <w:r w:rsidR="00B068C5" w:rsidRPr="006A6DC3">
        <w:t>ting s</w:t>
      </w:r>
      <w:r w:rsidR="00AE6230" w:rsidRPr="006A6DC3">
        <w:t xml:space="preserve">ection </w:t>
      </w:r>
      <w:r w:rsidR="00B068C5" w:rsidRPr="006A6DC3">
        <w:t xml:space="preserve">912AB. Section 912AB requires retail OTC derivative issuers to comply with additional provisions set out in </w:t>
      </w:r>
      <w:r w:rsidR="00E33CF5" w:rsidRPr="006A6DC3">
        <w:t>the Instrument</w:t>
      </w:r>
      <w:r w:rsidR="00B068C5" w:rsidRPr="006A6DC3">
        <w:t xml:space="preserve"> as part of satisfying the obligation to have adequate financial resources under paragraph 912A(1)(d) of the </w:t>
      </w:r>
      <w:r w:rsidR="00B96453" w:rsidRPr="006A6DC3">
        <w:t xml:space="preserve">Corporations </w:t>
      </w:r>
      <w:r w:rsidR="00B068C5" w:rsidRPr="006A6DC3">
        <w:t>Act.</w:t>
      </w:r>
    </w:p>
    <w:p w14:paraId="78DCA36F" w14:textId="211F797A" w:rsidR="002C1721" w:rsidRDefault="002A6A96" w:rsidP="00B068C5">
      <w:pPr>
        <w:pStyle w:val="LI-BodyTextParaa"/>
        <w:numPr>
          <w:ilvl w:val="0"/>
          <w:numId w:val="2"/>
        </w:numPr>
      </w:pPr>
      <w:r w:rsidRPr="006A6DC3">
        <w:t>The Instrument</w:t>
      </w:r>
      <w:r>
        <w:t xml:space="preserve"> </w:t>
      </w:r>
      <w:r w:rsidR="00386F6D" w:rsidRPr="008D3A78">
        <w:t>preserves the effect of</w:t>
      </w:r>
      <w:r w:rsidR="00EC0BDC" w:rsidRPr="008D3A78">
        <w:t xml:space="preserve"> Class</w:t>
      </w:r>
      <w:r w:rsidR="00EC0BDC">
        <w:t xml:space="preserve"> Order [CO 12/752</w:t>
      </w:r>
      <w:r w:rsidR="00EC0BDC" w:rsidRPr="007D4E35">
        <w:t>]</w:t>
      </w:r>
      <w:r w:rsidR="00EC0BDC" w:rsidRPr="00EC0BDC">
        <w:rPr>
          <w:i/>
          <w:iCs/>
        </w:rPr>
        <w:t xml:space="preserve"> Financial requirements for retail OTC derivative issuers</w:t>
      </w:r>
      <w:r w:rsidR="007D4E35">
        <w:rPr>
          <w:i/>
          <w:iCs/>
        </w:rPr>
        <w:t xml:space="preserve"> </w:t>
      </w:r>
      <w:r w:rsidR="007D4E35">
        <w:t>(</w:t>
      </w:r>
      <w:r w:rsidR="007D4E35" w:rsidRPr="007D4E35">
        <w:rPr>
          <w:b/>
          <w:bCs/>
        </w:rPr>
        <w:t>CO 12/752</w:t>
      </w:r>
      <w:r w:rsidR="007D4E35">
        <w:t>)</w:t>
      </w:r>
      <w:r w:rsidR="00EC0BDC">
        <w:t>,</w:t>
      </w:r>
      <w:r w:rsidR="00BB157B">
        <w:t xml:space="preserve"> which was introduced in </w:t>
      </w:r>
      <w:r w:rsidR="00EE1DAF">
        <w:t xml:space="preserve">2012. </w:t>
      </w:r>
      <w:r w:rsidR="00484C67">
        <w:t>CO 12/752 was</w:t>
      </w:r>
      <w:r w:rsidR="000B0DD7">
        <w:t xml:space="preserve"> due to</w:t>
      </w:r>
      <w:r w:rsidR="00911706">
        <w:t xml:space="preserve"> expire</w:t>
      </w:r>
      <w:r w:rsidR="000B0DD7">
        <w:t xml:space="preserve"> </w:t>
      </w:r>
      <w:r w:rsidR="004969C3">
        <w:t xml:space="preserve">or </w:t>
      </w:r>
      <w:r w:rsidR="000B0DD7">
        <w:t xml:space="preserve">‘sunset’ </w:t>
      </w:r>
      <w:r w:rsidR="00EC0BDC">
        <w:t xml:space="preserve">on 1 October 2022. </w:t>
      </w:r>
      <w:r>
        <w:t xml:space="preserve"> </w:t>
      </w:r>
      <w:r w:rsidR="000B0DD7">
        <w:t xml:space="preserve">Following consultation, ASIC </w:t>
      </w:r>
      <w:r w:rsidR="00B068C5">
        <w:t>consider</w:t>
      </w:r>
      <w:r w:rsidR="000B0DD7">
        <w:t>ed</w:t>
      </w:r>
      <w:r w:rsidR="00B068C5">
        <w:t xml:space="preserve"> that CO 12/752 </w:t>
      </w:r>
      <w:r w:rsidR="00386F6D">
        <w:t>was</w:t>
      </w:r>
      <w:r w:rsidR="00B068C5">
        <w:t xml:space="preserve"> operating effectively and efficiently to achieve its objectives and </w:t>
      </w:r>
      <w:r w:rsidR="00386F6D">
        <w:t>continued</w:t>
      </w:r>
      <w:r w:rsidR="00B068C5">
        <w:t xml:space="preserve"> to form a necessary and useful part of the legislative framework. </w:t>
      </w:r>
    </w:p>
    <w:p w14:paraId="33BA2058" w14:textId="5CECEA21" w:rsidR="00B068C5" w:rsidRDefault="00411F2E" w:rsidP="00B068C5">
      <w:pPr>
        <w:pStyle w:val="LI-BodyTextParaa"/>
        <w:numPr>
          <w:ilvl w:val="0"/>
          <w:numId w:val="2"/>
        </w:numPr>
      </w:pPr>
      <w:r>
        <w:t>As a result</w:t>
      </w:r>
      <w:r w:rsidR="004357FA">
        <w:t xml:space="preserve">, </w:t>
      </w:r>
      <w:r w:rsidR="00B068C5">
        <w:t>CO 12/752</w:t>
      </w:r>
      <w:r w:rsidR="00B068C5" w:rsidRPr="00BF3E1E">
        <w:t xml:space="preserve"> </w:t>
      </w:r>
      <w:r w:rsidR="005962D6">
        <w:t>has been</w:t>
      </w:r>
      <w:r w:rsidR="004357FA">
        <w:t xml:space="preserve"> remade as</w:t>
      </w:r>
      <w:r w:rsidR="00B068C5">
        <w:t xml:space="preserve"> a legislative instrument, with only minor drafting changes to reflect</w:t>
      </w:r>
      <w:r w:rsidR="00B068C5" w:rsidRPr="00DB0FCD">
        <w:t xml:space="preserve"> ASIC’s current style and format</w:t>
      </w:r>
      <w:r w:rsidR="00934A06">
        <w:t xml:space="preserve">, </w:t>
      </w:r>
      <w:r w:rsidR="00B068C5">
        <w:t>remove redundant provisions</w:t>
      </w:r>
      <w:r w:rsidR="00934A06">
        <w:t xml:space="preserve"> and update definitions</w:t>
      </w:r>
      <w:r w:rsidR="00B068C5" w:rsidRPr="00DB0FCD">
        <w:t>, while preserving the current effect of the instrument</w:t>
      </w:r>
      <w:r w:rsidR="00B068C5">
        <w:t xml:space="preserve">. </w:t>
      </w:r>
      <w:r w:rsidR="00FD73E3">
        <w:t xml:space="preserve">The </w:t>
      </w:r>
      <w:r w:rsidR="005962D6">
        <w:t>Instrument has been remade for a period of five years</w:t>
      </w:r>
      <w:r w:rsidR="00E9389F">
        <w:t>.</w:t>
      </w:r>
    </w:p>
    <w:p w14:paraId="32DBC991" w14:textId="35DF97EF" w:rsidR="00FC0891" w:rsidRDefault="005F63EB" w:rsidP="00B03C57">
      <w:pPr>
        <w:pStyle w:val="LI-BodyTextParaa"/>
        <w:numPr>
          <w:ilvl w:val="0"/>
          <w:numId w:val="2"/>
        </w:numPr>
      </w:pPr>
      <w:r>
        <w:t xml:space="preserve">The Repeal Instrument </w:t>
      </w:r>
      <w:r w:rsidR="001D31EA">
        <w:t>repeals CO 12/752</w:t>
      </w:r>
      <w:r w:rsidR="00223B42">
        <w:t xml:space="preserve"> as </w:t>
      </w:r>
      <w:r w:rsidR="007A5418">
        <w:t xml:space="preserve">it </w:t>
      </w:r>
      <w:r w:rsidR="00223B42">
        <w:t xml:space="preserve">is superseded by the Instrument </w:t>
      </w:r>
      <w:r w:rsidR="00F85354">
        <w:t>upon its commencement</w:t>
      </w:r>
      <w:r w:rsidR="000965A9">
        <w:t>.</w:t>
      </w:r>
      <w:r w:rsidR="00FC0891" w:rsidRPr="00FC0891">
        <w:t xml:space="preserve"> </w:t>
      </w:r>
      <w:r w:rsidR="00FC0891" w:rsidRPr="00883F18">
        <w:t>Th</w:t>
      </w:r>
      <w:r w:rsidR="007A5418">
        <w:t xml:space="preserve">e Repeal Instrument </w:t>
      </w:r>
      <w:r w:rsidR="00FC0891" w:rsidRPr="00883F18">
        <w:t>repeals CO 12/752 ahead of its automatic repeal on 1 October 2022</w:t>
      </w:r>
      <w:r w:rsidR="007A5418">
        <w:t>.</w:t>
      </w:r>
    </w:p>
    <w:p w14:paraId="6F3D45EA" w14:textId="5DD469A3" w:rsidR="0058415D" w:rsidRPr="00CE5077" w:rsidRDefault="00E73100" w:rsidP="00B03C57">
      <w:pPr>
        <w:pStyle w:val="LI-BodyTextParaa"/>
        <w:numPr>
          <w:ilvl w:val="0"/>
          <w:numId w:val="2"/>
        </w:numPr>
      </w:pPr>
      <w:r w:rsidRPr="00CE5077">
        <w:lastRenderedPageBreak/>
        <w:t>ASIC makes th</w:t>
      </w:r>
      <w:r w:rsidR="00E9389F">
        <w:t>e</w:t>
      </w:r>
      <w:r w:rsidRPr="00CE5077">
        <w:t xml:space="preserve"> Instrument </w:t>
      </w:r>
      <w:r w:rsidR="00E9389F">
        <w:t xml:space="preserve">and the Repeal Instrument </w:t>
      </w:r>
      <w:r w:rsidRPr="00CE5077">
        <w:t xml:space="preserve">under </w:t>
      </w:r>
      <w:r w:rsidRPr="005D7C92">
        <w:t>paragraph 926A(2)(c) of</w:t>
      </w:r>
      <w:r w:rsidRPr="00CE5077">
        <w:t xml:space="preserve"> the</w:t>
      </w:r>
      <w:r w:rsidR="00630F94" w:rsidRPr="00FC0891">
        <w:rPr>
          <w:iCs/>
        </w:rPr>
        <w:t xml:space="preserve"> </w:t>
      </w:r>
      <w:r w:rsidR="00B96453" w:rsidRPr="00FC0891">
        <w:rPr>
          <w:iCs/>
        </w:rPr>
        <w:t>Corporations Act</w:t>
      </w:r>
      <w:r w:rsidRPr="00CE5077">
        <w:t xml:space="preserve">. That paragraph provides that ASIC may declare provisions to </w:t>
      </w:r>
      <w:r w:rsidRPr="008D3A78">
        <w:t>which</w:t>
      </w:r>
      <w:r w:rsidRPr="00CE5077">
        <w:t xml:space="preserve"> section 926A applies (</w:t>
      </w:r>
      <w:proofErr w:type="gramStart"/>
      <w:r w:rsidR="003E78FF" w:rsidRPr="00CE5077">
        <w:t>i.e.</w:t>
      </w:r>
      <w:proofErr w:type="gramEnd"/>
      <w:r w:rsidRPr="00CE5077">
        <w:t xml:space="preserve"> Part 7.6, other than Divisions 4 and 8) in relation to </w:t>
      </w:r>
      <w:r w:rsidRPr="00FC0891">
        <w:rPr>
          <w:color w:val="000000"/>
          <w:shd w:val="clear" w:color="auto" w:fill="FFFFFF"/>
        </w:rPr>
        <w:t xml:space="preserve">a person or financial product, or a class of persons or financial products, as if specified provisions were omitted, modified or varied as specified in the declaration. </w:t>
      </w:r>
    </w:p>
    <w:p w14:paraId="1BD906E2" w14:textId="7286EB8B" w:rsidR="00312A8A" w:rsidRPr="0001405B" w:rsidRDefault="00D42B43" w:rsidP="00400018">
      <w:pPr>
        <w:pStyle w:val="LI-BodyTextParaa"/>
        <w:numPr>
          <w:ilvl w:val="0"/>
          <w:numId w:val="2"/>
        </w:numPr>
      </w:pPr>
      <w:r>
        <w:t>S</w:t>
      </w:r>
      <w:r w:rsidR="00E73100" w:rsidRPr="0001405B">
        <w:t>ection 912A</w:t>
      </w:r>
      <w:r w:rsidR="00312A8A" w:rsidRPr="0001405B">
        <w:t>B</w:t>
      </w:r>
      <w:r w:rsidR="00E73100" w:rsidRPr="0001405B">
        <w:t xml:space="preserve"> </w:t>
      </w:r>
      <w:r w:rsidR="00312A8A" w:rsidRPr="0001405B">
        <w:t xml:space="preserve">contains the following </w:t>
      </w:r>
      <w:r w:rsidR="00E73100" w:rsidRPr="0001405B">
        <w:t xml:space="preserve">requirements: </w:t>
      </w:r>
    </w:p>
    <w:p w14:paraId="470A45CA" w14:textId="71EF0370" w:rsidR="00D97EBE" w:rsidRPr="0001405B" w:rsidRDefault="00D97EBE" w:rsidP="00CA06F9">
      <w:pPr>
        <w:pStyle w:val="BodyText"/>
        <w:numPr>
          <w:ilvl w:val="0"/>
          <w:numId w:val="4"/>
        </w:numPr>
        <w:shd w:val="clear" w:color="auto" w:fill="FFFFFF"/>
        <w:spacing w:before="200" w:after="0"/>
      </w:pPr>
      <w:r w:rsidRPr="00460D0E">
        <w:t xml:space="preserve">a cash </w:t>
      </w:r>
      <w:proofErr w:type="gramStart"/>
      <w:r w:rsidRPr="000B02BA">
        <w:t>needs</w:t>
      </w:r>
      <w:proofErr w:type="gramEnd"/>
      <w:r w:rsidRPr="00460D0E">
        <w:t xml:space="preserve"> requirement;</w:t>
      </w:r>
    </w:p>
    <w:p w14:paraId="70242E1F" w14:textId="75A329E4" w:rsidR="00D97EBE" w:rsidRPr="00A57209" w:rsidRDefault="00D97EBE" w:rsidP="00CA06F9">
      <w:pPr>
        <w:pStyle w:val="BodyText"/>
        <w:numPr>
          <w:ilvl w:val="0"/>
          <w:numId w:val="4"/>
        </w:numPr>
        <w:shd w:val="clear" w:color="auto" w:fill="FFFFFF"/>
        <w:spacing w:before="200" w:after="0"/>
      </w:pPr>
      <w:r w:rsidRPr="00460D0E">
        <w:t>financial requir</w:t>
      </w:r>
      <w:r w:rsidRPr="00A57209">
        <w:t xml:space="preserve">ements for licensees transacting with </w:t>
      </w:r>
      <w:proofErr w:type="gramStart"/>
      <w:r w:rsidRPr="00A57209">
        <w:t>clients;</w:t>
      </w:r>
      <w:proofErr w:type="gramEnd"/>
    </w:p>
    <w:p w14:paraId="370A5000" w14:textId="68EC2715" w:rsidR="00D97EBE" w:rsidRDefault="00D97EBE" w:rsidP="00CA06F9">
      <w:pPr>
        <w:pStyle w:val="BodyText"/>
        <w:numPr>
          <w:ilvl w:val="0"/>
          <w:numId w:val="4"/>
        </w:numPr>
        <w:shd w:val="clear" w:color="auto" w:fill="FFFFFF"/>
        <w:spacing w:before="200" w:after="0"/>
      </w:pPr>
      <w:r w:rsidRPr="00A57209">
        <w:t xml:space="preserve">reporting triggers and requirements for financial requirement </w:t>
      </w:r>
      <w:proofErr w:type="gramStart"/>
      <w:r w:rsidRPr="00A57209">
        <w:t>conditions;</w:t>
      </w:r>
      <w:proofErr w:type="gramEnd"/>
    </w:p>
    <w:p w14:paraId="73138C89" w14:textId="7B0FD9C0" w:rsidR="00D97EBE" w:rsidRPr="0001405B" w:rsidRDefault="00D97EBE" w:rsidP="00CA06F9">
      <w:pPr>
        <w:pStyle w:val="BodyText"/>
        <w:numPr>
          <w:ilvl w:val="0"/>
          <w:numId w:val="4"/>
        </w:numPr>
        <w:shd w:val="clear" w:color="auto" w:fill="FFFFFF"/>
        <w:spacing w:before="200" w:after="0"/>
      </w:pPr>
      <w:r w:rsidRPr="00A57209">
        <w:t>the obligation to lodge an audit opinion on the financial requirements to the ex</w:t>
      </w:r>
      <w:r w:rsidRPr="00460D0E">
        <w:t xml:space="preserve">tent the opinion is for a part of a financial </w:t>
      </w:r>
      <w:r w:rsidRPr="00605B79">
        <w:t xml:space="preserve">year or other period during which the licensee was covered by subsection </w:t>
      </w:r>
      <w:r w:rsidR="00605B79" w:rsidRPr="00605B79">
        <w:t>912AB</w:t>
      </w:r>
      <w:r w:rsidRPr="00605B79">
        <w:t>(1).</w:t>
      </w:r>
    </w:p>
    <w:p w14:paraId="5461344E" w14:textId="77777777" w:rsidR="005D1FEA" w:rsidRPr="00F215AF" w:rsidRDefault="005D1FEA" w:rsidP="005D1FEA">
      <w:pPr>
        <w:pStyle w:val="LI-BodyTextNumbered"/>
        <w:ind w:hanging="1134"/>
        <w:rPr>
          <w:b/>
        </w:rPr>
      </w:pPr>
      <w:r w:rsidRPr="00F215AF">
        <w:rPr>
          <w:b/>
        </w:rPr>
        <w:t>Purpose of the instrument</w:t>
      </w:r>
    </w:p>
    <w:p w14:paraId="2298C5C7" w14:textId="13234EF3" w:rsidR="00D0022B" w:rsidRDefault="009467E0" w:rsidP="00400018">
      <w:pPr>
        <w:pStyle w:val="BodyText"/>
        <w:numPr>
          <w:ilvl w:val="0"/>
          <w:numId w:val="2"/>
        </w:numPr>
        <w:shd w:val="clear" w:color="auto" w:fill="FFFFFF"/>
        <w:spacing w:before="200" w:after="0"/>
      </w:pPr>
      <w:bookmarkStart w:id="3" w:name="_Hlk534291624"/>
      <w:r>
        <w:t xml:space="preserve">The Corporations Act sets out the obligations </w:t>
      </w:r>
      <w:r w:rsidRPr="004579DA">
        <w:t>of an AFS licensee: see s</w:t>
      </w:r>
      <w:r w:rsidR="00AE6230">
        <w:t xml:space="preserve">ection </w:t>
      </w:r>
      <w:r w:rsidRPr="004579DA">
        <w:t>912A</w:t>
      </w:r>
      <w:r>
        <w:t>. These obligations include that the licensee have available adequate resources (including financial) to provide the financial services covered by the AFS licence and to carry out supervisory arrangements: see</w:t>
      </w:r>
      <w:r w:rsidR="00AE6230">
        <w:t xml:space="preserve"> paragraph </w:t>
      </w:r>
      <w:r>
        <w:t>912A(1)(d). This obligation does not apply to bodies regulated by the Australian Prudential Regulation Authority (</w:t>
      </w:r>
      <w:r w:rsidRPr="00CD7630">
        <w:rPr>
          <w:b/>
          <w:bCs/>
        </w:rPr>
        <w:t>APRA</w:t>
      </w:r>
      <w:r>
        <w:t xml:space="preserve">). </w:t>
      </w:r>
    </w:p>
    <w:p w14:paraId="495872AA" w14:textId="59574E3E" w:rsidR="00D0022B" w:rsidRPr="00386F6D" w:rsidRDefault="00800AED" w:rsidP="00400018">
      <w:pPr>
        <w:pStyle w:val="BodyText"/>
        <w:numPr>
          <w:ilvl w:val="0"/>
          <w:numId w:val="2"/>
        </w:numPr>
        <w:shd w:val="clear" w:color="auto" w:fill="FFFFFF"/>
        <w:spacing w:before="200" w:after="0"/>
      </w:pPr>
      <w:r>
        <w:t>The purpose of th</w:t>
      </w:r>
      <w:r w:rsidR="000E06A7">
        <w:t>e</w:t>
      </w:r>
      <w:r>
        <w:t xml:space="preserve"> </w:t>
      </w:r>
      <w:r w:rsidR="000E06A7">
        <w:t>I</w:t>
      </w:r>
      <w:r w:rsidR="00245C7D">
        <w:t>nstrument</w:t>
      </w:r>
      <w:r>
        <w:t xml:space="preserve"> is to</w:t>
      </w:r>
      <w:r w:rsidR="009467E0">
        <w:t xml:space="preserve"> impose specific financial requirements on AFS licensees that are not regulated by APRA to ensure that they meet those obligations under the Corporations Act. We apply these financial requirements using ASIC’s statutory power to modify Pt 7.6 of the Corporations Act, or by AFS licence conditions. The financial requirements that apply to AFS licensees vary depending on the nature of </w:t>
      </w:r>
      <w:r w:rsidR="009467E0" w:rsidRPr="00386F6D">
        <w:t xml:space="preserve">the financial service activities conducted by the AFS licensee. </w:t>
      </w:r>
    </w:p>
    <w:p w14:paraId="1F08EA5A" w14:textId="4F61C970" w:rsidR="000F0FFB" w:rsidRPr="00386F6D" w:rsidRDefault="009467E0" w:rsidP="00400018">
      <w:pPr>
        <w:pStyle w:val="BodyText"/>
        <w:numPr>
          <w:ilvl w:val="0"/>
          <w:numId w:val="2"/>
        </w:numPr>
        <w:shd w:val="clear" w:color="auto" w:fill="FFFFFF"/>
        <w:spacing w:before="200" w:after="0"/>
      </w:pPr>
      <w:r w:rsidRPr="00386F6D">
        <w:t>In 2012, we introduced specific financial requirements for retail OTC derivative issuers</w:t>
      </w:r>
      <w:r w:rsidR="00386F6D" w:rsidRPr="00386F6D">
        <w:t xml:space="preserve"> (</w:t>
      </w:r>
      <w:r w:rsidRPr="00386F6D">
        <w:t>s</w:t>
      </w:r>
      <w:r w:rsidR="00AE6230" w:rsidRPr="00386F6D">
        <w:t xml:space="preserve">ection </w:t>
      </w:r>
      <w:r w:rsidRPr="00386F6D">
        <w:t>912AB of the Corporations Act (as inserted by CO 12/752)</w:t>
      </w:r>
      <w:r w:rsidR="00386F6D" w:rsidRPr="00386F6D">
        <w:t>)</w:t>
      </w:r>
      <w:r w:rsidRPr="00386F6D">
        <w:t xml:space="preserve">. </w:t>
      </w:r>
      <w:r w:rsidR="00E07D81" w:rsidRPr="00386F6D">
        <w:t xml:space="preserve">Under the </w:t>
      </w:r>
      <w:r w:rsidR="00E07D81" w:rsidRPr="00386F6D">
        <w:rPr>
          <w:i/>
          <w:iCs/>
        </w:rPr>
        <w:t>Legislation Act 2003</w:t>
      </w:r>
      <w:r w:rsidR="0055125D">
        <w:rPr>
          <w:i/>
          <w:iCs/>
        </w:rPr>
        <w:t xml:space="preserve"> </w:t>
      </w:r>
      <w:r w:rsidR="0055125D">
        <w:t>(</w:t>
      </w:r>
      <w:r w:rsidR="0055125D" w:rsidRPr="00C1422E">
        <w:t>the</w:t>
      </w:r>
      <w:r w:rsidR="0055125D">
        <w:rPr>
          <w:b/>
          <w:bCs/>
        </w:rPr>
        <w:t xml:space="preserve"> </w:t>
      </w:r>
      <w:r w:rsidR="0055125D" w:rsidRPr="00C1422E">
        <w:rPr>
          <w:b/>
          <w:bCs/>
        </w:rPr>
        <w:t>Legislation Act</w:t>
      </w:r>
      <w:r w:rsidR="0055125D">
        <w:t>)</w:t>
      </w:r>
      <w:r w:rsidR="00E07D81" w:rsidRPr="00386F6D">
        <w:t>, legislative instruments (</w:t>
      </w:r>
      <w:r w:rsidR="00A97749" w:rsidRPr="00386F6D">
        <w:t>such as class orders)</w:t>
      </w:r>
      <w:r w:rsidR="00E07D81" w:rsidRPr="00386F6D">
        <w:t xml:space="preserve"> cease automatically, or sunset, after 10 years, unless action is taken to preserve them.</w:t>
      </w:r>
      <w:r w:rsidR="00DF1322" w:rsidRPr="00386F6D">
        <w:t xml:space="preserve"> CO 12/752 </w:t>
      </w:r>
      <w:r w:rsidR="00745D55" w:rsidRPr="00386F6D">
        <w:t xml:space="preserve">was due to </w:t>
      </w:r>
      <w:r w:rsidR="00777F9E" w:rsidRPr="00386F6D">
        <w:t>sunset</w:t>
      </w:r>
      <w:r w:rsidR="00386F6D" w:rsidRPr="00386F6D">
        <w:t xml:space="preserve"> </w:t>
      </w:r>
      <w:r w:rsidR="00777F9E" w:rsidRPr="00386F6D">
        <w:t xml:space="preserve">on 1 October 2022 if not remade. </w:t>
      </w:r>
    </w:p>
    <w:p w14:paraId="4A1889FE" w14:textId="77777777" w:rsidR="00B13477" w:rsidRDefault="000F0FFB" w:rsidP="00400018">
      <w:pPr>
        <w:pStyle w:val="BodyText"/>
        <w:numPr>
          <w:ilvl w:val="0"/>
          <w:numId w:val="2"/>
        </w:numPr>
        <w:shd w:val="clear" w:color="auto" w:fill="FFFFFF"/>
        <w:spacing w:before="200" w:after="0"/>
      </w:pPr>
      <w:r>
        <w:t xml:space="preserve">The purpose of sunsetting is to ensure that instruments are kept up to date and only remain in force while they are fit for purpose, necessary and relevant. </w:t>
      </w:r>
      <w:r w:rsidR="00216B69">
        <w:t xml:space="preserve">Following consultation, </w:t>
      </w:r>
      <w:r w:rsidR="00386F6D">
        <w:t xml:space="preserve">ASIC </w:t>
      </w:r>
      <w:r w:rsidR="00216B69">
        <w:t xml:space="preserve">formed the view that CO 12/752 was operating effectively and </w:t>
      </w:r>
      <w:proofErr w:type="gramStart"/>
      <w:r w:rsidR="00216B69">
        <w:t>efficiently, and</w:t>
      </w:r>
      <w:proofErr w:type="gramEnd"/>
      <w:r w:rsidR="00216B69">
        <w:t xml:space="preserve"> continued to form a necessary and useful part of the legislative framework. </w:t>
      </w:r>
      <w:proofErr w:type="gramStart"/>
      <w:r w:rsidR="00216B69">
        <w:t>Therefore</w:t>
      </w:r>
      <w:proofErr w:type="gramEnd"/>
      <w:r w:rsidR="00216B69">
        <w:t xml:space="preserve"> this class order was re</w:t>
      </w:r>
      <w:r w:rsidR="00386F6D">
        <w:t>made</w:t>
      </w:r>
      <w:r w:rsidR="00216B69">
        <w:t xml:space="preserve"> using ASIC’s current style and format, while preserving the current effect of the instrument.</w:t>
      </w:r>
    </w:p>
    <w:p w14:paraId="4AA07B3C" w14:textId="7579A07B" w:rsidR="00D0022B" w:rsidRDefault="00C54BFF" w:rsidP="00C1422E">
      <w:pPr>
        <w:pStyle w:val="LI-BodyTextParaa"/>
        <w:numPr>
          <w:ilvl w:val="0"/>
          <w:numId w:val="2"/>
        </w:numPr>
      </w:pPr>
      <w:r>
        <w:lastRenderedPageBreak/>
        <w:t xml:space="preserve">The </w:t>
      </w:r>
      <w:r w:rsidR="00A47B7A">
        <w:t xml:space="preserve">purpose of the </w:t>
      </w:r>
      <w:r>
        <w:t xml:space="preserve">Repeal Instrument </w:t>
      </w:r>
      <w:r w:rsidR="00A47B7A">
        <w:t xml:space="preserve">is to </w:t>
      </w:r>
      <w:r>
        <w:t xml:space="preserve">repeal CO 12/752 as </w:t>
      </w:r>
      <w:r w:rsidR="00A47B7A">
        <w:t xml:space="preserve">it </w:t>
      </w:r>
      <w:r>
        <w:t>is superseded by the Instrument upon its commencement.</w:t>
      </w:r>
      <w:r w:rsidR="00A47B7A" w:rsidRPr="00A47B7A">
        <w:t xml:space="preserve"> </w:t>
      </w:r>
      <w:r w:rsidR="00703F4E" w:rsidRPr="00883F18">
        <w:t>Th</w:t>
      </w:r>
      <w:r w:rsidR="00703F4E">
        <w:t xml:space="preserve">e Repeal Instrument </w:t>
      </w:r>
      <w:r w:rsidR="00703F4E" w:rsidRPr="00883F18">
        <w:t>repeals CO 12/752 ahead of its automatic repeal on 1 October 2022</w:t>
      </w:r>
      <w:r w:rsidR="006A78EF">
        <w:t xml:space="preserve"> in accordance with </w:t>
      </w:r>
      <w:r w:rsidR="0055125D">
        <w:t xml:space="preserve">section 50 of </w:t>
      </w:r>
      <w:r w:rsidR="006A78EF">
        <w:t>the Legislation Act</w:t>
      </w:r>
      <w:r w:rsidR="00703F4E">
        <w:t>.</w:t>
      </w:r>
      <w:r w:rsidR="0055125D" w:rsidRPr="0055125D">
        <w:t xml:space="preserve"> </w:t>
      </w:r>
    </w:p>
    <w:p w14:paraId="5BAA2A75" w14:textId="48AA859C" w:rsidR="006A35CF" w:rsidRDefault="006A35CF" w:rsidP="00400018">
      <w:pPr>
        <w:pStyle w:val="BodyText"/>
        <w:numPr>
          <w:ilvl w:val="0"/>
          <w:numId w:val="2"/>
        </w:numPr>
        <w:shd w:val="clear" w:color="auto" w:fill="FFFFFF"/>
        <w:spacing w:before="200" w:after="0"/>
      </w:pPr>
      <w:r>
        <w:t xml:space="preserve">The Instrument remade CO 12/752 subject to the following </w:t>
      </w:r>
      <w:r w:rsidR="00A760D8">
        <w:t>minor changes:</w:t>
      </w:r>
    </w:p>
    <w:p w14:paraId="7A52BBB0" w14:textId="69AC5ADA" w:rsidR="00845D80" w:rsidRDefault="00845D80" w:rsidP="00CA06F9">
      <w:pPr>
        <w:pStyle w:val="BodyText"/>
        <w:numPr>
          <w:ilvl w:val="0"/>
          <w:numId w:val="13"/>
        </w:numPr>
        <w:shd w:val="clear" w:color="auto" w:fill="FFFFFF"/>
        <w:spacing w:before="200" w:after="0"/>
      </w:pPr>
      <w:r>
        <w:t>remove</w:t>
      </w:r>
      <w:r w:rsidR="0077612C">
        <w:t>d</w:t>
      </w:r>
      <w:r>
        <w:t xml:space="preserve"> the required </w:t>
      </w:r>
      <w:proofErr w:type="spellStart"/>
      <w:r>
        <w:t>NTA</w:t>
      </w:r>
      <w:proofErr w:type="spellEnd"/>
      <w:r>
        <w:t xml:space="preserve"> requirement for AFS licensees that applied until 31 January </w:t>
      </w:r>
      <w:proofErr w:type="gramStart"/>
      <w:r>
        <w:t>2014;</w:t>
      </w:r>
      <w:proofErr w:type="gramEnd"/>
      <w:r>
        <w:t xml:space="preserve"> </w:t>
      </w:r>
    </w:p>
    <w:p w14:paraId="70E3D504" w14:textId="3B991AF1" w:rsidR="00845D80" w:rsidRDefault="00845D80" w:rsidP="00CA06F9">
      <w:pPr>
        <w:pStyle w:val="BodyText"/>
        <w:numPr>
          <w:ilvl w:val="0"/>
          <w:numId w:val="13"/>
        </w:numPr>
        <w:shd w:val="clear" w:color="auto" w:fill="FFFFFF"/>
        <w:spacing w:before="200" w:after="0"/>
      </w:pPr>
      <w:r>
        <w:t>provide</w:t>
      </w:r>
      <w:r w:rsidR="0077612C">
        <w:t>d</w:t>
      </w:r>
      <w:r>
        <w:t xml:space="preserve"> an expiry date of 1 October </w:t>
      </w:r>
      <w:proofErr w:type="gramStart"/>
      <w:r>
        <w:t>2027;</w:t>
      </w:r>
      <w:proofErr w:type="gramEnd"/>
      <w:r>
        <w:t xml:space="preserve"> </w:t>
      </w:r>
    </w:p>
    <w:p w14:paraId="1106BA20" w14:textId="19CE283C" w:rsidR="00845D80" w:rsidRDefault="00845D80" w:rsidP="00CA06F9">
      <w:pPr>
        <w:pStyle w:val="BodyText"/>
        <w:numPr>
          <w:ilvl w:val="0"/>
          <w:numId w:val="13"/>
        </w:numPr>
        <w:shd w:val="clear" w:color="auto" w:fill="FFFFFF"/>
        <w:spacing w:before="200" w:after="0"/>
      </w:pPr>
      <w:r>
        <w:t>update</w:t>
      </w:r>
      <w:r w:rsidR="0077612C">
        <w:t>d</w:t>
      </w:r>
      <w:r>
        <w:t xml:space="preserve"> the name of the legislative </w:t>
      </w:r>
      <w:proofErr w:type="gramStart"/>
      <w:r>
        <w:t>instrument;</w:t>
      </w:r>
      <w:proofErr w:type="gramEnd"/>
      <w:r>
        <w:t xml:space="preserve"> </w:t>
      </w:r>
    </w:p>
    <w:p w14:paraId="373A6311" w14:textId="77777777" w:rsidR="00D06662" w:rsidRDefault="00845D80" w:rsidP="00CA06F9">
      <w:pPr>
        <w:pStyle w:val="BodyText"/>
        <w:numPr>
          <w:ilvl w:val="0"/>
          <w:numId w:val="13"/>
        </w:numPr>
        <w:shd w:val="clear" w:color="auto" w:fill="FFFFFF"/>
        <w:spacing w:before="200" w:after="0"/>
      </w:pPr>
      <w:r>
        <w:t>reflect</w:t>
      </w:r>
      <w:r w:rsidR="00D06662">
        <w:t>ed</w:t>
      </w:r>
      <w:r>
        <w:t xml:space="preserve"> current drafting practice and update</w:t>
      </w:r>
      <w:r w:rsidR="00D06662">
        <w:t>d</w:t>
      </w:r>
      <w:r>
        <w:t xml:space="preserve"> the format of the current </w:t>
      </w:r>
      <w:proofErr w:type="gramStart"/>
      <w:r>
        <w:t>document;</w:t>
      </w:r>
      <w:proofErr w:type="gramEnd"/>
      <w:r>
        <w:t xml:space="preserve"> </w:t>
      </w:r>
    </w:p>
    <w:p w14:paraId="65623492" w14:textId="73637507" w:rsidR="0077612C" w:rsidRDefault="00845D80" w:rsidP="00CA06F9">
      <w:pPr>
        <w:pStyle w:val="BodyText"/>
        <w:numPr>
          <w:ilvl w:val="0"/>
          <w:numId w:val="13"/>
        </w:numPr>
        <w:shd w:val="clear" w:color="auto" w:fill="FFFFFF"/>
        <w:spacing w:before="200" w:after="0"/>
      </w:pPr>
      <w:r>
        <w:t>simplif</w:t>
      </w:r>
      <w:r w:rsidR="00D06662">
        <w:t>ied</w:t>
      </w:r>
      <w:r>
        <w:t xml:space="preserve"> the drafting to give greater </w:t>
      </w:r>
      <w:proofErr w:type="gramStart"/>
      <w:r>
        <w:t>clarity;</w:t>
      </w:r>
      <w:proofErr w:type="gramEnd"/>
      <w:r>
        <w:t xml:space="preserve"> </w:t>
      </w:r>
    </w:p>
    <w:p w14:paraId="0978DAC7" w14:textId="616F8537" w:rsidR="0077612C" w:rsidRDefault="00845D80" w:rsidP="00CA06F9">
      <w:pPr>
        <w:pStyle w:val="BodyText"/>
        <w:numPr>
          <w:ilvl w:val="0"/>
          <w:numId w:val="13"/>
        </w:numPr>
        <w:shd w:val="clear" w:color="auto" w:fill="FFFFFF"/>
        <w:spacing w:before="200" w:after="0"/>
      </w:pPr>
      <w:r>
        <w:t>update</w:t>
      </w:r>
      <w:r w:rsidR="00D06662">
        <w:t>d</w:t>
      </w:r>
      <w:r>
        <w:t xml:space="preserve"> legislative references and definitions; and </w:t>
      </w:r>
    </w:p>
    <w:p w14:paraId="05634D7B" w14:textId="7DD279BA" w:rsidR="00A760D8" w:rsidRDefault="00845D80" w:rsidP="00CA06F9">
      <w:pPr>
        <w:pStyle w:val="BodyText"/>
        <w:numPr>
          <w:ilvl w:val="0"/>
          <w:numId w:val="13"/>
        </w:numPr>
        <w:shd w:val="clear" w:color="auto" w:fill="FFFFFF"/>
        <w:spacing w:before="200" w:after="0"/>
      </w:pPr>
      <w:r>
        <w:t>correct</w:t>
      </w:r>
      <w:r w:rsidR="0077612C">
        <w:t>ed</w:t>
      </w:r>
      <w:r>
        <w:t xml:space="preserve"> any minor drafting errors.</w:t>
      </w:r>
    </w:p>
    <w:p w14:paraId="568B12C4" w14:textId="2FCE27E7" w:rsidR="001677A6" w:rsidRDefault="001677A6" w:rsidP="00400018">
      <w:pPr>
        <w:pStyle w:val="BodyText"/>
        <w:numPr>
          <w:ilvl w:val="0"/>
          <w:numId w:val="2"/>
        </w:numPr>
        <w:shd w:val="clear" w:color="auto" w:fill="FFFFFF"/>
        <w:spacing w:before="200" w:after="0"/>
      </w:pPr>
      <w:r>
        <w:t>The financial requirements in s</w:t>
      </w:r>
      <w:r w:rsidR="00AE6230">
        <w:t xml:space="preserve">ection </w:t>
      </w:r>
      <w:r>
        <w:t>912AB reflect the general objectives of the AFS licence requirements in Regulatory Guide 166 AFS licensing: Financial requirements (</w:t>
      </w:r>
      <w:r w:rsidRPr="00CD7630">
        <w:rPr>
          <w:b/>
          <w:bCs/>
        </w:rPr>
        <w:t>RG 166</w:t>
      </w:r>
      <w:r>
        <w:t xml:space="preserve">). The requirements aim to: </w:t>
      </w:r>
    </w:p>
    <w:p w14:paraId="4A117D48" w14:textId="5A5C15B5" w:rsidR="001677A6" w:rsidRDefault="001677A6" w:rsidP="00CA06F9">
      <w:pPr>
        <w:pStyle w:val="BodyText"/>
        <w:numPr>
          <w:ilvl w:val="0"/>
          <w:numId w:val="14"/>
        </w:numPr>
        <w:shd w:val="clear" w:color="auto" w:fill="FFFFFF"/>
        <w:spacing w:before="200" w:after="0"/>
      </w:pPr>
      <w:r>
        <w:t xml:space="preserve">ensure that </w:t>
      </w:r>
      <w:r w:rsidR="00DB230F">
        <w:t xml:space="preserve">a retail OTC derivative issuer </w:t>
      </w:r>
      <w:r w:rsidR="00DB230F">
        <w:rPr>
          <w:shd w:val="clear" w:color="auto" w:fill="FFFFFF"/>
        </w:rPr>
        <w:t>has sufficient financial resources to conduct their financial services businesses in compliance with the Corporations Act (including carrying out supervisory arrangements</w:t>
      </w:r>
      <w:proofErr w:type="gramStart"/>
      <w:r w:rsidR="00DB230F">
        <w:rPr>
          <w:shd w:val="clear" w:color="auto" w:fill="FFFFFF"/>
        </w:rPr>
        <w:t>);</w:t>
      </w:r>
      <w:proofErr w:type="gramEnd"/>
      <w:r w:rsidR="00DB230F">
        <w:t xml:space="preserve"> </w:t>
      </w:r>
    </w:p>
    <w:p w14:paraId="49BA3BE7" w14:textId="3A885091" w:rsidR="001677A6" w:rsidRDefault="001677A6" w:rsidP="00CA06F9">
      <w:pPr>
        <w:pStyle w:val="BodyText"/>
        <w:numPr>
          <w:ilvl w:val="0"/>
          <w:numId w:val="14"/>
        </w:numPr>
        <w:shd w:val="clear" w:color="auto" w:fill="FFFFFF"/>
        <w:spacing w:before="200" w:after="0"/>
      </w:pPr>
      <w:r>
        <w:t xml:space="preserve">ensure that a retail OTC derivative issuer makes adequate provision for expected expenses and carries sufficient financial resources to protect against operational risk that could lead to unexpected losses or expenses; </w:t>
      </w:r>
      <w:r w:rsidR="00DC02E5">
        <w:t>and</w:t>
      </w:r>
    </w:p>
    <w:p w14:paraId="6CE211C2" w14:textId="19B9A755" w:rsidR="001677A6" w:rsidRDefault="001677A6" w:rsidP="00CA06F9">
      <w:pPr>
        <w:pStyle w:val="BodyText"/>
        <w:numPr>
          <w:ilvl w:val="0"/>
          <w:numId w:val="14"/>
        </w:numPr>
        <w:shd w:val="clear" w:color="auto" w:fill="FFFFFF"/>
        <w:spacing w:before="200" w:after="0"/>
      </w:pPr>
      <w:r>
        <w:t xml:space="preserve">increase the financial buffer held by a retail OTC derivative issuer to decrease the risk of a disorderly or non-compliant wind up if the business </w:t>
      </w:r>
      <w:proofErr w:type="gramStart"/>
      <w:r>
        <w:t>fails, and</w:t>
      </w:r>
      <w:proofErr w:type="gramEnd"/>
      <w:r>
        <w:t xml:space="preserve"> ensure that the buffer is adequate to meet the administration costs of smaller issuers</w:t>
      </w:r>
      <w:r w:rsidR="00DC02E5">
        <w:t>.</w:t>
      </w:r>
    </w:p>
    <w:p w14:paraId="70F2D8BD" w14:textId="3D7A8739" w:rsidR="007731F8" w:rsidRDefault="009A3F74" w:rsidP="00E22C45">
      <w:pPr>
        <w:pStyle w:val="LI-BodyTextParaa"/>
        <w:ind w:left="0" w:firstLine="0"/>
        <w:rPr>
          <w:b/>
        </w:rPr>
      </w:pPr>
      <w:r w:rsidRPr="00F215AF">
        <w:rPr>
          <w:b/>
        </w:rPr>
        <w:t>Consultation</w:t>
      </w:r>
    </w:p>
    <w:p w14:paraId="121FA53A" w14:textId="77777777" w:rsidR="007731F8" w:rsidRDefault="007731F8" w:rsidP="007731F8">
      <w:pPr>
        <w:pStyle w:val="LI-BodyTextNumbered"/>
        <w:spacing w:before="0"/>
        <w:ind w:hanging="1134"/>
        <w:rPr>
          <w:bCs/>
          <w:i/>
          <w:iCs/>
        </w:rPr>
      </w:pPr>
    </w:p>
    <w:p w14:paraId="770B52E0" w14:textId="20A26C40" w:rsidR="007731F8" w:rsidRDefault="00D41389" w:rsidP="007731F8">
      <w:pPr>
        <w:pStyle w:val="LI-BodyTextNumbered"/>
        <w:spacing w:before="0"/>
        <w:ind w:hanging="1134"/>
        <w:rPr>
          <w:bCs/>
          <w:i/>
          <w:iCs/>
        </w:rPr>
      </w:pPr>
      <w:r>
        <w:rPr>
          <w:bCs/>
          <w:i/>
          <w:iCs/>
        </w:rPr>
        <w:t xml:space="preserve">Original consultation on </w:t>
      </w:r>
      <w:r w:rsidR="00C629A1">
        <w:rPr>
          <w:bCs/>
          <w:i/>
          <w:iCs/>
        </w:rPr>
        <w:t>financial requirements for retail OTC derivative issuers</w:t>
      </w:r>
    </w:p>
    <w:p w14:paraId="51A77AC4" w14:textId="77777777" w:rsidR="007731F8" w:rsidRPr="00037B7B" w:rsidRDefault="007731F8" w:rsidP="007731F8">
      <w:pPr>
        <w:pStyle w:val="LI-BodyTextNumbered"/>
        <w:spacing w:before="0"/>
        <w:ind w:hanging="1134"/>
        <w:rPr>
          <w:bCs/>
          <w:i/>
          <w:iCs/>
        </w:rPr>
      </w:pPr>
    </w:p>
    <w:p w14:paraId="7C8D4C7B" w14:textId="3185176E" w:rsidR="00C629A1" w:rsidRDefault="003E637C" w:rsidP="007731F8">
      <w:pPr>
        <w:pStyle w:val="BodyText"/>
        <w:numPr>
          <w:ilvl w:val="0"/>
          <w:numId w:val="2"/>
        </w:numPr>
        <w:spacing w:before="0" w:after="0" w:line="240" w:lineRule="auto"/>
      </w:pPr>
      <w:r>
        <w:t xml:space="preserve">In 2011, ASIC sought feedback on </w:t>
      </w:r>
      <w:r w:rsidR="004C15CA">
        <w:t xml:space="preserve">proposed financial requirements for retail OTC derivative issuers in </w:t>
      </w:r>
      <w:r w:rsidR="00C629A1" w:rsidRPr="00EE0052">
        <w:t xml:space="preserve">Consultation Paper 156: </w:t>
      </w:r>
      <w:r w:rsidR="00C629A1" w:rsidRPr="00EE0052">
        <w:rPr>
          <w:i/>
          <w:iCs/>
        </w:rPr>
        <w:t xml:space="preserve">Retail OTC derivative issuers: Financial requirements </w:t>
      </w:r>
      <w:r w:rsidR="00C629A1" w:rsidRPr="00EE0052">
        <w:t>(</w:t>
      </w:r>
      <w:r w:rsidR="00C629A1" w:rsidRPr="008D3A78">
        <w:rPr>
          <w:b/>
          <w:bCs/>
        </w:rPr>
        <w:t>CP 156</w:t>
      </w:r>
      <w:r w:rsidR="00C629A1" w:rsidRPr="00EE0052">
        <w:t>).</w:t>
      </w:r>
      <w:r w:rsidR="00C629A1">
        <w:t xml:space="preserve"> In response to CP 156, ASIC received some submissions </w:t>
      </w:r>
      <w:r w:rsidR="00B43649">
        <w:t xml:space="preserve">from </w:t>
      </w:r>
      <w:r w:rsidR="00C629A1">
        <w:t xml:space="preserve">licensees who would be subject to the changes, </w:t>
      </w:r>
      <w:r w:rsidR="00C629A1" w:rsidRPr="007F5BBC">
        <w:t xml:space="preserve">as well as one submission from an industry body. ASIC then contacted other </w:t>
      </w:r>
      <w:r w:rsidR="00C629A1" w:rsidRPr="007F5BBC">
        <w:lastRenderedPageBreak/>
        <w:t>issuers who may be affected by the changes, to obtain information about how the changes would affect these issuers. Around half of contacted issuers (17 in total) provided the information requested.</w:t>
      </w:r>
    </w:p>
    <w:p w14:paraId="333D3D3E" w14:textId="77777777" w:rsidR="0077208E" w:rsidRPr="007F5BBC" w:rsidRDefault="0077208E" w:rsidP="0077208E">
      <w:pPr>
        <w:pStyle w:val="BodyText"/>
        <w:spacing w:before="0" w:after="0" w:line="240" w:lineRule="auto"/>
        <w:ind w:left="570"/>
      </w:pPr>
    </w:p>
    <w:p w14:paraId="6D601BA7" w14:textId="02A915FF" w:rsidR="00C629A1" w:rsidRPr="007F5BBC" w:rsidRDefault="00C629A1" w:rsidP="00400018">
      <w:pPr>
        <w:pStyle w:val="BodyText"/>
        <w:numPr>
          <w:ilvl w:val="0"/>
          <w:numId w:val="2"/>
        </w:numPr>
      </w:pPr>
      <w:r w:rsidRPr="007F5BBC">
        <w:t xml:space="preserve">ASIC also prepared a Regulatory Impact Statement for </w:t>
      </w:r>
      <w:r w:rsidR="00C61FC3">
        <w:t xml:space="preserve">CO </w:t>
      </w:r>
      <w:r w:rsidR="007B1AFA">
        <w:t>12/752</w:t>
      </w:r>
      <w:r w:rsidRPr="007F5BBC">
        <w:t xml:space="preserve">, which was approved by </w:t>
      </w:r>
      <w:r w:rsidR="0077208E">
        <w:t xml:space="preserve">the </w:t>
      </w:r>
      <w:r w:rsidRPr="007F5BBC">
        <w:t>O</w:t>
      </w:r>
      <w:r w:rsidR="0077208E">
        <w:t>ffice of Best Practice Regulation</w:t>
      </w:r>
      <w:r w:rsidRPr="007F5BBC">
        <w:t xml:space="preserve">.   </w:t>
      </w:r>
    </w:p>
    <w:p w14:paraId="12B7C2A5" w14:textId="48ECF883" w:rsidR="00D41389" w:rsidRPr="007F5BBC" w:rsidRDefault="00D41389" w:rsidP="007F5BBC">
      <w:pPr>
        <w:pStyle w:val="LI-BodyTextParaa"/>
        <w:ind w:left="570" w:firstLine="0"/>
        <w:rPr>
          <w:i/>
          <w:iCs/>
        </w:rPr>
      </w:pPr>
      <w:r w:rsidRPr="007F5BBC">
        <w:rPr>
          <w:i/>
          <w:iCs/>
        </w:rPr>
        <w:t xml:space="preserve">Consultation on </w:t>
      </w:r>
      <w:r w:rsidR="00C93E0B" w:rsidRPr="007F5BBC">
        <w:rPr>
          <w:i/>
          <w:iCs/>
        </w:rPr>
        <w:t xml:space="preserve">remake of </w:t>
      </w:r>
      <w:r w:rsidR="00D821D4" w:rsidRPr="007F5BBC">
        <w:rPr>
          <w:i/>
          <w:iCs/>
        </w:rPr>
        <w:t>CO 12/752</w:t>
      </w:r>
    </w:p>
    <w:p w14:paraId="316E7B5D" w14:textId="2BBD85B8" w:rsidR="0077208E" w:rsidRDefault="00D41389" w:rsidP="0077208E">
      <w:pPr>
        <w:pStyle w:val="LI-BodyTextParaa"/>
        <w:numPr>
          <w:ilvl w:val="0"/>
          <w:numId w:val="2"/>
        </w:numPr>
      </w:pPr>
      <w:r w:rsidRPr="007F5BBC">
        <w:t>In</w:t>
      </w:r>
      <w:r w:rsidR="0048208C" w:rsidRPr="007F5BBC">
        <w:t xml:space="preserve"> July</w:t>
      </w:r>
      <w:r w:rsidRPr="007F5BBC">
        <w:t xml:space="preserve"> 20</w:t>
      </w:r>
      <w:r w:rsidR="00D821D4" w:rsidRPr="007F5BBC">
        <w:t>22,</w:t>
      </w:r>
      <w:r w:rsidRPr="007F5BBC">
        <w:t xml:space="preserve"> </w:t>
      </w:r>
      <w:r w:rsidR="00F32C78" w:rsidRPr="007F5BBC">
        <w:t xml:space="preserve">ASIC consulted on </w:t>
      </w:r>
      <w:r w:rsidR="00D821D4" w:rsidRPr="007F5BBC">
        <w:t>the remake of CO 12/752</w:t>
      </w:r>
      <w:r w:rsidR="00C43101">
        <w:t xml:space="preserve"> </w:t>
      </w:r>
      <w:r w:rsidR="00D821D4" w:rsidRPr="007F5BBC">
        <w:t>in Consultation Paper</w:t>
      </w:r>
      <w:r w:rsidR="002B052D" w:rsidRPr="007F5BBC">
        <w:t xml:space="preserve"> 363</w:t>
      </w:r>
      <w:r w:rsidR="00D821D4" w:rsidRPr="007F5BBC">
        <w:t xml:space="preserve">: </w:t>
      </w:r>
      <w:r w:rsidR="00D821D4" w:rsidRPr="007F5BBC">
        <w:rPr>
          <w:i/>
          <w:iCs/>
        </w:rPr>
        <w:t>R</w:t>
      </w:r>
      <w:r w:rsidR="002B052D" w:rsidRPr="007F5BBC">
        <w:rPr>
          <w:i/>
          <w:iCs/>
        </w:rPr>
        <w:t xml:space="preserve">emaking ASIC class order </w:t>
      </w:r>
      <w:r w:rsidR="007F5BBC" w:rsidRPr="007F5BBC">
        <w:rPr>
          <w:i/>
          <w:iCs/>
        </w:rPr>
        <w:t>on financial requirements for retail OTC derivative issuers: [CO 12/752]</w:t>
      </w:r>
      <w:r w:rsidR="00D821D4" w:rsidRPr="007F5BBC">
        <w:rPr>
          <w:i/>
          <w:iCs/>
        </w:rPr>
        <w:t xml:space="preserve"> </w:t>
      </w:r>
      <w:r w:rsidR="00D821D4" w:rsidRPr="007F5BBC">
        <w:t>(</w:t>
      </w:r>
      <w:r w:rsidR="00D821D4" w:rsidRPr="008D3A78">
        <w:rPr>
          <w:b/>
          <w:bCs/>
        </w:rPr>
        <w:t xml:space="preserve">CP </w:t>
      </w:r>
      <w:r w:rsidR="007F5BBC" w:rsidRPr="008D3A78">
        <w:rPr>
          <w:b/>
          <w:bCs/>
        </w:rPr>
        <w:t>363</w:t>
      </w:r>
      <w:r w:rsidR="00D821D4" w:rsidRPr="007F5BBC">
        <w:t>).</w:t>
      </w:r>
      <w:r w:rsidR="00C43101">
        <w:t xml:space="preserve"> </w:t>
      </w:r>
      <w:r w:rsidR="00AE4270">
        <w:t>In CP 363, ASIC proposed the remake of CO 12/752</w:t>
      </w:r>
      <w:r w:rsidR="009A49BE">
        <w:t xml:space="preserve">, </w:t>
      </w:r>
      <w:r w:rsidR="00AE4270" w:rsidRPr="007F5BBC">
        <w:t xml:space="preserve">without </w:t>
      </w:r>
      <w:r w:rsidR="00AE4270">
        <w:t xml:space="preserve">significant </w:t>
      </w:r>
      <w:r w:rsidR="00AE4270" w:rsidRPr="007F5BBC">
        <w:t>changes</w:t>
      </w:r>
      <w:r w:rsidR="00AE4270">
        <w:t>,</w:t>
      </w:r>
      <w:r w:rsidR="009A49BE">
        <w:t xml:space="preserve"> and for a period of five years.</w:t>
      </w:r>
    </w:p>
    <w:p w14:paraId="054DB140" w14:textId="75307E84" w:rsidR="00D35577" w:rsidRDefault="00D35577" w:rsidP="0077208E">
      <w:pPr>
        <w:pStyle w:val="LI-BodyTextParaa"/>
        <w:numPr>
          <w:ilvl w:val="0"/>
          <w:numId w:val="2"/>
        </w:numPr>
      </w:pPr>
      <w:r w:rsidRPr="00883F18">
        <w:rPr>
          <w:bCs/>
          <w:iCs/>
        </w:rPr>
        <w:t>ASIC did not specifically or separately consult on th</w:t>
      </w:r>
      <w:r w:rsidR="007D35AD">
        <w:rPr>
          <w:bCs/>
          <w:iCs/>
        </w:rPr>
        <w:t>e</w:t>
      </w:r>
      <w:r w:rsidRPr="00883F18">
        <w:rPr>
          <w:bCs/>
          <w:iCs/>
        </w:rPr>
        <w:t xml:space="preserve"> </w:t>
      </w:r>
      <w:r w:rsidR="007D35AD">
        <w:rPr>
          <w:bCs/>
          <w:iCs/>
        </w:rPr>
        <w:t>R</w:t>
      </w:r>
      <w:r w:rsidRPr="00883F18">
        <w:rPr>
          <w:bCs/>
          <w:iCs/>
        </w:rPr>
        <w:t xml:space="preserve">epeal </w:t>
      </w:r>
      <w:r w:rsidR="007D35AD">
        <w:rPr>
          <w:bCs/>
          <w:iCs/>
        </w:rPr>
        <w:t>I</w:t>
      </w:r>
      <w:r w:rsidRPr="00883F18">
        <w:rPr>
          <w:bCs/>
          <w:iCs/>
        </w:rPr>
        <w:t xml:space="preserve">nstrument, as ASIC proposed to remake the </w:t>
      </w:r>
      <w:r w:rsidR="00C61FC3">
        <w:rPr>
          <w:bCs/>
          <w:iCs/>
        </w:rPr>
        <w:t>instrument</w:t>
      </w:r>
      <w:r w:rsidRPr="00883F18">
        <w:rPr>
          <w:bCs/>
          <w:iCs/>
        </w:rPr>
        <w:t xml:space="preserve"> rather than to revoke the</w:t>
      </w:r>
      <w:r w:rsidR="00C61FC3">
        <w:rPr>
          <w:bCs/>
          <w:iCs/>
        </w:rPr>
        <w:t xml:space="preserve"> instrument</w:t>
      </w:r>
      <w:r w:rsidRPr="00883F18">
        <w:rPr>
          <w:bCs/>
          <w:iCs/>
        </w:rPr>
        <w:t>.</w:t>
      </w:r>
    </w:p>
    <w:p w14:paraId="0679FB4E" w14:textId="3018A3D0" w:rsidR="0077208E" w:rsidRPr="00E46557" w:rsidRDefault="0077208E" w:rsidP="0077208E">
      <w:pPr>
        <w:pStyle w:val="LI-BodyTextParaa"/>
        <w:numPr>
          <w:ilvl w:val="0"/>
          <w:numId w:val="2"/>
        </w:numPr>
      </w:pPr>
      <w:r w:rsidRPr="0077208E">
        <w:t>We received one submission in relation to CP 363. The submission was made jointly by the Corporations Committee and Financial Services Committee of the Business Law Section of the Law Council of Australia</w:t>
      </w:r>
      <w:r w:rsidR="002B2259">
        <w:t xml:space="preserve"> (</w:t>
      </w:r>
      <w:r w:rsidR="002B2259" w:rsidRPr="002B2259">
        <w:rPr>
          <w:b/>
          <w:bCs/>
        </w:rPr>
        <w:t>Law Council)</w:t>
      </w:r>
      <w:r w:rsidRPr="002B2259">
        <w:rPr>
          <w:b/>
          <w:bCs/>
        </w:rPr>
        <w:t>.</w:t>
      </w:r>
      <w:r w:rsidRPr="0077208E">
        <w:t xml:space="preserve"> The submission agreed that </w:t>
      </w:r>
      <w:r w:rsidR="00FE57CB">
        <w:t xml:space="preserve">CO 12/752 </w:t>
      </w:r>
      <w:r w:rsidRPr="0077208E">
        <w:t xml:space="preserve">forms a necessary and useful part of the legislative framework governing retail OTC derivative issuers. </w:t>
      </w:r>
    </w:p>
    <w:p w14:paraId="79D5B226" w14:textId="38E833DB" w:rsidR="002E14B4" w:rsidRDefault="0077208E" w:rsidP="0001405B">
      <w:pPr>
        <w:pStyle w:val="LI-BodyTextParaa"/>
        <w:numPr>
          <w:ilvl w:val="0"/>
          <w:numId w:val="2"/>
        </w:numPr>
      </w:pPr>
      <w:r w:rsidRPr="0077208E">
        <w:t xml:space="preserve">The </w:t>
      </w:r>
      <w:r w:rsidR="002B2259">
        <w:t>Law Council</w:t>
      </w:r>
      <w:r w:rsidR="00583304">
        <w:t>’s</w:t>
      </w:r>
      <w:r w:rsidRPr="0077208E">
        <w:t xml:space="preserve"> view was that CO 12/752 strikes an appropriate balance between seeking to ensure that issuers maintain sufficient resources to support their businesses, without imposing an unreasonable burden on retail OTC derivative issuers or operating as an impediment to competition in the market. In particular, the </w:t>
      </w:r>
      <w:r w:rsidR="002B2259">
        <w:t xml:space="preserve">Law Council </w:t>
      </w:r>
      <w:r w:rsidRPr="0077208E">
        <w:t>agree</w:t>
      </w:r>
      <w:r w:rsidR="00583304">
        <w:t>d</w:t>
      </w:r>
      <w:r w:rsidRPr="0077208E">
        <w:t xml:space="preserve"> with the proposals to remake </w:t>
      </w:r>
      <w:r w:rsidR="00FE57CB">
        <w:t>CO 12/752</w:t>
      </w:r>
      <w:r w:rsidRPr="0077208E">
        <w:t xml:space="preserve"> for a further five years </w:t>
      </w:r>
      <w:proofErr w:type="gramStart"/>
      <w:r w:rsidRPr="0077208E">
        <w:t>and also</w:t>
      </w:r>
      <w:proofErr w:type="gramEnd"/>
      <w:r w:rsidRPr="0077208E">
        <w:t xml:space="preserve"> to retain the existing financial, reporting and audit requirements. ASIC </w:t>
      </w:r>
      <w:r w:rsidR="008D3A78">
        <w:t xml:space="preserve">has </w:t>
      </w:r>
      <w:r w:rsidRPr="0077208E">
        <w:t>publish</w:t>
      </w:r>
      <w:r w:rsidR="008D3A78">
        <w:t>ed</w:t>
      </w:r>
      <w:r w:rsidRPr="0077208E">
        <w:t xml:space="preserve"> the submission on the ASIC website. </w:t>
      </w:r>
    </w:p>
    <w:p w14:paraId="1BFAA0AA" w14:textId="00004994" w:rsidR="002E14B4" w:rsidRPr="008138AB" w:rsidRDefault="00CB2E38" w:rsidP="002E14B4">
      <w:pPr>
        <w:pStyle w:val="LI-BodyTextParaa"/>
        <w:numPr>
          <w:ilvl w:val="0"/>
          <w:numId w:val="2"/>
        </w:numPr>
      </w:pPr>
      <w:r w:rsidRPr="008138AB">
        <w:t xml:space="preserve">ASIC has self-certified </w:t>
      </w:r>
      <w:r w:rsidR="002E14B4" w:rsidRPr="008138AB">
        <w:t xml:space="preserve">that it is </w:t>
      </w:r>
      <w:r w:rsidR="000346B1" w:rsidRPr="008138AB">
        <w:t>not required to prepare a Regulatory Impact Statement for th</w:t>
      </w:r>
      <w:r w:rsidR="00B827F7">
        <w:t>e</w:t>
      </w:r>
      <w:r w:rsidR="000346B1" w:rsidRPr="008138AB">
        <w:t xml:space="preserve"> Instrument.</w:t>
      </w:r>
      <w:r w:rsidR="002E14B4" w:rsidRPr="008138AB">
        <w:t xml:space="preserve"> </w:t>
      </w:r>
      <w:r w:rsidR="00DC73FD" w:rsidRPr="008138AB">
        <w:t xml:space="preserve">This is because following </w:t>
      </w:r>
      <w:r w:rsidR="00866A6A" w:rsidRPr="008138AB">
        <w:t xml:space="preserve">a formal </w:t>
      </w:r>
      <w:r w:rsidR="00DC73FD" w:rsidRPr="008138AB">
        <w:t xml:space="preserve">consultation </w:t>
      </w:r>
      <w:r w:rsidR="00866A6A" w:rsidRPr="008138AB">
        <w:t xml:space="preserve">process with affected stakeholders, </w:t>
      </w:r>
      <w:r w:rsidR="008138AB" w:rsidRPr="008138AB">
        <w:t xml:space="preserve">ASIC has assessed that CO 12/752 </w:t>
      </w:r>
      <w:r w:rsidR="002E14B4" w:rsidRPr="008138AB">
        <w:t>is operating effectively and efficiently</w:t>
      </w:r>
      <w:r w:rsidR="008138AB" w:rsidRPr="008138AB">
        <w:t>.</w:t>
      </w:r>
    </w:p>
    <w:p w14:paraId="16A5EB59" w14:textId="77777777" w:rsidR="0055125D" w:rsidRDefault="0055125D" w:rsidP="00037B7B">
      <w:pPr>
        <w:pStyle w:val="LI-BodyTextNumbered"/>
        <w:keepNext/>
        <w:ind w:hanging="1134"/>
        <w:rPr>
          <w:b/>
        </w:rPr>
      </w:pPr>
    </w:p>
    <w:p w14:paraId="5AE25ECB" w14:textId="4E8D1D32" w:rsidR="005D1FEA" w:rsidRDefault="005D1FEA" w:rsidP="00037B7B">
      <w:pPr>
        <w:pStyle w:val="LI-BodyTextNumbered"/>
        <w:keepNext/>
        <w:ind w:hanging="1134"/>
        <w:rPr>
          <w:b/>
        </w:rPr>
      </w:pPr>
      <w:r w:rsidRPr="00F215AF">
        <w:rPr>
          <w:b/>
        </w:rPr>
        <w:t>Operation of the instrument</w:t>
      </w:r>
    </w:p>
    <w:p w14:paraId="63AA5422" w14:textId="23BEFE3C" w:rsidR="00E21164" w:rsidRPr="00C1422E" w:rsidRDefault="00E21164" w:rsidP="00E21164">
      <w:pPr>
        <w:shd w:val="clear" w:color="auto" w:fill="FFFFFF"/>
        <w:overflowPunct w:val="0"/>
        <w:autoSpaceDE w:val="0"/>
        <w:autoSpaceDN w:val="0"/>
        <w:adjustRightInd w:val="0"/>
        <w:spacing w:before="200" w:line="300" w:lineRule="atLeast"/>
        <w:rPr>
          <w:rFonts w:eastAsia="Times New Roman"/>
          <w:b/>
          <w:bCs/>
          <w:color w:val="000000"/>
          <w:sz w:val="24"/>
          <w:szCs w:val="24"/>
          <w:u w:val="single"/>
        </w:rPr>
      </w:pPr>
      <w:r w:rsidRPr="00C1422E">
        <w:rPr>
          <w:rFonts w:eastAsia="Times New Roman"/>
          <w:b/>
          <w:bCs/>
          <w:color w:val="000000"/>
          <w:sz w:val="24"/>
          <w:szCs w:val="24"/>
          <w:u w:val="single"/>
        </w:rPr>
        <w:t>ASIC Corporations (Financial Requirements for Issuers of Retail OTC Derivatives) Instrument 2022/705</w:t>
      </w:r>
    </w:p>
    <w:p w14:paraId="76AB7206" w14:textId="13710126" w:rsidR="00911A80" w:rsidRPr="00911A80" w:rsidRDefault="00214B23" w:rsidP="00400018">
      <w:pPr>
        <w:numPr>
          <w:ilvl w:val="0"/>
          <w:numId w:val="2"/>
        </w:numPr>
        <w:shd w:val="clear" w:color="auto" w:fill="FFFFFF"/>
        <w:overflowPunct w:val="0"/>
        <w:autoSpaceDE w:val="0"/>
        <w:autoSpaceDN w:val="0"/>
        <w:adjustRightInd w:val="0"/>
        <w:spacing w:before="200" w:line="300" w:lineRule="atLeast"/>
        <w:rPr>
          <w:rFonts w:eastAsia="Times New Roman"/>
          <w:i/>
          <w:iCs/>
          <w:color w:val="000000"/>
          <w:sz w:val="24"/>
          <w:szCs w:val="24"/>
        </w:rPr>
      </w:pPr>
      <w:r w:rsidRPr="00911A80">
        <w:rPr>
          <w:rFonts w:eastAsia="Times New Roman"/>
          <w:color w:val="000000"/>
          <w:sz w:val="24"/>
          <w:szCs w:val="24"/>
        </w:rPr>
        <w:t xml:space="preserve">Section 1 of the Instrument </w:t>
      </w:r>
      <w:r w:rsidR="00911A80" w:rsidRPr="00911A80">
        <w:rPr>
          <w:rFonts w:eastAsia="Times New Roman"/>
          <w:color w:val="000000"/>
          <w:sz w:val="24"/>
          <w:szCs w:val="24"/>
        </w:rPr>
        <w:t xml:space="preserve">provides that the name of the legislative instrument is </w:t>
      </w:r>
      <w:r w:rsidR="00911A80" w:rsidRPr="00911A80">
        <w:rPr>
          <w:i/>
          <w:iCs/>
          <w:sz w:val="24"/>
          <w:szCs w:val="24"/>
        </w:rPr>
        <w:t xml:space="preserve">ASIC Corporations (Financial Requirements for Issuers of Retail OTC Derivatives) Instrument </w:t>
      </w:r>
      <w:r w:rsidR="00911A80" w:rsidRPr="003B6D5B">
        <w:rPr>
          <w:i/>
          <w:iCs/>
          <w:sz w:val="24"/>
          <w:szCs w:val="24"/>
        </w:rPr>
        <w:t>2022/</w:t>
      </w:r>
      <w:r w:rsidR="003B6D5B" w:rsidRPr="003B6D5B">
        <w:rPr>
          <w:i/>
          <w:iCs/>
          <w:sz w:val="24"/>
          <w:szCs w:val="24"/>
        </w:rPr>
        <w:t>705</w:t>
      </w:r>
      <w:r w:rsidR="00911A80" w:rsidRPr="003B6D5B">
        <w:rPr>
          <w:i/>
          <w:iCs/>
          <w:sz w:val="24"/>
          <w:szCs w:val="24"/>
        </w:rPr>
        <w:t>.</w:t>
      </w:r>
    </w:p>
    <w:p w14:paraId="58EF2BA4" w14:textId="3C7632A0" w:rsidR="00911A80" w:rsidRDefault="00911A80" w:rsidP="00400018">
      <w:pPr>
        <w:pStyle w:val="LI-BodyTextNumbered"/>
        <w:numPr>
          <w:ilvl w:val="0"/>
          <w:numId w:val="2"/>
        </w:numPr>
      </w:pPr>
      <w:r>
        <w:t>Section 2 of the I</w:t>
      </w:r>
      <w:r w:rsidRPr="00F215AF">
        <w:t>nstrument</w:t>
      </w:r>
      <w:r>
        <w:t xml:space="preserve"> provides that the instrument </w:t>
      </w:r>
      <w:r w:rsidRPr="00F215AF">
        <w:t>commences on the day after it is registered on the Federal Register of Legislation</w:t>
      </w:r>
      <w:r w:rsidR="00407726">
        <w:t>.</w:t>
      </w:r>
    </w:p>
    <w:p w14:paraId="4EEAE894" w14:textId="77777777" w:rsidR="00407726" w:rsidRDefault="00407726" w:rsidP="00407726">
      <w:pPr>
        <w:pStyle w:val="ListParagraph"/>
        <w:ind w:left="570"/>
        <w:rPr>
          <w:bCs/>
          <w:sz w:val="24"/>
          <w:szCs w:val="24"/>
        </w:rPr>
      </w:pPr>
    </w:p>
    <w:p w14:paraId="2D1C551D" w14:textId="6047B277" w:rsidR="00407726" w:rsidRPr="00407726" w:rsidRDefault="00407726" w:rsidP="00400018">
      <w:pPr>
        <w:pStyle w:val="ListParagraph"/>
        <w:numPr>
          <w:ilvl w:val="0"/>
          <w:numId w:val="2"/>
        </w:numPr>
        <w:rPr>
          <w:bCs/>
          <w:sz w:val="24"/>
          <w:szCs w:val="24"/>
        </w:rPr>
      </w:pPr>
      <w:r>
        <w:rPr>
          <w:bCs/>
          <w:sz w:val="24"/>
          <w:szCs w:val="24"/>
        </w:rPr>
        <w:lastRenderedPageBreak/>
        <w:t xml:space="preserve">Section 3 of the Instrument </w:t>
      </w:r>
      <w:r w:rsidR="00F00181">
        <w:rPr>
          <w:bCs/>
          <w:sz w:val="24"/>
          <w:szCs w:val="24"/>
        </w:rPr>
        <w:t xml:space="preserve">provides that this instrument is made </w:t>
      </w:r>
      <w:r w:rsidRPr="00407726">
        <w:rPr>
          <w:bCs/>
          <w:sz w:val="24"/>
          <w:szCs w:val="24"/>
        </w:rPr>
        <w:t>under paragraph 926A(2)(c) of the</w:t>
      </w:r>
      <w:r w:rsidR="00F00181">
        <w:rPr>
          <w:bCs/>
          <w:sz w:val="24"/>
          <w:szCs w:val="24"/>
        </w:rPr>
        <w:t xml:space="preserve"> Corporations</w:t>
      </w:r>
      <w:r w:rsidRPr="00407726">
        <w:rPr>
          <w:bCs/>
          <w:sz w:val="24"/>
          <w:szCs w:val="24"/>
        </w:rPr>
        <w:t xml:space="preserve"> Act. </w:t>
      </w:r>
    </w:p>
    <w:p w14:paraId="70DA880F" w14:textId="666F7DBC" w:rsidR="00911A80" w:rsidRPr="00407726" w:rsidRDefault="003E5772" w:rsidP="00400018">
      <w:pPr>
        <w:numPr>
          <w:ilvl w:val="0"/>
          <w:numId w:val="2"/>
        </w:numPr>
        <w:shd w:val="clear" w:color="auto" w:fill="FFFFFF"/>
        <w:overflowPunct w:val="0"/>
        <w:autoSpaceDE w:val="0"/>
        <w:autoSpaceDN w:val="0"/>
        <w:adjustRightInd w:val="0"/>
        <w:spacing w:before="200" w:line="300" w:lineRule="atLeast"/>
        <w:rPr>
          <w:rFonts w:eastAsia="Times New Roman"/>
          <w:color w:val="000000"/>
          <w:sz w:val="24"/>
          <w:szCs w:val="24"/>
        </w:rPr>
      </w:pPr>
      <w:r>
        <w:rPr>
          <w:rFonts w:eastAsia="Times New Roman"/>
          <w:color w:val="000000"/>
          <w:sz w:val="24"/>
          <w:szCs w:val="24"/>
        </w:rPr>
        <w:t xml:space="preserve">Section 4 of the Instrument provides </w:t>
      </w:r>
      <w:r w:rsidR="0077078E">
        <w:rPr>
          <w:rFonts w:eastAsia="Times New Roman"/>
          <w:color w:val="000000"/>
          <w:sz w:val="24"/>
          <w:szCs w:val="24"/>
        </w:rPr>
        <w:t xml:space="preserve">that </w:t>
      </w:r>
      <w:r w:rsidR="00E65647">
        <w:rPr>
          <w:rFonts w:eastAsia="Times New Roman"/>
          <w:color w:val="000000"/>
          <w:sz w:val="24"/>
          <w:szCs w:val="24"/>
        </w:rPr>
        <w:t>references</w:t>
      </w:r>
      <w:r w:rsidR="0077078E">
        <w:rPr>
          <w:rFonts w:eastAsia="Times New Roman"/>
          <w:color w:val="000000"/>
          <w:sz w:val="24"/>
          <w:szCs w:val="24"/>
        </w:rPr>
        <w:t xml:space="preserve"> to the “Act” in the instrument means the “Corporations Act”.</w:t>
      </w:r>
    </w:p>
    <w:p w14:paraId="3B27C2C2" w14:textId="78A5E687" w:rsidR="00F5722C" w:rsidRPr="00F8493B" w:rsidRDefault="0093354A" w:rsidP="00F8493B">
      <w:pPr>
        <w:numPr>
          <w:ilvl w:val="0"/>
          <w:numId w:val="2"/>
        </w:numPr>
        <w:shd w:val="clear" w:color="auto" w:fill="FFFFFF"/>
        <w:overflowPunct w:val="0"/>
        <w:autoSpaceDE w:val="0"/>
        <w:autoSpaceDN w:val="0"/>
        <w:adjustRightInd w:val="0"/>
        <w:spacing w:before="200" w:line="300" w:lineRule="atLeast"/>
        <w:rPr>
          <w:rFonts w:eastAsia="Times New Roman"/>
          <w:color w:val="000000"/>
          <w:sz w:val="24"/>
        </w:rPr>
      </w:pPr>
      <w:r w:rsidRPr="0093354A">
        <w:rPr>
          <w:rFonts w:eastAsia="Times New Roman"/>
          <w:color w:val="000000"/>
          <w:sz w:val="24"/>
        </w:rPr>
        <w:t>Section 5 of the Instrument inserts section 912A</w:t>
      </w:r>
      <w:r w:rsidR="0077078E">
        <w:rPr>
          <w:rFonts w:eastAsia="Times New Roman"/>
          <w:color w:val="000000"/>
          <w:sz w:val="24"/>
        </w:rPr>
        <w:t>B</w:t>
      </w:r>
      <w:r w:rsidR="00AC27C0" w:rsidRPr="00AC27C0">
        <w:t xml:space="preserve"> </w:t>
      </w:r>
      <w:r w:rsidR="00AC27C0" w:rsidRPr="005752C1">
        <w:rPr>
          <w:i/>
          <w:iCs/>
          <w:sz w:val="24"/>
          <w:szCs w:val="24"/>
        </w:rPr>
        <w:t>Adequate financial resources for financial services licensees that issue derivatives</w:t>
      </w:r>
      <w:r w:rsidR="005752C1">
        <w:rPr>
          <w:i/>
          <w:iCs/>
          <w:sz w:val="24"/>
          <w:szCs w:val="24"/>
        </w:rPr>
        <w:t xml:space="preserve"> </w:t>
      </w:r>
      <w:r w:rsidR="001713DF" w:rsidRPr="005752C1">
        <w:rPr>
          <w:i/>
          <w:iCs/>
          <w:sz w:val="24"/>
          <w:szCs w:val="24"/>
        </w:rPr>
        <w:t>to retail clients</w:t>
      </w:r>
      <w:r w:rsidR="001713DF" w:rsidRPr="0093354A">
        <w:rPr>
          <w:rFonts w:eastAsia="Times New Roman"/>
          <w:color w:val="000000"/>
          <w:sz w:val="24"/>
          <w:szCs w:val="24"/>
        </w:rPr>
        <w:t xml:space="preserve"> </w:t>
      </w:r>
      <w:r w:rsidR="005752C1" w:rsidRPr="001713DF">
        <w:rPr>
          <w:sz w:val="24"/>
          <w:szCs w:val="24"/>
        </w:rPr>
        <w:t xml:space="preserve">in its </w:t>
      </w:r>
      <w:r w:rsidR="001713DF" w:rsidRPr="001713DF">
        <w:rPr>
          <w:sz w:val="24"/>
          <w:szCs w:val="24"/>
        </w:rPr>
        <w:t>relative</w:t>
      </w:r>
      <w:r w:rsidR="005752C1" w:rsidRPr="001713DF">
        <w:rPr>
          <w:sz w:val="24"/>
          <w:szCs w:val="24"/>
        </w:rPr>
        <w:t xml:space="preserve"> order in</w:t>
      </w:r>
      <w:r w:rsidR="00644B5D">
        <w:rPr>
          <w:sz w:val="24"/>
          <w:szCs w:val="24"/>
        </w:rPr>
        <w:t>to</w:t>
      </w:r>
      <w:r w:rsidR="005752C1" w:rsidRPr="001713DF">
        <w:rPr>
          <w:sz w:val="24"/>
          <w:szCs w:val="24"/>
        </w:rPr>
        <w:t xml:space="preserve"> Division 3 of Part 7.6 of </w:t>
      </w:r>
      <w:r w:rsidRPr="0093354A">
        <w:rPr>
          <w:rFonts w:eastAsia="Times New Roman"/>
          <w:color w:val="000000"/>
          <w:sz w:val="24"/>
        </w:rPr>
        <w:t>the Corporations Act</w:t>
      </w:r>
      <w:r w:rsidR="00644B5D">
        <w:rPr>
          <w:rFonts w:eastAsia="Times New Roman"/>
          <w:color w:val="000000"/>
          <w:sz w:val="24"/>
        </w:rPr>
        <w:t>.</w:t>
      </w:r>
    </w:p>
    <w:p w14:paraId="07162CD2" w14:textId="0137ECF9" w:rsidR="00753DD4" w:rsidRPr="005D4273" w:rsidRDefault="005D4273" w:rsidP="00753DD4">
      <w:pPr>
        <w:shd w:val="clear" w:color="auto" w:fill="FFFFFF"/>
        <w:overflowPunct w:val="0"/>
        <w:autoSpaceDE w:val="0"/>
        <w:autoSpaceDN w:val="0"/>
        <w:adjustRightInd w:val="0"/>
        <w:spacing w:before="200" w:line="300" w:lineRule="atLeast"/>
        <w:rPr>
          <w:rFonts w:eastAsia="Times New Roman"/>
          <w:b/>
          <w:bCs/>
          <w:i/>
          <w:iCs/>
          <w:color w:val="000000"/>
          <w:sz w:val="24"/>
        </w:rPr>
      </w:pPr>
      <w:r w:rsidRPr="005D4273">
        <w:rPr>
          <w:rFonts w:eastAsia="Times New Roman"/>
          <w:b/>
          <w:bCs/>
          <w:i/>
          <w:iCs/>
          <w:color w:val="000000"/>
          <w:sz w:val="24"/>
        </w:rPr>
        <w:t xml:space="preserve">Who section 912AB applies </w:t>
      </w:r>
      <w:proofErr w:type="gramStart"/>
      <w:r w:rsidRPr="005D4273">
        <w:rPr>
          <w:rFonts w:eastAsia="Times New Roman"/>
          <w:b/>
          <w:bCs/>
          <w:i/>
          <w:iCs/>
          <w:color w:val="000000"/>
          <w:sz w:val="24"/>
        </w:rPr>
        <w:t>to</w:t>
      </w:r>
      <w:proofErr w:type="gramEnd"/>
      <w:r w:rsidRPr="005D4273">
        <w:rPr>
          <w:rFonts w:eastAsia="Times New Roman"/>
          <w:b/>
          <w:bCs/>
          <w:i/>
          <w:iCs/>
          <w:color w:val="000000"/>
          <w:sz w:val="24"/>
        </w:rPr>
        <w:t xml:space="preserve"> </w:t>
      </w:r>
    </w:p>
    <w:p w14:paraId="44AC4CC6" w14:textId="01718043" w:rsidR="001953C3" w:rsidRPr="001953C3" w:rsidRDefault="00682FAF" w:rsidP="00400018">
      <w:pPr>
        <w:numPr>
          <w:ilvl w:val="0"/>
          <w:numId w:val="2"/>
        </w:numPr>
        <w:shd w:val="clear" w:color="auto" w:fill="FFFFFF"/>
        <w:overflowPunct w:val="0"/>
        <w:autoSpaceDE w:val="0"/>
        <w:autoSpaceDN w:val="0"/>
        <w:adjustRightInd w:val="0"/>
        <w:spacing w:before="200" w:line="300" w:lineRule="atLeast"/>
        <w:rPr>
          <w:rFonts w:eastAsia="Times New Roman"/>
          <w:color w:val="000000"/>
          <w:sz w:val="24"/>
        </w:rPr>
      </w:pPr>
      <w:r>
        <w:rPr>
          <w:rFonts w:eastAsia="Times New Roman"/>
          <w:color w:val="000000"/>
          <w:sz w:val="24"/>
        </w:rPr>
        <w:t xml:space="preserve">Subsection </w:t>
      </w:r>
      <w:r w:rsidR="00384FCD">
        <w:rPr>
          <w:rFonts w:eastAsia="Times New Roman"/>
          <w:color w:val="000000"/>
          <w:sz w:val="24"/>
        </w:rPr>
        <w:t>912AB(1)</w:t>
      </w:r>
      <w:r>
        <w:rPr>
          <w:rFonts w:eastAsia="Times New Roman"/>
          <w:color w:val="000000"/>
          <w:sz w:val="24"/>
        </w:rPr>
        <w:t xml:space="preserve"> </w:t>
      </w:r>
      <w:r w:rsidR="0093354A" w:rsidRPr="0093354A">
        <w:rPr>
          <w:rFonts w:eastAsia="Times New Roman"/>
          <w:color w:val="000000"/>
          <w:sz w:val="24"/>
        </w:rPr>
        <w:t xml:space="preserve">applies </w:t>
      </w:r>
      <w:r w:rsidR="001953C3" w:rsidRPr="001953C3">
        <w:rPr>
          <w:rFonts w:eastAsia="Times New Roman"/>
          <w:color w:val="000000"/>
          <w:sz w:val="24"/>
        </w:rPr>
        <w:t xml:space="preserve">to AFS licensees that are authorised to make a market in derivatives to retail clients and who owe liabilities or contingent liabilities to retail clients in respect of derivatives transactions. That is, a licensee must </w:t>
      </w:r>
      <w:proofErr w:type="gramStart"/>
      <w:r w:rsidR="001953C3" w:rsidRPr="001953C3">
        <w:rPr>
          <w:rFonts w:eastAsia="Times New Roman"/>
          <w:color w:val="000000"/>
          <w:sz w:val="24"/>
        </w:rPr>
        <w:t>actually be</w:t>
      </w:r>
      <w:proofErr w:type="gramEnd"/>
      <w:r w:rsidR="001953C3" w:rsidRPr="001953C3">
        <w:rPr>
          <w:rFonts w:eastAsia="Times New Roman"/>
          <w:color w:val="000000"/>
          <w:sz w:val="24"/>
        </w:rPr>
        <w:t xml:space="preserve"> operating a retail OTC derivatives business—rather than merely being authorised under its AFS licence to operate one—in order to be subject to the </w:t>
      </w:r>
      <w:r w:rsidR="00731DEE">
        <w:rPr>
          <w:rFonts w:eastAsia="Times New Roman"/>
          <w:color w:val="000000"/>
          <w:sz w:val="24"/>
        </w:rPr>
        <w:t>Instrument</w:t>
      </w:r>
      <w:r w:rsidR="001953C3" w:rsidRPr="001953C3">
        <w:rPr>
          <w:rFonts w:eastAsia="Times New Roman"/>
          <w:color w:val="000000"/>
          <w:sz w:val="24"/>
        </w:rPr>
        <w:t>.</w:t>
      </w:r>
    </w:p>
    <w:p w14:paraId="558BB4B2" w14:textId="781852AC" w:rsidR="0093354A" w:rsidRPr="0093354A" w:rsidRDefault="004971A1" w:rsidP="00400018">
      <w:pPr>
        <w:numPr>
          <w:ilvl w:val="0"/>
          <w:numId w:val="2"/>
        </w:numPr>
        <w:shd w:val="clear" w:color="auto" w:fill="FFFFFF"/>
        <w:overflowPunct w:val="0"/>
        <w:autoSpaceDE w:val="0"/>
        <w:autoSpaceDN w:val="0"/>
        <w:adjustRightInd w:val="0"/>
        <w:spacing w:before="200" w:line="300" w:lineRule="atLeast"/>
        <w:rPr>
          <w:rFonts w:eastAsia="Times New Roman"/>
          <w:color w:val="000000"/>
          <w:sz w:val="24"/>
        </w:rPr>
      </w:pPr>
      <w:r>
        <w:rPr>
          <w:rFonts w:eastAsia="Times New Roman"/>
          <w:color w:val="000000"/>
          <w:sz w:val="24"/>
        </w:rPr>
        <w:t>Subsection 912AB(1) does not a</w:t>
      </w:r>
      <w:r w:rsidRPr="0093354A">
        <w:rPr>
          <w:rFonts w:eastAsia="Times New Roman"/>
          <w:color w:val="000000"/>
          <w:sz w:val="24"/>
        </w:rPr>
        <w:t>ppl</w:t>
      </w:r>
      <w:r>
        <w:rPr>
          <w:rFonts w:eastAsia="Times New Roman"/>
          <w:color w:val="000000"/>
          <w:sz w:val="24"/>
        </w:rPr>
        <w:t>y to:</w:t>
      </w:r>
    </w:p>
    <w:p w14:paraId="6B9FE9E7" w14:textId="76C03C42" w:rsidR="0093354A" w:rsidRPr="0093354A" w:rsidRDefault="0093354A" w:rsidP="00CA06F9">
      <w:pPr>
        <w:numPr>
          <w:ilvl w:val="0"/>
          <w:numId w:val="5"/>
        </w:numPr>
        <w:shd w:val="clear" w:color="auto" w:fill="FFFFFF"/>
        <w:overflowPunct w:val="0"/>
        <w:autoSpaceDE w:val="0"/>
        <w:autoSpaceDN w:val="0"/>
        <w:adjustRightInd w:val="0"/>
        <w:spacing w:before="200" w:line="300" w:lineRule="atLeast"/>
        <w:rPr>
          <w:rFonts w:eastAsia="Times New Roman"/>
          <w:color w:val="000000"/>
          <w:sz w:val="24"/>
        </w:rPr>
      </w:pPr>
      <w:r w:rsidRPr="0093354A">
        <w:rPr>
          <w:rFonts w:eastAsia="Times New Roman"/>
          <w:color w:val="000000"/>
          <w:sz w:val="24"/>
        </w:rPr>
        <w:t xml:space="preserve">a body regulated by </w:t>
      </w:r>
      <w:r w:rsidRPr="0094637C">
        <w:rPr>
          <w:rFonts w:eastAsia="Times New Roman"/>
          <w:color w:val="000000"/>
          <w:sz w:val="24"/>
        </w:rPr>
        <w:t>APRA that is</w:t>
      </w:r>
      <w:r w:rsidRPr="0093354A">
        <w:rPr>
          <w:rFonts w:eastAsia="Times New Roman"/>
          <w:color w:val="000000"/>
          <w:sz w:val="24"/>
        </w:rPr>
        <w:t xml:space="preserve"> not required to comply with paragraph 912A(1)(d) of the Corporations Act; or </w:t>
      </w:r>
    </w:p>
    <w:p w14:paraId="70DD2991" w14:textId="77777777" w:rsidR="0093354A" w:rsidRPr="0093354A" w:rsidRDefault="0093354A" w:rsidP="00CA06F9">
      <w:pPr>
        <w:numPr>
          <w:ilvl w:val="0"/>
          <w:numId w:val="5"/>
        </w:numPr>
        <w:shd w:val="clear" w:color="auto" w:fill="FFFFFF"/>
        <w:overflowPunct w:val="0"/>
        <w:autoSpaceDE w:val="0"/>
        <w:autoSpaceDN w:val="0"/>
        <w:adjustRightInd w:val="0"/>
        <w:spacing w:before="200" w:line="300" w:lineRule="atLeast"/>
        <w:rPr>
          <w:rFonts w:eastAsia="Times New Roman"/>
          <w:color w:val="000000"/>
          <w:sz w:val="24"/>
        </w:rPr>
      </w:pPr>
      <w:r w:rsidRPr="0093354A">
        <w:rPr>
          <w:rFonts w:eastAsia="Times New Roman"/>
          <w:color w:val="000000"/>
          <w:sz w:val="24"/>
        </w:rPr>
        <w:t xml:space="preserve">a market participant; or </w:t>
      </w:r>
    </w:p>
    <w:p w14:paraId="6F909A2E" w14:textId="77777777" w:rsidR="0093354A" w:rsidRPr="0093354A" w:rsidRDefault="0093354A" w:rsidP="00CA06F9">
      <w:pPr>
        <w:numPr>
          <w:ilvl w:val="0"/>
          <w:numId w:val="5"/>
        </w:numPr>
        <w:shd w:val="clear" w:color="auto" w:fill="FFFFFF"/>
        <w:overflowPunct w:val="0"/>
        <w:autoSpaceDE w:val="0"/>
        <w:autoSpaceDN w:val="0"/>
        <w:adjustRightInd w:val="0"/>
        <w:spacing w:before="200" w:line="300" w:lineRule="atLeast"/>
        <w:rPr>
          <w:rFonts w:eastAsia="Times New Roman"/>
          <w:color w:val="000000"/>
          <w:sz w:val="24"/>
        </w:rPr>
      </w:pPr>
      <w:r w:rsidRPr="0093354A">
        <w:rPr>
          <w:rFonts w:eastAsia="Times New Roman"/>
          <w:color w:val="000000"/>
          <w:sz w:val="24"/>
        </w:rPr>
        <w:t xml:space="preserve">a clearing participant. </w:t>
      </w:r>
    </w:p>
    <w:p w14:paraId="1977D651" w14:textId="77777777" w:rsidR="0093354A" w:rsidRPr="0093354A" w:rsidRDefault="0093354A" w:rsidP="0093354A">
      <w:pPr>
        <w:shd w:val="clear" w:color="auto" w:fill="FFFFFF"/>
        <w:overflowPunct w:val="0"/>
        <w:autoSpaceDE w:val="0"/>
        <w:autoSpaceDN w:val="0"/>
        <w:adjustRightInd w:val="0"/>
        <w:spacing w:before="200" w:line="300" w:lineRule="atLeast"/>
        <w:ind w:left="570"/>
        <w:rPr>
          <w:rFonts w:eastAsia="Times New Roman"/>
          <w:color w:val="000000"/>
          <w:sz w:val="24"/>
        </w:rPr>
      </w:pPr>
      <w:r w:rsidRPr="0093354A">
        <w:rPr>
          <w:rFonts w:eastAsia="Times New Roman"/>
          <w:color w:val="000000"/>
          <w:sz w:val="24"/>
        </w:rPr>
        <w:t xml:space="preserve">This is because other requirements apply to these AFS licensees under ASIC or APRA policy. </w:t>
      </w:r>
    </w:p>
    <w:p w14:paraId="0C53B191" w14:textId="2A649FE5" w:rsidR="00C35F36" w:rsidRPr="00C35F36" w:rsidRDefault="00C35F36" w:rsidP="00C35F36">
      <w:pPr>
        <w:pStyle w:val="BodyText"/>
        <w:tabs>
          <w:tab w:val="left" w:pos="567"/>
          <w:tab w:val="left" w:pos="680"/>
          <w:tab w:val="left" w:pos="709"/>
        </w:tabs>
        <w:spacing w:before="200" w:after="0"/>
        <w:textAlignment w:val="baseline"/>
        <w:rPr>
          <w:b/>
          <w:i/>
        </w:rPr>
      </w:pPr>
      <w:r w:rsidRPr="00554A6A">
        <w:rPr>
          <w:b/>
          <w:i/>
        </w:rPr>
        <w:t>Complying with AFS licence conditions</w:t>
      </w:r>
    </w:p>
    <w:p w14:paraId="713D026C" w14:textId="16F22FE2" w:rsidR="008D21A2" w:rsidRDefault="0093354A" w:rsidP="00400018">
      <w:pPr>
        <w:numPr>
          <w:ilvl w:val="0"/>
          <w:numId w:val="2"/>
        </w:numPr>
        <w:shd w:val="clear" w:color="auto" w:fill="FFFFFF"/>
        <w:overflowPunct w:val="0"/>
        <w:autoSpaceDE w:val="0"/>
        <w:autoSpaceDN w:val="0"/>
        <w:adjustRightInd w:val="0"/>
        <w:spacing w:before="200" w:line="300" w:lineRule="atLeast"/>
        <w:rPr>
          <w:rFonts w:eastAsia="Times New Roman"/>
          <w:color w:val="000000"/>
          <w:sz w:val="24"/>
        </w:rPr>
      </w:pPr>
      <w:r w:rsidRPr="0093354A">
        <w:rPr>
          <w:rFonts w:eastAsia="Times New Roman"/>
          <w:color w:val="000000"/>
          <w:sz w:val="24"/>
        </w:rPr>
        <w:t>Subsection 912A</w:t>
      </w:r>
      <w:r w:rsidR="00577640">
        <w:rPr>
          <w:rFonts w:eastAsia="Times New Roman"/>
          <w:color w:val="000000"/>
          <w:sz w:val="24"/>
        </w:rPr>
        <w:t>B</w:t>
      </w:r>
      <w:r w:rsidRPr="0093354A">
        <w:rPr>
          <w:rFonts w:eastAsia="Times New Roman"/>
          <w:color w:val="000000"/>
          <w:sz w:val="24"/>
        </w:rPr>
        <w:t>(2) specifies that a licensee to which section 912A</w:t>
      </w:r>
      <w:r w:rsidR="005847A1">
        <w:rPr>
          <w:rFonts w:eastAsia="Times New Roman"/>
          <w:color w:val="000000"/>
          <w:sz w:val="24"/>
        </w:rPr>
        <w:t>B</w:t>
      </w:r>
      <w:r w:rsidRPr="0093354A">
        <w:rPr>
          <w:rFonts w:eastAsia="Times New Roman"/>
          <w:color w:val="000000"/>
          <w:sz w:val="24"/>
        </w:rPr>
        <w:t xml:space="preserve"> applies is taken to have complied with the conditions (if any) of its AFS license that relate to </w:t>
      </w:r>
      <w:r w:rsidR="008D21A2">
        <w:rPr>
          <w:rFonts w:eastAsia="Times New Roman"/>
          <w:color w:val="000000"/>
          <w:sz w:val="24"/>
        </w:rPr>
        <w:t>any of the following:</w:t>
      </w:r>
    </w:p>
    <w:p w14:paraId="7F5827F4" w14:textId="77777777" w:rsidR="008D21A2" w:rsidRPr="008D21A2" w:rsidRDefault="008D21A2" w:rsidP="00CA06F9">
      <w:pPr>
        <w:numPr>
          <w:ilvl w:val="0"/>
          <w:numId w:val="6"/>
        </w:numPr>
        <w:shd w:val="clear" w:color="auto" w:fill="FFFFFF"/>
        <w:overflowPunct w:val="0"/>
        <w:autoSpaceDE w:val="0"/>
        <w:autoSpaceDN w:val="0"/>
        <w:adjustRightInd w:val="0"/>
        <w:spacing w:before="200" w:line="300" w:lineRule="atLeast"/>
        <w:rPr>
          <w:rFonts w:eastAsia="Times New Roman"/>
          <w:color w:val="000000"/>
          <w:sz w:val="24"/>
        </w:rPr>
      </w:pPr>
      <w:r w:rsidRPr="00D22C8B">
        <w:rPr>
          <w:rFonts w:eastAsia="Times New Roman"/>
          <w:color w:val="000000"/>
          <w:sz w:val="24"/>
        </w:rPr>
        <w:t xml:space="preserve">a cash </w:t>
      </w:r>
      <w:proofErr w:type="gramStart"/>
      <w:r w:rsidRPr="00D22C8B">
        <w:rPr>
          <w:rFonts w:eastAsia="Times New Roman"/>
          <w:color w:val="000000"/>
          <w:sz w:val="24"/>
        </w:rPr>
        <w:t>needs</w:t>
      </w:r>
      <w:proofErr w:type="gramEnd"/>
      <w:r w:rsidRPr="00D22C8B">
        <w:rPr>
          <w:rFonts w:eastAsia="Times New Roman"/>
          <w:color w:val="000000"/>
          <w:sz w:val="24"/>
        </w:rPr>
        <w:t xml:space="preserve"> requirement; </w:t>
      </w:r>
    </w:p>
    <w:p w14:paraId="246D10A7" w14:textId="77777777" w:rsidR="008D21A2" w:rsidRPr="008D21A2" w:rsidRDefault="008D21A2" w:rsidP="00CA06F9">
      <w:pPr>
        <w:numPr>
          <w:ilvl w:val="0"/>
          <w:numId w:val="6"/>
        </w:numPr>
        <w:shd w:val="clear" w:color="auto" w:fill="FFFFFF"/>
        <w:overflowPunct w:val="0"/>
        <w:autoSpaceDE w:val="0"/>
        <w:autoSpaceDN w:val="0"/>
        <w:adjustRightInd w:val="0"/>
        <w:spacing w:before="200" w:line="300" w:lineRule="atLeast"/>
        <w:rPr>
          <w:rFonts w:eastAsia="Times New Roman"/>
          <w:color w:val="000000"/>
          <w:sz w:val="24"/>
        </w:rPr>
      </w:pPr>
      <w:r w:rsidRPr="00D22C8B">
        <w:rPr>
          <w:rFonts w:eastAsia="Times New Roman"/>
          <w:color w:val="000000"/>
          <w:sz w:val="24"/>
        </w:rPr>
        <w:t xml:space="preserve">financial requirements for licensees transacting with </w:t>
      </w:r>
      <w:proofErr w:type="gramStart"/>
      <w:r w:rsidRPr="00D22C8B">
        <w:rPr>
          <w:rFonts w:eastAsia="Times New Roman"/>
          <w:color w:val="000000"/>
          <w:sz w:val="24"/>
        </w:rPr>
        <w:t>clients;</w:t>
      </w:r>
      <w:proofErr w:type="gramEnd"/>
      <w:r w:rsidRPr="00D22C8B">
        <w:rPr>
          <w:rFonts w:eastAsia="Times New Roman"/>
          <w:color w:val="000000"/>
          <w:sz w:val="24"/>
        </w:rPr>
        <w:t xml:space="preserve"> </w:t>
      </w:r>
    </w:p>
    <w:p w14:paraId="25A921BE" w14:textId="77777777" w:rsidR="008D21A2" w:rsidRPr="008D21A2" w:rsidRDefault="008D21A2" w:rsidP="00CA06F9">
      <w:pPr>
        <w:numPr>
          <w:ilvl w:val="0"/>
          <w:numId w:val="6"/>
        </w:numPr>
        <w:shd w:val="clear" w:color="auto" w:fill="FFFFFF"/>
        <w:overflowPunct w:val="0"/>
        <w:autoSpaceDE w:val="0"/>
        <w:autoSpaceDN w:val="0"/>
        <w:adjustRightInd w:val="0"/>
        <w:spacing w:before="200" w:line="300" w:lineRule="atLeast"/>
        <w:rPr>
          <w:rFonts w:eastAsia="Times New Roman"/>
          <w:color w:val="000000"/>
          <w:sz w:val="24"/>
        </w:rPr>
      </w:pPr>
      <w:r w:rsidRPr="00D22C8B">
        <w:rPr>
          <w:rFonts w:eastAsia="Times New Roman"/>
          <w:color w:val="000000"/>
          <w:sz w:val="24"/>
        </w:rPr>
        <w:t xml:space="preserve">reporting triggers and requirements for financial requirement </w:t>
      </w:r>
      <w:proofErr w:type="gramStart"/>
      <w:r w:rsidRPr="00D22C8B">
        <w:rPr>
          <w:rFonts w:eastAsia="Times New Roman"/>
          <w:color w:val="000000"/>
          <w:sz w:val="24"/>
        </w:rPr>
        <w:t>conditions;</w:t>
      </w:r>
      <w:proofErr w:type="gramEnd"/>
      <w:r w:rsidRPr="00D22C8B">
        <w:rPr>
          <w:rFonts w:eastAsia="Times New Roman"/>
          <w:color w:val="000000"/>
          <w:sz w:val="24"/>
        </w:rPr>
        <w:t xml:space="preserve"> </w:t>
      </w:r>
    </w:p>
    <w:p w14:paraId="2C073195" w14:textId="09B49520" w:rsidR="0093354A" w:rsidRPr="0009545F" w:rsidRDefault="008D21A2" w:rsidP="0009545F">
      <w:pPr>
        <w:numPr>
          <w:ilvl w:val="0"/>
          <w:numId w:val="6"/>
        </w:numPr>
        <w:shd w:val="clear" w:color="auto" w:fill="FFFFFF"/>
        <w:overflowPunct w:val="0"/>
        <w:autoSpaceDE w:val="0"/>
        <w:autoSpaceDN w:val="0"/>
        <w:adjustRightInd w:val="0"/>
        <w:spacing w:before="200" w:line="300" w:lineRule="atLeast"/>
        <w:rPr>
          <w:b/>
        </w:rPr>
      </w:pPr>
      <w:r w:rsidRPr="00D22C8B">
        <w:rPr>
          <w:rFonts w:eastAsia="Times New Roman"/>
          <w:color w:val="000000"/>
          <w:sz w:val="24"/>
        </w:rPr>
        <w:t xml:space="preserve">the obligation to lodge an audit opinion on the financial requirements to the extent the opinion is for a part of a financial year or other period during which the licensee was covered by </w:t>
      </w:r>
      <w:r w:rsidR="00AE6230">
        <w:rPr>
          <w:rFonts w:eastAsia="Times New Roman"/>
          <w:color w:val="000000"/>
          <w:sz w:val="24"/>
        </w:rPr>
        <w:t>s</w:t>
      </w:r>
      <w:r w:rsidR="00F00B95" w:rsidRPr="0093354A">
        <w:rPr>
          <w:rFonts w:eastAsia="Times New Roman"/>
          <w:color w:val="000000"/>
          <w:sz w:val="24"/>
        </w:rPr>
        <w:t>ubsection 912A</w:t>
      </w:r>
      <w:r w:rsidR="00AD48F9">
        <w:rPr>
          <w:rFonts w:eastAsia="Times New Roman"/>
          <w:color w:val="000000"/>
          <w:sz w:val="24"/>
        </w:rPr>
        <w:t>B</w:t>
      </w:r>
      <w:r w:rsidR="00F00B95" w:rsidRPr="0093354A">
        <w:rPr>
          <w:rFonts w:eastAsia="Times New Roman"/>
          <w:color w:val="000000"/>
          <w:sz w:val="24"/>
        </w:rPr>
        <w:t>(</w:t>
      </w:r>
      <w:r w:rsidR="00F00B95">
        <w:rPr>
          <w:rFonts w:eastAsia="Times New Roman"/>
          <w:color w:val="000000"/>
          <w:sz w:val="24"/>
        </w:rPr>
        <w:t>1</w:t>
      </w:r>
      <w:r w:rsidR="00F00B95" w:rsidRPr="0093354A">
        <w:rPr>
          <w:rFonts w:eastAsia="Times New Roman"/>
          <w:color w:val="000000"/>
          <w:sz w:val="24"/>
        </w:rPr>
        <w:t>)</w:t>
      </w:r>
      <w:r w:rsidR="008D3A78">
        <w:rPr>
          <w:rFonts w:eastAsia="Times New Roman"/>
          <w:color w:val="000000"/>
          <w:sz w:val="24"/>
        </w:rPr>
        <w:t>.</w:t>
      </w:r>
    </w:p>
    <w:p w14:paraId="11052423" w14:textId="77777777" w:rsidR="00123F3A" w:rsidRPr="00ED24FA" w:rsidRDefault="00123F3A" w:rsidP="00DF774A">
      <w:pPr>
        <w:pStyle w:val="BodyText"/>
        <w:tabs>
          <w:tab w:val="left" w:pos="567"/>
        </w:tabs>
        <w:spacing w:before="200" w:after="0"/>
        <w:textAlignment w:val="baseline"/>
        <w:rPr>
          <w:b/>
          <w:i/>
        </w:rPr>
      </w:pPr>
      <w:r w:rsidRPr="00ED24FA">
        <w:rPr>
          <w:b/>
          <w:i/>
        </w:rPr>
        <w:t>Cash needs requirement</w:t>
      </w:r>
    </w:p>
    <w:p w14:paraId="0D480332" w14:textId="77777777" w:rsidR="00123F3A" w:rsidRPr="00EB6F39" w:rsidRDefault="00123F3A" w:rsidP="00EB6F39">
      <w:pPr>
        <w:numPr>
          <w:ilvl w:val="0"/>
          <w:numId w:val="2"/>
        </w:numPr>
        <w:shd w:val="clear" w:color="auto" w:fill="FFFFFF"/>
        <w:overflowPunct w:val="0"/>
        <w:autoSpaceDE w:val="0"/>
        <w:autoSpaceDN w:val="0"/>
        <w:adjustRightInd w:val="0"/>
        <w:spacing w:before="200" w:line="300" w:lineRule="atLeast"/>
        <w:rPr>
          <w:rFonts w:eastAsia="Times New Roman"/>
          <w:color w:val="000000"/>
          <w:sz w:val="24"/>
        </w:rPr>
      </w:pPr>
      <w:r w:rsidRPr="00EB6F39">
        <w:rPr>
          <w:rFonts w:eastAsia="Times New Roman"/>
          <w:color w:val="000000"/>
          <w:sz w:val="24"/>
        </w:rPr>
        <w:t xml:space="preserve">Paragraph 912AB(3)(a) requires the licensee to prepare in each March, June, September and December, a projection of the licensee’s cash flows over at least </w:t>
      </w:r>
      <w:r w:rsidRPr="00EB6F39">
        <w:rPr>
          <w:rFonts w:eastAsia="Times New Roman"/>
          <w:color w:val="000000"/>
          <w:sz w:val="24"/>
        </w:rPr>
        <w:lastRenderedPageBreak/>
        <w:t>the next 12 months based on the licensee’s reasonable estimate of revenues and expenses over this period; and</w:t>
      </w:r>
    </w:p>
    <w:p w14:paraId="1EAF5CA6" w14:textId="77777777" w:rsidR="00123F3A" w:rsidRPr="00EB6F39" w:rsidRDefault="00123F3A" w:rsidP="00EB6F39">
      <w:pPr>
        <w:numPr>
          <w:ilvl w:val="0"/>
          <w:numId w:val="2"/>
        </w:numPr>
        <w:shd w:val="clear" w:color="auto" w:fill="FFFFFF"/>
        <w:overflowPunct w:val="0"/>
        <w:autoSpaceDE w:val="0"/>
        <w:autoSpaceDN w:val="0"/>
        <w:adjustRightInd w:val="0"/>
        <w:spacing w:before="200" w:line="300" w:lineRule="atLeast"/>
        <w:rPr>
          <w:rFonts w:eastAsia="Times New Roman"/>
          <w:color w:val="000000"/>
          <w:sz w:val="24"/>
        </w:rPr>
      </w:pPr>
      <w:r w:rsidRPr="00EB6F39">
        <w:rPr>
          <w:rFonts w:eastAsia="Times New Roman"/>
          <w:color w:val="000000"/>
          <w:sz w:val="24"/>
        </w:rPr>
        <w:t xml:space="preserve">Paragraph 912AB(3)(b) requires the licensee to have the projection certified by the following persons as being based on the licensee’s reasonable estimate of revenues and expenses over the relevant period: </w:t>
      </w:r>
    </w:p>
    <w:p w14:paraId="48820AB8" w14:textId="6294C671" w:rsidR="00123F3A" w:rsidRPr="00724B24" w:rsidRDefault="00123F3A" w:rsidP="00CA06F9">
      <w:pPr>
        <w:numPr>
          <w:ilvl w:val="0"/>
          <w:numId w:val="7"/>
        </w:numPr>
        <w:shd w:val="clear" w:color="auto" w:fill="FFFFFF"/>
        <w:overflowPunct w:val="0"/>
        <w:autoSpaceDE w:val="0"/>
        <w:autoSpaceDN w:val="0"/>
        <w:adjustRightInd w:val="0"/>
        <w:spacing w:before="200" w:line="300" w:lineRule="atLeast"/>
        <w:rPr>
          <w:rFonts w:eastAsia="Times New Roman"/>
          <w:color w:val="000000"/>
          <w:sz w:val="24"/>
        </w:rPr>
      </w:pPr>
      <w:r w:rsidRPr="00724B24">
        <w:rPr>
          <w:rFonts w:eastAsia="Times New Roman"/>
          <w:color w:val="000000"/>
          <w:sz w:val="24"/>
        </w:rPr>
        <w:t>if the licensee is a body corporate</w:t>
      </w:r>
      <w:r w:rsidR="0094637C">
        <w:rPr>
          <w:rFonts w:eastAsia="Times New Roman"/>
          <w:color w:val="000000"/>
          <w:sz w:val="24"/>
        </w:rPr>
        <w:t xml:space="preserve">, </w:t>
      </w:r>
      <w:r w:rsidRPr="00724B24">
        <w:rPr>
          <w:rFonts w:eastAsia="Times New Roman"/>
          <w:color w:val="000000"/>
          <w:sz w:val="24"/>
        </w:rPr>
        <w:t xml:space="preserve">the directors of the </w:t>
      </w:r>
      <w:proofErr w:type="gramStart"/>
      <w:r w:rsidRPr="00724B24">
        <w:rPr>
          <w:rFonts w:eastAsia="Times New Roman"/>
          <w:color w:val="000000"/>
          <w:sz w:val="24"/>
        </w:rPr>
        <w:t>licensee;</w:t>
      </w:r>
      <w:proofErr w:type="gramEnd"/>
    </w:p>
    <w:p w14:paraId="3FE21A72" w14:textId="35A3A8F0" w:rsidR="00123F3A" w:rsidRPr="00724B24" w:rsidRDefault="00123F3A" w:rsidP="00CA06F9">
      <w:pPr>
        <w:numPr>
          <w:ilvl w:val="0"/>
          <w:numId w:val="7"/>
        </w:numPr>
        <w:shd w:val="clear" w:color="auto" w:fill="FFFFFF"/>
        <w:overflowPunct w:val="0"/>
        <w:autoSpaceDE w:val="0"/>
        <w:autoSpaceDN w:val="0"/>
        <w:adjustRightInd w:val="0"/>
        <w:spacing w:before="200" w:line="300" w:lineRule="atLeast"/>
        <w:rPr>
          <w:rFonts w:eastAsia="Times New Roman"/>
          <w:color w:val="000000"/>
          <w:sz w:val="24"/>
        </w:rPr>
      </w:pPr>
      <w:r w:rsidRPr="00724B24">
        <w:rPr>
          <w:rFonts w:eastAsia="Times New Roman"/>
          <w:color w:val="000000"/>
          <w:sz w:val="24"/>
        </w:rPr>
        <w:t>if the licensee is a partnership or the trustees of a trust</w:t>
      </w:r>
      <w:r w:rsidR="0094637C">
        <w:rPr>
          <w:rFonts w:eastAsia="Times New Roman"/>
          <w:color w:val="000000"/>
          <w:sz w:val="24"/>
        </w:rPr>
        <w:t xml:space="preserve">, </w:t>
      </w:r>
      <w:r w:rsidRPr="00724B24">
        <w:rPr>
          <w:rFonts w:eastAsia="Times New Roman"/>
          <w:color w:val="000000"/>
          <w:sz w:val="24"/>
        </w:rPr>
        <w:t xml:space="preserve">the partners of the licensee or the </w:t>
      </w:r>
      <w:proofErr w:type="gramStart"/>
      <w:r w:rsidRPr="00724B24">
        <w:rPr>
          <w:rFonts w:eastAsia="Times New Roman"/>
          <w:color w:val="000000"/>
          <w:sz w:val="24"/>
        </w:rPr>
        <w:t>trustees;</w:t>
      </w:r>
      <w:proofErr w:type="gramEnd"/>
    </w:p>
    <w:p w14:paraId="601D6CF1" w14:textId="0F7A3E75" w:rsidR="00123F3A" w:rsidRPr="00724B24" w:rsidRDefault="00123F3A" w:rsidP="00CA06F9">
      <w:pPr>
        <w:numPr>
          <w:ilvl w:val="0"/>
          <w:numId w:val="7"/>
        </w:numPr>
        <w:shd w:val="clear" w:color="auto" w:fill="FFFFFF"/>
        <w:overflowPunct w:val="0"/>
        <w:autoSpaceDE w:val="0"/>
        <w:autoSpaceDN w:val="0"/>
        <w:adjustRightInd w:val="0"/>
        <w:spacing w:before="200" w:line="300" w:lineRule="atLeast"/>
        <w:rPr>
          <w:rFonts w:eastAsia="Times New Roman"/>
          <w:color w:val="000000"/>
          <w:sz w:val="24"/>
        </w:rPr>
      </w:pPr>
      <w:r w:rsidRPr="00724B24">
        <w:rPr>
          <w:rFonts w:eastAsia="Times New Roman"/>
          <w:color w:val="000000"/>
          <w:sz w:val="24"/>
        </w:rPr>
        <w:t>if the licensee is a natural person</w:t>
      </w:r>
      <w:r w:rsidR="0094637C">
        <w:rPr>
          <w:rFonts w:eastAsia="Times New Roman"/>
          <w:color w:val="000000"/>
          <w:sz w:val="24"/>
        </w:rPr>
        <w:t xml:space="preserve">, </w:t>
      </w:r>
      <w:r w:rsidRPr="00724B24">
        <w:rPr>
          <w:rFonts w:eastAsia="Times New Roman"/>
          <w:color w:val="000000"/>
          <w:sz w:val="24"/>
        </w:rPr>
        <w:t>the person; and</w:t>
      </w:r>
    </w:p>
    <w:p w14:paraId="63E9381C" w14:textId="77777777" w:rsidR="00123F3A" w:rsidRPr="00724B24" w:rsidRDefault="00123F3A" w:rsidP="00724B24">
      <w:pPr>
        <w:numPr>
          <w:ilvl w:val="0"/>
          <w:numId w:val="2"/>
        </w:numPr>
        <w:shd w:val="clear" w:color="auto" w:fill="FFFFFF"/>
        <w:overflowPunct w:val="0"/>
        <w:autoSpaceDE w:val="0"/>
        <w:autoSpaceDN w:val="0"/>
        <w:adjustRightInd w:val="0"/>
        <w:spacing w:before="200" w:line="300" w:lineRule="atLeast"/>
        <w:rPr>
          <w:rFonts w:eastAsia="Times New Roman"/>
          <w:color w:val="000000"/>
          <w:sz w:val="24"/>
        </w:rPr>
      </w:pPr>
      <w:r w:rsidRPr="00724B24">
        <w:rPr>
          <w:rFonts w:eastAsia="Times New Roman"/>
          <w:color w:val="000000"/>
          <w:sz w:val="24"/>
        </w:rPr>
        <w:t>Paragraph 912AB(3)(c) requires the licensee to document the calculations and assumptions used in preparing the projection, and describe in writing why the assumptions are appropriate; and</w:t>
      </w:r>
    </w:p>
    <w:p w14:paraId="051A6CDB" w14:textId="7819969A" w:rsidR="00123F3A" w:rsidRPr="00724B24" w:rsidRDefault="00123F3A" w:rsidP="00724B24">
      <w:pPr>
        <w:numPr>
          <w:ilvl w:val="0"/>
          <w:numId w:val="2"/>
        </w:numPr>
        <w:shd w:val="clear" w:color="auto" w:fill="FFFFFF"/>
        <w:overflowPunct w:val="0"/>
        <w:autoSpaceDE w:val="0"/>
        <w:autoSpaceDN w:val="0"/>
        <w:adjustRightInd w:val="0"/>
        <w:spacing w:before="200" w:line="300" w:lineRule="atLeast"/>
        <w:rPr>
          <w:rFonts w:eastAsia="Times New Roman"/>
          <w:color w:val="000000"/>
          <w:sz w:val="24"/>
        </w:rPr>
      </w:pPr>
      <w:r w:rsidRPr="00724B24">
        <w:rPr>
          <w:rFonts w:eastAsia="Times New Roman"/>
          <w:color w:val="000000"/>
          <w:sz w:val="24"/>
        </w:rPr>
        <w:t xml:space="preserve">Paragraph 912AB(3)(d) requires the licensee to update the projection of the licensee’s cash flows if there is reason to suspect that an updated projection would show the licensee was not meeting the requirements in </w:t>
      </w:r>
      <w:r w:rsidR="00AE6230">
        <w:rPr>
          <w:rFonts w:eastAsia="Times New Roman"/>
          <w:color w:val="000000"/>
          <w:sz w:val="24"/>
        </w:rPr>
        <w:t>sub</w:t>
      </w:r>
      <w:r w:rsidRPr="00724B24">
        <w:rPr>
          <w:rFonts w:eastAsia="Times New Roman"/>
          <w:color w:val="000000"/>
          <w:sz w:val="24"/>
        </w:rPr>
        <w:t xml:space="preserve">paragraphs </w:t>
      </w:r>
      <w:r w:rsidR="002E00B5">
        <w:rPr>
          <w:rFonts w:eastAsia="Times New Roman"/>
          <w:color w:val="000000"/>
          <w:sz w:val="24"/>
        </w:rPr>
        <w:t>912</w:t>
      </w:r>
      <w:r w:rsidR="00974CEE">
        <w:rPr>
          <w:rFonts w:eastAsia="Times New Roman"/>
          <w:color w:val="000000"/>
          <w:sz w:val="24"/>
        </w:rPr>
        <w:t>AB(3)</w:t>
      </w:r>
      <w:r w:rsidRPr="00724B24">
        <w:rPr>
          <w:rFonts w:eastAsia="Times New Roman"/>
          <w:color w:val="000000"/>
          <w:sz w:val="24"/>
        </w:rPr>
        <w:t>(e)</w:t>
      </w:r>
      <w:r w:rsidR="0049710B" w:rsidRPr="00724B24">
        <w:rPr>
          <w:rFonts w:eastAsia="Times New Roman"/>
          <w:color w:val="000000"/>
          <w:sz w:val="24"/>
        </w:rPr>
        <w:t>(</w:t>
      </w:r>
      <w:proofErr w:type="spellStart"/>
      <w:r w:rsidR="0049710B" w:rsidRPr="00724B24">
        <w:rPr>
          <w:rFonts w:eastAsia="Times New Roman"/>
          <w:color w:val="000000"/>
          <w:sz w:val="24"/>
        </w:rPr>
        <w:t>i</w:t>
      </w:r>
      <w:proofErr w:type="spellEnd"/>
      <w:r w:rsidR="0049710B" w:rsidRPr="00724B24">
        <w:rPr>
          <w:rFonts w:eastAsia="Times New Roman"/>
          <w:color w:val="000000"/>
          <w:sz w:val="24"/>
        </w:rPr>
        <w:t>) or (ii)</w:t>
      </w:r>
      <w:r w:rsidRPr="00724B24">
        <w:rPr>
          <w:rFonts w:eastAsia="Times New Roman"/>
          <w:color w:val="000000"/>
          <w:sz w:val="24"/>
        </w:rPr>
        <w:t>; and</w:t>
      </w:r>
    </w:p>
    <w:p w14:paraId="61CEC980" w14:textId="0BB99109" w:rsidR="00123F3A" w:rsidRPr="00724B24" w:rsidRDefault="00AE6230" w:rsidP="00724B24">
      <w:pPr>
        <w:numPr>
          <w:ilvl w:val="0"/>
          <w:numId w:val="2"/>
        </w:numPr>
        <w:shd w:val="clear" w:color="auto" w:fill="FFFFFF"/>
        <w:overflowPunct w:val="0"/>
        <w:autoSpaceDE w:val="0"/>
        <w:autoSpaceDN w:val="0"/>
        <w:adjustRightInd w:val="0"/>
        <w:spacing w:before="200" w:line="300" w:lineRule="atLeast"/>
        <w:rPr>
          <w:rFonts w:eastAsia="Times New Roman"/>
          <w:color w:val="000000"/>
          <w:sz w:val="24"/>
        </w:rPr>
      </w:pPr>
      <w:r>
        <w:rPr>
          <w:rFonts w:eastAsia="Times New Roman"/>
          <w:color w:val="000000"/>
          <w:sz w:val="24"/>
        </w:rPr>
        <w:t>Subp</w:t>
      </w:r>
      <w:r w:rsidR="0093253F" w:rsidRPr="00724B24">
        <w:rPr>
          <w:rFonts w:eastAsia="Times New Roman"/>
          <w:color w:val="000000"/>
          <w:sz w:val="24"/>
        </w:rPr>
        <w:t>arag</w:t>
      </w:r>
      <w:r w:rsidR="00EC3644" w:rsidRPr="00724B24">
        <w:rPr>
          <w:rFonts w:eastAsia="Times New Roman"/>
          <w:color w:val="000000"/>
          <w:sz w:val="24"/>
        </w:rPr>
        <w:t>raph 912AB(3)(e)(</w:t>
      </w:r>
      <w:proofErr w:type="spellStart"/>
      <w:r w:rsidR="00EC3644" w:rsidRPr="00724B24">
        <w:rPr>
          <w:rFonts w:eastAsia="Times New Roman"/>
          <w:color w:val="000000"/>
          <w:sz w:val="24"/>
        </w:rPr>
        <w:t>i</w:t>
      </w:r>
      <w:proofErr w:type="spellEnd"/>
      <w:r w:rsidR="00EC3644" w:rsidRPr="00724B24">
        <w:rPr>
          <w:rFonts w:eastAsia="Times New Roman"/>
          <w:color w:val="000000"/>
          <w:sz w:val="24"/>
        </w:rPr>
        <w:t xml:space="preserve">) requires the </w:t>
      </w:r>
      <w:r w:rsidR="00123F3A" w:rsidRPr="00724B24">
        <w:rPr>
          <w:rFonts w:eastAsia="Times New Roman"/>
          <w:color w:val="000000"/>
          <w:sz w:val="24"/>
        </w:rPr>
        <w:t xml:space="preserve">licensee </w:t>
      </w:r>
      <w:r w:rsidR="00EC3644" w:rsidRPr="00724B24">
        <w:rPr>
          <w:rFonts w:eastAsia="Times New Roman"/>
          <w:color w:val="000000"/>
          <w:sz w:val="24"/>
        </w:rPr>
        <w:t xml:space="preserve">to </w:t>
      </w:r>
      <w:r w:rsidR="00676534" w:rsidRPr="00724B24">
        <w:rPr>
          <w:rFonts w:eastAsia="Times New Roman"/>
          <w:color w:val="000000"/>
          <w:sz w:val="24"/>
        </w:rPr>
        <w:t>certify in writing</w:t>
      </w:r>
      <w:r w:rsidR="00123F3A" w:rsidRPr="00724B24">
        <w:rPr>
          <w:rFonts w:eastAsia="Times New Roman"/>
          <w:color w:val="000000"/>
          <w:sz w:val="24"/>
        </w:rPr>
        <w:t>, based on the projection of the licensee’s cash flows, that the licensee will have access when needed to enough financial resources to meet its liabilities over the projected term of at least the next 12 months, including any additional liabilities it projects will be  incurred during that; and</w:t>
      </w:r>
    </w:p>
    <w:p w14:paraId="55151954" w14:textId="1A4BC01D" w:rsidR="00123F3A" w:rsidRPr="00724B24" w:rsidRDefault="00AE6230" w:rsidP="00724B24">
      <w:pPr>
        <w:numPr>
          <w:ilvl w:val="0"/>
          <w:numId w:val="2"/>
        </w:numPr>
        <w:shd w:val="clear" w:color="auto" w:fill="FFFFFF"/>
        <w:overflowPunct w:val="0"/>
        <w:autoSpaceDE w:val="0"/>
        <w:autoSpaceDN w:val="0"/>
        <w:adjustRightInd w:val="0"/>
        <w:spacing w:before="200" w:line="300" w:lineRule="atLeast"/>
        <w:rPr>
          <w:rFonts w:eastAsia="Times New Roman"/>
          <w:color w:val="000000"/>
          <w:sz w:val="24"/>
        </w:rPr>
      </w:pPr>
      <w:r>
        <w:rPr>
          <w:rFonts w:eastAsia="Times New Roman"/>
          <w:color w:val="000000"/>
          <w:sz w:val="24"/>
        </w:rPr>
        <w:t>Subp</w:t>
      </w:r>
      <w:r w:rsidR="00676534" w:rsidRPr="00724B24">
        <w:rPr>
          <w:rFonts w:eastAsia="Times New Roman"/>
          <w:color w:val="000000"/>
          <w:sz w:val="24"/>
        </w:rPr>
        <w:t>aragraph 912AB(3)(e)(ii) requires t</w:t>
      </w:r>
      <w:r w:rsidR="00123F3A" w:rsidRPr="00724B24">
        <w:rPr>
          <w:rFonts w:eastAsia="Times New Roman"/>
          <w:color w:val="000000"/>
          <w:sz w:val="24"/>
        </w:rPr>
        <w:t xml:space="preserve">he licensee </w:t>
      </w:r>
      <w:r w:rsidR="00676534" w:rsidRPr="00724B24">
        <w:rPr>
          <w:rFonts w:eastAsia="Times New Roman"/>
          <w:color w:val="000000"/>
          <w:sz w:val="24"/>
        </w:rPr>
        <w:t>to certify in writing,</w:t>
      </w:r>
      <w:r w:rsidR="00123F3A" w:rsidRPr="00724B24">
        <w:rPr>
          <w:rFonts w:eastAsia="Times New Roman"/>
          <w:color w:val="000000"/>
          <w:sz w:val="24"/>
        </w:rPr>
        <w:t xml:space="preserve"> based on the projection of the licensee’s cash flows, that the licensee will </w:t>
      </w:r>
      <w:proofErr w:type="gramStart"/>
      <w:r w:rsidR="00123F3A" w:rsidRPr="00724B24">
        <w:rPr>
          <w:rFonts w:eastAsia="Times New Roman"/>
          <w:color w:val="000000"/>
          <w:sz w:val="24"/>
        </w:rPr>
        <w:t>hold at all times</w:t>
      </w:r>
      <w:proofErr w:type="gramEnd"/>
      <w:r w:rsidR="00123F3A" w:rsidRPr="00724B24">
        <w:rPr>
          <w:rFonts w:eastAsia="Times New Roman"/>
          <w:color w:val="000000"/>
          <w:sz w:val="24"/>
        </w:rPr>
        <w:t xml:space="preserve"> during the period to which the projection relates in cash or cash equivalents, an amount equal to or greater than the current amount the licensee is required to hold in cash or cash equivalents under subsection 912AB(5); and</w:t>
      </w:r>
    </w:p>
    <w:p w14:paraId="55F432F0" w14:textId="271B794F" w:rsidR="00C2228F" w:rsidRDefault="00442632" w:rsidP="0009545F">
      <w:pPr>
        <w:numPr>
          <w:ilvl w:val="0"/>
          <w:numId w:val="2"/>
        </w:numPr>
        <w:shd w:val="clear" w:color="auto" w:fill="FFFFFF"/>
        <w:overflowPunct w:val="0"/>
        <w:autoSpaceDE w:val="0"/>
        <w:autoSpaceDN w:val="0"/>
        <w:adjustRightInd w:val="0"/>
        <w:spacing w:before="200" w:line="240" w:lineRule="auto"/>
      </w:pPr>
      <w:r w:rsidRPr="00724B24">
        <w:rPr>
          <w:rFonts w:eastAsia="Times New Roman"/>
          <w:color w:val="000000"/>
          <w:sz w:val="24"/>
        </w:rPr>
        <w:t>Paragraph 912AB(3)(f) requires t</w:t>
      </w:r>
      <w:r w:rsidR="00123F3A" w:rsidRPr="00724B24">
        <w:rPr>
          <w:rFonts w:eastAsia="Times New Roman"/>
          <w:color w:val="000000"/>
          <w:sz w:val="24"/>
        </w:rPr>
        <w:t xml:space="preserve">he licensee </w:t>
      </w:r>
      <w:r w:rsidRPr="00724B24">
        <w:rPr>
          <w:rFonts w:eastAsia="Times New Roman"/>
          <w:color w:val="000000"/>
          <w:sz w:val="24"/>
        </w:rPr>
        <w:t xml:space="preserve">to </w:t>
      </w:r>
      <w:r w:rsidR="00123F3A" w:rsidRPr="00724B24">
        <w:rPr>
          <w:rFonts w:eastAsia="Times New Roman"/>
          <w:color w:val="000000"/>
          <w:sz w:val="24"/>
        </w:rPr>
        <w:t>make the cash flow projections available to ASIC upon request</w:t>
      </w:r>
      <w:r w:rsidRPr="00724B24">
        <w:rPr>
          <w:rFonts w:eastAsia="Times New Roman"/>
          <w:color w:val="000000"/>
          <w:sz w:val="24"/>
        </w:rPr>
        <w:t>.</w:t>
      </w:r>
    </w:p>
    <w:p w14:paraId="0A10B5AF" w14:textId="77777777" w:rsidR="007D35AD" w:rsidRDefault="007D35AD" w:rsidP="007D35AD">
      <w:pPr>
        <w:pStyle w:val="BodyText"/>
        <w:tabs>
          <w:tab w:val="left" w:pos="709"/>
        </w:tabs>
        <w:spacing w:before="0" w:after="0" w:line="240" w:lineRule="auto"/>
        <w:textAlignment w:val="baseline"/>
        <w:rPr>
          <w:b/>
          <w:i/>
        </w:rPr>
      </w:pPr>
    </w:p>
    <w:p w14:paraId="2B71609B" w14:textId="2A1C75DA" w:rsidR="007D35AD" w:rsidRDefault="00123F3A" w:rsidP="003227EA">
      <w:pPr>
        <w:pStyle w:val="BodyText"/>
        <w:tabs>
          <w:tab w:val="left" w:pos="709"/>
        </w:tabs>
        <w:spacing w:before="0" w:after="0" w:line="240" w:lineRule="auto"/>
        <w:textAlignment w:val="baseline"/>
        <w:rPr>
          <w:b/>
          <w:i/>
        </w:rPr>
      </w:pPr>
      <w:r w:rsidRPr="000D1CD5">
        <w:rPr>
          <w:b/>
          <w:i/>
        </w:rPr>
        <w:t>Net tangible assets</w:t>
      </w:r>
    </w:p>
    <w:p w14:paraId="454A3370" w14:textId="77777777" w:rsidR="00974CEE" w:rsidRDefault="00974CEE" w:rsidP="003227EA">
      <w:pPr>
        <w:pStyle w:val="BodyText"/>
        <w:tabs>
          <w:tab w:val="left" w:pos="709"/>
        </w:tabs>
        <w:spacing w:before="0" w:after="0" w:line="240" w:lineRule="auto"/>
        <w:textAlignment w:val="baseline"/>
        <w:rPr>
          <w:b/>
          <w:i/>
        </w:rPr>
      </w:pPr>
    </w:p>
    <w:p w14:paraId="1000DAB6" w14:textId="4AA42721" w:rsidR="00974CEE" w:rsidRDefault="00123F3A" w:rsidP="0009545F">
      <w:pPr>
        <w:numPr>
          <w:ilvl w:val="0"/>
          <w:numId w:val="2"/>
        </w:numPr>
        <w:shd w:val="clear" w:color="auto" w:fill="FFFFFF"/>
        <w:overflowPunct w:val="0"/>
        <w:autoSpaceDE w:val="0"/>
        <w:autoSpaceDN w:val="0"/>
        <w:adjustRightInd w:val="0"/>
        <w:spacing w:line="240" w:lineRule="auto"/>
        <w:rPr>
          <w:rFonts w:eastAsia="Times New Roman"/>
          <w:color w:val="000000"/>
          <w:sz w:val="24"/>
        </w:rPr>
      </w:pPr>
      <w:r w:rsidRPr="00724B24">
        <w:rPr>
          <w:rFonts w:eastAsia="Times New Roman"/>
          <w:color w:val="000000"/>
          <w:sz w:val="24"/>
        </w:rPr>
        <w:t xml:space="preserve">Subsection 912AB(4) provides that the licensee must </w:t>
      </w:r>
      <w:proofErr w:type="gramStart"/>
      <w:r w:rsidRPr="00724B24">
        <w:rPr>
          <w:rFonts w:eastAsia="Times New Roman"/>
          <w:color w:val="000000"/>
          <w:sz w:val="24"/>
        </w:rPr>
        <w:t>have at all times</w:t>
      </w:r>
      <w:proofErr w:type="gramEnd"/>
      <w:r w:rsidR="00590840">
        <w:rPr>
          <w:rFonts w:eastAsia="Times New Roman"/>
          <w:color w:val="000000"/>
          <w:sz w:val="24"/>
        </w:rPr>
        <w:t xml:space="preserve"> </w:t>
      </w:r>
      <w:proofErr w:type="spellStart"/>
      <w:r w:rsidRPr="00724B24">
        <w:rPr>
          <w:rFonts w:eastAsia="Times New Roman"/>
          <w:color w:val="000000"/>
          <w:sz w:val="24"/>
        </w:rPr>
        <w:t>NTA</w:t>
      </w:r>
      <w:proofErr w:type="spellEnd"/>
      <w:r w:rsidRPr="00724B24">
        <w:rPr>
          <w:rFonts w:eastAsia="Times New Roman"/>
          <w:color w:val="000000"/>
          <w:sz w:val="24"/>
        </w:rPr>
        <w:t xml:space="preserve"> of at least the greater of</w:t>
      </w:r>
      <w:r w:rsidR="00974CEE">
        <w:rPr>
          <w:rFonts w:eastAsia="Times New Roman"/>
          <w:color w:val="000000"/>
          <w:sz w:val="24"/>
        </w:rPr>
        <w:t>:</w:t>
      </w:r>
    </w:p>
    <w:p w14:paraId="167DF5DB" w14:textId="77777777" w:rsidR="00974CEE" w:rsidRPr="00974CEE" w:rsidRDefault="00974CEE" w:rsidP="00974CEE">
      <w:pPr>
        <w:shd w:val="clear" w:color="auto" w:fill="FFFFFF"/>
        <w:overflowPunct w:val="0"/>
        <w:autoSpaceDE w:val="0"/>
        <w:autoSpaceDN w:val="0"/>
        <w:adjustRightInd w:val="0"/>
        <w:spacing w:line="240" w:lineRule="auto"/>
        <w:ind w:left="570"/>
        <w:rPr>
          <w:rFonts w:eastAsia="Times New Roman"/>
          <w:color w:val="000000"/>
          <w:sz w:val="24"/>
        </w:rPr>
      </w:pPr>
    </w:p>
    <w:p w14:paraId="6DBA0BFD" w14:textId="794D965E" w:rsidR="00974CEE" w:rsidRDefault="00123F3A" w:rsidP="00CA06F9">
      <w:pPr>
        <w:numPr>
          <w:ilvl w:val="0"/>
          <w:numId w:val="8"/>
        </w:numPr>
        <w:shd w:val="clear" w:color="auto" w:fill="FFFFFF"/>
        <w:overflowPunct w:val="0"/>
        <w:autoSpaceDE w:val="0"/>
        <w:autoSpaceDN w:val="0"/>
        <w:adjustRightInd w:val="0"/>
        <w:spacing w:line="240" w:lineRule="auto"/>
        <w:ind w:hanging="357"/>
        <w:rPr>
          <w:rFonts w:eastAsia="Times New Roman"/>
          <w:color w:val="000000"/>
          <w:sz w:val="24"/>
        </w:rPr>
      </w:pPr>
      <w:r w:rsidRPr="007F438D">
        <w:rPr>
          <w:rFonts w:eastAsia="Times New Roman"/>
          <w:color w:val="000000"/>
          <w:sz w:val="24"/>
        </w:rPr>
        <w:t>$1,000,000; or</w:t>
      </w:r>
    </w:p>
    <w:p w14:paraId="308E7CC0" w14:textId="77777777" w:rsidR="00974CEE" w:rsidRPr="00974CEE" w:rsidRDefault="00974CEE" w:rsidP="00974CEE">
      <w:pPr>
        <w:shd w:val="clear" w:color="auto" w:fill="FFFFFF"/>
        <w:overflowPunct w:val="0"/>
        <w:autoSpaceDE w:val="0"/>
        <w:autoSpaceDN w:val="0"/>
        <w:adjustRightInd w:val="0"/>
        <w:spacing w:line="240" w:lineRule="auto"/>
        <w:ind w:left="930"/>
        <w:rPr>
          <w:rFonts w:eastAsia="Times New Roman"/>
          <w:color w:val="000000"/>
          <w:sz w:val="24"/>
        </w:rPr>
      </w:pPr>
    </w:p>
    <w:p w14:paraId="0C47700F" w14:textId="7528A0DC" w:rsidR="00123F3A" w:rsidRDefault="00123F3A" w:rsidP="00CA06F9">
      <w:pPr>
        <w:numPr>
          <w:ilvl w:val="0"/>
          <w:numId w:val="8"/>
        </w:numPr>
        <w:shd w:val="clear" w:color="auto" w:fill="FFFFFF"/>
        <w:overflowPunct w:val="0"/>
        <w:autoSpaceDE w:val="0"/>
        <w:autoSpaceDN w:val="0"/>
        <w:adjustRightInd w:val="0"/>
        <w:spacing w:line="240" w:lineRule="auto"/>
        <w:ind w:hanging="357"/>
        <w:rPr>
          <w:rFonts w:eastAsia="Times New Roman"/>
          <w:color w:val="000000"/>
          <w:sz w:val="24"/>
        </w:rPr>
      </w:pPr>
      <w:r w:rsidRPr="007F438D">
        <w:rPr>
          <w:rFonts w:eastAsia="Times New Roman"/>
          <w:color w:val="000000"/>
          <w:sz w:val="24"/>
        </w:rPr>
        <w:t>10% of average revenue of the licensee</w:t>
      </w:r>
      <w:r w:rsidR="0066742F" w:rsidRPr="007F438D">
        <w:rPr>
          <w:rFonts w:eastAsia="Times New Roman"/>
          <w:color w:val="000000"/>
          <w:sz w:val="24"/>
        </w:rPr>
        <w:t>.</w:t>
      </w:r>
    </w:p>
    <w:p w14:paraId="32B009F7" w14:textId="77777777" w:rsidR="00974CEE" w:rsidRPr="00974CEE" w:rsidRDefault="00974CEE" w:rsidP="00974CEE">
      <w:pPr>
        <w:shd w:val="clear" w:color="auto" w:fill="FFFFFF"/>
        <w:overflowPunct w:val="0"/>
        <w:autoSpaceDE w:val="0"/>
        <w:autoSpaceDN w:val="0"/>
        <w:adjustRightInd w:val="0"/>
        <w:spacing w:line="300" w:lineRule="atLeast"/>
        <w:ind w:left="570"/>
        <w:rPr>
          <w:rFonts w:eastAsia="Times New Roman"/>
          <w:color w:val="000000"/>
          <w:sz w:val="24"/>
        </w:rPr>
      </w:pPr>
    </w:p>
    <w:p w14:paraId="6F9F2F8E" w14:textId="65549B1A" w:rsidR="008E62DB" w:rsidRDefault="009C0A9B" w:rsidP="00974CEE">
      <w:pPr>
        <w:pStyle w:val="BodyText"/>
        <w:numPr>
          <w:ilvl w:val="0"/>
          <w:numId w:val="2"/>
        </w:numPr>
        <w:tabs>
          <w:tab w:val="left" w:pos="709"/>
        </w:tabs>
        <w:spacing w:before="0" w:after="0"/>
      </w:pPr>
      <w:r>
        <w:t>‘</w:t>
      </w:r>
      <w:proofErr w:type="spellStart"/>
      <w:r w:rsidR="00123F3A">
        <w:t>NTA</w:t>
      </w:r>
      <w:proofErr w:type="spellEnd"/>
      <w:r>
        <w:t>’</w:t>
      </w:r>
      <w:r w:rsidR="00123F3A">
        <w:t xml:space="preserve"> is</w:t>
      </w:r>
      <w:r w:rsidR="00123F3A" w:rsidRPr="001D7415">
        <w:t xml:space="preserve"> defined</w:t>
      </w:r>
      <w:r w:rsidR="00123F3A">
        <w:t xml:space="preserve"> </w:t>
      </w:r>
      <w:r w:rsidR="00BF25F3">
        <w:t>in</w:t>
      </w:r>
      <w:r w:rsidR="00123F3A">
        <w:t xml:space="preserve"> </w:t>
      </w:r>
      <w:r w:rsidR="00AE6230">
        <w:t>sub</w:t>
      </w:r>
      <w:r w:rsidR="00BF25F3" w:rsidRPr="00D3350D">
        <w:t xml:space="preserve">section </w:t>
      </w:r>
      <w:r w:rsidR="00123F3A" w:rsidRPr="00D3350D">
        <w:t xml:space="preserve">912AB(13) as </w:t>
      </w:r>
      <w:r w:rsidR="004D0482" w:rsidRPr="00D3350D">
        <w:t xml:space="preserve">adjusted </w:t>
      </w:r>
      <w:r w:rsidR="00123F3A" w:rsidRPr="00D3350D">
        <w:t>assets</w:t>
      </w:r>
      <w:r w:rsidR="008E62DB" w:rsidRPr="00D3350D">
        <w:t xml:space="preserve"> minus adjusted </w:t>
      </w:r>
      <w:r w:rsidR="00123F3A" w:rsidRPr="00D3350D">
        <w:t>liabilities</w:t>
      </w:r>
      <w:r w:rsidR="008E62DB" w:rsidRPr="00D3350D">
        <w:t xml:space="preserve">. </w:t>
      </w:r>
      <w:r w:rsidR="009E048E" w:rsidRPr="00D3350D">
        <w:t>The terms ‘adjusted assets’ and ‘adjusted liabilities’ are</w:t>
      </w:r>
      <w:r w:rsidR="00BF25F3" w:rsidRPr="00D3350D">
        <w:t xml:space="preserve"> also</w:t>
      </w:r>
      <w:r w:rsidR="009E048E" w:rsidRPr="00D3350D">
        <w:t xml:space="preserve"> defined in </w:t>
      </w:r>
      <w:r w:rsidR="00BF25F3" w:rsidRPr="00D3350D">
        <w:t>section 912AB(13).</w:t>
      </w:r>
    </w:p>
    <w:p w14:paraId="79CF2DFA" w14:textId="77777777" w:rsidR="00974CEE" w:rsidRDefault="00974CEE" w:rsidP="00974CEE">
      <w:pPr>
        <w:pStyle w:val="BodyText"/>
        <w:tabs>
          <w:tab w:val="left" w:pos="709"/>
        </w:tabs>
        <w:spacing w:before="0" w:after="0"/>
        <w:ind w:left="570"/>
      </w:pPr>
    </w:p>
    <w:p w14:paraId="6DBDD1B6" w14:textId="759F1CBE" w:rsidR="002023EF" w:rsidRPr="006E54F5" w:rsidRDefault="009C0A9B" w:rsidP="007965DA">
      <w:pPr>
        <w:pStyle w:val="BodyText"/>
        <w:numPr>
          <w:ilvl w:val="0"/>
          <w:numId w:val="2"/>
        </w:numPr>
        <w:tabs>
          <w:tab w:val="left" w:pos="709"/>
        </w:tabs>
        <w:spacing w:before="0" w:after="0"/>
      </w:pPr>
      <w:r w:rsidRPr="006E54F5">
        <w:t xml:space="preserve">‘Average revenue’ is also defined in </w:t>
      </w:r>
      <w:r w:rsidR="00AE6230" w:rsidRPr="006E54F5">
        <w:t>sub</w:t>
      </w:r>
      <w:r w:rsidRPr="006E54F5">
        <w:t>section 912AB(13)</w:t>
      </w:r>
      <w:r w:rsidR="002023EF" w:rsidRPr="006E54F5">
        <w:t xml:space="preserve"> and means:</w:t>
      </w:r>
    </w:p>
    <w:p w14:paraId="6E6F1A5A" w14:textId="77777777" w:rsidR="007965DA" w:rsidRDefault="007965DA" w:rsidP="007965DA">
      <w:pPr>
        <w:pStyle w:val="BodyText"/>
        <w:tabs>
          <w:tab w:val="left" w:pos="709"/>
        </w:tabs>
        <w:spacing w:before="0" w:after="0"/>
        <w:ind w:left="570"/>
      </w:pPr>
    </w:p>
    <w:p w14:paraId="61DE1894" w14:textId="0F335B97" w:rsidR="002023EF" w:rsidRDefault="00764CBC" w:rsidP="00CA06F9">
      <w:pPr>
        <w:pStyle w:val="BodyText"/>
        <w:numPr>
          <w:ilvl w:val="1"/>
          <w:numId w:val="18"/>
        </w:numPr>
        <w:tabs>
          <w:tab w:val="left" w:pos="709"/>
        </w:tabs>
        <w:spacing w:before="0" w:after="0"/>
      </w:pPr>
      <w:r w:rsidRPr="002023EF">
        <w:t>for a licensee in its first financial year</w:t>
      </w:r>
      <w:r w:rsidR="002023EF">
        <w:t>,</w:t>
      </w:r>
      <w:r w:rsidR="00B06B70">
        <w:t xml:space="preserve"> </w:t>
      </w:r>
      <w:r w:rsidR="00050CEA">
        <w:t>a</w:t>
      </w:r>
      <w:r w:rsidRPr="002023EF">
        <w:t xml:space="preserve"> reasonable forecast of its revenue from the calculation date for the remainder of the first financial year pro-rated to a </w:t>
      </w:r>
      <w:proofErr w:type="gramStart"/>
      <w:r w:rsidRPr="002023EF">
        <w:t>12 month</w:t>
      </w:r>
      <w:proofErr w:type="gramEnd"/>
      <w:r w:rsidRPr="002023EF">
        <w:t xml:space="preserve"> period</w:t>
      </w:r>
      <w:r w:rsidR="00B06B70">
        <w:t xml:space="preserve"> (</w:t>
      </w:r>
      <w:r w:rsidR="00AE6230">
        <w:t xml:space="preserve">paragraph </w:t>
      </w:r>
      <w:r w:rsidR="00B06B70">
        <w:t>912AB</w:t>
      </w:r>
      <w:r w:rsidR="002023EF">
        <w:t>(13)(a)</w:t>
      </w:r>
      <w:r w:rsidR="009A425D">
        <w:t>)</w:t>
      </w:r>
      <w:r w:rsidR="003964C7">
        <w:t>.</w:t>
      </w:r>
    </w:p>
    <w:p w14:paraId="70863D49" w14:textId="77777777" w:rsidR="007965DA" w:rsidRDefault="007965DA" w:rsidP="007965DA">
      <w:pPr>
        <w:pStyle w:val="BodyText"/>
        <w:tabs>
          <w:tab w:val="left" w:pos="709"/>
        </w:tabs>
        <w:spacing w:before="0" w:after="0"/>
        <w:ind w:left="1080"/>
      </w:pPr>
    </w:p>
    <w:p w14:paraId="7739AA99" w14:textId="54E7F367" w:rsidR="00764CBC" w:rsidRDefault="00764CBC" w:rsidP="00CA06F9">
      <w:pPr>
        <w:pStyle w:val="BodyText"/>
        <w:numPr>
          <w:ilvl w:val="1"/>
          <w:numId w:val="18"/>
        </w:numPr>
        <w:tabs>
          <w:tab w:val="left" w:pos="709"/>
        </w:tabs>
        <w:spacing w:before="0" w:after="0"/>
      </w:pPr>
      <w:r w:rsidRPr="002023EF">
        <w:t>for a</w:t>
      </w:r>
      <w:r w:rsidR="002023EF" w:rsidRPr="002023EF">
        <w:t xml:space="preserve"> </w:t>
      </w:r>
      <w:r w:rsidRPr="002023EF">
        <w:t>licensee in its second financial year</w:t>
      </w:r>
      <w:r w:rsidR="002023EF">
        <w:t xml:space="preserve">, </w:t>
      </w:r>
      <w:r w:rsidRPr="002023EF">
        <w:t>the average of:</w:t>
      </w:r>
    </w:p>
    <w:p w14:paraId="7349553C" w14:textId="77777777" w:rsidR="007965DA" w:rsidRPr="002023EF" w:rsidRDefault="007965DA" w:rsidP="007965DA">
      <w:pPr>
        <w:pStyle w:val="BodyText"/>
        <w:tabs>
          <w:tab w:val="left" w:pos="709"/>
        </w:tabs>
        <w:spacing w:before="0" w:after="0"/>
      </w:pPr>
    </w:p>
    <w:p w14:paraId="54876C3B" w14:textId="77777777" w:rsidR="00A61D4F" w:rsidRDefault="00764CBC" w:rsidP="00CA06F9">
      <w:pPr>
        <w:pStyle w:val="LI-BodyTextSubparai"/>
        <w:numPr>
          <w:ilvl w:val="0"/>
          <w:numId w:val="19"/>
        </w:numPr>
        <w:spacing w:before="0"/>
        <w:rPr>
          <w:color w:val="000000"/>
          <w:szCs w:val="20"/>
          <w:lang w:eastAsia="en-US"/>
        </w:rPr>
      </w:pPr>
      <w:r w:rsidRPr="006C488A">
        <w:rPr>
          <w:color w:val="000000"/>
          <w:szCs w:val="20"/>
          <w:lang w:eastAsia="en-US"/>
        </w:rPr>
        <w:t>the aggregate of</w:t>
      </w:r>
      <w:r w:rsidR="00E02C78" w:rsidRPr="006C488A">
        <w:rPr>
          <w:color w:val="000000"/>
          <w:szCs w:val="20"/>
          <w:lang w:eastAsia="en-US"/>
        </w:rPr>
        <w:t xml:space="preserve"> </w:t>
      </w:r>
      <w:r w:rsidRPr="006C488A">
        <w:rPr>
          <w:color w:val="000000"/>
          <w:szCs w:val="20"/>
          <w:lang w:eastAsia="en-US"/>
        </w:rPr>
        <w:t>the licensee’s</w:t>
      </w:r>
      <w:r w:rsidR="00A61D4F">
        <w:rPr>
          <w:color w:val="000000"/>
          <w:szCs w:val="20"/>
          <w:lang w:eastAsia="en-US"/>
        </w:rPr>
        <w:t>:</w:t>
      </w:r>
    </w:p>
    <w:p w14:paraId="18F2FFE7" w14:textId="77777777" w:rsidR="0094637C" w:rsidRDefault="0094637C" w:rsidP="0094637C">
      <w:pPr>
        <w:pStyle w:val="LI-BodyTextSubparai"/>
        <w:spacing w:before="0"/>
        <w:ind w:left="1440" w:firstLine="0"/>
        <w:rPr>
          <w:color w:val="000000"/>
          <w:szCs w:val="20"/>
          <w:lang w:eastAsia="en-US"/>
        </w:rPr>
      </w:pPr>
    </w:p>
    <w:p w14:paraId="29771170" w14:textId="3E0FEF05" w:rsidR="00A61D4F" w:rsidRDefault="00764CBC" w:rsidP="00CA06F9">
      <w:pPr>
        <w:pStyle w:val="LI-BodyTextSubparai"/>
        <w:numPr>
          <w:ilvl w:val="0"/>
          <w:numId w:val="23"/>
        </w:numPr>
        <w:spacing w:before="0"/>
        <w:rPr>
          <w:color w:val="000000"/>
          <w:szCs w:val="20"/>
          <w:lang w:eastAsia="en-US"/>
        </w:rPr>
      </w:pPr>
      <w:r w:rsidRPr="006C488A">
        <w:rPr>
          <w:color w:val="000000"/>
          <w:szCs w:val="20"/>
          <w:lang w:eastAsia="en-US"/>
        </w:rPr>
        <w:t>revenue for the second financial year to date</w:t>
      </w:r>
      <w:r w:rsidR="00A61D4F">
        <w:rPr>
          <w:color w:val="000000"/>
          <w:szCs w:val="20"/>
          <w:lang w:eastAsia="en-US"/>
        </w:rPr>
        <w:t>; and</w:t>
      </w:r>
    </w:p>
    <w:p w14:paraId="430B8E13" w14:textId="77777777" w:rsidR="0094637C" w:rsidRDefault="0094637C" w:rsidP="0094637C">
      <w:pPr>
        <w:pStyle w:val="LI-BodyTextSubparai"/>
        <w:spacing w:before="0"/>
        <w:ind w:left="1800" w:firstLine="0"/>
        <w:rPr>
          <w:color w:val="000000"/>
          <w:szCs w:val="20"/>
          <w:lang w:eastAsia="en-US"/>
        </w:rPr>
      </w:pPr>
    </w:p>
    <w:p w14:paraId="55D3515A" w14:textId="09CDFA81" w:rsidR="00764CBC" w:rsidRDefault="00764CBC" w:rsidP="00CA06F9">
      <w:pPr>
        <w:pStyle w:val="LI-BodyTextSubparai"/>
        <w:numPr>
          <w:ilvl w:val="0"/>
          <w:numId w:val="23"/>
        </w:numPr>
        <w:spacing w:before="0"/>
        <w:rPr>
          <w:color w:val="000000"/>
          <w:szCs w:val="20"/>
          <w:lang w:eastAsia="en-US"/>
        </w:rPr>
      </w:pPr>
      <w:r w:rsidRPr="006C488A">
        <w:rPr>
          <w:color w:val="000000"/>
          <w:szCs w:val="20"/>
          <w:lang w:eastAsia="en-US"/>
        </w:rPr>
        <w:t>reasonable forecast of its revenue for the remainder of the second financial year; and</w:t>
      </w:r>
    </w:p>
    <w:p w14:paraId="224C7EFD" w14:textId="77777777" w:rsidR="007965DA" w:rsidRPr="006C488A" w:rsidRDefault="007965DA" w:rsidP="007965DA">
      <w:pPr>
        <w:pStyle w:val="LI-BodyTextSubparai"/>
        <w:spacing w:before="0"/>
        <w:ind w:left="1440" w:firstLine="0"/>
        <w:rPr>
          <w:color w:val="000000"/>
          <w:szCs w:val="20"/>
          <w:lang w:eastAsia="en-US"/>
        </w:rPr>
      </w:pPr>
    </w:p>
    <w:p w14:paraId="08287941" w14:textId="7ED1BE3F" w:rsidR="006C488A" w:rsidRDefault="00764CBC" w:rsidP="00CA06F9">
      <w:pPr>
        <w:pStyle w:val="LI-BodyTextSubparai"/>
        <w:numPr>
          <w:ilvl w:val="0"/>
          <w:numId w:val="19"/>
        </w:numPr>
        <w:spacing w:before="0"/>
        <w:rPr>
          <w:color w:val="000000"/>
          <w:szCs w:val="20"/>
          <w:lang w:eastAsia="en-US"/>
        </w:rPr>
      </w:pPr>
      <w:r w:rsidRPr="006C488A">
        <w:rPr>
          <w:color w:val="000000"/>
          <w:szCs w:val="20"/>
          <w:lang w:eastAsia="en-US"/>
        </w:rPr>
        <w:t xml:space="preserve">the licensee’s revenue in the first financial year from the calculation date pro-rated to a </w:t>
      </w:r>
      <w:proofErr w:type="gramStart"/>
      <w:r w:rsidRPr="006C488A">
        <w:rPr>
          <w:color w:val="000000"/>
          <w:szCs w:val="20"/>
          <w:lang w:eastAsia="en-US"/>
        </w:rPr>
        <w:t>12 month</w:t>
      </w:r>
      <w:proofErr w:type="gramEnd"/>
      <w:r w:rsidRPr="006C488A">
        <w:rPr>
          <w:color w:val="000000"/>
          <w:szCs w:val="20"/>
          <w:lang w:eastAsia="en-US"/>
        </w:rPr>
        <w:t xml:space="preserve"> period</w:t>
      </w:r>
      <w:r w:rsidR="003964C7">
        <w:rPr>
          <w:color w:val="000000"/>
          <w:szCs w:val="20"/>
          <w:lang w:eastAsia="en-US"/>
        </w:rPr>
        <w:t xml:space="preserve"> </w:t>
      </w:r>
      <w:r w:rsidR="003964C7">
        <w:t>(</w:t>
      </w:r>
      <w:r w:rsidR="00AE6230">
        <w:t>paragraph</w:t>
      </w:r>
      <w:r w:rsidR="00293B8E">
        <w:t xml:space="preserve"> </w:t>
      </w:r>
      <w:r w:rsidR="003964C7">
        <w:t>912AB(13)(b)).</w:t>
      </w:r>
    </w:p>
    <w:p w14:paraId="0AC6C50B" w14:textId="77777777" w:rsidR="00712D31" w:rsidRPr="006C488A" w:rsidRDefault="00712D31" w:rsidP="007965DA">
      <w:pPr>
        <w:pStyle w:val="LI-BodyTextSubparai"/>
        <w:spacing w:before="0"/>
        <w:ind w:left="1440" w:firstLine="0"/>
        <w:rPr>
          <w:color w:val="000000"/>
          <w:szCs w:val="20"/>
          <w:lang w:eastAsia="en-US"/>
        </w:rPr>
      </w:pPr>
    </w:p>
    <w:p w14:paraId="335337BE" w14:textId="3D843255" w:rsidR="00764CBC" w:rsidRDefault="00764CBC" w:rsidP="00CA06F9">
      <w:pPr>
        <w:pStyle w:val="BodyText"/>
        <w:numPr>
          <w:ilvl w:val="1"/>
          <w:numId w:val="18"/>
        </w:numPr>
        <w:tabs>
          <w:tab w:val="left" w:pos="709"/>
        </w:tabs>
        <w:spacing w:before="0" w:after="0"/>
      </w:pPr>
      <w:r w:rsidRPr="00525DD3">
        <w:t>for a licensee in its third financial year</w:t>
      </w:r>
      <w:r w:rsidR="006C488A">
        <w:t xml:space="preserve">, </w:t>
      </w:r>
      <w:r w:rsidRPr="00525DD3">
        <w:t>the average of:</w:t>
      </w:r>
    </w:p>
    <w:p w14:paraId="6DA467CD" w14:textId="77777777" w:rsidR="007965DA" w:rsidRPr="00525DD3" w:rsidRDefault="007965DA" w:rsidP="007965DA">
      <w:pPr>
        <w:pStyle w:val="BodyText"/>
        <w:tabs>
          <w:tab w:val="left" w:pos="709"/>
        </w:tabs>
        <w:spacing w:before="0" w:after="0"/>
        <w:ind w:left="1080"/>
      </w:pPr>
    </w:p>
    <w:p w14:paraId="17B123D3" w14:textId="39985DA0" w:rsidR="00037F53" w:rsidRDefault="00764CBC" w:rsidP="00CA06F9">
      <w:pPr>
        <w:pStyle w:val="LI-BodyTextSubparai"/>
        <w:numPr>
          <w:ilvl w:val="0"/>
          <w:numId w:val="20"/>
        </w:numPr>
        <w:spacing w:before="0"/>
        <w:rPr>
          <w:color w:val="000000"/>
          <w:szCs w:val="20"/>
          <w:lang w:eastAsia="en-US"/>
        </w:rPr>
      </w:pPr>
      <w:r w:rsidRPr="003964C7">
        <w:rPr>
          <w:color w:val="000000"/>
          <w:szCs w:val="20"/>
          <w:lang w:eastAsia="en-US"/>
        </w:rPr>
        <w:t>the aggregate of the licensee’s</w:t>
      </w:r>
      <w:r w:rsidR="00037F53">
        <w:rPr>
          <w:color w:val="000000"/>
          <w:szCs w:val="20"/>
          <w:lang w:eastAsia="en-US"/>
        </w:rPr>
        <w:t>:</w:t>
      </w:r>
    </w:p>
    <w:p w14:paraId="254C89EF" w14:textId="77777777" w:rsidR="00037F53" w:rsidRDefault="00037F53" w:rsidP="00037F53">
      <w:pPr>
        <w:pStyle w:val="LI-BodyTextSubparai"/>
        <w:spacing w:before="0"/>
        <w:ind w:left="1440" w:firstLine="0"/>
        <w:rPr>
          <w:color w:val="000000"/>
          <w:szCs w:val="20"/>
          <w:lang w:eastAsia="en-US"/>
        </w:rPr>
      </w:pPr>
    </w:p>
    <w:p w14:paraId="4BEA3055" w14:textId="40312D01" w:rsidR="00037F53" w:rsidRDefault="00764CBC" w:rsidP="00CA06F9">
      <w:pPr>
        <w:pStyle w:val="LI-BodyTextSubparai"/>
        <w:numPr>
          <w:ilvl w:val="0"/>
          <w:numId w:val="24"/>
        </w:numPr>
        <w:spacing w:before="0"/>
        <w:rPr>
          <w:color w:val="000000"/>
          <w:szCs w:val="20"/>
          <w:lang w:eastAsia="en-US"/>
        </w:rPr>
      </w:pPr>
      <w:r w:rsidRPr="003964C7">
        <w:rPr>
          <w:color w:val="000000"/>
          <w:szCs w:val="20"/>
          <w:lang w:eastAsia="en-US"/>
        </w:rPr>
        <w:t>revenue for the third financial year to date</w:t>
      </w:r>
      <w:r w:rsidR="00037F53">
        <w:rPr>
          <w:color w:val="000000"/>
          <w:szCs w:val="20"/>
          <w:lang w:eastAsia="en-US"/>
        </w:rPr>
        <w:t>; and</w:t>
      </w:r>
      <w:r w:rsidRPr="003964C7">
        <w:rPr>
          <w:color w:val="000000"/>
          <w:szCs w:val="20"/>
          <w:lang w:eastAsia="en-US"/>
        </w:rPr>
        <w:t xml:space="preserve"> </w:t>
      </w:r>
    </w:p>
    <w:p w14:paraId="61655BE0" w14:textId="77777777" w:rsidR="0094637C" w:rsidRDefault="0094637C" w:rsidP="0094637C">
      <w:pPr>
        <w:pStyle w:val="LI-BodyTextSubparai"/>
        <w:spacing w:before="0"/>
        <w:ind w:left="1800" w:firstLine="0"/>
        <w:rPr>
          <w:color w:val="000000"/>
          <w:szCs w:val="20"/>
          <w:lang w:eastAsia="en-US"/>
        </w:rPr>
      </w:pPr>
    </w:p>
    <w:p w14:paraId="6B64C005" w14:textId="3A36305D" w:rsidR="00764CBC" w:rsidRDefault="00764CBC" w:rsidP="00CA06F9">
      <w:pPr>
        <w:pStyle w:val="LI-BodyTextSubparai"/>
        <w:numPr>
          <w:ilvl w:val="0"/>
          <w:numId w:val="24"/>
        </w:numPr>
        <w:spacing w:before="0"/>
        <w:rPr>
          <w:color w:val="000000"/>
          <w:szCs w:val="20"/>
          <w:lang w:eastAsia="en-US"/>
        </w:rPr>
      </w:pPr>
      <w:r w:rsidRPr="003964C7">
        <w:rPr>
          <w:color w:val="000000"/>
          <w:szCs w:val="20"/>
          <w:lang w:eastAsia="en-US"/>
        </w:rPr>
        <w:t>reasonable forecast of its revenue for the remainder of the third financial year; and</w:t>
      </w:r>
    </w:p>
    <w:p w14:paraId="43481A53" w14:textId="77777777" w:rsidR="007965DA" w:rsidRPr="003964C7" w:rsidRDefault="007965DA" w:rsidP="007965DA">
      <w:pPr>
        <w:pStyle w:val="LI-BodyTextSubparai"/>
        <w:spacing w:before="0"/>
        <w:ind w:left="1440" w:firstLine="0"/>
        <w:rPr>
          <w:color w:val="000000"/>
          <w:szCs w:val="20"/>
          <w:lang w:eastAsia="en-US"/>
        </w:rPr>
      </w:pPr>
    </w:p>
    <w:p w14:paraId="10F5EC38" w14:textId="560F9581" w:rsidR="007965DA" w:rsidRPr="007965DA" w:rsidRDefault="003964C7" w:rsidP="00CA06F9">
      <w:pPr>
        <w:pStyle w:val="LI-BodyTextSubparai"/>
        <w:numPr>
          <w:ilvl w:val="0"/>
          <w:numId w:val="20"/>
        </w:numPr>
        <w:spacing w:before="0"/>
        <w:rPr>
          <w:color w:val="000000"/>
          <w:szCs w:val="20"/>
          <w:lang w:eastAsia="en-US"/>
        </w:rPr>
      </w:pPr>
      <w:r w:rsidRPr="006C488A">
        <w:rPr>
          <w:color w:val="000000"/>
          <w:szCs w:val="20"/>
          <w:lang w:eastAsia="en-US"/>
        </w:rPr>
        <w:t xml:space="preserve">the licensee’s revenue in the first financial year from the calculation date pro-rated to a </w:t>
      </w:r>
      <w:proofErr w:type="gramStart"/>
      <w:r w:rsidRPr="006C488A">
        <w:rPr>
          <w:color w:val="000000"/>
          <w:szCs w:val="20"/>
          <w:lang w:eastAsia="en-US"/>
        </w:rPr>
        <w:t>12 month</w:t>
      </w:r>
      <w:proofErr w:type="gramEnd"/>
      <w:r w:rsidRPr="006C488A">
        <w:rPr>
          <w:color w:val="000000"/>
          <w:szCs w:val="20"/>
          <w:lang w:eastAsia="en-US"/>
        </w:rPr>
        <w:t xml:space="preserve"> period</w:t>
      </w:r>
      <w:r w:rsidR="00C50BCE">
        <w:rPr>
          <w:color w:val="000000"/>
          <w:szCs w:val="20"/>
          <w:lang w:eastAsia="en-US"/>
        </w:rPr>
        <w:t xml:space="preserve"> and the </w:t>
      </w:r>
      <w:r w:rsidR="00C50BCE" w:rsidRPr="003964C7">
        <w:rPr>
          <w:color w:val="000000"/>
          <w:szCs w:val="20"/>
          <w:lang w:eastAsia="en-US"/>
        </w:rPr>
        <w:t>revenue for its second financial year</w:t>
      </w:r>
      <w:r w:rsidRPr="007965DA">
        <w:rPr>
          <w:color w:val="000000"/>
          <w:szCs w:val="20"/>
          <w:lang w:eastAsia="en-US"/>
        </w:rPr>
        <w:t xml:space="preserve"> </w:t>
      </w:r>
      <w:r>
        <w:t>(</w:t>
      </w:r>
      <w:r w:rsidR="00293B8E">
        <w:t xml:space="preserve">paragraph </w:t>
      </w:r>
      <w:r>
        <w:t>912AB(13)(</w:t>
      </w:r>
      <w:r w:rsidR="007965DA">
        <w:t>c</w:t>
      </w:r>
      <w:r>
        <w:t>)).</w:t>
      </w:r>
    </w:p>
    <w:p w14:paraId="272C8649" w14:textId="77777777" w:rsidR="007965DA" w:rsidRPr="007965DA" w:rsidRDefault="007965DA" w:rsidP="007965DA">
      <w:pPr>
        <w:pStyle w:val="LI-BodyTextSubparai"/>
        <w:spacing w:before="0"/>
        <w:ind w:left="0" w:firstLine="0"/>
        <w:rPr>
          <w:color w:val="000000"/>
          <w:szCs w:val="20"/>
          <w:lang w:eastAsia="en-US"/>
        </w:rPr>
      </w:pPr>
    </w:p>
    <w:p w14:paraId="038D1C0D" w14:textId="7979CCE0" w:rsidR="00416E4D" w:rsidRDefault="00057706" w:rsidP="00CA06F9">
      <w:pPr>
        <w:pStyle w:val="BodyText"/>
        <w:numPr>
          <w:ilvl w:val="1"/>
          <w:numId w:val="18"/>
        </w:numPr>
        <w:tabs>
          <w:tab w:val="left" w:pos="709"/>
        </w:tabs>
        <w:spacing w:before="0" w:after="0"/>
      </w:pPr>
      <w:r w:rsidRPr="00525DD3">
        <w:t>for all subsequent financial years of a</w:t>
      </w:r>
      <w:r w:rsidR="006E54F5" w:rsidRPr="00525DD3">
        <w:t xml:space="preserve"> </w:t>
      </w:r>
      <w:r w:rsidRPr="00525DD3">
        <w:t>licensee</w:t>
      </w:r>
      <w:r w:rsidR="00416E4D" w:rsidRPr="00525DD3">
        <w:t>, t</w:t>
      </w:r>
      <w:r w:rsidR="006954D7" w:rsidRPr="00525DD3">
        <w:t xml:space="preserve">he </w:t>
      </w:r>
      <w:r w:rsidR="00AA78A0" w:rsidRPr="00525DD3">
        <w:t>average of</w:t>
      </w:r>
      <w:r w:rsidR="00416E4D" w:rsidRPr="00525DD3">
        <w:t>:</w:t>
      </w:r>
    </w:p>
    <w:p w14:paraId="15365475" w14:textId="77777777" w:rsidR="007965DA" w:rsidRPr="00525DD3" w:rsidRDefault="007965DA" w:rsidP="007965DA">
      <w:pPr>
        <w:pStyle w:val="BodyText"/>
        <w:tabs>
          <w:tab w:val="left" w:pos="709"/>
        </w:tabs>
        <w:spacing w:before="0" w:after="0"/>
        <w:ind w:left="1080"/>
      </w:pPr>
    </w:p>
    <w:p w14:paraId="59E44986" w14:textId="03133506" w:rsidR="00411A81" w:rsidRDefault="00AA78A0" w:rsidP="00CA06F9">
      <w:pPr>
        <w:pStyle w:val="LI-BodyTextSubparai"/>
        <w:numPr>
          <w:ilvl w:val="0"/>
          <w:numId w:val="21"/>
        </w:numPr>
        <w:spacing w:before="0"/>
        <w:rPr>
          <w:color w:val="000000"/>
          <w:szCs w:val="20"/>
          <w:lang w:eastAsia="en-US"/>
        </w:rPr>
      </w:pPr>
      <w:r w:rsidRPr="003964C7">
        <w:rPr>
          <w:color w:val="000000"/>
          <w:szCs w:val="20"/>
          <w:lang w:eastAsia="en-US"/>
        </w:rPr>
        <w:t xml:space="preserve">the aggregate of </w:t>
      </w:r>
      <w:r w:rsidR="00822ACA" w:rsidRPr="00525DD3">
        <w:rPr>
          <w:color w:val="000000"/>
          <w:szCs w:val="20"/>
          <w:lang w:eastAsia="en-US"/>
        </w:rPr>
        <w:t xml:space="preserve">the </w:t>
      </w:r>
      <w:r w:rsidR="00807811" w:rsidRPr="003964C7">
        <w:rPr>
          <w:color w:val="000000"/>
          <w:szCs w:val="20"/>
          <w:lang w:eastAsia="en-US"/>
        </w:rPr>
        <w:t>licensee’s</w:t>
      </w:r>
      <w:r w:rsidR="00411A81">
        <w:rPr>
          <w:color w:val="000000"/>
          <w:szCs w:val="20"/>
          <w:lang w:eastAsia="en-US"/>
        </w:rPr>
        <w:t>:</w:t>
      </w:r>
    </w:p>
    <w:p w14:paraId="12E5CAA0" w14:textId="77777777" w:rsidR="006E54F5" w:rsidRDefault="006E54F5" w:rsidP="006E54F5">
      <w:pPr>
        <w:pStyle w:val="LI-BodyTextSubparai"/>
        <w:spacing w:before="0"/>
        <w:ind w:left="1440" w:firstLine="0"/>
        <w:rPr>
          <w:color w:val="000000"/>
          <w:szCs w:val="20"/>
          <w:lang w:eastAsia="en-US"/>
        </w:rPr>
      </w:pPr>
    </w:p>
    <w:p w14:paraId="01156627" w14:textId="2C062702" w:rsidR="006E54F5" w:rsidRDefault="00822ACA" w:rsidP="00CA06F9">
      <w:pPr>
        <w:pStyle w:val="LI-BodyTextSubparai"/>
        <w:numPr>
          <w:ilvl w:val="0"/>
          <w:numId w:val="25"/>
        </w:numPr>
        <w:spacing w:before="0"/>
        <w:rPr>
          <w:color w:val="000000"/>
          <w:szCs w:val="20"/>
          <w:lang w:eastAsia="en-US"/>
        </w:rPr>
      </w:pPr>
      <w:r w:rsidRPr="00525DD3">
        <w:rPr>
          <w:color w:val="000000"/>
          <w:szCs w:val="20"/>
          <w:lang w:eastAsia="en-US"/>
        </w:rPr>
        <w:t>revenue to date in the current year</w:t>
      </w:r>
      <w:r w:rsidR="00865E70" w:rsidRPr="003964C7">
        <w:rPr>
          <w:color w:val="000000"/>
          <w:szCs w:val="20"/>
          <w:lang w:eastAsia="en-US"/>
        </w:rPr>
        <w:t>; and</w:t>
      </w:r>
    </w:p>
    <w:p w14:paraId="1420D8EB" w14:textId="77777777" w:rsidR="0094637C" w:rsidRDefault="0094637C" w:rsidP="0094637C">
      <w:pPr>
        <w:pStyle w:val="LI-BodyTextSubparai"/>
        <w:spacing w:before="0"/>
        <w:ind w:left="1800" w:firstLine="0"/>
        <w:rPr>
          <w:color w:val="000000"/>
          <w:szCs w:val="20"/>
          <w:lang w:eastAsia="en-US"/>
        </w:rPr>
      </w:pPr>
    </w:p>
    <w:p w14:paraId="0A3E7620" w14:textId="5D6FFB3C" w:rsidR="00FC06A9" w:rsidRDefault="006E54F5" w:rsidP="00CA06F9">
      <w:pPr>
        <w:pStyle w:val="LI-BodyTextSubparai"/>
        <w:numPr>
          <w:ilvl w:val="0"/>
          <w:numId w:val="25"/>
        </w:numPr>
        <w:spacing w:before="0"/>
        <w:rPr>
          <w:color w:val="000000"/>
          <w:szCs w:val="20"/>
          <w:lang w:eastAsia="en-US"/>
        </w:rPr>
      </w:pPr>
      <w:r>
        <w:rPr>
          <w:color w:val="000000"/>
          <w:szCs w:val="20"/>
          <w:lang w:eastAsia="en-US"/>
        </w:rPr>
        <w:t xml:space="preserve">reasonable </w:t>
      </w:r>
      <w:r w:rsidR="00822ACA" w:rsidRPr="00525DD3">
        <w:rPr>
          <w:color w:val="000000"/>
          <w:szCs w:val="20"/>
          <w:lang w:eastAsia="en-US"/>
        </w:rPr>
        <w:t>forecast of revenue for the remainder of the current year</w:t>
      </w:r>
      <w:r w:rsidR="00FC06A9" w:rsidRPr="003964C7">
        <w:rPr>
          <w:color w:val="000000"/>
          <w:szCs w:val="20"/>
          <w:lang w:eastAsia="en-US"/>
        </w:rPr>
        <w:t>; and</w:t>
      </w:r>
    </w:p>
    <w:p w14:paraId="284BA63D" w14:textId="77777777" w:rsidR="00380C89" w:rsidRPr="003964C7" w:rsidRDefault="00380C89" w:rsidP="00380C89">
      <w:pPr>
        <w:pStyle w:val="LI-BodyTextSubparai"/>
        <w:spacing w:before="0"/>
        <w:ind w:left="1440" w:firstLine="0"/>
        <w:rPr>
          <w:color w:val="000000"/>
          <w:szCs w:val="20"/>
          <w:lang w:eastAsia="en-US"/>
        </w:rPr>
      </w:pPr>
    </w:p>
    <w:p w14:paraId="7CEB1733" w14:textId="72C1B71F" w:rsidR="007D35AD" w:rsidRPr="00525DD3" w:rsidRDefault="00525DD3" w:rsidP="00CA06F9">
      <w:pPr>
        <w:pStyle w:val="LI-BodyTextSubparai"/>
        <w:numPr>
          <w:ilvl w:val="0"/>
          <w:numId w:val="21"/>
        </w:numPr>
        <w:spacing w:before="0"/>
        <w:rPr>
          <w:color w:val="000000"/>
          <w:szCs w:val="20"/>
          <w:lang w:eastAsia="en-US"/>
        </w:rPr>
      </w:pPr>
      <w:r w:rsidRPr="003964C7">
        <w:rPr>
          <w:color w:val="000000"/>
          <w:szCs w:val="20"/>
          <w:lang w:eastAsia="en-US"/>
        </w:rPr>
        <w:t>the</w:t>
      </w:r>
      <w:r w:rsidR="00822ACA" w:rsidRPr="00525DD3">
        <w:rPr>
          <w:color w:val="000000"/>
          <w:szCs w:val="20"/>
          <w:lang w:eastAsia="en-US"/>
        </w:rPr>
        <w:t xml:space="preserve"> actual revenue in the previous two years</w:t>
      </w:r>
      <w:r w:rsidR="00380C89">
        <w:rPr>
          <w:color w:val="000000"/>
          <w:szCs w:val="20"/>
          <w:lang w:eastAsia="en-US"/>
        </w:rPr>
        <w:t xml:space="preserve"> </w:t>
      </w:r>
      <w:r w:rsidR="00380C89">
        <w:t>(</w:t>
      </w:r>
      <w:r w:rsidR="00293B8E">
        <w:t xml:space="preserve">paragraph </w:t>
      </w:r>
      <w:r w:rsidR="00380C89">
        <w:t>912AB(13)(d)).</w:t>
      </w:r>
    </w:p>
    <w:p w14:paraId="47D7C921" w14:textId="77777777" w:rsidR="008E62DB" w:rsidRDefault="008E62DB" w:rsidP="003227EA">
      <w:pPr>
        <w:pStyle w:val="LI-BodyTextSubparai"/>
        <w:spacing w:before="0"/>
        <w:ind w:left="1440" w:firstLine="0"/>
      </w:pPr>
    </w:p>
    <w:p w14:paraId="43BE9B35" w14:textId="48F05ACA" w:rsidR="00123F3A" w:rsidRPr="008E5722" w:rsidRDefault="00123F3A" w:rsidP="008E62DB">
      <w:pPr>
        <w:pStyle w:val="BodyText"/>
        <w:tabs>
          <w:tab w:val="left" w:pos="709"/>
        </w:tabs>
        <w:rPr>
          <w:b/>
          <w:i/>
        </w:rPr>
      </w:pPr>
      <w:r w:rsidRPr="008E5722">
        <w:rPr>
          <w:b/>
          <w:i/>
        </w:rPr>
        <w:t>Liquidity requirement</w:t>
      </w:r>
    </w:p>
    <w:p w14:paraId="025513E1" w14:textId="77777777" w:rsidR="00123F3A" w:rsidRPr="00D516C6" w:rsidRDefault="00123F3A" w:rsidP="00D516C6">
      <w:pPr>
        <w:numPr>
          <w:ilvl w:val="0"/>
          <w:numId w:val="2"/>
        </w:numPr>
        <w:shd w:val="clear" w:color="auto" w:fill="FFFFFF"/>
        <w:overflowPunct w:val="0"/>
        <w:autoSpaceDE w:val="0"/>
        <w:autoSpaceDN w:val="0"/>
        <w:adjustRightInd w:val="0"/>
        <w:spacing w:before="200" w:line="300" w:lineRule="atLeast"/>
        <w:rPr>
          <w:rFonts w:eastAsia="Times New Roman"/>
          <w:color w:val="000000"/>
          <w:sz w:val="24"/>
        </w:rPr>
      </w:pPr>
      <w:r w:rsidRPr="00D516C6">
        <w:rPr>
          <w:rFonts w:eastAsia="Times New Roman"/>
          <w:color w:val="000000"/>
          <w:sz w:val="24"/>
        </w:rPr>
        <w:t xml:space="preserve">Subsection 912AB(5) provides that the licensee must </w:t>
      </w:r>
      <w:proofErr w:type="gramStart"/>
      <w:r w:rsidRPr="00D516C6">
        <w:rPr>
          <w:rFonts w:eastAsia="Times New Roman"/>
          <w:color w:val="000000"/>
          <w:sz w:val="24"/>
        </w:rPr>
        <w:t>hold at all times</w:t>
      </w:r>
      <w:proofErr w:type="gramEnd"/>
      <w:r w:rsidRPr="00D516C6">
        <w:rPr>
          <w:rFonts w:eastAsia="Times New Roman"/>
          <w:color w:val="000000"/>
          <w:sz w:val="24"/>
        </w:rPr>
        <w:t xml:space="preserve">: </w:t>
      </w:r>
    </w:p>
    <w:p w14:paraId="14E84721" w14:textId="77777777" w:rsidR="00123F3A" w:rsidRPr="00784D0E" w:rsidRDefault="00123F3A" w:rsidP="00CA06F9">
      <w:pPr>
        <w:numPr>
          <w:ilvl w:val="0"/>
          <w:numId w:val="9"/>
        </w:numPr>
        <w:shd w:val="clear" w:color="auto" w:fill="FFFFFF"/>
        <w:overflowPunct w:val="0"/>
        <w:autoSpaceDE w:val="0"/>
        <w:autoSpaceDN w:val="0"/>
        <w:adjustRightInd w:val="0"/>
        <w:spacing w:before="200" w:line="300" w:lineRule="atLeast"/>
        <w:rPr>
          <w:rFonts w:eastAsia="Times New Roman"/>
          <w:color w:val="000000"/>
          <w:sz w:val="24"/>
        </w:rPr>
      </w:pPr>
      <w:r w:rsidRPr="00784D0E">
        <w:rPr>
          <w:rFonts w:eastAsia="Times New Roman"/>
          <w:color w:val="000000"/>
          <w:sz w:val="24"/>
        </w:rPr>
        <w:lastRenderedPageBreak/>
        <w:t xml:space="preserve">cash and cash equivalents in an amount that is at least 50% of the required </w:t>
      </w:r>
      <w:proofErr w:type="spellStart"/>
      <w:r w:rsidRPr="00784D0E">
        <w:rPr>
          <w:rFonts w:eastAsia="Times New Roman"/>
          <w:color w:val="000000"/>
          <w:sz w:val="24"/>
        </w:rPr>
        <w:t>NTA</w:t>
      </w:r>
      <w:proofErr w:type="spellEnd"/>
      <w:r w:rsidRPr="00784D0E">
        <w:rPr>
          <w:rFonts w:eastAsia="Times New Roman"/>
          <w:color w:val="000000"/>
          <w:sz w:val="24"/>
        </w:rPr>
        <w:t xml:space="preserve">; and </w:t>
      </w:r>
    </w:p>
    <w:p w14:paraId="26A5BAD4" w14:textId="5F6DAC39" w:rsidR="00805877" w:rsidRPr="00974CEE" w:rsidRDefault="00123F3A" w:rsidP="00CA06F9">
      <w:pPr>
        <w:numPr>
          <w:ilvl w:val="0"/>
          <w:numId w:val="9"/>
        </w:numPr>
        <w:shd w:val="clear" w:color="auto" w:fill="FFFFFF"/>
        <w:overflowPunct w:val="0"/>
        <w:autoSpaceDE w:val="0"/>
        <w:autoSpaceDN w:val="0"/>
        <w:adjustRightInd w:val="0"/>
        <w:spacing w:before="200" w:line="240" w:lineRule="auto"/>
        <w:rPr>
          <w:rFonts w:eastAsia="Times New Roman"/>
          <w:color w:val="000000"/>
          <w:sz w:val="24"/>
        </w:rPr>
      </w:pPr>
      <w:r w:rsidRPr="00784D0E">
        <w:rPr>
          <w:rFonts w:eastAsia="Times New Roman"/>
          <w:color w:val="000000"/>
          <w:sz w:val="24"/>
        </w:rPr>
        <w:t xml:space="preserve">liquid assets in an amount that is at least 50% of the required </w:t>
      </w:r>
      <w:proofErr w:type="spellStart"/>
      <w:r w:rsidRPr="00784D0E">
        <w:rPr>
          <w:rFonts w:eastAsia="Times New Roman"/>
          <w:color w:val="000000"/>
          <w:sz w:val="24"/>
        </w:rPr>
        <w:t>NTA</w:t>
      </w:r>
      <w:proofErr w:type="spellEnd"/>
      <w:r w:rsidRPr="00784D0E">
        <w:rPr>
          <w:rFonts w:eastAsia="Times New Roman"/>
          <w:color w:val="000000"/>
          <w:sz w:val="24"/>
        </w:rPr>
        <w:t>.</w:t>
      </w:r>
    </w:p>
    <w:p w14:paraId="33AF2081" w14:textId="77777777" w:rsidR="00D516C6" w:rsidRDefault="00123F3A" w:rsidP="00974CEE">
      <w:pPr>
        <w:numPr>
          <w:ilvl w:val="0"/>
          <w:numId w:val="2"/>
        </w:numPr>
        <w:shd w:val="clear" w:color="auto" w:fill="FFFFFF"/>
        <w:overflowPunct w:val="0"/>
        <w:autoSpaceDE w:val="0"/>
        <w:autoSpaceDN w:val="0"/>
        <w:adjustRightInd w:val="0"/>
        <w:spacing w:before="200" w:line="240" w:lineRule="auto"/>
        <w:rPr>
          <w:rFonts w:eastAsia="Times New Roman"/>
          <w:color w:val="000000"/>
          <w:sz w:val="24"/>
        </w:rPr>
      </w:pPr>
      <w:r w:rsidRPr="00D516C6">
        <w:rPr>
          <w:rFonts w:eastAsia="Times New Roman"/>
          <w:color w:val="000000"/>
          <w:sz w:val="24"/>
        </w:rPr>
        <w:t>The subsection also requires that money that is in an account held by the licensee for the purposes of section 981B or other cash or cash equivalents that are held in respect of any liability or obligation to clients not be counted towards either requirement.</w:t>
      </w:r>
    </w:p>
    <w:p w14:paraId="5B1B8EF1" w14:textId="6CAAD957" w:rsidR="00D516C6" w:rsidRDefault="003A6858" w:rsidP="00D516C6">
      <w:pPr>
        <w:numPr>
          <w:ilvl w:val="0"/>
          <w:numId w:val="2"/>
        </w:numPr>
        <w:shd w:val="clear" w:color="auto" w:fill="FFFFFF"/>
        <w:overflowPunct w:val="0"/>
        <w:autoSpaceDE w:val="0"/>
        <w:autoSpaceDN w:val="0"/>
        <w:adjustRightInd w:val="0"/>
        <w:spacing w:before="200" w:line="300" w:lineRule="atLeast"/>
        <w:rPr>
          <w:rFonts w:eastAsia="Times New Roman"/>
          <w:color w:val="000000"/>
          <w:sz w:val="24"/>
        </w:rPr>
      </w:pPr>
      <w:r w:rsidRPr="00D516C6">
        <w:rPr>
          <w:rFonts w:eastAsia="Times New Roman"/>
          <w:color w:val="000000"/>
          <w:sz w:val="24"/>
        </w:rPr>
        <w:t>Subsection 912AB(6))</w:t>
      </w:r>
      <w:r w:rsidR="00D516C6" w:rsidRPr="00D516C6">
        <w:rPr>
          <w:rFonts w:eastAsia="Times New Roman"/>
          <w:color w:val="000000"/>
          <w:sz w:val="24"/>
        </w:rPr>
        <w:t xml:space="preserve"> requires the licensee </w:t>
      </w:r>
      <w:r w:rsidR="00D516C6">
        <w:rPr>
          <w:rFonts w:eastAsia="Times New Roman"/>
          <w:color w:val="000000"/>
          <w:sz w:val="24"/>
        </w:rPr>
        <w:t>to</w:t>
      </w:r>
      <w:r w:rsidR="00D516C6" w:rsidRPr="00D516C6">
        <w:rPr>
          <w:rFonts w:eastAsia="Times New Roman"/>
          <w:color w:val="000000"/>
          <w:sz w:val="24"/>
        </w:rPr>
        <w:t xml:space="preserve"> lodge with ASIC a statement </w:t>
      </w:r>
      <w:r w:rsidR="00D516C6">
        <w:rPr>
          <w:rFonts w:eastAsia="Times New Roman"/>
          <w:color w:val="000000"/>
          <w:sz w:val="24"/>
        </w:rPr>
        <w:t xml:space="preserve">in writing </w:t>
      </w:r>
      <w:r w:rsidR="00D516C6" w:rsidRPr="00D516C6">
        <w:rPr>
          <w:rFonts w:eastAsia="Times New Roman"/>
          <w:color w:val="000000"/>
          <w:sz w:val="24"/>
        </w:rPr>
        <w:t xml:space="preserve">setting out its </w:t>
      </w:r>
      <w:proofErr w:type="spellStart"/>
      <w:r w:rsidR="00D516C6" w:rsidRPr="00D516C6">
        <w:rPr>
          <w:rFonts w:eastAsia="Times New Roman"/>
          <w:color w:val="000000"/>
          <w:sz w:val="24"/>
        </w:rPr>
        <w:t>NTA</w:t>
      </w:r>
      <w:proofErr w:type="spellEnd"/>
      <w:r w:rsidR="00D516C6" w:rsidRPr="00D516C6">
        <w:rPr>
          <w:rFonts w:eastAsia="Times New Roman"/>
          <w:color w:val="000000"/>
          <w:sz w:val="24"/>
        </w:rPr>
        <w:t xml:space="preserve"> at the end of its financial year and details of the calculation</w:t>
      </w:r>
      <w:r w:rsidR="00124A42">
        <w:rPr>
          <w:rFonts w:eastAsia="Times New Roman"/>
          <w:color w:val="000000"/>
          <w:sz w:val="24"/>
        </w:rPr>
        <w:t>.</w:t>
      </w:r>
    </w:p>
    <w:p w14:paraId="440C447A" w14:textId="5309792F" w:rsidR="007D35AD" w:rsidRPr="00124A42" w:rsidRDefault="00E04C99" w:rsidP="003227EA">
      <w:pPr>
        <w:numPr>
          <w:ilvl w:val="0"/>
          <w:numId w:val="2"/>
        </w:numPr>
        <w:shd w:val="clear" w:color="auto" w:fill="FFFFFF"/>
        <w:overflowPunct w:val="0"/>
        <w:autoSpaceDE w:val="0"/>
        <w:autoSpaceDN w:val="0"/>
        <w:adjustRightInd w:val="0"/>
        <w:spacing w:line="240" w:lineRule="auto"/>
        <w:rPr>
          <w:rFonts w:eastAsia="Times New Roman"/>
          <w:color w:val="000000"/>
          <w:sz w:val="24"/>
        </w:rPr>
      </w:pPr>
      <w:r w:rsidRPr="00EA6D9E">
        <w:rPr>
          <w:rFonts w:eastAsia="Times New Roman"/>
          <w:color w:val="000000"/>
          <w:sz w:val="24"/>
        </w:rPr>
        <w:t xml:space="preserve">The statement required by </w:t>
      </w:r>
      <w:r>
        <w:rPr>
          <w:rFonts w:eastAsia="Times New Roman"/>
          <w:color w:val="000000"/>
          <w:sz w:val="24"/>
        </w:rPr>
        <w:t>s</w:t>
      </w:r>
      <w:r w:rsidRPr="00D516C6">
        <w:rPr>
          <w:rFonts w:eastAsia="Times New Roman"/>
          <w:color w:val="000000"/>
          <w:sz w:val="24"/>
        </w:rPr>
        <w:t>ubsection 912AB(6)</w:t>
      </w:r>
      <w:r>
        <w:rPr>
          <w:rFonts w:eastAsia="Times New Roman"/>
          <w:color w:val="000000"/>
          <w:sz w:val="24"/>
        </w:rPr>
        <w:t xml:space="preserve"> must be </w:t>
      </w:r>
      <w:r w:rsidR="00EA6D9E">
        <w:rPr>
          <w:rFonts w:eastAsia="Times New Roman"/>
          <w:color w:val="000000"/>
          <w:sz w:val="24"/>
        </w:rPr>
        <w:t>lodged b</w:t>
      </w:r>
      <w:r w:rsidR="00123F3A" w:rsidRPr="00EA6D9E">
        <w:rPr>
          <w:rFonts w:eastAsia="Times New Roman"/>
          <w:color w:val="000000"/>
          <w:sz w:val="24"/>
        </w:rPr>
        <w:t xml:space="preserve">y the same time </w:t>
      </w:r>
      <w:r w:rsidR="00EA6D9E" w:rsidRPr="00EA6D9E">
        <w:rPr>
          <w:rFonts w:eastAsia="Times New Roman"/>
          <w:color w:val="000000"/>
          <w:sz w:val="24"/>
        </w:rPr>
        <w:t xml:space="preserve">the licensee </w:t>
      </w:r>
      <w:r w:rsidR="00123F3A" w:rsidRPr="00EA6D9E">
        <w:rPr>
          <w:rFonts w:eastAsia="Times New Roman"/>
          <w:color w:val="000000"/>
          <w:sz w:val="24"/>
        </w:rPr>
        <w:t>must lodge its balance sheet in accordance with s989B of the Act</w:t>
      </w:r>
      <w:r w:rsidR="00124A42" w:rsidRPr="00EA6D9E">
        <w:rPr>
          <w:rFonts w:eastAsia="Times New Roman"/>
          <w:color w:val="000000"/>
          <w:sz w:val="24"/>
        </w:rPr>
        <w:t>.</w:t>
      </w:r>
    </w:p>
    <w:p w14:paraId="56AFFC09" w14:textId="77777777" w:rsidR="00124A42" w:rsidRPr="003227EA" w:rsidRDefault="00124A42" w:rsidP="003227EA">
      <w:pPr>
        <w:shd w:val="clear" w:color="auto" w:fill="FFFFFF"/>
        <w:overflowPunct w:val="0"/>
        <w:autoSpaceDE w:val="0"/>
        <w:autoSpaceDN w:val="0"/>
        <w:adjustRightInd w:val="0"/>
        <w:spacing w:line="240" w:lineRule="auto"/>
        <w:rPr>
          <w:b/>
          <w:i/>
        </w:rPr>
      </w:pPr>
    </w:p>
    <w:p w14:paraId="469AD5E4" w14:textId="1D36B44F" w:rsidR="00123F3A" w:rsidRDefault="00123F3A" w:rsidP="007D35AD">
      <w:pPr>
        <w:pStyle w:val="BodyText"/>
        <w:tabs>
          <w:tab w:val="left" w:pos="709"/>
        </w:tabs>
        <w:spacing w:before="0" w:after="0" w:line="240" w:lineRule="auto"/>
        <w:rPr>
          <w:b/>
          <w:i/>
        </w:rPr>
      </w:pPr>
      <w:r w:rsidRPr="0080167A">
        <w:rPr>
          <w:b/>
          <w:i/>
        </w:rPr>
        <w:t>Reporting triggers and requirements for financial requirement conditions</w:t>
      </w:r>
    </w:p>
    <w:p w14:paraId="57993698" w14:textId="77777777" w:rsidR="007D35AD" w:rsidRPr="0080167A" w:rsidRDefault="007D35AD" w:rsidP="003227EA">
      <w:pPr>
        <w:pStyle w:val="BodyText"/>
        <w:tabs>
          <w:tab w:val="left" w:pos="709"/>
        </w:tabs>
        <w:spacing w:before="0" w:after="0" w:line="240" w:lineRule="auto"/>
        <w:rPr>
          <w:b/>
          <w:i/>
        </w:rPr>
      </w:pPr>
    </w:p>
    <w:p w14:paraId="3D0C58EE" w14:textId="77777777" w:rsidR="00123F3A" w:rsidRPr="0080167A" w:rsidRDefault="00123F3A" w:rsidP="003227EA">
      <w:pPr>
        <w:numPr>
          <w:ilvl w:val="0"/>
          <w:numId w:val="2"/>
        </w:numPr>
        <w:shd w:val="clear" w:color="auto" w:fill="FFFFFF"/>
        <w:overflowPunct w:val="0"/>
        <w:autoSpaceDE w:val="0"/>
        <w:autoSpaceDN w:val="0"/>
        <w:adjustRightInd w:val="0"/>
        <w:spacing w:line="240" w:lineRule="auto"/>
        <w:rPr>
          <w:rFonts w:eastAsia="Times New Roman"/>
          <w:color w:val="000000"/>
          <w:sz w:val="24"/>
        </w:rPr>
      </w:pPr>
      <w:r w:rsidRPr="0080167A">
        <w:rPr>
          <w:rFonts w:eastAsia="Times New Roman"/>
          <w:color w:val="000000"/>
          <w:sz w:val="24"/>
        </w:rPr>
        <w:t xml:space="preserve">Subsection 912AB(7) defines as a notifiable event any instance where the </w:t>
      </w:r>
      <w:proofErr w:type="spellStart"/>
      <w:r w:rsidRPr="0080167A">
        <w:rPr>
          <w:rFonts w:eastAsia="Times New Roman"/>
          <w:color w:val="000000"/>
          <w:sz w:val="24"/>
        </w:rPr>
        <w:t>NTA</w:t>
      </w:r>
      <w:proofErr w:type="spellEnd"/>
      <w:r w:rsidRPr="0080167A">
        <w:rPr>
          <w:rFonts w:eastAsia="Times New Roman"/>
          <w:color w:val="000000"/>
          <w:sz w:val="24"/>
        </w:rPr>
        <w:t xml:space="preserve"> of the licensee is at any time less than the required </w:t>
      </w:r>
      <w:proofErr w:type="spellStart"/>
      <w:r w:rsidRPr="0080167A">
        <w:rPr>
          <w:rFonts w:eastAsia="Times New Roman"/>
          <w:color w:val="000000"/>
          <w:sz w:val="24"/>
        </w:rPr>
        <w:t>NTA</w:t>
      </w:r>
      <w:proofErr w:type="spellEnd"/>
      <w:r w:rsidRPr="0080167A">
        <w:rPr>
          <w:rFonts w:eastAsia="Times New Roman"/>
          <w:color w:val="000000"/>
          <w:sz w:val="24"/>
        </w:rPr>
        <w:t xml:space="preserve"> or greater than the required </w:t>
      </w:r>
      <w:proofErr w:type="spellStart"/>
      <w:r w:rsidRPr="0080167A">
        <w:rPr>
          <w:rFonts w:eastAsia="Times New Roman"/>
          <w:color w:val="000000"/>
          <w:sz w:val="24"/>
        </w:rPr>
        <w:t>NTA</w:t>
      </w:r>
      <w:proofErr w:type="spellEnd"/>
      <w:r w:rsidRPr="0080167A">
        <w:rPr>
          <w:rFonts w:eastAsia="Times New Roman"/>
          <w:color w:val="000000"/>
          <w:sz w:val="24"/>
        </w:rPr>
        <w:t xml:space="preserve"> but equal to or less than 110% of the required </w:t>
      </w:r>
      <w:proofErr w:type="spellStart"/>
      <w:r w:rsidRPr="0080167A">
        <w:rPr>
          <w:rFonts w:eastAsia="Times New Roman"/>
          <w:color w:val="000000"/>
          <w:sz w:val="24"/>
        </w:rPr>
        <w:t>NTA</w:t>
      </w:r>
      <w:proofErr w:type="spellEnd"/>
      <w:r w:rsidRPr="0080167A">
        <w:rPr>
          <w:rFonts w:eastAsia="Times New Roman"/>
          <w:color w:val="000000"/>
          <w:sz w:val="24"/>
        </w:rPr>
        <w:t>.</w:t>
      </w:r>
    </w:p>
    <w:p w14:paraId="1DBC78C8" w14:textId="076DFD3D" w:rsidR="00123F3A" w:rsidRPr="00784D0E" w:rsidRDefault="006F739A" w:rsidP="00784D0E">
      <w:pPr>
        <w:numPr>
          <w:ilvl w:val="0"/>
          <w:numId w:val="2"/>
        </w:numPr>
        <w:shd w:val="clear" w:color="auto" w:fill="FFFFFF"/>
        <w:overflowPunct w:val="0"/>
        <w:autoSpaceDE w:val="0"/>
        <w:autoSpaceDN w:val="0"/>
        <w:adjustRightInd w:val="0"/>
        <w:spacing w:before="200" w:line="300" w:lineRule="atLeast"/>
        <w:rPr>
          <w:rFonts w:eastAsia="Times New Roman"/>
          <w:color w:val="000000"/>
          <w:sz w:val="24"/>
        </w:rPr>
      </w:pPr>
      <w:r w:rsidRPr="0080167A">
        <w:rPr>
          <w:rFonts w:eastAsia="Times New Roman"/>
          <w:color w:val="000000"/>
          <w:sz w:val="24"/>
        </w:rPr>
        <w:t>Under subsection 912AB(7), t</w:t>
      </w:r>
      <w:r w:rsidR="00123F3A" w:rsidRPr="0080167A">
        <w:rPr>
          <w:rFonts w:eastAsia="Times New Roman"/>
          <w:color w:val="000000"/>
          <w:sz w:val="24"/>
        </w:rPr>
        <w:t xml:space="preserve">he </w:t>
      </w:r>
      <w:r w:rsidR="00A232A8" w:rsidRPr="0080167A">
        <w:rPr>
          <w:rFonts w:eastAsia="Times New Roman"/>
          <w:color w:val="000000"/>
          <w:sz w:val="24"/>
        </w:rPr>
        <w:t>licensee</w:t>
      </w:r>
      <w:r w:rsidR="00123F3A" w:rsidRPr="0080167A">
        <w:rPr>
          <w:rFonts w:eastAsia="Times New Roman"/>
          <w:color w:val="000000"/>
          <w:sz w:val="24"/>
        </w:rPr>
        <w:t xml:space="preserve"> must, by the following times, lodge a written report with ASIC that specifies the </w:t>
      </w:r>
      <w:proofErr w:type="spellStart"/>
      <w:r w:rsidR="00123F3A" w:rsidRPr="0080167A">
        <w:rPr>
          <w:rFonts w:eastAsia="Times New Roman"/>
          <w:color w:val="000000"/>
          <w:sz w:val="24"/>
        </w:rPr>
        <w:t>NTA</w:t>
      </w:r>
      <w:proofErr w:type="spellEnd"/>
      <w:r w:rsidR="00123F3A" w:rsidRPr="00784D0E">
        <w:rPr>
          <w:rFonts w:eastAsia="Times New Roman"/>
          <w:color w:val="000000"/>
          <w:sz w:val="24"/>
        </w:rPr>
        <w:t xml:space="preserve"> of the licensee as at the date of the report: </w:t>
      </w:r>
    </w:p>
    <w:p w14:paraId="62724DB9" w14:textId="77777777" w:rsidR="00123F3A" w:rsidRPr="00784D0E" w:rsidRDefault="00123F3A" w:rsidP="00CA06F9">
      <w:pPr>
        <w:numPr>
          <w:ilvl w:val="0"/>
          <w:numId w:val="10"/>
        </w:numPr>
        <w:shd w:val="clear" w:color="auto" w:fill="FFFFFF"/>
        <w:overflowPunct w:val="0"/>
        <w:autoSpaceDE w:val="0"/>
        <w:autoSpaceDN w:val="0"/>
        <w:adjustRightInd w:val="0"/>
        <w:spacing w:before="200" w:line="300" w:lineRule="atLeast"/>
        <w:rPr>
          <w:rFonts w:eastAsia="Times New Roman"/>
          <w:color w:val="000000"/>
          <w:sz w:val="24"/>
        </w:rPr>
      </w:pPr>
      <w:r w:rsidRPr="00784D0E">
        <w:rPr>
          <w:rFonts w:eastAsia="Times New Roman"/>
          <w:color w:val="000000"/>
          <w:sz w:val="24"/>
        </w:rPr>
        <w:t xml:space="preserve">within three business days after becoming aware of the notifiable event; and </w:t>
      </w:r>
    </w:p>
    <w:p w14:paraId="4FC3093E" w14:textId="371D1518" w:rsidR="00784D0E" w:rsidRPr="00A51F20" w:rsidRDefault="00123F3A" w:rsidP="00CA06F9">
      <w:pPr>
        <w:numPr>
          <w:ilvl w:val="0"/>
          <w:numId w:val="10"/>
        </w:numPr>
        <w:shd w:val="clear" w:color="auto" w:fill="FFFFFF"/>
        <w:overflowPunct w:val="0"/>
        <w:autoSpaceDE w:val="0"/>
        <w:autoSpaceDN w:val="0"/>
        <w:adjustRightInd w:val="0"/>
        <w:spacing w:before="200" w:line="300" w:lineRule="atLeast"/>
        <w:rPr>
          <w:rFonts w:eastAsia="Times New Roman"/>
          <w:color w:val="000000"/>
          <w:sz w:val="24"/>
        </w:rPr>
      </w:pPr>
      <w:r w:rsidRPr="00784D0E">
        <w:rPr>
          <w:rFonts w:eastAsia="Times New Roman"/>
          <w:color w:val="000000"/>
          <w:sz w:val="24"/>
        </w:rPr>
        <w:t xml:space="preserve">on the first day of every month unless, as at the last day of the preceding month, the </w:t>
      </w:r>
      <w:proofErr w:type="spellStart"/>
      <w:r w:rsidRPr="00784D0E">
        <w:rPr>
          <w:rFonts w:eastAsia="Times New Roman"/>
          <w:color w:val="000000"/>
          <w:sz w:val="24"/>
        </w:rPr>
        <w:t>NTA</w:t>
      </w:r>
      <w:proofErr w:type="spellEnd"/>
      <w:r w:rsidRPr="00784D0E">
        <w:rPr>
          <w:rFonts w:eastAsia="Times New Roman"/>
          <w:color w:val="000000"/>
          <w:sz w:val="24"/>
        </w:rPr>
        <w:t xml:space="preserve"> is greater than 110% of the required </w:t>
      </w:r>
      <w:proofErr w:type="spellStart"/>
      <w:proofErr w:type="gramStart"/>
      <w:r w:rsidRPr="00784D0E">
        <w:rPr>
          <w:rFonts w:eastAsia="Times New Roman"/>
          <w:color w:val="000000"/>
          <w:sz w:val="24"/>
        </w:rPr>
        <w:t>NTA</w:t>
      </w:r>
      <w:proofErr w:type="spellEnd"/>
      <w:r w:rsidRPr="00784D0E">
        <w:rPr>
          <w:rFonts w:eastAsia="Times New Roman"/>
          <w:color w:val="000000"/>
          <w:sz w:val="24"/>
        </w:rPr>
        <w:t>;</w:t>
      </w:r>
      <w:proofErr w:type="gramEnd"/>
    </w:p>
    <w:p w14:paraId="24BB2E79" w14:textId="677F1D95" w:rsidR="00AA7078" w:rsidRDefault="00121868" w:rsidP="00AA7078">
      <w:pPr>
        <w:numPr>
          <w:ilvl w:val="0"/>
          <w:numId w:val="2"/>
        </w:numPr>
        <w:shd w:val="clear" w:color="auto" w:fill="FFFFFF"/>
        <w:overflowPunct w:val="0"/>
        <w:autoSpaceDE w:val="0"/>
        <w:autoSpaceDN w:val="0"/>
        <w:adjustRightInd w:val="0"/>
        <w:spacing w:before="200" w:line="300" w:lineRule="atLeast"/>
        <w:rPr>
          <w:rFonts w:eastAsia="Times New Roman"/>
          <w:color w:val="000000"/>
          <w:sz w:val="24"/>
        </w:rPr>
      </w:pPr>
      <w:r w:rsidRPr="00A51F20">
        <w:rPr>
          <w:rFonts w:eastAsia="Times New Roman"/>
          <w:color w:val="000000"/>
          <w:sz w:val="24"/>
        </w:rPr>
        <w:t>S</w:t>
      </w:r>
      <w:r w:rsidR="00123F3A" w:rsidRPr="00A51F20">
        <w:rPr>
          <w:rFonts w:eastAsia="Times New Roman"/>
          <w:color w:val="000000"/>
          <w:sz w:val="24"/>
        </w:rPr>
        <w:t xml:space="preserve">ubsection 912AB(8) provides that where the </w:t>
      </w:r>
      <w:proofErr w:type="spellStart"/>
      <w:r w:rsidR="00123F3A" w:rsidRPr="00A51F20">
        <w:rPr>
          <w:rFonts w:eastAsia="Times New Roman"/>
          <w:color w:val="000000"/>
          <w:sz w:val="24"/>
        </w:rPr>
        <w:t>NTA</w:t>
      </w:r>
      <w:proofErr w:type="spellEnd"/>
      <w:r w:rsidR="00123F3A" w:rsidRPr="00A51F20">
        <w:rPr>
          <w:rFonts w:eastAsia="Times New Roman"/>
          <w:color w:val="000000"/>
          <w:sz w:val="24"/>
        </w:rPr>
        <w:t xml:space="preserve"> of the licensee is less than the required </w:t>
      </w:r>
      <w:proofErr w:type="spellStart"/>
      <w:r w:rsidR="00123F3A" w:rsidRPr="00A51F20">
        <w:rPr>
          <w:rFonts w:eastAsia="Times New Roman"/>
          <w:color w:val="000000"/>
          <w:sz w:val="24"/>
        </w:rPr>
        <w:t>NTA</w:t>
      </w:r>
      <w:proofErr w:type="spellEnd"/>
      <w:r w:rsidR="00123F3A" w:rsidRPr="00A51F20">
        <w:rPr>
          <w:rFonts w:eastAsia="Times New Roman"/>
          <w:color w:val="000000"/>
          <w:sz w:val="24"/>
        </w:rPr>
        <w:t xml:space="preserve"> for any consecutive period of two months, the licensee must</w:t>
      </w:r>
      <w:r w:rsidR="004F0F25" w:rsidRPr="00A51F20">
        <w:rPr>
          <w:rFonts w:eastAsia="Times New Roman"/>
          <w:color w:val="000000"/>
          <w:sz w:val="24"/>
        </w:rPr>
        <w:t xml:space="preserve"> noti</w:t>
      </w:r>
      <w:r w:rsidR="00C62C40" w:rsidRPr="00A51F20">
        <w:rPr>
          <w:rFonts w:eastAsia="Times New Roman"/>
          <w:color w:val="000000"/>
          <w:sz w:val="24"/>
        </w:rPr>
        <w:t>fy, in writing,</w:t>
      </w:r>
      <w:r w:rsidR="00AA7078" w:rsidRPr="00AA7078">
        <w:rPr>
          <w:rFonts w:eastAsia="Times New Roman"/>
          <w:color w:val="000000"/>
          <w:sz w:val="24"/>
        </w:rPr>
        <w:t xml:space="preserve"> the following persons of the deficiency within 3 business days after that </w:t>
      </w:r>
      <w:proofErr w:type="gramStart"/>
      <w:r w:rsidR="00AA7078" w:rsidRPr="00AA7078">
        <w:rPr>
          <w:rFonts w:eastAsia="Times New Roman"/>
          <w:color w:val="000000"/>
          <w:sz w:val="24"/>
        </w:rPr>
        <w:t>2 month</w:t>
      </w:r>
      <w:proofErr w:type="gramEnd"/>
      <w:r w:rsidR="00AA7078" w:rsidRPr="00AA7078">
        <w:rPr>
          <w:rFonts w:eastAsia="Times New Roman"/>
          <w:color w:val="000000"/>
          <w:sz w:val="24"/>
        </w:rPr>
        <w:t xml:space="preserve"> period:</w:t>
      </w:r>
    </w:p>
    <w:p w14:paraId="60903B09" w14:textId="77777777" w:rsidR="00B346EE" w:rsidRPr="00B346EE" w:rsidRDefault="00B346EE" w:rsidP="00CA06F9">
      <w:pPr>
        <w:numPr>
          <w:ilvl w:val="0"/>
          <w:numId w:val="11"/>
        </w:numPr>
        <w:shd w:val="clear" w:color="auto" w:fill="FFFFFF"/>
        <w:overflowPunct w:val="0"/>
        <w:autoSpaceDE w:val="0"/>
        <w:autoSpaceDN w:val="0"/>
        <w:adjustRightInd w:val="0"/>
        <w:spacing w:before="200" w:line="300" w:lineRule="atLeast"/>
        <w:rPr>
          <w:rFonts w:eastAsia="Times New Roman"/>
          <w:color w:val="000000"/>
          <w:sz w:val="24"/>
        </w:rPr>
      </w:pPr>
      <w:r w:rsidRPr="00B346EE">
        <w:rPr>
          <w:rFonts w:eastAsia="Times New Roman"/>
          <w:color w:val="000000"/>
          <w:sz w:val="24"/>
        </w:rPr>
        <w:t>each person to whom it provides financial services; and</w:t>
      </w:r>
    </w:p>
    <w:p w14:paraId="13AFD8D0" w14:textId="6C9DE191" w:rsidR="00B346EE" w:rsidRPr="002D7580" w:rsidRDefault="00B346EE" w:rsidP="00CA06F9">
      <w:pPr>
        <w:numPr>
          <w:ilvl w:val="0"/>
          <w:numId w:val="11"/>
        </w:numPr>
        <w:shd w:val="clear" w:color="auto" w:fill="FFFFFF"/>
        <w:overflowPunct w:val="0"/>
        <w:autoSpaceDE w:val="0"/>
        <w:autoSpaceDN w:val="0"/>
        <w:adjustRightInd w:val="0"/>
        <w:spacing w:before="200" w:line="300" w:lineRule="atLeast"/>
        <w:rPr>
          <w:rFonts w:eastAsia="Times New Roman"/>
          <w:color w:val="000000"/>
          <w:sz w:val="24"/>
        </w:rPr>
      </w:pPr>
      <w:r w:rsidRPr="00B346EE">
        <w:rPr>
          <w:rFonts w:eastAsia="Times New Roman"/>
          <w:color w:val="000000"/>
          <w:sz w:val="24"/>
        </w:rPr>
        <w:t>each person for the benefit of whom it holds money or property on trust under Divisions 2 or 3 of Part 7.8.</w:t>
      </w:r>
    </w:p>
    <w:p w14:paraId="0F6B7495" w14:textId="2842547C" w:rsidR="00123F3A" w:rsidRPr="002D7580" w:rsidRDefault="00123F3A" w:rsidP="002D7580">
      <w:pPr>
        <w:numPr>
          <w:ilvl w:val="0"/>
          <w:numId w:val="2"/>
        </w:numPr>
        <w:shd w:val="clear" w:color="auto" w:fill="FFFFFF"/>
        <w:overflowPunct w:val="0"/>
        <w:autoSpaceDE w:val="0"/>
        <w:autoSpaceDN w:val="0"/>
        <w:adjustRightInd w:val="0"/>
        <w:spacing w:before="200" w:line="300" w:lineRule="atLeast"/>
        <w:rPr>
          <w:rFonts w:eastAsia="Times New Roman"/>
          <w:color w:val="000000"/>
          <w:sz w:val="24"/>
        </w:rPr>
      </w:pPr>
      <w:r w:rsidRPr="002D7580">
        <w:rPr>
          <w:rFonts w:eastAsia="Times New Roman"/>
          <w:color w:val="000000"/>
          <w:sz w:val="24"/>
        </w:rPr>
        <w:t xml:space="preserve">Subsection 912AB(9) provides that, subject to subsection 912AB(10), where the </w:t>
      </w:r>
      <w:proofErr w:type="spellStart"/>
      <w:r w:rsidRPr="002D7580">
        <w:rPr>
          <w:rFonts w:eastAsia="Times New Roman"/>
          <w:color w:val="000000"/>
          <w:sz w:val="24"/>
        </w:rPr>
        <w:t>NTA</w:t>
      </w:r>
      <w:proofErr w:type="spellEnd"/>
      <w:r w:rsidRPr="002D7580">
        <w:rPr>
          <w:rFonts w:eastAsia="Times New Roman"/>
          <w:color w:val="000000"/>
          <w:sz w:val="24"/>
        </w:rPr>
        <w:t xml:space="preserve"> of the licensee is at any time less than the required </w:t>
      </w:r>
      <w:proofErr w:type="spellStart"/>
      <w:r w:rsidRPr="002D7580">
        <w:rPr>
          <w:rFonts w:eastAsia="Times New Roman"/>
          <w:color w:val="000000"/>
          <w:sz w:val="24"/>
        </w:rPr>
        <w:t>NTA</w:t>
      </w:r>
      <w:proofErr w:type="spellEnd"/>
      <w:r w:rsidRPr="002D7580">
        <w:rPr>
          <w:rFonts w:eastAsia="Times New Roman"/>
          <w:color w:val="000000"/>
          <w:sz w:val="24"/>
        </w:rPr>
        <w:t xml:space="preserve">, the licensee must not enter into a transaction with any person to whom it provides financial services that could give rise to further liabilities, contingent liabilities or other financial obligations of the licensee unless the issuer's board of directors, or other governing body, have certified in writing that, having conducted reasonable enquiries into the financial position of the licensee, there is no reason to believe that: </w:t>
      </w:r>
    </w:p>
    <w:p w14:paraId="28644335" w14:textId="1736468C" w:rsidR="00123F3A" w:rsidRPr="00494913" w:rsidRDefault="00123F3A" w:rsidP="00CA06F9">
      <w:pPr>
        <w:numPr>
          <w:ilvl w:val="0"/>
          <w:numId w:val="22"/>
        </w:numPr>
        <w:overflowPunct w:val="0"/>
        <w:autoSpaceDE w:val="0"/>
        <w:autoSpaceDN w:val="0"/>
        <w:adjustRightInd w:val="0"/>
        <w:spacing w:before="200" w:line="300" w:lineRule="atLeast"/>
        <w:rPr>
          <w:rFonts w:eastAsia="Times New Roman"/>
          <w:color w:val="000000"/>
          <w:sz w:val="24"/>
        </w:rPr>
      </w:pPr>
      <w:r w:rsidRPr="00494913">
        <w:rPr>
          <w:rFonts w:eastAsia="Times New Roman"/>
          <w:color w:val="000000"/>
          <w:sz w:val="24"/>
        </w:rPr>
        <w:lastRenderedPageBreak/>
        <w:t xml:space="preserve">the licensee will not comply with section 912A </w:t>
      </w:r>
      <w:r w:rsidR="00776CEA" w:rsidRPr="00494913">
        <w:rPr>
          <w:rFonts w:eastAsia="Times New Roman"/>
          <w:color w:val="000000"/>
          <w:sz w:val="24"/>
        </w:rPr>
        <w:t>except to the extent that paragraph 912A(1)(c) requires compliance with subsections 912A</w:t>
      </w:r>
      <w:r w:rsidR="002D3ADE" w:rsidRPr="00494913">
        <w:rPr>
          <w:rFonts w:eastAsia="Times New Roman"/>
          <w:color w:val="000000"/>
          <w:sz w:val="24"/>
        </w:rPr>
        <w:t>B</w:t>
      </w:r>
      <w:r w:rsidR="00776CEA" w:rsidRPr="00494913">
        <w:rPr>
          <w:rFonts w:eastAsia="Times New Roman"/>
          <w:color w:val="000000"/>
          <w:sz w:val="24"/>
        </w:rPr>
        <w:t xml:space="preserve">(4) and (5); and </w:t>
      </w:r>
    </w:p>
    <w:p w14:paraId="37F255FE" w14:textId="66D9C9C3" w:rsidR="008F21CE" w:rsidRPr="00F33008" w:rsidRDefault="00123F3A" w:rsidP="00CA06F9">
      <w:pPr>
        <w:numPr>
          <w:ilvl w:val="0"/>
          <w:numId w:val="22"/>
        </w:numPr>
        <w:shd w:val="clear" w:color="auto" w:fill="FFFFFF"/>
        <w:overflowPunct w:val="0"/>
        <w:autoSpaceDE w:val="0"/>
        <w:autoSpaceDN w:val="0"/>
        <w:adjustRightInd w:val="0"/>
        <w:spacing w:before="200" w:line="300" w:lineRule="atLeast"/>
        <w:rPr>
          <w:rFonts w:eastAsia="Times New Roman"/>
          <w:color w:val="000000"/>
          <w:sz w:val="24"/>
        </w:rPr>
      </w:pPr>
      <w:r w:rsidRPr="00F33008">
        <w:rPr>
          <w:rFonts w:eastAsia="Times New Roman"/>
          <w:color w:val="000000"/>
          <w:sz w:val="24"/>
        </w:rPr>
        <w:t xml:space="preserve">there is or will be a deficiency in any accounts maintained by the licensee for the purposes of </w:t>
      </w:r>
      <w:r w:rsidR="002C0BA9" w:rsidRPr="00F33008">
        <w:rPr>
          <w:rFonts w:eastAsia="Times New Roman"/>
          <w:color w:val="000000"/>
          <w:sz w:val="24"/>
        </w:rPr>
        <w:t>section 981B</w:t>
      </w:r>
      <w:r w:rsidR="008F21CE" w:rsidRPr="00F33008">
        <w:rPr>
          <w:rFonts w:eastAsia="Times New Roman"/>
          <w:color w:val="000000"/>
          <w:sz w:val="24"/>
        </w:rPr>
        <w:t>.</w:t>
      </w:r>
    </w:p>
    <w:p w14:paraId="3D19A6CA" w14:textId="06FD2147" w:rsidR="00570C06" w:rsidRPr="002C0BA9" w:rsidRDefault="00570C06" w:rsidP="006A0700">
      <w:pPr>
        <w:pStyle w:val="BodyText"/>
        <w:numPr>
          <w:ilvl w:val="0"/>
          <w:numId w:val="2"/>
        </w:numPr>
        <w:shd w:val="clear" w:color="auto" w:fill="FFFFFF"/>
        <w:tabs>
          <w:tab w:val="left" w:pos="567"/>
          <w:tab w:val="left" w:pos="1134"/>
        </w:tabs>
        <w:spacing w:before="200" w:after="0"/>
        <w:textAlignment w:val="baseline"/>
      </w:pPr>
      <w:r w:rsidRPr="002C0BA9">
        <w:t>Subsection 912AB(10) provides that, w</w:t>
      </w:r>
      <w:r w:rsidR="00123F3A" w:rsidRPr="002C0BA9">
        <w:t xml:space="preserve">here the </w:t>
      </w:r>
      <w:proofErr w:type="spellStart"/>
      <w:r w:rsidR="00123F3A" w:rsidRPr="002C0BA9">
        <w:t>NTA</w:t>
      </w:r>
      <w:proofErr w:type="spellEnd"/>
      <w:r w:rsidR="00123F3A" w:rsidRPr="002C0BA9">
        <w:t xml:space="preserve"> of the licensee is at any time equal to or less than 75% of the required </w:t>
      </w:r>
      <w:proofErr w:type="spellStart"/>
      <w:r w:rsidR="00123F3A" w:rsidRPr="002C0BA9">
        <w:t>NTA</w:t>
      </w:r>
      <w:proofErr w:type="spellEnd"/>
      <w:r w:rsidR="00123F3A" w:rsidRPr="002C0BA9">
        <w:t xml:space="preserve">, the licensee must not </w:t>
      </w:r>
      <w:proofErr w:type="gramStart"/>
      <w:r w:rsidR="00123F3A" w:rsidRPr="002C0BA9">
        <w:t>enter into</w:t>
      </w:r>
      <w:proofErr w:type="gramEnd"/>
      <w:r w:rsidR="00123F3A" w:rsidRPr="002C0BA9">
        <w:t xml:space="preserve"> a transaction with any person to whom it provides financial services that could give rise to further liabilities, contingent liabilities or other financial obligations of the licensee</w:t>
      </w:r>
      <w:r w:rsidRPr="002C0BA9">
        <w:t>.</w:t>
      </w:r>
    </w:p>
    <w:p w14:paraId="15DE055B" w14:textId="6C0FB774" w:rsidR="00570C06" w:rsidRPr="00554A6A" w:rsidRDefault="00123F3A" w:rsidP="00570C06">
      <w:pPr>
        <w:pStyle w:val="BodyText"/>
        <w:tabs>
          <w:tab w:val="left" w:pos="567"/>
          <w:tab w:val="left" w:pos="680"/>
          <w:tab w:val="left" w:pos="709"/>
        </w:tabs>
        <w:spacing w:before="200" w:after="0"/>
        <w:textAlignment w:val="baseline"/>
        <w:rPr>
          <w:b/>
          <w:i/>
        </w:rPr>
      </w:pPr>
      <w:r w:rsidRPr="00554A6A">
        <w:rPr>
          <w:b/>
          <w:i/>
        </w:rPr>
        <w:t>Audit opinion on financial requirements</w:t>
      </w:r>
    </w:p>
    <w:p w14:paraId="664C7B07" w14:textId="2E711A19" w:rsidR="00123F3A" w:rsidRPr="00F85B62" w:rsidRDefault="00123F3A" w:rsidP="00870770">
      <w:pPr>
        <w:numPr>
          <w:ilvl w:val="0"/>
          <w:numId w:val="2"/>
        </w:numPr>
        <w:shd w:val="clear" w:color="auto" w:fill="FFFFFF"/>
        <w:overflowPunct w:val="0"/>
        <w:autoSpaceDE w:val="0"/>
        <w:autoSpaceDN w:val="0"/>
        <w:adjustRightInd w:val="0"/>
        <w:spacing w:before="200" w:line="300" w:lineRule="atLeast"/>
        <w:rPr>
          <w:rFonts w:eastAsia="Times New Roman"/>
          <w:color w:val="000000"/>
          <w:sz w:val="24"/>
        </w:rPr>
      </w:pPr>
      <w:r w:rsidRPr="00F85B62">
        <w:rPr>
          <w:rFonts w:eastAsia="Times New Roman"/>
          <w:color w:val="000000"/>
          <w:sz w:val="24"/>
        </w:rPr>
        <w:t>Subsection 912AB(11) contains the requirements for the audit report issuers must lodge with ASIC</w:t>
      </w:r>
      <w:r w:rsidR="008A742C" w:rsidRPr="00F85B62">
        <w:rPr>
          <w:rFonts w:eastAsia="Times New Roman"/>
          <w:color w:val="000000"/>
          <w:sz w:val="24"/>
        </w:rPr>
        <w:t xml:space="preserve"> each financial year</w:t>
      </w:r>
      <w:r w:rsidRPr="00F85B62">
        <w:rPr>
          <w:rFonts w:eastAsia="Times New Roman"/>
          <w:color w:val="000000"/>
          <w:sz w:val="24"/>
        </w:rPr>
        <w:t>. The auditor must provide an audit opinion on the matters covered at paragraph 912AB(11)(a) and provide a ‘negative assurance’ opinion, based on a review, of the matters at paragraph 912AB(11)(b).</w:t>
      </w:r>
    </w:p>
    <w:p w14:paraId="14173F99" w14:textId="6654858A" w:rsidR="00870770" w:rsidRPr="00F85B62" w:rsidRDefault="00870770" w:rsidP="00870770">
      <w:pPr>
        <w:numPr>
          <w:ilvl w:val="0"/>
          <w:numId w:val="2"/>
        </w:numPr>
        <w:shd w:val="clear" w:color="auto" w:fill="FFFFFF"/>
        <w:overflowPunct w:val="0"/>
        <w:autoSpaceDE w:val="0"/>
        <w:autoSpaceDN w:val="0"/>
        <w:adjustRightInd w:val="0"/>
        <w:spacing w:before="200" w:line="300" w:lineRule="atLeast"/>
        <w:rPr>
          <w:rFonts w:eastAsia="Times New Roman"/>
          <w:color w:val="000000"/>
          <w:sz w:val="24"/>
        </w:rPr>
      </w:pPr>
      <w:r w:rsidRPr="00F85B62">
        <w:rPr>
          <w:rFonts w:eastAsia="Times New Roman"/>
          <w:color w:val="000000"/>
          <w:sz w:val="24"/>
        </w:rPr>
        <w:t xml:space="preserve">Subsection 912AB(12) provides that the audit opinion </w:t>
      </w:r>
      <w:r w:rsidR="00DD05BD" w:rsidRPr="00F85B62">
        <w:rPr>
          <w:rFonts w:eastAsia="Times New Roman"/>
          <w:color w:val="000000"/>
          <w:sz w:val="24"/>
        </w:rPr>
        <w:t xml:space="preserve">must be lodged </w:t>
      </w:r>
      <w:r w:rsidRPr="00F85B62">
        <w:rPr>
          <w:rFonts w:eastAsia="Times New Roman"/>
          <w:color w:val="000000"/>
          <w:sz w:val="24"/>
        </w:rPr>
        <w:t>with ASIC</w:t>
      </w:r>
      <w:r w:rsidR="00DD05BD" w:rsidRPr="00F85B62">
        <w:rPr>
          <w:rFonts w:eastAsia="Times New Roman"/>
          <w:color w:val="000000"/>
          <w:sz w:val="24"/>
        </w:rPr>
        <w:t xml:space="preserve"> by no later than:</w:t>
      </w:r>
    </w:p>
    <w:p w14:paraId="5FFB86A1" w14:textId="5A820C3B" w:rsidR="00357DF1" w:rsidRPr="00F85B62" w:rsidRDefault="00357DF1" w:rsidP="00CA06F9">
      <w:pPr>
        <w:pStyle w:val="BodyText"/>
        <w:numPr>
          <w:ilvl w:val="0"/>
          <w:numId w:val="12"/>
        </w:numPr>
        <w:tabs>
          <w:tab w:val="left" w:pos="567"/>
          <w:tab w:val="left" w:pos="1134"/>
        </w:tabs>
        <w:spacing w:before="200" w:after="0"/>
        <w:textAlignment w:val="baseline"/>
      </w:pPr>
      <w:r w:rsidRPr="00F85B62">
        <w:t>for each financial year of the licensee</w:t>
      </w:r>
      <w:r w:rsidR="00F85B62" w:rsidRPr="00F85B62">
        <w:t xml:space="preserve">, </w:t>
      </w:r>
      <w:r w:rsidRPr="00F85B62">
        <w:t>the day the licensee is required to lodge a balance sheet under section 989B; and</w:t>
      </w:r>
    </w:p>
    <w:p w14:paraId="4F68A93A" w14:textId="5C0118EE" w:rsidR="00357DF1" w:rsidRPr="00F85B62" w:rsidRDefault="00357DF1" w:rsidP="00CA06F9">
      <w:pPr>
        <w:pStyle w:val="BodyText"/>
        <w:numPr>
          <w:ilvl w:val="0"/>
          <w:numId w:val="12"/>
        </w:numPr>
        <w:tabs>
          <w:tab w:val="left" w:pos="567"/>
          <w:tab w:val="left" w:pos="1134"/>
        </w:tabs>
        <w:spacing w:before="200" w:after="0"/>
        <w:textAlignment w:val="baseline"/>
      </w:pPr>
      <w:r w:rsidRPr="00F85B62">
        <w:t xml:space="preserve">for any </w:t>
      </w:r>
      <w:proofErr w:type="gramStart"/>
      <w:r w:rsidRPr="00F85B62">
        <w:t>period of time</w:t>
      </w:r>
      <w:proofErr w:type="gramEnd"/>
      <w:r w:rsidRPr="00F85B62">
        <w:t xml:space="preserve"> that ASIC direct</w:t>
      </w:r>
      <w:r w:rsidR="00F85B62" w:rsidRPr="00F85B62">
        <w:t xml:space="preserve">s, </w:t>
      </w:r>
      <w:r w:rsidRPr="00F85B62">
        <w:t>the date ASIC directs the audit opinion to be lodged.</w:t>
      </w:r>
    </w:p>
    <w:p w14:paraId="0CB01001" w14:textId="77777777" w:rsidR="00275ABB" w:rsidRDefault="00275ABB" w:rsidP="00275ABB">
      <w:pPr>
        <w:pStyle w:val="BodyText"/>
        <w:tabs>
          <w:tab w:val="left" w:pos="567"/>
          <w:tab w:val="left" w:pos="1134"/>
        </w:tabs>
        <w:spacing w:before="0" w:after="0"/>
        <w:textAlignment w:val="baseline"/>
        <w:rPr>
          <w:b/>
          <w:i/>
        </w:rPr>
      </w:pPr>
    </w:p>
    <w:p w14:paraId="12D1F775" w14:textId="73F15753" w:rsidR="00EA3515" w:rsidRPr="00C1422E" w:rsidRDefault="00123F3A" w:rsidP="00275ABB">
      <w:pPr>
        <w:pStyle w:val="BodyText"/>
        <w:tabs>
          <w:tab w:val="left" w:pos="567"/>
          <w:tab w:val="left" w:pos="1134"/>
        </w:tabs>
        <w:spacing w:before="0" w:after="0"/>
        <w:textAlignment w:val="baseline"/>
        <w:rPr>
          <w:b/>
          <w:i/>
        </w:rPr>
      </w:pPr>
      <w:r w:rsidRPr="00C1422E">
        <w:rPr>
          <w:b/>
          <w:i/>
        </w:rPr>
        <w:t>Definitions</w:t>
      </w:r>
    </w:p>
    <w:p w14:paraId="31D122DD" w14:textId="77777777" w:rsidR="00A26AF3" w:rsidRDefault="00A26AF3" w:rsidP="00275ABB"/>
    <w:p w14:paraId="76C33C84" w14:textId="49F326E4" w:rsidR="00123F3A" w:rsidRDefault="004679E8" w:rsidP="00C1422E">
      <w:pPr>
        <w:pStyle w:val="LI-BodyTextNumbered"/>
        <w:numPr>
          <w:ilvl w:val="0"/>
          <w:numId w:val="2"/>
        </w:numPr>
        <w:spacing w:before="0"/>
      </w:pPr>
      <w:r>
        <w:t xml:space="preserve">Subsection 912AB(13) </w:t>
      </w:r>
      <w:r w:rsidR="00182737">
        <w:t xml:space="preserve">sets out the </w:t>
      </w:r>
      <w:r w:rsidR="00123F3A" w:rsidRPr="0048265F">
        <w:t>definitions</w:t>
      </w:r>
      <w:r w:rsidR="00EA3515">
        <w:t xml:space="preserve"> for terms used in</w:t>
      </w:r>
      <w:r w:rsidR="00123F3A" w:rsidRPr="0048265F">
        <w:t xml:space="preserve"> the </w:t>
      </w:r>
      <w:r w:rsidR="00731DEE">
        <w:t>Instrument</w:t>
      </w:r>
      <w:r w:rsidR="00123F3A" w:rsidRPr="0048265F">
        <w:t xml:space="preserve">. Most definitions </w:t>
      </w:r>
      <w:r w:rsidR="0094637C">
        <w:t>(other than those already</w:t>
      </w:r>
      <w:r w:rsidR="0081611B">
        <w:t xml:space="preserve"> referred to in this explanatory statement) </w:t>
      </w:r>
      <w:r w:rsidR="008633C2">
        <w:t>generally reflect the definitions in RG 166</w:t>
      </w:r>
      <w:r w:rsidR="00D22DB7">
        <w:t xml:space="preserve">, </w:t>
      </w:r>
      <w:r w:rsidR="005E2C50">
        <w:t xml:space="preserve">Class Order 13/760: </w:t>
      </w:r>
      <w:r w:rsidR="005E2C50" w:rsidRPr="005E2C50">
        <w:rPr>
          <w:i/>
          <w:iCs/>
        </w:rPr>
        <w:t xml:space="preserve">Financial requirements for </w:t>
      </w:r>
      <w:r w:rsidR="00275ABB" w:rsidRPr="005E2C50">
        <w:rPr>
          <w:i/>
          <w:iCs/>
        </w:rPr>
        <w:t>responsible</w:t>
      </w:r>
      <w:r w:rsidR="005E2C50" w:rsidRPr="005E2C50">
        <w:rPr>
          <w:i/>
          <w:iCs/>
        </w:rPr>
        <w:t xml:space="preserve"> entities and operators of investor directed portfolio services</w:t>
      </w:r>
      <w:r w:rsidR="00D22DB7">
        <w:t xml:space="preserve"> and </w:t>
      </w:r>
      <w:r w:rsidR="00A26AF3" w:rsidRPr="00A26AF3">
        <w:rPr>
          <w:i/>
          <w:iCs/>
        </w:rPr>
        <w:t xml:space="preserve">ASIC Corporations (Financial Requirements for Corporate Directors of Retail </w:t>
      </w:r>
      <w:proofErr w:type="spellStart"/>
      <w:r w:rsidR="00A26AF3" w:rsidRPr="00A26AF3">
        <w:rPr>
          <w:i/>
          <w:iCs/>
        </w:rPr>
        <w:t>CCIVs</w:t>
      </w:r>
      <w:proofErr w:type="spellEnd"/>
      <w:r w:rsidR="00A26AF3" w:rsidRPr="00A26AF3">
        <w:rPr>
          <w:i/>
          <w:iCs/>
        </w:rPr>
        <w:t>) Instrument 2022/449</w:t>
      </w:r>
      <w:r w:rsidR="00275ABB">
        <w:rPr>
          <w:i/>
          <w:iCs/>
        </w:rPr>
        <w:t>,</w:t>
      </w:r>
      <w:r w:rsidR="00A26AF3" w:rsidRPr="005E2C50">
        <w:t xml:space="preserve"> </w:t>
      </w:r>
      <w:r w:rsidR="0070754B">
        <w:t>with appropriate amendments for the retail OTC derivative issuer context</w:t>
      </w:r>
      <w:r w:rsidR="00572713">
        <w:t>.</w:t>
      </w:r>
    </w:p>
    <w:p w14:paraId="2A30B472" w14:textId="77777777" w:rsidR="00C1422E" w:rsidRPr="005E2C50" w:rsidRDefault="00C1422E" w:rsidP="00C1422E">
      <w:pPr>
        <w:pStyle w:val="LI-BodyTextNumbered"/>
        <w:spacing w:before="0"/>
        <w:ind w:left="570" w:firstLine="0"/>
      </w:pPr>
    </w:p>
    <w:p w14:paraId="79846EF9" w14:textId="77777777" w:rsidR="00B54863" w:rsidRDefault="00B54863" w:rsidP="00C1422E">
      <w:pPr>
        <w:shd w:val="clear" w:color="auto" w:fill="FFFFFF"/>
        <w:overflowPunct w:val="0"/>
        <w:autoSpaceDE w:val="0"/>
        <w:autoSpaceDN w:val="0"/>
        <w:adjustRightInd w:val="0"/>
        <w:spacing w:line="240" w:lineRule="auto"/>
        <w:rPr>
          <w:rFonts w:eastAsia="Times New Roman"/>
          <w:b/>
          <w:bCs/>
          <w:color w:val="000000"/>
          <w:sz w:val="24"/>
          <w:szCs w:val="24"/>
          <w:u w:val="single"/>
        </w:rPr>
      </w:pPr>
      <w:r w:rsidRPr="00C1422E">
        <w:rPr>
          <w:rFonts w:eastAsia="Times New Roman"/>
          <w:b/>
          <w:bCs/>
          <w:color w:val="000000"/>
          <w:sz w:val="24"/>
          <w:szCs w:val="24"/>
          <w:u w:val="single"/>
        </w:rPr>
        <w:t>ASIC Corporations (Repeal) Instrument 2022/704</w:t>
      </w:r>
    </w:p>
    <w:p w14:paraId="471BDB96" w14:textId="77777777" w:rsidR="00C1422E" w:rsidRPr="00C1422E" w:rsidRDefault="00C1422E" w:rsidP="00C1422E">
      <w:pPr>
        <w:shd w:val="clear" w:color="auto" w:fill="FFFFFF"/>
        <w:overflowPunct w:val="0"/>
        <w:autoSpaceDE w:val="0"/>
        <w:autoSpaceDN w:val="0"/>
        <w:adjustRightInd w:val="0"/>
        <w:spacing w:line="240" w:lineRule="auto"/>
        <w:rPr>
          <w:rFonts w:eastAsia="Times New Roman"/>
          <w:b/>
          <w:bCs/>
          <w:color w:val="000000"/>
          <w:sz w:val="24"/>
          <w:szCs w:val="24"/>
          <w:u w:val="single"/>
        </w:rPr>
      </w:pPr>
    </w:p>
    <w:p w14:paraId="348C64BD" w14:textId="792E87C1" w:rsidR="00861943" w:rsidRPr="00C1422E" w:rsidRDefault="00861943" w:rsidP="00C1422E">
      <w:pPr>
        <w:numPr>
          <w:ilvl w:val="0"/>
          <w:numId w:val="2"/>
        </w:numPr>
        <w:shd w:val="clear" w:color="auto" w:fill="FFFFFF"/>
        <w:overflowPunct w:val="0"/>
        <w:autoSpaceDE w:val="0"/>
        <w:autoSpaceDN w:val="0"/>
        <w:adjustRightInd w:val="0"/>
        <w:spacing w:line="240" w:lineRule="auto"/>
        <w:rPr>
          <w:rFonts w:eastAsia="Times New Roman"/>
          <w:i/>
          <w:iCs/>
          <w:color w:val="000000"/>
          <w:sz w:val="24"/>
          <w:szCs w:val="24"/>
        </w:rPr>
      </w:pPr>
      <w:r w:rsidRPr="00911A80">
        <w:rPr>
          <w:rFonts w:eastAsia="Times New Roman"/>
          <w:color w:val="000000"/>
          <w:sz w:val="24"/>
          <w:szCs w:val="24"/>
        </w:rPr>
        <w:t xml:space="preserve">Section 1 of the </w:t>
      </w:r>
      <w:r>
        <w:rPr>
          <w:rFonts w:eastAsia="Times New Roman"/>
          <w:color w:val="000000"/>
          <w:sz w:val="24"/>
          <w:szCs w:val="24"/>
        </w:rPr>
        <w:t xml:space="preserve">Repeal </w:t>
      </w:r>
      <w:r w:rsidRPr="00911A80">
        <w:rPr>
          <w:rFonts w:eastAsia="Times New Roman"/>
          <w:color w:val="000000"/>
          <w:sz w:val="24"/>
          <w:szCs w:val="24"/>
        </w:rPr>
        <w:t xml:space="preserve">Instrument provides that the name of the legislative instrument is </w:t>
      </w:r>
      <w:r w:rsidRPr="00911A80">
        <w:rPr>
          <w:i/>
          <w:iCs/>
          <w:sz w:val="24"/>
          <w:szCs w:val="24"/>
        </w:rPr>
        <w:t>ASIC Corporations (</w:t>
      </w:r>
      <w:r>
        <w:rPr>
          <w:i/>
          <w:iCs/>
          <w:sz w:val="24"/>
          <w:szCs w:val="24"/>
        </w:rPr>
        <w:t>Repeal</w:t>
      </w:r>
      <w:r w:rsidRPr="00911A80">
        <w:rPr>
          <w:i/>
          <w:iCs/>
          <w:sz w:val="24"/>
          <w:szCs w:val="24"/>
        </w:rPr>
        <w:t xml:space="preserve">) Instrument </w:t>
      </w:r>
      <w:r w:rsidRPr="003B6D5B">
        <w:rPr>
          <w:i/>
          <w:iCs/>
          <w:sz w:val="24"/>
          <w:szCs w:val="24"/>
        </w:rPr>
        <w:t>2022/70</w:t>
      </w:r>
      <w:r>
        <w:rPr>
          <w:i/>
          <w:iCs/>
          <w:sz w:val="24"/>
          <w:szCs w:val="24"/>
        </w:rPr>
        <w:t>4</w:t>
      </w:r>
      <w:r w:rsidRPr="003B6D5B">
        <w:rPr>
          <w:i/>
          <w:iCs/>
          <w:sz w:val="24"/>
          <w:szCs w:val="24"/>
        </w:rPr>
        <w:t>.</w:t>
      </w:r>
    </w:p>
    <w:p w14:paraId="0236CB8F" w14:textId="77777777" w:rsidR="00C1422E" w:rsidRPr="00911A80" w:rsidRDefault="00C1422E" w:rsidP="00C1422E">
      <w:pPr>
        <w:shd w:val="clear" w:color="auto" w:fill="FFFFFF"/>
        <w:overflowPunct w:val="0"/>
        <w:autoSpaceDE w:val="0"/>
        <w:autoSpaceDN w:val="0"/>
        <w:adjustRightInd w:val="0"/>
        <w:spacing w:line="240" w:lineRule="auto"/>
        <w:ind w:left="570"/>
        <w:rPr>
          <w:rFonts w:eastAsia="Times New Roman"/>
          <w:i/>
          <w:iCs/>
          <w:color w:val="000000"/>
          <w:sz w:val="24"/>
          <w:szCs w:val="24"/>
        </w:rPr>
      </w:pPr>
    </w:p>
    <w:p w14:paraId="090186A6" w14:textId="34F97732" w:rsidR="00861943" w:rsidRDefault="00861943" w:rsidP="00C1422E">
      <w:pPr>
        <w:pStyle w:val="LI-BodyTextNumbered"/>
        <w:numPr>
          <w:ilvl w:val="0"/>
          <w:numId w:val="2"/>
        </w:numPr>
        <w:spacing w:before="0"/>
      </w:pPr>
      <w:r>
        <w:t>Section 2 of the Repeal I</w:t>
      </w:r>
      <w:r w:rsidRPr="00F215AF">
        <w:t>nstrument</w:t>
      </w:r>
      <w:r>
        <w:t xml:space="preserve"> provides that the instrument </w:t>
      </w:r>
      <w:r w:rsidRPr="00F215AF">
        <w:t>commences on the day after it is registered on the Federal Register of Legislation</w:t>
      </w:r>
      <w:r>
        <w:t>.</w:t>
      </w:r>
    </w:p>
    <w:p w14:paraId="1A973592" w14:textId="77777777" w:rsidR="00861943" w:rsidRDefault="00861943" w:rsidP="00861943">
      <w:pPr>
        <w:pStyle w:val="ListParagraph"/>
        <w:ind w:left="570"/>
        <w:rPr>
          <w:bCs/>
          <w:sz w:val="24"/>
          <w:szCs w:val="24"/>
        </w:rPr>
      </w:pPr>
    </w:p>
    <w:p w14:paraId="35EEDC69" w14:textId="71107EE1" w:rsidR="00861943" w:rsidRDefault="00861943" w:rsidP="00861943">
      <w:pPr>
        <w:pStyle w:val="ListParagraph"/>
        <w:numPr>
          <w:ilvl w:val="0"/>
          <w:numId w:val="2"/>
        </w:numPr>
        <w:rPr>
          <w:bCs/>
          <w:sz w:val="24"/>
          <w:szCs w:val="24"/>
        </w:rPr>
      </w:pPr>
      <w:r>
        <w:rPr>
          <w:bCs/>
          <w:sz w:val="24"/>
          <w:szCs w:val="24"/>
        </w:rPr>
        <w:t xml:space="preserve">Section 3 of the </w:t>
      </w:r>
      <w:r w:rsidR="003756EC">
        <w:rPr>
          <w:bCs/>
          <w:sz w:val="24"/>
          <w:szCs w:val="24"/>
        </w:rPr>
        <w:t xml:space="preserve">Repeal </w:t>
      </w:r>
      <w:r>
        <w:rPr>
          <w:bCs/>
          <w:sz w:val="24"/>
          <w:szCs w:val="24"/>
        </w:rPr>
        <w:t xml:space="preserve">Instrument provides that this instrument is made </w:t>
      </w:r>
      <w:r w:rsidRPr="00407726">
        <w:rPr>
          <w:bCs/>
          <w:sz w:val="24"/>
          <w:szCs w:val="24"/>
        </w:rPr>
        <w:t>under paragraph 926A(2)(c) of the</w:t>
      </w:r>
      <w:r>
        <w:rPr>
          <w:bCs/>
          <w:sz w:val="24"/>
          <w:szCs w:val="24"/>
        </w:rPr>
        <w:t xml:space="preserve"> Corporations</w:t>
      </w:r>
      <w:r w:rsidRPr="00407726">
        <w:rPr>
          <w:bCs/>
          <w:sz w:val="24"/>
          <w:szCs w:val="24"/>
        </w:rPr>
        <w:t xml:space="preserve"> Act. </w:t>
      </w:r>
    </w:p>
    <w:p w14:paraId="042F9420" w14:textId="77777777" w:rsidR="00AB5320" w:rsidRPr="00A83433" w:rsidRDefault="00AB5320" w:rsidP="00A83433">
      <w:pPr>
        <w:rPr>
          <w:bCs/>
          <w:sz w:val="24"/>
          <w:szCs w:val="24"/>
        </w:rPr>
      </w:pPr>
    </w:p>
    <w:p w14:paraId="0E025DCC" w14:textId="6F1378A0" w:rsidR="009E3900" w:rsidRPr="00A83433" w:rsidRDefault="00861943" w:rsidP="00A83433">
      <w:pPr>
        <w:pStyle w:val="ListParagraph"/>
        <w:numPr>
          <w:ilvl w:val="0"/>
          <w:numId w:val="2"/>
        </w:numPr>
        <w:rPr>
          <w:bCs/>
          <w:sz w:val="24"/>
          <w:szCs w:val="24"/>
        </w:rPr>
      </w:pPr>
      <w:r w:rsidRPr="00A83433">
        <w:rPr>
          <w:bCs/>
          <w:sz w:val="24"/>
          <w:szCs w:val="24"/>
        </w:rPr>
        <w:t xml:space="preserve">Section 4 </w:t>
      </w:r>
      <w:r w:rsidR="00637460" w:rsidRPr="00A83433">
        <w:rPr>
          <w:bCs/>
          <w:sz w:val="24"/>
          <w:szCs w:val="24"/>
        </w:rPr>
        <w:t xml:space="preserve">and Schedule </w:t>
      </w:r>
      <w:r w:rsidR="00F65D7D" w:rsidRPr="00A83433">
        <w:rPr>
          <w:bCs/>
          <w:sz w:val="24"/>
          <w:szCs w:val="24"/>
        </w:rPr>
        <w:t xml:space="preserve">1 </w:t>
      </w:r>
      <w:r w:rsidRPr="00A83433">
        <w:rPr>
          <w:bCs/>
          <w:sz w:val="24"/>
          <w:szCs w:val="24"/>
        </w:rPr>
        <w:t xml:space="preserve">of the </w:t>
      </w:r>
      <w:r w:rsidR="005D6B34">
        <w:rPr>
          <w:bCs/>
          <w:sz w:val="24"/>
          <w:szCs w:val="24"/>
        </w:rPr>
        <w:t xml:space="preserve">Repeal </w:t>
      </w:r>
      <w:r w:rsidRPr="00A83433">
        <w:rPr>
          <w:bCs/>
          <w:sz w:val="24"/>
          <w:szCs w:val="24"/>
        </w:rPr>
        <w:t xml:space="preserve">Instrument </w:t>
      </w:r>
      <w:r w:rsidR="00C1422E">
        <w:rPr>
          <w:bCs/>
          <w:sz w:val="24"/>
          <w:szCs w:val="24"/>
        </w:rPr>
        <w:t xml:space="preserve">has the effect of </w:t>
      </w:r>
      <w:r w:rsidR="00AB5320" w:rsidRPr="00A83433">
        <w:rPr>
          <w:bCs/>
          <w:sz w:val="24"/>
          <w:szCs w:val="24"/>
        </w:rPr>
        <w:t>repeal</w:t>
      </w:r>
      <w:r w:rsidR="00C1422E">
        <w:rPr>
          <w:bCs/>
          <w:sz w:val="24"/>
          <w:szCs w:val="24"/>
        </w:rPr>
        <w:t>ing</w:t>
      </w:r>
      <w:r w:rsidR="00AB5320" w:rsidRPr="00A83433">
        <w:rPr>
          <w:bCs/>
          <w:sz w:val="24"/>
          <w:szCs w:val="24"/>
        </w:rPr>
        <w:t xml:space="preserve"> the whole of CO 12/752.</w:t>
      </w:r>
    </w:p>
    <w:p w14:paraId="26DDE377" w14:textId="00C73814" w:rsidR="00123F3A" w:rsidRPr="00F215AF" w:rsidRDefault="00A773DB" w:rsidP="00A773DB">
      <w:pPr>
        <w:pStyle w:val="LI-BodyTextParaa"/>
        <w:ind w:left="0" w:firstLine="0"/>
        <w:rPr>
          <w:b/>
        </w:rPr>
      </w:pPr>
      <w:r w:rsidRPr="00F215AF">
        <w:rPr>
          <w:b/>
        </w:rPr>
        <w:t>Legislative authority</w:t>
      </w:r>
    </w:p>
    <w:p w14:paraId="2C316418" w14:textId="77777777" w:rsidR="00123F3A" w:rsidRDefault="00123F3A" w:rsidP="00123F3A">
      <w:pPr>
        <w:rPr>
          <w:bCs/>
          <w:sz w:val="24"/>
          <w:szCs w:val="24"/>
        </w:rPr>
      </w:pPr>
    </w:p>
    <w:p w14:paraId="5F5C0F53" w14:textId="71D3A68D" w:rsidR="00301B6F" w:rsidRPr="00A87E84" w:rsidRDefault="00A773DB" w:rsidP="00A87E84">
      <w:pPr>
        <w:pStyle w:val="ListParagraph"/>
        <w:numPr>
          <w:ilvl w:val="0"/>
          <w:numId w:val="2"/>
        </w:numPr>
        <w:rPr>
          <w:bCs/>
          <w:sz w:val="24"/>
          <w:szCs w:val="24"/>
        </w:rPr>
      </w:pPr>
      <w:r w:rsidRPr="00A87E84">
        <w:rPr>
          <w:bCs/>
          <w:sz w:val="24"/>
          <w:szCs w:val="24"/>
        </w:rPr>
        <w:t xml:space="preserve">ASIC makes </w:t>
      </w:r>
      <w:r w:rsidR="00C1422E">
        <w:rPr>
          <w:bCs/>
          <w:sz w:val="24"/>
          <w:szCs w:val="24"/>
        </w:rPr>
        <w:t xml:space="preserve">the Instrument and the Repeal Instrument </w:t>
      </w:r>
      <w:r w:rsidRPr="00491979">
        <w:rPr>
          <w:bCs/>
          <w:sz w:val="24"/>
          <w:szCs w:val="24"/>
        </w:rPr>
        <w:t xml:space="preserve">under </w:t>
      </w:r>
      <w:r w:rsidR="00BF2FB5" w:rsidRPr="00491979">
        <w:rPr>
          <w:bCs/>
          <w:sz w:val="24"/>
          <w:szCs w:val="24"/>
        </w:rPr>
        <w:t xml:space="preserve">paragraph 926A(2)(c) </w:t>
      </w:r>
      <w:r w:rsidRPr="00491979">
        <w:rPr>
          <w:bCs/>
          <w:sz w:val="24"/>
          <w:szCs w:val="24"/>
        </w:rPr>
        <w:t xml:space="preserve">of the </w:t>
      </w:r>
      <w:r w:rsidR="00491979">
        <w:rPr>
          <w:bCs/>
          <w:sz w:val="24"/>
          <w:szCs w:val="24"/>
        </w:rPr>
        <w:t>Corporations</w:t>
      </w:r>
      <w:r w:rsidR="00F74E77">
        <w:rPr>
          <w:bCs/>
          <w:sz w:val="24"/>
          <w:szCs w:val="24"/>
        </w:rPr>
        <w:t xml:space="preserve"> </w:t>
      </w:r>
      <w:r w:rsidRPr="00491979">
        <w:rPr>
          <w:bCs/>
          <w:sz w:val="24"/>
          <w:szCs w:val="24"/>
        </w:rPr>
        <w:t>Act.</w:t>
      </w:r>
      <w:r w:rsidR="00EC660C" w:rsidRPr="00A87E84">
        <w:rPr>
          <w:bCs/>
          <w:sz w:val="24"/>
          <w:szCs w:val="24"/>
        </w:rPr>
        <w:t xml:space="preserve"> </w:t>
      </w:r>
    </w:p>
    <w:p w14:paraId="1EA55586" w14:textId="725153A6" w:rsidR="00A773DB" w:rsidRDefault="00A773DB" w:rsidP="00400018">
      <w:pPr>
        <w:pStyle w:val="LI-BodyTextNumbered"/>
        <w:numPr>
          <w:ilvl w:val="0"/>
          <w:numId w:val="2"/>
        </w:numPr>
      </w:pPr>
      <w:r w:rsidRPr="00F215AF">
        <w:t>Th</w:t>
      </w:r>
      <w:r w:rsidR="00F74E77">
        <w:t>e</w:t>
      </w:r>
      <w:r w:rsidRPr="00F215AF">
        <w:t xml:space="preserve"> </w:t>
      </w:r>
      <w:r w:rsidR="00F74E77">
        <w:t>I</w:t>
      </w:r>
      <w:r w:rsidRPr="00F215AF">
        <w:t xml:space="preserve">nstrument is disallowable under section 42 of the </w:t>
      </w:r>
      <w:r w:rsidRPr="00C1422E">
        <w:t>Legislation Act</w:t>
      </w:r>
      <w:r w:rsidR="00C1422E" w:rsidRPr="00C1422E">
        <w:t>.</w:t>
      </w:r>
    </w:p>
    <w:p w14:paraId="310D3105" w14:textId="7F5D5F45" w:rsidR="00C035D0" w:rsidRPr="00A83433" w:rsidRDefault="00C035D0" w:rsidP="00A83433">
      <w:pPr>
        <w:numPr>
          <w:ilvl w:val="0"/>
          <w:numId w:val="2"/>
        </w:numPr>
        <w:shd w:val="clear" w:color="auto" w:fill="FFFFFF"/>
        <w:overflowPunct w:val="0"/>
        <w:autoSpaceDE w:val="0"/>
        <w:autoSpaceDN w:val="0"/>
        <w:adjustRightInd w:val="0"/>
        <w:spacing w:before="200" w:line="300" w:lineRule="atLeast"/>
        <w:rPr>
          <w:bCs/>
          <w:i/>
          <w:iCs/>
          <w:sz w:val="24"/>
          <w:szCs w:val="24"/>
        </w:rPr>
      </w:pPr>
      <w:r w:rsidRPr="006A289F">
        <w:rPr>
          <w:bCs/>
          <w:sz w:val="24"/>
          <w:szCs w:val="24"/>
        </w:rPr>
        <w:t xml:space="preserve">The Repeal Instrument is automatically repealed in accordance with section 48A of the </w:t>
      </w:r>
      <w:r w:rsidRPr="00984C48">
        <w:rPr>
          <w:bCs/>
          <w:sz w:val="24"/>
          <w:szCs w:val="24"/>
        </w:rPr>
        <w:t>Legislation Act</w:t>
      </w:r>
      <w:r w:rsidR="00C1422E" w:rsidRPr="00984C48">
        <w:rPr>
          <w:bCs/>
          <w:sz w:val="24"/>
          <w:szCs w:val="24"/>
        </w:rPr>
        <w:t>.</w:t>
      </w:r>
    </w:p>
    <w:p w14:paraId="7DDBB3B1" w14:textId="708978E5" w:rsidR="00E246AD" w:rsidRPr="00F215AF" w:rsidRDefault="00E246AD" w:rsidP="00400018">
      <w:pPr>
        <w:pStyle w:val="LI-BodyTextNumbered"/>
        <w:numPr>
          <w:ilvl w:val="0"/>
          <w:numId w:val="2"/>
        </w:numPr>
      </w:pPr>
      <w:r>
        <w:t xml:space="preserve">Under subsection 33(3) of the </w:t>
      </w:r>
      <w:r w:rsidRPr="006A289F">
        <w:rPr>
          <w:i/>
          <w:iCs/>
        </w:rPr>
        <w:t>Acts Interpretation Act 1901</w:t>
      </w:r>
      <w:r>
        <w:t xml:space="preserve"> (as in force as at 1 January 2005 and as applicable to the relevant powers because of section 5C of the Act), where an Act confers a power to make, grant or issue any instrument (including rules, regulations or by-laws), the power shall be construed as including a power exercisable in the like manner and subject to the like conditions (if any) to repeal, rescind, revoke, amend, or vary any such instrument.</w:t>
      </w:r>
    </w:p>
    <w:p w14:paraId="10CD6DEA" w14:textId="1AF0EE50" w:rsidR="00C52E7C" w:rsidRPr="00037B7B" w:rsidRDefault="00FC48BB" w:rsidP="00037B7B">
      <w:pPr>
        <w:pStyle w:val="LI-BodyTextParaa"/>
        <w:ind w:left="0" w:firstLine="0"/>
        <w:rPr>
          <w:b/>
          <w:bCs/>
        </w:rPr>
      </w:pPr>
      <w:r>
        <w:rPr>
          <w:b/>
          <w:bCs/>
        </w:rPr>
        <w:t xml:space="preserve">Why the measure is in delegated legislation rather than primary legislation </w:t>
      </w:r>
      <w:r w:rsidR="00C52E7C" w:rsidRPr="00037B7B">
        <w:rPr>
          <w:b/>
          <w:bCs/>
        </w:rPr>
        <w:t xml:space="preserve"> </w:t>
      </w:r>
    </w:p>
    <w:p w14:paraId="284596EB" w14:textId="17D24B3C" w:rsidR="00E43795" w:rsidRDefault="00E43795" w:rsidP="00E43795">
      <w:pPr>
        <w:pStyle w:val="li-bodytextparaa0"/>
        <w:numPr>
          <w:ilvl w:val="0"/>
          <w:numId w:val="2"/>
        </w:numPr>
        <w:shd w:val="clear" w:color="auto" w:fill="FFFFFF"/>
        <w:spacing w:before="240" w:beforeAutospacing="0" w:after="0" w:afterAutospacing="0"/>
        <w:rPr>
          <w:color w:val="000000"/>
        </w:rPr>
      </w:pPr>
      <w:r>
        <w:rPr>
          <w:color w:val="000000"/>
        </w:rPr>
        <w:t>ASIC considers that the modifications made by the Instrument are more appropriate in a legislative instrument rather than primary legislation at this time because:</w:t>
      </w:r>
    </w:p>
    <w:p w14:paraId="10BB72BE" w14:textId="19073228" w:rsidR="00E43795" w:rsidRPr="00854E94" w:rsidRDefault="00E43795" w:rsidP="00CA06F9">
      <w:pPr>
        <w:pStyle w:val="BodyText"/>
        <w:numPr>
          <w:ilvl w:val="0"/>
          <w:numId w:val="16"/>
        </w:numPr>
        <w:tabs>
          <w:tab w:val="left" w:pos="567"/>
          <w:tab w:val="left" w:pos="1134"/>
        </w:tabs>
        <w:spacing w:before="200" w:after="0"/>
        <w:textAlignment w:val="baseline"/>
      </w:pPr>
      <w:r w:rsidRPr="00854E94">
        <w:t xml:space="preserve">the modifications made by the Instrument are highly specific amendments designed to ensure the application of primary legislation is consistent with the intended policy and the enabling provisions in the primary </w:t>
      </w:r>
      <w:proofErr w:type="gramStart"/>
      <w:r w:rsidRPr="00854E94">
        <w:t>legislation;</w:t>
      </w:r>
      <w:proofErr w:type="gramEnd"/>
    </w:p>
    <w:p w14:paraId="236E4CF2" w14:textId="4D1E9857" w:rsidR="004A7C9B" w:rsidRDefault="004A7C9B" w:rsidP="004A7C9B">
      <w:pPr>
        <w:pStyle w:val="LI-BodyTextParaa"/>
        <w:numPr>
          <w:ilvl w:val="0"/>
          <w:numId w:val="16"/>
        </w:numPr>
      </w:pPr>
      <w:r>
        <w:t xml:space="preserve">the Instrument </w:t>
      </w:r>
      <w:r w:rsidRPr="008D3A78">
        <w:t xml:space="preserve">preserves the effect of </w:t>
      </w:r>
      <w:r>
        <w:t>CO 12/752</w:t>
      </w:r>
      <w:r w:rsidR="007D4E35">
        <w:t xml:space="preserve">, </w:t>
      </w:r>
      <w:r>
        <w:t>which was otherwise due to sunset on 1 October 2022; and</w:t>
      </w:r>
    </w:p>
    <w:p w14:paraId="441BF33C" w14:textId="20EC1ACF" w:rsidR="00974CEE" w:rsidRPr="00854E94" w:rsidRDefault="004A7C9B" w:rsidP="00CA06F9">
      <w:pPr>
        <w:pStyle w:val="BodyText"/>
        <w:numPr>
          <w:ilvl w:val="0"/>
          <w:numId w:val="16"/>
        </w:numPr>
        <w:tabs>
          <w:tab w:val="left" w:pos="567"/>
          <w:tab w:val="left" w:pos="1134"/>
        </w:tabs>
        <w:spacing w:before="200" w:after="0"/>
        <w:textAlignment w:val="baseline"/>
      </w:pPr>
      <w:r>
        <w:t>f</w:t>
      </w:r>
      <w:r w:rsidR="00974CEE" w:rsidRPr="00854E94">
        <w:t xml:space="preserve">ollowing consultation, ASIC considered that CO 12/752 was operating effectively and efficiently to achieve its objectives and continued to form a necessary and useful part of the legislative </w:t>
      </w:r>
      <w:proofErr w:type="gramStart"/>
      <w:r w:rsidR="00974CEE" w:rsidRPr="00854E94">
        <w:t>framework</w:t>
      </w:r>
      <w:r w:rsidR="006E56AB" w:rsidRPr="00854E94">
        <w:t>;</w:t>
      </w:r>
      <w:proofErr w:type="gramEnd"/>
    </w:p>
    <w:p w14:paraId="2897ADD2" w14:textId="6F95C67A" w:rsidR="00E43795" w:rsidRPr="006A3971" w:rsidRDefault="0060161A" w:rsidP="00CA06F9">
      <w:pPr>
        <w:pStyle w:val="BodyText"/>
        <w:numPr>
          <w:ilvl w:val="0"/>
          <w:numId w:val="16"/>
        </w:numPr>
        <w:tabs>
          <w:tab w:val="left" w:pos="567"/>
          <w:tab w:val="left" w:pos="1134"/>
        </w:tabs>
        <w:spacing w:before="200" w:after="0"/>
        <w:textAlignment w:val="baseline"/>
      </w:pPr>
      <w:r>
        <w:t xml:space="preserve">ASIC </w:t>
      </w:r>
      <w:r w:rsidRPr="0060161A">
        <w:t xml:space="preserve">understands that the Government will </w:t>
      </w:r>
      <w:r w:rsidR="000D69DC">
        <w:t xml:space="preserve">consider whether to </w:t>
      </w:r>
      <w:r w:rsidR="004A7C9B">
        <w:t xml:space="preserve">make </w:t>
      </w:r>
      <w:r w:rsidRPr="0060161A">
        <w:t>future amendments to the Corporations Act to incorporate th</w:t>
      </w:r>
      <w:r w:rsidR="0001254B">
        <w:t>e</w:t>
      </w:r>
      <w:r w:rsidRPr="0060161A">
        <w:t xml:space="preserve"> </w:t>
      </w:r>
      <w:r w:rsidR="0001254B">
        <w:t>I</w:t>
      </w:r>
      <w:r w:rsidRPr="0060161A">
        <w:t>nstrument into primary l</w:t>
      </w:r>
      <w:r w:rsidR="004A7C9B">
        <w:t>aw or regulations</w:t>
      </w:r>
      <w:r w:rsidRPr="0060161A">
        <w:t xml:space="preserve">. </w:t>
      </w:r>
      <w:proofErr w:type="gramStart"/>
      <w:r w:rsidR="00787A15">
        <w:t>Therefore</w:t>
      </w:r>
      <w:proofErr w:type="gramEnd"/>
      <w:r w:rsidR="00787A15">
        <w:t xml:space="preserve"> th</w:t>
      </w:r>
      <w:r w:rsidR="0001254B">
        <w:t>e</w:t>
      </w:r>
      <w:r w:rsidR="00787A15">
        <w:t xml:space="preserve"> Instrument has been remade for five years </w:t>
      </w:r>
      <w:r w:rsidR="00D058B8">
        <w:t>to allow sufficient time for this to occur.</w:t>
      </w:r>
    </w:p>
    <w:p w14:paraId="5DF42A9B" w14:textId="77777777" w:rsidR="00E43795" w:rsidRPr="00854E94" w:rsidRDefault="00E43795" w:rsidP="008C09AF">
      <w:pPr>
        <w:pStyle w:val="li-bodytextparaa0"/>
        <w:shd w:val="clear" w:color="auto" w:fill="FFFFFF"/>
        <w:spacing w:before="240" w:beforeAutospacing="0" w:after="0" w:afterAutospacing="0"/>
        <w:rPr>
          <w:color w:val="000000"/>
        </w:rPr>
      </w:pPr>
      <w:r>
        <w:rPr>
          <w:b/>
          <w:bCs/>
          <w:color w:val="000000"/>
        </w:rPr>
        <w:t xml:space="preserve">The </w:t>
      </w:r>
      <w:r w:rsidRPr="00854E94">
        <w:rPr>
          <w:b/>
          <w:bCs/>
          <w:color w:val="000000"/>
        </w:rPr>
        <w:t>appropriate duration of the Instrument</w:t>
      </w:r>
    </w:p>
    <w:p w14:paraId="41965D9B" w14:textId="7A7A6688" w:rsidR="00BE7939" w:rsidRPr="00854E94" w:rsidRDefault="00E43795" w:rsidP="00585E61">
      <w:pPr>
        <w:pStyle w:val="BodyText"/>
        <w:numPr>
          <w:ilvl w:val="0"/>
          <w:numId w:val="2"/>
        </w:numPr>
        <w:tabs>
          <w:tab w:val="left" w:pos="567"/>
          <w:tab w:val="left" w:pos="1134"/>
        </w:tabs>
        <w:spacing w:before="200" w:after="0"/>
        <w:textAlignment w:val="baseline"/>
      </w:pPr>
      <w:r w:rsidRPr="00854E94">
        <w:t xml:space="preserve">ASIC considers that </w:t>
      </w:r>
      <w:r w:rsidR="00526DCF" w:rsidRPr="00854E94">
        <w:t>five</w:t>
      </w:r>
      <w:r w:rsidRPr="00854E94">
        <w:t xml:space="preserve"> years is the appropriate duration for the Instrument</w:t>
      </w:r>
      <w:r w:rsidR="008C09AF" w:rsidRPr="00854E94">
        <w:t xml:space="preserve"> because</w:t>
      </w:r>
      <w:r w:rsidR="00BE7939" w:rsidRPr="00BE7939">
        <w:t xml:space="preserve"> </w:t>
      </w:r>
      <w:r w:rsidR="00BE7939">
        <w:t>a</w:t>
      </w:r>
      <w:r w:rsidR="00BE7939" w:rsidRPr="00854E94">
        <w:t xml:space="preserve"> five-year period for the </w:t>
      </w:r>
      <w:r w:rsidR="00333365">
        <w:t>I</w:t>
      </w:r>
      <w:r w:rsidR="00BE7939" w:rsidRPr="00854E94">
        <w:t xml:space="preserve">nstrument gives Treasury and ASIC time to undertake a thorough review of the </w:t>
      </w:r>
      <w:r w:rsidR="00333365">
        <w:t>I</w:t>
      </w:r>
      <w:r w:rsidR="00BE7939" w:rsidRPr="00854E94">
        <w:t>nstrument</w:t>
      </w:r>
      <w:r w:rsidR="00BE7939">
        <w:t xml:space="preserve">, </w:t>
      </w:r>
      <w:r w:rsidR="00BE7939" w:rsidRPr="00854E94">
        <w:t xml:space="preserve">consult on incorporating the </w:t>
      </w:r>
      <w:r w:rsidR="00333365">
        <w:t>I</w:t>
      </w:r>
      <w:r w:rsidR="00BE7939" w:rsidRPr="00854E94">
        <w:t>nstrument into primary l</w:t>
      </w:r>
      <w:r w:rsidR="00BE7939">
        <w:t>aw</w:t>
      </w:r>
      <w:r w:rsidR="00BE7939" w:rsidRPr="00854E94">
        <w:t xml:space="preserve"> or regulations and</w:t>
      </w:r>
      <w:r w:rsidR="00BE7939">
        <w:t xml:space="preserve"> make the</w:t>
      </w:r>
      <w:r w:rsidR="00BE7939" w:rsidRPr="00854E94">
        <w:t xml:space="preserve"> </w:t>
      </w:r>
      <w:r w:rsidR="00BE7939">
        <w:t xml:space="preserve">required </w:t>
      </w:r>
      <w:r w:rsidR="00BE7939" w:rsidRPr="00854E94">
        <w:t xml:space="preserve">amendments to the primary law or regulations. </w:t>
      </w:r>
    </w:p>
    <w:bookmarkEnd w:id="3"/>
    <w:p w14:paraId="38F30E78" w14:textId="712C0F52" w:rsidR="00EA17A6" w:rsidRPr="00F215AF" w:rsidRDefault="00EA17A6" w:rsidP="00435EEF">
      <w:pPr>
        <w:pStyle w:val="LI-BodyTextParaa"/>
        <w:ind w:left="567"/>
        <w:rPr>
          <w:b/>
        </w:rPr>
      </w:pPr>
      <w:r w:rsidRPr="00F215AF">
        <w:rPr>
          <w:b/>
        </w:rPr>
        <w:lastRenderedPageBreak/>
        <w:t xml:space="preserve">Statement of Compatibility with Human Rights  </w:t>
      </w:r>
    </w:p>
    <w:p w14:paraId="5F7EE4EA" w14:textId="7BB162B8" w:rsidR="00223DCF" w:rsidRPr="00F215AF" w:rsidRDefault="00223DCF" w:rsidP="00400018">
      <w:pPr>
        <w:pStyle w:val="LI-BodyTextNumbered"/>
        <w:numPr>
          <w:ilvl w:val="0"/>
          <w:numId w:val="2"/>
        </w:numPr>
      </w:pPr>
      <w:r w:rsidRPr="00F215AF">
        <w:t xml:space="preserve">The Explanatory Statement for a disallowable legislative instrument must contain a Statement of Compatibility with Human Rights under subsection 9(1) of the </w:t>
      </w:r>
      <w:r w:rsidRPr="00CC4402">
        <w:rPr>
          <w:i/>
          <w:iCs/>
        </w:rPr>
        <w:t>Human Rights (Parliamentary Scrutiny) Act 2011</w:t>
      </w:r>
      <w:r w:rsidRPr="00F215AF">
        <w:t xml:space="preserve">. A Statement of Compatibility with Human Rights is in the Attachment. </w:t>
      </w:r>
    </w:p>
    <w:p w14:paraId="2220BE40" w14:textId="77777777" w:rsidR="00223DCF" w:rsidRPr="00F215AF" w:rsidRDefault="00223DCF" w:rsidP="00223DCF">
      <w:pPr>
        <w:pStyle w:val="LI-BodyTextParaa"/>
        <w:ind w:left="567"/>
        <w:jc w:val="right"/>
        <w:rPr>
          <w:u w:val="single"/>
        </w:rPr>
      </w:pPr>
      <w:r w:rsidRPr="00F215AF">
        <w:rPr>
          <w:color w:val="FF0000"/>
        </w:rPr>
        <w:br w:type="page"/>
      </w:r>
      <w:r w:rsidRPr="00F215AF">
        <w:rPr>
          <w:u w:val="single"/>
        </w:rPr>
        <w:lastRenderedPageBreak/>
        <w:t xml:space="preserve">Attachment </w:t>
      </w:r>
    </w:p>
    <w:p w14:paraId="5D2F5D89" w14:textId="77777777" w:rsidR="00A15512" w:rsidRPr="00F215AF" w:rsidRDefault="001E77ED" w:rsidP="00223DCF">
      <w:pPr>
        <w:pStyle w:val="LI-BodyTextParaa"/>
        <w:ind w:left="567"/>
        <w:jc w:val="center"/>
        <w:rPr>
          <w:b/>
          <w:sz w:val="28"/>
          <w:szCs w:val="28"/>
        </w:rPr>
      </w:pPr>
      <w:r w:rsidRPr="00F215AF">
        <w:rPr>
          <w:b/>
          <w:sz w:val="28"/>
          <w:szCs w:val="28"/>
        </w:rPr>
        <w:t xml:space="preserve">Statement of </w:t>
      </w:r>
      <w:r w:rsidR="00223DCF" w:rsidRPr="00F215AF">
        <w:rPr>
          <w:b/>
          <w:sz w:val="28"/>
          <w:szCs w:val="28"/>
        </w:rPr>
        <w:t>C</w:t>
      </w:r>
      <w:r w:rsidRPr="00F215AF">
        <w:rPr>
          <w:b/>
          <w:sz w:val="28"/>
          <w:szCs w:val="28"/>
        </w:rPr>
        <w:t xml:space="preserve">ompatibility with </w:t>
      </w:r>
      <w:r w:rsidR="00223DCF" w:rsidRPr="00F215AF">
        <w:rPr>
          <w:b/>
          <w:sz w:val="28"/>
          <w:szCs w:val="28"/>
        </w:rPr>
        <w:t>H</w:t>
      </w:r>
      <w:r w:rsidRPr="00F215AF">
        <w:rPr>
          <w:b/>
          <w:sz w:val="28"/>
          <w:szCs w:val="28"/>
        </w:rPr>
        <w:t xml:space="preserve">uman </w:t>
      </w:r>
      <w:r w:rsidR="00223DCF" w:rsidRPr="00F215AF">
        <w:rPr>
          <w:b/>
          <w:sz w:val="28"/>
          <w:szCs w:val="28"/>
        </w:rPr>
        <w:t>R</w:t>
      </w:r>
      <w:r w:rsidRPr="00F215AF">
        <w:rPr>
          <w:b/>
          <w:sz w:val="28"/>
          <w:szCs w:val="28"/>
        </w:rPr>
        <w:t>ights</w:t>
      </w:r>
    </w:p>
    <w:p w14:paraId="7D244B20" w14:textId="77777777" w:rsidR="00AE787B" w:rsidRPr="00F215AF" w:rsidRDefault="00AE787B" w:rsidP="00223DCF">
      <w:pPr>
        <w:pStyle w:val="LI-BodyTextNumbered"/>
        <w:ind w:left="0" w:firstLine="0"/>
        <w:rPr>
          <w:iCs/>
        </w:rPr>
      </w:pPr>
      <w:bookmarkStart w:id="4" w:name="_Hlk534286677"/>
    </w:p>
    <w:p w14:paraId="7462FC37" w14:textId="77777777" w:rsidR="00223DCF" w:rsidRPr="00F215AF" w:rsidRDefault="00223DCF" w:rsidP="00223DCF">
      <w:pPr>
        <w:pStyle w:val="LI-BodyTextNumbered"/>
        <w:ind w:left="0" w:firstLine="0"/>
        <w:rPr>
          <w:iCs/>
        </w:rPr>
      </w:pPr>
      <w:r w:rsidRPr="00F215AF">
        <w:rPr>
          <w:iCs/>
        </w:rPr>
        <w:t xml:space="preserve">This Statement of Compatibility with Human Rights is prepared in accordance with Part 3 of </w:t>
      </w:r>
      <w:bookmarkStart w:id="5" w:name="_Hlk4054932"/>
      <w:r w:rsidRPr="00F215AF">
        <w:rPr>
          <w:iCs/>
        </w:rPr>
        <w:t xml:space="preserve">the </w:t>
      </w:r>
      <w:r w:rsidRPr="00F215AF">
        <w:rPr>
          <w:i/>
          <w:iCs/>
        </w:rPr>
        <w:t>Human Rights (Parliamentary Scrutiny) Act 2011</w:t>
      </w:r>
      <w:bookmarkEnd w:id="5"/>
      <w:r w:rsidRPr="00F215AF">
        <w:rPr>
          <w:iCs/>
        </w:rPr>
        <w:t xml:space="preserve">.   </w:t>
      </w:r>
    </w:p>
    <w:p w14:paraId="15131649" w14:textId="21B46418" w:rsidR="003659C1" w:rsidRPr="00C71D05" w:rsidRDefault="00F47666" w:rsidP="00223DCF">
      <w:pPr>
        <w:pStyle w:val="LI-BodyTextNumbered"/>
        <w:ind w:left="0" w:firstLine="0"/>
        <w:rPr>
          <w:b/>
          <w:iCs/>
        </w:rPr>
      </w:pPr>
      <w:r w:rsidRPr="00C71D05">
        <w:rPr>
          <w:b/>
          <w:i/>
        </w:rPr>
        <w:t>ASIC Corporations (</w:t>
      </w:r>
      <w:r w:rsidR="00F5335D" w:rsidRPr="00C71D05">
        <w:rPr>
          <w:b/>
          <w:i/>
        </w:rPr>
        <w:t>Financial Requirements for Issuers of Retail OTC</w:t>
      </w:r>
      <w:r w:rsidR="00F5335D" w:rsidRPr="001B46D5">
        <w:rPr>
          <w:b/>
          <w:i/>
        </w:rPr>
        <w:t xml:space="preserve"> </w:t>
      </w:r>
      <w:r w:rsidR="00F5335D" w:rsidRPr="00974062">
        <w:rPr>
          <w:b/>
          <w:i/>
        </w:rPr>
        <w:t>Derivatives)</w:t>
      </w:r>
      <w:r w:rsidRPr="00974062">
        <w:rPr>
          <w:b/>
          <w:i/>
        </w:rPr>
        <w:t xml:space="preserve"> Instrument 202</w:t>
      </w:r>
      <w:r w:rsidR="00F5335D" w:rsidRPr="00A80440">
        <w:rPr>
          <w:b/>
          <w:i/>
        </w:rPr>
        <w:t>2</w:t>
      </w:r>
      <w:r w:rsidRPr="00581D92">
        <w:rPr>
          <w:b/>
          <w:i/>
        </w:rPr>
        <w:t>/</w:t>
      </w:r>
      <w:r w:rsidR="003B6D5B" w:rsidRPr="00581D92">
        <w:rPr>
          <w:b/>
          <w:i/>
        </w:rPr>
        <w:t>705</w:t>
      </w:r>
      <w:r w:rsidR="003659C1" w:rsidRPr="0009545F">
        <w:rPr>
          <w:b/>
          <w:iCs/>
        </w:rPr>
        <w:t xml:space="preserve"> </w:t>
      </w:r>
      <w:r w:rsidR="000E1BAC" w:rsidRPr="00241B9A">
        <w:rPr>
          <w:b/>
          <w:i/>
        </w:rPr>
        <w:t xml:space="preserve">and </w:t>
      </w:r>
      <w:r w:rsidR="00C71D05" w:rsidRPr="00C71D05">
        <w:rPr>
          <w:b/>
          <w:i/>
        </w:rPr>
        <w:t>ASIC Corporations (Repeal) Instrument 2022/704</w:t>
      </w:r>
      <w:r w:rsidR="004233CE">
        <w:rPr>
          <w:b/>
          <w:i/>
        </w:rPr>
        <w:t>.</w:t>
      </w:r>
      <w:r w:rsidR="00C71D05" w:rsidRPr="00C71D05">
        <w:rPr>
          <w:b/>
          <w:iCs/>
        </w:rPr>
        <w:t xml:space="preserve"> </w:t>
      </w:r>
    </w:p>
    <w:p w14:paraId="0F1FE8BA" w14:textId="18DD0D57" w:rsidR="00223DCF" w:rsidRPr="00F215AF" w:rsidRDefault="00223DCF" w:rsidP="001872DC">
      <w:pPr>
        <w:pStyle w:val="LI-BodyTextNumbered"/>
        <w:ind w:left="567"/>
        <w:rPr>
          <w:u w:val="single"/>
        </w:rPr>
      </w:pPr>
      <w:r w:rsidRPr="00F215AF">
        <w:rPr>
          <w:u w:val="single"/>
        </w:rPr>
        <w:t>Overview</w:t>
      </w:r>
      <w:r w:rsidR="00C71D05">
        <w:rPr>
          <w:u w:val="single"/>
        </w:rPr>
        <w:t xml:space="preserve"> </w:t>
      </w:r>
    </w:p>
    <w:p w14:paraId="5C3D4D44" w14:textId="120EB030" w:rsidR="00336474" w:rsidRDefault="004233CE" w:rsidP="00415620">
      <w:pPr>
        <w:pStyle w:val="LI-BodyTextParaa"/>
        <w:numPr>
          <w:ilvl w:val="0"/>
          <w:numId w:val="27"/>
        </w:numPr>
      </w:pPr>
      <w:bookmarkStart w:id="6" w:name="_Hlk534286807"/>
      <w:bookmarkEnd w:id="4"/>
      <w:r w:rsidRPr="00241B9A">
        <w:rPr>
          <w:bCs/>
          <w:i/>
        </w:rPr>
        <w:t>ASIC Corporations (Financial Requirements for Issuers of Retail OTC Derivatives) Instrument 2022/705</w:t>
      </w:r>
      <w:r w:rsidRPr="006A289F">
        <w:rPr>
          <w:b/>
          <w:iCs/>
        </w:rPr>
        <w:t xml:space="preserve"> </w:t>
      </w:r>
      <w:r w:rsidRPr="006A289F">
        <w:rPr>
          <w:bCs/>
          <w:iCs/>
        </w:rPr>
        <w:t xml:space="preserve">(the </w:t>
      </w:r>
      <w:r w:rsidRPr="006A289F">
        <w:rPr>
          <w:b/>
          <w:iCs/>
        </w:rPr>
        <w:t>Instrument</w:t>
      </w:r>
      <w:r w:rsidRPr="006A289F">
        <w:rPr>
          <w:bCs/>
          <w:iCs/>
        </w:rPr>
        <w:t xml:space="preserve">) </w:t>
      </w:r>
      <w:r w:rsidR="00336474">
        <w:t>imposes specific financial requirements on</w:t>
      </w:r>
      <w:r w:rsidR="00336474" w:rsidRPr="0031049D">
        <w:t xml:space="preserve"> </w:t>
      </w:r>
      <w:r w:rsidR="00336474">
        <w:t>Australian financial services (</w:t>
      </w:r>
      <w:r w:rsidR="00336474" w:rsidRPr="005270AD">
        <w:rPr>
          <w:b/>
          <w:bCs/>
        </w:rPr>
        <w:t>AFS</w:t>
      </w:r>
      <w:r w:rsidR="00336474">
        <w:t xml:space="preserve">) licensees that are authorised to make a market in </w:t>
      </w:r>
      <w:proofErr w:type="gramStart"/>
      <w:r w:rsidR="00336474">
        <w:t>over-the-counter</w:t>
      </w:r>
      <w:proofErr w:type="gramEnd"/>
      <w:r w:rsidR="00336474">
        <w:t xml:space="preserve"> (</w:t>
      </w:r>
      <w:r w:rsidR="00336474" w:rsidRPr="00386F6D">
        <w:rPr>
          <w:b/>
          <w:bCs/>
        </w:rPr>
        <w:t>OTC</w:t>
      </w:r>
      <w:r w:rsidR="00336474">
        <w:t>) derivatives to retail clients.</w:t>
      </w:r>
      <w:r w:rsidR="00336474" w:rsidRPr="006859A9">
        <w:t xml:space="preserve"> </w:t>
      </w:r>
      <w:r w:rsidR="00336474">
        <w:t xml:space="preserve">The Instrument modifies the </w:t>
      </w:r>
      <w:r w:rsidR="00336474" w:rsidRPr="00C72F62">
        <w:rPr>
          <w:i/>
          <w:iCs/>
        </w:rPr>
        <w:t>Corporations Act 2001</w:t>
      </w:r>
      <w:r w:rsidR="00336474" w:rsidRPr="00B068C5">
        <w:t xml:space="preserve"> </w:t>
      </w:r>
      <w:r w:rsidR="00336474" w:rsidRPr="00251F50">
        <w:t xml:space="preserve">(the </w:t>
      </w:r>
      <w:r w:rsidR="00336474" w:rsidRPr="00B96453">
        <w:rPr>
          <w:b/>
          <w:bCs/>
        </w:rPr>
        <w:t>Corporations Act</w:t>
      </w:r>
      <w:r w:rsidR="00336474" w:rsidRPr="00251F50">
        <w:t>) by ins</w:t>
      </w:r>
      <w:r w:rsidR="00336474">
        <w:t>er</w:t>
      </w:r>
      <w:r w:rsidR="00336474" w:rsidRPr="00251F50">
        <w:t>ting s</w:t>
      </w:r>
      <w:r w:rsidR="00336474">
        <w:t xml:space="preserve">ection </w:t>
      </w:r>
      <w:r w:rsidR="00336474" w:rsidRPr="00251F50">
        <w:t>912AB</w:t>
      </w:r>
      <w:r w:rsidR="00336474">
        <w:t>. Section 912AB requires retail OTC derivative issuers to comply with additional provisions set out in the Instrument as part of satisfying the obligation to have adequate financial resources under paragraph 912A(1)(d) of the Corporations Act.</w:t>
      </w:r>
    </w:p>
    <w:p w14:paraId="36CA0CAF" w14:textId="30353B45" w:rsidR="00336474" w:rsidRDefault="00336474" w:rsidP="00415620">
      <w:pPr>
        <w:pStyle w:val="LI-BodyTextParaa"/>
        <w:numPr>
          <w:ilvl w:val="0"/>
          <w:numId w:val="27"/>
        </w:numPr>
      </w:pPr>
      <w:r>
        <w:t xml:space="preserve">The Instrument </w:t>
      </w:r>
      <w:r w:rsidRPr="008D3A78">
        <w:t>preserves the effect of Class</w:t>
      </w:r>
      <w:r>
        <w:t xml:space="preserve"> Order [CO 12/752</w:t>
      </w:r>
      <w:r w:rsidRPr="007D4E35">
        <w:t>]</w:t>
      </w:r>
      <w:r w:rsidRPr="00EC0BDC">
        <w:rPr>
          <w:i/>
          <w:iCs/>
        </w:rPr>
        <w:t xml:space="preserve"> Financial requirements for retail OTC derivative issuers</w:t>
      </w:r>
      <w:r w:rsidR="007D4E35">
        <w:rPr>
          <w:i/>
          <w:iCs/>
        </w:rPr>
        <w:t xml:space="preserve"> </w:t>
      </w:r>
      <w:r w:rsidR="007D4E35" w:rsidRPr="007D4E35">
        <w:t>(</w:t>
      </w:r>
      <w:r w:rsidR="007D4E35" w:rsidRPr="007D4E35">
        <w:rPr>
          <w:b/>
          <w:bCs/>
        </w:rPr>
        <w:t>C</w:t>
      </w:r>
      <w:r w:rsidR="007D4E35">
        <w:rPr>
          <w:b/>
          <w:bCs/>
        </w:rPr>
        <w:t>O</w:t>
      </w:r>
      <w:r w:rsidR="007D4E35" w:rsidRPr="007D4E35">
        <w:rPr>
          <w:b/>
          <w:bCs/>
        </w:rPr>
        <w:t xml:space="preserve"> 12/752</w:t>
      </w:r>
      <w:r w:rsidR="007D4E35" w:rsidRPr="007D4E35">
        <w:t>)</w:t>
      </w:r>
      <w:r>
        <w:t>, which was introduced in 2012. CO 12/752 was due to</w:t>
      </w:r>
      <w:r w:rsidR="00911706">
        <w:t xml:space="preserve"> expire</w:t>
      </w:r>
      <w:r>
        <w:t xml:space="preserve"> </w:t>
      </w:r>
      <w:r w:rsidR="001B46D5">
        <w:t xml:space="preserve">or </w:t>
      </w:r>
      <w:r>
        <w:t xml:space="preserve">‘sunset’ on 1 October 2022.  Following consultation, ASIC considered that CO 12/752 was operating effectively and efficiently to achieve its objectives and continued to form a necessary and useful part of the legislative framework. </w:t>
      </w:r>
    </w:p>
    <w:p w14:paraId="00556D65" w14:textId="51A2821C" w:rsidR="00336474" w:rsidRDefault="00336474" w:rsidP="00415620">
      <w:pPr>
        <w:pStyle w:val="LI-BodyTextParaa"/>
        <w:numPr>
          <w:ilvl w:val="0"/>
          <w:numId w:val="27"/>
        </w:numPr>
      </w:pPr>
      <w:r>
        <w:t>As a result, CO 12/752</w:t>
      </w:r>
      <w:r w:rsidRPr="00BF3E1E">
        <w:t xml:space="preserve"> </w:t>
      </w:r>
      <w:r>
        <w:t>was remade as a legislative instrument, with only minor drafting changes to reflect</w:t>
      </w:r>
      <w:r w:rsidRPr="00DB0FCD">
        <w:t xml:space="preserve"> ASIC’s current style and format</w:t>
      </w:r>
      <w:r w:rsidR="00465000">
        <w:t xml:space="preserve">, </w:t>
      </w:r>
      <w:r>
        <w:t>remove redundant provisions</w:t>
      </w:r>
      <w:r w:rsidR="00465000">
        <w:t xml:space="preserve"> and update definitions</w:t>
      </w:r>
      <w:r w:rsidRPr="00DB0FCD">
        <w:t>, while preserving the current effect of the instrument</w:t>
      </w:r>
      <w:r>
        <w:t xml:space="preserve">.  </w:t>
      </w:r>
    </w:p>
    <w:p w14:paraId="4B08BAF2" w14:textId="42ABAF8C" w:rsidR="00F6223F" w:rsidRDefault="004178DE" w:rsidP="00974062">
      <w:pPr>
        <w:pStyle w:val="LI-BodyTextParaa"/>
        <w:numPr>
          <w:ilvl w:val="0"/>
          <w:numId w:val="27"/>
        </w:numPr>
      </w:pPr>
      <w:r w:rsidRPr="00241B9A">
        <w:rPr>
          <w:bCs/>
          <w:i/>
        </w:rPr>
        <w:t xml:space="preserve">ASIC Corporations (Repeal) Instrument 2022/704 </w:t>
      </w:r>
      <w:r w:rsidRPr="00241B9A">
        <w:rPr>
          <w:bCs/>
          <w:iCs/>
        </w:rPr>
        <w:t>(the</w:t>
      </w:r>
      <w:r w:rsidRPr="00C71D05">
        <w:rPr>
          <w:b/>
          <w:iCs/>
        </w:rPr>
        <w:t xml:space="preserve"> Repeal Instrument)</w:t>
      </w:r>
      <w:r>
        <w:rPr>
          <w:b/>
          <w:iCs/>
        </w:rPr>
        <w:t xml:space="preserve"> </w:t>
      </w:r>
      <w:r w:rsidR="004566AA">
        <w:t>repeals CO 12/752 as it is superseded by the Instrument upon its commencement.</w:t>
      </w:r>
      <w:r w:rsidR="004566AA" w:rsidRPr="00FC0891">
        <w:t xml:space="preserve"> </w:t>
      </w:r>
      <w:r w:rsidR="004566AA" w:rsidRPr="00883F18">
        <w:t>Th</w:t>
      </w:r>
      <w:r w:rsidR="004566AA">
        <w:t xml:space="preserve">e Repeal Instrument </w:t>
      </w:r>
      <w:r w:rsidR="004566AA" w:rsidRPr="00883F18">
        <w:t>repeals CO 12/752 ahead of its automatic repeal on 1 October 2022</w:t>
      </w:r>
      <w:r w:rsidR="004566AA">
        <w:t>.</w:t>
      </w:r>
    </w:p>
    <w:p w14:paraId="04CDCEB7" w14:textId="655C1EE1" w:rsidR="001872DC" w:rsidRPr="00F215AF" w:rsidRDefault="001872DC" w:rsidP="001872DC">
      <w:pPr>
        <w:pStyle w:val="LI-BodyTextNumbered"/>
        <w:ind w:left="567"/>
        <w:rPr>
          <w:u w:val="single"/>
        </w:rPr>
      </w:pPr>
      <w:r w:rsidRPr="00F215AF">
        <w:rPr>
          <w:u w:val="single"/>
        </w:rPr>
        <w:t>Assessment of human rights implications</w:t>
      </w:r>
    </w:p>
    <w:bookmarkEnd w:id="6"/>
    <w:p w14:paraId="679E882B" w14:textId="62FE0188" w:rsidR="00415620" w:rsidRPr="00F215AF" w:rsidRDefault="001872DC" w:rsidP="00415620">
      <w:pPr>
        <w:pStyle w:val="LI-BodyTextParaa"/>
        <w:numPr>
          <w:ilvl w:val="0"/>
          <w:numId w:val="27"/>
        </w:numPr>
      </w:pPr>
      <w:r w:rsidRPr="00F215AF">
        <w:t>Th</w:t>
      </w:r>
      <w:r w:rsidR="00CA2957">
        <w:t>e</w:t>
      </w:r>
      <w:r w:rsidRPr="00F215AF">
        <w:t xml:space="preserve"> </w:t>
      </w:r>
      <w:r w:rsidR="00CA2957">
        <w:t>I</w:t>
      </w:r>
      <w:r w:rsidRPr="00F215AF">
        <w:t>nstrument</w:t>
      </w:r>
      <w:r w:rsidR="00CA2957">
        <w:t xml:space="preserve"> and Repeal Instrument</w:t>
      </w:r>
      <w:r w:rsidRPr="00F215AF">
        <w:t xml:space="preserve"> </w:t>
      </w:r>
      <w:r w:rsidR="00D306F8" w:rsidRPr="00F215AF">
        <w:t>does not engage any of the applicable rights or freedoms</w:t>
      </w:r>
      <w:r w:rsidR="00435EEF" w:rsidRPr="00F215AF">
        <w:t xml:space="preserve"> </w:t>
      </w:r>
    </w:p>
    <w:p w14:paraId="5841D033" w14:textId="77777777" w:rsidR="00CB2D96" w:rsidRPr="00F215AF" w:rsidRDefault="00CB2D96" w:rsidP="006B1D9D">
      <w:pPr>
        <w:pStyle w:val="LI-BodyTextNumbered"/>
        <w:keepNext/>
        <w:ind w:left="567"/>
        <w:rPr>
          <w:u w:val="single"/>
        </w:rPr>
      </w:pPr>
      <w:r w:rsidRPr="00F215AF">
        <w:rPr>
          <w:u w:val="single"/>
        </w:rPr>
        <w:t>Conclusion</w:t>
      </w:r>
    </w:p>
    <w:p w14:paraId="0D7D2955" w14:textId="0D3512D3" w:rsidR="00CB2D96" w:rsidRPr="00F215AF" w:rsidRDefault="00CB2D96" w:rsidP="00415620">
      <w:pPr>
        <w:pStyle w:val="LI-BodyTextParaa"/>
        <w:numPr>
          <w:ilvl w:val="0"/>
          <w:numId w:val="27"/>
        </w:numPr>
      </w:pPr>
      <w:r w:rsidRPr="00F215AF">
        <w:t>Th</w:t>
      </w:r>
      <w:r w:rsidR="00CA2957">
        <w:t>e</w:t>
      </w:r>
      <w:r w:rsidRPr="00F215AF">
        <w:t xml:space="preserve"> </w:t>
      </w:r>
      <w:r w:rsidR="00CA2957">
        <w:t>I</w:t>
      </w:r>
      <w:r w:rsidRPr="00F215AF">
        <w:t xml:space="preserve">nstrument </w:t>
      </w:r>
      <w:r w:rsidR="00CA2957">
        <w:t xml:space="preserve">and the Repeal Instrument </w:t>
      </w:r>
      <w:r w:rsidRPr="00F215AF">
        <w:t xml:space="preserve">is compatible with the human rights and freedoms recognised or declared in the international instruments listed in section 3 of the </w:t>
      </w:r>
      <w:r w:rsidRPr="00415620">
        <w:t>Human Rights (Parliamentary Scrutiny) Act 2011</w:t>
      </w:r>
      <w:r w:rsidRPr="00F215AF">
        <w:t>.</w:t>
      </w:r>
    </w:p>
    <w:sectPr w:rsidR="00CB2D96" w:rsidRPr="00F215AF" w:rsidSect="00863657">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B1211" w14:textId="77777777" w:rsidR="00005EDA" w:rsidRDefault="00005EDA" w:rsidP="00715914">
      <w:pPr>
        <w:spacing w:line="240" w:lineRule="auto"/>
      </w:pPr>
      <w:r>
        <w:separator/>
      </w:r>
    </w:p>
  </w:endnote>
  <w:endnote w:type="continuationSeparator" w:id="0">
    <w:p w14:paraId="2308AFD2" w14:textId="77777777" w:rsidR="00005EDA" w:rsidRDefault="00005EDA" w:rsidP="00715914">
      <w:pPr>
        <w:spacing w:line="240" w:lineRule="auto"/>
      </w:pPr>
      <w:r>
        <w:continuationSeparator/>
      </w:r>
    </w:p>
  </w:endnote>
  <w:endnote w:type="continuationNotice" w:id="1">
    <w:p w14:paraId="059EF8E0" w14:textId="77777777" w:rsidR="00005EDA" w:rsidRDefault="00005E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40EE" w14:textId="77777777" w:rsidR="00E02DD6" w:rsidRDefault="00E02DD6">
    <w:pPr>
      <w:pStyle w:val="Footer"/>
      <w:jc w:val="center"/>
    </w:pPr>
    <w:r>
      <w:fldChar w:fldCharType="begin"/>
    </w:r>
    <w:r>
      <w:instrText xml:space="preserve"> PAGE   \* MERGEFORMAT </w:instrText>
    </w:r>
    <w:r>
      <w:fldChar w:fldCharType="separate"/>
    </w:r>
    <w:r>
      <w:rPr>
        <w:noProof/>
      </w:rPr>
      <w:t>2</w:t>
    </w:r>
    <w:r>
      <w:rPr>
        <w:noProof/>
      </w:rPr>
      <w:fldChar w:fldCharType="end"/>
    </w:r>
  </w:p>
  <w:p w14:paraId="3ADBC8A5" w14:textId="77777777" w:rsidR="00E02DD6" w:rsidRDefault="00E02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B7046" w14:textId="77777777" w:rsidR="00005EDA" w:rsidRDefault="00005EDA" w:rsidP="00715914">
      <w:pPr>
        <w:spacing w:line="240" w:lineRule="auto"/>
      </w:pPr>
      <w:r>
        <w:separator/>
      </w:r>
    </w:p>
  </w:footnote>
  <w:footnote w:type="continuationSeparator" w:id="0">
    <w:p w14:paraId="5A02CC74" w14:textId="77777777" w:rsidR="00005EDA" w:rsidRDefault="00005EDA" w:rsidP="00715914">
      <w:pPr>
        <w:spacing w:line="240" w:lineRule="auto"/>
      </w:pPr>
      <w:r>
        <w:continuationSeparator/>
      </w:r>
    </w:p>
  </w:footnote>
  <w:footnote w:type="continuationNotice" w:id="1">
    <w:p w14:paraId="66A65CD9" w14:textId="77777777" w:rsidR="00005EDA" w:rsidRDefault="00005E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B9E4" w14:textId="77777777" w:rsidR="00E02DD6" w:rsidRPr="00243EC0" w:rsidRDefault="00E02DD6"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E02DD6" w:rsidRPr="00E40FF8" w14:paraId="6F8F8E8A" w14:textId="77777777" w:rsidTr="001E77ED">
      <w:tc>
        <w:tcPr>
          <w:tcW w:w="4253" w:type="dxa"/>
          <w:shd w:val="clear" w:color="auto" w:fill="auto"/>
        </w:tcPr>
        <w:p w14:paraId="397623E5" w14:textId="77777777" w:rsidR="00E02DD6" w:rsidRDefault="00E02DD6" w:rsidP="00E40FF8">
          <w:pPr>
            <w:pStyle w:val="LI-Header"/>
            <w:pBdr>
              <w:bottom w:val="none" w:sz="0" w:space="0" w:color="auto"/>
            </w:pBdr>
            <w:jc w:val="left"/>
          </w:pPr>
        </w:p>
      </w:tc>
      <w:tc>
        <w:tcPr>
          <w:tcW w:w="4060" w:type="dxa"/>
          <w:shd w:val="clear" w:color="auto" w:fill="auto"/>
        </w:tcPr>
        <w:p w14:paraId="044BEB53" w14:textId="77777777" w:rsidR="00E02DD6" w:rsidRDefault="00E02DD6" w:rsidP="00F03BB5">
          <w:pPr>
            <w:pStyle w:val="LI-BodyTextNumbered"/>
          </w:pPr>
        </w:p>
      </w:tc>
    </w:tr>
  </w:tbl>
  <w:p w14:paraId="715C3798" w14:textId="77777777" w:rsidR="00E02DD6" w:rsidRPr="00F4215A" w:rsidRDefault="00E02DD6"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3C91"/>
    <w:multiLevelType w:val="hybridMultilevel"/>
    <w:tmpl w:val="93ACB862"/>
    <w:lvl w:ilvl="0" w:tplc="8C041A8A">
      <w:start w:val="1"/>
      <w:numFmt w:val="upperLetter"/>
      <w:lvlText w:val="(%1)"/>
      <w:lvlJc w:val="left"/>
      <w:pPr>
        <w:ind w:left="1800" w:hanging="360"/>
      </w:pPr>
      <w:rPr>
        <w:rFonts w:hint="default"/>
      </w:rPr>
    </w:lvl>
    <w:lvl w:ilvl="1" w:tplc="8C041A8A">
      <w:start w:val="1"/>
      <w:numFmt w:val="upp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15:restartNumberingAfterBreak="0">
    <w:nsid w:val="0DC86AE3"/>
    <w:multiLevelType w:val="hybridMultilevel"/>
    <w:tmpl w:val="E5E629A8"/>
    <w:lvl w:ilvl="0" w:tplc="96D86228">
      <w:start w:val="1"/>
      <w:numFmt w:val="lowerLetter"/>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DB2EF8"/>
    <w:multiLevelType w:val="hybridMultilevel"/>
    <w:tmpl w:val="6942880C"/>
    <w:lvl w:ilvl="0" w:tplc="BDA2A472">
      <w:start w:val="1"/>
      <w:numFmt w:val="decimal"/>
      <w:lvlText w:val="%1."/>
      <w:lvlJc w:val="left"/>
      <w:pPr>
        <w:ind w:left="570" w:hanging="570"/>
      </w:pPr>
      <w:rPr>
        <w:rFonts w:hint="default"/>
        <w:b w:val="0"/>
        <w:bCs/>
        <w:i w:val="0"/>
        <w:iCs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2BD0ADD"/>
    <w:multiLevelType w:val="hybridMultilevel"/>
    <w:tmpl w:val="2D1275E2"/>
    <w:lvl w:ilvl="0" w:tplc="8D0229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B717AA"/>
    <w:multiLevelType w:val="hybridMultilevel"/>
    <w:tmpl w:val="A3580E5E"/>
    <w:lvl w:ilvl="0" w:tplc="150A69CA">
      <w:start w:val="1"/>
      <w:numFmt w:val="lowerRoman"/>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9626951"/>
    <w:multiLevelType w:val="hybridMultilevel"/>
    <w:tmpl w:val="1A42D020"/>
    <w:lvl w:ilvl="0" w:tplc="F3B6224C">
      <w:start w:val="1"/>
      <w:numFmt w:val="lowerLetter"/>
      <w:lvlText w:val="(%1)"/>
      <w:lvlJc w:val="left"/>
      <w:pPr>
        <w:ind w:left="930" w:hanging="360"/>
      </w:pPr>
      <w:rPr>
        <w:rFonts w:hint="default"/>
        <w:b w:val="0"/>
        <w:bCs/>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6" w15:restartNumberingAfterBreak="0">
    <w:nsid w:val="20021729"/>
    <w:multiLevelType w:val="hybridMultilevel"/>
    <w:tmpl w:val="66EE1D2A"/>
    <w:lvl w:ilvl="0" w:tplc="8D02291C">
      <w:start w:val="1"/>
      <w:numFmt w:val="lowerLetter"/>
      <w:lvlText w:val="(%1)"/>
      <w:lvlJc w:val="left"/>
      <w:pPr>
        <w:ind w:left="1290" w:hanging="360"/>
      </w:pPr>
      <w:rPr>
        <w:rFonts w:hint="default"/>
      </w:rPr>
    </w:lvl>
    <w:lvl w:ilvl="1" w:tplc="0C090019">
      <w:start w:val="1"/>
      <w:numFmt w:val="lowerLetter"/>
      <w:lvlText w:val="%2."/>
      <w:lvlJc w:val="left"/>
      <w:pPr>
        <w:ind w:left="2010" w:hanging="360"/>
      </w:pPr>
    </w:lvl>
    <w:lvl w:ilvl="2" w:tplc="8D02291C">
      <w:start w:val="1"/>
      <w:numFmt w:val="lowerLetter"/>
      <w:lvlText w:val="(%3)"/>
      <w:lvlJc w:val="left"/>
      <w:pPr>
        <w:ind w:left="2730" w:hanging="180"/>
      </w:pPr>
      <w:rPr>
        <w:rFonts w:hint="default"/>
      </w:r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7" w15:restartNumberingAfterBreak="0">
    <w:nsid w:val="2FD715A6"/>
    <w:multiLevelType w:val="hybridMultilevel"/>
    <w:tmpl w:val="95E27266"/>
    <w:lvl w:ilvl="0" w:tplc="8D02291C">
      <w:start w:val="1"/>
      <w:numFmt w:val="lowerLetter"/>
      <w:lvlText w:val="(%1)"/>
      <w:lvlJc w:val="left"/>
      <w:pPr>
        <w:ind w:left="930" w:hanging="360"/>
      </w:pPr>
      <w:rPr>
        <w:rFonts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8" w15:restartNumberingAfterBreak="0">
    <w:nsid w:val="313B66B4"/>
    <w:multiLevelType w:val="hybridMultilevel"/>
    <w:tmpl w:val="95E27266"/>
    <w:lvl w:ilvl="0" w:tplc="8D02291C">
      <w:start w:val="1"/>
      <w:numFmt w:val="lowerLetter"/>
      <w:lvlText w:val="(%1)"/>
      <w:lvlJc w:val="left"/>
      <w:pPr>
        <w:ind w:left="930" w:hanging="360"/>
      </w:pPr>
      <w:rPr>
        <w:rFonts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0" w15:restartNumberingAfterBreak="0">
    <w:nsid w:val="3E9066DF"/>
    <w:multiLevelType w:val="hybridMultilevel"/>
    <w:tmpl w:val="66EE1D2A"/>
    <w:lvl w:ilvl="0" w:tplc="8D02291C">
      <w:start w:val="1"/>
      <w:numFmt w:val="lowerLetter"/>
      <w:lvlText w:val="(%1)"/>
      <w:lvlJc w:val="left"/>
      <w:pPr>
        <w:ind w:left="1290" w:hanging="360"/>
      </w:pPr>
      <w:rPr>
        <w:rFonts w:hint="default"/>
      </w:rPr>
    </w:lvl>
    <w:lvl w:ilvl="1" w:tplc="0C090019">
      <w:start w:val="1"/>
      <w:numFmt w:val="lowerLetter"/>
      <w:lvlText w:val="%2."/>
      <w:lvlJc w:val="left"/>
      <w:pPr>
        <w:ind w:left="2010" w:hanging="360"/>
      </w:pPr>
    </w:lvl>
    <w:lvl w:ilvl="2" w:tplc="8D02291C">
      <w:start w:val="1"/>
      <w:numFmt w:val="lowerLetter"/>
      <w:lvlText w:val="(%3)"/>
      <w:lvlJc w:val="left"/>
      <w:pPr>
        <w:ind w:left="2730" w:hanging="180"/>
      </w:pPr>
      <w:rPr>
        <w:rFonts w:hint="default"/>
      </w:r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1" w15:restartNumberingAfterBreak="0">
    <w:nsid w:val="450525C3"/>
    <w:multiLevelType w:val="hybridMultilevel"/>
    <w:tmpl w:val="93ACB862"/>
    <w:lvl w:ilvl="0" w:tplc="8C041A8A">
      <w:start w:val="1"/>
      <w:numFmt w:val="upperLetter"/>
      <w:lvlText w:val="(%1)"/>
      <w:lvlJc w:val="left"/>
      <w:pPr>
        <w:ind w:left="1800" w:hanging="360"/>
      </w:pPr>
      <w:rPr>
        <w:rFonts w:hint="default"/>
      </w:rPr>
    </w:lvl>
    <w:lvl w:ilvl="1" w:tplc="8C041A8A">
      <w:start w:val="1"/>
      <w:numFmt w:val="upp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45DA010B"/>
    <w:multiLevelType w:val="hybridMultilevel"/>
    <w:tmpl w:val="66EE1D2A"/>
    <w:lvl w:ilvl="0" w:tplc="8D02291C">
      <w:start w:val="1"/>
      <w:numFmt w:val="lowerLetter"/>
      <w:lvlText w:val="(%1)"/>
      <w:lvlJc w:val="left"/>
      <w:pPr>
        <w:ind w:left="1290" w:hanging="360"/>
      </w:pPr>
      <w:rPr>
        <w:rFonts w:hint="default"/>
      </w:rPr>
    </w:lvl>
    <w:lvl w:ilvl="1" w:tplc="0C090019">
      <w:start w:val="1"/>
      <w:numFmt w:val="lowerLetter"/>
      <w:lvlText w:val="%2."/>
      <w:lvlJc w:val="left"/>
      <w:pPr>
        <w:ind w:left="2010" w:hanging="360"/>
      </w:pPr>
    </w:lvl>
    <w:lvl w:ilvl="2" w:tplc="8D02291C">
      <w:start w:val="1"/>
      <w:numFmt w:val="lowerLetter"/>
      <w:lvlText w:val="(%3)"/>
      <w:lvlJc w:val="left"/>
      <w:pPr>
        <w:ind w:left="2730" w:hanging="180"/>
      </w:pPr>
      <w:rPr>
        <w:rFonts w:hint="default"/>
      </w:r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3" w15:restartNumberingAfterBreak="0">
    <w:nsid w:val="4B0C4B84"/>
    <w:multiLevelType w:val="hybridMultilevel"/>
    <w:tmpl w:val="95E27266"/>
    <w:lvl w:ilvl="0" w:tplc="8D02291C">
      <w:start w:val="1"/>
      <w:numFmt w:val="lowerLetter"/>
      <w:lvlText w:val="(%1)"/>
      <w:lvlJc w:val="left"/>
      <w:pPr>
        <w:ind w:left="930" w:hanging="360"/>
      </w:pPr>
      <w:rPr>
        <w:rFonts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14" w15:restartNumberingAfterBreak="0">
    <w:nsid w:val="5342464A"/>
    <w:multiLevelType w:val="hybridMultilevel"/>
    <w:tmpl w:val="5E067B6E"/>
    <w:lvl w:ilvl="0" w:tplc="BDA2A472">
      <w:start w:val="1"/>
      <w:numFmt w:val="decimal"/>
      <w:lvlText w:val="%1."/>
      <w:lvlJc w:val="left"/>
      <w:pPr>
        <w:ind w:left="570" w:hanging="570"/>
      </w:pPr>
      <w:rPr>
        <w:rFonts w:hint="default"/>
        <w:b w:val="0"/>
        <w:bCs/>
        <w:i w:val="0"/>
        <w:iCs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715148C"/>
    <w:multiLevelType w:val="hybridMultilevel"/>
    <w:tmpl w:val="95E27266"/>
    <w:lvl w:ilvl="0" w:tplc="8D02291C">
      <w:start w:val="1"/>
      <w:numFmt w:val="lowerLetter"/>
      <w:lvlText w:val="(%1)"/>
      <w:lvlJc w:val="left"/>
      <w:pPr>
        <w:ind w:left="930" w:hanging="360"/>
      </w:pPr>
      <w:rPr>
        <w:rFonts w:hint="default"/>
      </w:rPr>
    </w:lvl>
    <w:lvl w:ilvl="1" w:tplc="0C090003">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16" w15:restartNumberingAfterBreak="0">
    <w:nsid w:val="588C3541"/>
    <w:multiLevelType w:val="hybridMultilevel"/>
    <w:tmpl w:val="D1C61496"/>
    <w:lvl w:ilvl="0" w:tplc="150A69CA">
      <w:start w:val="1"/>
      <w:numFmt w:val="lowerRoman"/>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5A26384C"/>
    <w:multiLevelType w:val="hybridMultilevel"/>
    <w:tmpl w:val="D1C61496"/>
    <w:lvl w:ilvl="0" w:tplc="150A69CA">
      <w:start w:val="1"/>
      <w:numFmt w:val="lowerRoman"/>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5DF24EBE"/>
    <w:multiLevelType w:val="hybridMultilevel"/>
    <w:tmpl w:val="93ACB862"/>
    <w:lvl w:ilvl="0" w:tplc="8C041A8A">
      <w:start w:val="1"/>
      <w:numFmt w:val="upperLetter"/>
      <w:lvlText w:val="(%1)"/>
      <w:lvlJc w:val="left"/>
      <w:pPr>
        <w:ind w:left="1800" w:hanging="360"/>
      </w:pPr>
      <w:rPr>
        <w:rFonts w:hint="default"/>
      </w:rPr>
    </w:lvl>
    <w:lvl w:ilvl="1" w:tplc="8C041A8A">
      <w:start w:val="1"/>
      <w:numFmt w:val="upperLetter"/>
      <w:lvlText w:val="(%2)"/>
      <w:lvlJc w:val="left"/>
      <w:pPr>
        <w:ind w:left="2520" w:hanging="360"/>
      </w:pPr>
      <w:rPr>
        <w:rFonts w:hint="default"/>
      </w:r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15:restartNumberingAfterBreak="0">
    <w:nsid w:val="60002CA6"/>
    <w:multiLevelType w:val="hybridMultilevel"/>
    <w:tmpl w:val="1AC44D0E"/>
    <w:lvl w:ilvl="0" w:tplc="BDA2A472">
      <w:start w:val="1"/>
      <w:numFmt w:val="decimal"/>
      <w:lvlText w:val="%1."/>
      <w:lvlJc w:val="left"/>
      <w:pPr>
        <w:ind w:left="570" w:hanging="570"/>
      </w:pPr>
      <w:rPr>
        <w:rFonts w:hint="default"/>
        <w:b w:val="0"/>
        <w:bCs/>
        <w:i w:val="0"/>
        <w:iCs w:val="0"/>
      </w:rPr>
    </w:lvl>
    <w:lvl w:ilvl="1" w:tplc="8D02291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5081E13"/>
    <w:multiLevelType w:val="hybridMultilevel"/>
    <w:tmpl w:val="6D00332A"/>
    <w:lvl w:ilvl="0" w:tplc="BDA2A472">
      <w:start w:val="1"/>
      <w:numFmt w:val="decimal"/>
      <w:lvlText w:val="%1."/>
      <w:lvlJc w:val="left"/>
      <w:pPr>
        <w:ind w:left="570" w:hanging="570"/>
      </w:pPr>
      <w:rPr>
        <w:rFonts w:hint="default"/>
        <w:b w:val="0"/>
        <w:bCs/>
        <w:i w:val="0"/>
        <w:iCs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5B8066E"/>
    <w:multiLevelType w:val="hybridMultilevel"/>
    <w:tmpl w:val="2D1275E2"/>
    <w:lvl w:ilvl="0" w:tplc="8D0229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CEC6A82"/>
    <w:multiLevelType w:val="hybridMultilevel"/>
    <w:tmpl w:val="6FB86C26"/>
    <w:lvl w:ilvl="0" w:tplc="8D0229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0996709"/>
    <w:multiLevelType w:val="hybridMultilevel"/>
    <w:tmpl w:val="95E27266"/>
    <w:lvl w:ilvl="0" w:tplc="8D02291C">
      <w:start w:val="1"/>
      <w:numFmt w:val="lowerLetter"/>
      <w:lvlText w:val="(%1)"/>
      <w:lvlJc w:val="left"/>
      <w:pPr>
        <w:ind w:left="930" w:hanging="360"/>
      </w:pPr>
      <w:rPr>
        <w:rFonts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24" w15:restartNumberingAfterBreak="0">
    <w:nsid w:val="77857696"/>
    <w:multiLevelType w:val="hybridMultilevel"/>
    <w:tmpl w:val="4E6618A8"/>
    <w:lvl w:ilvl="0" w:tplc="5726AC30">
      <w:start w:val="1"/>
      <w:numFmt w:val="lowerLetter"/>
      <w:pStyle w:val="Subpara"/>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7B95031"/>
    <w:multiLevelType w:val="hybridMultilevel"/>
    <w:tmpl w:val="95E27266"/>
    <w:lvl w:ilvl="0" w:tplc="8D02291C">
      <w:start w:val="1"/>
      <w:numFmt w:val="lowerLetter"/>
      <w:lvlText w:val="(%1)"/>
      <w:lvlJc w:val="left"/>
      <w:pPr>
        <w:ind w:left="930" w:hanging="360"/>
      </w:pPr>
      <w:rPr>
        <w:rFonts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abstractNum w:abstractNumId="26" w15:restartNumberingAfterBreak="0">
    <w:nsid w:val="78E37E99"/>
    <w:multiLevelType w:val="hybridMultilevel"/>
    <w:tmpl w:val="95E27266"/>
    <w:lvl w:ilvl="0" w:tplc="8D02291C">
      <w:start w:val="1"/>
      <w:numFmt w:val="lowerLetter"/>
      <w:lvlText w:val="(%1)"/>
      <w:lvlJc w:val="left"/>
      <w:pPr>
        <w:ind w:left="930" w:hanging="360"/>
      </w:pPr>
      <w:rPr>
        <w:rFonts w:hint="default"/>
      </w:rPr>
    </w:lvl>
    <w:lvl w:ilvl="1" w:tplc="0C090003" w:tentative="1">
      <w:start w:val="1"/>
      <w:numFmt w:val="bullet"/>
      <w:lvlText w:val="o"/>
      <w:lvlJc w:val="left"/>
      <w:pPr>
        <w:ind w:left="1650" w:hanging="360"/>
      </w:pPr>
      <w:rPr>
        <w:rFonts w:ascii="Courier New" w:hAnsi="Courier New" w:cs="Courier New" w:hint="default"/>
      </w:rPr>
    </w:lvl>
    <w:lvl w:ilvl="2" w:tplc="0C090005" w:tentative="1">
      <w:start w:val="1"/>
      <w:numFmt w:val="bullet"/>
      <w:lvlText w:val=""/>
      <w:lvlJc w:val="left"/>
      <w:pPr>
        <w:ind w:left="2370" w:hanging="360"/>
      </w:pPr>
      <w:rPr>
        <w:rFonts w:ascii="Wingdings" w:hAnsi="Wingdings" w:hint="default"/>
      </w:rPr>
    </w:lvl>
    <w:lvl w:ilvl="3" w:tplc="0C090001" w:tentative="1">
      <w:start w:val="1"/>
      <w:numFmt w:val="bullet"/>
      <w:lvlText w:val=""/>
      <w:lvlJc w:val="left"/>
      <w:pPr>
        <w:ind w:left="3090" w:hanging="360"/>
      </w:pPr>
      <w:rPr>
        <w:rFonts w:ascii="Symbol" w:hAnsi="Symbol" w:hint="default"/>
      </w:rPr>
    </w:lvl>
    <w:lvl w:ilvl="4" w:tplc="0C090003" w:tentative="1">
      <w:start w:val="1"/>
      <w:numFmt w:val="bullet"/>
      <w:lvlText w:val="o"/>
      <w:lvlJc w:val="left"/>
      <w:pPr>
        <w:ind w:left="3810" w:hanging="360"/>
      </w:pPr>
      <w:rPr>
        <w:rFonts w:ascii="Courier New" w:hAnsi="Courier New" w:cs="Courier New" w:hint="default"/>
      </w:rPr>
    </w:lvl>
    <w:lvl w:ilvl="5" w:tplc="0C090005" w:tentative="1">
      <w:start w:val="1"/>
      <w:numFmt w:val="bullet"/>
      <w:lvlText w:val=""/>
      <w:lvlJc w:val="left"/>
      <w:pPr>
        <w:ind w:left="4530" w:hanging="360"/>
      </w:pPr>
      <w:rPr>
        <w:rFonts w:ascii="Wingdings" w:hAnsi="Wingdings" w:hint="default"/>
      </w:rPr>
    </w:lvl>
    <w:lvl w:ilvl="6" w:tplc="0C090001" w:tentative="1">
      <w:start w:val="1"/>
      <w:numFmt w:val="bullet"/>
      <w:lvlText w:val=""/>
      <w:lvlJc w:val="left"/>
      <w:pPr>
        <w:ind w:left="5250" w:hanging="360"/>
      </w:pPr>
      <w:rPr>
        <w:rFonts w:ascii="Symbol" w:hAnsi="Symbol" w:hint="default"/>
      </w:rPr>
    </w:lvl>
    <w:lvl w:ilvl="7" w:tplc="0C090003" w:tentative="1">
      <w:start w:val="1"/>
      <w:numFmt w:val="bullet"/>
      <w:lvlText w:val="o"/>
      <w:lvlJc w:val="left"/>
      <w:pPr>
        <w:ind w:left="5970" w:hanging="360"/>
      </w:pPr>
      <w:rPr>
        <w:rFonts w:ascii="Courier New" w:hAnsi="Courier New" w:cs="Courier New" w:hint="default"/>
      </w:rPr>
    </w:lvl>
    <w:lvl w:ilvl="8" w:tplc="0C090005" w:tentative="1">
      <w:start w:val="1"/>
      <w:numFmt w:val="bullet"/>
      <w:lvlText w:val=""/>
      <w:lvlJc w:val="left"/>
      <w:pPr>
        <w:ind w:left="6690" w:hanging="360"/>
      </w:pPr>
      <w:rPr>
        <w:rFonts w:ascii="Wingdings" w:hAnsi="Wingdings" w:hint="default"/>
      </w:rPr>
    </w:lvl>
  </w:abstractNum>
  <w:num w:numId="1">
    <w:abstractNumId w:val="9"/>
  </w:num>
  <w:num w:numId="2">
    <w:abstractNumId w:val="14"/>
  </w:num>
  <w:num w:numId="3">
    <w:abstractNumId w:val="24"/>
  </w:num>
  <w:num w:numId="4">
    <w:abstractNumId w:val="12"/>
  </w:num>
  <w:num w:numId="5">
    <w:abstractNumId w:val="8"/>
  </w:num>
  <w:num w:numId="6">
    <w:abstractNumId w:val="5"/>
  </w:num>
  <w:num w:numId="7">
    <w:abstractNumId w:val="26"/>
  </w:num>
  <w:num w:numId="8">
    <w:abstractNumId w:val="23"/>
  </w:num>
  <w:num w:numId="9">
    <w:abstractNumId w:val="15"/>
  </w:num>
  <w:num w:numId="10">
    <w:abstractNumId w:val="25"/>
  </w:num>
  <w:num w:numId="11">
    <w:abstractNumId w:val="7"/>
  </w:num>
  <w:num w:numId="12">
    <w:abstractNumId w:val="3"/>
  </w:num>
  <w:num w:numId="13">
    <w:abstractNumId w:val="6"/>
  </w:num>
  <w:num w:numId="14">
    <w:abstractNumId w:val="10"/>
  </w:num>
  <w:num w:numId="15">
    <w:abstractNumId w:val="2"/>
  </w:num>
  <w:num w:numId="16">
    <w:abstractNumId w:val="22"/>
  </w:num>
  <w:num w:numId="17">
    <w:abstractNumId w:val="1"/>
  </w:num>
  <w:num w:numId="18">
    <w:abstractNumId w:val="19"/>
  </w:num>
  <w:num w:numId="19">
    <w:abstractNumId w:val="17"/>
  </w:num>
  <w:num w:numId="20">
    <w:abstractNumId w:val="4"/>
  </w:num>
  <w:num w:numId="21">
    <w:abstractNumId w:val="16"/>
  </w:num>
  <w:num w:numId="22">
    <w:abstractNumId w:val="13"/>
  </w:num>
  <w:num w:numId="23">
    <w:abstractNumId w:val="0"/>
  </w:num>
  <w:num w:numId="24">
    <w:abstractNumId w:val="11"/>
  </w:num>
  <w:num w:numId="25">
    <w:abstractNumId w:val="18"/>
  </w:num>
  <w:num w:numId="26">
    <w:abstractNumId w:val="21"/>
  </w:num>
  <w:num w:numId="27">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4470"/>
    <w:rsid w:val="00005446"/>
    <w:rsid w:val="00005EDA"/>
    <w:rsid w:val="000111F6"/>
    <w:rsid w:val="00011FBC"/>
    <w:rsid w:val="0001254B"/>
    <w:rsid w:val="00012585"/>
    <w:rsid w:val="000136AF"/>
    <w:rsid w:val="00013B8D"/>
    <w:rsid w:val="0001405B"/>
    <w:rsid w:val="00015719"/>
    <w:rsid w:val="0001760E"/>
    <w:rsid w:val="000207BD"/>
    <w:rsid w:val="00023D53"/>
    <w:rsid w:val="00023EC3"/>
    <w:rsid w:val="00025C27"/>
    <w:rsid w:val="000263DC"/>
    <w:rsid w:val="00027BFE"/>
    <w:rsid w:val="000314A8"/>
    <w:rsid w:val="00032DF9"/>
    <w:rsid w:val="000346B1"/>
    <w:rsid w:val="0003768E"/>
    <w:rsid w:val="00037B7B"/>
    <w:rsid w:val="00037F53"/>
    <w:rsid w:val="000437C1"/>
    <w:rsid w:val="000443F9"/>
    <w:rsid w:val="00050CEA"/>
    <w:rsid w:val="00052F79"/>
    <w:rsid w:val="0005365D"/>
    <w:rsid w:val="00053E17"/>
    <w:rsid w:val="00057706"/>
    <w:rsid w:val="000614BF"/>
    <w:rsid w:val="0006250C"/>
    <w:rsid w:val="00072191"/>
    <w:rsid w:val="00073FC6"/>
    <w:rsid w:val="000749BA"/>
    <w:rsid w:val="00075E85"/>
    <w:rsid w:val="000771BF"/>
    <w:rsid w:val="00081794"/>
    <w:rsid w:val="00084FF4"/>
    <w:rsid w:val="0009545F"/>
    <w:rsid w:val="000965A9"/>
    <w:rsid w:val="00096DE4"/>
    <w:rsid w:val="000A142F"/>
    <w:rsid w:val="000A60C5"/>
    <w:rsid w:val="000A6C39"/>
    <w:rsid w:val="000B0DD7"/>
    <w:rsid w:val="000B11E1"/>
    <w:rsid w:val="000B58FA"/>
    <w:rsid w:val="000C0FD5"/>
    <w:rsid w:val="000C55A0"/>
    <w:rsid w:val="000C5D5D"/>
    <w:rsid w:val="000C74E8"/>
    <w:rsid w:val="000D041F"/>
    <w:rsid w:val="000D05EF"/>
    <w:rsid w:val="000D69DC"/>
    <w:rsid w:val="000E06A7"/>
    <w:rsid w:val="000E1BAC"/>
    <w:rsid w:val="000E2261"/>
    <w:rsid w:val="000E3C2E"/>
    <w:rsid w:val="000F09F2"/>
    <w:rsid w:val="000F0FFB"/>
    <w:rsid w:val="000F21C1"/>
    <w:rsid w:val="00101A51"/>
    <w:rsid w:val="00102CA6"/>
    <w:rsid w:val="0010745C"/>
    <w:rsid w:val="00117850"/>
    <w:rsid w:val="001207FB"/>
    <w:rsid w:val="00121868"/>
    <w:rsid w:val="00123F3A"/>
    <w:rsid w:val="00124A42"/>
    <w:rsid w:val="00125141"/>
    <w:rsid w:val="001255AB"/>
    <w:rsid w:val="00126635"/>
    <w:rsid w:val="001275A4"/>
    <w:rsid w:val="00132CEB"/>
    <w:rsid w:val="0013550F"/>
    <w:rsid w:val="00142B62"/>
    <w:rsid w:val="0014382C"/>
    <w:rsid w:val="00147E0A"/>
    <w:rsid w:val="00153B32"/>
    <w:rsid w:val="00157B8B"/>
    <w:rsid w:val="001624E1"/>
    <w:rsid w:val="00166480"/>
    <w:rsid w:val="00166C2F"/>
    <w:rsid w:val="001677A6"/>
    <w:rsid w:val="001713DF"/>
    <w:rsid w:val="00171A6E"/>
    <w:rsid w:val="001746CD"/>
    <w:rsid w:val="00180740"/>
    <w:rsid w:val="001809D7"/>
    <w:rsid w:val="00181A35"/>
    <w:rsid w:val="00182737"/>
    <w:rsid w:val="00183FBD"/>
    <w:rsid w:val="0018659E"/>
    <w:rsid w:val="001872DC"/>
    <w:rsid w:val="001939E1"/>
    <w:rsid w:val="00194C3E"/>
    <w:rsid w:val="00195382"/>
    <w:rsid w:val="001953C3"/>
    <w:rsid w:val="00195BD4"/>
    <w:rsid w:val="001B14FC"/>
    <w:rsid w:val="001B1632"/>
    <w:rsid w:val="001B46D5"/>
    <w:rsid w:val="001C420E"/>
    <w:rsid w:val="001C56B9"/>
    <w:rsid w:val="001C5963"/>
    <w:rsid w:val="001C61C5"/>
    <w:rsid w:val="001C69C4"/>
    <w:rsid w:val="001D31EA"/>
    <w:rsid w:val="001D37EF"/>
    <w:rsid w:val="001D38A3"/>
    <w:rsid w:val="001E3590"/>
    <w:rsid w:val="001E7407"/>
    <w:rsid w:val="001E77ED"/>
    <w:rsid w:val="001E7E2B"/>
    <w:rsid w:val="001F02B1"/>
    <w:rsid w:val="001F0ADF"/>
    <w:rsid w:val="001F5D5E"/>
    <w:rsid w:val="001F6219"/>
    <w:rsid w:val="001F6CD4"/>
    <w:rsid w:val="002023EF"/>
    <w:rsid w:val="00204B01"/>
    <w:rsid w:val="002069F8"/>
    <w:rsid w:val="00206C4D"/>
    <w:rsid w:val="0021053C"/>
    <w:rsid w:val="00214B23"/>
    <w:rsid w:val="00215AF1"/>
    <w:rsid w:val="00216B69"/>
    <w:rsid w:val="00220A36"/>
    <w:rsid w:val="00221AE8"/>
    <w:rsid w:val="00223B42"/>
    <w:rsid w:val="00223DCF"/>
    <w:rsid w:val="002245E5"/>
    <w:rsid w:val="00225A5F"/>
    <w:rsid w:val="002321E8"/>
    <w:rsid w:val="00233EB9"/>
    <w:rsid w:val="00236EEC"/>
    <w:rsid w:val="00237265"/>
    <w:rsid w:val="0024010F"/>
    <w:rsid w:val="00240749"/>
    <w:rsid w:val="00241B9A"/>
    <w:rsid w:val="002426D9"/>
    <w:rsid w:val="00243018"/>
    <w:rsid w:val="00243EC0"/>
    <w:rsid w:val="00244742"/>
    <w:rsid w:val="00245C7D"/>
    <w:rsid w:val="002564A4"/>
    <w:rsid w:val="002635CE"/>
    <w:rsid w:val="00265CE5"/>
    <w:rsid w:val="0026736C"/>
    <w:rsid w:val="0027294E"/>
    <w:rsid w:val="00274EEC"/>
    <w:rsid w:val="00275ABB"/>
    <w:rsid w:val="00275D39"/>
    <w:rsid w:val="00280C7A"/>
    <w:rsid w:val="00281308"/>
    <w:rsid w:val="00281813"/>
    <w:rsid w:val="00282155"/>
    <w:rsid w:val="002824CF"/>
    <w:rsid w:val="00283C81"/>
    <w:rsid w:val="00284719"/>
    <w:rsid w:val="00286573"/>
    <w:rsid w:val="00292099"/>
    <w:rsid w:val="00293B8E"/>
    <w:rsid w:val="00297ECB"/>
    <w:rsid w:val="002A4B84"/>
    <w:rsid w:val="002A6A96"/>
    <w:rsid w:val="002A7328"/>
    <w:rsid w:val="002A7BCF"/>
    <w:rsid w:val="002B052D"/>
    <w:rsid w:val="002B19F3"/>
    <w:rsid w:val="002B2259"/>
    <w:rsid w:val="002B4A0D"/>
    <w:rsid w:val="002B5964"/>
    <w:rsid w:val="002B6CA9"/>
    <w:rsid w:val="002C0BA9"/>
    <w:rsid w:val="002C1721"/>
    <w:rsid w:val="002C6BDF"/>
    <w:rsid w:val="002C7B6F"/>
    <w:rsid w:val="002D043A"/>
    <w:rsid w:val="002D1CAD"/>
    <w:rsid w:val="002D3ADE"/>
    <w:rsid w:val="002D6224"/>
    <w:rsid w:val="002D7580"/>
    <w:rsid w:val="002E00B5"/>
    <w:rsid w:val="002E14B4"/>
    <w:rsid w:val="002E3F4B"/>
    <w:rsid w:val="002E5541"/>
    <w:rsid w:val="002F43F7"/>
    <w:rsid w:val="002F6947"/>
    <w:rsid w:val="002F7313"/>
    <w:rsid w:val="00301B6F"/>
    <w:rsid w:val="00304F8B"/>
    <w:rsid w:val="00312A8A"/>
    <w:rsid w:val="003227EA"/>
    <w:rsid w:val="00323163"/>
    <w:rsid w:val="0032581C"/>
    <w:rsid w:val="00325EC0"/>
    <w:rsid w:val="00327DDF"/>
    <w:rsid w:val="00333365"/>
    <w:rsid w:val="00333B62"/>
    <w:rsid w:val="003354D2"/>
    <w:rsid w:val="00335BC6"/>
    <w:rsid w:val="00336474"/>
    <w:rsid w:val="003415D3"/>
    <w:rsid w:val="00344701"/>
    <w:rsid w:val="00347A48"/>
    <w:rsid w:val="00347E60"/>
    <w:rsid w:val="003528DA"/>
    <w:rsid w:val="00352B0F"/>
    <w:rsid w:val="00353C47"/>
    <w:rsid w:val="00356690"/>
    <w:rsid w:val="00357DD0"/>
    <w:rsid w:val="00357DF1"/>
    <w:rsid w:val="00360459"/>
    <w:rsid w:val="00360642"/>
    <w:rsid w:val="00360E0F"/>
    <w:rsid w:val="003648AE"/>
    <w:rsid w:val="00365497"/>
    <w:rsid w:val="003659C1"/>
    <w:rsid w:val="003756EC"/>
    <w:rsid w:val="00375D17"/>
    <w:rsid w:val="003801F4"/>
    <w:rsid w:val="00380C89"/>
    <w:rsid w:val="00384FCD"/>
    <w:rsid w:val="00386F6D"/>
    <w:rsid w:val="00387A96"/>
    <w:rsid w:val="003964C7"/>
    <w:rsid w:val="003A08EC"/>
    <w:rsid w:val="003A226C"/>
    <w:rsid w:val="003A2A48"/>
    <w:rsid w:val="003A4B8D"/>
    <w:rsid w:val="003A5985"/>
    <w:rsid w:val="003A6858"/>
    <w:rsid w:val="003B28C3"/>
    <w:rsid w:val="003B6D5B"/>
    <w:rsid w:val="003B732F"/>
    <w:rsid w:val="003C39A9"/>
    <w:rsid w:val="003C6231"/>
    <w:rsid w:val="003D0BFE"/>
    <w:rsid w:val="003D5700"/>
    <w:rsid w:val="003E0F99"/>
    <w:rsid w:val="003E341B"/>
    <w:rsid w:val="003E5772"/>
    <w:rsid w:val="003E637C"/>
    <w:rsid w:val="003E78FF"/>
    <w:rsid w:val="003F3EFD"/>
    <w:rsid w:val="003F55CC"/>
    <w:rsid w:val="003F7E42"/>
    <w:rsid w:val="00400018"/>
    <w:rsid w:val="0040053F"/>
    <w:rsid w:val="00405995"/>
    <w:rsid w:val="00407726"/>
    <w:rsid w:val="004116CD"/>
    <w:rsid w:val="00411A81"/>
    <w:rsid w:val="00411F2E"/>
    <w:rsid w:val="004144EC"/>
    <w:rsid w:val="00415620"/>
    <w:rsid w:val="00416E4D"/>
    <w:rsid w:val="004178DE"/>
    <w:rsid w:val="00417EB9"/>
    <w:rsid w:val="004233CE"/>
    <w:rsid w:val="00424CA9"/>
    <w:rsid w:val="00431E9B"/>
    <w:rsid w:val="004357FA"/>
    <w:rsid w:val="00435951"/>
    <w:rsid w:val="00435EEF"/>
    <w:rsid w:val="004379E3"/>
    <w:rsid w:val="0044015E"/>
    <w:rsid w:val="00442632"/>
    <w:rsid w:val="0044291A"/>
    <w:rsid w:val="0044482B"/>
    <w:rsid w:val="00444ABD"/>
    <w:rsid w:val="00446CBF"/>
    <w:rsid w:val="00447DB4"/>
    <w:rsid w:val="004566AA"/>
    <w:rsid w:val="004579DA"/>
    <w:rsid w:val="00460F1D"/>
    <w:rsid w:val="004610F5"/>
    <w:rsid w:val="00464C8F"/>
    <w:rsid w:val="00465000"/>
    <w:rsid w:val="00465DC1"/>
    <w:rsid w:val="00467661"/>
    <w:rsid w:val="004679E8"/>
    <w:rsid w:val="004705B7"/>
    <w:rsid w:val="00472570"/>
    <w:rsid w:val="00472DBE"/>
    <w:rsid w:val="00474A19"/>
    <w:rsid w:val="00474B52"/>
    <w:rsid w:val="00481C24"/>
    <w:rsid w:val="0048208C"/>
    <w:rsid w:val="004823C0"/>
    <w:rsid w:val="0048276B"/>
    <w:rsid w:val="004829C1"/>
    <w:rsid w:val="00484C67"/>
    <w:rsid w:val="00485A36"/>
    <w:rsid w:val="00491979"/>
    <w:rsid w:val="00494913"/>
    <w:rsid w:val="004969C3"/>
    <w:rsid w:val="00496B5F"/>
    <w:rsid w:val="00496F97"/>
    <w:rsid w:val="0049710B"/>
    <w:rsid w:val="004971A1"/>
    <w:rsid w:val="004A20BA"/>
    <w:rsid w:val="004A44FC"/>
    <w:rsid w:val="004A7C9B"/>
    <w:rsid w:val="004B0FC9"/>
    <w:rsid w:val="004B2FB4"/>
    <w:rsid w:val="004B448B"/>
    <w:rsid w:val="004B5B44"/>
    <w:rsid w:val="004C15CA"/>
    <w:rsid w:val="004C1CB1"/>
    <w:rsid w:val="004D0482"/>
    <w:rsid w:val="004D7E7F"/>
    <w:rsid w:val="004D7FCE"/>
    <w:rsid w:val="004E063A"/>
    <w:rsid w:val="004E35FF"/>
    <w:rsid w:val="004E7BEC"/>
    <w:rsid w:val="004F0F25"/>
    <w:rsid w:val="004F155E"/>
    <w:rsid w:val="004F5920"/>
    <w:rsid w:val="004F6C56"/>
    <w:rsid w:val="0050044F"/>
    <w:rsid w:val="00504C9E"/>
    <w:rsid w:val="00505D3D"/>
    <w:rsid w:val="00506AF6"/>
    <w:rsid w:val="00507335"/>
    <w:rsid w:val="005135CD"/>
    <w:rsid w:val="00516B8D"/>
    <w:rsid w:val="00517E56"/>
    <w:rsid w:val="00524BC2"/>
    <w:rsid w:val="00525DD3"/>
    <w:rsid w:val="00526DCF"/>
    <w:rsid w:val="005270AD"/>
    <w:rsid w:val="00527BA2"/>
    <w:rsid w:val="00532049"/>
    <w:rsid w:val="005356A7"/>
    <w:rsid w:val="00536184"/>
    <w:rsid w:val="00537FBC"/>
    <w:rsid w:val="00543159"/>
    <w:rsid w:val="00545870"/>
    <w:rsid w:val="00550FCA"/>
    <w:rsid w:val="0055125D"/>
    <w:rsid w:val="005574D1"/>
    <w:rsid w:val="005579E8"/>
    <w:rsid w:val="00561ABB"/>
    <w:rsid w:val="00562F1B"/>
    <w:rsid w:val="005657FE"/>
    <w:rsid w:val="005706A5"/>
    <w:rsid w:val="00570C06"/>
    <w:rsid w:val="00572713"/>
    <w:rsid w:val="00572BB1"/>
    <w:rsid w:val="00573472"/>
    <w:rsid w:val="005752C1"/>
    <w:rsid w:val="005754E0"/>
    <w:rsid w:val="0057670F"/>
    <w:rsid w:val="00577640"/>
    <w:rsid w:val="00581D92"/>
    <w:rsid w:val="00582084"/>
    <w:rsid w:val="00583304"/>
    <w:rsid w:val="0058415D"/>
    <w:rsid w:val="005847A1"/>
    <w:rsid w:val="00584811"/>
    <w:rsid w:val="00585784"/>
    <w:rsid w:val="00585E61"/>
    <w:rsid w:val="00586030"/>
    <w:rsid w:val="0058676E"/>
    <w:rsid w:val="00590840"/>
    <w:rsid w:val="00593AA6"/>
    <w:rsid w:val="00594161"/>
    <w:rsid w:val="00594749"/>
    <w:rsid w:val="005962D6"/>
    <w:rsid w:val="005B1BCC"/>
    <w:rsid w:val="005B4067"/>
    <w:rsid w:val="005B7212"/>
    <w:rsid w:val="005B780C"/>
    <w:rsid w:val="005C3F41"/>
    <w:rsid w:val="005C4864"/>
    <w:rsid w:val="005D0489"/>
    <w:rsid w:val="005D0703"/>
    <w:rsid w:val="005D0B03"/>
    <w:rsid w:val="005D1FEA"/>
    <w:rsid w:val="005D2D09"/>
    <w:rsid w:val="005D3D41"/>
    <w:rsid w:val="005D4273"/>
    <w:rsid w:val="005D6B34"/>
    <w:rsid w:val="005D7C92"/>
    <w:rsid w:val="005E2C50"/>
    <w:rsid w:val="005E4810"/>
    <w:rsid w:val="005F4140"/>
    <w:rsid w:val="005F63EB"/>
    <w:rsid w:val="005F65CD"/>
    <w:rsid w:val="005F7266"/>
    <w:rsid w:val="00600219"/>
    <w:rsid w:val="0060161A"/>
    <w:rsid w:val="00603DC4"/>
    <w:rsid w:val="00605B79"/>
    <w:rsid w:val="00607A71"/>
    <w:rsid w:val="00610709"/>
    <w:rsid w:val="006117CB"/>
    <w:rsid w:val="00620076"/>
    <w:rsid w:val="00630F94"/>
    <w:rsid w:val="006336FB"/>
    <w:rsid w:val="00634044"/>
    <w:rsid w:val="00634A76"/>
    <w:rsid w:val="00637460"/>
    <w:rsid w:val="00640161"/>
    <w:rsid w:val="00644B5D"/>
    <w:rsid w:val="00652769"/>
    <w:rsid w:val="00655060"/>
    <w:rsid w:val="0065542F"/>
    <w:rsid w:val="006554FF"/>
    <w:rsid w:val="00656130"/>
    <w:rsid w:val="0065789F"/>
    <w:rsid w:val="0066742F"/>
    <w:rsid w:val="00670193"/>
    <w:rsid w:val="00670EA1"/>
    <w:rsid w:val="00672E3D"/>
    <w:rsid w:val="00674C13"/>
    <w:rsid w:val="00676534"/>
    <w:rsid w:val="00677CC2"/>
    <w:rsid w:val="00682FAF"/>
    <w:rsid w:val="00687A2B"/>
    <w:rsid w:val="006905DE"/>
    <w:rsid w:val="006917D3"/>
    <w:rsid w:val="0069207B"/>
    <w:rsid w:val="00693F29"/>
    <w:rsid w:val="00694221"/>
    <w:rsid w:val="006954D7"/>
    <w:rsid w:val="00697530"/>
    <w:rsid w:val="006A0700"/>
    <w:rsid w:val="006A35CF"/>
    <w:rsid w:val="006A3971"/>
    <w:rsid w:val="006A6DC3"/>
    <w:rsid w:val="006A78EF"/>
    <w:rsid w:val="006B1625"/>
    <w:rsid w:val="006B1D9D"/>
    <w:rsid w:val="006B5789"/>
    <w:rsid w:val="006C30C5"/>
    <w:rsid w:val="006C488A"/>
    <w:rsid w:val="006C48FA"/>
    <w:rsid w:val="006C7F8C"/>
    <w:rsid w:val="006E15A5"/>
    <w:rsid w:val="006E5320"/>
    <w:rsid w:val="006E54F5"/>
    <w:rsid w:val="006E56AB"/>
    <w:rsid w:val="006E6246"/>
    <w:rsid w:val="006E7C7B"/>
    <w:rsid w:val="006F318F"/>
    <w:rsid w:val="006F4226"/>
    <w:rsid w:val="006F739A"/>
    <w:rsid w:val="006F7737"/>
    <w:rsid w:val="0070017E"/>
    <w:rsid w:val="00700B2C"/>
    <w:rsid w:val="00702AA0"/>
    <w:rsid w:val="00702EFD"/>
    <w:rsid w:val="00703F4E"/>
    <w:rsid w:val="007050A2"/>
    <w:rsid w:val="00705949"/>
    <w:rsid w:val="00706D6E"/>
    <w:rsid w:val="0070754B"/>
    <w:rsid w:val="00711F19"/>
    <w:rsid w:val="00712D31"/>
    <w:rsid w:val="00713084"/>
    <w:rsid w:val="0071399B"/>
    <w:rsid w:val="007147F7"/>
    <w:rsid w:val="00714F20"/>
    <w:rsid w:val="0071590F"/>
    <w:rsid w:val="00715914"/>
    <w:rsid w:val="00724AE1"/>
    <w:rsid w:val="00724B24"/>
    <w:rsid w:val="00725D50"/>
    <w:rsid w:val="00731DEE"/>
    <w:rsid w:val="00731E00"/>
    <w:rsid w:val="00733581"/>
    <w:rsid w:val="00734338"/>
    <w:rsid w:val="00741EE8"/>
    <w:rsid w:val="007440B7"/>
    <w:rsid w:val="00744BC1"/>
    <w:rsid w:val="00745D55"/>
    <w:rsid w:val="007500C8"/>
    <w:rsid w:val="00751668"/>
    <w:rsid w:val="00752C8D"/>
    <w:rsid w:val="00753DD4"/>
    <w:rsid w:val="00754F05"/>
    <w:rsid w:val="007560F0"/>
    <w:rsid w:val="00756272"/>
    <w:rsid w:val="00757D43"/>
    <w:rsid w:val="00762EF9"/>
    <w:rsid w:val="00764CBC"/>
    <w:rsid w:val="00764D5D"/>
    <w:rsid w:val="007662B5"/>
    <w:rsid w:val="0076681A"/>
    <w:rsid w:val="007675D0"/>
    <w:rsid w:val="00767834"/>
    <w:rsid w:val="0077078E"/>
    <w:rsid w:val="007715C9"/>
    <w:rsid w:val="00771613"/>
    <w:rsid w:val="0077208E"/>
    <w:rsid w:val="007724B8"/>
    <w:rsid w:val="007731F8"/>
    <w:rsid w:val="007744AA"/>
    <w:rsid w:val="00774EDD"/>
    <w:rsid w:val="0077506D"/>
    <w:rsid w:val="007757EC"/>
    <w:rsid w:val="0077612C"/>
    <w:rsid w:val="00776CEA"/>
    <w:rsid w:val="00777F9E"/>
    <w:rsid w:val="00783E89"/>
    <w:rsid w:val="007842CE"/>
    <w:rsid w:val="00784C73"/>
    <w:rsid w:val="00784D0E"/>
    <w:rsid w:val="00785A9E"/>
    <w:rsid w:val="00787A15"/>
    <w:rsid w:val="00793915"/>
    <w:rsid w:val="007965DA"/>
    <w:rsid w:val="00797552"/>
    <w:rsid w:val="007A5418"/>
    <w:rsid w:val="007A5957"/>
    <w:rsid w:val="007B091F"/>
    <w:rsid w:val="007B1AFA"/>
    <w:rsid w:val="007B215A"/>
    <w:rsid w:val="007B4C4F"/>
    <w:rsid w:val="007C2253"/>
    <w:rsid w:val="007C7C9C"/>
    <w:rsid w:val="007D0AF0"/>
    <w:rsid w:val="007D230B"/>
    <w:rsid w:val="007D35AD"/>
    <w:rsid w:val="007D452F"/>
    <w:rsid w:val="007D4E35"/>
    <w:rsid w:val="007E163D"/>
    <w:rsid w:val="007E667A"/>
    <w:rsid w:val="007F03BB"/>
    <w:rsid w:val="007F28C9"/>
    <w:rsid w:val="007F438D"/>
    <w:rsid w:val="007F5BBC"/>
    <w:rsid w:val="0080046D"/>
    <w:rsid w:val="00800AED"/>
    <w:rsid w:val="0080167A"/>
    <w:rsid w:val="00803044"/>
    <w:rsid w:val="0080312D"/>
    <w:rsid w:val="00803587"/>
    <w:rsid w:val="00804C09"/>
    <w:rsid w:val="0080502B"/>
    <w:rsid w:val="00805877"/>
    <w:rsid w:val="00807811"/>
    <w:rsid w:val="00807C79"/>
    <w:rsid w:val="008117E9"/>
    <w:rsid w:val="00813775"/>
    <w:rsid w:val="008138AB"/>
    <w:rsid w:val="0081611B"/>
    <w:rsid w:val="00822A7D"/>
    <w:rsid w:val="00822ACA"/>
    <w:rsid w:val="00824498"/>
    <w:rsid w:val="00830B7C"/>
    <w:rsid w:val="00831D0C"/>
    <w:rsid w:val="008341B3"/>
    <w:rsid w:val="00835179"/>
    <w:rsid w:val="0083600E"/>
    <w:rsid w:val="00840442"/>
    <w:rsid w:val="0084118D"/>
    <w:rsid w:val="00841D31"/>
    <w:rsid w:val="00845D80"/>
    <w:rsid w:val="008527C0"/>
    <w:rsid w:val="00854E94"/>
    <w:rsid w:val="00856A31"/>
    <w:rsid w:val="00860B58"/>
    <w:rsid w:val="00861943"/>
    <w:rsid w:val="008633C2"/>
    <w:rsid w:val="00863657"/>
    <w:rsid w:val="008655EF"/>
    <w:rsid w:val="00865E70"/>
    <w:rsid w:val="00866A6A"/>
    <w:rsid w:val="00867B37"/>
    <w:rsid w:val="00870770"/>
    <w:rsid w:val="008718DD"/>
    <w:rsid w:val="00874D57"/>
    <w:rsid w:val="008754D0"/>
    <w:rsid w:val="00876B52"/>
    <w:rsid w:val="00880AF5"/>
    <w:rsid w:val="00881E66"/>
    <w:rsid w:val="008829D8"/>
    <w:rsid w:val="008855C9"/>
    <w:rsid w:val="00886456"/>
    <w:rsid w:val="00891FE6"/>
    <w:rsid w:val="008945E0"/>
    <w:rsid w:val="0089527F"/>
    <w:rsid w:val="008A362B"/>
    <w:rsid w:val="008A4506"/>
    <w:rsid w:val="008A46E1"/>
    <w:rsid w:val="008A47C9"/>
    <w:rsid w:val="008A4F43"/>
    <w:rsid w:val="008A742C"/>
    <w:rsid w:val="008B2449"/>
    <w:rsid w:val="008B252B"/>
    <w:rsid w:val="008B2706"/>
    <w:rsid w:val="008B3065"/>
    <w:rsid w:val="008B54F9"/>
    <w:rsid w:val="008B7533"/>
    <w:rsid w:val="008C09AF"/>
    <w:rsid w:val="008C0F29"/>
    <w:rsid w:val="008C5F16"/>
    <w:rsid w:val="008D0EE0"/>
    <w:rsid w:val="008D21A2"/>
    <w:rsid w:val="008D3422"/>
    <w:rsid w:val="008D3A78"/>
    <w:rsid w:val="008E26AE"/>
    <w:rsid w:val="008E6067"/>
    <w:rsid w:val="008E62DB"/>
    <w:rsid w:val="008E6E8D"/>
    <w:rsid w:val="008F0B3C"/>
    <w:rsid w:val="008F16D7"/>
    <w:rsid w:val="008F21CE"/>
    <w:rsid w:val="008F54E7"/>
    <w:rsid w:val="008F6786"/>
    <w:rsid w:val="009016BE"/>
    <w:rsid w:val="0090259D"/>
    <w:rsid w:val="00903422"/>
    <w:rsid w:val="00906734"/>
    <w:rsid w:val="00911706"/>
    <w:rsid w:val="00911A80"/>
    <w:rsid w:val="00912A58"/>
    <w:rsid w:val="009157B9"/>
    <w:rsid w:val="00915DF9"/>
    <w:rsid w:val="00924CCE"/>
    <w:rsid w:val="009254C3"/>
    <w:rsid w:val="00926940"/>
    <w:rsid w:val="00926CAB"/>
    <w:rsid w:val="00927631"/>
    <w:rsid w:val="00927ED8"/>
    <w:rsid w:val="00930A0A"/>
    <w:rsid w:val="00931E83"/>
    <w:rsid w:val="00932377"/>
    <w:rsid w:val="0093253F"/>
    <w:rsid w:val="0093354A"/>
    <w:rsid w:val="00934A06"/>
    <w:rsid w:val="009375BF"/>
    <w:rsid w:val="009460DC"/>
    <w:rsid w:val="0094637C"/>
    <w:rsid w:val="00946759"/>
    <w:rsid w:val="009467E0"/>
    <w:rsid w:val="00947D5A"/>
    <w:rsid w:val="009532A5"/>
    <w:rsid w:val="00955175"/>
    <w:rsid w:val="0095528E"/>
    <w:rsid w:val="00956E05"/>
    <w:rsid w:val="00962FF9"/>
    <w:rsid w:val="009639A0"/>
    <w:rsid w:val="00965B58"/>
    <w:rsid w:val="00965C56"/>
    <w:rsid w:val="0096753E"/>
    <w:rsid w:val="00972CD2"/>
    <w:rsid w:val="00974062"/>
    <w:rsid w:val="00974CEE"/>
    <w:rsid w:val="00982242"/>
    <w:rsid w:val="00984C48"/>
    <w:rsid w:val="009868E9"/>
    <w:rsid w:val="009944E6"/>
    <w:rsid w:val="009A0A9C"/>
    <w:rsid w:val="009A3A6F"/>
    <w:rsid w:val="009A3F74"/>
    <w:rsid w:val="009A425D"/>
    <w:rsid w:val="009A49BE"/>
    <w:rsid w:val="009A49C9"/>
    <w:rsid w:val="009A4FEA"/>
    <w:rsid w:val="009B0075"/>
    <w:rsid w:val="009B0125"/>
    <w:rsid w:val="009B5353"/>
    <w:rsid w:val="009C0A9B"/>
    <w:rsid w:val="009C2956"/>
    <w:rsid w:val="009C4270"/>
    <w:rsid w:val="009D1818"/>
    <w:rsid w:val="009D195A"/>
    <w:rsid w:val="009D7993"/>
    <w:rsid w:val="009D7A96"/>
    <w:rsid w:val="009E017E"/>
    <w:rsid w:val="009E048E"/>
    <w:rsid w:val="009E3900"/>
    <w:rsid w:val="009E5CFC"/>
    <w:rsid w:val="009E7291"/>
    <w:rsid w:val="009E75A7"/>
    <w:rsid w:val="009F1609"/>
    <w:rsid w:val="00A03597"/>
    <w:rsid w:val="00A03AF1"/>
    <w:rsid w:val="00A0597E"/>
    <w:rsid w:val="00A079CB"/>
    <w:rsid w:val="00A12128"/>
    <w:rsid w:val="00A12F48"/>
    <w:rsid w:val="00A14F6A"/>
    <w:rsid w:val="00A15512"/>
    <w:rsid w:val="00A22C98"/>
    <w:rsid w:val="00A231E2"/>
    <w:rsid w:val="00A232A8"/>
    <w:rsid w:val="00A26AF3"/>
    <w:rsid w:val="00A3345C"/>
    <w:rsid w:val="00A33D55"/>
    <w:rsid w:val="00A34412"/>
    <w:rsid w:val="00A40424"/>
    <w:rsid w:val="00A44C99"/>
    <w:rsid w:val="00A474AF"/>
    <w:rsid w:val="00A47B7A"/>
    <w:rsid w:val="00A51F20"/>
    <w:rsid w:val="00A52B0F"/>
    <w:rsid w:val="00A5632E"/>
    <w:rsid w:val="00A61D4F"/>
    <w:rsid w:val="00A62D2F"/>
    <w:rsid w:val="00A64912"/>
    <w:rsid w:val="00A70A74"/>
    <w:rsid w:val="00A74389"/>
    <w:rsid w:val="00A7585E"/>
    <w:rsid w:val="00A760D8"/>
    <w:rsid w:val="00A768D8"/>
    <w:rsid w:val="00A773DB"/>
    <w:rsid w:val="00A80440"/>
    <w:rsid w:val="00A80E9F"/>
    <w:rsid w:val="00A83433"/>
    <w:rsid w:val="00A83C60"/>
    <w:rsid w:val="00A844D4"/>
    <w:rsid w:val="00A87E84"/>
    <w:rsid w:val="00A91966"/>
    <w:rsid w:val="00A97749"/>
    <w:rsid w:val="00AA66AC"/>
    <w:rsid w:val="00AA7078"/>
    <w:rsid w:val="00AA78A0"/>
    <w:rsid w:val="00AB1DE8"/>
    <w:rsid w:val="00AB1E9D"/>
    <w:rsid w:val="00AB5320"/>
    <w:rsid w:val="00AB69D9"/>
    <w:rsid w:val="00AC0886"/>
    <w:rsid w:val="00AC27C0"/>
    <w:rsid w:val="00AD02B8"/>
    <w:rsid w:val="00AD1F73"/>
    <w:rsid w:val="00AD48F9"/>
    <w:rsid w:val="00AD5315"/>
    <w:rsid w:val="00AD5641"/>
    <w:rsid w:val="00AD7889"/>
    <w:rsid w:val="00AE39C9"/>
    <w:rsid w:val="00AE4270"/>
    <w:rsid w:val="00AE6230"/>
    <w:rsid w:val="00AE652F"/>
    <w:rsid w:val="00AE75AE"/>
    <w:rsid w:val="00AE787B"/>
    <w:rsid w:val="00AF021B"/>
    <w:rsid w:val="00AF06CF"/>
    <w:rsid w:val="00B04305"/>
    <w:rsid w:val="00B068C5"/>
    <w:rsid w:val="00B06B70"/>
    <w:rsid w:val="00B07CDB"/>
    <w:rsid w:val="00B13477"/>
    <w:rsid w:val="00B14AA7"/>
    <w:rsid w:val="00B167CD"/>
    <w:rsid w:val="00B16A31"/>
    <w:rsid w:val="00B16F15"/>
    <w:rsid w:val="00B17DFD"/>
    <w:rsid w:val="00B23FFC"/>
    <w:rsid w:val="00B2799D"/>
    <w:rsid w:val="00B308FE"/>
    <w:rsid w:val="00B33709"/>
    <w:rsid w:val="00B33B3C"/>
    <w:rsid w:val="00B33BD1"/>
    <w:rsid w:val="00B346EE"/>
    <w:rsid w:val="00B35E92"/>
    <w:rsid w:val="00B37EF1"/>
    <w:rsid w:val="00B43649"/>
    <w:rsid w:val="00B447C2"/>
    <w:rsid w:val="00B4601F"/>
    <w:rsid w:val="00B50ADC"/>
    <w:rsid w:val="00B52756"/>
    <w:rsid w:val="00B54863"/>
    <w:rsid w:val="00B566B1"/>
    <w:rsid w:val="00B577C8"/>
    <w:rsid w:val="00B57C0C"/>
    <w:rsid w:val="00B63834"/>
    <w:rsid w:val="00B72734"/>
    <w:rsid w:val="00B73D44"/>
    <w:rsid w:val="00B80199"/>
    <w:rsid w:val="00B827F7"/>
    <w:rsid w:val="00B829B4"/>
    <w:rsid w:val="00B82D81"/>
    <w:rsid w:val="00B83204"/>
    <w:rsid w:val="00B9126E"/>
    <w:rsid w:val="00B96453"/>
    <w:rsid w:val="00BA220B"/>
    <w:rsid w:val="00BA2E44"/>
    <w:rsid w:val="00BA3A57"/>
    <w:rsid w:val="00BB157B"/>
    <w:rsid w:val="00BB4E1A"/>
    <w:rsid w:val="00BB5C17"/>
    <w:rsid w:val="00BB66CC"/>
    <w:rsid w:val="00BC015E"/>
    <w:rsid w:val="00BC7183"/>
    <w:rsid w:val="00BC76AC"/>
    <w:rsid w:val="00BD0ECB"/>
    <w:rsid w:val="00BD3217"/>
    <w:rsid w:val="00BD4D64"/>
    <w:rsid w:val="00BD6981"/>
    <w:rsid w:val="00BE2155"/>
    <w:rsid w:val="00BE2213"/>
    <w:rsid w:val="00BE4A00"/>
    <w:rsid w:val="00BE64C4"/>
    <w:rsid w:val="00BE6EF9"/>
    <w:rsid w:val="00BE719A"/>
    <w:rsid w:val="00BE720A"/>
    <w:rsid w:val="00BE7939"/>
    <w:rsid w:val="00BF01B2"/>
    <w:rsid w:val="00BF0D73"/>
    <w:rsid w:val="00BF2465"/>
    <w:rsid w:val="00BF25F3"/>
    <w:rsid w:val="00BF2FB5"/>
    <w:rsid w:val="00BF333B"/>
    <w:rsid w:val="00BF75C9"/>
    <w:rsid w:val="00C03287"/>
    <w:rsid w:val="00C035D0"/>
    <w:rsid w:val="00C0544A"/>
    <w:rsid w:val="00C071DC"/>
    <w:rsid w:val="00C11452"/>
    <w:rsid w:val="00C1422E"/>
    <w:rsid w:val="00C165A4"/>
    <w:rsid w:val="00C17457"/>
    <w:rsid w:val="00C2228F"/>
    <w:rsid w:val="00C234C4"/>
    <w:rsid w:val="00C25E7F"/>
    <w:rsid w:val="00C2746F"/>
    <w:rsid w:val="00C3007F"/>
    <w:rsid w:val="00C32475"/>
    <w:rsid w:val="00C324A0"/>
    <w:rsid w:val="00C3300F"/>
    <w:rsid w:val="00C34E77"/>
    <w:rsid w:val="00C35875"/>
    <w:rsid w:val="00C35DAF"/>
    <w:rsid w:val="00C35F36"/>
    <w:rsid w:val="00C36E7A"/>
    <w:rsid w:val="00C37F03"/>
    <w:rsid w:val="00C37F25"/>
    <w:rsid w:val="00C4170B"/>
    <w:rsid w:val="00C42BF8"/>
    <w:rsid w:val="00C43101"/>
    <w:rsid w:val="00C45171"/>
    <w:rsid w:val="00C47C1A"/>
    <w:rsid w:val="00C50043"/>
    <w:rsid w:val="00C50A02"/>
    <w:rsid w:val="00C50B97"/>
    <w:rsid w:val="00C50BCE"/>
    <w:rsid w:val="00C526DB"/>
    <w:rsid w:val="00C52E7C"/>
    <w:rsid w:val="00C5308B"/>
    <w:rsid w:val="00C54BFF"/>
    <w:rsid w:val="00C55046"/>
    <w:rsid w:val="00C60156"/>
    <w:rsid w:val="00C61FC3"/>
    <w:rsid w:val="00C629A1"/>
    <w:rsid w:val="00C62C40"/>
    <w:rsid w:val="00C6434E"/>
    <w:rsid w:val="00C70CA8"/>
    <w:rsid w:val="00C71D05"/>
    <w:rsid w:val="00C72853"/>
    <w:rsid w:val="00C72F62"/>
    <w:rsid w:val="00C7573B"/>
    <w:rsid w:val="00C7761F"/>
    <w:rsid w:val="00C86B32"/>
    <w:rsid w:val="00C9314A"/>
    <w:rsid w:val="00C93C03"/>
    <w:rsid w:val="00C93E0B"/>
    <w:rsid w:val="00CA06F9"/>
    <w:rsid w:val="00CA2957"/>
    <w:rsid w:val="00CA4527"/>
    <w:rsid w:val="00CA6140"/>
    <w:rsid w:val="00CA66DC"/>
    <w:rsid w:val="00CB2C8E"/>
    <w:rsid w:val="00CB2D96"/>
    <w:rsid w:val="00CB2E38"/>
    <w:rsid w:val="00CB602E"/>
    <w:rsid w:val="00CC404A"/>
    <w:rsid w:val="00CC4402"/>
    <w:rsid w:val="00CC5AD8"/>
    <w:rsid w:val="00CC62DE"/>
    <w:rsid w:val="00CC6341"/>
    <w:rsid w:val="00CD047B"/>
    <w:rsid w:val="00CD2649"/>
    <w:rsid w:val="00CD2E90"/>
    <w:rsid w:val="00CD7630"/>
    <w:rsid w:val="00CE0149"/>
    <w:rsid w:val="00CE051D"/>
    <w:rsid w:val="00CE1335"/>
    <w:rsid w:val="00CE3D2A"/>
    <w:rsid w:val="00CE45C4"/>
    <w:rsid w:val="00CE493D"/>
    <w:rsid w:val="00CE541A"/>
    <w:rsid w:val="00CE6D42"/>
    <w:rsid w:val="00CE72CB"/>
    <w:rsid w:val="00CF07FA"/>
    <w:rsid w:val="00CF0BB2"/>
    <w:rsid w:val="00CF3EE8"/>
    <w:rsid w:val="00CF5313"/>
    <w:rsid w:val="00D0022B"/>
    <w:rsid w:val="00D050E6"/>
    <w:rsid w:val="00D058B8"/>
    <w:rsid w:val="00D06662"/>
    <w:rsid w:val="00D13441"/>
    <w:rsid w:val="00D150E7"/>
    <w:rsid w:val="00D17404"/>
    <w:rsid w:val="00D20A4B"/>
    <w:rsid w:val="00D22C8B"/>
    <w:rsid w:val="00D22DB7"/>
    <w:rsid w:val="00D22F5C"/>
    <w:rsid w:val="00D23A1F"/>
    <w:rsid w:val="00D306F8"/>
    <w:rsid w:val="00D32F65"/>
    <w:rsid w:val="00D3350D"/>
    <w:rsid w:val="00D341C4"/>
    <w:rsid w:val="00D35577"/>
    <w:rsid w:val="00D41389"/>
    <w:rsid w:val="00D42B43"/>
    <w:rsid w:val="00D510AF"/>
    <w:rsid w:val="00D516C6"/>
    <w:rsid w:val="00D52DC2"/>
    <w:rsid w:val="00D53BCC"/>
    <w:rsid w:val="00D60C7C"/>
    <w:rsid w:val="00D648BB"/>
    <w:rsid w:val="00D702DE"/>
    <w:rsid w:val="00D70DFB"/>
    <w:rsid w:val="00D732EC"/>
    <w:rsid w:val="00D73C22"/>
    <w:rsid w:val="00D766DF"/>
    <w:rsid w:val="00D821D4"/>
    <w:rsid w:val="00D84B83"/>
    <w:rsid w:val="00D936F8"/>
    <w:rsid w:val="00D94217"/>
    <w:rsid w:val="00D97EBE"/>
    <w:rsid w:val="00DA186E"/>
    <w:rsid w:val="00DA4116"/>
    <w:rsid w:val="00DB230F"/>
    <w:rsid w:val="00DB251C"/>
    <w:rsid w:val="00DB38AD"/>
    <w:rsid w:val="00DB4630"/>
    <w:rsid w:val="00DC02E5"/>
    <w:rsid w:val="00DC16CE"/>
    <w:rsid w:val="00DC4445"/>
    <w:rsid w:val="00DC4F88"/>
    <w:rsid w:val="00DC6A7F"/>
    <w:rsid w:val="00DC73FD"/>
    <w:rsid w:val="00DD05BD"/>
    <w:rsid w:val="00DD2DFC"/>
    <w:rsid w:val="00DD314A"/>
    <w:rsid w:val="00DE0A85"/>
    <w:rsid w:val="00DE290B"/>
    <w:rsid w:val="00DE79F9"/>
    <w:rsid w:val="00DF1322"/>
    <w:rsid w:val="00DF1570"/>
    <w:rsid w:val="00DF47DB"/>
    <w:rsid w:val="00DF7664"/>
    <w:rsid w:val="00DF774A"/>
    <w:rsid w:val="00E02C78"/>
    <w:rsid w:val="00E02DD6"/>
    <w:rsid w:val="00E04C99"/>
    <w:rsid w:val="00E04E18"/>
    <w:rsid w:val="00E05704"/>
    <w:rsid w:val="00E06CC3"/>
    <w:rsid w:val="00E07D81"/>
    <w:rsid w:val="00E1075F"/>
    <w:rsid w:val="00E11E44"/>
    <w:rsid w:val="00E13AFA"/>
    <w:rsid w:val="00E21164"/>
    <w:rsid w:val="00E2168B"/>
    <w:rsid w:val="00E21A85"/>
    <w:rsid w:val="00E21F03"/>
    <w:rsid w:val="00E22C45"/>
    <w:rsid w:val="00E246AD"/>
    <w:rsid w:val="00E25BDB"/>
    <w:rsid w:val="00E271D4"/>
    <w:rsid w:val="00E338EF"/>
    <w:rsid w:val="00E33CF5"/>
    <w:rsid w:val="00E3554E"/>
    <w:rsid w:val="00E37B39"/>
    <w:rsid w:val="00E40FF8"/>
    <w:rsid w:val="00E422C0"/>
    <w:rsid w:val="00E43795"/>
    <w:rsid w:val="00E438D1"/>
    <w:rsid w:val="00E4544C"/>
    <w:rsid w:val="00E46557"/>
    <w:rsid w:val="00E5175D"/>
    <w:rsid w:val="00E52930"/>
    <w:rsid w:val="00E544BB"/>
    <w:rsid w:val="00E56D61"/>
    <w:rsid w:val="00E578EC"/>
    <w:rsid w:val="00E60423"/>
    <w:rsid w:val="00E64613"/>
    <w:rsid w:val="00E649D7"/>
    <w:rsid w:val="00E65647"/>
    <w:rsid w:val="00E662CB"/>
    <w:rsid w:val="00E66366"/>
    <w:rsid w:val="00E70CE3"/>
    <w:rsid w:val="00E71686"/>
    <w:rsid w:val="00E73100"/>
    <w:rsid w:val="00E74DC7"/>
    <w:rsid w:val="00E769DC"/>
    <w:rsid w:val="00E76A27"/>
    <w:rsid w:val="00E8075A"/>
    <w:rsid w:val="00E8117E"/>
    <w:rsid w:val="00E818A6"/>
    <w:rsid w:val="00E8482A"/>
    <w:rsid w:val="00E85A91"/>
    <w:rsid w:val="00E87718"/>
    <w:rsid w:val="00E9389F"/>
    <w:rsid w:val="00E9419B"/>
    <w:rsid w:val="00E94D5E"/>
    <w:rsid w:val="00EA0BF6"/>
    <w:rsid w:val="00EA17A6"/>
    <w:rsid w:val="00EA2B5E"/>
    <w:rsid w:val="00EA3515"/>
    <w:rsid w:val="00EA67B5"/>
    <w:rsid w:val="00EA6D6F"/>
    <w:rsid w:val="00EA6D9E"/>
    <w:rsid w:val="00EA7100"/>
    <w:rsid w:val="00EA7F9F"/>
    <w:rsid w:val="00EB0E70"/>
    <w:rsid w:val="00EB1274"/>
    <w:rsid w:val="00EB6F39"/>
    <w:rsid w:val="00EC0BDC"/>
    <w:rsid w:val="00EC3644"/>
    <w:rsid w:val="00EC4757"/>
    <w:rsid w:val="00EC4DBB"/>
    <w:rsid w:val="00EC660C"/>
    <w:rsid w:val="00EC7EDB"/>
    <w:rsid w:val="00ED0D1E"/>
    <w:rsid w:val="00ED14FB"/>
    <w:rsid w:val="00ED2BB6"/>
    <w:rsid w:val="00ED34E1"/>
    <w:rsid w:val="00ED3B8D"/>
    <w:rsid w:val="00ED4DD9"/>
    <w:rsid w:val="00ED6477"/>
    <w:rsid w:val="00ED796D"/>
    <w:rsid w:val="00EE1DAF"/>
    <w:rsid w:val="00EE280E"/>
    <w:rsid w:val="00EF15D3"/>
    <w:rsid w:val="00EF2E3A"/>
    <w:rsid w:val="00EF5FFC"/>
    <w:rsid w:val="00EF63A9"/>
    <w:rsid w:val="00F00181"/>
    <w:rsid w:val="00F00B95"/>
    <w:rsid w:val="00F020AE"/>
    <w:rsid w:val="00F02541"/>
    <w:rsid w:val="00F02EF9"/>
    <w:rsid w:val="00F03BB5"/>
    <w:rsid w:val="00F047D8"/>
    <w:rsid w:val="00F072A7"/>
    <w:rsid w:val="00F078DC"/>
    <w:rsid w:val="00F14593"/>
    <w:rsid w:val="00F16AC4"/>
    <w:rsid w:val="00F171A1"/>
    <w:rsid w:val="00F215AF"/>
    <w:rsid w:val="00F2625D"/>
    <w:rsid w:val="00F31A51"/>
    <w:rsid w:val="00F32BA8"/>
    <w:rsid w:val="00F32C78"/>
    <w:rsid w:val="00F33008"/>
    <w:rsid w:val="00F349F1"/>
    <w:rsid w:val="00F361E1"/>
    <w:rsid w:val="00F4215A"/>
    <w:rsid w:val="00F4253D"/>
    <w:rsid w:val="00F42B89"/>
    <w:rsid w:val="00F4350D"/>
    <w:rsid w:val="00F47666"/>
    <w:rsid w:val="00F50532"/>
    <w:rsid w:val="00F52D1C"/>
    <w:rsid w:val="00F5335D"/>
    <w:rsid w:val="00F5382E"/>
    <w:rsid w:val="00F556DF"/>
    <w:rsid w:val="00F567F7"/>
    <w:rsid w:val="00F5722C"/>
    <w:rsid w:val="00F61282"/>
    <w:rsid w:val="00F61B09"/>
    <w:rsid w:val="00F62036"/>
    <w:rsid w:val="00F6223F"/>
    <w:rsid w:val="00F65B52"/>
    <w:rsid w:val="00F65D7D"/>
    <w:rsid w:val="00F67363"/>
    <w:rsid w:val="00F67BCA"/>
    <w:rsid w:val="00F73BD6"/>
    <w:rsid w:val="00F74E77"/>
    <w:rsid w:val="00F800C9"/>
    <w:rsid w:val="00F80DB8"/>
    <w:rsid w:val="00F83989"/>
    <w:rsid w:val="00F8493B"/>
    <w:rsid w:val="00F85099"/>
    <w:rsid w:val="00F85354"/>
    <w:rsid w:val="00F85B62"/>
    <w:rsid w:val="00F87A8E"/>
    <w:rsid w:val="00F91240"/>
    <w:rsid w:val="00F92778"/>
    <w:rsid w:val="00F9379C"/>
    <w:rsid w:val="00F9632C"/>
    <w:rsid w:val="00FA1E52"/>
    <w:rsid w:val="00FA31DE"/>
    <w:rsid w:val="00FA6332"/>
    <w:rsid w:val="00FA7CED"/>
    <w:rsid w:val="00FA7D17"/>
    <w:rsid w:val="00FB4901"/>
    <w:rsid w:val="00FC06A9"/>
    <w:rsid w:val="00FC0891"/>
    <w:rsid w:val="00FC1CB2"/>
    <w:rsid w:val="00FC3EB8"/>
    <w:rsid w:val="00FC48BB"/>
    <w:rsid w:val="00FC7D25"/>
    <w:rsid w:val="00FD13CC"/>
    <w:rsid w:val="00FD22F4"/>
    <w:rsid w:val="00FD73E3"/>
    <w:rsid w:val="00FE2FB8"/>
    <w:rsid w:val="00FE4688"/>
    <w:rsid w:val="00FE5082"/>
    <w:rsid w:val="00FE57CB"/>
    <w:rsid w:val="00FE72D6"/>
    <w:rsid w:val="00FE79D0"/>
    <w:rsid w:val="00FF13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B57F8"/>
  <w15:chartTrackingRefBased/>
  <w15:docId w15:val="{C5FB4F5D-B241-478E-84F0-B57E46B9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paragraph" w:styleId="NormalWeb">
    <w:name w:val="Normal (Web)"/>
    <w:basedOn w:val="Normal"/>
    <w:uiPriority w:val="99"/>
    <w:unhideWhenUsed/>
    <w:rsid w:val="00804C09"/>
    <w:pPr>
      <w:spacing w:before="100" w:beforeAutospacing="1" w:after="100" w:afterAutospacing="1" w:line="240" w:lineRule="auto"/>
    </w:pPr>
    <w:rPr>
      <w:rFonts w:eastAsia="Times New Roman"/>
      <w:sz w:val="24"/>
      <w:szCs w:val="24"/>
      <w:lang w:eastAsia="en-AU"/>
    </w:rPr>
  </w:style>
  <w:style w:type="paragraph" w:styleId="ListParagraph">
    <w:name w:val="List Paragraph"/>
    <w:basedOn w:val="Normal"/>
    <w:uiPriority w:val="34"/>
    <w:qFormat/>
    <w:rsid w:val="00C629A1"/>
    <w:pPr>
      <w:ind w:left="720"/>
      <w:contextualSpacing/>
    </w:pPr>
  </w:style>
  <w:style w:type="paragraph" w:customStyle="1" w:styleId="Subpara">
    <w:name w:val="Sub para"/>
    <w:basedOn w:val="BodyText"/>
    <w:rsid w:val="00123F3A"/>
    <w:pPr>
      <w:numPr>
        <w:numId w:val="3"/>
      </w:numPr>
      <w:tabs>
        <w:tab w:val="clear" w:pos="1440"/>
        <w:tab w:val="num" w:pos="540"/>
      </w:tabs>
      <w:spacing w:before="100" w:after="0"/>
      <w:ind w:hanging="1440"/>
      <w:textAlignment w:val="baseline"/>
    </w:pPr>
    <w:rPr>
      <w:color w:val="auto"/>
    </w:rPr>
  </w:style>
  <w:style w:type="paragraph" w:customStyle="1" w:styleId="Default">
    <w:name w:val="Default"/>
    <w:rsid w:val="0077208E"/>
    <w:pPr>
      <w:autoSpaceDE w:val="0"/>
      <w:autoSpaceDN w:val="0"/>
      <w:adjustRightInd w:val="0"/>
    </w:pPr>
    <w:rPr>
      <w:rFonts w:ascii="Arial" w:eastAsiaTheme="minorEastAsia" w:hAnsi="Arial" w:cs="Arial"/>
      <w:color w:val="000000"/>
      <w:sz w:val="24"/>
      <w:szCs w:val="24"/>
    </w:rPr>
  </w:style>
  <w:style w:type="paragraph" w:customStyle="1" w:styleId="ListPara1">
    <w:name w:val="List Para 1"/>
    <w:basedOn w:val="Normal"/>
    <w:link w:val="ListPara1Char"/>
    <w:uiPriority w:val="4"/>
    <w:qFormat/>
    <w:rsid w:val="00B068C5"/>
    <w:pPr>
      <w:spacing w:after="200" w:line="276" w:lineRule="auto"/>
      <w:ind w:left="680" w:hanging="340"/>
    </w:pPr>
    <w:rPr>
      <w:rFonts w:ascii="Century Gothic" w:eastAsia="Times New Roman" w:hAnsi="Century Gothic" w:cs="Arial"/>
      <w:szCs w:val="22"/>
      <w:lang w:val="en-US" w:eastAsia="en-AU"/>
    </w:rPr>
  </w:style>
  <w:style w:type="character" w:customStyle="1" w:styleId="ListPara1Char">
    <w:name w:val="List Para 1 Char"/>
    <w:basedOn w:val="DefaultParagraphFont"/>
    <w:link w:val="ListPara1"/>
    <w:uiPriority w:val="4"/>
    <w:rsid w:val="00B068C5"/>
    <w:rPr>
      <w:rFonts w:ascii="Century Gothic" w:eastAsia="Times New Roman" w:hAnsi="Century Gothic" w:cs="Arial"/>
      <w:sz w:val="22"/>
      <w:szCs w:val="22"/>
      <w:lang w:val="en-US"/>
    </w:rPr>
  </w:style>
  <w:style w:type="paragraph" w:customStyle="1" w:styleId="ListPara2">
    <w:name w:val="List Para 2"/>
    <w:basedOn w:val="Normal"/>
    <w:link w:val="ListPara2Char"/>
    <w:qFormat/>
    <w:rsid w:val="00B068C5"/>
    <w:pPr>
      <w:spacing w:after="160" w:line="259" w:lineRule="auto"/>
      <w:ind w:left="1134" w:hanging="454"/>
    </w:pPr>
    <w:rPr>
      <w:rFonts w:ascii="Century Gothic" w:eastAsiaTheme="minorHAnsi" w:hAnsi="Century Gothic" w:cstheme="minorBidi"/>
    </w:rPr>
  </w:style>
  <w:style w:type="paragraph" w:customStyle="1" w:styleId="li-bodytextparaa0">
    <w:name w:val="li-bodytextparaa"/>
    <w:basedOn w:val="Normal"/>
    <w:rsid w:val="00E43795"/>
    <w:pPr>
      <w:spacing w:before="100" w:beforeAutospacing="1" w:after="100" w:afterAutospacing="1" w:line="240" w:lineRule="auto"/>
    </w:pPr>
    <w:rPr>
      <w:rFonts w:eastAsia="Times New Roman"/>
      <w:sz w:val="24"/>
      <w:szCs w:val="24"/>
      <w:lang w:eastAsia="en-AU"/>
    </w:rPr>
  </w:style>
  <w:style w:type="character" w:customStyle="1" w:styleId="ListPara2Char">
    <w:name w:val="List Para 2 Char"/>
    <w:basedOn w:val="DefaultParagraphFont"/>
    <w:link w:val="ListPara2"/>
    <w:rsid w:val="007675D0"/>
    <w:rPr>
      <w:rFonts w:ascii="Century Gothic" w:eastAsiaTheme="minorHAnsi" w:hAnsi="Century Gothic" w:cstheme="minorBidi"/>
      <w:sz w:val="22"/>
      <w:lang w:eastAsia="en-US"/>
    </w:rPr>
  </w:style>
  <w:style w:type="character" w:styleId="FollowedHyperlink">
    <w:name w:val="FollowedHyperlink"/>
    <w:basedOn w:val="DefaultParagraphFont"/>
    <w:uiPriority w:val="99"/>
    <w:semiHidden/>
    <w:unhideWhenUsed/>
    <w:rsid w:val="000B11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554321057">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819345256">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ECM SP13 Document" ma:contentTypeID="0x010100B5F685A1365F544391EF8C813B164F3A006A0666AD55E74A4AA7B2AAEA6C351A60002E556DCEF44A30408AA3302597477F7F" ma:contentTypeVersion="7" ma:contentTypeDescription="Create a new document." ma:contentTypeScope="" ma:versionID="33fb965eedea7865f31b3c645fe09e09">
  <xsd:schema xmlns:xsd="http://www.w3.org/2001/XMLSchema" xmlns:xs="http://www.w3.org/2001/XMLSchema" xmlns:p="http://schemas.microsoft.com/office/2006/metadata/properties" xmlns:ns2="db2b92ca-6ed0-4085-802d-4c686a2e8c3f" xmlns:ns3="eb44715b-cd74-4c79-92c4-f0e9f1a86440" xmlns:ns4="09d710eb-f8e3-4ed4-a11c-192048c070d9" targetNamespace="http://schemas.microsoft.com/office/2006/metadata/properties" ma:root="true" ma:fieldsID="c0aee2dfb257d62646a1752bd70630e2" ns2:_="" ns3:_="" ns4:_="">
    <xsd:import namespace="db2b92ca-6ed0-4085-802d-4c686a2e8c3f"/>
    <xsd:import namespace="eb44715b-cd74-4c79-92c4-f0e9f1a86440"/>
    <xsd:import namespace="09d710eb-f8e3-4ed4-a11c-192048c070d9"/>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ECMSP13DocumentID" minOccurs="0"/>
                <xsd:element ref="ns3:ECMSP13SecurityClassification" minOccurs="0"/>
                <xsd:element ref="ns4:lcf76f155ced4ddcb4097134ff3c332f" minOccurs="0"/>
                <xsd:element ref="ns3:ECMSP13ModifiedBy" minOccurs="0"/>
                <xsd:element ref="ns3:ECMSP13CreatedB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0d5d360-1f0e-4521-b5a9-4d88c3119090}" ma:internalName="TaxCatchAll" ma:showField="CatchAllData"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90d5d360-1f0e-4521-b5a9-4d88c3119090}" ma:internalName="TaxCatchAllLabel" ma:readOnly="true" ma:showField="CatchAllDataLabel" ma:web="eb44715b-cd74-4c79-92c4-f0e9f1a86440">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4715b-cd74-4c79-92c4-f0e9f1a86440" elementFormDefault="qualified">
    <xsd:import namespace="http://schemas.microsoft.com/office/2006/documentManagement/types"/>
    <xsd:import namespace="http://schemas.microsoft.com/office/infopath/2007/PartnerControls"/>
    <xsd:element name="ECMSP13DocumentID" ma:index="14" nillable="true" ma:displayName="ECM SP13 Document ID" ma:internalName="ECMSP13DocumentID">
      <xsd:simpleType>
        <xsd:restriction base="dms:Text"/>
      </xsd:simpleType>
    </xsd:element>
    <xsd:element name="ECMSP13SecurityClassification" ma:index="15" nillable="true" ma:displayName="ECM SP13 Security Classification" ma:internalName="ECMSP13SecurityClassification">
      <xsd:simpleType>
        <xsd:restriction base="dms:Text"/>
      </xsd:simpleType>
    </xsd:element>
    <xsd:element name="ECMSP13ModifiedBy" ma:index="17" nillable="true" ma:displayName="ECM SP13 Modified By" ma:internalName="ECMSP13ModifiedBy">
      <xsd:simpleType>
        <xsd:restriction base="dms:Text"/>
      </xsd:simpleType>
    </xsd:element>
    <xsd:element name="ECMSP13CreatedBy" ma:index="18" nillable="true" ma:displayName="ECM SP13 Created By" ma:internalName="ECMSP13CreatedBy">
      <xsd:simpleType>
        <xsd:restriction base="dms:Text"/>
      </xsd:simple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d710eb-f8e3-4ed4-a11c-192048c070d9" elementFormDefault="qualified">
    <xsd:import namespace="http://schemas.microsoft.com/office/2006/documentManagement/types"/>
    <xsd:import namespace="http://schemas.microsoft.com/office/infopath/2007/PartnerControls"/>
    <xsd:element name="lcf76f155ced4ddcb4097134ff3c332f" ma:index="16"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af302855-5de3-48f9-83c2-fc1acc0f760b" ContentTypeId="0x010100B5F685A1365F544391EF8C813B164F3A"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b2b92ca-6ed0-4085-802d-4c686a2e8c3f">
      <Value>1</Value>
    </TaxCatchAll>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OFFICIAL - Sensitive</TermName>
          <TermId xmlns="http://schemas.microsoft.com/office/infopath/2007/PartnerControls">6eccc17f-024b-41b0-b6b1-faf98d2aff85</TermId>
        </TermInfo>
      </Terms>
    </p1abb5e704a84578aa4b8ef0390c3b25>
    <lcf76f155ced4ddcb4097134ff3c332f xmlns="09d710eb-f8e3-4ed4-a11c-192048c070d9" xsi:nil="true"/>
    <DocumentNotes xmlns="db2b92ca-6ed0-4085-802d-4c686a2e8c3f" xsi:nil="true"/>
    <NAPReason xmlns="db2b92ca-6ed0-4085-802d-4c686a2e8c3f" xsi:nil="true"/>
    <ECMSP13DocumentID xmlns="eb44715b-cd74-4c79-92c4-f0e9f1a86440">R20220001084004</ECMSP13DocumentID>
    <ECMSP13CreatedBy xmlns="eb44715b-cd74-4c79-92c4-f0e9f1a86440">Ananda Stoevelaar</ECMSP13CreatedBy>
    <ECMSP13ModifiedBy xmlns="eb44715b-cd74-4c79-92c4-f0e9f1a86440">Ananda Stoevelaar</ECMSP13ModifiedBy>
    <ECMSP13SecurityClassification xmlns="eb44715b-cd74-4c79-92c4-f0e9f1a86440">OFFICIAL - Sensitive</ECMSP13SecurityClassification>
    <_dlc_DocId xmlns="eb44715b-cd74-4c79-92c4-f0e9f1a86440">001086-1713262589-1210</_dlc_DocId>
    <_dlc_DocIdUrl xmlns="eb44715b-cd74-4c79-92c4-f0e9f1a86440">
      <Url>https://asiclink.sharepoint.com/teams/001086/_layouts/15/DocIdRedir.aspx?ID=001086-1713262589-1210</Url>
      <Description>001086-1713262589-1210</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BD7949-0513-414B-AF12-D9029B498C84}">
  <ds:schemaRefs>
    <ds:schemaRef ds:uri="http://schemas.microsoft.com/office/2006/metadata/longProperties"/>
  </ds:schemaRefs>
</ds:datastoreItem>
</file>

<file path=customXml/itemProps2.xml><?xml version="1.0" encoding="utf-8"?>
<ds:datastoreItem xmlns:ds="http://schemas.openxmlformats.org/officeDocument/2006/customXml" ds:itemID="{372E47A4-E13A-4416-8772-41B5D5818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eb44715b-cd74-4c79-92c4-f0e9f1a86440"/>
    <ds:schemaRef ds:uri="09d710eb-f8e3-4ed4-a11c-192048c07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16CEC6-D2EC-4835-A52A-C1F61726F6A7}">
  <ds:schemaRefs>
    <ds:schemaRef ds:uri="http://schemas.microsoft.com/sharepoint/v3/contenttype/forms"/>
  </ds:schemaRefs>
</ds:datastoreItem>
</file>

<file path=customXml/itemProps4.xml><?xml version="1.0" encoding="utf-8"?>
<ds:datastoreItem xmlns:ds="http://schemas.openxmlformats.org/officeDocument/2006/customXml" ds:itemID="{61B67F70-DEDE-4A1F-86E5-887D63D5583A}">
  <ds:schemaRefs>
    <ds:schemaRef ds:uri="Microsoft.SharePoint.Taxonomy.ContentTypeSync"/>
  </ds:schemaRefs>
</ds:datastoreItem>
</file>

<file path=customXml/itemProps5.xml><?xml version="1.0" encoding="utf-8"?>
<ds:datastoreItem xmlns:ds="http://schemas.openxmlformats.org/officeDocument/2006/customXml" ds:itemID="{A018FB49-FDFC-4CDE-B732-163B6D6C7560}">
  <ds:schemaRefs>
    <ds:schemaRef ds:uri="http://schemas.microsoft.com/office/2006/metadata/properties"/>
    <ds:schemaRef ds:uri="http://schemas.microsoft.com/office/infopath/2007/PartnerControls"/>
    <ds:schemaRef ds:uri="db2b92ca-6ed0-4085-802d-4c686a2e8c3f"/>
    <ds:schemaRef ds:uri="09d710eb-f8e3-4ed4-a11c-192048c070d9"/>
    <ds:schemaRef ds:uri="eb44715b-cd74-4c79-92c4-f0e9f1a86440"/>
  </ds:schemaRefs>
</ds:datastoreItem>
</file>

<file path=customXml/itemProps6.xml><?xml version="1.0" encoding="utf-8"?>
<ds:datastoreItem xmlns:ds="http://schemas.openxmlformats.org/officeDocument/2006/customXml" ds:itemID="{5D741AF1-728C-42E6-84EC-B6957A165B73}">
  <ds:schemaRefs>
    <ds:schemaRef ds:uri="http://schemas.microsoft.com/sharepoint/events"/>
  </ds:schemaRefs>
</ds:datastoreItem>
</file>

<file path=customXml/itemProps7.xml><?xml version="1.0" encoding="utf-8"?>
<ds:datastoreItem xmlns:ds="http://schemas.openxmlformats.org/officeDocument/2006/customXml" ds:itemID="{3219F231-323B-41A2-AEB6-4CD2F1397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INST_NEW.DOTX</Template>
  <TotalTime>1</TotalTime>
  <Pages>12</Pages>
  <Words>3655</Words>
  <Characters>20837</Characters>
  <Application>Microsoft Office Word</Application>
  <DocSecurity>0</DocSecurity>
  <PresentationFormat/>
  <Lines>173</Lines>
  <Paragraphs>48</Paragraphs>
  <ScaleCrop>false</ScaleCrop>
  <HeadingPairs>
    <vt:vector size="2" baseType="variant">
      <vt:variant>
        <vt:lpstr>Title</vt:lpstr>
      </vt:variant>
      <vt:variant>
        <vt:i4>1</vt:i4>
      </vt:variant>
    </vt:vector>
  </HeadingPairs>
  <TitlesOfParts>
    <vt:vector size="1" baseType="lpstr">
      <vt:lpstr>ASIC Template (Explanatory Statement - Jan 2019).docx</vt:lpstr>
    </vt:vector>
  </TitlesOfParts>
  <Company>ASIC</Company>
  <LinksUpToDate>false</LinksUpToDate>
  <CharactersWithSpaces>24444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merrick.fox</dc:creator>
  <cp:keywords/>
  <cp:lastModifiedBy>Narelle Kane</cp:lastModifiedBy>
  <cp:revision>3</cp:revision>
  <cp:lastPrinted>2019-01-02T07:56:00Z</cp:lastPrinted>
  <dcterms:created xsi:type="dcterms:W3CDTF">2022-09-06T03:52:00Z</dcterms:created>
  <dcterms:modified xsi:type="dcterms:W3CDTF">2022-09-06T03:52:00Z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RecordPoint_WorkflowType">
    <vt:lpwstr>ActiveSubmitStub</vt:lpwstr>
  </property>
  <property fmtid="{D5CDD505-2E9C-101B-9397-08002B2CF9AE}" pid="39" name="RecordPoint_ActiveItemSiteId">
    <vt:lpwstr>{0b958f2c-90d4-403d-8438-83e392e48011}</vt:lpwstr>
  </property>
  <property fmtid="{D5CDD505-2E9C-101B-9397-08002B2CF9AE}" pid="40" name="RecordPoint_ActiveItemListId">
    <vt:lpwstr>{5679b934-7e1d-4cfe-9208-49739bf7668a}</vt:lpwstr>
  </property>
  <property fmtid="{D5CDD505-2E9C-101B-9397-08002B2CF9AE}" pid="41" name="RecordPoint_ActiveItemUniqueId">
    <vt:lpwstr>{e86600c1-37c8-4fcf-aed7-8f53150a8f2e}</vt:lpwstr>
  </property>
  <property fmtid="{D5CDD505-2E9C-101B-9397-08002B2CF9AE}" pid="42" name="RecordPoint_ActiveItemWebId">
    <vt:lpwstr>{e3c121ce-93ad-4322-8dbe-6959e0a586ce}</vt:lpwstr>
  </property>
  <property fmtid="{D5CDD505-2E9C-101B-9397-08002B2CF9AE}" pid="43" name="RecordPoint_RecordNumberSubmitted">
    <vt:lpwstr>R20220001084004</vt:lpwstr>
  </property>
  <property fmtid="{D5CDD505-2E9C-101B-9397-08002B2CF9AE}" pid="44" name="SecurityClassification">
    <vt:lpwstr>1;#OFFICIAL - Sensitive|6eccc17f-024b-41b0-b6b1-faf98d2aff85</vt:lpwstr>
  </property>
  <property fmtid="{D5CDD505-2E9C-101B-9397-08002B2CF9AE}" pid="45" name="Order">
    <vt:r8>71900</vt:r8>
  </property>
  <property fmtid="{D5CDD505-2E9C-101B-9397-08002B2CF9AE}" pid="46" name="RecordPoint_SubmissionDate">
    <vt:lpwstr/>
  </property>
  <property fmtid="{D5CDD505-2E9C-101B-9397-08002B2CF9AE}" pid="47" name="RecordPoint_RecordFormat">
    <vt:lpwstr/>
  </property>
  <property fmtid="{D5CDD505-2E9C-101B-9397-08002B2CF9AE}" pid="48" name="ContentTypeId">
    <vt:lpwstr>0x010100B5F685A1365F544391EF8C813B164F3A006A0666AD55E74A4AA7B2AAEA6C351A60002E556DCEF44A30408AA3302597477F7F</vt:lpwstr>
  </property>
  <property fmtid="{D5CDD505-2E9C-101B-9397-08002B2CF9AE}" pid="49" name="RecordPoint_SubmissionCompleted">
    <vt:lpwstr>2022-05-31T14:01:15.0529411+10:00</vt:lpwstr>
  </property>
  <property fmtid="{D5CDD505-2E9C-101B-9397-08002B2CF9AE}" pid="50" name="_dlc_DocIdItemGuid">
    <vt:lpwstr>883f1863-2a8c-41e9-945b-8b1a404503e5</vt:lpwstr>
  </property>
  <property fmtid="{D5CDD505-2E9C-101B-9397-08002B2CF9AE}" pid="51" name="TSYRecordClass">
    <vt:lpwstr>1;#AE-20260-Destroy 7 years after action completed|623f5ec9-ec5d-4824-8e13-9c9bfc51fe7e</vt:lpwstr>
  </property>
  <property fmtid="{D5CDD505-2E9C-101B-9397-08002B2CF9AE}" pid="52" name="TSYTopic">
    <vt:lpwstr/>
  </property>
  <property fmtid="{D5CDD505-2E9C-101B-9397-08002B2CF9AE}" pid="53" name="MailSubject">
    <vt:lpwstr/>
  </property>
  <property fmtid="{D5CDD505-2E9C-101B-9397-08002B2CF9AE}" pid="54" name="MailIn-Reply-To0">
    <vt:lpwstr/>
  </property>
  <property fmtid="{D5CDD505-2E9C-101B-9397-08002B2CF9AE}" pid="55" name="MailAttachments">
    <vt:bool>false</vt:bool>
  </property>
  <property fmtid="{D5CDD505-2E9C-101B-9397-08002B2CF9AE}" pid="56" name="DocumentSetDescription">
    <vt:lpwstr/>
  </property>
  <property fmtid="{D5CDD505-2E9C-101B-9397-08002B2CF9AE}" pid="57" name="MailReferences">
    <vt:lpwstr/>
  </property>
  <property fmtid="{D5CDD505-2E9C-101B-9397-08002B2CF9AE}" pid="58" name="MailReply-To0">
    <vt:lpwstr/>
  </property>
  <property fmtid="{D5CDD505-2E9C-101B-9397-08002B2CF9AE}" pid="59" name="MailTo">
    <vt:lpwstr/>
  </property>
  <property fmtid="{D5CDD505-2E9C-101B-9397-08002B2CF9AE}" pid="60" name="MailOriginalSubject">
    <vt:lpwstr/>
  </property>
  <property fmtid="{D5CDD505-2E9C-101B-9397-08002B2CF9AE}" pid="61" name="MailFrom">
    <vt:lpwstr/>
  </property>
  <property fmtid="{D5CDD505-2E9C-101B-9397-08002B2CF9AE}" pid="62" name="MailCc">
    <vt:lpwstr/>
  </property>
  <property fmtid="{D5CDD505-2E9C-101B-9397-08002B2CF9AE}" pid="63" name="URL">
    <vt:lpwstr/>
  </property>
  <property fmtid="{D5CDD505-2E9C-101B-9397-08002B2CF9AE}" pid="64" name="MediaServiceImageTags">
    <vt:lpwstr/>
  </property>
</Properties>
</file>