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03A9" w14:textId="3B7A738B" w:rsidR="00715914" w:rsidRPr="00582126" w:rsidRDefault="00F232B1" w:rsidP="009460DC">
      <w:pPr>
        <w:spacing w:after="600"/>
        <w:rPr>
          <w:sz w:val="28"/>
        </w:rPr>
      </w:pPr>
      <w:r w:rsidRPr="00582126">
        <w:rPr>
          <w:noProof/>
        </w:rPr>
        <w:drawing>
          <wp:inline distT="0" distB="0" distL="0" distR="0" wp14:anchorId="2BED2FC4" wp14:editId="5A9905A5">
            <wp:extent cx="3542030" cy="756285"/>
            <wp:effectExtent l="0" t="0" r="0" b="0"/>
            <wp:docPr id="2" name="Picture 2"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56285"/>
                    </a:xfrm>
                    <a:prstGeom prst="rect">
                      <a:avLst/>
                    </a:prstGeom>
                    <a:noFill/>
                  </pic:spPr>
                </pic:pic>
              </a:graphicData>
            </a:graphic>
          </wp:inline>
        </w:drawing>
      </w:r>
    </w:p>
    <w:p w14:paraId="2902771D" w14:textId="0D17A8FC" w:rsidR="00243EC0" w:rsidRPr="00582126" w:rsidRDefault="00447DB4" w:rsidP="003B28C3">
      <w:pPr>
        <w:pStyle w:val="LI-Title"/>
        <w:pBdr>
          <w:bottom w:val="single" w:sz="4" w:space="1" w:color="auto"/>
        </w:pBdr>
      </w:pPr>
      <w:r w:rsidRPr="00582126">
        <w:t>A</w:t>
      </w:r>
      <w:r w:rsidR="00327DDF" w:rsidRPr="00582126">
        <w:t xml:space="preserve">SIC Corporations </w:t>
      </w:r>
      <w:r w:rsidR="00C11452" w:rsidRPr="00582126">
        <w:t>(</w:t>
      </w:r>
      <w:bookmarkStart w:id="0" w:name="_Hlk104896587"/>
      <w:r w:rsidR="00297A01" w:rsidRPr="00582126">
        <w:t xml:space="preserve">Financial Requirements </w:t>
      </w:r>
      <w:r w:rsidR="00582E89" w:rsidRPr="00582126">
        <w:t>f</w:t>
      </w:r>
      <w:r w:rsidR="00297A01" w:rsidRPr="00582126">
        <w:t>or Issuers of Retail OTC Derivatives</w:t>
      </w:r>
      <w:bookmarkEnd w:id="0"/>
      <w:r w:rsidR="00297A01" w:rsidRPr="00582126">
        <w:t xml:space="preserve">) </w:t>
      </w:r>
      <w:r w:rsidR="00C11452" w:rsidRPr="00582126">
        <w:t xml:space="preserve">Instrument </w:t>
      </w:r>
      <w:r w:rsidR="00A03943" w:rsidRPr="00582126">
        <w:t>202</w:t>
      </w:r>
      <w:r w:rsidR="00297A01" w:rsidRPr="00582126">
        <w:t>2</w:t>
      </w:r>
      <w:r w:rsidR="00B33A6F" w:rsidRPr="00582126">
        <w:t>/</w:t>
      </w:r>
      <w:r w:rsidR="002662B6" w:rsidRPr="00582126">
        <w:t>705</w:t>
      </w:r>
    </w:p>
    <w:p w14:paraId="5EA04BCE" w14:textId="57D88DA6" w:rsidR="00F171A1" w:rsidRPr="00582126" w:rsidRDefault="00F171A1" w:rsidP="00005446">
      <w:pPr>
        <w:pStyle w:val="LI-Fronttext"/>
        <w:rPr>
          <w:sz w:val="24"/>
          <w:szCs w:val="24"/>
        </w:rPr>
      </w:pPr>
      <w:r w:rsidRPr="00582126">
        <w:rPr>
          <w:sz w:val="24"/>
          <w:szCs w:val="24"/>
        </w:rPr>
        <w:t xml:space="preserve">I, </w:t>
      </w:r>
      <w:r w:rsidR="00AD7A49" w:rsidRPr="00582126">
        <w:rPr>
          <w:sz w:val="24"/>
          <w:szCs w:val="24"/>
        </w:rPr>
        <w:t>Calissa Aldridge</w:t>
      </w:r>
      <w:r w:rsidR="00E961B2" w:rsidRPr="00582126">
        <w:rPr>
          <w:sz w:val="24"/>
          <w:szCs w:val="24"/>
        </w:rPr>
        <w:t>,</w:t>
      </w:r>
      <w:r w:rsidR="00C0544A" w:rsidRPr="00582126">
        <w:rPr>
          <w:sz w:val="24"/>
          <w:szCs w:val="24"/>
        </w:rPr>
        <w:t xml:space="preserve"> delegate of the Australian Securities and Investments Commission</w:t>
      </w:r>
      <w:r w:rsidRPr="00582126">
        <w:rPr>
          <w:sz w:val="24"/>
          <w:szCs w:val="24"/>
        </w:rPr>
        <w:t xml:space="preserve">, make the following </w:t>
      </w:r>
      <w:r w:rsidR="008C0F29" w:rsidRPr="00582126">
        <w:rPr>
          <w:sz w:val="24"/>
          <w:szCs w:val="24"/>
        </w:rPr>
        <w:t>legislative instrument</w:t>
      </w:r>
      <w:r w:rsidRPr="00582126">
        <w:rPr>
          <w:sz w:val="24"/>
          <w:szCs w:val="24"/>
        </w:rPr>
        <w:t>.</w:t>
      </w:r>
    </w:p>
    <w:p w14:paraId="4689077C" w14:textId="77777777" w:rsidR="003A2A48" w:rsidRPr="00582126" w:rsidRDefault="003A2A48" w:rsidP="00005446">
      <w:pPr>
        <w:pStyle w:val="LI-Fronttext"/>
      </w:pPr>
    </w:p>
    <w:p w14:paraId="77357BED" w14:textId="28FB8F0A" w:rsidR="00AF1B98" w:rsidRPr="00582126" w:rsidRDefault="00F171A1" w:rsidP="003F172D">
      <w:pPr>
        <w:pStyle w:val="LI-Fronttext"/>
        <w:tabs>
          <w:tab w:val="left" w:pos="2552"/>
        </w:tabs>
        <w:rPr>
          <w:sz w:val="24"/>
          <w:szCs w:val="24"/>
        </w:rPr>
      </w:pPr>
      <w:r w:rsidRPr="00582126">
        <w:rPr>
          <w:sz w:val="24"/>
          <w:szCs w:val="24"/>
        </w:rPr>
        <w:t>Date</w:t>
      </w:r>
      <w:bookmarkStart w:id="1" w:name="BKCheck15B_1"/>
      <w:bookmarkEnd w:id="1"/>
      <w:r w:rsidR="00E961B2" w:rsidRPr="00582126">
        <w:rPr>
          <w:sz w:val="24"/>
          <w:szCs w:val="24"/>
        </w:rPr>
        <w:t xml:space="preserve">  </w:t>
      </w:r>
      <w:r w:rsidR="000F3E07" w:rsidRPr="00582126">
        <w:rPr>
          <w:sz w:val="24"/>
          <w:szCs w:val="24"/>
        </w:rPr>
        <w:t>6 September</w:t>
      </w:r>
      <w:r w:rsidR="00E961B2" w:rsidRPr="00582126">
        <w:rPr>
          <w:sz w:val="24"/>
          <w:szCs w:val="24"/>
        </w:rPr>
        <w:t xml:space="preserve"> </w:t>
      </w:r>
      <w:r w:rsidR="00B00C85" w:rsidRPr="00582126">
        <w:rPr>
          <w:sz w:val="24"/>
          <w:szCs w:val="24"/>
        </w:rPr>
        <w:t>2</w:t>
      </w:r>
      <w:r w:rsidR="00D50AC8" w:rsidRPr="00582126">
        <w:rPr>
          <w:sz w:val="24"/>
          <w:szCs w:val="24"/>
        </w:rPr>
        <w:t>02</w:t>
      </w:r>
      <w:r w:rsidR="00297A01" w:rsidRPr="00582126">
        <w:rPr>
          <w:sz w:val="24"/>
          <w:szCs w:val="24"/>
        </w:rPr>
        <w:t>2</w:t>
      </w:r>
    </w:p>
    <w:p w14:paraId="30EB716D" w14:textId="1DFA9FB2" w:rsidR="00297A01" w:rsidRPr="00582126" w:rsidRDefault="00297A01" w:rsidP="00297A01">
      <w:pPr>
        <w:pStyle w:val="LI-Fronttext"/>
        <w:pBdr>
          <w:bottom w:val="single" w:sz="4" w:space="1" w:color="auto"/>
        </w:pBdr>
        <w:rPr>
          <w:sz w:val="24"/>
          <w:szCs w:val="24"/>
        </w:rPr>
      </w:pPr>
    </w:p>
    <w:p w14:paraId="536B28BB" w14:textId="29BEF372" w:rsidR="00F171A1" w:rsidRPr="005F6ED1" w:rsidRDefault="00955537" w:rsidP="00297A01">
      <w:pPr>
        <w:pStyle w:val="LI-Fronttext"/>
        <w:pBdr>
          <w:bottom w:val="single" w:sz="4" w:space="1" w:color="auto"/>
        </w:pBdr>
        <w:rPr>
          <w:sz w:val="24"/>
          <w:szCs w:val="24"/>
        </w:rPr>
      </w:pPr>
      <w:r w:rsidRPr="00582126">
        <w:rPr>
          <w:sz w:val="24"/>
          <w:szCs w:val="24"/>
        </w:rPr>
        <w:t>Calissa Aldridge</w:t>
      </w:r>
    </w:p>
    <w:p w14:paraId="5106685F" w14:textId="77777777" w:rsidR="00715914" w:rsidRPr="005F6ED1" w:rsidRDefault="00715914" w:rsidP="00715914">
      <w:pPr>
        <w:pStyle w:val="Header"/>
        <w:tabs>
          <w:tab w:val="clear" w:pos="4150"/>
          <w:tab w:val="clear" w:pos="8307"/>
        </w:tabs>
      </w:pPr>
    </w:p>
    <w:p w14:paraId="7DDEE790" w14:textId="77777777" w:rsidR="00715914" w:rsidRPr="005F6ED1" w:rsidRDefault="00715914" w:rsidP="00715914">
      <w:pPr>
        <w:sectPr w:rsidR="00715914" w:rsidRPr="005F6ED1" w:rsidSect="008945E0">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titlePg/>
          <w:docGrid w:linePitch="360"/>
        </w:sectPr>
      </w:pPr>
    </w:p>
    <w:p w14:paraId="6B668475" w14:textId="77777777" w:rsidR="00F67BCA" w:rsidRPr="005F6ED1" w:rsidRDefault="00715914" w:rsidP="00E2168B">
      <w:pPr>
        <w:spacing w:before="280" w:after="240"/>
        <w:rPr>
          <w:sz w:val="36"/>
        </w:rPr>
      </w:pPr>
      <w:r w:rsidRPr="005F6ED1">
        <w:rPr>
          <w:b/>
          <w:sz w:val="32"/>
          <w:szCs w:val="32"/>
        </w:rPr>
        <w:lastRenderedPageBreak/>
        <w:t>Contents</w:t>
      </w:r>
    </w:p>
    <w:bookmarkStart w:id="2" w:name="BKCheck15B_2"/>
    <w:bookmarkEnd w:id="2"/>
    <w:p w14:paraId="5D71941D" w14:textId="75AA1865" w:rsidR="000F3E07" w:rsidRDefault="00015719">
      <w:pPr>
        <w:pStyle w:val="TOC1"/>
        <w:rPr>
          <w:rFonts w:asciiTheme="minorHAnsi" w:eastAsiaTheme="minorEastAsia" w:hAnsiTheme="minorHAnsi" w:cstheme="minorBidi"/>
          <w:b w:val="0"/>
          <w:noProof/>
          <w:kern w:val="0"/>
          <w:sz w:val="22"/>
          <w:szCs w:val="22"/>
        </w:rPr>
      </w:pPr>
      <w:r w:rsidRPr="005F6ED1">
        <w:rPr>
          <w:sz w:val="28"/>
        </w:rPr>
        <w:fldChar w:fldCharType="begin"/>
      </w:r>
      <w:r w:rsidRPr="005F6ED1">
        <w:rPr>
          <w:sz w:val="28"/>
        </w:rPr>
        <w:instrText xml:space="preserve"> TOC \h \z \t "LI - Heading 1,1,LI - Heading 2,2" </w:instrText>
      </w:r>
      <w:r w:rsidRPr="005F6ED1">
        <w:rPr>
          <w:sz w:val="28"/>
        </w:rPr>
        <w:fldChar w:fldCharType="separate"/>
      </w:r>
      <w:hyperlink w:anchor="_Toc113281985" w:history="1">
        <w:r w:rsidR="000F3E07" w:rsidRPr="00B302CB">
          <w:rPr>
            <w:rStyle w:val="Hyperlink"/>
            <w:noProof/>
          </w:rPr>
          <w:t>Part 1—Preliminary</w:t>
        </w:r>
        <w:r w:rsidR="000F3E07">
          <w:rPr>
            <w:noProof/>
            <w:webHidden/>
          </w:rPr>
          <w:tab/>
        </w:r>
        <w:r w:rsidR="000F3E07">
          <w:rPr>
            <w:noProof/>
            <w:webHidden/>
          </w:rPr>
          <w:fldChar w:fldCharType="begin"/>
        </w:r>
        <w:r w:rsidR="000F3E07">
          <w:rPr>
            <w:noProof/>
            <w:webHidden/>
          </w:rPr>
          <w:instrText xml:space="preserve"> PAGEREF _Toc113281985 \h </w:instrText>
        </w:r>
        <w:r w:rsidR="000F3E07">
          <w:rPr>
            <w:noProof/>
            <w:webHidden/>
          </w:rPr>
        </w:r>
        <w:r w:rsidR="000F3E07">
          <w:rPr>
            <w:noProof/>
            <w:webHidden/>
          </w:rPr>
          <w:fldChar w:fldCharType="separate"/>
        </w:r>
        <w:r w:rsidR="000F3E07">
          <w:rPr>
            <w:noProof/>
            <w:webHidden/>
          </w:rPr>
          <w:t>3</w:t>
        </w:r>
        <w:r w:rsidR="000F3E07">
          <w:rPr>
            <w:noProof/>
            <w:webHidden/>
          </w:rPr>
          <w:fldChar w:fldCharType="end"/>
        </w:r>
      </w:hyperlink>
    </w:p>
    <w:p w14:paraId="694BF446" w14:textId="0F21468F" w:rsidR="000F3E07" w:rsidRDefault="00582126">
      <w:pPr>
        <w:pStyle w:val="TOC2"/>
        <w:tabs>
          <w:tab w:val="left" w:pos="1474"/>
        </w:tabs>
        <w:rPr>
          <w:rFonts w:asciiTheme="minorHAnsi" w:eastAsiaTheme="minorEastAsia" w:hAnsiTheme="minorHAnsi" w:cstheme="minorBidi"/>
          <w:noProof/>
          <w:kern w:val="0"/>
          <w:sz w:val="22"/>
          <w:szCs w:val="22"/>
        </w:rPr>
      </w:pPr>
      <w:hyperlink w:anchor="_Toc113281986" w:history="1">
        <w:r w:rsidR="000F3E07" w:rsidRPr="00B302CB">
          <w:rPr>
            <w:rStyle w:val="Hyperlink"/>
            <w:noProof/>
          </w:rPr>
          <w:t>1</w:t>
        </w:r>
        <w:r w:rsidR="000F3E07">
          <w:rPr>
            <w:rFonts w:asciiTheme="minorHAnsi" w:eastAsiaTheme="minorEastAsia" w:hAnsiTheme="minorHAnsi" w:cstheme="minorBidi"/>
            <w:noProof/>
            <w:kern w:val="0"/>
            <w:sz w:val="22"/>
            <w:szCs w:val="22"/>
          </w:rPr>
          <w:tab/>
        </w:r>
        <w:r w:rsidR="000F3E07" w:rsidRPr="00B302CB">
          <w:rPr>
            <w:rStyle w:val="Hyperlink"/>
            <w:noProof/>
          </w:rPr>
          <w:t>Name of legislative instrument</w:t>
        </w:r>
        <w:r w:rsidR="000F3E07">
          <w:rPr>
            <w:noProof/>
            <w:webHidden/>
          </w:rPr>
          <w:tab/>
        </w:r>
        <w:r w:rsidR="000F3E07">
          <w:rPr>
            <w:noProof/>
            <w:webHidden/>
          </w:rPr>
          <w:fldChar w:fldCharType="begin"/>
        </w:r>
        <w:r w:rsidR="000F3E07">
          <w:rPr>
            <w:noProof/>
            <w:webHidden/>
          </w:rPr>
          <w:instrText xml:space="preserve"> PAGEREF _Toc113281986 \h </w:instrText>
        </w:r>
        <w:r w:rsidR="000F3E07">
          <w:rPr>
            <w:noProof/>
            <w:webHidden/>
          </w:rPr>
        </w:r>
        <w:r w:rsidR="000F3E07">
          <w:rPr>
            <w:noProof/>
            <w:webHidden/>
          </w:rPr>
          <w:fldChar w:fldCharType="separate"/>
        </w:r>
        <w:r w:rsidR="000F3E07">
          <w:rPr>
            <w:noProof/>
            <w:webHidden/>
          </w:rPr>
          <w:t>3</w:t>
        </w:r>
        <w:r w:rsidR="000F3E07">
          <w:rPr>
            <w:noProof/>
            <w:webHidden/>
          </w:rPr>
          <w:fldChar w:fldCharType="end"/>
        </w:r>
      </w:hyperlink>
    </w:p>
    <w:p w14:paraId="21E7162C" w14:textId="28FBE09F" w:rsidR="000F3E07" w:rsidRDefault="00582126">
      <w:pPr>
        <w:pStyle w:val="TOC2"/>
        <w:tabs>
          <w:tab w:val="left" w:pos="1474"/>
        </w:tabs>
        <w:rPr>
          <w:rFonts w:asciiTheme="minorHAnsi" w:eastAsiaTheme="minorEastAsia" w:hAnsiTheme="minorHAnsi" w:cstheme="minorBidi"/>
          <w:noProof/>
          <w:kern w:val="0"/>
          <w:sz w:val="22"/>
          <w:szCs w:val="22"/>
        </w:rPr>
      </w:pPr>
      <w:hyperlink w:anchor="_Toc113281987" w:history="1">
        <w:r w:rsidR="000F3E07" w:rsidRPr="00B302CB">
          <w:rPr>
            <w:rStyle w:val="Hyperlink"/>
            <w:noProof/>
          </w:rPr>
          <w:t>2</w:t>
        </w:r>
        <w:r w:rsidR="000F3E07">
          <w:rPr>
            <w:rFonts w:asciiTheme="minorHAnsi" w:eastAsiaTheme="minorEastAsia" w:hAnsiTheme="minorHAnsi" w:cstheme="minorBidi"/>
            <w:noProof/>
            <w:kern w:val="0"/>
            <w:sz w:val="22"/>
            <w:szCs w:val="22"/>
          </w:rPr>
          <w:tab/>
        </w:r>
        <w:r w:rsidR="000F3E07" w:rsidRPr="00B302CB">
          <w:rPr>
            <w:rStyle w:val="Hyperlink"/>
            <w:noProof/>
          </w:rPr>
          <w:t>Commencement</w:t>
        </w:r>
        <w:r w:rsidR="000F3E07">
          <w:rPr>
            <w:noProof/>
            <w:webHidden/>
          </w:rPr>
          <w:tab/>
        </w:r>
        <w:r w:rsidR="000F3E07">
          <w:rPr>
            <w:noProof/>
            <w:webHidden/>
          </w:rPr>
          <w:fldChar w:fldCharType="begin"/>
        </w:r>
        <w:r w:rsidR="000F3E07">
          <w:rPr>
            <w:noProof/>
            <w:webHidden/>
          </w:rPr>
          <w:instrText xml:space="preserve"> PAGEREF _Toc113281987 \h </w:instrText>
        </w:r>
        <w:r w:rsidR="000F3E07">
          <w:rPr>
            <w:noProof/>
            <w:webHidden/>
          </w:rPr>
        </w:r>
        <w:r w:rsidR="000F3E07">
          <w:rPr>
            <w:noProof/>
            <w:webHidden/>
          </w:rPr>
          <w:fldChar w:fldCharType="separate"/>
        </w:r>
        <w:r w:rsidR="000F3E07">
          <w:rPr>
            <w:noProof/>
            <w:webHidden/>
          </w:rPr>
          <w:t>3</w:t>
        </w:r>
        <w:r w:rsidR="000F3E07">
          <w:rPr>
            <w:noProof/>
            <w:webHidden/>
          </w:rPr>
          <w:fldChar w:fldCharType="end"/>
        </w:r>
      </w:hyperlink>
    </w:p>
    <w:p w14:paraId="394A4950" w14:textId="4FECE7CB" w:rsidR="000F3E07" w:rsidRDefault="00582126">
      <w:pPr>
        <w:pStyle w:val="TOC2"/>
        <w:tabs>
          <w:tab w:val="left" w:pos="1474"/>
        </w:tabs>
        <w:rPr>
          <w:rFonts w:asciiTheme="minorHAnsi" w:eastAsiaTheme="minorEastAsia" w:hAnsiTheme="minorHAnsi" w:cstheme="minorBidi"/>
          <w:noProof/>
          <w:kern w:val="0"/>
          <w:sz w:val="22"/>
          <w:szCs w:val="22"/>
        </w:rPr>
      </w:pPr>
      <w:hyperlink w:anchor="_Toc113281988" w:history="1">
        <w:r w:rsidR="000F3E07" w:rsidRPr="00B302CB">
          <w:rPr>
            <w:rStyle w:val="Hyperlink"/>
            <w:noProof/>
          </w:rPr>
          <w:t>3</w:t>
        </w:r>
        <w:r w:rsidR="000F3E07">
          <w:rPr>
            <w:rFonts w:asciiTheme="minorHAnsi" w:eastAsiaTheme="minorEastAsia" w:hAnsiTheme="minorHAnsi" w:cstheme="minorBidi"/>
            <w:noProof/>
            <w:kern w:val="0"/>
            <w:sz w:val="22"/>
            <w:szCs w:val="22"/>
          </w:rPr>
          <w:tab/>
        </w:r>
        <w:r w:rsidR="000F3E07" w:rsidRPr="00B302CB">
          <w:rPr>
            <w:rStyle w:val="Hyperlink"/>
            <w:noProof/>
          </w:rPr>
          <w:t>Authority</w:t>
        </w:r>
        <w:r w:rsidR="000F3E07">
          <w:rPr>
            <w:noProof/>
            <w:webHidden/>
          </w:rPr>
          <w:tab/>
        </w:r>
        <w:r w:rsidR="000F3E07">
          <w:rPr>
            <w:noProof/>
            <w:webHidden/>
          </w:rPr>
          <w:fldChar w:fldCharType="begin"/>
        </w:r>
        <w:r w:rsidR="000F3E07">
          <w:rPr>
            <w:noProof/>
            <w:webHidden/>
          </w:rPr>
          <w:instrText xml:space="preserve"> PAGEREF _Toc113281988 \h </w:instrText>
        </w:r>
        <w:r w:rsidR="000F3E07">
          <w:rPr>
            <w:noProof/>
            <w:webHidden/>
          </w:rPr>
        </w:r>
        <w:r w:rsidR="000F3E07">
          <w:rPr>
            <w:noProof/>
            <w:webHidden/>
          </w:rPr>
          <w:fldChar w:fldCharType="separate"/>
        </w:r>
        <w:r w:rsidR="000F3E07">
          <w:rPr>
            <w:noProof/>
            <w:webHidden/>
          </w:rPr>
          <w:t>3</w:t>
        </w:r>
        <w:r w:rsidR="000F3E07">
          <w:rPr>
            <w:noProof/>
            <w:webHidden/>
          </w:rPr>
          <w:fldChar w:fldCharType="end"/>
        </w:r>
      </w:hyperlink>
    </w:p>
    <w:p w14:paraId="71EB45CC" w14:textId="0AC7639D" w:rsidR="000F3E07" w:rsidRDefault="00582126">
      <w:pPr>
        <w:pStyle w:val="TOC2"/>
        <w:tabs>
          <w:tab w:val="left" w:pos="1474"/>
        </w:tabs>
        <w:rPr>
          <w:rFonts w:asciiTheme="minorHAnsi" w:eastAsiaTheme="minorEastAsia" w:hAnsiTheme="minorHAnsi" w:cstheme="minorBidi"/>
          <w:noProof/>
          <w:kern w:val="0"/>
          <w:sz w:val="22"/>
          <w:szCs w:val="22"/>
        </w:rPr>
      </w:pPr>
      <w:hyperlink w:anchor="_Toc113281989" w:history="1">
        <w:r w:rsidR="000F3E07" w:rsidRPr="00B302CB">
          <w:rPr>
            <w:rStyle w:val="Hyperlink"/>
            <w:noProof/>
          </w:rPr>
          <w:t>4</w:t>
        </w:r>
        <w:r w:rsidR="000F3E07">
          <w:rPr>
            <w:rFonts w:asciiTheme="minorHAnsi" w:eastAsiaTheme="minorEastAsia" w:hAnsiTheme="minorHAnsi" w:cstheme="minorBidi"/>
            <w:noProof/>
            <w:kern w:val="0"/>
            <w:sz w:val="22"/>
            <w:szCs w:val="22"/>
          </w:rPr>
          <w:tab/>
        </w:r>
        <w:r w:rsidR="000F3E07" w:rsidRPr="00B302CB">
          <w:rPr>
            <w:rStyle w:val="Hyperlink"/>
            <w:noProof/>
          </w:rPr>
          <w:t>Definitions</w:t>
        </w:r>
        <w:r w:rsidR="000F3E07">
          <w:rPr>
            <w:noProof/>
            <w:webHidden/>
          </w:rPr>
          <w:tab/>
        </w:r>
        <w:r w:rsidR="000F3E07">
          <w:rPr>
            <w:noProof/>
            <w:webHidden/>
          </w:rPr>
          <w:fldChar w:fldCharType="begin"/>
        </w:r>
        <w:r w:rsidR="000F3E07">
          <w:rPr>
            <w:noProof/>
            <w:webHidden/>
          </w:rPr>
          <w:instrText xml:space="preserve"> PAGEREF _Toc113281989 \h </w:instrText>
        </w:r>
        <w:r w:rsidR="000F3E07">
          <w:rPr>
            <w:noProof/>
            <w:webHidden/>
          </w:rPr>
        </w:r>
        <w:r w:rsidR="000F3E07">
          <w:rPr>
            <w:noProof/>
            <w:webHidden/>
          </w:rPr>
          <w:fldChar w:fldCharType="separate"/>
        </w:r>
        <w:r w:rsidR="000F3E07">
          <w:rPr>
            <w:noProof/>
            <w:webHidden/>
          </w:rPr>
          <w:t>3</w:t>
        </w:r>
        <w:r w:rsidR="000F3E07">
          <w:rPr>
            <w:noProof/>
            <w:webHidden/>
          </w:rPr>
          <w:fldChar w:fldCharType="end"/>
        </w:r>
      </w:hyperlink>
    </w:p>
    <w:p w14:paraId="69E184BD" w14:textId="07E00DB1" w:rsidR="000F3E07" w:rsidRDefault="00582126">
      <w:pPr>
        <w:pStyle w:val="TOC1"/>
        <w:rPr>
          <w:rFonts w:asciiTheme="minorHAnsi" w:eastAsiaTheme="minorEastAsia" w:hAnsiTheme="minorHAnsi" w:cstheme="minorBidi"/>
          <w:b w:val="0"/>
          <w:noProof/>
          <w:kern w:val="0"/>
          <w:sz w:val="22"/>
          <w:szCs w:val="22"/>
        </w:rPr>
      </w:pPr>
      <w:hyperlink w:anchor="_Toc113281990" w:history="1">
        <w:r w:rsidR="000F3E07" w:rsidRPr="00B302CB">
          <w:rPr>
            <w:rStyle w:val="Hyperlink"/>
            <w:noProof/>
          </w:rPr>
          <w:t>Part 2—Declaration</w:t>
        </w:r>
        <w:r w:rsidR="000F3E07">
          <w:rPr>
            <w:noProof/>
            <w:webHidden/>
          </w:rPr>
          <w:tab/>
        </w:r>
        <w:r w:rsidR="000F3E07">
          <w:rPr>
            <w:noProof/>
            <w:webHidden/>
          </w:rPr>
          <w:fldChar w:fldCharType="begin"/>
        </w:r>
        <w:r w:rsidR="000F3E07">
          <w:rPr>
            <w:noProof/>
            <w:webHidden/>
          </w:rPr>
          <w:instrText xml:space="preserve"> PAGEREF _Toc113281990 \h </w:instrText>
        </w:r>
        <w:r w:rsidR="000F3E07">
          <w:rPr>
            <w:noProof/>
            <w:webHidden/>
          </w:rPr>
        </w:r>
        <w:r w:rsidR="000F3E07">
          <w:rPr>
            <w:noProof/>
            <w:webHidden/>
          </w:rPr>
          <w:fldChar w:fldCharType="separate"/>
        </w:r>
        <w:r w:rsidR="000F3E07">
          <w:rPr>
            <w:noProof/>
            <w:webHidden/>
          </w:rPr>
          <w:t>4</w:t>
        </w:r>
        <w:r w:rsidR="000F3E07">
          <w:rPr>
            <w:noProof/>
            <w:webHidden/>
          </w:rPr>
          <w:fldChar w:fldCharType="end"/>
        </w:r>
      </w:hyperlink>
    </w:p>
    <w:p w14:paraId="0BAE3A94" w14:textId="6FFF830C" w:rsidR="000F3E07" w:rsidRDefault="00582126">
      <w:pPr>
        <w:pStyle w:val="TOC2"/>
        <w:tabs>
          <w:tab w:val="left" w:pos="1474"/>
        </w:tabs>
        <w:rPr>
          <w:rFonts w:asciiTheme="minorHAnsi" w:eastAsiaTheme="minorEastAsia" w:hAnsiTheme="minorHAnsi" w:cstheme="minorBidi"/>
          <w:noProof/>
          <w:kern w:val="0"/>
          <w:sz w:val="22"/>
          <w:szCs w:val="22"/>
        </w:rPr>
      </w:pPr>
      <w:hyperlink w:anchor="_Toc113281991" w:history="1">
        <w:r w:rsidR="000F3E07" w:rsidRPr="00B302CB">
          <w:rPr>
            <w:rStyle w:val="Hyperlink"/>
            <w:noProof/>
          </w:rPr>
          <w:t xml:space="preserve">5 </w:t>
        </w:r>
        <w:r w:rsidR="000F3E07">
          <w:rPr>
            <w:rFonts w:asciiTheme="minorHAnsi" w:eastAsiaTheme="minorEastAsia" w:hAnsiTheme="minorHAnsi" w:cstheme="minorBidi"/>
            <w:noProof/>
            <w:kern w:val="0"/>
            <w:sz w:val="22"/>
            <w:szCs w:val="22"/>
          </w:rPr>
          <w:tab/>
        </w:r>
        <w:r w:rsidR="000F3E07" w:rsidRPr="00B302CB">
          <w:rPr>
            <w:rStyle w:val="Hyperlink"/>
            <w:noProof/>
          </w:rPr>
          <w:t>Adequate financial resources for issuers of retail OTC derivatives</w:t>
        </w:r>
        <w:r w:rsidR="000F3E07">
          <w:rPr>
            <w:noProof/>
            <w:webHidden/>
          </w:rPr>
          <w:tab/>
        </w:r>
        <w:r w:rsidR="000F3E07">
          <w:rPr>
            <w:noProof/>
            <w:webHidden/>
          </w:rPr>
          <w:fldChar w:fldCharType="begin"/>
        </w:r>
        <w:r w:rsidR="000F3E07">
          <w:rPr>
            <w:noProof/>
            <w:webHidden/>
          </w:rPr>
          <w:instrText xml:space="preserve"> PAGEREF _Toc113281991 \h </w:instrText>
        </w:r>
        <w:r w:rsidR="000F3E07">
          <w:rPr>
            <w:noProof/>
            <w:webHidden/>
          </w:rPr>
        </w:r>
        <w:r w:rsidR="000F3E07">
          <w:rPr>
            <w:noProof/>
            <w:webHidden/>
          </w:rPr>
          <w:fldChar w:fldCharType="separate"/>
        </w:r>
        <w:r w:rsidR="000F3E07">
          <w:rPr>
            <w:noProof/>
            <w:webHidden/>
          </w:rPr>
          <w:t>4</w:t>
        </w:r>
        <w:r w:rsidR="000F3E07">
          <w:rPr>
            <w:noProof/>
            <w:webHidden/>
          </w:rPr>
          <w:fldChar w:fldCharType="end"/>
        </w:r>
      </w:hyperlink>
    </w:p>
    <w:p w14:paraId="3609F32B" w14:textId="3DB228C9" w:rsidR="000F3E07" w:rsidRDefault="00582126">
      <w:pPr>
        <w:pStyle w:val="TOC1"/>
        <w:rPr>
          <w:rFonts w:asciiTheme="minorHAnsi" w:eastAsiaTheme="minorEastAsia" w:hAnsiTheme="minorHAnsi" w:cstheme="minorBidi"/>
          <w:b w:val="0"/>
          <w:noProof/>
          <w:kern w:val="0"/>
          <w:sz w:val="22"/>
          <w:szCs w:val="22"/>
        </w:rPr>
      </w:pPr>
      <w:hyperlink w:anchor="_Toc113281992" w:history="1">
        <w:r w:rsidR="000F3E07" w:rsidRPr="00B302CB">
          <w:rPr>
            <w:rStyle w:val="Hyperlink"/>
            <w:noProof/>
          </w:rPr>
          <w:t>Part 3—Repeal</w:t>
        </w:r>
        <w:r w:rsidR="000F3E07">
          <w:rPr>
            <w:noProof/>
            <w:webHidden/>
          </w:rPr>
          <w:tab/>
        </w:r>
        <w:r w:rsidR="000F3E07">
          <w:rPr>
            <w:noProof/>
            <w:webHidden/>
          </w:rPr>
          <w:fldChar w:fldCharType="begin"/>
        </w:r>
        <w:r w:rsidR="000F3E07">
          <w:rPr>
            <w:noProof/>
            <w:webHidden/>
          </w:rPr>
          <w:instrText xml:space="preserve"> PAGEREF _Toc113281992 \h </w:instrText>
        </w:r>
        <w:r w:rsidR="000F3E07">
          <w:rPr>
            <w:noProof/>
            <w:webHidden/>
          </w:rPr>
        </w:r>
        <w:r w:rsidR="000F3E07">
          <w:rPr>
            <w:noProof/>
            <w:webHidden/>
          </w:rPr>
          <w:fldChar w:fldCharType="separate"/>
        </w:r>
        <w:r w:rsidR="000F3E07">
          <w:rPr>
            <w:noProof/>
            <w:webHidden/>
          </w:rPr>
          <w:t>18</w:t>
        </w:r>
        <w:r w:rsidR="000F3E07">
          <w:rPr>
            <w:noProof/>
            <w:webHidden/>
          </w:rPr>
          <w:fldChar w:fldCharType="end"/>
        </w:r>
      </w:hyperlink>
    </w:p>
    <w:p w14:paraId="36C28353" w14:textId="6FE8AAA9" w:rsidR="000F3E07" w:rsidRDefault="00582126">
      <w:pPr>
        <w:pStyle w:val="TOC2"/>
        <w:tabs>
          <w:tab w:val="left" w:pos="1474"/>
        </w:tabs>
        <w:rPr>
          <w:rFonts w:asciiTheme="minorHAnsi" w:eastAsiaTheme="minorEastAsia" w:hAnsiTheme="minorHAnsi" w:cstheme="minorBidi"/>
          <w:noProof/>
          <w:kern w:val="0"/>
          <w:sz w:val="22"/>
          <w:szCs w:val="22"/>
        </w:rPr>
      </w:pPr>
      <w:hyperlink w:anchor="_Toc113281993" w:history="1">
        <w:r w:rsidR="000F3E07" w:rsidRPr="00B302CB">
          <w:rPr>
            <w:rStyle w:val="Hyperlink"/>
            <w:noProof/>
          </w:rPr>
          <w:t>6</w:t>
        </w:r>
        <w:r w:rsidR="000F3E07">
          <w:rPr>
            <w:rFonts w:asciiTheme="minorHAnsi" w:eastAsiaTheme="minorEastAsia" w:hAnsiTheme="minorHAnsi" w:cstheme="minorBidi"/>
            <w:noProof/>
            <w:kern w:val="0"/>
            <w:sz w:val="22"/>
            <w:szCs w:val="22"/>
          </w:rPr>
          <w:tab/>
        </w:r>
        <w:r w:rsidR="000F3E07" w:rsidRPr="00B302CB">
          <w:rPr>
            <w:rStyle w:val="Hyperlink"/>
            <w:noProof/>
          </w:rPr>
          <w:t>Repeal</w:t>
        </w:r>
        <w:r w:rsidR="000F3E07">
          <w:rPr>
            <w:noProof/>
            <w:webHidden/>
          </w:rPr>
          <w:tab/>
        </w:r>
        <w:r w:rsidR="000F3E07">
          <w:rPr>
            <w:noProof/>
            <w:webHidden/>
          </w:rPr>
          <w:fldChar w:fldCharType="begin"/>
        </w:r>
        <w:r w:rsidR="000F3E07">
          <w:rPr>
            <w:noProof/>
            <w:webHidden/>
          </w:rPr>
          <w:instrText xml:space="preserve"> PAGEREF _Toc113281993 \h </w:instrText>
        </w:r>
        <w:r w:rsidR="000F3E07">
          <w:rPr>
            <w:noProof/>
            <w:webHidden/>
          </w:rPr>
        </w:r>
        <w:r w:rsidR="000F3E07">
          <w:rPr>
            <w:noProof/>
            <w:webHidden/>
          </w:rPr>
          <w:fldChar w:fldCharType="separate"/>
        </w:r>
        <w:r w:rsidR="000F3E07">
          <w:rPr>
            <w:noProof/>
            <w:webHidden/>
          </w:rPr>
          <w:t>18</w:t>
        </w:r>
        <w:r w:rsidR="000F3E07">
          <w:rPr>
            <w:noProof/>
            <w:webHidden/>
          </w:rPr>
          <w:fldChar w:fldCharType="end"/>
        </w:r>
      </w:hyperlink>
    </w:p>
    <w:p w14:paraId="21D9D8DC" w14:textId="5F34E4A9" w:rsidR="00670EA1" w:rsidRPr="005F6ED1" w:rsidRDefault="00015719" w:rsidP="00715914">
      <w:r w:rsidRPr="005F6ED1">
        <w:rPr>
          <w:rFonts w:eastAsia="Times New Roman"/>
          <w:kern w:val="28"/>
          <w:sz w:val="28"/>
          <w:lang w:eastAsia="en-AU"/>
        </w:rPr>
        <w:fldChar w:fldCharType="end"/>
      </w:r>
    </w:p>
    <w:p w14:paraId="3D614138" w14:textId="77777777" w:rsidR="00670EA1" w:rsidRPr="005F6ED1" w:rsidRDefault="00670EA1" w:rsidP="00715914">
      <w:pPr>
        <w:sectPr w:rsidR="00670EA1" w:rsidRPr="005F6ED1" w:rsidSect="00F4215A">
          <w:headerReference w:type="even" r:id="rId21"/>
          <w:headerReference w:type="default" r:id="rId22"/>
          <w:footerReference w:type="even" r:id="rId23"/>
          <w:footerReference w:type="default" r:id="rId24"/>
          <w:headerReference w:type="first" r:id="rId25"/>
          <w:pgSz w:w="11907" w:h="16839"/>
          <w:pgMar w:top="1098" w:right="1797" w:bottom="1440" w:left="1797" w:header="720" w:footer="709" w:gutter="0"/>
          <w:pgNumType w:fmt="lowerRoman"/>
          <w:cols w:space="708"/>
          <w:docGrid w:linePitch="360"/>
        </w:sectPr>
      </w:pPr>
    </w:p>
    <w:p w14:paraId="570FDE41" w14:textId="77777777" w:rsidR="00FA31DE" w:rsidRPr="005F6ED1" w:rsidRDefault="00FA31DE" w:rsidP="006554FF">
      <w:pPr>
        <w:pStyle w:val="LI-Heading1"/>
      </w:pPr>
      <w:bookmarkStart w:id="3" w:name="BK_S3P1L1C1"/>
      <w:bookmarkStart w:id="4" w:name="_Toc113281985"/>
      <w:bookmarkEnd w:id="3"/>
      <w:r w:rsidRPr="005F6ED1">
        <w:lastRenderedPageBreak/>
        <w:t>Part</w:t>
      </w:r>
      <w:r w:rsidR="00F61B09" w:rsidRPr="005F6ED1">
        <w:t> </w:t>
      </w:r>
      <w:r w:rsidRPr="005F6ED1">
        <w:t>1—Preliminary</w:t>
      </w:r>
      <w:bookmarkEnd w:id="4"/>
    </w:p>
    <w:p w14:paraId="16CE4672" w14:textId="77777777" w:rsidR="00FA31DE" w:rsidRPr="005F6ED1" w:rsidRDefault="00FA31DE" w:rsidP="00C11452">
      <w:pPr>
        <w:pStyle w:val="LI-Heading2"/>
        <w:rPr>
          <w:szCs w:val="24"/>
        </w:rPr>
      </w:pPr>
      <w:bookmarkStart w:id="5" w:name="_Toc113281986"/>
      <w:r w:rsidRPr="005F6ED1">
        <w:rPr>
          <w:szCs w:val="24"/>
        </w:rPr>
        <w:t>1</w:t>
      </w:r>
      <w:r w:rsidR="00FC3EB8" w:rsidRPr="005F6ED1">
        <w:rPr>
          <w:szCs w:val="24"/>
        </w:rPr>
        <w:tab/>
      </w:r>
      <w:r w:rsidRPr="005F6ED1">
        <w:rPr>
          <w:szCs w:val="24"/>
        </w:rPr>
        <w:t xml:space="preserve">Name of </w:t>
      </w:r>
      <w:r w:rsidR="008C0F29" w:rsidRPr="005F6ED1">
        <w:rPr>
          <w:szCs w:val="24"/>
        </w:rPr>
        <w:t>legislative instrument</w:t>
      </w:r>
      <w:bookmarkEnd w:id="5"/>
    </w:p>
    <w:p w14:paraId="02714D4C" w14:textId="0BB3F750" w:rsidR="00FA31DE" w:rsidRPr="00582E89" w:rsidRDefault="00FA31DE" w:rsidP="00005446">
      <w:pPr>
        <w:pStyle w:val="LI-BodyTextUnnumbered"/>
        <w:rPr>
          <w:i/>
          <w:szCs w:val="24"/>
        </w:rPr>
      </w:pPr>
      <w:r w:rsidRPr="005F6ED1">
        <w:rPr>
          <w:szCs w:val="24"/>
        </w:rPr>
        <w:t xml:space="preserve">This </w:t>
      </w:r>
      <w:r w:rsidR="008C0F29" w:rsidRPr="005F6ED1">
        <w:rPr>
          <w:szCs w:val="24"/>
        </w:rPr>
        <w:t>is</w:t>
      </w:r>
      <w:r w:rsidR="009D195A" w:rsidRPr="005F6ED1">
        <w:rPr>
          <w:szCs w:val="24"/>
        </w:rPr>
        <w:t xml:space="preserve"> the</w:t>
      </w:r>
      <w:r w:rsidR="008C0F29" w:rsidRPr="005F6ED1">
        <w:rPr>
          <w:szCs w:val="24"/>
        </w:rPr>
        <w:t xml:space="preserve"> </w:t>
      </w:r>
      <w:r w:rsidR="008C0F29" w:rsidRPr="005F6ED1">
        <w:rPr>
          <w:i/>
          <w:szCs w:val="24"/>
        </w:rPr>
        <w:t>A</w:t>
      </w:r>
      <w:r w:rsidR="00327DDF" w:rsidRPr="005F6ED1">
        <w:rPr>
          <w:i/>
          <w:szCs w:val="24"/>
        </w:rPr>
        <w:t xml:space="preserve">SIC </w:t>
      </w:r>
      <w:r w:rsidR="00327DDF" w:rsidRPr="00582E89">
        <w:rPr>
          <w:i/>
          <w:szCs w:val="24"/>
        </w:rPr>
        <w:t xml:space="preserve">Corporations </w:t>
      </w:r>
      <w:r w:rsidR="00C11452" w:rsidRPr="00582E89">
        <w:rPr>
          <w:i/>
          <w:szCs w:val="24"/>
        </w:rPr>
        <w:t>(</w:t>
      </w:r>
      <w:r w:rsidR="00582E89" w:rsidRPr="00582E89">
        <w:rPr>
          <w:i/>
        </w:rPr>
        <w:t>Financial Requirements for Issuers of Retail OTC Derivatives</w:t>
      </w:r>
      <w:r w:rsidR="00A03943" w:rsidRPr="00582E89">
        <w:rPr>
          <w:i/>
          <w:szCs w:val="24"/>
        </w:rPr>
        <w:t xml:space="preserve">) </w:t>
      </w:r>
      <w:r w:rsidR="00C11452" w:rsidRPr="00582E89">
        <w:rPr>
          <w:i/>
          <w:szCs w:val="24"/>
        </w:rPr>
        <w:t xml:space="preserve">Instrument </w:t>
      </w:r>
      <w:r w:rsidR="00A03943" w:rsidRPr="00582E89">
        <w:rPr>
          <w:i/>
          <w:szCs w:val="24"/>
        </w:rPr>
        <w:t>202</w:t>
      </w:r>
      <w:r w:rsidR="00297A01" w:rsidRPr="00582E89">
        <w:rPr>
          <w:i/>
          <w:szCs w:val="24"/>
        </w:rPr>
        <w:t>2</w:t>
      </w:r>
      <w:r w:rsidR="00A03943" w:rsidRPr="00582E89">
        <w:rPr>
          <w:i/>
          <w:szCs w:val="24"/>
        </w:rPr>
        <w:t>/</w:t>
      </w:r>
      <w:r w:rsidR="002662B6">
        <w:rPr>
          <w:i/>
          <w:szCs w:val="24"/>
        </w:rPr>
        <w:t>705</w:t>
      </w:r>
      <w:r w:rsidRPr="00582E89">
        <w:rPr>
          <w:i/>
          <w:szCs w:val="24"/>
        </w:rPr>
        <w:t>.</w:t>
      </w:r>
    </w:p>
    <w:p w14:paraId="4FAF13D5" w14:textId="77777777" w:rsidR="00FA31DE" w:rsidRPr="005F6ED1" w:rsidRDefault="00FA31DE" w:rsidP="00C11452">
      <w:pPr>
        <w:pStyle w:val="LI-Heading2"/>
        <w:rPr>
          <w:szCs w:val="24"/>
        </w:rPr>
      </w:pPr>
      <w:bookmarkStart w:id="6" w:name="_Toc113281987"/>
      <w:r w:rsidRPr="005F6ED1">
        <w:rPr>
          <w:szCs w:val="24"/>
        </w:rPr>
        <w:t>2</w:t>
      </w:r>
      <w:r w:rsidR="00FC3EB8" w:rsidRPr="005F6ED1">
        <w:rPr>
          <w:szCs w:val="24"/>
        </w:rPr>
        <w:tab/>
      </w:r>
      <w:r w:rsidRPr="005F6ED1">
        <w:rPr>
          <w:szCs w:val="24"/>
        </w:rPr>
        <w:t>Commencement</w:t>
      </w:r>
      <w:bookmarkEnd w:id="6"/>
    </w:p>
    <w:p w14:paraId="0A98A734" w14:textId="77777777" w:rsidR="00FA31DE" w:rsidRPr="005F6ED1" w:rsidRDefault="00FA31DE" w:rsidP="006E5320">
      <w:pPr>
        <w:pStyle w:val="LI-BodyTextUnnumbered"/>
        <w:rPr>
          <w:szCs w:val="24"/>
        </w:rPr>
      </w:pPr>
      <w:r w:rsidRPr="005F6ED1">
        <w:rPr>
          <w:szCs w:val="24"/>
        </w:rPr>
        <w:t xml:space="preserve">This </w:t>
      </w:r>
      <w:r w:rsidR="008C0F29" w:rsidRPr="005F6ED1">
        <w:rPr>
          <w:szCs w:val="24"/>
        </w:rPr>
        <w:t>instrument</w:t>
      </w:r>
      <w:r w:rsidRPr="005F6ED1">
        <w:rPr>
          <w:szCs w:val="24"/>
        </w:rPr>
        <w:t xml:space="preserve"> commences on the day </w:t>
      </w:r>
      <w:r w:rsidR="004823C0" w:rsidRPr="005F6ED1">
        <w:rPr>
          <w:szCs w:val="24"/>
        </w:rPr>
        <w:t xml:space="preserve">after it is </w:t>
      </w:r>
      <w:r w:rsidR="0077506D" w:rsidRPr="005F6ED1">
        <w:rPr>
          <w:szCs w:val="24"/>
        </w:rPr>
        <w:t>registered on</w:t>
      </w:r>
      <w:r w:rsidR="004823C0" w:rsidRPr="005F6ED1">
        <w:rPr>
          <w:szCs w:val="24"/>
        </w:rPr>
        <w:t xml:space="preserve"> the Federal Register of Legislati</w:t>
      </w:r>
      <w:r w:rsidR="001F02B1" w:rsidRPr="005F6ED1">
        <w:rPr>
          <w:szCs w:val="24"/>
        </w:rPr>
        <w:t>on</w:t>
      </w:r>
      <w:r w:rsidRPr="005F6ED1">
        <w:rPr>
          <w:szCs w:val="24"/>
        </w:rPr>
        <w:t>.</w:t>
      </w:r>
    </w:p>
    <w:p w14:paraId="1D5331B0" w14:textId="729F13D4" w:rsidR="00FA31DE" w:rsidRPr="005F6ED1" w:rsidRDefault="00FA31DE" w:rsidP="00572BB1">
      <w:pPr>
        <w:pStyle w:val="LI-BodyTextNote"/>
      </w:pPr>
      <w:r w:rsidRPr="005F6ED1">
        <w:t>Note:</w:t>
      </w:r>
      <w:r w:rsidRPr="005F6ED1">
        <w:tab/>
      </w:r>
      <w:r w:rsidR="004823C0" w:rsidRPr="005F6ED1">
        <w:t xml:space="preserve">The register may be accessed at </w:t>
      </w:r>
      <w:hyperlink r:id="rId26" w:history="1">
        <w:r w:rsidR="00F047D8" w:rsidRPr="005F6ED1">
          <w:rPr>
            <w:rStyle w:val="Hyperlink"/>
          </w:rPr>
          <w:t>www.legislation.gov.au</w:t>
        </w:r>
      </w:hyperlink>
      <w:r w:rsidR="004823C0" w:rsidRPr="005F6ED1">
        <w:t>.</w:t>
      </w:r>
    </w:p>
    <w:p w14:paraId="1BA5DE78" w14:textId="77777777" w:rsidR="00FA31DE" w:rsidRPr="005F6ED1" w:rsidRDefault="00BC12CC" w:rsidP="00EC4757">
      <w:pPr>
        <w:pStyle w:val="LI-Heading2"/>
        <w:spacing w:before="240"/>
        <w:rPr>
          <w:szCs w:val="24"/>
        </w:rPr>
      </w:pPr>
      <w:bookmarkStart w:id="7" w:name="_Toc113281988"/>
      <w:r>
        <w:rPr>
          <w:szCs w:val="24"/>
        </w:rPr>
        <w:t>3</w:t>
      </w:r>
      <w:r w:rsidR="00FC3EB8" w:rsidRPr="005F6ED1">
        <w:rPr>
          <w:szCs w:val="24"/>
        </w:rPr>
        <w:tab/>
      </w:r>
      <w:r w:rsidR="00FA31DE" w:rsidRPr="005F6ED1">
        <w:rPr>
          <w:szCs w:val="24"/>
        </w:rPr>
        <w:t>Authority</w:t>
      </w:r>
      <w:bookmarkEnd w:id="7"/>
    </w:p>
    <w:p w14:paraId="4554578B" w14:textId="77777777" w:rsidR="00FA31DE" w:rsidRDefault="00FA31DE" w:rsidP="00EC4757">
      <w:pPr>
        <w:pStyle w:val="LI-BodyTextUnnumbered"/>
        <w:rPr>
          <w:szCs w:val="24"/>
        </w:rPr>
      </w:pPr>
      <w:r w:rsidRPr="005F6ED1">
        <w:rPr>
          <w:szCs w:val="24"/>
        </w:rPr>
        <w:t xml:space="preserve">This </w:t>
      </w:r>
      <w:r w:rsidR="008C0F29" w:rsidRPr="005F6ED1">
        <w:rPr>
          <w:szCs w:val="24"/>
        </w:rPr>
        <w:t xml:space="preserve">instrument </w:t>
      </w:r>
      <w:r w:rsidRPr="005F6ED1">
        <w:rPr>
          <w:szCs w:val="24"/>
        </w:rPr>
        <w:t xml:space="preserve">is made under </w:t>
      </w:r>
      <w:r w:rsidR="00297A01">
        <w:rPr>
          <w:szCs w:val="24"/>
        </w:rPr>
        <w:t>paragraph</w:t>
      </w:r>
      <w:r w:rsidR="00A03943" w:rsidRPr="005F6ED1">
        <w:rPr>
          <w:szCs w:val="24"/>
        </w:rPr>
        <w:t xml:space="preserve"> </w:t>
      </w:r>
      <w:r w:rsidR="00297A01">
        <w:rPr>
          <w:szCs w:val="24"/>
        </w:rPr>
        <w:t>926A(2)(c)</w:t>
      </w:r>
      <w:r w:rsidR="00A03943" w:rsidRPr="005F6ED1">
        <w:rPr>
          <w:szCs w:val="24"/>
        </w:rPr>
        <w:t xml:space="preserve"> of the </w:t>
      </w:r>
      <w:r w:rsidR="00A03943" w:rsidRPr="005F6ED1">
        <w:rPr>
          <w:i/>
          <w:iCs/>
          <w:szCs w:val="24"/>
        </w:rPr>
        <w:t>Corporations Act 2001</w:t>
      </w:r>
      <w:r w:rsidRPr="005F6ED1">
        <w:rPr>
          <w:szCs w:val="24"/>
        </w:rPr>
        <w:t>.</w:t>
      </w:r>
    </w:p>
    <w:p w14:paraId="4FAF40F1" w14:textId="77777777" w:rsidR="00052925" w:rsidRPr="00BB5C17" w:rsidRDefault="00052925" w:rsidP="00052925">
      <w:pPr>
        <w:pStyle w:val="LI-Heading2"/>
        <w:spacing w:before="240"/>
        <w:rPr>
          <w:szCs w:val="24"/>
        </w:rPr>
      </w:pPr>
      <w:bookmarkStart w:id="8" w:name="_Toc420481485"/>
      <w:bookmarkStart w:id="9" w:name="_Toc113281989"/>
      <w:r w:rsidRPr="00BB5C17">
        <w:rPr>
          <w:szCs w:val="24"/>
        </w:rPr>
        <w:t>4</w:t>
      </w:r>
      <w:r>
        <w:rPr>
          <w:szCs w:val="24"/>
        </w:rPr>
        <w:tab/>
      </w:r>
      <w:r w:rsidRPr="00BB5C17">
        <w:rPr>
          <w:szCs w:val="24"/>
        </w:rPr>
        <w:t>Definitions</w:t>
      </w:r>
      <w:bookmarkEnd w:id="8"/>
      <w:bookmarkEnd w:id="9"/>
    </w:p>
    <w:p w14:paraId="115B4867" w14:textId="77777777" w:rsidR="0010527E" w:rsidRDefault="0010527E" w:rsidP="00052925">
      <w:pPr>
        <w:pStyle w:val="li-bodytextunnumbered0"/>
        <w:shd w:val="clear" w:color="auto" w:fill="FFFFFF"/>
        <w:spacing w:before="240" w:beforeAutospacing="0" w:after="0" w:afterAutospacing="0"/>
        <w:ind w:left="414" w:firstLine="720"/>
        <w:rPr>
          <w:color w:val="000000"/>
        </w:rPr>
      </w:pPr>
      <w:r>
        <w:rPr>
          <w:color w:val="000000"/>
        </w:rPr>
        <w:t>In this instrument:</w:t>
      </w:r>
    </w:p>
    <w:p w14:paraId="5E63C392" w14:textId="6C7668B3" w:rsidR="0010527E" w:rsidRPr="005F6ED1" w:rsidRDefault="0010527E" w:rsidP="0012716B">
      <w:pPr>
        <w:pStyle w:val="li-bodytextunnumbered0"/>
        <w:shd w:val="clear" w:color="auto" w:fill="FFFFFF"/>
        <w:spacing w:before="240" w:beforeAutospacing="0" w:after="0" w:afterAutospacing="0"/>
        <w:ind w:left="1134"/>
      </w:pPr>
      <w:r>
        <w:rPr>
          <w:b/>
          <w:bCs/>
          <w:i/>
          <w:iCs/>
          <w:color w:val="000000"/>
        </w:rPr>
        <w:t>Act</w:t>
      </w:r>
      <w:r>
        <w:rPr>
          <w:color w:val="000000"/>
        </w:rPr>
        <w:t> means the </w:t>
      </w:r>
      <w:r>
        <w:rPr>
          <w:i/>
          <w:iCs/>
          <w:color w:val="000000"/>
        </w:rPr>
        <w:t>Corporations Act 2001</w:t>
      </w:r>
      <w:r>
        <w:rPr>
          <w:color w:val="000000"/>
        </w:rPr>
        <w:t>.</w:t>
      </w:r>
    </w:p>
    <w:p w14:paraId="34528E95" w14:textId="77777777" w:rsidR="00FA31DE" w:rsidRPr="005F6ED1" w:rsidRDefault="00460D0E" w:rsidP="00CF0157">
      <w:pPr>
        <w:pStyle w:val="LI-Heading1"/>
        <w:spacing w:line="235" w:lineRule="atLeast"/>
        <w:ind w:left="1138" w:hanging="1138"/>
      </w:pPr>
      <w:r>
        <w:br w:type="page"/>
      </w:r>
      <w:bookmarkStart w:id="10" w:name="_Toc113281990"/>
      <w:r w:rsidR="00FA31DE" w:rsidRPr="005F6ED1">
        <w:lastRenderedPageBreak/>
        <w:t>Part</w:t>
      </w:r>
      <w:r w:rsidR="005D0489" w:rsidRPr="005F6ED1">
        <w:t xml:space="preserve"> 2</w:t>
      </w:r>
      <w:r w:rsidR="00FA31DE" w:rsidRPr="005F6ED1">
        <w:t>—</w:t>
      </w:r>
      <w:r w:rsidR="00A03943" w:rsidRPr="005F6ED1">
        <w:t>Declaration</w:t>
      </w:r>
      <w:bookmarkEnd w:id="10"/>
    </w:p>
    <w:p w14:paraId="28210059" w14:textId="19A47D04" w:rsidR="00BC12CC" w:rsidRPr="00BC12CC" w:rsidRDefault="00BC12CC" w:rsidP="00A3698A">
      <w:pPr>
        <w:pStyle w:val="LI-Heading2"/>
        <w:rPr>
          <w:color w:val="000000"/>
          <w:szCs w:val="24"/>
        </w:rPr>
      </w:pPr>
      <w:bookmarkStart w:id="11" w:name="_Toc113281991"/>
      <w:r>
        <w:rPr>
          <w:szCs w:val="24"/>
        </w:rPr>
        <w:t>5</w:t>
      </w:r>
      <w:r w:rsidR="00460D0E">
        <w:rPr>
          <w:szCs w:val="24"/>
        </w:rPr>
        <w:t xml:space="preserve"> </w:t>
      </w:r>
      <w:r w:rsidR="00460D0E">
        <w:rPr>
          <w:szCs w:val="24"/>
        </w:rPr>
        <w:tab/>
      </w:r>
      <w:r w:rsidR="001D1F9C">
        <w:rPr>
          <w:szCs w:val="24"/>
        </w:rPr>
        <w:t xml:space="preserve">Adequate financial resources for issuers of </w:t>
      </w:r>
      <w:r w:rsidR="001D1F9C" w:rsidRPr="00CD47CD">
        <w:t>retail</w:t>
      </w:r>
      <w:r w:rsidR="001D1F9C">
        <w:rPr>
          <w:szCs w:val="24"/>
        </w:rPr>
        <w:t xml:space="preserve"> OTC derivatives</w:t>
      </w:r>
      <w:bookmarkEnd w:id="11"/>
    </w:p>
    <w:p w14:paraId="3169EA28" w14:textId="3D96A7AF" w:rsidR="00460D0E" w:rsidRPr="007A76C1" w:rsidRDefault="00297A01" w:rsidP="007A76C1">
      <w:pPr>
        <w:pStyle w:val="LI-Heading3"/>
        <w:rPr>
          <w:i w:val="0"/>
          <w:iCs/>
        </w:rPr>
      </w:pPr>
      <w:r w:rsidRPr="007A76C1">
        <w:rPr>
          <w:i w:val="0"/>
          <w:iCs/>
          <w:color w:val="000000"/>
          <w:sz w:val="24"/>
          <w:szCs w:val="24"/>
        </w:rPr>
        <w:t xml:space="preserve">Part 7.6 (other than Divisions 4 and 8) of the Act applies to </w:t>
      </w:r>
      <w:r w:rsidR="007D5496">
        <w:rPr>
          <w:i w:val="0"/>
          <w:iCs/>
          <w:color w:val="000000"/>
          <w:sz w:val="24"/>
          <w:szCs w:val="24"/>
        </w:rPr>
        <w:t>financial services licensees</w:t>
      </w:r>
      <w:r w:rsidRPr="007A76C1">
        <w:rPr>
          <w:i w:val="0"/>
          <w:iCs/>
          <w:color w:val="000000"/>
          <w:sz w:val="24"/>
          <w:szCs w:val="24"/>
        </w:rPr>
        <w:t xml:space="preserve"> as if that Part were modified or </w:t>
      </w:r>
      <w:r w:rsidRPr="007A76C1">
        <w:rPr>
          <w:i w:val="0"/>
          <w:iCs/>
          <w:sz w:val="24"/>
          <w:szCs w:val="24"/>
        </w:rPr>
        <w:t>varied</w:t>
      </w:r>
      <w:r w:rsidRPr="007A76C1">
        <w:rPr>
          <w:i w:val="0"/>
          <w:iCs/>
          <w:color w:val="000000"/>
          <w:sz w:val="24"/>
          <w:szCs w:val="24"/>
        </w:rPr>
        <w:t xml:space="preserve"> by</w:t>
      </w:r>
      <w:r w:rsidR="00213FE2" w:rsidRPr="007A76C1">
        <w:rPr>
          <w:i w:val="0"/>
          <w:iCs/>
          <w:color w:val="000000"/>
          <w:sz w:val="24"/>
          <w:szCs w:val="24"/>
        </w:rPr>
        <w:t xml:space="preserve"> inserting the following section in its relative order in Division 3 of Part 7.6</w:t>
      </w:r>
      <w:r w:rsidRPr="007A76C1">
        <w:rPr>
          <w:i w:val="0"/>
          <w:iCs/>
          <w:color w:val="000000"/>
          <w:sz w:val="24"/>
          <w:szCs w:val="24"/>
        </w:rPr>
        <w:t>:</w:t>
      </w:r>
    </w:p>
    <w:p w14:paraId="4748BE6C" w14:textId="5BAC8A96" w:rsidR="00460D0E" w:rsidRPr="00460D0E" w:rsidRDefault="00A03943" w:rsidP="00CF0157">
      <w:pPr>
        <w:pStyle w:val="LI-BodyTextNumbered"/>
        <w:spacing w:line="235" w:lineRule="atLeast"/>
        <w:ind w:left="567" w:firstLine="0"/>
        <w:rPr>
          <w:rFonts w:ascii="Calibri" w:hAnsi="Calibri" w:cs="Calibri"/>
          <w:szCs w:val="22"/>
        </w:rPr>
      </w:pPr>
      <w:r w:rsidRPr="005F6ED1">
        <w:t>“</w:t>
      </w:r>
      <w:r w:rsidR="00460D0E" w:rsidRPr="00E249A0">
        <w:rPr>
          <w:b/>
          <w:bCs/>
        </w:rPr>
        <w:t>912AB Adequate financial resources for financial services licensees that issue derivatives to retail clients</w:t>
      </w:r>
    </w:p>
    <w:p w14:paraId="3288DB3F" w14:textId="47B59E3D" w:rsidR="00460D0E" w:rsidRPr="00460D0E" w:rsidRDefault="00460D0E" w:rsidP="00F5274E">
      <w:pPr>
        <w:pStyle w:val="LI-BodyTextNumbered"/>
        <w:rPr>
          <w:rFonts w:ascii="Calibri" w:hAnsi="Calibri" w:cs="Calibri"/>
          <w:color w:val="000000"/>
          <w:szCs w:val="22"/>
        </w:rPr>
      </w:pPr>
      <w:r w:rsidRPr="00460D0E">
        <w:t>(1)</w:t>
      </w:r>
      <w:r w:rsidR="001B4393">
        <w:tab/>
      </w:r>
      <w:r w:rsidRPr="00460D0E">
        <w:t>This section applies to a financial services licensee that:</w:t>
      </w:r>
    </w:p>
    <w:p w14:paraId="474FDBD3" w14:textId="623933BB" w:rsidR="00460D0E" w:rsidRPr="00460D0E" w:rsidRDefault="00460D0E" w:rsidP="00924DA3">
      <w:pPr>
        <w:pStyle w:val="LI-BodyTextParaa"/>
        <w:rPr>
          <w:rFonts w:ascii="Calibri" w:hAnsi="Calibri" w:cs="Calibri"/>
          <w:color w:val="000000"/>
          <w:szCs w:val="22"/>
        </w:rPr>
      </w:pPr>
      <w:r w:rsidRPr="00460D0E">
        <w:rPr>
          <w:color w:val="000000"/>
        </w:rPr>
        <w:t>(a)</w:t>
      </w:r>
      <w:r w:rsidR="001B4393">
        <w:rPr>
          <w:color w:val="000000"/>
        </w:rPr>
        <w:tab/>
      </w:r>
      <w:r w:rsidRPr="00460D0E">
        <w:rPr>
          <w:color w:val="000000"/>
        </w:rPr>
        <w:t xml:space="preserve">holds an </w:t>
      </w:r>
      <w:r w:rsidRPr="00924DA3">
        <w:t>Australian</w:t>
      </w:r>
      <w:r w:rsidRPr="00460D0E">
        <w:rPr>
          <w:color w:val="000000"/>
        </w:rPr>
        <w:t xml:space="preserve"> financial services licence covering the provision of the </w:t>
      </w:r>
      <w:r w:rsidRPr="00E669D7">
        <w:t>following</w:t>
      </w:r>
      <w:r w:rsidRPr="00460D0E">
        <w:rPr>
          <w:color w:val="000000"/>
        </w:rPr>
        <w:t xml:space="preserve"> financial services:</w:t>
      </w:r>
    </w:p>
    <w:p w14:paraId="6ABE66D9" w14:textId="4B7D2DF5" w:rsidR="00460D0E" w:rsidRPr="00460D0E" w:rsidRDefault="00460D0E" w:rsidP="000B02BA">
      <w:pPr>
        <w:pStyle w:val="LI-BodyTextSubparai"/>
        <w:rPr>
          <w:rFonts w:ascii="Calibri" w:hAnsi="Calibri" w:cs="Calibri"/>
          <w:color w:val="000000"/>
          <w:szCs w:val="22"/>
        </w:rPr>
      </w:pPr>
      <w:r w:rsidRPr="00460D0E">
        <w:rPr>
          <w:color w:val="000000"/>
        </w:rPr>
        <w:t>(</w:t>
      </w:r>
      <w:proofErr w:type="spellStart"/>
      <w:r w:rsidRPr="00460D0E">
        <w:rPr>
          <w:color w:val="000000"/>
        </w:rPr>
        <w:t>i</w:t>
      </w:r>
      <w:proofErr w:type="spellEnd"/>
      <w:r w:rsidRPr="00460D0E">
        <w:rPr>
          <w:color w:val="000000"/>
        </w:rPr>
        <w:t>)</w:t>
      </w:r>
      <w:r w:rsidR="001B4393">
        <w:rPr>
          <w:color w:val="000000"/>
        </w:rPr>
        <w:tab/>
      </w:r>
      <w:r w:rsidRPr="00460D0E">
        <w:rPr>
          <w:color w:val="000000"/>
        </w:rPr>
        <w:t xml:space="preserve">dealing in a </w:t>
      </w:r>
      <w:r w:rsidRPr="000B02BA">
        <w:rPr>
          <w:color w:val="000000"/>
        </w:rPr>
        <w:t>financial</w:t>
      </w:r>
      <w:r w:rsidRPr="00460D0E">
        <w:rPr>
          <w:color w:val="000000"/>
        </w:rPr>
        <w:t xml:space="preserve"> product by issuing </w:t>
      </w:r>
      <w:proofErr w:type="gramStart"/>
      <w:r w:rsidRPr="00460D0E">
        <w:rPr>
          <w:color w:val="000000"/>
        </w:rPr>
        <w:t>derivatives;</w:t>
      </w:r>
      <w:proofErr w:type="gramEnd"/>
    </w:p>
    <w:p w14:paraId="27C86F95" w14:textId="57F42460" w:rsidR="00460D0E" w:rsidRPr="00460D0E" w:rsidRDefault="00460D0E" w:rsidP="000B02BA">
      <w:pPr>
        <w:pStyle w:val="LI-BodyTextSubparai"/>
        <w:rPr>
          <w:rFonts w:ascii="Calibri" w:hAnsi="Calibri" w:cs="Calibri"/>
          <w:color w:val="000000"/>
          <w:szCs w:val="22"/>
        </w:rPr>
      </w:pPr>
      <w:r w:rsidRPr="00460D0E">
        <w:rPr>
          <w:color w:val="000000"/>
        </w:rPr>
        <w:t>(ii)</w:t>
      </w:r>
      <w:r w:rsidR="001B4393">
        <w:rPr>
          <w:color w:val="000000"/>
        </w:rPr>
        <w:tab/>
      </w:r>
      <w:r w:rsidRPr="00460D0E">
        <w:rPr>
          <w:color w:val="000000"/>
        </w:rPr>
        <w:t xml:space="preserve">making a market for </w:t>
      </w:r>
      <w:r w:rsidRPr="000B02BA">
        <w:t>derivatives</w:t>
      </w:r>
      <w:r w:rsidRPr="00460D0E">
        <w:rPr>
          <w:color w:val="000000"/>
        </w:rPr>
        <w:t>; and</w:t>
      </w:r>
    </w:p>
    <w:p w14:paraId="2AE6C916" w14:textId="77777777" w:rsidR="00A02974" w:rsidRDefault="00460D0E" w:rsidP="000B02BA">
      <w:pPr>
        <w:pStyle w:val="LI-BodyTextParaa"/>
        <w:rPr>
          <w:color w:val="000000"/>
        </w:rPr>
      </w:pPr>
      <w:r w:rsidRPr="00460D0E">
        <w:rPr>
          <w:color w:val="000000"/>
        </w:rPr>
        <w:t>(b)</w:t>
      </w:r>
      <w:r w:rsidR="001B4393">
        <w:rPr>
          <w:color w:val="000000"/>
        </w:rPr>
        <w:tab/>
      </w:r>
      <w:r w:rsidRPr="00460D0E">
        <w:rPr>
          <w:color w:val="000000"/>
        </w:rPr>
        <w:t>incurs actual or contingent liabilities by issuing derivatives to persons as a retail client; and</w:t>
      </w:r>
      <w:r w:rsidR="00A02974">
        <w:rPr>
          <w:color w:val="000000"/>
        </w:rPr>
        <w:t xml:space="preserve"> </w:t>
      </w:r>
    </w:p>
    <w:p w14:paraId="65EA71CE" w14:textId="121E2E66" w:rsidR="00460D0E" w:rsidRPr="00460D0E" w:rsidRDefault="00460D0E" w:rsidP="000B02BA">
      <w:pPr>
        <w:pStyle w:val="LI-BodyTextParaa"/>
        <w:rPr>
          <w:rFonts w:ascii="Calibri" w:hAnsi="Calibri" w:cs="Calibri"/>
          <w:color w:val="000000"/>
          <w:szCs w:val="22"/>
        </w:rPr>
      </w:pPr>
      <w:r w:rsidRPr="00460D0E">
        <w:rPr>
          <w:color w:val="000000"/>
        </w:rPr>
        <w:t>(c)</w:t>
      </w:r>
      <w:r w:rsidR="001B4393">
        <w:rPr>
          <w:color w:val="000000"/>
        </w:rPr>
        <w:tab/>
      </w:r>
      <w:r w:rsidRPr="00460D0E">
        <w:rPr>
          <w:color w:val="000000"/>
        </w:rPr>
        <w:t xml:space="preserve">is </w:t>
      </w:r>
      <w:r w:rsidRPr="00924DA3">
        <w:t>not</w:t>
      </w:r>
      <w:r w:rsidRPr="00460D0E">
        <w:rPr>
          <w:color w:val="000000"/>
        </w:rPr>
        <w:t>:</w:t>
      </w:r>
    </w:p>
    <w:p w14:paraId="65225E1D" w14:textId="3D7608E7" w:rsidR="00460D0E" w:rsidRPr="00460D0E" w:rsidRDefault="00460D0E" w:rsidP="000B02BA">
      <w:pPr>
        <w:pStyle w:val="LI-BodyTextSubparai"/>
        <w:rPr>
          <w:rFonts w:ascii="Calibri" w:hAnsi="Calibri" w:cs="Calibri"/>
          <w:color w:val="000000"/>
          <w:szCs w:val="22"/>
        </w:rPr>
      </w:pPr>
      <w:r w:rsidRPr="00460D0E">
        <w:rPr>
          <w:color w:val="000000"/>
        </w:rPr>
        <w:t>(</w:t>
      </w:r>
      <w:proofErr w:type="spellStart"/>
      <w:r w:rsidRPr="00460D0E">
        <w:rPr>
          <w:color w:val="000000"/>
        </w:rPr>
        <w:t>i</w:t>
      </w:r>
      <w:proofErr w:type="spellEnd"/>
      <w:r w:rsidRPr="00460D0E">
        <w:rPr>
          <w:color w:val="000000"/>
        </w:rPr>
        <w:t>)</w:t>
      </w:r>
      <w:r w:rsidR="001B4393">
        <w:rPr>
          <w:color w:val="000000"/>
        </w:rPr>
        <w:tab/>
      </w:r>
      <w:r w:rsidRPr="00460D0E">
        <w:rPr>
          <w:color w:val="000000"/>
        </w:rPr>
        <w:t xml:space="preserve">a body </w:t>
      </w:r>
      <w:r w:rsidRPr="000B02BA">
        <w:t>regulated</w:t>
      </w:r>
      <w:r w:rsidRPr="00460D0E">
        <w:rPr>
          <w:color w:val="000000"/>
        </w:rPr>
        <w:t xml:space="preserve"> by APRA</w:t>
      </w:r>
      <w:r w:rsidR="00413607">
        <w:rPr>
          <w:color w:val="000000"/>
        </w:rPr>
        <w:t xml:space="preserve"> that is not required to comply with paragraph 912A(1)(d)</w:t>
      </w:r>
      <w:r w:rsidRPr="00460D0E">
        <w:rPr>
          <w:color w:val="000000"/>
        </w:rPr>
        <w:t>; or</w:t>
      </w:r>
    </w:p>
    <w:p w14:paraId="6CA2ED6F" w14:textId="3058D94B" w:rsidR="00460D0E" w:rsidRPr="00460D0E" w:rsidRDefault="00460D0E" w:rsidP="000B02BA">
      <w:pPr>
        <w:pStyle w:val="LI-BodyTextSubparai"/>
        <w:rPr>
          <w:rFonts w:ascii="Calibri" w:hAnsi="Calibri" w:cs="Calibri"/>
          <w:color w:val="000000"/>
          <w:szCs w:val="22"/>
        </w:rPr>
      </w:pPr>
      <w:r w:rsidRPr="00460D0E">
        <w:rPr>
          <w:color w:val="000000"/>
        </w:rPr>
        <w:t>(ii)</w:t>
      </w:r>
      <w:r w:rsidR="001B4393">
        <w:rPr>
          <w:color w:val="000000"/>
        </w:rPr>
        <w:tab/>
      </w:r>
      <w:r w:rsidRPr="00460D0E">
        <w:rPr>
          <w:color w:val="000000"/>
        </w:rPr>
        <w:t xml:space="preserve">a market </w:t>
      </w:r>
      <w:r w:rsidRPr="007D016C">
        <w:t>participant</w:t>
      </w:r>
      <w:r w:rsidRPr="00460D0E">
        <w:rPr>
          <w:color w:val="000000"/>
        </w:rPr>
        <w:t>; or</w:t>
      </w:r>
    </w:p>
    <w:p w14:paraId="405D983E" w14:textId="79F5B0C8" w:rsidR="00460D0E" w:rsidRPr="00460D0E" w:rsidRDefault="00460D0E" w:rsidP="000B02BA">
      <w:pPr>
        <w:pStyle w:val="LI-BodyTextSubparai"/>
        <w:rPr>
          <w:rFonts w:ascii="Calibri" w:hAnsi="Calibri" w:cs="Calibri"/>
          <w:color w:val="000000"/>
          <w:szCs w:val="22"/>
        </w:rPr>
      </w:pPr>
      <w:r w:rsidRPr="00460D0E">
        <w:rPr>
          <w:color w:val="000000"/>
        </w:rPr>
        <w:t>(iii)</w:t>
      </w:r>
      <w:r w:rsidR="001B4393">
        <w:rPr>
          <w:color w:val="000000"/>
        </w:rPr>
        <w:tab/>
      </w:r>
      <w:r w:rsidRPr="00460D0E">
        <w:rPr>
          <w:color w:val="000000"/>
        </w:rPr>
        <w:t xml:space="preserve">a </w:t>
      </w:r>
      <w:r w:rsidRPr="000B02BA">
        <w:t>clearing</w:t>
      </w:r>
      <w:r w:rsidRPr="00460D0E">
        <w:rPr>
          <w:color w:val="000000"/>
        </w:rPr>
        <w:t xml:space="preserve"> </w:t>
      </w:r>
      <w:r w:rsidRPr="007D016C">
        <w:t>participant</w:t>
      </w:r>
      <w:r w:rsidRPr="00460D0E">
        <w:rPr>
          <w:color w:val="000000"/>
        </w:rPr>
        <w:t>.</w:t>
      </w:r>
      <w:bookmarkStart w:id="12" w:name="4"/>
      <w:bookmarkEnd w:id="12"/>
    </w:p>
    <w:p w14:paraId="450FDA85" w14:textId="6C6CA1B1" w:rsidR="00460D0E" w:rsidRPr="00460D0E" w:rsidRDefault="00460D0E" w:rsidP="000B02BA">
      <w:pPr>
        <w:pStyle w:val="LI-BodyTextNumbered"/>
        <w:rPr>
          <w:rFonts w:ascii="Calibri" w:hAnsi="Calibri" w:cs="Calibri"/>
          <w:color w:val="000000"/>
          <w:szCs w:val="22"/>
        </w:rPr>
      </w:pPr>
      <w:r w:rsidRPr="00460D0E">
        <w:rPr>
          <w:color w:val="000000"/>
        </w:rPr>
        <w:t>(2)</w:t>
      </w:r>
      <w:r w:rsidR="0051600A">
        <w:rPr>
          <w:color w:val="000000"/>
        </w:rPr>
        <w:tab/>
      </w:r>
      <w:r w:rsidRPr="00460D0E">
        <w:rPr>
          <w:color w:val="000000"/>
        </w:rPr>
        <w:t>A financial services licensee covered by subsection (1) that complies with this section is taken to comply with conditions (if any) of its licence that relate to</w:t>
      </w:r>
      <w:r w:rsidR="001451A7">
        <w:rPr>
          <w:color w:val="000000"/>
        </w:rPr>
        <w:t xml:space="preserve"> any of the following</w:t>
      </w:r>
      <w:r w:rsidRPr="00460D0E">
        <w:rPr>
          <w:color w:val="000000"/>
        </w:rPr>
        <w:t>:</w:t>
      </w:r>
    </w:p>
    <w:p w14:paraId="66210CEF" w14:textId="5D7B4402" w:rsidR="00460D0E" w:rsidRPr="00460D0E" w:rsidRDefault="00460D0E" w:rsidP="000B02BA">
      <w:pPr>
        <w:pStyle w:val="LI-BodyTextParaa"/>
        <w:rPr>
          <w:rFonts w:ascii="Arial Unicode MS" w:hAnsi="Arial Unicode MS"/>
          <w:color w:val="000000"/>
          <w:szCs w:val="22"/>
        </w:rPr>
      </w:pPr>
      <w:r w:rsidRPr="00460D0E">
        <w:rPr>
          <w:color w:val="000000"/>
        </w:rPr>
        <w:t>(a)</w:t>
      </w:r>
      <w:r w:rsidR="001B4393">
        <w:rPr>
          <w:color w:val="000000"/>
        </w:rPr>
        <w:tab/>
      </w:r>
      <w:r w:rsidRPr="00460D0E">
        <w:rPr>
          <w:color w:val="000000"/>
        </w:rPr>
        <w:t xml:space="preserve">a cash </w:t>
      </w:r>
      <w:proofErr w:type="gramStart"/>
      <w:r w:rsidRPr="000B02BA">
        <w:t>needs</w:t>
      </w:r>
      <w:proofErr w:type="gramEnd"/>
      <w:r w:rsidRPr="00460D0E">
        <w:rPr>
          <w:color w:val="000000"/>
        </w:rPr>
        <w:t xml:space="preserve"> requirement;</w:t>
      </w:r>
    </w:p>
    <w:p w14:paraId="1CFA295C" w14:textId="19F9399A" w:rsidR="00460D0E" w:rsidRPr="00A57209" w:rsidRDefault="00460D0E" w:rsidP="000B02BA">
      <w:pPr>
        <w:pStyle w:val="LI-BodyTextParaa"/>
      </w:pPr>
      <w:r w:rsidRPr="00460D0E">
        <w:rPr>
          <w:color w:val="000000"/>
        </w:rPr>
        <w:t>(b)</w:t>
      </w:r>
      <w:r w:rsidR="001B4393">
        <w:rPr>
          <w:color w:val="000000"/>
        </w:rPr>
        <w:tab/>
      </w:r>
      <w:r w:rsidRPr="00460D0E">
        <w:rPr>
          <w:color w:val="000000"/>
        </w:rPr>
        <w:t>financial requir</w:t>
      </w:r>
      <w:r w:rsidRPr="00A57209">
        <w:t xml:space="preserve">ements for licensees transacting with </w:t>
      </w:r>
      <w:proofErr w:type="gramStart"/>
      <w:r w:rsidRPr="00A57209">
        <w:t>clients;</w:t>
      </w:r>
      <w:proofErr w:type="gramEnd"/>
    </w:p>
    <w:p w14:paraId="18A3C18A" w14:textId="7F057CC7" w:rsidR="00A02974" w:rsidRDefault="00460D0E" w:rsidP="00A57209">
      <w:pPr>
        <w:pStyle w:val="LI-BodyTextParaa"/>
      </w:pPr>
      <w:r w:rsidRPr="00A57209">
        <w:t>(c)</w:t>
      </w:r>
      <w:r w:rsidR="001B4393">
        <w:tab/>
      </w:r>
      <w:r w:rsidRPr="00A57209">
        <w:t xml:space="preserve">reporting triggers and requirements for financial requirement </w:t>
      </w:r>
      <w:proofErr w:type="gramStart"/>
      <w:r w:rsidRPr="00A57209">
        <w:t>conditions;</w:t>
      </w:r>
      <w:proofErr w:type="gramEnd"/>
    </w:p>
    <w:p w14:paraId="7037FA11" w14:textId="4EFB4570" w:rsidR="00460D0E" w:rsidRPr="00460D0E" w:rsidRDefault="00460D0E" w:rsidP="00A57209">
      <w:pPr>
        <w:pStyle w:val="LI-BodyTextParaa"/>
        <w:rPr>
          <w:rFonts w:ascii="Calibri" w:hAnsi="Calibri" w:cs="Calibri"/>
          <w:color w:val="000000"/>
          <w:szCs w:val="22"/>
        </w:rPr>
      </w:pPr>
      <w:r w:rsidRPr="00A57209">
        <w:t>(d)</w:t>
      </w:r>
      <w:r w:rsidR="001B4393">
        <w:tab/>
      </w:r>
      <w:r w:rsidRPr="00A57209">
        <w:t>the obligation to lodge an audit opinion on the financial requirements to the ex</w:t>
      </w:r>
      <w:r w:rsidRPr="00460D0E">
        <w:rPr>
          <w:color w:val="000000"/>
        </w:rPr>
        <w:t>tent the opinion is for a part of a financial year or other period during which the licensee was covered by subsection (1).</w:t>
      </w:r>
    </w:p>
    <w:p w14:paraId="32DDCEB2" w14:textId="4428C8DB" w:rsidR="00460D0E" w:rsidRPr="00460D0E" w:rsidRDefault="00460D0E" w:rsidP="001B4393">
      <w:pPr>
        <w:pStyle w:val="LI-SectionNote"/>
        <w:spacing w:line="235" w:lineRule="atLeast"/>
        <w:ind w:left="1701"/>
        <w:rPr>
          <w:rFonts w:ascii="Calibri" w:hAnsi="Calibri" w:cs="Calibri"/>
          <w:color w:val="000000"/>
          <w:szCs w:val="22"/>
        </w:rPr>
      </w:pPr>
      <w:r w:rsidRPr="00460D0E">
        <w:t>Note:</w:t>
      </w:r>
      <w:r w:rsidR="00213FE2">
        <w:tab/>
      </w:r>
      <w:r w:rsidRPr="00460D0E">
        <w:t>The conditions on the licence may include other requirements that relate to having available adequate financial resources.</w:t>
      </w:r>
    </w:p>
    <w:p w14:paraId="4F1282EA" w14:textId="77777777" w:rsidR="00A02974" w:rsidRDefault="00460D0E" w:rsidP="001B4393">
      <w:pPr>
        <w:pStyle w:val="LI-Heading3"/>
        <w:rPr>
          <w:color w:val="000000"/>
          <w:sz w:val="24"/>
          <w:szCs w:val="24"/>
        </w:rPr>
      </w:pPr>
      <w:r w:rsidRPr="00460D0E">
        <w:rPr>
          <w:iCs/>
          <w:color w:val="000000"/>
          <w:sz w:val="24"/>
          <w:szCs w:val="24"/>
        </w:rPr>
        <w:lastRenderedPageBreak/>
        <w:t xml:space="preserve">Cash needs </w:t>
      </w:r>
      <w:r w:rsidRPr="001B4393">
        <w:rPr>
          <w:sz w:val="24"/>
          <w:szCs w:val="24"/>
        </w:rPr>
        <w:t>requirement</w:t>
      </w:r>
      <w:r w:rsidR="00A02974">
        <w:rPr>
          <w:color w:val="000000"/>
          <w:sz w:val="24"/>
          <w:szCs w:val="24"/>
        </w:rPr>
        <w:t xml:space="preserve"> </w:t>
      </w:r>
    </w:p>
    <w:p w14:paraId="3FA6CB18" w14:textId="6AA4CB27" w:rsidR="00460D0E" w:rsidRPr="00460D0E" w:rsidRDefault="00460D0E" w:rsidP="00F5517B">
      <w:pPr>
        <w:pStyle w:val="LI-BodyTextNumbered"/>
        <w:rPr>
          <w:rFonts w:ascii="Calibri" w:hAnsi="Calibri" w:cs="Calibri"/>
          <w:color w:val="000000"/>
          <w:szCs w:val="22"/>
        </w:rPr>
      </w:pPr>
      <w:r w:rsidRPr="00460D0E">
        <w:rPr>
          <w:color w:val="000000"/>
        </w:rPr>
        <w:t>(3)</w:t>
      </w:r>
      <w:r w:rsidR="0051600A">
        <w:rPr>
          <w:color w:val="000000"/>
        </w:rPr>
        <w:tab/>
      </w:r>
      <w:r w:rsidRPr="00460D0E">
        <w:rPr>
          <w:color w:val="000000"/>
        </w:rPr>
        <w:t>The licensee must:</w:t>
      </w:r>
    </w:p>
    <w:p w14:paraId="7CCA3A8C" w14:textId="58AA34EF" w:rsidR="00460D0E" w:rsidRPr="00F5517B" w:rsidRDefault="00460D0E" w:rsidP="00F5517B">
      <w:pPr>
        <w:pStyle w:val="LI-BodyTextParaa"/>
      </w:pPr>
      <w:r w:rsidRPr="00460D0E">
        <w:rPr>
          <w:color w:val="000000"/>
        </w:rPr>
        <w:t>(a)</w:t>
      </w:r>
      <w:r w:rsidR="00F5517B">
        <w:rPr>
          <w:color w:val="000000"/>
        </w:rPr>
        <w:tab/>
      </w:r>
      <w:r w:rsidRPr="00F5517B">
        <w:t xml:space="preserve">in each March, June, </w:t>
      </w:r>
      <w:proofErr w:type="gramStart"/>
      <w:r w:rsidRPr="00F5517B">
        <w:t>September</w:t>
      </w:r>
      <w:proofErr w:type="gramEnd"/>
      <w:r w:rsidRPr="00F5517B">
        <w:t xml:space="preserve"> and December, prepare a projection of the licensee’s cash flows over at least the next 12 months based on the licensee’s reasonable estimate of revenues and expenses over this period; and</w:t>
      </w:r>
    </w:p>
    <w:p w14:paraId="0CDEAC2F" w14:textId="6BE7764F" w:rsidR="00460D0E" w:rsidRPr="00F5517B" w:rsidRDefault="00460D0E" w:rsidP="00F5517B">
      <w:pPr>
        <w:pStyle w:val="LI-BodyTextParaa"/>
      </w:pPr>
      <w:r w:rsidRPr="00F5517B">
        <w:t>(b)</w:t>
      </w:r>
      <w:r w:rsidR="00F5517B">
        <w:tab/>
      </w:r>
      <w:r w:rsidRPr="00F5517B">
        <w:t>have the projection approved in writing by the following persons as being based on the licensee’s reasonable estimate of revenues and expenses over the relevant period:</w:t>
      </w:r>
    </w:p>
    <w:p w14:paraId="43F14176" w14:textId="4EE6E868" w:rsidR="00460D0E" w:rsidRPr="004704B6" w:rsidRDefault="00460D0E" w:rsidP="00F5517B">
      <w:pPr>
        <w:pStyle w:val="LI-BodyTextSubparai"/>
        <w:rPr>
          <w:color w:val="000000"/>
        </w:rPr>
      </w:pPr>
      <w:r w:rsidRPr="00F5517B">
        <w:t>(</w:t>
      </w:r>
      <w:proofErr w:type="spellStart"/>
      <w:r w:rsidRPr="00F5517B">
        <w:t>i</w:t>
      </w:r>
      <w:proofErr w:type="spellEnd"/>
      <w:r w:rsidRPr="00F5517B">
        <w:t>)</w:t>
      </w:r>
      <w:r w:rsidR="004704B6">
        <w:tab/>
      </w:r>
      <w:r w:rsidRPr="004704B6">
        <w:rPr>
          <w:color w:val="000000"/>
        </w:rPr>
        <w:t xml:space="preserve">if the licensee is a body corporate—the directors of the </w:t>
      </w:r>
      <w:proofErr w:type="gramStart"/>
      <w:r w:rsidRPr="004704B6">
        <w:rPr>
          <w:color w:val="000000"/>
        </w:rPr>
        <w:t>licensee;</w:t>
      </w:r>
      <w:proofErr w:type="gramEnd"/>
    </w:p>
    <w:p w14:paraId="7117CB17" w14:textId="795D55CD" w:rsidR="00460D0E" w:rsidRPr="004704B6" w:rsidRDefault="00460D0E" w:rsidP="00F5517B">
      <w:pPr>
        <w:pStyle w:val="LI-BodyTextSubparai"/>
        <w:rPr>
          <w:color w:val="000000"/>
        </w:rPr>
      </w:pPr>
      <w:r w:rsidRPr="004704B6">
        <w:rPr>
          <w:color w:val="000000"/>
        </w:rPr>
        <w:t>(ii)</w:t>
      </w:r>
      <w:r w:rsidR="004704B6">
        <w:rPr>
          <w:color w:val="000000"/>
        </w:rPr>
        <w:tab/>
      </w:r>
      <w:r w:rsidRPr="004704B6">
        <w:rPr>
          <w:color w:val="000000"/>
        </w:rPr>
        <w:t xml:space="preserve">if the licensee is a partnership or the trustees of a trust—the partners of the licensee or the </w:t>
      </w:r>
      <w:proofErr w:type="gramStart"/>
      <w:r w:rsidRPr="004704B6">
        <w:rPr>
          <w:color w:val="000000"/>
        </w:rPr>
        <w:t>trustees;</w:t>
      </w:r>
      <w:proofErr w:type="gramEnd"/>
    </w:p>
    <w:p w14:paraId="38D71250" w14:textId="3A799DF6" w:rsidR="00460D0E" w:rsidRPr="00F5517B" w:rsidRDefault="00460D0E" w:rsidP="00F5517B">
      <w:pPr>
        <w:pStyle w:val="LI-BodyTextSubparai"/>
      </w:pPr>
      <w:r w:rsidRPr="004704B6">
        <w:rPr>
          <w:color w:val="000000"/>
        </w:rPr>
        <w:t>(iii)</w:t>
      </w:r>
      <w:r w:rsidR="004704B6">
        <w:rPr>
          <w:color w:val="000000"/>
        </w:rPr>
        <w:tab/>
      </w:r>
      <w:r w:rsidRPr="004704B6">
        <w:rPr>
          <w:color w:val="000000"/>
        </w:rPr>
        <w:t>if the licen</w:t>
      </w:r>
      <w:r w:rsidRPr="00F5517B">
        <w:t>see is a natural person—the person; and</w:t>
      </w:r>
    </w:p>
    <w:p w14:paraId="7A654C7C" w14:textId="57843579" w:rsidR="00460D0E" w:rsidRPr="002037A2" w:rsidRDefault="00460D0E" w:rsidP="002037A2">
      <w:pPr>
        <w:pStyle w:val="LI-BodyTextParaa"/>
      </w:pPr>
      <w:r w:rsidRPr="00460D0E">
        <w:rPr>
          <w:color w:val="000000"/>
        </w:rPr>
        <w:t>(c)</w:t>
      </w:r>
      <w:r w:rsidR="002037A2">
        <w:rPr>
          <w:color w:val="000000"/>
        </w:rPr>
        <w:tab/>
      </w:r>
      <w:r w:rsidRPr="002037A2">
        <w:t>document the calculations and assumptions used in preparing the projection, and describe in writing why the assumptions are appropriate; and</w:t>
      </w:r>
    </w:p>
    <w:p w14:paraId="38EE1D0E" w14:textId="0870D742" w:rsidR="00460D0E" w:rsidRPr="002037A2" w:rsidRDefault="00460D0E" w:rsidP="002037A2">
      <w:pPr>
        <w:pStyle w:val="LI-BodyTextParaa"/>
      </w:pPr>
      <w:r w:rsidRPr="002037A2">
        <w:t>(d)</w:t>
      </w:r>
      <w:r w:rsidR="002037A2">
        <w:tab/>
      </w:r>
      <w:r w:rsidRPr="002037A2">
        <w:t xml:space="preserve">update the projection of the licensee’s cash flows if there is reason to suspect that an updated projection would show that the licensee was not meeting the requirements in subparagraphs </w:t>
      </w:r>
      <w:r w:rsidR="00213FE2" w:rsidRPr="002037A2">
        <w:t>(e)</w:t>
      </w:r>
      <w:r w:rsidRPr="002037A2">
        <w:t>(</w:t>
      </w:r>
      <w:proofErr w:type="spellStart"/>
      <w:r w:rsidRPr="002037A2">
        <w:t>i</w:t>
      </w:r>
      <w:proofErr w:type="spellEnd"/>
      <w:r w:rsidRPr="002037A2">
        <w:t>) and (ii); and</w:t>
      </w:r>
    </w:p>
    <w:p w14:paraId="46ABFE81" w14:textId="75499134" w:rsidR="00460D0E" w:rsidRPr="002037A2" w:rsidRDefault="00460D0E" w:rsidP="002037A2">
      <w:pPr>
        <w:pStyle w:val="LI-BodyTextParaa"/>
      </w:pPr>
      <w:r w:rsidRPr="002037A2">
        <w:t>(e)</w:t>
      </w:r>
      <w:r w:rsidR="002037A2">
        <w:tab/>
      </w:r>
      <w:r w:rsidRPr="002037A2">
        <w:t>have the persons mentioned in the subparagraphs (as applicable) of paragraph (b) certify in writing that, based on the projection of the licensee’s cash flows, the licensee:</w:t>
      </w:r>
    </w:p>
    <w:p w14:paraId="681B6BC1" w14:textId="4C6F2552" w:rsidR="00460D0E" w:rsidRPr="002037A2" w:rsidRDefault="00460D0E" w:rsidP="002037A2">
      <w:pPr>
        <w:pStyle w:val="LI-BodyTextSubparai"/>
        <w:rPr>
          <w:color w:val="000000"/>
        </w:rPr>
      </w:pPr>
      <w:r w:rsidRPr="00460D0E">
        <w:rPr>
          <w:color w:val="000000"/>
        </w:rPr>
        <w:t>(</w:t>
      </w:r>
      <w:proofErr w:type="spellStart"/>
      <w:r w:rsidRPr="00460D0E">
        <w:rPr>
          <w:color w:val="000000"/>
        </w:rPr>
        <w:t>i</w:t>
      </w:r>
      <w:proofErr w:type="spellEnd"/>
      <w:r w:rsidRPr="00460D0E">
        <w:rPr>
          <w:color w:val="000000"/>
        </w:rPr>
        <w:t>)</w:t>
      </w:r>
      <w:r w:rsidR="002037A2">
        <w:rPr>
          <w:color w:val="000000"/>
        </w:rPr>
        <w:tab/>
      </w:r>
      <w:r w:rsidRPr="00460D0E">
        <w:rPr>
          <w:color w:val="000000"/>
        </w:rPr>
        <w:t>will have access when needed to enough financial resources to meet its liabilities over the projected term of at least the next 12 months; and</w:t>
      </w:r>
    </w:p>
    <w:p w14:paraId="7F01B908" w14:textId="4D0D39C7" w:rsidR="00460D0E" w:rsidRPr="002037A2" w:rsidRDefault="00460D0E" w:rsidP="002037A2">
      <w:pPr>
        <w:pStyle w:val="LI-BodyTextSubparai"/>
        <w:rPr>
          <w:color w:val="000000"/>
        </w:rPr>
      </w:pPr>
      <w:r w:rsidRPr="00460D0E">
        <w:rPr>
          <w:color w:val="000000"/>
        </w:rPr>
        <w:t>(ii)</w:t>
      </w:r>
      <w:r w:rsidR="002037A2">
        <w:rPr>
          <w:color w:val="000000"/>
        </w:rPr>
        <w:tab/>
      </w:r>
      <w:r w:rsidRPr="00460D0E">
        <w:rPr>
          <w:color w:val="000000"/>
        </w:rPr>
        <w:t xml:space="preserve">will </w:t>
      </w:r>
      <w:proofErr w:type="gramStart"/>
      <w:r w:rsidRPr="00460D0E">
        <w:rPr>
          <w:color w:val="000000"/>
        </w:rPr>
        <w:t>hold at all times</w:t>
      </w:r>
      <w:proofErr w:type="gramEnd"/>
      <w:r w:rsidRPr="00460D0E">
        <w:rPr>
          <w:color w:val="000000"/>
        </w:rPr>
        <w:t xml:space="preserve"> during the period to which the projection relates in cash or cash equivalents, an amount equal to or greater than the current amount the licensee is required to hold in cash or cash equivalents under subsection (5); and</w:t>
      </w:r>
    </w:p>
    <w:p w14:paraId="0CAA0F4E" w14:textId="51323D50" w:rsidR="00460D0E" w:rsidRPr="00460D0E" w:rsidRDefault="00460D0E" w:rsidP="00505F1F">
      <w:pPr>
        <w:pStyle w:val="LI-BodyTextParaa"/>
        <w:rPr>
          <w:rFonts w:ascii="Calibri" w:hAnsi="Calibri" w:cs="Calibri"/>
          <w:color w:val="000000"/>
          <w:szCs w:val="22"/>
        </w:rPr>
      </w:pPr>
      <w:r w:rsidRPr="00460D0E">
        <w:rPr>
          <w:color w:val="000000"/>
        </w:rPr>
        <w:t>(f</w:t>
      </w:r>
      <w:r w:rsidR="00505F1F">
        <w:rPr>
          <w:color w:val="000000"/>
        </w:rPr>
        <w:t>)</w:t>
      </w:r>
      <w:r w:rsidR="00505F1F">
        <w:rPr>
          <w:color w:val="000000"/>
        </w:rPr>
        <w:tab/>
      </w:r>
      <w:r w:rsidRPr="00460D0E">
        <w:rPr>
          <w:color w:val="000000"/>
        </w:rPr>
        <w:t xml:space="preserve">make the </w:t>
      </w:r>
      <w:r w:rsidRPr="002037A2">
        <w:t>projections</w:t>
      </w:r>
      <w:r w:rsidRPr="00460D0E">
        <w:rPr>
          <w:color w:val="000000"/>
        </w:rPr>
        <w:t xml:space="preserve"> available to ASIC on request.</w:t>
      </w:r>
    </w:p>
    <w:p w14:paraId="0CAB1176" w14:textId="7A090DBB" w:rsidR="00460D0E" w:rsidRPr="00731B5D" w:rsidRDefault="00460D0E" w:rsidP="00505F1F">
      <w:pPr>
        <w:pStyle w:val="LI-Heading3"/>
        <w:rPr>
          <w:sz w:val="24"/>
          <w:szCs w:val="24"/>
        </w:rPr>
      </w:pPr>
      <w:r w:rsidRPr="00731B5D">
        <w:rPr>
          <w:sz w:val="24"/>
          <w:szCs w:val="24"/>
        </w:rPr>
        <w:lastRenderedPageBreak/>
        <w:t xml:space="preserve">Net </w:t>
      </w:r>
      <w:r w:rsidRPr="00505F1F">
        <w:rPr>
          <w:sz w:val="24"/>
          <w:szCs w:val="24"/>
        </w:rPr>
        <w:t>tangible</w:t>
      </w:r>
      <w:r w:rsidRPr="00731B5D">
        <w:rPr>
          <w:sz w:val="24"/>
          <w:szCs w:val="24"/>
        </w:rPr>
        <w:t xml:space="preserve"> assets</w:t>
      </w:r>
    </w:p>
    <w:p w14:paraId="59925BEA" w14:textId="4A094762" w:rsidR="00460D0E" w:rsidRPr="00505F1F" w:rsidRDefault="00460D0E" w:rsidP="00EB32AA">
      <w:pPr>
        <w:pStyle w:val="LI-BodyTextNumbered"/>
        <w:keepNext/>
        <w:rPr>
          <w:color w:val="000000"/>
        </w:rPr>
      </w:pPr>
      <w:r w:rsidRPr="00460D0E">
        <w:rPr>
          <w:color w:val="000000"/>
        </w:rPr>
        <w:t>(4)</w:t>
      </w:r>
      <w:r w:rsidR="00337DF9">
        <w:rPr>
          <w:color w:val="000000"/>
        </w:rPr>
        <w:tab/>
      </w:r>
      <w:r w:rsidRPr="00460D0E">
        <w:rPr>
          <w:color w:val="000000"/>
        </w:rPr>
        <w:t>The licensee must</w:t>
      </w:r>
      <w:r w:rsidR="00582E89">
        <w:rPr>
          <w:color w:val="000000"/>
        </w:rPr>
        <w:t xml:space="preserve"> </w:t>
      </w:r>
      <w:proofErr w:type="gramStart"/>
      <w:r w:rsidRPr="00460D0E">
        <w:rPr>
          <w:color w:val="000000"/>
        </w:rPr>
        <w:t xml:space="preserve">have at </w:t>
      </w:r>
      <w:r w:rsidRPr="00337DF9">
        <w:t>all</w:t>
      </w:r>
      <w:r w:rsidRPr="00460D0E">
        <w:rPr>
          <w:color w:val="000000"/>
        </w:rPr>
        <w:t xml:space="preserve"> times</w:t>
      </w:r>
      <w:proofErr w:type="gramEnd"/>
      <w:r w:rsidRPr="00460D0E">
        <w:rPr>
          <w:color w:val="000000"/>
        </w:rPr>
        <w:t xml:space="preserve"> NTA (the </w:t>
      </w:r>
      <w:r w:rsidRPr="00E873D7">
        <w:rPr>
          <w:b/>
          <w:bCs/>
          <w:i/>
          <w:iCs/>
          <w:color w:val="000000"/>
        </w:rPr>
        <w:t>required NTA</w:t>
      </w:r>
      <w:r w:rsidRPr="00460D0E">
        <w:rPr>
          <w:color w:val="000000"/>
        </w:rPr>
        <w:t>) of at least the greater of:</w:t>
      </w:r>
    </w:p>
    <w:p w14:paraId="5EFF44C7" w14:textId="0E04C9D5" w:rsidR="00460D0E" w:rsidRPr="00731B5D" w:rsidRDefault="00460D0E" w:rsidP="00EB32AA">
      <w:pPr>
        <w:pStyle w:val="LI-BodyTextParaa"/>
        <w:keepNext/>
      </w:pPr>
      <w:r w:rsidRPr="00731B5D">
        <w:t>(</w:t>
      </w:r>
      <w:r w:rsidR="00213FE2" w:rsidRPr="00731B5D">
        <w:t>a</w:t>
      </w:r>
      <w:r w:rsidRPr="00731B5D">
        <w:t>)</w:t>
      </w:r>
      <w:r w:rsidR="00337DF9">
        <w:tab/>
      </w:r>
      <w:r w:rsidRPr="00731B5D">
        <w:t>$1,000,000; or</w:t>
      </w:r>
    </w:p>
    <w:p w14:paraId="538E570C" w14:textId="072228DA" w:rsidR="00460D0E" w:rsidRPr="00731B5D" w:rsidRDefault="00460D0E" w:rsidP="00731B5D">
      <w:pPr>
        <w:pStyle w:val="LI-BodyTextParaa"/>
      </w:pPr>
      <w:r w:rsidRPr="00731B5D">
        <w:t>(</w:t>
      </w:r>
      <w:r w:rsidR="00213FE2" w:rsidRPr="00731B5D">
        <w:t>b</w:t>
      </w:r>
      <w:r w:rsidRPr="00731B5D">
        <w:t>)</w:t>
      </w:r>
      <w:r w:rsidR="00337DF9">
        <w:tab/>
      </w:r>
      <w:r w:rsidRPr="00731B5D">
        <w:t>10% of average revenue of the licensee.</w:t>
      </w:r>
    </w:p>
    <w:p w14:paraId="16AE4D0A" w14:textId="116FA43D" w:rsidR="00460D0E" w:rsidRPr="00460D0E" w:rsidRDefault="00460D0E" w:rsidP="00337DF9">
      <w:pPr>
        <w:pStyle w:val="LI-BodyTextNumbered"/>
        <w:rPr>
          <w:rFonts w:ascii="Calibri" w:hAnsi="Calibri" w:cs="Calibri"/>
          <w:color w:val="000000"/>
          <w:szCs w:val="22"/>
        </w:rPr>
      </w:pPr>
      <w:r w:rsidRPr="00460D0E">
        <w:rPr>
          <w:color w:val="000000"/>
        </w:rPr>
        <w:t>(5)</w:t>
      </w:r>
      <w:r w:rsidR="00337DF9">
        <w:rPr>
          <w:color w:val="000000"/>
        </w:rPr>
        <w:tab/>
      </w:r>
      <w:r w:rsidRPr="00460D0E">
        <w:rPr>
          <w:color w:val="000000"/>
        </w:rPr>
        <w:t xml:space="preserve">The licensee must </w:t>
      </w:r>
      <w:proofErr w:type="gramStart"/>
      <w:r w:rsidRPr="00460D0E">
        <w:rPr>
          <w:color w:val="000000"/>
        </w:rPr>
        <w:t>hold at all times</w:t>
      </w:r>
      <w:proofErr w:type="gramEnd"/>
      <w:r w:rsidRPr="00460D0E">
        <w:rPr>
          <w:color w:val="000000"/>
        </w:rPr>
        <w:t>:</w:t>
      </w:r>
    </w:p>
    <w:p w14:paraId="14A6D9A3" w14:textId="40AA40FE" w:rsidR="00460D0E" w:rsidRPr="00337DF9" w:rsidRDefault="00460D0E" w:rsidP="00337DF9">
      <w:pPr>
        <w:pStyle w:val="LI-BodyTextParaa"/>
      </w:pPr>
      <w:r w:rsidRPr="00460D0E">
        <w:rPr>
          <w:color w:val="000000"/>
        </w:rPr>
        <w:t>(a)</w:t>
      </w:r>
      <w:r w:rsidR="0095288F">
        <w:rPr>
          <w:color w:val="000000"/>
        </w:rPr>
        <w:tab/>
      </w:r>
      <w:r w:rsidRPr="00337DF9">
        <w:t>cash and cash equivalents in an amount that is at least 50% of the required NTA; and</w:t>
      </w:r>
    </w:p>
    <w:p w14:paraId="5FF7FAC9" w14:textId="4E650D94" w:rsidR="00460D0E" w:rsidRPr="00337DF9" w:rsidRDefault="00460D0E" w:rsidP="00337DF9">
      <w:pPr>
        <w:pStyle w:val="LI-BodyTextParaa"/>
      </w:pPr>
      <w:r w:rsidRPr="00337DF9">
        <w:t>(b)</w:t>
      </w:r>
      <w:r w:rsidR="0095288F">
        <w:tab/>
      </w:r>
      <w:r w:rsidRPr="00337DF9">
        <w:t>liquid assets in an amount that is at least 50% of the required NTA.</w:t>
      </w:r>
    </w:p>
    <w:p w14:paraId="4EAB4269" w14:textId="77777777" w:rsidR="00460D0E" w:rsidRPr="00460D0E" w:rsidRDefault="00460D0E" w:rsidP="00F44D00">
      <w:pPr>
        <w:pStyle w:val="LI-BodyTextNumbered"/>
        <w:ind w:firstLine="0"/>
        <w:rPr>
          <w:rFonts w:ascii="Calibri" w:hAnsi="Calibri" w:cs="Calibri"/>
          <w:color w:val="000000"/>
          <w:szCs w:val="22"/>
        </w:rPr>
      </w:pPr>
      <w:r w:rsidRPr="00460D0E">
        <w:rPr>
          <w:color w:val="000000"/>
        </w:rPr>
        <w:t>Money that is in an account held by the licensee for the purposes of section 981B or other cash or cash equivalents that are held in respect of any liability or obligation to clients cannot be counted towards either requirement.</w:t>
      </w:r>
    </w:p>
    <w:p w14:paraId="1B1F9DD9" w14:textId="77777777" w:rsidR="00460D0E" w:rsidRPr="00460D0E" w:rsidRDefault="00460D0E" w:rsidP="00CF0157">
      <w:pPr>
        <w:pStyle w:val="LI-SectionNote"/>
        <w:spacing w:line="235" w:lineRule="atLeast"/>
        <w:ind w:left="1701"/>
        <w:rPr>
          <w:rFonts w:ascii="Calibri" w:hAnsi="Calibri" w:cs="Calibri"/>
          <w:szCs w:val="22"/>
        </w:rPr>
      </w:pPr>
      <w:r w:rsidRPr="00460D0E">
        <w:t>Note:</w:t>
      </w:r>
      <w:r w:rsidR="00213FE2">
        <w:tab/>
      </w:r>
      <w:r w:rsidRPr="00460D0E">
        <w:t>For the avoidance of doubt, any other cash and cash equivalents cannot be counted for both paragraph (a) and (b).</w:t>
      </w:r>
    </w:p>
    <w:p w14:paraId="1B437086" w14:textId="06809807" w:rsidR="00A02974" w:rsidRDefault="00460D0E" w:rsidP="00DA4943">
      <w:pPr>
        <w:pStyle w:val="LI-BodyTextNumbered"/>
        <w:spacing w:line="235" w:lineRule="atLeast"/>
        <w:rPr>
          <w:color w:val="000000"/>
        </w:rPr>
      </w:pPr>
      <w:r w:rsidRPr="00460D0E">
        <w:t>(6)</w:t>
      </w:r>
      <w:r w:rsidR="00DA4943">
        <w:tab/>
      </w:r>
      <w:r w:rsidRPr="00460D0E">
        <w:t>The licensee must lodge with ASIC a statement in writing setting out:</w:t>
      </w:r>
    </w:p>
    <w:p w14:paraId="6521E108" w14:textId="1AB7E11A" w:rsidR="00460D0E" w:rsidRPr="00DA4943" w:rsidRDefault="00460D0E" w:rsidP="00DA4943">
      <w:pPr>
        <w:pStyle w:val="LI-BodyTextParaa"/>
      </w:pPr>
      <w:r w:rsidRPr="00DA4943">
        <w:t>(a)</w:t>
      </w:r>
      <w:r w:rsidR="00DA4943">
        <w:tab/>
      </w:r>
      <w:r w:rsidRPr="00DA4943">
        <w:t>its NTA as at the end of the licensee’s financial year; and</w:t>
      </w:r>
    </w:p>
    <w:p w14:paraId="52828ADD" w14:textId="7B9CDC54" w:rsidR="00460D0E" w:rsidRPr="00DA4943" w:rsidRDefault="00460D0E" w:rsidP="00DA4943">
      <w:pPr>
        <w:pStyle w:val="LI-BodyTextParaa"/>
      </w:pPr>
      <w:r w:rsidRPr="00DA4943">
        <w:t>(b)</w:t>
      </w:r>
      <w:r w:rsidR="00DA4943">
        <w:tab/>
      </w:r>
      <w:r w:rsidRPr="00DA4943">
        <w:t>details of how this was worked out.</w:t>
      </w:r>
    </w:p>
    <w:p w14:paraId="6C96080D" w14:textId="77777777" w:rsidR="00460D0E" w:rsidRPr="00460D0E" w:rsidRDefault="00460D0E" w:rsidP="00DA4943">
      <w:pPr>
        <w:pStyle w:val="LI-BodyTextNumbered"/>
        <w:ind w:firstLine="0"/>
        <w:rPr>
          <w:rFonts w:ascii="Calibri" w:hAnsi="Calibri" w:cs="Calibri"/>
          <w:color w:val="000000"/>
          <w:szCs w:val="22"/>
        </w:rPr>
      </w:pPr>
      <w:r w:rsidRPr="00460D0E">
        <w:rPr>
          <w:color w:val="000000"/>
        </w:rPr>
        <w:t>The statement must be lodged no later than when the licensee is required to lodge a balance sheet with ASIC under section 989B for the financial year.</w:t>
      </w:r>
    </w:p>
    <w:p w14:paraId="3FA15324" w14:textId="3CBF49F3" w:rsidR="00460D0E" w:rsidRPr="00DA4943" w:rsidRDefault="00460D0E" w:rsidP="00DA4943">
      <w:pPr>
        <w:pStyle w:val="LI-Heading3"/>
        <w:rPr>
          <w:sz w:val="24"/>
          <w:szCs w:val="24"/>
        </w:rPr>
      </w:pPr>
      <w:r w:rsidRPr="00DA4943">
        <w:rPr>
          <w:sz w:val="24"/>
          <w:szCs w:val="24"/>
        </w:rPr>
        <w:t>Reporting triggers and requirements for financial requirement conditions</w:t>
      </w:r>
    </w:p>
    <w:p w14:paraId="2AFF51B0" w14:textId="47EB5014" w:rsidR="00460D0E" w:rsidRPr="00DA4943" w:rsidRDefault="00460D0E" w:rsidP="00DA4943">
      <w:pPr>
        <w:pStyle w:val="LI-BodyTextNumbered"/>
        <w:spacing w:line="235" w:lineRule="atLeast"/>
      </w:pPr>
      <w:r w:rsidRPr="00DA4943">
        <w:t>(7)</w:t>
      </w:r>
      <w:r w:rsidR="00DA4943">
        <w:tab/>
      </w:r>
      <w:r w:rsidRPr="00DA4943">
        <w:t>Where the NTA of the licensee decreases (a </w:t>
      </w:r>
      <w:r w:rsidRPr="00E873D7">
        <w:rPr>
          <w:b/>
          <w:bCs/>
          <w:i/>
          <w:iCs/>
        </w:rPr>
        <w:t>notifiable event</w:t>
      </w:r>
      <w:r w:rsidRPr="00DA4943">
        <w:t>) from an amount greater than 110% of the required NTA to a lower amount, the licensee must, by the following times, lodge a written report with ASIC that specifies the NTA of the licensee as at the date of the report:</w:t>
      </w:r>
    </w:p>
    <w:p w14:paraId="79AB62E7" w14:textId="74B1CCBA" w:rsidR="00460D0E" w:rsidRPr="0021678F" w:rsidRDefault="00460D0E" w:rsidP="0021678F">
      <w:pPr>
        <w:pStyle w:val="LI-BodyTextParaa"/>
      </w:pPr>
      <w:r w:rsidRPr="00460D0E">
        <w:rPr>
          <w:color w:val="000000"/>
        </w:rPr>
        <w:t>(</w:t>
      </w:r>
      <w:r w:rsidRPr="0021678F">
        <w:t>a)</w:t>
      </w:r>
      <w:r w:rsidR="0021678F">
        <w:tab/>
      </w:r>
      <w:r w:rsidRPr="0021678F">
        <w:t>within 3 business days after becoming aware of the notifiable event; and</w:t>
      </w:r>
    </w:p>
    <w:p w14:paraId="3A14EB13" w14:textId="32D6D0FC" w:rsidR="00460D0E" w:rsidRPr="0021678F" w:rsidRDefault="00460D0E" w:rsidP="0021678F">
      <w:pPr>
        <w:pStyle w:val="LI-BodyTextParaa"/>
      </w:pPr>
      <w:r w:rsidRPr="0021678F">
        <w:t>(b)</w:t>
      </w:r>
      <w:r w:rsidR="0021678F">
        <w:tab/>
      </w:r>
      <w:r w:rsidRPr="0021678F">
        <w:t>on the first day of every month after becoming aware until, as at the last day of the preceding month, the NTA is greater than 110% of the required NTA.</w:t>
      </w:r>
    </w:p>
    <w:p w14:paraId="7E6A105C" w14:textId="23E93553" w:rsidR="00A02974" w:rsidRDefault="00460D0E" w:rsidP="0021678F">
      <w:pPr>
        <w:pStyle w:val="LI-BodyTextNumbered"/>
        <w:spacing w:line="235" w:lineRule="atLeast"/>
      </w:pPr>
      <w:r w:rsidRPr="0021678F">
        <w:t>(8)</w:t>
      </w:r>
      <w:r w:rsidR="0021678F">
        <w:tab/>
      </w:r>
      <w:r w:rsidRPr="0021678F">
        <w:t>Where the NTA of the licensee is less than the required NTA for a continuous period of 2 months, the licensee must</w:t>
      </w:r>
      <w:r w:rsidR="00A73EB7" w:rsidRPr="0021678F">
        <w:t xml:space="preserve"> notify</w:t>
      </w:r>
      <w:r w:rsidR="00F915B0" w:rsidRPr="0021678F">
        <w:t>, in writing</w:t>
      </w:r>
      <w:r w:rsidR="008E2630" w:rsidRPr="0021678F">
        <w:t>,</w:t>
      </w:r>
      <w:r w:rsidR="00A73EB7" w:rsidRPr="0021678F">
        <w:t xml:space="preserve"> the following persons of the deficiency</w:t>
      </w:r>
      <w:r w:rsidRPr="0021678F">
        <w:t xml:space="preserve"> within 3 business days after that </w:t>
      </w:r>
      <w:proofErr w:type="gramStart"/>
      <w:r w:rsidRPr="0021678F">
        <w:t>2 month</w:t>
      </w:r>
      <w:proofErr w:type="gramEnd"/>
      <w:r w:rsidRPr="0021678F">
        <w:t xml:space="preserve"> period:</w:t>
      </w:r>
    </w:p>
    <w:p w14:paraId="35A2768B" w14:textId="6DF58130" w:rsidR="00460D0E" w:rsidRPr="0021678F" w:rsidRDefault="00460D0E" w:rsidP="0021678F">
      <w:pPr>
        <w:pStyle w:val="LI-BodyTextParaa"/>
      </w:pPr>
      <w:r w:rsidRPr="00460D0E">
        <w:rPr>
          <w:color w:val="000000"/>
        </w:rPr>
        <w:lastRenderedPageBreak/>
        <w:t>(</w:t>
      </w:r>
      <w:r w:rsidRPr="0021678F">
        <w:t>a)</w:t>
      </w:r>
      <w:r w:rsidR="0021678F">
        <w:tab/>
      </w:r>
      <w:r w:rsidRPr="0021678F">
        <w:t>each person to whom it provides financial services; and</w:t>
      </w:r>
    </w:p>
    <w:p w14:paraId="0BABC9E1" w14:textId="3856BC0B" w:rsidR="00460D0E" w:rsidRPr="0021678F" w:rsidRDefault="00460D0E" w:rsidP="0021678F">
      <w:pPr>
        <w:pStyle w:val="LI-BodyTextParaa"/>
      </w:pPr>
      <w:r w:rsidRPr="0021678F">
        <w:t>(b)</w:t>
      </w:r>
      <w:r w:rsidR="0021678F">
        <w:tab/>
      </w:r>
      <w:r w:rsidRPr="0021678F">
        <w:t>each person for the benefit of whom it holds money or property on trust under Divisions 2 or 3 of Part 7.8.</w:t>
      </w:r>
    </w:p>
    <w:p w14:paraId="14A0A286" w14:textId="77777777" w:rsidR="00A02974" w:rsidRDefault="00460D0E" w:rsidP="0021678F">
      <w:pPr>
        <w:pStyle w:val="LI-BodyTextNumbered"/>
        <w:spacing w:line="235" w:lineRule="atLeast"/>
        <w:rPr>
          <w:color w:val="000000"/>
        </w:rPr>
      </w:pPr>
      <w:r w:rsidRPr="00460D0E">
        <w:rPr>
          <w:color w:val="000000"/>
        </w:rPr>
        <w:t>(9</w:t>
      </w:r>
      <w:r w:rsidRPr="0021678F">
        <w:t>)</w:t>
      </w:r>
      <w:r w:rsidR="0021678F">
        <w:tab/>
      </w:r>
      <w:r w:rsidRPr="00460D0E">
        <w:rPr>
          <w:color w:val="000000"/>
        </w:rPr>
        <w:t xml:space="preserve">Subject to subsection (10), where the NTA of the licensee is at any time less than the </w:t>
      </w:r>
      <w:r w:rsidRPr="0021678F">
        <w:t>required</w:t>
      </w:r>
      <w:r w:rsidRPr="00460D0E">
        <w:rPr>
          <w:color w:val="000000"/>
        </w:rPr>
        <w:t xml:space="preserve"> NTA, the licensee must not enter into a transaction with any person to whom it provides financial services that could give rise to further liabilities, contingent liabilities or other financial obligations of the licensee unless the persons specified in the subparagraphs (as applicable) of paragraph (3)(b) have certified in writing that, having conducted reasonable enquiries into the financial position of the licensee, there is no reason to believe that:</w:t>
      </w:r>
      <w:r w:rsidR="00A02974">
        <w:rPr>
          <w:color w:val="000000"/>
        </w:rPr>
        <w:t xml:space="preserve"> </w:t>
      </w:r>
    </w:p>
    <w:p w14:paraId="04851CB2" w14:textId="13468D1F" w:rsidR="00460D0E" w:rsidRPr="0021678F" w:rsidRDefault="00460D0E" w:rsidP="0021678F">
      <w:pPr>
        <w:pStyle w:val="LI-BodyTextParaa"/>
      </w:pPr>
      <w:r w:rsidRPr="0021678F">
        <w:t>(a)</w:t>
      </w:r>
      <w:r w:rsidR="0021678F">
        <w:tab/>
      </w:r>
      <w:r w:rsidRPr="0021678F">
        <w:t>the licensee will not comply with section 912A except to the extent that paragraph 912A(1)(c) requires compliance with subsections (4) and (5) of this section; and</w:t>
      </w:r>
    </w:p>
    <w:p w14:paraId="0889BED6" w14:textId="7F4248B7" w:rsidR="00460D0E" w:rsidRPr="0021678F" w:rsidRDefault="00460D0E" w:rsidP="0021678F">
      <w:pPr>
        <w:pStyle w:val="LI-BodyTextParaa"/>
      </w:pPr>
      <w:r w:rsidRPr="0021678F">
        <w:t>(b)</w:t>
      </w:r>
      <w:r w:rsidR="0021678F">
        <w:tab/>
      </w:r>
      <w:r w:rsidRPr="0021678F">
        <w:t>there is or will be a deficiency in any accounts maintained by the licensee for the purposes of section 981B.</w:t>
      </w:r>
    </w:p>
    <w:p w14:paraId="2CEDA79A" w14:textId="6F9C14E1" w:rsidR="00A02974" w:rsidRDefault="00460D0E" w:rsidP="008260BA">
      <w:pPr>
        <w:pStyle w:val="LI-BodyTextNumbered"/>
        <w:spacing w:line="235" w:lineRule="atLeast"/>
        <w:rPr>
          <w:color w:val="000000"/>
        </w:rPr>
      </w:pPr>
      <w:r w:rsidRPr="00460D0E">
        <w:rPr>
          <w:color w:val="000000"/>
        </w:rPr>
        <w:t>(10)</w:t>
      </w:r>
      <w:r w:rsidR="0021678F">
        <w:rPr>
          <w:color w:val="000000"/>
        </w:rPr>
        <w:tab/>
      </w:r>
      <w:r w:rsidRPr="00460D0E">
        <w:rPr>
          <w:color w:val="000000"/>
        </w:rPr>
        <w:t xml:space="preserve">Where the NTA of the licensee is at any time equal to or less than 75% of the required NTA, the licensee must not </w:t>
      </w:r>
      <w:proofErr w:type="gramStart"/>
      <w:r w:rsidRPr="00460D0E">
        <w:rPr>
          <w:color w:val="000000"/>
        </w:rPr>
        <w:t>enter into</w:t>
      </w:r>
      <w:proofErr w:type="gramEnd"/>
      <w:r w:rsidRPr="00460D0E">
        <w:rPr>
          <w:color w:val="000000"/>
        </w:rPr>
        <w:t xml:space="preserve"> a transaction with any person to whom it provides financial services that could give rise to further liabilities, contingent liabilities or other financial obligations of the licensee.</w:t>
      </w:r>
    </w:p>
    <w:p w14:paraId="10031148" w14:textId="445903A6" w:rsidR="00A02974" w:rsidRDefault="00460D0E" w:rsidP="008260BA">
      <w:pPr>
        <w:pStyle w:val="LI-Heading3"/>
        <w:rPr>
          <w:color w:val="000000"/>
          <w:sz w:val="24"/>
          <w:szCs w:val="24"/>
        </w:rPr>
      </w:pPr>
      <w:r w:rsidRPr="00460D0E">
        <w:rPr>
          <w:iCs/>
          <w:color w:val="000000"/>
          <w:sz w:val="24"/>
          <w:szCs w:val="24"/>
        </w:rPr>
        <w:t xml:space="preserve">Audit </w:t>
      </w:r>
      <w:r w:rsidRPr="008260BA">
        <w:rPr>
          <w:sz w:val="24"/>
          <w:szCs w:val="24"/>
        </w:rPr>
        <w:t>opinion</w:t>
      </w:r>
      <w:r w:rsidRPr="00460D0E">
        <w:rPr>
          <w:iCs/>
          <w:color w:val="000000"/>
          <w:sz w:val="24"/>
          <w:szCs w:val="24"/>
        </w:rPr>
        <w:t xml:space="preserve"> on financial requirements</w:t>
      </w:r>
    </w:p>
    <w:p w14:paraId="3535B8D9" w14:textId="7339EB41" w:rsidR="00460D0E" w:rsidRPr="00460D0E" w:rsidRDefault="00460D0E" w:rsidP="008260BA">
      <w:pPr>
        <w:pStyle w:val="LI-BodyTextNumbered"/>
        <w:spacing w:line="235" w:lineRule="atLeast"/>
        <w:rPr>
          <w:rFonts w:ascii="Calibri" w:hAnsi="Calibri" w:cs="Calibri"/>
          <w:color w:val="000000"/>
          <w:szCs w:val="22"/>
        </w:rPr>
      </w:pPr>
      <w:r w:rsidRPr="00460D0E">
        <w:rPr>
          <w:color w:val="000000"/>
        </w:rPr>
        <w:t>(11)</w:t>
      </w:r>
      <w:r w:rsidR="008260BA">
        <w:rPr>
          <w:color w:val="000000"/>
        </w:rPr>
        <w:tab/>
      </w:r>
      <w:r w:rsidRPr="00460D0E">
        <w:rPr>
          <w:color w:val="000000"/>
        </w:rPr>
        <w:t xml:space="preserve">The licensee must lodge with ASIC a report </w:t>
      </w:r>
      <w:r w:rsidR="000A5A3B">
        <w:rPr>
          <w:color w:val="000000"/>
        </w:rPr>
        <w:t xml:space="preserve">(the </w:t>
      </w:r>
      <w:r w:rsidR="000A5A3B" w:rsidRPr="000A5A3B">
        <w:rPr>
          <w:b/>
          <w:bCs/>
          <w:i/>
          <w:iCs/>
          <w:color w:val="000000"/>
        </w:rPr>
        <w:t>audit opinion)</w:t>
      </w:r>
      <w:r w:rsidR="000A5A3B">
        <w:rPr>
          <w:color w:val="000000"/>
        </w:rPr>
        <w:t xml:space="preserve"> </w:t>
      </w:r>
      <w:r w:rsidRPr="00460D0E">
        <w:rPr>
          <w:color w:val="000000"/>
        </w:rPr>
        <w:t xml:space="preserve">by a registered company auditor addressed to the licensee and ASIC for each financial year of the licensee and any other period that ASIC directs </w:t>
      </w:r>
      <w:proofErr w:type="gramStart"/>
      <w:r w:rsidRPr="00460D0E">
        <w:rPr>
          <w:color w:val="000000"/>
        </w:rPr>
        <w:t>that states</w:t>
      </w:r>
      <w:proofErr w:type="gramEnd"/>
      <w:r w:rsidRPr="00460D0E">
        <w:rPr>
          <w:color w:val="000000"/>
        </w:rPr>
        <w:t xml:space="preserve"> whether, </w:t>
      </w:r>
      <w:bookmarkStart w:id="13" w:name="OLE_LINK6"/>
      <w:r w:rsidRPr="00460D0E">
        <w:rPr>
          <w:color w:val="000000"/>
        </w:rPr>
        <w:t>during</w:t>
      </w:r>
      <w:bookmarkEnd w:id="13"/>
      <w:r w:rsidRPr="00460D0E">
        <w:rPr>
          <w:color w:val="000000"/>
        </w:rPr>
        <w:t> any part of the period for which the licensee was covered by subsection (1):</w:t>
      </w:r>
    </w:p>
    <w:p w14:paraId="6F3C2EE9" w14:textId="3C07E288" w:rsidR="00460D0E" w:rsidRPr="00460D0E" w:rsidRDefault="00460D0E" w:rsidP="008C7209">
      <w:pPr>
        <w:pStyle w:val="LI-BodyTextParaa"/>
        <w:rPr>
          <w:rFonts w:ascii="Arial Unicode MS" w:hAnsi="Arial Unicode MS"/>
          <w:color w:val="000000"/>
          <w:szCs w:val="22"/>
        </w:rPr>
      </w:pPr>
      <w:r w:rsidRPr="00460D0E">
        <w:rPr>
          <w:color w:val="000000"/>
        </w:rPr>
        <w:t>(a)</w:t>
      </w:r>
      <w:r w:rsidR="008C7209">
        <w:rPr>
          <w:color w:val="000000"/>
        </w:rPr>
        <w:tab/>
      </w:r>
      <w:r w:rsidRPr="00460D0E">
        <w:rPr>
          <w:color w:val="000000"/>
        </w:rPr>
        <w:t xml:space="preserve">in the auditor’s </w:t>
      </w:r>
      <w:r w:rsidRPr="008260BA">
        <w:t>opinion</w:t>
      </w:r>
      <w:r w:rsidRPr="00460D0E">
        <w:rPr>
          <w:color w:val="000000"/>
        </w:rPr>
        <w:t>, the licensee:</w:t>
      </w:r>
    </w:p>
    <w:p w14:paraId="72E09FCC" w14:textId="7D60BDF9" w:rsidR="00460D0E" w:rsidRPr="00460D0E" w:rsidRDefault="00460D0E" w:rsidP="00CF0157">
      <w:pPr>
        <w:pStyle w:val="LI-BodyTextSubparai"/>
        <w:spacing w:line="235" w:lineRule="atLeast"/>
        <w:rPr>
          <w:rFonts w:ascii="Arial Unicode MS" w:hAnsi="Arial Unicode MS"/>
          <w:szCs w:val="22"/>
        </w:rPr>
      </w:pPr>
      <w:r w:rsidRPr="00460D0E">
        <w:t>(</w:t>
      </w:r>
      <w:proofErr w:type="spellStart"/>
      <w:r w:rsidRPr="00460D0E">
        <w:t>i</w:t>
      </w:r>
      <w:proofErr w:type="spellEnd"/>
      <w:r w:rsidRPr="00460D0E">
        <w:t>)</w:t>
      </w:r>
      <w:r w:rsidR="00FE142D">
        <w:rPr>
          <w:sz w:val="14"/>
          <w:szCs w:val="14"/>
        </w:rPr>
        <w:tab/>
      </w:r>
      <w:r w:rsidRPr="00460D0E">
        <w:t>complied with subsections (4) and (5) and other financial requirements in conditions on its licence; and</w:t>
      </w:r>
    </w:p>
    <w:p w14:paraId="2E5F3864" w14:textId="21A174FC" w:rsidR="00460D0E" w:rsidRPr="00460D0E" w:rsidRDefault="00460D0E" w:rsidP="00CF0157">
      <w:pPr>
        <w:pStyle w:val="LI-BodyTextSubparai"/>
        <w:spacing w:line="235" w:lineRule="atLeast"/>
        <w:rPr>
          <w:rFonts w:ascii="Arial Unicode MS" w:hAnsi="Arial Unicode MS"/>
          <w:szCs w:val="22"/>
        </w:rPr>
      </w:pPr>
      <w:r w:rsidRPr="00460D0E">
        <w:t>(ii)</w:t>
      </w:r>
      <w:r w:rsidR="00FE142D">
        <w:rPr>
          <w:sz w:val="14"/>
          <w:szCs w:val="14"/>
        </w:rPr>
        <w:tab/>
      </w:r>
      <w:proofErr w:type="gramStart"/>
      <w:r w:rsidRPr="00460D0E">
        <w:t>had at all times</w:t>
      </w:r>
      <w:proofErr w:type="gramEnd"/>
      <w:r w:rsidRPr="00460D0E">
        <w:t xml:space="preserve"> a projection that purports to, and appears on its face to, comply with paragraph (3)(a); and</w:t>
      </w:r>
    </w:p>
    <w:p w14:paraId="160321BB" w14:textId="77777777" w:rsidR="00460D0E" w:rsidRPr="00460D0E" w:rsidRDefault="00460D0E" w:rsidP="00CF0157">
      <w:pPr>
        <w:pStyle w:val="LI-BodyTextSubparai"/>
        <w:spacing w:line="235" w:lineRule="atLeast"/>
        <w:rPr>
          <w:rFonts w:ascii="Arial Unicode MS" w:hAnsi="Arial Unicode MS"/>
          <w:szCs w:val="22"/>
        </w:rPr>
      </w:pPr>
      <w:r w:rsidRPr="00460D0E">
        <w:t>(iii)</w:t>
      </w:r>
      <w:r w:rsidR="00FE142D">
        <w:rPr>
          <w:sz w:val="14"/>
          <w:szCs w:val="14"/>
        </w:rPr>
        <w:tab/>
      </w:r>
      <w:r w:rsidRPr="00460D0E">
        <w:t xml:space="preserve">correctly calculated the projection in paragraph (3)(a) </w:t>
      </w:r>
      <w:proofErr w:type="gramStart"/>
      <w:r w:rsidRPr="00460D0E">
        <w:t>on the basis of</w:t>
      </w:r>
      <w:proofErr w:type="gramEnd"/>
      <w:r w:rsidRPr="00460D0E">
        <w:t xml:space="preserve"> the assumptions the licensee adopted for the projection; and</w:t>
      </w:r>
    </w:p>
    <w:p w14:paraId="1131CEC4" w14:textId="77777777" w:rsidR="00460D0E" w:rsidRPr="00460D0E" w:rsidRDefault="00460D0E" w:rsidP="008C7209">
      <w:pPr>
        <w:pStyle w:val="LI-BodyTextParaa"/>
        <w:rPr>
          <w:rFonts w:ascii="Arial Unicode MS" w:hAnsi="Arial Unicode MS"/>
          <w:szCs w:val="22"/>
        </w:rPr>
      </w:pPr>
      <w:r w:rsidRPr="00460D0E">
        <w:t>(b)</w:t>
      </w:r>
      <w:r w:rsidR="00FE142D">
        <w:tab/>
      </w:r>
      <w:r w:rsidRPr="00460D0E">
        <w:t xml:space="preserve">following </w:t>
      </w:r>
      <w:r w:rsidRPr="008C7209">
        <w:rPr>
          <w:color w:val="000000"/>
        </w:rPr>
        <w:t>an</w:t>
      </w:r>
      <w:r w:rsidRPr="00460D0E">
        <w:t xml:space="preserve"> examination of the calculations, assumptions and description prepared under paragraph (3)(c) and relied on by the licensee in complying with paragraph (3)(a), the auditor has no reason to believe that:</w:t>
      </w:r>
    </w:p>
    <w:p w14:paraId="3ED5E1C9" w14:textId="2C40AC62" w:rsidR="00460D0E" w:rsidRPr="00460D0E" w:rsidRDefault="00460D0E" w:rsidP="008C7209">
      <w:pPr>
        <w:pStyle w:val="LI-BodyTextSubparai"/>
        <w:rPr>
          <w:rFonts w:ascii="Arial Unicode MS" w:hAnsi="Arial Unicode MS"/>
          <w:szCs w:val="22"/>
        </w:rPr>
      </w:pPr>
      <w:r w:rsidRPr="00460D0E">
        <w:lastRenderedPageBreak/>
        <w:t>(</w:t>
      </w:r>
      <w:proofErr w:type="spellStart"/>
      <w:r w:rsidRPr="00460D0E">
        <w:t>i</w:t>
      </w:r>
      <w:proofErr w:type="spellEnd"/>
      <w:r w:rsidRPr="00460D0E">
        <w:t>)</w:t>
      </w:r>
      <w:r w:rsidR="008C7209">
        <w:tab/>
      </w:r>
      <w:r w:rsidRPr="00460D0E">
        <w:t xml:space="preserve">the </w:t>
      </w:r>
      <w:r w:rsidRPr="008C7209">
        <w:rPr>
          <w:color w:val="000000"/>
        </w:rPr>
        <w:t>licensee</w:t>
      </w:r>
      <w:r w:rsidRPr="00460D0E">
        <w:t xml:space="preserve"> did not satisfy paragraph 912A(1)(h) for managing the risk of having insufficient financial resources to comply with subsections (4) and (5) of this section and other financial requirements in conditions on its licence; or</w:t>
      </w:r>
    </w:p>
    <w:p w14:paraId="2E43B8C8" w14:textId="488F361A" w:rsidR="00460D0E" w:rsidRPr="00550366" w:rsidRDefault="00460D0E" w:rsidP="00550366">
      <w:pPr>
        <w:pStyle w:val="LI-BodyTextSubparai"/>
      </w:pPr>
      <w:r w:rsidRPr="00460D0E">
        <w:t>(ii)</w:t>
      </w:r>
      <w:r w:rsidR="00550366">
        <w:tab/>
      </w:r>
      <w:r w:rsidRPr="00460D0E">
        <w:t>the licensee failed to comply with paragraphs (3)(b), (c) or (d); or</w:t>
      </w:r>
    </w:p>
    <w:p w14:paraId="6E1FE457" w14:textId="41FCBF35" w:rsidR="00460D0E" w:rsidRPr="00460D0E" w:rsidRDefault="00460D0E" w:rsidP="005429A1">
      <w:pPr>
        <w:pStyle w:val="LI-BodyTextSubparai"/>
        <w:rPr>
          <w:rFonts w:ascii="Calibri" w:hAnsi="Calibri" w:cs="Calibri"/>
          <w:color w:val="000000"/>
          <w:szCs w:val="22"/>
        </w:rPr>
      </w:pPr>
      <w:r w:rsidRPr="00460D0E">
        <w:t>(iii)</w:t>
      </w:r>
      <w:r w:rsidR="00550366">
        <w:tab/>
      </w:r>
      <w:r w:rsidRPr="00460D0E">
        <w:t>the assumptions the licensee adopted for its projection in paragraph (3)(a) were inappropriate.</w:t>
      </w:r>
    </w:p>
    <w:p w14:paraId="6FC81AC5" w14:textId="6A5E1A45" w:rsidR="00460D0E" w:rsidRPr="00460D0E" w:rsidRDefault="00460D0E" w:rsidP="005429A1">
      <w:pPr>
        <w:pStyle w:val="LI-BodyTextNumbered"/>
        <w:spacing w:line="235" w:lineRule="atLeast"/>
        <w:rPr>
          <w:rFonts w:ascii="Calibri" w:hAnsi="Calibri" w:cs="Calibri"/>
          <w:color w:val="000000"/>
          <w:szCs w:val="22"/>
        </w:rPr>
      </w:pPr>
      <w:r w:rsidRPr="00460D0E">
        <w:rPr>
          <w:color w:val="000000"/>
        </w:rPr>
        <w:t>(12)</w:t>
      </w:r>
      <w:r w:rsidR="005429A1">
        <w:rPr>
          <w:color w:val="000000"/>
        </w:rPr>
        <w:tab/>
      </w:r>
      <w:r w:rsidRPr="00460D0E">
        <w:rPr>
          <w:color w:val="000000"/>
        </w:rPr>
        <w:t>The audit opinion must be lodged by no later than:</w:t>
      </w:r>
    </w:p>
    <w:p w14:paraId="6AB7F2E5" w14:textId="7732300C" w:rsidR="00460D0E" w:rsidRPr="005429A1" w:rsidRDefault="00460D0E" w:rsidP="005429A1">
      <w:pPr>
        <w:pStyle w:val="LI-BodyTextParaa"/>
        <w:rPr>
          <w:color w:val="000000"/>
        </w:rPr>
      </w:pPr>
      <w:r w:rsidRPr="00460D0E">
        <w:rPr>
          <w:color w:val="000000"/>
        </w:rPr>
        <w:t>(a)</w:t>
      </w:r>
      <w:r w:rsidR="005429A1">
        <w:rPr>
          <w:color w:val="000000"/>
        </w:rPr>
        <w:tab/>
      </w:r>
      <w:r w:rsidRPr="00460D0E">
        <w:rPr>
          <w:color w:val="000000"/>
        </w:rPr>
        <w:t>for each financial year of the licensee—the day the licensee is required to lodge a balance sheet under section 989B; and</w:t>
      </w:r>
    </w:p>
    <w:p w14:paraId="1EE2710D" w14:textId="4B262907" w:rsidR="00460D0E" w:rsidRPr="005429A1" w:rsidRDefault="00460D0E" w:rsidP="005429A1">
      <w:pPr>
        <w:pStyle w:val="LI-BodyTextParaa"/>
        <w:rPr>
          <w:color w:val="000000"/>
        </w:rPr>
      </w:pPr>
      <w:r w:rsidRPr="00460D0E">
        <w:rPr>
          <w:color w:val="000000"/>
        </w:rPr>
        <w:t>(b)</w:t>
      </w:r>
      <w:r w:rsidR="005429A1">
        <w:rPr>
          <w:color w:val="000000"/>
        </w:rPr>
        <w:tab/>
      </w:r>
      <w:r w:rsidRPr="00460D0E">
        <w:rPr>
          <w:color w:val="000000"/>
        </w:rPr>
        <w:t xml:space="preserve">for any </w:t>
      </w:r>
      <w:proofErr w:type="gramStart"/>
      <w:r w:rsidRPr="00460D0E">
        <w:rPr>
          <w:color w:val="000000"/>
        </w:rPr>
        <w:t>period of time</w:t>
      </w:r>
      <w:proofErr w:type="gramEnd"/>
      <w:r w:rsidRPr="00460D0E">
        <w:rPr>
          <w:color w:val="000000"/>
        </w:rPr>
        <w:t xml:space="preserve"> that ASIC directs—the date ASIC directs the audit opinion to be lodged.</w:t>
      </w:r>
    </w:p>
    <w:p w14:paraId="14A1ADC8" w14:textId="77777777" w:rsidR="00A02974" w:rsidRDefault="00460D0E" w:rsidP="005429A1">
      <w:pPr>
        <w:pStyle w:val="LI-BodyTextNumbered"/>
        <w:spacing w:line="235" w:lineRule="atLeast"/>
        <w:rPr>
          <w:color w:val="000000"/>
        </w:rPr>
      </w:pPr>
      <w:r w:rsidRPr="00460D0E">
        <w:rPr>
          <w:color w:val="000000"/>
        </w:rPr>
        <w:t>(13)</w:t>
      </w:r>
      <w:r w:rsidR="005429A1">
        <w:rPr>
          <w:color w:val="000000"/>
        </w:rPr>
        <w:tab/>
      </w:r>
      <w:r w:rsidRPr="00460D0E">
        <w:rPr>
          <w:color w:val="000000"/>
        </w:rPr>
        <w:t>In this section:</w:t>
      </w:r>
      <w:r w:rsidR="00A02974">
        <w:rPr>
          <w:color w:val="000000"/>
        </w:rPr>
        <w:t xml:space="preserve"> </w:t>
      </w:r>
    </w:p>
    <w:p w14:paraId="372EC3BF" w14:textId="13613E5A" w:rsidR="00460D0E" w:rsidRPr="00460D0E" w:rsidRDefault="00460D0E" w:rsidP="00FA6F90">
      <w:pPr>
        <w:pStyle w:val="LI-BodyTextUnnumbered"/>
        <w:rPr>
          <w:rFonts w:ascii="Calibri" w:hAnsi="Calibri" w:cs="Calibri"/>
          <w:color w:val="000000"/>
          <w:szCs w:val="22"/>
        </w:rPr>
      </w:pPr>
      <w:r w:rsidRPr="00460D0E">
        <w:rPr>
          <w:b/>
          <w:bCs/>
          <w:i/>
          <w:iCs/>
          <w:color w:val="000000"/>
          <w:szCs w:val="24"/>
        </w:rPr>
        <w:t>adequately secured</w:t>
      </w:r>
      <w:r w:rsidRPr="00460D0E">
        <w:rPr>
          <w:color w:val="000000"/>
          <w:szCs w:val="24"/>
        </w:rPr>
        <w:t> </w:t>
      </w:r>
      <w:r w:rsidRPr="00DE2472">
        <w:t>means</w:t>
      </w:r>
      <w:r w:rsidRPr="00460D0E">
        <w:rPr>
          <w:color w:val="000000"/>
          <w:szCs w:val="24"/>
        </w:rPr>
        <w:t xml:space="preserve"> in relation to a financial services licensee:</w:t>
      </w:r>
    </w:p>
    <w:p w14:paraId="747D78C3" w14:textId="077145E3" w:rsidR="00460D0E" w:rsidRPr="00460D0E" w:rsidRDefault="00460D0E" w:rsidP="00FA6F90">
      <w:pPr>
        <w:pStyle w:val="LI-BodyTextParaa"/>
        <w:rPr>
          <w:rFonts w:ascii="Arial Unicode MS" w:hAnsi="Arial Unicode MS"/>
          <w:color w:val="000000"/>
          <w:szCs w:val="22"/>
        </w:rPr>
      </w:pPr>
      <w:r w:rsidRPr="00460D0E">
        <w:rPr>
          <w:color w:val="000000"/>
        </w:rPr>
        <w:t>(a)</w:t>
      </w:r>
      <w:r w:rsidR="00FA6F90">
        <w:rPr>
          <w:color w:val="000000"/>
        </w:rPr>
        <w:tab/>
      </w:r>
      <w:r w:rsidRPr="00460D0E">
        <w:rPr>
          <w:color w:val="000000"/>
        </w:rPr>
        <w:t>secured by an enforceable security interest over a financial product (other than a financial product issued by the licensee or its associates</w:t>
      </w:r>
      <w:r w:rsidR="000D1808">
        <w:rPr>
          <w:color w:val="000000"/>
        </w:rPr>
        <w:t xml:space="preserve"> or </w:t>
      </w:r>
      <w:r w:rsidR="000D1808" w:rsidRPr="000D1808">
        <w:rPr>
          <w:color w:val="000000"/>
          <w:lang w:val="en-US"/>
        </w:rPr>
        <w:t xml:space="preserve">issued by a </w:t>
      </w:r>
      <w:r w:rsidR="00BE4589">
        <w:rPr>
          <w:color w:val="000000"/>
          <w:lang w:val="en-US"/>
        </w:rPr>
        <w:t xml:space="preserve">retail </w:t>
      </w:r>
      <w:r w:rsidR="000D1808" w:rsidRPr="000D1808">
        <w:rPr>
          <w:color w:val="000000"/>
          <w:lang w:val="en-US"/>
        </w:rPr>
        <w:t>CCIV operated by the licensee or</w:t>
      </w:r>
      <w:r w:rsidR="00BE4589">
        <w:rPr>
          <w:color w:val="000000"/>
          <w:lang w:val="en-US"/>
        </w:rPr>
        <w:t xml:space="preserve"> its associates</w:t>
      </w:r>
      <w:r w:rsidRPr="00460D0E">
        <w:rPr>
          <w:color w:val="000000"/>
        </w:rPr>
        <w:t>) if:</w:t>
      </w:r>
    </w:p>
    <w:p w14:paraId="5B7E0131" w14:textId="00C66135" w:rsidR="00460D0E" w:rsidRPr="00460D0E" w:rsidRDefault="00460D0E" w:rsidP="00FA6F90">
      <w:pPr>
        <w:pStyle w:val="LI-BodyTextSubparai"/>
        <w:rPr>
          <w:rFonts w:ascii="Calibri" w:hAnsi="Calibri" w:cs="Calibri"/>
          <w:color w:val="000000"/>
          <w:szCs w:val="22"/>
        </w:rPr>
      </w:pPr>
      <w:r w:rsidRPr="00460D0E">
        <w:rPr>
          <w:color w:val="000000"/>
        </w:rPr>
        <w:t>(</w:t>
      </w:r>
      <w:proofErr w:type="spellStart"/>
      <w:r w:rsidRPr="00460D0E">
        <w:rPr>
          <w:color w:val="000000"/>
        </w:rPr>
        <w:t>i</w:t>
      </w:r>
      <w:proofErr w:type="spellEnd"/>
      <w:r w:rsidRPr="00460D0E">
        <w:rPr>
          <w:color w:val="000000"/>
        </w:rPr>
        <w:t>)</w:t>
      </w:r>
      <w:r w:rsidR="00FA6F90">
        <w:rPr>
          <w:color w:val="000000"/>
        </w:rPr>
        <w:tab/>
      </w:r>
      <w:r w:rsidRPr="00460D0E">
        <w:rPr>
          <w:color w:val="000000"/>
        </w:rPr>
        <w:t xml:space="preserve">the </w:t>
      </w:r>
      <w:r w:rsidRPr="00FA6F90">
        <w:t>financial</w:t>
      </w:r>
      <w:r w:rsidRPr="00460D0E">
        <w:rPr>
          <w:color w:val="000000"/>
        </w:rPr>
        <w:t xml:space="preserve"> product is:</w:t>
      </w:r>
    </w:p>
    <w:p w14:paraId="110A661A" w14:textId="59A54677" w:rsidR="00460D0E" w:rsidRPr="00460D0E" w:rsidRDefault="00460D0E" w:rsidP="00B33F60">
      <w:pPr>
        <w:pStyle w:val="LI-BodyTextSubsubparaA"/>
        <w:rPr>
          <w:rFonts w:ascii="Calibri" w:hAnsi="Calibri" w:cs="Calibri"/>
          <w:color w:val="000000"/>
          <w:szCs w:val="22"/>
        </w:rPr>
      </w:pPr>
      <w:r w:rsidRPr="00460D0E">
        <w:rPr>
          <w:color w:val="000000"/>
        </w:rPr>
        <w:t>(A)</w:t>
      </w:r>
      <w:r w:rsidR="00B33F60">
        <w:rPr>
          <w:color w:val="000000"/>
        </w:rPr>
        <w:tab/>
      </w:r>
      <w:r w:rsidRPr="00282249">
        <w:t>regularly</w:t>
      </w:r>
      <w:r w:rsidRPr="00460D0E">
        <w:rPr>
          <w:color w:val="000000"/>
        </w:rPr>
        <w:t xml:space="preserve"> traded on:</w:t>
      </w:r>
    </w:p>
    <w:p w14:paraId="768C236B" w14:textId="0FAD08FE" w:rsidR="003B5E5B" w:rsidRDefault="00460D0E" w:rsidP="003B5E5B">
      <w:pPr>
        <w:pStyle w:val="LI-BodyTextSubsubparaA"/>
        <w:ind w:left="3402"/>
        <w:rPr>
          <w:color w:val="000000"/>
        </w:rPr>
      </w:pPr>
      <w:r w:rsidRPr="00460D0E">
        <w:rPr>
          <w:color w:val="000000"/>
        </w:rPr>
        <w:t>(I)</w:t>
      </w:r>
      <w:r w:rsidR="003B5E5B">
        <w:rPr>
          <w:color w:val="000000"/>
        </w:rPr>
        <w:tab/>
      </w:r>
      <w:r w:rsidRPr="00460D0E">
        <w:rPr>
          <w:color w:val="000000"/>
        </w:rPr>
        <w:t>a financial market (as defined in subsection</w:t>
      </w:r>
      <w:r w:rsidR="00C848DF">
        <w:rPr>
          <w:color w:val="000000"/>
        </w:rPr>
        <w:t> </w:t>
      </w:r>
      <w:r w:rsidRPr="00460D0E">
        <w:rPr>
          <w:color w:val="000000"/>
        </w:rPr>
        <w:t>767A(1) and disregarding subsection</w:t>
      </w:r>
      <w:r w:rsidR="008E69F1">
        <w:rPr>
          <w:color w:val="000000"/>
        </w:rPr>
        <w:t> </w:t>
      </w:r>
      <w:r w:rsidRPr="00460D0E">
        <w:rPr>
          <w:color w:val="000000"/>
        </w:rPr>
        <w:t xml:space="preserve">767A(2)) operated by a market licensee or a financial </w:t>
      </w:r>
      <w:r w:rsidRPr="003B5E5B">
        <w:t>services</w:t>
      </w:r>
      <w:r w:rsidRPr="00460D0E">
        <w:rPr>
          <w:color w:val="000000"/>
        </w:rPr>
        <w:t xml:space="preserve"> licensee other than the licensee or its associates that, in the reasonable opinion of the licensee, produces sufficiently reliable prices to assess the value of the security provided by the security interest;</w:t>
      </w:r>
      <w:r w:rsidR="004C1744">
        <w:rPr>
          <w:color w:val="000000"/>
        </w:rPr>
        <w:t xml:space="preserve"> or</w:t>
      </w:r>
    </w:p>
    <w:p w14:paraId="3645DD61" w14:textId="24A95CD9" w:rsidR="00460D0E" w:rsidRPr="00460D0E" w:rsidRDefault="00460D0E" w:rsidP="003B5E5B">
      <w:pPr>
        <w:pStyle w:val="LI-BodyTextSubsubparaA"/>
        <w:ind w:left="3402"/>
        <w:rPr>
          <w:rFonts w:ascii="Calibri" w:hAnsi="Calibri" w:cs="Calibri"/>
          <w:color w:val="000000"/>
          <w:szCs w:val="22"/>
        </w:rPr>
      </w:pPr>
      <w:r w:rsidRPr="00460D0E">
        <w:rPr>
          <w:color w:val="000000"/>
        </w:rPr>
        <w:t>(II)</w:t>
      </w:r>
      <w:r w:rsidR="003B5E5B">
        <w:rPr>
          <w:color w:val="000000"/>
        </w:rPr>
        <w:tab/>
      </w:r>
      <w:r w:rsidRPr="00460D0E">
        <w:rPr>
          <w:color w:val="000000"/>
        </w:rPr>
        <w:t>an approved foreign market; or</w:t>
      </w:r>
    </w:p>
    <w:p w14:paraId="314AB5BF" w14:textId="741647AC" w:rsidR="00460D0E" w:rsidRDefault="00460D0E" w:rsidP="00B33F60">
      <w:pPr>
        <w:pStyle w:val="LI-BodyTextSubsubparaA"/>
        <w:rPr>
          <w:color w:val="000000"/>
        </w:rPr>
      </w:pPr>
      <w:r w:rsidRPr="00460D0E">
        <w:rPr>
          <w:color w:val="000000"/>
        </w:rPr>
        <w:t>(B)</w:t>
      </w:r>
      <w:r w:rsidR="003B5E5B">
        <w:rPr>
          <w:color w:val="000000"/>
        </w:rPr>
        <w:tab/>
      </w:r>
      <w:r w:rsidRPr="00460D0E">
        <w:rPr>
          <w:color w:val="000000"/>
        </w:rPr>
        <w:t xml:space="preserve">an interest in a registered scheme for which withdrawal prices are regularly quoted by the responsible entity of the </w:t>
      </w:r>
      <w:r w:rsidRPr="00B33F60">
        <w:t>scheme</w:t>
      </w:r>
      <w:r w:rsidRPr="00460D0E">
        <w:rPr>
          <w:color w:val="000000"/>
        </w:rPr>
        <w:t xml:space="preserve"> and the licensee believes on reasonable grounds that withdrawal may be </w:t>
      </w:r>
      <w:proofErr w:type="gramStart"/>
      <w:r w:rsidRPr="00460D0E">
        <w:rPr>
          <w:color w:val="000000"/>
        </w:rPr>
        <w:t>effected</w:t>
      </w:r>
      <w:proofErr w:type="gramEnd"/>
      <w:r w:rsidRPr="00460D0E">
        <w:rPr>
          <w:color w:val="000000"/>
        </w:rPr>
        <w:t xml:space="preserve"> within 5</w:t>
      </w:r>
      <w:r w:rsidR="00546BE1">
        <w:rPr>
          <w:color w:val="000000"/>
        </w:rPr>
        <w:t> </w:t>
      </w:r>
      <w:r w:rsidRPr="00460D0E">
        <w:rPr>
          <w:color w:val="000000"/>
        </w:rPr>
        <w:t xml:space="preserve">business days; </w:t>
      </w:r>
      <w:r w:rsidR="000A5A3B">
        <w:rPr>
          <w:color w:val="000000"/>
        </w:rPr>
        <w:t>or</w:t>
      </w:r>
    </w:p>
    <w:p w14:paraId="1DC7834B" w14:textId="559E1B62" w:rsidR="00A02974" w:rsidRDefault="000A5A3B" w:rsidP="00B33F60">
      <w:pPr>
        <w:pStyle w:val="LI-BodyTextSubsubparaA"/>
      </w:pPr>
      <w:r>
        <w:rPr>
          <w:color w:val="000000"/>
        </w:rPr>
        <w:t>(C)</w:t>
      </w:r>
      <w:r>
        <w:rPr>
          <w:color w:val="000000"/>
        </w:rPr>
        <w:tab/>
      </w:r>
      <w:r>
        <w:t xml:space="preserve">shares </w:t>
      </w:r>
      <w:r w:rsidRPr="00936C96">
        <w:t xml:space="preserve">in </w:t>
      </w:r>
      <w:r>
        <w:t xml:space="preserve">a </w:t>
      </w:r>
      <w:r w:rsidR="002839CE">
        <w:t xml:space="preserve">retail </w:t>
      </w:r>
      <w:r w:rsidRPr="00936C96">
        <w:t>CCIV for which redemption prices are regularly quoted by</w:t>
      </w:r>
      <w:r w:rsidRPr="00E15033">
        <w:t xml:space="preserve"> the </w:t>
      </w:r>
      <w:r w:rsidR="002839CE">
        <w:t xml:space="preserve">retail </w:t>
      </w:r>
      <w:r w:rsidRPr="00936C96">
        <w:t xml:space="preserve">CCIV and the licensee </w:t>
      </w:r>
      <w:r w:rsidRPr="00936C96">
        <w:lastRenderedPageBreak/>
        <w:t xml:space="preserve">believes on reasonable grounds that redemption may be </w:t>
      </w:r>
      <w:proofErr w:type="gramStart"/>
      <w:r w:rsidRPr="00936C96">
        <w:t>effected</w:t>
      </w:r>
      <w:proofErr w:type="gramEnd"/>
      <w:r w:rsidRPr="00936C96">
        <w:t xml:space="preserve"> within 5 business days</w:t>
      </w:r>
      <w:r>
        <w:t>; and</w:t>
      </w:r>
      <w:r w:rsidR="00A02974">
        <w:t xml:space="preserve"> </w:t>
      </w:r>
    </w:p>
    <w:p w14:paraId="2D135DA1" w14:textId="588913C0" w:rsidR="00460D0E" w:rsidRPr="00460D0E" w:rsidRDefault="00460D0E" w:rsidP="007D51B9">
      <w:pPr>
        <w:pStyle w:val="LI-BodyTextSubparai"/>
        <w:rPr>
          <w:rFonts w:ascii="Calibri" w:hAnsi="Calibri" w:cs="Calibri"/>
          <w:color w:val="000000"/>
          <w:szCs w:val="22"/>
        </w:rPr>
      </w:pPr>
      <w:r w:rsidRPr="00460D0E">
        <w:rPr>
          <w:color w:val="000000"/>
        </w:rPr>
        <w:t>(ii)</w:t>
      </w:r>
      <w:r w:rsidR="007D51B9">
        <w:rPr>
          <w:color w:val="000000"/>
        </w:rPr>
        <w:tab/>
      </w:r>
      <w:r w:rsidRPr="00460D0E">
        <w:rPr>
          <w:color w:val="000000"/>
        </w:rPr>
        <w:t xml:space="preserve">the </w:t>
      </w:r>
      <w:r w:rsidRPr="007D51B9">
        <w:t>market</w:t>
      </w:r>
      <w:r w:rsidRPr="00460D0E">
        <w:rPr>
          <w:color w:val="000000"/>
        </w:rPr>
        <w:t xml:space="preserve"> value of the financial product is:</w:t>
      </w:r>
    </w:p>
    <w:p w14:paraId="0739626D" w14:textId="7773E2FD" w:rsidR="00460D0E" w:rsidRPr="007D51B9" w:rsidRDefault="00460D0E" w:rsidP="007D51B9">
      <w:pPr>
        <w:pStyle w:val="LI-BodyTextSubsubparaA"/>
        <w:rPr>
          <w:color w:val="000000"/>
        </w:rPr>
      </w:pPr>
      <w:r w:rsidRPr="00460D0E">
        <w:rPr>
          <w:color w:val="000000"/>
        </w:rPr>
        <w:t>(A)</w:t>
      </w:r>
      <w:r w:rsidR="007D51B9">
        <w:rPr>
          <w:color w:val="000000"/>
        </w:rPr>
        <w:tab/>
      </w:r>
      <w:r w:rsidRPr="00460D0E">
        <w:rPr>
          <w:color w:val="000000"/>
        </w:rPr>
        <w:t>if the financial product is a debt instrument—at least 109% of the amount owing;</w:t>
      </w:r>
      <w:r w:rsidR="002A2109">
        <w:rPr>
          <w:color w:val="000000"/>
        </w:rPr>
        <w:t xml:space="preserve"> or</w:t>
      </w:r>
    </w:p>
    <w:p w14:paraId="6979D72B" w14:textId="641E2051" w:rsidR="00460D0E" w:rsidRPr="007D51B9" w:rsidRDefault="00460D0E" w:rsidP="007D51B9">
      <w:pPr>
        <w:pStyle w:val="LI-BodyTextSubsubparaA"/>
        <w:rPr>
          <w:color w:val="000000"/>
        </w:rPr>
      </w:pPr>
      <w:r w:rsidRPr="00460D0E">
        <w:rPr>
          <w:color w:val="000000"/>
        </w:rPr>
        <w:t>(B)</w:t>
      </w:r>
      <w:r w:rsidR="007D51B9">
        <w:rPr>
          <w:color w:val="000000"/>
        </w:rPr>
        <w:tab/>
      </w:r>
      <w:r w:rsidRPr="00460D0E">
        <w:rPr>
          <w:color w:val="000000"/>
        </w:rPr>
        <w:t>otherwise—at least 120% of the amount owing; or</w:t>
      </w:r>
    </w:p>
    <w:p w14:paraId="00FCF11D" w14:textId="77C629AA" w:rsidR="00460D0E" w:rsidRPr="007D51B9" w:rsidRDefault="00460D0E" w:rsidP="007D51B9">
      <w:pPr>
        <w:pStyle w:val="LI-BodyTextParaa"/>
        <w:rPr>
          <w:color w:val="000000"/>
        </w:rPr>
      </w:pPr>
      <w:r w:rsidRPr="00460D0E">
        <w:rPr>
          <w:color w:val="000000"/>
        </w:rPr>
        <w:t>(b)</w:t>
      </w:r>
      <w:r w:rsidR="007D51B9">
        <w:rPr>
          <w:color w:val="000000"/>
        </w:rPr>
        <w:tab/>
      </w:r>
      <w:r w:rsidRPr="00460D0E">
        <w:rPr>
          <w:color w:val="000000"/>
        </w:rPr>
        <w:t>secured by a registered first mortgage over real estate that has a fair market valuation of at least 120% of the amount owing; or</w:t>
      </w:r>
    </w:p>
    <w:p w14:paraId="4B565337" w14:textId="71579A67" w:rsidR="00460D0E" w:rsidRPr="007D51B9" w:rsidRDefault="00460D0E" w:rsidP="007D51B9">
      <w:pPr>
        <w:pStyle w:val="LI-BodyTextParaa"/>
        <w:rPr>
          <w:color w:val="000000"/>
        </w:rPr>
      </w:pPr>
      <w:r w:rsidRPr="00460D0E">
        <w:rPr>
          <w:color w:val="000000"/>
        </w:rPr>
        <w:t>(c)</w:t>
      </w:r>
      <w:r w:rsidR="007D51B9">
        <w:rPr>
          <w:color w:val="000000"/>
        </w:rPr>
        <w:tab/>
      </w:r>
      <w:r w:rsidRPr="00460D0E">
        <w:rPr>
          <w:color w:val="000000"/>
        </w:rPr>
        <w:t>owing from an eligible provider; or</w:t>
      </w:r>
    </w:p>
    <w:p w14:paraId="5199F50A" w14:textId="5790C59E" w:rsidR="00460D0E" w:rsidRPr="00460D0E" w:rsidRDefault="00460D0E" w:rsidP="007D51B9">
      <w:pPr>
        <w:pStyle w:val="LI-BodyTextParaa"/>
        <w:rPr>
          <w:rFonts w:ascii="Calibri" w:hAnsi="Calibri" w:cs="Calibri"/>
          <w:color w:val="000000"/>
          <w:szCs w:val="22"/>
        </w:rPr>
      </w:pPr>
      <w:r w:rsidRPr="00460D0E">
        <w:rPr>
          <w:color w:val="000000"/>
        </w:rPr>
        <w:t>(d)</w:t>
      </w:r>
      <w:r w:rsidR="007D51B9">
        <w:rPr>
          <w:color w:val="000000"/>
        </w:rPr>
        <w:tab/>
      </w:r>
      <w:r w:rsidRPr="00460D0E">
        <w:rPr>
          <w:color w:val="000000"/>
        </w:rPr>
        <w:t>secured by an enforceable security interest over amounts owing to another financial services licensee which themselves are adequately secured.</w:t>
      </w:r>
    </w:p>
    <w:p w14:paraId="5A1AECBD" w14:textId="50D705D6" w:rsidR="00A02974" w:rsidRDefault="00460D0E" w:rsidP="002F62FD">
      <w:pPr>
        <w:pStyle w:val="LI-BodyTextUnnumbered"/>
        <w:rPr>
          <w:color w:val="000000"/>
          <w:szCs w:val="24"/>
        </w:rPr>
      </w:pPr>
      <w:r w:rsidRPr="00460D0E">
        <w:rPr>
          <w:b/>
          <w:bCs/>
          <w:i/>
          <w:iCs/>
          <w:color w:val="000000"/>
          <w:szCs w:val="24"/>
        </w:rPr>
        <w:t>adjusted assets</w:t>
      </w:r>
      <w:r w:rsidRPr="00460D0E">
        <w:rPr>
          <w:color w:val="000000"/>
          <w:szCs w:val="24"/>
        </w:rPr>
        <w:t> means, in relation to a financial services licensee, the value of total assets as they would appear on a balance sheet at the time of calculation made up for lodgement as part of a financial report under Chapter 2M if the licensee were a reporting entity:</w:t>
      </w:r>
    </w:p>
    <w:p w14:paraId="24BDB7B1" w14:textId="3D900BA1" w:rsidR="00460D0E" w:rsidRPr="002F62FD" w:rsidRDefault="00460D0E" w:rsidP="002F62FD">
      <w:pPr>
        <w:pStyle w:val="LI-BodyTextParaa"/>
        <w:rPr>
          <w:color w:val="000000"/>
        </w:rPr>
      </w:pPr>
      <w:r w:rsidRPr="00460D0E">
        <w:rPr>
          <w:color w:val="000000"/>
        </w:rPr>
        <w:t>(a)</w:t>
      </w:r>
      <w:r w:rsidR="002F62FD">
        <w:rPr>
          <w:color w:val="000000"/>
        </w:rPr>
        <w:tab/>
      </w:r>
      <w:r w:rsidRPr="00460D0E">
        <w:rPr>
          <w:color w:val="000000"/>
        </w:rPr>
        <w:t>minus the value of excluded assets that would be included in the calculation; and</w:t>
      </w:r>
    </w:p>
    <w:p w14:paraId="3E79D63F" w14:textId="0391F26E" w:rsidR="00460D0E" w:rsidRPr="002F62FD" w:rsidRDefault="00460D0E" w:rsidP="002F62FD">
      <w:pPr>
        <w:pStyle w:val="LI-BodyTextParaa"/>
        <w:rPr>
          <w:color w:val="000000"/>
        </w:rPr>
      </w:pPr>
      <w:r w:rsidRPr="00460D0E">
        <w:rPr>
          <w:color w:val="000000"/>
        </w:rPr>
        <w:t>(b)</w:t>
      </w:r>
      <w:r w:rsidR="002F62FD">
        <w:rPr>
          <w:color w:val="000000"/>
        </w:rPr>
        <w:tab/>
      </w:r>
      <w:r w:rsidRPr="00460D0E">
        <w:rPr>
          <w:color w:val="000000"/>
        </w:rPr>
        <w:t>minus the value of any receivable that would be included in the calculation, up to the amount that the licensee has excluded from adjusted liabilities on the basis that there is an enforceable right of set-off with that receivable; and</w:t>
      </w:r>
    </w:p>
    <w:p w14:paraId="6D742743" w14:textId="1873CA71" w:rsidR="00460D0E" w:rsidRPr="002F62FD" w:rsidRDefault="00460D0E" w:rsidP="002F62FD">
      <w:pPr>
        <w:pStyle w:val="LI-BodyTextParaa"/>
        <w:rPr>
          <w:color w:val="000000"/>
        </w:rPr>
      </w:pPr>
      <w:r w:rsidRPr="00460D0E">
        <w:rPr>
          <w:color w:val="000000"/>
        </w:rPr>
        <w:t>(c)</w:t>
      </w:r>
      <w:r w:rsidR="002F62FD">
        <w:rPr>
          <w:color w:val="000000"/>
        </w:rPr>
        <w:tab/>
      </w:r>
      <w:r w:rsidRPr="00460D0E">
        <w:rPr>
          <w:color w:val="000000"/>
        </w:rPr>
        <w:t>minus the value of any assets that would be included in the calculation that are encumbered as a security against liability to a person that provides a security bond to ASIC up to the amount of the bond; and</w:t>
      </w:r>
    </w:p>
    <w:p w14:paraId="284D436B" w14:textId="3CBBC52F" w:rsidR="00460D0E" w:rsidRPr="002F62FD" w:rsidRDefault="00460D0E" w:rsidP="002F62FD">
      <w:pPr>
        <w:pStyle w:val="LI-BodyTextParaa"/>
        <w:rPr>
          <w:color w:val="000000"/>
        </w:rPr>
      </w:pPr>
      <w:r w:rsidRPr="00460D0E">
        <w:rPr>
          <w:color w:val="000000"/>
        </w:rPr>
        <w:t>(d)</w:t>
      </w:r>
      <w:r w:rsidR="002F62FD">
        <w:rPr>
          <w:color w:val="000000"/>
        </w:rPr>
        <w:tab/>
      </w:r>
      <w:r w:rsidRPr="00460D0E">
        <w:rPr>
          <w:color w:val="000000"/>
        </w:rPr>
        <w:t>minus the value of any assets that would be included in the calculation that may be required to be applied to satisfy a liability under a credit facility that is made without recourse to the licensee up to the amount of that liability excluded from adjusted liabilities; and</w:t>
      </w:r>
    </w:p>
    <w:p w14:paraId="6997F531" w14:textId="5838931B" w:rsidR="00460D0E" w:rsidRPr="002F62FD" w:rsidRDefault="00460D0E" w:rsidP="002F62FD">
      <w:pPr>
        <w:pStyle w:val="LI-BodyTextParaa"/>
        <w:rPr>
          <w:color w:val="000000"/>
        </w:rPr>
      </w:pPr>
      <w:r w:rsidRPr="00460D0E">
        <w:rPr>
          <w:color w:val="000000"/>
        </w:rPr>
        <w:t>(e)</w:t>
      </w:r>
      <w:r w:rsidR="002F62FD">
        <w:rPr>
          <w:color w:val="000000"/>
        </w:rPr>
        <w:tab/>
      </w:r>
      <w:proofErr w:type="gramStart"/>
      <w:r w:rsidRPr="00460D0E">
        <w:rPr>
          <w:color w:val="000000"/>
        </w:rPr>
        <w:t>plus</w:t>
      </w:r>
      <w:proofErr w:type="gramEnd"/>
      <w:r w:rsidRPr="00460D0E">
        <w:rPr>
          <w:color w:val="000000"/>
        </w:rPr>
        <w:t xml:space="preserve"> the amount of any eligible undertaking that is not an asset.</w:t>
      </w:r>
    </w:p>
    <w:p w14:paraId="659D5248" w14:textId="79FDF8AE" w:rsidR="00A02974" w:rsidRDefault="00460D0E" w:rsidP="002F62FD">
      <w:pPr>
        <w:pStyle w:val="LI-BodyTextUnnumbered"/>
        <w:rPr>
          <w:color w:val="000000"/>
          <w:szCs w:val="24"/>
        </w:rPr>
      </w:pPr>
      <w:r w:rsidRPr="00460D0E">
        <w:rPr>
          <w:b/>
          <w:bCs/>
          <w:i/>
          <w:iCs/>
          <w:color w:val="000000"/>
          <w:szCs w:val="24"/>
        </w:rPr>
        <w:t>adjusted liabilities</w:t>
      </w:r>
      <w:r w:rsidRPr="00460D0E">
        <w:rPr>
          <w:color w:val="000000"/>
          <w:szCs w:val="24"/>
        </w:rPr>
        <w:t> means, in relation to a financial services licensee, the amount of total liabilities as they would appear on a balance sheet at the time of calculation made up for lodgement as part of a financial report under Chapter 2M if the licensee were a reporting entity:</w:t>
      </w:r>
    </w:p>
    <w:p w14:paraId="1E500D95" w14:textId="71A5182C" w:rsidR="00460D0E" w:rsidRPr="002F62FD" w:rsidRDefault="00460D0E" w:rsidP="002F62FD">
      <w:pPr>
        <w:pStyle w:val="LI-BodyTextParaa"/>
        <w:rPr>
          <w:color w:val="000000"/>
        </w:rPr>
      </w:pPr>
      <w:r w:rsidRPr="00460D0E">
        <w:rPr>
          <w:color w:val="000000"/>
        </w:rPr>
        <w:t>(a)</w:t>
      </w:r>
      <w:r w:rsidR="002F62FD">
        <w:rPr>
          <w:color w:val="000000"/>
        </w:rPr>
        <w:tab/>
      </w:r>
      <w:r w:rsidRPr="00460D0E">
        <w:rPr>
          <w:color w:val="000000"/>
        </w:rPr>
        <w:t>minus the amount of any liability under any subordinated debt approved by ASIC in writing; and</w:t>
      </w:r>
    </w:p>
    <w:p w14:paraId="43692B55" w14:textId="52133872" w:rsidR="00460D0E" w:rsidRPr="002F62FD" w:rsidRDefault="00460D0E" w:rsidP="002F62FD">
      <w:pPr>
        <w:pStyle w:val="LI-BodyTextParaa"/>
        <w:rPr>
          <w:color w:val="000000"/>
        </w:rPr>
      </w:pPr>
      <w:r w:rsidRPr="00460D0E">
        <w:rPr>
          <w:color w:val="000000"/>
        </w:rPr>
        <w:lastRenderedPageBreak/>
        <w:t>(b)</w:t>
      </w:r>
      <w:r w:rsidR="002F62FD">
        <w:rPr>
          <w:color w:val="000000"/>
        </w:rPr>
        <w:tab/>
      </w:r>
      <w:r w:rsidRPr="00460D0E">
        <w:rPr>
          <w:color w:val="000000"/>
        </w:rPr>
        <w:t>minus the amount of any liability that is the subject of an enforceable right of set-off, if the corresponding receivable is excluded from adjusted assets; and</w:t>
      </w:r>
    </w:p>
    <w:p w14:paraId="69A1B606" w14:textId="3812BCF0" w:rsidR="00460D0E" w:rsidRPr="002F62FD" w:rsidRDefault="00460D0E" w:rsidP="002F62FD">
      <w:pPr>
        <w:pStyle w:val="LI-BodyTextParaa"/>
        <w:rPr>
          <w:color w:val="000000"/>
        </w:rPr>
      </w:pPr>
      <w:r w:rsidRPr="00460D0E">
        <w:rPr>
          <w:color w:val="000000"/>
        </w:rPr>
        <w:t>(c)</w:t>
      </w:r>
      <w:r w:rsidR="002F62FD">
        <w:rPr>
          <w:color w:val="000000"/>
        </w:rPr>
        <w:tab/>
      </w:r>
      <w:r w:rsidRPr="00460D0E">
        <w:rPr>
          <w:color w:val="000000"/>
        </w:rPr>
        <w:t>minus the amount of any liability under a credit facility that is made without recourse to the licensee; and</w:t>
      </w:r>
    </w:p>
    <w:p w14:paraId="1CE9D20B" w14:textId="2A230D46" w:rsidR="00460D0E" w:rsidRPr="002F62FD" w:rsidRDefault="00460D0E" w:rsidP="002F62FD">
      <w:pPr>
        <w:pStyle w:val="LI-BodyTextParaa"/>
        <w:rPr>
          <w:color w:val="000000"/>
        </w:rPr>
      </w:pPr>
      <w:r w:rsidRPr="00460D0E">
        <w:rPr>
          <w:color w:val="000000"/>
        </w:rPr>
        <w:t>(d)</w:t>
      </w:r>
      <w:r w:rsidR="002F62FD">
        <w:rPr>
          <w:color w:val="000000"/>
        </w:rPr>
        <w:tab/>
      </w:r>
      <w:proofErr w:type="gramStart"/>
      <w:r w:rsidRPr="00460D0E">
        <w:rPr>
          <w:color w:val="000000"/>
        </w:rPr>
        <w:t>plus</w:t>
      </w:r>
      <w:proofErr w:type="gramEnd"/>
      <w:r w:rsidRPr="00460D0E">
        <w:rPr>
          <w:color w:val="000000"/>
        </w:rPr>
        <w:t xml:space="preserve"> the value of any assets that are encumbered</w:t>
      </w:r>
      <w:r w:rsidR="00413607">
        <w:rPr>
          <w:color w:val="000000"/>
        </w:rPr>
        <w:t xml:space="preserve"> (</w:t>
      </w:r>
      <w:r w:rsidR="00413607" w:rsidRPr="00114487">
        <w:rPr>
          <w:color w:val="000000"/>
        </w:rPr>
        <w:t>other than assets that are encumbered merely to support a guarantee provided by the licensee)</w:t>
      </w:r>
      <w:r w:rsidRPr="00460D0E">
        <w:rPr>
          <w:color w:val="000000"/>
        </w:rPr>
        <w:t xml:space="preserve"> as a security against another person’s liability where the licensee is not otherwise liable, but only up to the lower of:</w:t>
      </w:r>
    </w:p>
    <w:p w14:paraId="13EB9675" w14:textId="3C66623B" w:rsidR="00460D0E" w:rsidRPr="002F62FD" w:rsidRDefault="00460D0E" w:rsidP="002F62FD">
      <w:pPr>
        <w:pStyle w:val="LI-BodyTextSubparai"/>
      </w:pPr>
      <w:r w:rsidRPr="002F62FD">
        <w:t>(</w:t>
      </w:r>
      <w:proofErr w:type="spellStart"/>
      <w:r w:rsidRPr="002F62FD">
        <w:t>i</w:t>
      </w:r>
      <w:proofErr w:type="spellEnd"/>
      <w:r w:rsidRPr="002F62FD">
        <w:t>)</w:t>
      </w:r>
      <w:r w:rsidR="002F62FD">
        <w:tab/>
      </w:r>
      <w:r w:rsidRPr="002F62FD">
        <w:t>the amount of that other person’s liability; or</w:t>
      </w:r>
    </w:p>
    <w:p w14:paraId="015DB10D" w14:textId="082F25B3" w:rsidR="00460D0E" w:rsidRPr="002F62FD" w:rsidRDefault="00460D0E" w:rsidP="002F62FD">
      <w:pPr>
        <w:pStyle w:val="LI-BodyTextSubparai"/>
      </w:pPr>
      <w:r w:rsidRPr="002F62FD">
        <w:t>(ii)</w:t>
      </w:r>
      <w:r w:rsidR="002F62FD">
        <w:tab/>
      </w:r>
      <w:r w:rsidRPr="002F62FD">
        <w:t>the value of the assets encumbered;</w:t>
      </w:r>
      <w:r w:rsidR="00B7262B">
        <w:t xml:space="preserve"> and</w:t>
      </w:r>
    </w:p>
    <w:p w14:paraId="025DED82" w14:textId="2A26A686" w:rsidR="00460D0E" w:rsidRPr="00460D0E" w:rsidRDefault="00460D0E" w:rsidP="002F62FD">
      <w:pPr>
        <w:pStyle w:val="LI-BodyTextParaa"/>
        <w:rPr>
          <w:rFonts w:ascii="Calibri" w:hAnsi="Calibri" w:cs="Calibri"/>
          <w:color w:val="000000"/>
          <w:szCs w:val="22"/>
        </w:rPr>
      </w:pPr>
      <w:r w:rsidRPr="00460D0E">
        <w:rPr>
          <w:color w:val="000000"/>
        </w:rPr>
        <w:t>(e)</w:t>
      </w:r>
      <w:r w:rsidR="002F62FD">
        <w:rPr>
          <w:color w:val="000000"/>
        </w:rPr>
        <w:tab/>
      </w:r>
      <w:proofErr w:type="gramStart"/>
      <w:r w:rsidRPr="00460D0E">
        <w:rPr>
          <w:color w:val="000000"/>
        </w:rPr>
        <w:t>plus</w:t>
      </w:r>
      <w:proofErr w:type="gramEnd"/>
      <w:r w:rsidRPr="00460D0E">
        <w:rPr>
          <w:color w:val="000000"/>
        </w:rPr>
        <w:t xml:space="preserve"> the maximum potential liability of any guarantee provided by the licensee other than</w:t>
      </w:r>
      <w:r w:rsidR="00785E05">
        <w:rPr>
          <w:color w:val="000000"/>
        </w:rPr>
        <w:t xml:space="preserve"> </w:t>
      </w:r>
      <w:r w:rsidR="00942BC5">
        <w:rPr>
          <w:color w:val="000000"/>
        </w:rPr>
        <w:t>a</w:t>
      </w:r>
      <w:r w:rsidRPr="00460D0E">
        <w:rPr>
          <w:color w:val="000000"/>
        </w:rPr>
        <w:t>:</w:t>
      </w:r>
    </w:p>
    <w:p w14:paraId="09E308AF" w14:textId="30997DE3" w:rsidR="002E0ECE" w:rsidRPr="002F62FD" w:rsidRDefault="00460D0E" w:rsidP="002F62FD">
      <w:pPr>
        <w:pStyle w:val="LI-BodyTextSubparai"/>
      </w:pPr>
      <w:r w:rsidRPr="002F62FD">
        <w:t>(</w:t>
      </w:r>
      <w:proofErr w:type="spellStart"/>
      <w:r w:rsidRPr="002F62FD">
        <w:t>i</w:t>
      </w:r>
      <w:proofErr w:type="spellEnd"/>
      <w:r w:rsidRPr="002F62FD">
        <w:t>)</w:t>
      </w:r>
      <w:r w:rsidR="002F62FD">
        <w:tab/>
      </w:r>
      <w:r w:rsidRPr="002F62FD">
        <w:t>guarantee limited to an amount recoverable out of any scheme property</w:t>
      </w:r>
      <w:r w:rsidR="004D6271">
        <w:t xml:space="preserve"> (and in the case of a scheme which is not registered, out of any contributions</w:t>
      </w:r>
      <w:r w:rsidR="00F93423">
        <w:t xml:space="preserve">, money, </w:t>
      </w:r>
      <w:proofErr w:type="gramStart"/>
      <w:r w:rsidR="00F93423">
        <w:t>property</w:t>
      </w:r>
      <w:proofErr w:type="gramEnd"/>
      <w:r w:rsidR="00F93423">
        <w:t xml:space="preserve"> or income that would be scheme property if the scheme were registered)</w:t>
      </w:r>
      <w:r w:rsidRPr="002F62FD">
        <w:t xml:space="preserve"> of a </w:t>
      </w:r>
      <w:r w:rsidR="00B23242">
        <w:t>managed investment</w:t>
      </w:r>
      <w:r w:rsidRPr="002F62FD">
        <w:t xml:space="preserve"> scheme operated by the licensee;</w:t>
      </w:r>
      <w:r w:rsidR="002E0ECE" w:rsidRPr="002F62FD">
        <w:t xml:space="preserve"> or</w:t>
      </w:r>
    </w:p>
    <w:p w14:paraId="434AC2BA" w14:textId="2998F3F5" w:rsidR="00460D0E" w:rsidRPr="002F62FD" w:rsidRDefault="002E0ECE" w:rsidP="002F62FD">
      <w:pPr>
        <w:pStyle w:val="LI-BodyTextSubparai"/>
      </w:pPr>
      <w:r w:rsidRPr="002F62FD">
        <w:t>(ii)</w:t>
      </w:r>
      <w:r w:rsidR="002F62FD">
        <w:tab/>
      </w:r>
      <w:r w:rsidRPr="002F62FD">
        <w:t xml:space="preserve">guarantee limited to an amount recoverable out of any assets of a </w:t>
      </w:r>
      <w:r w:rsidR="00BE4589">
        <w:t xml:space="preserve">retail </w:t>
      </w:r>
      <w:r w:rsidRPr="002F62FD">
        <w:t xml:space="preserve">CCIV operated by the licensee; </w:t>
      </w:r>
      <w:r w:rsidR="00460D0E" w:rsidRPr="002F62FD">
        <w:t>or</w:t>
      </w:r>
    </w:p>
    <w:p w14:paraId="3BE9F46C" w14:textId="5FD08FBD" w:rsidR="00A02974" w:rsidRDefault="00460D0E" w:rsidP="00656071">
      <w:pPr>
        <w:pStyle w:val="LI-BodyTextSubparai"/>
        <w:rPr>
          <w:color w:val="000000"/>
        </w:rPr>
      </w:pPr>
      <w:r w:rsidRPr="002F62FD">
        <w:t>(ii</w:t>
      </w:r>
      <w:r w:rsidR="002E0ECE" w:rsidRPr="002F62FD">
        <w:t>i</w:t>
      </w:r>
      <w:r w:rsidRPr="002F62FD">
        <w:t>)</w:t>
      </w:r>
      <w:r w:rsidR="002F62FD">
        <w:tab/>
      </w:r>
      <w:r w:rsidRPr="002F62FD">
        <w:t>guarantee of the obligations of a member of a stapled group</w:t>
      </w:r>
      <w:r w:rsidR="00B15DC4" w:rsidRPr="002F62FD">
        <w:t>, except where the licensee is the responsible entity of a registered scheme that is not part of the stapled group.</w:t>
      </w:r>
    </w:p>
    <w:p w14:paraId="7D23453E" w14:textId="5B147C1B" w:rsidR="00582E89" w:rsidRDefault="00460D0E" w:rsidP="00656071">
      <w:pPr>
        <w:pStyle w:val="LI-BodyTextUnnumbered"/>
        <w:rPr>
          <w:rFonts w:ascii="Calibri" w:hAnsi="Calibri" w:cs="Calibri"/>
          <w:color w:val="000000"/>
          <w:szCs w:val="22"/>
        </w:rPr>
      </w:pPr>
      <w:r w:rsidRPr="00460D0E">
        <w:rPr>
          <w:b/>
          <w:bCs/>
          <w:i/>
          <w:iCs/>
          <w:color w:val="000000"/>
          <w:szCs w:val="24"/>
        </w:rPr>
        <w:t>amount </w:t>
      </w:r>
      <w:r w:rsidRPr="00460D0E">
        <w:rPr>
          <w:color w:val="000000"/>
          <w:szCs w:val="24"/>
        </w:rPr>
        <w:t>of an eligible undertaking means the amount that remains payable in accordance with the undertaking at the relevant time despite any amount previously paid under the undertaking less any amount that would be repayable as a liability by the licensee if money were paid.</w:t>
      </w:r>
    </w:p>
    <w:p w14:paraId="4D2461DF" w14:textId="77777777" w:rsidR="00460D0E" w:rsidRPr="00460D0E" w:rsidRDefault="00460D0E" w:rsidP="00656071">
      <w:pPr>
        <w:pStyle w:val="LI-BodyTextUnnumbered"/>
        <w:rPr>
          <w:rFonts w:ascii="Calibri" w:hAnsi="Calibri" w:cs="Calibri"/>
          <w:color w:val="000000"/>
          <w:szCs w:val="22"/>
        </w:rPr>
      </w:pPr>
      <w:r w:rsidRPr="00460D0E">
        <w:rPr>
          <w:b/>
          <w:bCs/>
          <w:i/>
          <w:iCs/>
          <w:color w:val="000000"/>
          <w:szCs w:val="24"/>
        </w:rPr>
        <w:t>approved foreign market</w:t>
      </w:r>
      <w:r w:rsidRPr="00460D0E">
        <w:rPr>
          <w:color w:val="000000"/>
          <w:szCs w:val="24"/>
        </w:rPr>
        <w:t> has the meaning given by section 9.</w:t>
      </w:r>
    </w:p>
    <w:p w14:paraId="236FAED2" w14:textId="2C58CA79" w:rsidR="00460D0E" w:rsidRPr="00460D0E" w:rsidRDefault="00460D0E" w:rsidP="00656071">
      <w:pPr>
        <w:pStyle w:val="LI-SectionNote"/>
        <w:spacing w:line="235" w:lineRule="atLeast"/>
        <w:ind w:left="1701"/>
        <w:rPr>
          <w:rFonts w:ascii="Calibri" w:hAnsi="Calibri" w:cs="Calibri"/>
          <w:color w:val="000000"/>
          <w:szCs w:val="22"/>
        </w:rPr>
      </w:pPr>
      <w:r w:rsidRPr="00460D0E">
        <w:t>Note:</w:t>
      </w:r>
      <w:r w:rsidR="00175C62">
        <w:tab/>
      </w:r>
      <w:r w:rsidRPr="00460D0E">
        <w:t>The definition of </w:t>
      </w:r>
      <w:r w:rsidRPr="003555AD">
        <w:rPr>
          <w:b/>
          <w:bCs/>
          <w:i/>
          <w:iCs/>
        </w:rPr>
        <w:t>approved foreign market</w:t>
      </w:r>
      <w:r w:rsidRPr="00460D0E">
        <w:t> is notionally inserted by </w:t>
      </w:r>
      <w:r w:rsidRPr="00E249A0">
        <w:rPr>
          <w:i/>
          <w:iCs/>
        </w:rPr>
        <w:t>ASIC Corporations (Definition of Approved Foreign Market) Instrument 2017/669</w:t>
      </w:r>
      <w:r w:rsidRPr="00460D0E">
        <w:t>.</w:t>
      </w:r>
    </w:p>
    <w:p w14:paraId="22FC5403" w14:textId="38BFFA40" w:rsidR="00460D0E" w:rsidRPr="00460D0E" w:rsidRDefault="00460D0E" w:rsidP="00E456AA">
      <w:pPr>
        <w:pStyle w:val="LI-BodyTextUnnumbered"/>
        <w:rPr>
          <w:rFonts w:ascii="Calibri" w:hAnsi="Calibri" w:cs="Calibri"/>
          <w:color w:val="000000"/>
          <w:szCs w:val="22"/>
        </w:rPr>
      </w:pPr>
      <w:r w:rsidRPr="00460D0E">
        <w:rPr>
          <w:b/>
          <w:bCs/>
          <w:i/>
          <w:iCs/>
          <w:color w:val="000000"/>
          <w:szCs w:val="24"/>
        </w:rPr>
        <w:t>average revenue</w:t>
      </w:r>
      <w:r w:rsidRPr="00460D0E">
        <w:rPr>
          <w:b/>
          <w:bCs/>
          <w:color w:val="000000"/>
          <w:szCs w:val="24"/>
        </w:rPr>
        <w:t> </w:t>
      </w:r>
      <w:r w:rsidRPr="00460D0E">
        <w:rPr>
          <w:color w:val="000000"/>
          <w:szCs w:val="24"/>
        </w:rPr>
        <w:t>means:</w:t>
      </w:r>
    </w:p>
    <w:p w14:paraId="452FBDE6" w14:textId="44F6BCDD" w:rsidR="00460D0E" w:rsidRPr="00E456AA" w:rsidRDefault="00460D0E" w:rsidP="00E456AA">
      <w:pPr>
        <w:pStyle w:val="LI-BodyTextParaa"/>
        <w:rPr>
          <w:color w:val="000000"/>
        </w:rPr>
      </w:pPr>
      <w:r w:rsidRPr="00460D0E">
        <w:rPr>
          <w:color w:val="000000"/>
        </w:rPr>
        <w:t>(a)</w:t>
      </w:r>
      <w:r w:rsidR="00E456AA">
        <w:rPr>
          <w:color w:val="000000"/>
        </w:rPr>
        <w:tab/>
      </w:r>
      <w:r w:rsidRPr="00460D0E">
        <w:rPr>
          <w:color w:val="000000"/>
        </w:rPr>
        <w:t xml:space="preserve">for a financial services licensee in its first financial year—the licensee’s reasonable forecast of its revenue from the calculation date for the remainder of the first financial year pro-rated to a </w:t>
      </w:r>
      <w:proofErr w:type="gramStart"/>
      <w:r w:rsidRPr="00460D0E">
        <w:rPr>
          <w:color w:val="000000"/>
        </w:rPr>
        <w:t>12</w:t>
      </w:r>
      <w:r w:rsidR="00C848AC">
        <w:rPr>
          <w:color w:val="000000"/>
        </w:rPr>
        <w:t> </w:t>
      </w:r>
      <w:r w:rsidRPr="00460D0E">
        <w:rPr>
          <w:color w:val="000000"/>
        </w:rPr>
        <w:t>month</w:t>
      </w:r>
      <w:proofErr w:type="gramEnd"/>
      <w:r w:rsidRPr="00460D0E">
        <w:rPr>
          <w:color w:val="000000"/>
        </w:rPr>
        <w:t xml:space="preserve"> period; and</w:t>
      </w:r>
    </w:p>
    <w:p w14:paraId="13543D84" w14:textId="3ECA71ED" w:rsidR="00460D0E" w:rsidRPr="00E456AA" w:rsidRDefault="00460D0E" w:rsidP="00E456AA">
      <w:pPr>
        <w:pStyle w:val="LI-BodyTextParaa"/>
        <w:rPr>
          <w:color w:val="000000"/>
        </w:rPr>
      </w:pPr>
      <w:r w:rsidRPr="00460D0E">
        <w:rPr>
          <w:color w:val="000000"/>
        </w:rPr>
        <w:t>(b)</w:t>
      </w:r>
      <w:r w:rsidR="00E456AA">
        <w:rPr>
          <w:color w:val="000000"/>
        </w:rPr>
        <w:tab/>
      </w:r>
      <w:r w:rsidRPr="00460D0E">
        <w:rPr>
          <w:color w:val="000000"/>
        </w:rPr>
        <w:t>for a financial services licensee in its second financial year of being authorised to provide the financial services specified in paragraph (1)(a)—the average of:</w:t>
      </w:r>
    </w:p>
    <w:p w14:paraId="225CC71B" w14:textId="76E4B857" w:rsidR="00460D0E" w:rsidRPr="00460D0E" w:rsidRDefault="00460D0E" w:rsidP="00C848AC">
      <w:pPr>
        <w:pStyle w:val="LI-BodyTextSubparai"/>
        <w:rPr>
          <w:rFonts w:ascii="Calibri" w:hAnsi="Calibri" w:cs="Calibri"/>
          <w:color w:val="000000"/>
          <w:szCs w:val="22"/>
        </w:rPr>
      </w:pPr>
      <w:r w:rsidRPr="00460D0E">
        <w:rPr>
          <w:color w:val="000000"/>
        </w:rPr>
        <w:lastRenderedPageBreak/>
        <w:t>(</w:t>
      </w:r>
      <w:proofErr w:type="spellStart"/>
      <w:r w:rsidRPr="00460D0E">
        <w:rPr>
          <w:color w:val="000000"/>
        </w:rPr>
        <w:t>i</w:t>
      </w:r>
      <w:proofErr w:type="spellEnd"/>
      <w:r w:rsidRPr="00E456AA">
        <w:t>)</w:t>
      </w:r>
      <w:r w:rsidR="00E456AA">
        <w:tab/>
      </w:r>
      <w:r w:rsidRPr="00460D0E">
        <w:rPr>
          <w:color w:val="000000"/>
        </w:rPr>
        <w:t>the aggregate of the licensee’s:</w:t>
      </w:r>
    </w:p>
    <w:p w14:paraId="37F73854" w14:textId="5359A69B" w:rsidR="00A02974" w:rsidRDefault="00460D0E" w:rsidP="00C848AC">
      <w:pPr>
        <w:pStyle w:val="LI-BodyTextSubsubparaA"/>
        <w:rPr>
          <w:color w:val="000000"/>
        </w:rPr>
      </w:pPr>
      <w:r w:rsidRPr="00460D0E">
        <w:rPr>
          <w:color w:val="000000"/>
        </w:rPr>
        <w:t>(A)</w:t>
      </w:r>
      <w:r w:rsidR="00C848AC">
        <w:rPr>
          <w:color w:val="000000"/>
        </w:rPr>
        <w:tab/>
      </w:r>
      <w:r w:rsidRPr="00460D0E">
        <w:rPr>
          <w:color w:val="000000"/>
        </w:rPr>
        <w:t>revenue for the second financial year to date; and</w:t>
      </w:r>
    </w:p>
    <w:p w14:paraId="11F7F975" w14:textId="3740472C" w:rsidR="00460D0E" w:rsidRPr="00C848AC" w:rsidRDefault="00460D0E" w:rsidP="00C848AC">
      <w:pPr>
        <w:pStyle w:val="LI-BodyTextSubsubparaA"/>
        <w:rPr>
          <w:color w:val="000000"/>
        </w:rPr>
      </w:pPr>
      <w:r w:rsidRPr="00460D0E">
        <w:rPr>
          <w:color w:val="000000"/>
        </w:rPr>
        <w:t>(B)</w:t>
      </w:r>
      <w:r w:rsidR="00C848AC">
        <w:rPr>
          <w:color w:val="000000"/>
        </w:rPr>
        <w:tab/>
      </w:r>
      <w:r w:rsidRPr="00460D0E">
        <w:rPr>
          <w:color w:val="000000"/>
        </w:rPr>
        <w:t>reasonable forecast of its revenue for the remainder of the second financial year; and</w:t>
      </w:r>
    </w:p>
    <w:p w14:paraId="6AEF96E4" w14:textId="0B1C115E" w:rsidR="00460D0E" w:rsidRPr="00460D0E" w:rsidRDefault="00460D0E" w:rsidP="00C848AC">
      <w:pPr>
        <w:pStyle w:val="LI-BodyTextSubparai"/>
        <w:rPr>
          <w:rFonts w:ascii="Calibri" w:hAnsi="Calibri" w:cs="Calibri"/>
          <w:color w:val="000000"/>
          <w:szCs w:val="22"/>
        </w:rPr>
      </w:pPr>
      <w:r w:rsidRPr="00460D0E">
        <w:rPr>
          <w:color w:val="000000"/>
        </w:rPr>
        <w:t>(ii)</w:t>
      </w:r>
      <w:r w:rsidR="00C848AC">
        <w:rPr>
          <w:color w:val="000000"/>
        </w:rPr>
        <w:tab/>
      </w:r>
      <w:r w:rsidRPr="00460D0E">
        <w:rPr>
          <w:color w:val="000000"/>
        </w:rPr>
        <w:t xml:space="preserve">the licensee’s revenue in the first financial year from the calculation date pro-rated to a </w:t>
      </w:r>
      <w:proofErr w:type="gramStart"/>
      <w:r w:rsidRPr="00460D0E">
        <w:rPr>
          <w:color w:val="000000"/>
        </w:rPr>
        <w:t>12 month</w:t>
      </w:r>
      <w:proofErr w:type="gramEnd"/>
      <w:r w:rsidRPr="00460D0E">
        <w:rPr>
          <w:color w:val="000000"/>
        </w:rPr>
        <w:t xml:space="preserve"> period; and</w:t>
      </w:r>
    </w:p>
    <w:p w14:paraId="3C42771A" w14:textId="5A92E975" w:rsidR="00460D0E" w:rsidRPr="00460D0E" w:rsidRDefault="00460D0E" w:rsidP="00C848AC">
      <w:pPr>
        <w:pStyle w:val="LI-BodyTextParaa"/>
        <w:rPr>
          <w:rFonts w:ascii="Calibri" w:hAnsi="Calibri" w:cs="Calibri"/>
          <w:color w:val="000000"/>
          <w:szCs w:val="22"/>
        </w:rPr>
      </w:pPr>
      <w:r w:rsidRPr="00460D0E">
        <w:rPr>
          <w:color w:val="000000"/>
        </w:rPr>
        <w:t>(c)</w:t>
      </w:r>
      <w:r w:rsidR="00C848AC">
        <w:rPr>
          <w:color w:val="000000"/>
        </w:rPr>
        <w:tab/>
      </w:r>
      <w:r w:rsidRPr="00460D0E">
        <w:rPr>
          <w:color w:val="000000"/>
        </w:rPr>
        <w:t>for a financial services licensee in its third financial year of being authorised to provide the financial services specified in paragraph (1)(a)—the average of:</w:t>
      </w:r>
    </w:p>
    <w:p w14:paraId="19889D90" w14:textId="7B414283" w:rsidR="00460D0E" w:rsidRPr="00460D0E" w:rsidRDefault="00460D0E" w:rsidP="00FC6B02">
      <w:pPr>
        <w:pStyle w:val="LI-BodyTextSubparai"/>
        <w:rPr>
          <w:rFonts w:ascii="Calibri" w:hAnsi="Calibri" w:cs="Calibri"/>
          <w:color w:val="000000"/>
          <w:szCs w:val="22"/>
        </w:rPr>
      </w:pPr>
      <w:r w:rsidRPr="00460D0E">
        <w:rPr>
          <w:color w:val="000000"/>
        </w:rPr>
        <w:t>(</w:t>
      </w:r>
      <w:proofErr w:type="spellStart"/>
      <w:r w:rsidRPr="00460D0E">
        <w:rPr>
          <w:color w:val="000000"/>
        </w:rPr>
        <w:t>i</w:t>
      </w:r>
      <w:proofErr w:type="spellEnd"/>
      <w:r w:rsidRPr="00460D0E">
        <w:rPr>
          <w:color w:val="000000"/>
        </w:rPr>
        <w:t>)</w:t>
      </w:r>
      <w:r w:rsidR="00FC6B02">
        <w:rPr>
          <w:color w:val="000000"/>
        </w:rPr>
        <w:tab/>
      </w:r>
      <w:r w:rsidRPr="00460D0E">
        <w:rPr>
          <w:color w:val="000000"/>
        </w:rPr>
        <w:t>the aggregate of the licensee’s:</w:t>
      </w:r>
    </w:p>
    <w:p w14:paraId="5E763CDE" w14:textId="6D7B37FE" w:rsidR="00460D0E" w:rsidRPr="00FC6B02" w:rsidRDefault="00460D0E" w:rsidP="00FC6B02">
      <w:pPr>
        <w:pStyle w:val="LI-BodyTextSubsubparaA"/>
        <w:rPr>
          <w:color w:val="000000"/>
        </w:rPr>
      </w:pPr>
      <w:r w:rsidRPr="00460D0E">
        <w:rPr>
          <w:color w:val="000000"/>
        </w:rPr>
        <w:t>(A)</w:t>
      </w:r>
      <w:r w:rsidR="00FC6B02">
        <w:rPr>
          <w:color w:val="000000"/>
        </w:rPr>
        <w:tab/>
      </w:r>
      <w:r w:rsidRPr="00460D0E">
        <w:rPr>
          <w:color w:val="000000"/>
        </w:rPr>
        <w:t>revenue for the third financial year to date; and</w:t>
      </w:r>
    </w:p>
    <w:p w14:paraId="790A0336" w14:textId="2D28DD1A" w:rsidR="00460D0E" w:rsidRPr="00FC6B02" w:rsidRDefault="00460D0E" w:rsidP="00FC6B02">
      <w:pPr>
        <w:pStyle w:val="LI-BodyTextSubsubparaA"/>
        <w:rPr>
          <w:color w:val="000000"/>
        </w:rPr>
      </w:pPr>
      <w:r w:rsidRPr="00460D0E">
        <w:rPr>
          <w:color w:val="000000"/>
        </w:rPr>
        <w:t>(B)</w:t>
      </w:r>
      <w:r w:rsidR="00FC6B02">
        <w:rPr>
          <w:color w:val="000000"/>
        </w:rPr>
        <w:tab/>
      </w:r>
      <w:r w:rsidRPr="00460D0E">
        <w:rPr>
          <w:color w:val="000000"/>
        </w:rPr>
        <w:t>reasonable forecast of its revenue for the remainder of the third financial year; and</w:t>
      </w:r>
    </w:p>
    <w:p w14:paraId="3BC371F0" w14:textId="47EF6881" w:rsidR="00460D0E" w:rsidRPr="00B46594" w:rsidRDefault="00460D0E" w:rsidP="00B46594">
      <w:pPr>
        <w:pStyle w:val="LI-BodyTextSubparai"/>
        <w:rPr>
          <w:color w:val="000000"/>
        </w:rPr>
      </w:pPr>
      <w:r w:rsidRPr="00460D0E">
        <w:rPr>
          <w:color w:val="000000"/>
        </w:rPr>
        <w:t>(ii)</w:t>
      </w:r>
      <w:r w:rsidR="00B46594">
        <w:rPr>
          <w:color w:val="000000"/>
        </w:rPr>
        <w:tab/>
      </w:r>
      <w:r w:rsidRPr="00460D0E">
        <w:rPr>
          <w:color w:val="000000"/>
        </w:rPr>
        <w:t>the licensee’s revenue for its second financial year; and</w:t>
      </w:r>
    </w:p>
    <w:p w14:paraId="403AA984" w14:textId="7AA74716" w:rsidR="00460D0E" w:rsidRPr="00B46594" w:rsidRDefault="00460D0E" w:rsidP="00B46594">
      <w:pPr>
        <w:pStyle w:val="LI-BodyTextSubparai"/>
        <w:rPr>
          <w:color w:val="000000"/>
        </w:rPr>
      </w:pPr>
      <w:r w:rsidRPr="00460D0E">
        <w:rPr>
          <w:color w:val="000000"/>
        </w:rPr>
        <w:t>(iii)</w:t>
      </w:r>
      <w:r w:rsidR="00B46594">
        <w:rPr>
          <w:color w:val="000000"/>
        </w:rPr>
        <w:tab/>
      </w:r>
      <w:r w:rsidRPr="00460D0E">
        <w:rPr>
          <w:color w:val="000000"/>
        </w:rPr>
        <w:t xml:space="preserve">the revenue in the first financial year from the calculation date pro-rated to a </w:t>
      </w:r>
      <w:proofErr w:type="gramStart"/>
      <w:r w:rsidRPr="00460D0E">
        <w:rPr>
          <w:color w:val="000000"/>
        </w:rPr>
        <w:t>12 month</w:t>
      </w:r>
      <w:proofErr w:type="gramEnd"/>
      <w:r w:rsidRPr="00460D0E">
        <w:rPr>
          <w:color w:val="000000"/>
        </w:rPr>
        <w:t xml:space="preserve"> period; and</w:t>
      </w:r>
    </w:p>
    <w:p w14:paraId="2401316D" w14:textId="3D728145" w:rsidR="00460D0E" w:rsidRPr="00460D0E" w:rsidRDefault="00460D0E" w:rsidP="00B46594">
      <w:pPr>
        <w:pStyle w:val="LI-BodyTextParaa"/>
        <w:rPr>
          <w:rFonts w:ascii="Calibri" w:hAnsi="Calibri" w:cs="Calibri"/>
          <w:color w:val="000000"/>
          <w:szCs w:val="22"/>
        </w:rPr>
      </w:pPr>
      <w:r w:rsidRPr="00460D0E">
        <w:rPr>
          <w:color w:val="000000"/>
        </w:rPr>
        <w:t>(d)</w:t>
      </w:r>
      <w:r w:rsidR="00B46594">
        <w:rPr>
          <w:color w:val="000000"/>
        </w:rPr>
        <w:tab/>
      </w:r>
      <w:r w:rsidRPr="00460D0E">
        <w:rPr>
          <w:color w:val="000000"/>
        </w:rPr>
        <w:t>for all subsequent financial years of a financial services licensee</w:t>
      </w:r>
      <w:r w:rsidRPr="00460D0E">
        <w:rPr>
          <w:b/>
          <w:bCs/>
          <w:color w:val="000000"/>
        </w:rPr>
        <w:t>—</w:t>
      </w:r>
      <w:r w:rsidRPr="00460D0E">
        <w:rPr>
          <w:color w:val="000000"/>
        </w:rPr>
        <w:t>the average of:</w:t>
      </w:r>
    </w:p>
    <w:p w14:paraId="7B55EE51" w14:textId="249226D4" w:rsidR="00460D0E" w:rsidRPr="00460D0E" w:rsidRDefault="00460D0E" w:rsidP="00B46594">
      <w:pPr>
        <w:pStyle w:val="LI-BodyTextSubparai"/>
        <w:rPr>
          <w:rFonts w:ascii="Calibri" w:hAnsi="Calibri" w:cs="Calibri"/>
          <w:color w:val="000000"/>
          <w:szCs w:val="22"/>
        </w:rPr>
      </w:pPr>
      <w:r w:rsidRPr="00460D0E">
        <w:rPr>
          <w:color w:val="000000"/>
        </w:rPr>
        <w:t>(</w:t>
      </w:r>
      <w:proofErr w:type="spellStart"/>
      <w:r w:rsidRPr="00460D0E">
        <w:rPr>
          <w:color w:val="000000"/>
        </w:rPr>
        <w:t>i</w:t>
      </w:r>
      <w:proofErr w:type="spellEnd"/>
      <w:r w:rsidRPr="00460D0E">
        <w:rPr>
          <w:color w:val="000000"/>
        </w:rPr>
        <w:t>)</w:t>
      </w:r>
      <w:r w:rsidR="00B46594">
        <w:rPr>
          <w:color w:val="000000"/>
        </w:rPr>
        <w:tab/>
      </w:r>
      <w:r w:rsidRPr="00460D0E">
        <w:rPr>
          <w:color w:val="000000"/>
        </w:rPr>
        <w:t>the aggregate of the licensee’s:</w:t>
      </w:r>
    </w:p>
    <w:p w14:paraId="08B1DB23" w14:textId="56507679" w:rsidR="00460D0E" w:rsidRPr="00B46594" w:rsidRDefault="00460D0E" w:rsidP="00B46594">
      <w:pPr>
        <w:pStyle w:val="LI-BodyTextSubsubparaA"/>
        <w:rPr>
          <w:color w:val="000000"/>
        </w:rPr>
      </w:pPr>
      <w:r w:rsidRPr="00460D0E">
        <w:rPr>
          <w:color w:val="000000"/>
        </w:rPr>
        <w:t>(A)</w:t>
      </w:r>
      <w:r w:rsidR="00B46594">
        <w:rPr>
          <w:color w:val="000000"/>
        </w:rPr>
        <w:tab/>
      </w:r>
      <w:r w:rsidRPr="00460D0E">
        <w:rPr>
          <w:color w:val="000000"/>
        </w:rPr>
        <w:t>revenue for the current financial year to date; and</w:t>
      </w:r>
    </w:p>
    <w:p w14:paraId="08D361D3" w14:textId="600AF922" w:rsidR="00A02974" w:rsidRDefault="00460D0E" w:rsidP="00B46594">
      <w:pPr>
        <w:pStyle w:val="LI-BodyTextSubsubparaA"/>
        <w:rPr>
          <w:color w:val="000000"/>
        </w:rPr>
      </w:pPr>
      <w:r w:rsidRPr="00460D0E">
        <w:rPr>
          <w:color w:val="000000"/>
        </w:rPr>
        <w:t>(B)</w:t>
      </w:r>
      <w:r w:rsidR="00B46594">
        <w:rPr>
          <w:color w:val="000000"/>
        </w:rPr>
        <w:tab/>
      </w:r>
      <w:r w:rsidRPr="00460D0E">
        <w:rPr>
          <w:color w:val="000000"/>
        </w:rPr>
        <w:t>reasonable forecast of its revenue for the remainder of the current financial year; and</w:t>
      </w:r>
    </w:p>
    <w:p w14:paraId="5224B95B" w14:textId="558C778E" w:rsidR="00460D0E" w:rsidRPr="00760FDC" w:rsidRDefault="00460D0E" w:rsidP="00760FDC">
      <w:pPr>
        <w:pStyle w:val="LI-BodyTextSubparai"/>
        <w:rPr>
          <w:color w:val="000000"/>
        </w:rPr>
      </w:pPr>
      <w:r w:rsidRPr="00460D0E">
        <w:rPr>
          <w:color w:val="000000"/>
        </w:rPr>
        <w:t>(ii)</w:t>
      </w:r>
      <w:r w:rsidR="00760FDC">
        <w:rPr>
          <w:color w:val="000000"/>
        </w:rPr>
        <w:tab/>
      </w:r>
      <w:r w:rsidRPr="00460D0E">
        <w:rPr>
          <w:color w:val="000000"/>
        </w:rPr>
        <w:t>the licensee’s revenue for the last preceding financial year; and</w:t>
      </w:r>
    </w:p>
    <w:p w14:paraId="030B4877" w14:textId="6CF612DB" w:rsidR="00460D0E" w:rsidRPr="00460D0E" w:rsidRDefault="00460D0E" w:rsidP="00760FDC">
      <w:pPr>
        <w:pStyle w:val="LI-BodyTextSubparai"/>
        <w:rPr>
          <w:rFonts w:ascii="Calibri" w:hAnsi="Calibri" w:cs="Calibri"/>
          <w:color w:val="000000"/>
          <w:szCs w:val="22"/>
        </w:rPr>
      </w:pPr>
      <w:r w:rsidRPr="00460D0E">
        <w:rPr>
          <w:color w:val="000000"/>
        </w:rPr>
        <w:t>(iii)</w:t>
      </w:r>
      <w:r w:rsidR="00760FDC">
        <w:rPr>
          <w:color w:val="000000"/>
        </w:rPr>
        <w:tab/>
      </w:r>
      <w:r w:rsidRPr="00460D0E">
        <w:rPr>
          <w:color w:val="000000"/>
        </w:rPr>
        <w:t>the licensee’s revenue for the second preceding financial year.</w:t>
      </w:r>
    </w:p>
    <w:p w14:paraId="6E393881" w14:textId="77777777" w:rsidR="00460D0E" w:rsidRPr="00460D0E" w:rsidRDefault="00460D0E" w:rsidP="00760FDC">
      <w:pPr>
        <w:pStyle w:val="LI-BodyTextUnnumbered"/>
        <w:rPr>
          <w:rFonts w:ascii="Calibri" w:hAnsi="Calibri" w:cs="Calibri"/>
          <w:color w:val="000000"/>
          <w:szCs w:val="22"/>
        </w:rPr>
      </w:pPr>
      <w:r w:rsidRPr="00460D0E">
        <w:rPr>
          <w:b/>
          <w:bCs/>
          <w:i/>
          <w:iCs/>
          <w:color w:val="000000"/>
          <w:szCs w:val="24"/>
        </w:rPr>
        <w:t>calculation date</w:t>
      </w:r>
      <w:r w:rsidRPr="00460D0E">
        <w:rPr>
          <w:i/>
          <w:iCs/>
          <w:color w:val="000000"/>
          <w:szCs w:val="24"/>
        </w:rPr>
        <w:t> </w:t>
      </w:r>
      <w:r w:rsidRPr="00460D0E">
        <w:rPr>
          <w:color w:val="000000"/>
          <w:szCs w:val="24"/>
        </w:rPr>
        <w:t>means, in relation to a financial services licensee, the day on which the licensee is authorised to provide the financial services specified in paragraph (1)(a).</w:t>
      </w:r>
    </w:p>
    <w:p w14:paraId="4EF42D7F" w14:textId="77777777" w:rsidR="00460D0E" w:rsidRPr="00460D0E" w:rsidRDefault="00460D0E" w:rsidP="00760FDC">
      <w:pPr>
        <w:pStyle w:val="LI-BodyTextUnnumbered"/>
        <w:rPr>
          <w:rFonts w:ascii="Calibri" w:hAnsi="Calibri" w:cs="Calibri"/>
          <w:color w:val="000000"/>
          <w:szCs w:val="22"/>
        </w:rPr>
      </w:pPr>
      <w:r w:rsidRPr="00460D0E">
        <w:rPr>
          <w:b/>
          <w:bCs/>
          <w:i/>
          <w:iCs/>
          <w:color w:val="000000"/>
          <w:szCs w:val="24"/>
        </w:rPr>
        <w:t>cash or cash equivalents </w:t>
      </w:r>
      <w:r w:rsidRPr="00460D0E">
        <w:rPr>
          <w:color w:val="000000"/>
          <w:szCs w:val="24"/>
        </w:rPr>
        <w:t>means:</w:t>
      </w:r>
    </w:p>
    <w:p w14:paraId="0A001942" w14:textId="011999CC" w:rsidR="00460D0E" w:rsidRPr="00F72B3D" w:rsidRDefault="00460D0E" w:rsidP="00F72B3D">
      <w:pPr>
        <w:pStyle w:val="LI-BodyTextParaa"/>
        <w:rPr>
          <w:color w:val="000000"/>
        </w:rPr>
      </w:pPr>
      <w:r w:rsidRPr="00460D0E">
        <w:rPr>
          <w:color w:val="000000"/>
        </w:rPr>
        <w:t>(a)</w:t>
      </w:r>
      <w:r w:rsidR="00F72B3D">
        <w:rPr>
          <w:color w:val="000000"/>
        </w:rPr>
        <w:tab/>
      </w:r>
      <w:r w:rsidRPr="00460D0E">
        <w:rPr>
          <w:color w:val="000000"/>
        </w:rPr>
        <w:t>cash on hand, demand deposits and money deposited with an Australian ADI that is available for immediate withdrawal; and</w:t>
      </w:r>
    </w:p>
    <w:p w14:paraId="62763698" w14:textId="13187E8D" w:rsidR="00460D0E" w:rsidRPr="00F72B3D" w:rsidRDefault="00460D0E" w:rsidP="00F72B3D">
      <w:pPr>
        <w:pStyle w:val="LI-BodyTextParaa"/>
        <w:rPr>
          <w:color w:val="000000"/>
        </w:rPr>
      </w:pPr>
      <w:r w:rsidRPr="00460D0E">
        <w:rPr>
          <w:color w:val="000000"/>
        </w:rPr>
        <w:lastRenderedPageBreak/>
        <w:t>(b)</w:t>
      </w:r>
      <w:r w:rsidR="00F72B3D">
        <w:rPr>
          <w:color w:val="000000"/>
        </w:rPr>
        <w:tab/>
      </w:r>
      <w:r w:rsidRPr="00460D0E">
        <w:rPr>
          <w:color w:val="000000"/>
        </w:rPr>
        <w:t>short-term, highly liquid investments that are readily convertible to known amounts of cash that are subject to an insignificant risk of changes in value; and</w:t>
      </w:r>
    </w:p>
    <w:p w14:paraId="1FD15168" w14:textId="0B7F37A6" w:rsidR="00460D0E" w:rsidRPr="00F72B3D" w:rsidRDefault="00460D0E" w:rsidP="00F72B3D">
      <w:pPr>
        <w:pStyle w:val="LI-BodyTextParaa"/>
        <w:rPr>
          <w:color w:val="000000"/>
        </w:rPr>
      </w:pPr>
      <w:r w:rsidRPr="00460D0E">
        <w:rPr>
          <w:color w:val="000000"/>
        </w:rPr>
        <w:t>(c)</w:t>
      </w:r>
      <w:r w:rsidR="00F72B3D">
        <w:rPr>
          <w:color w:val="000000"/>
        </w:rPr>
        <w:tab/>
      </w:r>
      <w:r w:rsidRPr="00460D0E">
        <w:rPr>
          <w:color w:val="000000"/>
        </w:rPr>
        <w:t xml:space="preserve">the </w:t>
      </w:r>
      <w:r w:rsidR="00BD146C">
        <w:rPr>
          <w:color w:val="000000"/>
        </w:rPr>
        <w:t xml:space="preserve">amount </w:t>
      </w:r>
      <w:r w:rsidRPr="00460D0E">
        <w:rPr>
          <w:color w:val="000000"/>
        </w:rPr>
        <w:t>of any eligible undertaking provided by an eligible provider; and</w:t>
      </w:r>
    </w:p>
    <w:p w14:paraId="1E91A306" w14:textId="2045791F" w:rsidR="000C6F19" w:rsidRDefault="00460D0E" w:rsidP="00F72B3D">
      <w:pPr>
        <w:pStyle w:val="LI-BodyTextParaa"/>
        <w:rPr>
          <w:color w:val="000000"/>
        </w:rPr>
      </w:pPr>
      <w:r w:rsidRPr="00460D0E">
        <w:rPr>
          <w:color w:val="000000"/>
        </w:rPr>
        <w:t>(d)</w:t>
      </w:r>
      <w:r w:rsidR="00F72B3D">
        <w:rPr>
          <w:color w:val="000000"/>
        </w:rPr>
        <w:tab/>
      </w:r>
      <w:r w:rsidRPr="00460D0E">
        <w:rPr>
          <w:color w:val="000000"/>
        </w:rPr>
        <w:t>a commitment by an eligible provider</w:t>
      </w:r>
      <w:r w:rsidR="000C6F19">
        <w:rPr>
          <w:color w:val="000000"/>
        </w:rPr>
        <w:t xml:space="preserve"> to provide cash upon request within 5</w:t>
      </w:r>
      <w:r w:rsidR="00D570B3">
        <w:rPr>
          <w:color w:val="000000"/>
        </w:rPr>
        <w:t> </w:t>
      </w:r>
      <w:r w:rsidR="000C6F19">
        <w:rPr>
          <w:color w:val="000000"/>
        </w:rPr>
        <w:t>business days:</w:t>
      </w:r>
    </w:p>
    <w:p w14:paraId="19EC2722" w14:textId="59A54DE6" w:rsidR="00EA22AE" w:rsidRDefault="00D570B3" w:rsidP="00D570B3">
      <w:pPr>
        <w:pStyle w:val="LI-BodyTextSubparai"/>
        <w:rPr>
          <w:color w:val="000000"/>
        </w:rPr>
      </w:pPr>
      <w:r>
        <w:rPr>
          <w:color w:val="000000"/>
        </w:rPr>
        <w:t>(</w:t>
      </w:r>
      <w:proofErr w:type="spellStart"/>
      <w:r>
        <w:rPr>
          <w:color w:val="000000"/>
        </w:rPr>
        <w:t>i</w:t>
      </w:r>
      <w:proofErr w:type="spellEnd"/>
      <w:r>
        <w:rPr>
          <w:color w:val="000000"/>
        </w:rPr>
        <w:t>)</w:t>
      </w:r>
      <w:r>
        <w:rPr>
          <w:color w:val="000000"/>
        </w:rPr>
        <w:tab/>
      </w:r>
      <w:r w:rsidR="000C6F19" w:rsidRPr="00480A48">
        <w:rPr>
          <w:color w:val="000000"/>
        </w:rPr>
        <w:t>which will not expire within the next 6</w:t>
      </w:r>
      <w:r>
        <w:rPr>
          <w:color w:val="000000"/>
        </w:rPr>
        <w:t> </w:t>
      </w:r>
      <w:proofErr w:type="gramStart"/>
      <w:r w:rsidR="000C6F19" w:rsidRPr="00480A48">
        <w:rPr>
          <w:color w:val="000000"/>
        </w:rPr>
        <w:t>months</w:t>
      </w:r>
      <w:proofErr w:type="gramEnd"/>
      <w:r w:rsidR="000C6F19" w:rsidRPr="00480A48">
        <w:rPr>
          <w:color w:val="000000"/>
        </w:rPr>
        <w:t xml:space="preserve"> and</w:t>
      </w:r>
      <w:r w:rsidR="000C6F19" w:rsidRPr="00664121">
        <w:rPr>
          <w:color w:val="000000"/>
        </w:rPr>
        <w:t xml:space="preserve"> </w:t>
      </w:r>
      <w:r w:rsidR="00460D0E" w:rsidRPr="00460D0E">
        <w:rPr>
          <w:color w:val="000000"/>
        </w:rPr>
        <w:t>which cannot be withdrawn by the provider without giving at least 6</w:t>
      </w:r>
      <w:r>
        <w:rPr>
          <w:color w:val="000000"/>
        </w:rPr>
        <w:t> </w:t>
      </w:r>
      <w:r w:rsidR="00460D0E" w:rsidRPr="00460D0E">
        <w:rPr>
          <w:color w:val="000000"/>
        </w:rPr>
        <w:t>months written notice to the person to whom the commitment is made</w:t>
      </w:r>
      <w:r w:rsidR="000C6F19">
        <w:rPr>
          <w:color w:val="000000"/>
        </w:rPr>
        <w:t>; and</w:t>
      </w:r>
    </w:p>
    <w:p w14:paraId="61A76CED" w14:textId="2A86880A" w:rsidR="000C6F19" w:rsidRPr="00EA22AE" w:rsidRDefault="000C6F19" w:rsidP="00D570B3">
      <w:pPr>
        <w:pStyle w:val="LI-BodyTextSubparai"/>
        <w:rPr>
          <w:color w:val="000000"/>
        </w:rPr>
      </w:pPr>
      <w:r>
        <w:rPr>
          <w:color w:val="000000"/>
        </w:rPr>
        <w:t>(</w:t>
      </w:r>
      <w:r w:rsidRPr="00460D0E">
        <w:rPr>
          <w:color w:val="000000"/>
        </w:rPr>
        <w:t>ii)</w:t>
      </w:r>
      <w:r w:rsidR="00D570B3">
        <w:rPr>
          <w:color w:val="000000"/>
        </w:rPr>
        <w:tab/>
      </w:r>
      <w:r w:rsidR="00EA22AE">
        <w:rPr>
          <w:color w:val="000000"/>
        </w:rPr>
        <w:t xml:space="preserve">in relation to which any cash provided is not repayable for at least </w:t>
      </w:r>
      <w:r w:rsidR="00A314AC">
        <w:rPr>
          <w:color w:val="000000"/>
        </w:rPr>
        <w:t>6</w:t>
      </w:r>
      <w:r w:rsidR="00EA22AE">
        <w:rPr>
          <w:color w:val="000000"/>
        </w:rPr>
        <w:t xml:space="preserve"> months.</w:t>
      </w:r>
    </w:p>
    <w:p w14:paraId="07DF79E9" w14:textId="3B5B15BF" w:rsidR="00460D0E" w:rsidRDefault="00460D0E" w:rsidP="00D570B3">
      <w:pPr>
        <w:pStyle w:val="LI-BodyTextUnnumbered"/>
        <w:rPr>
          <w:color w:val="000000"/>
          <w:szCs w:val="24"/>
        </w:rPr>
      </w:pPr>
      <w:r w:rsidRPr="009E75D0">
        <w:rPr>
          <w:b/>
          <w:bCs/>
          <w:i/>
          <w:iCs/>
          <w:color w:val="000000"/>
          <w:szCs w:val="24"/>
        </w:rPr>
        <w:t>clearing participant</w:t>
      </w:r>
      <w:r w:rsidRPr="009E75D0">
        <w:rPr>
          <w:color w:val="000000"/>
          <w:szCs w:val="24"/>
        </w:rPr>
        <w:t> means</w:t>
      </w:r>
      <w:r w:rsidRPr="00460D0E">
        <w:rPr>
          <w:color w:val="000000"/>
          <w:szCs w:val="24"/>
        </w:rPr>
        <w:t xml:space="preserve"> a participant as defined in section</w:t>
      </w:r>
      <w:r w:rsidR="00D570B3">
        <w:rPr>
          <w:color w:val="000000"/>
          <w:szCs w:val="24"/>
        </w:rPr>
        <w:t> </w:t>
      </w:r>
      <w:r w:rsidRPr="00460D0E">
        <w:rPr>
          <w:color w:val="000000"/>
          <w:szCs w:val="24"/>
        </w:rPr>
        <w:t>761A in relation to a clearing and settlement facility</w:t>
      </w:r>
      <w:r w:rsidR="0062341A">
        <w:rPr>
          <w:color w:val="000000"/>
          <w:szCs w:val="24"/>
        </w:rPr>
        <w:t xml:space="preserve"> </w:t>
      </w:r>
      <w:r w:rsidR="00330DD4" w:rsidRPr="00330DD4">
        <w:rPr>
          <w:color w:val="000000"/>
          <w:szCs w:val="24"/>
        </w:rPr>
        <w:t>(</w:t>
      </w:r>
      <w:r w:rsidR="00330DD4" w:rsidRPr="003555AD">
        <w:rPr>
          <w:b/>
          <w:bCs/>
          <w:i/>
          <w:iCs/>
          <w:color w:val="000000"/>
          <w:szCs w:val="24"/>
        </w:rPr>
        <w:t>CS facility</w:t>
      </w:r>
      <w:r w:rsidR="00330DD4" w:rsidRPr="00330DD4">
        <w:rPr>
          <w:color w:val="000000"/>
          <w:szCs w:val="24"/>
        </w:rPr>
        <w:t xml:space="preserve">), where that </w:t>
      </w:r>
      <w:r w:rsidR="00121E60">
        <w:rPr>
          <w:color w:val="000000"/>
          <w:szCs w:val="24"/>
        </w:rPr>
        <w:t>facility is</w:t>
      </w:r>
      <w:r w:rsidR="00C3090D">
        <w:rPr>
          <w:color w:val="000000"/>
          <w:szCs w:val="24"/>
        </w:rPr>
        <w:t xml:space="preserve"> </w:t>
      </w:r>
      <w:r w:rsidRPr="00460D0E">
        <w:rPr>
          <w:color w:val="000000"/>
          <w:szCs w:val="24"/>
        </w:rPr>
        <w:t>the licensed CS facility operated by</w:t>
      </w:r>
      <w:r w:rsidR="00D60CC6">
        <w:rPr>
          <w:color w:val="000000"/>
          <w:szCs w:val="24"/>
        </w:rPr>
        <w:t>:</w:t>
      </w:r>
    </w:p>
    <w:p w14:paraId="74956C37" w14:textId="6F95EBE0" w:rsidR="009E75D0" w:rsidRDefault="001B68D6" w:rsidP="00D570B3">
      <w:pPr>
        <w:pStyle w:val="LI-BodyTextParaa"/>
        <w:rPr>
          <w:color w:val="000000"/>
        </w:rPr>
      </w:pPr>
      <w:r w:rsidRPr="00460D0E">
        <w:rPr>
          <w:color w:val="000000"/>
        </w:rPr>
        <w:t>(a)</w:t>
      </w:r>
      <w:r w:rsidR="00D570B3">
        <w:rPr>
          <w:color w:val="000000"/>
        </w:rPr>
        <w:tab/>
      </w:r>
      <w:r>
        <w:rPr>
          <w:color w:val="000000"/>
        </w:rPr>
        <w:t>A</w:t>
      </w:r>
      <w:r w:rsidR="00D60CC6" w:rsidRPr="00D60CC6">
        <w:rPr>
          <w:color w:val="000000"/>
        </w:rPr>
        <w:t>SX Clear Pty Limited</w:t>
      </w:r>
      <w:r w:rsidR="006C1C8F" w:rsidRPr="006C1C8F">
        <w:t xml:space="preserve"> </w:t>
      </w:r>
      <w:r w:rsidR="006C1C8F" w:rsidRPr="00384ABD">
        <w:t>ACN 001 314 503 (</w:t>
      </w:r>
      <w:r w:rsidR="006C1C8F" w:rsidRPr="00384ABD">
        <w:rPr>
          <w:b/>
          <w:i/>
        </w:rPr>
        <w:t>ASX Clear</w:t>
      </w:r>
      <w:r w:rsidR="006C1C8F" w:rsidRPr="00384ABD">
        <w:t>)</w:t>
      </w:r>
      <w:r w:rsidR="009E75D0">
        <w:rPr>
          <w:color w:val="000000"/>
        </w:rPr>
        <w:t xml:space="preserve">, </w:t>
      </w:r>
      <w:r w:rsidR="00A40AFD">
        <w:rPr>
          <w:color w:val="000000"/>
        </w:rPr>
        <w:t xml:space="preserve">and the </w:t>
      </w:r>
      <w:r w:rsidR="003B1B61">
        <w:rPr>
          <w:color w:val="000000"/>
        </w:rPr>
        <w:t>participant</w:t>
      </w:r>
      <w:r w:rsidR="00E174C4">
        <w:rPr>
          <w:color w:val="000000"/>
        </w:rPr>
        <w:t xml:space="preserve"> </w:t>
      </w:r>
      <w:r w:rsidR="009E75D0" w:rsidRPr="00D60CC6">
        <w:rPr>
          <w:color w:val="000000"/>
        </w:rPr>
        <w:t>is required to comply with,</w:t>
      </w:r>
      <w:r w:rsidR="00BE5A38">
        <w:rPr>
          <w:color w:val="000000"/>
        </w:rPr>
        <w:t xml:space="preserve"> </w:t>
      </w:r>
      <w:r w:rsidR="009E75D0" w:rsidRPr="00D60CC6">
        <w:rPr>
          <w:color w:val="000000"/>
        </w:rPr>
        <w:t>and complies with, the operating rules of ASX Clear</w:t>
      </w:r>
      <w:r w:rsidR="0068278F">
        <w:rPr>
          <w:color w:val="000000"/>
        </w:rPr>
        <w:t xml:space="preserve"> </w:t>
      </w:r>
      <w:r w:rsidR="009E75D0" w:rsidRPr="00D60CC6">
        <w:rPr>
          <w:color w:val="000000"/>
        </w:rPr>
        <w:t xml:space="preserve">that impose financial requirements, </w:t>
      </w:r>
      <w:proofErr w:type="gramStart"/>
      <w:r w:rsidR="009E75D0" w:rsidRPr="00D60CC6">
        <w:rPr>
          <w:color w:val="000000"/>
        </w:rPr>
        <w:t>taking into account</w:t>
      </w:r>
      <w:proofErr w:type="gramEnd"/>
      <w:r w:rsidR="009E75D0" w:rsidRPr="00D60CC6">
        <w:rPr>
          <w:color w:val="000000"/>
        </w:rPr>
        <w:t xml:space="preserve"> any waiver of those requirements by ASX Clear; or</w:t>
      </w:r>
    </w:p>
    <w:p w14:paraId="139A3453" w14:textId="6586D0CE" w:rsidR="00C0554A" w:rsidRPr="002371EC" w:rsidRDefault="001B68D6" w:rsidP="00D570B3">
      <w:pPr>
        <w:pStyle w:val="LI-BodyTextParaa"/>
        <w:rPr>
          <w:color w:val="000000"/>
        </w:rPr>
      </w:pPr>
      <w:r w:rsidRPr="00460D0E">
        <w:rPr>
          <w:color w:val="000000"/>
        </w:rPr>
        <w:t>(</w:t>
      </w:r>
      <w:r>
        <w:rPr>
          <w:color w:val="000000"/>
        </w:rPr>
        <w:t>b</w:t>
      </w:r>
      <w:r w:rsidRPr="00460D0E">
        <w:rPr>
          <w:color w:val="000000"/>
        </w:rPr>
        <w:t>)</w:t>
      </w:r>
      <w:r w:rsidR="00D570B3">
        <w:rPr>
          <w:color w:val="000000"/>
        </w:rPr>
        <w:tab/>
      </w:r>
      <w:r w:rsidR="009E75D0" w:rsidRPr="00D60CC6">
        <w:rPr>
          <w:color w:val="000000"/>
        </w:rPr>
        <w:t>ASX Clear (Futures) Pty Limite</w:t>
      </w:r>
      <w:r w:rsidR="0068278F">
        <w:rPr>
          <w:color w:val="000000"/>
        </w:rPr>
        <w:t>d</w:t>
      </w:r>
      <w:r w:rsidR="00E617C8" w:rsidRPr="00E617C8">
        <w:t xml:space="preserve"> </w:t>
      </w:r>
      <w:r w:rsidR="00E617C8" w:rsidRPr="00384ABD">
        <w:t>ACN 050 615 864 (</w:t>
      </w:r>
      <w:r w:rsidR="00E617C8" w:rsidRPr="00384ABD">
        <w:rPr>
          <w:b/>
          <w:i/>
        </w:rPr>
        <w:t>ASX Clear (Futures)</w:t>
      </w:r>
      <w:r w:rsidR="00E617C8" w:rsidRPr="00384ABD">
        <w:t>)</w:t>
      </w:r>
      <w:r w:rsidR="009E75D0">
        <w:rPr>
          <w:color w:val="000000"/>
        </w:rPr>
        <w:t xml:space="preserve">, </w:t>
      </w:r>
      <w:r w:rsidR="006154DB">
        <w:rPr>
          <w:color w:val="000000"/>
        </w:rPr>
        <w:t xml:space="preserve">and the </w:t>
      </w:r>
      <w:r w:rsidR="00B45D21">
        <w:rPr>
          <w:color w:val="000000"/>
        </w:rPr>
        <w:t>participant</w:t>
      </w:r>
      <w:r w:rsidR="00C0554A">
        <w:rPr>
          <w:color w:val="000000"/>
        </w:rPr>
        <w:t>:</w:t>
      </w:r>
    </w:p>
    <w:p w14:paraId="5D84FA47" w14:textId="23CAA844" w:rsidR="00C21821" w:rsidRPr="00D570B3" w:rsidRDefault="00EE54EC" w:rsidP="00D570B3">
      <w:pPr>
        <w:pStyle w:val="LI-BodyTextSubparai"/>
        <w:rPr>
          <w:color w:val="000000"/>
        </w:rPr>
      </w:pPr>
      <w:r w:rsidRPr="00D570B3">
        <w:rPr>
          <w:color w:val="000000"/>
        </w:rPr>
        <w:t>(</w:t>
      </w:r>
      <w:proofErr w:type="spellStart"/>
      <w:r w:rsidRPr="00D570B3">
        <w:rPr>
          <w:color w:val="000000"/>
        </w:rPr>
        <w:t>i</w:t>
      </w:r>
      <w:proofErr w:type="spellEnd"/>
      <w:r w:rsidRPr="00D570B3">
        <w:rPr>
          <w:color w:val="000000"/>
        </w:rPr>
        <w:t>)</w:t>
      </w:r>
      <w:r w:rsidRPr="00D570B3">
        <w:rPr>
          <w:color w:val="000000"/>
        </w:rPr>
        <w:tab/>
      </w:r>
      <w:r w:rsidR="00C21821" w:rsidRPr="00D570B3">
        <w:rPr>
          <w:color w:val="000000"/>
        </w:rPr>
        <w:t>restricts its financial services business to participating in that CS facility and incidental business; and</w:t>
      </w:r>
    </w:p>
    <w:p w14:paraId="638FD839" w14:textId="6A34334E" w:rsidR="00BE2127" w:rsidRPr="00D570B3" w:rsidRDefault="00BE2127" w:rsidP="00D570B3">
      <w:pPr>
        <w:pStyle w:val="LI-BodyTextSubparai"/>
        <w:rPr>
          <w:color w:val="000000"/>
        </w:rPr>
      </w:pPr>
      <w:r w:rsidRPr="00D570B3">
        <w:rPr>
          <w:color w:val="000000"/>
        </w:rPr>
        <w:t>(ii)</w:t>
      </w:r>
      <w:r w:rsidRPr="00D570B3">
        <w:rPr>
          <w:color w:val="000000"/>
        </w:rPr>
        <w:tab/>
        <w:t xml:space="preserve">is required to comply with, and complies with, the operating rules of ASX Clear (Futures) that impose financial requirements, </w:t>
      </w:r>
      <w:proofErr w:type="gramStart"/>
      <w:r w:rsidRPr="00D570B3">
        <w:rPr>
          <w:color w:val="000000"/>
        </w:rPr>
        <w:t>taking into account</w:t>
      </w:r>
      <w:proofErr w:type="gramEnd"/>
      <w:r w:rsidRPr="00D570B3">
        <w:rPr>
          <w:color w:val="000000"/>
        </w:rPr>
        <w:t xml:space="preserve"> any waiver of those requirements by ASX Clear (Futures).</w:t>
      </w:r>
    </w:p>
    <w:p w14:paraId="2D9F499B" w14:textId="6E00ACBC" w:rsidR="00460D0E" w:rsidRPr="00460D0E" w:rsidRDefault="00460D0E" w:rsidP="00D570B3">
      <w:pPr>
        <w:pStyle w:val="LI-BodyTextUnnumbered"/>
        <w:rPr>
          <w:rFonts w:ascii="Arial Unicode MS" w:hAnsi="Arial Unicode MS"/>
          <w:color w:val="000000"/>
          <w:szCs w:val="22"/>
        </w:rPr>
      </w:pPr>
      <w:r w:rsidRPr="00460D0E">
        <w:rPr>
          <w:b/>
          <w:bCs/>
          <w:i/>
          <w:iCs/>
          <w:color w:val="000000"/>
          <w:szCs w:val="24"/>
        </w:rPr>
        <w:t>eligible provider</w:t>
      </w:r>
      <w:r w:rsidRPr="00460D0E">
        <w:rPr>
          <w:color w:val="000000"/>
          <w:szCs w:val="24"/>
        </w:rPr>
        <w:t> means:</w:t>
      </w:r>
    </w:p>
    <w:p w14:paraId="52D7788E" w14:textId="53BC7418" w:rsidR="00460D0E" w:rsidRDefault="00F77589" w:rsidP="00F77589">
      <w:pPr>
        <w:pStyle w:val="LI-BodyTextParaa"/>
        <w:rPr>
          <w:color w:val="000000"/>
        </w:rPr>
      </w:pPr>
      <w:r>
        <w:rPr>
          <w:color w:val="000000"/>
        </w:rPr>
        <w:t>(a)</w:t>
      </w:r>
      <w:r>
        <w:rPr>
          <w:color w:val="000000"/>
        </w:rPr>
        <w:tab/>
      </w:r>
      <w:r w:rsidR="00460D0E" w:rsidRPr="00460D0E">
        <w:rPr>
          <w:color w:val="000000"/>
        </w:rPr>
        <w:t>an Australian ADI; or</w:t>
      </w:r>
    </w:p>
    <w:p w14:paraId="2F38B0BC" w14:textId="74F359FC" w:rsidR="00BE5A38" w:rsidRPr="00F77589" w:rsidRDefault="00F77589" w:rsidP="00F77589">
      <w:pPr>
        <w:pStyle w:val="LI-BodyTextParaa"/>
        <w:rPr>
          <w:color w:val="000000"/>
        </w:rPr>
      </w:pPr>
      <w:r>
        <w:rPr>
          <w:color w:val="000000"/>
        </w:rPr>
        <w:t>(b)</w:t>
      </w:r>
      <w:r>
        <w:rPr>
          <w:color w:val="000000"/>
        </w:rPr>
        <w:tab/>
      </w:r>
      <w:r w:rsidR="00BE5A38" w:rsidRPr="00F77589">
        <w:rPr>
          <w:color w:val="000000"/>
        </w:rPr>
        <w:t>the government of the Commonwealth or of a State or Territory or the government of a country that is a member of the Organisation for Economic Co-operation and Development or an agency or instrumentality of such a government; or</w:t>
      </w:r>
    </w:p>
    <w:p w14:paraId="2CE0EB46" w14:textId="5E2C1027" w:rsidR="00BE5A38" w:rsidRPr="00F77589" w:rsidRDefault="00F77589" w:rsidP="00F77589">
      <w:pPr>
        <w:pStyle w:val="LI-BodyTextParaa"/>
        <w:rPr>
          <w:color w:val="000000"/>
        </w:rPr>
      </w:pPr>
      <w:r>
        <w:rPr>
          <w:color w:val="000000"/>
        </w:rPr>
        <w:t>(c)</w:t>
      </w:r>
      <w:r>
        <w:rPr>
          <w:color w:val="000000"/>
        </w:rPr>
        <w:tab/>
      </w:r>
      <w:r w:rsidR="00BE5A38" w:rsidRPr="00F77589">
        <w:rPr>
          <w:color w:val="000000"/>
        </w:rPr>
        <w:t>a foreign deposit-taking institution:</w:t>
      </w:r>
    </w:p>
    <w:p w14:paraId="0568AB36" w14:textId="498D6A25" w:rsidR="00A339EE" w:rsidRPr="00F77589" w:rsidRDefault="00E15A9C" w:rsidP="00F77589">
      <w:pPr>
        <w:pStyle w:val="LI-BodyTextSubparai"/>
        <w:rPr>
          <w:color w:val="000000"/>
        </w:rPr>
      </w:pPr>
      <w:r w:rsidRPr="00460D0E">
        <w:rPr>
          <w:color w:val="000000"/>
        </w:rPr>
        <w:t>(</w:t>
      </w:r>
      <w:proofErr w:type="spellStart"/>
      <w:r w:rsidRPr="00460D0E">
        <w:rPr>
          <w:color w:val="000000"/>
        </w:rPr>
        <w:t>i</w:t>
      </w:r>
      <w:proofErr w:type="spellEnd"/>
      <w:r w:rsidRPr="00460D0E">
        <w:rPr>
          <w:color w:val="000000"/>
        </w:rPr>
        <w:t>)</w:t>
      </w:r>
      <w:r w:rsidR="00F77589">
        <w:rPr>
          <w:color w:val="000000"/>
        </w:rPr>
        <w:tab/>
      </w:r>
      <w:r w:rsidR="00BE5A38" w:rsidRPr="00F77589">
        <w:rPr>
          <w:color w:val="000000"/>
        </w:rPr>
        <w:t>that is regulated by a regulator approved in writing by ASIC for</w:t>
      </w:r>
      <w:r w:rsidR="00A339EE" w:rsidRPr="00F77589">
        <w:rPr>
          <w:color w:val="000000"/>
        </w:rPr>
        <w:t xml:space="preserve"> </w:t>
      </w:r>
      <w:r w:rsidR="00BE5A38" w:rsidRPr="00F77589">
        <w:rPr>
          <w:color w:val="000000"/>
        </w:rPr>
        <w:t>this purpose; o</w:t>
      </w:r>
      <w:r w:rsidR="00A339EE" w:rsidRPr="00F77589">
        <w:rPr>
          <w:color w:val="000000"/>
        </w:rPr>
        <w:t>r</w:t>
      </w:r>
    </w:p>
    <w:p w14:paraId="1B7CF4E3" w14:textId="7DB398A5" w:rsidR="00BE5A38" w:rsidRPr="00F77589" w:rsidRDefault="00F77589" w:rsidP="00F77589">
      <w:pPr>
        <w:pStyle w:val="LI-BodyTextSubparai"/>
        <w:rPr>
          <w:color w:val="000000"/>
        </w:rPr>
      </w:pPr>
      <w:r>
        <w:rPr>
          <w:color w:val="000000"/>
        </w:rPr>
        <w:lastRenderedPageBreak/>
        <w:t>(ii)</w:t>
      </w:r>
      <w:r>
        <w:rPr>
          <w:color w:val="000000"/>
        </w:rPr>
        <w:tab/>
      </w:r>
      <w:r w:rsidR="00BE5A38" w:rsidRPr="00F77589">
        <w:rPr>
          <w:color w:val="000000"/>
        </w:rPr>
        <w:t>approved in writing by ASIC for this purpose; or</w:t>
      </w:r>
    </w:p>
    <w:p w14:paraId="23CB59C5" w14:textId="2C6A6262" w:rsidR="00BE5A38" w:rsidRPr="00F77589" w:rsidRDefault="00F77589" w:rsidP="00F77589">
      <w:pPr>
        <w:pStyle w:val="LI-BodyTextParaa"/>
        <w:rPr>
          <w:color w:val="000000"/>
        </w:rPr>
      </w:pPr>
      <w:r>
        <w:rPr>
          <w:lang w:val="en-US"/>
        </w:rPr>
        <w:t>(d)</w:t>
      </w:r>
      <w:r>
        <w:rPr>
          <w:lang w:val="en-US"/>
        </w:rPr>
        <w:tab/>
      </w:r>
      <w:r w:rsidR="001C24B0">
        <w:rPr>
          <w:lang w:val="en-US"/>
        </w:rPr>
        <w:t>a</w:t>
      </w:r>
      <w:r w:rsidR="00A339EE" w:rsidRPr="00F77589">
        <w:rPr>
          <w:color w:val="000000"/>
        </w:rPr>
        <w:t>n Australian</w:t>
      </w:r>
      <w:r w:rsidR="00BE5A38" w:rsidRPr="00F77589">
        <w:rPr>
          <w:color w:val="000000"/>
        </w:rPr>
        <w:t xml:space="preserve"> CS facility licensee within the meaning of section</w:t>
      </w:r>
      <w:r w:rsidR="00FE7187">
        <w:rPr>
          <w:color w:val="000000"/>
        </w:rPr>
        <w:t> </w:t>
      </w:r>
      <w:r w:rsidR="00BE5A38" w:rsidRPr="00F77589">
        <w:rPr>
          <w:color w:val="000000"/>
        </w:rPr>
        <w:t>761A; or</w:t>
      </w:r>
    </w:p>
    <w:p w14:paraId="6335AB44" w14:textId="0D2D38C4" w:rsidR="00460D0E" w:rsidRPr="00F77589" w:rsidRDefault="00460D0E" w:rsidP="00F77589">
      <w:pPr>
        <w:pStyle w:val="LI-BodyTextParaa"/>
        <w:rPr>
          <w:color w:val="000000"/>
        </w:rPr>
      </w:pPr>
      <w:r w:rsidRPr="00460D0E">
        <w:rPr>
          <w:color w:val="000000"/>
        </w:rPr>
        <w:t>(</w:t>
      </w:r>
      <w:r w:rsidR="00A339EE">
        <w:rPr>
          <w:color w:val="000000"/>
        </w:rPr>
        <w:t>e</w:t>
      </w:r>
      <w:r w:rsidRPr="00460D0E">
        <w:rPr>
          <w:color w:val="000000"/>
        </w:rPr>
        <w:t>)</w:t>
      </w:r>
      <w:r w:rsidR="00F77589">
        <w:rPr>
          <w:color w:val="000000"/>
        </w:rPr>
        <w:tab/>
      </w:r>
      <w:r w:rsidRPr="00460D0E">
        <w:rPr>
          <w:color w:val="000000"/>
        </w:rPr>
        <w:t>an entity approved by ASIC in writing for the purpose of this paragraph.</w:t>
      </w:r>
    </w:p>
    <w:p w14:paraId="535D7AD5" w14:textId="1F811946" w:rsidR="00460D0E" w:rsidRPr="00460D0E" w:rsidRDefault="00460D0E" w:rsidP="00E70E8F">
      <w:pPr>
        <w:pStyle w:val="LI-BodyTextUnnumbered"/>
        <w:rPr>
          <w:rFonts w:ascii="Calibri" w:hAnsi="Calibri" w:cs="Calibri"/>
          <w:color w:val="000000"/>
          <w:szCs w:val="22"/>
        </w:rPr>
      </w:pPr>
      <w:r w:rsidRPr="00460D0E">
        <w:rPr>
          <w:b/>
          <w:bCs/>
          <w:i/>
          <w:iCs/>
          <w:color w:val="000000"/>
          <w:szCs w:val="24"/>
        </w:rPr>
        <w:t>eligible undertaking</w:t>
      </w:r>
      <w:r w:rsidRPr="00460D0E">
        <w:rPr>
          <w:color w:val="000000"/>
          <w:szCs w:val="24"/>
        </w:rPr>
        <w:t> means</w:t>
      </w:r>
      <w:r w:rsidR="00304E8D">
        <w:rPr>
          <w:color w:val="000000"/>
          <w:szCs w:val="24"/>
        </w:rPr>
        <w:t xml:space="preserve"> in relation to a financial services licensee</w:t>
      </w:r>
      <w:r w:rsidRPr="00460D0E">
        <w:rPr>
          <w:color w:val="000000"/>
          <w:szCs w:val="24"/>
        </w:rPr>
        <w:t>:</w:t>
      </w:r>
    </w:p>
    <w:p w14:paraId="443E0E60" w14:textId="5DBAB93F" w:rsidR="00460D0E" w:rsidRDefault="00E70E8F" w:rsidP="00E70E8F">
      <w:pPr>
        <w:pStyle w:val="LI-BodyTextParaa"/>
        <w:rPr>
          <w:color w:val="000000"/>
        </w:rPr>
      </w:pPr>
      <w:r>
        <w:rPr>
          <w:color w:val="000000"/>
        </w:rPr>
        <w:t>(a)</w:t>
      </w:r>
      <w:r>
        <w:rPr>
          <w:color w:val="000000"/>
        </w:rPr>
        <w:tab/>
      </w:r>
      <w:r w:rsidR="00460D0E" w:rsidRPr="00460D0E">
        <w:rPr>
          <w:color w:val="000000"/>
        </w:rPr>
        <w:t>an enforceable and unqualified undertaking by an eligible provider, expressed to be irrevocable without the written consent of ASIC, to pay, on written demand by the licensee, a</w:t>
      </w:r>
      <w:r w:rsidR="00304E8D">
        <w:rPr>
          <w:color w:val="000000"/>
        </w:rPr>
        <w:t xml:space="preserve"> certain</w:t>
      </w:r>
      <w:r w:rsidR="00460D0E" w:rsidRPr="00460D0E">
        <w:rPr>
          <w:color w:val="000000"/>
        </w:rPr>
        <w:t xml:space="preserve"> amount (disregarding any part previously paid or any amount that would be repayable as a liability by the licensee if money were paid); or</w:t>
      </w:r>
    </w:p>
    <w:p w14:paraId="580C50BE" w14:textId="3FD1E3B6" w:rsidR="00460D0E" w:rsidRPr="00E70E8F" w:rsidRDefault="00460D0E" w:rsidP="00E70E8F">
      <w:pPr>
        <w:pStyle w:val="LI-BodyTextParaa"/>
        <w:rPr>
          <w:color w:val="000000"/>
        </w:rPr>
      </w:pPr>
      <w:r w:rsidRPr="00460D0E">
        <w:rPr>
          <w:color w:val="000000"/>
        </w:rPr>
        <w:t>(b)</w:t>
      </w:r>
      <w:r w:rsidR="00E70E8F">
        <w:rPr>
          <w:color w:val="000000"/>
        </w:rPr>
        <w:tab/>
      </w:r>
      <w:r w:rsidRPr="00460D0E">
        <w:rPr>
          <w:color w:val="000000"/>
        </w:rPr>
        <w:t>an undertaking approved in writing by ASIC as an eligible undertaking.</w:t>
      </w:r>
    </w:p>
    <w:p w14:paraId="44D1BCF7" w14:textId="76768873" w:rsidR="00460D0E" w:rsidRPr="00460D0E" w:rsidRDefault="00460D0E" w:rsidP="00E70E8F">
      <w:pPr>
        <w:pStyle w:val="LI-BodyTextUnnumbered"/>
        <w:rPr>
          <w:rFonts w:ascii="Calibri" w:hAnsi="Calibri" w:cs="Calibri"/>
          <w:color w:val="000000"/>
          <w:szCs w:val="22"/>
        </w:rPr>
      </w:pPr>
      <w:r w:rsidRPr="00460D0E">
        <w:rPr>
          <w:b/>
          <w:bCs/>
          <w:i/>
          <w:iCs/>
          <w:color w:val="000000"/>
          <w:szCs w:val="24"/>
        </w:rPr>
        <w:t>excluded assets</w:t>
      </w:r>
      <w:r w:rsidRPr="00460D0E">
        <w:rPr>
          <w:color w:val="000000"/>
          <w:szCs w:val="24"/>
        </w:rPr>
        <w:t> means in relation to a financial services licensee:</w:t>
      </w:r>
    </w:p>
    <w:p w14:paraId="3D4B1A5C" w14:textId="3F8DB7E0" w:rsidR="00460D0E" w:rsidRPr="00E70E8F" w:rsidRDefault="00460D0E" w:rsidP="00E70E8F">
      <w:pPr>
        <w:pStyle w:val="LI-BodyTextParaa"/>
        <w:rPr>
          <w:color w:val="000000"/>
        </w:rPr>
      </w:pPr>
      <w:r w:rsidRPr="00460D0E">
        <w:rPr>
          <w:color w:val="000000"/>
        </w:rPr>
        <w:t>(a)</w:t>
      </w:r>
      <w:r w:rsidR="00E70E8F">
        <w:rPr>
          <w:color w:val="000000"/>
        </w:rPr>
        <w:tab/>
      </w:r>
      <w:r w:rsidRPr="00460D0E">
        <w:rPr>
          <w:color w:val="000000"/>
        </w:rPr>
        <w:t>intangible assets (including, for the avoidance of doubt, a deferred tax asset); and</w:t>
      </w:r>
    </w:p>
    <w:p w14:paraId="3EF1824A" w14:textId="7B54EDF4" w:rsidR="00460D0E" w:rsidRPr="00460D0E" w:rsidRDefault="00460D0E" w:rsidP="00E70E8F">
      <w:pPr>
        <w:pStyle w:val="LI-BodyTextParaa"/>
        <w:rPr>
          <w:rFonts w:ascii="Arial Unicode MS" w:hAnsi="Arial Unicode MS"/>
          <w:color w:val="000000"/>
          <w:szCs w:val="22"/>
        </w:rPr>
      </w:pPr>
      <w:r w:rsidRPr="00460D0E">
        <w:rPr>
          <w:color w:val="000000"/>
        </w:rPr>
        <w:t>(b)</w:t>
      </w:r>
      <w:r w:rsidR="00E70E8F">
        <w:rPr>
          <w:color w:val="000000"/>
        </w:rPr>
        <w:tab/>
      </w:r>
      <w:r w:rsidRPr="00460D0E">
        <w:rPr>
          <w:color w:val="000000"/>
        </w:rPr>
        <w:t>receivables from, or assets invested in, any person who:</w:t>
      </w:r>
    </w:p>
    <w:p w14:paraId="389D9B29" w14:textId="1B71E99A" w:rsidR="00460D0E" w:rsidRPr="00460D0E" w:rsidRDefault="00460D0E" w:rsidP="00E70E8F">
      <w:pPr>
        <w:pStyle w:val="LI-BodyTextSubparai"/>
        <w:rPr>
          <w:rFonts w:ascii="Arial Unicode MS" w:hAnsi="Arial Unicode MS"/>
          <w:color w:val="000000"/>
          <w:szCs w:val="22"/>
        </w:rPr>
      </w:pPr>
      <w:r w:rsidRPr="00460D0E">
        <w:rPr>
          <w:color w:val="000000"/>
        </w:rPr>
        <w:t>(</w:t>
      </w:r>
      <w:proofErr w:type="spellStart"/>
      <w:r w:rsidRPr="00460D0E">
        <w:rPr>
          <w:color w:val="000000"/>
        </w:rPr>
        <w:t>i</w:t>
      </w:r>
      <w:proofErr w:type="spellEnd"/>
      <w:r w:rsidRPr="00460D0E">
        <w:rPr>
          <w:color w:val="000000"/>
        </w:rPr>
        <w:t>)</w:t>
      </w:r>
      <w:r w:rsidR="00E70E8F">
        <w:rPr>
          <w:color w:val="000000"/>
        </w:rPr>
        <w:tab/>
      </w:r>
      <w:r w:rsidRPr="00460D0E">
        <w:rPr>
          <w:color w:val="000000"/>
        </w:rPr>
        <w:t>is an associate of the licensee; or</w:t>
      </w:r>
    </w:p>
    <w:p w14:paraId="11565827" w14:textId="445CEB36" w:rsidR="00460D0E" w:rsidRPr="00E70E8F" w:rsidRDefault="00460D0E" w:rsidP="00E70E8F">
      <w:pPr>
        <w:pStyle w:val="LI-BodyTextSubparai"/>
        <w:rPr>
          <w:color w:val="000000"/>
        </w:rPr>
      </w:pPr>
      <w:r w:rsidRPr="00460D0E">
        <w:rPr>
          <w:color w:val="000000"/>
        </w:rPr>
        <w:t>(ii)</w:t>
      </w:r>
      <w:r w:rsidR="00E70E8F">
        <w:rPr>
          <w:color w:val="000000"/>
        </w:rPr>
        <w:tab/>
      </w:r>
      <w:r w:rsidRPr="00460D0E">
        <w:rPr>
          <w:color w:val="000000"/>
        </w:rPr>
        <w:t xml:space="preserve">was an associate of the licensee at the time the liability was </w:t>
      </w:r>
      <w:proofErr w:type="gramStart"/>
      <w:r w:rsidRPr="00460D0E">
        <w:rPr>
          <w:color w:val="000000"/>
        </w:rPr>
        <w:t>incurred</w:t>
      </w:r>
      <w:proofErr w:type="gramEnd"/>
      <w:r w:rsidRPr="00460D0E">
        <w:rPr>
          <w:color w:val="000000"/>
        </w:rPr>
        <w:t xml:space="preserve"> or the investment was made; or</w:t>
      </w:r>
    </w:p>
    <w:p w14:paraId="357AE049" w14:textId="2042A283" w:rsidR="00460D0E" w:rsidRPr="00E70E8F" w:rsidRDefault="00460D0E" w:rsidP="00E70E8F">
      <w:pPr>
        <w:pStyle w:val="LI-BodyTextSubparai"/>
        <w:rPr>
          <w:color w:val="000000"/>
        </w:rPr>
      </w:pPr>
      <w:r w:rsidRPr="00460D0E">
        <w:rPr>
          <w:color w:val="000000"/>
        </w:rPr>
        <w:t>(iii)</w:t>
      </w:r>
      <w:r w:rsidR="00E70E8F">
        <w:rPr>
          <w:color w:val="000000"/>
        </w:rPr>
        <w:tab/>
      </w:r>
      <w:r w:rsidRPr="00460D0E">
        <w:rPr>
          <w:color w:val="000000"/>
        </w:rPr>
        <w:t>became liable to the licensee in connection with the acquisition of interests in a managed investment scheme operated by the licensee; and</w:t>
      </w:r>
    </w:p>
    <w:p w14:paraId="2CA6500C" w14:textId="75CF707A" w:rsidR="00460D0E" w:rsidRPr="00460D0E" w:rsidRDefault="00460D0E" w:rsidP="00AA6B75">
      <w:pPr>
        <w:pStyle w:val="LI-BodyTextParaa"/>
        <w:rPr>
          <w:rFonts w:ascii="Arial Unicode MS" w:hAnsi="Arial Unicode MS"/>
          <w:color w:val="000000"/>
          <w:szCs w:val="22"/>
        </w:rPr>
      </w:pPr>
      <w:r w:rsidRPr="00460D0E">
        <w:rPr>
          <w:color w:val="000000"/>
        </w:rPr>
        <w:t>(c)</w:t>
      </w:r>
      <w:r w:rsidR="00AA6B75">
        <w:rPr>
          <w:color w:val="000000"/>
        </w:rPr>
        <w:tab/>
      </w:r>
      <w:r w:rsidR="00C10931">
        <w:rPr>
          <w:color w:val="000000"/>
        </w:rPr>
        <w:t>any of the following</w:t>
      </w:r>
      <w:r w:rsidRPr="00460D0E">
        <w:rPr>
          <w:color w:val="000000"/>
        </w:rPr>
        <w:t>:</w:t>
      </w:r>
    </w:p>
    <w:p w14:paraId="0359B514" w14:textId="6FA12268" w:rsidR="00460D0E" w:rsidRPr="00AA6B75" w:rsidRDefault="00460D0E" w:rsidP="00AA6B75">
      <w:pPr>
        <w:pStyle w:val="LI-BodyTextSubparai"/>
        <w:rPr>
          <w:color w:val="000000"/>
        </w:rPr>
      </w:pPr>
      <w:r w:rsidRPr="00460D0E">
        <w:rPr>
          <w:color w:val="000000"/>
        </w:rPr>
        <w:t>(</w:t>
      </w:r>
      <w:proofErr w:type="spellStart"/>
      <w:r w:rsidRPr="00460D0E">
        <w:rPr>
          <w:color w:val="000000"/>
        </w:rPr>
        <w:t>i</w:t>
      </w:r>
      <w:proofErr w:type="spellEnd"/>
      <w:r w:rsidRPr="00460D0E">
        <w:rPr>
          <w:color w:val="000000"/>
        </w:rPr>
        <w:t>)</w:t>
      </w:r>
      <w:r w:rsidR="00AA6B75">
        <w:rPr>
          <w:color w:val="000000"/>
        </w:rPr>
        <w:tab/>
      </w:r>
      <w:r w:rsidR="00C10931">
        <w:rPr>
          <w:color w:val="000000"/>
        </w:rPr>
        <w:t xml:space="preserve">assets </w:t>
      </w:r>
      <w:r w:rsidRPr="00460D0E">
        <w:rPr>
          <w:color w:val="000000"/>
        </w:rPr>
        <w:t xml:space="preserve">held as a beneficial interest or an interest in a managed investment </w:t>
      </w:r>
      <w:proofErr w:type="gramStart"/>
      <w:r w:rsidRPr="00460D0E">
        <w:rPr>
          <w:color w:val="000000"/>
        </w:rPr>
        <w:t>scheme;</w:t>
      </w:r>
      <w:proofErr w:type="gramEnd"/>
      <w:r w:rsidR="00C543A0">
        <w:rPr>
          <w:color w:val="000000"/>
        </w:rPr>
        <w:t xml:space="preserve"> </w:t>
      </w:r>
    </w:p>
    <w:p w14:paraId="2BB50D8F" w14:textId="13B1ED24" w:rsidR="00C10931" w:rsidRDefault="00460D0E" w:rsidP="00AA6B75">
      <w:pPr>
        <w:pStyle w:val="LI-BodyTextSubparai"/>
        <w:rPr>
          <w:color w:val="000000"/>
        </w:rPr>
      </w:pPr>
      <w:r w:rsidRPr="00460D0E">
        <w:rPr>
          <w:color w:val="000000"/>
        </w:rPr>
        <w:t>(ii)</w:t>
      </w:r>
      <w:r w:rsidR="00AA6B75">
        <w:rPr>
          <w:color w:val="000000"/>
        </w:rPr>
        <w:tab/>
      </w:r>
      <w:r w:rsidR="00902220" w:rsidRPr="00952C60">
        <w:rPr>
          <w:color w:val="000000"/>
        </w:rPr>
        <w:t xml:space="preserve">assets </w:t>
      </w:r>
      <w:r w:rsidRPr="00952C60">
        <w:rPr>
          <w:color w:val="000000"/>
        </w:rPr>
        <w:t>invested in</w:t>
      </w:r>
      <w:r w:rsidRPr="00460D0E">
        <w:rPr>
          <w:color w:val="000000"/>
        </w:rPr>
        <w:t xml:space="preserve"> a superannuation product in respect of which the licensee or an associate may exercise any form of power or </w:t>
      </w:r>
      <w:proofErr w:type="gramStart"/>
      <w:r w:rsidRPr="00460D0E">
        <w:rPr>
          <w:color w:val="000000"/>
        </w:rPr>
        <w:t>control;</w:t>
      </w:r>
      <w:proofErr w:type="gramEnd"/>
      <w:r w:rsidRPr="00460D0E">
        <w:rPr>
          <w:color w:val="000000"/>
        </w:rPr>
        <w:t xml:space="preserve"> </w:t>
      </w:r>
    </w:p>
    <w:p w14:paraId="3953F4CD" w14:textId="601EB2FE" w:rsidR="00460D0E" w:rsidRPr="00AA6B75" w:rsidRDefault="00C10931" w:rsidP="00AA6B75">
      <w:pPr>
        <w:pStyle w:val="LI-BodyTextSubparai"/>
        <w:rPr>
          <w:color w:val="000000"/>
        </w:rPr>
      </w:pPr>
      <w:r>
        <w:rPr>
          <w:color w:val="000000"/>
        </w:rPr>
        <w:t>(iii)</w:t>
      </w:r>
      <w:r>
        <w:rPr>
          <w:color w:val="000000"/>
        </w:rPr>
        <w:tab/>
        <w:t>shares the licensee holds in a CCIV; and</w:t>
      </w:r>
    </w:p>
    <w:p w14:paraId="79E700E8" w14:textId="72A16662" w:rsidR="00460D0E" w:rsidRPr="00460D0E" w:rsidRDefault="00460D0E" w:rsidP="00CA7E00">
      <w:pPr>
        <w:pStyle w:val="LI-BodyTextParaa"/>
        <w:rPr>
          <w:rFonts w:ascii="Calibri" w:hAnsi="Calibri" w:cs="Calibri"/>
          <w:color w:val="000000"/>
          <w:szCs w:val="22"/>
        </w:rPr>
      </w:pPr>
      <w:r w:rsidRPr="00460D0E">
        <w:rPr>
          <w:color w:val="000000"/>
        </w:rPr>
        <w:t>(d)</w:t>
      </w:r>
      <w:r w:rsidR="00CA7E00">
        <w:rPr>
          <w:color w:val="000000"/>
        </w:rPr>
        <w:tab/>
      </w:r>
      <w:r w:rsidRPr="00460D0E">
        <w:rPr>
          <w:color w:val="000000"/>
        </w:rPr>
        <w:t xml:space="preserve">receivables from a trustee of a trust in respect of which the licensee or an associate may exercise any form of power or </w:t>
      </w:r>
      <w:proofErr w:type="gramStart"/>
      <w:r w:rsidRPr="00460D0E">
        <w:rPr>
          <w:color w:val="000000"/>
        </w:rPr>
        <w:t>control;</w:t>
      </w:r>
      <w:proofErr w:type="gramEnd"/>
    </w:p>
    <w:p w14:paraId="527AEB9B" w14:textId="77777777" w:rsidR="00460D0E" w:rsidRPr="00460D0E" w:rsidRDefault="00460D0E" w:rsidP="00CA7E00">
      <w:pPr>
        <w:pStyle w:val="LI-BodyTextParaa"/>
        <w:ind w:left="1134" w:firstLine="0"/>
        <w:rPr>
          <w:rFonts w:ascii="Calibri" w:hAnsi="Calibri" w:cs="Calibri"/>
          <w:color w:val="000000"/>
          <w:szCs w:val="22"/>
        </w:rPr>
      </w:pPr>
      <w:r w:rsidRPr="00460D0E">
        <w:rPr>
          <w:color w:val="000000"/>
        </w:rPr>
        <w:t>but, despite anything in the paragraphs above, does not include the following:</w:t>
      </w:r>
    </w:p>
    <w:p w14:paraId="29EDA18E" w14:textId="7357102E" w:rsidR="00460D0E" w:rsidRPr="00460D0E" w:rsidRDefault="00460D0E" w:rsidP="00CA7E00">
      <w:pPr>
        <w:pStyle w:val="LI-BodyTextParaa"/>
        <w:rPr>
          <w:rFonts w:ascii="Calibri" w:hAnsi="Calibri" w:cs="Calibri"/>
          <w:color w:val="000000"/>
          <w:szCs w:val="22"/>
        </w:rPr>
      </w:pPr>
      <w:r w:rsidRPr="00460D0E">
        <w:rPr>
          <w:color w:val="000000"/>
        </w:rPr>
        <w:lastRenderedPageBreak/>
        <w:t>(e)</w:t>
      </w:r>
      <w:r w:rsidR="00CA7E00">
        <w:rPr>
          <w:color w:val="000000"/>
        </w:rPr>
        <w:tab/>
      </w:r>
      <w:r w:rsidRPr="00460D0E">
        <w:rPr>
          <w:color w:val="000000"/>
        </w:rPr>
        <w:t>a receivable mentioned in paragraph (b) or (d):</w:t>
      </w:r>
    </w:p>
    <w:p w14:paraId="7F69C954" w14:textId="6141AD86" w:rsidR="00460D0E" w:rsidRPr="00CA7E00" w:rsidRDefault="00460D0E" w:rsidP="00CA7E00">
      <w:pPr>
        <w:pStyle w:val="LI-BodyTextSubparai"/>
        <w:rPr>
          <w:color w:val="000000"/>
        </w:rPr>
      </w:pPr>
      <w:r w:rsidRPr="00460D0E">
        <w:rPr>
          <w:color w:val="000000"/>
        </w:rPr>
        <w:t>(</w:t>
      </w:r>
      <w:proofErr w:type="spellStart"/>
      <w:r w:rsidRPr="00460D0E">
        <w:rPr>
          <w:color w:val="000000"/>
        </w:rPr>
        <w:t>i</w:t>
      </w:r>
      <w:proofErr w:type="spellEnd"/>
      <w:r w:rsidRPr="00460D0E">
        <w:rPr>
          <w:color w:val="000000"/>
        </w:rPr>
        <w:t>)</w:t>
      </w:r>
      <w:r w:rsidR="00CA7E00">
        <w:rPr>
          <w:color w:val="000000"/>
        </w:rPr>
        <w:tab/>
      </w:r>
      <w:r w:rsidRPr="00460D0E">
        <w:rPr>
          <w:color w:val="000000"/>
        </w:rPr>
        <w:t>to the extent that it is adequately secured; or</w:t>
      </w:r>
    </w:p>
    <w:p w14:paraId="41A7F19D" w14:textId="39115C37" w:rsidR="00460D0E" w:rsidRPr="00CA7E00" w:rsidRDefault="00460D0E" w:rsidP="00CA7E00">
      <w:pPr>
        <w:pStyle w:val="LI-BodyTextSubparai"/>
        <w:rPr>
          <w:color w:val="000000"/>
        </w:rPr>
      </w:pPr>
      <w:r w:rsidRPr="00460D0E">
        <w:rPr>
          <w:color w:val="000000"/>
        </w:rPr>
        <w:t>(ii)</w:t>
      </w:r>
      <w:r w:rsidR="00CA7E00">
        <w:rPr>
          <w:color w:val="000000"/>
        </w:rPr>
        <w:tab/>
      </w:r>
      <w:r w:rsidRPr="00460D0E">
        <w:rPr>
          <w:color w:val="000000"/>
        </w:rPr>
        <w:t xml:space="preserve">to which </w:t>
      </w:r>
      <w:proofErr w:type="gramStart"/>
      <w:r w:rsidRPr="00460D0E">
        <w:rPr>
          <w:color w:val="000000"/>
        </w:rPr>
        <w:t>all of</w:t>
      </w:r>
      <w:proofErr w:type="gramEnd"/>
      <w:r w:rsidRPr="00460D0E">
        <w:rPr>
          <w:color w:val="000000"/>
        </w:rPr>
        <w:t xml:space="preserve"> the following apply:</w:t>
      </w:r>
    </w:p>
    <w:p w14:paraId="62ECF537" w14:textId="094E8C17" w:rsidR="00460D0E" w:rsidRPr="00460D0E" w:rsidRDefault="00460D0E" w:rsidP="00812F9A">
      <w:pPr>
        <w:pStyle w:val="LI-BodyTextSubsubparaA"/>
        <w:rPr>
          <w:rFonts w:ascii="Calibri" w:hAnsi="Calibri" w:cs="Calibri"/>
          <w:color w:val="000000"/>
          <w:szCs w:val="22"/>
        </w:rPr>
      </w:pPr>
      <w:r w:rsidRPr="00460D0E">
        <w:rPr>
          <w:color w:val="000000"/>
        </w:rPr>
        <w:t>(A)</w:t>
      </w:r>
      <w:r w:rsidR="00812F9A">
        <w:rPr>
          <w:color w:val="000000"/>
        </w:rPr>
        <w:tab/>
      </w:r>
      <w:r w:rsidRPr="00460D0E">
        <w:rPr>
          <w:color w:val="000000"/>
        </w:rPr>
        <w:t xml:space="preserve">it is receivable as a result of a transaction entered into by the licensee in the ordinary course of its business on its standard commercial terms applicable to persons that are not associated with the licensee on an arm’s length </w:t>
      </w:r>
      <w:proofErr w:type="gramStart"/>
      <w:r w:rsidRPr="00460D0E">
        <w:rPr>
          <w:color w:val="000000"/>
        </w:rPr>
        <w:t>basis;</w:t>
      </w:r>
      <w:proofErr w:type="gramEnd"/>
    </w:p>
    <w:p w14:paraId="317B94D9" w14:textId="0DF6971B" w:rsidR="00460D0E" w:rsidRPr="00460D0E" w:rsidRDefault="00460D0E" w:rsidP="009C1B8D">
      <w:pPr>
        <w:pStyle w:val="LI-BodyTextSubsubparaA"/>
        <w:rPr>
          <w:rFonts w:ascii="Arial Unicode MS" w:hAnsi="Arial Unicode MS"/>
          <w:color w:val="000000"/>
          <w:szCs w:val="22"/>
        </w:rPr>
      </w:pPr>
      <w:r w:rsidRPr="00460D0E">
        <w:rPr>
          <w:color w:val="000000"/>
        </w:rPr>
        <w:t>(B)</w:t>
      </w:r>
      <w:r w:rsidR="009C1B8D">
        <w:rPr>
          <w:color w:val="000000"/>
        </w:rPr>
        <w:tab/>
      </w:r>
      <w:r w:rsidRPr="00460D0E">
        <w:rPr>
          <w:color w:val="000000"/>
        </w:rPr>
        <w:t xml:space="preserve">no part of the consideration in relation to the transaction is, in substance, directly or indirectly invested in the </w:t>
      </w:r>
      <w:proofErr w:type="gramStart"/>
      <w:r w:rsidRPr="00460D0E">
        <w:rPr>
          <w:color w:val="000000"/>
        </w:rPr>
        <w:t>licensee;</w:t>
      </w:r>
      <w:proofErr w:type="gramEnd"/>
    </w:p>
    <w:p w14:paraId="6D0A14E2" w14:textId="5B6D99A6" w:rsidR="00460D0E" w:rsidRPr="00460D0E" w:rsidRDefault="00460D0E" w:rsidP="00812F9A">
      <w:pPr>
        <w:pStyle w:val="LI-BodyTextSubsubparaA"/>
        <w:rPr>
          <w:rFonts w:ascii="Calibri" w:hAnsi="Calibri" w:cs="Calibri"/>
          <w:color w:val="000000"/>
          <w:szCs w:val="22"/>
        </w:rPr>
      </w:pPr>
      <w:r w:rsidRPr="00460D0E">
        <w:rPr>
          <w:color w:val="000000"/>
        </w:rPr>
        <w:t>(C)</w:t>
      </w:r>
      <w:r w:rsidR="009C1B8D">
        <w:rPr>
          <w:color w:val="000000"/>
        </w:rPr>
        <w:tab/>
      </w:r>
      <w:r w:rsidRPr="00460D0E">
        <w:rPr>
          <w:color w:val="000000"/>
        </w:rPr>
        <w:t>the total value of the receivable (before any discount is applied) is not more than 20% of the assets less liabilities of the licensee; or</w:t>
      </w:r>
    </w:p>
    <w:p w14:paraId="661AA630" w14:textId="58287FD0" w:rsidR="00460D0E" w:rsidRPr="00460D0E" w:rsidRDefault="00460D0E" w:rsidP="009C1B8D">
      <w:pPr>
        <w:pStyle w:val="LI-BodyTextSubparai"/>
        <w:rPr>
          <w:rFonts w:ascii="Calibri" w:hAnsi="Calibri" w:cs="Calibri"/>
          <w:color w:val="000000"/>
          <w:szCs w:val="22"/>
        </w:rPr>
      </w:pPr>
      <w:r w:rsidRPr="00460D0E">
        <w:rPr>
          <w:color w:val="000000"/>
        </w:rPr>
        <w:t>(iii)</w:t>
      </w:r>
      <w:r w:rsidR="009C1B8D">
        <w:rPr>
          <w:color w:val="000000"/>
        </w:rPr>
        <w:tab/>
      </w:r>
      <w:r w:rsidRPr="00460D0E">
        <w:rPr>
          <w:color w:val="000000"/>
        </w:rPr>
        <w:t xml:space="preserve">to which </w:t>
      </w:r>
      <w:proofErr w:type="gramStart"/>
      <w:r w:rsidRPr="00460D0E">
        <w:rPr>
          <w:color w:val="000000"/>
        </w:rPr>
        <w:t>all of</w:t>
      </w:r>
      <w:proofErr w:type="gramEnd"/>
      <w:r w:rsidRPr="00460D0E">
        <w:rPr>
          <w:color w:val="000000"/>
        </w:rPr>
        <w:t xml:space="preserve"> the following apply:</w:t>
      </w:r>
    </w:p>
    <w:p w14:paraId="1DFFD902" w14:textId="19F6193A" w:rsidR="00460D0E" w:rsidRPr="00460D0E" w:rsidRDefault="00460D0E" w:rsidP="00812F9A">
      <w:pPr>
        <w:pStyle w:val="LI-BodyTextSubsubparaA"/>
        <w:rPr>
          <w:rFonts w:ascii="Calibri" w:hAnsi="Calibri" w:cs="Calibri"/>
          <w:color w:val="000000"/>
          <w:szCs w:val="22"/>
        </w:rPr>
      </w:pPr>
      <w:r w:rsidRPr="00460D0E">
        <w:rPr>
          <w:color w:val="000000"/>
        </w:rPr>
        <w:t>(A)</w:t>
      </w:r>
      <w:r w:rsidR="009C1B8D">
        <w:rPr>
          <w:color w:val="000000"/>
        </w:rPr>
        <w:tab/>
      </w:r>
      <w:r w:rsidRPr="00460D0E">
        <w:rPr>
          <w:color w:val="000000"/>
        </w:rPr>
        <w:t xml:space="preserve">it is receivable from an insurance company that is a body regulated by APRA and results from a transaction entered into by the licensee in the ordinary course of its business on its standard commercial terms applicable to persons that are not associated with the licensee on an arm’s length </w:t>
      </w:r>
      <w:proofErr w:type="gramStart"/>
      <w:r w:rsidRPr="00460D0E">
        <w:rPr>
          <w:color w:val="000000"/>
        </w:rPr>
        <w:t>basis;</w:t>
      </w:r>
      <w:proofErr w:type="gramEnd"/>
    </w:p>
    <w:p w14:paraId="37AFBD5C" w14:textId="664D0B24" w:rsidR="00460D0E" w:rsidRPr="00460D0E" w:rsidRDefault="00460D0E" w:rsidP="00812F9A">
      <w:pPr>
        <w:pStyle w:val="LI-BodyTextSubsubparaA"/>
        <w:rPr>
          <w:rFonts w:ascii="Calibri" w:hAnsi="Calibri" w:cs="Calibri"/>
          <w:color w:val="000000"/>
          <w:szCs w:val="22"/>
        </w:rPr>
      </w:pPr>
      <w:r w:rsidRPr="00460D0E">
        <w:rPr>
          <w:color w:val="000000"/>
        </w:rPr>
        <w:t>(B)</w:t>
      </w:r>
      <w:r w:rsidR="009C1B8D">
        <w:rPr>
          <w:color w:val="000000"/>
        </w:rPr>
        <w:tab/>
      </w:r>
      <w:r w:rsidRPr="00460D0E">
        <w:rPr>
          <w:color w:val="000000"/>
        </w:rPr>
        <w:t xml:space="preserve">the licensee has no reason to believe that any amount invested in the licensee would not have been invested if the transaction that caused the receivable had not taken place or were not at the time of the investment expected to take </w:t>
      </w:r>
      <w:proofErr w:type="gramStart"/>
      <w:r w:rsidRPr="00460D0E">
        <w:rPr>
          <w:color w:val="000000"/>
        </w:rPr>
        <w:t>place;</w:t>
      </w:r>
      <w:proofErr w:type="gramEnd"/>
    </w:p>
    <w:p w14:paraId="63DEE7F9" w14:textId="08D1C003" w:rsidR="00460D0E" w:rsidRPr="00460D0E" w:rsidRDefault="00460D0E" w:rsidP="00812F9A">
      <w:pPr>
        <w:pStyle w:val="LI-BodyTextSubsubparaA"/>
        <w:rPr>
          <w:rFonts w:ascii="Calibri" w:hAnsi="Calibri" w:cs="Calibri"/>
          <w:color w:val="000000"/>
          <w:szCs w:val="22"/>
        </w:rPr>
      </w:pPr>
      <w:r w:rsidRPr="00460D0E">
        <w:rPr>
          <w:color w:val="000000"/>
        </w:rPr>
        <w:t>(C)</w:t>
      </w:r>
      <w:r w:rsidR="009C1B8D">
        <w:rPr>
          <w:color w:val="000000"/>
        </w:rPr>
        <w:tab/>
      </w:r>
      <w:r w:rsidRPr="00460D0E">
        <w:rPr>
          <w:color w:val="000000"/>
        </w:rPr>
        <w:t xml:space="preserve">the licensee has no reason to believe that the recoverability of the receivable will materially depend on the value of an investment by any person in the </w:t>
      </w:r>
      <w:proofErr w:type="gramStart"/>
      <w:r w:rsidRPr="00460D0E">
        <w:rPr>
          <w:color w:val="000000"/>
        </w:rPr>
        <w:t>licensee;</w:t>
      </w:r>
      <w:proofErr w:type="gramEnd"/>
    </w:p>
    <w:p w14:paraId="45F8A9CB" w14:textId="2C53FFBA" w:rsidR="00460D0E" w:rsidRPr="00460D0E" w:rsidRDefault="00460D0E" w:rsidP="00812F9A">
      <w:pPr>
        <w:pStyle w:val="LI-BodyTextSubsubparaA"/>
        <w:rPr>
          <w:rFonts w:ascii="Calibri" w:hAnsi="Calibri" w:cs="Calibri"/>
          <w:color w:val="000000"/>
          <w:szCs w:val="22"/>
        </w:rPr>
      </w:pPr>
      <w:r w:rsidRPr="00460D0E">
        <w:rPr>
          <w:color w:val="000000"/>
        </w:rPr>
        <w:t>(D)</w:t>
      </w:r>
      <w:r w:rsidR="009C1B8D">
        <w:rPr>
          <w:color w:val="000000"/>
        </w:rPr>
        <w:tab/>
      </w:r>
      <w:r w:rsidRPr="00460D0E">
        <w:rPr>
          <w:color w:val="000000"/>
        </w:rPr>
        <w:t>the total value of the receivables under this subparagraph is not more than 60% of the adjusted liabilities of the licensee disregarding this subparagraph; or</w:t>
      </w:r>
    </w:p>
    <w:p w14:paraId="007B809D" w14:textId="174C21BE" w:rsidR="00460D0E" w:rsidRPr="00460D0E" w:rsidRDefault="00460D0E" w:rsidP="006E6EF9">
      <w:pPr>
        <w:pStyle w:val="LI-BodyTextSubparai"/>
        <w:rPr>
          <w:rFonts w:ascii="Arial Unicode MS" w:hAnsi="Arial Unicode MS"/>
          <w:color w:val="000000"/>
          <w:szCs w:val="22"/>
        </w:rPr>
      </w:pPr>
      <w:r w:rsidRPr="00460D0E">
        <w:rPr>
          <w:color w:val="000000"/>
        </w:rPr>
        <w:t>(iv)</w:t>
      </w:r>
      <w:r w:rsidR="009C1B8D">
        <w:rPr>
          <w:color w:val="000000"/>
        </w:rPr>
        <w:tab/>
      </w:r>
      <w:r w:rsidRPr="00460D0E">
        <w:rPr>
          <w:color w:val="000000"/>
        </w:rPr>
        <w:t>to which ASIC has given its consent in writing to the licensee treating the receivable as not being an excluded asset; or</w:t>
      </w:r>
    </w:p>
    <w:p w14:paraId="67D5AB51" w14:textId="1950796A" w:rsidR="00460D0E" w:rsidRPr="00460D0E" w:rsidRDefault="00460D0E" w:rsidP="006E6EF9">
      <w:pPr>
        <w:pStyle w:val="LI-BodyTextSubparai"/>
        <w:rPr>
          <w:rFonts w:ascii="Calibri" w:hAnsi="Calibri" w:cs="Calibri"/>
          <w:color w:val="000000"/>
          <w:szCs w:val="22"/>
        </w:rPr>
      </w:pPr>
      <w:r w:rsidRPr="00460D0E">
        <w:rPr>
          <w:color w:val="000000"/>
        </w:rPr>
        <w:t>(v)</w:t>
      </w:r>
      <w:r w:rsidR="006E6EF9">
        <w:rPr>
          <w:color w:val="000000"/>
        </w:rPr>
        <w:tab/>
      </w:r>
      <w:r w:rsidRPr="00460D0E">
        <w:rPr>
          <w:color w:val="000000"/>
        </w:rPr>
        <w:t>to the extent that it is owing by way of fees from, or under rights of reimbursement for expenditure by the licensee out of property of or in relation to:</w:t>
      </w:r>
    </w:p>
    <w:p w14:paraId="0B1A2333" w14:textId="79F4E9C4" w:rsidR="00460D0E" w:rsidRPr="00460D0E" w:rsidRDefault="00460D0E" w:rsidP="00812F9A">
      <w:pPr>
        <w:pStyle w:val="LI-BodyTextSubsubparaA"/>
        <w:rPr>
          <w:rFonts w:ascii="Calibri" w:hAnsi="Calibri" w:cs="Calibri"/>
          <w:color w:val="000000"/>
          <w:szCs w:val="22"/>
        </w:rPr>
      </w:pPr>
      <w:r w:rsidRPr="00460D0E">
        <w:rPr>
          <w:color w:val="000000"/>
        </w:rPr>
        <w:lastRenderedPageBreak/>
        <w:t>(A)</w:t>
      </w:r>
      <w:r w:rsidR="006E6EF9">
        <w:rPr>
          <w:color w:val="000000"/>
        </w:rPr>
        <w:tab/>
      </w:r>
      <w:r w:rsidRPr="00460D0E">
        <w:rPr>
          <w:color w:val="000000"/>
        </w:rPr>
        <w:t>a superannuation entity;</w:t>
      </w:r>
      <w:r w:rsidR="000A0505">
        <w:rPr>
          <w:color w:val="000000"/>
        </w:rPr>
        <w:t xml:space="preserve"> or</w:t>
      </w:r>
    </w:p>
    <w:p w14:paraId="175EC538" w14:textId="2E15D6E7" w:rsidR="00460D0E" w:rsidRPr="00460D0E" w:rsidRDefault="00460D0E" w:rsidP="00812F9A">
      <w:pPr>
        <w:pStyle w:val="LI-BodyTextSubsubparaA"/>
        <w:rPr>
          <w:rFonts w:ascii="Calibri" w:hAnsi="Calibri" w:cs="Calibri"/>
          <w:color w:val="000000"/>
          <w:szCs w:val="22"/>
        </w:rPr>
      </w:pPr>
      <w:r w:rsidRPr="00460D0E">
        <w:rPr>
          <w:color w:val="000000"/>
        </w:rPr>
        <w:t>(B)</w:t>
      </w:r>
      <w:r w:rsidR="006E6EF9">
        <w:rPr>
          <w:color w:val="000000"/>
        </w:rPr>
        <w:tab/>
      </w:r>
      <w:r w:rsidRPr="00460D0E">
        <w:rPr>
          <w:color w:val="000000"/>
        </w:rPr>
        <w:t>an IDPS;</w:t>
      </w:r>
      <w:r w:rsidR="000A0505">
        <w:rPr>
          <w:color w:val="000000"/>
        </w:rPr>
        <w:t xml:space="preserve"> or</w:t>
      </w:r>
    </w:p>
    <w:p w14:paraId="5FFC67BE" w14:textId="38AEECEE" w:rsidR="00460D0E" w:rsidRDefault="00460D0E" w:rsidP="00812F9A">
      <w:pPr>
        <w:pStyle w:val="LI-BodyTextSubsubparaA"/>
        <w:rPr>
          <w:color w:val="000000"/>
        </w:rPr>
      </w:pPr>
      <w:r w:rsidRPr="00460D0E">
        <w:rPr>
          <w:color w:val="000000"/>
        </w:rPr>
        <w:t>(C)</w:t>
      </w:r>
      <w:r w:rsidR="006E6EF9">
        <w:rPr>
          <w:color w:val="000000"/>
        </w:rPr>
        <w:tab/>
      </w:r>
      <w:r w:rsidRPr="00460D0E">
        <w:rPr>
          <w:color w:val="000000"/>
        </w:rPr>
        <w:t>a registered scheme;</w:t>
      </w:r>
      <w:r w:rsidR="000A0505">
        <w:rPr>
          <w:color w:val="000000"/>
        </w:rPr>
        <w:t xml:space="preserve"> or</w:t>
      </w:r>
    </w:p>
    <w:p w14:paraId="7124D11E" w14:textId="31C5D4A3" w:rsidR="00F262B0" w:rsidRPr="0049468B" w:rsidRDefault="00F262B0" w:rsidP="00812F9A">
      <w:pPr>
        <w:pStyle w:val="LI-BodyTextSubsubparaA"/>
      </w:pPr>
      <w:r w:rsidRPr="0049468B">
        <w:t>(D)</w:t>
      </w:r>
      <w:r w:rsidRPr="0049468B">
        <w:tab/>
        <w:t xml:space="preserve">a </w:t>
      </w:r>
      <w:r w:rsidR="002839CE">
        <w:t xml:space="preserve">retail </w:t>
      </w:r>
      <w:proofErr w:type="gramStart"/>
      <w:r w:rsidRPr="00812F9A">
        <w:rPr>
          <w:color w:val="000000"/>
        </w:rPr>
        <w:t>CCIV</w:t>
      </w:r>
      <w:r>
        <w:t>;</w:t>
      </w:r>
      <w:proofErr w:type="gramEnd"/>
    </w:p>
    <w:p w14:paraId="68FFFCE5" w14:textId="77777777" w:rsidR="00460D0E" w:rsidRPr="00460D0E" w:rsidRDefault="00460D0E" w:rsidP="006E6EF9">
      <w:pPr>
        <w:pStyle w:val="LI-BodyTextSubsubparaA"/>
        <w:rPr>
          <w:rFonts w:ascii="Arial Unicode MS" w:hAnsi="Arial Unicode MS"/>
          <w:color w:val="000000"/>
          <w:szCs w:val="22"/>
        </w:rPr>
      </w:pPr>
      <w:r w:rsidRPr="00460D0E">
        <w:rPr>
          <w:color w:val="000000"/>
        </w:rPr>
        <w:t>to the extent that the receivable:</w:t>
      </w:r>
    </w:p>
    <w:p w14:paraId="72FF4180" w14:textId="76176A73" w:rsidR="00460D0E" w:rsidRPr="00460D0E" w:rsidRDefault="00460D0E" w:rsidP="00812F9A">
      <w:pPr>
        <w:pStyle w:val="LI-BodyTextSubsubparaA"/>
        <w:rPr>
          <w:rFonts w:ascii="Calibri" w:hAnsi="Calibri" w:cs="Calibri"/>
          <w:color w:val="000000"/>
          <w:szCs w:val="22"/>
        </w:rPr>
      </w:pPr>
      <w:r w:rsidRPr="00460D0E">
        <w:rPr>
          <w:color w:val="000000"/>
        </w:rPr>
        <w:t>(</w:t>
      </w:r>
      <w:r w:rsidR="00F262B0">
        <w:rPr>
          <w:color w:val="000000"/>
        </w:rPr>
        <w:t>E</w:t>
      </w:r>
      <w:r w:rsidRPr="00460D0E">
        <w:rPr>
          <w:color w:val="000000"/>
        </w:rPr>
        <w:t>)</w:t>
      </w:r>
      <w:r w:rsidR="006E6EF9">
        <w:rPr>
          <w:color w:val="000000"/>
        </w:rPr>
        <w:tab/>
      </w:r>
      <w:r w:rsidRPr="00460D0E">
        <w:rPr>
          <w:color w:val="000000"/>
        </w:rPr>
        <w:t>exceeds amounts invested by the entity, IDPS</w:t>
      </w:r>
      <w:r w:rsidR="001D1F9C">
        <w:rPr>
          <w:color w:val="000000"/>
        </w:rPr>
        <w:t xml:space="preserve">, </w:t>
      </w:r>
      <w:r w:rsidRPr="00460D0E">
        <w:rPr>
          <w:color w:val="000000"/>
        </w:rPr>
        <w:t>scheme</w:t>
      </w:r>
      <w:r w:rsidR="001D1F9C">
        <w:rPr>
          <w:color w:val="000000"/>
        </w:rPr>
        <w:t xml:space="preserve"> or </w:t>
      </w:r>
      <w:r w:rsidR="002839CE">
        <w:rPr>
          <w:color w:val="000000"/>
        </w:rPr>
        <w:t xml:space="preserve">retail </w:t>
      </w:r>
      <w:r w:rsidR="001D1F9C">
        <w:rPr>
          <w:color w:val="000000"/>
        </w:rPr>
        <w:t>CCIV</w:t>
      </w:r>
      <w:r w:rsidRPr="00460D0E">
        <w:rPr>
          <w:color w:val="000000"/>
        </w:rPr>
        <w:t xml:space="preserve"> in, or lent (other than by way of a deposit with an Australian ADI in the ordinary course of its banking business) directly or indirectly by the entity, IDPS</w:t>
      </w:r>
      <w:r w:rsidR="001D1F9C">
        <w:rPr>
          <w:color w:val="000000"/>
        </w:rPr>
        <w:t xml:space="preserve">, </w:t>
      </w:r>
      <w:r w:rsidRPr="00460D0E">
        <w:rPr>
          <w:color w:val="000000"/>
        </w:rPr>
        <w:t>scheme</w:t>
      </w:r>
      <w:r w:rsidR="001D1F9C">
        <w:rPr>
          <w:color w:val="000000"/>
        </w:rPr>
        <w:t xml:space="preserve"> or </w:t>
      </w:r>
      <w:r w:rsidR="002839CE">
        <w:rPr>
          <w:color w:val="000000"/>
        </w:rPr>
        <w:t xml:space="preserve">retail </w:t>
      </w:r>
      <w:r w:rsidR="001D1F9C">
        <w:rPr>
          <w:color w:val="000000"/>
        </w:rPr>
        <w:t>CCIV</w:t>
      </w:r>
      <w:r w:rsidRPr="00460D0E">
        <w:rPr>
          <w:color w:val="000000"/>
        </w:rPr>
        <w:t xml:space="preserve"> to:</w:t>
      </w:r>
    </w:p>
    <w:p w14:paraId="75C67028" w14:textId="59F0C535" w:rsidR="00460D0E" w:rsidRPr="006E6EF9" w:rsidRDefault="00460D0E" w:rsidP="006E6EF9">
      <w:pPr>
        <w:pStyle w:val="LI-BodyTextSubsubparaA"/>
        <w:ind w:left="3402"/>
        <w:rPr>
          <w:color w:val="000000"/>
        </w:rPr>
      </w:pPr>
      <w:r w:rsidRPr="00460D0E">
        <w:rPr>
          <w:color w:val="000000"/>
        </w:rPr>
        <w:t>(I)</w:t>
      </w:r>
      <w:r w:rsidR="006E6EF9">
        <w:rPr>
          <w:color w:val="000000"/>
        </w:rPr>
        <w:tab/>
      </w:r>
      <w:r w:rsidRPr="00460D0E">
        <w:rPr>
          <w:color w:val="000000"/>
        </w:rPr>
        <w:t>the licensee;</w:t>
      </w:r>
      <w:r w:rsidR="000A0505">
        <w:rPr>
          <w:color w:val="000000"/>
        </w:rPr>
        <w:t xml:space="preserve"> or</w:t>
      </w:r>
    </w:p>
    <w:p w14:paraId="4AD42465" w14:textId="49284D17" w:rsidR="00460D0E" w:rsidRPr="006E6EF9" w:rsidRDefault="00460D0E" w:rsidP="006E6EF9">
      <w:pPr>
        <w:pStyle w:val="LI-BodyTextSubsubparaA"/>
        <w:ind w:left="3402"/>
        <w:rPr>
          <w:color w:val="000000"/>
        </w:rPr>
      </w:pPr>
      <w:r w:rsidRPr="00460D0E">
        <w:rPr>
          <w:color w:val="000000"/>
        </w:rPr>
        <w:t>(II)</w:t>
      </w:r>
      <w:r w:rsidR="006E6EF9">
        <w:rPr>
          <w:color w:val="000000"/>
        </w:rPr>
        <w:tab/>
      </w:r>
      <w:r w:rsidRPr="00460D0E">
        <w:rPr>
          <w:color w:val="000000"/>
        </w:rPr>
        <w:t xml:space="preserve">a body corporate the licensee </w:t>
      </w:r>
      <w:r w:rsidR="001D1F9C">
        <w:rPr>
          <w:color w:val="000000"/>
        </w:rPr>
        <w:t xml:space="preserve">or the retail CCIV </w:t>
      </w:r>
      <w:r w:rsidRPr="00460D0E">
        <w:rPr>
          <w:color w:val="000000"/>
        </w:rPr>
        <w:t>controls;</w:t>
      </w:r>
      <w:r w:rsidR="000A0505">
        <w:rPr>
          <w:color w:val="000000"/>
        </w:rPr>
        <w:t xml:space="preserve"> or</w:t>
      </w:r>
    </w:p>
    <w:p w14:paraId="54B8BB85" w14:textId="5856112E" w:rsidR="00460D0E" w:rsidRPr="006E6EF9" w:rsidRDefault="00460D0E" w:rsidP="006E6EF9">
      <w:pPr>
        <w:pStyle w:val="LI-BodyTextSubsubparaA"/>
        <w:ind w:left="3402"/>
        <w:rPr>
          <w:color w:val="000000"/>
        </w:rPr>
      </w:pPr>
      <w:r w:rsidRPr="00460D0E">
        <w:rPr>
          <w:color w:val="000000"/>
        </w:rPr>
        <w:t>(III)</w:t>
      </w:r>
      <w:r w:rsidR="006E6EF9">
        <w:rPr>
          <w:color w:val="000000"/>
        </w:rPr>
        <w:tab/>
      </w:r>
      <w:r w:rsidRPr="00460D0E">
        <w:rPr>
          <w:color w:val="000000"/>
        </w:rPr>
        <w:t>a body corporate that controls the licensee</w:t>
      </w:r>
      <w:r w:rsidR="001D1F9C">
        <w:rPr>
          <w:color w:val="000000"/>
        </w:rPr>
        <w:t xml:space="preserve"> or the retail CCIV</w:t>
      </w:r>
      <w:r w:rsidRPr="00460D0E">
        <w:rPr>
          <w:color w:val="000000"/>
        </w:rPr>
        <w:t>; or</w:t>
      </w:r>
    </w:p>
    <w:p w14:paraId="417197EF" w14:textId="35AC12C4" w:rsidR="00460D0E" w:rsidRPr="006E6EF9" w:rsidRDefault="00460D0E" w:rsidP="006E6EF9">
      <w:pPr>
        <w:pStyle w:val="LI-BodyTextSubsubparaA"/>
        <w:ind w:left="3402"/>
        <w:rPr>
          <w:color w:val="000000"/>
        </w:rPr>
      </w:pPr>
      <w:r w:rsidRPr="00460D0E">
        <w:rPr>
          <w:color w:val="000000"/>
        </w:rPr>
        <w:t>(IV)</w:t>
      </w:r>
      <w:r w:rsidR="006E6EF9">
        <w:rPr>
          <w:color w:val="000000"/>
        </w:rPr>
        <w:tab/>
      </w:r>
      <w:r w:rsidRPr="00460D0E">
        <w:rPr>
          <w:color w:val="000000"/>
        </w:rPr>
        <w:t xml:space="preserve">a body corporate that the licensee’s </w:t>
      </w:r>
      <w:r w:rsidR="001D1F9C">
        <w:rPr>
          <w:color w:val="000000"/>
        </w:rPr>
        <w:t xml:space="preserve">or the retail CCIV’s </w:t>
      </w:r>
      <w:r w:rsidRPr="00460D0E">
        <w:rPr>
          <w:color w:val="000000"/>
        </w:rPr>
        <w:t>controller controls; and</w:t>
      </w:r>
    </w:p>
    <w:p w14:paraId="1CA0BD99" w14:textId="0DCE512A" w:rsidR="00460D0E" w:rsidRPr="00460D0E" w:rsidRDefault="00460D0E" w:rsidP="00812F9A">
      <w:pPr>
        <w:pStyle w:val="LI-BodyTextSubsubparaA"/>
        <w:rPr>
          <w:rFonts w:ascii="Calibri" w:hAnsi="Calibri" w:cs="Calibri"/>
          <w:color w:val="000000"/>
          <w:szCs w:val="22"/>
        </w:rPr>
      </w:pPr>
      <w:r w:rsidRPr="00460D0E">
        <w:rPr>
          <w:color w:val="000000"/>
        </w:rPr>
        <w:t>(</w:t>
      </w:r>
      <w:r w:rsidR="00CF0157">
        <w:rPr>
          <w:color w:val="000000"/>
        </w:rPr>
        <w:t>F</w:t>
      </w:r>
      <w:r w:rsidRPr="00460D0E">
        <w:rPr>
          <w:color w:val="000000"/>
        </w:rPr>
        <w:t>)</w:t>
      </w:r>
      <w:r w:rsidR="006E6EF9">
        <w:rPr>
          <w:color w:val="000000"/>
        </w:rPr>
        <w:tab/>
      </w:r>
      <w:r w:rsidRPr="00460D0E">
        <w:rPr>
          <w:color w:val="000000"/>
        </w:rPr>
        <w:t>if receivable by way of fees, represents no more than the amount of fees owing for the previous 3 months; and</w:t>
      </w:r>
    </w:p>
    <w:p w14:paraId="6961D618" w14:textId="6D1E5DCC" w:rsidR="00460D0E" w:rsidRPr="00460D0E" w:rsidRDefault="00460D0E" w:rsidP="00812F9A">
      <w:pPr>
        <w:pStyle w:val="LI-BodyTextSubsubparaA"/>
        <w:rPr>
          <w:rFonts w:ascii="Calibri" w:hAnsi="Calibri" w:cs="Calibri"/>
          <w:color w:val="000000"/>
          <w:szCs w:val="22"/>
        </w:rPr>
      </w:pPr>
      <w:r w:rsidRPr="00460D0E">
        <w:rPr>
          <w:color w:val="000000"/>
        </w:rPr>
        <w:t>(</w:t>
      </w:r>
      <w:r w:rsidR="00CF0157">
        <w:rPr>
          <w:color w:val="000000"/>
        </w:rPr>
        <w:t>G</w:t>
      </w:r>
      <w:r w:rsidRPr="00460D0E">
        <w:rPr>
          <w:color w:val="000000"/>
        </w:rPr>
        <w:t>)</w:t>
      </w:r>
      <w:r w:rsidR="006E6EF9">
        <w:rPr>
          <w:color w:val="000000"/>
        </w:rPr>
        <w:tab/>
      </w:r>
      <w:r w:rsidRPr="00460D0E">
        <w:rPr>
          <w:color w:val="000000"/>
        </w:rPr>
        <w:t>if receivable under rights of reimbursement for expenditure by the licensee, has not been receivable for more than 3 months; and</w:t>
      </w:r>
    </w:p>
    <w:p w14:paraId="067A313C" w14:textId="0B9DC310" w:rsidR="00460D0E" w:rsidRPr="005237F5" w:rsidRDefault="00460D0E" w:rsidP="005237F5">
      <w:pPr>
        <w:pStyle w:val="LI-BodyTextParaa"/>
        <w:rPr>
          <w:color w:val="000000"/>
        </w:rPr>
      </w:pPr>
      <w:r w:rsidRPr="00460D0E">
        <w:rPr>
          <w:color w:val="000000"/>
        </w:rPr>
        <w:t>(</w:t>
      </w:r>
      <w:r w:rsidR="00BA66F5">
        <w:rPr>
          <w:color w:val="000000"/>
        </w:rPr>
        <w:t>f</w:t>
      </w:r>
      <w:r w:rsidRPr="00460D0E">
        <w:rPr>
          <w:color w:val="000000"/>
        </w:rPr>
        <w:t>)</w:t>
      </w:r>
      <w:r w:rsidR="005237F5">
        <w:rPr>
          <w:color w:val="000000"/>
        </w:rPr>
        <w:tab/>
      </w:r>
      <w:r w:rsidRPr="00460D0E">
        <w:rPr>
          <w:color w:val="000000"/>
        </w:rPr>
        <w:t>a right-of-use asset arising under a lease; and</w:t>
      </w:r>
    </w:p>
    <w:p w14:paraId="386F3141" w14:textId="04DEF911" w:rsidR="00A02974" w:rsidRDefault="00460D0E" w:rsidP="007E3C8F">
      <w:pPr>
        <w:pStyle w:val="LI-BodyTextParaa"/>
        <w:rPr>
          <w:color w:val="000000"/>
        </w:rPr>
      </w:pPr>
      <w:r w:rsidRPr="00460D0E">
        <w:rPr>
          <w:color w:val="000000"/>
        </w:rPr>
        <w:t>(</w:t>
      </w:r>
      <w:r w:rsidR="00BA66F5">
        <w:rPr>
          <w:color w:val="000000"/>
        </w:rPr>
        <w:t>g</w:t>
      </w:r>
      <w:r w:rsidRPr="00460D0E">
        <w:rPr>
          <w:color w:val="000000"/>
        </w:rPr>
        <w:t>)</w:t>
      </w:r>
      <w:r w:rsidR="007E3C8F">
        <w:rPr>
          <w:color w:val="000000"/>
        </w:rPr>
        <w:tab/>
      </w:r>
      <w:r w:rsidRPr="00460D0E">
        <w:rPr>
          <w:color w:val="000000"/>
        </w:rPr>
        <w:t xml:space="preserve">an asset mentioned in paragraph (c) to the extent it is a managed investment product </w:t>
      </w:r>
      <w:r w:rsidR="002F541D">
        <w:rPr>
          <w:color w:val="000000"/>
        </w:rPr>
        <w:t xml:space="preserve">or a share in a </w:t>
      </w:r>
      <w:r w:rsidR="002839CE">
        <w:rPr>
          <w:color w:val="000000"/>
        </w:rPr>
        <w:t xml:space="preserve">retail </w:t>
      </w:r>
      <w:r w:rsidR="002F541D">
        <w:rPr>
          <w:color w:val="000000"/>
        </w:rPr>
        <w:t xml:space="preserve">CCIV </w:t>
      </w:r>
      <w:r w:rsidRPr="00460D0E">
        <w:rPr>
          <w:color w:val="000000"/>
        </w:rPr>
        <w:t>unless any part of the amount invested is, in substance, directly or indirectly, invested in the licensee.</w:t>
      </w:r>
      <w:r w:rsidR="00A02974">
        <w:rPr>
          <w:color w:val="000000"/>
        </w:rPr>
        <w:t xml:space="preserve"> </w:t>
      </w:r>
    </w:p>
    <w:p w14:paraId="18365868" w14:textId="59D0C054" w:rsidR="00460D0E" w:rsidRPr="00460D0E" w:rsidRDefault="00460D0E" w:rsidP="007E3C8F">
      <w:pPr>
        <w:pStyle w:val="LI-BodyTextUnnumbered"/>
        <w:rPr>
          <w:rFonts w:ascii="Calibri" w:hAnsi="Calibri" w:cs="Calibri"/>
          <w:color w:val="000000"/>
          <w:szCs w:val="22"/>
        </w:rPr>
      </w:pPr>
      <w:r w:rsidRPr="00460D0E">
        <w:rPr>
          <w:b/>
          <w:bCs/>
          <w:i/>
          <w:iCs/>
          <w:color w:val="000000"/>
          <w:szCs w:val="24"/>
        </w:rPr>
        <w:t>first financial year</w:t>
      </w:r>
      <w:r w:rsidRPr="00460D0E">
        <w:rPr>
          <w:color w:val="000000"/>
          <w:szCs w:val="24"/>
        </w:rPr>
        <w:t> means</w:t>
      </w:r>
      <w:r w:rsidR="00F262B0">
        <w:rPr>
          <w:color w:val="000000"/>
          <w:szCs w:val="24"/>
        </w:rPr>
        <w:t>, in relation to a financial services licensee,</w:t>
      </w:r>
      <w:r w:rsidRPr="00460D0E">
        <w:rPr>
          <w:color w:val="000000"/>
          <w:szCs w:val="24"/>
        </w:rPr>
        <w:t xml:space="preserve"> the financial year in which the calculation date occurs.</w:t>
      </w:r>
    </w:p>
    <w:p w14:paraId="7FF97E6A" w14:textId="3E28D96D" w:rsidR="00A02974" w:rsidRDefault="001451A7" w:rsidP="007E3C8F">
      <w:pPr>
        <w:pStyle w:val="LI-BodyTextUnnumbered"/>
        <w:rPr>
          <w:color w:val="000000"/>
          <w:szCs w:val="24"/>
        </w:rPr>
      </w:pPr>
      <w:r w:rsidRPr="00E249A0">
        <w:rPr>
          <w:b/>
          <w:bCs/>
          <w:i/>
          <w:iCs/>
        </w:rPr>
        <w:t>IDPS</w:t>
      </w:r>
      <w:r w:rsidRPr="001451A7">
        <w:t xml:space="preserve"> has the </w:t>
      </w:r>
      <w:r w:rsidRPr="007E3C8F">
        <w:rPr>
          <w:color w:val="000000"/>
          <w:szCs w:val="24"/>
        </w:rPr>
        <w:t>same</w:t>
      </w:r>
      <w:r w:rsidRPr="001451A7">
        <w:t xml:space="preserve"> meaning as in ASIC Class Order [CO 13/763].</w:t>
      </w:r>
    </w:p>
    <w:p w14:paraId="124F8F2A" w14:textId="68C5C3C7" w:rsidR="00A02974" w:rsidRDefault="00460D0E" w:rsidP="007E3C8F">
      <w:pPr>
        <w:pStyle w:val="LI-BodyTextUnnumbered"/>
        <w:rPr>
          <w:b/>
          <w:bCs/>
          <w:i/>
          <w:iCs/>
          <w:color w:val="000000"/>
          <w:szCs w:val="24"/>
        </w:rPr>
      </w:pPr>
      <w:r w:rsidRPr="00460D0E">
        <w:rPr>
          <w:b/>
          <w:bCs/>
          <w:i/>
          <w:iCs/>
          <w:color w:val="000000"/>
          <w:szCs w:val="24"/>
        </w:rPr>
        <w:t>IDPS property</w:t>
      </w:r>
      <w:r w:rsidRPr="00460D0E">
        <w:rPr>
          <w:b/>
          <w:bCs/>
          <w:color w:val="000000"/>
          <w:szCs w:val="24"/>
        </w:rPr>
        <w:t> </w:t>
      </w:r>
      <w:r w:rsidRPr="00460D0E">
        <w:rPr>
          <w:color w:val="000000"/>
          <w:szCs w:val="24"/>
        </w:rPr>
        <w:t>means</w:t>
      </w:r>
      <w:r w:rsidR="00413607">
        <w:rPr>
          <w:color w:val="000000"/>
          <w:szCs w:val="24"/>
        </w:rPr>
        <w:t>, in relation to an IDPS,</w:t>
      </w:r>
      <w:r w:rsidRPr="00460D0E">
        <w:rPr>
          <w:color w:val="000000"/>
          <w:szCs w:val="24"/>
        </w:rPr>
        <w:t xml:space="preserve"> property acquired or held through </w:t>
      </w:r>
      <w:r w:rsidR="00413607">
        <w:rPr>
          <w:color w:val="000000"/>
          <w:szCs w:val="24"/>
        </w:rPr>
        <w:t>the</w:t>
      </w:r>
      <w:r w:rsidRPr="00460D0E">
        <w:rPr>
          <w:color w:val="000000"/>
          <w:szCs w:val="24"/>
        </w:rPr>
        <w:t xml:space="preserve"> IDPS other than property held by a client</w:t>
      </w:r>
      <w:r w:rsidR="00413607">
        <w:rPr>
          <w:color w:val="000000"/>
          <w:szCs w:val="24"/>
        </w:rPr>
        <w:t xml:space="preserve"> of the IDPS</w:t>
      </w:r>
      <w:r w:rsidRPr="00460D0E">
        <w:rPr>
          <w:color w:val="000000"/>
          <w:szCs w:val="24"/>
        </w:rPr>
        <w:t>.</w:t>
      </w:r>
    </w:p>
    <w:p w14:paraId="54F83CC5" w14:textId="7CC46D3D" w:rsidR="00A02974" w:rsidRDefault="00460D0E" w:rsidP="007E3C8F">
      <w:pPr>
        <w:pStyle w:val="LI-BodyTextUnnumbered"/>
        <w:rPr>
          <w:color w:val="000000"/>
          <w:szCs w:val="24"/>
        </w:rPr>
      </w:pPr>
      <w:r w:rsidRPr="00460D0E">
        <w:rPr>
          <w:b/>
          <w:bCs/>
          <w:i/>
          <w:iCs/>
          <w:color w:val="000000"/>
          <w:szCs w:val="24"/>
        </w:rPr>
        <w:t>liquid assets</w:t>
      </w:r>
      <w:r w:rsidRPr="00460D0E">
        <w:rPr>
          <w:color w:val="000000"/>
          <w:szCs w:val="24"/>
        </w:rPr>
        <w:t> </w:t>
      </w:r>
      <w:proofErr w:type="gramStart"/>
      <w:r w:rsidRPr="00460D0E">
        <w:rPr>
          <w:color w:val="000000"/>
          <w:szCs w:val="24"/>
        </w:rPr>
        <w:t>means</w:t>
      </w:r>
      <w:proofErr w:type="gramEnd"/>
      <w:r w:rsidRPr="00460D0E">
        <w:rPr>
          <w:color w:val="000000"/>
          <w:szCs w:val="24"/>
        </w:rPr>
        <w:t xml:space="preserve"> in relation to a financial services licensee:</w:t>
      </w:r>
    </w:p>
    <w:p w14:paraId="63C967EC" w14:textId="482BD787" w:rsidR="00460D0E" w:rsidRPr="00DB0C1D" w:rsidRDefault="00460D0E" w:rsidP="00DB0C1D">
      <w:pPr>
        <w:pStyle w:val="LI-BodyTextParaa"/>
        <w:rPr>
          <w:color w:val="000000"/>
        </w:rPr>
      </w:pPr>
      <w:r w:rsidRPr="00460D0E">
        <w:rPr>
          <w:color w:val="000000"/>
        </w:rPr>
        <w:lastRenderedPageBreak/>
        <w:t>(a)</w:t>
      </w:r>
      <w:r w:rsidR="00DB0C1D">
        <w:rPr>
          <w:color w:val="000000"/>
        </w:rPr>
        <w:tab/>
      </w:r>
      <w:r w:rsidRPr="00460D0E">
        <w:rPr>
          <w:color w:val="000000"/>
        </w:rPr>
        <w:t>cash or cash equivalents other than a commitment of the kind referred to in paragraph (d) of the definition of </w:t>
      </w:r>
      <w:r w:rsidRPr="00DB0C1D">
        <w:rPr>
          <w:color w:val="000000"/>
        </w:rPr>
        <w:t>cash or cash equivalents</w:t>
      </w:r>
      <w:r w:rsidRPr="00460D0E">
        <w:rPr>
          <w:color w:val="000000"/>
        </w:rPr>
        <w:t>; and</w:t>
      </w:r>
    </w:p>
    <w:p w14:paraId="093F7915" w14:textId="00D961BF" w:rsidR="00460D0E" w:rsidRPr="00DB0C1D" w:rsidRDefault="00460D0E" w:rsidP="00DB0C1D">
      <w:pPr>
        <w:pStyle w:val="LI-BodyTextParaa"/>
        <w:rPr>
          <w:color w:val="000000"/>
        </w:rPr>
      </w:pPr>
      <w:r w:rsidRPr="00460D0E">
        <w:rPr>
          <w:color w:val="000000"/>
        </w:rPr>
        <w:t>(b)</w:t>
      </w:r>
      <w:r w:rsidR="00DB0C1D">
        <w:rPr>
          <w:color w:val="000000"/>
        </w:rPr>
        <w:tab/>
      </w:r>
      <w:r w:rsidRPr="00460D0E">
        <w:rPr>
          <w:color w:val="000000"/>
        </w:rPr>
        <w:t xml:space="preserve">assets that the licensee can reasonably expect to realise for </w:t>
      </w:r>
      <w:r w:rsidR="00413607">
        <w:rPr>
          <w:color w:val="000000"/>
        </w:rPr>
        <w:t>their</w:t>
      </w:r>
      <w:r w:rsidRPr="00460D0E">
        <w:rPr>
          <w:color w:val="000000"/>
        </w:rPr>
        <w:t xml:space="preserve"> market value within 6 </w:t>
      </w:r>
      <w:proofErr w:type="gramStart"/>
      <w:r w:rsidRPr="00460D0E">
        <w:rPr>
          <w:color w:val="000000"/>
        </w:rPr>
        <w:t>months</w:t>
      </w:r>
      <w:r w:rsidR="00213FE2">
        <w:rPr>
          <w:color w:val="000000"/>
        </w:rPr>
        <w:t>;</w:t>
      </w:r>
      <w:proofErr w:type="gramEnd"/>
    </w:p>
    <w:p w14:paraId="3C4F46E1" w14:textId="5AF52940" w:rsidR="0077020F" w:rsidRDefault="00460D0E" w:rsidP="00DB0C1D">
      <w:pPr>
        <w:pStyle w:val="LI-BodyTextParaa"/>
        <w:ind w:left="1134" w:firstLine="0"/>
        <w:rPr>
          <w:color w:val="000000"/>
        </w:rPr>
      </w:pPr>
      <w:r w:rsidRPr="00460D0E">
        <w:rPr>
          <w:color w:val="000000"/>
        </w:rPr>
        <w:t>that are free from encumbrances and, in the case of receivables, free from any right of set-off.</w:t>
      </w:r>
    </w:p>
    <w:p w14:paraId="7DA837A5" w14:textId="7C3CB6BC" w:rsidR="00A349B0" w:rsidRDefault="00460D0E" w:rsidP="00DB0C1D">
      <w:pPr>
        <w:pStyle w:val="LI-BodyTextUnnumbered"/>
        <w:rPr>
          <w:color w:val="000000"/>
          <w:szCs w:val="24"/>
        </w:rPr>
      </w:pPr>
      <w:r w:rsidRPr="00587932">
        <w:rPr>
          <w:b/>
          <w:bCs/>
          <w:i/>
          <w:iCs/>
          <w:szCs w:val="24"/>
        </w:rPr>
        <w:t>market participant </w:t>
      </w:r>
      <w:r w:rsidRPr="00DB0C1D">
        <w:rPr>
          <w:color w:val="000000"/>
          <w:szCs w:val="24"/>
        </w:rPr>
        <w:t>means</w:t>
      </w:r>
      <w:r w:rsidRPr="00587932">
        <w:rPr>
          <w:szCs w:val="24"/>
        </w:rPr>
        <w:t xml:space="preserve"> a participant as defined in section</w:t>
      </w:r>
      <w:r w:rsidR="00705073">
        <w:rPr>
          <w:szCs w:val="24"/>
        </w:rPr>
        <w:t> </w:t>
      </w:r>
      <w:r w:rsidRPr="00587932">
        <w:rPr>
          <w:szCs w:val="24"/>
        </w:rPr>
        <w:t>761A in relation to a financial market</w:t>
      </w:r>
      <w:r w:rsidR="0006224C">
        <w:rPr>
          <w:szCs w:val="24"/>
        </w:rPr>
        <w:t xml:space="preserve"> where both the following apply</w:t>
      </w:r>
      <w:r w:rsidR="005A405C">
        <w:rPr>
          <w:szCs w:val="24"/>
        </w:rPr>
        <w:t>:</w:t>
      </w:r>
    </w:p>
    <w:p w14:paraId="05EAC253" w14:textId="3D4426A5" w:rsidR="00C53561" w:rsidRPr="00453B15" w:rsidRDefault="00C53561" w:rsidP="00DD63E6">
      <w:pPr>
        <w:pStyle w:val="LI-BodyTextParaa"/>
      </w:pPr>
      <w:r>
        <w:t xml:space="preserve">(a) </w:t>
      </w:r>
      <w:r>
        <w:tab/>
      </w:r>
      <w:r w:rsidR="00C15981">
        <w:t>the</w:t>
      </w:r>
      <w:r>
        <w:t xml:space="preserve"> market is operated by any of the following</w:t>
      </w:r>
      <w:r w:rsidRPr="003A0D35">
        <w:t>:</w:t>
      </w:r>
    </w:p>
    <w:p w14:paraId="1A2DA366" w14:textId="7A8B5AF5" w:rsidR="00C53561" w:rsidRDefault="00C53561" w:rsidP="00DD63E6">
      <w:pPr>
        <w:pStyle w:val="LI-BodyTextSubparai"/>
      </w:pPr>
      <w:r>
        <w:t>(</w:t>
      </w:r>
      <w:proofErr w:type="spellStart"/>
      <w:r>
        <w:t>i</w:t>
      </w:r>
      <w:proofErr w:type="spellEnd"/>
      <w:r>
        <w:t>)</w:t>
      </w:r>
      <w:r>
        <w:tab/>
      </w:r>
      <w:r w:rsidRPr="00033C34">
        <w:t xml:space="preserve">ASX Limited </w:t>
      </w:r>
      <w:proofErr w:type="spellStart"/>
      <w:r w:rsidRPr="00033C34">
        <w:t>ACN</w:t>
      </w:r>
      <w:proofErr w:type="spellEnd"/>
      <w:r w:rsidRPr="00033C34">
        <w:t xml:space="preserve"> </w:t>
      </w:r>
      <w:proofErr w:type="gramStart"/>
      <w:r w:rsidRPr="00033C34">
        <w:t>008 624 691;</w:t>
      </w:r>
      <w:proofErr w:type="gramEnd"/>
      <w:r w:rsidRPr="00033C34">
        <w:t xml:space="preserve"> </w:t>
      </w:r>
    </w:p>
    <w:p w14:paraId="63E25133" w14:textId="4F2D7319" w:rsidR="00C53561" w:rsidRDefault="00C53561" w:rsidP="00DD63E6">
      <w:pPr>
        <w:pStyle w:val="LI-BodyTextSubparai"/>
      </w:pPr>
      <w:r>
        <w:t xml:space="preserve">(ii) </w:t>
      </w:r>
      <w:r>
        <w:tab/>
      </w:r>
      <w:proofErr w:type="spellStart"/>
      <w:r w:rsidRPr="00033C34">
        <w:t>Cboe</w:t>
      </w:r>
      <w:proofErr w:type="spellEnd"/>
      <w:r w:rsidRPr="00033C34">
        <w:t xml:space="preserve"> Australia Pty Limited ACN </w:t>
      </w:r>
      <w:proofErr w:type="gramStart"/>
      <w:r w:rsidRPr="00033C34">
        <w:t>129 584 664</w:t>
      </w:r>
      <w:r>
        <w:t>;</w:t>
      </w:r>
      <w:proofErr w:type="gramEnd"/>
      <w:r>
        <w:t xml:space="preserve"> </w:t>
      </w:r>
    </w:p>
    <w:p w14:paraId="7C5206DD" w14:textId="1DA556EF" w:rsidR="00C53561" w:rsidRDefault="00C53561" w:rsidP="00DD63E6">
      <w:pPr>
        <w:pStyle w:val="LI-BodyTextSubparai"/>
      </w:pPr>
      <w:r>
        <w:t>(iii)</w:t>
      </w:r>
      <w:r>
        <w:tab/>
      </w:r>
      <w:r w:rsidRPr="00033C34">
        <w:t>FEX Global Pty Ltd ACN 124 127 224 (</w:t>
      </w:r>
      <w:r w:rsidRPr="005D2148">
        <w:rPr>
          <w:b/>
          <w:bCs/>
          <w:i/>
          <w:iCs/>
        </w:rPr>
        <w:t>FEX market</w:t>
      </w:r>
      <w:proofErr w:type="gramStart"/>
      <w:r w:rsidRPr="00033C34">
        <w:t>)</w:t>
      </w:r>
      <w:r>
        <w:t>;</w:t>
      </w:r>
      <w:proofErr w:type="gramEnd"/>
      <w:r>
        <w:t xml:space="preserve"> </w:t>
      </w:r>
    </w:p>
    <w:p w14:paraId="71DE375B" w14:textId="6B04C1EC" w:rsidR="00C53561" w:rsidRDefault="00C53561" w:rsidP="00DD63E6">
      <w:pPr>
        <w:pStyle w:val="LI-BodyTextSubparai"/>
      </w:pPr>
      <w:r>
        <w:t xml:space="preserve">(iv) </w:t>
      </w:r>
      <w:r>
        <w:tab/>
      </w:r>
      <w:r w:rsidRPr="00033C34">
        <w:t xml:space="preserve">National Stock Exchange of Australia Limited ACN </w:t>
      </w:r>
      <w:proofErr w:type="gramStart"/>
      <w:r w:rsidRPr="00033C34">
        <w:t>000 902 063;</w:t>
      </w:r>
      <w:proofErr w:type="gramEnd"/>
      <w:r>
        <w:t xml:space="preserve"> </w:t>
      </w:r>
    </w:p>
    <w:p w14:paraId="74FE8DA0" w14:textId="3090764B" w:rsidR="00C53561" w:rsidRDefault="00C53561" w:rsidP="00DD63E6">
      <w:pPr>
        <w:pStyle w:val="LI-BodyTextSubparai"/>
      </w:pPr>
      <w:r>
        <w:t xml:space="preserve">(v) </w:t>
      </w:r>
      <w:r>
        <w:tab/>
        <w:t xml:space="preserve">Australian </w:t>
      </w:r>
      <w:r w:rsidRPr="00033C34">
        <w:t>Securities Exchange Limited ACN 000 943 377 (</w:t>
      </w:r>
      <w:r w:rsidRPr="005D2148">
        <w:rPr>
          <w:b/>
          <w:bCs/>
          <w:i/>
          <w:iCs/>
        </w:rPr>
        <w:t>ASX 24 market</w:t>
      </w:r>
      <w:proofErr w:type="gramStart"/>
      <w:r w:rsidRPr="00033C34">
        <w:t>)</w:t>
      </w:r>
      <w:r>
        <w:t>;</w:t>
      </w:r>
      <w:proofErr w:type="gramEnd"/>
      <w:r>
        <w:t xml:space="preserve"> </w:t>
      </w:r>
    </w:p>
    <w:p w14:paraId="648C1ECC" w14:textId="3116E2F4" w:rsidR="00C53561" w:rsidRDefault="00C53561" w:rsidP="00DD63E6">
      <w:pPr>
        <w:pStyle w:val="LI-BodyTextSubparai"/>
      </w:pPr>
      <w:r>
        <w:t xml:space="preserve">(vi) </w:t>
      </w:r>
      <w:r>
        <w:tab/>
      </w:r>
      <w:r w:rsidRPr="00033C34">
        <w:t xml:space="preserve">Sydney Stock Exchange Limited ACN </w:t>
      </w:r>
      <w:proofErr w:type="gramStart"/>
      <w:r w:rsidRPr="00033C34">
        <w:t>080 399 220</w:t>
      </w:r>
      <w:r>
        <w:t>;</w:t>
      </w:r>
      <w:proofErr w:type="gramEnd"/>
      <w:r>
        <w:t xml:space="preserve"> </w:t>
      </w:r>
    </w:p>
    <w:p w14:paraId="6E8652B2" w14:textId="560D7DF6" w:rsidR="00C53561" w:rsidRDefault="00C53561" w:rsidP="00DD63E6">
      <w:pPr>
        <w:pStyle w:val="LI-BodyTextParaa"/>
      </w:pPr>
      <w:r>
        <w:t xml:space="preserve">(b) </w:t>
      </w:r>
      <w:r>
        <w:tab/>
        <w:t xml:space="preserve">the participant: </w:t>
      </w:r>
    </w:p>
    <w:p w14:paraId="321F67A8" w14:textId="77777777" w:rsidR="00C53561" w:rsidRPr="001279D0" w:rsidRDefault="00C53561" w:rsidP="00DD63E6">
      <w:pPr>
        <w:pStyle w:val="LI-BodyTextSubparai"/>
      </w:pPr>
      <w:r>
        <w:t>(</w:t>
      </w:r>
      <w:proofErr w:type="spellStart"/>
      <w:r>
        <w:t>i</w:t>
      </w:r>
      <w:proofErr w:type="spellEnd"/>
      <w:r>
        <w:t>)</w:t>
      </w:r>
      <w:r>
        <w:tab/>
        <w:t>in all cases</w:t>
      </w:r>
      <w:r w:rsidRPr="001279D0">
        <w:t xml:space="preserve">—is required to comply with, and complies with, the rules of the </w:t>
      </w:r>
      <w:r w:rsidRPr="005D2148">
        <w:rPr>
          <w:i/>
          <w:iCs/>
        </w:rPr>
        <w:t>ASIC Market Integrity Rules (Capital) 2021</w:t>
      </w:r>
      <w:r w:rsidRPr="001279D0">
        <w:t xml:space="preserve">, </w:t>
      </w:r>
      <w:proofErr w:type="gramStart"/>
      <w:r w:rsidRPr="001279D0">
        <w:t>taking into account</w:t>
      </w:r>
      <w:proofErr w:type="gramEnd"/>
      <w:r w:rsidRPr="001279D0">
        <w:t xml:space="preserve"> any waiver by ASIC; and </w:t>
      </w:r>
    </w:p>
    <w:p w14:paraId="79D86E92" w14:textId="1623E58C" w:rsidR="00C53561" w:rsidRDefault="00C53561" w:rsidP="00DD63E6">
      <w:pPr>
        <w:pStyle w:val="LI-BodyTextSubparai"/>
      </w:pPr>
      <w:r>
        <w:t>(ii)</w:t>
      </w:r>
      <w:r>
        <w:tab/>
        <w:t xml:space="preserve">in the case of </w:t>
      </w:r>
      <w:r w:rsidR="004348FB">
        <w:t xml:space="preserve">the </w:t>
      </w:r>
      <w:r>
        <w:t>ASX market</w:t>
      </w:r>
      <w:r w:rsidRPr="001279D0">
        <w:t>—</w:t>
      </w:r>
      <w:r>
        <w:t xml:space="preserve">restricts its financial services business to participating in the ASX 24 market and incidental </w:t>
      </w:r>
      <w:proofErr w:type="gramStart"/>
      <w:r>
        <w:t>business;</w:t>
      </w:r>
      <w:proofErr w:type="gramEnd"/>
      <w:r>
        <w:t xml:space="preserve"> and </w:t>
      </w:r>
    </w:p>
    <w:p w14:paraId="7F16CF5F" w14:textId="08A22E83" w:rsidR="00C53561" w:rsidRPr="00793C47" w:rsidRDefault="00C53561" w:rsidP="00DD63E6">
      <w:pPr>
        <w:pStyle w:val="LI-BodyTextSubparai"/>
      </w:pPr>
      <w:r>
        <w:t xml:space="preserve">(iii) </w:t>
      </w:r>
      <w:r>
        <w:tab/>
        <w:t xml:space="preserve">in the case of </w:t>
      </w:r>
      <w:r w:rsidR="004348FB">
        <w:t xml:space="preserve">the </w:t>
      </w:r>
      <w:r>
        <w:t>FEX market</w:t>
      </w:r>
      <w:r w:rsidRPr="001279D0">
        <w:t>—</w:t>
      </w:r>
      <w:r>
        <w:t xml:space="preserve">restricts its financial services business to participating in the FEX market and its incidental business. </w:t>
      </w:r>
    </w:p>
    <w:p w14:paraId="3F770630" w14:textId="56B5A00E" w:rsidR="00460D0E" w:rsidRPr="00460D0E" w:rsidRDefault="00460D0E" w:rsidP="006E770B">
      <w:pPr>
        <w:pStyle w:val="LI-BodyTextUnnumbered"/>
        <w:rPr>
          <w:rFonts w:ascii="Calibri" w:hAnsi="Calibri" w:cs="Calibri"/>
          <w:color w:val="000000"/>
          <w:szCs w:val="22"/>
        </w:rPr>
      </w:pPr>
      <w:r w:rsidRPr="00460D0E">
        <w:rPr>
          <w:b/>
          <w:bCs/>
          <w:i/>
          <w:iCs/>
          <w:color w:val="000000"/>
          <w:szCs w:val="24"/>
        </w:rPr>
        <w:t>NTA</w:t>
      </w:r>
      <w:r w:rsidRPr="00460D0E">
        <w:rPr>
          <w:color w:val="000000"/>
          <w:szCs w:val="24"/>
        </w:rPr>
        <w:t xml:space="preserve"> means adjusted </w:t>
      </w:r>
      <w:r w:rsidRPr="006E770B">
        <w:rPr>
          <w:szCs w:val="24"/>
        </w:rPr>
        <w:t>assets</w:t>
      </w:r>
      <w:r w:rsidRPr="00460D0E">
        <w:rPr>
          <w:color w:val="000000"/>
          <w:szCs w:val="24"/>
        </w:rPr>
        <w:t xml:space="preserve"> minus adjusted liabilities.</w:t>
      </w:r>
    </w:p>
    <w:p w14:paraId="0B4E8EED" w14:textId="467498B9" w:rsidR="00A02974" w:rsidRDefault="00460D0E" w:rsidP="006E770B">
      <w:pPr>
        <w:pStyle w:val="LI-BodyTextUnnumbered"/>
        <w:rPr>
          <w:color w:val="000000"/>
          <w:szCs w:val="24"/>
        </w:rPr>
      </w:pPr>
      <w:r w:rsidRPr="00460D0E">
        <w:rPr>
          <w:b/>
          <w:bCs/>
          <w:i/>
          <w:iCs/>
          <w:color w:val="000000"/>
          <w:szCs w:val="24"/>
        </w:rPr>
        <w:t>revenue</w:t>
      </w:r>
      <w:r w:rsidRPr="00460D0E">
        <w:rPr>
          <w:b/>
          <w:bCs/>
          <w:color w:val="000000"/>
          <w:szCs w:val="24"/>
        </w:rPr>
        <w:t> </w:t>
      </w:r>
      <w:r w:rsidRPr="00460D0E">
        <w:rPr>
          <w:color w:val="000000"/>
          <w:szCs w:val="24"/>
        </w:rPr>
        <w:t xml:space="preserve">means revenue within </w:t>
      </w:r>
      <w:r w:rsidRPr="006E770B">
        <w:rPr>
          <w:rFonts w:ascii="Calibri" w:hAnsi="Calibri" w:cs="Calibri"/>
          <w:color w:val="000000"/>
          <w:szCs w:val="22"/>
        </w:rPr>
        <w:t>the</w:t>
      </w:r>
      <w:r w:rsidRPr="00460D0E">
        <w:rPr>
          <w:color w:val="000000"/>
          <w:szCs w:val="24"/>
        </w:rPr>
        <w:t xml:space="preserve"> meaning given by the accounting standards.</w:t>
      </w:r>
    </w:p>
    <w:p w14:paraId="2E87F798" w14:textId="390EE406" w:rsidR="00460D0E" w:rsidRPr="00460D0E" w:rsidRDefault="00460D0E" w:rsidP="006E770B">
      <w:pPr>
        <w:pStyle w:val="LI-BodyTextUnnumbered"/>
        <w:rPr>
          <w:rFonts w:ascii="Arial Unicode MS" w:hAnsi="Arial Unicode MS"/>
          <w:color w:val="000000"/>
          <w:szCs w:val="22"/>
        </w:rPr>
      </w:pPr>
      <w:r w:rsidRPr="00460D0E">
        <w:rPr>
          <w:b/>
          <w:bCs/>
          <w:i/>
          <w:iCs/>
          <w:color w:val="000000"/>
          <w:szCs w:val="24"/>
        </w:rPr>
        <w:t>stapled group</w:t>
      </w:r>
      <w:r w:rsidRPr="00460D0E">
        <w:rPr>
          <w:b/>
          <w:bCs/>
          <w:color w:val="000000"/>
          <w:szCs w:val="24"/>
        </w:rPr>
        <w:t> </w:t>
      </w:r>
      <w:r w:rsidRPr="00460D0E">
        <w:rPr>
          <w:color w:val="000000"/>
          <w:szCs w:val="24"/>
        </w:rPr>
        <w:t>means the group of entities consisting of:</w:t>
      </w:r>
    </w:p>
    <w:p w14:paraId="6F1A55A2" w14:textId="1E2693A7" w:rsidR="00460D0E" w:rsidRPr="006E770B" w:rsidRDefault="00460D0E" w:rsidP="006E770B">
      <w:pPr>
        <w:pStyle w:val="LI-BodyTextParaa"/>
        <w:rPr>
          <w:color w:val="000000"/>
        </w:rPr>
      </w:pPr>
      <w:r w:rsidRPr="00460D0E">
        <w:rPr>
          <w:color w:val="000000"/>
        </w:rPr>
        <w:t>(a)</w:t>
      </w:r>
      <w:r w:rsidR="006E770B">
        <w:rPr>
          <w:color w:val="000000"/>
        </w:rPr>
        <w:tab/>
      </w:r>
      <w:r w:rsidRPr="00460D0E">
        <w:rPr>
          <w:color w:val="000000"/>
        </w:rPr>
        <w:t>one or more stapled issuers who are issuers of securities</w:t>
      </w:r>
      <w:r w:rsidR="00551DC0">
        <w:rPr>
          <w:color w:val="000000"/>
        </w:rPr>
        <w:t xml:space="preserve"> or managed investment products</w:t>
      </w:r>
      <w:r w:rsidRPr="00460D0E">
        <w:rPr>
          <w:color w:val="000000"/>
        </w:rPr>
        <w:t xml:space="preserve"> that must be transferred together; and</w:t>
      </w:r>
    </w:p>
    <w:p w14:paraId="172CD749" w14:textId="67FE2737" w:rsidR="00460D0E" w:rsidRPr="006E770B" w:rsidRDefault="00460D0E" w:rsidP="006E770B">
      <w:pPr>
        <w:pStyle w:val="LI-BodyTextParaa"/>
        <w:rPr>
          <w:color w:val="000000"/>
        </w:rPr>
      </w:pPr>
      <w:r w:rsidRPr="00460D0E">
        <w:rPr>
          <w:color w:val="000000"/>
        </w:rPr>
        <w:lastRenderedPageBreak/>
        <w:t>(b)</w:t>
      </w:r>
      <w:r w:rsidR="006E770B">
        <w:rPr>
          <w:color w:val="000000"/>
        </w:rPr>
        <w:tab/>
      </w:r>
      <w:r w:rsidRPr="00460D0E">
        <w:rPr>
          <w:color w:val="000000"/>
        </w:rPr>
        <w:t xml:space="preserve">all </w:t>
      </w:r>
      <w:proofErr w:type="gramStart"/>
      <w:r w:rsidRPr="00460D0E">
        <w:rPr>
          <w:color w:val="000000"/>
        </w:rPr>
        <w:t>wholly-owned</w:t>
      </w:r>
      <w:proofErr w:type="gramEnd"/>
      <w:r w:rsidRPr="00460D0E">
        <w:rPr>
          <w:color w:val="000000"/>
        </w:rPr>
        <w:t xml:space="preserve"> entities of the stapled issuers.</w:t>
      </w:r>
    </w:p>
    <w:p w14:paraId="2E4BDBB2" w14:textId="76EBB63A" w:rsidR="00551DC0" w:rsidRDefault="00460D0E" w:rsidP="006E770B">
      <w:pPr>
        <w:pStyle w:val="LI-BodyTextUnnumbered"/>
        <w:rPr>
          <w:color w:val="000000"/>
          <w:szCs w:val="24"/>
        </w:rPr>
      </w:pPr>
      <w:r w:rsidRPr="00460D0E">
        <w:rPr>
          <w:b/>
          <w:bCs/>
          <w:i/>
          <w:iCs/>
          <w:color w:val="000000"/>
          <w:szCs w:val="24"/>
        </w:rPr>
        <w:t>stapled issuer</w:t>
      </w:r>
      <w:r w:rsidRPr="00460D0E">
        <w:rPr>
          <w:b/>
          <w:bCs/>
          <w:color w:val="000000"/>
          <w:szCs w:val="24"/>
        </w:rPr>
        <w:t> </w:t>
      </w:r>
      <w:r w:rsidRPr="00460D0E">
        <w:rPr>
          <w:color w:val="000000"/>
          <w:szCs w:val="24"/>
        </w:rPr>
        <w:t>means an entity</w:t>
      </w:r>
      <w:r w:rsidR="00551DC0">
        <w:rPr>
          <w:color w:val="000000"/>
          <w:szCs w:val="24"/>
        </w:rPr>
        <w:t xml:space="preserve"> (including a sub-fund of a </w:t>
      </w:r>
      <w:r w:rsidR="002839CE">
        <w:rPr>
          <w:color w:val="000000"/>
          <w:szCs w:val="24"/>
        </w:rPr>
        <w:t xml:space="preserve">retail </w:t>
      </w:r>
      <w:r w:rsidR="00551DC0">
        <w:rPr>
          <w:color w:val="000000"/>
          <w:szCs w:val="24"/>
        </w:rPr>
        <w:t>CCIV)</w:t>
      </w:r>
      <w:r w:rsidRPr="00460D0E">
        <w:rPr>
          <w:color w:val="000000"/>
          <w:szCs w:val="24"/>
        </w:rPr>
        <w:t xml:space="preserve"> </w:t>
      </w:r>
      <w:r w:rsidR="00551DC0">
        <w:rPr>
          <w:color w:val="000000"/>
          <w:szCs w:val="24"/>
        </w:rPr>
        <w:t xml:space="preserve">for which </w:t>
      </w:r>
      <w:r w:rsidRPr="00460D0E">
        <w:rPr>
          <w:color w:val="000000"/>
          <w:szCs w:val="24"/>
        </w:rPr>
        <w:t>a security</w:t>
      </w:r>
      <w:r w:rsidR="00551DC0">
        <w:rPr>
          <w:color w:val="000000"/>
          <w:szCs w:val="24"/>
        </w:rPr>
        <w:t xml:space="preserve"> or managed investment product of the entity</w:t>
      </w:r>
      <w:r w:rsidRPr="00460D0E">
        <w:rPr>
          <w:color w:val="000000"/>
          <w:szCs w:val="24"/>
        </w:rPr>
        <w:t xml:space="preserve"> must be transferred together with a security</w:t>
      </w:r>
      <w:r w:rsidR="00551DC0">
        <w:rPr>
          <w:color w:val="000000"/>
          <w:szCs w:val="24"/>
        </w:rPr>
        <w:t xml:space="preserve"> or managed investment product</w:t>
      </w:r>
      <w:r w:rsidRPr="00460D0E">
        <w:rPr>
          <w:color w:val="000000"/>
          <w:szCs w:val="24"/>
        </w:rPr>
        <w:t xml:space="preserve"> of one or more other entities</w:t>
      </w:r>
      <w:r w:rsidR="00551DC0">
        <w:rPr>
          <w:color w:val="000000"/>
          <w:szCs w:val="24"/>
        </w:rPr>
        <w:t xml:space="preserve"> under:</w:t>
      </w:r>
    </w:p>
    <w:p w14:paraId="11E93237" w14:textId="6F1ADDF1" w:rsidR="00551DC0" w:rsidRPr="006E770B" w:rsidRDefault="006E770B" w:rsidP="006E770B">
      <w:pPr>
        <w:pStyle w:val="LI-BodyTextParaa"/>
        <w:rPr>
          <w:color w:val="000000"/>
        </w:rPr>
      </w:pPr>
      <w:r>
        <w:rPr>
          <w:color w:val="000000"/>
        </w:rPr>
        <w:t>(a)</w:t>
      </w:r>
      <w:r>
        <w:rPr>
          <w:color w:val="000000"/>
        </w:rPr>
        <w:tab/>
      </w:r>
      <w:r w:rsidR="00551DC0" w:rsidRPr="006E770B">
        <w:rPr>
          <w:color w:val="000000"/>
        </w:rPr>
        <w:t>the terms on which it is traded on a prescribed financial market;</w:t>
      </w:r>
      <w:r w:rsidR="00031CF8" w:rsidRPr="006E770B">
        <w:rPr>
          <w:color w:val="000000"/>
        </w:rPr>
        <w:t xml:space="preserve"> </w:t>
      </w:r>
      <w:r w:rsidR="00551DC0" w:rsidRPr="006E770B">
        <w:rPr>
          <w:color w:val="000000"/>
        </w:rPr>
        <w:t>or</w:t>
      </w:r>
    </w:p>
    <w:p w14:paraId="18060C36" w14:textId="1EFA5947" w:rsidR="00551DC0" w:rsidRPr="005742CE" w:rsidRDefault="006E770B" w:rsidP="006E770B">
      <w:pPr>
        <w:pStyle w:val="LI-BodyTextParaa"/>
        <w:rPr>
          <w:color w:val="000000"/>
        </w:rPr>
      </w:pPr>
      <w:r>
        <w:rPr>
          <w:color w:val="000000"/>
        </w:rPr>
        <w:t>(b)</w:t>
      </w:r>
      <w:r>
        <w:rPr>
          <w:color w:val="000000"/>
        </w:rPr>
        <w:tab/>
      </w:r>
      <w:r w:rsidR="00551DC0" w:rsidRPr="005742CE">
        <w:rPr>
          <w:color w:val="000000"/>
        </w:rPr>
        <w:t>the constitution of the entity; or</w:t>
      </w:r>
    </w:p>
    <w:p w14:paraId="4EEE5A4E" w14:textId="77777777" w:rsidR="00B73B5E" w:rsidRDefault="00B73B5E" w:rsidP="006E770B">
      <w:pPr>
        <w:pStyle w:val="LI-BodyTextParaa"/>
        <w:rPr>
          <w:color w:val="000000"/>
        </w:rPr>
      </w:pPr>
      <w:r w:rsidRPr="006E770B">
        <w:rPr>
          <w:color w:val="000000"/>
        </w:rPr>
        <w:t>(c)</w:t>
      </w:r>
      <w:r w:rsidRPr="006E770B">
        <w:rPr>
          <w:color w:val="000000"/>
        </w:rPr>
        <w:tab/>
      </w:r>
      <w:r w:rsidR="00551DC0" w:rsidRPr="006E770B">
        <w:rPr>
          <w:color w:val="000000"/>
        </w:rPr>
        <w:t>the terms of issue</w:t>
      </w:r>
      <w:r w:rsidR="00460D0E" w:rsidRPr="00E249A0">
        <w:rPr>
          <w:color w:val="000000"/>
        </w:rPr>
        <w:t>.</w:t>
      </w:r>
    </w:p>
    <w:p w14:paraId="316FF4B0" w14:textId="0F9C4B31" w:rsidR="00A02974" w:rsidRDefault="00460D0E" w:rsidP="000105C6">
      <w:pPr>
        <w:pStyle w:val="LI-BodyTextUnnumbered"/>
        <w:keepNext/>
        <w:rPr>
          <w:color w:val="000000"/>
          <w:szCs w:val="24"/>
        </w:rPr>
      </w:pPr>
      <w:r w:rsidRPr="00E249A0">
        <w:rPr>
          <w:b/>
          <w:bCs/>
          <w:i/>
          <w:iCs/>
          <w:color w:val="000000"/>
        </w:rPr>
        <w:t xml:space="preserve">value </w:t>
      </w:r>
      <w:r w:rsidR="00C15981">
        <w:rPr>
          <w:color w:val="000000"/>
        </w:rPr>
        <w:t>of assets</w:t>
      </w:r>
      <w:r w:rsidRPr="00E249A0">
        <w:rPr>
          <w:color w:val="000000"/>
        </w:rPr>
        <w:t xml:space="preserve"> </w:t>
      </w:r>
      <w:r w:rsidR="00C15981">
        <w:rPr>
          <w:color w:val="000000"/>
        </w:rPr>
        <w:t xml:space="preserve">means </w:t>
      </w:r>
      <w:r w:rsidRPr="006E770B">
        <w:rPr>
          <w:color w:val="000000"/>
          <w:szCs w:val="24"/>
        </w:rPr>
        <w:t>the</w:t>
      </w:r>
      <w:r w:rsidRPr="00E249A0">
        <w:rPr>
          <w:color w:val="000000"/>
        </w:rPr>
        <w:t xml:space="preserve"> value of</w:t>
      </w:r>
      <w:r w:rsidR="00C15981">
        <w:rPr>
          <w:color w:val="000000"/>
        </w:rPr>
        <w:t xml:space="preserve"> the</w:t>
      </w:r>
      <w:r w:rsidRPr="00E249A0">
        <w:rPr>
          <w:color w:val="000000"/>
        </w:rPr>
        <w:t xml:space="preserve"> assets determined as follows:</w:t>
      </w:r>
    </w:p>
    <w:p w14:paraId="238DE946" w14:textId="4E33B9E9" w:rsidR="00460D0E" w:rsidRPr="006E770B" w:rsidRDefault="00460D0E" w:rsidP="006E770B">
      <w:pPr>
        <w:pStyle w:val="LI-BodyTextParaa"/>
        <w:rPr>
          <w:color w:val="000000"/>
        </w:rPr>
      </w:pPr>
      <w:r w:rsidRPr="00460D0E">
        <w:rPr>
          <w:color w:val="000000"/>
        </w:rPr>
        <w:t>(a)</w:t>
      </w:r>
      <w:r w:rsidR="006E770B">
        <w:rPr>
          <w:color w:val="000000"/>
        </w:rPr>
        <w:tab/>
      </w:r>
      <w:r w:rsidRPr="00460D0E">
        <w:rPr>
          <w:color w:val="000000"/>
        </w:rPr>
        <w:t>in the case of assets that would be recognised in preparing a balance sheet under Chapter 2M—the value as if at that time such a balance sheet was being prepared; and</w:t>
      </w:r>
    </w:p>
    <w:p w14:paraId="6A74D3B8" w14:textId="59CA0CCF" w:rsidR="00460D0E" w:rsidRPr="006E770B" w:rsidRDefault="00460D0E" w:rsidP="006E770B">
      <w:pPr>
        <w:pStyle w:val="LI-BodyTextParaa"/>
        <w:rPr>
          <w:color w:val="000000"/>
        </w:rPr>
      </w:pPr>
      <w:r w:rsidRPr="00460D0E">
        <w:rPr>
          <w:color w:val="000000"/>
        </w:rPr>
        <w:t>(b)</w:t>
      </w:r>
      <w:r w:rsidR="006E770B">
        <w:rPr>
          <w:color w:val="000000"/>
        </w:rPr>
        <w:tab/>
      </w:r>
      <w:r w:rsidRPr="00460D0E">
        <w:rPr>
          <w:color w:val="000000"/>
        </w:rPr>
        <w:t>in the case of IDPS property—its market value.”.</w:t>
      </w:r>
    </w:p>
    <w:p w14:paraId="1EEB1F4D" w14:textId="77777777" w:rsidR="00DC4445" w:rsidRDefault="00BC12CC" w:rsidP="00D751B0">
      <w:pPr>
        <w:pStyle w:val="LI-Heading1"/>
      </w:pPr>
      <w:r w:rsidRPr="006E770B">
        <w:rPr>
          <w:color w:val="000000"/>
        </w:rPr>
        <w:br w:type="page"/>
      </w:r>
      <w:bookmarkStart w:id="14" w:name="_Toc113281992"/>
      <w:r w:rsidRPr="00BC12CC">
        <w:lastRenderedPageBreak/>
        <w:t xml:space="preserve">Part </w:t>
      </w:r>
      <w:r w:rsidR="00052925">
        <w:t>3</w:t>
      </w:r>
      <w:r w:rsidRPr="00BC12CC">
        <w:t>—</w:t>
      </w:r>
      <w:r>
        <w:t>Repeal</w:t>
      </w:r>
      <w:bookmarkEnd w:id="14"/>
    </w:p>
    <w:p w14:paraId="3D1C7E33" w14:textId="77777777" w:rsidR="00052925" w:rsidRPr="00F61B09" w:rsidRDefault="00052925" w:rsidP="00052925">
      <w:pPr>
        <w:pStyle w:val="LI-Heading2"/>
      </w:pPr>
      <w:bookmarkStart w:id="15" w:name="_Toc420481488"/>
      <w:bookmarkStart w:id="16" w:name="_Toc113281993"/>
      <w:r w:rsidRPr="005D3D41">
        <w:t>6</w:t>
      </w:r>
      <w:r w:rsidRPr="005D3D41">
        <w:tab/>
      </w:r>
      <w:bookmarkEnd w:id="15"/>
      <w:r>
        <w:t>Repeal</w:t>
      </w:r>
      <w:bookmarkEnd w:id="16"/>
    </w:p>
    <w:p w14:paraId="0496E573" w14:textId="6DDAD270" w:rsidR="00BC12CC" w:rsidRPr="00BC12CC" w:rsidRDefault="00BC12CC" w:rsidP="00215051">
      <w:pPr>
        <w:pStyle w:val="LI-BodyTextUnnumbered"/>
        <w:ind w:left="0" w:firstLine="567"/>
      </w:pPr>
      <w:r w:rsidRPr="00DD3CCF">
        <w:rPr>
          <w:szCs w:val="24"/>
        </w:rPr>
        <w:t xml:space="preserve">This instrument is </w:t>
      </w:r>
      <w:r w:rsidRPr="006501A4">
        <w:rPr>
          <w:szCs w:val="24"/>
        </w:rPr>
        <w:t>repealed on 1 October 2027.</w:t>
      </w:r>
    </w:p>
    <w:sectPr w:rsidR="00BC12CC" w:rsidRPr="00BC12CC" w:rsidSect="0040053F">
      <w:headerReference w:type="even" r:id="rId27"/>
      <w:headerReference w:type="default" r:id="rId28"/>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6BA2" w14:textId="77777777" w:rsidR="006B074B" w:rsidRDefault="006B074B" w:rsidP="00715914">
      <w:pPr>
        <w:spacing w:line="240" w:lineRule="auto"/>
      </w:pPr>
      <w:r>
        <w:separator/>
      </w:r>
    </w:p>
  </w:endnote>
  <w:endnote w:type="continuationSeparator" w:id="0">
    <w:p w14:paraId="31A9C925" w14:textId="77777777" w:rsidR="006B074B" w:rsidRDefault="006B074B" w:rsidP="00715914">
      <w:pPr>
        <w:spacing w:line="240" w:lineRule="auto"/>
      </w:pPr>
      <w:r>
        <w:continuationSeparator/>
      </w:r>
    </w:p>
  </w:endnote>
  <w:endnote w:type="continuationNotice" w:id="1">
    <w:p w14:paraId="76A9A9AB" w14:textId="77777777" w:rsidR="006B074B" w:rsidRDefault="006B07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0B681FA5-7ADF-482A-9513-2B896280DF8B}"/>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6654A2" w:rsidRPr="00081794" w14:paraId="719ED7C4" w14:textId="77777777" w:rsidTr="00081794">
      <w:tc>
        <w:tcPr>
          <w:tcW w:w="8472" w:type="dxa"/>
          <w:shd w:val="clear" w:color="auto" w:fill="auto"/>
        </w:tcPr>
        <w:p w14:paraId="539AB858" w14:textId="538CA3E9" w:rsidR="006654A2" w:rsidRPr="00081794" w:rsidRDefault="00F232B1" w:rsidP="00081794">
          <w:pPr>
            <w:jc w:val="right"/>
            <w:rPr>
              <w:sz w:val="18"/>
            </w:rPr>
          </w:pPr>
          <w:r>
            <w:rPr>
              <w:noProof/>
            </w:rPr>
            <mc:AlternateContent>
              <mc:Choice Requires="wps">
                <w:drawing>
                  <wp:anchor distT="0" distB="0" distL="114300" distR="114300" simplePos="0" relativeHeight="251658243" behindDoc="1" locked="0" layoutInCell="1" allowOverlap="1" wp14:anchorId="570AD4CE" wp14:editId="7814DDC4">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D03D3E7" w14:textId="77777777" w:rsidR="00A02974" w:rsidRDefault="006654A2"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00A02974">
                                  <w:rPr>
                                    <w:rFonts w:ascii="Arial" w:hAnsi="Arial" w:cs="Arial"/>
                                    <w:b/>
                                    <w:sz w:val="40"/>
                                  </w:rPr>
                                  <w:t xml:space="preserve"> </w:t>
                                </w:r>
                              </w:p>
                              <w:p w14:paraId="2EB0F282" w14:textId="2E3687C8" w:rsidR="006654A2" w:rsidRPr="00284719" w:rsidRDefault="006654A2"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AD4CE"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" stroked="f">
                    <v:stroke joinstyle="round"/>
                    <v:path arrowok="t"/>
                    <v:textbox>
                      <w:txbxContent>
                        <w:p w14:paraId="7D03D3E7" w14:textId="77777777" w:rsidR="00A02974" w:rsidRDefault="006654A2"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00A02974">
                            <w:rPr>
                              <w:rFonts w:ascii="Arial" w:hAnsi="Arial" w:cs="Arial"/>
                              <w:b/>
                              <w:sz w:val="40"/>
                            </w:rPr>
                            <w:t xml:space="preserve"> </w:t>
                          </w:r>
                        </w:p>
                        <w:p w14:paraId="2EB0F282" w14:textId="2E3687C8" w:rsidR="006654A2" w:rsidRPr="00284719" w:rsidRDefault="006654A2" w:rsidP="00284719">
                          <w:pPr>
                            <w:jc w:val="center"/>
                            <w:rPr>
                              <w:rFonts w:ascii="Arial" w:hAnsi="Arial" w:cs="Arial"/>
                              <w:b/>
                              <w:sz w:val="40"/>
                            </w:rPr>
                          </w:pPr>
                        </w:p>
                      </w:txbxContent>
                    </v:textbox>
                    <w10:wrap anchory="page"/>
                  </v:shape>
                </w:pict>
              </mc:Fallback>
            </mc:AlternateContent>
          </w:r>
          <w:r w:rsidR="006654A2" w:rsidRPr="00081794">
            <w:rPr>
              <w:i/>
              <w:noProof/>
              <w:sz w:val="18"/>
            </w:rPr>
            <w:t>I14KE197.v07.docx</w:t>
          </w:r>
          <w:r w:rsidR="006654A2" w:rsidRPr="00081794">
            <w:rPr>
              <w:i/>
              <w:sz w:val="18"/>
            </w:rPr>
            <w:t xml:space="preserve"> </w:t>
          </w:r>
          <w:r w:rsidR="006654A2" w:rsidRPr="00081794">
            <w:rPr>
              <w:i/>
              <w:noProof/>
              <w:sz w:val="18"/>
            </w:rPr>
            <w:t>25/6/2014 3:37 PM</w:t>
          </w:r>
        </w:p>
      </w:tc>
    </w:tr>
  </w:tbl>
  <w:p w14:paraId="75C86533" w14:textId="77777777" w:rsidR="006654A2" w:rsidRPr="007500C8" w:rsidRDefault="006654A2"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618C" w14:textId="5AB1D64E" w:rsidR="006654A2" w:rsidRDefault="00F232B1" w:rsidP="007500C8">
    <w:pPr>
      <w:pStyle w:val="Footer"/>
    </w:pPr>
    <w:r>
      <w:rPr>
        <w:noProof/>
      </w:rPr>
      <mc:AlternateContent>
        <mc:Choice Requires="wps">
          <w:drawing>
            <wp:anchor distT="0" distB="0" distL="114300" distR="114300" simplePos="0" relativeHeight="251658242" behindDoc="1" locked="0" layoutInCell="1" allowOverlap="1" wp14:anchorId="5592BDF3" wp14:editId="3F70852D">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88C08D0" w14:textId="77777777" w:rsidR="006654A2" w:rsidRPr="00284719" w:rsidRDefault="006654A2"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2BDF3"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" stroked="f">
              <v:stroke joinstyle="round"/>
              <v:path arrowok="t"/>
              <v:textbox>
                <w:txbxContent>
                  <w:p w14:paraId="188C08D0" w14:textId="77777777" w:rsidR="006654A2" w:rsidRPr="00284719" w:rsidRDefault="006654A2"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6654A2" w:rsidRPr="00081794" w14:paraId="4DB86A12" w14:textId="77777777" w:rsidTr="00081794">
      <w:tc>
        <w:tcPr>
          <w:tcW w:w="8472" w:type="dxa"/>
          <w:shd w:val="clear" w:color="auto" w:fill="auto"/>
        </w:tcPr>
        <w:p w14:paraId="6117161E" w14:textId="77777777" w:rsidR="006654A2" w:rsidRPr="00081794" w:rsidRDefault="006654A2" w:rsidP="00102CA6">
          <w:pPr>
            <w:rPr>
              <w:sz w:val="18"/>
            </w:rPr>
          </w:pPr>
        </w:p>
      </w:tc>
    </w:tr>
  </w:tbl>
  <w:p w14:paraId="36CA00F8" w14:textId="77777777" w:rsidR="006654A2" w:rsidRPr="007500C8" w:rsidRDefault="006654A2"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3B95" w14:textId="77777777" w:rsidR="006654A2" w:rsidRPr="00ED79B6" w:rsidRDefault="006654A2"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8F8D" w14:textId="77777777" w:rsidR="006654A2" w:rsidRPr="00E2168B" w:rsidRDefault="006654A2" w:rsidP="00E2168B">
    <w:pPr>
      <w:pStyle w:val="LI-Footer"/>
    </w:pPr>
    <w:r w:rsidRPr="00A52B0F">
      <w:fldChar w:fldCharType="begin"/>
    </w:r>
    <w:r w:rsidRPr="00A52B0F">
      <w:instrText xml:space="preserve"> PAGE  \* Arabic  \* MERGEFORMAT </w:instrText>
    </w:r>
    <w:r w:rsidRPr="00A52B0F">
      <w:fldChar w:fldCharType="separate"/>
    </w:r>
    <w:r>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5245" w14:textId="77777777" w:rsidR="006654A2" w:rsidRPr="00E33C1C" w:rsidRDefault="006654A2" w:rsidP="00243EC0">
    <w:pPr>
      <w:pStyle w:val="LI-Footer"/>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Pr>
        <w:noProof/>
      </w:rPr>
      <w:t>3</w:t>
    </w:r>
    <w:r w:rsidRPr="00A52B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7542D" w14:textId="77777777" w:rsidR="006B074B" w:rsidRDefault="006B074B" w:rsidP="00715914">
      <w:pPr>
        <w:spacing w:line="240" w:lineRule="auto"/>
      </w:pPr>
      <w:r>
        <w:separator/>
      </w:r>
    </w:p>
  </w:footnote>
  <w:footnote w:type="continuationSeparator" w:id="0">
    <w:p w14:paraId="7F562BF2" w14:textId="77777777" w:rsidR="006B074B" w:rsidRDefault="006B074B" w:rsidP="00715914">
      <w:pPr>
        <w:spacing w:line="240" w:lineRule="auto"/>
      </w:pPr>
      <w:r>
        <w:continuationSeparator/>
      </w:r>
    </w:p>
  </w:footnote>
  <w:footnote w:type="continuationNotice" w:id="1">
    <w:p w14:paraId="79228265" w14:textId="77777777" w:rsidR="006B074B" w:rsidRDefault="006B074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422C" w14:textId="63A10FE5" w:rsidR="006654A2" w:rsidRPr="005F1388" w:rsidRDefault="00F232B1"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500672EE" wp14:editId="3DAAFC62">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566AC22" w14:textId="77777777" w:rsidR="00A02974" w:rsidRDefault="006654A2"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00A02974">
                            <w:rPr>
                              <w:rFonts w:ascii="Arial" w:hAnsi="Arial" w:cs="Arial"/>
                              <w:b/>
                              <w:sz w:val="40"/>
                            </w:rPr>
                            <w:t xml:space="preserve"> </w:t>
                          </w:r>
                        </w:p>
                        <w:p w14:paraId="798DE851" w14:textId="4C376D3D" w:rsidR="006654A2" w:rsidRPr="00284719" w:rsidRDefault="006654A2"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672EE"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" stroked="f">
              <v:stroke joinstyle="round"/>
              <v:path arrowok="t"/>
              <v:textbox>
                <w:txbxContent>
                  <w:p w14:paraId="0566AC22" w14:textId="77777777" w:rsidR="00A02974" w:rsidRDefault="006654A2"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00A02974">
                      <w:rPr>
                        <w:rFonts w:ascii="Arial" w:hAnsi="Arial" w:cs="Arial"/>
                        <w:b/>
                        <w:sz w:val="40"/>
                      </w:rPr>
                      <w:t xml:space="preserve"> </w:t>
                    </w:r>
                  </w:p>
                  <w:p w14:paraId="798DE851" w14:textId="4C376D3D" w:rsidR="006654A2" w:rsidRPr="00284719" w:rsidRDefault="006654A2" w:rsidP="00284719">
                    <w:pPr>
                      <w:jc w:val="center"/>
                      <w:rPr>
                        <w:rFonts w:ascii="Arial" w:hAnsi="Arial" w:cs="Arial"/>
                        <w:b/>
                        <w:sz w:val="40"/>
                      </w:rPr>
                    </w:pP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C66B" w14:textId="6F996644" w:rsidR="006654A2" w:rsidRPr="005F1388" w:rsidRDefault="00F232B1"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2273FF03" wp14:editId="648579AA">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C1A6693" w14:textId="77777777" w:rsidR="006654A2" w:rsidRPr="00284719" w:rsidRDefault="006654A2"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3FF03"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" stroked="f">
              <v:stroke joinstyle="round"/>
              <v:path arrowok="t"/>
              <v:textbox>
                <w:txbxContent>
                  <w:p w14:paraId="7C1A6693" w14:textId="77777777" w:rsidR="006654A2" w:rsidRPr="00284719" w:rsidRDefault="006654A2"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699C" w14:textId="77777777" w:rsidR="006654A2" w:rsidRPr="005F1388" w:rsidRDefault="006654A2"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8479" w14:textId="77777777" w:rsidR="006654A2" w:rsidRDefault="006654A2"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6654A2" w:rsidRPr="00E40FF8" w14:paraId="1D42AB22" w14:textId="77777777" w:rsidTr="00BF75C9">
      <w:tc>
        <w:tcPr>
          <w:tcW w:w="6804" w:type="dxa"/>
          <w:shd w:val="clear" w:color="auto" w:fill="auto"/>
        </w:tcPr>
        <w:p w14:paraId="25D07F82" w14:textId="386B1D5C" w:rsidR="006654A2" w:rsidRDefault="00AE105A" w:rsidP="00E40FF8">
          <w:pPr>
            <w:pStyle w:val="LI-Header"/>
            <w:pBdr>
              <w:bottom w:val="none" w:sz="0" w:space="0" w:color="auto"/>
            </w:pBdr>
            <w:jc w:val="left"/>
          </w:pPr>
          <w:r>
            <w:fldChar w:fldCharType="begin"/>
          </w:r>
          <w:r>
            <w:instrText>STYLEREF  "LI - Title"</w:instrText>
          </w:r>
          <w:r>
            <w:fldChar w:fldCharType="separate"/>
          </w:r>
          <w:r w:rsidR="00582126">
            <w:rPr>
              <w:noProof/>
            </w:rPr>
            <w:t>ASIC Corporations (Financial Requirements for Issuers of Retail OTC Derivatives) Instrument 2022/705</w:t>
          </w:r>
          <w:r>
            <w:fldChar w:fldCharType="end"/>
          </w:r>
        </w:p>
      </w:tc>
      <w:tc>
        <w:tcPr>
          <w:tcW w:w="1509" w:type="dxa"/>
          <w:shd w:val="clear" w:color="auto" w:fill="auto"/>
        </w:tcPr>
        <w:p w14:paraId="4AB85932" w14:textId="77777777" w:rsidR="006654A2" w:rsidRDefault="006654A2" w:rsidP="00E40FF8">
          <w:pPr>
            <w:pStyle w:val="LI-Header"/>
            <w:pBdr>
              <w:bottom w:val="none" w:sz="0" w:space="0" w:color="auto"/>
            </w:pBdr>
          </w:pPr>
        </w:p>
      </w:tc>
    </w:tr>
  </w:tbl>
  <w:p w14:paraId="21ABF445" w14:textId="77777777" w:rsidR="006654A2" w:rsidRPr="008945E0" w:rsidRDefault="006654A2"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CA69" w14:textId="77777777" w:rsidR="006654A2" w:rsidRPr="00ED79B6" w:rsidRDefault="006654A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6E47" w14:textId="77777777" w:rsidR="006654A2" w:rsidRPr="00243EC0" w:rsidRDefault="006654A2"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6654A2" w:rsidRPr="00E40FF8" w14:paraId="130F3EFF" w14:textId="77777777" w:rsidTr="00BF75C9">
      <w:tc>
        <w:tcPr>
          <w:tcW w:w="6804" w:type="dxa"/>
          <w:shd w:val="clear" w:color="auto" w:fill="auto"/>
        </w:tcPr>
        <w:p w14:paraId="21368683" w14:textId="1666CCDF" w:rsidR="006654A2" w:rsidRDefault="00821294" w:rsidP="00E40FF8">
          <w:pPr>
            <w:pStyle w:val="LI-Header"/>
            <w:pBdr>
              <w:bottom w:val="none" w:sz="0" w:space="0" w:color="auto"/>
            </w:pBdr>
            <w:jc w:val="left"/>
          </w:pPr>
          <w:r>
            <w:fldChar w:fldCharType="begin"/>
          </w:r>
          <w:r>
            <w:instrText>STYLEREF  "LI - Title"</w:instrText>
          </w:r>
          <w:r>
            <w:fldChar w:fldCharType="separate"/>
          </w:r>
          <w:r w:rsidR="00582126">
            <w:rPr>
              <w:noProof/>
            </w:rPr>
            <w:t>ASIC Corporations (Financial Requirements for Issuers of Retail OTC Derivatives) Instrument 2022/705</w:t>
          </w:r>
          <w:r>
            <w:fldChar w:fldCharType="end"/>
          </w:r>
        </w:p>
      </w:tc>
      <w:tc>
        <w:tcPr>
          <w:tcW w:w="1509" w:type="dxa"/>
          <w:shd w:val="clear" w:color="auto" w:fill="auto"/>
        </w:tcPr>
        <w:p w14:paraId="43D30FBB" w14:textId="04E58539" w:rsidR="006654A2" w:rsidRDefault="004852BB" w:rsidP="00E40FF8">
          <w:pPr>
            <w:pStyle w:val="LI-Header"/>
            <w:pBdr>
              <w:bottom w:val="none" w:sz="0" w:space="0" w:color="auto"/>
            </w:pBdr>
          </w:pPr>
          <w:r>
            <w:fldChar w:fldCharType="begin"/>
          </w:r>
          <w:r>
            <w:instrText>STYLEREF  "LI - Heading 1"</w:instrText>
          </w:r>
          <w:r>
            <w:fldChar w:fldCharType="separate"/>
          </w:r>
          <w:r w:rsidR="00582126">
            <w:rPr>
              <w:noProof/>
            </w:rPr>
            <w:t>Part 3—Repeal</w:t>
          </w:r>
          <w:r>
            <w:fldChar w:fldCharType="end"/>
          </w:r>
        </w:p>
      </w:tc>
    </w:tr>
  </w:tbl>
  <w:p w14:paraId="4AF069BE" w14:textId="77777777" w:rsidR="006654A2" w:rsidRPr="00F4215A" w:rsidRDefault="006654A2"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2157C1"/>
    <w:multiLevelType w:val="hybridMultilevel"/>
    <w:tmpl w:val="6D804974"/>
    <w:lvl w:ilvl="0" w:tplc="8D02291C">
      <w:start w:val="1"/>
      <w:numFmt w:val="lowerLetter"/>
      <w:lvlText w:val="(%1)"/>
      <w:lvlJc w:val="left"/>
      <w:pPr>
        <w:ind w:left="1548" w:hanging="360"/>
      </w:pPr>
      <w:rPr>
        <w:rFonts w:hint="default"/>
      </w:rPr>
    </w:lvl>
    <w:lvl w:ilvl="1" w:tplc="0C090019" w:tentative="1">
      <w:start w:val="1"/>
      <w:numFmt w:val="lowerLetter"/>
      <w:lvlText w:val="%2."/>
      <w:lvlJc w:val="left"/>
      <w:pPr>
        <w:ind w:left="2268" w:hanging="360"/>
      </w:pPr>
    </w:lvl>
    <w:lvl w:ilvl="2" w:tplc="0C09001B" w:tentative="1">
      <w:start w:val="1"/>
      <w:numFmt w:val="lowerRoman"/>
      <w:lvlText w:val="%3."/>
      <w:lvlJc w:val="right"/>
      <w:pPr>
        <w:ind w:left="2988" w:hanging="180"/>
      </w:pPr>
    </w:lvl>
    <w:lvl w:ilvl="3" w:tplc="0C09000F" w:tentative="1">
      <w:start w:val="1"/>
      <w:numFmt w:val="decimal"/>
      <w:lvlText w:val="%4."/>
      <w:lvlJc w:val="left"/>
      <w:pPr>
        <w:ind w:left="3708" w:hanging="360"/>
      </w:pPr>
    </w:lvl>
    <w:lvl w:ilvl="4" w:tplc="0C090019" w:tentative="1">
      <w:start w:val="1"/>
      <w:numFmt w:val="lowerLetter"/>
      <w:lvlText w:val="%5."/>
      <w:lvlJc w:val="left"/>
      <w:pPr>
        <w:ind w:left="4428" w:hanging="360"/>
      </w:pPr>
    </w:lvl>
    <w:lvl w:ilvl="5" w:tplc="0C09001B" w:tentative="1">
      <w:start w:val="1"/>
      <w:numFmt w:val="lowerRoman"/>
      <w:lvlText w:val="%6."/>
      <w:lvlJc w:val="right"/>
      <w:pPr>
        <w:ind w:left="5148" w:hanging="180"/>
      </w:pPr>
    </w:lvl>
    <w:lvl w:ilvl="6" w:tplc="0C09000F" w:tentative="1">
      <w:start w:val="1"/>
      <w:numFmt w:val="decimal"/>
      <w:lvlText w:val="%7."/>
      <w:lvlJc w:val="left"/>
      <w:pPr>
        <w:ind w:left="5868" w:hanging="360"/>
      </w:pPr>
    </w:lvl>
    <w:lvl w:ilvl="7" w:tplc="0C090019" w:tentative="1">
      <w:start w:val="1"/>
      <w:numFmt w:val="lowerLetter"/>
      <w:lvlText w:val="%8."/>
      <w:lvlJc w:val="left"/>
      <w:pPr>
        <w:ind w:left="6588" w:hanging="360"/>
      </w:pPr>
    </w:lvl>
    <w:lvl w:ilvl="8" w:tplc="0C09001B" w:tentative="1">
      <w:start w:val="1"/>
      <w:numFmt w:val="lowerRoman"/>
      <w:lvlText w:val="%9."/>
      <w:lvlJc w:val="right"/>
      <w:pPr>
        <w:ind w:left="7308" w:hanging="180"/>
      </w:pPr>
    </w:lvl>
  </w:abstractNum>
  <w:abstractNum w:abstractNumId="12"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D67212"/>
    <w:multiLevelType w:val="hybridMultilevel"/>
    <w:tmpl w:val="DAB856E8"/>
    <w:lvl w:ilvl="0" w:tplc="611C05A2">
      <w:start w:val="1"/>
      <w:numFmt w:val="lowerLetter"/>
      <w:lvlText w:val="(%1)"/>
      <w:lvlJc w:val="left"/>
      <w:pPr>
        <w:ind w:left="1656" w:hanging="360"/>
      </w:pPr>
      <w:rPr>
        <w:rFonts w:ascii="Times New Roman" w:hAnsi="Times New Roman" w:cs="Times New Roman" w:hint="default"/>
      </w:rPr>
    </w:lvl>
    <w:lvl w:ilvl="1" w:tplc="0C090019" w:tentative="1">
      <w:start w:val="1"/>
      <w:numFmt w:val="lowerLetter"/>
      <w:lvlText w:val="%2."/>
      <w:lvlJc w:val="left"/>
      <w:pPr>
        <w:ind w:left="2376" w:hanging="360"/>
      </w:pPr>
    </w:lvl>
    <w:lvl w:ilvl="2" w:tplc="0C09001B" w:tentative="1">
      <w:start w:val="1"/>
      <w:numFmt w:val="lowerRoman"/>
      <w:lvlText w:val="%3."/>
      <w:lvlJc w:val="right"/>
      <w:pPr>
        <w:ind w:left="3096" w:hanging="180"/>
      </w:pPr>
    </w:lvl>
    <w:lvl w:ilvl="3" w:tplc="0C09000F" w:tentative="1">
      <w:start w:val="1"/>
      <w:numFmt w:val="decimal"/>
      <w:lvlText w:val="%4."/>
      <w:lvlJc w:val="left"/>
      <w:pPr>
        <w:ind w:left="3816" w:hanging="360"/>
      </w:pPr>
    </w:lvl>
    <w:lvl w:ilvl="4" w:tplc="0C090019" w:tentative="1">
      <w:start w:val="1"/>
      <w:numFmt w:val="lowerLetter"/>
      <w:lvlText w:val="%5."/>
      <w:lvlJc w:val="left"/>
      <w:pPr>
        <w:ind w:left="4536" w:hanging="360"/>
      </w:pPr>
    </w:lvl>
    <w:lvl w:ilvl="5" w:tplc="0C09001B" w:tentative="1">
      <w:start w:val="1"/>
      <w:numFmt w:val="lowerRoman"/>
      <w:lvlText w:val="%6."/>
      <w:lvlJc w:val="right"/>
      <w:pPr>
        <w:ind w:left="5256" w:hanging="180"/>
      </w:pPr>
    </w:lvl>
    <w:lvl w:ilvl="6" w:tplc="0C09000F" w:tentative="1">
      <w:start w:val="1"/>
      <w:numFmt w:val="decimal"/>
      <w:lvlText w:val="%7."/>
      <w:lvlJc w:val="left"/>
      <w:pPr>
        <w:ind w:left="5976" w:hanging="360"/>
      </w:pPr>
    </w:lvl>
    <w:lvl w:ilvl="7" w:tplc="0C090019" w:tentative="1">
      <w:start w:val="1"/>
      <w:numFmt w:val="lowerLetter"/>
      <w:lvlText w:val="%8."/>
      <w:lvlJc w:val="left"/>
      <w:pPr>
        <w:ind w:left="6696" w:hanging="360"/>
      </w:pPr>
    </w:lvl>
    <w:lvl w:ilvl="8" w:tplc="0C09001B" w:tentative="1">
      <w:start w:val="1"/>
      <w:numFmt w:val="lowerRoman"/>
      <w:lvlText w:val="%9."/>
      <w:lvlJc w:val="right"/>
      <w:pPr>
        <w:ind w:left="7416" w:hanging="180"/>
      </w:pPr>
    </w:lvl>
  </w:abstractNum>
  <w:abstractNum w:abstractNumId="14" w15:restartNumberingAfterBreak="0">
    <w:nsid w:val="1A28291B"/>
    <w:multiLevelType w:val="hybridMultilevel"/>
    <w:tmpl w:val="2EA02768"/>
    <w:lvl w:ilvl="0" w:tplc="90BA93CA">
      <w:start w:val="1"/>
      <w:numFmt w:val="lowerRoman"/>
      <w:lvlText w:val="(%1)"/>
      <w:lvlJc w:val="left"/>
      <w:pPr>
        <w:ind w:left="2160" w:hanging="720"/>
      </w:pPr>
      <w:rPr>
        <w:rFonts w:ascii="Times New Roman" w:hAnsi="Times New Roman" w:cs="Times New Roman" w:hint="default"/>
        <w:sz w:val="24"/>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1E0C6808"/>
    <w:multiLevelType w:val="multilevel"/>
    <w:tmpl w:val="464E83D6"/>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pStyle w:val="CT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upperLetter"/>
      <w:pStyle w:val="EndNotessubpara"/>
      <w:lvlText w:val="(%4)"/>
      <w:lvlJc w:val="left"/>
      <w:pPr>
        <w:tabs>
          <w:tab w:val="num" w:pos="3544"/>
        </w:tabs>
        <w:ind w:left="3544" w:hanging="425"/>
      </w:pPr>
      <w:rPr>
        <w:rFonts w:hint="default"/>
        <w:sz w:val="16"/>
        <w:szCs w:val="16"/>
      </w:rPr>
    </w:lvl>
    <w:lvl w:ilvl="4">
      <w:start w:val="1"/>
      <w:numFmt w:val="upperRoman"/>
      <w:pStyle w:val="EndNotessubsubpara"/>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6" w15:restartNumberingAfterBreak="0">
    <w:nsid w:val="1E3F1D76"/>
    <w:multiLevelType w:val="hybridMultilevel"/>
    <w:tmpl w:val="FDFEA4AE"/>
    <w:lvl w:ilvl="0" w:tplc="1A6C10BA">
      <w:start w:val="1"/>
      <w:numFmt w:val="lowerLetter"/>
      <w:lvlText w:val="(%1)"/>
      <w:lvlJc w:val="left"/>
      <w:pPr>
        <w:ind w:left="2883" w:hanging="570"/>
      </w:pPr>
      <w:rPr>
        <w:rFonts w:hint="default"/>
      </w:rPr>
    </w:lvl>
    <w:lvl w:ilvl="1" w:tplc="0C090019" w:tentative="1">
      <w:start w:val="1"/>
      <w:numFmt w:val="lowerLetter"/>
      <w:lvlText w:val="%2."/>
      <w:lvlJc w:val="left"/>
      <w:pPr>
        <w:ind w:left="3393" w:hanging="360"/>
      </w:pPr>
    </w:lvl>
    <w:lvl w:ilvl="2" w:tplc="0C09001B" w:tentative="1">
      <w:start w:val="1"/>
      <w:numFmt w:val="lowerRoman"/>
      <w:lvlText w:val="%3."/>
      <w:lvlJc w:val="right"/>
      <w:pPr>
        <w:ind w:left="4113" w:hanging="180"/>
      </w:pPr>
    </w:lvl>
    <w:lvl w:ilvl="3" w:tplc="0C09000F" w:tentative="1">
      <w:start w:val="1"/>
      <w:numFmt w:val="decimal"/>
      <w:lvlText w:val="%4."/>
      <w:lvlJc w:val="left"/>
      <w:pPr>
        <w:ind w:left="4833" w:hanging="360"/>
      </w:pPr>
    </w:lvl>
    <w:lvl w:ilvl="4" w:tplc="0C090019" w:tentative="1">
      <w:start w:val="1"/>
      <w:numFmt w:val="lowerLetter"/>
      <w:lvlText w:val="%5."/>
      <w:lvlJc w:val="left"/>
      <w:pPr>
        <w:ind w:left="5553" w:hanging="360"/>
      </w:pPr>
    </w:lvl>
    <w:lvl w:ilvl="5" w:tplc="0C09001B" w:tentative="1">
      <w:start w:val="1"/>
      <w:numFmt w:val="lowerRoman"/>
      <w:lvlText w:val="%6."/>
      <w:lvlJc w:val="right"/>
      <w:pPr>
        <w:ind w:left="6273" w:hanging="180"/>
      </w:pPr>
    </w:lvl>
    <w:lvl w:ilvl="6" w:tplc="0C09000F" w:tentative="1">
      <w:start w:val="1"/>
      <w:numFmt w:val="decimal"/>
      <w:lvlText w:val="%7."/>
      <w:lvlJc w:val="left"/>
      <w:pPr>
        <w:ind w:left="6993" w:hanging="360"/>
      </w:pPr>
    </w:lvl>
    <w:lvl w:ilvl="7" w:tplc="0C090019" w:tentative="1">
      <w:start w:val="1"/>
      <w:numFmt w:val="lowerLetter"/>
      <w:lvlText w:val="%8."/>
      <w:lvlJc w:val="left"/>
      <w:pPr>
        <w:ind w:left="7713" w:hanging="360"/>
      </w:pPr>
    </w:lvl>
    <w:lvl w:ilvl="8" w:tplc="0C09001B" w:tentative="1">
      <w:start w:val="1"/>
      <w:numFmt w:val="lowerRoman"/>
      <w:lvlText w:val="%9."/>
      <w:lvlJc w:val="right"/>
      <w:pPr>
        <w:ind w:left="8433" w:hanging="180"/>
      </w:pPr>
    </w:lvl>
  </w:abstractNum>
  <w:abstractNum w:abstractNumId="17" w15:restartNumberingAfterBreak="0">
    <w:nsid w:val="214920AF"/>
    <w:multiLevelType w:val="hybridMultilevel"/>
    <w:tmpl w:val="2E060B90"/>
    <w:lvl w:ilvl="0" w:tplc="0D9A3838">
      <w:start w:val="1"/>
      <w:numFmt w:val="lowerLetter"/>
      <w:lvlText w:val="(%1)"/>
      <w:lvlJc w:val="left"/>
      <w:pPr>
        <w:ind w:left="1803" w:hanging="360"/>
      </w:pPr>
      <w:rPr>
        <w:rFonts w:hint="default"/>
      </w:rPr>
    </w:lvl>
    <w:lvl w:ilvl="1" w:tplc="0C09001B">
      <w:start w:val="1"/>
      <w:numFmt w:val="lowerRoman"/>
      <w:lvlText w:val="%2."/>
      <w:lvlJc w:val="right"/>
      <w:pPr>
        <w:ind w:left="2523" w:hanging="360"/>
      </w:pPr>
    </w:lvl>
    <w:lvl w:ilvl="2" w:tplc="0C09001B" w:tentative="1">
      <w:start w:val="1"/>
      <w:numFmt w:val="lowerRoman"/>
      <w:lvlText w:val="%3."/>
      <w:lvlJc w:val="right"/>
      <w:pPr>
        <w:ind w:left="3243" w:hanging="180"/>
      </w:pPr>
    </w:lvl>
    <w:lvl w:ilvl="3" w:tplc="0C09000F" w:tentative="1">
      <w:start w:val="1"/>
      <w:numFmt w:val="decimal"/>
      <w:lvlText w:val="%4."/>
      <w:lvlJc w:val="left"/>
      <w:pPr>
        <w:ind w:left="3963" w:hanging="360"/>
      </w:pPr>
    </w:lvl>
    <w:lvl w:ilvl="4" w:tplc="0C090019" w:tentative="1">
      <w:start w:val="1"/>
      <w:numFmt w:val="lowerLetter"/>
      <w:lvlText w:val="%5."/>
      <w:lvlJc w:val="left"/>
      <w:pPr>
        <w:ind w:left="4683" w:hanging="360"/>
      </w:pPr>
    </w:lvl>
    <w:lvl w:ilvl="5" w:tplc="0C09001B" w:tentative="1">
      <w:start w:val="1"/>
      <w:numFmt w:val="lowerRoman"/>
      <w:lvlText w:val="%6."/>
      <w:lvlJc w:val="right"/>
      <w:pPr>
        <w:ind w:left="5403" w:hanging="180"/>
      </w:pPr>
    </w:lvl>
    <w:lvl w:ilvl="6" w:tplc="0C09000F" w:tentative="1">
      <w:start w:val="1"/>
      <w:numFmt w:val="decimal"/>
      <w:lvlText w:val="%7."/>
      <w:lvlJc w:val="left"/>
      <w:pPr>
        <w:ind w:left="6123" w:hanging="360"/>
      </w:pPr>
    </w:lvl>
    <w:lvl w:ilvl="7" w:tplc="0C090019" w:tentative="1">
      <w:start w:val="1"/>
      <w:numFmt w:val="lowerLetter"/>
      <w:lvlText w:val="%8."/>
      <w:lvlJc w:val="left"/>
      <w:pPr>
        <w:ind w:left="6843" w:hanging="360"/>
      </w:pPr>
    </w:lvl>
    <w:lvl w:ilvl="8" w:tplc="0C09001B" w:tentative="1">
      <w:start w:val="1"/>
      <w:numFmt w:val="lowerRoman"/>
      <w:lvlText w:val="%9."/>
      <w:lvlJc w:val="right"/>
      <w:pPr>
        <w:ind w:left="7563" w:hanging="180"/>
      </w:pPr>
    </w:lvl>
  </w:abstractNum>
  <w:abstractNum w:abstractNumId="18" w15:restartNumberingAfterBreak="0">
    <w:nsid w:val="214A47C3"/>
    <w:multiLevelType w:val="hybridMultilevel"/>
    <w:tmpl w:val="ED06C150"/>
    <w:lvl w:ilvl="0" w:tplc="FCA4DEC6">
      <w:start w:val="1"/>
      <w:numFmt w:val="lowerLetter"/>
      <w:lvlText w:val="(%1)"/>
      <w:lvlJc w:val="left"/>
      <w:pPr>
        <w:ind w:left="1700" w:hanging="566"/>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9" w15:restartNumberingAfterBreak="0">
    <w:nsid w:val="22CF1E6A"/>
    <w:multiLevelType w:val="hybridMultilevel"/>
    <w:tmpl w:val="49F0D34C"/>
    <w:lvl w:ilvl="0" w:tplc="53A8ED96">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0" w15:restartNumberingAfterBreak="0">
    <w:nsid w:val="23AF16FF"/>
    <w:multiLevelType w:val="hybridMultilevel"/>
    <w:tmpl w:val="14683096"/>
    <w:lvl w:ilvl="0" w:tplc="ED18554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90E4AF7"/>
    <w:multiLevelType w:val="hybridMultilevel"/>
    <w:tmpl w:val="0C9C131C"/>
    <w:lvl w:ilvl="0" w:tplc="90A8FFA4">
      <w:start w:val="1"/>
      <w:numFmt w:val="lowerRoman"/>
      <w:lvlText w:val="(%1)"/>
      <w:lvlJc w:val="left"/>
      <w:pPr>
        <w:ind w:left="2421" w:hanging="720"/>
      </w:pPr>
      <w:rPr>
        <w:rFonts w:ascii="Times New Roman" w:eastAsia="Times New Roman" w:hAnsi="Times New Roman" w:cs="Times New Roman"/>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2" w15:restartNumberingAfterBreak="0">
    <w:nsid w:val="2A203A39"/>
    <w:multiLevelType w:val="hybridMultilevel"/>
    <w:tmpl w:val="7326098E"/>
    <w:lvl w:ilvl="0" w:tplc="5D88B26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3" w15:restartNumberingAfterBreak="0">
    <w:nsid w:val="3525007C"/>
    <w:multiLevelType w:val="hybridMultilevel"/>
    <w:tmpl w:val="10E8F776"/>
    <w:lvl w:ilvl="0" w:tplc="B81CB722">
      <w:start w:val="1"/>
      <w:numFmt w:val="lowerRoman"/>
      <w:lvlText w:val="(%1)"/>
      <w:lvlJc w:val="left"/>
      <w:pPr>
        <w:ind w:left="3294" w:hanging="720"/>
      </w:pPr>
      <w:rPr>
        <w:rFonts w:hint="default"/>
      </w:rPr>
    </w:lvl>
    <w:lvl w:ilvl="1" w:tplc="0C090019" w:tentative="1">
      <w:start w:val="1"/>
      <w:numFmt w:val="lowerLetter"/>
      <w:lvlText w:val="%2."/>
      <w:lvlJc w:val="left"/>
      <w:pPr>
        <w:ind w:left="3654" w:hanging="360"/>
      </w:pPr>
    </w:lvl>
    <w:lvl w:ilvl="2" w:tplc="0C09001B" w:tentative="1">
      <w:start w:val="1"/>
      <w:numFmt w:val="lowerRoman"/>
      <w:lvlText w:val="%3."/>
      <w:lvlJc w:val="right"/>
      <w:pPr>
        <w:ind w:left="4374" w:hanging="180"/>
      </w:pPr>
    </w:lvl>
    <w:lvl w:ilvl="3" w:tplc="0C09000F" w:tentative="1">
      <w:start w:val="1"/>
      <w:numFmt w:val="decimal"/>
      <w:lvlText w:val="%4."/>
      <w:lvlJc w:val="left"/>
      <w:pPr>
        <w:ind w:left="5094" w:hanging="360"/>
      </w:pPr>
    </w:lvl>
    <w:lvl w:ilvl="4" w:tplc="0C090019" w:tentative="1">
      <w:start w:val="1"/>
      <w:numFmt w:val="lowerLetter"/>
      <w:lvlText w:val="%5."/>
      <w:lvlJc w:val="left"/>
      <w:pPr>
        <w:ind w:left="5814" w:hanging="360"/>
      </w:pPr>
    </w:lvl>
    <w:lvl w:ilvl="5" w:tplc="0C09001B" w:tentative="1">
      <w:start w:val="1"/>
      <w:numFmt w:val="lowerRoman"/>
      <w:lvlText w:val="%6."/>
      <w:lvlJc w:val="right"/>
      <w:pPr>
        <w:ind w:left="6534" w:hanging="180"/>
      </w:pPr>
    </w:lvl>
    <w:lvl w:ilvl="6" w:tplc="0C09000F" w:tentative="1">
      <w:start w:val="1"/>
      <w:numFmt w:val="decimal"/>
      <w:lvlText w:val="%7."/>
      <w:lvlJc w:val="left"/>
      <w:pPr>
        <w:ind w:left="7254" w:hanging="360"/>
      </w:pPr>
    </w:lvl>
    <w:lvl w:ilvl="7" w:tplc="0C090019" w:tentative="1">
      <w:start w:val="1"/>
      <w:numFmt w:val="lowerLetter"/>
      <w:lvlText w:val="%8."/>
      <w:lvlJc w:val="left"/>
      <w:pPr>
        <w:ind w:left="7974" w:hanging="360"/>
      </w:pPr>
    </w:lvl>
    <w:lvl w:ilvl="8" w:tplc="0C09001B" w:tentative="1">
      <w:start w:val="1"/>
      <w:numFmt w:val="lowerRoman"/>
      <w:lvlText w:val="%9."/>
      <w:lvlJc w:val="right"/>
      <w:pPr>
        <w:ind w:left="8694" w:hanging="180"/>
      </w:pPr>
    </w:lvl>
  </w:abstractNum>
  <w:abstractNum w:abstractNumId="24" w15:restartNumberingAfterBreak="0">
    <w:nsid w:val="36937036"/>
    <w:multiLevelType w:val="hybridMultilevel"/>
    <w:tmpl w:val="B0BCA9F0"/>
    <w:lvl w:ilvl="0" w:tplc="2E549708">
      <w:start w:val="1"/>
      <w:numFmt w:val="lowerLetter"/>
      <w:lvlText w:val="(%1)"/>
      <w:lvlJc w:val="left"/>
      <w:pPr>
        <w:ind w:left="1700" w:hanging="566"/>
      </w:pPr>
      <w:rPr>
        <w:rFonts w:hint="default"/>
        <w:color w:val="000000"/>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5" w15:restartNumberingAfterBreak="0">
    <w:nsid w:val="37B27631"/>
    <w:multiLevelType w:val="hybridMultilevel"/>
    <w:tmpl w:val="1278FFAC"/>
    <w:lvl w:ilvl="0" w:tplc="4E7EAA5C">
      <w:start w:val="1"/>
      <w:numFmt w:val="decimal"/>
      <w:lvlText w:val="(%1)"/>
      <w:lvlJc w:val="left"/>
      <w:pPr>
        <w:ind w:left="2061" w:hanging="360"/>
      </w:pPr>
      <w:rPr>
        <w:rFonts w:ascii="Times New Roman" w:hAnsi="Times New Roman" w:cs="Times New Roman" w:hint="default"/>
        <w:sz w:val="24"/>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6" w15:restartNumberingAfterBreak="0">
    <w:nsid w:val="37DB028C"/>
    <w:multiLevelType w:val="hybridMultilevel"/>
    <w:tmpl w:val="D22C8C6A"/>
    <w:lvl w:ilvl="0" w:tplc="8D02291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3E8E0A44"/>
    <w:multiLevelType w:val="hybridMultilevel"/>
    <w:tmpl w:val="6122A962"/>
    <w:lvl w:ilvl="0" w:tplc="2814EE3E">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42130DD1"/>
    <w:multiLevelType w:val="hybridMultilevel"/>
    <w:tmpl w:val="3BBE618A"/>
    <w:lvl w:ilvl="0" w:tplc="0D9A3838">
      <w:start w:val="1"/>
      <w:numFmt w:val="lowerLetter"/>
      <w:lvlText w:val="(%1)"/>
      <w:lvlJc w:val="left"/>
      <w:pPr>
        <w:ind w:left="1803" w:hanging="360"/>
      </w:pPr>
      <w:rPr>
        <w:rFonts w:hint="default"/>
      </w:rPr>
    </w:lvl>
    <w:lvl w:ilvl="1" w:tplc="0C090019">
      <w:start w:val="1"/>
      <w:numFmt w:val="lowerLetter"/>
      <w:lvlText w:val="%2."/>
      <w:lvlJc w:val="left"/>
      <w:pPr>
        <w:ind w:left="2523" w:hanging="360"/>
      </w:pPr>
    </w:lvl>
    <w:lvl w:ilvl="2" w:tplc="0C09001B" w:tentative="1">
      <w:start w:val="1"/>
      <w:numFmt w:val="lowerRoman"/>
      <w:lvlText w:val="%3."/>
      <w:lvlJc w:val="right"/>
      <w:pPr>
        <w:ind w:left="3243" w:hanging="180"/>
      </w:pPr>
    </w:lvl>
    <w:lvl w:ilvl="3" w:tplc="0C09000F" w:tentative="1">
      <w:start w:val="1"/>
      <w:numFmt w:val="decimal"/>
      <w:lvlText w:val="%4."/>
      <w:lvlJc w:val="left"/>
      <w:pPr>
        <w:ind w:left="3963" w:hanging="360"/>
      </w:pPr>
    </w:lvl>
    <w:lvl w:ilvl="4" w:tplc="0C090019" w:tentative="1">
      <w:start w:val="1"/>
      <w:numFmt w:val="lowerLetter"/>
      <w:lvlText w:val="%5."/>
      <w:lvlJc w:val="left"/>
      <w:pPr>
        <w:ind w:left="4683" w:hanging="360"/>
      </w:pPr>
    </w:lvl>
    <w:lvl w:ilvl="5" w:tplc="0C09001B" w:tentative="1">
      <w:start w:val="1"/>
      <w:numFmt w:val="lowerRoman"/>
      <w:lvlText w:val="%6."/>
      <w:lvlJc w:val="right"/>
      <w:pPr>
        <w:ind w:left="5403" w:hanging="180"/>
      </w:pPr>
    </w:lvl>
    <w:lvl w:ilvl="6" w:tplc="0C09000F" w:tentative="1">
      <w:start w:val="1"/>
      <w:numFmt w:val="decimal"/>
      <w:lvlText w:val="%7."/>
      <w:lvlJc w:val="left"/>
      <w:pPr>
        <w:ind w:left="6123" w:hanging="360"/>
      </w:pPr>
    </w:lvl>
    <w:lvl w:ilvl="7" w:tplc="0C090019" w:tentative="1">
      <w:start w:val="1"/>
      <w:numFmt w:val="lowerLetter"/>
      <w:lvlText w:val="%8."/>
      <w:lvlJc w:val="left"/>
      <w:pPr>
        <w:ind w:left="6843" w:hanging="360"/>
      </w:pPr>
    </w:lvl>
    <w:lvl w:ilvl="8" w:tplc="0C09001B" w:tentative="1">
      <w:start w:val="1"/>
      <w:numFmt w:val="lowerRoman"/>
      <w:lvlText w:val="%9."/>
      <w:lvlJc w:val="right"/>
      <w:pPr>
        <w:ind w:left="7563" w:hanging="180"/>
      </w:pPr>
    </w:lvl>
  </w:abstractNum>
  <w:abstractNum w:abstractNumId="30" w15:restartNumberingAfterBreak="0">
    <w:nsid w:val="469C06E4"/>
    <w:multiLevelType w:val="hybridMultilevel"/>
    <w:tmpl w:val="0966EAA6"/>
    <w:lvl w:ilvl="0" w:tplc="69A42294">
      <w:start w:val="1"/>
      <w:numFmt w:val="lowerLetter"/>
      <w:lvlText w:val="(%1)"/>
      <w:lvlJc w:val="left"/>
      <w:pPr>
        <w:ind w:left="1700" w:hanging="566"/>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1" w15:restartNumberingAfterBreak="0">
    <w:nsid w:val="47443D9F"/>
    <w:multiLevelType w:val="hybridMultilevel"/>
    <w:tmpl w:val="89C83A14"/>
    <w:lvl w:ilvl="0" w:tplc="2536CDD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8F24F5"/>
    <w:multiLevelType w:val="hybridMultilevel"/>
    <w:tmpl w:val="C5C0EA20"/>
    <w:lvl w:ilvl="0" w:tplc="56E62D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EE032A3"/>
    <w:multiLevelType w:val="hybridMultilevel"/>
    <w:tmpl w:val="3B42B122"/>
    <w:lvl w:ilvl="0" w:tplc="A5A63B5A">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5" w15:restartNumberingAfterBreak="0">
    <w:nsid w:val="57AD51E8"/>
    <w:multiLevelType w:val="hybridMultilevel"/>
    <w:tmpl w:val="042A1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211BE6"/>
    <w:multiLevelType w:val="hybridMultilevel"/>
    <w:tmpl w:val="AFBC37E0"/>
    <w:lvl w:ilvl="0" w:tplc="6F3CEC0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15:restartNumberingAfterBreak="0">
    <w:nsid w:val="61763483"/>
    <w:multiLevelType w:val="hybridMultilevel"/>
    <w:tmpl w:val="2D743A04"/>
    <w:lvl w:ilvl="0" w:tplc="9EF22CB2">
      <w:start w:val="1"/>
      <w:numFmt w:val="lowerRoman"/>
      <w:lvlText w:val="(%1)"/>
      <w:lvlJc w:val="left"/>
      <w:pPr>
        <w:ind w:left="3638" w:hanging="1064"/>
      </w:pPr>
      <w:rPr>
        <w:rFonts w:ascii="Times New Roman" w:hAnsi="Times New Roman" w:cs="Times New Roman" w:hint="default"/>
        <w:color w:val="auto"/>
        <w:sz w:val="24"/>
      </w:rPr>
    </w:lvl>
    <w:lvl w:ilvl="1" w:tplc="0C090019" w:tentative="1">
      <w:start w:val="1"/>
      <w:numFmt w:val="lowerLetter"/>
      <w:lvlText w:val="%2."/>
      <w:lvlJc w:val="left"/>
      <w:pPr>
        <w:ind w:left="3654" w:hanging="360"/>
      </w:pPr>
    </w:lvl>
    <w:lvl w:ilvl="2" w:tplc="0C09001B" w:tentative="1">
      <w:start w:val="1"/>
      <w:numFmt w:val="lowerRoman"/>
      <w:lvlText w:val="%3."/>
      <w:lvlJc w:val="right"/>
      <w:pPr>
        <w:ind w:left="4374" w:hanging="180"/>
      </w:pPr>
    </w:lvl>
    <w:lvl w:ilvl="3" w:tplc="0C09000F" w:tentative="1">
      <w:start w:val="1"/>
      <w:numFmt w:val="decimal"/>
      <w:lvlText w:val="%4."/>
      <w:lvlJc w:val="left"/>
      <w:pPr>
        <w:ind w:left="5094" w:hanging="360"/>
      </w:pPr>
    </w:lvl>
    <w:lvl w:ilvl="4" w:tplc="0C090019" w:tentative="1">
      <w:start w:val="1"/>
      <w:numFmt w:val="lowerLetter"/>
      <w:lvlText w:val="%5."/>
      <w:lvlJc w:val="left"/>
      <w:pPr>
        <w:ind w:left="5814" w:hanging="360"/>
      </w:pPr>
    </w:lvl>
    <w:lvl w:ilvl="5" w:tplc="0C09001B" w:tentative="1">
      <w:start w:val="1"/>
      <w:numFmt w:val="lowerRoman"/>
      <w:lvlText w:val="%6."/>
      <w:lvlJc w:val="right"/>
      <w:pPr>
        <w:ind w:left="6534" w:hanging="180"/>
      </w:pPr>
    </w:lvl>
    <w:lvl w:ilvl="6" w:tplc="0C09000F" w:tentative="1">
      <w:start w:val="1"/>
      <w:numFmt w:val="decimal"/>
      <w:lvlText w:val="%7."/>
      <w:lvlJc w:val="left"/>
      <w:pPr>
        <w:ind w:left="7254" w:hanging="360"/>
      </w:pPr>
    </w:lvl>
    <w:lvl w:ilvl="7" w:tplc="0C090019" w:tentative="1">
      <w:start w:val="1"/>
      <w:numFmt w:val="lowerLetter"/>
      <w:lvlText w:val="%8."/>
      <w:lvlJc w:val="left"/>
      <w:pPr>
        <w:ind w:left="7974" w:hanging="360"/>
      </w:pPr>
    </w:lvl>
    <w:lvl w:ilvl="8" w:tplc="0C09001B" w:tentative="1">
      <w:start w:val="1"/>
      <w:numFmt w:val="lowerRoman"/>
      <w:lvlText w:val="%9."/>
      <w:lvlJc w:val="right"/>
      <w:pPr>
        <w:ind w:left="8694" w:hanging="180"/>
      </w:pPr>
    </w:lvl>
  </w:abstractNum>
  <w:abstractNum w:abstractNumId="38" w15:restartNumberingAfterBreak="0">
    <w:nsid w:val="70A376B3"/>
    <w:multiLevelType w:val="hybridMultilevel"/>
    <w:tmpl w:val="4CFA699C"/>
    <w:lvl w:ilvl="0" w:tplc="EB908DEE">
      <w:start w:val="1"/>
      <w:numFmt w:val="lowerLetter"/>
      <w:lvlText w:val="(%1)"/>
      <w:lvlJc w:val="left"/>
      <w:pPr>
        <w:ind w:left="1700" w:hanging="566"/>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9" w15:restartNumberingAfterBreak="0">
    <w:nsid w:val="79797C2A"/>
    <w:multiLevelType w:val="hybridMultilevel"/>
    <w:tmpl w:val="6D804974"/>
    <w:lvl w:ilvl="0" w:tplc="8D02291C">
      <w:start w:val="1"/>
      <w:numFmt w:val="lowerLetter"/>
      <w:lvlText w:val="(%1)"/>
      <w:lvlJc w:val="left"/>
      <w:pPr>
        <w:ind w:left="1548" w:hanging="360"/>
      </w:pPr>
      <w:rPr>
        <w:rFonts w:hint="default"/>
      </w:rPr>
    </w:lvl>
    <w:lvl w:ilvl="1" w:tplc="0C090019" w:tentative="1">
      <w:start w:val="1"/>
      <w:numFmt w:val="lowerLetter"/>
      <w:lvlText w:val="%2."/>
      <w:lvlJc w:val="left"/>
      <w:pPr>
        <w:ind w:left="2268" w:hanging="360"/>
      </w:pPr>
    </w:lvl>
    <w:lvl w:ilvl="2" w:tplc="0C09001B" w:tentative="1">
      <w:start w:val="1"/>
      <w:numFmt w:val="lowerRoman"/>
      <w:lvlText w:val="%3."/>
      <w:lvlJc w:val="right"/>
      <w:pPr>
        <w:ind w:left="2988" w:hanging="180"/>
      </w:pPr>
    </w:lvl>
    <w:lvl w:ilvl="3" w:tplc="0C09000F" w:tentative="1">
      <w:start w:val="1"/>
      <w:numFmt w:val="decimal"/>
      <w:lvlText w:val="%4."/>
      <w:lvlJc w:val="left"/>
      <w:pPr>
        <w:ind w:left="3708" w:hanging="360"/>
      </w:pPr>
    </w:lvl>
    <w:lvl w:ilvl="4" w:tplc="0C090019" w:tentative="1">
      <w:start w:val="1"/>
      <w:numFmt w:val="lowerLetter"/>
      <w:lvlText w:val="%5."/>
      <w:lvlJc w:val="left"/>
      <w:pPr>
        <w:ind w:left="4428" w:hanging="360"/>
      </w:pPr>
    </w:lvl>
    <w:lvl w:ilvl="5" w:tplc="0C09001B" w:tentative="1">
      <w:start w:val="1"/>
      <w:numFmt w:val="lowerRoman"/>
      <w:lvlText w:val="%6."/>
      <w:lvlJc w:val="right"/>
      <w:pPr>
        <w:ind w:left="5148" w:hanging="180"/>
      </w:pPr>
    </w:lvl>
    <w:lvl w:ilvl="6" w:tplc="0C09000F" w:tentative="1">
      <w:start w:val="1"/>
      <w:numFmt w:val="decimal"/>
      <w:lvlText w:val="%7."/>
      <w:lvlJc w:val="left"/>
      <w:pPr>
        <w:ind w:left="5868" w:hanging="360"/>
      </w:pPr>
    </w:lvl>
    <w:lvl w:ilvl="7" w:tplc="0C090019" w:tentative="1">
      <w:start w:val="1"/>
      <w:numFmt w:val="lowerLetter"/>
      <w:lvlText w:val="%8."/>
      <w:lvlJc w:val="left"/>
      <w:pPr>
        <w:ind w:left="6588" w:hanging="360"/>
      </w:pPr>
    </w:lvl>
    <w:lvl w:ilvl="8" w:tplc="0C09001B" w:tentative="1">
      <w:start w:val="1"/>
      <w:numFmt w:val="lowerRoman"/>
      <w:lvlText w:val="%9."/>
      <w:lvlJc w:val="right"/>
      <w:pPr>
        <w:ind w:left="730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0"/>
  </w:num>
  <w:num w:numId="13">
    <w:abstractNumId w:val="12"/>
  </w:num>
  <w:num w:numId="14">
    <w:abstractNumId w:val="32"/>
  </w:num>
  <w:num w:numId="15">
    <w:abstractNumId w:val="34"/>
  </w:num>
  <w:num w:numId="16">
    <w:abstractNumId w:val="22"/>
  </w:num>
  <w:num w:numId="17">
    <w:abstractNumId w:val="39"/>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7"/>
  </w:num>
  <w:num w:numId="22">
    <w:abstractNumId w:val="11"/>
  </w:num>
  <w:num w:numId="23">
    <w:abstractNumId w:val="13"/>
  </w:num>
  <w:num w:numId="24">
    <w:abstractNumId w:val="35"/>
  </w:num>
  <w:num w:numId="25">
    <w:abstractNumId w:val="26"/>
  </w:num>
  <w:num w:numId="26">
    <w:abstractNumId w:val="16"/>
  </w:num>
  <w:num w:numId="27">
    <w:abstractNumId w:val="30"/>
  </w:num>
  <w:num w:numId="28">
    <w:abstractNumId w:val="37"/>
  </w:num>
  <w:num w:numId="29">
    <w:abstractNumId w:val="23"/>
  </w:num>
  <w:num w:numId="30">
    <w:abstractNumId w:val="25"/>
  </w:num>
  <w:num w:numId="31">
    <w:abstractNumId w:val="14"/>
  </w:num>
  <w:num w:numId="32">
    <w:abstractNumId w:val="19"/>
  </w:num>
  <w:num w:numId="33">
    <w:abstractNumId w:val="36"/>
  </w:num>
  <w:num w:numId="34">
    <w:abstractNumId w:val="18"/>
  </w:num>
  <w:num w:numId="35">
    <w:abstractNumId w:val="21"/>
  </w:num>
  <w:num w:numId="36">
    <w:abstractNumId w:val="38"/>
  </w:num>
  <w:num w:numId="37">
    <w:abstractNumId w:val="31"/>
  </w:num>
  <w:num w:numId="38">
    <w:abstractNumId w:val="28"/>
  </w:num>
  <w:num w:numId="39">
    <w:abstractNumId w:val="33"/>
  </w:num>
  <w:num w:numId="40">
    <w:abstractNumId w:val="2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012A"/>
    <w:rsid w:val="00000227"/>
    <w:rsid w:val="00002B18"/>
    <w:rsid w:val="00004470"/>
    <w:rsid w:val="00004F9E"/>
    <w:rsid w:val="00005446"/>
    <w:rsid w:val="000065DF"/>
    <w:rsid w:val="000105C6"/>
    <w:rsid w:val="00012AB9"/>
    <w:rsid w:val="000136AF"/>
    <w:rsid w:val="00013B8D"/>
    <w:rsid w:val="00015719"/>
    <w:rsid w:val="00023D53"/>
    <w:rsid w:val="00031CF8"/>
    <w:rsid w:val="000400E9"/>
    <w:rsid w:val="00041B7A"/>
    <w:rsid w:val="000437C1"/>
    <w:rsid w:val="0004443E"/>
    <w:rsid w:val="00052925"/>
    <w:rsid w:val="00052B19"/>
    <w:rsid w:val="0005365D"/>
    <w:rsid w:val="0006123B"/>
    <w:rsid w:val="000614BF"/>
    <w:rsid w:val="0006224C"/>
    <w:rsid w:val="0006250C"/>
    <w:rsid w:val="0006273D"/>
    <w:rsid w:val="00064A38"/>
    <w:rsid w:val="00065BBA"/>
    <w:rsid w:val="00065BE8"/>
    <w:rsid w:val="000714E7"/>
    <w:rsid w:val="00073402"/>
    <w:rsid w:val="00081794"/>
    <w:rsid w:val="000821C4"/>
    <w:rsid w:val="0008444F"/>
    <w:rsid w:val="00084FF4"/>
    <w:rsid w:val="00085F63"/>
    <w:rsid w:val="00086216"/>
    <w:rsid w:val="00094F6D"/>
    <w:rsid w:val="00095483"/>
    <w:rsid w:val="000957F4"/>
    <w:rsid w:val="00097557"/>
    <w:rsid w:val="000A0505"/>
    <w:rsid w:val="000A07CF"/>
    <w:rsid w:val="000A142F"/>
    <w:rsid w:val="000A5A3B"/>
    <w:rsid w:val="000A6C39"/>
    <w:rsid w:val="000B02BA"/>
    <w:rsid w:val="000B0E6D"/>
    <w:rsid w:val="000B0EE7"/>
    <w:rsid w:val="000B280A"/>
    <w:rsid w:val="000B4CCB"/>
    <w:rsid w:val="000B58FA"/>
    <w:rsid w:val="000C01CD"/>
    <w:rsid w:val="000C55A0"/>
    <w:rsid w:val="000C6320"/>
    <w:rsid w:val="000C6F19"/>
    <w:rsid w:val="000D041F"/>
    <w:rsid w:val="000D05EF"/>
    <w:rsid w:val="000D1808"/>
    <w:rsid w:val="000D4D2A"/>
    <w:rsid w:val="000D61F1"/>
    <w:rsid w:val="000D784A"/>
    <w:rsid w:val="000D7ABF"/>
    <w:rsid w:val="000E0161"/>
    <w:rsid w:val="000E0ADA"/>
    <w:rsid w:val="000E2261"/>
    <w:rsid w:val="000E397E"/>
    <w:rsid w:val="000E3C2E"/>
    <w:rsid w:val="000E5551"/>
    <w:rsid w:val="000E5E96"/>
    <w:rsid w:val="000E7F81"/>
    <w:rsid w:val="000F0EBF"/>
    <w:rsid w:val="000F21C1"/>
    <w:rsid w:val="000F2410"/>
    <w:rsid w:val="000F3E07"/>
    <w:rsid w:val="00100669"/>
    <w:rsid w:val="001026D1"/>
    <w:rsid w:val="00102CA6"/>
    <w:rsid w:val="0010444F"/>
    <w:rsid w:val="0010527E"/>
    <w:rsid w:val="001055EE"/>
    <w:rsid w:val="00105EA7"/>
    <w:rsid w:val="001071A9"/>
    <w:rsid w:val="0010745C"/>
    <w:rsid w:val="00111287"/>
    <w:rsid w:val="001129D5"/>
    <w:rsid w:val="00114487"/>
    <w:rsid w:val="00115BEC"/>
    <w:rsid w:val="00116C05"/>
    <w:rsid w:val="00120FCB"/>
    <w:rsid w:val="00121E60"/>
    <w:rsid w:val="00121FEC"/>
    <w:rsid w:val="00122F2D"/>
    <w:rsid w:val="00125141"/>
    <w:rsid w:val="00126BB3"/>
    <w:rsid w:val="0012716B"/>
    <w:rsid w:val="00132CEB"/>
    <w:rsid w:val="00135367"/>
    <w:rsid w:val="00137CAA"/>
    <w:rsid w:val="00142B62"/>
    <w:rsid w:val="00142E52"/>
    <w:rsid w:val="001451A7"/>
    <w:rsid w:val="0015015C"/>
    <w:rsid w:val="001507A2"/>
    <w:rsid w:val="00151191"/>
    <w:rsid w:val="00153B32"/>
    <w:rsid w:val="00155671"/>
    <w:rsid w:val="00156634"/>
    <w:rsid w:val="001573E1"/>
    <w:rsid w:val="00157B8B"/>
    <w:rsid w:val="00162C6C"/>
    <w:rsid w:val="00165ECD"/>
    <w:rsid w:val="00166C2F"/>
    <w:rsid w:val="001700CF"/>
    <w:rsid w:val="00171A6E"/>
    <w:rsid w:val="00175280"/>
    <w:rsid w:val="00175C62"/>
    <w:rsid w:val="00180436"/>
    <w:rsid w:val="001809D7"/>
    <w:rsid w:val="00183872"/>
    <w:rsid w:val="001860DE"/>
    <w:rsid w:val="00191712"/>
    <w:rsid w:val="00191BC2"/>
    <w:rsid w:val="001939E1"/>
    <w:rsid w:val="00194C3E"/>
    <w:rsid w:val="00194E64"/>
    <w:rsid w:val="00195382"/>
    <w:rsid w:val="00195BD4"/>
    <w:rsid w:val="001A0A72"/>
    <w:rsid w:val="001A11BA"/>
    <w:rsid w:val="001A1A4A"/>
    <w:rsid w:val="001A363E"/>
    <w:rsid w:val="001A675B"/>
    <w:rsid w:val="001B4393"/>
    <w:rsid w:val="001B68D6"/>
    <w:rsid w:val="001C0D47"/>
    <w:rsid w:val="001C0F01"/>
    <w:rsid w:val="001C24B0"/>
    <w:rsid w:val="001C61C5"/>
    <w:rsid w:val="001C69C4"/>
    <w:rsid w:val="001C6B83"/>
    <w:rsid w:val="001D0ED3"/>
    <w:rsid w:val="001D1F9C"/>
    <w:rsid w:val="001D37EF"/>
    <w:rsid w:val="001D76F4"/>
    <w:rsid w:val="001E0AA1"/>
    <w:rsid w:val="001E3266"/>
    <w:rsid w:val="001E3590"/>
    <w:rsid w:val="001E7407"/>
    <w:rsid w:val="001F02B1"/>
    <w:rsid w:val="001F4DDC"/>
    <w:rsid w:val="001F5D5E"/>
    <w:rsid w:val="001F6219"/>
    <w:rsid w:val="001F670A"/>
    <w:rsid w:val="001F6CD4"/>
    <w:rsid w:val="0020160F"/>
    <w:rsid w:val="00201DFF"/>
    <w:rsid w:val="002037A2"/>
    <w:rsid w:val="00206C4D"/>
    <w:rsid w:val="0021053C"/>
    <w:rsid w:val="00213FE2"/>
    <w:rsid w:val="00215051"/>
    <w:rsid w:val="00215AF1"/>
    <w:rsid w:val="0021678F"/>
    <w:rsid w:val="00217394"/>
    <w:rsid w:val="002321E8"/>
    <w:rsid w:val="0023458C"/>
    <w:rsid w:val="0023560E"/>
    <w:rsid w:val="00236EEC"/>
    <w:rsid w:val="002371EC"/>
    <w:rsid w:val="0024010F"/>
    <w:rsid w:val="00240749"/>
    <w:rsid w:val="00243018"/>
    <w:rsid w:val="00243EC0"/>
    <w:rsid w:val="00244742"/>
    <w:rsid w:val="002562BE"/>
    <w:rsid w:val="002564A4"/>
    <w:rsid w:val="002649E8"/>
    <w:rsid w:val="00265830"/>
    <w:rsid w:val="002662B6"/>
    <w:rsid w:val="0026736C"/>
    <w:rsid w:val="00267676"/>
    <w:rsid w:val="00276B82"/>
    <w:rsid w:val="00281308"/>
    <w:rsid w:val="00281813"/>
    <w:rsid w:val="00281845"/>
    <w:rsid w:val="00282249"/>
    <w:rsid w:val="00282E05"/>
    <w:rsid w:val="00283130"/>
    <w:rsid w:val="002839CE"/>
    <w:rsid w:val="00283FD5"/>
    <w:rsid w:val="00284719"/>
    <w:rsid w:val="00290AB7"/>
    <w:rsid w:val="00293E83"/>
    <w:rsid w:val="00295408"/>
    <w:rsid w:val="00295A83"/>
    <w:rsid w:val="00296C36"/>
    <w:rsid w:val="00297A01"/>
    <w:rsid w:val="00297C74"/>
    <w:rsid w:val="00297ECB"/>
    <w:rsid w:val="002A2109"/>
    <w:rsid w:val="002A530D"/>
    <w:rsid w:val="002A7328"/>
    <w:rsid w:val="002A7BCF"/>
    <w:rsid w:val="002B19F3"/>
    <w:rsid w:val="002B1D8D"/>
    <w:rsid w:val="002B4A0D"/>
    <w:rsid w:val="002C0D9D"/>
    <w:rsid w:val="002C1365"/>
    <w:rsid w:val="002C32F4"/>
    <w:rsid w:val="002C3492"/>
    <w:rsid w:val="002C4098"/>
    <w:rsid w:val="002C55ED"/>
    <w:rsid w:val="002C7B6F"/>
    <w:rsid w:val="002D043A"/>
    <w:rsid w:val="002D2128"/>
    <w:rsid w:val="002D3B79"/>
    <w:rsid w:val="002D6224"/>
    <w:rsid w:val="002E0ECE"/>
    <w:rsid w:val="002E1D2A"/>
    <w:rsid w:val="002E3F4B"/>
    <w:rsid w:val="002E4BCA"/>
    <w:rsid w:val="002E5F0C"/>
    <w:rsid w:val="002E611E"/>
    <w:rsid w:val="002E6708"/>
    <w:rsid w:val="002E6DAB"/>
    <w:rsid w:val="002F1E2A"/>
    <w:rsid w:val="002F26CB"/>
    <w:rsid w:val="002F541D"/>
    <w:rsid w:val="002F5D3D"/>
    <w:rsid w:val="002F62FD"/>
    <w:rsid w:val="00300E8C"/>
    <w:rsid w:val="00302889"/>
    <w:rsid w:val="00304E8D"/>
    <w:rsid w:val="00304F8B"/>
    <w:rsid w:val="00306D7F"/>
    <w:rsid w:val="00310A39"/>
    <w:rsid w:val="00311A68"/>
    <w:rsid w:val="00312CF9"/>
    <w:rsid w:val="00324431"/>
    <w:rsid w:val="00324E34"/>
    <w:rsid w:val="00327DDF"/>
    <w:rsid w:val="00327F55"/>
    <w:rsid w:val="00330DD4"/>
    <w:rsid w:val="00332614"/>
    <w:rsid w:val="003354D2"/>
    <w:rsid w:val="00335BC6"/>
    <w:rsid w:val="00337DF9"/>
    <w:rsid w:val="003415D3"/>
    <w:rsid w:val="0034207A"/>
    <w:rsid w:val="00344701"/>
    <w:rsid w:val="00345DD9"/>
    <w:rsid w:val="0034696A"/>
    <w:rsid w:val="003528DA"/>
    <w:rsid w:val="00352B0F"/>
    <w:rsid w:val="00352E40"/>
    <w:rsid w:val="00355379"/>
    <w:rsid w:val="00355392"/>
    <w:rsid w:val="0035544E"/>
    <w:rsid w:val="003555AD"/>
    <w:rsid w:val="0035635F"/>
    <w:rsid w:val="00356690"/>
    <w:rsid w:val="00357DD0"/>
    <w:rsid w:val="003600AE"/>
    <w:rsid w:val="00360459"/>
    <w:rsid w:val="00362688"/>
    <w:rsid w:val="00365497"/>
    <w:rsid w:val="00367C01"/>
    <w:rsid w:val="00371AD9"/>
    <w:rsid w:val="00371E5C"/>
    <w:rsid w:val="003828DF"/>
    <w:rsid w:val="00386DD0"/>
    <w:rsid w:val="003877CC"/>
    <w:rsid w:val="00387A96"/>
    <w:rsid w:val="00393F08"/>
    <w:rsid w:val="00397765"/>
    <w:rsid w:val="003A116D"/>
    <w:rsid w:val="003A2A48"/>
    <w:rsid w:val="003B1B61"/>
    <w:rsid w:val="003B28C3"/>
    <w:rsid w:val="003B465E"/>
    <w:rsid w:val="003B5E5B"/>
    <w:rsid w:val="003B652A"/>
    <w:rsid w:val="003B6B48"/>
    <w:rsid w:val="003B732F"/>
    <w:rsid w:val="003C365F"/>
    <w:rsid w:val="003C4999"/>
    <w:rsid w:val="003C6231"/>
    <w:rsid w:val="003C6FE6"/>
    <w:rsid w:val="003D0BFE"/>
    <w:rsid w:val="003D354C"/>
    <w:rsid w:val="003D5700"/>
    <w:rsid w:val="003D6F52"/>
    <w:rsid w:val="003D72A5"/>
    <w:rsid w:val="003E0F99"/>
    <w:rsid w:val="003E1825"/>
    <w:rsid w:val="003E341B"/>
    <w:rsid w:val="003E7C85"/>
    <w:rsid w:val="003F172D"/>
    <w:rsid w:val="0040053F"/>
    <w:rsid w:val="00402C50"/>
    <w:rsid w:val="004116CD"/>
    <w:rsid w:val="00413607"/>
    <w:rsid w:val="004144EC"/>
    <w:rsid w:val="00415CC0"/>
    <w:rsid w:val="00417EB9"/>
    <w:rsid w:val="00424CA9"/>
    <w:rsid w:val="00425357"/>
    <w:rsid w:val="00431E9B"/>
    <w:rsid w:val="004348FB"/>
    <w:rsid w:val="00434EB4"/>
    <w:rsid w:val="0043561F"/>
    <w:rsid w:val="00436DB6"/>
    <w:rsid w:val="004379E3"/>
    <w:rsid w:val="0044015E"/>
    <w:rsid w:val="0044291A"/>
    <w:rsid w:val="004449C0"/>
    <w:rsid w:val="00444ABD"/>
    <w:rsid w:val="00447DB4"/>
    <w:rsid w:val="00447DFC"/>
    <w:rsid w:val="00455D2B"/>
    <w:rsid w:val="00460D0E"/>
    <w:rsid w:val="00460F1D"/>
    <w:rsid w:val="00462EE0"/>
    <w:rsid w:val="004639AD"/>
    <w:rsid w:val="0046560A"/>
    <w:rsid w:val="00465DC1"/>
    <w:rsid w:val="00467661"/>
    <w:rsid w:val="004704B6"/>
    <w:rsid w:val="004705B7"/>
    <w:rsid w:val="00472DBE"/>
    <w:rsid w:val="00473652"/>
    <w:rsid w:val="00474A19"/>
    <w:rsid w:val="0047649D"/>
    <w:rsid w:val="00480A48"/>
    <w:rsid w:val="00481D7F"/>
    <w:rsid w:val="004823C0"/>
    <w:rsid w:val="0048276B"/>
    <w:rsid w:val="004847FB"/>
    <w:rsid w:val="00485095"/>
    <w:rsid w:val="004852BB"/>
    <w:rsid w:val="00485BF0"/>
    <w:rsid w:val="0049184B"/>
    <w:rsid w:val="004922F9"/>
    <w:rsid w:val="00494DBA"/>
    <w:rsid w:val="004957AB"/>
    <w:rsid w:val="00496B5F"/>
    <w:rsid w:val="00496F97"/>
    <w:rsid w:val="004A0C73"/>
    <w:rsid w:val="004A0E09"/>
    <w:rsid w:val="004A44FC"/>
    <w:rsid w:val="004A4E6F"/>
    <w:rsid w:val="004A7237"/>
    <w:rsid w:val="004A7CD7"/>
    <w:rsid w:val="004B3B13"/>
    <w:rsid w:val="004B507B"/>
    <w:rsid w:val="004B5B44"/>
    <w:rsid w:val="004B6032"/>
    <w:rsid w:val="004C1744"/>
    <w:rsid w:val="004C1CB1"/>
    <w:rsid w:val="004C24F5"/>
    <w:rsid w:val="004C5038"/>
    <w:rsid w:val="004C58FA"/>
    <w:rsid w:val="004C5D9B"/>
    <w:rsid w:val="004C6BC4"/>
    <w:rsid w:val="004D251A"/>
    <w:rsid w:val="004D6271"/>
    <w:rsid w:val="004D64C3"/>
    <w:rsid w:val="004E063A"/>
    <w:rsid w:val="004E3897"/>
    <w:rsid w:val="004E4115"/>
    <w:rsid w:val="004E47BE"/>
    <w:rsid w:val="004E6268"/>
    <w:rsid w:val="004E6F1E"/>
    <w:rsid w:val="004E7BEC"/>
    <w:rsid w:val="004F2781"/>
    <w:rsid w:val="004F5CE9"/>
    <w:rsid w:val="0050044F"/>
    <w:rsid w:val="00505D3D"/>
    <w:rsid w:val="00505D55"/>
    <w:rsid w:val="00505F1F"/>
    <w:rsid w:val="00506AF6"/>
    <w:rsid w:val="00507335"/>
    <w:rsid w:val="00514B28"/>
    <w:rsid w:val="00515961"/>
    <w:rsid w:val="0051600A"/>
    <w:rsid w:val="00516B8D"/>
    <w:rsid w:val="0051713D"/>
    <w:rsid w:val="00517E56"/>
    <w:rsid w:val="005237F5"/>
    <w:rsid w:val="00525633"/>
    <w:rsid w:val="005265C2"/>
    <w:rsid w:val="00531F87"/>
    <w:rsid w:val="00532049"/>
    <w:rsid w:val="0053395A"/>
    <w:rsid w:val="005356A7"/>
    <w:rsid w:val="00536184"/>
    <w:rsid w:val="00536CC6"/>
    <w:rsid w:val="00537FBC"/>
    <w:rsid w:val="005429A1"/>
    <w:rsid w:val="00544A5E"/>
    <w:rsid w:val="00546BE1"/>
    <w:rsid w:val="00550366"/>
    <w:rsid w:val="00551DC0"/>
    <w:rsid w:val="00554400"/>
    <w:rsid w:val="005574D1"/>
    <w:rsid w:val="00563D02"/>
    <w:rsid w:val="005657FE"/>
    <w:rsid w:val="00572261"/>
    <w:rsid w:val="00572BB1"/>
    <w:rsid w:val="005742CE"/>
    <w:rsid w:val="00575F55"/>
    <w:rsid w:val="0057670F"/>
    <w:rsid w:val="00577E32"/>
    <w:rsid w:val="00582126"/>
    <w:rsid w:val="00582E89"/>
    <w:rsid w:val="00584637"/>
    <w:rsid w:val="00584811"/>
    <w:rsid w:val="00585784"/>
    <w:rsid w:val="00586DB4"/>
    <w:rsid w:val="00587932"/>
    <w:rsid w:val="00592446"/>
    <w:rsid w:val="00593AA6"/>
    <w:rsid w:val="00594161"/>
    <w:rsid w:val="00594749"/>
    <w:rsid w:val="00597421"/>
    <w:rsid w:val="005A2588"/>
    <w:rsid w:val="005A405C"/>
    <w:rsid w:val="005A7151"/>
    <w:rsid w:val="005B1DD1"/>
    <w:rsid w:val="005B4067"/>
    <w:rsid w:val="005B780C"/>
    <w:rsid w:val="005C13FF"/>
    <w:rsid w:val="005C3F41"/>
    <w:rsid w:val="005C423C"/>
    <w:rsid w:val="005D0489"/>
    <w:rsid w:val="005D2148"/>
    <w:rsid w:val="005D2D09"/>
    <w:rsid w:val="005D3D41"/>
    <w:rsid w:val="005D7B73"/>
    <w:rsid w:val="005E36B8"/>
    <w:rsid w:val="005E3ABB"/>
    <w:rsid w:val="005E436E"/>
    <w:rsid w:val="005E4810"/>
    <w:rsid w:val="005E595C"/>
    <w:rsid w:val="005F0897"/>
    <w:rsid w:val="005F2B7A"/>
    <w:rsid w:val="005F4140"/>
    <w:rsid w:val="005F57D2"/>
    <w:rsid w:val="005F65CD"/>
    <w:rsid w:val="005F6ED1"/>
    <w:rsid w:val="00600219"/>
    <w:rsid w:val="00601343"/>
    <w:rsid w:val="00603DC4"/>
    <w:rsid w:val="0060478F"/>
    <w:rsid w:val="00607A71"/>
    <w:rsid w:val="00607EA4"/>
    <w:rsid w:val="00610561"/>
    <w:rsid w:val="006117CB"/>
    <w:rsid w:val="00612FDB"/>
    <w:rsid w:val="00613E76"/>
    <w:rsid w:val="006154DB"/>
    <w:rsid w:val="00620076"/>
    <w:rsid w:val="00620224"/>
    <w:rsid w:val="00623068"/>
    <w:rsid w:val="0062341A"/>
    <w:rsid w:val="006245B6"/>
    <w:rsid w:val="00624EEF"/>
    <w:rsid w:val="006322FA"/>
    <w:rsid w:val="00634044"/>
    <w:rsid w:val="006359C2"/>
    <w:rsid w:val="00640161"/>
    <w:rsid w:val="00641426"/>
    <w:rsid w:val="00642E48"/>
    <w:rsid w:val="0064503E"/>
    <w:rsid w:val="00645DC2"/>
    <w:rsid w:val="006501A4"/>
    <w:rsid w:val="00652769"/>
    <w:rsid w:val="0065542F"/>
    <w:rsid w:val="006554FF"/>
    <w:rsid w:val="00656071"/>
    <w:rsid w:val="00664121"/>
    <w:rsid w:val="006654A2"/>
    <w:rsid w:val="00665533"/>
    <w:rsid w:val="00666B36"/>
    <w:rsid w:val="00666CC1"/>
    <w:rsid w:val="00670B95"/>
    <w:rsid w:val="00670CCD"/>
    <w:rsid w:val="00670EA1"/>
    <w:rsid w:val="0067110B"/>
    <w:rsid w:val="00671360"/>
    <w:rsid w:val="006727FE"/>
    <w:rsid w:val="00675EA3"/>
    <w:rsid w:val="006769EB"/>
    <w:rsid w:val="00677CC2"/>
    <w:rsid w:val="0068278F"/>
    <w:rsid w:val="006869D0"/>
    <w:rsid w:val="006900C2"/>
    <w:rsid w:val="0069018E"/>
    <w:rsid w:val="006905DE"/>
    <w:rsid w:val="00690C35"/>
    <w:rsid w:val="0069207B"/>
    <w:rsid w:val="00692DDF"/>
    <w:rsid w:val="006948C6"/>
    <w:rsid w:val="006962B9"/>
    <w:rsid w:val="00696498"/>
    <w:rsid w:val="006A1432"/>
    <w:rsid w:val="006A5303"/>
    <w:rsid w:val="006A784B"/>
    <w:rsid w:val="006A7B27"/>
    <w:rsid w:val="006B074B"/>
    <w:rsid w:val="006B18DC"/>
    <w:rsid w:val="006B27F4"/>
    <w:rsid w:val="006B2F4D"/>
    <w:rsid w:val="006B397B"/>
    <w:rsid w:val="006B5789"/>
    <w:rsid w:val="006C08C1"/>
    <w:rsid w:val="006C1C8F"/>
    <w:rsid w:val="006C2B8D"/>
    <w:rsid w:val="006C30C5"/>
    <w:rsid w:val="006C48FA"/>
    <w:rsid w:val="006C7F8C"/>
    <w:rsid w:val="006D3559"/>
    <w:rsid w:val="006E07C1"/>
    <w:rsid w:val="006E2CBD"/>
    <w:rsid w:val="006E5320"/>
    <w:rsid w:val="006E6246"/>
    <w:rsid w:val="006E6EF9"/>
    <w:rsid w:val="006E770B"/>
    <w:rsid w:val="006F11EF"/>
    <w:rsid w:val="006F318F"/>
    <w:rsid w:val="006F4226"/>
    <w:rsid w:val="006F495D"/>
    <w:rsid w:val="0070017E"/>
    <w:rsid w:val="00700B2C"/>
    <w:rsid w:val="00702EFD"/>
    <w:rsid w:val="00704C7D"/>
    <w:rsid w:val="00705073"/>
    <w:rsid w:val="007050A2"/>
    <w:rsid w:val="00707326"/>
    <w:rsid w:val="00713084"/>
    <w:rsid w:val="0071399B"/>
    <w:rsid w:val="007148CC"/>
    <w:rsid w:val="00714F20"/>
    <w:rsid w:val="0071535B"/>
    <w:rsid w:val="0071590F"/>
    <w:rsid w:val="00715914"/>
    <w:rsid w:val="0072467B"/>
    <w:rsid w:val="00731B5D"/>
    <w:rsid w:val="00731E00"/>
    <w:rsid w:val="00732960"/>
    <w:rsid w:val="00732B8D"/>
    <w:rsid w:val="00732C06"/>
    <w:rsid w:val="00732CA2"/>
    <w:rsid w:val="00732F67"/>
    <w:rsid w:val="00734D4E"/>
    <w:rsid w:val="00735167"/>
    <w:rsid w:val="007366E8"/>
    <w:rsid w:val="00741EE8"/>
    <w:rsid w:val="007440B7"/>
    <w:rsid w:val="007464B0"/>
    <w:rsid w:val="00747DC3"/>
    <w:rsid w:val="007500C8"/>
    <w:rsid w:val="00750E82"/>
    <w:rsid w:val="00756272"/>
    <w:rsid w:val="00760FDC"/>
    <w:rsid w:val="00761513"/>
    <w:rsid w:val="00764543"/>
    <w:rsid w:val="007662B5"/>
    <w:rsid w:val="0076681A"/>
    <w:rsid w:val="0077020F"/>
    <w:rsid w:val="007715C9"/>
    <w:rsid w:val="00771613"/>
    <w:rsid w:val="00774EDD"/>
    <w:rsid w:val="0077506D"/>
    <w:rsid w:val="00775541"/>
    <w:rsid w:val="007757EC"/>
    <w:rsid w:val="0077594B"/>
    <w:rsid w:val="007836AA"/>
    <w:rsid w:val="007839F4"/>
    <w:rsid w:val="00783E89"/>
    <w:rsid w:val="00785A9E"/>
    <w:rsid w:val="00785E05"/>
    <w:rsid w:val="00786A17"/>
    <w:rsid w:val="007911DC"/>
    <w:rsid w:val="00792F66"/>
    <w:rsid w:val="00793915"/>
    <w:rsid w:val="007A3DB8"/>
    <w:rsid w:val="007A4CE5"/>
    <w:rsid w:val="007A76C1"/>
    <w:rsid w:val="007B0BA7"/>
    <w:rsid w:val="007B34DB"/>
    <w:rsid w:val="007B4C4F"/>
    <w:rsid w:val="007B62C8"/>
    <w:rsid w:val="007C2253"/>
    <w:rsid w:val="007D016C"/>
    <w:rsid w:val="007D230B"/>
    <w:rsid w:val="007D51B9"/>
    <w:rsid w:val="007D5496"/>
    <w:rsid w:val="007D586F"/>
    <w:rsid w:val="007E163D"/>
    <w:rsid w:val="007E3C8F"/>
    <w:rsid w:val="007E667A"/>
    <w:rsid w:val="007F08A7"/>
    <w:rsid w:val="007F18D7"/>
    <w:rsid w:val="007F1D72"/>
    <w:rsid w:val="007F28C9"/>
    <w:rsid w:val="007F5A92"/>
    <w:rsid w:val="00800A66"/>
    <w:rsid w:val="008010D0"/>
    <w:rsid w:val="00801F2E"/>
    <w:rsid w:val="00802F94"/>
    <w:rsid w:val="0080302C"/>
    <w:rsid w:val="0080312D"/>
    <w:rsid w:val="00803587"/>
    <w:rsid w:val="008048C0"/>
    <w:rsid w:val="00804978"/>
    <w:rsid w:val="008112EC"/>
    <w:rsid w:val="008117E9"/>
    <w:rsid w:val="00812F9A"/>
    <w:rsid w:val="00821294"/>
    <w:rsid w:val="00822A4D"/>
    <w:rsid w:val="0082307E"/>
    <w:rsid w:val="00823A05"/>
    <w:rsid w:val="00824498"/>
    <w:rsid w:val="008260BA"/>
    <w:rsid w:val="008274E7"/>
    <w:rsid w:val="00827A41"/>
    <w:rsid w:val="00830C86"/>
    <w:rsid w:val="00831F07"/>
    <w:rsid w:val="008339FA"/>
    <w:rsid w:val="00840442"/>
    <w:rsid w:val="00846008"/>
    <w:rsid w:val="008475FB"/>
    <w:rsid w:val="00847D4F"/>
    <w:rsid w:val="008500B0"/>
    <w:rsid w:val="00850612"/>
    <w:rsid w:val="00851ABF"/>
    <w:rsid w:val="008527C0"/>
    <w:rsid w:val="00856A31"/>
    <w:rsid w:val="008570CF"/>
    <w:rsid w:val="00860B58"/>
    <w:rsid w:val="00864902"/>
    <w:rsid w:val="00864CC5"/>
    <w:rsid w:val="0086586D"/>
    <w:rsid w:val="00867B37"/>
    <w:rsid w:val="008718DD"/>
    <w:rsid w:val="008735F6"/>
    <w:rsid w:val="00873CF4"/>
    <w:rsid w:val="008754D0"/>
    <w:rsid w:val="00876E60"/>
    <w:rsid w:val="00877716"/>
    <w:rsid w:val="00880F4C"/>
    <w:rsid w:val="00882782"/>
    <w:rsid w:val="00885325"/>
    <w:rsid w:val="008855C9"/>
    <w:rsid w:val="0088621E"/>
    <w:rsid w:val="00886456"/>
    <w:rsid w:val="00890105"/>
    <w:rsid w:val="00893AE3"/>
    <w:rsid w:val="008945E0"/>
    <w:rsid w:val="00894CC8"/>
    <w:rsid w:val="0089527F"/>
    <w:rsid w:val="008953E3"/>
    <w:rsid w:val="008A0340"/>
    <w:rsid w:val="008A362B"/>
    <w:rsid w:val="008A46E1"/>
    <w:rsid w:val="008A4F43"/>
    <w:rsid w:val="008A66E0"/>
    <w:rsid w:val="008B2706"/>
    <w:rsid w:val="008B4F41"/>
    <w:rsid w:val="008B64F1"/>
    <w:rsid w:val="008C0F29"/>
    <w:rsid w:val="008C6A8E"/>
    <w:rsid w:val="008C7209"/>
    <w:rsid w:val="008D04AA"/>
    <w:rsid w:val="008D07B9"/>
    <w:rsid w:val="008D0EE0"/>
    <w:rsid w:val="008D3422"/>
    <w:rsid w:val="008D41F4"/>
    <w:rsid w:val="008D46D0"/>
    <w:rsid w:val="008D5E0B"/>
    <w:rsid w:val="008E17D0"/>
    <w:rsid w:val="008E2630"/>
    <w:rsid w:val="008E6067"/>
    <w:rsid w:val="008E69F1"/>
    <w:rsid w:val="008F3F4A"/>
    <w:rsid w:val="008F54E7"/>
    <w:rsid w:val="008F5717"/>
    <w:rsid w:val="008F659A"/>
    <w:rsid w:val="008F6979"/>
    <w:rsid w:val="009016BE"/>
    <w:rsid w:val="00901B28"/>
    <w:rsid w:val="0090208B"/>
    <w:rsid w:val="00902220"/>
    <w:rsid w:val="00903422"/>
    <w:rsid w:val="00904A47"/>
    <w:rsid w:val="00907C65"/>
    <w:rsid w:val="00914241"/>
    <w:rsid w:val="00914DFC"/>
    <w:rsid w:val="009157B9"/>
    <w:rsid w:val="00915DF9"/>
    <w:rsid w:val="00917A96"/>
    <w:rsid w:val="00921002"/>
    <w:rsid w:val="00921549"/>
    <w:rsid w:val="00921FD7"/>
    <w:rsid w:val="009231B2"/>
    <w:rsid w:val="00924DA3"/>
    <w:rsid w:val="009254C3"/>
    <w:rsid w:val="00926940"/>
    <w:rsid w:val="009302DE"/>
    <w:rsid w:val="00930A0A"/>
    <w:rsid w:val="00931A16"/>
    <w:rsid w:val="00932377"/>
    <w:rsid w:val="00934560"/>
    <w:rsid w:val="00936E97"/>
    <w:rsid w:val="00941524"/>
    <w:rsid w:val="00942BC5"/>
    <w:rsid w:val="00943920"/>
    <w:rsid w:val="009460DC"/>
    <w:rsid w:val="00947D5A"/>
    <w:rsid w:val="00951579"/>
    <w:rsid w:val="0095288F"/>
    <w:rsid w:val="00952C60"/>
    <w:rsid w:val="009532A5"/>
    <w:rsid w:val="00954B85"/>
    <w:rsid w:val="0095528E"/>
    <w:rsid w:val="00955537"/>
    <w:rsid w:val="00961671"/>
    <w:rsid w:val="0096171C"/>
    <w:rsid w:val="00962745"/>
    <w:rsid w:val="00963288"/>
    <w:rsid w:val="00965D24"/>
    <w:rsid w:val="009669A2"/>
    <w:rsid w:val="009669CE"/>
    <w:rsid w:val="00966EA8"/>
    <w:rsid w:val="0096753E"/>
    <w:rsid w:val="00973004"/>
    <w:rsid w:val="009743DC"/>
    <w:rsid w:val="00976332"/>
    <w:rsid w:val="0097697F"/>
    <w:rsid w:val="0098122E"/>
    <w:rsid w:val="00982242"/>
    <w:rsid w:val="00983610"/>
    <w:rsid w:val="009868E9"/>
    <w:rsid w:val="00986BF6"/>
    <w:rsid w:val="00991B5D"/>
    <w:rsid w:val="00993865"/>
    <w:rsid w:val="009944E6"/>
    <w:rsid w:val="009961EC"/>
    <w:rsid w:val="009A170E"/>
    <w:rsid w:val="009A27C4"/>
    <w:rsid w:val="009A49C9"/>
    <w:rsid w:val="009B0C45"/>
    <w:rsid w:val="009B0D84"/>
    <w:rsid w:val="009B15F2"/>
    <w:rsid w:val="009B2B46"/>
    <w:rsid w:val="009B4128"/>
    <w:rsid w:val="009C139B"/>
    <w:rsid w:val="009C1B8D"/>
    <w:rsid w:val="009D1818"/>
    <w:rsid w:val="009D195A"/>
    <w:rsid w:val="009D1A79"/>
    <w:rsid w:val="009E1259"/>
    <w:rsid w:val="009E1A2C"/>
    <w:rsid w:val="009E4E70"/>
    <w:rsid w:val="009E5CFC"/>
    <w:rsid w:val="009E75D0"/>
    <w:rsid w:val="009E794B"/>
    <w:rsid w:val="00A02974"/>
    <w:rsid w:val="00A03943"/>
    <w:rsid w:val="00A044CE"/>
    <w:rsid w:val="00A079CB"/>
    <w:rsid w:val="00A12128"/>
    <w:rsid w:val="00A12F48"/>
    <w:rsid w:val="00A15512"/>
    <w:rsid w:val="00A20B77"/>
    <w:rsid w:val="00A22C98"/>
    <w:rsid w:val="00A231E2"/>
    <w:rsid w:val="00A306BA"/>
    <w:rsid w:val="00A30E6D"/>
    <w:rsid w:val="00A314AC"/>
    <w:rsid w:val="00A339EE"/>
    <w:rsid w:val="00A33D55"/>
    <w:rsid w:val="00A34412"/>
    <w:rsid w:val="00A349B0"/>
    <w:rsid w:val="00A3698A"/>
    <w:rsid w:val="00A37187"/>
    <w:rsid w:val="00A40424"/>
    <w:rsid w:val="00A40AFD"/>
    <w:rsid w:val="00A50247"/>
    <w:rsid w:val="00A505E0"/>
    <w:rsid w:val="00A5188A"/>
    <w:rsid w:val="00A52B0F"/>
    <w:rsid w:val="00A55012"/>
    <w:rsid w:val="00A551D5"/>
    <w:rsid w:val="00A5632E"/>
    <w:rsid w:val="00A57209"/>
    <w:rsid w:val="00A64912"/>
    <w:rsid w:val="00A7075D"/>
    <w:rsid w:val="00A70A74"/>
    <w:rsid w:val="00A73EB7"/>
    <w:rsid w:val="00A76493"/>
    <w:rsid w:val="00A77FEB"/>
    <w:rsid w:val="00A91966"/>
    <w:rsid w:val="00A92211"/>
    <w:rsid w:val="00A96635"/>
    <w:rsid w:val="00AA66AC"/>
    <w:rsid w:val="00AA6B75"/>
    <w:rsid w:val="00AA759F"/>
    <w:rsid w:val="00AA7854"/>
    <w:rsid w:val="00AB0D65"/>
    <w:rsid w:val="00AB1DE8"/>
    <w:rsid w:val="00AB6C8B"/>
    <w:rsid w:val="00AC0886"/>
    <w:rsid w:val="00AC2871"/>
    <w:rsid w:val="00AC2BC6"/>
    <w:rsid w:val="00AC3526"/>
    <w:rsid w:val="00AC774F"/>
    <w:rsid w:val="00AD1F73"/>
    <w:rsid w:val="00AD5315"/>
    <w:rsid w:val="00AD5641"/>
    <w:rsid w:val="00AD7889"/>
    <w:rsid w:val="00AD79F3"/>
    <w:rsid w:val="00AD7A49"/>
    <w:rsid w:val="00AE105A"/>
    <w:rsid w:val="00AE27D5"/>
    <w:rsid w:val="00AE465B"/>
    <w:rsid w:val="00AF021B"/>
    <w:rsid w:val="00AF06CF"/>
    <w:rsid w:val="00AF1B98"/>
    <w:rsid w:val="00AF30E7"/>
    <w:rsid w:val="00AF5AA5"/>
    <w:rsid w:val="00B007DE"/>
    <w:rsid w:val="00B00C85"/>
    <w:rsid w:val="00B037F8"/>
    <w:rsid w:val="00B07CDB"/>
    <w:rsid w:val="00B126D1"/>
    <w:rsid w:val="00B15DC4"/>
    <w:rsid w:val="00B16A31"/>
    <w:rsid w:val="00B17DFD"/>
    <w:rsid w:val="00B23242"/>
    <w:rsid w:val="00B23412"/>
    <w:rsid w:val="00B245BD"/>
    <w:rsid w:val="00B2799D"/>
    <w:rsid w:val="00B308FE"/>
    <w:rsid w:val="00B33709"/>
    <w:rsid w:val="00B33A6F"/>
    <w:rsid w:val="00B33B3C"/>
    <w:rsid w:val="00B33BD1"/>
    <w:rsid w:val="00B33F60"/>
    <w:rsid w:val="00B35C30"/>
    <w:rsid w:val="00B43440"/>
    <w:rsid w:val="00B45D21"/>
    <w:rsid w:val="00B46594"/>
    <w:rsid w:val="00B50ADC"/>
    <w:rsid w:val="00B5136B"/>
    <w:rsid w:val="00B566B1"/>
    <w:rsid w:val="00B61EE6"/>
    <w:rsid w:val="00B63834"/>
    <w:rsid w:val="00B6409A"/>
    <w:rsid w:val="00B64518"/>
    <w:rsid w:val="00B65872"/>
    <w:rsid w:val="00B7262B"/>
    <w:rsid w:val="00B72734"/>
    <w:rsid w:val="00B73B5E"/>
    <w:rsid w:val="00B7438D"/>
    <w:rsid w:val="00B80199"/>
    <w:rsid w:val="00B82D81"/>
    <w:rsid w:val="00B83204"/>
    <w:rsid w:val="00B9020E"/>
    <w:rsid w:val="00B911D1"/>
    <w:rsid w:val="00B9126E"/>
    <w:rsid w:val="00BA1226"/>
    <w:rsid w:val="00BA220B"/>
    <w:rsid w:val="00BA2A5C"/>
    <w:rsid w:val="00BA3A57"/>
    <w:rsid w:val="00BA4ACD"/>
    <w:rsid w:val="00BA66F5"/>
    <w:rsid w:val="00BA6C7A"/>
    <w:rsid w:val="00BB066C"/>
    <w:rsid w:val="00BB3A5D"/>
    <w:rsid w:val="00BB4E1A"/>
    <w:rsid w:val="00BB5C17"/>
    <w:rsid w:val="00BB770E"/>
    <w:rsid w:val="00BC015E"/>
    <w:rsid w:val="00BC12CC"/>
    <w:rsid w:val="00BC300D"/>
    <w:rsid w:val="00BC7183"/>
    <w:rsid w:val="00BC76AC"/>
    <w:rsid w:val="00BD0ECB"/>
    <w:rsid w:val="00BD146C"/>
    <w:rsid w:val="00BD30CB"/>
    <w:rsid w:val="00BD7861"/>
    <w:rsid w:val="00BE2127"/>
    <w:rsid w:val="00BE2155"/>
    <w:rsid w:val="00BE2213"/>
    <w:rsid w:val="00BE3C2F"/>
    <w:rsid w:val="00BE3D6B"/>
    <w:rsid w:val="00BE4589"/>
    <w:rsid w:val="00BE5A38"/>
    <w:rsid w:val="00BE719A"/>
    <w:rsid w:val="00BE720A"/>
    <w:rsid w:val="00BF0D73"/>
    <w:rsid w:val="00BF1958"/>
    <w:rsid w:val="00BF2465"/>
    <w:rsid w:val="00BF75C9"/>
    <w:rsid w:val="00C0488D"/>
    <w:rsid w:val="00C049CF"/>
    <w:rsid w:val="00C0544A"/>
    <w:rsid w:val="00C0554A"/>
    <w:rsid w:val="00C05ABD"/>
    <w:rsid w:val="00C07F6E"/>
    <w:rsid w:val="00C10931"/>
    <w:rsid w:val="00C10B77"/>
    <w:rsid w:val="00C11452"/>
    <w:rsid w:val="00C15981"/>
    <w:rsid w:val="00C21821"/>
    <w:rsid w:val="00C21A15"/>
    <w:rsid w:val="00C24407"/>
    <w:rsid w:val="00C25728"/>
    <w:rsid w:val="00C25E7F"/>
    <w:rsid w:val="00C2746F"/>
    <w:rsid w:val="00C3090D"/>
    <w:rsid w:val="00C319F8"/>
    <w:rsid w:val="00C3238A"/>
    <w:rsid w:val="00C324A0"/>
    <w:rsid w:val="00C3300F"/>
    <w:rsid w:val="00C34E77"/>
    <w:rsid w:val="00C35875"/>
    <w:rsid w:val="00C35DAF"/>
    <w:rsid w:val="00C42BF8"/>
    <w:rsid w:val="00C45171"/>
    <w:rsid w:val="00C47DD1"/>
    <w:rsid w:val="00C50043"/>
    <w:rsid w:val="00C5013B"/>
    <w:rsid w:val="00C5083B"/>
    <w:rsid w:val="00C50948"/>
    <w:rsid w:val="00C50B97"/>
    <w:rsid w:val="00C50FCB"/>
    <w:rsid w:val="00C51172"/>
    <w:rsid w:val="00C53561"/>
    <w:rsid w:val="00C543A0"/>
    <w:rsid w:val="00C63B73"/>
    <w:rsid w:val="00C6434E"/>
    <w:rsid w:val="00C64A0F"/>
    <w:rsid w:val="00C70CA8"/>
    <w:rsid w:val="00C72506"/>
    <w:rsid w:val="00C729F7"/>
    <w:rsid w:val="00C74109"/>
    <w:rsid w:val="00C7573B"/>
    <w:rsid w:val="00C76C80"/>
    <w:rsid w:val="00C7761F"/>
    <w:rsid w:val="00C848AC"/>
    <w:rsid w:val="00C848DF"/>
    <w:rsid w:val="00C8631F"/>
    <w:rsid w:val="00C92631"/>
    <w:rsid w:val="00C93C03"/>
    <w:rsid w:val="00C94CD5"/>
    <w:rsid w:val="00CA27B3"/>
    <w:rsid w:val="00CA66DC"/>
    <w:rsid w:val="00CA7E00"/>
    <w:rsid w:val="00CB0A5C"/>
    <w:rsid w:val="00CB2C8E"/>
    <w:rsid w:val="00CB5B6C"/>
    <w:rsid w:val="00CB602E"/>
    <w:rsid w:val="00CB75D4"/>
    <w:rsid w:val="00CC3F7B"/>
    <w:rsid w:val="00CC44FE"/>
    <w:rsid w:val="00CC4F96"/>
    <w:rsid w:val="00CC5F54"/>
    <w:rsid w:val="00CD2602"/>
    <w:rsid w:val="00CD2E90"/>
    <w:rsid w:val="00CD3463"/>
    <w:rsid w:val="00CD47CD"/>
    <w:rsid w:val="00CE051D"/>
    <w:rsid w:val="00CE1335"/>
    <w:rsid w:val="00CE2032"/>
    <w:rsid w:val="00CE3C14"/>
    <w:rsid w:val="00CE3D2A"/>
    <w:rsid w:val="00CE493D"/>
    <w:rsid w:val="00CE6D42"/>
    <w:rsid w:val="00CF0157"/>
    <w:rsid w:val="00CF07FA"/>
    <w:rsid w:val="00CF0BB2"/>
    <w:rsid w:val="00CF1634"/>
    <w:rsid w:val="00CF3EE8"/>
    <w:rsid w:val="00CF55A8"/>
    <w:rsid w:val="00D04E86"/>
    <w:rsid w:val="00D050E6"/>
    <w:rsid w:val="00D07A76"/>
    <w:rsid w:val="00D1034D"/>
    <w:rsid w:val="00D13441"/>
    <w:rsid w:val="00D14D03"/>
    <w:rsid w:val="00D150E7"/>
    <w:rsid w:val="00D21D21"/>
    <w:rsid w:val="00D2619F"/>
    <w:rsid w:val="00D26524"/>
    <w:rsid w:val="00D306E2"/>
    <w:rsid w:val="00D32F65"/>
    <w:rsid w:val="00D341C4"/>
    <w:rsid w:val="00D37837"/>
    <w:rsid w:val="00D37BA4"/>
    <w:rsid w:val="00D42B42"/>
    <w:rsid w:val="00D42EE5"/>
    <w:rsid w:val="00D50AC8"/>
    <w:rsid w:val="00D525B2"/>
    <w:rsid w:val="00D52DC2"/>
    <w:rsid w:val="00D53BCC"/>
    <w:rsid w:val="00D54EF7"/>
    <w:rsid w:val="00D570B3"/>
    <w:rsid w:val="00D60CC6"/>
    <w:rsid w:val="00D63E7B"/>
    <w:rsid w:val="00D66BFF"/>
    <w:rsid w:val="00D702DE"/>
    <w:rsid w:val="00D70BD6"/>
    <w:rsid w:val="00D70DFB"/>
    <w:rsid w:val="00D73C22"/>
    <w:rsid w:val="00D751B0"/>
    <w:rsid w:val="00D759A3"/>
    <w:rsid w:val="00D766DF"/>
    <w:rsid w:val="00D775A7"/>
    <w:rsid w:val="00D77EA6"/>
    <w:rsid w:val="00D84754"/>
    <w:rsid w:val="00D84AE8"/>
    <w:rsid w:val="00D9263C"/>
    <w:rsid w:val="00D9324D"/>
    <w:rsid w:val="00D970CB"/>
    <w:rsid w:val="00D978C6"/>
    <w:rsid w:val="00DA0E2A"/>
    <w:rsid w:val="00DA186E"/>
    <w:rsid w:val="00DA2C4A"/>
    <w:rsid w:val="00DA4116"/>
    <w:rsid w:val="00DA4943"/>
    <w:rsid w:val="00DB0C1D"/>
    <w:rsid w:val="00DB11CF"/>
    <w:rsid w:val="00DB251C"/>
    <w:rsid w:val="00DB3059"/>
    <w:rsid w:val="00DB38AD"/>
    <w:rsid w:val="00DB4630"/>
    <w:rsid w:val="00DB4A6E"/>
    <w:rsid w:val="00DB6C90"/>
    <w:rsid w:val="00DC10A4"/>
    <w:rsid w:val="00DC4295"/>
    <w:rsid w:val="00DC4445"/>
    <w:rsid w:val="00DC4BBB"/>
    <w:rsid w:val="00DC4F88"/>
    <w:rsid w:val="00DC50BA"/>
    <w:rsid w:val="00DD3ACF"/>
    <w:rsid w:val="00DD3CCF"/>
    <w:rsid w:val="00DD63E6"/>
    <w:rsid w:val="00DE07FE"/>
    <w:rsid w:val="00DE221A"/>
    <w:rsid w:val="00DE231A"/>
    <w:rsid w:val="00DE2472"/>
    <w:rsid w:val="00DE5940"/>
    <w:rsid w:val="00DE730C"/>
    <w:rsid w:val="00DE79F9"/>
    <w:rsid w:val="00DF180E"/>
    <w:rsid w:val="00DF3BC3"/>
    <w:rsid w:val="00E00DFC"/>
    <w:rsid w:val="00E03C0C"/>
    <w:rsid w:val="00E04EAF"/>
    <w:rsid w:val="00E05704"/>
    <w:rsid w:val="00E058D0"/>
    <w:rsid w:val="00E069CC"/>
    <w:rsid w:val="00E06CC3"/>
    <w:rsid w:val="00E11D5F"/>
    <w:rsid w:val="00E11E44"/>
    <w:rsid w:val="00E12F78"/>
    <w:rsid w:val="00E13AFA"/>
    <w:rsid w:val="00E14486"/>
    <w:rsid w:val="00E15033"/>
    <w:rsid w:val="00E1508E"/>
    <w:rsid w:val="00E15A9C"/>
    <w:rsid w:val="00E174C4"/>
    <w:rsid w:val="00E2168B"/>
    <w:rsid w:val="00E21F03"/>
    <w:rsid w:val="00E249A0"/>
    <w:rsid w:val="00E2555A"/>
    <w:rsid w:val="00E27186"/>
    <w:rsid w:val="00E338EF"/>
    <w:rsid w:val="00E366B4"/>
    <w:rsid w:val="00E37CD5"/>
    <w:rsid w:val="00E40FF8"/>
    <w:rsid w:val="00E456AA"/>
    <w:rsid w:val="00E47DF5"/>
    <w:rsid w:val="00E544BB"/>
    <w:rsid w:val="00E551EB"/>
    <w:rsid w:val="00E578EC"/>
    <w:rsid w:val="00E60423"/>
    <w:rsid w:val="00E617C8"/>
    <w:rsid w:val="00E649D7"/>
    <w:rsid w:val="00E659D2"/>
    <w:rsid w:val="00E65BE7"/>
    <w:rsid w:val="00E662CB"/>
    <w:rsid w:val="00E669D7"/>
    <w:rsid w:val="00E70BA7"/>
    <w:rsid w:val="00E70E8F"/>
    <w:rsid w:val="00E71C3E"/>
    <w:rsid w:val="00E74050"/>
    <w:rsid w:val="00E74A37"/>
    <w:rsid w:val="00E74DC7"/>
    <w:rsid w:val="00E75FE4"/>
    <w:rsid w:val="00E7639A"/>
    <w:rsid w:val="00E80220"/>
    <w:rsid w:val="00E8075A"/>
    <w:rsid w:val="00E818A6"/>
    <w:rsid w:val="00E81D34"/>
    <w:rsid w:val="00E827B1"/>
    <w:rsid w:val="00E84970"/>
    <w:rsid w:val="00E84FE4"/>
    <w:rsid w:val="00E85A91"/>
    <w:rsid w:val="00E86CAC"/>
    <w:rsid w:val="00E873D7"/>
    <w:rsid w:val="00E87718"/>
    <w:rsid w:val="00E94D5E"/>
    <w:rsid w:val="00E961B2"/>
    <w:rsid w:val="00EA22AE"/>
    <w:rsid w:val="00EA5B81"/>
    <w:rsid w:val="00EA6652"/>
    <w:rsid w:val="00EA7100"/>
    <w:rsid w:val="00EA7BED"/>
    <w:rsid w:val="00EA7F9F"/>
    <w:rsid w:val="00EB0E70"/>
    <w:rsid w:val="00EB1274"/>
    <w:rsid w:val="00EB32AA"/>
    <w:rsid w:val="00EB38D7"/>
    <w:rsid w:val="00EC01D9"/>
    <w:rsid w:val="00EC4757"/>
    <w:rsid w:val="00EC615E"/>
    <w:rsid w:val="00EC7EDB"/>
    <w:rsid w:val="00ED24A4"/>
    <w:rsid w:val="00ED2BB6"/>
    <w:rsid w:val="00ED34E1"/>
    <w:rsid w:val="00ED3B8D"/>
    <w:rsid w:val="00ED4E7B"/>
    <w:rsid w:val="00ED5550"/>
    <w:rsid w:val="00ED56BF"/>
    <w:rsid w:val="00ED7713"/>
    <w:rsid w:val="00EE2788"/>
    <w:rsid w:val="00EE54EC"/>
    <w:rsid w:val="00EF0065"/>
    <w:rsid w:val="00EF15D3"/>
    <w:rsid w:val="00EF2E3A"/>
    <w:rsid w:val="00EF799E"/>
    <w:rsid w:val="00F00F3B"/>
    <w:rsid w:val="00F02EF9"/>
    <w:rsid w:val="00F047D8"/>
    <w:rsid w:val="00F05DF1"/>
    <w:rsid w:val="00F06F0D"/>
    <w:rsid w:val="00F072A7"/>
    <w:rsid w:val="00F078DC"/>
    <w:rsid w:val="00F100CF"/>
    <w:rsid w:val="00F13DC5"/>
    <w:rsid w:val="00F14593"/>
    <w:rsid w:val="00F14B80"/>
    <w:rsid w:val="00F156C4"/>
    <w:rsid w:val="00F171A1"/>
    <w:rsid w:val="00F17DC4"/>
    <w:rsid w:val="00F22D16"/>
    <w:rsid w:val="00F232B1"/>
    <w:rsid w:val="00F247E0"/>
    <w:rsid w:val="00F262B0"/>
    <w:rsid w:val="00F275CE"/>
    <w:rsid w:val="00F30774"/>
    <w:rsid w:val="00F31108"/>
    <w:rsid w:val="00F31686"/>
    <w:rsid w:val="00F32BA8"/>
    <w:rsid w:val="00F349F1"/>
    <w:rsid w:val="00F4215A"/>
    <w:rsid w:val="00F4332D"/>
    <w:rsid w:val="00F4350D"/>
    <w:rsid w:val="00F44D00"/>
    <w:rsid w:val="00F47487"/>
    <w:rsid w:val="00F50532"/>
    <w:rsid w:val="00F5274E"/>
    <w:rsid w:val="00F54781"/>
    <w:rsid w:val="00F5517B"/>
    <w:rsid w:val="00F55575"/>
    <w:rsid w:val="00F567F7"/>
    <w:rsid w:val="00F61B09"/>
    <w:rsid w:val="00F62036"/>
    <w:rsid w:val="00F62A8A"/>
    <w:rsid w:val="00F64697"/>
    <w:rsid w:val="00F65B52"/>
    <w:rsid w:val="00F65F3E"/>
    <w:rsid w:val="00F67BCA"/>
    <w:rsid w:val="00F706F6"/>
    <w:rsid w:val="00F72B3D"/>
    <w:rsid w:val="00F73BD6"/>
    <w:rsid w:val="00F742DA"/>
    <w:rsid w:val="00F77589"/>
    <w:rsid w:val="00F80EF3"/>
    <w:rsid w:val="00F83989"/>
    <w:rsid w:val="00F85064"/>
    <w:rsid w:val="00F85099"/>
    <w:rsid w:val="00F85B39"/>
    <w:rsid w:val="00F8647B"/>
    <w:rsid w:val="00F915B0"/>
    <w:rsid w:val="00F93423"/>
    <w:rsid w:val="00F9379C"/>
    <w:rsid w:val="00F9632C"/>
    <w:rsid w:val="00FA1E52"/>
    <w:rsid w:val="00FA31DE"/>
    <w:rsid w:val="00FA4602"/>
    <w:rsid w:val="00FA5B22"/>
    <w:rsid w:val="00FA6F90"/>
    <w:rsid w:val="00FA7D17"/>
    <w:rsid w:val="00FB329B"/>
    <w:rsid w:val="00FC223C"/>
    <w:rsid w:val="00FC3EB8"/>
    <w:rsid w:val="00FC4AD0"/>
    <w:rsid w:val="00FC5420"/>
    <w:rsid w:val="00FC6B02"/>
    <w:rsid w:val="00FC77F7"/>
    <w:rsid w:val="00FC7D25"/>
    <w:rsid w:val="00FD13CC"/>
    <w:rsid w:val="00FD44B0"/>
    <w:rsid w:val="00FE142D"/>
    <w:rsid w:val="00FE29E5"/>
    <w:rsid w:val="00FE38B5"/>
    <w:rsid w:val="00FE4688"/>
    <w:rsid w:val="00FE7187"/>
    <w:rsid w:val="00FE72D6"/>
    <w:rsid w:val="00FE79D0"/>
    <w:rsid w:val="00FF27B3"/>
    <w:rsid w:val="00FF3E42"/>
    <w:rsid w:val="00FF5555"/>
    <w:rsid w:val="00FF61D3"/>
    <w:rsid w:val="00FF6B68"/>
    <w:rsid w:val="00FF6F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CA11A8"/>
  <w15:chartTrackingRefBased/>
  <w15:docId w15:val="{C52A65B8-9ABF-45DA-94EF-F5675D5D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numPr>
        <w:ilvl w:val="2"/>
        <w:numId w:val="19"/>
      </w:numPr>
      <w:spacing w:before="60" w:line="240" w:lineRule="atLeast"/>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numPr>
        <w:ilvl w:val="3"/>
        <w:numId w:val="19"/>
      </w:numPr>
      <w:tabs>
        <w:tab w:val="right" w:pos="1083"/>
      </w:tabs>
      <w:spacing w:before="60" w:line="240" w:lineRule="auto"/>
    </w:pPr>
    <w:rPr>
      <w:sz w:val="20"/>
    </w:rPr>
  </w:style>
  <w:style w:type="paragraph" w:customStyle="1" w:styleId="EndNotessubsubpara">
    <w:name w:val="EndNotes(subsubpara)"/>
    <w:aliases w:val="Enaaa"/>
    <w:basedOn w:val="OPCParaBase"/>
    <w:semiHidden/>
    <w:rsid w:val="00F61B09"/>
    <w:pPr>
      <w:numPr>
        <w:ilvl w:val="4"/>
        <w:numId w:val="19"/>
      </w:numPr>
      <w:tabs>
        <w:tab w:val="right" w:pos="1412"/>
      </w:tabs>
      <w:spacing w:before="60" w:line="240" w:lineRule="auto"/>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styleId="UnresolvedMention">
    <w:name w:val="Unresolved Mention"/>
    <w:uiPriority w:val="99"/>
    <w:semiHidden/>
    <w:unhideWhenUsed/>
    <w:rsid w:val="00A03943"/>
    <w:rPr>
      <w:color w:val="605E5C"/>
      <w:shd w:val="clear" w:color="auto" w:fill="E1DFDD"/>
    </w:rPr>
  </w:style>
  <w:style w:type="character" w:customStyle="1" w:styleId="LI-SectionsubsubparaAChar">
    <w:name w:val="LI - Section subsubpara (A) Char"/>
    <w:link w:val="LI-SectionsubsubparaA"/>
    <w:rsid w:val="006554FF"/>
    <w:rPr>
      <w:rFonts w:eastAsia="Times New Roman"/>
      <w:sz w:val="24"/>
      <w:szCs w:val="24"/>
    </w:rPr>
  </w:style>
  <w:style w:type="paragraph" w:styleId="Revision">
    <w:name w:val="Revision"/>
    <w:hidden/>
    <w:uiPriority w:val="99"/>
    <w:semiHidden/>
    <w:rsid w:val="00B5136B"/>
    <w:rPr>
      <w:sz w:val="22"/>
      <w:lang w:eastAsia="en-US"/>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customStyle="1" w:styleId="li-heading20">
    <w:name w:val="li-heading2"/>
    <w:basedOn w:val="Normal"/>
    <w:rsid w:val="0010527E"/>
    <w:pPr>
      <w:spacing w:before="100" w:beforeAutospacing="1" w:after="100" w:afterAutospacing="1" w:line="240" w:lineRule="auto"/>
    </w:pPr>
    <w:rPr>
      <w:rFonts w:eastAsia="Times New Roman"/>
      <w:sz w:val="24"/>
      <w:szCs w:val="24"/>
      <w:lang w:eastAsia="en-AU"/>
    </w:rPr>
  </w:style>
  <w:style w:type="character" w:customStyle="1" w:styleId="LI-SubtitleChar">
    <w:name w:val="LI - Subtitle Char"/>
    <w:link w:val="LI-Subtitle"/>
    <w:rsid w:val="00243EC0"/>
    <w:rPr>
      <w:b/>
      <w:sz w:val="28"/>
      <w:szCs w:val="28"/>
    </w:rPr>
  </w:style>
  <w:style w:type="paragraph" w:customStyle="1" w:styleId="li-bodytextunnumbered0">
    <w:name w:val="li-bodytextunnumbered"/>
    <w:basedOn w:val="Normal"/>
    <w:rsid w:val="0010527E"/>
    <w:pPr>
      <w:spacing w:before="100" w:beforeAutospacing="1" w:after="100" w:afterAutospacing="1" w:line="240" w:lineRule="auto"/>
    </w:pPr>
    <w:rPr>
      <w:rFonts w:eastAsia="Times New Roman"/>
      <w:sz w:val="24"/>
      <w:szCs w:val="24"/>
      <w:lang w:eastAsia="en-AU"/>
    </w:rPr>
  </w:style>
  <w:style w:type="paragraph" w:customStyle="1" w:styleId="Bodytextplain">
    <w:name w:val="Body text plain"/>
    <w:basedOn w:val="BodyText"/>
    <w:rsid w:val="00D60CC6"/>
    <w:pPr>
      <w:overflowPunct/>
      <w:autoSpaceDE/>
      <w:autoSpaceDN/>
      <w:adjustRightInd/>
      <w:spacing w:before="200" w:after="0"/>
      <w:ind w:left="2268"/>
    </w:pPr>
    <w:rPr>
      <w:color w:val="auto"/>
      <w:sz w:val="22"/>
      <w:szCs w:val="22"/>
      <w:lang w:eastAsia="en-AU"/>
    </w:rPr>
  </w:style>
  <w:style w:type="paragraph" w:customStyle="1" w:styleId="subparaa">
    <w:name w:val="sub para (a)"/>
    <w:basedOn w:val="BodyText"/>
    <w:rsid w:val="00D60CC6"/>
    <w:pPr>
      <w:tabs>
        <w:tab w:val="num" w:pos="2693"/>
      </w:tabs>
      <w:overflowPunct/>
      <w:autoSpaceDE/>
      <w:autoSpaceDN/>
      <w:adjustRightInd/>
      <w:spacing w:before="100" w:after="0"/>
      <w:ind w:left="2693" w:hanging="425"/>
    </w:pPr>
    <w:rPr>
      <w:color w:val="auto"/>
      <w:sz w:val="22"/>
      <w:szCs w:val="22"/>
      <w:lang w:eastAsia="en-AU"/>
    </w:rPr>
  </w:style>
  <w:style w:type="paragraph" w:customStyle="1" w:styleId="subsubparai">
    <w:name w:val="sub sub para (i)"/>
    <w:basedOn w:val="subparaa"/>
    <w:rsid w:val="00D60CC6"/>
    <w:pPr>
      <w:tabs>
        <w:tab w:val="clear" w:pos="2693"/>
        <w:tab w:val="num" w:pos="3119"/>
      </w:tabs>
      <w:ind w:left="3119" w:hanging="426"/>
    </w:pPr>
  </w:style>
  <w:style w:type="paragraph" w:customStyle="1" w:styleId="sub3paraA">
    <w:name w:val="sub3para (A)"/>
    <w:basedOn w:val="subsubparai"/>
    <w:qFormat/>
    <w:rsid w:val="00D60CC6"/>
    <w:pPr>
      <w:tabs>
        <w:tab w:val="clear" w:pos="3119"/>
        <w:tab w:val="num" w:pos="3544"/>
      </w:tabs>
      <w:ind w:left="3544" w:hanging="425"/>
    </w:pPr>
  </w:style>
  <w:style w:type="paragraph" w:customStyle="1" w:styleId="sub4paraI">
    <w:name w:val="sub4para (I)"/>
    <w:basedOn w:val="subsubparai"/>
    <w:qFormat/>
    <w:rsid w:val="00D60CC6"/>
    <w:pPr>
      <w:tabs>
        <w:tab w:val="clear" w:pos="3119"/>
        <w:tab w:val="num" w:pos="3969"/>
      </w:tabs>
      <w:ind w:left="3969" w:hanging="425"/>
    </w:pPr>
  </w:style>
  <w:style w:type="paragraph" w:styleId="ListParagraph">
    <w:name w:val="List Paragraph"/>
    <w:basedOn w:val="Normal"/>
    <w:uiPriority w:val="34"/>
    <w:qFormat/>
    <w:rsid w:val="00D60CC6"/>
    <w:pPr>
      <w:ind w:left="720"/>
    </w:pPr>
  </w:style>
  <w:style w:type="paragraph" w:styleId="NormalWeb">
    <w:name w:val="Normal (Web)"/>
    <w:basedOn w:val="Normal"/>
    <w:uiPriority w:val="99"/>
    <w:semiHidden/>
    <w:unhideWhenUsed/>
    <w:rsid w:val="00735167"/>
    <w:pPr>
      <w:spacing w:before="100" w:beforeAutospacing="1" w:after="100" w:afterAutospacing="1" w:line="240" w:lineRule="auto"/>
    </w:pPr>
    <w:rPr>
      <w:rFonts w:eastAsia="Times New Roman"/>
      <w:sz w:val="24"/>
      <w:szCs w:val="24"/>
      <w:lang w:eastAsia="en-AU"/>
    </w:rPr>
  </w:style>
  <w:style w:type="character" w:styleId="FollowedHyperlink">
    <w:name w:val="FollowedHyperlink"/>
    <w:basedOn w:val="DefaultParagraphFont"/>
    <w:uiPriority w:val="99"/>
    <w:semiHidden/>
    <w:unhideWhenUsed/>
    <w:rsid w:val="00EA5B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5858">
      <w:bodyDiv w:val="1"/>
      <w:marLeft w:val="0"/>
      <w:marRight w:val="0"/>
      <w:marTop w:val="0"/>
      <w:marBottom w:val="0"/>
      <w:divBdr>
        <w:top w:val="none" w:sz="0" w:space="0" w:color="auto"/>
        <w:left w:val="none" w:sz="0" w:space="0" w:color="auto"/>
        <w:bottom w:val="none" w:sz="0" w:space="0" w:color="auto"/>
        <w:right w:val="none" w:sz="0" w:space="0" w:color="auto"/>
      </w:divBdr>
    </w:div>
    <w:div w:id="250899117">
      <w:bodyDiv w:val="1"/>
      <w:marLeft w:val="0"/>
      <w:marRight w:val="0"/>
      <w:marTop w:val="0"/>
      <w:marBottom w:val="0"/>
      <w:divBdr>
        <w:top w:val="none" w:sz="0" w:space="0" w:color="auto"/>
        <w:left w:val="none" w:sz="0" w:space="0" w:color="auto"/>
        <w:bottom w:val="none" w:sz="0" w:space="0" w:color="auto"/>
        <w:right w:val="none" w:sz="0" w:space="0" w:color="auto"/>
      </w:divBdr>
    </w:div>
    <w:div w:id="415367854">
      <w:bodyDiv w:val="1"/>
      <w:marLeft w:val="0"/>
      <w:marRight w:val="0"/>
      <w:marTop w:val="0"/>
      <w:marBottom w:val="0"/>
      <w:divBdr>
        <w:top w:val="none" w:sz="0" w:space="0" w:color="auto"/>
        <w:left w:val="none" w:sz="0" w:space="0" w:color="auto"/>
        <w:bottom w:val="none" w:sz="0" w:space="0" w:color="auto"/>
        <w:right w:val="none" w:sz="0" w:space="0" w:color="auto"/>
      </w:divBdr>
    </w:div>
    <w:div w:id="691154600">
      <w:bodyDiv w:val="1"/>
      <w:marLeft w:val="0"/>
      <w:marRight w:val="0"/>
      <w:marTop w:val="0"/>
      <w:marBottom w:val="0"/>
      <w:divBdr>
        <w:top w:val="none" w:sz="0" w:space="0" w:color="auto"/>
        <w:left w:val="none" w:sz="0" w:space="0" w:color="auto"/>
        <w:bottom w:val="none" w:sz="0" w:space="0" w:color="auto"/>
        <w:right w:val="none" w:sz="0" w:space="0" w:color="auto"/>
      </w:divBdr>
    </w:div>
    <w:div w:id="1555194410">
      <w:bodyDiv w:val="1"/>
      <w:marLeft w:val="0"/>
      <w:marRight w:val="0"/>
      <w:marTop w:val="0"/>
      <w:marBottom w:val="0"/>
      <w:divBdr>
        <w:top w:val="none" w:sz="0" w:space="0" w:color="auto"/>
        <w:left w:val="none" w:sz="0" w:space="0" w:color="auto"/>
        <w:bottom w:val="none" w:sz="0" w:space="0" w:color="auto"/>
        <w:right w:val="none" w:sz="0" w:space="0" w:color="auto"/>
      </w:divBdr>
    </w:div>
    <w:div w:id="168501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62FB3D9270BF5A428E87561F54151E3E" ma:contentTypeVersion="8" ma:contentTypeDescription="Create a new document." ma:contentTypeScope="" ma:versionID="f8180deb23cf1a49b431b9116552e965">
  <xsd:schema xmlns:xsd="http://www.w3.org/2001/XMLSchema" xmlns:xs="http://www.w3.org/2001/XMLSchema" xmlns:p="http://schemas.microsoft.com/office/2006/metadata/properties" xmlns:ns2="db2b92ca-6ed0-4085-802d-4c686a2e8c3f" xmlns:ns3="eb44715b-cd74-4c79-92c4-f0e9f1a86440" targetNamespace="http://schemas.microsoft.com/office/2006/metadata/properties" ma:root="true" ma:fieldsID="bc5749294c1e489a80689b73a0c25019" ns2:_="" ns3:_="">
    <xsd:import namespace="db2b92ca-6ed0-4085-802d-4c686a2e8c3f"/>
    <xsd:import namespace="eb44715b-cd74-4c79-92c4-f0e9f1a86440"/>
    <xsd:element name="properties">
      <xsd:complexType>
        <xsd:sequence>
          <xsd:element name="documentManagement">
            <xsd:complexType>
              <xsd:all>
                <xsd:element ref="ns2:NAPReason" minOccurs="0"/>
                <xsd:element ref="ns2:p1abb5e704a84578aa4b8ef0390c3b25" minOccurs="0"/>
                <xsd:element ref="ns2:DocumentNotes" minOccurs="0"/>
                <xsd:element ref="ns3:_dlc_DocId" minOccurs="0"/>
                <xsd:element ref="ns3:_dlc_DocIdUrl" minOccurs="0"/>
                <xsd:element ref="ns3:_dlc_DocIdPersistId" minOccurs="0"/>
                <xsd:element ref="ns3:ECMSP13CreatedBy" minOccurs="0"/>
                <xsd:element ref="ns3:ECMSP13ModifiedBy" minOccurs="0"/>
                <xsd:element ref="ns3:ECMSP13DocumentID" minOccurs="0"/>
                <xsd:element ref="ns3:ECMSP1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nillable="true" ma:displayName="Security Classification_1" ma:hidden="true" ma:internalName="p1abb5e704a84578aa4b8ef0390c3b25">
      <xsd:simpleType>
        <xsd:restriction base="dms:Note"/>
      </xsd:simpleType>
    </xsd:element>
    <xsd:element name="DocumentNotes" ma:index="10"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ECMSP13CreatedBy" ma:index="14" nillable="true" ma:displayName="ECM SP13 Created By" ma:internalName="ECMSP13CreatedBy">
      <xsd:simpleType>
        <xsd:restriction base="dms:Text"/>
      </xsd:simpleType>
    </xsd:element>
    <xsd:element name="ECMSP13ModifiedBy" ma:index="15" nillable="true" ma:displayName="ECM SP13 Modified By" ma:internalName="ECMSP13ModifiedBy">
      <xsd:simpleType>
        <xsd:restriction base="dms:Text"/>
      </xsd:simpleType>
    </xsd:element>
    <xsd:element name="ECMSP13DocumentID" ma:index="16" nillable="true" ma:displayName="ECM SP13 Document ID" ma:internalName="ECMSP13DocumentID">
      <xsd:simpleType>
        <xsd:restriction base="dms:Text"/>
      </xsd:simpleType>
    </xsd:element>
    <xsd:element name="ECMSP13SecurityClassification" ma:index="17" nillable="true" ma:displayName="ECM SP13 Security Classification" ma:internalName="ECMSP13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af302855-5de3-48f9-83c2-fc1acc0f760b" ContentTypeId="0x010100B5F685A1365F544391EF8C813B164F3A" PreviousValue="false" LastSyncTimeStamp="2022-04-21T03:15:02.147Z"/>
</file>

<file path=customXml/item7.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OFFICIAL - Sensitive6eccc17f-024b-41b0-b6b1-faf98d2aff85</p1abb5e704a84578aa4b8ef0390c3b25>
    <DocumentNotes xmlns="db2b92ca-6ed0-4085-802d-4c686a2e8c3f" xsi:nil="true"/>
    <NAPReason xmlns="db2b92ca-6ed0-4085-802d-4c686a2e8c3f" xsi:nil="true"/>
    <_dlc_DocId xmlns="eb44715b-cd74-4c79-92c4-f0e9f1a86440">000853-1726373233-1259</_dlc_DocId>
    <_dlc_DocIdUrl xmlns="eb44715b-cd74-4c79-92c4-f0e9f1a86440">
      <Url>https://asiclink.sharepoint.com/teams/000853/_layouts/15/DocIdRedir.aspx?ID=000853-1726373233-1259</Url>
      <Description>000853-1726373233-1259</Description>
    </_dlc_DocIdUrl>
    <ECMSP13CreatedBy xmlns="eb44715b-cd74-4c79-92c4-f0e9f1a86440" xsi:nil="true"/>
    <ECMSP13ModifiedBy xmlns="eb44715b-cd74-4c79-92c4-f0e9f1a86440" xsi:nil="true"/>
    <ECMSP13SecurityClassification xmlns="eb44715b-cd74-4c79-92c4-f0e9f1a86440" xsi:nil="true"/>
    <ECMSP13DocumentID xmlns="eb44715b-cd74-4c79-92c4-f0e9f1a86440" xsi:nil="true"/>
  </documentManagement>
</p:properties>
</file>

<file path=customXml/itemProps1.xml><?xml version="1.0" encoding="utf-8"?>
<ds:datastoreItem xmlns:ds="http://schemas.openxmlformats.org/officeDocument/2006/customXml" ds:itemID="{BDE1110E-6D90-4127-AF94-8E9F4493C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0E32F-1211-49A2-9085-16C3414D82D0}">
  <ds:schemaRefs>
    <ds:schemaRef ds:uri="http://schemas.openxmlformats.org/officeDocument/2006/bibliography"/>
  </ds:schemaRefs>
</ds:datastoreItem>
</file>

<file path=customXml/itemProps3.xml><?xml version="1.0" encoding="utf-8"?>
<ds:datastoreItem xmlns:ds="http://schemas.openxmlformats.org/officeDocument/2006/customXml" ds:itemID="{4F961165-6120-4A3E-AE2B-9D8FF7F8BFCE}">
  <ds:schemaRefs>
    <ds:schemaRef ds:uri="http://schemas.microsoft.com/sharepoint/v3/contenttype/forms"/>
  </ds:schemaRefs>
</ds:datastoreItem>
</file>

<file path=customXml/itemProps4.xml><?xml version="1.0" encoding="utf-8"?>
<ds:datastoreItem xmlns:ds="http://schemas.openxmlformats.org/officeDocument/2006/customXml" ds:itemID="{EA0689AC-9754-48C2-B241-28336338FA19}">
  <ds:schemaRefs>
    <ds:schemaRef ds:uri="http://schemas.microsoft.com/office/2006/metadata/longProperties"/>
  </ds:schemaRefs>
</ds:datastoreItem>
</file>

<file path=customXml/itemProps5.xml><?xml version="1.0" encoding="utf-8"?>
<ds:datastoreItem xmlns:ds="http://schemas.openxmlformats.org/officeDocument/2006/customXml" ds:itemID="{3FC5A5AB-3482-459E-B9A7-80862A655786}">
  <ds:schemaRefs>
    <ds:schemaRef ds:uri="http://schemas.microsoft.com/sharepoint/events"/>
  </ds:schemaRefs>
</ds:datastoreItem>
</file>

<file path=customXml/itemProps6.xml><?xml version="1.0" encoding="utf-8"?>
<ds:datastoreItem xmlns:ds="http://schemas.openxmlformats.org/officeDocument/2006/customXml" ds:itemID="{191D374E-6A68-48AD-8B01-4A44A9D98AC3}">
  <ds:schemaRefs>
    <ds:schemaRef ds:uri="Microsoft.SharePoint.Taxonomy.ContentTypeSync"/>
  </ds:schemaRefs>
</ds:datastoreItem>
</file>

<file path=customXml/itemProps7.xml><?xml version="1.0" encoding="utf-8"?>
<ds:datastoreItem xmlns:ds="http://schemas.openxmlformats.org/officeDocument/2006/customXml" ds:itemID="{48E43BD7-B6CA-4643-A9A2-84354081B8E8}">
  <ds:schemaRefs>
    <ds:schemaRef ds:uri="http://schemas.microsoft.com/office/2006/metadata/properties"/>
    <ds:schemaRef ds:uri="http://schemas.microsoft.com/office/infopath/2007/PartnerControls"/>
    <ds:schemaRef ds:uri="db2b92ca-6ed0-4085-802d-4c686a2e8c3f"/>
    <ds:schemaRef ds:uri="eb44715b-cd74-4c79-92c4-f0e9f1a86440"/>
  </ds:schemaRefs>
</ds:datastoreItem>
</file>

<file path=docProps/app.xml><?xml version="1.0" encoding="utf-8"?>
<Properties xmlns="http://schemas.openxmlformats.org/officeDocument/2006/extended-properties" xmlns:vt="http://schemas.openxmlformats.org/officeDocument/2006/docPropsVTypes">
  <Template>INST_NEW.DOTX</Template>
  <TotalTime>5</TotalTime>
  <Pages>18</Pages>
  <Words>3951</Words>
  <Characters>22521</Characters>
  <Application>Microsoft Office Word</Application>
  <DocSecurity>0</DocSecurity>
  <PresentationFormat/>
  <Lines>187</Lines>
  <Paragraphs>52</Paragraphs>
  <ScaleCrop>false</ScaleCrop>
  <HeadingPairs>
    <vt:vector size="2" baseType="variant">
      <vt:variant>
        <vt:lpstr>Title</vt:lpstr>
      </vt:variant>
      <vt:variant>
        <vt:i4>1</vt:i4>
      </vt:variant>
    </vt:vector>
  </HeadingPairs>
  <TitlesOfParts>
    <vt:vector size="1" baseType="lpstr">
      <vt:lpstr>ASIC Template (Principal Legislative Instruments - Jan 2019)</vt:lpstr>
    </vt:vector>
  </TitlesOfParts>
  <Company>ASIC</Company>
  <LinksUpToDate>false</LinksUpToDate>
  <CharactersWithSpaces>26420</CharactersWithSpaces>
  <SharedDoc>false</SharedDoc>
  <HyperlinkBase/>
  <HLinks>
    <vt:vector size="60" baseType="variant">
      <vt:variant>
        <vt:i4>6946865</vt:i4>
      </vt:variant>
      <vt:variant>
        <vt:i4>57</vt:i4>
      </vt:variant>
      <vt:variant>
        <vt:i4>0</vt:i4>
      </vt:variant>
      <vt:variant>
        <vt:i4>5</vt:i4>
      </vt:variant>
      <vt:variant>
        <vt:lpwstr>http://www.legislation.gov.au/</vt:lpwstr>
      </vt:variant>
      <vt:variant>
        <vt:lpwstr/>
      </vt:variant>
      <vt:variant>
        <vt:i4>1835057</vt:i4>
      </vt:variant>
      <vt:variant>
        <vt:i4>50</vt:i4>
      </vt:variant>
      <vt:variant>
        <vt:i4>0</vt:i4>
      </vt:variant>
      <vt:variant>
        <vt:i4>5</vt:i4>
      </vt:variant>
      <vt:variant>
        <vt:lpwstr/>
      </vt:variant>
      <vt:variant>
        <vt:lpwstr>_Toc106960024</vt:lpwstr>
      </vt:variant>
      <vt:variant>
        <vt:i4>1835057</vt:i4>
      </vt:variant>
      <vt:variant>
        <vt:i4>44</vt:i4>
      </vt:variant>
      <vt:variant>
        <vt:i4>0</vt:i4>
      </vt:variant>
      <vt:variant>
        <vt:i4>5</vt:i4>
      </vt:variant>
      <vt:variant>
        <vt:lpwstr/>
      </vt:variant>
      <vt:variant>
        <vt:lpwstr>_Toc106960023</vt:lpwstr>
      </vt:variant>
      <vt:variant>
        <vt:i4>1835057</vt:i4>
      </vt:variant>
      <vt:variant>
        <vt:i4>38</vt:i4>
      </vt:variant>
      <vt:variant>
        <vt:i4>0</vt:i4>
      </vt:variant>
      <vt:variant>
        <vt:i4>5</vt:i4>
      </vt:variant>
      <vt:variant>
        <vt:lpwstr/>
      </vt:variant>
      <vt:variant>
        <vt:lpwstr>_Toc106960022</vt:lpwstr>
      </vt:variant>
      <vt:variant>
        <vt:i4>1835057</vt:i4>
      </vt:variant>
      <vt:variant>
        <vt:i4>32</vt:i4>
      </vt:variant>
      <vt:variant>
        <vt:i4>0</vt:i4>
      </vt:variant>
      <vt:variant>
        <vt:i4>5</vt:i4>
      </vt:variant>
      <vt:variant>
        <vt:lpwstr/>
      </vt:variant>
      <vt:variant>
        <vt:lpwstr>_Toc106960021</vt:lpwstr>
      </vt:variant>
      <vt:variant>
        <vt:i4>1835057</vt:i4>
      </vt:variant>
      <vt:variant>
        <vt:i4>26</vt:i4>
      </vt:variant>
      <vt:variant>
        <vt:i4>0</vt:i4>
      </vt:variant>
      <vt:variant>
        <vt:i4>5</vt:i4>
      </vt:variant>
      <vt:variant>
        <vt:lpwstr/>
      </vt:variant>
      <vt:variant>
        <vt:lpwstr>_Toc106960020</vt:lpwstr>
      </vt:variant>
      <vt:variant>
        <vt:i4>2031665</vt:i4>
      </vt:variant>
      <vt:variant>
        <vt:i4>20</vt:i4>
      </vt:variant>
      <vt:variant>
        <vt:i4>0</vt:i4>
      </vt:variant>
      <vt:variant>
        <vt:i4>5</vt:i4>
      </vt:variant>
      <vt:variant>
        <vt:lpwstr/>
      </vt:variant>
      <vt:variant>
        <vt:lpwstr>_Toc106960019</vt:lpwstr>
      </vt:variant>
      <vt:variant>
        <vt:i4>2031665</vt:i4>
      </vt:variant>
      <vt:variant>
        <vt:i4>14</vt:i4>
      </vt:variant>
      <vt:variant>
        <vt:i4>0</vt:i4>
      </vt:variant>
      <vt:variant>
        <vt:i4>5</vt:i4>
      </vt:variant>
      <vt:variant>
        <vt:lpwstr/>
      </vt:variant>
      <vt:variant>
        <vt:lpwstr>_Toc106960018</vt:lpwstr>
      </vt:variant>
      <vt:variant>
        <vt:i4>2031665</vt:i4>
      </vt:variant>
      <vt:variant>
        <vt:i4>8</vt:i4>
      </vt:variant>
      <vt:variant>
        <vt:i4>0</vt:i4>
      </vt:variant>
      <vt:variant>
        <vt:i4>5</vt:i4>
      </vt:variant>
      <vt:variant>
        <vt:lpwstr/>
      </vt:variant>
      <vt:variant>
        <vt:lpwstr>_Toc106960017</vt:lpwstr>
      </vt:variant>
      <vt:variant>
        <vt:i4>2031665</vt:i4>
      </vt:variant>
      <vt:variant>
        <vt:i4>2</vt:i4>
      </vt:variant>
      <vt:variant>
        <vt:i4>0</vt:i4>
      </vt:variant>
      <vt:variant>
        <vt:i4>5</vt:i4>
      </vt:variant>
      <vt:variant>
        <vt:lpwstr/>
      </vt:variant>
      <vt:variant>
        <vt:lpwstr>_Toc106960016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(Principal Legislative Instruments - Jan 2019)</dc:title>
  <dc:subject/>
  <dc:creator>Fiona Laidlaw</dc:creator>
  <cp:keywords/>
  <cp:lastModifiedBy>Narelle Kane</cp:lastModifiedBy>
  <cp:revision>8</cp:revision>
  <cp:lastPrinted>2014-06-13T06:38:00Z</cp:lastPrinted>
  <dcterms:created xsi:type="dcterms:W3CDTF">2022-09-06T01:26:00Z</dcterms:created>
  <dcterms:modified xsi:type="dcterms:W3CDTF">2022-09-06T03:30:00Z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RecordPoint_WorkflowType">
    <vt:lpwstr>ActiveSubmitStub</vt:lpwstr>
  </property>
  <property fmtid="{D5CDD505-2E9C-101B-9397-08002B2CF9AE}" pid="40" name="RecordPoint_ActiveItemSiteId">
    <vt:lpwstr>{0b958f2c-90d4-403d-8438-83e392e48011}</vt:lpwstr>
  </property>
  <property fmtid="{D5CDD505-2E9C-101B-9397-08002B2CF9AE}" pid="41" name="RecordPoint_ActiveItemListId">
    <vt:lpwstr>{5679b934-7e1d-4cfe-9208-49739bf7668a}</vt:lpwstr>
  </property>
  <property fmtid="{D5CDD505-2E9C-101B-9397-08002B2CF9AE}" pid="42" name="RecordPoint_ActiveItemUniqueId">
    <vt:lpwstr>{acf81c8a-8a4d-444e-9014-009b8f2a10f6}</vt:lpwstr>
  </property>
  <property fmtid="{D5CDD505-2E9C-101B-9397-08002B2CF9AE}" pid="43" name="RecordPoint_ActiveItemWebId">
    <vt:lpwstr>{e3c121ce-93ad-4322-8dbe-6959e0a586ce}</vt:lpwstr>
  </property>
  <property fmtid="{D5CDD505-2E9C-101B-9397-08002B2CF9AE}" pid="44" name="IconOverlay">
    <vt:lpwstr/>
  </property>
  <property fmtid="{D5CDD505-2E9C-101B-9397-08002B2CF9AE}" pid="45" name="RecordNumber">
    <vt:lpwstr>R20220001084006</vt:lpwstr>
  </property>
  <property fmtid="{D5CDD505-2E9C-101B-9397-08002B2CF9AE}" pid="46" name="RecordPoint_SubmissionCompleted">
    <vt:lpwstr>2022-06-03T15:51:24.0196603+10:00</vt:lpwstr>
  </property>
  <property fmtid="{D5CDD505-2E9C-101B-9397-08002B2CF9AE}" pid="47" name="RecordPoint_RecordNumberSubmitted">
    <vt:lpwstr>R20220001084006</vt:lpwstr>
  </property>
  <property fmtid="{D5CDD505-2E9C-101B-9397-08002B2CF9AE}" pid="48" name="Reviewers">
    <vt:lpwstr/>
  </property>
  <property fmtid="{D5CDD505-2E9C-101B-9397-08002B2CF9AE}" pid="49" name="NotesLinks">
    <vt:lpwstr/>
  </property>
  <property fmtid="{D5CDD505-2E9C-101B-9397-08002B2CF9AE}" pid="50" name="Approvers">
    <vt:lpwstr/>
  </property>
  <property fmtid="{D5CDD505-2E9C-101B-9397-08002B2CF9AE}" pid="51" name="SecurityClassification">
    <vt:lpwstr>1;#OFFICIAL - Sensitive|6eccc17f-024b-41b0-b6b1-faf98d2aff85</vt:lpwstr>
  </property>
  <property fmtid="{D5CDD505-2E9C-101B-9397-08002B2CF9AE}" pid="52" name="ObjectiveID">
    <vt:lpwstr/>
  </property>
  <property fmtid="{D5CDD505-2E9C-101B-9397-08002B2CF9AE}" pid="53" name="SignificantFlag">
    <vt:lpwstr>0</vt:lpwstr>
  </property>
  <property fmtid="{D5CDD505-2E9C-101B-9397-08002B2CF9AE}" pid="54" name="SenateOrder12">
    <vt:lpwstr>0</vt:lpwstr>
  </property>
  <property fmtid="{D5CDD505-2E9C-101B-9397-08002B2CF9AE}" pid="55" name="ded95d7ab059406991d558011d18c177">
    <vt:lpwstr/>
  </property>
  <property fmtid="{D5CDD505-2E9C-101B-9397-08002B2CF9AE}" pid="56" name="SignificantReason">
    <vt:lpwstr/>
  </property>
  <property fmtid="{D5CDD505-2E9C-101B-9397-08002B2CF9AE}" pid="57" name="Order">
    <vt:lpwstr>96700.0000000000</vt:lpwstr>
  </property>
  <property fmtid="{D5CDD505-2E9C-101B-9397-08002B2CF9AE}" pid="58" name="RecordPoint_SubmissionDate">
    <vt:lpwstr/>
  </property>
  <property fmtid="{D5CDD505-2E9C-101B-9397-08002B2CF9AE}" pid="59" name="RecordPoint_RecordFormat">
    <vt:lpwstr/>
  </property>
  <property fmtid="{D5CDD505-2E9C-101B-9397-08002B2CF9AE}" pid="60" name="p8fbc6b719804e59bcdb664964f27765">
    <vt:lpwstr>OFFICIAL|cffd3088-7a74-4edb-8c9e-fbf79371a422</vt:lpwstr>
  </property>
  <property fmtid="{D5CDD505-2E9C-101B-9397-08002B2CF9AE}" pid="61" name="ContentTypeId">
    <vt:lpwstr>0x010100B5F685A1365F544391EF8C813B164F3A006A0666AD55E74A4AA7B2AAEA6C351A600062FB3D9270BF5A428E87561F54151E3E</vt:lpwstr>
  </property>
  <property fmtid="{D5CDD505-2E9C-101B-9397-08002B2CF9AE}" pid="62" name="p667162f272e4bbe821fb2b66e5d33ca">
    <vt:lpwstr>OFFICIAL - Sensitive|6eccc17f-024b-41b0-b6b1-faf98d2aff85</vt:lpwstr>
  </property>
  <property fmtid="{D5CDD505-2E9C-101B-9397-08002B2CF9AE}" pid="63" name="_dlc_DocId">
    <vt:lpwstr>001086-1713262589-1125</vt:lpwstr>
  </property>
  <property fmtid="{D5CDD505-2E9C-101B-9397-08002B2CF9AE}" pid="64" name="_dlc_DocIdUrl">
    <vt:lpwstr>https://asiclink.sharepoint.com/teams/001086/_layouts/15/DocIdRedir.aspx?ID=001086-1713262589-1125, 001086-1713262589-1125</vt:lpwstr>
  </property>
  <property fmtid="{D5CDD505-2E9C-101B-9397-08002B2CF9AE}" pid="65" name="_dlc_DocIdItemGuid">
    <vt:lpwstr>a9c15aef-fe9e-47d5-9729-67a718b0e30c</vt:lpwstr>
  </property>
  <property fmtid="{D5CDD505-2E9C-101B-9397-08002B2CF9AE}" pid="66" name="MediaServiceImageTags">
    <vt:lpwstr/>
  </property>
  <property fmtid="{D5CDD505-2E9C-101B-9397-08002B2CF9AE}" pid="67" name="CPName">
    <vt:lpwstr/>
  </property>
  <property fmtid="{D5CDD505-2E9C-101B-9397-08002B2CF9AE}" pid="68" name="pf0e8bf7e73f4e03bb5966c3fbaebb0c">
    <vt:lpwstr/>
  </property>
  <property fmtid="{D5CDD505-2E9C-101B-9397-08002B2CF9AE}" pid="69" name="MSIP_Label_a6aead41-07f8-4767-ac8e-ef1c9c793766_Enabled">
    <vt:lpwstr>true</vt:lpwstr>
  </property>
  <property fmtid="{D5CDD505-2E9C-101B-9397-08002B2CF9AE}" pid="70" name="MSIP_Label_a6aead41-07f8-4767-ac8e-ef1c9c793766_SetDate">
    <vt:lpwstr>2022-08-04T02:53:27Z</vt:lpwstr>
  </property>
  <property fmtid="{D5CDD505-2E9C-101B-9397-08002B2CF9AE}" pid="71" name="MSIP_Label_a6aead41-07f8-4767-ac8e-ef1c9c793766_Method">
    <vt:lpwstr>Standard</vt:lpwstr>
  </property>
  <property fmtid="{D5CDD505-2E9C-101B-9397-08002B2CF9AE}" pid="72" name="MSIP_Label_a6aead41-07f8-4767-ac8e-ef1c9c793766_Name">
    <vt:lpwstr>OFFICIAL</vt:lpwstr>
  </property>
  <property fmtid="{D5CDD505-2E9C-101B-9397-08002B2CF9AE}" pid="73" name="MSIP_Label_a6aead41-07f8-4767-ac8e-ef1c9c793766_SiteId">
    <vt:lpwstr>5f1de7c6-55cd-4bb2-902d-514c78cf10f4</vt:lpwstr>
  </property>
  <property fmtid="{D5CDD505-2E9C-101B-9397-08002B2CF9AE}" pid="74" name="MSIP_Label_a6aead41-07f8-4767-ac8e-ef1c9c793766_ActionId">
    <vt:lpwstr>4cff0054-8b7b-4d9a-b768-0a8963c2d9cd</vt:lpwstr>
  </property>
  <property fmtid="{D5CDD505-2E9C-101B-9397-08002B2CF9AE}" pid="75" name="MSIP_Label_a6aead41-07f8-4767-ac8e-ef1c9c793766_ContentBits">
    <vt:lpwstr>0</vt:lpwstr>
  </property>
</Properties>
</file>