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D01E" w14:textId="77777777" w:rsidR="001F3BD0" w:rsidRPr="00BC4AE2" w:rsidRDefault="001F3BD0" w:rsidP="001F3BD0">
      <w:pPr>
        <w:jc w:val="center"/>
        <w:rPr>
          <w:rFonts w:asciiTheme="minorHAnsi" w:hAnsiTheme="minorHAnsi" w:cs="Calibri"/>
          <w:b/>
          <w:bCs/>
          <w:sz w:val="24"/>
          <w:szCs w:val="24"/>
          <w:u w:val="single"/>
        </w:rPr>
      </w:pPr>
      <w:r w:rsidRPr="00BC4AE2">
        <w:rPr>
          <w:rFonts w:asciiTheme="minorHAnsi" w:hAnsiTheme="minorHAnsi" w:cs="Calibri"/>
          <w:b/>
          <w:bCs/>
          <w:sz w:val="24"/>
          <w:szCs w:val="24"/>
          <w:u w:val="single"/>
        </w:rPr>
        <w:t>EXPLANATORY STATEMENT</w:t>
      </w:r>
    </w:p>
    <w:p w14:paraId="3974D57B" w14:textId="77777777" w:rsidR="001F3BD0" w:rsidRPr="00BC4AE2" w:rsidRDefault="001F3BD0" w:rsidP="001F3BD0">
      <w:pPr>
        <w:rPr>
          <w:rFonts w:asciiTheme="minorHAnsi" w:hAnsiTheme="minorHAnsi" w:cs="Calibri"/>
          <w:sz w:val="24"/>
          <w:szCs w:val="24"/>
        </w:rPr>
      </w:pPr>
    </w:p>
    <w:p w14:paraId="522EAD91" w14:textId="77777777" w:rsidR="001F3BD0" w:rsidRPr="00523DF6" w:rsidRDefault="001F3BD0" w:rsidP="00D43178">
      <w:pPr>
        <w:jc w:val="center"/>
        <w:rPr>
          <w:rFonts w:asciiTheme="minorHAnsi" w:hAnsiTheme="minorHAnsi" w:cs="Calibri"/>
          <w:i/>
          <w:iCs/>
        </w:rPr>
      </w:pPr>
      <w:r w:rsidRPr="00523DF6">
        <w:rPr>
          <w:rFonts w:asciiTheme="minorHAnsi" w:hAnsiTheme="minorHAnsi" w:cs="Calibri"/>
          <w:iCs/>
        </w:rPr>
        <w:t>Grant Guidelines made under section 60 of the</w:t>
      </w:r>
      <w:r w:rsidRPr="00523DF6">
        <w:rPr>
          <w:rFonts w:asciiTheme="minorHAnsi" w:hAnsiTheme="minorHAnsi" w:cs="Calibri"/>
          <w:i/>
          <w:iCs/>
        </w:rPr>
        <w:t xml:space="preserve"> Australian Research Council Act 2001</w:t>
      </w:r>
    </w:p>
    <w:p w14:paraId="63C5845E" w14:textId="6645E539" w:rsidR="001F3BD0" w:rsidRPr="00523DF6" w:rsidRDefault="001F3BD0" w:rsidP="00D43178">
      <w:pPr>
        <w:pStyle w:val="GrantGuidelinesaPoints"/>
        <w:numPr>
          <w:ilvl w:val="0"/>
          <w:numId w:val="0"/>
        </w:numPr>
        <w:jc w:val="center"/>
        <w:rPr>
          <w:rFonts w:asciiTheme="minorHAnsi" w:hAnsiTheme="minorHAnsi" w:cs="Calibri"/>
          <w:bCs w:val="0"/>
          <w:iCs/>
        </w:rPr>
      </w:pPr>
      <w:r w:rsidRPr="00523DF6">
        <w:rPr>
          <w:rFonts w:asciiTheme="minorHAnsi" w:hAnsiTheme="minorHAnsi" w:cs="Calibri"/>
          <w:bCs w:val="0"/>
          <w:iCs/>
        </w:rPr>
        <w:t xml:space="preserve">Grant Guidelines for schemes under the Linkage Program 2022— </w:t>
      </w:r>
      <w:r w:rsidR="00050AE6" w:rsidRPr="00523DF6">
        <w:rPr>
          <w:rFonts w:asciiTheme="minorHAnsi" w:hAnsiTheme="minorHAnsi" w:cs="Calibri"/>
          <w:bCs w:val="0"/>
          <w:iCs/>
        </w:rPr>
        <w:t>Industry Fellowships Program (IFP) Grants Guidelines</w:t>
      </w:r>
      <w:r w:rsidRPr="00523DF6">
        <w:rPr>
          <w:rFonts w:asciiTheme="minorHAnsi" w:hAnsiTheme="minorHAnsi" w:cs="Calibri"/>
          <w:iCs/>
        </w:rPr>
        <w:t>.</w:t>
      </w:r>
    </w:p>
    <w:p w14:paraId="2B73EB2F" w14:textId="77777777" w:rsidR="001F3BD0" w:rsidRPr="00523DF6" w:rsidRDefault="001F3BD0" w:rsidP="008D6FEA">
      <w:pPr>
        <w:pStyle w:val="Cover3"/>
      </w:pPr>
    </w:p>
    <w:p w14:paraId="1912262B" w14:textId="190D2C5F" w:rsidR="001F3BD0" w:rsidRPr="008D6FEA" w:rsidRDefault="001F3BD0" w:rsidP="001F3BD0">
      <w:pPr>
        <w:spacing w:before="120" w:after="120"/>
        <w:jc w:val="center"/>
        <w:rPr>
          <w:rFonts w:asciiTheme="minorHAnsi" w:hAnsiTheme="minorHAnsi" w:cstheme="minorHAnsi"/>
        </w:rPr>
      </w:pPr>
      <w:r w:rsidRPr="008D6FEA">
        <w:rPr>
          <w:rFonts w:asciiTheme="minorHAnsi" w:hAnsiTheme="minorHAnsi" w:cstheme="minorHAnsi"/>
        </w:rPr>
        <w:t xml:space="preserve">Issued by the authority of the Minister for Education </w:t>
      </w:r>
    </w:p>
    <w:p w14:paraId="684F0D05" w14:textId="4B8AA13E" w:rsidR="001F3BD0" w:rsidRPr="008D6FEA" w:rsidRDefault="001F3BD0" w:rsidP="008D6FEA">
      <w:pPr>
        <w:pStyle w:val="Cover3"/>
      </w:pPr>
      <w:r w:rsidRPr="008D6FEA">
        <w:rPr>
          <w:rFonts w:asciiTheme="minorHAnsi" w:hAnsiTheme="minorHAnsi" w:cstheme="minorHAnsi"/>
          <w:i/>
        </w:rPr>
        <w:t>Subject:</w:t>
      </w:r>
      <w:r w:rsidRPr="008D6FEA">
        <w:tab/>
      </w:r>
      <w:r w:rsidRPr="008D6FEA">
        <w:rPr>
          <w:rFonts w:asciiTheme="minorHAnsi" w:hAnsiTheme="minorHAnsi" w:cstheme="minorHAnsi"/>
          <w:i/>
        </w:rPr>
        <w:t>Australian Research Council Act 2001—</w:t>
      </w:r>
      <w:r w:rsidRPr="008D6FEA">
        <w:rPr>
          <w:rFonts w:asciiTheme="minorHAnsi" w:hAnsiTheme="minorHAnsi" w:cstheme="minorHAnsi"/>
        </w:rPr>
        <w:t xml:space="preserve"> Grant Guidelines for schemes under the</w:t>
      </w:r>
      <w:r w:rsidR="008D6FEA" w:rsidRPr="008D6FEA">
        <w:rPr>
          <w:rFonts w:asciiTheme="minorHAnsi" w:hAnsiTheme="minorHAnsi" w:cstheme="minorHAnsi"/>
        </w:rPr>
        <w:t xml:space="preserve"> </w:t>
      </w:r>
      <w:r w:rsidRPr="008D6FEA">
        <w:rPr>
          <w:rFonts w:asciiTheme="minorHAnsi" w:hAnsiTheme="minorHAnsi" w:cstheme="minorHAnsi"/>
        </w:rPr>
        <w:t xml:space="preserve">Linkage Program 2022— </w:t>
      </w:r>
      <w:r w:rsidR="006D4D79" w:rsidRPr="008D6FEA">
        <w:rPr>
          <w:rFonts w:asciiTheme="minorHAnsi" w:hAnsiTheme="minorHAnsi" w:cstheme="minorHAnsi"/>
        </w:rPr>
        <w:t>Industry Fellowships Program (IFP) Grants Guidelines</w:t>
      </w:r>
    </w:p>
    <w:p w14:paraId="6D1CFEAB" w14:textId="77777777" w:rsidR="001F3BD0" w:rsidRPr="00523DF6" w:rsidRDefault="001F3BD0" w:rsidP="00733708">
      <w:pPr>
        <w:pStyle w:val="Heading2"/>
        <w:rPr>
          <w:b/>
          <w:bCs/>
          <w:sz w:val="22"/>
          <w:szCs w:val="22"/>
          <w:u w:val="none"/>
        </w:rPr>
      </w:pPr>
      <w:r w:rsidRPr="00523DF6">
        <w:rPr>
          <w:b/>
          <w:bCs/>
          <w:sz w:val="22"/>
          <w:szCs w:val="22"/>
          <w:u w:val="none"/>
        </w:rPr>
        <w:t>Authority</w:t>
      </w:r>
    </w:p>
    <w:p w14:paraId="0C62E940" w14:textId="78DB1285" w:rsidR="001F3BD0" w:rsidRPr="00523DF6" w:rsidRDefault="001F3BD0" w:rsidP="001F3BD0">
      <w:pPr>
        <w:rPr>
          <w:rFonts w:asciiTheme="minorHAnsi" w:hAnsiTheme="minorHAnsi" w:cs="Calibri"/>
        </w:rPr>
      </w:pPr>
      <w:r w:rsidRPr="00523DF6">
        <w:rPr>
          <w:rFonts w:asciiTheme="minorHAnsi" w:hAnsiTheme="minorHAnsi" w:cs="Calibri"/>
        </w:rPr>
        <w:t xml:space="preserve">Section 60 of the </w:t>
      </w:r>
      <w:r w:rsidRPr="00523DF6">
        <w:rPr>
          <w:rFonts w:asciiTheme="minorHAnsi" w:hAnsiTheme="minorHAnsi" w:cs="Calibri"/>
          <w:i/>
          <w:iCs/>
        </w:rPr>
        <w:t xml:space="preserve">Australian Research Council Act 2001 </w:t>
      </w:r>
      <w:r w:rsidRPr="00523DF6">
        <w:rPr>
          <w:rFonts w:asciiTheme="minorHAnsi" w:hAnsiTheme="minorHAnsi" w:cs="Calibri"/>
        </w:rPr>
        <w:t>(the Act) provides that the Minister must approve ARC Grant Guidelines</w:t>
      </w:r>
      <w:r w:rsidR="00E55BDC" w:rsidRPr="00523DF6">
        <w:rPr>
          <w:rFonts w:asciiTheme="minorHAnsi" w:hAnsiTheme="minorHAnsi" w:cs="Calibri"/>
        </w:rPr>
        <w:t xml:space="preserve">. </w:t>
      </w:r>
    </w:p>
    <w:p w14:paraId="499AEAEE" w14:textId="77777777" w:rsidR="001F3BD0" w:rsidRPr="00523DF6" w:rsidRDefault="001F3BD0" w:rsidP="00733708">
      <w:pPr>
        <w:pStyle w:val="Heading2"/>
        <w:rPr>
          <w:b/>
          <w:bCs/>
          <w:sz w:val="22"/>
          <w:szCs w:val="22"/>
          <w:u w:val="none"/>
        </w:rPr>
      </w:pPr>
      <w:r w:rsidRPr="00523DF6">
        <w:rPr>
          <w:b/>
          <w:bCs/>
          <w:sz w:val="22"/>
          <w:szCs w:val="22"/>
          <w:u w:val="none"/>
        </w:rPr>
        <w:t>Purpose and effect</w:t>
      </w:r>
    </w:p>
    <w:p w14:paraId="57338C85" w14:textId="7BF44D49" w:rsidR="001F3BD0" w:rsidRPr="00523DF6" w:rsidRDefault="001F3BD0" w:rsidP="0037202E">
      <w:pPr>
        <w:spacing w:after="120"/>
        <w:rPr>
          <w:rFonts w:asciiTheme="minorHAnsi" w:hAnsiTheme="minorHAnsi" w:cs="Calibri"/>
          <w:lang w:eastAsia="en-AU"/>
        </w:rPr>
      </w:pPr>
      <w:r w:rsidRPr="00523DF6">
        <w:rPr>
          <w:rFonts w:asciiTheme="minorHAnsi" w:hAnsiTheme="minorHAnsi" w:cs="Calibri"/>
          <w:lang w:eastAsia="en-AU"/>
        </w:rPr>
        <w:t xml:space="preserve">The instrument is a legislative instrument for the purposes of the </w:t>
      </w:r>
      <w:r w:rsidRPr="00523DF6">
        <w:rPr>
          <w:rFonts w:asciiTheme="minorHAnsi" w:hAnsiTheme="minorHAnsi" w:cs="Calibri"/>
          <w:i/>
          <w:lang w:eastAsia="en-AU"/>
        </w:rPr>
        <w:t xml:space="preserve">Legislation Act 2003 </w:t>
      </w:r>
      <w:r w:rsidRPr="00523DF6">
        <w:rPr>
          <w:rFonts w:asciiTheme="minorHAnsi" w:hAnsiTheme="minorHAnsi" w:cs="Calibri"/>
          <w:lang w:eastAsia="en-AU"/>
        </w:rPr>
        <w:t>(the LA).</w:t>
      </w:r>
      <w:r w:rsidRPr="00523DF6">
        <w:rPr>
          <w:rFonts w:asciiTheme="minorHAnsi" w:hAnsiTheme="minorHAnsi" w:cs="Calibri"/>
          <w:iCs/>
        </w:rPr>
        <w:t xml:space="preserve"> </w:t>
      </w:r>
      <w:r w:rsidRPr="00523DF6">
        <w:rPr>
          <w:rFonts w:asciiTheme="minorHAnsi" w:hAnsiTheme="minorHAnsi" w:cs="Calibri"/>
          <w:lang w:eastAsia="en-AU"/>
        </w:rPr>
        <w:t xml:space="preserve">These Grant Guidelines relate to a scheme funded under the Linkage Program 2022— </w:t>
      </w:r>
      <w:r w:rsidR="006D4D79" w:rsidRPr="00E003F9">
        <w:rPr>
          <w:rFonts w:asciiTheme="minorHAnsi" w:hAnsiTheme="minorHAnsi" w:cs="Calibri"/>
          <w:lang w:eastAsia="en-AU"/>
        </w:rPr>
        <w:t>Industry Fellowships Program (IFP) Grants Guidelines</w:t>
      </w:r>
      <w:r w:rsidRPr="00523DF6">
        <w:rPr>
          <w:rFonts w:asciiTheme="minorHAnsi" w:hAnsiTheme="minorHAnsi" w:cs="Calibri"/>
          <w:lang w:eastAsia="en-AU"/>
        </w:rPr>
        <w:t xml:space="preserve">. The </w:t>
      </w:r>
      <w:r w:rsidR="00B209FB" w:rsidRPr="00523DF6">
        <w:rPr>
          <w:rFonts w:asciiTheme="minorHAnsi" w:hAnsiTheme="minorHAnsi" w:cs="Calibri"/>
          <w:lang w:eastAsia="en-AU"/>
        </w:rPr>
        <w:t xml:space="preserve">Industry Fellowships Program </w:t>
      </w:r>
      <w:r w:rsidRPr="00523DF6">
        <w:rPr>
          <w:rFonts w:asciiTheme="minorHAnsi" w:hAnsiTheme="minorHAnsi" w:cs="Calibri"/>
          <w:lang w:eastAsia="en-AU"/>
        </w:rPr>
        <w:t xml:space="preserve">provides funding for </w:t>
      </w:r>
      <w:r w:rsidR="00FA366C" w:rsidRPr="00523DF6">
        <w:rPr>
          <w:rFonts w:asciiTheme="minorHAnsi" w:hAnsiTheme="minorHAnsi" w:cs="Calibri"/>
          <w:lang w:eastAsia="en-AU"/>
        </w:rPr>
        <w:t xml:space="preserve">researchers to develop cutting edge innovations and apply their research to addressing industry challenges. The fellowships will provide industry with increased access to individuals with strong technical skills, </w:t>
      </w:r>
      <w:proofErr w:type="gramStart"/>
      <w:r w:rsidR="00FA366C" w:rsidRPr="00523DF6">
        <w:rPr>
          <w:rFonts w:asciiTheme="minorHAnsi" w:hAnsiTheme="minorHAnsi" w:cs="Calibri"/>
          <w:lang w:eastAsia="en-AU"/>
        </w:rPr>
        <w:t>knowledge</w:t>
      </w:r>
      <w:proofErr w:type="gramEnd"/>
      <w:r w:rsidR="00FA366C" w:rsidRPr="00523DF6">
        <w:rPr>
          <w:rFonts w:asciiTheme="minorHAnsi" w:hAnsiTheme="minorHAnsi" w:cs="Calibri"/>
          <w:lang w:eastAsia="en-AU"/>
        </w:rPr>
        <w:t xml:space="preserve"> and research capacity. They will also support universities to bolster their capacity for research commercialisation and translation</w:t>
      </w:r>
      <w:r w:rsidRPr="00523DF6">
        <w:rPr>
          <w:rFonts w:asciiTheme="minorHAnsi" w:hAnsiTheme="minorHAnsi" w:cs="Calibri"/>
          <w:lang w:eastAsia="en-AU"/>
        </w:rPr>
        <w:t>.</w:t>
      </w:r>
    </w:p>
    <w:p w14:paraId="4CB72D41" w14:textId="6C13D9EB" w:rsidR="001F3BD0" w:rsidRPr="00523DF6" w:rsidRDefault="001F3BD0" w:rsidP="0037202E">
      <w:pPr>
        <w:spacing w:after="120"/>
        <w:rPr>
          <w:rFonts w:asciiTheme="minorHAnsi" w:hAnsiTheme="minorHAnsi" w:cstheme="minorHAnsi"/>
        </w:rPr>
      </w:pPr>
      <w:r w:rsidRPr="00E003F9">
        <w:rPr>
          <w:rFonts w:asciiTheme="minorHAnsi" w:hAnsiTheme="minorHAnsi" w:cs="Calibri"/>
          <w:lang w:eastAsia="en-AU"/>
        </w:rPr>
        <w:t xml:space="preserve">In accordance with subsection 59 (2) of the Act, the Grant Guidelines for the scheme under the Linkage Program </w:t>
      </w:r>
      <w:r w:rsidR="00141BA8" w:rsidRPr="00E003F9">
        <w:rPr>
          <w:rFonts w:asciiTheme="minorHAnsi" w:hAnsiTheme="minorHAnsi" w:cs="Calibri"/>
          <w:lang w:eastAsia="en-AU"/>
        </w:rPr>
        <w:t xml:space="preserve">Guidelines 2022 </w:t>
      </w:r>
      <w:r w:rsidRPr="00E003F9">
        <w:rPr>
          <w:rFonts w:asciiTheme="minorHAnsi" w:hAnsiTheme="minorHAnsi" w:cs="Calibri"/>
          <w:lang w:eastAsia="en-AU"/>
        </w:rPr>
        <w:t xml:space="preserve">— </w:t>
      </w:r>
      <w:r w:rsidR="006D4D79" w:rsidRPr="00E003F9">
        <w:rPr>
          <w:rFonts w:asciiTheme="minorHAnsi" w:hAnsiTheme="minorHAnsi" w:cs="Calibri"/>
          <w:lang w:eastAsia="en-AU"/>
        </w:rPr>
        <w:t>Industry Fellowships Program (IFP) Grants Guidelines</w:t>
      </w:r>
      <w:r w:rsidR="006D4D79" w:rsidRPr="00523DF6">
        <w:rPr>
          <w:lang w:eastAsia="en-AU"/>
        </w:rPr>
        <w:t xml:space="preserve"> f</w:t>
      </w:r>
      <w:r w:rsidRPr="00523DF6">
        <w:rPr>
          <w:rFonts w:asciiTheme="minorHAnsi" w:hAnsiTheme="minorHAnsi" w:cstheme="minorHAnsi"/>
        </w:rPr>
        <w:t>or funding commencing in 202</w:t>
      </w:r>
      <w:r w:rsidR="00141BA8" w:rsidRPr="00523DF6">
        <w:rPr>
          <w:rFonts w:asciiTheme="minorHAnsi" w:hAnsiTheme="minorHAnsi" w:cstheme="minorHAnsi"/>
        </w:rPr>
        <w:t>2</w:t>
      </w:r>
      <w:r w:rsidRPr="00523DF6">
        <w:rPr>
          <w:rFonts w:asciiTheme="minorHAnsi" w:hAnsiTheme="minorHAnsi" w:cstheme="minorHAnsi"/>
        </w:rPr>
        <w:t xml:space="preserve"> </w:t>
      </w:r>
      <w:r w:rsidRPr="00523DF6">
        <w:rPr>
          <w:rFonts w:asciiTheme="minorHAnsi" w:hAnsiTheme="minorHAnsi" w:cstheme="minorHAnsi"/>
          <w:lang w:eastAsia="en-AU"/>
        </w:rPr>
        <w:t>contains</w:t>
      </w:r>
      <w:r w:rsidRPr="00523DF6">
        <w:rPr>
          <w:rFonts w:asciiTheme="minorHAnsi" w:hAnsiTheme="minorHAnsi" w:cstheme="minorHAnsi"/>
        </w:rPr>
        <w:t>:</w:t>
      </w:r>
    </w:p>
    <w:p w14:paraId="2A5003EF" w14:textId="2FC70A20" w:rsidR="001F3BD0" w:rsidRPr="00523DF6" w:rsidRDefault="001F3BD0" w:rsidP="001F3BD0">
      <w:pPr>
        <w:ind w:left="720" w:hanging="720"/>
        <w:rPr>
          <w:rFonts w:asciiTheme="minorHAnsi" w:hAnsiTheme="minorHAnsi" w:cs="Calibri"/>
        </w:rPr>
      </w:pPr>
      <w:r w:rsidRPr="00523DF6">
        <w:rPr>
          <w:rFonts w:asciiTheme="minorHAnsi" w:hAnsiTheme="minorHAnsi" w:cs="Calibri"/>
        </w:rPr>
        <w:t>(a)</w:t>
      </w:r>
      <w:r w:rsidRPr="00523DF6">
        <w:rPr>
          <w:rFonts w:asciiTheme="minorHAnsi" w:hAnsiTheme="minorHAnsi" w:cs="Calibri"/>
        </w:rPr>
        <w:tab/>
        <w:t xml:space="preserve">the eligibility criteria to be met </w:t>
      </w:r>
      <w:proofErr w:type="gramStart"/>
      <w:r w:rsidRPr="00523DF6">
        <w:rPr>
          <w:rFonts w:asciiTheme="minorHAnsi" w:hAnsiTheme="minorHAnsi" w:cs="Calibri"/>
        </w:rPr>
        <w:t>in order for</w:t>
      </w:r>
      <w:proofErr w:type="gramEnd"/>
      <w:r w:rsidRPr="00523DF6">
        <w:rPr>
          <w:rFonts w:asciiTheme="minorHAnsi" w:hAnsiTheme="minorHAnsi" w:cs="Calibri"/>
        </w:rPr>
        <w:t xml:space="preserve"> a proposal to be approved for financial assistance (including criteria relating to the kinds of organisation that may receive assistance and the kinds of research program in respect of which assistance may be provided);</w:t>
      </w:r>
    </w:p>
    <w:p w14:paraId="5AB3C230" w14:textId="77777777" w:rsidR="001F3BD0" w:rsidRPr="00523DF6" w:rsidRDefault="001F3BD0" w:rsidP="001F3BD0">
      <w:pPr>
        <w:rPr>
          <w:rFonts w:asciiTheme="minorHAnsi" w:hAnsiTheme="minorHAnsi" w:cs="Calibri"/>
        </w:rPr>
      </w:pPr>
      <w:r w:rsidRPr="00523DF6">
        <w:rPr>
          <w:rFonts w:asciiTheme="minorHAnsi" w:hAnsiTheme="minorHAnsi" w:cs="Calibri"/>
        </w:rPr>
        <w:t>(b)</w:t>
      </w:r>
      <w:r w:rsidRPr="00523DF6">
        <w:rPr>
          <w:rFonts w:asciiTheme="minorHAnsi" w:hAnsiTheme="minorHAnsi" w:cs="Calibri"/>
        </w:rPr>
        <w:tab/>
        <w:t>how to apply for financial assistance;</w:t>
      </w:r>
    </w:p>
    <w:p w14:paraId="3D2D8786" w14:textId="77777777" w:rsidR="001F3BD0" w:rsidRPr="00523DF6" w:rsidRDefault="001F3BD0" w:rsidP="001F3BD0">
      <w:pPr>
        <w:rPr>
          <w:rFonts w:asciiTheme="minorHAnsi" w:hAnsiTheme="minorHAnsi" w:cs="Calibri"/>
        </w:rPr>
      </w:pPr>
      <w:r w:rsidRPr="00523DF6">
        <w:rPr>
          <w:rFonts w:asciiTheme="minorHAnsi" w:hAnsiTheme="minorHAnsi" w:cs="Calibri"/>
        </w:rPr>
        <w:t>(c)</w:t>
      </w:r>
      <w:r w:rsidRPr="00523DF6">
        <w:rPr>
          <w:rFonts w:asciiTheme="minorHAnsi" w:hAnsiTheme="minorHAnsi" w:cs="Calibri"/>
        </w:rPr>
        <w:tab/>
        <w:t>the assessment process for deciding which proposals will be recommended for approval;</w:t>
      </w:r>
    </w:p>
    <w:p w14:paraId="16B50296" w14:textId="77777777" w:rsidR="001F3BD0" w:rsidRPr="00523DF6" w:rsidRDefault="001F3BD0" w:rsidP="001F3BD0">
      <w:pPr>
        <w:rPr>
          <w:rFonts w:asciiTheme="minorHAnsi" w:hAnsiTheme="minorHAnsi" w:cs="Calibri"/>
        </w:rPr>
      </w:pPr>
      <w:r w:rsidRPr="00523DF6">
        <w:rPr>
          <w:rFonts w:asciiTheme="minorHAnsi" w:hAnsiTheme="minorHAnsi" w:cs="Calibri"/>
        </w:rPr>
        <w:t>(d)</w:t>
      </w:r>
      <w:r w:rsidRPr="00523DF6">
        <w:rPr>
          <w:rFonts w:asciiTheme="minorHAnsi" w:hAnsiTheme="minorHAnsi" w:cs="Calibri"/>
        </w:rPr>
        <w:tab/>
        <w:t>the ways in which, and circumstances in which, a funding approval may be varied; and</w:t>
      </w:r>
    </w:p>
    <w:p w14:paraId="39310557" w14:textId="77777777" w:rsidR="001F3BD0" w:rsidRPr="00523DF6" w:rsidRDefault="001F3BD0" w:rsidP="0037202E">
      <w:pPr>
        <w:spacing w:after="120"/>
        <w:rPr>
          <w:rFonts w:asciiTheme="minorHAnsi" w:hAnsiTheme="minorHAnsi" w:cs="Calibri"/>
        </w:rPr>
      </w:pPr>
      <w:r w:rsidRPr="00523DF6">
        <w:rPr>
          <w:rFonts w:asciiTheme="minorHAnsi" w:hAnsiTheme="minorHAnsi" w:cs="Calibri"/>
        </w:rPr>
        <w:t>(e)</w:t>
      </w:r>
      <w:r w:rsidRPr="00523DF6">
        <w:rPr>
          <w:rFonts w:asciiTheme="minorHAnsi" w:hAnsiTheme="minorHAnsi" w:cs="Calibri"/>
        </w:rPr>
        <w:tab/>
        <w:t>any additional accountability requirements that the ARC thinks desirable.</w:t>
      </w:r>
    </w:p>
    <w:p w14:paraId="079E52EF" w14:textId="56E9844B" w:rsidR="001F3BD0" w:rsidRPr="00523DF6" w:rsidRDefault="001F3BD0" w:rsidP="00CA37FA">
      <w:pPr>
        <w:spacing w:after="120"/>
      </w:pPr>
      <w:r w:rsidRPr="00523DF6">
        <w:rPr>
          <w:rFonts w:asciiTheme="minorHAnsi" w:hAnsiTheme="minorHAnsi" w:cstheme="minorHAnsi"/>
          <w:iCs/>
        </w:rPr>
        <w:t>In accordance with subsection 59 (4) of the Act</w:t>
      </w:r>
      <w:r w:rsidRPr="00523DF6">
        <w:rPr>
          <w:rFonts w:asciiTheme="minorHAnsi" w:hAnsiTheme="minorHAnsi" w:cstheme="minorHAnsi"/>
          <w:i/>
        </w:rPr>
        <w:t>,</w:t>
      </w:r>
      <w:r w:rsidRPr="00523DF6">
        <w:rPr>
          <w:i/>
        </w:rPr>
        <w:t xml:space="preserve"> </w:t>
      </w:r>
      <w:r w:rsidRPr="00523DF6">
        <w:rPr>
          <w:rFonts w:asciiTheme="minorHAnsi" w:hAnsiTheme="minorHAnsi" w:cstheme="minorHAnsi"/>
        </w:rPr>
        <w:t xml:space="preserve">the Grant Guidelines for the scheme under the Linkage Program 2022— </w:t>
      </w:r>
      <w:r w:rsidR="006D4D79" w:rsidRPr="00523DF6">
        <w:rPr>
          <w:rFonts w:asciiTheme="minorHAnsi" w:hAnsiTheme="minorHAnsi" w:cstheme="minorHAnsi"/>
        </w:rPr>
        <w:t>Industry Fellowships Program (IFP) Grants Guidelines</w:t>
      </w:r>
      <w:r w:rsidR="006D4D79" w:rsidRPr="00523DF6">
        <w:rPr>
          <w:rFonts w:asciiTheme="minorHAnsi" w:hAnsiTheme="minorHAnsi" w:cstheme="minorHAnsi"/>
        </w:rPr>
        <w:t xml:space="preserve"> </w:t>
      </w:r>
      <w:r w:rsidRPr="00523DF6">
        <w:rPr>
          <w:rFonts w:asciiTheme="minorHAnsi" w:hAnsiTheme="minorHAnsi" w:cstheme="minorHAnsi"/>
        </w:rPr>
        <w:t>take account of, and are consistent with:</w:t>
      </w:r>
    </w:p>
    <w:p w14:paraId="5FE040D0" w14:textId="77777777" w:rsidR="001F3BD0" w:rsidRPr="00523DF6" w:rsidRDefault="001F3BD0" w:rsidP="001F3BD0">
      <w:pPr>
        <w:rPr>
          <w:rFonts w:asciiTheme="minorHAnsi" w:hAnsiTheme="minorHAnsi" w:cs="Calibri"/>
        </w:rPr>
      </w:pPr>
      <w:r w:rsidRPr="00523DF6">
        <w:rPr>
          <w:rFonts w:asciiTheme="minorHAnsi" w:hAnsiTheme="minorHAnsi" w:cs="Calibri"/>
        </w:rPr>
        <w:t>(a)</w:t>
      </w:r>
      <w:r w:rsidRPr="00523DF6">
        <w:rPr>
          <w:rFonts w:asciiTheme="minorHAnsi" w:hAnsiTheme="minorHAnsi" w:cs="Calibri"/>
        </w:rPr>
        <w:tab/>
        <w:t xml:space="preserve">the funding cap for the year, or each of the years, to which the rules apply; and </w:t>
      </w:r>
    </w:p>
    <w:p w14:paraId="392348ED" w14:textId="77777777" w:rsidR="001F3BD0" w:rsidRPr="00523DF6" w:rsidRDefault="001F3BD0" w:rsidP="00CA37FA">
      <w:pPr>
        <w:spacing w:after="120"/>
        <w:rPr>
          <w:rFonts w:asciiTheme="minorHAnsi" w:hAnsiTheme="minorHAnsi" w:cs="Calibri"/>
        </w:rPr>
      </w:pPr>
      <w:r w:rsidRPr="00523DF6">
        <w:rPr>
          <w:rFonts w:asciiTheme="minorHAnsi" w:hAnsiTheme="minorHAnsi" w:cs="Calibri"/>
        </w:rPr>
        <w:t>(b)</w:t>
      </w:r>
      <w:r w:rsidRPr="00523DF6">
        <w:rPr>
          <w:rFonts w:asciiTheme="minorHAnsi" w:hAnsiTheme="minorHAnsi" w:cs="Calibri"/>
        </w:rPr>
        <w:tab/>
        <w:t>the funding split determination for the year, or each of the years, to which the rules apply.</w:t>
      </w:r>
    </w:p>
    <w:p w14:paraId="24FDC825" w14:textId="26430A10" w:rsidR="001F3BD0" w:rsidRPr="00523DF6" w:rsidRDefault="001F3BD0" w:rsidP="00523DF6">
      <w:pPr>
        <w:spacing w:after="120"/>
        <w:rPr>
          <w:rFonts w:asciiTheme="minorHAnsi" w:hAnsiTheme="minorHAnsi" w:cs="Calibri"/>
          <w:lang w:eastAsia="en-AU"/>
        </w:rPr>
      </w:pPr>
      <w:r w:rsidRPr="00E003F9">
        <w:rPr>
          <w:rFonts w:asciiTheme="minorHAnsi" w:hAnsiTheme="minorHAnsi" w:cs="Calibri"/>
          <w:lang w:eastAsia="en-AU"/>
        </w:rPr>
        <w:t xml:space="preserve">The Grant Guidelines for the scheme under the Linkage Program 2022— </w:t>
      </w:r>
      <w:r w:rsidR="006D4D79" w:rsidRPr="00E003F9">
        <w:rPr>
          <w:rFonts w:asciiTheme="minorHAnsi" w:hAnsiTheme="minorHAnsi" w:cs="Calibri"/>
          <w:lang w:eastAsia="en-AU"/>
        </w:rPr>
        <w:t>Industry Fellowships Program (IFP) Grants Guidelines</w:t>
      </w:r>
      <w:r w:rsidR="006D4D79" w:rsidRPr="00523DF6">
        <w:rPr>
          <w:lang w:eastAsia="en-AU"/>
        </w:rPr>
        <w:t xml:space="preserve"> </w:t>
      </w:r>
      <w:r w:rsidRPr="00523DF6">
        <w:rPr>
          <w:rFonts w:asciiTheme="minorHAnsi" w:hAnsiTheme="minorHAnsi" w:cs="Calibri"/>
          <w:lang w:eastAsia="en-AU"/>
        </w:rPr>
        <w:t>were approved by the Minister for Education</w:t>
      </w:r>
      <w:r w:rsidR="00F4456F" w:rsidRPr="00523DF6">
        <w:rPr>
          <w:rFonts w:asciiTheme="minorHAnsi" w:hAnsiTheme="minorHAnsi" w:cs="Calibri"/>
          <w:lang w:eastAsia="en-AU"/>
        </w:rPr>
        <w:t xml:space="preserve">, the </w:t>
      </w:r>
      <w:r w:rsidRPr="00523DF6">
        <w:rPr>
          <w:rFonts w:asciiTheme="minorHAnsi" w:hAnsiTheme="minorHAnsi" w:cs="Calibri"/>
          <w:lang w:eastAsia="en-AU"/>
        </w:rPr>
        <w:t xml:space="preserve">Hon </w:t>
      </w:r>
      <w:r w:rsidR="00F4456F" w:rsidRPr="00523DF6">
        <w:rPr>
          <w:rFonts w:asciiTheme="minorHAnsi" w:hAnsiTheme="minorHAnsi" w:cs="Calibri"/>
          <w:lang w:eastAsia="en-AU"/>
        </w:rPr>
        <w:t>Jason Clare</w:t>
      </w:r>
      <w:r w:rsidRPr="00523DF6">
        <w:rPr>
          <w:rFonts w:asciiTheme="minorHAnsi" w:hAnsiTheme="minorHAnsi" w:cs="Calibri"/>
          <w:lang w:eastAsia="en-AU"/>
        </w:rPr>
        <w:t xml:space="preserve"> MP, on 2</w:t>
      </w:r>
      <w:r w:rsidR="00B7524C" w:rsidRPr="00523DF6">
        <w:rPr>
          <w:rFonts w:asciiTheme="minorHAnsi" w:hAnsiTheme="minorHAnsi" w:cs="Calibri"/>
          <w:lang w:eastAsia="en-AU"/>
        </w:rPr>
        <w:t xml:space="preserve">6 </w:t>
      </w:r>
      <w:r w:rsidR="00F4456F" w:rsidRPr="00523DF6">
        <w:rPr>
          <w:rFonts w:asciiTheme="minorHAnsi" w:hAnsiTheme="minorHAnsi" w:cs="Calibri"/>
          <w:lang w:eastAsia="en-AU"/>
        </w:rPr>
        <w:t>August</w:t>
      </w:r>
      <w:r w:rsidRPr="00523DF6">
        <w:rPr>
          <w:rFonts w:asciiTheme="minorHAnsi" w:hAnsiTheme="minorHAnsi" w:cs="Calibri"/>
          <w:lang w:eastAsia="en-AU"/>
        </w:rPr>
        <w:t xml:space="preserve"> 2022. </w:t>
      </w:r>
    </w:p>
    <w:p w14:paraId="19097B75" w14:textId="3C1996EC" w:rsidR="0037202E" w:rsidRPr="00523DF6" w:rsidRDefault="0037202E" w:rsidP="00733708">
      <w:pPr>
        <w:pStyle w:val="Heading2"/>
        <w:rPr>
          <w:b/>
          <w:bCs/>
          <w:sz w:val="22"/>
          <w:szCs w:val="22"/>
          <w:u w:val="none"/>
        </w:rPr>
      </w:pPr>
      <w:r w:rsidRPr="00523DF6">
        <w:rPr>
          <w:b/>
          <w:bCs/>
          <w:sz w:val="22"/>
          <w:szCs w:val="22"/>
          <w:u w:val="none"/>
        </w:rPr>
        <w:t>Documents incorporated by Reference</w:t>
      </w:r>
    </w:p>
    <w:p w14:paraId="47C321F6" w14:textId="77777777" w:rsidR="001F3BD0" w:rsidRPr="00523DF6" w:rsidRDefault="001F3BD0" w:rsidP="001F3BD0">
      <w:pPr>
        <w:spacing w:after="120"/>
        <w:rPr>
          <w:rFonts w:asciiTheme="minorHAnsi" w:hAnsiTheme="minorHAnsi" w:cs="Calibri"/>
        </w:rPr>
      </w:pPr>
      <w:r w:rsidRPr="00523DF6">
        <w:rPr>
          <w:rFonts w:asciiTheme="minorHAnsi" w:hAnsiTheme="minorHAnsi" w:cs="Calibri"/>
        </w:rPr>
        <w:t xml:space="preserve">The following documents are incorporated by reference: </w:t>
      </w:r>
    </w:p>
    <w:p w14:paraId="23FAC691" w14:textId="1539593A" w:rsidR="001F3BD0" w:rsidRPr="00523DF6" w:rsidRDefault="001F3BD0" w:rsidP="001F3BD0">
      <w:pPr>
        <w:pStyle w:val="Dot"/>
        <w:spacing w:line="240" w:lineRule="auto"/>
        <w:ind w:left="357" w:hanging="357"/>
        <w:rPr>
          <w:rStyle w:val="Hyperlink"/>
          <w:rFonts w:asciiTheme="minorHAnsi" w:hAnsiTheme="minorHAnsi" w:cs="Calibri"/>
          <w:b w:val="0"/>
          <w:bCs w:val="0"/>
          <w:iCs/>
          <w:color w:val="auto"/>
        </w:rPr>
      </w:pPr>
      <w:r w:rsidRPr="00523DF6">
        <w:rPr>
          <w:rFonts w:asciiTheme="minorHAnsi" w:hAnsiTheme="minorHAnsi" w:cs="Calibri"/>
          <w:b w:val="0"/>
          <w:bCs w:val="0"/>
          <w:iCs/>
        </w:rPr>
        <w:t xml:space="preserve">ARC Medical Research Policy available on the </w:t>
      </w:r>
      <w:hyperlink r:id="rId9" w:history="1">
        <w:r w:rsidRPr="00523DF6">
          <w:rPr>
            <w:rStyle w:val="Hyperlink"/>
            <w:rFonts w:asciiTheme="minorHAnsi" w:hAnsiTheme="minorHAnsi" w:cs="Calibri"/>
            <w:b w:val="0"/>
            <w:bCs w:val="0"/>
            <w:iCs/>
          </w:rPr>
          <w:t>ARC website</w:t>
        </w:r>
      </w:hyperlink>
    </w:p>
    <w:p w14:paraId="66A0673D" w14:textId="76698A09" w:rsidR="001F3BD0" w:rsidRPr="00523DF6" w:rsidRDefault="001F3BD0" w:rsidP="001F3BD0">
      <w:pPr>
        <w:pStyle w:val="Dot"/>
        <w:spacing w:line="240" w:lineRule="auto"/>
        <w:ind w:left="357" w:hanging="357"/>
        <w:rPr>
          <w:rStyle w:val="Hyperlink"/>
          <w:rFonts w:asciiTheme="minorHAnsi" w:hAnsiTheme="minorHAnsi" w:cs="Calibri"/>
          <w:b w:val="0"/>
          <w:bCs w:val="0"/>
          <w:iCs/>
          <w:color w:val="auto"/>
        </w:rPr>
      </w:pPr>
      <w:r w:rsidRPr="00523DF6">
        <w:rPr>
          <w:rFonts w:asciiTheme="minorHAnsi" w:hAnsiTheme="minorHAnsi" w:cs="Calibri"/>
          <w:b w:val="0"/>
          <w:bCs w:val="0"/>
          <w:iCs/>
        </w:rPr>
        <w:t xml:space="preserve">Conflict of Interest and Confidentiality available on the </w:t>
      </w:r>
      <w:hyperlink r:id="rId10" w:history="1">
        <w:r w:rsidRPr="00523DF6">
          <w:rPr>
            <w:rStyle w:val="Hyperlink"/>
            <w:rFonts w:asciiTheme="minorHAnsi" w:hAnsiTheme="minorHAnsi" w:cs="Calibri"/>
            <w:b w:val="0"/>
            <w:bCs w:val="0"/>
            <w:iCs/>
          </w:rPr>
          <w:t>ARC website</w:t>
        </w:r>
      </w:hyperlink>
    </w:p>
    <w:p w14:paraId="32A582B3" w14:textId="77777777" w:rsidR="001F3BD0" w:rsidRPr="00523DF6" w:rsidRDefault="001F3BD0" w:rsidP="001F3BD0">
      <w:pPr>
        <w:pStyle w:val="Dot"/>
        <w:spacing w:line="240" w:lineRule="auto"/>
        <w:ind w:left="357" w:hanging="357"/>
        <w:rPr>
          <w:rFonts w:asciiTheme="minorHAnsi" w:hAnsiTheme="minorHAnsi" w:cs="Calibri"/>
          <w:b w:val="0"/>
          <w:bCs w:val="0"/>
          <w:iCs/>
          <w:u w:val="single"/>
        </w:rPr>
      </w:pPr>
      <w:r w:rsidRPr="00523DF6">
        <w:rPr>
          <w:rFonts w:asciiTheme="minorHAnsi" w:hAnsiTheme="minorHAnsi" w:cs="Calibri"/>
          <w:b w:val="0"/>
          <w:bCs w:val="0"/>
          <w:iCs/>
        </w:rPr>
        <w:t xml:space="preserve">ARC Open Access Policy available on the </w:t>
      </w:r>
      <w:hyperlink r:id="rId11" w:history="1">
        <w:r w:rsidRPr="00523DF6">
          <w:rPr>
            <w:rStyle w:val="Hyperlink"/>
            <w:rFonts w:asciiTheme="minorHAnsi" w:hAnsiTheme="minorHAnsi" w:cs="Calibri"/>
            <w:b w:val="0"/>
            <w:bCs w:val="0"/>
            <w:iCs/>
          </w:rPr>
          <w:t>ARC website</w:t>
        </w:r>
      </w:hyperlink>
    </w:p>
    <w:p w14:paraId="1293EA51" w14:textId="77777777" w:rsidR="001F3BD0" w:rsidRPr="00523DF6" w:rsidRDefault="001F3BD0" w:rsidP="001F3BD0">
      <w:pPr>
        <w:pStyle w:val="Dot"/>
        <w:spacing w:line="240" w:lineRule="auto"/>
        <w:ind w:left="357" w:hanging="357"/>
        <w:rPr>
          <w:rFonts w:asciiTheme="minorHAnsi" w:hAnsiTheme="minorHAnsi" w:cs="Calibri"/>
          <w:b w:val="0"/>
          <w:bCs w:val="0"/>
          <w:iCs/>
          <w:u w:val="single"/>
        </w:rPr>
      </w:pPr>
      <w:r w:rsidRPr="00523DF6">
        <w:rPr>
          <w:rFonts w:asciiTheme="minorHAnsi" w:hAnsiTheme="minorHAnsi" w:cs="Calibri"/>
          <w:b w:val="0"/>
          <w:bCs w:val="0"/>
          <w:iCs/>
        </w:rPr>
        <w:t>Australian Code for the Responsible Conduct of Research</w:t>
      </w:r>
    </w:p>
    <w:p w14:paraId="4F90DE5F" w14:textId="77777777" w:rsidR="001F3BD0" w:rsidRPr="00523DF6" w:rsidRDefault="001F3BD0" w:rsidP="001F3BD0">
      <w:pPr>
        <w:pStyle w:val="Dot"/>
        <w:spacing w:line="240" w:lineRule="auto"/>
        <w:ind w:left="357" w:hanging="357"/>
        <w:rPr>
          <w:rFonts w:asciiTheme="minorHAnsi" w:hAnsiTheme="minorHAnsi" w:cs="Calibri"/>
          <w:b w:val="0"/>
          <w:bCs w:val="0"/>
          <w:iCs/>
          <w:u w:val="single"/>
        </w:rPr>
      </w:pPr>
      <w:r w:rsidRPr="00523DF6">
        <w:rPr>
          <w:rFonts w:asciiTheme="minorHAnsi" w:hAnsiTheme="minorHAnsi" w:cs="Calibri"/>
          <w:b w:val="0"/>
          <w:bCs w:val="0"/>
          <w:iCs/>
        </w:rPr>
        <w:t xml:space="preserve">Public Service Code of Conduct (Section 13(7)) of the </w:t>
      </w:r>
      <w:r w:rsidRPr="00523DF6">
        <w:rPr>
          <w:rFonts w:asciiTheme="minorHAnsi" w:hAnsiTheme="minorHAnsi" w:cs="Calibri"/>
          <w:b w:val="0"/>
          <w:bCs w:val="0"/>
          <w:i/>
        </w:rPr>
        <w:t>Public Service Act 1999</w:t>
      </w:r>
    </w:p>
    <w:p w14:paraId="03AFBE27" w14:textId="58208B76" w:rsidR="00523DF6" w:rsidRDefault="001F3BD0" w:rsidP="00E10307">
      <w:pPr>
        <w:pStyle w:val="Dot"/>
        <w:spacing w:line="240" w:lineRule="auto"/>
        <w:ind w:left="357" w:hanging="357"/>
        <w:rPr>
          <w:rStyle w:val="Hyperlink"/>
          <w:rFonts w:asciiTheme="minorHAnsi" w:hAnsiTheme="minorHAnsi" w:cs="Calibri"/>
          <w:b w:val="0"/>
          <w:bCs w:val="0"/>
        </w:rPr>
      </w:pPr>
      <w:r w:rsidRPr="00523DF6">
        <w:rPr>
          <w:rFonts w:asciiTheme="minorHAnsi" w:hAnsiTheme="minorHAnsi" w:cs="Calibri"/>
          <w:b w:val="0"/>
          <w:bCs w:val="0"/>
          <w:iCs/>
        </w:rPr>
        <w:t>Guidelines to Counter Foreign Interference in the Australian University Sector</w:t>
      </w:r>
      <w:r w:rsidRPr="00523DF6">
        <w:rPr>
          <w:rFonts w:asciiTheme="minorHAnsi" w:hAnsiTheme="minorHAnsi" w:cs="Calibri"/>
          <w:b w:val="0"/>
          <w:bCs w:val="0"/>
        </w:rPr>
        <w:t xml:space="preserve"> available on</w:t>
      </w:r>
      <w:r w:rsidR="00E10307" w:rsidRPr="00523DF6">
        <w:rPr>
          <w:rFonts w:asciiTheme="minorHAnsi" w:hAnsiTheme="minorHAnsi" w:cs="Calibri"/>
          <w:b w:val="0"/>
          <w:bCs w:val="0"/>
        </w:rPr>
        <w:t xml:space="preserve"> </w:t>
      </w:r>
      <w:r w:rsidR="00E10307" w:rsidRPr="00523DF6">
        <w:rPr>
          <w:rFonts w:asciiTheme="minorHAnsi" w:hAnsiTheme="minorHAnsi" w:cs="Calibri"/>
          <w:b w:val="0"/>
          <w:bCs w:val="0"/>
        </w:rPr>
        <w:br/>
      </w:r>
      <w:r w:rsidRPr="00523DF6">
        <w:rPr>
          <w:rFonts w:asciiTheme="minorHAnsi" w:hAnsiTheme="minorHAnsi" w:cs="Calibri"/>
          <w:b w:val="0"/>
          <w:bCs w:val="0"/>
        </w:rPr>
        <w:t>the</w:t>
      </w:r>
      <w:hyperlink r:id="rId12" w:history="1">
        <w:r w:rsidR="003D2523" w:rsidRPr="00523DF6">
          <w:rPr>
            <w:rStyle w:val="Hyperlink"/>
            <w:rFonts w:asciiTheme="minorHAnsi" w:hAnsiTheme="minorHAnsi" w:cs="Calibri"/>
            <w:b w:val="0"/>
            <w:bCs w:val="0"/>
            <w:u w:val="none"/>
          </w:rPr>
          <w:t xml:space="preserve"> </w:t>
        </w:r>
        <w:bookmarkStart w:id="0" w:name="_Hlk112941192"/>
        <w:r w:rsidR="003D2523" w:rsidRPr="00523DF6">
          <w:rPr>
            <w:rStyle w:val="Hyperlink"/>
            <w:rFonts w:asciiTheme="minorHAnsi" w:hAnsiTheme="minorHAnsi" w:cs="Calibri"/>
            <w:b w:val="0"/>
            <w:bCs w:val="0"/>
          </w:rPr>
          <w:t>Department of Education website</w:t>
        </w:r>
        <w:bookmarkEnd w:id="0"/>
      </w:hyperlink>
      <w:r w:rsidRPr="00523DF6">
        <w:rPr>
          <w:rStyle w:val="Hyperlink"/>
          <w:rFonts w:asciiTheme="minorHAnsi" w:hAnsiTheme="minorHAnsi" w:cs="Calibri"/>
          <w:b w:val="0"/>
          <w:bCs w:val="0"/>
        </w:rPr>
        <w:t>.</w:t>
      </w:r>
    </w:p>
    <w:p w14:paraId="0FBCC6BA" w14:textId="079E6DDD" w:rsidR="001F3BD0" w:rsidRPr="00523DF6" w:rsidRDefault="00523DF6" w:rsidP="00523DF6">
      <w:pPr>
        <w:spacing w:after="160" w:line="259" w:lineRule="auto"/>
        <w:rPr>
          <w:rFonts w:asciiTheme="minorHAnsi" w:hAnsiTheme="minorHAnsi" w:cs="Calibri"/>
          <w:color w:val="0000FF"/>
          <w:u w:val="single"/>
        </w:rPr>
      </w:pPr>
      <w:r>
        <w:rPr>
          <w:rStyle w:val="Hyperlink"/>
          <w:rFonts w:asciiTheme="minorHAnsi" w:hAnsiTheme="minorHAnsi" w:cs="Calibri"/>
          <w:b/>
          <w:bCs/>
        </w:rPr>
        <w:br w:type="page"/>
      </w:r>
    </w:p>
    <w:p w14:paraId="081E9744" w14:textId="77777777" w:rsidR="001F3BD0" w:rsidRPr="00523DF6" w:rsidRDefault="001F3BD0" w:rsidP="00733708">
      <w:pPr>
        <w:pStyle w:val="Heading2"/>
        <w:rPr>
          <w:b/>
          <w:bCs/>
          <w:sz w:val="22"/>
          <w:szCs w:val="22"/>
          <w:u w:val="none"/>
        </w:rPr>
      </w:pPr>
      <w:r w:rsidRPr="00523DF6">
        <w:rPr>
          <w:b/>
          <w:bCs/>
          <w:sz w:val="22"/>
          <w:szCs w:val="22"/>
          <w:u w:val="none"/>
        </w:rPr>
        <w:lastRenderedPageBreak/>
        <w:t>Commencement</w:t>
      </w:r>
    </w:p>
    <w:p w14:paraId="7917BE39" w14:textId="336E8882" w:rsidR="001F3BD0" w:rsidRPr="00523DF6" w:rsidRDefault="001F3BD0" w:rsidP="001F3BD0">
      <w:pPr>
        <w:rPr>
          <w:rFonts w:asciiTheme="minorHAnsi" w:hAnsiTheme="minorHAnsi" w:cs="Calibri"/>
        </w:rPr>
      </w:pPr>
      <w:r w:rsidRPr="00523DF6">
        <w:rPr>
          <w:rFonts w:asciiTheme="minorHAnsi" w:hAnsiTheme="minorHAnsi" w:cs="Calibri"/>
          <w:bCs/>
          <w:iCs/>
        </w:rPr>
        <w:t xml:space="preserve">The </w:t>
      </w:r>
      <w:r w:rsidRPr="00523DF6">
        <w:rPr>
          <w:rFonts w:asciiTheme="minorHAnsi" w:hAnsiTheme="minorHAnsi" w:cs="Calibri"/>
        </w:rPr>
        <w:t>Grant</w:t>
      </w:r>
      <w:r w:rsidRPr="00523DF6">
        <w:rPr>
          <w:rFonts w:asciiTheme="minorHAnsi" w:hAnsiTheme="minorHAnsi" w:cs="Calibri"/>
          <w:bCs/>
          <w:iCs/>
        </w:rPr>
        <w:t xml:space="preserve"> Guidelines for the scheme under the Linkage Program 2022— </w:t>
      </w:r>
      <w:r w:rsidR="006D4D79" w:rsidRPr="00523DF6">
        <w:rPr>
          <w:lang w:eastAsia="en-AU"/>
        </w:rPr>
        <w:t>Industry Fellowships Program (IFP) Grants Guidelines</w:t>
      </w:r>
      <w:r w:rsidR="006D4D79" w:rsidRPr="00523DF6">
        <w:rPr>
          <w:lang w:eastAsia="en-AU"/>
        </w:rPr>
        <w:t xml:space="preserve"> </w:t>
      </w:r>
      <w:r w:rsidRPr="00523DF6">
        <w:rPr>
          <w:rFonts w:asciiTheme="minorHAnsi" w:hAnsiTheme="minorHAnsi" w:cs="Calibri"/>
        </w:rPr>
        <w:t>shall take effect upon registration on the Federal Register of Legislative Instruments</w:t>
      </w:r>
      <w:r w:rsidR="00E55BDC" w:rsidRPr="00523DF6">
        <w:rPr>
          <w:rFonts w:asciiTheme="minorHAnsi" w:hAnsiTheme="minorHAnsi" w:cs="Calibri"/>
        </w:rPr>
        <w:t xml:space="preserve">. </w:t>
      </w:r>
    </w:p>
    <w:p w14:paraId="1EE97B08" w14:textId="77777777" w:rsidR="001F3BD0" w:rsidRPr="00523DF6" w:rsidRDefault="001F3BD0" w:rsidP="00733708">
      <w:pPr>
        <w:pStyle w:val="Heading2"/>
        <w:rPr>
          <w:b/>
          <w:bCs/>
          <w:sz w:val="22"/>
          <w:szCs w:val="22"/>
          <w:u w:val="none"/>
        </w:rPr>
      </w:pPr>
      <w:r w:rsidRPr="00523DF6">
        <w:rPr>
          <w:b/>
          <w:bCs/>
          <w:sz w:val="22"/>
          <w:szCs w:val="22"/>
          <w:u w:val="none"/>
        </w:rPr>
        <w:t xml:space="preserve">The provisions </w:t>
      </w:r>
    </w:p>
    <w:p w14:paraId="7E21B227" w14:textId="3F528A84" w:rsidR="001F3BD0" w:rsidRPr="00523DF6" w:rsidRDefault="001F3BD0" w:rsidP="0037202E">
      <w:pPr>
        <w:rPr>
          <w:rFonts w:asciiTheme="minorHAnsi" w:hAnsiTheme="minorHAnsi" w:cs="Calibri"/>
        </w:rPr>
      </w:pPr>
      <w:r w:rsidRPr="00523DF6">
        <w:rPr>
          <w:rFonts w:asciiTheme="minorHAnsi" w:hAnsiTheme="minorHAnsi" w:cs="Calibri"/>
        </w:rPr>
        <w:t xml:space="preserve">These Guidelines contain information relating to the </w:t>
      </w:r>
      <w:r w:rsidRPr="00523DF6">
        <w:rPr>
          <w:rFonts w:asciiTheme="minorHAnsi" w:hAnsiTheme="minorHAnsi" w:cs="Calibri"/>
          <w:bCs/>
          <w:iCs/>
        </w:rPr>
        <w:t xml:space="preserve">Grant </w:t>
      </w:r>
      <w:r w:rsidRPr="00523DF6">
        <w:rPr>
          <w:rFonts w:asciiTheme="minorHAnsi" w:hAnsiTheme="minorHAnsi" w:cs="Calibri"/>
        </w:rPr>
        <w:t xml:space="preserve">Guidelines for the scheme under the Linkage Program 2022— </w:t>
      </w:r>
      <w:r w:rsidR="006D4D79" w:rsidRPr="00523DF6">
        <w:rPr>
          <w:rFonts w:asciiTheme="minorHAnsi" w:hAnsiTheme="minorHAnsi" w:cs="Calibri"/>
          <w:iCs/>
        </w:rPr>
        <w:t>Industry Fellowships Program (IFP) Grants Guidelines</w:t>
      </w:r>
      <w:r w:rsidRPr="00523DF6">
        <w:rPr>
          <w:rFonts w:asciiTheme="minorHAnsi" w:hAnsiTheme="minorHAnsi" w:cs="Calibri"/>
          <w:iCs/>
        </w:rPr>
        <w:t>,</w:t>
      </w:r>
      <w:r w:rsidRPr="00523DF6">
        <w:rPr>
          <w:rFonts w:asciiTheme="minorHAnsi" w:hAnsiTheme="minorHAnsi" w:cs="Calibri"/>
          <w:i/>
          <w:iCs/>
        </w:rPr>
        <w:t xml:space="preserve"> </w:t>
      </w:r>
      <w:r w:rsidRPr="00523DF6">
        <w:rPr>
          <w:rFonts w:asciiTheme="minorHAnsi" w:hAnsiTheme="minorHAnsi" w:cs="Calibri"/>
          <w:iCs/>
        </w:rPr>
        <w:t>this includes: grant amount, eligibility, assessment criteria, application process and delivery or grant activities.</w:t>
      </w:r>
    </w:p>
    <w:p w14:paraId="6DBC709C" w14:textId="77777777" w:rsidR="001F3BD0" w:rsidRPr="00523DF6" w:rsidRDefault="001F3BD0" w:rsidP="00733708">
      <w:pPr>
        <w:pStyle w:val="Heading2"/>
        <w:rPr>
          <w:sz w:val="22"/>
          <w:szCs w:val="22"/>
        </w:rPr>
      </w:pPr>
      <w:r w:rsidRPr="00523DF6">
        <w:rPr>
          <w:b/>
          <w:bCs/>
          <w:sz w:val="22"/>
          <w:szCs w:val="22"/>
          <w:u w:val="none"/>
        </w:rPr>
        <w:t>Consultation</w:t>
      </w:r>
      <w:r w:rsidRPr="00523DF6">
        <w:rPr>
          <w:sz w:val="22"/>
          <w:szCs w:val="22"/>
        </w:rPr>
        <w:t xml:space="preserve"> </w:t>
      </w:r>
    </w:p>
    <w:p w14:paraId="33CDC432" w14:textId="678B7E6B" w:rsidR="001F3BD0" w:rsidRPr="00523DF6" w:rsidRDefault="001F3BD0" w:rsidP="001F3BD0">
      <w:pPr>
        <w:rPr>
          <w:rFonts w:asciiTheme="minorHAnsi" w:hAnsiTheme="minorHAnsi" w:cs="Calibri"/>
        </w:rPr>
      </w:pPr>
      <w:r w:rsidRPr="00523DF6">
        <w:rPr>
          <w:rFonts w:asciiTheme="minorHAnsi" w:hAnsiTheme="minorHAnsi" w:cs="Calibri"/>
        </w:rPr>
        <w:t xml:space="preserve">The ARC consulted with the Department of Finance and the Department of Prime Minister and </w:t>
      </w:r>
      <w:proofErr w:type="gramStart"/>
      <w:r w:rsidRPr="00523DF6">
        <w:rPr>
          <w:rFonts w:asciiTheme="minorHAnsi" w:hAnsiTheme="minorHAnsi" w:cs="Calibri"/>
        </w:rPr>
        <w:t>Cabinet</w:t>
      </w:r>
      <w:proofErr w:type="gramEnd"/>
      <w:r w:rsidRPr="00523DF6">
        <w:rPr>
          <w:rFonts w:asciiTheme="minorHAnsi" w:hAnsiTheme="minorHAnsi" w:cs="Calibri"/>
        </w:rPr>
        <w:t xml:space="preserve"> and they have determined the Grant Guidelines as low risk.</w:t>
      </w:r>
    </w:p>
    <w:p w14:paraId="77EC7320" w14:textId="77777777" w:rsidR="001F3BD0" w:rsidRPr="00523DF6" w:rsidRDefault="001F3BD0" w:rsidP="00733708">
      <w:pPr>
        <w:pStyle w:val="Heading2"/>
        <w:rPr>
          <w:b/>
          <w:bCs/>
          <w:sz w:val="22"/>
          <w:szCs w:val="22"/>
          <w:u w:val="none"/>
        </w:rPr>
      </w:pPr>
      <w:r w:rsidRPr="00523DF6">
        <w:rPr>
          <w:b/>
          <w:bCs/>
          <w:sz w:val="22"/>
          <w:szCs w:val="22"/>
          <w:u w:val="none"/>
        </w:rPr>
        <w:t>Regulatory Impact Statement</w:t>
      </w:r>
    </w:p>
    <w:p w14:paraId="1858E31D" w14:textId="0FAB808B" w:rsidR="001F3BD0" w:rsidRPr="00523DF6" w:rsidRDefault="001F3BD0" w:rsidP="001F3BD0">
      <w:pPr>
        <w:rPr>
          <w:rFonts w:asciiTheme="minorHAnsi" w:hAnsiTheme="minorHAnsi" w:cs="Calibri"/>
        </w:rPr>
      </w:pPr>
      <w:r w:rsidRPr="00523DF6">
        <w:rPr>
          <w:rFonts w:asciiTheme="minorHAnsi" w:hAnsiTheme="minorHAnsi" w:cs="Calibri"/>
        </w:rPr>
        <w:t xml:space="preserve">These Grant Guidelines include </w:t>
      </w:r>
      <w:proofErr w:type="gramStart"/>
      <w:r w:rsidRPr="00523DF6">
        <w:rPr>
          <w:rFonts w:asciiTheme="minorHAnsi" w:hAnsiTheme="minorHAnsi" w:cs="Calibri"/>
        </w:rPr>
        <w:t>a number of</w:t>
      </w:r>
      <w:proofErr w:type="gramEnd"/>
      <w:r w:rsidRPr="00523DF6">
        <w:rPr>
          <w:rFonts w:asciiTheme="minorHAnsi" w:hAnsiTheme="minorHAnsi" w:cs="Calibri"/>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250D7C0B" w14:textId="77777777" w:rsidR="001F3BD0" w:rsidRPr="00523DF6" w:rsidRDefault="001F3BD0" w:rsidP="00733708">
      <w:pPr>
        <w:pStyle w:val="Heading2"/>
        <w:rPr>
          <w:b/>
          <w:bCs/>
          <w:sz w:val="22"/>
          <w:szCs w:val="22"/>
          <w:u w:val="none"/>
        </w:rPr>
      </w:pPr>
      <w:r w:rsidRPr="00523DF6">
        <w:rPr>
          <w:b/>
          <w:bCs/>
          <w:sz w:val="22"/>
          <w:szCs w:val="22"/>
          <w:u w:val="none"/>
        </w:rPr>
        <w:t>Statement of compatibility with human rights</w:t>
      </w:r>
    </w:p>
    <w:p w14:paraId="115C87CB" w14:textId="77777777" w:rsidR="001F3BD0" w:rsidRPr="00523DF6" w:rsidRDefault="001F3BD0" w:rsidP="004905B1">
      <w:pPr>
        <w:spacing w:after="120"/>
        <w:rPr>
          <w:rFonts w:asciiTheme="minorHAnsi" w:hAnsiTheme="minorHAnsi" w:cs="Calibri"/>
        </w:rPr>
      </w:pPr>
      <w:r w:rsidRPr="00523DF6">
        <w:rPr>
          <w:rFonts w:asciiTheme="minorHAnsi" w:hAnsiTheme="minorHAnsi" w:cs="Calibri"/>
        </w:rPr>
        <w:t xml:space="preserve">Section 9(1) of the </w:t>
      </w:r>
      <w:r w:rsidRPr="00523DF6">
        <w:rPr>
          <w:rFonts w:asciiTheme="minorHAnsi" w:hAnsiTheme="minorHAnsi" w:cs="Calibri"/>
          <w:i/>
        </w:rPr>
        <w:t xml:space="preserve">Human Rights (Parliamentary Scrutiny) Act 2011 </w:t>
      </w:r>
      <w:r w:rsidRPr="00523DF6">
        <w:rPr>
          <w:rFonts w:asciiTheme="minorHAnsi" w:hAnsiTheme="minorHAnsi" w:cs="Calibri"/>
        </w:rPr>
        <w:t xml:space="preserve">requires the rule maker in relation to a legislative instrument to which section 42 (disallowance) of the LA applies to cause a statement of compatibility to be prepared in respect of that legislative instrument. </w:t>
      </w:r>
    </w:p>
    <w:p w14:paraId="33CCB457" w14:textId="683EF2CD" w:rsidR="0037202E" w:rsidRPr="00523DF6" w:rsidRDefault="001F3BD0" w:rsidP="004905B1">
      <w:pPr>
        <w:spacing w:after="120"/>
        <w:rPr>
          <w:rFonts w:asciiTheme="minorHAnsi" w:hAnsiTheme="minorHAnsi" w:cs="Calibri"/>
        </w:rPr>
      </w:pPr>
      <w:r w:rsidRPr="00523DF6">
        <w:rPr>
          <w:rFonts w:asciiTheme="minorHAnsi" w:hAnsiTheme="minorHAnsi" w:cs="Calibri"/>
        </w:rPr>
        <w:t>The legislative instrument does not engage any of the applicable rights or freedoms. It is compatible with human rights, as it does not raise any human rights issues.</w:t>
      </w:r>
    </w:p>
    <w:p w14:paraId="0A8AFFCE" w14:textId="39EC2824" w:rsidR="001F3BD0" w:rsidRPr="00523DF6" w:rsidRDefault="001F3BD0" w:rsidP="00733708">
      <w:pPr>
        <w:pStyle w:val="Heading2"/>
        <w:rPr>
          <w:b/>
          <w:bCs/>
          <w:sz w:val="22"/>
          <w:szCs w:val="22"/>
          <w:u w:val="none"/>
        </w:rPr>
      </w:pPr>
      <w:r w:rsidRPr="00523DF6">
        <w:rPr>
          <w:b/>
          <w:bCs/>
          <w:sz w:val="22"/>
          <w:szCs w:val="22"/>
          <w:u w:val="none"/>
        </w:rPr>
        <w:t>Senate Standing Order 23 (4a) – Standing Committee for the Scrutiny of Delegated Legislation</w:t>
      </w:r>
    </w:p>
    <w:p w14:paraId="11843BD5" w14:textId="1322C8BC" w:rsidR="001F3BD0" w:rsidRPr="00523DF6" w:rsidRDefault="001F3BD0" w:rsidP="00CA37FA">
      <w:pPr>
        <w:spacing w:after="120"/>
        <w:rPr>
          <w:rFonts w:asciiTheme="minorHAnsi" w:hAnsiTheme="minorHAnsi" w:cs="Calibri"/>
        </w:rPr>
      </w:pPr>
      <w:r w:rsidRPr="00523DF6">
        <w:rPr>
          <w:rFonts w:asciiTheme="minorHAnsi" w:hAnsiTheme="minorHAnsi" w:cs="Calibri"/>
        </w:rPr>
        <w:t xml:space="preserve">The </w:t>
      </w:r>
      <w:r w:rsidR="00A466C4" w:rsidRPr="00523DF6">
        <w:rPr>
          <w:rFonts w:asciiTheme="minorHAnsi" w:hAnsiTheme="minorHAnsi" w:cs="Calibri"/>
        </w:rPr>
        <w:t>Industry Fellowships Program (IFP) Grants Guidelines</w:t>
      </w:r>
      <w:r w:rsidR="00A466C4" w:rsidRPr="00523DF6">
        <w:rPr>
          <w:lang w:eastAsia="en-AU"/>
        </w:rPr>
        <w:t xml:space="preserve"> </w:t>
      </w:r>
      <w:r w:rsidRPr="00523DF6">
        <w:rPr>
          <w:rFonts w:asciiTheme="minorHAnsi" w:hAnsiTheme="minorHAnsi" w:cs="Calibri"/>
        </w:rPr>
        <w:t xml:space="preserve">is exempt from disallowance because it is an instrument containing a set of rules made under section 60 of the </w:t>
      </w:r>
      <w:r w:rsidRPr="00523DF6">
        <w:rPr>
          <w:rFonts w:asciiTheme="minorHAnsi" w:hAnsiTheme="minorHAnsi" w:cs="Calibri"/>
          <w:i/>
          <w:iCs/>
        </w:rPr>
        <w:t>Australian Research Council Act 2001</w:t>
      </w:r>
      <w:r w:rsidRPr="00523DF6">
        <w:rPr>
          <w:rFonts w:asciiTheme="minorHAnsi" w:hAnsiTheme="minorHAnsi" w:cs="Calibri"/>
        </w:rPr>
        <w:t xml:space="preserve"> (ARC Act) and, Section 10, Item 7 of the </w:t>
      </w:r>
      <w:r w:rsidRPr="00523DF6">
        <w:rPr>
          <w:rFonts w:asciiTheme="minorHAnsi" w:hAnsiTheme="minorHAnsi" w:cs="Calibri"/>
          <w:i/>
          <w:iCs/>
        </w:rPr>
        <w:t>Legislation (exemption and other matters) Regulations 2015</w:t>
      </w:r>
      <w:r w:rsidRPr="00523DF6">
        <w:rPr>
          <w:rFonts w:asciiTheme="minorHAnsi" w:hAnsiTheme="minorHAnsi" w:cs="Calibri"/>
        </w:rPr>
        <w:t>, relevantly provides that legislative instruments made under section 60 of the ARC Act are not subject to disallowance.</w:t>
      </w:r>
    </w:p>
    <w:p w14:paraId="474807CE" w14:textId="3A52A6A9" w:rsidR="001F3BD0" w:rsidRPr="00523DF6" w:rsidRDefault="001F3BD0" w:rsidP="00733708">
      <w:pPr>
        <w:spacing w:after="120"/>
        <w:rPr>
          <w:rFonts w:asciiTheme="minorHAnsi" w:hAnsiTheme="minorHAnsi" w:cs="Calibri"/>
        </w:rPr>
      </w:pPr>
      <w:r w:rsidRPr="00523DF6">
        <w:rPr>
          <w:rFonts w:asciiTheme="minorHAnsi" w:hAnsiTheme="minorHAnsi" w:cs="Calibri"/>
        </w:rPr>
        <w:t xml:space="preserve">The </w:t>
      </w:r>
      <w:r w:rsidRPr="00523DF6">
        <w:rPr>
          <w:rFonts w:asciiTheme="minorHAnsi" w:hAnsiTheme="minorHAnsi" w:cs="Calibri"/>
          <w:lang w:eastAsia="en-AU"/>
        </w:rPr>
        <w:t>application</w:t>
      </w:r>
      <w:r w:rsidRPr="00523DF6">
        <w:rPr>
          <w:rFonts w:asciiTheme="minorHAnsi" w:hAnsiTheme="minorHAnsi" w:cs="Calibri"/>
        </w:rPr>
        <w:t xml:space="preserve"> of section 10, Item 7 of the </w:t>
      </w:r>
      <w:r w:rsidRPr="00523DF6">
        <w:rPr>
          <w:rFonts w:asciiTheme="minorHAnsi" w:hAnsiTheme="minorHAnsi" w:cs="Calibri"/>
          <w:i/>
          <w:iCs/>
        </w:rPr>
        <w:t>Legislation (exemption and other matters) Regulations 2015</w:t>
      </w:r>
      <w:r w:rsidRPr="00523DF6">
        <w:rPr>
          <w:rFonts w:asciiTheme="minorHAnsi" w:hAnsiTheme="minorHAnsi" w:cs="Calibri"/>
        </w:rPr>
        <w:t xml:space="preserve"> to the Guidelines, allowing for exemption from disallowance, is appropriate because the legislative instrument was made in accordance with the enabling Act, the Legislation Act and other applicable Acts and does not contain matter more appropriate for an Act of Parliament. </w:t>
      </w:r>
    </w:p>
    <w:p w14:paraId="3160361E" w14:textId="77777777" w:rsidR="001F3BD0" w:rsidRPr="00523DF6" w:rsidRDefault="001F3BD0" w:rsidP="00733708">
      <w:pPr>
        <w:pStyle w:val="Heading2"/>
        <w:rPr>
          <w:b/>
          <w:bCs/>
          <w:sz w:val="22"/>
          <w:szCs w:val="22"/>
          <w:u w:val="none"/>
        </w:rPr>
      </w:pPr>
      <w:r w:rsidRPr="00523DF6">
        <w:rPr>
          <w:b/>
          <w:bCs/>
          <w:sz w:val="22"/>
          <w:szCs w:val="22"/>
          <w:u w:val="none"/>
        </w:rPr>
        <w:t>Legislation (exemption and other matters) Regulations 2015</w:t>
      </w:r>
    </w:p>
    <w:p w14:paraId="5308E3EE" w14:textId="77777777" w:rsidR="001F3BD0" w:rsidRPr="00523DF6" w:rsidRDefault="001F3BD0" w:rsidP="001F3BD0">
      <w:pPr>
        <w:rPr>
          <w:rFonts w:asciiTheme="minorHAnsi" w:hAnsiTheme="minorHAnsi" w:cs="Calibri"/>
          <w:iCs/>
        </w:rPr>
      </w:pPr>
      <w:r w:rsidRPr="00523DF6">
        <w:rPr>
          <w:rFonts w:asciiTheme="minorHAnsi" w:hAnsiTheme="minorHAnsi" w:cs="Calibri"/>
          <w:iCs/>
        </w:rPr>
        <w:t>Section 10 – Particular legislative instruments that are not subject to disallowance</w:t>
      </w:r>
    </w:p>
    <w:p w14:paraId="171D02CC" w14:textId="0453E967" w:rsidR="001F3BD0" w:rsidRPr="00523DF6" w:rsidRDefault="001F3BD0" w:rsidP="00CA37FA">
      <w:pPr>
        <w:spacing w:after="120"/>
        <w:rPr>
          <w:rFonts w:asciiTheme="minorHAnsi" w:hAnsiTheme="minorHAnsi" w:cs="Calibri"/>
          <w:iCs/>
        </w:rPr>
      </w:pPr>
      <w:r w:rsidRPr="00523DF6">
        <w:rPr>
          <w:rFonts w:asciiTheme="minorHAnsi" w:hAnsiTheme="minorHAnsi" w:cs="Calibri"/>
          <w:iCs/>
        </w:rPr>
        <w:t>Item 7 – Legislative Instruments</w:t>
      </w:r>
      <w:r w:rsidR="002E7B38" w:rsidRPr="00523DF6">
        <w:rPr>
          <w:rFonts w:asciiTheme="minorHAnsi" w:hAnsiTheme="minorHAnsi" w:cs="Calibri"/>
          <w:iCs/>
        </w:rPr>
        <w:t>:</w:t>
      </w:r>
    </w:p>
    <w:p w14:paraId="033596F0" w14:textId="7650CC57" w:rsidR="0037202E" w:rsidRPr="00523DF6" w:rsidRDefault="001F3BD0" w:rsidP="0037202E">
      <w:pPr>
        <w:pStyle w:val="ListParagraph"/>
        <w:numPr>
          <w:ilvl w:val="0"/>
          <w:numId w:val="7"/>
        </w:numPr>
        <w:ind w:hanging="513"/>
        <w:rPr>
          <w:rFonts w:asciiTheme="minorHAnsi" w:hAnsiTheme="minorHAnsi" w:cs="Calibri"/>
          <w:iCs/>
          <w:sz w:val="22"/>
          <w:szCs w:val="22"/>
        </w:rPr>
      </w:pPr>
      <w:r w:rsidRPr="00523DF6">
        <w:rPr>
          <w:rFonts w:asciiTheme="minorHAnsi" w:hAnsiTheme="minorHAnsi" w:cs="Calibri"/>
          <w:iCs/>
          <w:sz w:val="22"/>
          <w:szCs w:val="22"/>
        </w:rPr>
        <w:t>A rule made under section 60 of the Australian Research Council Act 2001;</w:t>
      </w:r>
      <w:r w:rsidR="00646829" w:rsidRPr="00523DF6">
        <w:rPr>
          <w:rFonts w:asciiTheme="minorHAnsi" w:hAnsiTheme="minorHAnsi" w:cs="Calibri"/>
          <w:iCs/>
          <w:sz w:val="22"/>
          <w:szCs w:val="22"/>
        </w:rPr>
        <w:t xml:space="preserve"> and</w:t>
      </w:r>
    </w:p>
    <w:p w14:paraId="1F68DA04" w14:textId="5708AF30" w:rsidR="00D71BCF" w:rsidRPr="00523DF6" w:rsidRDefault="001F3BD0" w:rsidP="0037202E">
      <w:pPr>
        <w:pStyle w:val="ListParagraph"/>
        <w:numPr>
          <w:ilvl w:val="0"/>
          <w:numId w:val="7"/>
        </w:numPr>
        <w:ind w:hanging="513"/>
        <w:rPr>
          <w:rFonts w:asciiTheme="minorHAnsi" w:hAnsiTheme="minorHAnsi" w:cs="Calibri"/>
          <w:iCs/>
          <w:sz w:val="22"/>
          <w:szCs w:val="22"/>
        </w:rPr>
      </w:pPr>
      <w:r w:rsidRPr="00523DF6">
        <w:rPr>
          <w:rFonts w:asciiTheme="minorHAnsi" w:hAnsiTheme="minorHAnsi" w:cs="Calibri"/>
          <w:iCs/>
          <w:sz w:val="22"/>
          <w:szCs w:val="22"/>
        </w:rPr>
        <w:t>A variation of a set of rules made under section 61 of the Act.</w:t>
      </w:r>
    </w:p>
    <w:p w14:paraId="0D7FA6A2" w14:textId="77777777" w:rsidR="00523DF6" w:rsidRPr="00523DF6" w:rsidRDefault="00523DF6" w:rsidP="00523DF6">
      <w:pPr>
        <w:pStyle w:val="ListParagraph"/>
        <w:numPr>
          <w:ilvl w:val="0"/>
          <w:numId w:val="0"/>
        </w:numPr>
        <w:ind w:left="1080"/>
        <w:rPr>
          <w:rFonts w:asciiTheme="minorHAnsi" w:hAnsiTheme="minorHAnsi" w:cs="Calibri"/>
          <w:iCs/>
          <w:sz w:val="22"/>
          <w:szCs w:val="22"/>
        </w:rPr>
      </w:pPr>
    </w:p>
    <w:sectPr w:rsidR="00523DF6" w:rsidRPr="00523DF6" w:rsidSect="00523DF6">
      <w:headerReference w:type="first" r:id="rId13"/>
      <w:pgSz w:w="11907" w:h="16840" w:code="9"/>
      <w:pgMar w:top="720" w:right="720" w:bottom="426"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D68F" w14:textId="77777777" w:rsidR="00033F52" w:rsidRDefault="00033F52">
      <w:r>
        <w:separator/>
      </w:r>
    </w:p>
  </w:endnote>
  <w:endnote w:type="continuationSeparator" w:id="0">
    <w:p w14:paraId="0798298A" w14:textId="77777777" w:rsidR="00033F52" w:rsidRDefault="00033F52">
      <w:r>
        <w:continuationSeparator/>
      </w:r>
    </w:p>
  </w:endnote>
  <w:endnote w:type="continuationNotice" w:id="1">
    <w:p w14:paraId="36F26603" w14:textId="77777777" w:rsidR="00704904" w:rsidRDefault="0070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72B3" w14:textId="77777777" w:rsidR="00033F52" w:rsidRDefault="00033F52">
      <w:r>
        <w:separator/>
      </w:r>
    </w:p>
  </w:footnote>
  <w:footnote w:type="continuationSeparator" w:id="0">
    <w:p w14:paraId="1F5A41D8" w14:textId="77777777" w:rsidR="00033F52" w:rsidRDefault="00033F52">
      <w:r>
        <w:continuationSeparator/>
      </w:r>
    </w:p>
  </w:footnote>
  <w:footnote w:type="continuationNotice" w:id="1">
    <w:p w14:paraId="0DBA1067" w14:textId="77777777" w:rsidR="00704904" w:rsidRDefault="00704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A061" w14:textId="77777777" w:rsidR="007F24E8" w:rsidRDefault="008D6FEA">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2C8"/>
    <w:multiLevelType w:val="multilevel"/>
    <w:tmpl w:val="5EC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227F4"/>
    <w:multiLevelType w:val="multilevel"/>
    <w:tmpl w:val="D3A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916CD"/>
    <w:multiLevelType w:val="multilevel"/>
    <w:tmpl w:val="DC4CD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33BA7"/>
    <w:multiLevelType w:val="hybridMultilevel"/>
    <w:tmpl w:val="FFFFFFFF"/>
    <w:lvl w:ilvl="0" w:tplc="71B244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4F3F6DE4"/>
    <w:multiLevelType w:val="hybridMultilevel"/>
    <w:tmpl w:val="FFFFFFFF"/>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87AF8"/>
    <w:multiLevelType w:val="hybridMultilevel"/>
    <w:tmpl w:val="FFFFFFFF"/>
    <w:lvl w:ilvl="0" w:tplc="1242C0D2">
      <w:start w:val="1"/>
      <w:numFmt w:val="lowerLetter"/>
      <w:pStyle w:val="ListParagraph"/>
      <w:lvlText w:val="%1."/>
      <w:lvlJc w:val="left"/>
      <w:pPr>
        <w:ind w:left="1571" w:hanging="360"/>
      </w:pPr>
      <w:rPr>
        <w:rFonts w:cs="Times New Roman" w:hint="default"/>
        <w:b w:val="0"/>
      </w:rPr>
    </w:lvl>
    <w:lvl w:ilvl="1" w:tplc="0C090019" w:tentative="1">
      <w:start w:val="1"/>
      <w:numFmt w:val="lowerLetter"/>
      <w:lvlText w:val="%2."/>
      <w:lvlJc w:val="left"/>
      <w:pPr>
        <w:ind w:left="2291" w:hanging="360"/>
      </w:pPr>
      <w:rPr>
        <w:rFonts w:cs="Times New Roman"/>
      </w:rPr>
    </w:lvl>
    <w:lvl w:ilvl="2" w:tplc="0C09001B" w:tentative="1">
      <w:start w:val="1"/>
      <w:numFmt w:val="lowerRoman"/>
      <w:lvlText w:val="%3."/>
      <w:lvlJc w:val="right"/>
      <w:pPr>
        <w:ind w:left="3011" w:hanging="180"/>
      </w:pPr>
      <w:rPr>
        <w:rFonts w:cs="Times New Roman"/>
      </w:rPr>
    </w:lvl>
    <w:lvl w:ilvl="3" w:tplc="0C09000F" w:tentative="1">
      <w:start w:val="1"/>
      <w:numFmt w:val="decimal"/>
      <w:lvlText w:val="%4."/>
      <w:lvlJc w:val="left"/>
      <w:pPr>
        <w:ind w:left="3731" w:hanging="360"/>
      </w:pPr>
      <w:rPr>
        <w:rFonts w:cs="Times New Roman"/>
      </w:rPr>
    </w:lvl>
    <w:lvl w:ilvl="4" w:tplc="0C090019" w:tentative="1">
      <w:start w:val="1"/>
      <w:numFmt w:val="lowerLetter"/>
      <w:lvlText w:val="%5."/>
      <w:lvlJc w:val="left"/>
      <w:pPr>
        <w:ind w:left="4451" w:hanging="360"/>
      </w:pPr>
      <w:rPr>
        <w:rFonts w:cs="Times New Roman"/>
      </w:rPr>
    </w:lvl>
    <w:lvl w:ilvl="5" w:tplc="0C09001B" w:tentative="1">
      <w:start w:val="1"/>
      <w:numFmt w:val="lowerRoman"/>
      <w:lvlText w:val="%6."/>
      <w:lvlJc w:val="right"/>
      <w:pPr>
        <w:ind w:left="5171" w:hanging="180"/>
      </w:pPr>
      <w:rPr>
        <w:rFonts w:cs="Times New Roman"/>
      </w:rPr>
    </w:lvl>
    <w:lvl w:ilvl="6" w:tplc="0C09000F" w:tentative="1">
      <w:start w:val="1"/>
      <w:numFmt w:val="decimal"/>
      <w:lvlText w:val="%7."/>
      <w:lvlJc w:val="left"/>
      <w:pPr>
        <w:ind w:left="5891" w:hanging="360"/>
      </w:pPr>
      <w:rPr>
        <w:rFonts w:cs="Times New Roman"/>
      </w:rPr>
    </w:lvl>
    <w:lvl w:ilvl="7" w:tplc="0C090019" w:tentative="1">
      <w:start w:val="1"/>
      <w:numFmt w:val="lowerLetter"/>
      <w:lvlText w:val="%8."/>
      <w:lvlJc w:val="left"/>
      <w:pPr>
        <w:ind w:left="6611" w:hanging="360"/>
      </w:pPr>
      <w:rPr>
        <w:rFonts w:cs="Times New Roman"/>
      </w:rPr>
    </w:lvl>
    <w:lvl w:ilvl="8" w:tplc="0C09001B" w:tentative="1">
      <w:start w:val="1"/>
      <w:numFmt w:val="lowerRoman"/>
      <w:lvlText w:val="%9."/>
      <w:lvlJc w:val="right"/>
      <w:pPr>
        <w:ind w:left="7331" w:hanging="180"/>
      </w:pPr>
      <w:rPr>
        <w:rFonts w:cs="Times New Roman"/>
      </w:rPr>
    </w:lvl>
  </w:abstractNum>
  <w:abstractNum w:abstractNumId="6"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num w:numId="1" w16cid:durableId="1101102948">
    <w:abstractNumId w:val="1"/>
  </w:num>
  <w:num w:numId="2" w16cid:durableId="1907034965">
    <w:abstractNumId w:val="2"/>
  </w:num>
  <w:num w:numId="3" w16cid:durableId="1686127249">
    <w:abstractNumId w:val="0"/>
  </w:num>
  <w:num w:numId="4" w16cid:durableId="317265647">
    <w:abstractNumId w:val="5"/>
    <w:lvlOverride w:ilvl="0">
      <w:startOverride w:val="1"/>
    </w:lvlOverride>
  </w:num>
  <w:num w:numId="5" w16cid:durableId="1121263792">
    <w:abstractNumId w:val="4"/>
  </w:num>
  <w:num w:numId="6" w16cid:durableId="1131703563">
    <w:abstractNumId w:val="6"/>
  </w:num>
  <w:num w:numId="7" w16cid:durableId="109249968">
    <w:abstractNumId w:val="3"/>
  </w:num>
  <w:num w:numId="8" w16cid:durableId="1587035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5F"/>
    <w:rsid w:val="0000152D"/>
    <w:rsid w:val="00033F52"/>
    <w:rsid w:val="00050AE6"/>
    <w:rsid w:val="000643D7"/>
    <w:rsid w:val="00082692"/>
    <w:rsid w:val="000D2FD7"/>
    <w:rsid w:val="00141BA8"/>
    <w:rsid w:val="001B2C52"/>
    <w:rsid w:val="001F3BD0"/>
    <w:rsid w:val="00206742"/>
    <w:rsid w:val="002E7B38"/>
    <w:rsid w:val="00305ACD"/>
    <w:rsid w:val="0037202E"/>
    <w:rsid w:val="003D2523"/>
    <w:rsid w:val="004905B1"/>
    <w:rsid w:val="00523DF6"/>
    <w:rsid w:val="00534DD1"/>
    <w:rsid w:val="005C64CE"/>
    <w:rsid w:val="00621D5F"/>
    <w:rsid w:val="0063773D"/>
    <w:rsid w:val="00646829"/>
    <w:rsid w:val="00653430"/>
    <w:rsid w:val="00672DF6"/>
    <w:rsid w:val="006D4D79"/>
    <w:rsid w:val="00704904"/>
    <w:rsid w:val="00733708"/>
    <w:rsid w:val="008D6FEA"/>
    <w:rsid w:val="0095532F"/>
    <w:rsid w:val="009E3D42"/>
    <w:rsid w:val="00A466C4"/>
    <w:rsid w:val="00AD7D59"/>
    <w:rsid w:val="00B209FB"/>
    <w:rsid w:val="00B64B71"/>
    <w:rsid w:val="00B7524C"/>
    <w:rsid w:val="00C64F54"/>
    <w:rsid w:val="00CA37FA"/>
    <w:rsid w:val="00CB7324"/>
    <w:rsid w:val="00CF1E13"/>
    <w:rsid w:val="00D02E24"/>
    <w:rsid w:val="00D43178"/>
    <w:rsid w:val="00D71BCF"/>
    <w:rsid w:val="00D90178"/>
    <w:rsid w:val="00E003F9"/>
    <w:rsid w:val="00E10307"/>
    <w:rsid w:val="00E3013E"/>
    <w:rsid w:val="00E36C5D"/>
    <w:rsid w:val="00E55BDC"/>
    <w:rsid w:val="00E77C01"/>
    <w:rsid w:val="00E77E32"/>
    <w:rsid w:val="00EB4265"/>
    <w:rsid w:val="00EB759C"/>
    <w:rsid w:val="00ED6D33"/>
    <w:rsid w:val="00F4456F"/>
    <w:rsid w:val="00F648DD"/>
    <w:rsid w:val="00F813D7"/>
    <w:rsid w:val="00FA3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8061"/>
  <w15:chartTrackingRefBased/>
  <w15:docId w15:val="{2347E9A8-8619-4CB7-920B-1E4F422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2E"/>
    <w:pPr>
      <w:spacing w:after="0" w:line="240" w:lineRule="auto"/>
    </w:pPr>
    <w:rPr>
      <w:rFonts w:ascii="Arial" w:eastAsia="Times New Roman" w:hAnsi="Arial" w:cs="Arial"/>
    </w:rPr>
  </w:style>
  <w:style w:type="paragraph" w:styleId="Heading2">
    <w:name w:val="heading 2"/>
    <w:basedOn w:val="Normal"/>
    <w:next w:val="Normal"/>
    <w:link w:val="Heading2Char"/>
    <w:uiPriority w:val="9"/>
    <w:unhideWhenUsed/>
    <w:qFormat/>
    <w:rsid w:val="00733708"/>
    <w:pPr>
      <w:keepNext/>
      <w:keepLines/>
      <w:spacing w:before="120"/>
      <w:outlineLvl w:val="1"/>
    </w:pPr>
    <w:rPr>
      <w:rFonts w:asciiTheme="minorHAnsi" w:eastAsiaTheme="majorEastAsia" w:hAnsiTheme="minorHAnsi"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1D5F"/>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621D5F"/>
  </w:style>
  <w:style w:type="character" w:customStyle="1" w:styleId="eop">
    <w:name w:val="eop"/>
    <w:basedOn w:val="DefaultParagraphFont"/>
    <w:rsid w:val="00621D5F"/>
  </w:style>
  <w:style w:type="character" w:customStyle="1" w:styleId="tabchar">
    <w:name w:val="tabchar"/>
    <w:basedOn w:val="DefaultParagraphFont"/>
    <w:rsid w:val="00621D5F"/>
  </w:style>
  <w:style w:type="paragraph" w:styleId="Header">
    <w:name w:val="header"/>
    <w:basedOn w:val="Normal"/>
    <w:link w:val="HeaderChar"/>
    <w:uiPriority w:val="99"/>
    <w:rsid w:val="001F3BD0"/>
    <w:pPr>
      <w:tabs>
        <w:tab w:val="center" w:pos="4153"/>
        <w:tab w:val="right" w:pos="8306"/>
      </w:tabs>
    </w:pPr>
  </w:style>
  <w:style w:type="character" w:customStyle="1" w:styleId="HeaderChar">
    <w:name w:val="Header Char"/>
    <w:basedOn w:val="DefaultParagraphFont"/>
    <w:link w:val="Header"/>
    <w:uiPriority w:val="99"/>
    <w:rsid w:val="001F3BD0"/>
    <w:rPr>
      <w:rFonts w:ascii="Arial" w:eastAsia="Times New Roman" w:hAnsi="Arial" w:cs="Arial"/>
    </w:rPr>
  </w:style>
  <w:style w:type="character" w:styleId="Hyperlink">
    <w:name w:val="Hyperlink"/>
    <w:basedOn w:val="DefaultParagraphFont"/>
    <w:uiPriority w:val="99"/>
    <w:rsid w:val="001F3BD0"/>
    <w:rPr>
      <w:rFonts w:cs="Times New Roman"/>
      <w:color w:val="0000FF"/>
      <w:u w:val="single"/>
    </w:rPr>
  </w:style>
  <w:style w:type="paragraph" w:customStyle="1" w:styleId="CharChar">
    <w:name w:val="Char Char"/>
    <w:basedOn w:val="Normal"/>
    <w:uiPriority w:val="99"/>
    <w:rsid w:val="001F3BD0"/>
  </w:style>
  <w:style w:type="paragraph" w:customStyle="1" w:styleId="Cover3">
    <w:name w:val="Cover 3"/>
    <w:basedOn w:val="Normal"/>
    <w:next w:val="Normal"/>
    <w:autoRedefine/>
    <w:rsid w:val="008D6FEA"/>
    <w:pPr>
      <w:autoSpaceDE w:val="0"/>
      <w:autoSpaceDN w:val="0"/>
      <w:spacing w:after="120"/>
      <w:ind w:right="74"/>
      <w:jc w:val="center"/>
    </w:pPr>
    <w:rPr>
      <w:rFonts w:ascii="Times New Roman" w:hAnsi="Times New Roman" w:cs="Times New Roman"/>
      <w:bCs/>
      <w:sz w:val="24"/>
      <w:szCs w:val="24"/>
      <w:lang w:eastAsia="en-AU"/>
    </w:rPr>
  </w:style>
  <w:style w:type="paragraph" w:styleId="ListParagraph">
    <w:name w:val="List Paragraph"/>
    <w:basedOn w:val="Normal"/>
    <w:uiPriority w:val="34"/>
    <w:qFormat/>
    <w:rsid w:val="001F3BD0"/>
    <w:pPr>
      <w:numPr>
        <w:numId w:val="4"/>
      </w:numPr>
      <w:shd w:val="clear" w:color="auto" w:fill="FFFFFF"/>
      <w:spacing w:after="120" w:line="285" w:lineRule="atLeast"/>
    </w:pPr>
    <w:rPr>
      <w:rFonts w:ascii="Times New Roman" w:hAnsi="Times New Roman" w:cs="Times New Roman"/>
      <w:color w:val="000000"/>
      <w:sz w:val="24"/>
      <w:szCs w:val="24"/>
      <w:lang w:eastAsia="en-AU"/>
    </w:rPr>
  </w:style>
  <w:style w:type="paragraph" w:customStyle="1" w:styleId="Dot">
    <w:name w:val="Dot"/>
    <w:basedOn w:val="Normal"/>
    <w:rsid w:val="001F3BD0"/>
    <w:pPr>
      <w:numPr>
        <w:numId w:val="5"/>
      </w:numPr>
      <w:tabs>
        <w:tab w:val="left" w:pos="1260"/>
      </w:tabs>
      <w:spacing w:after="120" w:line="276" w:lineRule="auto"/>
    </w:pPr>
    <w:rPr>
      <w:b/>
      <w:bCs/>
    </w:rPr>
  </w:style>
  <w:style w:type="paragraph" w:customStyle="1" w:styleId="GrantGuidelinesaPoints">
    <w:name w:val="Grant Guidelines a. Points"/>
    <w:basedOn w:val="Normal"/>
    <w:next w:val="Normal"/>
    <w:link w:val="GrantGuidelinesaPointsChar"/>
    <w:qFormat/>
    <w:rsid w:val="001F3BD0"/>
    <w:pPr>
      <w:numPr>
        <w:numId w:val="6"/>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1F3BD0"/>
    <w:rPr>
      <w:rFonts w:ascii="Calibri" w:eastAsia="Times New Roman" w:hAnsi="Calibri" w:cs="Arial"/>
      <w:bCs/>
    </w:rPr>
  </w:style>
  <w:style w:type="character" w:styleId="FollowedHyperlink">
    <w:name w:val="FollowedHyperlink"/>
    <w:basedOn w:val="DefaultParagraphFont"/>
    <w:uiPriority w:val="99"/>
    <w:semiHidden/>
    <w:unhideWhenUsed/>
    <w:rsid w:val="003D2523"/>
    <w:rPr>
      <w:color w:val="954F72" w:themeColor="followedHyperlink"/>
      <w:u w:val="single"/>
    </w:rPr>
  </w:style>
  <w:style w:type="character" w:customStyle="1" w:styleId="Heading2Char">
    <w:name w:val="Heading 2 Char"/>
    <w:basedOn w:val="DefaultParagraphFont"/>
    <w:link w:val="Heading2"/>
    <w:uiPriority w:val="9"/>
    <w:rsid w:val="00733708"/>
    <w:rPr>
      <w:rFonts w:eastAsiaTheme="majorEastAsia" w:cstheme="minorHAnsi"/>
      <w:sz w:val="24"/>
      <w:szCs w:val="24"/>
      <w:u w:val="single"/>
    </w:rPr>
  </w:style>
  <w:style w:type="character" w:styleId="CommentReference">
    <w:name w:val="annotation reference"/>
    <w:basedOn w:val="DefaultParagraphFont"/>
    <w:uiPriority w:val="99"/>
    <w:semiHidden/>
    <w:unhideWhenUsed/>
    <w:rsid w:val="00E36C5D"/>
    <w:rPr>
      <w:sz w:val="16"/>
      <w:szCs w:val="16"/>
    </w:rPr>
  </w:style>
  <w:style w:type="paragraph" w:styleId="CommentText">
    <w:name w:val="annotation text"/>
    <w:basedOn w:val="Normal"/>
    <w:link w:val="CommentTextChar"/>
    <w:uiPriority w:val="99"/>
    <w:unhideWhenUsed/>
    <w:rsid w:val="00E36C5D"/>
    <w:rPr>
      <w:sz w:val="20"/>
      <w:szCs w:val="20"/>
    </w:rPr>
  </w:style>
  <w:style w:type="character" w:customStyle="1" w:styleId="CommentTextChar">
    <w:name w:val="Comment Text Char"/>
    <w:basedOn w:val="DefaultParagraphFont"/>
    <w:link w:val="CommentText"/>
    <w:uiPriority w:val="99"/>
    <w:rsid w:val="00E36C5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36C5D"/>
    <w:rPr>
      <w:b/>
      <w:bCs/>
    </w:rPr>
  </w:style>
  <w:style w:type="character" w:customStyle="1" w:styleId="CommentSubjectChar">
    <w:name w:val="Comment Subject Char"/>
    <w:basedOn w:val="CommentTextChar"/>
    <w:link w:val="CommentSubject"/>
    <w:uiPriority w:val="99"/>
    <w:semiHidden/>
    <w:rsid w:val="00E36C5D"/>
    <w:rPr>
      <w:rFonts w:ascii="Arial" w:eastAsia="Times New Roman" w:hAnsi="Arial" w:cs="Arial"/>
      <w:b/>
      <w:bCs/>
      <w:sz w:val="20"/>
      <w:szCs w:val="20"/>
    </w:rPr>
  </w:style>
  <w:style w:type="paragraph" w:styleId="Revision">
    <w:name w:val="Revision"/>
    <w:hidden/>
    <w:uiPriority w:val="99"/>
    <w:semiHidden/>
    <w:rsid w:val="00E77E32"/>
    <w:pPr>
      <w:spacing w:after="0" w:line="240" w:lineRule="auto"/>
    </w:pPr>
    <w:rPr>
      <w:rFonts w:ascii="Arial" w:eastAsia="Times New Roman" w:hAnsi="Arial" w:cs="Arial"/>
    </w:rPr>
  </w:style>
  <w:style w:type="paragraph" w:styleId="Footer">
    <w:name w:val="footer"/>
    <w:basedOn w:val="Normal"/>
    <w:link w:val="FooterChar"/>
    <w:uiPriority w:val="99"/>
    <w:semiHidden/>
    <w:unhideWhenUsed/>
    <w:rsid w:val="00704904"/>
    <w:pPr>
      <w:tabs>
        <w:tab w:val="center" w:pos="4513"/>
        <w:tab w:val="right" w:pos="9026"/>
      </w:tabs>
    </w:pPr>
  </w:style>
  <w:style w:type="character" w:customStyle="1" w:styleId="FooterChar">
    <w:name w:val="Footer Char"/>
    <w:basedOn w:val="DefaultParagraphFont"/>
    <w:link w:val="Footer"/>
    <w:uiPriority w:val="99"/>
    <w:semiHidden/>
    <w:rsid w:val="0070490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1132">
      <w:bodyDiv w:val="1"/>
      <w:marLeft w:val="0"/>
      <w:marRight w:val="0"/>
      <w:marTop w:val="0"/>
      <w:marBottom w:val="0"/>
      <w:divBdr>
        <w:top w:val="none" w:sz="0" w:space="0" w:color="auto"/>
        <w:left w:val="none" w:sz="0" w:space="0" w:color="auto"/>
        <w:bottom w:val="none" w:sz="0" w:space="0" w:color="auto"/>
        <w:right w:val="none" w:sz="0" w:space="0" w:color="auto"/>
      </w:divBdr>
      <w:divsChild>
        <w:div w:id="692997028">
          <w:marLeft w:val="0"/>
          <w:marRight w:val="0"/>
          <w:marTop w:val="0"/>
          <w:marBottom w:val="0"/>
          <w:divBdr>
            <w:top w:val="none" w:sz="0" w:space="0" w:color="auto"/>
            <w:left w:val="none" w:sz="0" w:space="0" w:color="auto"/>
            <w:bottom w:val="none" w:sz="0" w:space="0" w:color="auto"/>
            <w:right w:val="none" w:sz="0" w:space="0" w:color="auto"/>
          </w:divBdr>
        </w:div>
        <w:div w:id="1974285144">
          <w:marLeft w:val="0"/>
          <w:marRight w:val="0"/>
          <w:marTop w:val="0"/>
          <w:marBottom w:val="0"/>
          <w:divBdr>
            <w:top w:val="none" w:sz="0" w:space="0" w:color="auto"/>
            <w:left w:val="none" w:sz="0" w:space="0" w:color="auto"/>
            <w:bottom w:val="none" w:sz="0" w:space="0" w:color="auto"/>
            <w:right w:val="none" w:sz="0" w:space="0" w:color="auto"/>
          </w:divBdr>
        </w:div>
        <w:div w:id="991757138">
          <w:marLeft w:val="0"/>
          <w:marRight w:val="0"/>
          <w:marTop w:val="0"/>
          <w:marBottom w:val="0"/>
          <w:divBdr>
            <w:top w:val="none" w:sz="0" w:space="0" w:color="auto"/>
            <w:left w:val="none" w:sz="0" w:space="0" w:color="auto"/>
            <w:bottom w:val="none" w:sz="0" w:space="0" w:color="auto"/>
            <w:right w:val="none" w:sz="0" w:space="0" w:color="auto"/>
          </w:divBdr>
        </w:div>
        <w:div w:id="1676496550">
          <w:marLeft w:val="0"/>
          <w:marRight w:val="0"/>
          <w:marTop w:val="0"/>
          <w:marBottom w:val="0"/>
          <w:divBdr>
            <w:top w:val="none" w:sz="0" w:space="0" w:color="auto"/>
            <w:left w:val="none" w:sz="0" w:space="0" w:color="auto"/>
            <w:bottom w:val="none" w:sz="0" w:space="0" w:color="auto"/>
            <w:right w:val="none" w:sz="0" w:space="0" w:color="auto"/>
          </w:divBdr>
        </w:div>
        <w:div w:id="1599219521">
          <w:marLeft w:val="0"/>
          <w:marRight w:val="0"/>
          <w:marTop w:val="0"/>
          <w:marBottom w:val="0"/>
          <w:divBdr>
            <w:top w:val="none" w:sz="0" w:space="0" w:color="auto"/>
            <w:left w:val="none" w:sz="0" w:space="0" w:color="auto"/>
            <w:bottom w:val="none" w:sz="0" w:space="0" w:color="auto"/>
            <w:right w:val="none" w:sz="0" w:space="0" w:color="auto"/>
          </w:divBdr>
        </w:div>
        <w:div w:id="1855992215">
          <w:marLeft w:val="0"/>
          <w:marRight w:val="0"/>
          <w:marTop w:val="0"/>
          <w:marBottom w:val="0"/>
          <w:divBdr>
            <w:top w:val="none" w:sz="0" w:space="0" w:color="auto"/>
            <w:left w:val="none" w:sz="0" w:space="0" w:color="auto"/>
            <w:bottom w:val="none" w:sz="0" w:space="0" w:color="auto"/>
            <w:right w:val="none" w:sz="0" w:space="0" w:color="auto"/>
          </w:divBdr>
        </w:div>
        <w:div w:id="130364493">
          <w:marLeft w:val="0"/>
          <w:marRight w:val="0"/>
          <w:marTop w:val="0"/>
          <w:marBottom w:val="0"/>
          <w:divBdr>
            <w:top w:val="none" w:sz="0" w:space="0" w:color="auto"/>
            <w:left w:val="none" w:sz="0" w:space="0" w:color="auto"/>
            <w:bottom w:val="none" w:sz="0" w:space="0" w:color="auto"/>
            <w:right w:val="none" w:sz="0" w:space="0" w:color="auto"/>
          </w:divBdr>
        </w:div>
        <w:div w:id="142896254">
          <w:marLeft w:val="0"/>
          <w:marRight w:val="0"/>
          <w:marTop w:val="0"/>
          <w:marBottom w:val="0"/>
          <w:divBdr>
            <w:top w:val="none" w:sz="0" w:space="0" w:color="auto"/>
            <w:left w:val="none" w:sz="0" w:space="0" w:color="auto"/>
            <w:bottom w:val="none" w:sz="0" w:space="0" w:color="auto"/>
            <w:right w:val="none" w:sz="0" w:space="0" w:color="auto"/>
          </w:divBdr>
        </w:div>
        <w:div w:id="1426654639">
          <w:marLeft w:val="0"/>
          <w:marRight w:val="0"/>
          <w:marTop w:val="0"/>
          <w:marBottom w:val="0"/>
          <w:divBdr>
            <w:top w:val="none" w:sz="0" w:space="0" w:color="auto"/>
            <w:left w:val="none" w:sz="0" w:space="0" w:color="auto"/>
            <w:bottom w:val="none" w:sz="0" w:space="0" w:color="auto"/>
            <w:right w:val="none" w:sz="0" w:space="0" w:color="auto"/>
          </w:divBdr>
        </w:div>
        <w:div w:id="180170092">
          <w:marLeft w:val="0"/>
          <w:marRight w:val="0"/>
          <w:marTop w:val="0"/>
          <w:marBottom w:val="0"/>
          <w:divBdr>
            <w:top w:val="none" w:sz="0" w:space="0" w:color="auto"/>
            <w:left w:val="none" w:sz="0" w:space="0" w:color="auto"/>
            <w:bottom w:val="none" w:sz="0" w:space="0" w:color="auto"/>
            <w:right w:val="none" w:sz="0" w:space="0" w:color="auto"/>
          </w:divBdr>
        </w:div>
        <w:div w:id="223150530">
          <w:marLeft w:val="0"/>
          <w:marRight w:val="0"/>
          <w:marTop w:val="0"/>
          <w:marBottom w:val="0"/>
          <w:divBdr>
            <w:top w:val="none" w:sz="0" w:space="0" w:color="auto"/>
            <w:left w:val="none" w:sz="0" w:space="0" w:color="auto"/>
            <w:bottom w:val="none" w:sz="0" w:space="0" w:color="auto"/>
            <w:right w:val="none" w:sz="0" w:space="0" w:color="auto"/>
          </w:divBdr>
        </w:div>
        <w:div w:id="36203007">
          <w:marLeft w:val="0"/>
          <w:marRight w:val="0"/>
          <w:marTop w:val="0"/>
          <w:marBottom w:val="0"/>
          <w:divBdr>
            <w:top w:val="none" w:sz="0" w:space="0" w:color="auto"/>
            <w:left w:val="none" w:sz="0" w:space="0" w:color="auto"/>
            <w:bottom w:val="none" w:sz="0" w:space="0" w:color="auto"/>
            <w:right w:val="none" w:sz="0" w:space="0" w:color="auto"/>
          </w:divBdr>
        </w:div>
        <w:div w:id="2015260766">
          <w:marLeft w:val="0"/>
          <w:marRight w:val="0"/>
          <w:marTop w:val="0"/>
          <w:marBottom w:val="0"/>
          <w:divBdr>
            <w:top w:val="none" w:sz="0" w:space="0" w:color="auto"/>
            <w:left w:val="none" w:sz="0" w:space="0" w:color="auto"/>
            <w:bottom w:val="none" w:sz="0" w:space="0" w:color="auto"/>
            <w:right w:val="none" w:sz="0" w:space="0" w:color="auto"/>
          </w:divBdr>
        </w:div>
        <w:div w:id="1573157728">
          <w:marLeft w:val="0"/>
          <w:marRight w:val="0"/>
          <w:marTop w:val="0"/>
          <w:marBottom w:val="0"/>
          <w:divBdr>
            <w:top w:val="none" w:sz="0" w:space="0" w:color="auto"/>
            <w:left w:val="none" w:sz="0" w:space="0" w:color="auto"/>
            <w:bottom w:val="none" w:sz="0" w:space="0" w:color="auto"/>
            <w:right w:val="none" w:sz="0" w:space="0" w:color="auto"/>
          </w:divBdr>
        </w:div>
        <w:div w:id="1612589850">
          <w:marLeft w:val="0"/>
          <w:marRight w:val="0"/>
          <w:marTop w:val="0"/>
          <w:marBottom w:val="0"/>
          <w:divBdr>
            <w:top w:val="none" w:sz="0" w:space="0" w:color="auto"/>
            <w:left w:val="none" w:sz="0" w:space="0" w:color="auto"/>
            <w:bottom w:val="none" w:sz="0" w:space="0" w:color="auto"/>
            <w:right w:val="none" w:sz="0" w:space="0" w:color="auto"/>
          </w:divBdr>
          <w:divsChild>
            <w:div w:id="1228686040">
              <w:marLeft w:val="0"/>
              <w:marRight w:val="0"/>
              <w:marTop w:val="0"/>
              <w:marBottom w:val="0"/>
              <w:divBdr>
                <w:top w:val="none" w:sz="0" w:space="0" w:color="auto"/>
                <w:left w:val="none" w:sz="0" w:space="0" w:color="auto"/>
                <w:bottom w:val="none" w:sz="0" w:space="0" w:color="auto"/>
                <w:right w:val="none" w:sz="0" w:space="0" w:color="auto"/>
              </w:divBdr>
            </w:div>
            <w:div w:id="2121994659">
              <w:marLeft w:val="0"/>
              <w:marRight w:val="0"/>
              <w:marTop w:val="0"/>
              <w:marBottom w:val="0"/>
              <w:divBdr>
                <w:top w:val="none" w:sz="0" w:space="0" w:color="auto"/>
                <w:left w:val="none" w:sz="0" w:space="0" w:color="auto"/>
                <w:bottom w:val="none" w:sz="0" w:space="0" w:color="auto"/>
                <w:right w:val="none" w:sz="0" w:space="0" w:color="auto"/>
              </w:divBdr>
            </w:div>
            <w:div w:id="2015181426">
              <w:marLeft w:val="0"/>
              <w:marRight w:val="0"/>
              <w:marTop w:val="0"/>
              <w:marBottom w:val="0"/>
              <w:divBdr>
                <w:top w:val="none" w:sz="0" w:space="0" w:color="auto"/>
                <w:left w:val="none" w:sz="0" w:space="0" w:color="auto"/>
                <w:bottom w:val="none" w:sz="0" w:space="0" w:color="auto"/>
                <w:right w:val="none" w:sz="0" w:space="0" w:color="auto"/>
              </w:divBdr>
            </w:div>
            <w:div w:id="1966227869">
              <w:marLeft w:val="0"/>
              <w:marRight w:val="0"/>
              <w:marTop w:val="0"/>
              <w:marBottom w:val="0"/>
              <w:divBdr>
                <w:top w:val="none" w:sz="0" w:space="0" w:color="auto"/>
                <w:left w:val="none" w:sz="0" w:space="0" w:color="auto"/>
                <w:bottom w:val="none" w:sz="0" w:space="0" w:color="auto"/>
                <w:right w:val="none" w:sz="0" w:space="0" w:color="auto"/>
              </w:divBdr>
            </w:div>
            <w:div w:id="887032091">
              <w:marLeft w:val="0"/>
              <w:marRight w:val="0"/>
              <w:marTop w:val="0"/>
              <w:marBottom w:val="0"/>
              <w:divBdr>
                <w:top w:val="none" w:sz="0" w:space="0" w:color="auto"/>
                <w:left w:val="none" w:sz="0" w:space="0" w:color="auto"/>
                <w:bottom w:val="none" w:sz="0" w:space="0" w:color="auto"/>
                <w:right w:val="none" w:sz="0" w:space="0" w:color="auto"/>
              </w:divBdr>
            </w:div>
          </w:divsChild>
        </w:div>
        <w:div w:id="202405452">
          <w:marLeft w:val="0"/>
          <w:marRight w:val="0"/>
          <w:marTop w:val="0"/>
          <w:marBottom w:val="0"/>
          <w:divBdr>
            <w:top w:val="none" w:sz="0" w:space="0" w:color="auto"/>
            <w:left w:val="none" w:sz="0" w:space="0" w:color="auto"/>
            <w:bottom w:val="none" w:sz="0" w:space="0" w:color="auto"/>
            <w:right w:val="none" w:sz="0" w:space="0" w:color="auto"/>
          </w:divBdr>
        </w:div>
        <w:div w:id="2066294025">
          <w:marLeft w:val="0"/>
          <w:marRight w:val="0"/>
          <w:marTop w:val="0"/>
          <w:marBottom w:val="0"/>
          <w:divBdr>
            <w:top w:val="none" w:sz="0" w:space="0" w:color="auto"/>
            <w:left w:val="none" w:sz="0" w:space="0" w:color="auto"/>
            <w:bottom w:val="none" w:sz="0" w:space="0" w:color="auto"/>
            <w:right w:val="none" w:sz="0" w:space="0" w:color="auto"/>
          </w:divBdr>
        </w:div>
        <w:div w:id="1608610454">
          <w:marLeft w:val="0"/>
          <w:marRight w:val="0"/>
          <w:marTop w:val="0"/>
          <w:marBottom w:val="0"/>
          <w:divBdr>
            <w:top w:val="none" w:sz="0" w:space="0" w:color="auto"/>
            <w:left w:val="none" w:sz="0" w:space="0" w:color="auto"/>
            <w:bottom w:val="none" w:sz="0" w:space="0" w:color="auto"/>
            <w:right w:val="none" w:sz="0" w:space="0" w:color="auto"/>
          </w:divBdr>
        </w:div>
        <w:div w:id="557788356">
          <w:marLeft w:val="0"/>
          <w:marRight w:val="0"/>
          <w:marTop w:val="0"/>
          <w:marBottom w:val="0"/>
          <w:divBdr>
            <w:top w:val="none" w:sz="0" w:space="0" w:color="auto"/>
            <w:left w:val="none" w:sz="0" w:space="0" w:color="auto"/>
            <w:bottom w:val="none" w:sz="0" w:space="0" w:color="auto"/>
            <w:right w:val="none" w:sz="0" w:space="0" w:color="auto"/>
          </w:divBdr>
        </w:div>
        <w:div w:id="2057074547">
          <w:marLeft w:val="0"/>
          <w:marRight w:val="0"/>
          <w:marTop w:val="0"/>
          <w:marBottom w:val="0"/>
          <w:divBdr>
            <w:top w:val="none" w:sz="0" w:space="0" w:color="auto"/>
            <w:left w:val="none" w:sz="0" w:space="0" w:color="auto"/>
            <w:bottom w:val="none" w:sz="0" w:space="0" w:color="auto"/>
            <w:right w:val="none" w:sz="0" w:space="0" w:color="auto"/>
          </w:divBdr>
        </w:div>
        <w:div w:id="540871339">
          <w:marLeft w:val="0"/>
          <w:marRight w:val="0"/>
          <w:marTop w:val="0"/>
          <w:marBottom w:val="0"/>
          <w:divBdr>
            <w:top w:val="none" w:sz="0" w:space="0" w:color="auto"/>
            <w:left w:val="none" w:sz="0" w:space="0" w:color="auto"/>
            <w:bottom w:val="none" w:sz="0" w:space="0" w:color="auto"/>
            <w:right w:val="none" w:sz="0" w:space="0" w:color="auto"/>
          </w:divBdr>
        </w:div>
        <w:div w:id="1055616154">
          <w:marLeft w:val="0"/>
          <w:marRight w:val="0"/>
          <w:marTop w:val="0"/>
          <w:marBottom w:val="0"/>
          <w:divBdr>
            <w:top w:val="none" w:sz="0" w:space="0" w:color="auto"/>
            <w:left w:val="none" w:sz="0" w:space="0" w:color="auto"/>
            <w:bottom w:val="none" w:sz="0" w:space="0" w:color="auto"/>
            <w:right w:val="none" w:sz="0" w:space="0" w:color="auto"/>
          </w:divBdr>
        </w:div>
        <w:div w:id="2061245173">
          <w:marLeft w:val="0"/>
          <w:marRight w:val="0"/>
          <w:marTop w:val="0"/>
          <w:marBottom w:val="0"/>
          <w:divBdr>
            <w:top w:val="none" w:sz="0" w:space="0" w:color="auto"/>
            <w:left w:val="none" w:sz="0" w:space="0" w:color="auto"/>
            <w:bottom w:val="none" w:sz="0" w:space="0" w:color="auto"/>
            <w:right w:val="none" w:sz="0" w:space="0" w:color="auto"/>
          </w:divBdr>
        </w:div>
        <w:div w:id="847478646">
          <w:marLeft w:val="0"/>
          <w:marRight w:val="0"/>
          <w:marTop w:val="0"/>
          <w:marBottom w:val="0"/>
          <w:divBdr>
            <w:top w:val="none" w:sz="0" w:space="0" w:color="auto"/>
            <w:left w:val="none" w:sz="0" w:space="0" w:color="auto"/>
            <w:bottom w:val="none" w:sz="0" w:space="0" w:color="auto"/>
            <w:right w:val="none" w:sz="0" w:space="0" w:color="auto"/>
          </w:divBdr>
        </w:div>
        <w:div w:id="285506057">
          <w:marLeft w:val="0"/>
          <w:marRight w:val="0"/>
          <w:marTop w:val="0"/>
          <w:marBottom w:val="0"/>
          <w:divBdr>
            <w:top w:val="none" w:sz="0" w:space="0" w:color="auto"/>
            <w:left w:val="none" w:sz="0" w:space="0" w:color="auto"/>
            <w:bottom w:val="none" w:sz="0" w:space="0" w:color="auto"/>
            <w:right w:val="none" w:sz="0" w:space="0" w:color="auto"/>
          </w:divBdr>
        </w:div>
        <w:div w:id="510679665">
          <w:marLeft w:val="0"/>
          <w:marRight w:val="0"/>
          <w:marTop w:val="0"/>
          <w:marBottom w:val="0"/>
          <w:divBdr>
            <w:top w:val="none" w:sz="0" w:space="0" w:color="auto"/>
            <w:left w:val="none" w:sz="0" w:space="0" w:color="auto"/>
            <w:bottom w:val="none" w:sz="0" w:space="0" w:color="auto"/>
            <w:right w:val="none" w:sz="0" w:space="0" w:color="auto"/>
          </w:divBdr>
          <w:divsChild>
            <w:div w:id="1396467559">
              <w:marLeft w:val="0"/>
              <w:marRight w:val="0"/>
              <w:marTop w:val="0"/>
              <w:marBottom w:val="0"/>
              <w:divBdr>
                <w:top w:val="none" w:sz="0" w:space="0" w:color="auto"/>
                <w:left w:val="none" w:sz="0" w:space="0" w:color="auto"/>
                <w:bottom w:val="none" w:sz="0" w:space="0" w:color="auto"/>
                <w:right w:val="none" w:sz="0" w:space="0" w:color="auto"/>
              </w:divBdr>
            </w:div>
            <w:div w:id="1795097722">
              <w:marLeft w:val="0"/>
              <w:marRight w:val="0"/>
              <w:marTop w:val="0"/>
              <w:marBottom w:val="0"/>
              <w:divBdr>
                <w:top w:val="none" w:sz="0" w:space="0" w:color="auto"/>
                <w:left w:val="none" w:sz="0" w:space="0" w:color="auto"/>
                <w:bottom w:val="none" w:sz="0" w:space="0" w:color="auto"/>
                <w:right w:val="none" w:sz="0" w:space="0" w:color="auto"/>
              </w:divBdr>
            </w:div>
            <w:div w:id="847983503">
              <w:marLeft w:val="0"/>
              <w:marRight w:val="0"/>
              <w:marTop w:val="0"/>
              <w:marBottom w:val="0"/>
              <w:divBdr>
                <w:top w:val="none" w:sz="0" w:space="0" w:color="auto"/>
                <w:left w:val="none" w:sz="0" w:space="0" w:color="auto"/>
                <w:bottom w:val="none" w:sz="0" w:space="0" w:color="auto"/>
                <w:right w:val="none" w:sz="0" w:space="0" w:color="auto"/>
              </w:divBdr>
            </w:div>
          </w:divsChild>
        </w:div>
        <w:div w:id="1383285362">
          <w:marLeft w:val="0"/>
          <w:marRight w:val="0"/>
          <w:marTop w:val="0"/>
          <w:marBottom w:val="0"/>
          <w:divBdr>
            <w:top w:val="none" w:sz="0" w:space="0" w:color="auto"/>
            <w:left w:val="none" w:sz="0" w:space="0" w:color="auto"/>
            <w:bottom w:val="none" w:sz="0" w:space="0" w:color="auto"/>
            <w:right w:val="none" w:sz="0" w:space="0" w:color="auto"/>
          </w:divBdr>
        </w:div>
        <w:div w:id="989871360">
          <w:marLeft w:val="0"/>
          <w:marRight w:val="0"/>
          <w:marTop w:val="0"/>
          <w:marBottom w:val="0"/>
          <w:divBdr>
            <w:top w:val="none" w:sz="0" w:space="0" w:color="auto"/>
            <w:left w:val="none" w:sz="0" w:space="0" w:color="auto"/>
            <w:bottom w:val="none" w:sz="0" w:space="0" w:color="auto"/>
            <w:right w:val="none" w:sz="0" w:space="0" w:color="auto"/>
          </w:divBdr>
        </w:div>
        <w:div w:id="937297411">
          <w:marLeft w:val="0"/>
          <w:marRight w:val="0"/>
          <w:marTop w:val="0"/>
          <w:marBottom w:val="0"/>
          <w:divBdr>
            <w:top w:val="none" w:sz="0" w:space="0" w:color="auto"/>
            <w:left w:val="none" w:sz="0" w:space="0" w:color="auto"/>
            <w:bottom w:val="none" w:sz="0" w:space="0" w:color="auto"/>
            <w:right w:val="none" w:sz="0" w:space="0" w:color="auto"/>
          </w:divBdr>
        </w:div>
        <w:div w:id="554393460">
          <w:marLeft w:val="0"/>
          <w:marRight w:val="0"/>
          <w:marTop w:val="0"/>
          <w:marBottom w:val="0"/>
          <w:divBdr>
            <w:top w:val="none" w:sz="0" w:space="0" w:color="auto"/>
            <w:left w:val="none" w:sz="0" w:space="0" w:color="auto"/>
            <w:bottom w:val="none" w:sz="0" w:space="0" w:color="auto"/>
            <w:right w:val="none" w:sz="0" w:space="0" w:color="auto"/>
          </w:divBdr>
        </w:div>
        <w:div w:id="221604191">
          <w:marLeft w:val="0"/>
          <w:marRight w:val="0"/>
          <w:marTop w:val="0"/>
          <w:marBottom w:val="0"/>
          <w:divBdr>
            <w:top w:val="none" w:sz="0" w:space="0" w:color="auto"/>
            <w:left w:val="none" w:sz="0" w:space="0" w:color="auto"/>
            <w:bottom w:val="none" w:sz="0" w:space="0" w:color="auto"/>
            <w:right w:val="none" w:sz="0" w:space="0" w:color="auto"/>
          </w:divBdr>
        </w:div>
        <w:div w:id="408116004">
          <w:marLeft w:val="0"/>
          <w:marRight w:val="0"/>
          <w:marTop w:val="0"/>
          <w:marBottom w:val="0"/>
          <w:divBdr>
            <w:top w:val="none" w:sz="0" w:space="0" w:color="auto"/>
            <w:left w:val="none" w:sz="0" w:space="0" w:color="auto"/>
            <w:bottom w:val="none" w:sz="0" w:space="0" w:color="auto"/>
            <w:right w:val="none" w:sz="0" w:space="0" w:color="auto"/>
          </w:divBdr>
        </w:div>
        <w:div w:id="502941637">
          <w:marLeft w:val="0"/>
          <w:marRight w:val="0"/>
          <w:marTop w:val="0"/>
          <w:marBottom w:val="0"/>
          <w:divBdr>
            <w:top w:val="none" w:sz="0" w:space="0" w:color="auto"/>
            <w:left w:val="none" w:sz="0" w:space="0" w:color="auto"/>
            <w:bottom w:val="none" w:sz="0" w:space="0" w:color="auto"/>
            <w:right w:val="none" w:sz="0" w:space="0" w:color="auto"/>
          </w:divBdr>
        </w:div>
        <w:div w:id="2020811130">
          <w:marLeft w:val="0"/>
          <w:marRight w:val="0"/>
          <w:marTop w:val="0"/>
          <w:marBottom w:val="0"/>
          <w:divBdr>
            <w:top w:val="none" w:sz="0" w:space="0" w:color="auto"/>
            <w:left w:val="none" w:sz="0" w:space="0" w:color="auto"/>
            <w:bottom w:val="none" w:sz="0" w:space="0" w:color="auto"/>
            <w:right w:val="none" w:sz="0" w:space="0" w:color="auto"/>
          </w:divBdr>
        </w:div>
        <w:div w:id="1256131718">
          <w:marLeft w:val="0"/>
          <w:marRight w:val="0"/>
          <w:marTop w:val="0"/>
          <w:marBottom w:val="0"/>
          <w:divBdr>
            <w:top w:val="none" w:sz="0" w:space="0" w:color="auto"/>
            <w:left w:val="none" w:sz="0" w:space="0" w:color="auto"/>
            <w:bottom w:val="none" w:sz="0" w:space="0" w:color="auto"/>
            <w:right w:val="none" w:sz="0" w:space="0" w:color="auto"/>
          </w:divBdr>
        </w:div>
        <w:div w:id="1926378430">
          <w:marLeft w:val="0"/>
          <w:marRight w:val="0"/>
          <w:marTop w:val="0"/>
          <w:marBottom w:val="0"/>
          <w:divBdr>
            <w:top w:val="none" w:sz="0" w:space="0" w:color="auto"/>
            <w:left w:val="none" w:sz="0" w:space="0" w:color="auto"/>
            <w:bottom w:val="none" w:sz="0" w:space="0" w:color="auto"/>
            <w:right w:val="none" w:sz="0" w:space="0" w:color="auto"/>
          </w:divBdr>
        </w:div>
        <w:div w:id="510486017">
          <w:marLeft w:val="0"/>
          <w:marRight w:val="0"/>
          <w:marTop w:val="0"/>
          <w:marBottom w:val="0"/>
          <w:divBdr>
            <w:top w:val="none" w:sz="0" w:space="0" w:color="auto"/>
            <w:left w:val="none" w:sz="0" w:space="0" w:color="auto"/>
            <w:bottom w:val="none" w:sz="0" w:space="0" w:color="auto"/>
            <w:right w:val="none" w:sz="0" w:space="0" w:color="auto"/>
          </w:divBdr>
        </w:div>
        <w:div w:id="1343898394">
          <w:marLeft w:val="0"/>
          <w:marRight w:val="0"/>
          <w:marTop w:val="0"/>
          <w:marBottom w:val="0"/>
          <w:divBdr>
            <w:top w:val="none" w:sz="0" w:space="0" w:color="auto"/>
            <w:left w:val="none" w:sz="0" w:space="0" w:color="auto"/>
            <w:bottom w:val="none" w:sz="0" w:space="0" w:color="auto"/>
            <w:right w:val="none" w:sz="0" w:space="0" w:color="auto"/>
          </w:divBdr>
        </w:div>
        <w:div w:id="1667975236">
          <w:marLeft w:val="0"/>
          <w:marRight w:val="0"/>
          <w:marTop w:val="0"/>
          <w:marBottom w:val="0"/>
          <w:divBdr>
            <w:top w:val="none" w:sz="0" w:space="0" w:color="auto"/>
            <w:left w:val="none" w:sz="0" w:space="0" w:color="auto"/>
            <w:bottom w:val="none" w:sz="0" w:space="0" w:color="auto"/>
            <w:right w:val="none" w:sz="0" w:space="0" w:color="auto"/>
          </w:divBdr>
        </w:div>
        <w:div w:id="10187847">
          <w:marLeft w:val="0"/>
          <w:marRight w:val="0"/>
          <w:marTop w:val="0"/>
          <w:marBottom w:val="0"/>
          <w:divBdr>
            <w:top w:val="none" w:sz="0" w:space="0" w:color="auto"/>
            <w:left w:val="none" w:sz="0" w:space="0" w:color="auto"/>
            <w:bottom w:val="none" w:sz="0" w:space="0" w:color="auto"/>
            <w:right w:val="none" w:sz="0" w:space="0" w:color="auto"/>
          </w:divBdr>
        </w:div>
        <w:div w:id="1624342488">
          <w:marLeft w:val="0"/>
          <w:marRight w:val="0"/>
          <w:marTop w:val="0"/>
          <w:marBottom w:val="0"/>
          <w:divBdr>
            <w:top w:val="none" w:sz="0" w:space="0" w:color="auto"/>
            <w:left w:val="none" w:sz="0" w:space="0" w:color="auto"/>
            <w:bottom w:val="none" w:sz="0" w:space="0" w:color="auto"/>
            <w:right w:val="none" w:sz="0" w:space="0" w:color="auto"/>
          </w:divBdr>
        </w:div>
        <w:div w:id="582223945">
          <w:marLeft w:val="0"/>
          <w:marRight w:val="0"/>
          <w:marTop w:val="0"/>
          <w:marBottom w:val="0"/>
          <w:divBdr>
            <w:top w:val="none" w:sz="0" w:space="0" w:color="auto"/>
            <w:left w:val="none" w:sz="0" w:space="0" w:color="auto"/>
            <w:bottom w:val="none" w:sz="0" w:space="0" w:color="auto"/>
            <w:right w:val="none" w:sz="0" w:space="0" w:color="auto"/>
          </w:divBdr>
        </w:div>
        <w:div w:id="1343358185">
          <w:marLeft w:val="0"/>
          <w:marRight w:val="0"/>
          <w:marTop w:val="0"/>
          <w:marBottom w:val="0"/>
          <w:divBdr>
            <w:top w:val="none" w:sz="0" w:space="0" w:color="auto"/>
            <w:left w:val="none" w:sz="0" w:space="0" w:color="auto"/>
            <w:bottom w:val="none" w:sz="0" w:space="0" w:color="auto"/>
            <w:right w:val="none" w:sz="0" w:space="0" w:color="auto"/>
          </w:divBdr>
        </w:div>
        <w:div w:id="160033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ese.gov.au/guidelines-counter-foreign-interference-australian-university-sec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c.gov.au/" TargetMode="External"/><Relationship Id="rId4" Type="http://schemas.openxmlformats.org/officeDocument/2006/relationships/styles" Target="styles.xml"/><Relationship Id="rId9" Type="http://schemas.openxmlformats.org/officeDocument/2006/relationships/hyperlink" Target="http://www.ar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5" ma:contentTypeDescription="Create a new document." ma:contentTypeScope="" ma:versionID="0797f34e152399234d0159aefe02b56d">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787deaf754ae344bba54b0fb700d3d19"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698C2-75C0-4B2B-91F0-8272007A0C94}">
  <ds:schemaRefs>
    <ds:schemaRef ds:uri="http://schemas.microsoft.com/sharepoint/v3/contenttype/forms"/>
  </ds:schemaRefs>
</ds:datastoreItem>
</file>

<file path=customXml/itemProps2.xml><?xml version="1.0" encoding="utf-8"?>
<ds:datastoreItem xmlns:ds="http://schemas.openxmlformats.org/officeDocument/2006/customXml" ds:itemID="{3E9990BF-C435-40B1-AF15-F8B137A45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Barrett</dc:creator>
  <cp:keywords/>
  <dc:description/>
  <cp:lastModifiedBy>Amanda Barrett</cp:lastModifiedBy>
  <cp:revision>16</cp:revision>
  <dcterms:created xsi:type="dcterms:W3CDTF">2022-08-31T06:32:00Z</dcterms:created>
  <dcterms:modified xsi:type="dcterms:W3CDTF">2022-09-05T05:15:00Z</dcterms:modified>
</cp:coreProperties>
</file>