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70E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4BE9D9A6" w14:textId="67CB34DA" w:rsidR="0099555F" w:rsidRPr="00F04F17" w:rsidRDefault="00E44419" w:rsidP="00DB4A34">
      <w:pPr>
        <w:pStyle w:val="Header"/>
        <w:pBdr>
          <w:bottom w:val="single" w:sz="4" w:space="1" w:color="auto"/>
        </w:pBdr>
        <w:tabs>
          <w:tab w:val="clear" w:pos="4153"/>
          <w:tab w:val="clear" w:pos="8306"/>
        </w:tabs>
        <w:spacing w:after="120"/>
        <w:jc w:val="center"/>
        <w:rPr>
          <w:rFonts w:ascii="Arial" w:hAnsi="Arial" w:cs="Arial"/>
          <w:szCs w:val="24"/>
        </w:rPr>
      </w:pPr>
      <w:r w:rsidRPr="00F04F17">
        <w:rPr>
          <w:rFonts w:ascii="Arial" w:hAnsi="Arial" w:cs="Arial"/>
          <w:sz w:val="34"/>
          <w:szCs w:val="34"/>
        </w:rPr>
        <w:t xml:space="preserve">Taxation Administration Excluded Classes of Transactions and Entities for </w:t>
      </w:r>
      <w:r w:rsidRPr="009F788F">
        <w:rPr>
          <w:rFonts w:ascii="Arial" w:hAnsi="Arial" w:cs="Arial"/>
          <w:sz w:val="34"/>
          <w:szCs w:val="34"/>
        </w:rPr>
        <w:t>Third Party</w:t>
      </w:r>
      <w:r w:rsidRPr="00F04F17">
        <w:rPr>
          <w:rFonts w:ascii="Arial" w:hAnsi="Arial" w:cs="Arial"/>
          <w:sz w:val="34"/>
          <w:szCs w:val="34"/>
        </w:rPr>
        <w:t xml:space="preserve"> Reports on Shares and Units</w:t>
      </w:r>
      <w:r w:rsidR="00BF12D2" w:rsidRPr="00F04F17">
        <w:rPr>
          <w:rFonts w:ascii="Arial" w:hAnsi="Arial" w:cs="Arial"/>
          <w:sz w:val="34"/>
          <w:szCs w:val="34"/>
        </w:rPr>
        <w:t xml:space="preserve"> </w:t>
      </w:r>
      <w:r w:rsidRPr="00F04F17">
        <w:rPr>
          <w:rFonts w:ascii="Arial" w:hAnsi="Arial" w:cs="Arial"/>
          <w:sz w:val="34"/>
          <w:szCs w:val="34"/>
        </w:rPr>
        <w:t xml:space="preserve">Determination </w:t>
      </w:r>
      <w:r w:rsidR="00672D6A" w:rsidRPr="00F04F17">
        <w:rPr>
          <w:rFonts w:ascii="Arial" w:hAnsi="Arial" w:cs="Arial"/>
          <w:sz w:val="34"/>
          <w:szCs w:val="34"/>
        </w:rPr>
        <w:t>2022</w:t>
      </w:r>
    </w:p>
    <w:p w14:paraId="654F92BD" w14:textId="77777777" w:rsidR="001F2A16" w:rsidRPr="00DB4A34" w:rsidRDefault="001F2A16" w:rsidP="00DB4A34">
      <w:pPr>
        <w:pStyle w:val="Header"/>
        <w:tabs>
          <w:tab w:val="clear" w:pos="4153"/>
          <w:tab w:val="clear" w:pos="8306"/>
        </w:tabs>
        <w:spacing w:after="120"/>
        <w:rPr>
          <w:rFonts w:ascii="Arial" w:hAnsi="Arial" w:cs="Arial"/>
          <w:sz w:val="22"/>
          <w:szCs w:val="22"/>
        </w:rPr>
      </w:pPr>
    </w:p>
    <w:p w14:paraId="38BD49E8" w14:textId="7C93E918" w:rsidR="00486653" w:rsidRPr="00F04F17" w:rsidRDefault="00486653" w:rsidP="00F04F17">
      <w:pPr>
        <w:pStyle w:val="Heading2"/>
        <w:rPr>
          <w:rFonts w:cs="Arial"/>
          <w:szCs w:val="22"/>
        </w:rPr>
      </w:pPr>
      <w:r w:rsidRPr="00F04F17">
        <w:rPr>
          <w:rFonts w:cs="Arial"/>
          <w:szCs w:val="22"/>
        </w:rPr>
        <w:t xml:space="preserve">General </w:t>
      </w:r>
      <w:r w:rsidR="0015780B" w:rsidRPr="00F04F17">
        <w:rPr>
          <w:rFonts w:cs="Arial"/>
          <w:szCs w:val="22"/>
        </w:rPr>
        <w:t>o</w:t>
      </w:r>
      <w:r w:rsidRPr="00F04F17">
        <w:rPr>
          <w:rFonts w:cs="Arial"/>
          <w:szCs w:val="22"/>
        </w:rPr>
        <w:t xml:space="preserve">utline of </w:t>
      </w:r>
      <w:r w:rsidR="0015780B" w:rsidRPr="00F04F17">
        <w:rPr>
          <w:rFonts w:cs="Arial"/>
          <w:szCs w:val="22"/>
        </w:rPr>
        <w:t>i</w:t>
      </w:r>
      <w:r w:rsidRPr="00F04F17">
        <w:rPr>
          <w:rFonts w:cs="Arial"/>
          <w:szCs w:val="22"/>
        </w:rPr>
        <w:t>nstrument</w:t>
      </w:r>
    </w:p>
    <w:p w14:paraId="50C91CAD" w14:textId="158044C5" w:rsidR="00BF12D2" w:rsidRPr="00F04F17" w:rsidRDefault="00486653"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This instrument is made under</w:t>
      </w:r>
      <w:r w:rsidR="00740498" w:rsidRPr="00F04F17">
        <w:rPr>
          <w:rFonts w:ascii="Arial" w:hAnsi="Arial" w:cs="Arial"/>
          <w:sz w:val="22"/>
          <w:szCs w:val="22"/>
        </w:rPr>
        <w:t xml:space="preserve"> </w:t>
      </w:r>
      <w:r w:rsidR="00EC2FE1" w:rsidRPr="00F04F17">
        <w:rPr>
          <w:rFonts w:ascii="Arial" w:hAnsi="Arial" w:cs="Arial"/>
          <w:sz w:val="22"/>
          <w:szCs w:val="22"/>
        </w:rPr>
        <w:t>subs</w:t>
      </w:r>
      <w:r w:rsidR="00AB1455" w:rsidRPr="00F04F17">
        <w:rPr>
          <w:rFonts w:ascii="Arial" w:hAnsi="Arial" w:cs="Arial"/>
          <w:sz w:val="22"/>
          <w:szCs w:val="22"/>
        </w:rPr>
        <w:t>ection </w:t>
      </w:r>
      <w:r w:rsidR="00EC2FE1" w:rsidRPr="00F04F17">
        <w:rPr>
          <w:rFonts w:ascii="Arial" w:hAnsi="Arial" w:cs="Arial"/>
          <w:sz w:val="22"/>
          <w:szCs w:val="22"/>
        </w:rPr>
        <w:t>396-70(4)</w:t>
      </w:r>
      <w:r w:rsidR="00740498" w:rsidRPr="00F04F17">
        <w:rPr>
          <w:rFonts w:ascii="Arial" w:hAnsi="Arial" w:cs="Arial"/>
          <w:sz w:val="22"/>
          <w:szCs w:val="22"/>
        </w:rPr>
        <w:t xml:space="preserve"> of Schedule 1 to the </w:t>
      </w:r>
      <w:r w:rsidR="00740498" w:rsidRPr="00F04F17">
        <w:rPr>
          <w:rFonts w:ascii="Arial" w:hAnsi="Arial" w:cs="Arial"/>
          <w:i/>
          <w:sz w:val="22"/>
          <w:szCs w:val="22"/>
        </w:rPr>
        <w:t>Taxation Administration Act 1953</w:t>
      </w:r>
      <w:r w:rsidR="00EA4734" w:rsidRPr="00F04F17">
        <w:rPr>
          <w:rFonts w:ascii="Arial" w:hAnsi="Arial" w:cs="Arial"/>
          <w:i/>
          <w:sz w:val="22"/>
          <w:szCs w:val="22"/>
        </w:rPr>
        <w:t xml:space="preserve"> </w:t>
      </w:r>
      <w:r w:rsidR="00EA4734" w:rsidRPr="00F04F17">
        <w:rPr>
          <w:rFonts w:ascii="Arial" w:hAnsi="Arial" w:cs="Arial"/>
          <w:sz w:val="22"/>
          <w:szCs w:val="22"/>
        </w:rPr>
        <w:t>(TAA)</w:t>
      </w:r>
      <w:r w:rsidR="00740498" w:rsidRPr="00F04F17">
        <w:rPr>
          <w:rFonts w:ascii="Arial" w:hAnsi="Arial" w:cs="Arial"/>
          <w:sz w:val="22"/>
          <w:szCs w:val="22"/>
        </w:rPr>
        <w:t>.</w:t>
      </w:r>
    </w:p>
    <w:p w14:paraId="4D39FF4C" w14:textId="77777777" w:rsidR="00F04F17" w:rsidRPr="00F04F17" w:rsidRDefault="00D50FEE"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This instrument identifies</w:t>
      </w:r>
      <w:r w:rsidR="003869A3" w:rsidRPr="00F04F17">
        <w:rPr>
          <w:rFonts w:ascii="Arial" w:hAnsi="Arial" w:cs="Arial"/>
          <w:sz w:val="22"/>
          <w:szCs w:val="22"/>
        </w:rPr>
        <w:t xml:space="preserve"> </w:t>
      </w:r>
      <w:r w:rsidRPr="00F04F17">
        <w:rPr>
          <w:rFonts w:ascii="Arial" w:hAnsi="Arial" w:cs="Arial"/>
          <w:sz w:val="22"/>
          <w:szCs w:val="22"/>
        </w:rPr>
        <w:t xml:space="preserve">classes of </w:t>
      </w:r>
      <w:r w:rsidR="00DD7EED" w:rsidRPr="00F04F17">
        <w:rPr>
          <w:rFonts w:ascii="Arial" w:hAnsi="Arial" w:cs="Arial"/>
          <w:sz w:val="22"/>
          <w:szCs w:val="22"/>
        </w:rPr>
        <w:t>entities that</w:t>
      </w:r>
      <w:r w:rsidR="003869A3" w:rsidRPr="00F04F17">
        <w:rPr>
          <w:rFonts w:ascii="Arial" w:hAnsi="Arial" w:cs="Arial"/>
          <w:sz w:val="22"/>
          <w:szCs w:val="22"/>
        </w:rPr>
        <w:t xml:space="preserve"> </w:t>
      </w:r>
      <w:r w:rsidRPr="00F04F17">
        <w:rPr>
          <w:rFonts w:ascii="Arial" w:hAnsi="Arial" w:cs="Arial"/>
          <w:sz w:val="22"/>
          <w:szCs w:val="22"/>
        </w:rPr>
        <w:t>are not required to report</w:t>
      </w:r>
      <w:r w:rsidR="00DD7EED" w:rsidRPr="00F04F17">
        <w:rPr>
          <w:rFonts w:ascii="Arial" w:hAnsi="Arial" w:cs="Arial"/>
          <w:sz w:val="22"/>
          <w:szCs w:val="22"/>
        </w:rPr>
        <w:t xml:space="preserve"> </w:t>
      </w:r>
      <w:r w:rsidR="00DD10A8" w:rsidRPr="00F04F17">
        <w:rPr>
          <w:rFonts w:ascii="Arial" w:hAnsi="Arial" w:cs="Arial"/>
          <w:sz w:val="22"/>
          <w:szCs w:val="22"/>
        </w:rPr>
        <w:t xml:space="preserve">certain </w:t>
      </w:r>
      <w:r w:rsidR="00DD7EED" w:rsidRPr="00F04F17">
        <w:rPr>
          <w:rFonts w:ascii="Arial" w:hAnsi="Arial" w:cs="Arial"/>
          <w:sz w:val="22"/>
          <w:szCs w:val="22"/>
        </w:rPr>
        <w:t>classes of</w:t>
      </w:r>
      <w:r w:rsidRPr="00F04F17">
        <w:rPr>
          <w:rFonts w:ascii="Arial" w:hAnsi="Arial" w:cs="Arial"/>
          <w:sz w:val="22"/>
          <w:szCs w:val="22"/>
        </w:rPr>
        <w:t xml:space="preserve"> </w:t>
      </w:r>
      <w:r w:rsidR="00DD7EED" w:rsidRPr="00F04F17">
        <w:rPr>
          <w:rFonts w:ascii="Arial" w:hAnsi="Arial" w:cs="Arial"/>
          <w:sz w:val="22"/>
          <w:szCs w:val="22"/>
        </w:rPr>
        <w:t xml:space="preserve">transactions </w:t>
      </w:r>
      <w:r w:rsidRPr="00F04F17">
        <w:rPr>
          <w:rFonts w:ascii="Arial" w:hAnsi="Arial" w:cs="Arial"/>
          <w:sz w:val="22"/>
          <w:szCs w:val="22"/>
        </w:rPr>
        <w:t>under</w:t>
      </w:r>
      <w:r w:rsidR="005F33C6" w:rsidRPr="00F04F17">
        <w:rPr>
          <w:rFonts w:ascii="Arial" w:hAnsi="Arial" w:cs="Arial"/>
          <w:sz w:val="22"/>
          <w:szCs w:val="22"/>
        </w:rPr>
        <w:t xml:space="preserve"> table</w:t>
      </w:r>
      <w:r w:rsidRPr="00F04F17">
        <w:rPr>
          <w:rFonts w:ascii="Arial" w:hAnsi="Arial" w:cs="Arial"/>
          <w:sz w:val="22"/>
          <w:szCs w:val="22"/>
        </w:rPr>
        <w:t xml:space="preserve"> items 6, 7 or 8 in s</w:t>
      </w:r>
      <w:r w:rsidR="00AB1455" w:rsidRPr="00F04F17">
        <w:rPr>
          <w:rFonts w:ascii="Arial" w:hAnsi="Arial" w:cs="Arial"/>
          <w:sz w:val="22"/>
          <w:szCs w:val="22"/>
        </w:rPr>
        <w:t>ection </w:t>
      </w:r>
      <w:r w:rsidRPr="00F04F17">
        <w:rPr>
          <w:rFonts w:ascii="Arial" w:hAnsi="Arial" w:cs="Arial"/>
          <w:sz w:val="22"/>
          <w:szCs w:val="22"/>
        </w:rPr>
        <w:t>396-55 of Schedule 1 to the TAA</w:t>
      </w:r>
      <w:r w:rsidR="003869A3" w:rsidRPr="00F04F17">
        <w:rPr>
          <w:rFonts w:ascii="Arial" w:hAnsi="Arial" w:cs="Arial"/>
          <w:sz w:val="22"/>
          <w:szCs w:val="22"/>
        </w:rPr>
        <w:t>.</w:t>
      </w:r>
    </w:p>
    <w:p w14:paraId="23031A46" w14:textId="0BA17CB6" w:rsidR="00E44419" w:rsidRPr="00F04F17" w:rsidRDefault="00E44419"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The instrument is a legislative instrument for the purposes of the </w:t>
      </w:r>
      <w:r w:rsidRPr="00F04F17">
        <w:rPr>
          <w:rFonts w:ascii="Arial" w:hAnsi="Arial" w:cs="Arial"/>
          <w:i/>
          <w:sz w:val="22"/>
          <w:szCs w:val="22"/>
        </w:rPr>
        <w:t>Legislation</w:t>
      </w:r>
      <w:r w:rsidR="007D60C3" w:rsidRPr="00F04F17">
        <w:rPr>
          <w:rFonts w:ascii="Arial" w:hAnsi="Arial" w:cs="Arial"/>
          <w:i/>
          <w:sz w:val="22"/>
          <w:szCs w:val="22"/>
        </w:rPr>
        <w:t> </w:t>
      </w:r>
      <w:r w:rsidRPr="00F04F17">
        <w:rPr>
          <w:rFonts w:ascii="Arial" w:hAnsi="Arial" w:cs="Arial"/>
          <w:i/>
          <w:sz w:val="22"/>
          <w:szCs w:val="22"/>
        </w:rPr>
        <w:t>Act</w:t>
      </w:r>
      <w:r w:rsidR="003869A3" w:rsidRPr="00F04F17">
        <w:rPr>
          <w:rFonts w:ascii="Arial" w:hAnsi="Arial" w:cs="Arial"/>
          <w:i/>
          <w:sz w:val="22"/>
          <w:szCs w:val="22"/>
        </w:rPr>
        <w:t xml:space="preserve"> </w:t>
      </w:r>
      <w:r w:rsidRPr="00F04F17">
        <w:rPr>
          <w:rFonts w:ascii="Arial" w:hAnsi="Arial" w:cs="Arial"/>
          <w:i/>
          <w:sz w:val="22"/>
          <w:szCs w:val="22"/>
        </w:rPr>
        <w:t>2003</w:t>
      </w:r>
      <w:r w:rsidRPr="00F04F17">
        <w:rPr>
          <w:rFonts w:ascii="Arial" w:hAnsi="Arial" w:cs="Arial"/>
          <w:sz w:val="22"/>
          <w:szCs w:val="22"/>
        </w:rPr>
        <w:t>.</w:t>
      </w:r>
    </w:p>
    <w:p w14:paraId="4913C2C0" w14:textId="776D78E6" w:rsidR="006E53AF" w:rsidRPr="00F04F17" w:rsidRDefault="006E53AF"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Under subs</w:t>
      </w:r>
      <w:r w:rsidR="00AB1455" w:rsidRPr="00F04F17">
        <w:rPr>
          <w:rFonts w:ascii="Arial" w:hAnsi="Arial" w:cs="Arial"/>
          <w:sz w:val="22"/>
          <w:szCs w:val="22"/>
        </w:rPr>
        <w:t>ection </w:t>
      </w:r>
      <w:r w:rsidRPr="00F04F17">
        <w:rPr>
          <w:rFonts w:ascii="Arial" w:hAnsi="Arial" w:cs="Arial"/>
          <w:sz w:val="22"/>
          <w:szCs w:val="22"/>
        </w:rPr>
        <w:t xml:space="preserve">33(3) of the </w:t>
      </w:r>
      <w:r w:rsidRPr="00F04F17">
        <w:rPr>
          <w:rFonts w:ascii="Arial" w:hAnsi="Arial" w:cs="Arial"/>
          <w:i/>
          <w:sz w:val="22"/>
          <w:szCs w:val="22"/>
        </w:rPr>
        <w:t>Acts Interpretation Act 1901</w:t>
      </w:r>
      <w:r w:rsidRPr="00F04F17">
        <w:rPr>
          <w:rFonts w:ascii="Arial" w:hAnsi="Arial" w:cs="Arial"/>
          <w:sz w:val="22"/>
          <w:szCs w:val="22"/>
        </w:rPr>
        <w:t xml:space="preserve">, where an Act confers a power to make, grant or issue any instrument of a legislative or administrative character (including rules, </w:t>
      </w:r>
      <w:proofErr w:type="gramStart"/>
      <w:r w:rsidRPr="00F04F17">
        <w:rPr>
          <w:rFonts w:ascii="Arial" w:hAnsi="Arial" w:cs="Arial"/>
          <w:sz w:val="22"/>
          <w:szCs w:val="22"/>
        </w:rPr>
        <w:t>regulations</w:t>
      </w:r>
      <w:proofErr w:type="gramEnd"/>
      <w:r w:rsidRPr="00F04F17">
        <w:rPr>
          <w:rFonts w:ascii="Arial" w:hAnsi="Arial" w:cs="Arial"/>
          <w:sz w:val="22"/>
          <w:szCs w:val="22"/>
        </w:rPr>
        <w:t xml:space="preserve"> or by-laws), the power shall be construed as including a power exercisable in the like manner and subject to the like conditions (if any) to repeal, rescind, revoke, amend, or vary any such instrument.</w:t>
      </w:r>
    </w:p>
    <w:p w14:paraId="162318FE" w14:textId="77777777" w:rsidR="00CD757F" w:rsidRPr="00F04F17" w:rsidRDefault="00CD757F" w:rsidP="00F04F17">
      <w:pPr>
        <w:spacing w:after="120"/>
        <w:rPr>
          <w:rFonts w:ascii="Arial" w:hAnsi="Arial" w:cs="Arial"/>
          <w:sz w:val="22"/>
          <w:szCs w:val="22"/>
        </w:rPr>
      </w:pPr>
    </w:p>
    <w:p w14:paraId="5B828890" w14:textId="77777777" w:rsidR="00486653" w:rsidRPr="00F04F17" w:rsidRDefault="00486653" w:rsidP="00F04F17">
      <w:pPr>
        <w:pStyle w:val="Heading2"/>
        <w:rPr>
          <w:rFonts w:cs="Arial"/>
          <w:szCs w:val="22"/>
        </w:rPr>
      </w:pPr>
      <w:r w:rsidRPr="00F04F17">
        <w:rPr>
          <w:rFonts w:cs="Arial"/>
          <w:szCs w:val="22"/>
        </w:rPr>
        <w:t>Date of effect</w:t>
      </w:r>
    </w:p>
    <w:p w14:paraId="3D627CD9" w14:textId="77777777" w:rsidR="007D60C3" w:rsidRPr="00F04F17" w:rsidRDefault="00380CC4"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The instrument </w:t>
      </w:r>
      <w:r w:rsidR="00203A2C" w:rsidRPr="00F04F17">
        <w:rPr>
          <w:rFonts w:ascii="Arial" w:hAnsi="Arial" w:cs="Arial"/>
          <w:sz w:val="22"/>
          <w:szCs w:val="22"/>
        </w:rPr>
        <w:t>applies with retrospecti</w:t>
      </w:r>
      <w:r w:rsidR="00333087" w:rsidRPr="00F04F17">
        <w:rPr>
          <w:rFonts w:ascii="Arial" w:hAnsi="Arial" w:cs="Arial"/>
          <w:sz w:val="22"/>
          <w:szCs w:val="22"/>
        </w:rPr>
        <w:t>v</w:t>
      </w:r>
      <w:r w:rsidR="00203A2C" w:rsidRPr="00F04F17">
        <w:rPr>
          <w:rFonts w:ascii="Arial" w:hAnsi="Arial" w:cs="Arial"/>
          <w:sz w:val="22"/>
          <w:szCs w:val="22"/>
        </w:rPr>
        <w:t xml:space="preserve">e effect </w:t>
      </w:r>
      <w:r w:rsidR="00133BB7" w:rsidRPr="00F04F17">
        <w:rPr>
          <w:rFonts w:ascii="Arial" w:hAnsi="Arial" w:cs="Arial"/>
          <w:sz w:val="22"/>
          <w:szCs w:val="22"/>
        </w:rPr>
        <w:t>and</w:t>
      </w:r>
      <w:r w:rsidR="006918F1" w:rsidRPr="00F04F17">
        <w:rPr>
          <w:rFonts w:ascii="Arial" w:hAnsi="Arial" w:cs="Arial"/>
          <w:sz w:val="22"/>
          <w:szCs w:val="22"/>
        </w:rPr>
        <w:t xml:space="preserve"> </w:t>
      </w:r>
      <w:r w:rsidR="00E110F5" w:rsidRPr="00F04F17">
        <w:rPr>
          <w:rFonts w:ascii="Arial" w:hAnsi="Arial" w:cs="Arial"/>
          <w:sz w:val="22"/>
          <w:szCs w:val="22"/>
        </w:rPr>
        <w:t>commences on</w:t>
      </w:r>
      <w:r w:rsidR="00F058D9" w:rsidRPr="00F04F17">
        <w:rPr>
          <w:rFonts w:ascii="Arial" w:hAnsi="Arial" w:cs="Arial"/>
          <w:sz w:val="22"/>
          <w:szCs w:val="22"/>
        </w:rPr>
        <w:t xml:space="preserve"> </w:t>
      </w:r>
      <w:r w:rsidR="003166DF" w:rsidRPr="00F04F17">
        <w:rPr>
          <w:rFonts w:ascii="Arial" w:hAnsi="Arial" w:cs="Arial"/>
          <w:sz w:val="22"/>
          <w:szCs w:val="22"/>
        </w:rPr>
        <w:t>1</w:t>
      </w:r>
      <w:r w:rsidR="00F058D9" w:rsidRPr="00F04F17">
        <w:rPr>
          <w:rFonts w:ascii="Arial" w:hAnsi="Arial" w:cs="Arial"/>
          <w:sz w:val="22"/>
          <w:szCs w:val="22"/>
        </w:rPr>
        <w:t xml:space="preserve"> </w:t>
      </w:r>
      <w:r w:rsidR="005A6D67" w:rsidRPr="00F04F17">
        <w:rPr>
          <w:rFonts w:ascii="Arial" w:hAnsi="Arial" w:cs="Arial"/>
          <w:sz w:val="22"/>
          <w:szCs w:val="22"/>
        </w:rPr>
        <w:t>J</w:t>
      </w:r>
      <w:r w:rsidR="003166DF" w:rsidRPr="00F04F17">
        <w:rPr>
          <w:rFonts w:ascii="Arial" w:hAnsi="Arial" w:cs="Arial"/>
          <w:sz w:val="22"/>
          <w:szCs w:val="22"/>
        </w:rPr>
        <w:t>uly 2017</w:t>
      </w:r>
      <w:r w:rsidR="006141F7" w:rsidRPr="00F04F17">
        <w:rPr>
          <w:rFonts w:ascii="Arial" w:hAnsi="Arial" w:cs="Arial"/>
          <w:sz w:val="22"/>
          <w:szCs w:val="22"/>
        </w:rPr>
        <w:t xml:space="preserve">. This retrospective application is necessary </w:t>
      </w:r>
      <w:r w:rsidR="005744FD" w:rsidRPr="00F04F17">
        <w:rPr>
          <w:rFonts w:ascii="Arial" w:hAnsi="Arial" w:cs="Arial"/>
          <w:sz w:val="22"/>
          <w:szCs w:val="22"/>
        </w:rPr>
        <w:t>and appropriate as it:</w:t>
      </w:r>
    </w:p>
    <w:p w14:paraId="62E4E79A" w14:textId="52E2074E" w:rsidR="00F04F17" w:rsidRPr="00F04F17" w:rsidRDefault="006141F7" w:rsidP="00F04F17">
      <w:pPr>
        <w:numPr>
          <w:ilvl w:val="0"/>
          <w:numId w:val="53"/>
        </w:numPr>
        <w:spacing w:after="120"/>
        <w:ind w:left="1418" w:hanging="709"/>
        <w:rPr>
          <w:rFonts w:ascii="Arial" w:hAnsi="Arial" w:cs="Arial"/>
          <w:sz w:val="22"/>
          <w:szCs w:val="22"/>
        </w:rPr>
      </w:pPr>
      <w:r w:rsidRPr="00F04F17">
        <w:rPr>
          <w:rFonts w:ascii="Arial" w:hAnsi="Arial" w:cs="Arial"/>
          <w:sz w:val="22"/>
          <w:szCs w:val="22"/>
        </w:rPr>
        <w:t>provide</w:t>
      </w:r>
      <w:r w:rsidR="005744FD" w:rsidRPr="00F04F17">
        <w:rPr>
          <w:rFonts w:ascii="Arial" w:hAnsi="Arial" w:cs="Arial"/>
          <w:sz w:val="22"/>
          <w:szCs w:val="22"/>
        </w:rPr>
        <w:t>s</w:t>
      </w:r>
      <w:r w:rsidRPr="00F04F17">
        <w:rPr>
          <w:rFonts w:ascii="Arial" w:hAnsi="Arial" w:cs="Arial"/>
          <w:sz w:val="22"/>
          <w:szCs w:val="22"/>
        </w:rPr>
        <w:t xml:space="preserve"> certainty </w:t>
      </w:r>
      <w:r w:rsidR="003869A3" w:rsidRPr="00F04F17">
        <w:rPr>
          <w:rFonts w:ascii="Arial" w:hAnsi="Arial" w:cs="Arial"/>
          <w:sz w:val="22"/>
          <w:szCs w:val="22"/>
        </w:rPr>
        <w:t xml:space="preserve">for </w:t>
      </w:r>
      <w:r w:rsidR="004E554C">
        <w:rPr>
          <w:rFonts w:ascii="Arial" w:hAnsi="Arial" w:cs="Arial"/>
          <w:sz w:val="22"/>
          <w:szCs w:val="22"/>
        </w:rPr>
        <w:t>Australian and multinational</w:t>
      </w:r>
      <w:r w:rsidR="005744FD" w:rsidRPr="00F04F17">
        <w:rPr>
          <w:rFonts w:ascii="Arial" w:hAnsi="Arial" w:cs="Arial"/>
          <w:sz w:val="22"/>
          <w:szCs w:val="22"/>
        </w:rPr>
        <w:t xml:space="preserve"> entities</w:t>
      </w:r>
      <w:r w:rsidRPr="00F04F17">
        <w:rPr>
          <w:rFonts w:ascii="Arial" w:hAnsi="Arial" w:cs="Arial"/>
          <w:sz w:val="22"/>
          <w:szCs w:val="22"/>
        </w:rPr>
        <w:t xml:space="preserve"> </w:t>
      </w:r>
      <w:r w:rsidR="003869A3" w:rsidRPr="00F04F17">
        <w:rPr>
          <w:rFonts w:ascii="Arial" w:hAnsi="Arial" w:cs="Arial"/>
          <w:sz w:val="22"/>
          <w:szCs w:val="22"/>
        </w:rPr>
        <w:t xml:space="preserve">that </w:t>
      </w:r>
      <w:r w:rsidRPr="00F04F17">
        <w:rPr>
          <w:rFonts w:ascii="Arial" w:hAnsi="Arial" w:cs="Arial"/>
          <w:sz w:val="22"/>
          <w:szCs w:val="22"/>
        </w:rPr>
        <w:t xml:space="preserve">have not </w:t>
      </w:r>
      <w:r w:rsidR="003869A3" w:rsidRPr="00F04F17">
        <w:rPr>
          <w:rFonts w:ascii="Arial" w:hAnsi="Arial" w:cs="Arial"/>
          <w:sz w:val="22"/>
          <w:szCs w:val="22"/>
        </w:rPr>
        <w:t xml:space="preserve">been </w:t>
      </w:r>
      <w:r w:rsidRPr="00F04F17">
        <w:rPr>
          <w:rFonts w:ascii="Arial" w:hAnsi="Arial" w:cs="Arial"/>
          <w:sz w:val="22"/>
          <w:szCs w:val="22"/>
        </w:rPr>
        <w:t>report</w:t>
      </w:r>
      <w:r w:rsidR="003869A3" w:rsidRPr="00F04F17">
        <w:rPr>
          <w:rFonts w:ascii="Arial" w:hAnsi="Arial" w:cs="Arial"/>
          <w:sz w:val="22"/>
          <w:szCs w:val="22"/>
        </w:rPr>
        <w:t>ing</w:t>
      </w:r>
      <w:r w:rsidRPr="00F04F17">
        <w:rPr>
          <w:rFonts w:ascii="Arial" w:hAnsi="Arial" w:cs="Arial"/>
          <w:sz w:val="22"/>
          <w:szCs w:val="22"/>
        </w:rPr>
        <w:t xml:space="preserve"> on certain transactions </w:t>
      </w:r>
      <w:r w:rsidR="003869A3" w:rsidRPr="00F04F17">
        <w:rPr>
          <w:rFonts w:ascii="Arial" w:hAnsi="Arial" w:cs="Arial"/>
          <w:sz w:val="22"/>
          <w:szCs w:val="22"/>
        </w:rPr>
        <w:t xml:space="preserve">that </w:t>
      </w:r>
      <w:r w:rsidRPr="00F04F17">
        <w:rPr>
          <w:rFonts w:ascii="Arial" w:hAnsi="Arial" w:cs="Arial"/>
          <w:sz w:val="22"/>
          <w:szCs w:val="22"/>
        </w:rPr>
        <w:t>they are complying with their Australian taxation obligations</w:t>
      </w:r>
      <w:r w:rsidR="00064BAE" w:rsidRPr="00F04F17">
        <w:rPr>
          <w:rFonts w:ascii="Arial" w:hAnsi="Arial" w:cs="Arial"/>
          <w:sz w:val="22"/>
          <w:szCs w:val="22"/>
        </w:rPr>
        <w:t>, and</w:t>
      </w:r>
    </w:p>
    <w:p w14:paraId="39BDD04F" w14:textId="1F2B8047" w:rsidR="00BF12D2" w:rsidRPr="00F04F17" w:rsidRDefault="006141F7" w:rsidP="00F04F17">
      <w:pPr>
        <w:numPr>
          <w:ilvl w:val="0"/>
          <w:numId w:val="53"/>
        </w:numPr>
        <w:spacing w:after="120"/>
        <w:ind w:left="1418" w:hanging="709"/>
        <w:rPr>
          <w:rFonts w:ascii="Arial" w:hAnsi="Arial" w:cs="Arial"/>
          <w:color w:val="000000"/>
          <w:sz w:val="22"/>
          <w:szCs w:val="22"/>
        </w:rPr>
      </w:pPr>
      <w:r w:rsidRPr="00F04F17">
        <w:rPr>
          <w:rFonts w:ascii="Arial" w:hAnsi="Arial" w:cs="Arial"/>
          <w:sz w:val="22"/>
          <w:szCs w:val="22"/>
        </w:rPr>
        <w:t>is concessional in nature</w:t>
      </w:r>
      <w:r w:rsidR="003869A3" w:rsidRPr="00F04F17">
        <w:rPr>
          <w:rFonts w:ascii="Arial" w:hAnsi="Arial" w:cs="Arial"/>
          <w:sz w:val="22"/>
          <w:szCs w:val="22"/>
        </w:rPr>
        <w:t xml:space="preserve"> and will not disadvantage any entities;</w:t>
      </w:r>
      <w:r w:rsidRPr="00F04F17">
        <w:rPr>
          <w:rFonts w:ascii="Arial" w:hAnsi="Arial" w:cs="Arial"/>
          <w:sz w:val="22"/>
          <w:szCs w:val="22"/>
        </w:rPr>
        <w:t xml:space="preserve"> </w:t>
      </w:r>
      <w:r w:rsidR="003869A3" w:rsidRPr="00F04F17">
        <w:rPr>
          <w:rFonts w:ascii="Arial" w:hAnsi="Arial" w:cs="Arial"/>
          <w:sz w:val="22"/>
          <w:szCs w:val="22"/>
        </w:rPr>
        <w:t xml:space="preserve">it will reduce </w:t>
      </w:r>
      <w:r w:rsidR="009835B0" w:rsidRPr="00F04F17">
        <w:rPr>
          <w:rFonts w:ascii="Arial" w:hAnsi="Arial" w:cs="Arial"/>
          <w:sz w:val="22"/>
          <w:szCs w:val="22"/>
        </w:rPr>
        <w:t xml:space="preserve">relevant </w:t>
      </w:r>
      <w:r w:rsidR="003869A3" w:rsidRPr="00F04F17">
        <w:rPr>
          <w:rFonts w:ascii="Arial" w:hAnsi="Arial" w:cs="Arial"/>
          <w:sz w:val="22"/>
          <w:szCs w:val="22"/>
        </w:rPr>
        <w:t>entities’ reporting obligations and compliance costs</w:t>
      </w:r>
      <w:r w:rsidRPr="00F04F17">
        <w:rPr>
          <w:rFonts w:ascii="Arial" w:hAnsi="Arial" w:cs="Arial"/>
          <w:sz w:val="22"/>
          <w:szCs w:val="22"/>
        </w:rPr>
        <w:t>.</w:t>
      </w:r>
    </w:p>
    <w:p w14:paraId="0E125CE5" w14:textId="5656C212" w:rsidR="0067371B" w:rsidRPr="00F04F17" w:rsidRDefault="008A0489"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For the purposes of subsection 12(2) of the </w:t>
      </w:r>
      <w:r w:rsidRPr="00F04F17">
        <w:rPr>
          <w:rFonts w:ascii="Arial" w:hAnsi="Arial" w:cs="Arial"/>
          <w:i/>
          <w:color w:val="000000"/>
          <w:sz w:val="22"/>
          <w:szCs w:val="22"/>
        </w:rPr>
        <w:t>Legislation Act 2003</w:t>
      </w:r>
      <w:r w:rsidR="003869A3" w:rsidRPr="00F04F17">
        <w:rPr>
          <w:rFonts w:ascii="Arial" w:hAnsi="Arial" w:cs="Arial"/>
          <w:iCs/>
          <w:color w:val="000000"/>
          <w:sz w:val="22"/>
          <w:szCs w:val="22"/>
        </w:rPr>
        <w:t>,</w:t>
      </w:r>
      <w:r w:rsidRPr="00F04F17">
        <w:rPr>
          <w:rFonts w:ascii="Arial" w:hAnsi="Arial" w:cs="Arial"/>
          <w:color w:val="000000"/>
          <w:sz w:val="22"/>
          <w:szCs w:val="22"/>
        </w:rPr>
        <w:t xml:space="preserve"> the retrospective effect of this instrument does not adversely affect the rights or liabilities of any person other than the Commonwealth</w:t>
      </w:r>
      <w:r w:rsidR="003869A3" w:rsidRPr="00F04F17">
        <w:rPr>
          <w:rFonts w:ascii="Arial" w:hAnsi="Arial" w:cs="Arial"/>
          <w:color w:val="000000"/>
          <w:sz w:val="22"/>
          <w:szCs w:val="22"/>
        </w:rPr>
        <w:t xml:space="preserve">. It </w:t>
      </w:r>
      <w:r w:rsidRPr="00F04F17">
        <w:rPr>
          <w:rFonts w:ascii="Arial" w:hAnsi="Arial" w:cs="Arial"/>
          <w:color w:val="000000"/>
          <w:sz w:val="22"/>
          <w:szCs w:val="22"/>
        </w:rPr>
        <w:t xml:space="preserve">exempts </w:t>
      </w:r>
      <w:r w:rsidR="003869A3" w:rsidRPr="00F04F17">
        <w:rPr>
          <w:rFonts w:ascii="Arial" w:hAnsi="Arial" w:cs="Arial"/>
          <w:color w:val="000000"/>
          <w:sz w:val="22"/>
          <w:szCs w:val="22"/>
        </w:rPr>
        <w:t xml:space="preserve">entities from having to report </w:t>
      </w:r>
      <w:r w:rsidRPr="00F04F17">
        <w:rPr>
          <w:rFonts w:ascii="Arial" w:hAnsi="Arial" w:cs="Arial"/>
          <w:color w:val="000000"/>
          <w:sz w:val="22"/>
          <w:szCs w:val="22"/>
        </w:rPr>
        <w:t xml:space="preserve">certain transactions to the Commissioner where </w:t>
      </w:r>
      <w:r w:rsidR="003869A3" w:rsidRPr="00F04F17">
        <w:rPr>
          <w:rFonts w:ascii="Arial" w:hAnsi="Arial" w:cs="Arial"/>
          <w:color w:val="000000"/>
          <w:sz w:val="22"/>
          <w:szCs w:val="22"/>
        </w:rPr>
        <w:t xml:space="preserve">they </w:t>
      </w:r>
      <w:r w:rsidRPr="00F04F17">
        <w:rPr>
          <w:rFonts w:ascii="Arial" w:hAnsi="Arial" w:cs="Arial"/>
          <w:color w:val="000000"/>
          <w:sz w:val="22"/>
          <w:szCs w:val="22"/>
        </w:rPr>
        <w:t xml:space="preserve">would otherwise be required to do so under </w:t>
      </w:r>
      <w:r w:rsidRPr="00F04F17">
        <w:rPr>
          <w:rFonts w:ascii="Arial" w:hAnsi="Arial" w:cs="Arial"/>
          <w:sz w:val="22"/>
          <w:szCs w:val="22"/>
        </w:rPr>
        <w:t xml:space="preserve">Division </w:t>
      </w:r>
      <w:r w:rsidR="00506A1D" w:rsidRPr="00F04F17">
        <w:rPr>
          <w:rFonts w:ascii="Arial" w:hAnsi="Arial" w:cs="Arial"/>
          <w:sz w:val="22"/>
          <w:szCs w:val="22"/>
        </w:rPr>
        <w:t xml:space="preserve">396 </w:t>
      </w:r>
      <w:r w:rsidRPr="00F04F17">
        <w:rPr>
          <w:rFonts w:ascii="Arial" w:hAnsi="Arial" w:cs="Arial"/>
          <w:sz w:val="22"/>
          <w:szCs w:val="22"/>
        </w:rPr>
        <w:t>of Schedule 1 to the TAA</w:t>
      </w:r>
      <w:r w:rsidRPr="00F04F17">
        <w:rPr>
          <w:rFonts w:ascii="Arial" w:hAnsi="Arial" w:cs="Arial"/>
          <w:color w:val="000000"/>
          <w:sz w:val="22"/>
          <w:szCs w:val="22"/>
        </w:rPr>
        <w:t xml:space="preserve">. </w:t>
      </w:r>
      <w:r w:rsidR="003869A3" w:rsidRPr="00F04F17">
        <w:rPr>
          <w:rFonts w:ascii="Arial" w:hAnsi="Arial" w:cs="Arial"/>
          <w:color w:val="000000"/>
          <w:sz w:val="22"/>
          <w:szCs w:val="22"/>
        </w:rPr>
        <w:t xml:space="preserve">It will </w:t>
      </w:r>
      <w:r w:rsidRPr="00F04F17">
        <w:rPr>
          <w:rFonts w:ascii="Arial" w:hAnsi="Arial" w:cs="Arial"/>
          <w:color w:val="000000"/>
          <w:sz w:val="22"/>
          <w:szCs w:val="22"/>
        </w:rPr>
        <w:t xml:space="preserve">reduce </w:t>
      </w:r>
      <w:r w:rsidR="009835B0" w:rsidRPr="00F04F17">
        <w:rPr>
          <w:rFonts w:ascii="Arial" w:hAnsi="Arial" w:cs="Arial"/>
          <w:color w:val="000000"/>
          <w:sz w:val="22"/>
          <w:szCs w:val="22"/>
        </w:rPr>
        <w:t xml:space="preserve">their </w:t>
      </w:r>
      <w:r w:rsidRPr="00F04F17">
        <w:rPr>
          <w:rFonts w:ascii="Arial" w:hAnsi="Arial" w:cs="Arial"/>
          <w:color w:val="000000"/>
          <w:sz w:val="22"/>
          <w:szCs w:val="22"/>
        </w:rPr>
        <w:t>compliance</w:t>
      </w:r>
      <w:r w:rsidR="003869A3" w:rsidRPr="00F04F17">
        <w:rPr>
          <w:rFonts w:ascii="Arial" w:hAnsi="Arial" w:cs="Arial"/>
          <w:color w:val="000000"/>
          <w:sz w:val="22"/>
          <w:szCs w:val="22"/>
        </w:rPr>
        <w:t xml:space="preserve"> costs</w:t>
      </w:r>
      <w:r w:rsidRPr="00F04F17">
        <w:rPr>
          <w:rFonts w:ascii="Arial" w:hAnsi="Arial" w:cs="Arial"/>
          <w:color w:val="000000"/>
          <w:sz w:val="22"/>
          <w:szCs w:val="22"/>
        </w:rPr>
        <w:t xml:space="preserve"> and provide </w:t>
      </w:r>
      <w:r w:rsidR="003869A3" w:rsidRPr="00F04F17">
        <w:rPr>
          <w:rFonts w:ascii="Arial" w:hAnsi="Arial" w:cs="Arial"/>
          <w:color w:val="000000"/>
          <w:sz w:val="22"/>
          <w:szCs w:val="22"/>
        </w:rPr>
        <w:t xml:space="preserve">greater </w:t>
      </w:r>
      <w:r w:rsidRPr="00F04F17">
        <w:rPr>
          <w:rFonts w:ascii="Arial" w:hAnsi="Arial" w:cs="Arial"/>
          <w:color w:val="000000"/>
          <w:sz w:val="22"/>
          <w:szCs w:val="22"/>
        </w:rPr>
        <w:t>certainty in relation to their reporting requirements.</w:t>
      </w:r>
    </w:p>
    <w:p w14:paraId="04F0D675" w14:textId="065C6175" w:rsidR="006F4D30" w:rsidRPr="00F04F17" w:rsidRDefault="006F4D30" w:rsidP="00F04F17">
      <w:pPr>
        <w:spacing w:after="120"/>
        <w:rPr>
          <w:rFonts w:ascii="Arial" w:hAnsi="Arial" w:cs="Arial"/>
          <w:sz w:val="22"/>
          <w:szCs w:val="22"/>
        </w:rPr>
      </w:pPr>
    </w:p>
    <w:p w14:paraId="134A2794" w14:textId="77777777" w:rsidR="006F4D30" w:rsidRPr="00F04F17" w:rsidRDefault="006F4D30" w:rsidP="00F04F17">
      <w:pPr>
        <w:pStyle w:val="Heading2"/>
        <w:rPr>
          <w:rFonts w:cs="Arial"/>
          <w:szCs w:val="22"/>
        </w:rPr>
      </w:pPr>
      <w:r w:rsidRPr="00F04F17">
        <w:rPr>
          <w:rFonts w:cs="Arial"/>
          <w:szCs w:val="22"/>
        </w:rPr>
        <w:t>Repeal of previous instrument</w:t>
      </w:r>
    </w:p>
    <w:p w14:paraId="1EDD11F0" w14:textId="443F2489" w:rsidR="006F4D30" w:rsidRPr="00F04F17" w:rsidRDefault="006F4D30"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This instrument repeals </w:t>
      </w:r>
      <w:r w:rsidRPr="00F04F17">
        <w:rPr>
          <w:rFonts w:ascii="Arial" w:hAnsi="Arial" w:cs="Arial"/>
          <w:i/>
          <w:iCs/>
          <w:sz w:val="22"/>
          <w:szCs w:val="22"/>
        </w:rPr>
        <w:t xml:space="preserve">Excluded </w:t>
      </w:r>
      <w:r w:rsidRPr="00F04F17">
        <w:rPr>
          <w:rFonts w:ascii="Arial" w:hAnsi="Arial" w:cs="Arial"/>
          <w:i/>
          <w:sz w:val="22"/>
          <w:szCs w:val="22"/>
        </w:rPr>
        <w:t xml:space="preserve">Classes of Transactions and Entities </w:t>
      </w:r>
      <w:r w:rsidR="004E554C">
        <w:rPr>
          <w:rFonts w:ascii="Arial" w:hAnsi="Arial" w:cs="Arial"/>
          <w:i/>
          <w:sz w:val="22"/>
          <w:szCs w:val="22"/>
        </w:rPr>
        <w:t>for</w:t>
      </w:r>
      <w:r w:rsidR="004E554C" w:rsidRPr="00F04F17">
        <w:rPr>
          <w:rFonts w:ascii="Arial" w:hAnsi="Arial" w:cs="Arial"/>
          <w:i/>
          <w:sz w:val="22"/>
          <w:szCs w:val="22"/>
        </w:rPr>
        <w:t xml:space="preserve"> </w:t>
      </w:r>
      <w:r w:rsidRPr="009F788F">
        <w:rPr>
          <w:rFonts w:ascii="Arial" w:hAnsi="Arial" w:cs="Arial"/>
          <w:i/>
          <w:sz w:val="22"/>
          <w:szCs w:val="22"/>
        </w:rPr>
        <w:t>Third Party</w:t>
      </w:r>
      <w:r w:rsidRPr="00F04F17">
        <w:rPr>
          <w:rFonts w:ascii="Arial" w:hAnsi="Arial" w:cs="Arial"/>
          <w:i/>
          <w:sz w:val="22"/>
          <w:szCs w:val="22"/>
        </w:rPr>
        <w:t xml:space="preserve"> Reports on Shares and Units Determination 2018 </w:t>
      </w:r>
      <w:r w:rsidR="00214C0D" w:rsidRPr="00F04F17">
        <w:rPr>
          <w:rFonts w:ascii="Arial" w:hAnsi="Arial" w:cs="Arial"/>
          <w:iCs/>
          <w:sz w:val="22"/>
          <w:szCs w:val="22"/>
        </w:rPr>
        <w:t>(</w:t>
      </w:r>
      <w:r w:rsidR="00214C0D" w:rsidRPr="00F04F17">
        <w:rPr>
          <w:rFonts w:ascii="Arial" w:hAnsi="Arial" w:cs="Arial"/>
          <w:sz w:val="22"/>
          <w:szCs w:val="22"/>
        </w:rPr>
        <w:t xml:space="preserve">F2018L00473) </w:t>
      </w:r>
      <w:r w:rsidRPr="00F04F17">
        <w:rPr>
          <w:rFonts w:ascii="Arial" w:hAnsi="Arial" w:cs="Arial"/>
          <w:sz w:val="22"/>
          <w:szCs w:val="22"/>
        </w:rPr>
        <w:t>registered on 9 April 2018</w:t>
      </w:r>
      <w:r w:rsidRPr="00F04F17">
        <w:rPr>
          <w:rFonts w:ascii="Arial" w:hAnsi="Arial" w:cs="Arial"/>
          <w:i/>
          <w:sz w:val="22"/>
          <w:szCs w:val="22"/>
        </w:rPr>
        <w:t>.</w:t>
      </w:r>
    </w:p>
    <w:p w14:paraId="488200D3" w14:textId="77777777" w:rsidR="006F4D30" w:rsidRPr="00F04F17" w:rsidRDefault="006F4D30" w:rsidP="00F04F17">
      <w:pPr>
        <w:spacing w:after="120"/>
        <w:rPr>
          <w:rFonts w:ascii="Arial" w:hAnsi="Arial" w:cs="Arial"/>
          <w:sz w:val="22"/>
          <w:szCs w:val="22"/>
        </w:rPr>
      </w:pPr>
    </w:p>
    <w:p w14:paraId="290F48BC" w14:textId="77777777" w:rsidR="006F4D30" w:rsidRPr="00F04F17" w:rsidRDefault="006F4D30" w:rsidP="00F04F17">
      <w:pPr>
        <w:pStyle w:val="Heading2"/>
        <w:rPr>
          <w:rFonts w:cs="Arial"/>
          <w:szCs w:val="22"/>
        </w:rPr>
      </w:pPr>
      <w:r w:rsidRPr="00F04F17">
        <w:rPr>
          <w:rFonts w:cs="Arial"/>
          <w:szCs w:val="22"/>
        </w:rPr>
        <w:lastRenderedPageBreak/>
        <w:t xml:space="preserve">What is this instrument </w:t>
      </w:r>
      <w:proofErr w:type="gramStart"/>
      <w:r w:rsidRPr="00F04F17">
        <w:rPr>
          <w:rFonts w:cs="Arial"/>
          <w:szCs w:val="22"/>
        </w:rPr>
        <w:t>about</w:t>
      </w:r>
      <w:proofErr w:type="gramEnd"/>
    </w:p>
    <w:p w14:paraId="6D6B26CD" w14:textId="2827070C" w:rsidR="0067371B" w:rsidRPr="00F04F17" w:rsidRDefault="00145264"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This instrument exempts certain companies and trusts from reporting on certain transactions</w:t>
      </w:r>
      <w:r w:rsidR="00093E70" w:rsidRPr="00F04F17">
        <w:rPr>
          <w:rFonts w:ascii="Arial" w:hAnsi="Arial" w:cs="Arial"/>
          <w:sz w:val="22"/>
          <w:szCs w:val="22"/>
        </w:rPr>
        <w:t xml:space="preserve"> which change the composition of assets held by the company or trust</w:t>
      </w:r>
      <w:r w:rsidR="004E554C">
        <w:rPr>
          <w:rFonts w:ascii="Arial" w:hAnsi="Arial" w:cs="Arial"/>
          <w:sz w:val="22"/>
          <w:szCs w:val="22"/>
        </w:rPr>
        <w:t>,</w:t>
      </w:r>
      <w:r w:rsidR="00EE79C4" w:rsidRPr="00F04F17">
        <w:rPr>
          <w:rFonts w:ascii="Arial" w:hAnsi="Arial" w:cs="Arial"/>
          <w:sz w:val="22"/>
          <w:szCs w:val="22"/>
        </w:rPr>
        <w:t xml:space="preserve"> which </w:t>
      </w:r>
      <w:r w:rsidR="004E554C">
        <w:rPr>
          <w:rFonts w:ascii="Arial" w:hAnsi="Arial" w:cs="Arial"/>
          <w:sz w:val="22"/>
          <w:szCs w:val="22"/>
        </w:rPr>
        <w:t>would otherwise be</w:t>
      </w:r>
      <w:r w:rsidR="00EE79C4" w:rsidRPr="00F04F17">
        <w:rPr>
          <w:rFonts w:ascii="Arial" w:hAnsi="Arial" w:cs="Arial"/>
          <w:sz w:val="22"/>
          <w:szCs w:val="22"/>
        </w:rPr>
        <w:t xml:space="preserve"> required to be reported </w:t>
      </w:r>
      <w:r w:rsidR="009835B0" w:rsidRPr="00F04F17">
        <w:rPr>
          <w:rFonts w:ascii="Arial" w:hAnsi="Arial" w:cs="Arial"/>
          <w:sz w:val="22"/>
          <w:szCs w:val="22"/>
        </w:rPr>
        <w:t xml:space="preserve">(see </w:t>
      </w:r>
      <w:r w:rsidR="00093E70" w:rsidRPr="00F04F17">
        <w:rPr>
          <w:rFonts w:ascii="Arial" w:hAnsi="Arial" w:cs="Arial"/>
          <w:color w:val="000000"/>
          <w:sz w:val="22"/>
          <w:szCs w:val="22"/>
        </w:rPr>
        <w:t xml:space="preserve">items 6, 7 or 8 </w:t>
      </w:r>
      <w:r w:rsidR="00093E70" w:rsidRPr="00F04F17">
        <w:rPr>
          <w:rFonts w:ascii="Arial" w:hAnsi="Arial" w:cs="Arial"/>
          <w:sz w:val="22"/>
          <w:szCs w:val="22"/>
        </w:rPr>
        <w:t>in the table in section 396-55 of Schedule 1 to the TAA</w:t>
      </w:r>
      <w:r w:rsidR="009835B0" w:rsidRPr="00F04F17">
        <w:rPr>
          <w:rFonts w:ascii="Arial" w:hAnsi="Arial" w:cs="Arial"/>
          <w:sz w:val="22"/>
          <w:szCs w:val="22"/>
        </w:rPr>
        <w:t>)</w:t>
      </w:r>
      <w:r w:rsidR="00093E70" w:rsidRPr="00F04F17">
        <w:rPr>
          <w:rFonts w:ascii="Arial" w:hAnsi="Arial" w:cs="Arial"/>
          <w:sz w:val="22"/>
          <w:szCs w:val="22"/>
        </w:rPr>
        <w:t>.</w:t>
      </w:r>
    </w:p>
    <w:p w14:paraId="154FCC37" w14:textId="41AB49A6" w:rsidR="009835B0" w:rsidRPr="00F04F17" w:rsidRDefault="009835B0"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It maintains each of the exemptions contained in t</w:t>
      </w:r>
      <w:r w:rsidR="0046383A" w:rsidRPr="00F04F17">
        <w:rPr>
          <w:rFonts w:ascii="Arial" w:hAnsi="Arial" w:cs="Arial"/>
          <w:color w:val="000000"/>
          <w:sz w:val="22"/>
          <w:szCs w:val="22"/>
        </w:rPr>
        <w:t xml:space="preserve">he </w:t>
      </w:r>
      <w:r w:rsidR="0000755D" w:rsidRPr="00F04F17">
        <w:rPr>
          <w:rFonts w:ascii="Arial" w:hAnsi="Arial" w:cs="Arial"/>
          <w:color w:val="000000"/>
          <w:sz w:val="22"/>
          <w:szCs w:val="22"/>
        </w:rPr>
        <w:t>previous instrument</w:t>
      </w:r>
      <w:r w:rsidR="00857591" w:rsidRPr="00F04F17">
        <w:rPr>
          <w:rFonts w:ascii="Arial" w:hAnsi="Arial" w:cs="Arial"/>
          <w:color w:val="000000"/>
          <w:sz w:val="22"/>
          <w:szCs w:val="22"/>
        </w:rPr>
        <w:t xml:space="preserve"> (see</w:t>
      </w:r>
      <w:r w:rsidR="0062389A">
        <w:rPr>
          <w:rFonts w:ascii="Arial" w:hAnsi="Arial" w:cs="Arial"/>
          <w:color w:val="000000"/>
          <w:sz w:val="22"/>
          <w:szCs w:val="22"/>
        </w:rPr>
        <w:t> </w:t>
      </w:r>
      <w:r w:rsidR="00857591" w:rsidRPr="00F04F17">
        <w:rPr>
          <w:rFonts w:ascii="Arial" w:hAnsi="Arial" w:cs="Arial"/>
          <w:color w:val="000000"/>
          <w:sz w:val="22"/>
          <w:szCs w:val="22"/>
        </w:rPr>
        <w:t xml:space="preserve">paragraph </w:t>
      </w:r>
      <w:r w:rsidR="00064BAE" w:rsidRPr="00F04F17">
        <w:rPr>
          <w:rFonts w:ascii="Arial" w:hAnsi="Arial" w:cs="Arial"/>
          <w:color w:val="000000"/>
          <w:sz w:val="22"/>
          <w:szCs w:val="22"/>
        </w:rPr>
        <w:t>7</w:t>
      </w:r>
      <w:r w:rsidR="00857591" w:rsidRPr="00F04F17">
        <w:rPr>
          <w:rFonts w:ascii="Arial" w:hAnsi="Arial" w:cs="Arial"/>
          <w:color w:val="000000"/>
          <w:sz w:val="22"/>
          <w:szCs w:val="22"/>
        </w:rPr>
        <w:t xml:space="preserve"> </w:t>
      </w:r>
      <w:r w:rsidR="00857591" w:rsidRPr="009F788F">
        <w:rPr>
          <w:rFonts w:ascii="Arial" w:hAnsi="Arial" w:cs="Arial"/>
          <w:color w:val="000000"/>
          <w:sz w:val="22"/>
          <w:szCs w:val="22"/>
        </w:rPr>
        <w:t>above</w:t>
      </w:r>
      <w:r w:rsidR="00857591" w:rsidRPr="00F04F17">
        <w:rPr>
          <w:rFonts w:ascii="Arial" w:hAnsi="Arial" w:cs="Arial"/>
          <w:color w:val="000000"/>
          <w:sz w:val="22"/>
          <w:szCs w:val="22"/>
        </w:rPr>
        <w:t>)</w:t>
      </w:r>
      <w:r w:rsidR="00A12C38" w:rsidRPr="00F04F17">
        <w:rPr>
          <w:rFonts w:ascii="Arial" w:hAnsi="Arial" w:cs="Arial"/>
          <w:color w:val="000000"/>
          <w:sz w:val="22"/>
          <w:szCs w:val="22"/>
        </w:rPr>
        <w:t>.</w:t>
      </w:r>
      <w:r w:rsidRPr="00F04F17">
        <w:rPr>
          <w:rFonts w:ascii="Arial" w:hAnsi="Arial" w:cs="Arial"/>
          <w:color w:val="000000"/>
          <w:sz w:val="22"/>
          <w:szCs w:val="22"/>
        </w:rPr>
        <w:t xml:space="preserve"> It also contains two additional exemptions:</w:t>
      </w:r>
    </w:p>
    <w:p w14:paraId="172C5CCC" w14:textId="77777777" w:rsidR="00F04F17" w:rsidRPr="00F04F17" w:rsidRDefault="009835B0" w:rsidP="00F04F17">
      <w:pPr>
        <w:numPr>
          <w:ilvl w:val="0"/>
          <w:numId w:val="54"/>
        </w:numPr>
        <w:spacing w:after="120"/>
        <w:ind w:left="1418" w:hanging="709"/>
        <w:rPr>
          <w:rFonts w:ascii="Arial" w:hAnsi="Arial" w:cs="Arial"/>
          <w:color w:val="000000"/>
          <w:sz w:val="22"/>
          <w:szCs w:val="22"/>
        </w:rPr>
      </w:pPr>
      <w:r w:rsidRPr="00F04F17">
        <w:rPr>
          <w:rFonts w:ascii="Arial" w:hAnsi="Arial" w:cs="Arial"/>
          <w:color w:val="000000"/>
          <w:sz w:val="22"/>
          <w:szCs w:val="22"/>
        </w:rPr>
        <w:t xml:space="preserve">in relation to erroneous transactions that have been reversed (noting </w:t>
      </w:r>
      <w:r w:rsidR="00A53733" w:rsidRPr="00F04F17">
        <w:rPr>
          <w:rFonts w:ascii="Arial" w:hAnsi="Arial" w:cs="Arial"/>
          <w:color w:val="000000"/>
          <w:sz w:val="22"/>
          <w:szCs w:val="22"/>
        </w:rPr>
        <w:t>the limited benefit to taxpayers from capturing these events, compared to the significant cost to reporters to provide them</w:t>
      </w:r>
      <w:r w:rsidRPr="00F04F17">
        <w:rPr>
          <w:rFonts w:ascii="Arial" w:hAnsi="Arial" w:cs="Arial"/>
          <w:color w:val="000000"/>
          <w:sz w:val="22"/>
          <w:szCs w:val="22"/>
        </w:rPr>
        <w:t>)</w:t>
      </w:r>
      <w:r w:rsidR="00974665" w:rsidRPr="00F04F17">
        <w:rPr>
          <w:rFonts w:ascii="Arial" w:hAnsi="Arial" w:cs="Arial"/>
          <w:color w:val="000000"/>
          <w:sz w:val="22"/>
          <w:szCs w:val="22"/>
        </w:rPr>
        <w:t>, and</w:t>
      </w:r>
    </w:p>
    <w:p w14:paraId="60BEACFA" w14:textId="53EBC689" w:rsidR="0052655E" w:rsidRPr="00F04F17" w:rsidRDefault="001859DE" w:rsidP="00F04F17">
      <w:pPr>
        <w:numPr>
          <w:ilvl w:val="0"/>
          <w:numId w:val="54"/>
        </w:numPr>
        <w:spacing w:after="120"/>
        <w:ind w:left="1418" w:hanging="709"/>
        <w:rPr>
          <w:rFonts w:ascii="Arial" w:hAnsi="Arial" w:cs="Arial"/>
          <w:color w:val="000000"/>
          <w:sz w:val="22"/>
          <w:szCs w:val="22"/>
        </w:rPr>
      </w:pPr>
      <w:r w:rsidRPr="00F04F17">
        <w:rPr>
          <w:rFonts w:ascii="Arial" w:hAnsi="Arial" w:cs="Arial"/>
          <w:color w:val="000000"/>
          <w:sz w:val="22"/>
          <w:szCs w:val="22"/>
        </w:rPr>
        <w:t>where a company has shares listed for quotation on both an Australian financial market and a foreign financial market</w:t>
      </w:r>
      <w:r w:rsidR="009835B0" w:rsidRPr="00F04F17">
        <w:rPr>
          <w:rFonts w:ascii="Arial" w:hAnsi="Arial" w:cs="Arial"/>
          <w:color w:val="000000"/>
          <w:sz w:val="22"/>
          <w:szCs w:val="22"/>
        </w:rPr>
        <w:t xml:space="preserve">; in these circumstances </w:t>
      </w:r>
      <w:r w:rsidRPr="00F04F17">
        <w:rPr>
          <w:rFonts w:ascii="Arial" w:hAnsi="Arial" w:cs="Arial"/>
          <w:color w:val="000000"/>
          <w:sz w:val="22"/>
          <w:szCs w:val="22"/>
        </w:rPr>
        <w:t>only the off-market transactions relating to the shares listed for quotation on the official list of an Australian financial market need to be reported.</w:t>
      </w:r>
    </w:p>
    <w:p w14:paraId="0032071E" w14:textId="77777777" w:rsidR="00F04F17" w:rsidRPr="00F04F17" w:rsidRDefault="0046383A"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color w:val="000000"/>
          <w:sz w:val="22"/>
          <w:szCs w:val="22"/>
        </w:rPr>
        <w:t xml:space="preserve">It is </w:t>
      </w:r>
      <w:r w:rsidR="00957E59" w:rsidRPr="00F04F17">
        <w:rPr>
          <w:rFonts w:ascii="Arial" w:hAnsi="Arial" w:cs="Arial"/>
          <w:color w:val="000000"/>
          <w:sz w:val="22"/>
          <w:szCs w:val="22"/>
        </w:rPr>
        <w:t xml:space="preserve">generally </w:t>
      </w:r>
      <w:r w:rsidRPr="00F04F17">
        <w:rPr>
          <w:rFonts w:ascii="Arial" w:hAnsi="Arial" w:cs="Arial"/>
          <w:color w:val="000000"/>
          <w:sz w:val="22"/>
          <w:szCs w:val="22"/>
        </w:rPr>
        <w:t xml:space="preserve">beneficial for </w:t>
      </w:r>
      <w:r w:rsidR="00957E59" w:rsidRPr="00F04F17">
        <w:rPr>
          <w:rFonts w:ascii="Arial" w:hAnsi="Arial" w:cs="Arial"/>
          <w:color w:val="000000"/>
          <w:sz w:val="22"/>
          <w:szCs w:val="22"/>
        </w:rPr>
        <w:t xml:space="preserve">relevant entities </w:t>
      </w:r>
      <w:r w:rsidRPr="00F04F17">
        <w:rPr>
          <w:rFonts w:ascii="Arial" w:hAnsi="Arial" w:cs="Arial"/>
          <w:color w:val="000000"/>
          <w:sz w:val="22"/>
          <w:szCs w:val="22"/>
        </w:rPr>
        <w:t xml:space="preserve">to </w:t>
      </w:r>
      <w:r w:rsidR="00957E59" w:rsidRPr="00F04F17">
        <w:rPr>
          <w:rFonts w:ascii="Arial" w:hAnsi="Arial" w:cs="Arial"/>
          <w:color w:val="000000"/>
          <w:sz w:val="22"/>
          <w:szCs w:val="22"/>
        </w:rPr>
        <w:t xml:space="preserve">rely on </w:t>
      </w:r>
      <w:r w:rsidRPr="00F04F17">
        <w:rPr>
          <w:rFonts w:ascii="Arial" w:hAnsi="Arial" w:cs="Arial"/>
          <w:color w:val="000000"/>
          <w:sz w:val="22"/>
          <w:szCs w:val="22"/>
        </w:rPr>
        <w:t>th</w:t>
      </w:r>
      <w:r w:rsidR="001859DE" w:rsidRPr="00F04F17">
        <w:rPr>
          <w:rFonts w:ascii="Arial" w:hAnsi="Arial" w:cs="Arial"/>
          <w:color w:val="000000"/>
          <w:sz w:val="22"/>
          <w:szCs w:val="22"/>
        </w:rPr>
        <w:t>ese</w:t>
      </w:r>
      <w:r w:rsidRPr="00F04F17">
        <w:rPr>
          <w:rFonts w:ascii="Arial" w:hAnsi="Arial" w:cs="Arial"/>
          <w:color w:val="000000"/>
          <w:sz w:val="22"/>
          <w:szCs w:val="22"/>
        </w:rPr>
        <w:t xml:space="preserve"> exemption</w:t>
      </w:r>
      <w:r w:rsidR="001859DE" w:rsidRPr="00F04F17">
        <w:rPr>
          <w:rFonts w:ascii="Arial" w:hAnsi="Arial" w:cs="Arial"/>
          <w:color w:val="000000"/>
          <w:sz w:val="22"/>
          <w:szCs w:val="22"/>
        </w:rPr>
        <w:t>s</w:t>
      </w:r>
      <w:r w:rsidRPr="00F04F17">
        <w:rPr>
          <w:rFonts w:ascii="Arial" w:hAnsi="Arial" w:cs="Arial"/>
          <w:color w:val="000000"/>
          <w:sz w:val="22"/>
          <w:szCs w:val="22"/>
        </w:rPr>
        <w:t xml:space="preserve"> as it reduces their compliance costs.</w:t>
      </w:r>
      <w:r w:rsidR="00957E59" w:rsidRPr="00F04F17">
        <w:rPr>
          <w:rFonts w:ascii="Arial" w:hAnsi="Arial" w:cs="Arial"/>
          <w:color w:val="000000"/>
          <w:sz w:val="22"/>
          <w:szCs w:val="22"/>
        </w:rPr>
        <w:t xml:space="preserve"> However, the </w:t>
      </w:r>
      <w:r w:rsidR="00957E59" w:rsidRPr="00F04F17">
        <w:rPr>
          <w:rFonts w:ascii="Arial" w:hAnsi="Arial" w:cs="Arial"/>
          <w:sz w:val="22"/>
          <w:szCs w:val="22"/>
        </w:rPr>
        <w:t>instrument does not prevent the reporting of information</w:t>
      </w:r>
      <w:r w:rsidR="00DD10A8" w:rsidRPr="00F04F17">
        <w:rPr>
          <w:rFonts w:ascii="Arial" w:hAnsi="Arial" w:cs="Arial"/>
          <w:sz w:val="22"/>
          <w:szCs w:val="22"/>
        </w:rPr>
        <w:t>. F</w:t>
      </w:r>
      <w:r w:rsidR="00957E59" w:rsidRPr="00F04F17">
        <w:rPr>
          <w:rFonts w:ascii="Arial" w:hAnsi="Arial" w:cs="Arial"/>
          <w:sz w:val="22"/>
          <w:szCs w:val="22"/>
        </w:rPr>
        <w:t>or example, entities may still choose to report information, along with other information they are required to report</w:t>
      </w:r>
      <w:r w:rsidR="005335A6" w:rsidRPr="00F04F17">
        <w:rPr>
          <w:rFonts w:ascii="Arial" w:hAnsi="Arial" w:cs="Arial"/>
          <w:sz w:val="22"/>
          <w:szCs w:val="22"/>
        </w:rPr>
        <w:t xml:space="preserve"> under the TAA</w:t>
      </w:r>
      <w:r w:rsidR="00957E59" w:rsidRPr="00F04F17">
        <w:rPr>
          <w:rFonts w:ascii="Arial" w:hAnsi="Arial" w:cs="Arial"/>
          <w:sz w:val="22"/>
          <w:szCs w:val="22"/>
        </w:rPr>
        <w:t>, where this creates administrative efficiencies for them.</w:t>
      </w:r>
    </w:p>
    <w:p w14:paraId="4F9D2200" w14:textId="77777777" w:rsidR="00F04F17" w:rsidRPr="00F04F17" w:rsidRDefault="00D07B5D"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This instrument applies from 1 July 2017 to ensure that entities which</w:t>
      </w:r>
      <w:r w:rsidR="00974665" w:rsidRPr="00F04F17">
        <w:rPr>
          <w:rFonts w:ascii="Arial" w:hAnsi="Arial" w:cs="Arial"/>
          <w:sz w:val="22"/>
          <w:szCs w:val="22"/>
        </w:rPr>
        <w:t xml:space="preserve"> have not historically reported on relevant transactions will not have failed to comply with relevant reporting obligations.</w:t>
      </w:r>
    </w:p>
    <w:p w14:paraId="1221016A" w14:textId="1A47CD56" w:rsidR="002F07D9" w:rsidRPr="00F04F17" w:rsidRDefault="00974665" w:rsidP="00F04F17">
      <w:pPr>
        <w:numPr>
          <w:ilvl w:val="0"/>
          <w:numId w:val="16"/>
        </w:numPr>
        <w:tabs>
          <w:tab w:val="clear" w:pos="720"/>
        </w:tabs>
        <w:spacing w:after="120"/>
        <w:ind w:left="709" w:hanging="709"/>
        <w:rPr>
          <w:rFonts w:ascii="Arial" w:hAnsi="Arial" w:cs="Arial"/>
        </w:rPr>
      </w:pPr>
      <w:bookmarkStart w:id="0" w:name="_Hlk76991205"/>
      <w:bookmarkStart w:id="1" w:name="_Hlk76983257"/>
      <w:r w:rsidRPr="00F04F17">
        <w:rPr>
          <w:rFonts w:ascii="Arial" w:hAnsi="Arial" w:cs="Arial"/>
          <w:sz w:val="22"/>
          <w:szCs w:val="22"/>
        </w:rPr>
        <w:t>The</w:t>
      </w:r>
      <w:r w:rsidRPr="009F788F">
        <w:rPr>
          <w:rFonts w:ascii="Arial" w:hAnsi="Arial" w:cs="Arial"/>
          <w:sz w:val="22"/>
          <w:szCs w:val="22"/>
        </w:rPr>
        <w:t xml:space="preserve"> </w:t>
      </w:r>
      <w:r w:rsidR="002F07D9" w:rsidRPr="009F788F">
        <w:rPr>
          <w:rFonts w:ascii="Arial" w:hAnsi="Arial" w:cs="Arial"/>
          <w:sz w:val="22"/>
          <w:szCs w:val="22"/>
        </w:rPr>
        <w:t xml:space="preserve">new </w:t>
      </w:r>
      <w:r w:rsidR="002F07D9" w:rsidRPr="00F04F17">
        <w:rPr>
          <w:rFonts w:ascii="Arial" w:hAnsi="Arial" w:cs="Arial"/>
          <w:sz w:val="22"/>
          <w:szCs w:val="22"/>
        </w:rPr>
        <w:t xml:space="preserve">exemption </w:t>
      </w:r>
      <w:r w:rsidRPr="00F04F17">
        <w:rPr>
          <w:rFonts w:ascii="Arial" w:hAnsi="Arial" w:cs="Arial"/>
          <w:sz w:val="22"/>
          <w:szCs w:val="22"/>
        </w:rPr>
        <w:t xml:space="preserve">for </w:t>
      </w:r>
      <w:r w:rsidR="002F07D9" w:rsidRPr="00F04F17">
        <w:rPr>
          <w:rFonts w:ascii="Arial" w:hAnsi="Arial" w:cs="Arial"/>
          <w:sz w:val="22"/>
          <w:szCs w:val="22"/>
        </w:rPr>
        <w:t xml:space="preserve">erroneous transactions </w:t>
      </w:r>
      <w:r w:rsidRPr="00F04F17">
        <w:rPr>
          <w:rFonts w:ascii="Arial" w:hAnsi="Arial" w:cs="Arial"/>
          <w:sz w:val="22"/>
          <w:szCs w:val="22"/>
        </w:rPr>
        <w:t xml:space="preserve">applies to </w:t>
      </w:r>
      <w:r w:rsidR="002F07D9" w:rsidRPr="00F04F17">
        <w:rPr>
          <w:rFonts w:ascii="Arial" w:hAnsi="Arial" w:cs="Arial"/>
          <w:sz w:val="22"/>
          <w:szCs w:val="22"/>
        </w:rPr>
        <w:t xml:space="preserve">all entities to which the instrument applies. In many cases </w:t>
      </w:r>
      <w:r w:rsidRPr="00F04F17">
        <w:rPr>
          <w:rFonts w:ascii="Arial" w:hAnsi="Arial" w:cs="Arial"/>
          <w:sz w:val="22"/>
          <w:szCs w:val="22"/>
        </w:rPr>
        <w:t xml:space="preserve">a </w:t>
      </w:r>
      <w:r w:rsidR="002F07D9" w:rsidRPr="00F04F17">
        <w:rPr>
          <w:rFonts w:ascii="Arial" w:hAnsi="Arial" w:cs="Arial"/>
          <w:sz w:val="22"/>
          <w:szCs w:val="22"/>
        </w:rPr>
        <w:t xml:space="preserve">taxpayer would be eligible for </w:t>
      </w:r>
      <w:r w:rsidR="002F07D9" w:rsidRPr="009F788F">
        <w:rPr>
          <w:rFonts w:ascii="Arial" w:hAnsi="Arial" w:cs="Arial"/>
          <w:sz w:val="22"/>
          <w:szCs w:val="22"/>
        </w:rPr>
        <w:t>roll over</w:t>
      </w:r>
      <w:r w:rsidR="002F07D9" w:rsidRPr="00F04F17">
        <w:rPr>
          <w:rFonts w:ascii="Arial" w:hAnsi="Arial" w:cs="Arial"/>
          <w:sz w:val="22"/>
          <w:szCs w:val="22"/>
        </w:rPr>
        <w:t xml:space="preserve"> relief where their shares or units are sold without their permission and then subsequently replaced. As such</w:t>
      </w:r>
      <w:r w:rsidRPr="00F04F17">
        <w:rPr>
          <w:rFonts w:ascii="Arial" w:hAnsi="Arial" w:cs="Arial"/>
          <w:sz w:val="22"/>
          <w:szCs w:val="22"/>
        </w:rPr>
        <w:t>,</w:t>
      </w:r>
      <w:r w:rsidR="002F07D9" w:rsidRPr="00F04F17">
        <w:rPr>
          <w:rFonts w:ascii="Arial" w:hAnsi="Arial" w:cs="Arial"/>
          <w:sz w:val="22"/>
          <w:szCs w:val="22"/>
        </w:rPr>
        <w:t xml:space="preserve"> the benefit to taxpayers from capturing this data is very low and does not justify the increased cost for reporters to provide this data.</w:t>
      </w:r>
    </w:p>
    <w:p w14:paraId="173FEFFD" w14:textId="08EA77D0" w:rsidR="002F07D9" w:rsidRPr="00F04F17" w:rsidRDefault="002F07D9"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Th</w:t>
      </w:r>
      <w:r w:rsidR="00974665" w:rsidRPr="00F04F17">
        <w:rPr>
          <w:rFonts w:ascii="Arial" w:hAnsi="Arial" w:cs="Arial"/>
          <w:color w:val="000000"/>
          <w:sz w:val="22"/>
          <w:szCs w:val="22"/>
        </w:rPr>
        <w:t>e</w:t>
      </w:r>
      <w:r w:rsidRPr="00F04F17">
        <w:rPr>
          <w:rFonts w:ascii="Arial" w:hAnsi="Arial" w:cs="Arial"/>
          <w:color w:val="000000"/>
          <w:sz w:val="22"/>
          <w:szCs w:val="22"/>
        </w:rPr>
        <w:t xml:space="preserve"> instrument also provides certainty for dual listed companies which have some shares listed for </w:t>
      </w:r>
      <w:r w:rsidRPr="00F04F17">
        <w:rPr>
          <w:rFonts w:ascii="Arial" w:hAnsi="Arial" w:cs="Arial"/>
          <w:sz w:val="22"/>
          <w:szCs w:val="22"/>
        </w:rPr>
        <w:t>quotation</w:t>
      </w:r>
      <w:r w:rsidRPr="00F04F17">
        <w:rPr>
          <w:rFonts w:ascii="Arial" w:hAnsi="Arial" w:cs="Arial"/>
          <w:color w:val="000000"/>
          <w:sz w:val="22"/>
          <w:szCs w:val="22"/>
        </w:rPr>
        <w:t xml:space="preserve"> on the official list of an Australian financial market (ASX-listed shares) and other shares only listed for quotation on the official list of a foreign financial exchange (foreign-listed shares). The existing legislation has an unintended requirement for these companies to report any transactions relating to their foreign-listed shares.</w:t>
      </w:r>
    </w:p>
    <w:bookmarkEnd w:id="0"/>
    <w:p w14:paraId="4B62193B" w14:textId="77777777" w:rsidR="00BF12D2" w:rsidRPr="00F04F17" w:rsidRDefault="007F4229"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Compliance Cost Impact: Minor </w:t>
      </w:r>
      <w:r w:rsidR="00A12C38" w:rsidRPr="00F04F17">
        <w:rPr>
          <w:rFonts w:ascii="Arial" w:hAnsi="Arial" w:cs="Arial"/>
          <w:sz w:val="22"/>
          <w:szCs w:val="22"/>
        </w:rPr>
        <w:t>–</w:t>
      </w:r>
      <w:r w:rsidRPr="00F04F17">
        <w:rPr>
          <w:rFonts w:ascii="Arial" w:hAnsi="Arial" w:cs="Arial"/>
          <w:sz w:val="22"/>
          <w:szCs w:val="22"/>
        </w:rPr>
        <w:t xml:space="preserve"> There will be no or minimal impacts for both implementation and ongoing compliance costs. The legislative instrument is minor or machinery in nature.</w:t>
      </w:r>
    </w:p>
    <w:bookmarkEnd w:id="1"/>
    <w:p w14:paraId="0D6EC740" w14:textId="77777777" w:rsidR="007F4229" w:rsidRPr="00F04F17" w:rsidRDefault="007F4229" w:rsidP="00F04F17">
      <w:pPr>
        <w:spacing w:after="120"/>
        <w:rPr>
          <w:rFonts w:ascii="Arial" w:hAnsi="Arial" w:cs="Arial"/>
          <w:sz w:val="22"/>
          <w:szCs w:val="22"/>
        </w:rPr>
      </w:pPr>
    </w:p>
    <w:p w14:paraId="6DDE9B6B" w14:textId="77777777" w:rsidR="009C1910" w:rsidRPr="00F04F17" w:rsidRDefault="009C1910" w:rsidP="00F04F17">
      <w:pPr>
        <w:pStyle w:val="Heading2"/>
        <w:rPr>
          <w:rFonts w:cs="Arial"/>
          <w:szCs w:val="22"/>
        </w:rPr>
      </w:pPr>
      <w:r w:rsidRPr="00F04F17">
        <w:rPr>
          <w:rFonts w:cs="Arial"/>
          <w:szCs w:val="22"/>
        </w:rPr>
        <w:t>Background</w:t>
      </w:r>
    </w:p>
    <w:p w14:paraId="0FFD486B" w14:textId="0A4AD558" w:rsidR="009C1910" w:rsidRPr="00F04F17" w:rsidRDefault="009C1910"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This instrument was developed to ensure that the </w:t>
      </w:r>
      <w:r w:rsidRPr="009F788F">
        <w:rPr>
          <w:rFonts w:ascii="Arial" w:hAnsi="Arial" w:cs="Arial"/>
          <w:sz w:val="22"/>
          <w:szCs w:val="22"/>
        </w:rPr>
        <w:t>third</w:t>
      </w:r>
      <w:r w:rsidR="00B55BBC" w:rsidRPr="009F788F">
        <w:rPr>
          <w:rFonts w:ascii="Arial" w:hAnsi="Arial" w:cs="Arial"/>
          <w:sz w:val="22"/>
          <w:szCs w:val="22"/>
        </w:rPr>
        <w:noBreakHyphen/>
      </w:r>
      <w:r w:rsidRPr="009F788F">
        <w:rPr>
          <w:rFonts w:ascii="Arial" w:hAnsi="Arial" w:cs="Arial"/>
          <w:sz w:val="22"/>
          <w:szCs w:val="22"/>
        </w:rPr>
        <w:t>party</w:t>
      </w:r>
      <w:r w:rsidRPr="00F04F17">
        <w:rPr>
          <w:rFonts w:ascii="Arial" w:hAnsi="Arial" w:cs="Arial"/>
          <w:sz w:val="22"/>
          <w:szCs w:val="22"/>
        </w:rPr>
        <w:t xml:space="preserve"> reporting regime operates efficiently and the compliance burden on reporters is minimised.</w:t>
      </w:r>
    </w:p>
    <w:p w14:paraId="02CFDDC2" w14:textId="2ACC0F5C" w:rsidR="00BF12D2" w:rsidRPr="00F04F17" w:rsidRDefault="004E554C" w:rsidP="00F04F17">
      <w:pPr>
        <w:numPr>
          <w:ilvl w:val="0"/>
          <w:numId w:val="16"/>
        </w:numPr>
        <w:tabs>
          <w:tab w:val="clear" w:pos="720"/>
        </w:tabs>
        <w:spacing w:after="120"/>
        <w:ind w:left="709" w:hanging="709"/>
        <w:rPr>
          <w:rFonts w:ascii="Arial" w:hAnsi="Arial" w:cs="Arial"/>
          <w:sz w:val="22"/>
          <w:szCs w:val="22"/>
        </w:rPr>
      </w:pPr>
      <w:r>
        <w:rPr>
          <w:rFonts w:ascii="Arial" w:hAnsi="Arial" w:cs="Arial"/>
          <w:sz w:val="22"/>
          <w:szCs w:val="22"/>
        </w:rPr>
        <w:t>Subsection</w:t>
      </w:r>
      <w:r w:rsidRPr="00F04F17">
        <w:rPr>
          <w:rFonts w:ascii="Arial" w:hAnsi="Arial" w:cs="Arial"/>
          <w:sz w:val="22"/>
          <w:szCs w:val="22"/>
        </w:rPr>
        <w:t> </w:t>
      </w:r>
      <w:r w:rsidR="009C1910" w:rsidRPr="00F04F17">
        <w:rPr>
          <w:rFonts w:ascii="Arial" w:hAnsi="Arial" w:cs="Arial"/>
          <w:sz w:val="22"/>
          <w:szCs w:val="22"/>
        </w:rPr>
        <w:t xml:space="preserve">396-70(4) of Schedule 1 to the TAA allows the Commissioner, by legislative instrument, to exempt classes of </w:t>
      </w:r>
      <w:r w:rsidR="009309CD" w:rsidRPr="00F04F17">
        <w:rPr>
          <w:rFonts w:ascii="Arial" w:hAnsi="Arial" w:cs="Arial"/>
          <w:sz w:val="22"/>
          <w:szCs w:val="22"/>
        </w:rPr>
        <w:t xml:space="preserve">entities </w:t>
      </w:r>
      <w:r w:rsidR="009C1910" w:rsidRPr="00F04F17">
        <w:rPr>
          <w:rFonts w:ascii="Arial" w:hAnsi="Arial" w:cs="Arial"/>
          <w:sz w:val="22"/>
          <w:szCs w:val="22"/>
        </w:rPr>
        <w:t xml:space="preserve">from </w:t>
      </w:r>
      <w:r w:rsidR="009309CD" w:rsidRPr="00F04F17">
        <w:rPr>
          <w:rFonts w:ascii="Arial" w:hAnsi="Arial" w:cs="Arial"/>
          <w:sz w:val="22"/>
          <w:szCs w:val="22"/>
        </w:rPr>
        <w:t>reporting</w:t>
      </w:r>
      <w:r w:rsidR="009C1910" w:rsidRPr="00F04F17">
        <w:rPr>
          <w:rFonts w:ascii="Arial" w:hAnsi="Arial" w:cs="Arial"/>
          <w:sz w:val="22"/>
          <w:szCs w:val="22"/>
        </w:rPr>
        <w:t xml:space="preserve"> </w:t>
      </w:r>
      <w:r w:rsidR="00AA33B7" w:rsidRPr="00F04F17">
        <w:rPr>
          <w:rFonts w:ascii="Arial" w:hAnsi="Arial" w:cs="Arial"/>
          <w:sz w:val="22"/>
          <w:szCs w:val="22"/>
        </w:rPr>
        <w:t xml:space="preserve">(including in respect of specified </w:t>
      </w:r>
      <w:r w:rsidR="009C1910" w:rsidRPr="00F04F17">
        <w:rPr>
          <w:rFonts w:ascii="Arial" w:hAnsi="Arial" w:cs="Arial"/>
          <w:sz w:val="22"/>
          <w:szCs w:val="22"/>
        </w:rPr>
        <w:t>classes of transactions</w:t>
      </w:r>
      <w:r w:rsidR="00AA33B7" w:rsidRPr="00F04F17">
        <w:rPr>
          <w:rFonts w:ascii="Arial" w:hAnsi="Arial" w:cs="Arial"/>
          <w:sz w:val="22"/>
          <w:szCs w:val="22"/>
        </w:rPr>
        <w:t>)</w:t>
      </w:r>
      <w:r w:rsidR="009C1910" w:rsidRPr="00F04F17">
        <w:rPr>
          <w:rFonts w:ascii="Arial" w:hAnsi="Arial" w:cs="Arial"/>
          <w:sz w:val="22"/>
          <w:szCs w:val="22"/>
        </w:rPr>
        <w:t>.</w:t>
      </w:r>
    </w:p>
    <w:p w14:paraId="39D72561" w14:textId="35680F7B" w:rsidR="009C1910" w:rsidRPr="00F04F17" w:rsidRDefault="009C1910"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 xml:space="preserve">Under </w:t>
      </w:r>
      <w:r w:rsidR="00AA33B7" w:rsidRPr="00F04F17">
        <w:rPr>
          <w:rFonts w:ascii="Arial" w:hAnsi="Arial" w:cs="Arial"/>
          <w:sz w:val="22"/>
          <w:szCs w:val="22"/>
        </w:rPr>
        <w:t xml:space="preserve">table </w:t>
      </w:r>
      <w:r w:rsidRPr="00F04F17">
        <w:rPr>
          <w:rFonts w:ascii="Arial" w:hAnsi="Arial" w:cs="Arial"/>
          <w:sz w:val="22"/>
          <w:szCs w:val="22"/>
        </w:rPr>
        <w:t xml:space="preserve">items 6, 7 and 8 </w:t>
      </w:r>
      <w:r w:rsidR="00AA33B7" w:rsidRPr="00F04F17">
        <w:rPr>
          <w:rFonts w:ascii="Arial" w:hAnsi="Arial" w:cs="Arial"/>
          <w:sz w:val="22"/>
          <w:szCs w:val="22"/>
        </w:rPr>
        <w:t xml:space="preserve">in </w:t>
      </w:r>
      <w:r w:rsidRPr="00F04F17">
        <w:rPr>
          <w:rFonts w:ascii="Arial" w:hAnsi="Arial" w:cs="Arial"/>
          <w:sz w:val="22"/>
          <w:szCs w:val="22"/>
        </w:rPr>
        <w:t>s</w:t>
      </w:r>
      <w:r w:rsidR="00AB1455" w:rsidRPr="00F04F17">
        <w:rPr>
          <w:rFonts w:ascii="Arial" w:hAnsi="Arial" w:cs="Arial"/>
          <w:sz w:val="22"/>
          <w:szCs w:val="22"/>
        </w:rPr>
        <w:t>ection </w:t>
      </w:r>
      <w:r w:rsidRPr="00F04F17">
        <w:rPr>
          <w:rFonts w:ascii="Arial" w:hAnsi="Arial" w:cs="Arial"/>
          <w:sz w:val="22"/>
          <w:szCs w:val="22"/>
        </w:rPr>
        <w:t xml:space="preserve">396-55 of Schedule 1 to the TAA, entities are required to report to the Commissioner information about </w:t>
      </w:r>
      <w:r w:rsidR="009B3E5B" w:rsidRPr="00F04F17">
        <w:rPr>
          <w:rFonts w:ascii="Arial" w:hAnsi="Arial" w:cs="Arial"/>
          <w:sz w:val="22"/>
          <w:szCs w:val="22"/>
        </w:rPr>
        <w:t>transfers of shares or units in a unit trust.</w:t>
      </w:r>
      <w:r w:rsidR="002A29BA" w:rsidRPr="00F04F17">
        <w:rPr>
          <w:rFonts w:ascii="Arial" w:hAnsi="Arial" w:cs="Arial"/>
          <w:sz w:val="22"/>
          <w:szCs w:val="22"/>
        </w:rPr>
        <w:t xml:space="preserve"> </w:t>
      </w:r>
      <w:r w:rsidRPr="00F04F17">
        <w:rPr>
          <w:rFonts w:ascii="Arial" w:hAnsi="Arial" w:cs="Arial"/>
          <w:sz w:val="22"/>
          <w:szCs w:val="22"/>
        </w:rPr>
        <w:t xml:space="preserve">The information that is required to be reported </w:t>
      </w:r>
      <w:r w:rsidR="00AA33B7" w:rsidRPr="00F04F17">
        <w:rPr>
          <w:rFonts w:ascii="Arial" w:hAnsi="Arial" w:cs="Arial"/>
          <w:sz w:val="22"/>
          <w:szCs w:val="22"/>
        </w:rPr>
        <w:lastRenderedPageBreak/>
        <w:t xml:space="preserve">relates </w:t>
      </w:r>
      <w:r w:rsidRPr="00F04F17">
        <w:rPr>
          <w:rFonts w:ascii="Arial" w:hAnsi="Arial" w:cs="Arial"/>
          <w:sz w:val="22"/>
          <w:szCs w:val="22"/>
        </w:rPr>
        <w:t>to change</w:t>
      </w:r>
      <w:r w:rsidR="00AA33B7" w:rsidRPr="00F04F17">
        <w:rPr>
          <w:rFonts w:ascii="Arial" w:hAnsi="Arial" w:cs="Arial"/>
          <w:sz w:val="22"/>
          <w:szCs w:val="22"/>
        </w:rPr>
        <w:t>s</w:t>
      </w:r>
      <w:r w:rsidRPr="00F04F17">
        <w:rPr>
          <w:rFonts w:ascii="Arial" w:hAnsi="Arial" w:cs="Arial"/>
          <w:sz w:val="22"/>
          <w:szCs w:val="22"/>
        </w:rPr>
        <w:t xml:space="preserve"> to the type, name and number of the shares</w:t>
      </w:r>
      <w:r w:rsidR="009B3A17" w:rsidRPr="00F04F17">
        <w:rPr>
          <w:rFonts w:ascii="Arial" w:hAnsi="Arial" w:cs="Arial"/>
          <w:sz w:val="22"/>
          <w:szCs w:val="22"/>
        </w:rPr>
        <w:t xml:space="preserve"> or units held by an entity.</w:t>
      </w:r>
    </w:p>
    <w:p w14:paraId="29291F4E" w14:textId="77777777" w:rsidR="00F04F17" w:rsidRPr="00F04F17" w:rsidRDefault="009C1910"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To reduce the administrative and compliance burden on reporters</w:t>
      </w:r>
      <w:r w:rsidR="00AA33B7" w:rsidRPr="00F04F17">
        <w:rPr>
          <w:rFonts w:ascii="Arial" w:hAnsi="Arial" w:cs="Arial"/>
          <w:sz w:val="22"/>
          <w:szCs w:val="22"/>
        </w:rPr>
        <w:t>,</w:t>
      </w:r>
      <w:r w:rsidRPr="00F04F17">
        <w:rPr>
          <w:rFonts w:ascii="Arial" w:hAnsi="Arial" w:cs="Arial"/>
          <w:sz w:val="22"/>
          <w:szCs w:val="22"/>
        </w:rPr>
        <w:t xml:space="preserve"> the Commissioner does not require </w:t>
      </w:r>
      <w:r w:rsidR="002A29BA" w:rsidRPr="00F04F17">
        <w:rPr>
          <w:rFonts w:ascii="Arial" w:hAnsi="Arial" w:cs="Arial"/>
          <w:sz w:val="22"/>
          <w:szCs w:val="22"/>
        </w:rPr>
        <w:t xml:space="preserve">certain </w:t>
      </w:r>
      <w:r w:rsidRPr="00F04F17">
        <w:rPr>
          <w:rFonts w:ascii="Arial" w:hAnsi="Arial" w:cs="Arial"/>
          <w:sz w:val="22"/>
          <w:szCs w:val="22"/>
        </w:rPr>
        <w:t>information to be reported</w:t>
      </w:r>
      <w:r w:rsidR="002A29BA" w:rsidRPr="00F04F17">
        <w:rPr>
          <w:rFonts w:ascii="Arial" w:hAnsi="Arial" w:cs="Arial"/>
          <w:sz w:val="22"/>
          <w:szCs w:val="22"/>
        </w:rPr>
        <w:t>. In addition to the two</w:t>
      </w:r>
      <w:r w:rsidR="002A29BA" w:rsidRPr="009F788F">
        <w:rPr>
          <w:rFonts w:ascii="Arial" w:hAnsi="Arial" w:cs="Arial"/>
          <w:sz w:val="22"/>
          <w:szCs w:val="22"/>
        </w:rPr>
        <w:t xml:space="preserve"> new </w:t>
      </w:r>
      <w:r w:rsidR="002A29BA" w:rsidRPr="00F04F17">
        <w:rPr>
          <w:rFonts w:ascii="Arial" w:hAnsi="Arial" w:cs="Arial"/>
          <w:sz w:val="22"/>
          <w:szCs w:val="22"/>
        </w:rPr>
        <w:t xml:space="preserve">exemptions described </w:t>
      </w:r>
      <w:r w:rsidR="002A29BA" w:rsidRPr="009F788F">
        <w:rPr>
          <w:rFonts w:ascii="Arial" w:hAnsi="Arial" w:cs="Arial"/>
          <w:sz w:val="22"/>
          <w:szCs w:val="22"/>
        </w:rPr>
        <w:t>above</w:t>
      </w:r>
      <w:r w:rsidR="002A29BA" w:rsidRPr="00F04F17">
        <w:rPr>
          <w:rFonts w:ascii="Arial" w:hAnsi="Arial" w:cs="Arial"/>
          <w:sz w:val="22"/>
          <w:szCs w:val="22"/>
        </w:rPr>
        <w:t>, the instrument will maintain the current reporting exemptions</w:t>
      </w:r>
      <w:r w:rsidR="004B6F05" w:rsidRPr="00F04F17">
        <w:rPr>
          <w:rFonts w:ascii="Arial" w:hAnsi="Arial" w:cs="Arial"/>
          <w:sz w:val="22"/>
          <w:szCs w:val="22"/>
        </w:rPr>
        <w:t xml:space="preserve"> described </w:t>
      </w:r>
      <w:r w:rsidR="004B6F05" w:rsidRPr="009F788F">
        <w:rPr>
          <w:rFonts w:ascii="Arial" w:hAnsi="Arial" w:cs="Arial"/>
          <w:sz w:val="22"/>
          <w:szCs w:val="22"/>
        </w:rPr>
        <w:t>below</w:t>
      </w:r>
      <w:r w:rsidR="004B6F05" w:rsidRPr="00F04F17">
        <w:rPr>
          <w:rFonts w:ascii="Arial" w:hAnsi="Arial" w:cs="Arial"/>
          <w:sz w:val="22"/>
          <w:szCs w:val="22"/>
        </w:rPr>
        <w:t>.</w:t>
      </w:r>
    </w:p>
    <w:p w14:paraId="0DC1BE80" w14:textId="6B29442B" w:rsidR="00BF12D2" w:rsidRPr="00F04F17" w:rsidRDefault="00DD10A8"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E</w:t>
      </w:r>
      <w:r w:rsidR="002A29BA" w:rsidRPr="00F04F17">
        <w:rPr>
          <w:rFonts w:ascii="Arial" w:hAnsi="Arial" w:cs="Arial"/>
          <w:sz w:val="22"/>
          <w:szCs w:val="22"/>
        </w:rPr>
        <w:t>ntities to which the instrument applies are not required to report</w:t>
      </w:r>
      <w:r w:rsidR="009C1910" w:rsidRPr="00F04F17">
        <w:rPr>
          <w:rFonts w:ascii="Arial" w:hAnsi="Arial" w:cs="Arial"/>
          <w:sz w:val="22"/>
          <w:szCs w:val="22"/>
        </w:rPr>
        <w:t xml:space="preserve"> on </w:t>
      </w:r>
      <w:r w:rsidR="002A29BA" w:rsidRPr="00F04F17">
        <w:rPr>
          <w:rFonts w:ascii="Arial" w:hAnsi="Arial" w:cs="Arial"/>
          <w:sz w:val="22"/>
          <w:szCs w:val="22"/>
        </w:rPr>
        <w:t xml:space="preserve">transactions relating to </w:t>
      </w:r>
      <w:r w:rsidR="009C1910" w:rsidRPr="00F04F17">
        <w:rPr>
          <w:rFonts w:ascii="Arial" w:hAnsi="Arial" w:cs="Arial"/>
          <w:sz w:val="22"/>
          <w:szCs w:val="22"/>
        </w:rPr>
        <w:t>shares</w:t>
      </w:r>
      <w:r w:rsidR="009309CD" w:rsidRPr="00F04F17">
        <w:rPr>
          <w:rFonts w:ascii="Arial" w:hAnsi="Arial" w:cs="Arial"/>
          <w:sz w:val="22"/>
          <w:szCs w:val="22"/>
        </w:rPr>
        <w:t xml:space="preserve"> </w:t>
      </w:r>
      <w:r w:rsidR="009C1910" w:rsidRPr="00F04F17">
        <w:rPr>
          <w:rFonts w:ascii="Arial" w:hAnsi="Arial" w:cs="Arial"/>
          <w:sz w:val="22"/>
          <w:szCs w:val="22"/>
        </w:rPr>
        <w:t>listed on Australian financial markets</w:t>
      </w:r>
      <w:r w:rsidR="002A29BA" w:rsidRPr="00F04F17">
        <w:rPr>
          <w:rFonts w:ascii="Arial" w:hAnsi="Arial" w:cs="Arial"/>
          <w:sz w:val="22"/>
          <w:szCs w:val="22"/>
        </w:rPr>
        <w:t xml:space="preserve">, where they </w:t>
      </w:r>
      <w:r w:rsidR="009C1910" w:rsidRPr="00F04F17">
        <w:rPr>
          <w:rFonts w:ascii="Arial" w:hAnsi="Arial" w:cs="Arial"/>
          <w:sz w:val="22"/>
          <w:szCs w:val="22"/>
        </w:rPr>
        <w:t xml:space="preserve">are not required to deliver data </w:t>
      </w:r>
      <w:r w:rsidR="002A29BA" w:rsidRPr="00F04F17">
        <w:rPr>
          <w:rFonts w:ascii="Arial" w:hAnsi="Arial" w:cs="Arial"/>
          <w:sz w:val="22"/>
          <w:szCs w:val="22"/>
        </w:rPr>
        <w:t xml:space="preserve">on the transactions </w:t>
      </w:r>
      <w:r w:rsidR="009C1910" w:rsidRPr="00F04F17">
        <w:rPr>
          <w:rFonts w:ascii="Arial" w:hAnsi="Arial" w:cs="Arial"/>
          <w:sz w:val="22"/>
          <w:szCs w:val="22"/>
        </w:rPr>
        <w:t>to</w:t>
      </w:r>
      <w:r w:rsidR="009309CD" w:rsidRPr="00F04F17">
        <w:rPr>
          <w:rFonts w:ascii="Arial" w:hAnsi="Arial" w:cs="Arial"/>
          <w:sz w:val="22"/>
          <w:szCs w:val="22"/>
        </w:rPr>
        <w:t xml:space="preserve"> </w:t>
      </w:r>
      <w:r w:rsidR="009C1910" w:rsidRPr="00F04F17">
        <w:rPr>
          <w:rFonts w:ascii="Arial" w:hAnsi="Arial" w:cs="Arial"/>
          <w:sz w:val="22"/>
          <w:szCs w:val="22"/>
        </w:rPr>
        <w:t>ASIC under the market integrity rules. The bulk of the</w:t>
      </w:r>
      <w:r w:rsidR="009B3A17" w:rsidRPr="00F04F17">
        <w:rPr>
          <w:rFonts w:ascii="Arial" w:hAnsi="Arial" w:cs="Arial"/>
          <w:sz w:val="22"/>
          <w:szCs w:val="22"/>
        </w:rPr>
        <w:t xml:space="preserve"> share</w:t>
      </w:r>
      <w:r w:rsidR="009C1910" w:rsidRPr="00F04F17">
        <w:rPr>
          <w:rFonts w:ascii="Arial" w:hAnsi="Arial" w:cs="Arial"/>
          <w:sz w:val="22"/>
          <w:szCs w:val="22"/>
        </w:rPr>
        <w:t xml:space="preserve"> transaction information required by the Commissioner will be captured through the existing ASIC market integrity system. </w:t>
      </w:r>
      <w:r w:rsidR="0053649D" w:rsidRPr="00F04F17">
        <w:rPr>
          <w:rFonts w:ascii="Arial" w:hAnsi="Arial" w:cs="Arial"/>
          <w:sz w:val="22"/>
          <w:szCs w:val="22"/>
        </w:rPr>
        <w:t xml:space="preserve">The exemption to report is provided for those financial markets not captured under this system because it </w:t>
      </w:r>
      <w:r w:rsidR="00FC617B" w:rsidRPr="00F04F17">
        <w:rPr>
          <w:rFonts w:ascii="Arial" w:hAnsi="Arial" w:cs="Arial"/>
          <w:sz w:val="22"/>
          <w:szCs w:val="22"/>
        </w:rPr>
        <w:t>is</w:t>
      </w:r>
      <w:r w:rsidR="00352B81" w:rsidRPr="00F04F17">
        <w:rPr>
          <w:rFonts w:ascii="Arial" w:hAnsi="Arial" w:cs="Arial"/>
          <w:sz w:val="22"/>
          <w:szCs w:val="22"/>
        </w:rPr>
        <w:t xml:space="preserve"> considered </w:t>
      </w:r>
      <w:r w:rsidR="008120F6" w:rsidRPr="00F04F17">
        <w:rPr>
          <w:rFonts w:ascii="Arial" w:hAnsi="Arial" w:cs="Arial"/>
          <w:sz w:val="22"/>
          <w:szCs w:val="22"/>
        </w:rPr>
        <w:t xml:space="preserve">unnecessarily burdensome to </w:t>
      </w:r>
      <w:r w:rsidR="009C1910" w:rsidRPr="00F04F17">
        <w:rPr>
          <w:rFonts w:ascii="Arial" w:hAnsi="Arial" w:cs="Arial"/>
          <w:sz w:val="22"/>
          <w:szCs w:val="22"/>
        </w:rPr>
        <w:t>requir</w:t>
      </w:r>
      <w:r w:rsidR="008120F6" w:rsidRPr="00F04F17">
        <w:rPr>
          <w:rFonts w:ascii="Arial" w:hAnsi="Arial" w:cs="Arial"/>
          <w:sz w:val="22"/>
          <w:szCs w:val="22"/>
        </w:rPr>
        <w:t>e</w:t>
      </w:r>
      <w:r w:rsidR="009C1910" w:rsidRPr="00F04F17">
        <w:rPr>
          <w:rFonts w:ascii="Arial" w:hAnsi="Arial" w:cs="Arial"/>
          <w:sz w:val="22"/>
          <w:szCs w:val="22"/>
        </w:rPr>
        <w:t xml:space="preserve"> transaction reporting from brokers and listed entities for shares listed on markets </w:t>
      </w:r>
      <w:r w:rsidR="00AA33B7" w:rsidRPr="00F04F17">
        <w:rPr>
          <w:rFonts w:ascii="Arial" w:hAnsi="Arial" w:cs="Arial"/>
          <w:sz w:val="22"/>
          <w:szCs w:val="22"/>
        </w:rPr>
        <w:t xml:space="preserve">that are </w:t>
      </w:r>
      <w:r w:rsidR="009C1910" w:rsidRPr="00F04F17">
        <w:rPr>
          <w:rFonts w:ascii="Arial" w:hAnsi="Arial" w:cs="Arial"/>
          <w:sz w:val="22"/>
          <w:szCs w:val="22"/>
        </w:rPr>
        <w:t>not monitored by the market integrity rules</w:t>
      </w:r>
      <w:r w:rsidR="008120F6" w:rsidRPr="00F04F17">
        <w:rPr>
          <w:rFonts w:ascii="Arial" w:hAnsi="Arial" w:cs="Arial"/>
          <w:sz w:val="22"/>
          <w:szCs w:val="22"/>
        </w:rPr>
        <w:t>.</w:t>
      </w:r>
    </w:p>
    <w:p w14:paraId="5CB5FA2F" w14:textId="083EBFBD" w:rsidR="00BF12D2" w:rsidRPr="00F04F17" w:rsidRDefault="00131D6F"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To reduce the administrative and compliance burden on small unit trusts and trustees of other trusts</w:t>
      </w:r>
      <w:r w:rsidR="00AA33B7" w:rsidRPr="00F04F17">
        <w:rPr>
          <w:rFonts w:ascii="Arial" w:hAnsi="Arial" w:cs="Arial"/>
          <w:sz w:val="22"/>
          <w:szCs w:val="22"/>
        </w:rPr>
        <w:t>,</w:t>
      </w:r>
      <w:r w:rsidRPr="00F04F17">
        <w:rPr>
          <w:rFonts w:ascii="Arial" w:hAnsi="Arial" w:cs="Arial"/>
          <w:sz w:val="22"/>
          <w:szCs w:val="22"/>
        </w:rPr>
        <w:t xml:space="preserve"> the instrument exempts certain trustees from having to prepare and lodge reports to the ATO.</w:t>
      </w:r>
    </w:p>
    <w:p w14:paraId="658F0A0D" w14:textId="319087D7" w:rsidR="00F04F17" w:rsidRPr="00F04F17" w:rsidRDefault="00DD10A8"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For example, i</w:t>
      </w:r>
      <w:r w:rsidR="00131D6F" w:rsidRPr="00F04F17">
        <w:rPr>
          <w:rFonts w:ascii="Arial" w:hAnsi="Arial" w:cs="Arial"/>
          <w:sz w:val="22"/>
          <w:szCs w:val="22"/>
        </w:rPr>
        <w:t xml:space="preserve">n recognising that the benefit of very small entities providing </w:t>
      </w:r>
      <w:r w:rsidR="00131D6F" w:rsidRPr="009F788F">
        <w:rPr>
          <w:rFonts w:ascii="Arial" w:hAnsi="Arial" w:cs="Arial"/>
          <w:sz w:val="22"/>
          <w:szCs w:val="22"/>
        </w:rPr>
        <w:t>third party</w:t>
      </w:r>
      <w:r w:rsidR="00131D6F" w:rsidRPr="00F04F17">
        <w:rPr>
          <w:rFonts w:ascii="Arial" w:hAnsi="Arial" w:cs="Arial"/>
          <w:sz w:val="22"/>
          <w:szCs w:val="22"/>
        </w:rPr>
        <w:t xml:space="preserve"> data reports is frequently outweighed by the cost, the instrument provides exemptions for small unit trusts with </w:t>
      </w:r>
      <w:r w:rsidR="00C12984" w:rsidRPr="00F04F17">
        <w:rPr>
          <w:rFonts w:ascii="Arial" w:hAnsi="Arial" w:cs="Arial"/>
          <w:sz w:val="22"/>
          <w:szCs w:val="22"/>
        </w:rPr>
        <w:t>fewer</w:t>
      </w:r>
      <w:r w:rsidR="00131D6F" w:rsidRPr="00F04F17">
        <w:rPr>
          <w:rFonts w:ascii="Arial" w:hAnsi="Arial" w:cs="Arial"/>
          <w:sz w:val="22"/>
          <w:szCs w:val="22"/>
        </w:rPr>
        <w:t xml:space="preserve"> than 10 investors and less than $5 million in assets. This is consistent with the </w:t>
      </w:r>
      <w:r w:rsidR="00AA33B7" w:rsidRPr="00F04F17">
        <w:rPr>
          <w:rFonts w:ascii="Arial" w:hAnsi="Arial" w:cs="Arial"/>
          <w:sz w:val="22"/>
          <w:szCs w:val="22"/>
        </w:rPr>
        <w:t xml:space="preserve">reporting requirements for </w:t>
      </w:r>
      <w:r w:rsidR="00131D6F" w:rsidRPr="00F04F17">
        <w:rPr>
          <w:rFonts w:ascii="Arial" w:hAnsi="Arial" w:cs="Arial"/>
          <w:sz w:val="22"/>
          <w:szCs w:val="22"/>
        </w:rPr>
        <w:t>Annual Investment Income Report</w:t>
      </w:r>
      <w:r w:rsidR="00AA33B7" w:rsidRPr="00F04F17">
        <w:rPr>
          <w:rFonts w:ascii="Arial" w:hAnsi="Arial" w:cs="Arial"/>
          <w:sz w:val="22"/>
          <w:szCs w:val="22"/>
        </w:rPr>
        <w:t>s</w:t>
      </w:r>
      <w:r w:rsidR="00131D6F" w:rsidRPr="00F04F17">
        <w:rPr>
          <w:rFonts w:ascii="Arial" w:hAnsi="Arial" w:cs="Arial"/>
          <w:sz w:val="22"/>
          <w:szCs w:val="22"/>
        </w:rPr>
        <w:t xml:space="preserve"> </w:t>
      </w:r>
      <w:r w:rsidR="00AA33B7" w:rsidRPr="00F04F17">
        <w:rPr>
          <w:rFonts w:ascii="Arial" w:hAnsi="Arial" w:cs="Arial"/>
          <w:sz w:val="22"/>
          <w:szCs w:val="22"/>
        </w:rPr>
        <w:t>under Division 393 of Schedule 1 to the</w:t>
      </w:r>
      <w:r w:rsidR="0062389A">
        <w:rPr>
          <w:rFonts w:ascii="Arial" w:hAnsi="Arial" w:cs="Arial"/>
          <w:sz w:val="22"/>
          <w:szCs w:val="22"/>
        </w:rPr>
        <w:t> </w:t>
      </w:r>
      <w:r w:rsidR="00AA33B7" w:rsidRPr="00F04F17">
        <w:rPr>
          <w:rFonts w:ascii="Arial" w:hAnsi="Arial" w:cs="Arial"/>
          <w:sz w:val="22"/>
          <w:szCs w:val="22"/>
        </w:rPr>
        <w:t>TAA</w:t>
      </w:r>
      <w:r w:rsidR="00064BAE" w:rsidRPr="00F04F17">
        <w:rPr>
          <w:rFonts w:ascii="Arial" w:hAnsi="Arial" w:cs="Arial"/>
          <w:sz w:val="22"/>
          <w:szCs w:val="22"/>
        </w:rPr>
        <w:t>,</w:t>
      </w:r>
      <w:r w:rsidR="00AA33B7" w:rsidRPr="00F04F17">
        <w:rPr>
          <w:rFonts w:ascii="Arial" w:hAnsi="Arial" w:cs="Arial"/>
          <w:sz w:val="22"/>
          <w:szCs w:val="22"/>
        </w:rPr>
        <w:t xml:space="preserve"> </w:t>
      </w:r>
      <w:r w:rsidR="00131D6F" w:rsidRPr="00F04F17">
        <w:rPr>
          <w:rFonts w:ascii="Arial" w:hAnsi="Arial" w:cs="Arial"/>
          <w:sz w:val="22"/>
          <w:szCs w:val="22"/>
        </w:rPr>
        <w:t xml:space="preserve">which provides an </w:t>
      </w:r>
      <w:r w:rsidR="00B55BBC" w:rsidRPr="00F04F17">
        <w:rPr>
          <w:rFonts w:ascii="Arial" w:hAnsi="Arial" w:cs="Arial"/>
          <w:sz w:val="22"/>
          <w:szCs w:val="22"/>
        </w:rPr>
        <w:t>income-based</w:t>
      </w:r>
      <w:r w:rsidR="00131D6F" w:rsidRPr="00F04F17">
        <w:rPr>
          <w:rFonts w:ascii="Arial" w:hAnsi="Arial" w:cs="Arial"/>
          <w:sz w:val="22"/>
          <w:szCs w:val="22"/>
        </w:rPr>
        <w:t xml:space="preserve"> exemption for unit trusts</w:t>
      </w:r>
      <w:r w:rsidR="001546DE" w:rsidRPr="00F04F17">
        <w:rPr>
          <w:rFonts w:ascii="Arial" w:hAnsi="Arial" w:cs="Arial"/>
          <w:sz w:val="22"/>
          <w:szCs w:val="22"/>
        </w:rPr>
        <w:t>.</w:t>
      </w:r>
    </w:p>
    <w:p w14:paraId="17A63532" w14:textId="29A2CC94" w:rsidR="002B6D8F" w:rsidRPr="00F04F17" w:rsidRDefault="00131D6F"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sz w:val="22"/>
          <w:szCs w:val="22"/>
        </w:rPr>
        <w:t>There is also an exemption</w:t>
      </w:r>
      <w:r w:rsidR="002B6D8F" w:rsidRPr="00F04F17">
        <w:rPr>
          <w:rFonts w:ascii="Arial" w:hAnsi="Arial" w:cs="Arial"/>
          <w:sz w:val="22"/>
          <w:szCs w:val="22"/>
        </w:rPr>
        <w:t xml:space="preserve"> for:</w:t>
      </w:r>
    </w:p>
    <w:p w14:paraId="5E537F3A" w14:textId="10824B5B" w:rsidR="002B6D8F" w:rsidRPr="00F04F17" w:rsidRDefault="00131D6F" w:rsidP="00F04F17">
      <w:pPr>
        <w:numPr>
          <w:ilvl w:val="0"/>
          <w:numId w:val="49"/>
        </w:numPr>
        <w:spacing w:after="120"/>
        <w:ind w:left="1418" w:hanging="709"/>
        <w:rPr>
          <w:rFonts w:ascii="Arial" w:hAnsi="Arial" w:cs="Arial"/>
        </w:rPr>
      </w:pPr>
      <w:r w:rsidRPr="00F04F17">
        <w:rPr>
          <w:rFonts w:ascii="Arial" w:hAnsi="Arial" w:cs="Arial"/>
          <w:sz w:val="22"/>
          <w:szCs w:val="22"/>
        </w:rPr>
        <w:t>trustees, other than trustees of a unit trust, if they are not required to hold an Australian Financial Services Licence and hold total assets of less than $5 million in all trusts of which they are the trustee</w:t>
      </w:r>
      <w:r w:rsidR="001546DE" w:rsidRPr="00F04F17">
        <w:rPr>
          <w:rFonts w:ascii="Arial" w:hAnsi="Arial" w:cs="Arial"/>
          <w:sz w:val="22"/>
          <w:szCs w:val="22"/>
        </w:rPr>
        <w:t>,</w:t>
      </w:r>
    </w:p>
    <w:p w14:paraId="0F8EEBE5" w14:textId="700BFA06" w:rsidR="001546DE" w:rsidRPr="00F04F17" w:rsidRDefault="001546DE" w:rsidP="00F04F17">
      <w:pPr>
        <w:numPr>
          <w:ilvl w:val="0"/>
          <w:numId w:val="49"/>
        </w:numPr>
        <w:spacing w:after="120"/>
        <w:ind w:left="1418" w:hanging="709"/>
        <w:rPr>
          <w:rFonts w:ascii="Arial" w:hAnsi="Arial" w:cs="Arial"/>
          <w:sz w:val="22"/>
          <w:szCs w:val="22"/>
        </w:rPr>
      </w:pPr>
      <w:r w:rsidRPr="00F04F17">
        <w:rPr>
          <w:rFonts w:ascii="Arial" w:hAnsi="Arial" w:cs="Arial"/>
          <w:sz w:val="22"/>
          <w:szCs w:val="22"/>
        </w:rPr>
        <w:t>trustees of a trust (other than a unit trust) where the trustee can reasonably expect that some other entity will report the transaction</w:t>
      </w:r>
      <w:r w:rsidR="00064BAE" w:rsidRPr="00F04F17">
        <w:rPr>
          <w:rFonts w:ascii="Arial" w:hAnsi="Arial" w:cs="Arial"/>
          <w:sz w:val="22"/>
          <w:szCs w:val="22"/>
        </w:rPr>
        <w:t xml:space="preserve"> (f</w:t>
      </w:r>
      <w:r w:rsidRPr="00F04F17">
        <w:rPr>
          <w:rFonts w:ascii="Arial" w:hAnsi="Arial" w:cs="Arial"/>
          <w:sz w:val="22"/>
          <w:szCs w:val="22"/>
        </w:rPr>
        <w:t>or example under a margin lending scheme</w:t>
      </w:r>
      <w:r w:rsidR="00064BAE" w:rsidRPr="00F04F17">
        <w:rPr>
          <w:rFonts w:ascii="Arial" w:hAnsi="Arial" w:cs="Arial"/>
          <w:sz w:val="22"/>
          <w:szCs w:val="22"/>
        </w:rPr>
        <w:t>)</w:t>
      </w:r>
      <w:r w:rsidRPr="00F04F17">
        <w:rPr>
          <w:rFonts w:ascii="Arial" w:hAnsi="Arial" w:cs="Arial"/>
          <w:sz w:val="22"/>
          <w:szCs w:val="22"/>
        </w:rPr>
        <w:t>, and</w:t>
      </w:r>
    </w:p>
    <w:p w14:paraId="4444B986" w14:textId="52D0012E" w:rsidR="00A53733" w:rsidRPr="00F04F17" w:rsidRDefault="002B6D8F" w:rsidP="00F04F17">
      <w:pPr>
        <w:numPr>
          <w:ilvl w:val="0"/>
          <w:numId w:val="49"/>
        </w:numPr>
        <w:spacing w:after="120"/>
        <w:ind w:left="1418" w:hanging="709"/>
        <w:rPr>
          <w:rFonts w:ascii="Arial" w:hAnsi="Arial" w:cs="Arial"/>
        </w:rPr>
      </w:pPr>
      <w:r w:rsidRPr="00F04F17">
        <w:rPr>
          <w:rFonts w:ascii="Arial" w:hAnsi="Arial" w:cs="Arial"/>
          <w:sz w:val="22"/>
          <w:szCs w:val="22"/>
        </w:rPr>
        <w:t>entities to which th</w:t>
      </w:r>
      <w:r w:rsidR="007972C4" w:rsidRPr="00F04F17">
        <w:rPr>
          <w:rFonts w:ascii="Arial" w:hAnsi="Arial" w:cs="Arial"/>
          <w:sz w:val="22"/>
          <w:szCs w:val="22"/>
        </w:rPr>
        <w:t>e</w:t>
      </w:r>
      <w:r w:rsidRPr="00F04F17">
        <w:rPr>
          <w:rFonts w:ascii="Arial" w:hAnsi="Arial" w:cs="Arial"/>
          <w:sz w:val="22"/>
          <w:szCs w:val="22"/>
        </w:rPr>
        <w:t xml:space="preserve"> instrument applies under table items 6, 7 or 8 in s</w:t>
      </w:r>
      <w:r w:rsidR="00AB1455" w:rsidRPr="00F04F17">
        <w:rPr>
          <w:rFonts w:ascii="Arial" w:hAnsi="Arial" w:cs="Arial"/>
          <w:sz w:val="22"/>
          <w:szCs w:val="22"/>
        </w:rPr>
        <w:t>ection </w:t>
      </w:r>
      <w:r w:rsidRPr="00F04F17">
        <w:rPr>
          <w:rFonts w:ascii="Arial" w:hAnsi="Arial" w:cs="Arial"/>
          <w:sz w:val="22"/>
          <w:szCs w:val="22"/>
        </w:rPr>
        <w:t xml:space="preserve">396-55 of Schedule 1 to the TAA in relation to a transaction where </w:t>
      </w:r>
      <w:r w:rsidR="004E4798" w:rsidRPr="00F04F17">
        <w:rPr>
          <w:rFonts w:ascii="Arial" w:hAnsi="Arial" w:cs="Arial"/>
          <w:sz w:val="22"/>
          <w:szCs w:val="22"/>
        </w:rPr>
        <w:t>an</w:t>
      </w:r>
      <w:r w:rsidRPr="00F04F17">
        <w:rPr>
          <w:rFonts w:ascii="Arial" w:hAnsi="Arial" w:cs="Arial"/>
          <w:sz w:val="22"/>
          <w:szCs w:val="22"/>
        </w:rPr>
        <w:t xml:space="preserve"> entity is required to provide information to the Commissioner</w:t>
      </w:r>
      <w:r w:rsidR="00FD2CBA" w:rsidRPr="00F04F17">
        <w:rPr>
          <w:rFonts w:ascii="Arial" w:hAnsi="Arial" w:cs="Arial"/>
          <w:sz w:val="22"/>
          <w:szCs w:val="22"/>
        </w:rPr>
        <w:t xml:space="preserve"> in relation to the transaction</w:t>
      </w:r>
      <w:r w:rsidRPr="00F04F17">
        <w:rPr>
          <w:rFonts w:ascii="Arial" w:hAnsi="Arial" w:cs="Arial"/>
          <w:sz w:val="22"/>
          <w:szCs w:val="22"/>
        </w:rPr>
        <w:t xml:space="preserve"> </w:t>
      </w:r>
      <w:r w:rsidR="009C5E17" w:rsidRPr="00F04F17">
        <w:rPr>
          <w:rFonts w:ascii="Arial" w:hAnsi="Arial" w:cs="Arial"/>
          <w:sz w:val="22"/>
          <w:szCs w:val="22"/>
        </w:rPr>
        <w:t>under</w:t>
      </w:r>
      <w:r w:rsidRPr="00F04F17">
        <w:rPr>
          <w:rFonts w:ascii="Arial" w:hAnsi="Arial" w:cs="Arial"/>
          <w:sz w:val="22"/>
          <w:szCs w:val="22"/>
        </w:rPr>
        <w:t xml:space="preserve"> Division 392 of Schedule 1 to the TAA (which is about employee share schemes).</w:t>
      </w:r>
    </w:p>
    <w:p w14:paraId="29DC8096" w14:textId="0DFECF49" w:rsidR="001F7DDE" w:rsidRPr="00F04F17" w:rsidRDefault="001F7DDE"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There is limited value in requiring the off-market transactions that relate to foreign-listed shares to be reported as </w:t>
      </w:r>
      <w:proofErr w:type="gramStart"/>
      <w:r w:rsidRPr="00F04F17">
        <w:rPr>
          <w:rFonts w:ascii="Arial" w:hAnsi="Arial" w:cs="Arial"/>
          <w:color w:val="000000"/>
          <w:sz w:val="22"/>
          <w:szCs w:val="22"/>
        </w:rPr>
        <w:t>the majority of</w:t>
      </w:r>
      <w:proofErr w:type="gramEnd"/>
      <w:r w:rsidRPr="00F04F17">
        <w:rPr>
          <w:rFonts w:ascii="Arial" w:hAnsi="Arial" w:cs="Arial"/>
          <w:color w:val="000000"/>
          <w:sz w:val="22"/>
          <w:szCs w:val="22"/>
        </w:rPr>
        <w:t xml:space="preserve"> stock movements occur on-market. Similarly, requiring on-market transactions that relate to foreign-listed shares will not be captured by ASIC and the Commissioner will be unable to form a complete picture of share movements.</w:t>
      </w:r>
    </w:p>
    <w:p w14:paraId="0B3DB3D1" w14:textId="7175F331" w:rsidR="001F7DDE" w:rsidRPr="00F04F17" w:rsidRDefault="001F7DDE" w:rsidP="00F04F17">
      <w:pPr>
        <w:spacing w:after="120"/>
        <w:ind w:left="709"/>
        <w:rPr>
          <w:rFonts w:ascii="Arial" w:hAnsi="Arial" w:cs="Arial"/>
          <w:b/>
          <w:bCs/>
          <w:color w:val="000000"/>
          <w:sz w:val="20"/>
        </w:rPr>
      </w:pPr>
      <w:r w:rsidRPr="00F04F17">
        <w:rPr>
          <w:rFonts w:ascii="Arial" w:hAnsi="Arial" w:cs="Arial"/>
          <w:b/>
          <w:bCs/>
          <w:color w:val="000000"/>
          <w:sz w:val="20"/>
        </w:rPr>
        <w:t>Example 1.</w:t>
      </w:r>
      <w:r w:rsidR="004E554C">
        <w:rPr>
          <w:rFonts w:ascii="Arial" w:hAnsi="Arial" w:cs="Arial"/>
          <w:b/>
          <w:bCs/>
          <w:color w:val="000000"/>
          <w:sz w:val="20"/>
        </w:rPr>
        <w:t>1</w:t>
      </w:r>
    </w:p>
    <w:p w14:paraId="59280AAD" w14:textId="00F95013" w:rsidR="001F7DDE" w:rsidRPr="00F04F17" w:rsidRDefault="001F7DDE" w:rsidP="00F04F17">
      <w:pPr>
        <w:spacing w:after="120"/>
        <w:ind w:left="1418"/>
        <w:rPr>
          <w:rFonts w:ascii="Arial" w:hAnsi="Arial" w:cs="Arial"/>
          <w:color w:val="000000"/>
          <w:sz w:val="20"/>
        </w:rPr>
      </w:pP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is a biomed company which operates in Australia and</w:t>
      </w:r>
      <w:r w:rsidRPr="009F788F">
        <w:rPr>
          <w:rFonts w:ascii="Arial" w:hAnsi="Arial" w:cs="Arial"/>
          <w:color w:val="000000"/>
          <w:sz w:val="20"/>
        </w:rPr>
        <w:t xml:space="preserve"> New</w:t>
      </w:r>
      <w:r w:rsidR="0062389A">
        <w:rPr>
          <w:rFonts w:ascii="Arial" w:hAnsi="Arial" w:cs="Arial"/>
          <w:color w:val="000000"/>
          <w:sz w:val="20"/>
        </w:rPr>
        <w:t xml:space="preserve"> </w:t>
      </w:r>
      <w:r w:rsidRPr="00F04F17">
        <w:rPr>
          <w:rFonts w:ascii="Arial" w:hAnsi="Arial" w:cs="Arial"/>
          <w:color w:val="000000"/>
          <w:sz w:val="20"/>
        </w:rPr>
        <w:t xml:space="preserve">Zealand. </w:t>
      </w: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has some</w:t>
      </w:r>
      <w:r w:rsidR="00CF1655" w:rsidRPr="00F04F17">
        <w:rPr>
          <w:rFonts w:ascii="Arial" w:hAnsi="Arial" w:cs="Arial"/>
          <w:color w:val="000000"/>
          <w:sz w:val="20"/>
        </w:rPr>
        <w:t xml:space="preserve"> of its</w:t>
      </w:r>
      <w:r w:rsidRPr="00F04F17">
        <w:rPr>
          <w:rFonts w:ascii="Arial" w:hAnsi="Arial" w:cs="Arial"/>
          <w:color w:val="000000"/>
          <w:sz w:val="20"/>
        </w:rPr>
        <w:t xml:space="preserve"> shares listed for quotation on the </w:t>
      </w:r>
      <w:r w:rsidRPr="009F788F">
        <w:rPr>
          <w:rFonts w:ascii="Arial" w:hAnsi="Arial" w:cs="Arial"/>
          <w:color w:val="000000"/>
          <w:sz w:val="20"/>
        </w:rPr>
        <w:t>Australian Stock Exchange</w:t>
      </w:r>
      <w:r w:rsidRPr="00F04F17">
        <w:rPr>
          <w:rFonts w:ascii="Arial" w:hAnsi="Arial" w:cs="Arial"/>
          <w:color w:val="000000"/>
          <w:sz w:val="20"/>
        </w:rPr>
        <w:t xml:space="preserve"> (ASX) and </w:t>
      </w:r>
      <w:r w:rsidR="00CF1655" w:rsidRPr="00F04F17">
        <w:rPr>
          <w:rFonts w:ascii="Arial" w:hAnsi="Arial" w:cs="Arial"/>
          <w:color w:val="000000"/>
          <w:sz w:val="20"/>
        </w:rPr>
        <w:t xml:space="preserve">the rest of its </w:t>
      </w:r>
      <w:r w:rsidRPr="00F04F17">
        <w:rPr>
          <w:rFonts w:ascii="Arial" w:hAnsi="Arial" w:cs="Arial"/>
          <w:color w:val="000000"/>
          <w:sz w:val="20"/>
        </w:rPr>
        <w:t>shares listed for quotation on the</w:t>
      </w:r>
      <w:r w:rsidRPr="009F788F">
        <w:rPr>
          <w:rFonts w:ascii="Arial" w:hAnsi="Arial" w:cs="Arial"/>
          <w:color w:val="000000"/>
          <w:sz w:val="20"/>
        </w:rPr>
        <w:t xml:space="preserve"> New </w:t>
      </w:r>
      <w:r w:rsidRPr="00F04F17">
        <w:rPr>
          <w:rFonts w:ascii="Arial" w:hAnsi="Arial" w:cs="Arial"/>
          <w:color w:val="000000"/>
          <w:sz w:val="20"/>
        </w:rPr>
        <w:t>Zealand Stock Exchange (NZX).</w:t>
      </w:r>
    </w:p>
    <w:p w14:paraId="702E8010" w14:textId="7C80398C" w:rsidR="001F7DDE" w:rsidRPr="00F04F17" w:rsidRDefault="001F7DDE" w:rsidP="00F04F17">
      <w:pPr>
        <w:spacing w:after="120"/>
        <w:ind w:left="1418"/>
        <w:rPr>
          <w:rFonts w:ascii="Arial" w:hAnsi="Arial" w:cs="Arial"/>
          <w:color w:val="000000"/>
          <w:sz w:val="20"/>
        </w:rPr>
      </w:pP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is required to report any transactions to the Commissioner which would not be required to be reported to ASIC under item 6 of section 396-55 of Schedule 1 </w:t>
      </w:r>
      <w:r w:rsidR="0062389A">
        <w:rPr>
          <w:rFonts w:ascii="Arial" w:hAnsi="Arial" w:cs="Arial"/>
          <w:color w:val="000000"/>
          <w:sz w:val="20"/>
        </w:rPr>
        <w:t xml:space="preserve">to the </w:t>
      </w:r>
      <w:r w:rsidRPr="00F04F17">
        <w:rPr>
          <w:rFonts w:ascii="Arial" w:hAnsi="Arial" w:cs="Arial"/>
          <w:color w:val="000000"/>
          <w:sz w:val="20"/>
        </w:rPr>
        <w:t xml:space="preserve">TAA. The test under the legislation is applied at the </w:t>
      </w:r>
      <w:r w:rsidRPr="00F04F17">
        <w:rPr>
          <w:rFonts w:ascii="Arial" w:hAnsi="Arial" w:cs="Arial"/>
          <w:color w:val="000000"/>
          <w:sz w:val="20"/>
        </w:rPr>
        <w:lastRenderedPageBreak/>
        <w:t xml:space="preserve">company level, so </w:t>
      </w: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would be required to report all transactions (on or off-market) in relation to the NZX shares (as those transactions are not reported to ASIC under the market integrity rules), as well as any off-market transactions in relation to the ASX shares.</w:t>
      </w:r>
    </w:p>
    <w:p w14:paraId="42F3D143" w14:textId="0AB32D76" w:rsidR="001F7DDE" w:rsidRPr="00F04F17" w:rsidRDefault="001F7DDE" w:rsidP="00F04F17">
      <w:pPr>
        <w:spacing w:after="120"/>
        <w:ind w:left="1418"/>
        <w:rPr>
          <w:rFonts w:ascii="Arial" w:hAnsi="Arial" w:cs="Arial"/>
          <w:color w:val="000000"/>
          <w:sz w:val="20"/>
        </w:rPr>
      </w:pPr>
      <w:r w:rsidRPr="00F04F17">
        <w:rPr>
          <w:rFonts w:ascii="Arial" w:hAnsi="Arial" w:cs="Arial"/>
          <w:color w:val="000000"/>
          <w:sz w:val="20"/>
        </w:rPr>
        <w:t>The NZX is not required to report on-market transactions in relation to the NZX shares data to the ATO.</w:t>
      </w:r>
    </w:p>
    <w:p w14:paraId="1EAFBD1A" w14:textId="67E01F27" w:rsidR="001F7DDE" w:rsidRPr="00F04F17" w:rsidRDefault="00F17663" w:rsidP="00F04F17">
      <w:pPr>
        <w:spacing w:after="120"/>
        <w:ind w:left="1418"/>
        <w:rPr>
          <w:rFonts w:ascii="Arial" w:hAnsi="Arial" w:cs="Arial"/>
          <w:color w:val="000000"/>
          <w:sz w:val="20"/>
        </w:rPr>
      </w:pPr>
      <w:r w:rsidRPr="00F04F17">
        <w:rPr>
          <w:rFonts w:ascii="Arial" w:hAnsi="Arial" w:cs="Arial"/>
          <w:color w:val="000000"/>
          <w:sz w:val="20"/>
        </w:rPr>
        <w:t>T</w:t>
      </w:r>
      <w:r w:rsidR="001F7DDE" w:rsidRPr="00F04F17">
        <w:rPr>
          <w:rFonts w:ascii="Arial" w:hAnsi="Arial" w:cs="Arial"/>
          <w:color w:val="000000"/>
          <w:sz w:val="20"/>
        </w:rPr>
        <w:t xml:space="preserve">he legislative instrument exempts </w:t>
      </w:r>
      <w:proofErr w:type="spellStart"/>
      <w:r w:rsidR="001F7DDE" w:rsidRPr="00F04F17">
        <w:rPr>
          <w:rFonts w:ascii="Arial" w:hAnsi="Arial" w:cs="Arial"/>
          <w:color w:val="000000"/>
          <w:sz w:val="20"/>
        </w:rPr>
        <w:t>Narla</w:t>
      </w:r>
      <w:proofErr w:type="spellEnd"/>
      <w:r w:rsidR="001F7DDE" w:rsidRPr="00F04F17">
        <w:rPr>
          <w:rFonts w:ascii="Arial" w:hAnsi="Arial" w:cs="Arial"/>
          <w:color w:val="000000"/>
          <w:sz w:val="20"/>
        </w:rPr>
        <w:t xml:space="preserve"> Ltd. from reporting on-market or off-market transactions to the Commissioner that involve the NZX shares.</w:t>
      </w:r>
      <w:r w:rsidR="0067371B" w:rsidRPr="00F04F17">
        <w:rPr>
          <w:rFonts w:ascii="Arial" w:hAnsi="Arial" w:cs="Arial"/>
          <w:color w:val="000000"/>
          <w:sz w:val="20"/>
        </w:rPr>
        <w:t xml:space="preserve"> </w:t>
      </w:r>
      <w:r w:rsidR="001F7DDE" w:rsidRPr="00F04F17">
        <w:rPr>
          <w:rFonts w:ascii="Arial" w:hAnsi="Arial" w:cs="Arial"/>
          <w:color w:val="000000"/>
          <w:sz w:val="20"/>
        </w:rPr>
        <w:t>As such the NZX share transactions would not need to be reported.</w:t>
      </w:r>
    </w:p>
    <w:p w14:paraId="40E9E54B" w14:textId="54FF9689" w:rsidR="001F7DDE" w:rsidRPr="00F04F17" w:rsidRDefault="001F7DDE" w:rsidP="00F04F17">
      <w:pPr>
        <w:spacing w:after="120"/>
        <w:ind w:left="709"/>
        <w:rPr>
          <w:rFonts w:ascii="Arial" w:hAnsi="Arial" w:cs="Arial"/>
          <w:b/>
          <w:bCs/>
          <w:color w:val="000000"/>
          <w:sz w:val="20"/>
        </w:rPr>
      </w:pPr>
      <w:r w:rsidRPr="00F04F17">
        <w:rPr>
          <w:rFonts w:ascii="Arial" w:hAnsi="Arial" w:cs="Arial"/>
          <w:b/>
          <w:bCs/>
          <w:color w:val="000000"/>
          <w:sz w:val="20"/>
        </w:rPr>
        <w:t>Example 1.</w:t>
      </w:r>
      <w:r w:rsidR="004E554C">
        <w:rPr>
          <w:rFonts w:ascii="Arial" w:hAnsi="Arial" w:cs="Arial"/>
          <w:b/>
          <w:bCs/>
          <w:color w:val="000000"/>
          <w:sz w:val="20"/>
        </w:rPr>
        <w:t>2</w:t>
      </w:r>
    </w:p>
    <w:p w14:paraId="680E4B28" w14:textId="0A2706FE" w:rsidR="001F7DDE" w:rsidRPr="00F04F17" w:rsidRDefault="001F7DDE" w:rsidP="00F04F17">
      <w:pPr>
        <w:spacing w:after="120"/>
        <w:ind w:left="1418"/>
        <w:rPr>
          <w:rFonts w:ascii="Arial" w:hAnsi="Arial" w:cs="Arial"/>
          <w:sz w:val="20"/>
        </w:rPr>
      </w:pPr>
      <w:r w:rsidRPr="00F04F17">
        <w:rPr>
          <w:rFonts w:ascii="Arial" w:hAnsi="Arial" w:cs="Arial"/>
          <w:color w:val="000000"/>
          <w:sz w:val="20"/>
        </w:rPr>
        <w:t xml:space="preserve">Helen </w:t>
      </w:r>
      <w:r w:rsidR="0059601C" w:rsidRPr="00F04F17">
        <w:rPr>
          <w:rFonts w:ascii="Arial" w:hAnsi="Arial" w:cs="Arial"/>
          <w:color w:val="000000"/>
          <w:sz w:val="20"/>
        </w:rPr>
        <w:t>is a</w:t>
      </w:r>
      <w:r w:rsidR="0059601C" w:rsidRPr="009F788F">
        <w:rPr>
          <w:rFonts w:ascii="Arial" w:hAnsi="Arial" w:cs="Arial"/>
          <w:color w:val="000000"/>
          <w:sz w:val="20"/>
        </w:rPr>
        <w:t xml:space="preserve"> New </w:t>
      </w:r>
      <w:r w:rsidR="0059601C" w:rsidRPr="00F04F17">
        <w:rPr>
          <w:rFonts w:ascii="Arial" w:hAnsi="Arial" w:cs="Arial"/>
          <w:color w:val="000000"/>
          <w:sz w:val="20"/>
        </w:rPr>
        <w:t>Zealand resident for taxation purposes</w:t>
      </w:r>
      <w:r w:rsidRPr="00F04F17">
        <w:rPr>
          <w:rFonts w:ascii="Arial" w:hAnsi="Arial" w:cs="Arial"/>
          <w:color w:val="000000"/>
          <w:sz w:val="20"/>
        </w:rPr>
        <w:t xml:space="preserve"> and in January 2021 she purchased 500 shares in </w:t>
      </w: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through a trade on the NZX. The NZX is not required to report the transaction </w:t>
      </w:r>
      <w:r w:rsidRPr="00F04F17">
        <w:rPr>
          <w:rFonts w:ascii="Arial" w:hAnsi="Arial" w:cs="Arial"/>
          <w:sz w:val="20"/>
        </w:rPr>
        <w:t>to be reported to ASIC under the market integrity rules.</w:t>
      </w:r>
    </w:p>
    <w:p w14:paraId="3AC53A00" w14:textId="77777777" w:rsidR="0052655E" w:rsidRPr="00F04F17" w:rsidRDefault="001F7DDE" w:rsidP="00F04F17">
      <w:pPr>
        <w:spacing w:after="120"/>
        <w:ind w:left="1418"/>
        <w:rPr>
          <w:rFonts w:ascii="Arial" w:hAnsi="Arial" w:cs="Arial"/>
          <w:color w:val="000000"/>
          <w:sz w:val="20"/>
        </w:rPr>
      </w:pPr>
      <w:r w:rsidRPr="00F04F17">
        <w:rPr>
          <w:rFonts w:ascii="Arial" w:hAnsi="Arial" w:cs="Arial"/>
          <w:color w:val="000000"/>
          <w:sz w:val="20"/>
        </w:rPr>
        <w:t xml:space="preserve">In April 2021, </w:t>
      </w:r>
      <w:proofErr w:type="spellStart"/>
      <w:r w:rsidRPr="00F04F17">
        <w:rPr>
          <w:rFonts w:ascii="Arial" w:hAnsi="Arial" w:cs="Arial"/>
          <w:color w:val="000000"/>
          <w:sz w:val="20"/>
        </w:rPr>
        <w:t>Narla</w:t>
      </w:r>
      <w:proofErr w:type="spellEnd"/>
      <w:r w:rsidRPr="00F04F17">
        <w:rPr>
          <w:rFonts w:ascii="Arial" w:hAnsi="Arial" w:cs="Arial"/>
          <w:color w:val="000000"/>
          <w:sz w:val="20"/>
        </w:rPr>
        <w:t xml:space="preserve"> Ltd. undertakes an off-market share buyback which Helen participates in to sell her 500 NZX shares.</w:t>
      </w:r>
    </w:p>
    <w:p w14:paraId="73F459A9" w14:textId="024B0508" w:rsidR="001F7DDE" w:rsidRPr="00F04F17" w:rsidRDefault="00F17663" w:rsidP="00F04F17">
      <w:pPr>
        <w:spacing w:after="120"/>
        <w:ind w:left="1418"/>
        <w:rPr>
          <w:rFonts w:ascii="Arial" w:hAnsi="Arial" w:cs="Arial"/>
          <w:color w:val="000000"/>
          <w:sz w:val="20"/>
        </w:rPr>
      </w:pPr>
      <w:r w:rsidRPr="00F04F17">
        <w:rPr>
          <w:rFonts w:ascii="Arial" w:hAnsi="Arial" w:cs="Arial"/>
          <w:color w:val="000000"/>
          <w:sz w:val="20"/>
        </w:rPr>
        <w:t>S</w:t>
      </w:r>
      <w:r w:rsidR="00064BAE" w:rsidRPr="00F04F17">
        <w:rPr>
          <w:rFonts w:ascii="Arial" w:hAnsi="Arial" w:cs="Arial"/>
          <w:color w:val="000000"/>
          <w:sz w:val="20"/>
        </w:rPr>
        <w:t>ubs</w:t>
      </w:r>
      <w:r w:rsidRPr="00F04F17">
        <w:rPr>
          <w:rFonts w:ascii="Arial" w:hAnsi="Arial" w:cs="Arial"/>
          <w:color w:val="000000"/>
          <w:sz w:val="20"/>
        </w:rPr>
        <w:t>ection 4(6) of</w:t>
      </w:r>
      <w:r w:rsidR="001F7DDE" w:rsidRPr="00F04F17">
        <w:rPr>
          <w:rFonts w:ascii="Arial" w:hAnsi="Arial" w:cs="Arial"/>
          <w:color w:val="000000"/>
          <w:sz w:val="20"/>
        </w:rPr>
        <w:t xml:space="preserve"> the legislative instrument exempts </w:t>
      </w:r>
      <w:proofErr w:type="spellStart"/>
      <w:r w:rsidR="001F7DDE" w:rsidRPr="00F04F17">
        <w:rPr>
          <w:rFonts w:ascii="Arial" w:hAnsi="Arial" w:cs="Arial"/>
          <w:color w:val="000000"/>
          <w:sz w:val="20"/>
        </w:rPr>
        <w:t>Narla</w:t>
      </w:r>
      <w:proofErr w:type="spellEnd"/>
      <w:r w:rsidR="001F7DDE" w:rsidRPr="00F04F17">
        <w:rPr>
          <w:rFonts w:ascii="Arial" w:hAnsi="Arial" w:cs="Arial"/>
          <w:color w:val="000000"/>
          <w:sz w:val="20"/>
        </w:rPr>
        <w:t xml:space="preserve"> Ltd. from reporting the off-market buyback transaction to the Commissioner.</w:t>
      </w:r>
    </w:p>
    <w:p w14:paraId="0020AC59" w14:textId="7412A85A" w:rsidR="001F7DDE" w:rsidRPr="00F04F17" w:rsidRDefault="001F7DDE" w:rsidP="00F04F17">
      <w:pPr>
        <w:numPr>
          <w:ilvl w:val="0"/>
          <w:numId w:val="16"/>
        </w:numPr>
        <w:tabs>
          <w:tab w:val="clear" w:pos="720"/>
        </w:tabs>
        <w:spacing w:after="120"/>
        <w:ind w:left="709" w:hanging="709"/>
        <w:rPr>
          <w:rFonts w:ascii="Arial" w:hAnsi="Arial" w:cs="Arial"/>
          <w:sz w:val="22"/>
          <w:szCs w:val="22"/>
        </w:rPr>
      </w:pPr>
      <w:r w:rsidRPr="00F04F17">
        <w:rPr>
          <w:rFonts w:ascii="Arial" w:hAnsi="Arial" w:cs="Arial"/>
          <w:color w:val="000000"/>
          <w:sz w:val="22"/>
          <w:szCs w:val="22"/>
        </w:rPr>
        <w:t>The exemption will also apply to companies which have some shares listed for quotation on an Australian financial market and other shares which are not listed for quotation on any financial market.</w:t>
      </w:r>
      <w:r w:rsidR="0067371B" w:rsidRPr="00F04F17">
        <w:rPr>
          <w:rFonts w:ascii="Arial" w:hAnsi="Arial" w:cs="Arial"/>
          <w:color w:val="000000"/>
          <w:sz w:val="22"/>
          <w:szCs w:val="22"/>
        </w:rPr>
        <w:t xml:space="preserve"> </w:t>
      </w:r>
      <w:r w:rsidRPr="00F04F17">
        <w:rPr>
          <w:rFonts w:ascii="Arial" w:hAnsi="Arial" w:cs="Arial"/>
          <w:color w:val="000000"/>
          <w:sz w:val="22"/>
          <w:szCs w:val="22"/>
        </w:rPr>
        <w:t>The</w:t>
      </w:r>
      <w:r w:rsidRPr="009F788F">
        <w:rPr>
          <w:rFonts w:ascii="Arial" w:hAnsi="Arial" w:cs="Arial"/>
          <w:color w:val="000000"/>
          <w:sz w:val="22"/>
          <w:szCs w:val="22"/>
        </w:rPr>
        <w:t xml:space="preserve"> new </w:t>
      </w:r>
      <w:r w:rsidRPr="00F04F17">
        <w:rPr>
          <w:rFonts w:ascii="Arial" w:hAnsi="Arial" w:cs="Arial"/>
          <w:color w:val="000000"/>
          <w:sz w:val="22"/>
          <w:szCs w:val="22"/>
        </w:rPr>
        <w:t xml:space="preserve">exemption in </w:t>
      </w:r>
      <w:r w:rsidR="00F17663" w:rsidRPr="00F04F17">
        <w:rPr>
          <w:rFonts w:ascii="Arial" w:hAnsi="Arial" w:cs="Arial"/>
          <w:color w:val="000000"/>
          <w:sz w:val="22"/>
          <w:szCs w:val="22"/>
        </w:rPr>
        <w:t>s</w:t>
      </w:r>
      <w:r w:rsidR="00064BAE" w:rsidRPr="00F04F17">
        <w:rPr>
          <w:rFonts w:ascii="Arial" w:hAnsi="Arial" w:cs="Arial"/>
          <w:color w:val="000000"/>
          <w:sz w:val="22"/>
          <w:szCs w:val="22"/>
        </w:rPr>
        <w:t>ubs</w:t>
      </w:r>
      <w:r w:rsidR="00F17663" w:rsidRPr="00F04F17">
        <w:rPr>
          <w:rFonts w:ascii="Arial" w:hAnsi="Arial" w:cs="Arial"/>
          <w:color w:val="000000"/>
          <w:sz w:val="22"/>
          <w:szCs w:val="22"/>
        </w:rPr>
        <w:t>ection 4(6)</w:t>
      </w:r>
      <w:r w:rsidR="001A3690" w:rsidRPr="00F04F17">
        <w:rPr>
          <w:rFonts w:ascii="Arial" w:hAnsi="Arial" w:cs="Arial"/>
          <w:color w:val="000000"/>
          <w:sz w:val="22"/>
          <w:szCs w:val="22"/>
        </w:rPr>
        <w:t xml:space="preserve"> </w:t>
      </w:r>
      <w:r w:rsidRPr="00F04F17">
        <w:rPr>
          <w:rFonts w:ascii="Arial" w:hAnsi="Arial" w:cs="Arial"/>
          <w:color w:val="000000"/>
          <w:sz w:val="22"/>
          <w:szCs w:val="22"/>
        </w:rPr>
        <w:t>also makes clear that transactions in the unlisted shares do not need to be reported to the Commissioner.</w:t>
      </w:r>
    </w:p>
    <w:p w14:paraId="008080DE" w14:textId="6C3EE9CC" w:rsidR="001F7DDE" w:rsidRPr="00F04F17" w:rsidRDefault="001F7DDE" w:rsidP="00F04F17">
      <w:pPr>
        <w:keepNext/>
        <w:spacing w:after="120"/>
        <w:ind w:left="709"/>
        <w:rPr>
          <w:rFonts w:ascii="Arial" w:hAnsi="Arial" w:cs="Arial"/>
          <w:b/>
          <w:bCs/>
          <w:color w:val="000000"/>
          <w:sz w:val="20"/>
        </w:rPr>
      </w:pPr>
      <w:r w:rsidRPr="00F04F17">
        <w:rPr>
          <w:rFonts w:ascii="Arial" w:hAnsi="Arial" w:cs="Arial"/>
          <w:b/>
          <w:bCs/>
          <w:color w:val="000000"/>
          <w:sz w:val="20"/>
        </w:rPr>
        <w:t>Example 1.</w:t>
      </w:r>
      <w:r w:rsidR="004E554C">
        <w:rPr>
          <w:rFonts w:ascii="Arial" w:hAnsi="Arial" w:cs="Arial"/>
          <w:b/>
          <w:bCs/>
          <w:color w:val="000000"/>
          <w:sz w:val="20"/>
        </w:rPr>
        <w:t>3</w:t>
      </w:r>
    </w:p>
    <w:p w14:paraId="5A64C630" w14:textId="4AB7AD4E" w:rsidR="0052655E" w:rsidRPr="00F04F17" w:rsidRDefault="001F7DDE" w:rsidP="00F04F17">
      <w:pPr>
        <w:spacing w:after="120"/>
        <w:ind w:left="1418"/>
        <w:rPr>
          <w:rFonts w:ascii="Arial" w:hAnsi="Arial" w:cs="Arial"/>
          <w:color w:val="000000"/>
          <w:sz w:val="20"/>
        </w:rPr>
      </w:pPr>
      <w:r w:rsidRPr="00F04F17">
        <w:rPr>
          <w:rFonts w:ascii="Arial" w:hAnsi="Arial" w:cs="Arial"/>
          <w:color w:val="000000"/>
          <w:sz w:val="20"/>
        </w:rPr>
        <w:t xml:space="preserve">Samir </w:t>
      </w:r>
      <w:r w:rsidR="00382508" w:rsidRPr="00F04F17">
        <w:rPr>
          <w:rFonts w:ascii="Arial" w:hAnsi="Arial" w:cs="Arial"/>
          <w:color w:val="000000"/>
          <w:sz w:val="20"/>
        </w:rPr>
        <w:t>is an Australian resident for taxation purposes</w:t>
      </w:r>
      <w:r w:rsidRPr="00F04F17">
        <w:rPr>
          <w:rFonts w:ascii="Arial" w:hAnsi="Arial" w:cs="Arial"/>
          <w:color w:val="000000"/>
          <w:sz w:val="20"/>
        </w:rPr>
        <w:t xml:space="preserve"> and owns Class B unlisted shares in Big Company Limited (BCL). BCL also has class A ordinary shares which are listed on the ASX. On-market transactions relating to the class A BCL shares are reported to the Commissioner by ASIC and market participants and off-market transactions are reported to the Commissioner by BCL.</w:t>
      </w:r>
    </w:p>
    <w:p w14:paraId="0FD130FE" w14:textId="2581D19C" w:rsidR="001F7DDE" w:rsidRPr="00F04F17" w:rsidRDefault="00F17663" w:rsidP="00F04F17">
      <w:pPr>
        <w:spacing w:after="120"/>
        <w:ind w:left="1418"/>
        <w:rPr>
          <w:rFonts w:ascii="Arial" w:hAnsi="Arial" w:cs="Arial"/>
          <w:sz w:val="20"/>
        </w:rPr>
      </w:pPr>
      <w:r w:rsidRPr="00F04F17">
        <w:rPr>
          <w:rFonts w:ascii="Arial" w:hAnsi="Arial" w:cs="Arial"/>
          <w:color w:val="000000"/>
          <w:sz w:val="20"/>
        </w:rPr>
        <w:t>T</w:t>
      </w:r>
      <w:r w:rsidR="001F7DDE" w:rsidRPr="00F04F17">
        <w:rPr>
          <w:rFonts w:ascii="Arial" w:hAnsi="Arial" w:cs="Arial"/>
          <w:color w:val="000000"/>
          <w:sz w:val="20"/>
        </w:rPr>
        <w:t>he legislative instrument exempts BCL from reporting any transactions relating to the Class B unlisted shares to the Commissioner.</w:t>
      </w:r>
    </w:p>
    <w:p w14:paraId="369F3ADE" w14:textId="77777777" w:rsidR="00A53733" w:rsidRPr="00F04F17" w:rsidRDefault="00A53733" w:rsidP="00F04F17">
      <w:pPr>
        <w:spacing w:after="120"/>
        <w:rPr>
          <w:rFonts w:ascii="Arial" w:hAnsi="Arial" w:cs="Arial"/>
          <w:sz w:val="22"/>
          <w:szCs w:val="22"/>
        </w:rPr>
      </w:pPr>
    </w:p>
    <w:p w14:paraId="15A23895" w14:textId="77777777" w:rsidR="00131D6F" w:rsidRPr="00F04F17" w:rsidRDefault="00131D6F" w:rsidP="00F04F17">
      <w:pPr>
        <w:pStyle w:val="Heading2"/>
        <w:rPr>
          <w:rFonts w:cs="Arial"/>
          <w:szCs w:val="22"/>
        </w:rPr>
      </w:pPr>
      <w:r w:rsidRPr="00F04F17">
        <w:rPr>
          <w:rFonts w:cs="Arial"/>
          <w:szCs w:val="22"/>
        </w:rPr>
        <w:t>Consultation</w:t>
      </w:r>
    </w:p>
    <w:p w14:paraId="1BEE1A85" w14:textId="262A2CCD" w:rsidR="0067371B" w:rsidRPr="00F04F17" w:rsidRDefault="00F027C5"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Subsection 17(1) of the </w:t>
      </w:r>
      <w:r w:rsidRPr="00F04F17">
        <w:rPr>
          <w:rFonts w:ascii="Arial" w:hAnsi="Arial" w:cs="Arial"/>
          <w:i/>
          <w:iCs/>
          <w:color w:val="000000"/>
          <w:sz w:val="22"/>
          <w:szCs w:val="22"/>
        </w:rPr>
        <w:t>Legislation Act 2003</w:t>
      </w:r>
      <w:r w:rsidRPr="00F04F17">
        <w:rPr>
          <w:rFonts w:ascii="Arial" w:hAnsi="Arial" w:cs="Arial"/>
          <w:color w:val="000000"/>
          <w:sz w:val="22"/>
          <w:szCs w:val="22"/>
        </w:rPr>
        <w:t xml:space="preserve"> requires</w:t>
      </w:r>
      <w:r w:rsidR="008763C8" w:rsidRPr="00F04F17">
        <w:rPr>
          <w:rFonts w:ascii="Arial" w:hAnsi="Arial" w:cs="Arial"/>
          <w:color w:val="000000"/>
          <w:sz w:val="22"/>
          <w:szCs w:val="22"/>
        </w:rPr>
        <w:t xml:space="preserve"> a </w:t>
      </w:r>
      <w:r w:rsidRPr="00F04F17">
        <w:rPr>
          <w:rFonts w:ascii="Arial" w:hAnsi="Arial" w:cs="Arial"/>
          <w:color w:val="000000"/>
          <w:sz w:val="22"/>
          <w:szCs w:val="22"/>
        </w:rPr>
        <w:t xml:space="preserve">rule-maker </w:t>
      </w:r>
      <w:r w:rsidR="008763C8" w:rsidRPr="00F04F17">
        <w:rPr>
          <w:rFonts w:ascii="Arial" w:hAnsi="Arial" w:cs="Arial"/>
          <w:color w:val="000000"/>
          <w:sz w:val="22"/>
          <w:szCs w:val="22"/>
        </w:rPr>
        <w:t xml:space="preserve">to be </w:t>
      </w:r>
      <w:r w:rsidRPr="00F04F17">
        <w:rPr>
          <w:rFonts w:ascii="Arial" w:hAnsi="Arial" w:cs="Arial"/>
          <w:color w:val="000000"/>
          <w:sz w:val="22"/>
          <w:szCs w:val="22"/>
        </w:rPr>
        <w:t>satisfied that appropriate</w:t>
      </w:r>
      <w:r w:rsidR="00DD10A8" w:rsidRPr="00F04F17">
        <w:rPr>
          <w:rFonts w:ascii="Arial" w:hAnsi="Arial" w:cs="Arial"/>
          <w:color w:val="000000"/>
          <w:sz w:val="22"/>
          <w:szCs w:val="22"/>
        </w:rPr>
        <w:t xml:space="preserve"> consultation, which is</w:t>
      </w:r>
      <w:r w:rsidRPr="00F04F17">
        <w:rPr>
          <w:rFonts w:ascii="Arial" w:hAnsi="Arial" w:cs="Arial"/>
          <w:color w:val="000000"/>
          <w:sz w:val="22"/>
          <w:szCs w:val="22"/>
        </w:rPr>
        <w:t xml:space="preserve"> reasonably practicable </w:t>
      </w:r>
      <w:r w:rsidR="00DD10A8" w:rsidRPr="00F04F17">
        <w:rPr>
          <w:rFonts w:ascii="Arial" w:hAnsi="Arial" w:cs="Arial"/>
          <w:color w:val="000000"/>
          <w:sz w:val="22"/>
          <w:szCs w:val="22"/>
        </w:rPr>
        <w:t xml:space="preserve">to undertake, </w:t>
      </w:r>
      <w:r w:rsidRPr="00F04F17">
        <w:rPr>
          <w:rFonts w:ascii="Arial" w:hAnsi="Arial" w:cs="Arial"/>
          <w:color w:val="000000"/>
          <w:sz w:val="22"/>
          <w:szCs w:val="22"/>
        </w:rPr>
        <w:t>has been undertaken</w:t>
      </w:r>
      <w:r w:rsidR="008763C8" w:rsidRPr="00F04F17">
        <w:rPr>
          <w:rFonts w:ascii="Arial" w:hAnsi="Arial" w:cs="Arial"/>
          <w:color w:val="000000"/>
          <w:sz w:val="22"/>
          <w:szCs w:val="22"/>
        </w:rPr>
        <w:t xml:space="preserve"> before </w:t>
      </w:r>
      <w:r w:rsidR="004B6F05" w:rsidRPr="00F04F17">
        <w:rPr>
          <w:rFonts w:ascii="Arial" w:hAnsi="Arial" w:cs="Arial"/>
          <w:color w:val="000000"/>
          <w:sz w:val="22"/>
          <w:szCs w:val="22"/>
        </w:rPr>
        <w:t xml:space="preserve">they make </w:t>
      </w:r>
      <w:r w:rsidR="008763C8" w:rsidRPr="00F04F17">
        <w:rPr>
          <w:rFonts w:ascii="Arial" w:hAnsi="Arial" w:cs="Arial"/>
          <w:color w:val="000000"/>
          <w:sz w:val="22"/>
          <w:szCs w:val="22"/>
        </w:rPr>
        <w:t>a legislative instrument</w:t>
      </w:r>
      <w:r w:rsidRPr="00F04F17">
        <w:rPr>
          <w:rFonts w:ascii="Arial" w:hAnsi="Arial" w:cs="Arial"/>
          <w:color w:val="000000"/>
          <w:sz w:val="22"/>
          <w:szCs w:val="22"/>
        </w:rPr>
        <w:t>.</w:t>
      </w:r>
    </w:p>
    <w:p w14:paraId="6FD5CD74" w14:textId="25227DB2" w:rsidR="0067371B" w:rsidRPr="00F04F17" w:rsidRDefault="00F027C5"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For this instrument, broad public consultation was undertaken for a period of four weeks from </w:t>
      </w:r>
      <w:r w:rsidR="00733990" w:rsidRPr="00F04F17">
        <w:rPr>
          <w:rFonts w:ascii="Arial" w:hAnsi="Arial" w:cs="Arial"/>
          <w:color w:val="000000"/>
          <w:sz w:val="22"/>
          <w:szCs w:val="22"/>
        </w:rPr>
        <w:t>14 February 2022</w:t>
      </w:r>
      <w:r w:rsidRPr="00F04F17">
        <w:rPr>
          <w:rFonts w:ascii="Arial" w:hAnsi="Arial" w:cs="Arial"/>
          <w:color w:val="000000"/>
          <w:sz w:val="22"/>
          <w:szCs w:val="22"/>
        </w:rPr>
        <w:t xml:space="preserve"> to </w:t>
      </w:r>
      <w:r w:rsidR="00733990" w:rsidRPr="00F04F17">
        <w:rPr>
          <w:rFonts w:ascii="Arial" w:hAnsi="Arial" w:cs="Arial"/>
          <w:color w:val="000000"/>
          <w:sz w:val="22"/>
          <w:szCs w:val="22"/>
        </w:rPr>
        <w:t>14 March 2022</w:t>
      </w:r>
      <w:r w:rsidRPr="00F04F17">
        <w:rPr>
          <w:rFonts w:ascii="Arial" w:hAnsi="Arial" w:cs="Arial"/>
          <w:color w:val="000000"/>
          <w:sz w:val="22"/>
          <w:szCs w:val="22"/>
        </w:rPr>
        <w:t xml:space="preserve"> inclusive.</w:t>
      </w:r>
    </w:p>
    <w:p w14:paraId="745AE3DB" w14:textId="77777777" w:rsidR="00F04F17" w:rsidRPr="00F04F17" w:rsidRDefault="00F027C5"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The </w:t>
      </w:r>
      <w:r w:rsidRPr="009F788F">
        <w:rPr>
          <w:rFonts w:ascii="Arial" w:hAnsi="Arial" w:cs="Arial"/>
          <w:color w:val="000000"/>
          <w:sz w:val="22"/>
          <w:szCs w:val="22"/>
        </w:rPr>
        <w:t>draft</w:t>
      </w:r>
      <w:r w:rsidRPr="00F04F17">
        <w:rPr>
          <w:rFonts w:ascii="Arial" w:hAnsi="Arial" w:cs="Arial"/>
          <w:color w:val="000000"/>
          <w:sz w:val="22"/>
          <w:szCs w:val="22"/>
        </w:rPr>
        <w:t xml:space="preserve"> instrument and </w:t>
      </w:r>
      <w:r w:rsidRPr="009F788F">
        <w:rPr>
          <w:rFonts w:ascii="Arial" w:hAnsi="Arial" w:cs="Arial"/>
          <w:color w:val="000000"/>
          <w:sz w:val="22"/>
          <w:szCs w:val="22"/>
        </w:rPr>
        <w:t>draft</w:t>
      </w:r>
      <w:r w:rsidRPr="00F04F17">
        <w:rPr>
          <w:rFonts w:ascii="Arial" w:hAnsi="Arial" w:cs="Arial"/>
          <w:color w:val="000000"/>
          <w:sz w:val="22"/>
          <w:szCs w:val="22"/>
        </w:rPr>
        <w:t xml:space="preserve"> explanatory statement were published to the ATO Legal database. Publication was advertised via the ‘What’s new’ page on that website, and via the ‘Open Consultation’ page on ato.go</w:t>
      </w:r>
      <w:r w:rsidRPr="009F788F">
        <w:rPr>
          <w:rFonts w:ascii="Arial" w:hAnsi="Arial" w:cs="Arial"/>
          <w:color w:val="000000"/>
          <w:sz w:val="22"/>
          <w:szCs w:val="22"/>
        </w:rPr>
        <w:t>v.</w:t>
      </w:r>
      <w:r w:rsidRPr="00F04F17">
        <w:rPr>
          <w:rFonts w:ascii="Arial" w:hAnsi="Arial" w:cs="Arial"/>
          <w:color w:val="000000"/>
          <w:sz w:val="22"/>
          <w:szCs w:val="22"/>
        </w:rPr>
        <w:t xml:space="preserve">au. Major tax and </w:t>
      </w:r>
      <w:r w:rsidRPr="009F788F">
        <w:rPr>
          <w:rFonts w:ascii="Arial" w:hAnsi="Arial" w:cs="Arial"/>
          <w:color w:val="000000"/>
          <w:sz w:val="22"/>
          <w:szCs w:val="22"/>
        </w:rPr>
        <w:t>superannuation</w:t>
      </w:r>
      <w:r w:rsidRPr="00F04F17">
        <w:rPr>
          <w:rFonts w:ascii="Arial" w:hAnsi="Arial" w:cs="Arial"/>
          <w:color w:val="000000"/>
          <w:sz w:val="22"/>
          <w:szCs w:val="22"/>
        </w:rPr>
        <w:t xml:space="preserve"> publishers and associations monitor these pages and include the details in the daily and weekly alerts and newsletters to their subscribers and members.</w:t>
      </w:r>
    </w:p>
    <w:p w14:paraId="2B8EA785" w14:textId="3B818F15" w:rsidR="007571D0" w:rsidRPr="00F04F17" w:rsidRDefault="00733990" w:rsidP="00F04F17">
      <w:pPr>
        <w:numPr>
          <w:ilvl w:val="0"/>
          <w:numId w:val="16"/>
        </w:numPr>
        <w:tabs>
          <w:tab w:val="clear" w:pos="720"/>
        </w:tabs>
        <w:spacing w:after="120"/>
        <w:ind w:left="709" w:hanging="709"/>
        <w:rPr>
          <w:rFonts w:ascii="Arial" w:hAnsi="Arial" w:cs="Arial"/>
          <w:color w:val="000000"/>
          <w:sz w:val="22"/>
          <w:szCs w:val="22"/>
        </w:rPr>
      </w:pPr>
      <w:r w:rsidRPr="00F04F17">
        <w:rPr>
          <w:rFonts w:ascii="Arial" w:hAnsi="Arial" w:cs="Arial"/>
          <w:color w:val="000000"/>
          <w:sz w:val="22"/>
          <w:szCs w:val="22"/>
        </w:rPr>
        <w:t xml:space="preserve">Industry engaged with the ATO to clarify current practices for the communication of erroneous transactions, and to better understand the ATO’s concerns with the previous exemption. This interaction improved </w:t>
      </w:r>
      <w:r w:rsidR="004B6F05" w:rsidRPr="00F04F17">
        <w:rPr>
          <w:rFonts w:ascii="Arial" w:hAnsi="Arial" w:cs="Arial"/>
          <w:color w:val="000000"/>
          <w:sz w:val="22"/>
          <w:szCs w:val="22"/>
        </w:rPr>
        <w:t xml:space="preserve">the ATO’s </w:t>
      </w:r>
      <w:r w:rsidRPr="00F04F17">
        <w:rPr>
          <w:rFonts w:ascii="Arial" w:hAnsi="Arial" w:cs="Arial"/>
          <w:color w:val="000000"/>
          <w:sz w:val="22"/>
          <w:szCs w:val="22"/>
        </w:rPr>
        <w:t xml:space="preserve">understanding of these issues and allowed a more specific exemption to be provided. </w:t>
      </w:r>
      <w:r w:rsidR="008763C8" w:rsidRPr="00F04F17">
        <w:rPr>
          <w:rFonts w:ascii="Arial" w:hAnsi="Arial" w:cs="Arial"/>
          <w:color w:val="000000"/>
          <w:sz w:val="22"/>
          <w:szCs w:val="22"/>
        </w:rPr>
        <w:t>As a result of this consultation, t</w:t>
      </w:r>
      <w:r w:rsidRPr="00F04F17">
        <w:rPr>
          <w:rFonts w:ascii="Arial" w:hAnsi="Arial" w:cs="Arial"/>
          <w:color w:val="000000"/>
          <w:sz w:val="22"/>
          <w:szCs w:val="22"/>
        </w:rPr>
        <w:t xml:space="preserve">he legislative instrument now </w:t>
      </w:r>
      <w:r w:rsidRPr="00F04F17">
        <w:rPr>
          <w:rFonts w:ascii="Arial" w:hAnsi="Arial" w:cs="Arial"/>
          <w:color w:val="000000"/>
          <w:sz w:val="22"/>
          <w:szCs w:val="22"/>
        </w:rPr>
        <w:lastRenderedPageBreak/>
        <w:t>includes a permanent exemption for erroneous transactions where the reporters are taking steps to reduce the risk of an unfavourable outcome for the taxpayer.</w:t>
      </w:r>
    </w:p>
    <w:p w14:paraId="3CCD3492" w14:textId="5230558E" w:rsidR="0015780B" w:rsidRPr="00F04F17" w:rsidRDefault="0015780B" w:rsidP="00F04F17">
      <w:pPr>
        <w:autoSpaceDE w:val="0"/>
        <w:autoSpaceDN w:val="0"/>
        <w:adjustRightInd w:val="0"/>
        <w:spacing w:after="120"/>
        <w:rPr>
          <w:rFonts w:ascii="Arial" w:hAnsi="Arial" w:cs="Arial"/>
          <w:sz w:val="22"/>
          <w:szCs w:val="22"/>
        </w:rPr>
      </w:pPr>
    </w:p>
    <w:p w14:paraId="234F1C81" w14:textId="77777777" w:rsidR="0015780B" w:rsidRPr="00F04F17" w:rsidRDefault="0015780B" w:rsidP="00F04F17">
      <w:pPr>
        <w:autoSpaceDE w:val="0"/>
        <w:autoSpaceDN w:val="0"/>
        <w:adjustRightInd w:val="0"/>
        <w:spacing w:after="120"/>
        <w:rPr>
          <w:rFonts w:ascii="Arial" w:hAnsi="Arial" w:cs="Arial"/>
          <w:sz w:val="22"/>
          <w:szCs w:val="22"/>
        </w:rPr>
      </w:pPr>
    </w:p>
    <w:p w14:paraId="772499E1" w14:textId="77777777" w:rsidR="0015780B" w:rsidRPr="00F04F17" w:rsidRDefault="0015780B" w:rsidP="00F04F17">
      <w:pPr>
        <w:autoSpaceDE w:val="0"/>
        <w:autoSpaceDN w:val="0"/>
        <w:adjustRightInd w:val="0"/>
        <w:spacing w:after="120"/>
        <w:rPr>
          <w:rFonts w:ascii="Arial" w:hAnsi="Arial" w:cs="Arial"/>
          <w:sz w:val="22"/>
          <w:szCs w:val="22"/>
        </w:rPr>
      </w:pPr>
    </w:p>
    <w:p w14:paraId="1ABD727C" w14:textId="77777777" w:rsidR="007571D0" w:rsidRPr="00F04F17" w:rsidRDefault="007571D0" w:rsidP="00F04F17">
      <w:pPr>
        <w:pStyle w:val="Heading2"/>
        <w:spacing w:after="60"/>
        <w:rPr>
          <w:rFonts w:cs="Arial"/>
          <w:sz w:val="20"/>
        </w:rPr>
      </w:pPr>
      <w:r w:rsidRPr="00F04F17">
        <w:rPr>
          <w:rFonts w:cs="Arial"/>
          <w:sz w:val="20"/>
        </w:rPr>
        <w:t>Legislative references:</w:t>
      </w:r>
    </w:p>
    <w:p w14:paraId="70DDB85D" w14:textId="77777777" w:rsidR="007C1F42" w:rsidRPr="00F04F17" w:rsidRDefault="007C1F42" w:rsidP="00F04F17">
      <w:pPr>
        <w:rPr>
          <w:rFonts w:ascii="Arial" w:hAnsi="Arial" w:cs="Arial"/>
          <w:i/>
          <w:sz w:val="20"/>
        </w:rPr>
      </w:pPr>
      <w:r w:rsidRPr="00F04F17">
        <w:rPr>
          <w:rFonts w:ascii="Arial" w:hAnsi="Arial" w:cs="Arial"/>
          <w:i/>
          <w:sz w:val="20"/>
        </w:rPr>
        <w:t>Acts Interpretation Act 1901</w:t>
      </w:r>
    </w:p>
    <w:p w14:paraId="04F6C645" w14:textId="77777777" w:rsidR="007C1F42" w:rsidRPr="00F04F17" w:rsidRDefault="007C1F42" w:rsidP="00F04F17">
      <w:pPr>
        <w:rPr>
          <w:rFonts w:ascii="Arial" w:hAnsi="Arial" w:cs="Arial"/>
          <w:i/>
          <w:sz w:val="20"/>
        </w:rPr>
      </w:pPr>
      <w:r w:rsidRPr="00F04F17">
        <w:rPr>
          <w:rFonts w:ascii="Arial" w:hAnsi="Arial" w:cs="Arial"/>
          <w:i/>
          <w:sz w:val="20"/>
        </w:rPr>
        <w:t>Corporations Act 2001</w:t>
      </w:r>
    </w:p>
    <w:p w14:paraId="0A20E98F" w14:textId="77777777" w:rsidR="007C1F42" w:rsidRPr="00F04F17" w:rsidRDefault="007C1F42" w:rsidP="00F04F17">
      <w:pPr>
        <w:rPr>
          <w:rFonts w:ascii="Arial" w:hAnsi="Arial" w:cs="Arial"/>
          <w:i/>
          <w:sz w:val="20"/>
        </w:rPr>
      </w:pPr>
      <w:r w:rsidRPr="00F04F17">
        <w:rPr>
          <w:rFonts w:ascii="Arial" w:hAnsi="Arial" w:cs="Arial"/>
          <w:i/>
          <w:sz w:val="20"/>
        </w:rPr>
        <w:t>Human Rights (</w:t>
      </w:r>
      <w:r w:rsidRPr="009F788F">
        <w:rPr>
          <w:rFonts w:ascii="Arial" w:hAnsi="Arial" w:cs="Arial"/>
          <w:i/>
          <w:sz w:val="20"/>
        </w:rPr>
        <w:t>Parliament</w:t>
      </w:r>
      <w:r w:rsidRPr="00F04F17">
        <w:rPr>
          <w:rFonts w:ascii="Arial" w:hAnsi="Arial" w:cs="Arial"/>
          <w:i/>
          <w:sz w:val="20"/>
        </w:rPr>
        <w:t>ary Scrutiny) Act 2011</w:t>
      </w:r>
    </w:p>
    <w:p w14:paraId="2BACD809" w14:textId="77777777" w:rsidR="007C1F42" w:rsidRPr="00F04F17" w:rsidRDefault="007C1F42" w:rsidP="00F04F17">
      <w:pPr>
        <w:rPr>
          <w:rFonts w:ascii="Arial" w:hAnsi="Arial" w:cs="Arial"/>
          <w:i/>
          <w:sz w:val="20"/>
        </w:rPr>
      </w:pPr>
      <w:r w:rsidRPr="00F04F17">
        <w:rPr>
          <w:rFonts w:ascii="Arial" w:hAnsi="Arial" w:cs="Arial"/>
          <w:i/>
          <w:sz w:val="20"/>
        </w:rPr>
        <w:t>Income Tax Assessment Act 1997</w:t>
      </w:r>
    </w:p>
    <w:p w14:paraId="20E896E1" w14:textId="77777777" w:rsidR="007C1F42" w:rsidRPr="00F04F17" w:rsidRDefault="007C1F42" w:rsidP="00F04F17">
      <w:pPr>
        <w:rPr>
          <w:rFonts w:ascii="Arial" w:hAnsi="Arial" w:cs="Arial"/>
          <w:i/>
          <w:sz w:val="20"/>
        </w:rPr>
      </w:pPr>
      <w:r w:rsidRPr="00F04F17">
        <w:rPr>
          <w:rFonts w:ascii="Arial" w:hAnsi="Arial" w:cs="Arial"/>
          <w:i/>
          <w:sz w:val="20"/>
        </w:rPr>
        <w:t>Legislation Act 2003</w:t>
      </w:r>
    </w:p>
    <w:p w14:paraId="15F105C4" w14:textId="77777777" w:rsidR="007571D0" w:rsidRPr="00F04F17" w:rsidRDefault="007571D0" w:rsidP="00F04F17">
      <w:pPr>
        <w:rPr>
          <w:rFonts w:ascii="Arial" w:hAnsi="Arial" w:cs="Arial"/>
          <w:i/>
          <w:sz w:val="20"/>
        </w:rPr>
      </w:pPr>
      <w:r w:rsidRPr="00F04F17">
        <w:rPr>
          <w:rFonts w:ascii="Arial" w:hAnsi="Arial" w:cs="Arial"/>
          <w:i/>
          <w:sz w:val="20"/>
        </w:rPr>
        <w:t>Taxation Administration Act 1953</w:t>
      </w:r>
    </w:p>
    <w:p w14:paraId="3F985D30" w14:textId="77777777" w:rsidR="00BF12D2" w:rsidRPr="00F04F17" w:rsidRDefault="00E53399" w:rsidP="00F04F17">
      <w:pPr>
        <w:pStyle w:val="Heading3"/>
        <w:pageBreakBefore/>
        <w:spacing w:before="0" w:after="120"/>
        <w:jc w:val="center"/>
        <w:rPr>
          <w:sz w:val="22"/>
          <w:szCs w:val="22"/>
        </w:rPr>
      </w:pPr>
      <w:r w:rsidRPr="00F04F17">
        <w:rPr>
          <w:sz w:val="22"/>
          <w:szCs w:val="22"/>
        </w:rPr>
        <w:lastRenderedPageBreak/>
        <w:t xml:space="preserve">Statement of </w:t>
      </w:r>
      <w:r w:rsidR="00261149" w:rsidRPr="00F04F17">
        <w:rPr>
          <w:sz w:val="22"/>
          <w:szCs w:val="22"/>
        </w:rPr>
        <w:t>C</w:t>
      </w:r>
      <w:r w:rsidRPr="00F04F17">
        <w:rPr>
          <w:sz w:val="22"/>
          <w:szCs w:val="22"/>
        </w:rPr>
        <w:t>ompatibility</w:t>
      </w:r>
      <w:r w:rsidR="003A7F99" w:rsidRPr="00F04F17">
        <w:rPr>
          <w:sz w:val="22"/>
          <w:szCs w:val="22"/>
        </w:rPr>
        <w:t xml:space="preserve"> with Human Rights</w:t>
      </w:r>
    </w:p>
    <w:p w14:paraId="533BD447" w14:textId="273BC3D6" w:rsidR="00E53399" w:rsidRPr="00F04F17" w:rsidRDefault="00C84E3E" w:rsidP="00F04F17">
      <w:pPr>
        <w:spacing w:after="120"/>
        <w:rPr>
          <w:sz w:val="22"/>
          <w:szCs w:val="22"/>
        </w:rPr>
      </w:pPr>
      <w:r w:rsidRPr="00F04F17">
        <w:rPr>
          <w:rFonts w:ascii="Arial" w:hAnsi="Arial" w:cs="Arial"/>
          <w:sz w:val="22"/>
          <w:szCs w:val="22"/>
        </w:rPr>
        <w:t xml:space="preserve">This </w:t>
      </w:r>
      <w:r w:rsidR="004B6F05" w:rsidRPr="00F04F17">
        <w:rPr>
          <w:rFonts w:ascii="Arial" w:hAnsi="Arial" w:cs="Arial"/>
          <w:sz w:val="22"/>
          <w:szCs w:val="22"/>
        </w:rPr>
        <w:t>s</w:t>
      </w:r>
      <w:r w:rsidRPr="00F04F17">
        <w:rPr>
          <w:rFonts w:ascii="Arial" w:hAnsi="Arial" w:cs="Arial"/>
          <w:sz w:val="22"/>
          <w:szCs w:val="22"/>
        </w:rPr>
        <w:t>tatement is p</w:t>
      </w:r>
      <w:r w:rsidR="00E53399" w:rsidRPr="00F04F17">
        <w:rPr>
          <w:rFonts w:ascii="Arial" w:hAnsi="Arial" w:cs="Arial"/>
          <w:sz w:val="22"/>
          <w:szCs w:val="22"/>
        </w:rPr>
        <w:t xml:space="preserve">repared in accordance with Part 3 of the </w:t>
      </w:r>
      <w:r w:rsidR="00E53399" w:rsidRPr="00F04F17">
        <w:rPr>
          <w:rFonts w:ascii="Arial" w:hAnsi="Arial" w:cs="Arial"/>
          <w:i/>
          <w:sz w:val="22"/>
          <w:szCs w:val="22"/>
        </w:rPr>
        <w:t>Human Rights (</w:t>
      </w:r>
      <w:r w:rsidR="00E53399" w:rsidRPr="009F788F">
        <w:rPr>
          <w:rFonts w:ascii="Arial" w:hAnsi="Arial" w:cs="Arial"/>
          <w:i/>
          <w:sz w:val="22"/>
          <w:szCs w:val="22"/>
        </w:rPr>
        <w:t>Parliament</w:t>
      </w:r>
      <w:r w:rsidR="00E53399" w:rsidRPr="00F04F17">
        <w:rPr>
          <w:rFonts w:ascii="Arial" w:hAnsi="Arial" w:cs="Arial"/>
          <w:i/>
          <w:sz w:val="22"/>
          <w:szCs w:val="22"/>
        </w:rPr>
        <w:t>ary Scrutiny) Act 20</w:t>
      </w:r>
      <w:r w:rsidR="007571D0" w:rsidRPr="00F04F17">
        <w:rPr>
          <w:rFonts w:ascii="Arial" w:hAnsi="Arial" w:cs="Arial"/>
          <w:i/>
          <w:sz w:val="22"/>
          <w:szCs w:val="22"/>
        </w:rPr>
        <w:t>1</w:t>
      </w:r>
      <w:r w:rsidR="00E53399" w:rsidRPr="00F04F17">
        <w:rPr>
          <w:rFonts w:ascii="Arial" w:hAnsi="Arial" w:cs="Arial"/>
          <w:i/>
          <w:sz w:val="22"/>
          <w:szCs w:val="22"/>
        </w:rPr>
        <w:t>1</w:t>
      </w:r>
      <w:r w:rsidR="007571D0" w:rsidRPr="00F04F17">
        <w:rPr>
          <w:rFonts w:ascii="Arial" w:hAnsi="Arial" w:cs="Arial"/>
          <w:i/>
          <w:sz w:val="22"/>
          <w:szCs w:val="22"/>
        </w:rPr>
        <w:t>.</w:t>
      </w:r>
    </w:p>
    <w:p w14:paraId="394B7977" w14:textId="77777777" w:rsidR="00D77015" w:rsidRPr="00F04F17" w:rsidRDefault="00D77015" w:rsidP="00F04F17">
      <w:pPr>
        <w:spacing w:after="120"/>
        <w:rPr>
          <w:rFonts w:ascii="Arial" w:hAnsi="Arial" w:cs="Arial"/>
          <w:sz w:val="22"/>
          <w:szCs w:val="22"/>
        </w:rPr>
      </w:pPr>
    </w:p>
    <w:p w14:paraId="1F7FA39F" w14:textId="07C621E6" w:rsidR="007571D0" w:rsidRPr="00F04F17" w:rsidRDefault="007C1F42" w:rsidP="00F04F17">
      <w:pPr>
        <w:pStyle w:val="Heading2"/>
        <w:jc w:val="center"/>
        <w:rPr>
          <w:rFonts w:cs="Arial"/>
          <w:i/>
          <w:iCs/>
          <w:szCs w:val="22"/>
        </w:rPr>
      </w:pPr>
      <w:r w:rsidRPr="00F04F17">
        <w:rPr>
          <w:rFonts w:cs="Arial"/>
          <w:i/>
          <w:iCs/>
          <w:szCs w:val="22"/>
        </w:rPr>
        <w:t xml:space="preserve">Taxation Administration Excluded Classes of Transactions and Entities for </w:t>
      </w:r>
      <w:r w:rsidRPr="009F788F">
        <w:rPr>
          <w:rFonts w:cs="Arial"/>
          <w:i/>
          <w:iCs/>
          <w:szCs w:val="22"/>
        </w:rPr>
        <w:t>Third Party</w:t>
      </w:r>
      <w:r w:rsidRPr="00F04F17">
        <w:rPr>
          <w:rFonts w:cs="Arial"/>
          <w:i/>
          <w:iCs/>
          <w:szCs w:val="22"/>
        </w:rPr>
        <w:t xml:space="preserve"> Reports on Shares and Units</w:t>
      </w:r>
      <w:r w:rsidR="00BF12D2" w:rsidRPr="00F04F17">
        <w:rPr>
          <w:rFonts w:cs="Arial"/>
          <w:i/>
          <w:iCs/>
          <w:szCs w:val="22"/>
        </w:rPr>
        <w:t xml:space="preserve"> </w:t>
      </w:r>
      <w:r w:rsidRPr="00F04F17">
        <w:rPr>
          <w:rFonts w:cs="Arial"/>
          <w:i/>
          <w:iCs/>
          <w:szCs w:val="22"/>
        </w:rPr>
        <w:t xml:space="preserve">Determination </w:t>
      </w:r>
      <w:r w:rsidR="00672D6A" w:rsidRPr="00F04F17">
        <w:rPr>
          <w:rFonts w:cs="Arial"/>
          <w:i/>
          <w:iCs/>
          <w:szCs w:val="22"/>
        </w:rPr>
        <w:t>2022</w:t>
      </w:r>
    </w:p>
    <w:p w14:paraId="7AF52DA9" w14:textId="0A3A795B" w:rsidR="00BF12D2" w:rsidRPr="00F04F17" w:rsidRDefault="00075B58" w:rsidP="00F04F17">
      <w:pPr>
        <w:autoSpaceDE w:val="0"/>
        <w:autoSpaceDN w:val="0"/>
        <w:adjustRightInd w:val="0"/>
        <w:spacing w:after="120"/>
        <w:rPr>
          <w:rFonts w:ascii="Arial" w:hAnsi="Arial" w:cs="Arial"/>
          <w:sz w:val="22"/>
          <w:szCs w:val="22"/>
        </w:rPr>
      </w:pPr>
      <w:r w:rsidRPr="00F04F17">
        <w:rPr>
          <w:rFonts w:ascii="Arial" w:hAnsi="Arial" w:cs="Arial"/>
          <w:sz w:val="22"/>
          <w:szCs w:val="22"/>
        </w:rPr>
        <w:t xml:space="preserve">This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nstrument is compatible with the human rights and freedoms recognised or declared in the international instruments listed in s</w:t>
      </w:r>
      <w:r w:rsidR="00AB1455" w:rsidRPr="00F04F17">
        <w:rPr>
          <w:rFonts w:ascii="Arial" w:hAnsi="Arial" w:cs="Arial"/>
          <w:sz w:val="22"/>
          <w:szCs w:val="22"/>
        </w:rPr>
        <w:t>ection </w:t>
      </w:r>
      <w:r w:rsidRPr="00F04F17">
        <w:rPr>
          <w:rFonts w:ascii="Arial" w:hAnsi="Arial" w:cs="Arial"/>
          <w:sz w:val="22"/>
          <w:szCs w:val="22"/>
        </w:rPr>
        <w:t xml:space="preserve">3 of the </w:t>
      </w:r>
      <w:r w:rsidRPr="00F04F17">
        <w:rPr>
          <w:rFonts w:ascii="Arial" w:hAnsi="Arial" w:cs="Arial"/>
          <w:i/>
          <w:sz w:val="22"/>
          <w:szCs w:val="22"/>
        </w:rPr>
        <w:t>Human Rights (</w:t>
      </w:r>
      <w:r w:rsidRPr="009F788F">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2AE59ED0" w14:textId="77777777" w:rsidR="00075B58" w:rsidRPr="00F04F17" w:rsidRDefault="00075B58" w:rsidP="00F04F17">
      <w:pPr>
        <w:autoSpaceDE w:val="0"/>
        <w:autoSpaceDN w:val="0"/>
        <w:adjustRightInd w:val="0"/>
        <w:spacing w:after="120"/>
        <w:rPr>
          <w:rFonts w:ascii="Arial" w:hAnsi="Arial" w:cs="Arial"/>
          <w:sz w:val="22"/>
          <w:szCs w:val="22"/>
        </w:rPr>
      </w:pPr>
    </w:p>
    <w:p w14:paraId="460A5320" w14:textId="55810647" w:rsidR="007571D0" w:rsidRPr="00F04F17" w:rsidRDefault="003A7F99" w:rsidP="00F04F17">
      <w:pPr>
        <w:pStyle w:val="Heading2"/>
        <w:rPr>
          <w:rFonts w:cs="Arial"/>
          <w:szCs w:val="22"/>
        </w:rPr>
      </w:pPr>
      <w:r w:rsidRPr="00F04F17">
        <w:rPr>
          <w:rFonts w:cs="Arial"/>
          <w:szCs w:val="22"/>
        </w:rPr>
        <w:t xml:space="preserve">Overview of the </w:t>
      </w:r>
      <w:r w:rsidR="004B6F05" w:rsidRPr="00F04F17">
        <w:rPr>
          <w:rFonts w:cs="Arial"/>
          <w:szCs w:val="22"/>
        </w:rPr>
        <w:t>l</w:t>
      </w:r>
      <w:r w:rsidR="00075B58" w:rsidRPr="00F04F17">
        <w:rPr>
          <w:rFonts w:cs="Arial"/>
          <w:szCs w:val="22"/>
        </w:rPr>
        <w:t xml:space="preserve">egislative </w:t>
      </w:r>
      <w:r w:rsidR="004B6F05" w:rsidRPr="00F04F17">
        <w:rPr>
          <w:rFonts w:cs="Arial"/>
          <w:szCs w:val="22"/>
        </w:rPr>
        <w:t>i</w:t>
      </w:r>
      <w:r w:rsidR="00075B58" w:rsidRPr="00F04F17">
        <w:rPr>
          <w:rFonts w:cs="Arial"/>
          <w:szCs w:val="22"/>
        </w:rPr>
        <w:t>nstrument</w:t>
      </w:r>
    </w:p>
    <w:p w14:paraId="1523C9FF" w14:textId="6DD2B214" w:rsidR="00BF12D2" w:rsidRPr="00F04F17" w:rsidRDefault="007571D0" w:rsidP="00F04F17">
      <w:pPr>
        <w:spacing w:after="120"/>
        <w:rPr>
          <w:rFonts w:ascii="Arial" w:hAnsi="Arial" w:cs="Arial"/>
          <w:sz w:val="22"/>
          <w:szCs w:val="22"/>
        </w:rPr>
      </w:pPr>
      <w:r w:rsidRPr="00F04F17">
        <w:rPr>
          <w:rFonts w:ascii="Arial" w:hAnsi="Arial" w:cs="Arial"/>
          <w:sz w:val="22"/>
          <w:szCs w:val="22"/>
        </w:rPr>
        <w:t>T</w:t>
      </w:r>
      <w:r w:rsidR="00A02A5F" w:rsidRPr="00F04F17">
        <w:rPr>
          <w:rFonts w:ascii="Arial" w:hAnsi="Arial" w:cs="Arial"/>
          <w:sz w:val="22"/>
          <w:szCs w:val="22"/>
        </w:rPr>
        <w:t>h</w:t>
      </w:r>
      <w:r w:rsidR="009B3A17" w:rsidRPr="00F04F17">
        <w:rPr>
          <w:rFonts w:ascii="Arial" w:hAnsi="Arial" w:cs="Arial"/>
          <w:sz w:val="22"/>
          <w:szCs w:val="22"/>
        </w:rPr>
        <w:t xml:space="preserve">is </w:t>
      </w:r>
      <w:r w:rsidR="00B55BBC" w:rsidRPr="00F04F17">
        <w:rPr>
          <w:rFonts w:ascii="Arial" w:hAnsi="Arial" w:cs="Arial"/>
          <w:sz w:val="22"/>
          <w:szCs w:val="22"/>
        </w:rPr>
        <w:t xml:space="preserve">legislative </w:t>
      </w:r>
      <w:r w:rsidR="0016213E" w:rsidRPr="00F04F17">
        <w:rPr>
          <w:rFonts w:ascii="Arial" w:hAnsi="Arial" w:cs="Arial"/>
          <w:sz w:val="22"/>
          <w:szCs w:val="22"/>
        </w:rPr>
        <w:t xml:space="preserve">instrument </w:t>
      </w:r>
      <w:r w:rsidR="008763C8" w:rsidRPr="00F04F17">
        <w:rPr>
          <w:rFonts w:ascii="Arial" w:hAnsi="Arial" w:cs="Arial"/>
          <w:sz w:val="22"/>
          <w:szCs w:val="22"/>
        </w:rPr>
        <w:t xml:space="preserve">exempts </w:t>
      </w:r>
      <w:r w:rsidR="00DD10A8" w:rsidRPr="00F04F17">
        <w:rPr>
          <w:rFonts w:ascii="Arial" w:hAnsi="Arial" w:cs="Arial"/>
          <w:sz w:val="22"/>
          <w:szCs w:val="22"/>
        </w:rPr>
        <w:t>specified c</w:t>
      </w:r>
      <w:r w:rsidR="00D25680" w:rsidRPr="00F04F17">
        <w:rPr>
          <w:rFonts w:ascii="Arial" w:hAnsi="Arial" w:cs="Arial"/>
          <w:sz w:val="22"/>
          <w:szCs w:val="22"/>
        </w:rPr>
        <w:t xml:space="preserve">lasses of </w:t>
      </w:r>
      <w:r w:rsidR="008763C8" w:rsidRPr="00F04F17">
        <w:rPr>
          <w:rFonts w:ascii="Arial" w:hAnsi="Arial" w:cs="Arial"/>
          <w:sz w:val="22"/>
          <w:szCs w:val="22"/>
        </w:rPr>
        <w:t xml:space="preserve">entities from having to report on certain classes of </w:t>
      </w:r>
      <w:r w:rsidR="00D25680" w:rsidRPr="00F04F17">
        <w:rPr>
          <w:rFonts w:ascii="Arial" w:hAnsi="Arial" w:cs="Arial"/>
          <w:sz w:val="22"/>
          <w:szCs w:val="22"/>
        </w:rPr>
        <w:t xml:space="preserve">transactions </w:t>
      </w:r>
      <w:r w:rsidR="008763C8" w:rsidRPr="00F04F17">
        <w:rPr>
          <w:rFonts w:ascii="Arial" w:hAnsi="Arial" w:cs="Arial"/>
          <w:sz w:val="22"/>
          <w:szCs w:val="22"/>
        </w:rPr>
        <w:t xml:space="preserve">(relating to </w:t>
      </w:r>
      <w:r w:rsidR="00D25680" w:rsidRPr="00F04F17">
        <w:rPr>
          <w:rFonts w:ascii="Arial" w:hAnsi="Arial" w:cs="Arial"/>
          <w:sz w:val="22"/>
          <w:szCs w:val="22"/>
        </w:rPr>
        <w:t>shares and units</w:t>
      </w:r>
      <w:r w:rsidR="008763C8" w:rsidRPr="00F04F17">
        <w:rPr>
          <w:rFonts w:ascii="Arial" w:hAnsi="Arial" w:cs="Arial"/>
          <w:sz w:val="22"/>
          <w:szCs w:val="22"/>
        </w:rPr>
        <w:t>)</w:t>
      </w:r>
      <w:r w:rsidR="00D25680" w:rsidRPr="00F04F17">
        <w:rPr>
          <w:rFonts w:ascii="Arial" w:hAnsi="Arial" w:cs="Arial"/>
          <w:sz w:val="22"/>
          <w:szCs w:val="22"/>
        </w:rPr>
        <w:t xml:space="preserve">. </w:t>
      </w:r>
      <w:r w:rsidR="008763C8" w:rsidRPr="00F04F17">
        <w:rPr>
          <w:rFonts w:ascii="Arial" w:hAnsi="Arial" w:cs="Arial"/>
          <w:sz w:val="22"/>
          <w:szCs w:val="22"/>
        </w:rPr>
        <w:t xml:space="preserve">The exemptions provide greater </w:t>
      </w:r>
      <w:r w:rsidR="00D25680" w:rsidRPr="00F04F17">
        <w:rPr>
          <w:rFonts w:ascii="Arial" w:hAnsi="Arial" w:cs="Arial"/>
          <w:sz w:val="22"/>
          <w:szCs w:val="22"/>
        </w:rPr>
        <w:t xml:space="preserve">certainty and reduced compliance costs for entities that may be impacted by the </w:t>
      </w:r>
      <w:r w:rsidR="00B55BBC" w:rsidRPr="009F788F">
        <w:rPr>
          <w:rFonts w:ascii="Arial" w:hAnsi="Arial" w:cs="Arial"/>
          <w:sz w:val="22"/>
          <w:szCs w:val="22"/>
        </w:rPr>
        <w:t>third</w:t>
      </w:r>
      <w:r w:rsidR="00B55BBC" w:rsidRPr="009F788F">
        <w:rPr>
          <w:rFonts w:ascii="Arial" w:hAnsi="Arial" w:cs="Arial"/>
          <w:sz w:val="22"/>
          <w:szCs w:val="22"/>
        </w:rPr>
        <w:noBreakHyphen/>
      </w:r>
      <w:r w:rsidR="00D25680" w:rsidRPr="009F788F">
        <w:rPr>
          <w:rFonts w:ascii="Arial" w:hAnsi="Arial" w:cs="Arial"/>
          <w:sz w:val="22"/>
          <w:szCs w:val="22"/>
        </w:rPr>
        <w:t>party</w:t>
      </w:r>
      <w:r w:rsidR="00D25680" w:rsidRPr="00F04F17">
        <w:rPr>
          <w:rFonts w:ascii="Arial" w:hAnsi="Arial" w:cs="Arial"/>
          <w:sz w:val="22"/>
          <w:szCs w:val="22"/>
        </w:rPr>
        <w:t xml:space="preserve"> reporting legislation</w:t>
      </w:r>
      <w:r w:rsidR="00F1336E" w:rsidRPr="00F04F17">
        <w:rPr>
          <w:rFonts w:ascii="Arial" w:hAnsi="Arial" w:cs="Arial"/>
          <w:sz w:val="22"/>
          <w:szCs w:val="22"/>
        </w:rPr>
        <w:t>.</w:t>
      </w:r>
    </w:p>
    <w:p w14:paraId="1908E72C" w14:textId="77777777" w:rsidR="007571D0" w:rsidRPr="00F04F17" w:rsidRDefault="007571D0" w:rsidP="00F04F17">
      <w:pPr>
        <w:spacing w:after="120"/>
        <w:rPr>
          <w:rFonts w:ascii="Arial" w:hAnsi="Arial" w:cs="Arial"/>
          <w:sz w:val="22"/>
          <w:szCs w:val="22"/>
        </w:rPr>
      </w:pPr>
    </w:p>
    <w:p w14:paraId="05994AEB" w14:textId="77777777" w:rsidR="00075B58" w:rsidRPr="00F04F17" w:rsidRDefault="00075B58" w:rsidP="00F04F17">
      <w:pPr>
        <w:pStyle w:val="Heading2"/>
        <w:rPr>
          <w:rFonts w:cs="Arial"/>
          <w:szCs w:val="22"/>
        </w:rPr>
      </w:pPr>
      <w:r w:rsidRPr="00F04F17">
        <w:rPr>
          <w:rFonts w:cs="Arial"/>
          <w:szCs w:val="22"/>
        </w:rPr>
        <w:t>Human rights implications</w:t>
      </w:r>
    </w:p>
    <w:p w14:paraId="64DBDB3B" w14:textId="200B7D3C" w:rsidR="00BF12D2" w:rsidRPr="00F04F17" w:rsidRDefault="0096704C" w:rsidP="00F04F17">
      <w:pPr>
        <w:spacing w:after="120"/>
        <w:rPr>
          <w:rFonts w:ascii="Arial" w:hAnsi="Arial" w:cs="Arial"/>
          <w:sz w:val="22"/>
          <w:szCs w:val="22"/>
        </w:rPr>
      </w:pPr>
      <w:r w:rsidRPr="00F04F17">
        <w:rPr>
          <w:rFonts w:ascii="Arial" w:hAnsi="Arial" w:cs="Arial"/>
          <w:sz w:val="22"/>
          <w:szCs w:val="22"/>
        </w:rPr>
        <w:t>Th</w:t>
      </w:r>
      <w:r w:rsidR="004B6F05" w:rsidRPr="00F04F17">
        <w:rPr>
          <w:rFonts w:ascii="Arial" w:hAnsi="Arial" w:cs="Arial"/>
          <w:sz w:val="22"/>
          <w:szCs w:val="22"/>
        </w:rPr>
        <w:t>is</w:t>
      </w:r>
      <w:r w:rsidRPr="00F04F17">
        <w:rPr>
          <w:rFonts w:ascii="Arial" w:hAnsi="Arial" w:cs="Arial"/>
          <w:sz w:val="22"/>
          <w:szCs w:val="22"/>
        </w:rPr>
        <w:t xml:space="preserve"> </w:t>
      </w:r>
      <w:r w:rsidR="0037047A" w:rsidRPr="00F04F17">
        <w:rPr>
          <w:rFonts w:ascii="Arial" w:hAnsi="Arial" w:cs="Arial"/>
          <w:sz w:val="22"/>
          <w:szCs w:val="22"/>
        </w:rPr>
        <w:t xml:space="preserve">legislative </w:t>
      </w:r>
      <w:r w:rsidR="008763C8" w:rsidRPr="00F04F17">
        <w:rPr>
          <w:rFonts w:ascii="Arial" w:hAnsi="Arial" w:cs="Arial"/>
          <w:sz w:val="22"/>
          <w:szCs w:val="22"/>
        </w:rPr>
        <w:t>i</w:t>
      </w:r>
      <w:r w:rsidRPr="00F04F17">
        <w:rPr>
          <w:rFonts w:ascii="Arial" w:hAnsi="Arial" w:cs="Arial"/>
          <w:sz w:val="22"/>
          <w:szCs w:val="22"/>
        </w:rPr>
        <w:t>nstrument</w:t>
      </w:r>
      <w:r w:rsidR="0037047A" w:rsidRPr="00F04F17">
        <w:rPr>
          <w:rFonts w:ascii="Arial" w:hAnsi="Arial" w:cs="Arial"/>
          <w:sz w:val="22"/>
          <w:szCs w:val="22"/>
        </w:rPr>
        <w:t xml:space="preserve"> does not</w:t>
      </w:r>
      <w:r w:rsidRPr="00F04F17">
        <w:rPr>
          <w:rFonts w:ascii="Arial" w:hAnsi="Arial" w:cs="Arial"/>
          <w:sz w:val="22"/>
          <w:szCs w:val="22"/>
        </w:rPr>
        <w:t xml:space="preserve"> engage</w:t>
      </w:r>
      <w:r w:rsidR="0037047A" w:rsidRPr="00F04F17">
        <w:rPr>
          <w:rFonts w:ascii="Arial" w:hAnsi="Arial" w:cs="Arial"/>
          <w:sz w:val="22"/>
          <w:szCs w:val="22"/>
        </w:rPr>
        <w:t xml:space="preserve"> any of </w:t>
      </w:r>
      <w:r w:rsidR="008141A4" w:rsidRPr="00F04F17">
        <w:rPr>
          <w:rFonts w:ascii="Arial" w:hAnsi="Arial" w:cs="Arial"/>
          <w:sz w:val="22"/>
          <w:szCs w:val="22"/>
        </w:rPr>
        <w:t xml:space="preserve">the </w:t>
      </w:r>
      <w:r w:rsidR="0037047A" w:rsidRPr="00F04F17">
        <w:rPr>
          <w:rFonts w:ascii="Arial" w:hAnsi="Arial" w:cs="Arial"/>
          <w:sz w:val="22"/>
          <w:szCs w:val="22"/>
        </w:rPr>
        <w:t xml:space="preserve">applicable </w:t>
      </w:r>
      <w:r w:rsidRPr="00F04F17">
        <w:rPr>
          <w:rFonts w:ascii="Arial" w:hAnsi="Arial" w:cs="Arial"/>
          <w:sz w:val="22"/>
          <w:szCs w:val="22"/>
        </w:rPr>
        <w:t xml:space="preserve">rights </w:t>
      </w:r>
      <w:r w:rsidR="001157B3" w:rsidRPr="00F04F17">
        <w:rPr>
          <w:rFonts w:ascii="Arial" w:hAnsi="Arial" w:cs="Arial"/>
          <w:sz w:val="22"/>
          <w:szCs w:val="22"/>
        </w:rPr>
        <w:t xml:space="preserve">or </w:t>
      </w:r>
      <w:r w:rsidRPr="00F04F17">
        <w:rPr>
          <w:rFonts w:ascii="Arial" w:hAnsi="Arial" w:cs="Arial"/>
          <w:sz w:val="22"/>
          <w:szCs w:val="22"/>
        </w:rPr>
        <w:t>freedoms</w:t>
      </w:r>
      <w:r w:rsidR="00A12C38" w:rsidRPr="00F04F17">
        <w:rPr>
          <w:rFonts w:ascii="Arial" w:hAnsi="Arial" w:cs="Arial"/>
          <w:sz w:val="22"/>
          <w:szCs w:val="22"/>
        </w:rPr>
        <w:t xml:space="preserve">. </w:t>
      </w:r>
      <w:r w:rsidR="001157B3" w:rsidRPr="00F04F17">
        <w:rPr>
          <w:rFonts w:ascii="Arial" w:hAnsi="Arial" w:cs="Arial"/>
          <w:sz w:val="22"/>
          <w:szCs w:val="22"/>
        </w:rPr>
        <w:t xml:space="preserve">It </w:t>
      </w:r>
      <w:r w:rsidR="008763C8" w:rsidRPr="00F04F17">
        <w:rPr>
          <w:rFonts w:ascii="Arial" w:hAnsi="Arial" w:cs="Arial"/>
          <w:sz w:val="22"/>
          <w:szCs w:val="22"/>
        </w:rPr>
        <w:t xml:space="preserve">exempts </w:t>
      </w:r>
      <w:r w:rsidR="001157B3" w:rsidRPr="00F04F17">
        <w:rPr>
          <w:rFonts w:ascii="Arial" w:hAnsi="Arial" w:cs="Arial"/>
          <w:sz w:val="22"/>
          <w:szCs w:val="22"/>
        </w:rPr>
        <w:t xml:space="preserve">classes of </w:t>
      </w:r>
      <w:r w:rsidR="008763C8" w:rsidRPr="00F04F17">
        <w:rPr>
          <w:rFonts w:ascii="Arial" w:hAnsi="Arial" w:cs="Arial"/>
          <w:sz w:val="22"/>
          <w:szCs w:val="22"/>
        </w:rPr>
        <w:t xml:space="preserve">entities from having to report on particular </w:t>
      </w:r>
      <w:r w:rsidR="001157B3" w:rsidRPr="00F04F17">
        <w:rPr>
          <w:rFonts w:ascii="Arial" w:hAnsi="Arial" w:cs="Arial"/>
          <w:sz w:val="22"/>
          <w:szCs w:val="22"/>
        </w:rPr>
        <w:t xml:space="preserve">transactions </w:t>
      </w:r>
      <w:r w:rsidR="00B479FD" w:rsidRPr="00F04F17">
        <w:rPr>
          <w:rFonts w:ascii="Arial" w:hAnsi="Arial" w:cs="Arial"/>
          <w:sz w:val="22"/>
          <w:szCs w:val="22"/>
        </w:rPr>
        <w:t>to</w:t>
      </w:r>
      <w:r w:rsidR="008763C8" w:rsidRPr="00F04F17">
        <w:rPr>
          <w:rFonts w:ascii="Arial" w:hAnsi="Arial" w:cs="Arial"/>
          <w:sz w:val="22"/>
          <w:szCs w:val="22"/>
        </w:rPr>
        <w:t xml:space="preserve"> assist to</w:t>
      </w:r>
      <w:r w:rsidR="00B479FD" w:rsidRPr="00F04F17">
        <w:rPr>
          <w:rFonts w:ascii="Arial" w:hAnsi="Arial" w:cs="Arial"/>
          <w:sz w:val="22"/>
          <w:szCs w:val="22"/>
        </w:rPr>
        <w:t xml:space="preserve"> ensure that the </w:t>
      </w:r>
      <w:r w:rsidR="00B55BBC" w:rsidRPr="009F788F">
        <w:rPr>
          <w:rFonts w:ascii="Arial" w:hAnsi="Arial" w:cs="Arial"/>
          <w:sz w:val="22"/>
          <w:szCs w:val="22"/>
        </w:rPr>
        <w:t>third</w:t>
      </w:r>
      <w:r w:rsidR="00B55BBC" w:rsidRPr="009F788F">
        <w:rPr>
          <w:rFonts w:ascii="Arial" w:hAnsi="Arial" w:cs="Arial"/>
          <w:sz w:val="22"/>
          <w:szCs w:val="22"/>
        </w:rPr>
        <w:noBreakHyphen/>
      </w:r>
      <w:r w:rsidR="00B479FD" w:rsidRPr="009F788F">
        <w:rPr>
          <w:rFonts w:ascii="Arial" w:hAnsi="Arial" w:cs="Arial"/>
          <w:sz w:val="22"/>
          <w:szCs w:val="22"/>
        </w:rPr>
        <w:t>party</w:t>
      </w:r>
      <w:r w:rsidR="00B479FD" w:rsidRPr="00F04F17">
        <w:rPr>
          <w:rFonts w:ascii="Arial" w:hAnsi="Arial" w:cs="Arial"/>
          <w:sz w:val="22"/>
          <w:szCs w:val="22"/>
        </w:rPr>
        <w:t xml:space="preserve"> reporting regime operates </w:t>
      </w:r>
      <w:proofErr w:type="gramStart"/>
      <w:r w:rsidR="00B479FD" w:rsidRPr="00F04F17">
        <w:rPr>
          <w:rFonts w:ascii="Arial" w:hAnsi="Arial" w:cs="Arial"/>
          <w:sz w:val="22"/>
          <w:szCs w:val="22"/>
        </w:rPr>
        <w:t>efficiently</w:t>
      </w:r>
      <w:r w:rsidR="008763C8" w:rsidRPr="00F04F17">
        <w:rPr>
          <w:rFonts w:ascii="Arial" w:hAnsi="Arial" w:cs="Arial"/>
          <w:sz w:val="22"/>
          <w:szCs w:val="22"/>
        </w:rPr>
        <w:t>,</w:t>
      </w:r>
      <w:r w:rsidR="00B479FD" w:rsidRPr="00F04F17">
        <w:rPr>
          <w:rFonts w:ascii="Arial" w:hAnsi="Arial" w:cs="Arial"/>
          <w:sz w:val="22"/>
          <w:szCs w:val="22"/>
        </w:rPr>
        <w:t xml:space="preserve"> and</w:t>
      </w:r>
      <w:proofErr w:type="gramEnd"/>
      <w:r w:rsidR="008763C8" w:rsidRPr="00F04F17">
        <w:rPr>
          <w:rFonts w:ascii="Arial" w:hAnsi="Arial" w:cs="Arial"/>
          <w:sz w:val="22"/>
          <w:szCs w:val="22"/>
        </w:rPr>
        <w:t xml:space="preserve"> minimise</w:t>
      </w:r>
      <w:r w:rsidR="00B479FD" w:rsidRPr="00F04F17">
        <w:rPr>
          <w:rFonts w:ascii="Arial" w:hAnsi="Arial" w:cs="Arial"/>
          <w:sz w:val="22"/>
          <w:szCs w:val="22"/>
        </w:rPr>
        <w:t xml:space="preserve"> the compliance burden on </w:t>
      </w:r>
      <w:r w:rsidR="008763C8" w:rsidRPr="00F04F17">
        <w:rPr>
          <w:rFonts w:ascii="Arial" w:hAnsi="Arial" w:cs="Arial"/>
          <w:sz w:val="22"/>
          <w:szCs w:val="22"/>
        </w:rPr>
        <w:t>relevant entities</w:t>
      </w:r>
      <w:r w:rsidR="00C76E3D" w:rsidRPr="00F04F17">
        <w:rPr>
          <w:rFonts w:ascii="Arial" w:hAnsi="Arial" w:cs="Arial"/>
          <w:sz w:val="22"/>
          <w:szCs w:val="22"/>
        </w:rPr>
        <w:t>.</w:t>
      </w:r>
    </w:p>
    <w:p w14:paraId="617659AC" w14:textId="77777777" w:rsidR="0096704C" w:rsidRPr="00F04F17" w:rsidRDefault="0096704C" w:rsidP="00F04F17">
      <w:pPr>
        <w:spacing w:after="120"/>
        <w:rPr>
          <w:rFonts w:ascii="Arial" w:hAnsi="Arial" w:cs="Arial"/>
          <w:sz w:val="22"/>
          <w:szCs w:val="22"/>
        </w:rPr>
      </w:pPr>
    </w:p>
    <w:p w14:paraId="145B0343" w14:textId="77777777" w:rsidR="00075B58" w:rsidRPr="00F04F17" w:rsidRDefault="00075B58" w:rsidP="00F04F17">
      <w:pPr>
        <w:pStyle w:val="Heading2"/>
        <w:rPr>
          <w:rFonts w:cs="Arial"/>
          <w:szCs w:val="22"/>
        </w:rPr>
      </w:pPr>
      <w:r w:rsidRPr="00F04F17">
        <w:rPr>
          <w:rFonts w:cs="Arial"/>
          <w:szCs w:val="22"/>
        </w:rPr>
        <w:t>Conclusion</w:t>
      </w:r>
    </w:p>
    <w:p w14:paraId="0298EAC6" w14:textId="1569949E" w:rsidR="00075B58" w:rsidRPr="00CD757F" w:rsidRDefault="00075B58" w:rsidP="00F04F17">
      <w:pPr>
        <w:spacing w:after="120"/>
        <w:rPr>
          <w:rFonts w:ascii="Arial" w:hAnsi="Arial" w:cs="Arial"/>
          <w:sz w:val="22"/>
          <w:szCs w:val="22"/>
        </w:rPr>
      </w:pPr>
      <w:r w:rsidRPr="00F04F17">
        <w:rPr>
          <w:rFonts w:ascii="Arial" w:hAnsi="Arial" w:cs="Arial"/>
          <w:sz w:val="22"/>
          <w:szCs w:val="22"/>
        </w:rPr>
        <w:t xml:space="preserve">This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 xml:space="preserve">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p>
    <w:sectPr w:rsidR="00075B58" w:rsidRPr="00CD757F" w:rsidSect="00146ED8">
      <w:headerReference w:type="even" r:id="rId8"/>
      <w:headerReference w:type="default" r:id="rId9"/>
      <w:headerReference w:type="first" r:id="rId10"/>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C381" w14:textId="77777777" w:rsidR="00297FE4" w:rsidRDefault="00297FE4">
      <w:r>
        <w:separator/>
      </w:r>
    </w:p>
  </w:endnote>
  <w:endnote w:type="continuationSeparator" w:id="0">
    <w:p w14:paraId="6EFD76B3" w14:textId="77777777" w:rsidR="00297FE4" w:rsidRDefault="002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E69A" w14:textId="77777777" w:rsidR="00297FE4" w:rsidRDefault="00297FE4">
      <w:r>
        <w:separator/>
      </w:r>
    </w:p>
  </w:footnote>
  <w:footnote w:type="continuationSeparator" w:id="0">
    <w:p w14:paraId="64080F8A" w14:textId="77777777" w:rsidR="00297FE4" w:rsidRDefault="0029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6DEC" w14:textId="1DB9378C" w:rsidR="00587C50" w:rsidRPr="0067541C" w:rsidRDefault="00587C50">
    <w:pPr>
      <w:pStyle w:val="Header"/>
      <w:rPr>
        <w:rFonts w:ascii="Arial" w:hAnsi="Arial" w:cs="Arial"/>
        <w:sz w:val="52"/>
      </w:rPr>
    </w:pPr>
    <w:r w:rsidRPr="0067541C">
      <w:rPr>
        <w:rFonts w:ascii="Arial" w:hAnsi="Arial" w:cs="Arial"/>
        <w:sz w:val="20"/>
      </w:rPr>
      <w:t>Taxation Determination</w:t>
    </w:r>
  </w:p>
  <w:p w14:paraId="3142C45C" w14:textId="77777777" w:rsidR="00BF12D2" w:rsidRDefault="00587C50">
    <w:pPr>
      <w:pStyle w:val="Header"/>
      <w:rPr>
        <w:rFonts w:ascii="Arial" w:hAnsi="Arial" w:cs="Arial"/>
        <w:b/>
        <w:sz w:val="52"/>
      </w:rPr>
    </w:pPr>
    <w:r w:rsidRPr="0067541C">
      <w:rPr>
        <w:rFonts w:ascii="Arial" w:hAnsi="Arial" w:cs="Arial"/>
        <w:b/>
        <w:sz w:val="52"/>
      </w:rPr>
      <w:t>TD</w:t>
    </w:r>
  </w:p>
  <w:p w14:paraId="6973DE27" w14:textId="477EEEAB"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156C" w14:textId="6594A80F"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6759" w14:textId="4418B041" w:rsidR="00146ED8" w:rsidRPr="00333FE9" w:rsidRDefault="00146ED8"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2" w:name="_Hlk39826024"/>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66F97D6C" w14:textId="70D8127C" w:rsidR="00146ED8" w:rsidRPr="00146ED8" w:rsidRDefault="00DB4A34"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28"/>
        <w:szCs w:val="28"/>
      </w:rPr>
      <w:t xml:space="preserve">  </w:t>
    </w:r>
    <w:r w:rsidR="00146ED8" w:rsidRPr="00146ED8">
      <w:rPr>
        <w:rFonts w:ascii="Arial" w:hAnsi="Arial" w:cs="Arial"/>
        <w:b/>
        <w:sz w:val="28"/>
        <w:szCs w:val="28"/>
      </w:rPr>
      <w:t xml:space="preserve">Instrument ID: </w:t>
    </w:r>
    <w:r w:rsidR="00E44419">
      <w:rPr>
        <w:rFonts w:ascii="Arial" w:hAnsi="Arial" w:cs="Arial"/>
        <w:b/>
        <w:sz w:val="28"/>
        <w:szCs w:val="28"/>
      </w:rPr>
      <w:t>20</w:t>
    </w:r>
    <w:r w:rsidR="00D348D9">
      <w:rPr>
        <w:rFonts w:ascii="Arial" w:hAnsi="Arial" w:cs="Arial"/>
        <w:b/>
        <w:sz w:val="28"/>
        <w:szCs w:val="28"/>
      </w:rPr>
      <w:t>2</w:t>
    </w:r>
    <w:r w:rsidR="007C67A5">
      <w:rPr>
        <w:rFonts w:ascii="Arial" w:hAnsi="Arial" w:cs="Arial"/>
        <w:b/>
        <w:sz w:val="28"/>
        <w:szCs w:val="28"/>
      </w:rPr>
      <w:t>1</w:t>
    </w:r>
    <w:r w:rsidR="00E44419">
      <w:rPr>
        <w:rFonts w:ascii="Arial" w:hAnsi="Arial" w:cs="Arial"/>
        <w:b/>
        <w:sz w:val="28"/>
        <w:szCs w:val="28"/>
      </w:rPr>
      <w:t>/SDP/00</w:t>
    </w:r>
    <w:r w:rsidR="001859DE">
      <w:rPr>
        <w:rFonts w:ascii="Arial" w:hAnsi="Arial" w:cs="Arial"/>
        <w:b/>
        <w:sz w:val="28"/>
        <w:szCs w:val="28"/>
      </w:rPr>
      <w:t>1</w:t>
    </w:r>
    <w:r w:rsidR="007C67A5">
      <w:rPr>
        <w:rFonts w:ascii="Arial" w:hAnsi="Arial" w:cs="Arial"/>
        <w:b/>
        <w:sz w:val="28"/>
        <w:szCs w:val="28"/>
      </w:rPr>
      <w:t>1</w:t>
    </w:r>
  </w:p>
  <w:bookmarkEnd w:id="2"/>
  <w:p w14:paraId="0C4D8C01"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5DB72AE1" wp14:editId="2B8212D2">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600A7D5" w14:textId="3620A726"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16B0816"/>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870F5A"/>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521253"/>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25115C"/>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5E5ED5"/>
    <w:multiLevelType w:val="hybridMultilevel"/>
    <w:tmpl w:val="BCB0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20976E1"/>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C927A5"/>
    <w:multiLevelType w:val="hybridMultilevel"/>
    <w:tmpl w:val="26BEA51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A013140"/>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5"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6"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B0E32"/>
    <w:multiLevelType w:val="hybridMultilevel"/>
    <w:tmpl w:val="BBAC275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D965A69"/>
    <w:multiLevelType w:val="hybridMultilevel"/>
    <w:tmpl w:val="9654BFFC"/>
    <w:lvl w:ilvl="0" w:tplc="5650CDFE">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BB880150">
      <w:start w:val="1"/>
      <w:numFmt w:val="lowerLetter"/>
      <w:lvlText w:val="(%3)"/>
      <w:lvlJc w:val="left"/>
      <w:pPr>
        <w:ind w:left="2406" w:hanging="360"/>
      </w:pPr>
      <w:rPr>
        <w:rFonts w:hint="default"/>
        <w:b/>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3FCC3903"/>
    <w:multiLevelType w:val="hybridMultilevel"/>
    <w:tmpl w:val="AE129762"/>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00E0CFB"/>
    <w:multiLevelType w:val="hybridMultilevel"/>
    <w:tmpl w:val="9FE48122"/>
    <w:lvl w:ilvl="0" w:tplc="AAF85D0A">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4" w15:restartNumberingAfterBreak="0">
    <w:nsid w:val="44D731C7"/>
    <w:multiLevelType w:val="hybridMultilevel"/>
    <w:tmpl w:val="C1768288"/>
    <w:lvl w:ilvl="0" w:tplc="F2B6B1A6">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463110E5"/>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051111"/>
    <w:multiLevelType w:val="hybridMultilevel"/>
    <w:tmpl w:val="C1F09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017317"/>
    <w:multiLevelType w:val="hybridMultilevel"/>
    <w:tmpl w:val="F260D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3"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EF42C5"/>
    <w:multiLevelType w:val="hybridMultilevel"/>
    <w:tmpl w:val="58BCA002"/>
    <w:lvl w:ilvl="0" w:tplc="3BB2996A">
      <w:start w:val="1"/>
      <w:numFmt w:val="decimal"/>
      <w:lvlText w:val="%1."/>
      <w:lvlJc w:val="left"/>
      <w:pPr>
        <w:tabs>
          <w:tab w:val="num" w:pos="360"/>
        </w:tabs>
        <w:ind w:left="360" w:hanging="360"/>
      </w:pPr>
      <w:rPr>
        <w:b w:val="0"/>
        <w:i w:val="0"/>
      </w:rPr>
    </w:lvl>
    <w:lvl w:ilvl="1" w:tplc="C2ACD91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7704383"/>
    <w:multiLevelType w:val="hybridMultilevel"/>
    <w:tmpl w:val="564C30C4"/>
    <w:lvl w:ilvl="0" w:tplc="0C090019">
      <w:start w:val="1"/>
      <w:numFmt w:val="lowerLetter"/>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32"/>
  </w:num>
  <w:num w:numId="4">
    <w:abstractNumId w:val="50"/>
  </w:num>
  <w:num w:numId="5">
    <w:abstractNumId w:val="8"/>
  </w:num>
  <w:num w:numId="6">
    <w:abstractNumId w:val="16"/>
  </w:num>
  <w:num w:numId="7">
    <w:abstractNumId w:val="45"/>
  </w:num>
  <w:num w:numId="8">
    <w:abstractNumId w:val="44"/>
  </w:num>
  <w:num w:numId="9">
    <w:abstractNumId w:val="35"/>
  </w:num>
  <w:num w:numId="10">
    <w:abstractNumId w:val="27"/>
  </w:num>
  <w:num w:numId="11">
    <w:abstractNumId w:val="53"/>
  </w:num>
  <w:num w:numId="12">
    <w:abstractNumId w:val="46"/>
  </w:num>
  <w:num w:numId="13">
    <w:abstractNumId w:val="49"/>
  </w:num>
  <w:num w:numId="14">
    <w:abstractNumId w:val="48"/>
  </w:num>
  <w:num w:numId="15">
    <w:abstractNumId w:val="26"/>
  </w:num>
  <w:num w:numId="16">
    <w:abstractNumId w:val="30"/>
  </w:num>
  <w:num w:numId="17">
    <w:abstractNumId w:val="14"/>
  </w:num>
  <w:num w:numId="18">
    <w:abstractNumId w:val="21"/>
  </w:num>
  <w:num w:numId="19">
    <w:abstractNumId w:val="6"/>
  </w:num>
  <w:num w:numId="20">
    <w:abstractNumId w:val="2"/>
  </w:num>
  <w:num w:numId="21">
    <w:abstractNumId w:val="15"/>
  </w:num>
  <w:num w:numId="22">
    <w:abstractNumId w:val="42"/>
  </w:num>
  <w:num w:numId="23">
    <w:abstractNumId w:val="12"/>
  </w:num>
  <w:num w:numId="24">
    <w:abstractNumId w:val="25"/>
  </w:num>
  <w:num w:numId="25">
    <w:abstractNumId w:val="41"/>
  </w:num>
  <w:num w:numId="26">
    <w:abstractNumId w:val="39"/>
  </w:num>
  <w:num w:numId="27">
    <w:abstractNumId w:val="11"/>
  </w:num>
  <w:num w:numId="28">
    <w:abstractNumId w:val="43"/>
  </w:num>
  <w:num w:numId="29">
    <w:abstractNumId w:val="24"/>
  </w:num>
  <w:num w:numId="30">
    <w:abstractNumId w:val="18"/>
  </w:num>
  <w:num w:numId="31">
    <w:abstractNumId w:val="9"/>
  </w:num>
  <w:num w:numId="32">
    <w:abstractNumId w:val="0"/>
  </w:num>
  <w:num w:numId="33">
    <w:abstractNumId w:val="10"/>
  </w:num>
  <w:num w:numId="34">
    <w:abstractNumId w:val="33"/>
  </w:num>
  <w:num w:numId="35">
    <w:abstractNumId w:val="47"/>
  </w:num>
  <w:num w:numId="36">
    <w:abstractNumId w:val="23"/>
  </w:num>
  <w:num w:numId="37">
    <w:abstractNumId w:val="51"/>
  </w:num>
  <w:num w:numId="38">
    <w:abstractNumId w:val="17"/>
  </w:num>
  <w:num w:numId="39">
    <w:abstractNumId w:val="31"/>
  </w:num>
  <w:num w:numId="40">
    <w:abstractNumId w:val="40"/>
  </w:num>
  <w:num w:numId="41">
    <w:abstractNumId w:val="22"/>
  </w:num>
  <w:num w:numId="42">
    <w:abstractNumId w:val="38"/>
  </w:num>
  <w:num w:numId="43">
    <w:abstractNumId w:val="13"/>
  </w:num>
  <w:num w:numId="44">
    <w:abstractNumId w:val="20"/>
  </w:num>
  <w:num w:numId="45">
    <w:abstractNumId w:val="28"/>
  </w:num>
  <w:num w:numId="46">
    <w:abstractNumId w:val="29"/>
  </w:num>
  <w:num w:numId="47">
    <w:abstractNumId w:val="36"/>
  </w:num>
  <w:num w:numId="48">
    <w:abstractNumId w:val="5"/>
  </w:num>
  <w:num w:numId="49">
    <w:abstractNumId w:val="4"/>
  </w:num>
  <w:num w:numId="50">
    <w:abstractNumId w:val="37"/>
  </w:num>
  <w:num w:numId="51">
    <w:abstractNumId w:val="52"/>
  </w:num>
  <w:num w:numId="52">
    <w:abstractNumId w:val="34"/>
  </w:num>
  <w:num w:numId="53">
    <w:abstractNumId w:val="1"/>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755D"/>
    <w:rsid w:val="000117B2"/>
    <w:rsid w:val="00014566"/>
    <w:rsid w:val="0001796D"/>
    <w:rsid w:val="00017A02"/>
    <w:rsid w:val="00017BF0"/>
    <w:rsid w:val="0002568B"/>
    <w:rsid w:val="00043FA7"/>
    <w:rsid w:val="000552E8"/>
    <w:rsid w:val="00056585"/>
    <w:rsid w:val="0005674F"/>
    <w:rsid w:val="00057253"/>
    <w:rsid w:val="000572D4"/>
    <w:rsid w:val="00064BAE"/>
    <w:rsid w:val="00065C6E"/>
    <w:rsid w:val="00073F1B"/>
    <w:rsid w:val="00075B58"/>
    <w:rsid w:val="00085446"/>
    <w:rsid w:val="00093E70"/>
    <w:rsid w:val="00095D0E"/>
    <w:rsid w:val="000B11DD"/>
    <w:rsid w:val="000B4ECC"/>
    <w:rsid w:val="000C0372"/>
    <w:rsid w:val="000C390A"/>
    <w:rsid w:val="000C5978"/>
    <w:rsid w:val="000C5FAB"/>
    <w:rsid w:val="000C6EDD"/>
    <w:rsid w:val="000C77DD"/>
    <w:rsid w:val="000D5068"/>
    <w:rsid w:val="000E295B"/>
    <w:rsid w:val="000E45A0"/>
    <w:rsid w:val="000E606E"/>
    <w:rsid w:val="00107460"/>
    <w:rsid w:val="0011018B"/>
    <w:rsid w:val="00112415"/>
    <w:rsid w:val="001157B3"/>
    <w:rsid w:val="00123E68"/>
    <w:rsid w:val="00131D6F"/>
    <w:rsid w:val="00133BB7"/>
    <w:rsid w:val="001362A9"/>
    <w:rsid w:val="0013678D"/>
    <w:rsid w:val="00140A34"/>
    <w:rsid w:val="00140FDD"/>
    <w:rsid w:val="00145264"/>
    <w:rsid w:val="00146337"/>
    <w:rsid w:val="00146ED8"/>
    <w:rsid w:val="00151A28"/>
    <w:rsid w:val="00154199"/>
    <w:rsid w:val="001546DE"/>
    <w:rsid w:val="0015780B"/>
    <w:rsid w:val="00161E46"/>
    <w:rsid w:val="0016213E"/>
    <w:rsid w:val="00167202"/>
    <w:rsid w:val="0017091A"/>
    <w:rsid w:val="001828A4"/>
    <w:rsid w:val="00183CF7"/>
    <w:rsid w:val="0018468E"/>
    <w:rsid w:val="001859DE"/>
    <w:rsid w:val="001876FD"/>
    <w:rsid w:val="001A1206"/>
    <w:rsid w:val="001A2AD6"/>
    <w:rsid w:val="001A3690"/>
    <w:rsid w:val="001A3BE2"/>
    <w:rsid w:val="001C35E7"/>
    <w:rsid w:val="001C4578"/>
    <w:rsid w:val="001E537E"/>
    <w:rsid w:val="001E662E"/>
    <w:rsid w:val="001F28A6"/>
    <w:rsid w:val="001F2A16"/>
    <w:rsid w:val="001F42D8"/>
    <w:rsid w:val="001F4EE5"/>
    <w:rsid w:val="001F6921"/>
    <w:rsid w:val="001F7C3E"/>
    <w:rsid w:val="001F7DDE"/>
    <w:rsid w:val="002013DE"/>
    <w:rsid w:val="00201969"/>
    <w:rsid w:val="0020331B"/>
    <w:rsid w:val="00203A2C"/>
    <w:rsid w:val="0020498E"/>
    <w:rsid w:val="00213E29"/>
    <w:rsid w:val="00213FA5"/>
    <w:rsid w:val="00214C0D"/>
    <w:rsid w:val="00214DF5"/>
    <w:rsid w:val="002264BE"/>
    <w:rsid w:val="00232AA1"/>
    <w:rsid w:val="002349C7"/>
    <w:rsid w:val="0023733A"/>
    <w:rsid w:val="0024044F"/>
    <w:rsid w:val="002414DB"/>
    <w:rsid w:val="0024391E"/>
    <w:rsid w:val="00245D00"/>
    <w:rsid w:val="00257F2D"/>
    <w:rsid w:val="00261149"/>
    <w:rsid w:val="00262F9F"/>
    <w:rsid w:val="00266D2D"/>
    <w:rsid w:val="00267FD2"/>
    <w:rsid w:val="0027331F"/>
    <w:rsid w:val="002802D8"/>
    <w:rsid w:val="002842B0"/>
    <w:rsid w:val="00285E76"/>
    <w:rsid w:val="002949C3"/>
    <w:rsid w:val="00297FE4"/>
    <w:rsid w:val="002A10A4"/>
    <w:rsid w:val="002A26FE"/>
    <w:rsid w:val="002A29BA"/>
    <w:rsid w:val="002B1423"/>
    <w:rsid w:val="002B3D02"/>
    <w:rsid w:val="002B6D8F"/>
    <w:rsid w:val="002C6720"/>
    <w:rsid w:val="002C7A41"/>
    <w:rsid w:val="002D22E9"/>
    <w:rsid w:val="002E6B6D"/>
    <w:rsid w:val="002F07D9"/>
    <w:rsid w:val="002F1257"/>
    <w:rsid w:val="002F4200"/>
    <w:rsid w:val="002F70CA"/>
    <w:rsid w:val="00304F6A"/>
    <w:rsid w:val="00310C61"/>
    <w:rsid w:val="003166DF"/>
    <w:rsid w:val="003171B3"/>
    <w:rsid w:val="0032559D"/>
    <w:rsid w:val="00333087"/>
    <w:rsid w:val="003368AC"/>
    <w:rsid w:val="00337280"/>
    <w:rsid w:val="00343849"/>
    <w:rsid w:val="00344575"/>
    <w:rsid w:val="00350EBF"/>
    <w:rsid w:val="0035113C"/>
    <w:rsid w:val="00352B81"/>
    <w:rsid w:val="00354525"/>
    <w:rsid w:val="00365DC7"/>
    <w:rsid w:val="00365F7A"/>
    <w:rsid w:val="0037047A"/>
    <w:rsid w:val="00380CC4"/>
    <w:rsid w:val="00382508"/>
    <w:rsid w:val="003869A3"/>
    <w:rsid w:val="003946D8"/>
    <w:rsid w:val="00395026"/>
    <w:rsid w:val="003974C9"/>
    <w:rsid w:val="003A7F99"/>
    <w:rsid w:val="003C0686"/>
    <w:rsid w:val="003C3DD4"/>
    <w:rsid w:val="003D08CF"/>
    <w:rsid w:val="003D0CBA"/>
    <w:rsid w:val="003D0F6A"/>
    <w:rsid w:val="003D4BA8"/>
    <w:rsid w:val="003D6CB2"/>
    <w:rsid w:val="003E5269"/>
    <w:rsid w:val="003F2F62"/>
    <w:rsid w:val="003F79B0"/>
    <w:rsid w:val="004025D9"/>
    <w:rsid w:val="004030E3"/>
    <w:rsid w:val="00405394"/>
    <w:rsid w:val="004066E4"/>
    <w:rsid w:val="0040680B"/>
    <w:rsid w:val="00407361"/>
    <w:rsid w:val="00417C55"/>
    <w:rsid w:val="00424A7B"/>
    <w:rsid w:val="004314E5"/>
    <w:rsid w:val="00437534"/>
    <w:rsid w:val="00442C3C"/>
    <w:rsid w:val="004447C1"/>
    <w:rsid w:val="00450F62"/>
    <w:rsid w:val="00456940"/>
    <w:rsid w:val="00460A61"/>
    <w:rsid w:val="0046211F"/>
    <w:rsid w:val="0046383A"/>
    <w:rsid w:val="0046787B"/>
    <w:rsid w:val="00467F12"/>
    <w:rsid w:val="00477A78"/>
    <w:rsid w:val="0048631C"/>
    <w:rsid w:val="00486653"/>
    <w:rsid w:val="004A5882"/>
    <w:rsid w:val="004A5FDA"/>
    <w:rsid w:val="004B0E41"/>
    <w:rsid w:val="004B6F05"/>
    <w:rsid w:val="004B7F33"/>
    <w:rsid w:val="004C2B91"/>
    <w:rsid w:val="004C5912"/>
    <w:rsid w:val="004C75B0"/>
    <w:rsid w:val="004D098C"/>
    <w:rsid w:val="004D24A9"/>
    <w:rsid w:val="004E1657"/>
    <w:rsid w:val="004E4798"/>
    <w:rsid w:val="004E5357"/>
    <w:rsid w:val="004E554C"/>
    <w:rsid w:val="004F4A07"/>
    <w:rsid w:val="004F5EB1"/>
    <w:rsid w:val="004F6887"/>
    <w:rsid w:val="005030AD"/>
    <w:rsid w:val="00506A1D"/>
    <w:rsid w:val="00507534"/>
    <w:rsid w:val="0051249C"/>
    <w:rsid w:val="0051693F"/>
    <w:rsid w:val="005176E7"/>
    <w:rsid w:val="00520330"/>
    <w:rsid w:val="00524B6B"/>
    <w:rsid w:val="0052655E"/>
    <w:rsid w:val="005335A6"/>
    <w:rsid w:val="0053649D"/>
    <w:rsid w:val="005413EE"/>
    <w:rsid w:val="00544D61"/>
    <w:rsid w:val="00552E52"/>
    <w:rsid w:val="00563377"/>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4B0C"/>
    <w:rsid w:val="005B50A2"/>
    <w:rsid w:val="005B7555"/>
    <w:rsid w:val="005C2A9D"/>
    <w:rsid w:val="005C3408"/>
    <w:rsid w:val="005D35BC"/>
    <w:rsid w:val="005D4D3E"/>
    <w:rsid w:val="005D611B"/>
    <w:rsid w:val="005F1ACE"/>
    <w:rsid w:val="005F23D5"/>
    <w:rsid w:val="005F256D"/>
    <w:rsid w:val="005F2ED9"/>
    <w:rsid w:val="005F33C6"/>
    <w:rsid w:val="005F51F2"/>
    <w:rsid w:val="0060183A"/>
    <w:rsid w:val="00603110"/>
    <w:rsid w:val="00611C8E"/>
    <w:rsid w:val="006141F7"/>
    <w:rsid w:val="00620135"/>
    <w:rsid w:val="0062389A"/>
    <w:rsid w:val="00631F30"/>
    <w:rsid w:val="00641A0F"/>
    <w:rsid w:val="00642420"/>
    <w:rsid w:val="00646158"/>
    <w:rsid w:val="00652CF7"/>
    <w:rsid w:val="0065563D"/>
    <w:rsid w:val="00655B96"/>
    <w:rsid w:val="0066622C"/>
    <w:rsid w:val="00666487"/>
    <w:rsid w:val="00672D6A"/>
    <w:rsid w:val="0067371B"/>
    <w:rsid w:val="00673B37"/>
    <w:rsid w:val="006826FB"/>
    <w:rsid w:val="006918F1"/>
    <w:rsid w:val="00693B19"/>
    <w:rsid w:val="006945EA"/>
    <w:rsid w:val="006B5470"/>
    <w:rsid w:val="006B5A7F"/>
    <w:rsid w:val="006C3B0D"/>
    <w:rsid w:val="006D0138"/>
    <w:rsid w:val="006D496E"/>
    <w:rsid w:val="006D6F52"/>
    <w:rsid w:val="006E53AF"/>
    <w:rsid w:val="006F4D30"/>
    <w:rsid w:val="006F719E"/>
    <w:rsid w:val="00701718"/>
    <w:rsid w:val="00702BA4"/>
    <w:rsid w:val="00710359"/>
    <w:rsid w:val="00712FFF"/>
    <w:rsid w:val="00722DBF"/>
    <w:rsid w:val="00733990"/>
    <w:rsid w:val="00735157"/>
    <w:rsid w:val="007365F1"/>
    <w:rsid w:val="007367C1"/>
    <w:rsid w:val="00740498"/>
    <w:rsid w:val="0074218D"/>
    <w:rsid w:val="00746686"/>
    <w:rsid w:val="00752600"/>
    <w:rsid w:val="0075572A"/>
    <w:rsid w:val="007571D0"/>
    <w:rsid w:val="007579F0"/>
    <w:rsid w:val="00775490"/>
    <w:rsid w:val="007763BC"/>
    <w:rsid w:val="007937D4"/>
    <w:rsid w:val="00795D0C"/>
    <w:rsid w:val="007972C4"/>
    <w:rsid w:val="007A3733"/>
    <w:rsid w:val="007A55BA"/>
    <w:rsid w:val="007B3453"/>
    <w:rsid w:val="007C1F42"/>
    <w:rsid w:val="007C1FBD"/>
    <w:rsid w:val="007C3B94"/>
    <w:rsid w:val="007C67A5"/>
    <w:rsid w:val="007D3043"/>
    <w:rsid w:val="007D60C3"/>
    <w:rsid w:val="007E01F8"/>
    <w:rsid w:val="007E22F5"/>
    <w:rsid w:val="007E441A"/>
    <w:rsid w:val="007E58AE"/>
    <w:rsid w:val="007F25F3"/>
    <w:rsid w:val="007F4229"/>
    <w:rsid w:val="007F4901"/>
    <w:rsid w:val="007F7898"/>
    <w:rsid w:val="008120F6"/>
    <w:rsid w:val="008128BA"/>
    <w:rsid w:val="008141A4"/>
    <w:rsid w:val="00825B6C"/>
    <w:rsid w:val="0082750E"/>
    <w:rsid w:val="00835B59"/>
    <w:rsid w:val="00836B02"/>
    <w:rsid w:val="0084011B"/>
    <w:rsid w:val="00840DF6"/>
    <w:rsid w:val="008467D4"/>
    <w:rsid w:val="00850BCB"/>
    <w:rsid w:val="00850FB0"/>
    <w:rsid w:val="0085238E"/>
    <w:rsid w:val="00852934"/>
    <w:rsid w:val="008540EA"/>
    <w:rsid w:val="008547A2"/>
    <w:rsid w:val="00857591"/>
    <w:rsid w:val="0086082F"/>
    <w:rsid w:val="00861D05"/>
    <w:rsid w:val="00866A00"/>
    <w:rsid w:val="0086797B"/>
    <w:rsid w:val="008702A6"/>
    <w:rsid w:val="008757CE"/>
    <w:rsid w:val="008763C8"/>
    <w:rsid w:val="0087755A"/>
    <w:rsid w:val="00877798"/>
    <w:rsid w:val="0088392C"/>
    <w:rsid w:val="0088633B"/>
    <w:rsid w:val="0089160A"/>
    <w:rsid w:val="00894F6D"/>
    <w:rsid w:val="00897C0E"/>
    <w:rsid w:val="00897E31"/>
    <w:rsid w:val="008A046F"/>
    <w:rsid w:val="008A0489"/>
    <w:rsid w:val="008A405A"/>
    <w:rsid w:val="008A6A6A"/>
    <w:rsid w:val="008B650A"/>
    <w:rsid w:val="008B787C"/>
    <w:rsid w:val="008C3898"/>
    <w:rsid w:val="008C66CC"/>
    <w:rsid w:val="008F483C"/>
    <w:rsid w:val="008F52DF"/>
    <w:rsid w:val="00912D61"/>
    <w:rsid w:val="0091541E"/>
    <w:rsid w:val="009169CB"/>
    <w:rsid w:val="00923A59"/>
    <w:rsid w:val="009274F5"/>
    <w:rsid w:val="009309CD"/>
    <w:rsid w:val="009322D7"/>
    <w:rsid w:val="00932BDE"/>
    <w:rsid w:val="009405C9"/>
    <w:rsid w:val="009468D4"/>
    <w:rsid w:val="009502DF"/>
    <w:rsid w:val="009505C9"/>
    <w:rsid w:val="00957E59"/>
    <w:rsid w:val="0096704C"/>
    <w:rsid w:val="00967725"/>
    <w:rsid w:val="00967823"/>
    <w:rsid w:val="00972726"/>
    <w:rsid w:val="00974665"/>
    <w:rsid w:val="009777A3"/>
    <w:rsid w:val="00982084"/>
    <w:rsid w:val="009835B0"/>
    <w:rsid w:val="009902F8"/>
    <w:rsid w:val="00992CF5"/>
    <w:rsid w:val="00993BB8"/>
    <w:rsid w:val="0099555F"/>
    <w:rsid w:val="009A22A1"/>
    <w:rsid w:val="009B3A17"/>
    <w:rsid w:val="009B3A1B"/>
    <w:rsid w:val="009B3E5B"/>
    <w:rsid w:val="009B3EC1"/>
    <w:rsid w:val="009B6332"/>
    <w:rsid w:val="009C0912"/>
    <w:rsid w:val="009C1910"/>
    <w:rsid w:val="009C5E17"/>
    <w:rsid w:val="009D6694"/>
    <w:rsid w:val="009E0338"/>
    <w:rsid w:val="009F0300"/>
    <w:rsid w:val="009F788F"/>
    <w:rsid w:val="00A02A5F"/>
    <w:rsid w:val="00A03BA5"/>
    <w:rsid w:val="00A12C38"/>
    <w:rsid w:val="00A167A8"/>
    <w:rsid w:val="00A21F0A"/>
    <w:rsid w:val="00A26011"/>
    <w:rsid w:val="00A27E45"/>
    <w:rsid w:val="00A41EDF"/>
    <w:rsid w:val="00A506C2"/>
    <w:rsid w:val="00A51138"/>
    <w:rsid w:val="00A53733"/>
    <w:rsid w:val="00A54F12"/>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44CA"/>
    <w:rsid w:val="00AB780C"/>
    <w:rsid w:val="00AC3A29"/>
    <w:rsid w:val="00AD5ADE"/>
    <w:rsid w:val="00AD6A21"/>
    <w:rsid w:val="00AE7138"/>
    <w:rsid w:val="00AF1619"/>
    <w:rsid w:val="00AF4CAF"/>
    <w:rsid w:val="00AF7DBA"/>
    <w:rsid w:val="00B117BA"/>
    <w:rsid w:val="00B12009"/>
    <w:rsid w:val="00B12532"/>
    <w:rsid w:val="00B15010"/>
    <w:rsid w:val="00B20D87"/>
    <w:rsid w:val="00B336D3"/>
    <w:rsid w:val="00B339BF"/>
    <w:rsid w:val="00B479FD"/>
    <w:rsid w:val="00B50F89"/>
    <w:rsid w:val="00B53E38"/>
    <w:rsid w:val="00B55BBC"/>
    <w:rsid w:val="00B578AC"/>
    <w:rsid w:val="00B6433F"/>
    <w:rsid w:val="00B64CF5"/>
    <w:rsid w:val="00B701B5"/>
    <w:rsid w:val="00B72EB7"/>
    <w:rsid w:val="00B766F7"/>
    <w:rsid w:val="00B76A01"/>
    <w:rsid w:val="00B76C9B"/>
    <w:rsid w:val="00B77BAB"/>
    <w:rsid w:val="00B823A1"/>
    <w:rsid w:val="00B840F6"/>
    <w:rsid w:val="00B8428B"/>
    <w:rsid w:val="00B84EBA"/>
    <w:rsid w:val="00BA1D43"/>
    <w:rsid w:val="00BA3BAF"/>
    <w:rsid w:val="00BA41F5"/>
    <w:rsid w:val="00BB11FA"/>
    <w:rsid w:val="00BB3C9C"/>
    <w:rsid w:val="00BF12D2"/>
    <w:rsid w:val="00BF4822"/>
    <w:rsid w:val="00C01D22"/>
    <w:rsid w:val="00C104B6"/>
    <w:rsid w:val="00C10F02"/>
    <w:rsid w:val="00C114F4"/>
    <w:rsid w:val="00C11B5E"/>
    <w:rsid w:val="00C11D03"/>
    <w:rsid w:val="00C12984"/>
    <w:rsid w:val="00C31967"/>
    <w:rsid w:val="00C371DE"/>
    <w:rsid w:val="00C409AE"/>
    <w:rsid w:val="00C416A4"/>
    <w:rsid w:val="00C42D50"/>
    <w:rsid w:val="00C4702D"/>
    <w:rsid w:val="00C54DF8"/>
    <w:rsid w:val="00C60B49"/>
    <w:rsid w:val="00C6127A"/>
    <w:rsid w:val="00C614E2"/>
    <w:rsid w:val="00C7440A"/>
    <w:rsid w:val="00C7629C"/>
    <w:rsid w:val="00C76E3D"/>
    <w:rsid w:val="00C84E3E"/>
    <w:rsid w:val="00C865ED"/>
    <w:rsid w:val="00C8775A"/>
    <w:rsid w:val="00CA0877"/>
    <w:rsid w:val="00CA6B59"/>
    <w:rsid w:val="00CA7A15"/>
    <w:rsid w:val="00CB3B6C"/>
    <w:rsid w:val="00CC1833"/>
    <w:rsid w:val="00CC189F"/>
    <w:rsid w:val="00CC3368"/>
    <w:rsid w:val="00CD757F"/>
    <w:rsid w:val="00CF1655"/>
    <w:rsid w:val="00CF16D8"/>
    <w:rsid w:val="00CF19C4"/>
    <w:rsid w:val="00D01FE8"/>
    <w:rsid w:val="00D07B5D"/>
    <w:rsid w:val="00D111EA"/>
    <w:rsid w:val="00D13C04"/>
    <w:rsid w:val="00D20695"/>
    <w:rsid w:val="00D20A78"/>
    <w:rsid w:val="00D25680"/>
    <w:rsid w:val="00D278BA"/>
    <w:rsid w:val="00D348D9"/>
    <w:rsid w:val="00D35EE3"/>
    <w:rsid w:val="00D40454"/>
    <w:rsid w:val="00D4059C"/>
    <w:rsid w:val="00D50FEE"/>
    <w:rsid w:val="00D53D8F"/>
    <w:rsid w:val="00D56ABA"/>
    <w:rsid w:val="00D6002B"/>
    <w:rsid w:val="00D61C76"/>
    <w:rsid w:val="00D66AE4"/>
    <w:rsid w:val="00D77015"/>
    <w:rsid w:val="00D848B4"/>
    <w:rsid w:val="00D92B48"/>
    <w:rsid w:val="00D94D96"/>
    <w:rsid w:val="00DA4A50"/>
    <w:rsid w:val="00DB078F"/>
    <w:rsid w:val="00DB1693"/>
    <w:rsid w:val="00DB4A34"/>
    <w:rsid w:val="00DC34F2"/>
    <w:rsid w:val="00DC7729"/>
    <w:rsid w:val="00DD10A8"/>
    <w:rsid w:val="00DD1AEB"/>
    <w:rsid w:val="00DD21E8"/>
    <w:rsid w:val="00DD5B07"/>
    <w:rsid w:val="00DD7EED"/>
    <w:rsid w:val="00DE6821"/>
    <w:rsid w:val="00DE7406"/>
    <w:rsid w:val="00DF2022"/>
    <w:rsid w:val="00DF34BE"/>
    <w:rsid w:val="00DF5D59"/>
    <w:rsid w:val="00E05F60"/>
    <w:rsid w:val="00E110F5"/>
    <w:rsid w:val="00E12AEF"/>
    <w:rsid w:val="00E239E4"/>
    <w:rsid w:val="00E36A38"/>
    <w:rsid w:val="00E44419"/>
    <w:rsid w:val="00E44D12"/>
    <w:rsid w:val="00E46198"/>
    <w:rsid w:val="00E53399"/>
    <w:rsid w:val="00E57797"/>
    <w:rsid w:val="00E71B0E"/>
    <w:rsid w:val="00E7393B"/>
    <w:rsid w:val="00E77995"/>
    <w:rsid w:val="00E87099"/>
    <w:rsid w:val="00E87BA6"/>
    <w:rsid w:val="00EA28E6"/>
    <w:rsid w:val="00EA4734"/>
    <w:rsid w:val="00EB20CA"/>
    <w:rsid w:val="00EC0A36"/>
    <w:rsid w:val="00EC2FE1"/>
    <w:rsid w:val="00EC4313"/>
    <w:rsid w:val="00ED3EA6"/>
    <w:rsid w:val="00ED6F00"/>
    <w:rsid w:val="00EE3D1A"/>
    <w:rsid w:val="00EE79C4"/>
    <w:rsid w:val="00EF78C4"/>
    <w:rsid w:val="00F027C5"/>
    <w:rsid w:val="00F03F0A"/>
    <w:rsid w:val="00F04CD7"/>
    <w:rsid w:val="00F04F17"/>
    <w:rsid w:val="00F058D9"/>
    <w:rsid w:val="00F1234C"/>
    <w:rsid w:val="00F12F77"/>
    <w:rsid w:val="00F1336E"/>
    <w:rsid w:val="00F17663"/>
    <w:rsid w:val="00F17F96"/>
    <w:rsid w:val="00F23E15"/>
    <w:rsid w:val="00F244A2"/>
    <w:rsid w:val="00F26D70"/>
    <w:rsid w:val="00F35064"/>
    <w:rsid w:val="00F374D8"/>
    <w:rsid w:val="00F40346"/>
    <w:rsid w:val="00F5684D"/>
    <w:rsid w:val="00F57AB6"/>
    <w:rsid w:val="00F6480F"/>
    <w:rsid w:val="00F84A3A"/>
    <w:rsid w:val="00F86713"/>
    <w:rsid w:val="00F932E0"/>
    <w:rsid w:val="00FA46AA"/>
    <w:rsid w:val="00FB2EB0"/>
    <w:rsid w:val="00FB7701"/>
    <w:rsid w:val="00FC25CA"/>
    <w:rsid w:val="00FC36C9"/>
    <w:rsid w:val="00FC40F0"/>
    <w:rsid w:val="00FC617B"/>
    <w:rsid w:val="00FC6390"/>
    <w:rsid w:val="00FC6D3B"/>
    <w:rsid w:val="00FD0129"/>
    <w:rsid w:val="00FD2CBA"/>
    <w:rsid w:val="00FD4398"/>
    <w:rsid w:val="00FD54AB"/>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8C46-7F74-4715-9694-C877C6AC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2022-09-08T06:26:00Z</dcterms:created>
  <dcterms:modified xsi:type="dcterms:W3CDTF">2022-09-08T06:28:00Z</dcterms:modified>
</cp:coreProperties>
</file>