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AC02" w14:textId="40D43101" w:rsidR="00017141" w:rsidRPr="00017141" w:rsidRDefault="00017141" w:rsidP="00BC6A40">
      <w:pPr>
        <w:spacing w:after="240" w:line="259" w:lineRule="auto"/>
        <w:jc w:val="center"/>
        <w:rPr>
          <w:rFonts w:ascii="Times New Roman" w:eastAsia="Calibri" w:hAnsi="Times New Roman"/>
          <w:b/>
          <w:sz w:val="28"/>
          <w:szCs w:val="28"/>
        </w:rPr>
      </w:pPr>
      <w:bookmarkStart w:id="0" w:name="_GoBack"/>
      <w:bookmarkEnd w:id="0"/>
      <w:r w:rsidRPr="00017141">
        <w:rPr>
          <w:rFonts w:ascii="Times New Roman" w:eastAsia="Calibri" w:hAnsi="Times New Roman"/>
          <w:b/>
          <w:sz w:val="28"/>
          <w:szCs w:val="28"/>
        </w:rPr>
        <w:t>EXPLANATORY STATEMENT</w:t>
      </w:r>
    </w:p>
    <w:p w14:paraId="3834CFA0" w14:textId="77777777" w:rsidR="00DA2AA1" w:rsidRPr="00BF6A36" w:rsidRDefault="00DA2AA1" w:rsidP="00C1088D">
      <w:pPr>
        <w:spacing w:after="240" w:line="259" w:lineRule="auto"/>
        <w:jc w:val="center"/>
        <w:rPr>
          <w:rFonts w:ascii="Times New Roman" w:eastAsia="Calibri" w:hAnsi="Times New Roman"/>
          <w:sz w:val="24"/>
        </w:rPr>
      </w:pPr>
      <w:r w:rsidRPr="00C46410">
        <w:rPr>
          <w:rFonts w:ascii="Times New Roman" w:eastAsia="Calibri" w:hAnsi="Times New Roman"/>
          <w:sz w:val="24"/>
        </w:rPr>
        <w:t>Issued by authority of the AUSTRAC CEO</w:t>
      </w:r>
    </w:p>
    <w:p w14:paraId="5D0DF0EF" w14:textId="77777777" w:rsidR="00DA2AA1" w:rsidRPr="00C1088D" w:rsidRDefault="00DA2AA1" w:rsidP="00C1088D">
      <w:pPr>
        <w:spacing w:after="240" w:line="259" w:lineRule="auto"/>
        <w:jc w:val="center"/>
        <w:rPr>
          <w:rFonts w:ascii="Times New Roman" w:eastAsia="Calibri" w:hAnsi="Times New Roman"/>
          <w:i/>
          <w:sz w:val="24"/>
        </w:rPr>
      </w:pPr>
      <w:r w:rsidRPr="00C1088D">
        <w:rPr>
          <w:rFonts w:ascii="Times New Roman" w:eastAsia="Calibri" w:hAnsi="Times New Roman"/>
          <w:i/>
          <w:sz w:val="24"/>
        </w:rPr>
        <w:t>Anti-Money Laundering and Counter-Terrorism Financing Act 2006</w:t>
      </w:r>
    </w:p>
    <w:p w14:paraId="7AE0E96C" w14:textId="5AB4073B" w:rsidR="00DA2AA1" w:rsidRPr="00C46410" w:rsidRDefault="00DA2AA1">
      <w:pPr>
        <w:spacing w:after="240" w:line="259" w:lineRule="auto"/>
        <w:jc w:val="center"/>
        <w:rPr>
          <w:rFonts w:ascii="Times New Roman" w:eastAsia="Calibri" w:hAnsi="Times New Roman"/>
          <w:i/>
          <w:sz w:val="24"/>
        </w:rPr>
      </w:pPr>
      <w:r w:rsidRPr="00C46410">
        <w:rPr>
          <w:rFonts w:ascii="Times New Roman" w:eastAsia="Calibri" w:hAnsi="Times New Roman"/>
          <w:i/>
          <w:sz w:val="24"/>
        </w:rPr>
        <w:t xml:space="preserve">Anti-Money Laundering and Counter-Terrorism Financing Rules Amendment </w:t>
      </w:r>
      <w:r w:rsidR="00E833BB">
        <w:rPr>
          <w:rFonts w:ascii="Times New Roman" w:eastAsia="Calibri" w:hAnsi="Times New Roman"/>
          <w:i/>
          <w:sz w:val="24"/>
        </w:rPr>
        <w:t xml:space="preserve">(Chapter 16 Amendments) </w:t>
      </w:r>
      <w:r w:rsidRPr="00C46410">
        <w:rPr>
          <w:rFonts w:ascii="Times New Roman" w:eastAsia="Calibri" w:hAnsi="Times New Roman"/>
          <w:i/>
          <w:sz w:val="24"/>
        </w:rPr>
        <w:t>Instrument 202</w:t>
      </w:r>
      <w:r w:rsidR="00FC0371">
        <w:rPr>
          <w:rFonts w:ascii="Times New Roman" w:eastAsia="Calibri" w:hAnsi="Times New Roman"/>
          <w:i/>
          <w:sz w:val="24"/>
        </w:rPr>
        <w:t>2</w:t>
      </w:r>
    </w:p>
    <w:p w14:paraId="02072A80" w14:textId="358F5200" w:rsidR="00017141" w:rsidRPr="00C46410" w:rsidRDefault="004F00BC" w:rsidP="00C1088D">
      <w:pPr>
        <w:spacing w:after="160" w:line="259" w:lineRule="auto"/>
        <w:rPr>
          <w:rFonts w:ascii="Times New Roman" w:eastAsia="Calibri" w:hAnsi="Times New Roman"/>
          <w:sz w:val="24"/>
        </w:rPr>
      </w:pPr>
      <w:r w:rsidRPr="00C46410">
        <w:rPr>
          <w:rFonts w:ascii="Times New Roman" w:eastAsia="Calibri" w:hAnsi="Times New Roman"/>
          <w:b/>
          <w:bCs/>
          <w:sz w:val="24"/>
        </w:rPr>
        <w:t>AUTHORITY</w:t>
      </w:r>
    </w:p>
    <w:p w14:paraId="63C7502B" w14:textId="2E1D09D5" w:rsidR="00FC0371" w:rsidRDefault="00FC0371" w:rsidP="00FC0371">
      <w:pPr>
        <w:pStyle w:val="Style1"/>
        <w:spacing w:line="259" w:lineRule="auto"/>
      </w:pPr>
      <w:r w:rsidRPr="00047C65">
        <w:t>Section 229 of the </w:t>
      </w:r>
      <w:r w:rsidRPr="00047C65">
        <w:rPr>
          <w:i/>
          <w:iCs/>
        </w:rPr>
        <w:t xml:space="preserve">Anti-Money Laundering and Counter-Terrorism Financing Act 2006 </w:t>
      </w:r>
      <w:r w:rsidRPr="00047C65">
        <w:rPr>
          <w:iCs/>
        </w:rPr>
        <w:t>(</w:t>
      </w:r>
      <w:r w:rsidRPr="00FC0371">
        <w:rPr>
          <w:b/>
          <w:iCs/>
        </w:rPr>
        <w:t>AML/CTF Act</w:t>
      </w:r>
      <w:r w:rsidRPr="00047C65">
        <w:rPr>
          <w:iCs/>
        </w:rPr>
        <w:t>)</w:t>
      </w:r>
      <w:r w:rsidRPr="00047C65">
        <w:rPr>
          <w:i/>
          <w:iCs/>
        </w:rPr>
        <w:t xml:space="preserve"> </w:t>
      </w:r>
      <w:r w:rsidRPr="00047C65">
        <w:t>provides that the AUSTRAC CEO may, by legislative instrument, make Anti-Money Laundering and Counter-Terrorism Financing Rules (</w:t>
      </w:r>
      <w:r w:rsidRPr="00826D35">
        <w:rPr>
          <w:b/>
        </w:rPr>
        <w:t>AML/CTF Rules</w:t>
      </w:r>
      <w:r w:rsidRPr="00047C65">
        <w:t xml:space="preserve">). These Rules are set out in the </w:t>
      </w:r>
      <w:r w:rsidRPr="00047C65">
        <w:rPr>
          <w:i/>
        </w:rPr>
        <w:t>Anti-Money Laundering and Counter-Terrorism Financing Rules Instrument 2007 (No. 1)</w:t>
      </w:r>
      <w:r w:rsidRPr="00047C65">
        <w:t>.</w:t>
      </w:r>
    </w:p>
    <w:p w14:paraId="2B0EFD8F" w14:textId="5E267F08" w:rsidR="00826D35" w:rsidRPr="00826D35" w:rsidRDefault="00826D35" w:rsidP="00826D35">
      <w:pPr>
        <w:pStyle w:val="Style1"/>
        <w:numPr>
          <w:ilvl w:val="0"/>
          <w:numId w:val="0"/>
        </w:numPr>
        <w:spacing w:after="160" w:line="259" w:lineRule="auto"/>
        <w:rPr>
          <w:b/>
          <w:caps/>
        </w:rPr>
      </w:pPr>
      <w:r w:rsidRPr="00826D35">
        <w:rPr>
          <w:b/>
          <w:caps/>
        </w:rPr>
        <w:t>Purpose and operation of the instrument</w:t>
      </w:r>
    </w:p>
    <w:p w14:paraId="7F3957B1" w14:textId="535A2C16" w:rsidR="00826D35" w:rsidRDefault="003F2742" w:rsidP="00FC0371">
      <w:pPr>
        <w:pStyle w:val="Style1"/>
        <w:spacing w:line="259" w:lineRule="auto"/>
      </w:pPr>
      <w:r>
        <w:t xml:space="preserve">The </w:t>
      </w:r>
      <w:r w:rsidRPr="00047C65">
        <w:rPr>
          <w:i/>
        </w:rPr>
        <w:t xml:space="preserve">Anti-Money Laundering and Counter-Terrorism Financing Rules </w:t>
      </w:r>
      <w:r>
        <w:rPr>
          <w:i/>
        </w:rPr>
        <w:t xml:space="preserve">Amendment </w:t>
      </w:r>
      <w:r w:rsidR="00E833BB">
        <w:rPr>
          <w:i/>
        </w:rPr>
        <w:t xml:space="preserve">(Chapter 16 Amendments) </w:t>
      </w:r>
      <w:r>
        <w:rPr>
          <w:i/>
        </w:rPr>
        <w:t xml:space="preserve">Instrument 2022 </w:t>
      </w:r>
      <w:r>
        <w:t xml:space="preserve">(the </w:t>
      </w:r>
      <w:r w:rsidRPr="003F2742">
        <w:rPr>
          <w:b/>
        </w:rPr>
        <w:t>Amendment Instrument</w:t>
      </w:r>
      <w:r>
        <w:t xml:space="preserve">) is a legislative instrument for the purposes of the </w:t>
      </w:r>
      <w:r w:rsidRPr="003F2742">
        <w:rPr>
          <w:i/>
        </w:rPr>
        <w:t>Legislation Act 2003</w:t>
      </w:r>
      <w:r>
        <w:t>.</w:t>
      </w:r>
    </w:p>
    <w:p w14:paraId="1A6810C2" w14:textId="0C611392" w:rsidR="0000725F" w:rsidRDefault="0000725F" w:rsidP="00FC0371">
      <w:pPr>
        <w:pStyle w:val="Style1"/>
        <w:spacing w:line="259" w:lineRule="auto"/>
      </w:pPr>
      <w:r>
        <w:t xml:space="preserve">Details of the Amendment Instrument are set out in </w:t>
      </w:r>
      <w:r w:rsidRPr="0000725F">
        <w:rPr>
          <w:u w:val="single"/>
        </w:rPr>
        <w:t>Attachment A</w:t>
      </w:r>
      <w:r>
        <w:rPr>
          <w:u w:val="single"/>
        </w:rPr>
        <w:t>.</w:t>
      </w:r>
    </w:p>
    <w:p w14:paraId="7E012989" w14:textId="2E8787FE" w:rsidR="003F2742" w:rsidRDefault="005B1F64" w:rsidP="00FC0371">
      <w:pPr>
        <w:pStyle w:val="Style1"/>
        <w:spacing w:line="259" w:lineRule="auto"/>
      </w:pPr>
      <w:r>
        <w:t xml:space="preserve">A Statement of Compatibility with Human Rights (the </w:t>
      </w:r>
      <w:r w:rsidRPr="00A57D4B">
        <w:rPr>
          <w:b/>
        </w:rPr>
        <w:t>Statement</w:t>
      </w:r>
      <w:r>
        <w:t xml:space="preserve">) is </w:t>
      </w:r>
      <w:r w:rsidR="00741030">
        <w:t xml:space="preserve">included </w:t>
      </w:r>
      <w:r w:rsidR="0000725F">
        <w:t xml:space="preserve">at </w:t>
      </w:r>
      <w:r w:rsidR="0000725F">
        <w:rPr>
          <w:u w:val="single"/>
        </w:rPr>
        <w:t>Attachment B</w:t>
      </w:r>
      <w:r>
        <w:t xml:space="preserve">. The Statement was completed in accordance with the </w:t>
      </w:r>
      <w:r w:rsidRPr="005B1F64">
        <w:rPr>
          <w:i/>
        </w:rPr>
        <w:t>Human Rights (Parliamentary Scrutiny) Act 2011</w:t>
      </w:r>
      <w:r>
        <w:t xml:space="preserve">. </w:t>
      </w:r>
      <w:r w:rsidR="006D31DE">
        <w:t xml:space="preserve">The overall assessment is that the Amendment Instrument is compatible with </w:t>
      </w:r>
      <w:r w:rsidR="00121DBA">
        <w:t>human rights</w:t>
      </w:r>
      <w:r w:rsidR="006D31DE">
        <w:t>.</w:t>
      </w:r>
    </w:p>
    <w:p w14:paraId="65F1B7C7" w14:textId="7962961F" w:rsidR="00575F83" w:rsidRPr="00854D7A" w:rsidRDefault="00575F83" w:rsidP="00575F83">
      <w:pPr>
        <w:pStyle w:val="Style1"/>
        <w:numPr>
          <w:ilvl w:val="0"/>
          <w:numId w:val="0"/>
        </w:numPr>
        <w:spacing w:line="259" w:lineRule="auto"/>
        <w:rPr>
          <w:b/>
          <w:i/>
        </w:rPr>
      </w:pPr>
      <w:r w:rsidRPr="00854D7A">
        <w:rPr>
          <w:b/>
          <w:i/>
        </w:rPr>
        <w:t>Background</w:t>
      </w:r>
    </w:p>
    <w:p w14:paraId="069ABB1F" w14:textId="0C03759A" w:rsidR="007C0788" w:rsidRPr="006412CE" w:rsidRDefault="00575F83" w:rsidP="00103692">
      <w:pPr>
        <w:pStyle w:val="Style1"/>
        <w:spacing w:line="259" w:lineRule="auto"/>
      </w:pPr>
      <w:r w:rsidRPr="006412CE">
        <w:t xml:space="preserve">The </w:t>
      </w:r>
      <w:r w:rsidRPr="006412CE">
        <w:rPr>
          <w:i/>
        </w:rPr>
        <w:t>Anti-Money Laundering and Counter-Terrorism Financing Rules Amendment Instrument 20</w:t>
      </w:r>
      <w:r w:rsidR="006412CE" w:rsidRPr="006412CE">
        <w:rPr>
          <w:i/>
        </w:rPr>
        <w:t>08</w:t>
      </w:r>
      <w:r w:rsidRPr="006412CE">
        <w:rPr>
          <w:i/>
        </w:rPr>
        <w:t xml:space="preserve"> (No. </w:t>
      </w:r>
      <w:r w:rsidR="006412CE" w:rsidRPr="006412CE">
        <w:rPr>
          <w:i/>
        </w:rPr>
        <w:t>7</w:t>
      </w:r>
      <w:r w:rsidRPr="006412CE">
        <w:rPr>
          <w:i/>
        </w:rPr>
        <w:t xml:space="preserve">) </w:t>
      </w:r>
      <w:r w:rsidRPr="006412CE">
        <w:t>inserted C</w:t>
      </w:r>
      <w:r w:rsidR="007C0788" w:rsidRPr="006412CE">
        <w:t xml:space="preserve">hapter </w:t>
      </w:r>
      <w:r w:rsidR="006412CE" w:rsidRPr="006412CE">
        <w:t>16</w:t>
      </w:r>
      <w:r w:rsidR="007E05AA">
        <w:t xml:space="preserve"> of the AML/CTF Rules that provided</w:t>
      </w:r>
      <w:r w:rsidR="007C0788" w:rsidRPr="006412CE">
        <w:t>:</w:t>
      </w:r>
    </w:p>
    <w:p w14:paraId="49E5A289" w14:textId="3E14A96F" w:rsidR="007E05AA" w:rsidRPr="00103692" w:rsidRDefault="007E05AA" w:rsidP="00103692">
      <w:pPr>
        <w:pStyle w:val="Style1"/>
        <w:numPr>
          <w:ilvl w:val="0"/>
          <w:numId w:val="17"/>
        </w:numPr>
        <w:spacing w:line="259" w:lineRule="auto"/>
      </w:pPr>
      <w:r w:rsidRPr="00103692">
        <w:t>where a person is the sender of an international funds transfer instruction transmitted out of Australia, or the recipient of an international funds transfer instruction transmitted into Australia, the person must give the AUSTRAC CEO a report about the instruction, in the approved form. The report must be given within 10 business days after the day the instruction was sent or received</w:t>
      </w:r>
      <w:r w:rsidR="007C0788" w:rsidRPr="00103692">
        <w:t>;</w:t>
      </w:r>
      <w:r w:rsidRPr="00103692">
        <w:t xml:space="preserve"> and</w:t>
      </w:r>
    </w:p>
    <w:p w14:paraId="39275F65" w14:textId="2CDAE3E0" w:rsidR="007E05AA" w:rsidRPr="00103692" w:rsidRDefault="00222311" w:rsidP="00103692">
      <w:pPr>
        <w:pStyle w:val="ListParagraph"/>
        <w:numPr>
          <w:ilvl w:val="0"/>
          <w:numId w:val="17"/>
        </w:numPr>
        <w:autoSpaceDE w:val="0"/>
        <w:autoSpaceDN w:val="0"/>
        <w:adjustRightInd w:val="0"/>
        <w:spacing w:before="240" w:line="259" w:lineRule="auto"/>
        <w:rPr>
          <w:rFonts w:ascii="Times New Roman" w:hAnsi="Times New Roman"/>
          <w:sz w:val="24"/>
        </w:rPr>
      </w:pPr>
      <w:r>
        <w:rPr>
          <w:rFonts w:ascii="Times New Roman" w:hAnsi="Times New Roman"/>
          <w:sz w:val="24"/>
        </w:rPr>
        <w:t>w</w:t>
      </w:r>
      <w:r w:rsidR="007E05AA" w:rsidRPr="00103692">
        <w:rPr>
          <w:rFonts w:ascii="Times New Roman" w:hAnsi="Times New Roman"/>
          <w:sz w:val="24"/>
        </w:rPr>
        <w:t xml:space="preserve">ithin the meaning of items 1 and 2 of the table in section 46 of the AML/CTF Act, the report must contain such information as specified in the AML/CTF Rules. The information specified in the AML/CTF Rules includes certain details of the payer, ordering institution, beneficiary </w:t>
      </w:r>
      <w:r w:rsidR="007E05AA" w:rsidRPr="00103692">
        <w:rPr>
          <w:rFonts w:ascii="Times New Roman" w:hAnsi="Times New Roman"/>
          <w:sz w:val="24"/>
        </w:rPr>
        <w:lastRenderedPageBreak/>
        <w:t>institution and payee, relating to instructions transmitted into and out of Australia.</w:t>
      </w:r>
    </w:p>
    <w:p w14:paraId="1C179284" w14:textId="2154DD5A" w:rsidR="00854D7A" w:rsidRPr="00D34262" w:rsidRDefault="00854D7A" w:rsidP="00854D7A">
      <w:pPr>
        <w:pStyle w:val="Style1"/>
        <w:numPr>
          <w:ilvl w:val="0"/>
          <w:numId w:val="0"/>
        </w:numPr>
        <w:spacing w:line="259" w:lineRule="auto"/>
        <w:rPr>
          <w:b/>
          <w:i/>
        </w:rPr>
      </w:pPr>
      <w:r w:rsidRPr="00D34262">
        <w:rPr>
          <w:b/>
          <w:i/>
        </w:rPr>
        <w:t xml:space="preserve">Amendment to Chapter </w:t>
      </w:r>
      <w:r w:rsidR="00103692" w:rsidRPr="00D34262">
        <w:rPr>
          <w:b/>
          <w:i/>
        </w:rPr>
        <w:t>16</w:t>
      </w:r>
    </w:p>
    <w:p w14:paraId="06EB30C6" w14:textId="2FD990D3" w:rsidR="00407157" w:rsidRDefault="00407157" w:rsidP="00407157">
      <w:pPr>
        <w:pStyle w:val="Style1"/>
        <w:spacing w:line="259" w:lineRule="auto"/>
      </w:pPr>
      <w:r>
        <w:t>The Society for Worldwide Interbank Financial Telecommunications (</w:t>
      </w:r>
      <w:r w:rsidRPr="00407157">
        <w:t>SWIFT</w:t>
      </w:r>
      <w:r>
        <w:t>), has, up until now, used a proprietary messaging format known as the M</w:t>
      </w:r>
      <w:r w:rsidR="00C177CC">
        <w:t xml:space="preserve">essage </w:t>
      </w:r>
      <w:r>
        <w:t>T</w:t>
      </w:r>
      <w:r w:rsidR="00C177CC">
        <w:t>ransfer</w:t>
      </w:r>
      <w:r>
        <w:t xml:space="preserve"> format.</w:t>
      </w:r>
    </w:p>
    <w:p w14:paraId="7F6A58C3" w14:textId="51DC525F" w:rsidR="00A57D4B" w:rsidRDefault="00A57D4B" w:rsidP="00A57D4B">
      <w:pPr>
        <w:pStyle w:val="Style1"/>
        <w:spacing w:line="259" w:lineRule="auto"/>
      </w:pPr>
      <w:r w:rsidDel="00121DBA">
        <w:rPr>
          <w:rFonts w:cstheme="minorHAnsi"/>
        </w:rPr>
        <w:t xml:space="preserve">A number of Reporting Entities under the AML/CTF Act use the </w:t>
      </w:r>
      <w:r w:rsidRPr="00764B7C" w:rsidDel="00121DBA">
        <w:rPr>
          <w:rFonts w:cstheme="minorHAnsi"/>
        </w:rPr>
        <w:t xml:space="preserve">SWIFT </w:t>
      </w:r>
      <w:r w:rsidDel="00121DBA">
        <w:rPr>
          <w:rFonts w:cstheme="minorHAnsi"/>
        </w:rPr>
        <w:t>Message Transfer format to meet their internal funds transfer</w:t>
      </w:r>
      <w:r w:rsidRPr="00764B7C" w:rsidDel="00121DBA">
        <w:rPr>
          <w:rFonts w:cstheme="minorHAnsi"/>
        </w:rPr>
        <w:t xml:space="preserve"> </w:t>
      </w:r>
      <w:r w:rsidDel="00121DBA">
        <w:rPr>
          <w:rFonts w:cstheme="minorHAnsi"/>
        </w:rPr>
        <w:t xml:space="preserve">instruction </w:t>
      </w:r>
      <w:r w:rsidRPr="00764B7C" w:rsidDel="00121DBA">
        <w:rPr>
          <w:rFonts w:cstheme="minorHAnsi"/>
        </w:rPr>
        <w:t>reporting obligations</w:t>
      </w:r>
      <w:r w:rsidDel="00121DBA">
        <w:rPr>
          <w:rFonts w:cstheme="minorHAnsi"/>
        </w:rPr>
        <w:t xml:space="preserve">. </w:t>
      </w:r>
    </w:p>
    <w:p w14:paraId="1F11C268" w14:textId="69FBE418" w:rsidR="00407157" w:rsidRDefault="00407157" w:rsidP="00407157">
      <w:pPr>
        <w:pStyle w:val="Style1"/>
        <w:spacing w:line="259" w:lineRule="auto"/>
      </w:pPr>
      <w:r>
        <w:t xml:space="preserve">SWIFT </w:t>
      </w:r>
      <w:r w:rsidR="005E3DCE">
        <w:t xml:space="preserve">is </w:t>
      </w:r>
      <w:r>
        <w:t>migrating its messaging format to ISO 20022 which will impact the Australian domestic payments system.</w:t>
      </w:r>
    </w:p>
    <w:p w14:paraId="344EF94F" w14:textId="04E85B50" w:rsidR="00742927" w:rsidRPr="00A57D4B" w:rsidRDefault="00742927" w:rsidP="00742927">
      <w:pPr>
        <w:pStyle w:val="Style1"/>
        <w:spacing w:line="259" w:lineRule="auto"/>
      </w:pPr>
      <w:r w:rsidRPr="00742927">
        <w:rPr>
          <w:rFonts w:eastAsia="Times New Roman"/>
          <w:lang w:eastAsia="en-US"/>
        </w:rPr>
        <w:t xml:space="preserve">The ISO 20022 messaging format contains a number of new </w:t>
      </w:r>
      <w:r w:rsidR="00C177CC">
        <w:rPr>
          <w:rFonts w:eastAsia="Times New Roman"/>
          <w:lang w:eastAsia="en-US"/>
        </w:rPr>
        <w:t xml:space="preserve">information </w:t>
      </w:r>
      <w:r w:rsidRPr="00742927">
        <w:rPr>
          <w:rFonts w:eastAsia="Times New Roman"/>
          <w:lang w:eastAsia="en-US"/>
        </w:rPr>
        <w:t xml:space="preserve">fields </w:t>
      </w:r>
      <w:r w:rsidR="00C177CC">
        <w:rPr>
          <w:rFonts w:eastAsia="Times New Roman"/>
          <w:lang w:eastAsia="en-US"/>
        </w:rPr>
        <w:t xml:space="preserve">that are not addressed </w:t>
      </w:r>
      <w:r w:rsidRPr="00742927">
        <w:rPr>
          <w:rFonts w:eastAsia="Times New Roman"/>
          <w:lang w:eastAsia="en-US"/>
        </w:rPr>
        <w:t xml:space="preserve">in the AML/CTF Act or the AML/CTF Rules. </w:t>
      </w:r>
    </w:p>
    <w:p w14:paraId="5FB68057" w14:textId="60C98C8A" w:rsidR="00742927" w:rsidRPr="00374997" w:rsidRDefault="00742927" w:rsidP="00742927">
      <w:pPr>
        <w:pStyle w:val="Style1"/>
        <w:spacing w:line="259" w:lineRule="auto"/>
      </w:pPr>
      <w:r>
        <w:rPr>
          <w:rFonts w:eastAsia="Times New Roman"/>
          <w:lang w:eastAsia="en-US"/>
        </w:rPr>
        <w:t xml:space="preserve">The effect of this amendment to </w:t>
      </w:r>
      <w:r w:rsidRPr="00742927">
        <w:rPr>
          <w:rFonts w:eastAsia="Times New Roman"/>
          <w:lang w:eastAsia="en-US"/>
        </w:rPr>
        <w:t xml:space="preserve">Chapter 16 </w:t>
      </w:r>
      <w:r>
        <w:rPr>
          <w:rFonts w:eastAsia="Times New Roman"/>
          <w:lang w:eastAsia="en-US"/>
        </w:rPr>
        <w:t>will be that</w:t>
      </w:r>
      <w:r w:rsidR="00C2761D">
        <w:rPr>
          <w:rFonts w:eastAsia="Times New Roman"/>
          <w:lang w:eastAsia="en-US"/>
        </w:rPr>
        <w:t>,</w:t>
      </w:r>
      <w:r w:rsidRPr="00742927">
        <w:rPr>
          <w:rFonts w:eastAsia="Times New Roman"/>
          <w:lang w:eastAsia="en-US"/>
        </w:rPr>
        <w:t xml:space="preserve"> </w:t>
      </w:r>
      <w:r w:rsidR="00A57D4B">
        <w:rPr>
          <w:rFonts w:eastAsia="Times New Roman"/>
          <w:lang w:eastAsia="en-US"/>
        </w:rPr>
        <w:t xml:space="preserve">in addition to the mandatory information, </w:t>
      </w:r>
      <w:r w:rsidRPr="00742927">
        <w:rPr>
          <w:rFonts w:eastAsia="Times New Roman"/>
          <w:lang w:eastAsia="en-US"/>
        </w:rPr>
        <w:t xml:space="preserve">reports </w:t>
      </w:r>
      <w:r w:rsidR="008B6ACC" w:rsidRPr="00407157">
        <w:rPr>
          <w:rFonts w:eastAsia="Times New Roman"/>
          <w:lang w:eastAsia="en-US"/>
        </w:rPr>
        <w:t>submitted to AUSTRAC</w:t>
      </w:r>
      <w:r w:rsidR="008B6ACC" w:rsidRPr="00742927">
        <w:rPr>
          <w:rFonts w:eastAsia="Times New Roman"/>
          <w:lang w:eastAsia="en-US"/>
        </w:rPr>
        <w:t xml:space="preserve"> </w:t>
      </w:r>
      <w:r w:rsidRPr="00742927">
        <w:rPr>
          <w:rFonts w:eastAsia="Times New Roman"/>
          <w:lang w:eastAsia="en-US"/>
        </w:rPr>
        <w:t>m</w:t>
      </w:r>
      <w:r w:rsidR="00010CD0">
        <w:rPr>
          <w:rFonts w:eastAsia="Times New Roman"/>
          <w:lang w:eastAsia="en-US"/>
        </w:rPr>
        <w:t>ay</w:t>
      </w:r>
      <w:r w:rsidRPr="00742927">
        <w:rPr>
          <w:rFonts w:eastAsia="Times New Roman"/>
          <w:lang w:eastAsia="en-US"/>
        </w:rPr>
        <w:t xml:space="preserve"> contain any other details </w:t>
      </w:r>
      <w:r w:rsidR="00A57D4B">
        <w:rPr>
          <w:rFonts w:eastAsia="Times New Roman"/>
          <w:lang w:eastAsia="en-US"/>
        </w:rPr>
        <w:t xml:space="preserve">present in </w:t>
      </w:r>
      <w:r w:rsidR="00C563DE">
        <w:rPr>
          <w:rFonts w:eastAsia="Times New Roman"/>
          <w:lang w:eastAsia="en-US"/>
        </w:rPr>
        <w:t>the original funds transfer message</w:t>
      </w:r>
      <w:r w:rsidR="005D2DEE">
        <w:rPr>
          <w:rFonts w:eastAsia="Times New Roman"/>
          <w:lang w:eastAsia="en-US"/>
        </w:rPr>
        <w:t>. This</w:t>
      </w:r>
      <w:r w:rsidRPr="00407157">
        <w:rPr>
          <w:rFonts w:eastAsia="Times New Roman"/>
          <w:lang w:eastAsia="en-US"/>
        </w:rPr>
        <w:t xml:space="preserve"> </w:t>
      </w:r>
      <w:r w:rsidR="005D2DEE">
        <w:rPr>
          <w:rFonts w:eastAsia="Times New Roman"/>
          <w:lang w:eastAsia="en-US"/>
        </w:rPr>
        <w:t xml:space="preserve">is </w:t>
      </w:r>
      <w:r>
        <w:rPr>
          <w:rFonts w:eastAsia="Times New Roman"/>
          <w:lang w:eastAsia="en-US"/>
        </w:rPr>
        <w:t>to facilitate international funds transfer instruction</w:t>
      </w:r>
      <w:r w:rsidRPr="00407157">
        <w:rPr>
          <w:rFonts w:eastAsia="Times New Roman"/>
          <w:lang w:eastAsia="en-US"/>
        </w:rPr>
        <w:t xml:space="preserve"> reports in the ISO</w:t>
      </w:r>
      <w:r w:rsidR="00C2761D">
        <w:rPr>
          <w:rFonts w:eastAsia="Times New Roman"/>
          <w:lang w:eastAsia="en-US"/>
        </w:rPr>
        <w:t xml:space="preserve"> </w:t>
      </w:r>
      <w:r w:rsidRPr="00407157">
        <w:rPr>
          <w:rFonts w:eastAsia="Times New Roman"/>
          <w:lang w:eastAsia="en-US"/>
        </w:rPr>
        <w:t>20022 format</w:t>
      </w:r>
      <w:r w:rsidRPr="00742927">
        <w:rPr>
          <w:rFonts w:eastAsia="Times New Roman"/>
          <w:lang w:eastAsia="en-US"/>
        </w:rPr>
        <w:t>.</w:t>
      </w:r>
    </w:p>
    <w:p w14:paraId="31BA76FB" w14:textId="7D018255" w:rsidR="006C278C" w:rsidRPr="0093269A" w:rsidRDefault="006C278C" w:rsidP="00742927">
      <w:pPr>
        <w:pStyle w:val="Style1"/>
        <w:spacing w:line="259" w:lineRule="auto"/>
      </w:pPr>
      <w:r w:rsidRPr="00763314">
        <w:rPr>
          <w:noProof/>
          <w:lang w:val="en-US"/>
        </w:rPr>
        <w:t xml:space="preserve">This </w:t>
      </w:r>
      <w:r w:rsidRPr="00763314">
        <w:rPr>
          <w:rFonts w:eastAsia="Times New Roman"/>
          <w:lang w:eastAsia="en-US"/>
        </w:rPr>
        <w:t xml:space="preserve">amendment to Chapter 16 </w:t>
      </w:r>
      <w:r w:rsidR="0093269A">
        <w:rPr>
          <w:rFonts w:eastAsia="Times New Roman"/>
          <w:lang w:eastAsia="en-US"/>
        </w:rPr>
        <w:t xml:space="preserve">notes </w:t>
      </w:r>
      <w:r w:rsidR="0093269A" w:rsidRPr="0093269A">
        <w:rPr>
          <w:lang w:eastAsia="en-US"/>
        </w:rPr>
        <w:t>AUSTRAC is prohibited from requesting, making a record of, or maintaining a record of a person’s</w:t>
      </w:r>
      <w:r w:rsidRPr="00763314">
        <w:rPr>
          <w:rFonts w:eastAsia="Times New Roman"/>
          <w:bCs/>
          <w:color w:val="000000"/>
        </w:rPr>
        <w:t xml:space="preserve"> tax file number </w:t>
      </w:r>
      <w:r>
        <w:rPr>
          <w:rFonts w:eastAsia="Times New Roman"/>
          <w:bCs/>
          <w:color w:val="000000"/>
        </w:rPr>
        <w:t>(</w:t>
      </w:r>
      <w:r w:rsidRPr="00763314">
        <w:rPr>
          <w:lang w:eastAsia="en-US"/>
        </w:rPr>
        <w:t xml:space="preserve">as defined in the </w:t>
      </w:r>
      <w:r w:rsidRPr="00763314">
        <w:rPr>
          <w:i/>
          <w:lang w:eastAsia="en-US"/>
        </w:rPr>
        <w:t>Income Tax Assessment Act 19</w:t>
      </w:r>
      <w:r w:rsidR="0093269A">
        <w:rPr>
          <w:i/>
          <w:lang w:eastAsia="en-US"/>
        </w:rPr>
        <w:t>36</w:t>
      </w:r>
      <w:r>
        <w:rPr>
          <w:lang w:eastAsia="en-US"/>
        </w:rPr>
        <w:t>)</w:t>
      </w:r>
      <w:r w:rsidRPr="00763314">
        <w:rPr>
          <w:noProof/>
          <w:lang w:val="en-US"/>
        </w:rPr>
        <w:t>.</w:t>
      </w:r>
      <w:r>
        <w:rPr>
          <w:noProof/>
          <w:lang w:val="en-US"/>
        </w:rPr>
        <w:t xml:space="preserve"> This is consistent with</w:t>
      </w:r>
      <w:r w:rsidR="0093269A">
        <w:rPr>
          <w:noProof/>
          <w:lang w:val="en-US"/>
        </w:rPr>
        <w:t xml:space="preserve"> the </w:t>
      </w:r>
      <w:r w:rsidR="0093269A" w:rsidRPr="00876F8A">
        <w:rPr>
          <w:i/>
          <w:iCs/>
          <w:color w:val="000000"/>
          <w:lang w:eastAsia="en-US"/>
        </w:rPr>
        <w:t>Privacy (Tax File Number) Rule 2015</w:t>
      </w:r>
      <w:r w:rsidR="0093269A">
        <w:rPr>
          <w:iCs/>
          <w:color w:val="000000"/>
          <w:lang w:eastAsia="en-US"/>
        </w:rPr>
        <w:t>, which</w:t>
      </w:r>
      <w:r w:rsidR="0093269A" w:rsidRPr="00876F8A">
        <w:rPr>
          <w:color w:val="000000"/>
          <w:lang w:eastAsia="en-US"/>
        </w:rPr>
        <w:t xml:space="preserve"> provides the </w:t>
      </w:r>
      <w:r w:rsidR="0093269A">
        <w:rPr>
          <w:color w:val="000000"/>
          <w:lang w:eastAsia="en-US"/>
        </w:rPr>
        <w:t>tax file number</w:t>
      </w:r>
      <w:r w:rsidR="0093269A" w:rsidRPr="00876F8A">
        <w:rPr>
          <w:color w:val="000000"/>
          <w:lang w:eastAsia="en-US"/>
        </w:rPr>
        <w:t xml:space="preserve"> of an individual should not be disclosed by an entity unless </w:t>
      </w:r>
      <w:r w:rsidR="0093269A">
        <w:rPr>
          <w:color w:val="000000"/>
          <w:lang w:eastAsia="en-US"/>
        </w:rPr>
        <w:t>it is</w:t>
      </w:r>
      <w:r w:rsidR="0093269A" w:rsidRPr="00876F8A">
        <w:rPr>
          <w:color w:val="000000"/>
          <w:lang w:eastAsia="en-US"/>
        </w:rPr>
        <w:t xml:space="preserve"> permitted under taxation, personal assistance or superannuation laws. </w:t>
      </w:r>
      <w:r w:rsidR="0093269A" w:rsidRPr="00C177CC">
        <w:rPr>
          <w:color w:val="000000"/>
          <w:lang w:eastAsia="en-US"/>
        </w:rPr>
        <w:t xml:space="preserve">It is an offence under section 8WB of the </w:t>
      </w:r>
      <w:r w:rsidR="0093269A" w:rsidRPr="00C177CC">
        <w:rPr>
          <w:i/>
          <w:iCs/>
          <w:color w:val="000000"/>
          <w:lang w:eastAsia="en-US"/>
        </w:rPr>
        <w:t xml:space="preserve">Taxation Administration Act 1953 </w:t>
      </w:r>
      <w:r w:rsidR="0093269A" w:rsidRPr="00C177CC">
        <w:rPr>
          <w:color w:val="000000"/>
          <w:lang w:eastAsia="en-US"/>
        </w:rPr>
        <w:t xml:space="preserve">to record </w:t>
      </w:r>
      <w:r w:rsidR="0093269A">
        <w:rPr>
          <w:color w:val="000000"/>
          <w:lang w:eastAsia="en-US"/>
        </w:rPr>
        <w:t>tax file number</w:t>
      </w:r>
      <w:r w:rsidR="0093269A" w:rsidRPr="00C177CC">
        <w:rPr>
          <w:color w:val="000000"/>
          <w:lang w:eastAsia="en-US"/>
        </w:rPr>
        <w:t>s unless one of the exemptions set out there applies</w:t>
      </w:r>
      <w:r w:rsidR="0093269A">
        <w:rPr>
          <w:color w:val="000000"/>
          <w:lang w:eastAsia="en-US"/>
        </w:rPr>
        <w:t>.</w:t>
      </w:r>
    </w:p>
    <w:p w14:paraId="4012264A" w14:textId="24B655A4" w:rsidR="00816712" w:rsidRDefault="00816712" w:rsidP="00A53221">
      <w:pPr>
        <w:pStyle w:val="Style1"/>
        <w:numPr>
          <w:ilvl w:val="0"/>
          <w:numId w:val="0"/>
        </w:numPr>
        <w:spacing w:line="259" w:lineRule="auto"/>
        <w:rPr>
          <w:b/>
          <w:caps/>
        </w:rPr>
      </w:pPr>
      <w:r>
        <w:rPr>
          <w:b/>
          <w:caps/>
        </w:rPr>
        <w:t>CONSULTATION</w:t>
      </w:r>
    </w:p>
    <w:p w14:paraId="02004043" w14:textId="737F3E06" w:rsidR="00816712" w:rsidRDefault="00816712" w:rsidP="00A57D4B">
      <w:pPr>
        <w:pStyle w:val="Style1"/>
        <w:spacing w:line="259" w:lineRule="auto"/>
        <w:rPr>
          <w:b/>
          <w:caps/>
        </w:rPr>
      </w:pPr>
      <w:r w:rsidRPr="00617C83">
        <w:t xml:space="preserve">Draft AML/CTF Rules were released </w:t>
      </w:r>
      <w:r>
        <w:t>for</w:t>
      </w:r>
      <w:r w:rsidRPr="00617C83">
        <w:t xml:space="preserve"> public consultation</w:t>
      </w:r>
      <w:r>
        <w:t xml:space="preserve"> from 27 July</w:t>
      </w:r>
      <w:r w:rsidR="00187017">
        <w:t xml:space="preserve"> 2022</w:t>
      </w:r>
      <w:r>
        <w:t xml:space="preserve"> to 10 August 2022</w:t>
      </w:r>
      <w:r w:rsidRPr="00617C83">
        <w:t>. Ongoing consultation with industry was undertaken following the public consultation period</w:t>
      </w:r>
      <w:r>
        <w:t>.</w:t>
      </w:r>
    </w:p>
    <w:p w14:paraId="7A5E06A6" w14:textId="50D615E1" w:rsidR="00F85AFF" w:rsidRDefault="00F85AFF" w:rsidP="00A53221">
      <w:pPr>
        <w:pStyle w:val="Style1"/>
        <w:numPr>
          <w:ilvl w:val="0"/>
          <w:numId w:val="0"/>
        </w:numPr>
        <w:spacing w:line="259" w:lineRule="auto"/>
      </w:pPr>
      <w:r w:rsidRPr="00A53221">
        <w:rPr>
          <w:b/>
          <w:caps/>
        </w:rPr>
        <w:t>Regulation impact statement</w:t>
      </w:r>
    </w:p>
    <w:p w14:paraId="052FBEBF" w14:textId="2C06C757" w:rsidR="00F85AFF" w:rsidRDefault="00F85AFF" w:rsidP="00FC0371">
      <w:pPr>
        <w:pStyle w:val="Style1"/>
        <w:spacing w:line="259" w:lineRule="auto"/>
      </w:pPr>
      <w:r>
        <w:t>The Office of Best Practice and Regulation</w:t>
      </w:r>
      <w:r w:rsidRPr="00BF5792">
        <w:t xml:space="preserve"> has advised that a Regulatory Impact Statement is not required as the amendments to the AML/CTF Rules </w:t>
      </w:r>
      <w:r>
        <w:t xml:space="preserve">are </w:t>
      </w:r>
      <w:r w:rsidRPr="00044B95">
        <w:t>unlikely to have a more than minor regulatory impact.</w:t>
      </w:r>
    </w:p>
    <w:p w14:paraId="1B1A1F16" w14:textId="75EE13F3" w:rsidR="00F80B20" w:rsidRPr="006D680B" w:rsidRDefault="00F80B20" w:rsidP="006D680B">
      <w:pPr>
        <w:pStyle w:val="Style1"/>
        <w:numPr>
          <w:ilvl w:val="0"/>
          <w:numId w:val="0"/>
        </w:numPr>
        <w:spacing w:line="259" w:lineRule="auto"/>
        <w:rPr>
          <w:b/>
        </w:rPr>
      </w:pPr>
      <w:r w:rsidRPr="006D680B">
        <w:rPr>
          <w:b/>
        </w:rPr>
        <w:t>SUNSETTING</w:t>
      </w:r>
    </w:p>
    <w:p w14:paraId="35524E2E" w14:textId="367EDAC8" w:rsidR="00F80B20" w:rsidRPr="00F80B20" w:rsidRDefault="00F80B20" w:rsidP="006D680B">
      <w:pPr>
        <w:pStyle w:val="Style1"/>
        <w:spacing w:line="259" w:lineRule="auto"/>
      </w:pPr>
      <w:r w:rsidRPr="00F80B20">
        <w:t xml:space="preserve">Under item 6 of Regulation 12 of the </w:t>
      </w:r>
      <w:r w:rsidRPr="00F80B20">
        <w:rPr>
          <w:i/>
          <w:iCs/>
        </w:rPr>
        <w:t>Legislation (Exemptions and Other Matters) Regulation 2015</w:t>
      </w:r>
      <w:r w:rsidRPr="00F80B20">
        <w:t xml:space="preserve"> this Instrument is not subject to sunsetting.</w:t>
      </w:r>
    </w:p>
    <w:p w14:paraId="318E1A9F" w14:textId="77777777" w:rsidR="00F80B20" w:rsidRPr="00F80B20" w:rsidRDefault="00F80B20" w:rsidP="006D680B">
      <w:pPr>
        <w:pStyle w:val="Style1"/>
      </w:pPr>
      <w:r w:rsidRPr="00F80B20">
        <w:lastRenderedPageBreak/>
        <w:t xml:space="preserve">The AML/CTF Rules are designed to be enduring because they: </w:t>
      </w:r>
    </w:p>
    <w:p w14:paraId="33A00C6C" w14:textId="1E31137D" w:rsidR="00F80B20" w:rsidRPr="00F80B20" w:rsidRDefault="00F80B20" w:rsidP="00F80B20">
      <w:pPr>
        <w:numPr>
          <w:ilvl w:val="0"/>
          <w:numId w:val="24"/>
        </w:numPr>
        <w:spacing w:before="240"/>
        <w:rPr>
          <w:rFonts w:ascii="Times New Roman" w:eastAsia="Calibri" w:hAnsi="Times New Roman"/>
          <w:sz w:val="24"/>
          <w:lang w:eastAsia="en-AU"/>
        </w:rPr>
      </w:pPr>
      <w:r w:rsidRPr="00F80B20">
        <w:rPr>
          <w:rFonts w:ascii="Times New Roman" w:eastAsia="Calibri" w:hAnsi="Times New Roman"/>
          <w:sz w:val="24"/>
          <w:lang w:eastAsia="en-AU"/>
        </w:rPr>
        <w:t>complement and provide the detail for the broader obligations set out in the AML/CTF Act, aid in meeting Australia’s international obligations and matters of international concern, and support the combatting of money laundering and terrorism financing</w:t>
      </w:r>
      <w:r w:rsidR="00CE6509">
        <w:rPr>
          <w:rFonts w:ascii="Times New Roman" w:eastAsia="Calibri" w:hAnsi="Times New Roman"/>
          <w:sz w:val="24"/>
          <w:lang w:eastAsia="en-AU"/>
        </w:rPr>
        <w:t>,</w:t>
      </w:r>
    </w:p>
    <w:p w14:paraId="1E0949BA" w14:textId="77777777" w:rsidR="00F80B20" w:rsidRPr="00F80B20" w:rsidRDefault="00F80B20" w:rsidP="00F80B20">
      <w:pPr>
        <w:numPr>
          <w:ilvl w:val="0"/>
          <w:numId w:val="24"/>
        </w:numPr>
        <w:spacing w:before="240"/>
        <w:rPr>
          <w:rFonts w:ascii="Times New Roman" w:eastAsia="Calibri" w:hAnsi="Times New Roman"/>
          <w:sz w:val="24"/>
          <w:lang w:eastAsia="en-AU"/>
        </w:rPr>
      </w:pPr>
      <w:r w:rsidRPr="00F80B20">
        <w:rPr>
          <w:rFonts w:ascii="Times New Roman" w:eastAsia="Calibri" w:hAnsi="Times New Roman"/>
          <w:sz w:val="24"/>
          <w:lang w:eastAsia="en-AU"/>
        </w:rPr>
        <w:t>assist industry in fulfilling their compliance with the AML/CTF Act and provide commercial and regulatory certainty for industry, and</w:t>
      </w:r>
    </w:p>
    <w:p w14:paraId="655E2AC7" w14:textId="77777777" w:rsidR="00F80B20" w:rsidRPr="00F80B20" w:rsidRDefault="00F80B20" w:rsidP="00F80B20">
      <w:pPr>
        <w:numPr>
          <w:ilvl w:val="0"/>
          <w:numId w:val="24"/>
        </w:numPr>
        <w:spacing w:before="240"/>
        <w:rPr>
          <w:rFonts w:ascii="Times New Roman" w:eastAsia="Calibri" w:hAnsi="Times New Roman"/>
          <w:sz w:val="24"/>
          <w:lang w:eastAsia="en-AU"/>
        </w:rPr>
      </w:pPr>
      <w:r w:rsidRPr="00F80B20">
        <w:rPr>
          <w:rFonts w:ascii="Times New Roman" w:eastAsia="Calibri" w:hAnsi="Times New Roman"/>
          <w:sz w:val="24"/>
          <w:lang w:eastAsia="en-AU"/>
        </w:rPr>
        <w:t>are subject to an ongoing process of development, refinement and review, involving scrutiny and feedback from a wide range of stakeholders including industry, the Financial Action Task Force, Australian Government agencies, law enforcement agencies, and other interested parties.</w:t>
      </w:r>
    </w:p>
    <w:p w14:paraId="25C295C3" w14:textId="20B67D9B" w:rsidR="00E833BB" w:rsidRDefault="00E833BB">
      <w:pPr>
        <w:rPr>
          <w:rFonts w:ascii="Times New Roman" w:eastAsia="Calibri" w:hAnsi="Times New Roman"/>
          <w:sz w:val="24"/>
          <w:lang w:eastAsia="en-AU"/>
        </w:rPr>
      </w:pPr>
      <w:r>
        <w:br w:type="page"/>
      </w:r>
    </w:p>
    <w:p w14:paraId="13FD62B3" w14:textId="5836CFB5" w:rsidR="00F80B20" w:rsidRPr="008B6ACC" w:rsidRDefault="00E833BB" w:rsidP="008B6ACC">
      <w:pPr>
        <w:pStyle w:val="Style1"/>
        <w:numPr>
          <w:ilvl w:val="0"/>
          <w:numId w:val="0"/>
        </w:numPr>
        <w:spacing w:line="259" w:lineRule="auto"/>
        <w:jc w:val="right"/>
        <w:rPr>
          <w:b/>
        </w:rPr>
      </w:pPr>
      <w:r w:rsidRPr="008B6ACC">
        <w:rPr>
          <w:b/>
        </w:rPr>
        <w:lastRenderedPageBreak/>
        <w:t>ATTACHMENT A</w:t>
      </w:r>
    </w:p>
    <w:p w14:paraId="126BF5D6" w14:textId="72722E8F" w:rsidR="002836B6" w:rsidRPr="000C0915" w:rsidRDefault="002836B6" w:rsidP="00C1088D">
      <w:pPr>
        <w:spacing w:after="160" w:line="259" w:lineRule="auto"/>
        <w:rPr>
          <w:rFonts w:ascii="Times New Roman" w:eastAsia="Calibri" w:hAnsi="Times New Roman"/>
          <w:b/>
          <w:iCs/>
          <w:sz w:val="24"/>
        </w:rPr>
      </w:pPr>
    </w:p>
    <w:p w14:paraId="6C6768E2" w14:textId="5B1032BD" w:rsidR="00E833BB" w:rsidRPr="00C1088D" w:rsidRDefault="00E833BB" w:rsidP="008B6ACC">
      <w:pPr>
        <w:spacing w:before="240" w:after="160" w:line="259" w:lineRule="auto"/>
        <w:rPr>
          <w:rFonts w:ascii="Times New Roman" w:eastAsia="Calibri" w:hAnsi="Times New Roman"/>
          <w:b/>
          <w:i/>
          <w:sz w:val="24"/>
        </w:rPr>
      </w:pPr>
      <w:r w:rsidRPr="00BF6A36">
        <w:rPr>
          <w:rFonts w:ascii="Times New Roman" w:eastAsia="Calibri" w:hAnsi="Times New Roman"/>
          <w:b/>
          <w:i/>
          <w:sz w:val="24"/>
        </w:rPr>
        <w:t xml:space="preserve">Anti-Money Laundering and Counter-Terrorism Financing Rules Amendment </w:t>
      </w:r>
      <w:r w:rsidR="0000725F">
        <w:rPr>
          <w:rFonts w:ascii="Times New Roman" w:eastAsia="Calibri" w:hAnsi="Times New Roman"/>
          <w:b/>
          <w:i/>
          <w:sz w:val="24"/>
        </w:rPr>
        <w:t xml:space="preserve">(Chapter 16 Amendments) </w:t>
      </w:r>
      <w:r w:rsidRPr="00BF6A36">
        <w:rPr>
          <w:rFonts w:ascii="Times New Roman" w:eastAsia="Calibri" w:hAnsi="Times New Roman"/>
          <w:b/>
          <w:i/>
          <w:sz w:val="24"/>
        </w:rPr>
        <w:t>Instrument 202</w:t>
      </w:r>
      <w:r>
        <w:rPr>
          <w:rFonts w:ascii="Times New Roman" w:eastAsia="Calibri" w:hAnsi="Times New Roman"/>
          <w:b/>
          <w:i/>
          <w:sz w:val="24"/>
        </w:rPr>
        <w:t>2</w:t>
      </w:r>
      <w:r w:rsidRPr="00C1088D">
        <w:rPr>
          <w:rFonts w:ascii="Times New Roman" w:eastAsia="Calibri" w:hAnsi="Times New Roman"/>
          <w:b/>
          <w:i/>
          <w:sz w:val="24"/>
        </w:rPr>
        <w:t xml:space="preserve"> </w:t>
      </w:r>
    </w:p>
    <w:p w14:paraId="562F9D63" w14:textId="77777777" w:rsidR="00E833BB" w:rsidRPr="00BF6A36" w:rsidRDefault="00E833BB" w:rsidP="008B6ACC">
      <w:pPr>
        <w:spacing w:before="240" w:line="259" w:lineRule="auto"/>
        <w:rPr>
          <w:rFonts w:ascii="Times New Roman" w:hAnsi="Times New Roman"/>
          <w:b/>
          <w:sz w:val="24"/>
        </w:rPr>
      </w:pPr>
      <w:r w:rsidRPr="00BF6A36">
        <w:rPr>
          <w:rFonts w:ascii="Times New Roman" w:hAnsi="Times New Roman"/>
          <w:b/>
          <w:sz w:val="24"/>
        </w:rPr>
        <w:t>Section 1—Name</w:t>
      </w:r>
    </w:p>
    <w:p w14:paraId="7BB5BF65" w14:textId="45919B08" w:rsidR="00E833BB" w:rsidRPr="0060668C" w:rsidRDefault="00E833BB" w:rsidP="008B6ACC">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 xml:space="preserve">This section provides that the name of the Instrument is the </w:t>
      </w:r>
      <w:r w:rsidRPr="0060668C">
        <w:rPr>
          <w:rFonts w:ascii="Times New Roman" w:hAnsi="Times New Roman"/>
          <w:i/>
          <w:sz w:val="24"/>
        </w:rPr>
        <w:t xml:space="preserve">Anti-Money Laundering and Counter-Terrorism Financing Rules Amendment </w:t>
      </w:r>
      <w:r w:rsidR="0000725F">
        <w:rPr>
          <w:rFonts w:ascii="Times New Roman" w:hAnsi="Times New Roman"/>
          <w:i/>
          <w:sz w:val="24"/>
        </w:rPr>
        <w:t xml:space="preserve">(Chapter 16 Amendments) </w:t>
      </w:r>
      <w:r w:rsidRPr="0060668C">
        <w:rPr>
          <w:rFonts w:ascii="Times New Roman" w:hAnsi="Times New Roman"/>
          <w:i/>
          <w:sz w:val="24"/>
        </w:rPr>
        <w:t>Instrument 202</w:t>
      </w:r>
      <w:r>
        <w:rPr>
          <w:rFonts w:ascii="Times New Roman" w:hAnsi="Times New Roman"/>
          <w:i/>
          <w:sz w:val="24"/>
        </w:rPr>
        <w:t>2</w:t>
      </w:r>
      <w:r w:rsidRPr="0060668C">
        <w:rPr>
          <w:rFonts w:ascii="Times New Roman" w:hAnsi="Times New Roman"/>
          <w:sz w:val="24"/>
        </w:rPr>
        <w:t>.</w:t>
      </w:r>
    </w:p>
    <w:p w14:paraId="067C7D22" w14:textId="77777777" w:rsidR="00E833BB" w:rsidRPr="00BF6A36" w:rsidRDefault="00E833BB" w:rsidP="008B6ACC">
      <w:pPr>
        <w:spacing w:before="240" w:line="259" w:lineRule="auto"/>
        <w:rPr>
          <w:rFonts w:ascii="Times New Roman" w:hAnsi="Times New Roman"/>
          <w:b/>
          <w:sz w:val="24"/>
        </w:rPr>
      </w:pPr>
      <w:r w:rsidRPr="00BF6A36">
        <w:rPr>
          <w:rFonts w:ascii="Times New Roman" w:hAnsi="Times New Roman"/>
          <w:b/>
          <w:sz w:val="24"/>
        </w:rPr>
        <w:t>Section 2—Commencement</w:t>
      </w:r>
    </w:p>
    <w:p w14:paraId="70D92324" w14:textId="77777777" w:rsidR="00E833BB" w:rsidRPr="0060668C" w:rsidRDefault="00E833BB" w:rsidP="008B6ACC">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This section</w:t>
      </w:r>
      <w:r>
        <w:rPr>
          <w:rFonts w:ascii="Times New Roman" w:hAnsi="Times New Roman"/>
          <w:sz w:val="24"/>
        </w:rPr>
        <w:t xml:space="preserve"> provides for the commencement of each provision in the Instrument, as set out in the table in subsection 2(1).</w:t>
      </w:r>
      <w:r w:rsidRPr="0060668C">
        <w:rPr>
          <w:rFonts w:ascii="Times New Roman" w:hAnsi="Times New Roman"/>
          <w:sz w:val="24"/>
        </w:rPr>
        <w:t xml:space="preserve"> </w:t>
      </w:r>
    </w:p>
    <w:p w14:paraId="55261935" w14:textId="32698E16" w:rsidR="00E833BB" w:rsidRPr="0060668C" w:rsidRDefault="00E833BB" w:rsidP="008B6ACC">
      <w:pPr>
        <w:autoSpaceDE w:val="0"/>
        <w:autoSpaceDN w:val="0"/>
        <w:adjustRightInd w:val="0"/>
        <w:spacing w:before="240"/>
        <w:rPr>
          <w:rFonts w:ascii="Times New Roman" w:hAnsi="Times New Roman"/>
          <w:sz w:val="24"/>
        </w:rPr>
      </w:pPr>
      <w:r w:rsidRPr="0060668C">
        <w:rPr>
          <w:rFonts w:ascii="Times New Roman" w:hAnsi="Times New Roman"/>
          <w:sz w:val="24"/>
        </w:rPr>
        <w:t xml:space="preserve">The </w:t>
      </w:r>
      <w:r>
        <w:rPr>
          <w:rFonts w:ascii="Times New Roman" w:hAnsi="Times New Roman"/>
          <w:sz w:val="24"/>
        </w:rPr>
        <w:t>amendments in Schedule 1 commence</w:t>
      </w:r>
      <w:r w:rsidRPr="0060668C">
        <w:rPr>
          <w:rFonts w:ascii="Times New Roman" w:hAnsi="Times New Roman"/>
          <w:sz w:val="24"/>
        </w:rPr>
        <w:t xml:space="preserve"> on </w:t>
      </w:r>
      <w:r>
        <w:rPr>
          <w:rFonts w:ascii="Times New Roman" w:hAnsi="Times New Roman"/>
          <w:sz w:val="24"/>
        </w:rPr>
        <w:t>the day after registration</w:t>
      </w:r>
      <w:r w:rsidRPr="0060668C">
        <w:rPr>
          <w:rFonts w:ascii="Times New Roman" w:hAnsi="Times New Roman"/>
          <w:sz w:val="24"/>
        </w:rPr>
        <w:t>.</w:t>
      </w:r>
    </w:p>
    <w:p w14:paraId="669AB2B8" w14:textId="0F3D1D7A" w:rsidR="008B6ACC" w:rsidRPr="008B6ACC" w:rsidRDefault="00E833BB" w:rsidP="008B6ACC">
      <w:pPr>
        <w:spacing w:before="240" w:line="259" w:lineRule="auto"/>
        <w:rPr>
          <w:rFonts w:ascii="Times New Roman" w:hAnsi="Times New Roman"/>
          <w:b/>
          <w:sz w:val="24"/>
        </w:rPr>
      </w:pPr>
      <w:r w:rsidRPr="00BF6A36">
        <w:rPr>
          <w:rFonts w:ascii="Times New Roman" w:hAnsi="Times New Roman"/>
          <w:b/>
          <w:sz w:val="24"/>
        </w:rPr>
        <w:t>Section 3—Authority</w:t>
      </w:r>
    </w:p>
    <w:p w14:paraId="4932E851" w14:textId="77777777" w:rsidR="0000725F" w:rsidRPr="0060108F" w:rsidRDefault="0000725F" w:rsidP="008B6ACC">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This section</w:t>
      </w:r>
      <w:r>
        <w:rPr>
          <w:rFonts w:ascii="Times New Roman" w:hAnsi="Times New Roman"/>
          <w:sz w:val="24"/>
        </w:rPr>
        <w:t xml:space="preserve"> provides that the Instrument is made under section 229 of the </w:t>
      </w:r>
      <w:r>
        <w:rPr>
          <w:rFonts w:ascii="Times New Roman" w:hAnsi="Times New Roman"/>
          <w:i/>
          <w:sz w:val="24"/>
        </w:rPr>
        <w:t>Anti-Money Laundering and Counter-Terrorism Financing Act 2006</w:t>
      </w:r>
      <w:r>
        <w:rPr>
          <w:rFonts w:ascii="Times New Roman" w:hAnsi="Times New Roman"/>
          <w:sz w:val="24"/>
        </w:rPr>
        <w:t xml:space="preserve">. </w:t>
      </w:r>
    </w:p>
    <w:p w14:paraId="410741E5" w14:textId="77777777" w:rsidR="0000725F" w:rsidRPr="00BF6A36" w:rsidRDefault="0000725F" w:rsidP="008B6ACC">
      <w:pPr>
        <w:autoSpaceDE w:val="0"/>
        <w:autoSpaceDN w:val="0"/>
        <w:adjustRightInd w:val="0"/>
        <w:spacing w:before="240" w:line="259" w:lineRule="auto"/>
        <w:rPr>
          <w:rFonts w:ascii="Times New Roman" w:hAnsi="Times New Roman"/>
          <w:b/>
          <w:sz w:val="24"/>
        </w:rPr>
      </w:pPr>
      <w:r w:rsidRPr="00BF6A36">
        <w:rPr>
          <w:rFonts w:ascii="Times New Roman" w:hAnsi="Times New Roman"/>
          <w:b/>
          <w:sz w:val="24"/>
        </w:rPr>
        <w:t>Section 4—Schedules</w:t>
      </w:r>
    </w:p>
    <w:p w14:paraId="4E77B932" w14:textId="77777777" w:rsidR="0000725F" w:rsidRPr="0060108F" w:rsidRDefault="0000725F" w:rsidP="008B6ACC">
      <w:pPr>
        <w:autoSpaceDE w:val="0"/>
        <w:autoSpaceDN w:val="0"/>
        <w:adjustRightInd w:val="0"/>
        <w:spacing w:before="240" w:line="259" w:lineRule="auto"/>
        <w:rPr>
          <w:rFonts w:ascii="Times New Roman" w:hAnsi="Times New Roman"/>
          <w:sz w:val="24"/>
        </w:rPr>
      </w:pPr>
      <w:r w:rsidRPr="0060108F">
        <w:rPr>
          <w:rFonts w:ascii="Times New Roman" w:hAnsi="Times New Roman"/>
          <w:sz w:val="24"/>
        </w:rPr>
        <w:t xml:space="preserve">This section provides that the </w:t>
      </w:r>
      <w:r>
        <w:rPr>
          <w:rFonts w:ascii="Times New Roman" w:hAnsi="Times New Roman"/>
          <w:sz w:val="24"/>
        </w:rPr>
        <w:t>i</w:t>
      </w:r>
      <w:r w:rsidRPr="0060108F">
        <w:rPr>
          <w:rFonts w:ascii="Times New Roman" w:hAnsi="Times New Roman"/>
          <w:sz w:val="24"/>
        </w:rPr>
        <w:t>nstrument specified in Schedule 1 is amended as set out in the applicable items in that Schedule.</w:t>
      </w:r>
    </w:p>
    <w:p w14:paraId="6208862F" w14:textId="77777777" w:rsidR="0000725F" w:rsidRPr="00BF6A36" w:rsidRDefault="0000725F" w:rsidP="008B6ACC">
      <w:pPr>
        <w:spacing w:before="240" w:line="259" w:lineRule="auto"/>
        <w:rPr>
          <w:rFonts w:ascii="Times New Roman" w:hAnsi="Times New Roman"/>
          <w:b/>
          <w:sz w:val="24"/>
        </w:rPr>
      </w:pPr>
      <w:r w:rsidRPr="00BF6A36">
        <w:rPr>
          <w:rFonts w:ascii="Times New Roman" w:hAnsi="Times New Roman"/>
          <w:b/>
          <w:sz w:val="24"/>
        </w:rPr>
        <w:t>Schedule 1—Amendments</w:t>
      </w:r>
    </w:p>
    <w:p w14:paraId="7C109CCD" w14:textId="77777777" w:rsidR="0000725F" w:rsidRPr="0060108F" w:rsidRDefault="0000725F" w:rsidP="008B6ACC">
      <w:pPr>
        <w:spacing w:before="240" w:line="259" w:lineRule="auto"/>
        <w:rPr>
          <w:rFonts w:ascii="Times New Roman" w:hAnsi="Times New Roman"/>
          <w:b/>
          <w:sz w:val="24"/>
        </w:rPr>
      </w:pPr>
      <w:r w:rsidRPr="0060108F">
        <w:rPr>
          <w:rFonts w:ascii="Times New Roman" w:hAnsi="Times New Roman"/>
          <w:i/>
          <w:sz w:val="24"/>
        </w:rPr>
        <w:t xml:space="preserve">Anti-Money Laundering and Counter-Terrorism Financing Rules Instrument 2007 (No. </w:t>
      </w:r>
      <w:r>
        <w:rPr>
          <w:rFonts w:ascii="Times New Roman" w:hAnsi="Times New Roman"/>
          <w:i/>
          <w:sz w:val="24"/>
        </w:rPr>
        <w:t>1</w:t>
      </w:r>
      <w:r w:rsidRPr="0060108F">
        <w:rPr>
          <w:rFonts w:ascii="Times New Roman" w:hAnsi="Times New Roman"/>
          <w:i/>
          <w:sz w:val="24"/>
        </w:rPr>
        <w:t>)</w:t>
      </w:r>
    </w:p>
    <w:p w14:paraId="245C5B9C" w14:textId="77777777" w:rsidR="0000725F" w:rsidRPr="0060108F" w:rsidRDefault="0000725F" w:rsidP="008B6ACC">
      <w:pPr>
        <w:keepNext/>
        <w:spacing w:before="240"/>
        <w:rPr>
          <w:rFonts w:ascii="Times New Roman" w:hAnsi="Times New Roman"/>
          <w:b/>
          <w:sz w:val="24"/>
        </w:rPr>
      </w:pPr>
      <w:r w:rsidRPr="0060108F">
        <w:rPr>
          <w:rFonts w:ascii="Times New Roman" w:hAnsi="Times New Roman"/>
          <w:b/>
          <w:sz w:val="24"/>
        </w:rPr>
        <w:t>Notes on items</w:t>
      </w:r>
    </w:p>
    <w:p w14:paraId="06334252" w14:textId="55BF7BCD" w:rsidR="0000725F" w:rsidRPr="00BF6A36" w:rsidRDefault="0000725F" w:rsidP="008B6ACC">
      <w:pPr>
        <w:keepNext/>
        <w:spacing w:before="240" w:line="259" w:lineRule="auto"/>
        <w:rPr>
          <w:rFonts w:ascii="Times New Roman" w:hAnsi="Times New Roman"/>
          <w:b/>
          <w:sz w:val="24"/>
        </w:rPr>
      </w:pPr>
      <w:r w:rsidRPr="00BF6A36">
        <w:rPr>
          <w:rFonts w:ascii="Times New Roman" w:hAnsi="Times New Roman"/>
          <w:b/>
          <w:sz w:val="24"/>
        </w:rPr>
        <w:t xml:space="preserve">Item 1—Chapter </w:t>
      </w:r>
      <w:r>
        <w:rPr>
          <w:rFonts w:ascii="Times New Roman" w:hAnsi="Times New Roman"/>
          <w:b/>
          <w:sz w:val="24"/>
        </w:rPr>
        <w:t>16</w:t>
      </w:r>
    </w:p>
    <w:p w14:paraId="778404AD" w14:textId="74695A53" w:rsidR="0000725F" w:rsidRDefault="0000725F" w:rsidP="008B6ACC">
      <w:pPr>
        <w:autoSpaceDE w:val="0"/>
        <w:autoSpaceDN w:val="0"/>
        <w:adjustRightInd w:val="0"/>
        <w:spacing w:before="240" w:line="259" w:lineRule="auto"/>
        <w:rPr>
          <w:rFonts w:ascii="Times New Roman" w:hAnsi="Times New Roman"/>
          <w:sz w:val="24"/>
        </w:rPr>
      </w:pPr>
      <w:r w:rsidRPr="0060108F">
        <w:rPr>
          <w:rFonts w:ascii="Times New Roman" w:hAnsi="Times New Roman"/>
          <w:sz w:val="24"/>
        </w:rPr>
        <w:t xml:space="preserve">This item </w:t>
      </w:r>
      <w:r>
        <w:rPr>
          <w:rFonts w:ascii="Times New Roman" w:hAnsi="Times New Roman"/>
          <w:sz w:val="24"/>
        </w:rPr>
        <w:t xml:space="preserve">substitutes </w:t>
      </w:r>
      <w:r w:rsidRPr="0060108F">
        <w:rPr>
          <w:rFonts w:ascii="Times New Roman" w:hAnsi="Times New Roman"/>
          <w:sz w:val="24"/>
        </w:rPr>
        <w:t xml:space="preserve">a new </w:t>
      </w:r>
      <w:r>
        <w:rPr>
          <w:rFonts w:ascii="Times New Roman" w:hAnsi="Times New Roman"/>
          <w:sz w:val="24"/>
        </w:rPr>
        <w:t>Chapter 16 in</w:t>
      </w:r>
      <w:r w:rsidRPr="0060108F">
        <w:rPr>
          <w:rFonts w:ascii="Times New Roman" w:hAnsi="Times New Roman"/>
          <w:sz w:val="24"/>
        </w:rPr>
        <w:t xml:space="preserve"> the AML/CTF Rules.</w:t>
      </w:r>
    </w:p>
    <w:p w14:paraId="7B70EC4F" w14:textId="63247A0E" w:rsidR="007878D3" w:rsidRDefault="007878D3" w:rsidP="008B6ACC">
      <w:pPr>
        <w:autoSpaceDE w:val="0"/>
        <w:autoSpaceDN w:val="0"/>
        <w:adjustRightInd w:val="0"/>
        <w:spacing w:before="240" w:line="259" w:lineRule="auto"/>
        <w:rPr>
          <w:rFonts w:ascii="Times New Roman" w:hAnsi="Times New Roman"/>
          <w:sz w:val="24"/>
        </w:rPr>
      </w:pPr>
      <w:r>
        <w:rPr>
          <w:rFonts w:ascii="Times New Roman" w:hAnsi="Times New Roman"/>
          <w:sz w:val="24"/>
        </w:rPr>
        <w:t>Paragraph 16.1 provides that Chapter 16 is made for the purposes of paragraph 45(3)(b) of the AML/CTF Act.</w:t>
      </w:r>
    </w:p>
    <w:p w14:paraId="1A3F1EFB" w14:textId="42F1EA0C" w:rsidR="0012203E" w:rsidRDefault="007878D3" w:rsidP="008B6ACC">
      <w:pPr>
        <w:autoSpaceDE w:val="0"/>
        <w:autoSpaceDN w:val="0"/>
        <w:adjustRightInd w:val="0"/>
        <w:spacing w:before="240" w:line="259" w:lineRule="auto"/>
        <w:rPr>
          <w:rFonts w:ascii="Times New Roman" w:hAnsi="Times New Roman"/>
          <w:sz w:val="24"/>
        </w:rPr>
      </w:pPr>
      <w:r>
        <w:rPr>
          <w:rFonts w:ascii="Times New Roman" w:hAnsi="Times New Roman"/>
          <w:sz w:val="24"/>
        </w:rPr>
        <w:t xml:space="preserve">Paragraph 16.2 </w:t>
      </w:r>
      <w:r w:rsidR="0012203E">
        <w:rPr>
          <w:rFonts w:ascii="Times New Roman" w:hAnsi="Times New Roman"/>
          <w:sz w:val="24"/>
        </w:rPr>
        <w:t xml:space="preserve">relates to instructions transmitted out of Australia and </w:t>
      </w:r>
      <w:r>
        <w:rPr>
          <w:rFonts w:ascii="Times New Roman" w:hAnsi="Times New Roman"/>
          <w:sz w:val="24"/>
        </w:rPr>
        <w:t xml:space="preserve">specifies </w:t>
      </w:r>
      <w:r w:rsidR="0012203E">
        <w:rPr>
          <w:rFonts w:ascii="Times New Roman" w:hAnsi="Times New Roman"/>
          <w:sz w:val="24"/>
        </w:rPr>
        <w:t xml:space="preserve">the information that a report about an international </w:t>
      </w:r>
      <w:r w:rsidR="00531BD7">
        <w:rPr>
          <w:rFonts w:ascii="Times New Roman" w:hAnsi="Times New Roman"/>
          <w:sz w:val="24"/>
        </w:rPr>
        <w:t xml:space="preserve">funds </w:t>
      </w:r>
      <w:r w:rsidR="0012203E">
        <w:rPr>
          <w:rFonts w:ascii="Times New Roman" w:hAnsi="Times New Roman"/>
          <w:sz w:val="24"/>
        </w:rPr>
        <w:t>transfer instruction within the meaning of item 1 of the table in section 46 of the AML/CTF Act must contain.</w:t>
      </w:r>
    </w:p>
    <w:p w14:paraId="096B55F0" w14:textId="41E80E71" w:rsidR="007878D3" w:rsidRDefault="0012203E" w:rsidP="008B6ACC">
      <w:pPr>
        <w:autoSpaceDE w:val="0"/>
        <w:autoSpaceDN w:val="0"/>
        <w:adjustRightInd w:val="0"/>
        <w:spacing w:before="240" w:line="259" w:lineRule="auto"/>
        <w:rPr>
          <w:rFonts w:ascii="Times New Roman" w:hAnsi="Times New Roman"/>
          <w:sz w:val="24"/>
        </w:rPr>
      </w:pPr>
      <w:r>
        <w:rPr>
          <w:rFonts w:ascii="Times New Roman" w:hAnsi="Times New Roman"/>
          <w:sz w:val="24"/>
        </w:rPr>
        <w:t>Paragraph 16.3 relates to instructions transmitted into Australia and specifies the information</w:t>
      </w:r>
      <w:r w:rsidR="007878D3">
        <w:rPr>
          <w:rFonts w:ascii="Times New Roman" w:hAnsi="Times New Roman"/>
          <w:sz w:val="24"/>
        </w:rPr>
        <w:t xml:space="preserve"> </w:t>
      </w:r>
      <w:r>
        <w:rPr>
          <w:rFonts w:ascii="Times New Roman" w:hAnsi="Times New Roman"/>
          <w:sz w:val="24"/>
        </w:rPr>
        <w:t xml:space="preserve">that a report about an international </w:t>
      </w:r>
      <w:r w:rsidR="00531BD7">
        <w:rPr>
          <w:rFonts w:ascii="Times New Roman" w:hAnsi="Times New Roman"/>
          <w:sz w:val="24"/>
        </w:rPr>
        <w:t xml:space="preserve">funds </w:t>
      </w:r>
      <w:r>
        <w:rPr>
          <w:rFonts w:ascii="Times New Roman" w:hAnsi="Times New Roman"/>
          <w:sz w:val="24"/>
        </w:rPr>
        <w:t>transfer instruction within the meaning of item 2 of the table in section 46 of the AML/CTF Act must contain.</w:t>
      </w:r>
    </w:p>
    <w:p w14:paraId="649D05EC" w14:textId="427FEC26" w:rsidR="002820A1" w:rsidRDefault="0012203E" w:rsidP="008B6ACC">
      <w:pPr>
        <w:autoSpaceDE w:val="0"/>
        <w:autoSpaceDN w:val="0"/>
        <w:adjustRightInd w:val="0"/>
        <w:spacing w:before="240" w:line="259" w:lineRule="auto"/>
        <w:rPr>
          <w:rFonts w:ascii="Times New Roman" w:hAnsi="Times New Roman"/>
          <w:sz w:val="24"/>
        </w:rPr>
      </w:pPr>
      <w:r>
        <w:rPr>
          <w:rFonts w:ascii="Times New Roman" w:hAnsi="Times New Roman"/>
          <w:sz w:val="24"/>
        </w:rPr>
        <w:lastRenderedPageBreak/>
        <w:t xml:space="preserve">Paragraph 16.4 </w:t>
      </w:r>
      <w:r w:rsidR="00C646FF">
        <w:rPr>
          <w:rFonts w:ascii="Times New Roman" w:hAnsi="Times New Roman"/>
          <w:sz w:val="24"/>
        </w:rPr>
        <w:t xml:space="preserve">permits a copy of the funds transfer message transmitted out of or into Australia to be given as a report of an electronic </w:t>
      </w:r>
      <w:r w:rsidR="00531BD7">
        <w:rPr>
          <w:rFonts w:ascii="Times New Roman" w:hAnsi="Times New Roman"/>
          <w:sz w:val="24"/>
        </w:rPr>
        <w:t xml:space="preserve">international funds </w:t>
      </w:r>
      <w:r w:rsidR="00C646FF">
        <w:rPr>
          <w:rFonts w:ascii="Times New Roman" w:hAnsi="Times New Roman"/>
          <w:sz w:val="24"/>
        </w:rPr>
        <w:t>transfer instruction in accordance with the approved form</w:t>
      </w:r>
      <w:r w:rsidR="00531BD7">
        <w:rPr>
          <w:rFonts w:ascii="Times New Roman" w:hAnsi="Times New Roman"/>
          <w:sz w:val="24"/>
        </w:rPr>
        <w:t xml:space="preserve"> and specifies that t</w:t>
      </w:r>
      <w:r w:rsidR="002820A1">
        <w:rPr>
          <w:rFonts w:ascii="Times New Roman" w:hAnsi="Times New Roman"/>
          <w:sz w:val="24"/>
        </w:rPr>
        <w:t>he copy:</w:t>
      </w:r>
    </w:p>
    <w:p w14:paraId="0849DB4E" w14:textId="3F6F473D" w:rsidR="0012203E" w:rsidRDefault="002820A1" w:rsidP="008B6ACC">
      <w:pPr>
        <w:pStyle w:val="ListParagraph"/>
        <w:numPr>
          <w:ilvl w:val="0"/>
          <w:numId w:val="29"/>
        </w:numPr>
        <w:autoSpaceDE w:val="0"/>
        <w:autoSpaceDN w:val="0"/>
        <w:adjustRightInd w:val="0"/>
        <w:spacing w:before="240" w:line="259" w:lineRule="auto"/>
        <w:rPr>
          <w:rFonts w:ascii="Times New Roman" w:hAnsi="Times New Roman"/>
          <w:sz w:val="24"/>
        </w:rPr>
      </w:pPr>
      <w:r>
        <w:rPr>
          <w:rFonts w:ascii="Times New Roman" w:hAnsi="Times New Roman"/>
          <w:sz w:val="24"/>
        </w:rPr>
        <w:t>must contain the information required under subparagraphs 16.2 or 16.3; and</w:t>
      </w:r>
    </w:p>
    <w:p w14:paraId="2B0CB957" w14:textId="6B2180F8" w:rsidR="002820A1" w:rsidRDefault="002820A1" w:rsidP="008B6ACC">
      <w:pPr>
        <w:pStyle w:val="ListParagraph"/>
        <w:numPr>
          <w:ilvl w:val="0"/>
          <w:numId w:val="29"/>
        </w:numPr>
        <w:autoSpaceDE w:val="0"/>
        <w:autoSpaceDN w:val="0"/>
        <w:adjustRightInd w:val="0"/>
        <w:spacing w:before="240" w:line="259" w:lineRule="auto"/>
        <w:rPr>
          <w:rFonts w:ascii="Times New Roman" w:hAnsi="Times New Roman"/>
          <w:sz w:val="24"/>
        </w:rPr>
      </w:pPr>
      <w:r>
        <w:rPr>
          <w:rFonts w:ascii="Times New Roman" w:hAnsi="Times New Roman"/>
          <w:sz w:val="24"/>
        </w:rPr>
        <w:t>may contain information giving effect to the international funds transfer as required by message format standards, message usage guidelines, or to complete the transfer.</w:t>
      </w:r>
    </w:p>
    <w:p w14:paraId="7F5DA44C" w14:textId="3DFA4AA4" w:rsidR="002820A1" w:rsidRDefault="002820A1" w:rsidP="008B6ACC">
      <w:pPr>
        <w:autoSpaceDE w:val="0"/>
        <w:autoSpaceDN w:val="0"/>
        <w:adjustRightInd w:val="0"/>
        <w:spacing w:before="240" w:line="259" w:lineRule="auto"/>
        <w:rPr>
          <w:rFonts w:ascii="Times New Roman" w:hAnsi="Times New Roman"/>
          <w:sz w:val="24"/>
        </w:rPr>
      </w:pPr>
      <w:r>
        <w:rPr>
          <w:rFonts w:ascii="Times New Roman" w:hAnsi="Times New Roman"/>
          <w:sz w:val="24"/>
        </w:rPr>
        <w:t>Paragraph 16.5 specifies that a report under subsection 45(2) of the AML/CTF Act must contain the full name, job title or position, telephone number and email address of the person who completes the report.</w:t>
      </w:r>
    </w:p>
    <w:p w14:paraId="129629EE" w14:textId="7411B460" w:rsidR="002820A1" w:rsidRPr="008B6ACC" w:rsidRDefault="002820A1" w:rsidP="002820A1">
      <w:pPr>
        <w:pStyle w:val="ItemHead"/>
        <w:ind w:left="0" w:firstLine="0"/>
        <w:rPr>
          <w:rFonts w:ascii="Times New Roman" w:hAnsi="Times New Roman"/>
          <w:b w:val="0"/>
          <w:kern w:val="0"/>
          <w:szCs w:val="24"/>
          <w:lang w:eastAsia="en-US"/>
        </w:rPr>
      </w:pPr>
      <w:r w:rsidRPr="002820A1">
        <w:rPr>
          <w:rFonts w:ascii="Times New Roman" w:hAnsi="Times New Roman"/>
          <w:b w:val="0"/>
          <w:kern w:val="0"/>
          <w:szCs w:val="24"/>
          <w:lang w:eastAsia="en-US"/>
        </w:rPr>
        <w:t xml:space="preserve">The note under Paragraph 16.5 refers to </w:t>
      </w:r>
      <w:r w:rsidRPr="008B6ACC">
        <w:rPr>
          <w:rFonts w:ascii="Times New Roman" w:hAnsi="Times New Roman"/>
          <w:b w:val="0"/>
          <w:kern w:val="0"/>
          <w:szCs w:val="24"/>
          <w:lang w:eastAsia="en-US"/>
        </w:rPr>
        <w:t xml:space="preserve">subsection 8WA(1) and section 8WB of the </w:t>
      </w:r>
      <w:r w:rsidRPr="00187017">
        <w:rPr>
          <w:rFonts w:ascii="Times New Roman" w:hAnsi="Times New Roman"/>
          <w:b w:val="0"/>
          <w:i/>
          <w:kern w:val="0"/>
          <w:szCs w:val="24"/>
          <w:lang w:eastAsia="en-US"/>
        </w:rPr>
        <w:t>T</w:t>
      </w:r>
      <w:r w:rsidR="00B65FFB" w:rsidRPr="00187017">
        <w:rPr>
          <w:rFonts w:ascii="Times New Roman" w:hAnsi="Times New Roman"/>
          <w:b w:val="0"/>
          <w:i/>
          <w:kern w:val="0"/>
          <w:szCs w:val="24"/>
          <w:lang w:eastAsia="en-US"/>
        </w:rPr>
        <w:t>axation Administration Act 1953</w:t>
      </w:r>
      <w:r w:rsidR="00B65FFB" w:rsidRPr="00B65FFB">
        <w:rPr>
          <w:rFonts w:ascii="Times New Roman" w:hAnsi="Times New Roman"/>
          <w:b w:val="0"/>
          <w:kern w:val="0"/>
          <w:szCs w:val="24"/>
          <w:lang w:eastAsia="en-US"/>
        </w:rPr>
        <w:t xml:space="preserve"> and clarifies that</w:t>
      </w:r>
      <w:r w:rsidRPr="008B6ACC">
        <w:rPr>
          <w:rFonts w:ascii="Times New Roman" w:hAnsi="Times New Roman"/>
          <w:b w:val="0"/>
          <w:kern w:val="0"/>
          <w:szCs w:val="24"/>
          <w:lang w:eastAsia="en-US"/>
        </w:rPr>
        <w:t xml:space="preserve"> AUSTRAC is prohibited from requesting, making a record of, or maintaining a record of a person’s Tax File Number, </w:t>
      </w:r>
      <w:r w:rsidR="00B65FFB">
        <w:rPr>
          <w:rFonts w:ascii="Times New Roman" w:hAnsi="Times New Roman"/>
          <w:b w:val="0"/>
          <w:kern w:val="0"/>
          <w:szCs w:val="24"/>
          <w:lang w:eastAsia="en-US"/>
        </w:rPr>
        <w:t xml:space="preserve">and that </w:t>
      </w:r>
      <w:r w:rsidRPr="008B6ACC">
        <w:rPr>
          <w:rFonts w:ascii="Times New Roman" w:hAnsi="Times New Roman"/>
          <w:b w:val="0"/>
          <w:kern w:val="0"/>
          <w:szCs w:val="24"/>
          <w:lang w:eastAsia="en-US"/>
        </w:rPr>
        <w:t xml:space="preserve">Chapter </w:t>
      </w:r>
      <w:r w:rsidR="00B65FFB">
        <w:rPr>
          <w:rFonts w:ascii="Times New Roman" w:hAnsi="Times New Roman"/>
          <w:b w:val="0"/>
          <w:kern w:val="0"/>
          <w:szCs w:val="24"/>
          <w:lang w:eastAsia="en-US"/>
        </w:rPr>
        <w:t xml:space="preserve">16 </w:t>
      </w:r>
      <w:r w:rsidRPr="008B6ACC">
        <w:rPr>
          <w:rFonts w:ascii="Times New Roman" w:hAnsi="Times New Roman"/>
          <w:b w:val="0"/>
          <w:kern w:val="0"/>
          <w:szCs w:val="24"/>
          <w:lang w:eastAsia="en-US"/>
        </w:rPr>
        <w:t>does not require reporting entities to disclose a person’s Tax File Number to AUSTRAC.</w:t>
      </w:r>
    </w:p>
    <w:p w14:paraId="25D33DFE" w14:textId="1F821CBA" w:rsidR="002820A1" w:rsidRPr="008B6ACC" w:rsidRDefault="00B65FFB" w:rsidP="002820A1">
      <w:pPr>
        <w:pStyle w:val="ItemHead"/>
        <w:ind w:left="0" w:firstLine="0"/>
        <w:rPr>
          <w:rFonts w:ascii="Times New Roman" w:hAnsi="Times New Roman"/>
          <w:b w:val="0"/>
          <w:kern w:val="0"/>
          <w:szCs w:val="24"/>
          <w:lang w:eastAsia="en-US"/>
        </w:rPr>
      </w:pPr>
      <w:r>
        <w:rPr>
          <w:rFonts w:ascii="Times New Roman" w:hAnsi="Times New Roman"/>
          <w:b w:val="0"/>
          <w:kern w:val="0"/>
          <w:szCs w:val="24"/>
          <w:lang w:eastAsia="en-US"/>
        </w:rPr>
        <w:t xml:space="preserve">The note also alerts </w:t>
      </w:r>
      <w:r w:rsidRPr="00B65FFB">
        <w:rPr>
          <w:rFonts w:ascii="Times New Roman" w:hAnsi="Times New Roman"/>
          <w:b w:val="0"/>
          <w:kern w:val="0"/>
          <w:szCs w:val="24"/>
          <w:lang w:eastAsia="en-US"/>
        </w:rPr>
        <w:t>r</w:t>
      </w:r>
      <w:r w:rsidR="002820A1" w:rsidRPr="008B6ACC">
        <w:rPr>
          <w:rFonts w:ascii="Times New Roman" w:hAnsi="Times New Roman"/>
          <w:b w:val="0"/>
          <w:kern w:val="0"/>
          <w:szCs w:val="24"/>
          <w:lang w:eastAsia="en-US"/>
        </w:rPr>
        <w:t xml:space="preserve">eporting entities that in relation to activities they undertake to comply with the AML/CTF Act, they will have obligations under the </w:t>
      </w:r>
      <w:r w:rsidR="002820A1" w:rsidRPr="00187017">
        <w:rPr>
          <w:rFonts w:ascii="Times New Roman" w:hAnsi="Times New Roman"/>
          <w:b w:val="0"/>
          <w:i/>
          <w:kern w:val="0"/>
          <w:szCs w:val="24"/>
          <w:lang w:eastAsia="en-US"/>
        </w:rPr>
        <w:t>Privacy Act 1988</w:t>
      </w:r>
      <w:r w:rsidR="002820A1" w:rsidRPr="008B6ACC">
        <w:rPr>
          <w:rFonts w:ascii="Times New Roman" w:hAnsi="Times New Roman"/>
          <w:b w:val="0"/>
          <w:kern w:val="0"/>
          <w:szCs w:val="24"/>
          <w:lang w:eastAsia="en-US"/>
        </w:rPr>
        <w:t xml:space="preserve">, including the requirement to comply with the Australian Privacy Principles, even if they would otherwise be exempt from the Privacy Act. </w:t>
      </w:r>
    </w:p>
    <w:p w14:paraId="68AC2593" w14:textId="46E5A0A5" w:rsidR="002820A1" w:rsidRPr="008B6ACC" w:rsidRDefault="002820A1" w:rsidP="008B6ACC">
      <w:pPr>
        <w:autoSpaceDE w:val="0"/>
        <w:autoSpaceDN w:val="0"/>
        <w:adjustRightInd w:val="0"/>
        <w:spacing w:before="240" w:line="259" w:lineRule="auto"/>
        <w:rPr>
          <w:rFonts w:ascii="Times New Roman" w:hAnsi="Times New Roman"/>
          <w:sz w:val="24"/>
        </w:rPr>
      </w:pPr>
    </w:p>
    <w:p w14:paraId="57377164" w14:textId="334211F5" w:rsidR="00017141" w:rsidRPr="00733D11" w:rsidRDefault="00017141" w:rsidP="0000725F">
      <w:pPr>
        <w:spacing w:line="276" w:lineRule="auto"/>
        <w:rPr>
          <w:rFonts w:ascii="Times New Roman" w:eastAsia="Calibri" w:hAnsi="Times New Roman"/>
          <w:sz w:val="24"/>
          <w:szCs w:val="22"/>
        </w:rPr>
      </w:pPr>
    </w:p>
    <w:p w14:paraId="5D3C82B2" w14:textId="5A11A74E" w:rsidR="005B44C5" w:rsidRPr="005B44C5" w:rsidRDefault="009B309E" w:rsidP="00741030">
      <w:pPr>
        <w:spacing w:after="160" w:line="360" w:lineRule="auto"/>
        <w:jc w:val="right"/>
        <w:rPr>
          <w:rFonts w:ascii="Times New Roman" w:eastAsia="Calibri" w:hAnsi="Times New Roman"/>
          <w:sz w:val="24"/>
          <w:u w:val="single"/>
        </w:rPr>
      </w:pPr>
      <w:r w:rsidRPr="00733D11">
        <w:rPr>
          <w:rFonts w:ascii="Times New Roman" w:eastAsia="Calibri" w:hAnsi="Times New Roman"/>
          <w:b/>
          <w:caps/>
          <w:sz w:val="24"/>
        </w:rPr>
        <w:br w:type="page"/>
      </w:r>
    </w:p>
    <w:p w14:paraId="19974919" w14:textId="77777777" w:rsidR="004A1634" w:rsidRPr="004A1634" w:rsidRDefault="004A1634" w:rsidP="004A1634">
      <w:pPr>
        <w:rPr>
          <w:lang w:eastAsia="en-AU"/>
        </w:rPr>
      </w:pPr>
    </w:p>
    <w:p w14:paraId="4AF4F136" w14:textId="6836A2F1" w:rsidR="00733D11" w:rsidRDefault="00E833BB" w:rsidP="00531BD7">
      <w:pPr>
        <w:spacing w:after="160" w:line="360" w:lineRule="auto"/>
        <w:jc w:val="right"/>
        <w:rPr>
          <w:rFonts w:ascii="Times New Roman" w:eastAsia="Calibri" w:hAnsi="Times New Roman"/>
          <w:b/>
          <w:caps/>
          <w:sz w:val="24"/>
        </w:rPr>
      </w:pPr>
      <w:r>
        <w:rPr>
          <w:rFonts w:ascii="Times New Roman" w:eastAsia="Calibri" w:hAnsi="Times New Roman"/>
          <w:b/>
          <w:caps/>
          <w:sz w:val="24"/>
        </w:rPr>
        <w:t>ATTACHMENT B</w:t>
      </w:r>
    </w:p>
    <w:p w14:paraId="729ACADF" w14:textId="77777777" w:rsidR="00E96B54" w:rsidRPr="00047C65" w:rsidRDefault="00E96B54" w:rsidP="00E96B54">
      <w:pPr>
        <w:spacing w:after="160" w:line="360" w:lineRule="auto"/>
        <w:jc w:val="center"/>
        <w:rPr>
          <w:rFonts w:ascii="Times New Roman" w:eastAsia="Calibri" w:hAnsi="Times New Roman"/>
          <w:b/>
          <w:caps/>
          <w:sz w:val="24"/>
        </w:rPr>
      </w:pPr>
      <w:r w:rsidRPr="00047C65">
        <w:rPr>
          <w:rFonts w:ascii="Times New Roman" w:eastAsia="Calibri" w:hAnsi="Times New Roman"/>
          <w:b/>
          <w:caps/>
          <w:sz w:val="24"/>
        </w:rPr>
        <w:t>Statement of Compatibility with Human Rights</w:t>
      </w:r>
    </w:p>
    <w:p w14:paraId="3765C81F" w14:textId="77777777" w:rsidR="00E96B54" w:rsidRPr="00047C65" w:rsidRDefault="00E96B54" w:rsidP="00E96B54">
      <w:pPr>
        <w:spacing w:after="160" w:line="360" w:lineRule="auto"/>
        <w:jc w:val="center"/>
        <w:rPr>
          <w:rFonts w:ascii="Times New Roman" w:eastAsia="Calibri" w:hAnsi="Times New Roman"/>
          <w:sz w:val="24"/>
        </w:rPr>
      </w:pPr>
      <w:r w:rsidRPr="00047C65">
        <w:rPr>
          <w:rFonts w:ascii="Times New Roman" w:eastAsia="Calibri" w:hAnsi="Times New Roman"/>
          <w:i/>
          <w:iCs/>
          <w:sz w:val="24"/>
        </w:rPr>
        <w:t>Prepared in accordance with Part 3 of the Human Rights (Parliamentary Scrutiny) Act 2011</w:t>
      </w:r>
    </w:p>
    <w:p w14:paraId="56BB1185" w14:textId="77777777" w:rsidR="00E96B54" w:rsidRPr="00047C65" w:rsidRDefault="00E96B54" w:rsidP="00E96B54">
      <w:pPr>
        <w:spacing w:after="160" w:line="360" w:lineRule="auto"/>
        <w:rPr>
          <w:rFonts w:ascii="Times New Roman" w:eastAsia="Calibri" w:hAnsi="Times New Roman"/>
          <w:b/>
          <w:i/>
          <w:sz w:val="24"/>
        </w:rPr>
      </w:pPr>
      <w:r w:rsidRPr="00047C65">
        <w:rPr>
          <w:rFonts w:ascii="Times New Roman" w:eastAsia="Calibri" w:hAnsi="Times New Roman"/>
          <w:b/>
          <w:i/>
          <w:sz w:val="24"/>
        </w:rPr>
        <w:t xml:space="preserve">Australian Human Rights Commission Regulations 2019 </w:t>
      </w:r>
    </w:p>
    <w:p w14:paraId="619C075C" w14:textId="77777777" w:rsidR="00E96B54" w:rsidRPr="00784484" w:rsidRDefault="00E96B54" w:rsidP="00E96B54">
      <w:pPr>
        <w:pStyle w:val="ListParagraph"/>
        <w:numPr>
          <w:ilvl w:val="0"/>
          <w:numId w:val="19"/>
        </w:numPr>
        <w:spacing w:after="160" w:line="259" w:lineRule="auto"/>
        <w:ind w:left="0" w:firstLine="0"/>
        <w:rPr>
          <w:rFonts w:ascii="Times New Roman" w:eastAsia="Calibri" w:hAnsi="Times New Roman"/>
          <w:sz w:val="24"/>
        </w:rPr>
      </w:pPr>
      <w:r w:rsidRPr="00784484">
        <w:rPr>
          <w:rFonts w:ascii="Times New Roman" w:eastAsia="Calibri" w:hAnsi="Times New Roman"/>
          <w:sz w:val="24"/>
        </w:rPr>
        <w:t xml:space="preserve">This Disallowable Legislative Instrument (the </w:t>
      </w:r>
      <w:r w:rsidRPr="00E96B54">
        <w:rPr>
          <w:rFonts w:ascii="Times New Roman" w:eastAsia="Calibri" w:hAnsi="Times New Roman"/>
          <w:b/>
          <w:sz w:val="24"/>
        </w:rPr>
        <w:t>Instrument</w:t>
      </w:r>
      <w:r w:rsidRPr="00784484">
        <w:rPr>
          <w:rFonts w:ascii="Times New Roman" w:eastAsia="Calibri" w:hAnsi="Times New Roman"/>
          <w:sz w:val="24"/>
        </w:rPr>
        <w:t xml:space="preserve">) is compatible with the human rights and freedoms recognised or declared in the international instruments listed in section 3 of the </w:t>
      </w:r>
      <w:r w:rsidRPr="000166D7">
        <w:rPr>
          <w:rFonts w:ascii="Times New Roman" w:eastAsia="Calibri" w:hAnsi="Times New Roman"/>
          <w:i/>
          <w:sz w:val="24"/>
        </w:rPr>
        <w:t>Human Rights (Parliamentary Scrutiny) Act 2011</w:t>
      </w:r>
      <w:r w:rsidRPr="00784484">
        <w:rPr>
          <w:rFonts w:ascii="Times New Roman" w:eastAsia="Calibri" w:hAnsi="Times New Roman"/>
          <w:sz w:val="24"/>
        </w:rPr>
        <w:t>.</w:t>
      </w:r>
    </w:p>
    <w:p w14:paraId="39D351C7" w14:textId="77777777" w:rsidR="00E96B54" w:rsidRPr="00047C65" w:rsidRDefault="00E96B54" w:rsidP="00E96B54">
      <w:pPr>
        <w:spacing w:after="160" w:line="360" w:lineRule="auto"/>
        <w:rPr>
          <w:rFonts w:ascii="Times New Roman" w:eastAsia="Calibri" w:hAnsi="Times New Roman"/>
          <w:b/>
          <w:sz w:val="24"/>
        </w:rPr>
      </w:pPr>
      <w:r w:rsidRPr="00047C65">
        <w:rPr>
          <w:rFonts w:ascii="Times New Roman" w:eastAsia="Calibri" w:hAnsi="Times New Roman"/>
          <w:b/>
          <w:sz w:val="24"/>
        </w:rPr>
        <w:t>Overview of the Instrument</w:t>
      </w:r>
    </w:p>
    <w:p w14:paraId="7F87D1FB" w14:textId="409333A3" w:rsidR="00C177CC" w:rsidRPr="007B3B65" w:rsidRDefault="00E96B54" w:rsidP="007B3B65">
      <w:pPr>
        <w:pStyle w:val="ListParagraph"/>
        <w:numPr>
          <w:ilvl w:val="0"/>
          <w:numId w:val="19"/>
        </w:numPr>
        <w:spacing w:after="160" w:line="259" w:lineRule="auto"/>
        <w:ind w:left="0" w:firstLine="0"/>
        <w:rPr>
          <w:rFonts w:ascii="Times New Roman" w:eastAsia="Calibri" w:hAnsi="Times New Roman"/>
          <w:sz w:val="24"/>
        </w:rPr>
      </w:pPr>
      <w:r w:rsidRPr="00047C65">
        <w:rPr>
          <w:rFonts w:ascii="Times New Roman" w:eastAsia="Calibri" w:hAnsi="Times New Roman"/>
          <w:sz w:val="24"/>
        </w:rPr>
        <w:t xml:space="preserve">The Instrument </w:t>
      </w:r>
      <w:r>
        <w:rPr>
          <w:rFonts w:ascii="Times New Roman" w:eastAsia="Calibri" w:hAnsi="Times New Roman"/>
          <w:sz w:val="24"/>
        </w:rPr>
        <w:t>amend</w:t>
      </w:r>
      <w:r w:rsidRPr="00047C65">
        <w:rPr>
          <w:rFonts w:ascii="Times New Roman" w:eastAsia="Calibri" w:hAnsi="Times New Roman"/>
          <w:sz w:val="24"/>
        </w:rPr>
        <w:t xml:space="preserve">s Chapter </w:t>
      </w:r>
      <w:r w:rsidR="007E05AA">
        <w:rPr>
          <w:rFonts w:ascii="Times New Roman" w:eastAsia="Calibri" w:hAnsi="Times New Roman"/>
          <w:sz w:val="24"/>
        </w:rPr>
        <w:t>16</w:t>
      </w:r>
      <w:r w:rsidRPr="00047C65">
        <w:rPr>
          <w:rFonts w:ascii="Times New Roman" w:eastAsia="Calibri" w:hAnsi="Times New Roman"/>
          <w:sz w:val="24"/>
        </w:rPr>
        <w:t xml:space="preserve"> of the </w:t>
      </w:r>
      <w:r>
        <w:rPr>
          <w:rFonts w:ascii="Times New Roman" w:eastAsia="Calibri" w:hAnsi="Times New Roman"/>
          <w:i/>
          <w:sz w:val="24"/>
        </w:rPr>
        <w:t xml:space="preserve">Anti-Money Laundering and Counter-Terrorism Financing Rules Instrument 2007 (No. 1) </w:t>
      </w:r>
      <w:r>
        <w:rPr>
          <w:rFonts w:ascii="Times New Roman" w:eastAsia="Calibri" w:hAnsi="Times New Roman"/>
          <w:sz w:val="24"/>
        </w:rPr>
        <w:t>(</w:t>
      </w:r>
      <w:r w:rsidRPr="00E96B54">
        <w:rPr>
          <w:rFonts w:ascii="Times New Roman" w:eastAsia="Calibri" w:hAnsi="Times New Roman"/>
          <w:b/>
          <w:sz w:val="24"/>
        </w:rPr>
        <w:t>AML/CTF Rules</w:t>
      </w:r>
      <w:r>
        <w:rPr>
          <w:rFonts w:ascii="Times New Roman" w:eastAsia="Calibri" w:hAnsi="Times New Roman"/>
          <w:sz w:val="24"/>
        </w:rPr>
        <w:t>)</w:t>
      </w:r>
      <w:r w:rsidRPr="00047C65">
        <w:rPr>
          <w:rFonts w:ascii="Times New Roman" w:eastAsia="Calibri" w:hAnsi="Times New Roman"/>
          <w:sz w:val="24"/>
        </w:rPr>
        <w:t xml:space="preserve">. </w:t>
      </w:r>
      <w:r>
        <w:rPr>
          <w:rFonts w:ascii="Times New Roman" w:eastAsia="Calibri" w:hAnsi="Times New Roman"/>
          <w:sz w:val="24"/>
        </w:rPr>
        <w:t xml:space="preserve">The amendment </w:t>
      </w:r>
      <w:r w:rsidR="00010CD0">
        <w:rPr>
          <w:rFonts w:ascii="Times New Roman" w:eastAsia="Calibri" w:hAnsi="Times New Roman"/>
          <w:sz w:val="24"/>
        </w:rPr>
        <w:t>includes a provision</w:t>
      </w:r>
      <w:r w:rsidR="00742927" w:rsidRPr="00742927">
        <w:rPr>
          <w:rFonts w:ascii="Times New Roman" w:hAnsi="Times New Roman"/>
          <w:sz w:val="24"/>
        </w:rPr>
        <w:t xml:space="preserve"> that reports m</w:t>
      </w:r>
      <w:r w:rsidR="00010CD0">
        <w:rPr>
          <w:rFonts w:ascii="Times New Roman" w:hAnsi="Times New Roman"/>
          <w:sz w:val="24"/>
        </w:rPr>
        <w:t>ay</w:t>
      </w:r>
      <w:r w:rsidR="00742927" w:rsidRPr="00742927">
        <w:rPr>
          <w:rFonts w:ascii="Times New Roman" w:hAnsi="Times New Roman"/>
          <w:sz w:val="24"/>
        </w:rPr>
        <w:t xml:space="preserve"> contain any other details </w:t>
      </w:r>
      <w:r w:rsidR="005264AC">
        <w:rPr>
          <w:rFonts w:ascii="Times New Roman" w:hAnsi="Times New Roman"/>
          <w:sz w:val="24"/>
        </w:rPr>
        <w:t xml:space="preserve">present in the original funds transfer message </w:t>
      </w:r>
      <w:r w:rsidR="00742927" w:rsidRPr="00742927">
        <w:rPr>
          <w:rFonts w:ascii="Times New Roman" w:hAnsi="Times New Roman"/>
          <w:sz w:val="24"/>
        </w:rPr>
        <w:t>to facilitate international funds transfer instruction reports in the ISO</w:t>
      </w:r>
      <w:r w:rsidR="00007395">
        <w:rPr>
          <w:rFonts w:ascii="Times New Roman" w:hAnsi="Times New Roman"/>
          <w:sz w:val="24"/>
        </w:rPr>
        <w:t xml:space="preserve"> </w:t>
      </w:r>
      <w:r w:rsidR="00742927" w:rsidRPr="00742927">
        <w:rPr>
          <w:rFonts w:ascii="Times New Roman" w:hAnsi="Times New Roman"/>
          <w:sz w:val="24"/>
        </w:rPr>
        <w:t>20022 format</w:t>
      </w:r>
      <w:r w:rsidR="00010CD0">
        <w:rPr>
          <w:rFonts w:ascii="Times New Roman" w:hAnsi="Times New Roman"/>
          <w:sz w:val="24"/>
        </w:rPr>
        <w:t>.</w:t>
      </w:r>
    </w:p>
    <w:p w14:paraId="034BB4EA" w14:textId="1B870D3F" w:rsidR="005B44C5" w:rsidRPr="006D680B" w:rsidRDefault="00C177CC" w:rsidP="006D680B">
      <w:pPr>
        <w:pStyle w:val="ListParagraph"/>
        <w:numPr>
          <w:ilvl w:val="0"/>
          <w:numId w:val="19"/>
        </w:numPr>
        <w:spacing w:after="160" w:line="259" w:lineRule="auto"/>
        <w:ind w:left="0" w:firstLine="0"/>
        <w:rPr>
          <w:rFonts w:ascii="Times New Roman" w:eastAsia="Calibri" w:hAnsi="Times New Roman"/>
          <w:sz w:val="24"/>
        </w:rPr>
      </w:pPr>
      <w:r w:rsidRPr="006D680B">
        <w:rPr>
          <w:rFonts w:ascii="Times New Roman" w:hAnsi="Times New Roman"/>
          <w:sz w:val="24"/>
        </w:rPr>
        <w:t xml:space="preserve">This amendment to Chapter 16 </w:t>
      </w:r>
      <w:r w:rsidR="00C30A82">
        <w:rPr>
          <w:rFonts w:ascii="Times New Roman" w:eastAsia="Calibri" w:hAnsi="Times New Roman"/>
          <w:sz w:val="24"/>
        </w:rPr>
        <w:t>notes t</w:t>
      </w:r>
      <w:r w:rsidR="00C30A82" w:rsidRPr="00C30A82">
        <w:rPr>
          <w:rFonts w:ascii="Times New Roman" w:eastAsia="Calibri" w:hAnsi="Times New Roman"/>
          <w:sz w:val="24"/>
        </w:rPr>
        <w:t xml:space="preserve">his Chapter does not require reporting entities to disclose a person’s </w:t>
      </w:r>
      <w:r w:rsidR="00C30A82">
        <w:rPr>
          <w:rFonts w:ascii="Times New Roman" w:eastAsia="Calibri" w:hAnsi="Times New Roman"/>
          <w:sz w:val="24"/>
        </w:rPr>
        <w:t>t</w:t>
      </w:r>
      <w:r w:rsidR="00C30A82" w:rsidRPr="00C30A82">
        <w:rPr>
          <w:rFonts w:ascii="Times New Roman" w:eastAsia="Calibri" w:hAnsi="Times New Roman"/>
          <w:sz w:val="24"/>
        </w:rPr>
        <w:t xml:space="preserve">ax </w:t>
      </w:r>
      <w:r w:rsidR="00C30A82">
        <w:rPr>
          <w:rFonts w:ascii="Times New Roman" w:eastAsia="Calibri" w:hAnsi="Times New Roman"/>
          <w:sz w:val="24"/>
        </w:rPr>
        <w:t>f</w:t>
      </w:r>
      <w:r w:rsidR="00C30A82" w:rsidRPr="00C30A82">
        <w:rPr>
          <w:rFonts w:ascii="Times New Roman" w:eastAsia="Calibri" w:hAnsi="Times New Roman"/>
          <w:sz w:val="24"/>
        </w:rPr>
        <w:t xml:space="preserve">ile </w:t>
      </w:r>
      <w:r w:rsidR="00C30A82">
        <w:rPr>
          <w:rFonts w:ascii="Times New Roman" w:eastAsia="Calibri" w:hAnsi="Times New Roman"/>
          <w:sz w:val="24"/>
        </w:rPr>
        <w:t>n</w:t>
      </w:r>
      <w:r w:rsidR="00C30A82" w:rsidRPr="00C30A82">
        <w:rPr>
          <w:rFonts w:ascii="Times New Roman" w:eastAsia="Calibri" w:hAnsi="Times New Roman"/>
          <w:sz w:val="24"/>
        </w:rPr>
        <w:t xml:space="preserve">umber </w:t>
      </w:r>
      <w:r w:rsidR="00C30A82" w:rsidRPr="006D680B">
        <w:rPr>
          <w:rFonts w:ascii="Times New Roman" w:hAnsi="Times New Roman"/>
          <w:sz w:val="24"/>
        </w:rPr>
        <w:t xml:space="preserve">(as defined in the </w:t>
      </w:r>
      <w:r w:rsidR="00C30A82" w:rsidRPr="006D680B">
        <w:rPr>
          <w:rFonts w:ascii="Times New Roman" w:hAnsi="Times New Roman"/>
          <w:i/>
          <w:sz w:val="24"/>
        </w:rPr>
        <w:t>Income Tax Assessment Act 19</w:t>
      </w:r>
      <w:r w:rsidR="00C30A82">
        <w:rPr>
          <w:rFonts w:ascii="Times New Roman" w:hAnsi="Times New Roman"/>
          <w:i/>
          <w:sz w:val="24"/>
        </w:rPr>
        <w:t>36</w:t>
      </w:r>
      <w:r w:rsidR="00C30A82" w:rsidRPr="006D680B">
        <w:rPr>
          <w:rFonts w:ascii="Times New Roman" w:hAnsi="Times New Roman"/>
          <w:sz w:val="24"/>
        </w:rPr>
        <w:t>)</w:t>
      </w:r>
      <w:r w:rsidR="00C30A82">
        <w:rPr>
          <w:rFonts w:ascii="Times New Roman" w:hAnsi="Times New Roman"/>
          <w:sz w:val="24"/>
        </w:rPr>
        <w:t xml:space="preserve"> </w:t>
      </w:r>
      <w:r w:rsidR="00C30A82" w:rsidRPr="00C30A82">
        <w:rPr>
          <w:rFonts w:ascii="Times New Roman" w:eastAsia="Calibri" w:hAnsi="Times New Roman"/>
          <w:sz w:val="24"/>
        </w:rPr>
        <w:t>to AUSTRAC</w:t>
      </w:r>
      <w:r w:rsidR="00374997" w:rsidRPr="006D680B">
        <w:rPr>
          <w:rFonts w:ascii="Times New Roman" w:eastAsia="Calibri" w:hAnsi="Times New Roman"/>
          <w:sz w:val="24"/>
        </w:rPr>
        <w:t>.</w:t>
      </w:r>
    </w:p>
    <w:p w14:paraId="272866A8" w14:textId="77777777" w:rsidR="00E96B54" w:rsidRPr="00047C65" w:rsidRDefault="00E96B54" w:rsidP="00E96B54">
      <w:pPr>
        <w:spacing w:after="160" w:line="360" w:lineRule="auto"/>
        <w:rPr>
          <w:rFonts w:ascii="Times New Roman" w:eastAsia="Calibri" w:hAnsi="Times New Roman"/>
          <w:b/>
          <w:sz w:val="24"/>
        </w:rPr>
      </w:pPr>
      <w:r w:rsidRPr="00047C65">
        <w:rPr>
          <w:rFonts w:ascii="Times New Roman" w:eastAsia="Calibri" w:hAnsi="Times New Roman"/>
          <w:b/>
          <w:sz w:val="24"/>
        </w:rPr>
        <w:t>Human rights implications</w:t>
      </w:r>
    </w:p>
    <w:p w14:paraId="53F6FB18" w14:textId="77777777" w:rsidR="00E96B54" w:rsidRPr="00047C65" w:rsidRDefault="00E96B54" w:rsidP="00E96B54">
      <w:pPr>
        <w:pStyle w:val="ListParagraph"/>
        <w:numPr>
          <w:ilvl w:val="0"/>
          <w:numId w:val="19"/>
        </w:numPr>
        <w:spacing w:after="160" w:line="259" w:lineRule="auto"/>
        <w:ind w:left="0" w:firstLine="0"/>
        <w:rPr>
          <w:rFonts w:ascii="Times New Roman" w:eastAsia="Calibri" w:hAnsi="Times New Roman"/>
          <w:sz w:val="24"/>
        </w:rPr>
      </w:pPr>
      <w:r w:rsidRPr="00047C65">
        <w:rPr>
          <w:rFonts w:ascii="Times New Roman" w:eastAsia="Calibri" w:hAnsi="Times New Roman"/>
          <w:sz w:val="24"/>
        </w:rPr>
        <w:t xml:space="preserve">The </w:t>
      </w:r>
      <w:r w:rsidRPr="006D4D39">
        <w:rPr>
          <w:rFonts w:ascii="Times New Roman" w:eastAsia="Calibri" w:hAnsi="Times New Roman"/>
          <w:i/>
          <w:sz w:val="24"/>
        </w:rPr>
        <w:t>Human Rights (Parliamentary Scrutiny) Act 2011</w:t>
      </w:r>
      <w:r w:rsidRPr="00047C65">
        <w:rPr>
          <w:rFonts w:ascii="Times New Roman" w:eastAsia="Calibri" w:hAnsi="Times New Roman"/>
          <w:sz w:val="24"/>
        </w:rPr>
        <w:t xml:space="preserve">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450BAD2C" w14:textId="77777777" w:rsidR="00E96B54" w:rsidRPr="00E26F98" w:rsidRDefault="00E96B54" w:rsidP="00E96B54">
      <w:pPr>
        <w:pStyle w:val="ListParagraph"/>
        <w:numPr>
          <w:ilvl w:val="0"/>
          <w:numId w:val="19"/>
        </w:numPr>
        <w:spacing w:after="160" w:line="259" w:lineRule="auto"/>
        <w:ind w:left="0" w:firstLine="0"/>
        <w:rPr>
          <w:rFonts w:ascii="Times New Roman" w:eastAsia="Calibri" w:hAnsi="Times New Roman"/>
          <w:sz w:val="24"/>
        </w:rPr>
      </w:pPr>
      <w:r w:rsidRPr="00047C65">
        <w:rPr>
          <w:rFonts w:ascii="Times New Roman" w:eastAsia="Calibri" w:hAnsi="Times New Roman"/>
          <w:sz w:val="24"/>
        </w:rPr>
        <w:t xml:space="preserve">The Instrument engages the right to privacy in Article 17 of the </w:t>
      </w:r>
      <w:r w:rsidRPr="00E26F98">
        <w:rPr>
          <w:rFonts w:ascii="Times New Roman" w:eastAsia="Calibri" w:hAnsi="Times New Roman"/>
          <w:i/>
          <w:sz w:val="24"/>
        </w:rPr>
        <w:t>International Covenant on Civil and Political Right</w:t>
      </w:r>
      <w:r w:rsidRPr="00047C65">
        <w:rPr>
          <w:rFonts w:ascii="Times New Roman" w:eastAsia="Calibri" w:hAnsi="Times New Roman"/>
          <w:sz w:val="24"/>
        </w:rPr>
        <w:t>s (ICCPR)</w:t>
      </w:r>
      <w:r>
        <w:rPr>
          <w:rFonts w:ascii="Times New Roman" w:eastAsia="Calibri" w:hAnsi="Times New Roman"/>
          <w:sz w:val="24"/>
        </w:rPr>
        <w:t>.</w:t>
      </w:r>
      <w:r w:rsidRPr="00047C65">
        <w:rPr>
          <w:rFonts w:ascii="Times New Roman" w:eastAsia="Calibri" w:hAnsi="Times New Roman"/>
          <w:sz w:val="24"/>
        </w:rPr>
        <w:t xml:space="preserve"> </w:t>
      </w:r>
      <w:r w:rsidRPr="00E26F98">
        <w:rPr>
          <w:rFonts w:ascii="Times New Roman" w:eastAsia="Calibri" w:hAnsi="Times New Roman"/>
          <w:sz w:val="24"/>
        </w:rPr>
        <w:t xml:space="preserve">Article 17 of the ICCPR provides that no one shall be subjected to arbitrary or unlawful interference with their privacy, family, home or correspondence. The right to privacy also requires respect for private and confidential information, </w:t>
      </w:r>
      <w:r>
        <w:rPr>
          <w:rFonts w:ascii="Times New Roman" w:eastAsia="Calibri" w:hAnsi="Times New Roman"/>
          <w:sz w:val="24"/>
        </w:rPr>
        <w:t>including</w:t>
      </w:r>
      <w:r w:rsidRPr="00E26F98">
        <w:rPr>
          <w:rFonts w:ascii="Times New Roman" w:eastAsia="Calibri" w:hAnsi="Times New Roman"/>
          <w:sz w:val="24"/>
        </w:rPr>
        <w:t xml:space="preserve"> the storing, use and sharing of such information. </w:t>
      </w:r>
    </w:p>
    <w:p w14:paraId="6BFF4893" w14:textId="77777777" w:rsidR="00E96B54" w:rsidRPr="00785889" w:rsidRDefault="00E96B54" w:rsidP="00E96B54">
      <w:pPr>
        <w:pStyle w:val="ListParagraph"/>
        <w:numPr>
          <w:ilvl w:val="0"/>
          <w:numId w:val="19"/>
        </w:numPr>
        <w:spacing w:after="160" w:line="259" w:lineRule="auto"/>
        <w:ind w:left="0" w:firstLine="0"/>
        <w:rPr>
          <w:rFonts w:ascii="Times New Roman" w:eastAsia="Calibri" w:hAnsi="Times New Roman"/>
          <w:sz w:val="24"/>
        </w:rPr>
      </w:pPr>
      <w:r w:rsidRPr="00785889">
        <w:rPr>
          <w:rFonts w:ascii="Times New Roman" w:eastAsia="Calibri" w:hAnsi="Times New Roman"/>
          <w:sz w:val="24"/>
        </w:rPr>
        <w:t xml:space="preserve">The use of the term ‘arbitrary’ means that any interference with privacy must be in accordance with the provisions, aims and objectives of the ICCPR and should be reasonable in the given circumstances. The United Nations Human Rights Committee has interpreted ‘reasonableness’ to imply that any limitation must be proportionate and necessary in the circumstances. The right to privacy can be limited by necessity in a democratic society in the interests of national security or public order. </w:t>
      </w:r>
    </w:p>
    <w:p w14:paraId="11F36E4E" w14:textId="4E27D0B3" w:rsidR="00D423C0" w:rsidRDefault="00D423C0" w:rsidP="00D55014">
      <w:pPr>
        <w:pStyle w:val="ListParagraph"/>
        <w:numPr>
          <w:ilvl w:val="0"/>
          <w:numId w:val="19"/>
        </w:numPr>
        <w:spacing w:after="160" w:line="259" w:lineRule="auto"/>
        <w:ind w:left="0" w:firstLine="0"/>
        <w:rPr>
          <w:rFonts w:ascii="Times New Roman" w:eastAsia="Calibri" w:hAnsi="Times New Roman"/>
          <w:sz w:val="24"/>
        </w:rPr>
      </w:pPr>
      <w:r w:rsidRPr="006D680B">
        <w:rPr>
          <w:rFonts w:ascii="Times New Roman" w:eastAsia="Calibri" w:hAnsi="Times New Roman"/>
          <w:sz w:val="24"/>
        </w:rPr>
        <w:lastRenderedPageBreak/>
        <w:t>AUSTRAC collects personal information under the requirement of the AML/CTF Act to mitigate and manage the risk of money laundering and financing of terrorism. AUSTRAC considers that the collection of personal information under the AML/CTF Act, and b</w:t>
      </w:r>
      <w:r>
        <w:rPr>
          <w:rFonts w:ascii="Times New Roman" w:eastAsia="Calibri" w:hAnsi="Times New Roman"/>
          <w:sz w:val="24"/>
        </w:rPr>
        <w:t>y the operation of Chapter 16</w:t>
      </w:r>
      <w:r w:rsidRPr="006D680B">
        <w:rPr>
          <w:rFonts w:ascii="Times New Roman" w:eastAsia="Calibri" w:hAnsi="Times New Roman"/>
          <w:sz w:val="24"/>
        </w:rPr>
        <w:t xml:space="preserve">, is therefore not an arbitrary or unlawful interference with privacy.  </w:t>
      </w:r>
    </w:p>
    <w:p w14:paraId="66A61FC4" w14:textId="548C90DA" w:rsidR="00D423C0" w:rsidRDefault="00E96B54" w:rsidP="00D55014">
      <w:pPr>
        <w:pStyle w:val="ListParagraph"/>
        <w:numPr>
          <w:ilvl w:val="0"/>
          <w:numId w:val="19"/>
        </w:numPr>
        <w:spacing w:after="160" w:line="259" w:lineRule="auto"/>
        <w:ind w:left="0" w:firstLine="0"/>
        <w:rPr>
          <w:rFonts w:ascii="Times New Roman" w:eastAsia="Calibri" w:hAnsi="Times New Roman"/>
          <w:sz w:val="24"/>
        </w:rPr>
      </w:pPr>
      <w:r>
        <w:rPr>
          <w:rFonts w:ascii="Times New Roman" w:eastAsia="Calibri" w:hAnsi="Times New Roman"/>
          <w:sz w:val="24"/>
        </w:rPr>
        <w:t xml:space="preserve">To the extent that the Instrument limits the right to privacy, those limitations are necessary, reasonable and proportionate to achieving the legitimate objectives of protecting national security and public order. </w:t>
      </w:r>
      <w:r w:rsidR="00374997" w:rsidRPr="006D680B">
        <w:rPr>
          <w:rFonts w:ascii="Times New Roman" w:eastAsia="Calibri" w:hAnsi="Times New Roman"/>
          <w:sz w:val="24"/>
        </w:rPr>
        <w:t>International funds transfer instruction</w:t>
      </w:r>
      <w:r>
        <w:rPr>
          <w:rFonts w:ascii="Times New Roman" w:eastAsia="Calibri" w:hAnsi="Times New Roman"/>
          <w:sz w:val="24"/>
        </w:rPr>
        <w:t xml:space="preserve"> </w:t>
      </w:r>
      <w:r w:rsidR="00374997">
        <w:rPr>
          <w:rFonts w:ascii="Times New Roman" w:eastAsia="Calibri" w:hAnsi="Times New Roman"/>
          <w:sz w:val="24"/>
        </w:rPr>
        <w:t xml:space="preserve">reports </w:t>
      </w:r>
      <w:r>
        <w:rPr>
          <w:rFonts w:ascii="Times New Roman" w:eastAsia="Calibri" w:hAnsi="Times New Roman"/>
          <w:sz w:val="24"/>
        </w:rPr>
        <w:t xml:space="preserve">provide an important source of information to AUSTRAC and other Commonwealth agencies on </w:t>
      </w:r>
      <w:r w:rsidRPr="00AE057E">
        <w:rPr>
          <w:rFonts w:ascii="Times New Roman" w:eastAsia="Calibri" w:hAnsi="Times New Roman"/>
          <w:sz w:val="24"/>
        </w:rPr>
        <w:t xml:space="preserve">overseas transactions that may be connected with money laundering, terrorism financing or other serious crimes. </w:t>
      </w:r>
      <w:r w:rsidR="00D423C0">
        <w:rPr>
          <w:rFonts w:ascii="Times New Roman" w:eastAsia="Calibri" w:hAnsi="Times New Roman"/>
          <w:sz w:val="24"/>
        </w:rPr>
        <w:t>The information prescribed by the Instrument</w:t>
      </w:r>
      <w:r w:rsidR="00965A89">
        <w:rPr>
          <w:rFonts w:ascii="Times New Roman" w:eastAsia="Calibri" w:hAnsi="Times New Roman"/>
          <w:sz w:val="24"/>
        </w:rPr>
        <w:t>, including the additional details</w:t>
      </w:r>
      <w:r w:rsidR="008E4798">
        <w:rPr>
          <w:rFonts w:ascii="Times New Roman" w:eastAsia="Calibri" w:hAnsi="Times New Roman"/>
          <w:sz w:val="24"/>
        </w:rPr>
        <w:t xml:space="preserve"> collected through reports in the ISO</w:t>
      </w:r>
      <w:r w:rsidR="00C2761D">
        <w:rPr>
          <w:rFonts w:ascii="Times New Roman" w:eastAsia="Calibri" w:hAnsi="Times New Roman"/>
          <w:sz w:val="24"/>
        </w:rPr>
        <w:t xml:space="preserve"> </w:t>
      </w:r>
      <w:r w:rsidR="008E4798">
        <w:rPr>
          <w:rFonts w:ascii="Times New Roman" w:eastAsia="Calibri" w:hAnsi="Times New Roman"/>
          <w:sz w:val="24"/>
        </w:rPr>
        <w:t>20022 format,</w:t>
      </w:r>
      <w:r w:rsidR="00D423C0">
        <w:rPr>
          <w:rFonts w:ascii="Times New Roman" w:eastAsia="Calibri" w:hAnsi="Times New Roman"/>
          <w:sz w:val="24"/>
        </w:rPr>
        <w:t xml:space="preserve"> </w:t>
      </w:r>
      <w:r w:rsidR="000E717E">
        <w:rPr>
          <w:rFonts w:ascii="Times New Roman" w:eastAsia="Calibri" w:hAnsi="Times New Roman"/>
          <w:sz w:val="24"/>
        </w:rPr>
        <w:t xml:space="preserve">improves the intelligence value of international funds transfer instruction reports, </w:t>
      </w:r>
      <w:r w:rsidR="00D423C0" w:rsidRPr="00E30BF0">
        <w:rPr>
          <w:rFonts w:ascii="Times New Roman" w:eastAsia="Calibri" w:hAnsi="Times New Roman"/>
          <w:sz w:val="24"/>
        </w:rPr>
        <w:t>promotes end-to-end transparency of transactions</w:t>
      </w:r>
      <w:r w:rsidR="000E717E">
        <w:rPr>
          <w:rFonts w:ascii="Times New Roman" w:eastAsia="Calibri" w:hAnsi="Times New Roman"/>
          <w:sz w:val="24"/>
        </w:rPr>
        <w:t>,</w:t>
      </w:r>
      <w:r w:rsidR="00D423C0" w:rsidRPr="00E30BF0">
        <w:rPr>
          <w:rFonts w:ascii="Times New Roman" w:eastAsia="Calibri" w:hAnsi="Times New Roman"/>
          <w:sz w:val="24"/>
        </w:rPr>
        <w:t xml:space="preserve"> and enables reporting entities to more appropriately apply risk-based AML/CTF approach and undertake sanctions screening</w:t>
      </w:r>
      <w:r w:rsidR="00D423C0">
        <w:rPr>
          <w:rFonts w:ascii="Times New Roman" w:eastAsia="Calibri" w:hAnsi="Times New Roman"/>
          <w:sz w:val="24"/>
        </w:rPr>
        <w:t xml:space="preserve">. </w:t>
      </w:r>
      <w:r w:rsidR="00C563DE">
        <w:rPr>
          <w:rFonts w:ascii="Times New Roman" w:eastAsia="Calibri" w:hAnsi="Times New Roman"/>
          <w:sz w:val="24"/>
        </w:rPr>
        <w:t xml:space="preserve">It is therefore reasonable to collect the information permitted by this Instrument for the </w:t>
      </w:r>
      <w:r w:rsidR="00C2761D">
        <w:rPr>
          <w:rFonts w:ascii="Times New Roman" w:eastAsia="Calibri" w:hAnsi="Times New Roman"/>
          <w:sz w:val="24"/>
        </w:rPr>
        <w:t>purpose</w:t>
      </w:r>
      <w:r w:rsidR="00C563DE">
        <w:rPr>
          <w:rFonts w:ascii="Times New Roman" w:eastAsia="Calibri" w:hAnsi="Times New Roman"/>
          <w:sz w:val="24"/>
        </w:rPr>
        <w:t xml:space="preserve"> of combating money laundering and terrorist financing. </w:t>
      </w:r>
    </w:p>
    <w:p w14:paraId="119623A4" w14:textId="35B4BAD6" w:rsidR="00E96B54" w:rsidRDefault="00010CD0" w:rsidP="00E96B54">
      <w:pPr>
        <w:pStyle w:val="ListParagraph"/>
        <w:numPr>
          <w:ilvl w:val="0"/>
          <w:numId w:val="19"/>
        </w:numPr>
        <w:spacing w:after="160" w:line="259" w:lineRule="auto"/>
        <w:ind w:left="0" w:firstLine="0"/>
        <w:rPr>
          <w:rFonts w:ascii="Times New Roman" w:eastAsia="Calibri" w:hAnsi="Times New Roman"/>
          <w:sz w:val="24"/>
        </w:rPr>
      </w:pPr>
      <w:r>
        <w:rPr>
          <w:rFonts w:ascii="Times New Roman" w:eastAsia="Calibri" w:hAnsi="Times New Roman"/>
          <w:sz w:val="24"/>
        </w:rPr>
        <w:t>R</w:t>
      </w:r>
      <w:r w:rsidR="00E96B54">
        <w:rPr>
          <w:rFonts w:ascii="Times New Roman" w:eastAsia="Calibri" w:hAnsi="Times New Roman"/>
          <w:sz w:val="24"/>
        </w:rPr>
        <w:t>eporting entit</w:t>
      </w:r>
      <w:r>
        <w:rPr>
          <w:rFonts w:ascii="Times New Roman" w:eastAsia="Calibri" w:hAnsi="Times New Roman"/>
          <w:sz w:val="24"/>
        </w:rPr>
        <w:t>ies</w:t>
      </w:r>
      <w:r w:rsidR="00E96B54">
        <w:rPr>
          <w:rFonts w:ascii="Times New Roman" w:eastAsia="Calibri" w:hAnsi="Times New Roman"/>
          <w:sz w:val="24"/>
        </w:rPr>
        <w:t xml:space="preserve"> must </w:t>
      </w:r>
      <w:r w:rsidR="00F34661">
        <w:rPr>
          <w:rFonts w:ascii="Times New Roman" w:eastAsia="Calibri" w:hAnsi="Times New Roman"/>
          <w:sz w:val="24"/>
        </w:rPr>
        <w:t xml:space="preserve">continue to </w:t>
      </w:r>
      <w:r w:rsidR="00E96B54">
        <w:rPr>
          <w:rFonts w:ascii="Times New Roman" w:eastAsia="Calibri" w:hAnsi="Times New Roman"/>
          <w:sz w:val="24"/>
        </w:rPr>
        <w:t xml:space="preserve">comply with the </w:t>
      </w:r>
      <w:r w:rsidR="00E96B54" w:rsidRPr="00AE057E">
        <w:rPr>
          <w:rFonts w:ascii="Times New Roman" w:eastAsia="Calibri" w:hAnsi="Times New Roman"/>
          <w:i/>
          <w:sz w:val="24"/>
        </w:rPr>
        <w:t>Privacy Act 1988</w:t>
      </w:r>
      <w:r w:rsidR="00E96B54" w:rsidRPr="00AE057E">
        <w:rPr>
          <w:rFonts w:ascii="Times New Roman" w:eastAsia="Calibri" w:hAnsi="Times New Roman"/>
          <w:sz w:val="24"/>
        </w:rPr>
        <w:t xml:space="preserve"> when collecting and disclosing personal information for the purposes of the </w:t>
      </w:r>
      <w:r w:rsidR="00E96B54">
        <w:rPr>
          <w:rFonts w:ascii="Times New Roman" w:eastAsia="Calibri" w:hAnsi="Times New Roman"/>
          <w:i/>
          <w:sz w:val="24"/>
        </w:rPr>
        <w:t>Anti-Money Laundering and Counter-Terrorism Financing Act 2006</w:t>
      </w:r>
      <w:r w:rsidR="00E96B54" w:rsidRPr="00AE057E">
        <w:rPr>
          <w:rFonts w:ascii="Times New Roman" w:eastAsia="Calibri" w:hAnsi="Times New Roman"/>
          <w:sz w:val="24"/>
        </w:rPr>
        <w:t xml:space="preserve">. </w:t>
      </w:r>
    </w:p>
    <w:p w14:paraId="47E20CE4" w14:textId="77777777" w:rsidR="00E96B54" w:rsidRPr="003530DB" w:rsidRDefault="00E96B54" w:rsidP="00E96B54">
      <w:pPr>
        <w:spacing w:after="160" w:line="360" w:lineRule="auto"/>
        <w:rPr>
          <w:rFonts w:ascii="Times New Roman" w:eastAsia="Calibri" w:hAnsi="Times New Roman"/>
          <w:b/>
          <w:sz w:val="24"/>
        </w:rPr>
      </w:pPr>
      <w:r w:rsidRPr="003530DB">
        <w:rPr>
          <w:rFonts w:ascii="Times New Roman" w:eastAsia="Calibri" w:hAnsi="Times New Roman"/>
          <w:b/>
          <w:sz w:val="24"/>
        </w:rPr>
        <w:t>Conclusion</w:t>
      </w:r>
    </w:p>
    <w:p w14:paraId="67719495" w14:textId="46155727" w:rsidR="007F18B0" w:rsidRPr="003E329A" w:rsidRDefault="00E96B54" w:rsidP="00E96B54">
      <w:pPr>
        <w:spacing w:before="240"/>
        <w:rPr>
          <w:rFonts w:ascii="Times New Roman" w:hAnsi="Times New Roman"/>
          <w:sz w:val="24"/>
        </w:rPr>
      </w:pPr>
      <w:r w:rsidRPr="003530DB">
        <w:rPr>
          <w:rFonts w:ascii="Times New Roman" w:eastAsia="Calibri" w:hAnsi="Times New Roman"/>
          <w:sz w:val="24"/>
        </w:rPr>
        <w:t xml:space="preserve">This </w:t>
      </w:r>
      <w:r w:rsidRPr="00047C65">
        <w:rPr>
          <w:rFonts w:ascii="Times New Roman" w:eastAsia="Calibri" w:hAnsi="Times New Roman"/>
          <w:sz w:val="24"/>
        </w:rPr>
        <w:t xml:space="preserve">Instrument </w:t>
      </w:r>
      <w:r w:rsidRPr="003530DB">
        <w:rPr>
          <w:rFonts w:ascii="Times New Roman" w:eastAsia="Calibri" w:hAnsi="Times New Roman"/>
          <w:sz w:val="24"/>
        </w:rPr>
        <w:t>is compatible with human rights</w:t>
      </w:r>
      <w:r>
        <w:rPr>
          <w:rFonts w:ascii="Times New Roman" w:eastAsia="Calibri" w:hAnsi="Times New Roman"/>
          <w:sz w:val="24"/>
        </w:rPr>
        <w:t>. To the extent that the Instrument</w:t>
      </w:r>
      <w:r w:rsidRPr="003530DB">
        <w:rPr>
          <w:rFonts w:ascii="Times New Roman" w:eastAsia="Calibri" w:hAnsi="Times New Roman"/>
          <w:sz w:val="24"/>
        </w:rPr>
        <w:t xml:space="preserve"> may limit human rights, those limitations are reasonable, necessary and proportionate.</w:t>
      </w:r>
    </w:p>
    <w:p w14:paraId="0B5DF4F8" w14:textId="77777777" w:rsidR="007F18B0" w:rsidRPr="003B5048" w:rsidRDefault="007F18B0" w:rsidP="007F18B0">
      <w:pPr>
        <w:spacing w:after="160" w:line="259" w:lineRule="auto"/>
        <w:rPr>
          <w:rFonts w:ascii="Times New Roman" w:eastAsia="Calibri" w:hAnsi="Times New Roman"/>
          <w:b/>
          <w:sz w:val="24"/>
        </w:rPr>
      </w:pPr>
    </w:p>
    <w:p w14:paraId="1F1FC570" w14:textId="33835E43" w:rsidR="00B94668" w:rsidRDefault="00B94668" w:rsidP="009B309E">
      <w:pPr>
        <w:rPr>
          <w:rFonts w:ascii="Times New Roman" w:hAnsi="Times New Roman"/>
          <w:sz w:val="24"/>
        </w:rPr>
      </w:pPr>
    </w:p>
    <w:p w14:paraId="51C40289" w14:textId="41058B6E" w:rsidR="00A97B24" w:rsidRDefault="00A97B24" w:rsidP="009B309E">
      <w:pPr>
        <w:rPr>
          <w:rFonts w:ascii="Times New Roman" w:hAnsi="Times New Roman"/>
          <w:sz w:val="24"/>
        </w:rPr>
      </w:pPr>
    </w:p>
    <w:p w14:paraId="0CC2C538" w14:textId="6E574BD2" w:rsidR="00A97B24" w:rsidRPr="00BC6A40" w:rsidRDefault="00C85B0D" w:rsidP="009B309E">
      <w:pPr>
        <w:rPr>
          <w:rFonts w:ascii="Times New Roman" w:hAnsi="Times New Roman"/>
          <w:sz w:val="24"/>
        </w:rPr>
      </w:pPr>
      <w:r>
        <w:rPr>
          <w:rFonts w:ascii="Times New Roman" w:hAnsi="Times New Roman"/>
          <w:sz w:val="24"/>
        </w:rPr>
        <w:t>[signed]</w:t>
      </w:r>
    </w:p>
    <w:p w14:paraId="0F0D2B36" w14:textId="5E7A9129" w:rsidR="009B309E" w:rsidRPr="00BC6A40" w:rsidRDefault="009B309E" w:rsidP="009B309E">
      <w:pPr>
        <w:rPr>
          <w:rFonts w:ascii="Times New Roman" w:hAnsi="Times New Roman"/>
          <w:sz w:val="24"/>
        </w:rPr>
      </w:pPr>
      <w:r w:rsidRPr="00BC6A40">
        <w:rPr>
          <w:rFonts w:ascii="Times New Roman" w:hAnsi="Times New Roman"/>
          <w:sz w:val="24"/>
        </w:rPr>
        <w:t>Nicole Rose PSM</w:t>
      </w:r>
    </w:p>
    <w:p w14:paraId="073F635A" w14:textId="77777777" w:rsidR="009B309E" w:rsidRPr="00BC6A40" w:rsidRDefault="009B309E" w:rsidP="009B309E">
      <w:pPr>
        <w:rPr>
          <w:rFonts w:ascii="Times New Roman" w:hAnsi="Times New Roman"/>
          <w:sz w:val="24"/>
        </w:rPr>
      </w:pPr>
      <w:r w:rsidRPr="00BC6A40">
        <w:rPr>
          <w:rFonts w:ascii="Times New Roman" w:hAnsi="Times New Roman"/>
          <w:sz w:val="24"/>
        </w:rPr>
        <w:t>Chief Executive Officer</w:t>
      </w:r>
    </w:p>
    <w:p w14:paraId="25D33808" w14:textId="77777777" w:rsidR="009B309E" w:rsidRPr="00BC6A40" w:rsidRDefault="009B309E" w:rsidP="009B309E">
      <w:pPr>
        <w:rPr>
          <w:rFonts w:ascii="Times New Roman" w:hAnsi="Times New Roman"/>
          <w:sz w:val="24"/>
        </w:rPr>
      </w:pPr>
      <w:r w:rsidRPr="00BC6A40">
        <w:rPr>
          <w:rFonts w:ascii="Times New Roman" w:hAnsi="Times New Roman"/>
          <w:sz w:val="24"/>
        </w:rPr>
        <w:t>Australian Transaction Reports and Analysis Centre</w:t>
      </w:r>
    </w:p>
    <w:sectPr w:rsidR="009B309E" w:rsidRPr="00BC6A40" w:rsidSect="007A53C1">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40EF" w14:textId="77777777" w:rsidR="00C029B0" w:rsidRDefault="00C029B0">
      <w:r>
        <w:separator/>
      </w:r>
    </w:p>
  </w:endnote>
  <w:endnote w:type="continuationSeparator" w:id="0">
    <w:p w14:paraId="1787E0BE" w14:textId="77777777" w:rsidR="00C029B0" w:rsidRDefault="00C0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329D158A" w:rsidR="00860B5B" w:rsidRPr="007A53C1" w:rsidRDefault="00860B5B"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BE7F50">
      <w:rPr>
        <w:rStyle w:val="PageNumber"/>
        <w:rFonts w:ascii="Times New Roman" w:hAnsi="Times New Roman"/>
        <w:noProof/>
      </w:rPr>
      <w:t>1</w:t>
    </w:r>
    <w:r w:rsidRPr="007A53C1">
      <w:rPr>
        <w:rStyle w:val="PageNumber"/>
        <w:rFonts w:ascii="Times New Roman" w:hAnsi="Times New Roman"/>
      </w:rPr>
      <w:fldChar w:fldCharType="end"/>
    </w:r>
  </w:p>
  <w:p w14:paraId="1D4C9A6A" w14:textId="77777777" w:rsidR="00860B5B" w:rsidRPr="007A53C1" w:rsidRDefault="00860B5B" w:rsidP="003B7524">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7A" w14:textId="77777777" w:rsidR="0093562B" w:rsidRDefault="00935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81FC" w14:textId="77777777" w:rsidR="00C029B0" w:rsidRDefault="00C029B0">
      <w:r>
        <w:separator/>
      </w:r>
    </w:p>
  </w:footnote>
  <w:footnote w:type="continuationSeparator" w:id="0">
    <w:p w14:paraId="18DA4490" w14:textId="77777777" w:rsidR="00C029B0" w:rsidRDefault="00C02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2E0AD" w14:textId="77777777" w:rsidR="0093562B" w:rsidRDefault="00935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D31E" w14:textId="1BBBABAC" w:rsidR="0093562B" w:rsidRDefault="00935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D42DE" w14:textId="77777777" w:rsidR="0093562B" w:rsidRDefault="00935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8D1"/>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061E4E65"/>
    <w:multiLevelType w:val="hybridMultilevel"/>
    <w:tmpl w:val="6A78F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B3B4CE9"/>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226D6C42"/>
    <w:multiLevelType w:val="hybridMultilevel"/>
    <w:tmpl w:val="26328EC4"/>
    <w:lvl w:ilvl="0" w:tplc="6ED67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BE7BAC"/>
    <w:multiLevelType w:val="hybridMultilevel"/>
    <w:tmpl w:val="8244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FC397F"/>
    <w:multiLevelType w:val="hybridMultilevel"/>
    <w:tmpl w:val="F766CC2E"/>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F7917"/>
    <w:multiLevelType w:val="hybridMultilevel"/>
    <w:tmpl w:val="F4980934"/>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32745C2F"/>
    <w:multiLevelType w:val="hybridMultilevel"/>
    <w:tmpl w:val="A5E4C29E"/>
    <w:lvl w:ilvl="0" w:tplc="0AA49F2A">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A2E304C"/>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643111"/>
    <w:multiLevelType w:val="hybridMultilevel"/>
    <w:tmpl w:val="85DA919A"/>
    <w:lvl w:ilvl="0" w:tplc="1D4C2D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1B46879"/>
    <w:multiLevelType w:val="hybridMultilevel"/>
    <w:tmpl w:val="62EAFECC"/>
    <w:lvl w:ilvl="0" w:tplc="985EC548">
      <w:start w:val="1"/>
      <w:numFmt w:val="decimal"/>
      <w:pStyle w:val="Style1"/>
      <w:lvlText w:val="%1."/>
      <w:lvlJc w:val="left"/>
      <w:pPr>
        <w:ind w:left="720" w:hanging="360"/>
      </w:pPr>
      <w:rPr>
        <w:rFonts w:ascii="Times New Roman" w:hAnsi="Times New Roman" w:cs="Times New Roman" w:hint="default"/>
        <w:b w:val="0"/>
        <w:i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32F1976"/>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C6776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15:restartNumberingAfterBreak="0">
    <w:nsid w:val="5732736A"/>
    <w:multiLevelType w:val="hybridMultilevel"/>
    <w:tmpl w:val="FE3C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B67EA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598A4560"/>
    <w:multiLevelType w:val="hybridMultilevel"/>
    <w:tmpl w:val="793A2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F75FF6"/>
    <w:multiLevelType w:val="hybridMultilevel"/>
    <w:tmpl w:val="6384144C"/>
    <w:lvl w:ilvl="0" w:tplc="0AA49F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E80D0D"/>
    <w:multiLevelType w:val="hybridMultilevel"/>
    <w:tmpl w:val="25BE4860"/>
    <w:lvl w:ilvl="0" w:tplc="78ACFE64">
      <w:start w:val="1"/>
      <w:numFmt w:val="decimal"/>
      <w:lvlText w:val="%1."/>
      <w:lvlJc w:val="left"/>
      <w:pPr>
        <w:tabs>
          <w:tab w:val="num" w:pos="720"/>
        </w:tabs>
        <w:ind w:left="720" w:hanging="360"/>
      </w:pPr>
      <w:rPr>
        <w:b w:val="0"/>
        <w:i w:val="0"/>
        <w:sz w:val="24"/>
        <w:szCs w:val="24"/>
      </w:rPr>
    </w:lvl>
    <w:lvl w:ilvl="1" w:tplc="FC107410">
      <w:start w:val="1"/>
      <w:numFmt w:val="lowerLetter"/>
      <w:lvlText w:val="(%2)"/>
      <w:lvlJc w:val="left"/>
      <w:pPr>
        <w:tabs>
          <w:tab w:val="num" w:pos="1080"/>
        </w:tabs>
        <w:ind w:left="1250" w:hanging="170"/>
      </w:pPr>
      <w:rPr>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15:restartNumberingAfterBreak="0">
    <w:nsid w:val="616E069F"/>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15:restartNumberingAfterBreak="0">
    <w:nsid w:val="676D0EC8"/>
    <w:multiLevelType w:val="hybridMultilevel"/>
    <w:tmpl w:val="793A2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E65171"/>
    <w:multiLevelType w:val="hybridMultilevel"/>
    <w:tmpl w:val="D3D4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AD3B17"/>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A64D45"/>
    <w:multiLevelType w:val="hybridMultilevel"/>
    <w:tmpl w:val="9B966D8C"/>
    <w:lvl w:ilvl="0" w:tplc="79A4F224">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A572E57"/>
    <w:multiLevelType w:val="hybridMultilevel"/>
    <w:tmpl w:val="BD4C9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C692AEE"/>
    <w:multiLevelType w:val="hybridMultilevel"/>
    <w:tmpl w:val="3446BBBA"/>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3E69DE"/>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22"/>
  </w:num>
  <w:num w:numId="2">
    <w:abstractNumId w:val="5"/>
  </w:num>
  <w:num w:numId="3">
    <w:abstractNumId w:val="24"/>
  </w:num>
  <w:num w:numId="4">
    <w:abstractNumId w:val="25"/>
  </w:num>
  <w:num w:numId="5">
    <w:abstractNumId w:val="0"/>
  </w:num>
  <w:num w:numId="6">
    <w:abstractNumId w:val="2"/>
  </w:num>
  <w:num w:numId="7">
    <w:abstractNumId w:val="18"/>
  </w:num>
  <w:num w:numId="8">
    <w:abstractNumId w:val="12"/>
  </w:num>
  <w:num w:numId="9">
    <w:abstractNumId w:val="14"/>
  </w:num>
  <w:num w:numId="10">
    <w:abstractNumId w:val="4"/>
  </w:num>
  <w:num w:numId="11">
    <w:abstractNumId w:val="11"/>
  </w:num>
  <w:num w:numId="12">
    <w:abstractNumId w:val="8"/>
  </w:num>
  <w:num w:numId="13">
    <w:abstractNumId w:val="21"/>
  </w:num>
  <w:num w:numId="14">
    <w:abstractNumId w:val="13"/>
  </w:num>
  <w:num w:numId="15">
    <w:abstractNumId w:val="2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15"/>
  </w:num>
  <w:num w:numId="20">
    <w:abstractNumId w:val="1"/>
  </w:num>
  <w:num w:numId="21">
    <w:abstractNumId w:val="23"/>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24"/>
    <w:rsid w:val="0000129C"/>
    <w:rsid w:val="00002D59"/>
    <w:rsid w:val="000041E4"/>
    <w:rsid w:val="00004237"/>
    <w:rsid w:val="00005185"/>
    <w:rsid w:val="00005C87"/>
    <w:rsid w:val="0000725F"/>
    <w:rsid w:val="00007395"/>
    <w:rsid w:val="00010CD0"/>
    <w:rsid w:val="0001158F"/>
    <w:rsid w:val="00011BFD"/>
    <w:rsid w:val="00013686"/>
    <w:rsid w:val="00017141"/>
    <w:rsid w:val="0001730D"/>
    <w:rsid w:val="000217EC"/>
    <w:rsid w:val="00021CB1"/>
    <w:rsid w:val="000222A4"/>
    <w:rsid w:val="00024783"/>
    <w:rsid w:val="00024980"/>
    <w:rsid w:val="00024C66"/>
    <w:rsid w:val="00027747"/>
    <w:rsid w:val="0003033B"/>
    <w:rsid w:val="00031690"/>
    <w:rsid w:val="00033B8D"/>
    <w:rsid w:val="00035748"/>
    <w:rsid w:val="00035795"/>
    <w:rsid w:val="000358DA"/>
    <w:rsid w:val="00035AF4"/>
    <w:rsid w:val="00035CF9"/>
    <w:rsid w:val="00037327"/>
    <w:rsid w:val="00042863"/>
    <w:rsid w:val="000430D4"/>
    <w:rsid w:val="00044B95"/>
    <w:rsid w:val="00050B40"/>
    <w:rsid w:val="00050CE5"/>
    <w:rsid w:val="00051713"/>
    <w:rsid w:val="00053A7A"/>
    <w:rsid w:val="00053D86"/>
    <w:rsid w:val="000552BF"/>
    <w:rsid w:val="000572EA"/>
    <w:rsid w:val="00057C98"/>
    <w:rsid w:val="0006328D"/>
    <w:rsid w:val="00064B1E"/>
    <w:rsid w:val="000673A4"/>
    <w:rsid w:val="00072759"/>
    <w:rsid w:val="00075472"/>
    <w:rsid w:val="0008191B"/>
    <w:rsid w:val="00083A52"/>
    <w:rsid w:val="000851F0"/>
    <w:rsid w:val="000869B9"/>
    <w:rsid w:val="000926BD"/>
    <w:rsid w:val="00092891"/>
    <w:rsid w:val="0009363E"/>
    <w:rsid w:val="000942AF"/>
    <w:rsid w:val="0009570F"/>
    <w:rsid w:val="00095CB4"/>
    <w:rsid w:val="000961DD"/>
    <w:rsid w:val="00097839"/>
    <w:rsid w:val="000A0109"/>
    <w:rsid w:val="000A1B36"/>
    <w:rsid w:val="000A25BE"/>
    <w:rsid w:val="000A448C"/>
    <w:rsid w:val="000A53C5"/>
    <w:rsid w:val="000A71FF"/>
    <w:rsid w:val="000B07C2"/>
    <w:rsid w:val="000B3A73"/>
    <w:rsid w:val="000B3D22"/>
    <w:rsid w:val="000B4EE1"/>
    <w:rsid w:val="000B7574"/>
    <w:rsid w:val="000B7D16"/>
    <w:rsid w:val="000C048B"/>
    <w:rsid w:val="000C0915"/>
    <w:rsid w:val="000C26E9"/>
    <w:rsid w:val="000C3669"/>
    <w:rsid w:val="000C3D68"/>
    <w:rsid w:val="000C4CBB"/>
    <w:rsid w:val="000C4DEC"/>
    <w:rsid w:val="000C5E2A"/>
    <w:rsid w:val="000C6D8B"/>
    <w:rsid w:val="000D0E25"/>
    <w:rsid w:val="000D13F2"/>
    <w:rsid w:val="000D143A"/>
    <w:rsid w:val="000D180A"/>
    <w:rsid w:val="000D1DA2"/>
    <w:rsid w:val="000D261E"/>
    <w:rsid w:val="000D4F84"/>
    <w:rsid w:val="000D658D"/>
    <w:rsid w:val="000E22B7"/>
    <w:rsid w:val="000E63EE"/>
    <w:rsid w:val="000E717E"/>
    <w:rsid w:val="000F0AA0"/>
    <w:rsid w:val="00100A29"/>
    <w:rsid w:val="00100E9D"/>
    <w:rsid w:val="00101C26"/>
    <w:rsid w:val="00101CDF"/>
    <w:rsid w:val="0010234E"/>
    <w:rsid w:val="00103692"/>
    <w:rsid w:val="00106221"/>
    <w:rsid w:val="0010649D"/>
    <w:rsid w:val="00112B9E"/>
    <w:rsid w:val="001138C2"/>
    <w:rsid w:val="00114B13"/>
    <w:rsid w:val="00115CA1"/>
    <w:rsid w:val="001161BA"/>
    <w:rsid w:val="00116245"/>
    <w:rsid w:val="001212F7"/>
    <w:rsid w:val="00121DBA"/>
    <w:rsid w:val="00121FC3"/>
    <w:rsid w:val="0012203E"/>
    <w:rsid w:val="00122D9B"/>
    <w:rsid w:val="001261D8"/>
    <w:rsid w:val="00131A1D"/>
    <w:rsid w:val="00133529"/>
    <w:rsid w:val="0013429C"/>
    <w:rsid w:val="0013441F"/>
    <w:rsid w:val="00134CA6"/>
    <w:rsid w:val="00135E20"/>
    <w:rsid w:val="001369B9"/>
    <w:rsid w:val="00142343"/>
    <w:rsid w:val="00142983"/>
    <w:rsid w:val="001434AB"/>
    <w:rsid w:val="0014391A"/>
    <w:rsid w:val="00143BAA"/>
    <w:rsid w:val="00146670"/>
    <w:rsid w:val="00146C29"/>
    <w:rsid w:val="001475BE"/>
    <w:rsid w:val="00151851"/>
    <w:rsid w:val="00151CE0"/>
    <w:rsid w:val="0015491C"/>
    <w:rsid w:val="00156041"/>
    <w:rsid w:val="0015621A"/>
    <w:rsid w:val="00156C39"/>
    <w:rsid w:val="00157B80"/>
    <w:rsid w:val="00160041"/>
    <w:rsid w:val="001602B8"/>
    <w:rsid w:val="001625EF"/>
    <w:rsid w:val="00162CC7"/>
    <w:rsid w:val="00163115"/>
    <w:rsid w:val="001663D5"/>
    <w:rsid w:val="0017034F"/>
    <w:rsid w:val="00173D1C"/>
    <w:rsid w:val="00187017"/>
    <w:rsid w:val="00190C40"/>
    <w:rsid w:val="00193377"/>
    <w:rsid w:val="001941DA"/>
    <w:rsid w:val="00194C14"/>
    <w:rsid w:val="0019595E"/>
    <w:rsid w:val="001970B1"/>
    <w:rsid w:val="00197E8A"/>
    <w:rsid w:val="001A03E1"/>
    <w:rsid w:val="001A11DA"/>
    <w:rsid w:val="001A25CB"/>
    <w:rsid w:val="001A58BA"/>
    <w:rsid w:val="001A63E8"/>
    <w:rsid w:val="001B005E"/>
    <w:rsid w:val="001B3A61"/>
    <w:rsid w:val="001B679A"/>
    <w:rsid w:val="001B6FCC"/>
    <w:rsid w:val="001B7562"/>
    <w:rsid w:val="001B7DCC"/>
    <w:rsid w:val="001C001A"/>
    <w:rsid w:val="001C2371"/>
    <w:rsid w:val="001C37C9"/>
    <w:rsid w:val="001C55AA"/>
    <w:rsid w:val="001C57DA"/>
    <w:rsid w:val="001C5B36"/>
    <w:rsid w:val="001C5B6B"/>
    <w:rsid w:val="001C60F1"/>
    <w:rsid w:val="001C6C6F"/>
    <w:rsid w:val="001C734E"/>
    <w:rsid w:val="001D022F"/>
    <w:rsid w:val="001D3034"/>
    <w:rsid w:val="001D3559"/>
    <w:rsid w:val="001D3968"/>
    <w:rsid w:val="001D3C6E"/>
    <w:rsid w:val="001D5E25"/>
    <w:rsid w:val="001D5F12"/>
    <w:rsid w:val="001D6003"/>
    <w:rsid w:val="001D63FB"/>
    <w:rsid w:val="001E005B"/>
    <w:rsid w:val="001E23BF"/>
    <w:rsid w:val="001E2728"/>
    <w:rsid w:val="001E4D8A"/>
    <w:rsid w:val="001E52A5"/>
    <w:rsid w:val="001E5AAE"/>
    <w:rsid w:val="001F108A"/>
    <w:rsid w:val="001F165F"/>
    <w:rsid w:val="001F396D"/>
    <w:rsid w:val="001F4CE5"/>
    <w:rsid w:val="0020044F"/>
    <w:rsid w:val="002027D7"/>
    <w:rsid w:val="0020292C"/>
    <w:rsid w:val="002041BC"/>
    <w:rsid w:val="00205D35"/>
    <w:rsid w:val="00205D9F"/>
    <w:rsid w:val="00206C4A"/>
    <w:rsid w:val="0020702F"/>
    <w:rsid w:val="00207A4E"/>
    <w:rsid w:val="00207D2A"/>
    <w:rsid w:val="00207D34"/>
    <w:rsid w:val="00210C12"/>
    <w:rsid w:val="002202B1"/>
    <w:rsid w:val="002222BA"/>
    <w:rsid w:val="00222311"/>
    <w:rsid w:val="002227A8"/>
    <w:rsid w:val="00226A90"/>
    <w:rsid w:val="00231302"/>
    <w:rsid w:val="00232C59"/>
    <w:rsid w:val="00234EE9"/>
    <w:rsid w:val="002358FE"/>
    <w:rsid w:val="0023634B"/>
    <w:rsid w:val="00236988"/>
    <w:rsid w:val="00237735"/>
    <w:rsid w:val="00241858"/>
    <w:rsid w:val="00243298"/>
    <w:rsid w:val="00243B31"/>
    <w:rsid w:val="00243C97"/>
    <w:rsid w:val="00244D95"/>
    <w:rsid w:val="00246666"/>
    <w:rsid w:val="00247043"/>
    <w:rsid w:val="002475AC"/>
    <w:rsid w:val="002526C4"/>
    <w:rsid w:val="00252A86"/>
    <w:rsid w:val="00252D90"/>
    <w:rsid w:val="0025603C"/>
    <w:rsid w:val="00256A5A"/>
    <w:rsid w:val="002570AB"/>
    <w:rsid w:val="00261776"/>
    <w:rsid w:val="002632D9"/>
    <w:rsid w:val="00263EDA"/>
    <w:rsid w:val="002700FC"/>
    <w:rsid w:val="00270F89"/>
    <w:rsid w:val="002715B5"/>
    <w:rsid w:val="00272368"/>
    <w:rsid w:val="0027417D"/>
    <w:rsid w:val="002748A5"/>
    <w:rsid w:val="00276CC0"/>
    <w:rsid w:val="002820A1"/>
    <w:rsid w:val="002836B6"/>
    <w:rsid w:val="002848D6"/>
    <w:rsid w:val="00285066"/>
    <w:rsid w:val="00285882"/>
    <w:rsid w:val="00291994"/>
    <w:rsid w:val="00292115"/>
    <w:rsid w:val="002948D1"/>
    <w:rsid w:val="0029686B"/>
    <w:rsid w:val="002A02FC"/>
    <w:rsid w:val="002A0A5F"/>
    <w:rsid w:val="002A2BE8"/>
    <w:rsid w:val="002A4E4A"/>
    <w:rsid w:val="002A5004"/>
    <w:rsid w:val="002A6852"/>
    <w:rsid w:val="002A6B5F"/>
    <w:rsid w:val="002B0655"/>
    <w:rsid w:val="002B0D2D"/>
    <w:rsid w:val="002B4D5C"/>
    <w:rsid w:val="002C10AE"/>
    <w:rsid w:val="002C2936"/>
    <w:rsid w:val="002C3BD6"/>
    <w:rsid w:val="002C3DDE"/>
    <w:rsid w:val="002C5045"/>
    <w:rsid w:val="002C6AC2"/>
    <w:rsid w:val="002C7537"/>
    <w:rsid w:val="002C75DD"/>
    <w:rsid w:val="002C76AE"/>
    <w:rsid w:val="002D123A"/>
    <w:rsid w:val="002D18EA"/>
    <w:rsid w:val="002D6746"/>
    <w:rsid w:val="002D67A4"/>
    <w:rsid w:val="002D7A9B"/>
    <w:rsid w:val="002E57FE"/>
    <w:rsid w:val="002E5D55"/>
    <w:rsid w:val="002E74AC"/>
    <w:rsid w:val="002F38AD"/>
    <w:rsid w:val="002F4E2A"/>
    <w:rsid w:val="002F525A"/>
    <w:rsid w:val="002F62ED"/>
    <w:rsid w:val="003017CC"/>
    <w:rsid w:val="00301D3F"/>
    <w:rsid w:val="00303AFD"/>
    <w:rsid w:val="00304398"/>
    <w:rsid w:val="0030476E"/>
    <w:rsid w:val="00304ACF"/>
    <w:rsid w:val="00304F89"/>
    <w:rsid w:val="00304F91"/>
    <w:rsid w:val="0030571B"/>
    <w:rsid w:val="00306189"/>
    <w:rsid w:val="00306D9E"/>
    <w:rsid w:val="0030748F"/>
    <w:rsid w:val="003112C7"/>
    <w:rsid w:val="00311815"/>
    <w:rsid w:val="00313095"/>
    <w:rsid w:val="00313FAF"/>
    <w:rsid w:val="00314530"/>
    <w:rsid w:val="00316294"/>
    <w:rsid w:val="003206F6"/>
    <w:rsid w:val="0032216B"/>
    <w:rsid w:val="00322542"/>
    <w:rsid w:val="00322DBF"/>
    <w:rsid w:val="00324521"/>
    <w:rsid w:val="00324BFE"/>
    <w:rsid w:val="00325102"/>
    <w:rsid w:val="00326047"/>
    <w:rsid w:val="00326E01"/>
    <w:rsid w:val="00327A8D"/>
    <w:rsid w:val="00330292"/>
    <w:rsid w:val="00330393"/>
    <w:rsid w:val="003340DB"/>
    <w:rsid w:val="00337B46"/>
    <w:rsid w:val="00341E53"/>
    <w:rsid w:val="00344E15"/>
    <w:rsid w:val="00345884"/>
    <w:rsid w:val="00345CA1"/>
    <w:rsid w:val="0034729E"/>
    <w:rsid w:val="00353910"/>
    <w:rsid w:val="003559A1"/>
    <w:rsid w:val="00356306"/>
    <w:rsid w:val="003568F8"/>
    <w:rsid w:val="00360349"/>
    <w:rsid w:val="00363F21"/>
    <w:rsid w:val="00365FD7"/>
    <w:rsid w:val="003676D9"/>
    <w:rsid w:val="003725B9"/>
    <w:rsid w:val="003747EE"/>
    <w:rsid w:val="00374997"/>
    <w:rsid w:val="00375A0F"/>
    <w:rsid w:val="00384116"/>
    <w:rsid w:val="00387139"/>
    <w:rsid w:val="003911F4"/>
    <w:rsid w:val="003912AD"/>
    <w:rsid w:val="003932F4"/>
    <w:rsid w:val="00393952"/>
    <w:rsid w:val="00393D2A"/>
    <w:rsid w:val="00394650"/>
    <w:rsid w:val="00394850"/>
    <w:rsid w:val="003975CF"/>
    <w:rsid w:val="003A0C67"/>
    <w:rsid w:val="003A1795"/>
    <w:rsid w:val="003A3B0B"/>
    <w:rsid w:val="003A49E8"/>
    <w:rsid w:val="003A72AD"/>
    <w:rsid w:val="003A73B8"/>
    <w:rsid w:val="003B2DDD"/>
    <w:rsid w:val="003B4F88"/>
    <w:rsid w:val="003B5048"/>
    <w:rsid w:val="003B7524"/>
    <w:rsid w:val="003C0500"/>
    <w:rsid w:val="003C1A25"/>
    <w:rsid w:val="003C43B6"/>
    <w:rsid w:val="003C57E7"/>
    <w:rsid w:val="003D1772"/>
    <w:rsid w:val="003D672A"/>
    <w:rsid w:val="003D7390"/>
    <w:rsid w:val="003D75BA"/>
    <w:rsid w:val="003D7A85"/>
    <w:rsid w:val="003D7BC9"/>
    <w:rsid w:val="003E07F4"/>
    <w:rsid w:val="003E13D0"/>
    <w:rsid w:val="003E22BE"/>
    <w:rsid w:val="003E2DC9"/>
    <w:rsid w:val="003E329A"/>
    <w:rsid w:val="003E43EC"/>
    <w:rsid w:val="003E4ADC"/>
    <w:rsid w:val="003E6AA6"/>
    <w:rsid w:val="003F0493"/>
    <w:rsid w:val="003F12F1"/>
    <w:rsid w:val="003F166D"/>
    <w:rsid w:val="003F16C9"/>
    <w:rsid w:val="003F250A"/>
    <w:rsid w:val="003F2742"/>
    <w:rsid w:val="003F2F59"/>
    <w:rsid w:val="003F4890"/>
    <w:rsid w:val="003F55FC"/>
    <w:rsid w:val="003F5ADD"/>
    <w:rsid w:val="003F623E"/>
    <w:rsid w:val="00402D9E"/>
    <w:rsid w:val="0040415D"/>
    <w:rsid w:val="00404190"/>
    <w:rsid w:val="0040525D"/>
    <w:rsid w:val="004062DD"/>
    <w:rsid w:val="004065F6"/>
    <w:rsid w:val="00407157"/>
    <w:rsid w:val="004076E6"/>
    <w:rsid w:val="00407EE4"/>
    <w:rsid w:val="00410457"/>
    <w:rsid w:val="00412303"/>
    <w:rsid w:val="004132BB"/>
    <w:rsid w:val="00413391"/>
    <w:rsid w:val="00413620"/>
    <w:rsid w:val="0041386C"/>
    <w:rsid w:val="0041387C"/>
    <w:rsid w:val="0041480B"/>
    <w:rsid w:val="004171CA"/>
    <w:rsid w:val="00420679"/>
    <w:rsid w:val="00420F02"/>
    <w:rsid w:val="0042132D"/>
    <w:rsid w:val="00421C25"/>
    <w:rsid w:val="004253AB"/>
    <w:rsid w:val="004255A4"/>
    <w:rsid w:val="00425876"/>
    <w:rsid w:val="00426515"/>
    <w:rsid w:val="00426675"/>
    <w:rsid w:val="00430DA3"/>
    <w:rsid w:val="00430E99"/>
    <w:rsid w:val="00431575"/>
    <w:rsid w:val="004321FD"/>
    <w:rsid w:val="00433B24"/>
    <w:rsid w:val="00433C9D"/>
    <w:rsid w:val="00435A0B"/>
    <w:rsid w:val="0043626D"/>
    <w:rsid w:val="004379C6"/>
    <w:rsid w:val="004404EC"/>
    <w:rsid w:val="00442AD4"/>
    <w:rsid w:val="00442CFC"/>
    <w:rsid w:val="004444B7"/>
    <w:rsid w:val="00445B35"/>
    <w:rsid w:val="004479B7"/>
    <w:rsid w:val="00451459"/>
    <w:rsid w:val="004516ED"/>
    <w:rsid w:val="004521B8"/>
    <w:rsid w:val="004571E2"/>
    <w:rsid w:val="00460652"/>
    <w:rsid w:val="00460BA8"/>
    <w:rsid w:val="00460E86"/>
    <w:rsid w:val="004619BB"/>
    <w:rsid w:val="00464460"/>
    <w:rsid w:val="004661D5"/>
    <w:rsid w:val="004671D0"/>
    <w:rsid w:val="00470D86"/>
    <w:rsid w:val="00474718"/>
    <w:rsid w:val="00474DE4"/>
    <w:rsid w:val="00475F7C"/>
    <w:rsid w:val="004760F8"/>
    <w:rsid w:val="0048013E"/>
    <w:rsid w:val="0048014C"/>
    <w:rsid w:val="004811E8"/>
    <w:rsid w:val="00482B80"/>
    <w:rsid w:val="004849C5"/>
    <w:rsid w:val="00484BF4"/>
    <w:rsid w:val="004851BD"/>
    <w:rsid w:val="00486E49"/>
    <w:rsid w:val="0048754E"/>
    <w:rsid w:val="004878CA"/>
    <w:rsid w:val="00487DA3"/>
    <w:rsid w:val="0049116B"/>
    <w:rsid w:val="00492927"/>
    <w:rsid w:val="0049443F"/>
    <w:rsid w:val="0049640F"/>
    <w:rsid w:val="004A034C"/>
    <w:rsid w:val="004A1634"/>
    <w:rsid w:val="004A2AEF"/>
    <w:rsid w:val="004A3E59"/>
    <w:rsid w:val="004A473A"/>
    <w:rsid w:val="004A47D4"/>
    <w:rsid w:val="004A49A4"/>
    <w:rsid w:val="004A4CD9"/>
    <w:rsid w:val="004B06CC"/>
    <w:rsid w:val="004B06F0"/>
    <w:rsid w:val="004B17CA"/>
    <w:rsid w:val="004B231F"/>
    <w:rsid w:val="004B264D"/>
    <w:rsid w:val="004B37C0"/>
    <w:rsid w:val="004B3BB2"/>
    <w:rsid w:val="004B3D32"/>
    <w:rsid w:val="004B5627"/>
    <w:rsid w:val="004B71F7"/>
    <w:rsid w:val="004C1454"/>
    <w:rsid w:val="004C42D1"/>
    <w:rsid w:val="004D1BEF"/>
    <w:rsid w:val="004D29B8"/>
    <w:rsid w:val="004D3937"/>
    <w:rsid w:val="004D4B9B"/>
    <w:rsid w:val="004D6131"/>
    <w:rsid w:val="004E2FA0"/>
    <w:rsid w:val="004E3315"/>
    <w:rsid w:val="004F00BC"/>
    <w:rsid w:val="004F566E"/>
    <w:rsid w:val="004F6865"/>
    <w:rsid w:val="005021B3"/>
    <w:rsid w:val="005039C9"/>
    <w:rsid w:val="00504315"/>
    <w:rsid w:val="00504EFC"/>
    <w:rsid w:val="005063DE"/>
    <w:rsid w:val="00506FF0"/>
    <w:rsid w:val="005073C6"/>
    <w:rsid w:val="00507CCA"/>
    <w:rsid w:val="00507EC4"/>
    <w:rsid w:val="005107A4"/>
    <w:rsid w:val="005114F2"/>
    <w:rsid w:val="005117CC"/>
    <w:rsid w:val="0051246A"/>
    <w:rsid w:val="00512702"/>
    <w:rsid w:val="00512DE8"/>
    <w:rsid w:val="005132E2"/>
    <w:rsid w:val="00514F91"/>
    <w:rsid w:val="00515AE5"/>
    <w:rsid w:val="00515F66"/>
    <w:rsid w:val="00517752"/>
    <w:rsid w:val="00521F8E"/>
    <w:rsid w:val="0052299B"/>
    <w:rsid w:val="00523442"/>
    <w:rsid w:val="00524990"/>
    <w:rsid w:val="00525E3E"/>
    <w:rsid w:val="005264AC"/>
    <w:rsid w:val="00527C66"/>
    <w:rsid w:val="005300D6"/>
    <w:rsid w:val="00531223"/>
    <w:rsid w:val="00531BD7"/>
    <w:rsid w:val="00531FCB"/>
    <w:rsid w:val="005352F5"/>
    <w:rsid w:val="00535FD4"/>
    <w:rsid w:val="0054012A"/>
    <w:rsid w:val="00540572"/>
    <w:rsid w:val="00541242"/>
    <w:rsid w:val="00542129"/>
    <w:rsid w:val="005432EB"/>
    <w:rsid w:val="00543C45"/>
    <w:rsid w:val="00543FD3"/>
    <w:rsid w:val="0054466C"/>
    <w:rsid w:val="0054647D"/>
    <w:rsid w:val="005467A0"/>
    <w:rsid w:val="005472C1"/>
    <w:rsid w:val="005474A0"/>
    <w:rsid w:val="005516F3"/>
    <w:rsid w:val="005522D5"/>
    <w:rsid w:val="00554C4D"/>
    <w:rsid w:val="00555A1B"/>
    <w:rsid w:val="0055701C"/>
    <w:rsid w:val="00560220"/>
    <w:rsid w:val="0056172E"/>
    <w:rsid w:val="0056389C"/>
    <w:rsid w:val="00564C8E"/>
    <w:rsid w:val="00565748"/>
    <w:rsid w:val="00570274"/>
    <w:rsid w:val="00570B58"/>
    <w:rsid w:val="00570F9B"/>
    <w:rsid w:val="00571128"/>
    <w:rsid w:val="005723CF"/>
    <w:rsid w:val="00573FB1"/>
    <w:rsid w:val="00575F3B"/>
    <w:rsid w:val="00575F83"/>
    <w:rsid w:val="00577307"/>
    <w:rsid w:val="00577445"/>
    <w:rsid w:val="0058089B"/>
    <w:rsid w:val="00580BF2"/>
    <w:rsid w:val="00582944"/>
    <w:rsid w:val="00583869"/>
    <w:rsid w:val="0058606F"/>
    <w:rsid w:val="0058695A"/>
    <w:rsid w:val="00586DE2"/>
    <w:rsid w:val="0058710C"/>
    <w:rsid w:val="005903CB"/>
    <w:rsid w:val="00592027"/>
    <w:rsid w:val="0059487B"/>
    <w:rsid w:val="00596868"/>
    <w:rsid w:val="005A36E3"/>
    <w:rsid w:val="005A3C8A"/>
    <w:rsid w:val="005A3F83"/>
    <w:rsid w:val="005A489D"/>
    <w:rsid w:val="005A7812"/>
    <w:rsid w:val="005B003B"/>
    <w:rsid w:val="005B0550"/>
    <w:rsid w:val="005B1F64"/>
    <w:rsid w:val="005B43BF"/>
    <w:rsid w:val="005B44C5"/>
    <w:rsid w:val="005B52F4"/>
    <w:rsid w:val="005B548D"/>
    <w:rsid w:val="005B5AD3"/>
    <w:rsid w:val="005B5D9A"/>
    <w:rsid w:val="005B64EA"/>
    <w:rsid w:val="005B6807"/>
    <w:rsid w:val="005B69DB"/>
    <w:rsid w:val="005B7452"/>
    <w:rsid w:val="005C0442"/>
    <w:rsid w:val="005C0E87"/>
    <w:rsid w:val="005C12B9"/>
    <w:rsid w:val="005C28B5"/>
    <w:rsid w:val="005C3227"/>
    <w:rsid w:val="005C51C8"/>
    <w:rsid w:val="005C60A5"/>
    <w:rsid w:val="005C77BF"/>
    <w:rsid w:val="005D07B2"/>
    <w:rsid w:val="005D1AAB"/>
    <w:rsid w:val="005D2DEE"/>
    <w:rsid w:val="005D4A0E"/>
    <w:rsid w:val="005D51C8"/>
    <w:rsid w:val="005D58B2"/>
    <w:rsid w:val="005D59E2"/>
    <w:rsid w:val="005D650F"/>
    <w:rsid w:val="005D67E7"/>
    <w:rsid w:val="005D7052"/>
    <w:rsid w:val="005E3DCE"/>
    <w:rsid w:val="005E5849"/>
    <w:rsid w:val="005E5E7F"/>
    <w:rsid w:val="005E600A"/>
    <w:rsid w:val="005E7F24"/>
    <w:rsid w:val="005F2719"/>
    <w:rsid w:val="005F2F3D"/>
    <w:rsid w:val="005F4536"/>
    <w:rsid w:val="005F5E52"/>
    <w:rsid w:val="005F5F9C"/>
    <w:rsid w:val="005F6A22"/>
    <w:rsid w:val="005F7110"/>
    <w:rsid w:val="0060028C"/>
    <w:rsid w:val="0060108F"/>
    <w:rsid w:val="006032DC"/>
    <w:rsid w:val="00603BC5"/>
    <w:rsid w:val="00604416"/>
    <w:rsid w:val="00604EF2"/>
    <w:rsid w:val="00605791"/>
    <w:rsid w:val="0060668C"/>
    <w:rsid w:val="00606CF2"/>
    <w:rsid w:val="00607A71"/>
    <w:rsid w:val="00611827"/>
    <w:rsid w:val="00612BA5"/>
    <w:rsid w:val="006138A7"/>
    <w:rsid w:val="00613E6B"/>
    <w:rsid w:val="00617B8E"/>
    <w:rsid w:val="00617ECA"/>
    <w:rsid w:val="00621D05"/>
    <w:rsid w:val="00624DF2"/>
    <w:rsid w:val="00625479"/>
    <w:rsid w:val="006262A1"/>
    <w:rsid w:val="00626E80"/>
    <w:rsid w:val="00627996"/>
    <w:rsid w:val="00627C0B"/>
    <w:rsid w:val="0063048E"/>
    <w:rsid w:val="00631254"/>
    <w:rsid w:val="00631371"/>
    <w:rsid w:val="00633996"/>
    <w:rsid w:val="00633ACE"/>
    <w:rsid w:val="00633BBF"/>
    <w:rsid w:val="006361B8"/>
    <w:rsid w:val="00637851"/>
    <w:rsid w:val="00640917"/>
    <w:rsid w:val="00640C28"/>
    <w:rsid w:val="006412CE"/>
    <w:rsid w:val="00642710"/>
    <w:rsid w:val="006469CC"/>
    <w:rsid w:val="00647174"/>
    <w:rsid w:val="006474D5"/>
    <w:rsid w:val="00650E63"/>
    <w:rsid w:val="006552E8"/>
    <w:rsid w:val="006568C2"/>
    <w:rsid w:val="00656B01"/>
    <w:rsid w:val="00657A4D"/>
    <w:rsid w:val="006613BC"/>
    <w:rsid w:val="00661BFE"/>
    <w:rsid w:val="00662190"/>
    <w:rsid w:val="00662796"/>
    <w:rsid w:val="00673BD1"/>
    <w:rsid w:val="006757A9"/>
    <w:rsid w:val="006760CB"/>
    <w:rsid w:val="006825A8"/>
    <w:rsid w:val="00682BAA"/>
    <w:rsid w:val="00682BC5"/>
    <w:rsid w:val="00684A1B"/>
    <w:rsid w:val="00684C5B"/>
    <w:rsid w:val="00685865"/>
    <w:rsid w:val="00685FBE"/>
    <w:rsid w:val="006867FD"/>
    <w:rsid w:val="00686BF3"/>
    <w:rsid w:val="006906D3"/>
    <w:rsid w:val="006A0527"/>
    <w:rsid w:val="006A21D1"/>
    <w:rsid w:val="006A262A"/>
    <w:rsid w:val="006A400D"/>
    <w:rsid w:val="006A44F1"/>
    <w:rsid w:val="006A5671"/>
    <w:rsid w:val="006B0CA0"/>
    <w:rsid w:val="006B1285"/>
    <w:rsid w:val="006B2497"/>
    <w:rsid w:val="006B2808"/>
    <w:rsid w:val="006B3A2F"/>
    <w:rsid w:val="006B520D"/>
    <w:rsid w:val="006C1ED7"/>
    <w:rsid w:val="006C278C"/>
    <w:rsid w:val="006C3F77"/>
    <w:rsid w:val="006C59D7"/>
    <w:rsid w:val="006C6AC0"/>
    <w:rsid w:val="006D0503"/>
    <w:rsid w:val="006D1068"/>
    <w:rsid w:val="006D1560"/>
    <w:rsid w:val="006D1794"/>
    <w:rsid w:val="006D1C08"/>
    <w:rsid w:val="006D31DE"/>
    <w:rsid w:val="006D41AF"/>
    <w:rsid w:val="006D4D8A"/>
    <w:rsid w:val="006D680B"/>
    <w:rsid w:val="006D7DED"/>
    <w:rsid w:val="006E386A"/>
    <w:rsid w:val="006E438F"/>
    <w:rsid w:val="006E51E2"/>
    <w:rsid w:val="006E5F4D"/>
    <w:rsid w:val="006E645F"/>
    <w:rsid w:val="006E65FD"/>
    <w:rsid w:val="006E6DFF"/>
    <w:rsid w:val="006F0637"/>
    <w:rsid w:val="006F1A65"/>
    <w:rsid w:val="006F4E28"/>
    <w:rsid w:val="006F5D16"/>
    <w:rsid w:val="0070191D"/>
    <w:rsid w:val="0070277B"/>
    <w:rsid w:val="007030C7"/>
    <w:rsid w:val="007037F4"/>
    <w:rsid w:val="00703DE2"/>
    <w:rsid w:val="0070408F"/>
    <w:rsid w:val="00704289"/>
    <w:rsid w:val="00706BE4"/>
    <w:rsid w:val="007102B3"/>
    <w:rsid w:val="007103FF"/>
    <w:rsid w:val="00710EA7"/>
    <w:rsid w:val="00712840"/>
    <w:rsid w:val="00712D1D"/>
    <w:rsid w:val="00713311"/>
    <w:rsid w:val="00713353"/>
    <w:rsid w:val="00713B20"/>
    <w:rsid w:val="00715DED"/>
    <w:rsid w:val="007202F1"/>
    <w:rsid w:val="00720D25"/>
    <w:rsid w:val="00722B4C"/>
    <w:rsid w:val="00722E42"/>
    <w:rsid w:val="00723200"/>
    <w:rsid w:val="007242D1"/>
    <w:rsid w:val="00725474"/>
    <w:rsid w:val="00730049"/>
    <w:rsid w:val="00731178"/>
    <w:rsid w:val="00731CAB"/>
    <w:rsid w:val="00733D11"/>
    <w:rsid w:val="00734A7A"/>
    <w:rsid w:val="007350B4"/>
    <w:rsid w:val="00736E51"/>
    <w:rsid w:val="007402D2"/>
    <w:rsid w:val="00740E05"/>
    <w:rsid w:val="00741030"/>
    <w:rsid w:val="00742927"/>
    <w:rsid w:val="00743DDD"/>
    <w:rsid w:val="007442E3"/>
    <w:rsid w:val="00745E6D"/>
    <w:rsid w:val="007466A5"/>
    <w:rsid w:val="00746C4A"/>
    <w:rsid w:val="00747409"/>
    <w:rsid w:val="00747548"/>
    <w:rsid w:val="007506AC"/>
    <w:rsid w:val="00752598"/>
    <w:rsid w:val="00753207"/>
    <w:rsid w:val="00753E95"/>
    <w:rsid w:val="00760411"/>
    <w:rsid w:val="00761556"/>
    <w:rsid w:val="00763314"/>
    <w:rsid w:val="00765492"/>
    <w:rsid w:val="0076566A"/>
    <w:rsid w:val="00766E95"/>
    <w:rsid w:val="00774219"/>
    <w:rsid w:val="00775723"/>
    <w:rsid w:val="00775BBE"/>
    <w:rsid w:val="00776474"/>
    <w:rsid w:val="00777624"/>
    <w:rsid w:val="00780E18"/>
    <w:rsid w:val="0078172D"/>
    <w:rsid w:val="00781EFF"/>
    <w:rsid w:val="00784906"/>
    <w:rsid w:val="00785B2D"/>
    <w:rsid w:val="00786207"/>
    <w:rsid w:val="007868DF"/>
    <w:rsid w:val="007878D3"/>
    <w:rsid w:val="00787D9C"/>
    <w:rsid w:val="00791450"/>
    <w:rsid w:val="007929FC"/>
    <w:rsid w:val="00794DB6"/>
    <w:rsid w:val="00797E4D"/>
    <w:rsid w:val="007A4967"/>
    <w:rsid w:val="007A53C1"/>
    <w:rsid w:val="007A7979"/>
    <w:rsid w:val="007B0B01"/>
    <w:rsid w:val="007B0ECA"/>
    <w:rsid w:val="007B174A"/>
    <w:rsid w:val="007B1B95"/>
    <w:rsid w:val="007B3B65"/>
    <w:rsid w:val="007B404C"/>
    <w:rsid w:val="007B717C"/>
    <w:rsid w:val="007C0788"/>
    <w:rsid w:val="007C1E79"/>
    <w:rsid w:val="007C52B3"/>
    <w:rsid w:val="007C6B20"/>
    <w:rsid w:val="007C7671"/>
    <w:rsid w:val="007D0554"/>
    <w:rsid w:val="007D0816"/>
    <w:rsid w:val="007D191E"/>
    <w:rsid w:val="007D1961"/>
    <w:rsid w:val="007D1A54"/>
    <w:rsid w:val="007D2DBB"/>
    <w:rsid w:val="007D32B1"/>
    <w:rsid w:val="007D3E7B"/>
    <w:rsid w:val="007D52F8"/>
    <w:rsid w:val="007D57F7"/>
    <w:rsid w:val="007D5F87"/>
    <w:rsid w:val="007D6927"/>
    <w:rsid w:val="007D7E86"/>
    <w:rsid w:val="007E05AA"/>
    <w:rsid w:val="007E08A2"/>
    <w:rsid w:val="007E2861"/>
    <w:rsid w:val="007E2D73"/>
    <w:rsid w:val="007E32CD"/>
    <w:rsid w:val="007E53E1"/>
    <w:rsid w:val="007E6720"/>
    <w:rsid w:val="007E67BF"/>
    <w:rsid w:val="007E7D66"/>
    <w:rsid w:val="007F18B0"/>
    <w:rsid w:val="007F2F0F"/>
    <w:rsid w:val="007F550C"/>
    <w:rsid w:val="007F6190"/>
    <w:rsid w:val="007F6303"/>
    <w:rsid w:val="007F7874"/>
    <w:rsid w:val="00800032"/>
    <w:rsid w:val="00800383"/>
    <w:rsid w:val="00800465"/>
    <w:rsid w:val="00800B66"/>
    <w:rsid w:val="008017F2"/>
    <w:rsid w:val="008018B5"/>
    <w:rsid w:val="00801D69"/>
    <w:rsid w:val="00802A94"/>
    <w:rsid w:val="00803999"/>
    <w:rsid w:val="00805867"/>
    <w:rsid w:val="0080636F"/>
    <w:rsid w:val="00807BFF"/>
    <w:rsid w:val="00813180"/>
    <w:rsid w:val="00813373"/>
    <w:rsid w:val="008156AC"/>
    <w:rsid w:val="008158AC"/>
    <w:rsid w:val="0081645F"/>
    <w:rsid w:val="00816712"/>
    <w:rsid w:val="008169EF"/>
    <w:rsid w:val="00816F93"/>
    <w:rsid w:val="0082090C"/>
    <w:rsid w:val="008211B5"/>
    <w:rsid w:val="00821DE1"/>
    <w:rsid w:val="00822A17"/>
    <w:rsid w:val="00822B6C"/>
    <w:rsid w:val="008257C6"/>
    <w:rsid w:val="00826D35"/>
    <w:rsid w:val="008275EE"/>
    <w:rsid w:val="008320A3"/>
    <w:rsid w:val="00832FD7"/>
    <w:rsid w:val="00833CEC"/>
    <w:rsid w:val="0083420B"/>
    <w:rsid w:val="008344D1"/>
    <w:rsid w:val="00834E6A"/>
    <w:rsid w:val="00836D05"/>
    <w:rsid w:val="00842441"/>
    <w:rsid w:val="008429C5"/>
    <w:rsid w:val="0084370A"/>
    <w:rsid w:val="00843AD9"/>
    <w:rsid w:val="00844BEE"/>
    <w:rsid w:val="00846965"/>
    <w:rsid w:val="00847D82"/>
    <w:rsid w:val="00850188"/>
    <w:rsid w:val="00850EFB"/>
    <w:rsid w:val="00851AE0"/>
    <w:rsid w:val="00851B71"/>
    <w:rsid w:val="00852CE8"/>
    <w:rsid w:val="00853BDB"/>
    <w:rsid w:val="00853EB5"/>
    <w:rsid w:val="00854825"/>
    <w:rsid w:val="00854C0D"/>
    <w:rsid w:val="00854D7A"/>
    <w:rsid w:val="00854FDF"/>
    <w:rsid w:val="00856FD6"/>
    <w:rsid w:val="00860109"/>
    <w:rsid w:val="00860B5B"/>
    <w:rsid w:val="00862246"/>
    <w:rsid w:val="00862CF5"/>
    <w:rsid w:val="00862E9E"/>
    <w:rsid w:val="008634E5"/>
    <w:rsid w:val="00866831"/>
    <w:rsid w:val="00866A85"/>
    <w:rsid w:val="00870E6D"/>
    <w:rsid w:val="00871EB9"/>
    <w:rsid w:val="008759D0"/>
    <w:rsid w:val="00876F8A"/>
    <w:rsid w:val="00881FF0"/>
    <w:rsid w:val="0088590B"/>
    <w:rsid w:val="008908C3"/>
    <w:rsid w:val="00890E98"/>
    <w:rsid w:val="008929D0"/>
    <w:rsid w:val="00893479"/>
    <w:rsid w:val="00893E97"/>
    <w:rsid w:val="008944A3"/>
    <w:rsid w:val="00896697"/>
    <w:rsid w:val="008A1912"/>
    <w:rsid w:val="008A4E5F"/>
    <w:rsid w:val="008A5AE5"/>
    <w:rsid w:val="008A602F"/>
    <w:rsid w:val="008A6095"/>
    <w:rsid w:val="008A68C3"/>
    <w:rsid w:val="008B14C4"/>
    <w:rsid w:val="008B2491"/>
    <w:rsid w:val="008B4637"/>
    <w:rsid w:val="008B5AA2"/>
    <w:rsid w:val="008B6ACC"/>
    <w:rsid w:val="008C002C"/>
    <w:rsid w:val="008C3631"/>
    <w:rsid w:val="008C3CEA"/>
    <w:rsid w:val="008C44CE"/>
    <w:rsid w:val="008C67CA"/>
    <w:rsid w:val="008D00E8"/>
    <w:rsid w:val="008D0498"/>
    <w:rsid w:val="008D0E3B"/>
    <w:rsid w:val="008D128E"/>
    <w:rsid w:val="008D1D16"/>
    <w:rsid w:val="008D24F5"/>
    <w:rsid w:val="008D25B6"/>
    <w:rsid w:val="008D2782"/>
    <w:rsid w:val="008E016D"/>
    <w:rsid w:val="008E09CA"/>
    <w:rsid w:val="008E4798"/>
    <w:rsid w:val="008E4A3B"/>
    <w:rsid w:val="008E4D07"/>
    <w:rsid w:val="008E7F86"/>
    <w:rsid w:val="008F238F"/>
    <w:rsid w:val="008F36B9"/>
    <w:rsid w:val="008F5EA5"/>
    <w:rsid w:val="008F6EB6"/>
    <w:rsid w:val="00900F7E"/>
    <w:rsid w:val="00901510"/>
    <w:rsid w:val="00901A26"/>
    <w:rsid w:val="00903128"/>
    <w:rsid w:val="00903A21"/>
    <w:rsid w:val="00906E18"/>
    <w:rsid w:val="009103AC"/>
    <w:rsid w:val="009143FB"/>
    <w:rsid w:val="00915C8B"/>
    <w:rsid w:val="0091656F"/>
    <w:rsid w:val="00920455"/>
    <w:rsid w:val="00922EA2"/>
    <w:rsid w:val="00923554"/>
    <w:rsid w:val="00923713"/>
    <w:rsid w:val="0093152C"/>
    <w:rsid w:val="0093269A"/>
    <w:rsid w:val="00935459"/>
    <w:rsid w:val="0093562B"/>
    <w:rsid w:val="009413B8"/>
    <w:rsid w:val="009430AC"/>
    <w:rsid w:val="0094470E"/>
    <w:rsid w:val="009451CB"/>
    <w:rsid w:val="00945CFF"/>
    <w:rsid w:val="009471D1"/>
    <w:rsid w:val="0094760B"/>
    <w:rsid w:val="00951A7D"/>
    <w:rsid w:val="0095227F"/>
    <w:rsid w:val="009531E4"/>
    <w:rsid w:val="00955AF7"/>
    <w:rsid w:val="00956137"/>
    <w:rsid w:val="0096018A"/>
    <w:rsid w:val="00961209"/>
    <w:rsid w:val="00961CA2"/>
    <w:rsid w:val="00961E2A"/>
    <w:rsid w:val="00962024"/>
    <w:rsid w:val="0096237A"/>
    <w:rsid w:val="00965575"/>
    <w:rsid w:val="00965A89"/>
    <w:rsid w:val="009671EF"/>
    <w:rsid w:val="00972512"/>
    <w:rsid w:val="0097268A"/>
    <w:rsid w:val="0097373B"/>
    <w:rsid w:val="00976AF8"/>
    <w:rsid w:val="00977E50"/>
    <w:rsid w:val="009808DB"/>
    <w:rsid w:val="00980BB2"/>
    <w:rsid w:val="00981803"/>
    <w:rsid w:val="009823D3"/>
    <w:rsid w:val="00983976"/>
    <w:rsid w:val="0098428C"/>
    <w:rsid w:val="00986F88"/>
    <w:rsid w:val="00987A3A"/>
    <w:rsid w:val="00992FA8"/>
    <w:rsid w:val="00995FE6"/>
    <w:rsid w:val="009A05A7"/>
    <w:rsid w:val="009A188F"/>
    <w:rsid w:val="009A29DA"/>
    <w:rsid w:val="009A5B10"/>
    <w:rsid w:val="009A70D8"/>
    <w:rsid w:val="009A7C0B"/>
    <w:rsid w:val="009B08CB"/>
    <w:rsid w:val="009B0B16"/>
    <w:rsid w:val="009B18E1"/>
    <w:rsid w:val="009B309E"/>
    <w:rsid w:val="009B30D9"/>
    <w:rsid w:val="009B3D69"/>
    <w:rsid w:val="009B6097"/>
    <w:rsid w:val="009B66AA"/>
    <w:rsid w:val="009B74C3"/>
    <w:rsid w:val="009C2AEA"/>
    <w:rsid w:val="009C4EAC"/>
    <w:rsid w:val="009C6D37"/>
    <w:rsid w:val="009C6DD3"/>
    <w:rsid w:val="009C7626"/>
    <w:rsid w:val="009D10EA"/>
    <w:rsid w:val="009D1541"/>
    <w:rsid w:val="009D1CD1"/>
    <w:rsid w:val="009D20F2"/>
    <w:rsid w:val="009D4EDA"/>
    <w:rsid w:val="009D7365"/>
    <w:rsid w:val="009E0B1E"/>
    <w:rsid w:val="009E2403"/>
    <w:rsid w:val="009E3615"/>
    <w:rsid w:val="009E3ABB"/>
    <w:rsid w:val="009E3AD0"/>
    <w:rsid w:val="009E3D62"/>
    <w:rsid w:val="009F0E85"/>
    <w:rsid w:val="009F1526"/>
    <w:rsid w:val="009F24E4"/>
    <w:rsid w:val="009F55D4"/>
    <w:rsid w:val="009F7B8D"/>
    <w:rsid w:val="00A0370A"/>
    <w:rsid w:val="00A040D4"/>
    <w:rsid w:val="00A046E3"/>
    <w:rsid w:val="00A04F48"/>
    <w:rsid w:val="00A05511"/>
    <w:rsid w:val="00A1183C"/>
    <w:rsid w:val="00A137FF"/>
    <w:rsid w:val="00A15988"/>
    <w:rsid w:val="00A15D25"/>
    <w:rsid w:val="00A15FD8"/>
    <w:rsid w:val="00A20C58"/>
    <w:rsid w:val="00A220EF"/>
    <w:rsid w:val="00A247CD"/>
    <w:rsid w:val="00A265DF"/>
    <w:rsid w:val="00A3206B"/>
    <w:rsid w:val="00A3220B"/>
    <w:rsid w:val="00A33486"/>
    <w:rsid w:val="00A33736"/>
    <w:rsid w:val="00A3493F"/>
    <w:rsid w:val="00A35354"/>
    <w:rsid w:val="00A364BC"/>
    <w:rsid w:val="00A40D24"/>
    <w:rsid w:val="00A41DC2"/>
    <w:rsid w:val="00A42783"/>
    <w:rsid w:val="00A427FE"/>
    <w:rsid w:val="00A42967"/>
    <w:rsid w:val="00A434EF"/>
    <w:rsid w:val="00A435EB"/>
    <w:rsid w:val="00A44FB5"/>
    <w:rsid w:val="00A45F3B"/>
    <w:rsid w:val="00A477FB"/>
    <w:rsid w:val="00A52F00"/>
    <w:rsid w:val="00A53221"/>
    <w:rsid w:val="00A55140"/>
    <w:rsid w:val="00A55530"/>
    <w:rsid w:val="00A55E30"/>
    <w:rsid w:val="00A56A87"/>
    <w:rsid w:val="00A57D4B"/>
    <w:rsid w:val="00A57F33"/>
    <w:rsid w:val="00A629AC"/>
    <w:rsid w:val="00A66647"/>
    <w:rsid w:val="00A66E81"/>
    <w:rsid w:val="00A673EB"/>
    <w:rsid w:val="00A67B86"/>
    <w:rsid w:val="00A70225"/>
    <w:rsid w:val="00A70400"/>
    <w:rsid w:val="00A72496"/>
    <w:rsid w:val="00A72603"/>
    <w:rsid w:val="00A73A2F"/>
    <w:rsid w:val="00A743E1"/>
    <w:rsid w:val="00A76C79"/>
    <w:rsid w:val="00A80293"/>
    <w:rsid w:val="00A810CD"/>
    <w:rsid w:val="00A8111F"/>
    <w:rsid w:val="00A81A7B"/>
    <w:rsid w:val="00A825E5"/>
    <w:rsid w:val="00A82F52"/>
    <w:rsid w:val="00A83001"/>
    <w:rsid w:val="00A83FE8"/>
    <w:rsid w:val="00A84F00"/>
    <w:rsid w:val="00A91296"/>
    <w:rsid w:val="00A920E5"/>
    <w:rsid w:val="00A92202"/>
    <w:rsid w:val="00A93FC1"/>
    <w:rsid w:val="00A969F6"/>
    <w:rsid w:val="00A97B24"/>
    <w:rsid w:val="00AA0188"/>
    <w:rsid w:val="00AA28B4"/>
    <w:rsid w:val="00AA6218"/>
    <w:rsid w:val="00AA6A5E"/>
    <w:rsid w:val="00AB3147"/>
    <w:rsid w:val="00AB4A86"/>
    <w:rsid w:val="00AC2B2D"/>
    <w:rsid w:val="00AC3AA5"/>
    <w:rsid w:val="00AC4DF8"/>
    <w:rsid w:val="00AC4EFE"/>
    <w:rsid w:val="00AC605B"/>
    <w:rsid w:val="00AC6B48"/>
    <w:rsid w:val="00AD08E1"/>
    <w:rsid w:val="00AD12F4"/>
    <w:rsid w:val="00AD168B"/>
    <w:rsid w:val="00AD1949"/>
    <w:rsid w:val="00AE0609"/>
    <w:rsid w:val="00AE0E61"/>
    <w:rsid w:val="00AE10CB"/>
    <w:rsid w:val="00AE23BF"/>
    <w:rsid w:val="00AE3182"/>
    <w:rsid w:val="00AE52B2"/>
    <w:rsid w:val="00AE63D5"/>
    <w:rsid w:val="00AE7619"/>
    <w:rsid w:val="00AF361F"/>
    <w:rsid w:val="00AF543F"/>
    <w:rsid w:val="00AF6BAB"/>
    <w:rsid w:val="00B00638"/>
    <w:rsid w:val="00B024FE"/>
    <w:rsid w:val="00B0398F"/>
    <w:rsid w:val="00B04F55"/>
    <w:rsid w:val="00B05B5F"/>
    <w:rsid w:val="00B06115"/>
    <w:rsid w:val="00B0751C"/>
    <w:rsid w:val="00B12DE7"/>
    <w:rsid w:val="00B12E5F"/>
    <w:rsid w:val="00B14265"/>
    <w:rsid w:val="00B142A8"/>
    <w:rsid w:val="00B14DFD"/>
    <w:rsid w:val="00B165C0"/>
    <w:rsid w:val="00B177C9"/>
    <w:rsid w:val="00B20C44"/>
    <w:rsid w:val="00B21FD1"/>
    <w:rsid w:val="00B235C2"/>
    <w:rsid w:val="00B26413"/>
    <w:rsid w:val="00B268B2"/>
    <w:rsid w:val="00B26FEF"/>
    <w:rsid w:val="00B3042A"/>
    <w:rsid w:val="00B304FD"/>
    <w:rsid w:val="00B3179F"/>
    <w:rsid w:val="00B319D0"/>
    <w:rsid w:val="00B31F92"/>
    <w:rsid w:val="00B35542"/>
    <w:rsid w:val="00B414A6"/>
    <w:rsid w:val="00B41C9C"/>
    <w:rsid w:val="00B42965"/>
    <w:rsid w:val="00B45933"/>
    <w:rsid w:val="00B45F8C"/>
    <w:rsid w:val="00B4677F"/>
    <w:rsid w:val="00B47D6F"/>
    <w:rsid w:val="00B51AAC"/>
    <w:rsid w:val="00B52D72"/>
    <w:rsid w:val="00B53805"/>
    <w:rsid w:val="00B572B0"/>
    <w:rsid w:val="00B647FD"/>
    <w:rsid w:val="00B65DF4"/>
    <w:rsid w:val="00B65FFB"/>
    <w:rsid w:val="00B66083"/>
    <w:rsid w:val="00B7008F"/>
    <w:rsid w:val="00B70663"/>
    <w:rsid w:val="00B75210"/>
    <w:rsid w:val="00B76175"/>
    <w:rsid w:val="00B77480"/>
    <w:rsid w:val="00B804DA"/>
    <w:rsid w:val="00B85A4C"/>
    <w:rsid w:val="00B85D0F"/>
    <w:rsid w:val="00B8667B"/>
    <w:rsid w:val="00B907A6"/>
    <w:rsid w:val="00B925C6"/>
    <w:rsid w:val="00B936F6"/>
    <w:rsid w:val="00B94373"/>
    <w:rsid w:val="00B94668"/>
    <w:rsid w:val="00B950C0"/>
    <w:rsid w:val="00B95901"/>
    <w:rsid w:val="00B96862"/>
    <w:rsid w:val="00B969D5"/>
    <w:rsid w:val="00BA0C4A"/>
    <w:rsid w:val="00BA11F5"/>
    <w:rsid w:val="00BA1275"/>
    <w:rsid w:val="00BA12E9"/>
    <w:rsid w:val="00BA2CFE"/>
    <w:rsid w:val="00BA3130"/>
    <w:rsid w:val="00BA6B2D"/>
    <w:rsid w:val="00BA7E86"/>
    <w:rsid w:val="00BB186F"/>
    <w:rsid w:val="00BB454B"/>
    <w:rsid w:val="00BB57CE"/>
    <w:rsid w:val="00BB59CE"/>
    <w:rsid w:val="00BB6C62"/>
    <w:rsid w:val="00BB6FC8"/>
    <w:rsid w:val="00BC0846"/>
    <w:rsid w:val="00BC0F96"/>
    <w:rsid w:val="00BC1C66"/>
    <w:rsid w:val="00BC221B"/>
    <w:rsid w:val="00BC451A"/>
    <w:rsid w:val="00BC5456"/>
    <w:rsid w:val="00BC6A40"/>
    <w:rsid w:val="00BC71EB"/>
    <w:rsid w:val="00BD06AD"/>
    <w:rsid w:val="00BD07E8"/>
    <w:rsid w:val="00BD14DB"/>
    <w:rsid w:val="00BD2466"/>
    <w:rsid w:val="00BD3813"/>
    <w:rsid w:val="00BE0002"/>
    <w:rsid w:val="00BE3197"/>
    <w:rsid w:val="00BE3D82"/>
    <w:rsid w:val="00BE509D"/>
    <w:rsid w:val="00BE7F50"/>
    <w:rsid w:val="00BF0E87"/>
    <w:rsid w:val="00BF144D"/>
    <w:rsid w:val="00BF295D"/>
    <w:rsid w:val="00BF4F6F"/>
    <w:rsid w:val="00BF5792"/>
    <w:rsid w:val="00BF59D6"/>
    <w:rsid w:val="00BF6A36"/>
    <w:rsid w:val="00BF7EAB"/>
    <w:rsid w:val="00C00D41"/>
    <w:rsid w:val="00C011CA"/>
    <w:rsid w:val="00C0291D"/>
    <w:rsid w:val="00C029B0"/>
    <w:rsid w:val="00C039F5"/>
    <w:rsid w:val="00C049C9"/>
    <w:rsid w:val="00C07A56"/>
    <w:rsid w:val="00C1088D"/>
    <w:rsid w:val="00C12640"/>
    <w:rsid w:val="00C13200"/>
    <w:rsid w:val="00C13686"/>
    <w:rsid w:val="00C1446B"/>
    <w:rsid w:val="00C14E21"/>
    <w:rsid w:val="00C15252"/>
    <w:rsid w:val="00C15AD7"/>
    <w:rsid w:val="00C16F20"/>
    <w:rsid w:val="00C177CC"/>
    <w:rsid w:val="00C21C37"/>
    <w:rsid w:val="00C2613B"/>
    <w:rsid w:val="00C2761D"/>
    <w:rsid w:val="00C30A82"/>
    <w:rsid w:val="00C32017"/>
    <w:rsid w:val="00C320D4"/>
    <w:rsid w:val="00C32255"/>
    <w:rsid w:val="00C3257C"/>
    <w:rsid w:val="00C33980"/>
    <w:rsid w:val="00C33C4F"/>
    <w:rsid w:val="00C34C45"/>
    <w:rsid w:val="00C35234"/>
    <w:rsid w:val="00C3543E"/>
    <w:rsid w:val="00C35547"/>
    <w:rsid w:val="00C37EE6"/>
    <w:rsid w:val="00C40447"/>
    <w:rsid w:val="00C406E5"/>
    <w:rsid w:val="00C40751"/>
    <w:rsid w:val="00C40AA3"/>
    <w:rsid w:val="00C40CB3"/>
    <w:rsid w:val="00C44C32"/>
    <w:rsid w:val="00C44F54"/>
    <w:rsid w:val="00C46410"/>
    <w:rsid w:val="00C46EC0"/>
    <w:rsid w:val="00C47BCA"/>
    <w:rsid w:val="00C47FFC"/>
    <w:rsid w:val="00C50A36"/>
    <w:rsid w:val="00C52C1F"/>
    <w:rsid w:val="00C53B7B"/>
    <w:rsid w:val="00C562F5"/>
    <w:rsid w:val="00C563DE"/>
    <w:rsid w:val="00C5647C"/>
    <w:rsid w:val="00C57C3B"/>
    <w:rsid w:val="00C6204F"/>
    <w:rsid w:val="00C6421C"/>
    <w:rsid w:val="00C646FF"/>
    <w:rsid w:val="00C64858"/>
    <w:rsid w:val="00C667A9"/>
    <w:rsid w:val="00C66A1A"/>
    <w:rsid w:val="00C672BC"/>
    <w:rsid w:val="00C67BBA"/>
    <w:rsid w:val="00C70146"/>
    <w:rsid w:val="00C74DF5"/>
    <w:rsid w:val="00C813A6"/>
    <w:rsid w:val="00C822A4"/>
    <w:rsid w:val="00C83B9B"/>
    <w:rsid w:val="00C83C74"/>
    <w:rsid w:val="00C85B0D"/>
    <w:rsid w:val="00C85E03"/>
    <w:rsid w:val="00C86384"/>
    <w:rsid w:val="00C87509"/>
    <w:rsid w:val="00C878B0"/>
    <w:rsid w:val="00C91A7C"/>
    <w:rsid w:val="00C9657D"/>
    <w:rsid w:val="00CA0D07"/>
    <w:rsid w:val="00CA1878"/>
    <w:rsid w:val="00CA215F"/>
    <w:rsid w:val="00CA239D"/>
    <w:rsid w:val="00CA3485"/>
    <w:rsid w:val="00CA497D"/>
    <w:rsid w:val="00CB020A"/>
    <w:rsid w:val="00CB12E9"/>
    <w:rsid w:val="00CB2871"/>
    <w:rsid w:val="00CB2E92"/>
    <w:rsid w:val="00CB3BA0"/>
    <w:rsid w:val="00CB3DC6"/>
    <w:rsid w:val="00CB435E"/>
    <w:rsid w:val="00CB5002"/>
    <w:rsid w:val="00CB5B8C"/>
    <w:rsid w:val="00CB5CDA"/>
    <w:rsid w:val="00CB6711"/>
    <w:rsid w:val="00CB675F"/>
    <w:rsid w:val="00CC054E"/>
    <w:rsid w:val="00CC0775"/>
    <w:rsid w:val="00CC34D4"/>
    <w:rsid w:val="00CC3776"/>
    <w:rsid w:val="00CC5DDC"/>
    <w:rsid w:val="00CD1629"/>
    <w:rsid w:val="00CD4FA5"/>
    <w:rsid w:val="00CD5822"/>
    <w:rsid w:val="00CD7CBE"/>
    <w:rsid w:val="00CE05AD"/>
    <w:rsid w:val="00CE1E13"/>
    <w:rsid w:val="00CE2AEB"/>
    <w:rsid w:val="00CE3A3D"/>
    <w:rsid w:val="00CE3E37"/>
    <w:rsid w:val="00CE3FFF"/>
    <w:rsid w:val="00CE532B"/>
    <w:rsid w:val="00CE6509"/>
    <w:rsid w:val="00CE7315"/>
    <w:rsid w:val="00CE7678"/>
    <w:rsid w:val="00CE7F16"/>
    <w:rsid w:val="00CF081A"/>
    <w:rsid w:val="00CF3A4F"/>
    <w:rsid w:val="00CF684B"/>
    <w:rsid w:val="00D008C3"/>
    <w:rsid w:val="00D01CB0"/>
    <w:rsid w:val="00D035FD"/>
    <w:rsid w:val="00D071F3"/>
    <w:rsid w:val="00D07AC3"/>
    <w:rsid w:val="00D1119E"/>
    <w:rsid w:val="00D13DE2"/>
    <w:rsid w:val="00D13F7F"/>
    <w:rsid w:val="00D14754"/>
    <w:rsid w:val="00D16B20"/>
    <w:rsid w:val="00D1765D"/>
    <w:rsid w:val="00D17CB5"/>
    <w:rsid w:val="00D202CE"/>
    <w:rsid w:val="00D214A0"/>
    <w:rsid w:val="00D21F50"/>
    <w:rsid w:val="00D24F4C"/>
    <w:rsid w:val="00D25D42"/>
    <w:rsid w:val="00D26799"/>
    <w:rsid w:val="00D300A2"/>
    <w:rsid w:val="00D30F52"/>
    <w:rsid w:val="00D318F4"/>
    <w:rsid w:val="00D330B3"/>
    <w:rsid w:val="00D335F0"/>
    <w:rsid w:val="00D34049"/>
    <w:rsid w:val="00D34262"/>
    <w:rsid w:val="00D342EB"/>
    <w:rsid w:val="00D35C24"/>
    <w:rsid w:val="00D36795"/>
    <w:rsid w:val="00D37860"/>
    <w:rsid w:val="00D37C18"/>
    <w:rsid w:val="00D423C0"/>
    <w:rsid w:val="00D426F8"/>
    <w:rsid w:val="00D4382C"/>
    <w:rsid w:val="00D447B2"/>
    <w:rsid w:val="00D44977"/>
    <w:rsid w:val="00D44DEA"/>
    <w:rsid w:val="00D456F1"/>
    <w:rsid w:val="00D4591E"/>
    <w:rsid w:val="00D52BF2"/>
    <w:rsid w:val="00D548E2"/>
    <w:rsid w:val="00D54B98"/>
    <w:rsid w:val="00D55014"/>
    <w:rsid w:val="00D5606C"/>
    <w:rsid w:val="00D569FC"/>
    <w:rsid w:val="00D575BF"/>
    <w:rsid w:val="00D62B18"/>
    <w:rsid w:val="00D62BC3"/>
    <w:rsid w:val="00D62E3F"/>
    <w:rsid w:val="00D631C4"/>
    <w:rsid w:val="00D65393"/>
    <w:rsid w:val="00D656CC"/>
    <w:rsid w:val="00D70C84"/>
    <w:rsid w:val="00D71B84"/>
    <w:rsid w:val="00D72E28"/>
    <w:rsid w:val="00D736FD"/>
    <w:rsid w:val="00D7416B"/>
    <w:rsid w:val="00D74443"/>
    <w:rsid w:val="00D763EF"/>
    <w:rsid w:val="00D808DA"/>
    <w:rsid w:val="00D80A79"/>
    <w:rsid w:val="00D80B64"/>
    <w:rsid w:val="00D831F7"/>
    <w:rsid w:val="00D852BA"/>
    <w:rsid w:val="00D92A32"/>
    <w:rsid w:val="00D932DB"/>
    <w:rsid w:val="00D94888"/>
    <w:rsid w:val="00DA141C"/>
    <w:rsid w:val="00DA2AA1"/>
    <w:rsid w:val="00DA5511"/>
    <w:rsid w:val="00DA6249"/>
    <w:rsid w:val="00DA6BA2"/>
    <w:rsid w:val="00DA6E85"/>
    <w:rsid w:val="00DA7965"/>
    <w:rsid w:val="00DB2BA3"/>
    <w:rsid w:val="00DB317D"/>
    <w:rsid w:val="00DB32A9"/>
    <w:rsid w:val="00DB46BA"/>
    <w:rsid w:val="00DB59B1"/>
    <w:rsid w:val="00DB626B"/>
    <w:rsid w:val="00DB62BE"/>
    <w:rsid w:val="00DB6EF1"/>
    <w:rsid w:val="00DB7E90"/>
    <w:rsid w:val="00DC0D48"/>
    <w:rsid w:val="00DC3F5A"/>
    <w:rsid w:val="00DC410E"/>
    <w:rsid w:val="00DC5399"/>
    <w:rsid w:val="00DC6773"/>
    <w:rsid w:val="00DC73ED"/>
    <w:rsid w:val="00DD029B"/>
    <w:rsid w:val="00DD17DD"/>
    <w:rsid w:val="00DD3A09"/>
    <w:rsid w:val="00DD464C"/>
    <w:rsid w:val="00DD4AD5"/>
    <w:rsid w:val="00DD5873"/>
    <w:rsid w:val="00DE08BE"/>
    <w:rsid w:val="00DE43EB"/>
    <w:rsid w:val="00DE4563"/>
    <w:rsid w:val="00DE4DCD"/>
    <w:rsid w:val="00DE6A9B"/>
    <w:rsid w:val="00DE7AA1"/>
    <w:rsid w:val="00DE7DBA"/>
    <w:rsid w:val="00DF0101"/>
    <w:rsid w:val="00DF3630"/>
    <w:rsid w:val="00E00882"/>
    <w:rsid w:val="00E02648"/>
    <w:rsid w:val="00E0274B"/>
    <w:rsid w:val="00E04E5B"/>
    <w:rsid w:val="00E0591C"/>
    <w:rsid w:val="00E064BE"/>
    <w:rsid w:val="00E06A12"/>
    <w:rsid w:val="00E0705B"/>
    <w:rsid w:val="00E07FA9"/>
    <w:rsid w:val="00E108DB"/>
    <w:rsid w:val="00E11F78"/>
    <w:rsid w:val="00E1250A"/>
    <w:rsid w:val="00E1267D"/>
    <w:rsid w:val="00E13361"/>
    <w:rsid w:val="00E15115"/>
    <w:rsid w:val="00E157F5"/>
    <w:rsid w:val="00E1765C"/>
    <w:rsid w:val="00E22266"/>
    <w:rsid w:val="00E2277B"/>
    <w:rsid w:val="00E2389C"/>
    <w:rsid w:val="00E251AF"/>
    <w:rsid w:val="00E266EA"/>
    <w:rsid w:val="00E32833"/>
    <w:rsid w:val="00E32F27"/>
    <w:rsid w:val="00E33030"/>
    <w:rsid w:val="00E33BDF"/>
    <w:rsid w:val="00E34D58"/>
    <w:rsid w:val="00E36D58"/>
    <w:rsid w:val="00E454F8"/>
    <w:rsid w:val="00E45F28"/>
    <w:rsid w:val="00E462B0"/>
    <w:rsid w:val="00E53131"/>
    <w:rsid w:val="00E5533D"/>
    <w:rsid w:val="00E567C6"/>
    <w:rsid w:val="00E600DC"/>
    <w:rsid w:val="00E61D36"/>
    <w:rsid w:val="00E635EC"/>
    <w:rsid w:val="00E64F1D"/>
    <w:rsid w:val="00E66000"/>
    <w:rsid w:val="00E67FF6"/>
    <w:rsid w:val="00E72232"/>
    <w:rsid w:val="00E773B9"/>
    <w:rsid w:val="00E833BB"/>
    <w:rsid w:val="00E83DF0"/>
    <w:rsid w:val="00E90EF9"/>
    <w:rsid w:val="00E9115C"/>
    <w:rsid w:val="00E912AF"/>
    <w:rsid w:val="00E92CBB"/>
    <w:rsid w:val="00E93F84"/>
    <w:rsid w:val="00E943AE"/>
    <w:rsid w:val="00E94B56"/>
    <w:rsid w:val="00E961FB"/>
    <w:rsid w:val="00E96B54"/>
    <w:rsid w:val="00E97BA9"/>
    <w:rsid w:val="00EA1048"/>
    <w:rsid w:val="00EA32FC"/>
    <w:rsid w:val="00EA5F4F"/>
    <w:rsid w:val="00EA774E"/>
    <w:rsid w:val="00EB1C10"/>
    <w:rsid w:val="00EB51D0"/>
    <w:rsid w:val="00EB5A54"/>
    <w:rsid w:val="00EB5C57"/>
    <w:rsid w:val="00EB5F44"/>
    <w:rsid w:val="00EB6E3B"/>
    <w:rsid w:val="00EC4A44"/>
    <w:rsid w:val="00EC51D6"/>
    <w:rsid w:val="00EC58C8"/>
    <w:rsid w:val="00EC638E"/>
    <w:rsid w:val="00ED0231"/>
    <w:rsid w:val="00ED1D2A"/>
    <w:rsid w:val="00ED38BE"/>
    <w:rsid w:val="00ED4B1E"/>
    <w:rsid w:val="00ED6819"/>
    <w:rsid w:val="00ED6C78"/>
    <w:rsid w:val="00ED7333"/>
    <w:rsid w:val="00EE04A8"/>
    <w:rsid w:val="00EE3472"/>
    <w:rsid w:val="00EE7D92"/>
    <w:rsid w:val="00EF1910"/>
    <w:rsid w:val="00EF197E"/>
    <w:rsid w:val="00EF1BAE"/>
    <w:rsid w:val="00EF30D3"/>
    <w:rsid w:val="00EF3F73"/>
    <w:rsid w:val="00EF7964"/>
    <w:rsid w:val="00F00884"/>
    <w:rsid w:val="00F021D4"/>
    <w:rsid w:val="00F02FC6"/>
    <w:rsid w:val="00F0383E"/>
    <w:rsid w:val="00F03C63"/>
    <w:rsid w:val="00F053E4"/>
    <w:rsid w:val="00F06A0F"/>
    <w:rsid w:val="00F10923"/>
    <w:rsid w:val="00F15258"/>
    <w:rsid w:val="00F17295"/>
    <w:rsid w:val="00F21CB2"/>
    <w:rsid w:val="00F228A0"/>
    <w:rsid w:val="00F22D44"/>
    <w:rsid w:val="00F239B5"/>
    <w:rsid w:val="00F24D4D"/>
    <w:rsid w:val="00F2653B"/>
    <w:rsid w:val="00F26B26"/>
    <w:rsid w:val="00F26ECE"/>
    <w:rsid w:val="00F30B06"/>
    <w:rsid w:val="00F30D1C"/>
    <w:rsid w:val="00F3174D"/>
    <w:rsid w:val="00F34661"/>
    <w:rsid w:val="00F35A73"/>
    <w:rsid w:val="00F3660E"/>
    <w:rsid w:val="00F36D4C"/>
    <w:rsid w:val="00F3748B"/>
    <w:rsid w:val="00F43694"/>
    <w:rsid w:val="00F43D4C"/>
    <w:rsid w:val="00F44835"/>
    <w:rsid w:val="00F44C21"/>
    <w:rsid w:val="00F45001"/>
    <w:rsid w:val="00F474CA"/>
    <w:rsid w:val="00F47B4B"/>
    <w:rsid w:val="00F53284"/>
    <w:rsid w:val="00F55412"/>
    <w:rsid w:val="00F55C52"/>
    <w:rsid w:val="00F62392"/>
    <w:rsid w:val="00F62A16"/>
    <w:rsid w:val="00F65A0D"/>
    <w:rsid w:val="00F72014"/>
    <w:rsid w:val="00F7392E"/>
    <w:rsid w:val="00F74E13"/>
    <w:rsid w:val="00F75599"/>
    <w:rsid w:val="00F76DE0"/>
    <w:rsid w:val="00F7776E"/>
    <w:rsid w:val="00F80B20"/>
    <w:rsid w:val="00F81405"/>
    <w:rsid w:val="00F82B9F"/>
    <w:rsid w:val="00F83A54"/>
    <w:rsid w:val="00F83DEF"/>
    <w:rsid w:val="00F8508D"/>
    <w:rsid w:val="00F85165"/>
    <w:rsid w:val="00F85AFF"/>
    <w:rsid w:val="00F86738"/>
    <w:rsid w:val="00F90296"/>
    <w:rsid w:val="00F905A2"/>
    <w:rsid w:val="00F910C0"/>
    <w:rsid w:val="00F927A7"/>
    <w:rsid w:val="00F92905"/>
    <w:rsid w:val="00FA17AB"/>
    <w:rsid w:val="00FA1EEF"/>
    <w:rsid w:val="00FA2372"/>
    <w:rsid w:val="00FA4351"/>
    <w:rsid w:val="00FA45DE"/>
    <w:rsid w:val="00FA4A39"/>
    <w:rsid w:val="00FA5793"/>
    <w:rsid w:val="00FA5799"/>
    <w:rsid w:val="00FA7AE1"/>
    <w:rsid w:val="00FB3096"/>
    <w:rsid w:val="00FB5536"/>
    <w:rsid w:val="00FC0371"/>
    <w:rsid w:val="00FC34E7"/>
    <w:rsid w:val="00FC3DE0"/>
    <w:rsid w:val="00FC3E55"/>
    <w:rsid w:val="00FC42B9"/>
    <w:rsid w:val="00FC480D"/>
    <w:rsid w:val="00FC504D"/>
    <w:rsid w:val="00FC6595"/>
    <w:rsid w:val="00FC730B"/>
    <w:rsid w:val="00FD0BB4"/>
    <w:rsid w:val="00FD3177"/>
    <w:rsid w:val="00FD557A"/>
    <w:rsid w:val="00FD5727"/>
    <w:rsid w:val="00FD5819"/>
    <w:rsid w:val="00FD6954"/>
    <w:rsid w:val="00FE31BF"/>
    <w:rsid w:val="00FE38AB"/>
    <w:rsid w:val="00FE415A"/>
    <w:rsid w:val="00FE5A97"/>
    <w:rsid w:val="00FE78D3"/>
    <w:rsid w:val="00FF299A"/>
    <w:rsid w:val="00FF3C57"/>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67"/>
    <w:rPr>
      <w:rFonts w:ascii="CG Omega" w:hAnsi="CG Omega"/>
      <w:sz w:val="22"/>
      <w:szCs w:val="24"/>
      <w:lang w:eastAsia="en-US"/>
    </w:rPr>
  </w:style>
  <w:style w:type="paragraph" w:styleId="Heading1">
    <w:name w:val="heading 1"/>
    <w:basedOn w:val="Normal"/>
    <w:next w:val="Normal"/>
    <w:link w:val="Heading1Char"/>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semiHidden/>
    <w:rsid w:val="0009363E"/>
    <w:rPr>
      <w:sz w:val="16"/>
      <w:szCs w:val="16"/>
    </w:rPr>
  </w:style>
  <w:style w:type="paragraph" w:styleId="CommentText">
    <w:name w:val="annotation text"/>
    <w:basedOn w:val="Normal"/>
    <w:link w:val="CommentTextChar"/>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 w:type="paragraph" w:customStyle="1" w:styleId="paragraph0">
    <w:name w:val="paragraph"/>
    <w:basedOn w:val="Normal"/>
    <w:rsid w:val="004671D0"/>
    <w:pPr>
      <w:spacing w:before="100" w:beforeAutospacing="1" w:after="100" w:afterAutospacing="1"/>
    </w:pPr>
    <w:rPr>
      <w:rFonts w:ascii="Times New Roman" w:hAnsi="Times New Roman"/>
      <w:sz w:val="24"/>
      <w:lang w:eastAsia="en-AU"/>
    </w:rPr>
  </w:style>
  <w:style w:type="paragraph" w:customStyle="1" w:styleId="ItemHead">
    <w:name w:val="ItemHead"/>
    <w:aliases w:val="ih"/>
    <w:basedOn w:val="Normal"/>
    <w:next w:val="Normal"/>
    <w:rsid w:val="00684A1B"/>
    <w:pPr>
      <w:keepNext/>
      <w:keepLines/>
      <w:spacing w:before="220"/>
      <w:ind w:left="709" w:hanging="709"/>
    </w:pPr>
    <w:rPr>
      <w:rFonts w:ascii="Arial" w:hAnsi="Arial"/>
      <w:b/>
      <w:kern w:val="28"/>
      <w:sz w:val="24"/>
      <w:szCs w:val="20"/>
      <w:lang w:eastAsia="en-AU"/>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link w:val="ListParagraph"/>
    <w:uiPriority w:val="34"/>
    <w:locked/>
    <w:rsid w:val="00AD08E1"/>
    <w:rPr>
      <w:rFonts w:ascii="CG Omega" w:hAnsi="CG Omega"/>
      <w:sz w:val="22"/>
      <w:szCs w:val="24"/>
      <w:lang w:eastAsia="en-US"/>
    </w:rPr>
  </w:style>
  <w:style w:type="paragraph" w:customStyle="1" w:styleId="Item">
    <w:name w:val="Item"/>
    <w:aliases w:val="i"/>
    <w:basedOn w:val="Normal"/>
    <w:next w:val="ItemHead"/>
    <w:rsid w:val="0013441F"/>
    <w:pPr>
      <w:keepLines/>
      <w:spacing w:before="80"/>
      <w:ind w:left="709"/>
    </w:pPr>
    <w:rPr>
      <w:rFonts w:ascii="Times New Roman" w:hAnsi="Times New Roman"/>
      <w:szCs w:val="20"/>
      <w:lang w:eastAsia="en-AU"/>
    </w:rPr>
  </w:style>
  <w:style w:type="character" w:customStyle="1" w:styleId="Style1Char">
    <w:name w:val="Style1 Char"/>
    <w:basedOn w:val="DefaultParagraphFont"/>
    <w:link w:val="Style1"/>
    <w:locked/>
    <w:rsid w:val="00FC0371"/>
    <w:rPr>
      <w:rFonts w:eastAsia="Calibri"/>
      <w:sz w:val="24"/>
      <w:szCs w:val="24"/>
    </w:rPr>
  </w:style>
  <w:style w:type="paragraph" w:customStyle="1" w:styleId="Style1">
    <w:name w:val="Style1"/>
    <w:basedOn w:val="ListParagraph"/>
    <w:link w:val="Style1Char"/>
    <w:qFormat/>
    <w:rsid w:val="00FC0371"/>
    <w:pPr>
      <w:numPr>
        <w:numId w:val="16"/>
      </w:numPr>
      <w:spacing w:before="240"/>
    </w:pPr>
    <w:rPr>
      <w:rFonts w:ascii="Times New Roman" w:eastAsia="Calibri" w:hAnsi="Times New Roman"/>
      <w:sz w:val="24"/>
      <w:lang w:eastAsia="en-AU"/>
    </w:rPr>
  </w:style>
  <w:style w:type="paragraph" w:styleId="FootnoteText">
    <w:name w:val="footnote text"/>
    <w:link w:val="FootnoteTextChar"/>
    <w:uiPriority w:val="99"/>
    <w:semiHidden/>
    <w:unhideWhenUsed/>
    <w:qFormat/>
    <w:rsid w:val="00D34262"/>
    <w:pPr>
      <w:tabs>
        <w:tab w:val="left" w:pos="284"/>
      </w:tabs>
      <w:spacing w:after="20" w:line="260" w:lineRule="atLeast"/>
    </w:pPr>
    <w:rPr>
      <w:rFonts w:ascii="Arial" w:hAnsi="Arial"/>
      <w:color w:val="4B5869"/>
      <w:sz w:val="15"/>
      <w:lang w:eastAsia="en-US"/>
    </w:rPr>
  </w:style>
  <w:style w:type="character" w:customStyle="1" w:styleId="FootnoteTextChar">
    <w:name w:val="Footnote Text Char"/>
    <w:basedOn w:val="DefaultParagraphFont"/>
    <w:link w:val="FootnoteText"/>
    <w:uiPriority w:val="99"/>
    <w:semiHidden/>
    <w:rsid w:val="00D34262"/>
    <w:rPr>
      <w:rFonts w:ascii="Arial" w:hAnsi="Arial"/>
      <w:color w:val="4B5869"/>
      <w:sz w:val="15"/>
      <w:lang w:eastAsia="en-US"/>
    </w:rPr>
  </w:style>
  <w:style w:type="character" w:styleId="FootnoteReference">
    <w:name w:val="footnote reference"/>
    <w:uiPriority w:val="99"/>
    <w:semiHidden/>
    <w:unhideWhenUsed/>
    <w:rsid w:val="00D342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151727334">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548028190">
      <w:bodyDiv w:val="1"/>
      <w:marLeft w:val="0"/>
      <w:marRight w:val="0"/>
      <w:marTop w:val="0"/>
      <w:marBottom w:val="0"/>
      <w:divBdr>
        <w:top w:val="none" w:sz="0" w:space="0" w:color="auto"/>
        <w:left w:val="none" w:sz="0" w:space="0" w:color="auto"/>
        <w:bottom w:val="none" w:sz="0" w:space="0" w:color="auto"/>
        <w:right w:val="none" w:sz="0" w:space="0" w:color="auto"/>
      </w:divBdr>
    </w:div>
    <w:div w:id="786316868">
      <w:bodyDiv w:val="1"/>
      <w:marLeft w:val="0"/>
      <w:marRight w:val="0"/>
      <w:marTop w:val="0"/>
      <w:marBottom w:val="0"/>
      <w:divBdr>
        <w:top w:val="none" w:sz="0" w:space="0" w:color="auto"/>
        <w:left w:val="none" w:sz="0" w:space="0" w:color="auto"/>
        <w:bottom w:val="none" w:sz="0" w:space="0" w:color="auto"/>
        <w:right w:val="none" w:sz="0" w:space="0" w:color="auto"/>
      </w:divBdr>
    </w:div>
    <w:div w:id="919800982">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44056451">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677001127">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60DA5-DA1F-458C-91A5-CA2FBF86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1831</Words>
  <Characters>10308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Evan Schnell</cp:lastModifiedBy>
  <cp:revision>2</cp:revision>
  <cp:lastPrinted>2021-06-15T03:26:00Z</cp:lastPrinted>
  <dcterms:created xsi:type="dcterms:W3CDTF">2022-09-13T09:26:00Z</dcterms:created>
  <dcterms:modified xsi:type="dcterms:W3CDTF">2022-09-13T09:26:00Z</dcterms:modified>
</cp:coreProperties>
</file>