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84EF" w14:textId="77777777" w:rsidR="00715914" w:rsidRPr="00691DBE" w:rsidRDefault="00DA186E" w:rsidP="00B05CF4">
      <w:pPr>
        <w:rPr>
          <w:sz w:val="28"/>
        </w:rPr>
      </w:pPr>
      <w:r w:rsidRPr="00691DBE">
        <w:rPr>
          <w:noProof/>
          <w:lang w:eastAsia="en-AU"/>
        </w:rPr>
        <w:drawing>
          <wp:inline distT="0" distB="0" distL="0" distR="0" wp14:anchorId="39F6B9FC" wp14:editId="4949C5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57FB7" w14:textId="77777777" w:rsidR="00715914" w:rsidRPr="00691DBE" w:rsidRDefault="00715914" w:rsidP="00715914">
      <w:pPr>
        <w:rPr>
          <w:sz w:val="19"/>
        </w:rPr>
      </w:pPr>
    </w:p>
    <w:p w14:paraId="3F9186D7" w14:textId="77777777" w:rsidR="00715914" w:rsidRPr="00691DBE" w:rsidRDefault="00F26676" w:rsidP="00715914">
      <w:pPr>
        <w:pStyle w:val="ShortT"/>
      </w:pPr>
      <w:r w:rsidRPr="00691DBE">
        <w:t xml:space="preserve">Product Stewardship (Oil) </w:t>
      </w:r>
      <w:r w:rsidR="0017512A" w:rsidRPr="00691DBE">
        <w:t>Regulations 2</w:t>
      </w:r>
      <w:r w:rsidRPr="00691DBE">
        <w:t>022</w:t>
      </w:r>
    </w:p>
    <w:p w14:paraId="4CEECD82" w14:textId="77777777" w:rsidR="00F26676" w:rsidRPr="00691DBE" w:rsidRDefault="00F26676" w:rsidP="00B9537B">
      <w:pPr>
        <w:pStyle w:val="SignCoverPageStart"/>
        <w:spacing w:before="240"/>
        <w:rPr>
          <w:szCs w:val="22"/>
        </w:rPr>
      </w:pPr>
      <w:r w:rsidRPr="00691DBE">
        <w:rPr>
          <w:szCs w:val="22"/>
        </w:rPr>
        <w:t>I, General the Honourable David Hurley AC DSC (Retd), Governor</w:t>
      </w:r>
      <w:r w:rsidR="00691DBE">
        <w:rPr>
          <w:szCs w:val="22"/>
        </w:rPr>
        <w:noBreakHyphen/>
      </w:r>
      <w:r w:rsidRPr="00691DBE">
        <w:rPr>
          <w:szCs w:val="22"/>
        </w:rPr>
        <w:t>General of the Commonwealth of Australia, acting with the advice of the Federal Executive Council, make the following regulations.</w:t>
      </w:r>
    </w:p>
    <w:p w14:paraId="004EC12F" w14:textId="53300F14" w:rsidR="00F26676" w:rsidRPr="00691DBE" w:rsidRDefault="00F26676" w:rsidP="00B9537B">
      <w:pPr>
        <w:keepNext/>
        <w:spacing w:before="720" w:line="240" w:lineRule="atLeast"/>
        <w:ind w:right="397"/>
        <w:jc w:val="both"/>
        <w:rPr>
          <w:szCs w:val="22"/>
        </w:rPr>
      </w:pPr>
      <w:r w:rsidRPr="00691DBE">
        <w:rPr>
          <w:szCs w:val="22"/>
        </w:rPr>
        <w:t xml:space="preserve">Dated </w:t>
      </w:r>
      <w:r w:rsidRPr="00691DBE">
        <w:rPr>
          <w:szCs w:val="22"/>
        </w:rPr>
        <w:fldChar w:fldCharType="begin"/>
      </w:r>
      <w:r w:rsidRPr="00691DBE">
        <w:rPr>
          <w:szCs w:val="22"/>
        </w:rPr>
        <w:instrText xml:space="preserve"> DOCPROPERTY  DateMade </w:instrText>
      </w:r>
      <w:r w:rsidRPr="00691DBE">
        <w:rPr>
          <w:szCs w:val="22"/>
        </w:rPr>
        <w:fldChar w:fldCharType="separate"/>
      </w:r>
      <w:r w:rsidR="00614A60">
        <w:rPr>
          <w:szCs w:val="22"/>
        </w:rPr>
        <w:t>15 September 2022</w:t>
      </w:r>
      <w:r w:rsidRPr="00691DBE">
        <w:rPr>
          <w:szCs w:val="22"/>
        </w:rPr>
        <w:fldChar w:fldCharType="end"/>
      </w:r>
    </w:p>
    <w:p w14:paraId="6855CA17" w14:textId="77777777" w:rsidR="00F26676" w:rsidRPr="00691DBE" w:rsidRDefault="00F26676" w:rsidP="00B9537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91DBE">
        <w:rPr>
          <w:szCs w:val="22"/>
        </w:rPr>
        <w:t>David Hurley</w:t>
      </w:r>
    </w:p>
    <w:p w14:paraId="3E36C008" w14:textId="77777777" w:rsidR="00F26676" w:rsidRPr="00691DBE" w:rsidRDefault="00F26676" w:rsidP="00B953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1DBE">
        <w:rPr>
          <w:szCs w:val="22"/>
        </w:rPr>
        <w:t>Governor</w:t>
      </w:r>
      <w:r w:rsidR="00691DBE">
        <w:rPr>
          <w:szCs w:val="22"/>
        </w:rPr>
        <w:noBreakHyphen/>
      </w:r>
      <w:r w:rsidRPr="00691DBE">
        <w:rPr>
          <w:szCs w:val="22"/>
        </w:rPr>
        <w:t>General</w:t>
      </w:r>
    </w:p>
    <w:p w14:paraId="5571B571" w14:textId="77777777" w:rsidR="00F26676" w:rsidRPr="00691DBE" w:rsidRDefault="00F26676" w:rsidP="00B9537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1DBE">
        <w:rPr>
          <w:szCs w:val="22"/>
        </w:rPr>
        <w:t>By His Excellency’s Command</w:t>
      </w:r>
    </w:p>
    <w:p w14:paraId="064A9548" w14:textId="77777777" w:rsidR="00F26676" w:rsidRPr="00691DBE" w:rsidRDefault="00F26676" w:rsidP="00B953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91DBE">
        <w:rPr>
          <w:szCs w:val="22"/>
        </w:rPr>
        <w:t>Tanya Plibersek</w:t>
      </w:r>
    </w:p>
    <w:p w14:paraId="764DADD7" w14:textId="77777777" w:rsidR="00F26676" w:rsidRPr="00691DBE" w:rsidRDefault="00F26676" w:rsidP="00B9537B">
      <w:pPr>
        <w:pStyle w:val="SignCoverPageEnd"/>
        <w:rPr>
          <w:szCs w:val="22"/>
        </w:rPr>
      </w:pPr>
      <w:r w:rsidRPr="00691DBE">
        <w:rPr>
          <w:szCs w:val="22"/>
        </w:rPr>
        <w:t>Minister for the Environment and Water</w:t>
      </w:r>
    </w:p>
    <w:p w14:paraId="1D130446" w14:textId="77777777" w:rsidR="00F26676" w:rsidRPr="00691DBE" w:rsidRDefault="00F26676" w:rsidP="00B9537B"/>
    <w:p w14:paraId="7D97ABF2" w14:textId="77777777" w:rsidR="00F26676" w:rsidRPr="00691DBE" w:rsidRDefault="00F26676" w:rsidP="00B9537B"/>
    <w:p w14:paraId="3EAC5DCC" w14:textId="77777777" w:rsidR="00F26676" w:rsidRPr="00691DBE" w:rsidRDefault="00F26676" w:rsidP="00B9537B"/>
    <w:p w14:paraId="759730C0" w14:textId="77777777" w:rsidR="00715914" w:rsidRPr="00691DBE" w:rsidRDefault="00715914" w:rsidP="00715914">
      <w:pPr>
        <w:pStyle w:val="Header"/>
        <w:tabs>
          <w:tab w:val="clear" w:pos="4150"/>
          <w:tab w:val="clear" w:pos="8307"/>
        </w:tabs>
      </w:pPr>
      <w:r w:rsidRPr="00691DBE">
        <w:rPr>
          <w:rStyle w:val="CharChapNo"/>
        </w:rPr>
        <w:t xml:space="preserve"> </w:t>
      </w:r>
      <w:r w:rsidRPr="00691DBE">
        <w:rPr>
          <w:rStyle w:val="CharChapText"/>
        </w:rPr>
        <w:t xml:space="preserve"> </w:t>
      </w:r>
    </w:p>
    <w:p w14:paraId="44362731" w14:textId="77777777" w:rsidR="00715914" w:rsidRPr="00691DBE" w:rsidRDefault="00715914" w:rsidP="00715914">
      <w:pPr>
        <w:pStyle w:val="Header"/>
        <w:tabs>
          <w:tab w:val="clear" w:pos="4150"/>
          <w:tab w:val="clear" w:pos="8307"/>
        </w:tabs>
      </w:pPr>
      <w:r w:rsidRPr="00691DBE">
        <w:rPr>
          <w:rStyle w:val="CharPartNo"/>
        </w:rPr>
        <w:t xml:space="preserve"> </w:t>
      </w:r>
      <w:r w:rsidRPr="00691DBE">
        <w:rPr>
          <w:rStyle w:val="CharPartText"/>
        </w:rPr>
        <w:t xml:space="preserve"> </w:t>
      </w:r>
    </w:p>
    <w:p w14:paraId="6C8A5CF0" w14:textId="77777777" w:rsidR="00715914" w:rsidRPr="00691DBE" w:rsidRDefault="00715914" w:rsidP="00715914">
      <w:pPr>
        <w:pStyle w:val="Header"/>
        <w:tabs>
          <w:tab w:val="clear" w:pos="4150"/>
          <w:tab w:val="clear" w:pos="8307"/>
        </w:tabs>
      </w:pPr>
      <w:r w:rsidRPr="00691DBE">
        <w:rPr>
          <w:rStyle w:val="CharDivNo"/>
        </w:rPr>
        <w:t xml:space="preserve"> </w:t>
      </w:r>
      <w:r w:rsidRPr="00691DBE">
        <w:rPr>
          <w:rStyle w:val="CharDivText"/>
        </w:rPr>
        <w:t xml:space="preserve"> </w:t>
      </w:r>
    </w:p>
    <w:p w14:paraId="131C50BC" w14:textId="77777777" w:rsidR="00715914" w:rsidRPr="00691DBE" w:rsidRDefault="00715914" w:rsidP="00715914">
      <w:pPr>
        <w:sectPr w:rsidR="00715914" w:rsidRPr="00691DBE" w:rsidSect="006075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052055A" w14:textId="77777777" w:rsidR="00F67BCA" w:rsidRPr="00691DBE" w:rsidRDefault="00715914" w:rsidP="00715914">
      <w:pPr>
        <w:outlineLvl w:val="0"/>
        <w:rPr>
          <w:sz w:val="36"/>
        </w:rPr>
      </w:pPr>
      <w:r w:rsidRPr="00691DBE">
        <w:rPr>
          <w:sz w:val="36"/>
        </w:rPr>
        <w:lastRenderedPageBreak/>
        <w:t>Contents</w:t>
      </w:r>
    </w:p>
    <w:p w14:paraId="25A42B5C" w14:textId="188DE24E" w:rsidR="008F4436" w:rsidRPr="00691DBE" w:rsidRDefault="008F443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1DBE">
        <w:fldChar w:fldCharType="begin"/>
      </w:r>
      <w:r w:rsidRPr="00691DBE">
        <w:instrText xml:space="preserve"> TOC \o "1-9" </w:instrText>
      </w:r>
      <w:r w:rsidRPr="00691DBE">
        <w:fldChar w:fldCharType="separate"/>
      </w:r>
      <w:r w:rsidRPr="00691DBE">
        <w:rPr>
          <w:noProof/>
        </w:rPr>
        <w:t>Part 1—Preliminary</w:t>
      </w:r>
      <w:r w:rsidRPr="00691DBE">
        <w:rPr>
          <w:b w:val="0"/>
          <w:noProof/>
          <w:sz w:val="18"/>
        </w:rPr>
        <w:tab/>
      </w:r>
      <w:r w:rsidRPr="00691DBE">
        <w:rPr>
          <w:b w:val="0"/>
          <w:noProof/>
          <w:sz w:val="18"/>
        </w:rPr>
        <w:fldChar w:fldCharType="begin"/>
      </w:r>
      <w:r w:rsidRPr="00691DBE">
        <w:rPr>
          <w:b w:val="0"/>
          <w:noProof/>
          <w:sz w:val="18"/>
        </w:rPr>
        <w:instrText xml:space="preserve"> PAGEREF _Toc111630399 \h </w:instrText>
      </w:r>
      <w:r w:rsidRPr="00691DBE">
        <w:rPr>
          <w:b w:val="0"/>
          <w:noProof/>
          <w:sz w:val="18"/>
        </w:rPr>
      </w:r>
      <w:r w:rsidRPr="00691DBE">
        <w:rPr>
          <w:b w:val="0"/>
          <w:noProof/>
          <w:sz w:val="18"/>
        </w:rPr>
        <w:fldChar w:fldCharType="separate"/>
      </w:r>
      <w:r w:rsidR="00614A60">
        <w:rPr>
          <w:b w:val="0"/>
          <w:noProof/>
          <w:sz w:val="18"/>
        </w:rPr>
        <w:t>1</w:t>
      </w:r>
      <w:r w:rsidRPr="00691DBE">
        <w:rPr>
          <w:b w:val="0"/>
          <w:noProof/>
          <w:sz w:val="18"/>
        </w:rPr>
        <w:fldChar w:fldCharType="end"/>
      </w:r>
    </w:p>
    <w:p w14:paraId="26201DD9" w14:textId="3919ADCB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1</w:t>
      </w:r>
      <w:r w:rsidRPr="00691DBE">
        <w:rPr>
          <w:noProof/>
        </w:rPr>
        <w:tab/>
        <w:t>Name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_Toc111630400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1</w:t>
      </w:r>
      <w:r w:rsidRPr="00691DBE">
        <w:rPr>
          <w:noProof/>
        </w:rPr>
        <w:fldChar w:fldCharType="end"/>
      </w:r>
    </w:p>
    <w:p w14:paraId="3925D4DD" w14:textId="412C66FC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2</w:t>
      </w:r>
      <w:r w:rsidRPr="00691DBE">
        <w:rPr>
          <w:noProof/>
        </w:rPr>
        <w:tab/>
        <w:t>Commencement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_Toc111630401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1</w:t>
      </w:r>
      <w:r w:rsidRPr="00691DBE">
        <w:rPr>
          <w:noProof/>
        </w:rPr>
        <w:fldChar w:fldCharType="end"/>
      </w:r>
    </w:p>
    <w:p w14:paraId="7B64039D" w14:textId="0E9793E3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3</w:t>
      </w:r>
      <w:r w:rsidRPr="00691DBE">
        <w:rPr>
          <w:noProof/>
        </w:rPr>
        <w:tab/>
        <w:t>Authority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_Toc111630402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1</w:t>
      </w:r>
      <w:r w:rsidRPr="00691DBE">
        <w:rPr>
          <w:noProof/>
        </w:rPr>
        <w:fldChar w:fldCharType="end"/>
      </w:r>
    </w:p>
    <w:p w14:paraId="46EB9C5D" w14:textId="763B59EF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4</w:t>
      </w:r>
      <w:r w:rsidRPr="00691DBE">
        <w:rPr>
          <w:noProof/>
        </w:rPr>
        <w:tab/>
        <w:t>Schedules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_Toc111630403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1</w:t>
      </w:r>
      <w:r w:rsidRPr="00691DBE">
        <w:rPr>
          <w:noProof/>
        </w:rPr>
        <w:fldChar w:fldCharType="end"/>
      </w:r>
    </w:p>
    <w:p w14:paraId="57DA7F37" w14:textId="43383917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5</w:t>
      </w:r>
      <w:r w:rsidRPr="00691DBE">
        <w:rPr>
          <w:noProof/>
        </w:rPr>
        <w:tab/>
        <w:t>Definitions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_Toc111630404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1</w:t>
      </w:r>
      <w:r w:rsidRPr="00691DBE">
        <w:rPr>
          <w:noProof/>
        </w:rPr>
        <w:fldChar w:fldCharType="end"/>
      </w:r>
    </w:p>
    <w:p w14:paraId="744F3C3E" w14:textId="2D05BB61" w:rsidR="008F4436" w:rsidRPr="00691DBE" w:rsidRDefault="008F443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1DBE">
        <w:rPr>
          <w:noProof/>
        </w:rPr>
        <w:t>Part 2—Amounts of product stewardship (oil) benefit</w:t>
      </w:r>
      <w:r w:rsidRPr="00691DBE">
        <w:rPr>
          <w:b w:val="0"/>
          <w:noProof/>
          <w:sz w:val="18"/>
        </w:rPr>
        <w:tab/>
      </w:r>
      <w:r w:rsidRPr="00691DBE">
        <w:rPr>
          <w:b w:val="0"/>
          <w:noProof/>
          <w:sz w:val="18"/>
        </w:rPr>
        <w:fldChar w:fldCharType="begin"/>
      </w:r>
      <w:r w:rsidRPr="00691DBE">
        <w:rPr>
          <w:b w:val="0"/>
          <w:noProof/>
          <w:sz w:val="18"/>
        </w:rPr>
        <w:instrText xml:space="preserve"> PAGEREF _Toc111630405 \h </w:instrText>
      </w:r>
      <w:r w:rsidRPr="00691DBE">
        <w:rPr>
          <w:b w:val="0"/>
          <w:noProof/>
          <w:sz w:val="18"/>
        </w:rPr>
      </w:r>
      <w:r w:rsidRPr="00691DBE">
        <w:rPr>
          <w:b w:val="0"/>
          <w:noProof/>
          <w:sz w:val="18"/>
        </w:rPr>
        <w:fldChar w:fldCharType="separate"/>
      </w:r>
      <w:r w:rsidR="00614A60">
        <w:rPr>
          <w:b w:val="0"/>
          <w:noProof/>
          <w:sz w:val="18"/>
        </w:rPr>
        <w:t>3</w:t>
      </w:r>
      <w:r w:rsidRPr="00691DBE">
        <w:rPr>
          <w:b w:val="0"/>
          <w:noProof/>
          <w:sz w:val="18"/>
        </w:rPr>
        <w:fldChar w:fldCharType="end"/>
      </w:r>
    </w:p>
    <w:p w14:paraId="1EC6F982" w14:textId="1B4F9CF4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6</w:t>
      </w:r>
      <w:r w:rsidRPr="00691DBE">
        <w:rPr>
          <w:noProof/>
        </w:rPr>
        <w:tab/>
        <w:t>Amounts of product stewardship (oil) benefit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_Toc111630406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3</w:t>
      </w:r>
      <w:r w:rsidRPr="00691DBE">
        <w:rPr>
          <w:noProof/>
        </w:rPr>
        <w:fldChar w:fldCharType="end"/>
      </w:r>
    </w:p>
    <w:p w14:paraId="525EA1C1" w14:textId="691E10A9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7</w:t>
      </w:r>
      <w:r w:rsidRPr="00691DBE">
        <w:rPr>
          <w:noProof/>
        </w:rPr>
        <w:tab/>
        <w:t>Additional amount of benefit—re</w:t>
      </w:r>
      <w:r w:rsidR="00691DBE">
        <w:rPr>
          <w:noProof/>
        </w:rPr>
        <w:noBreakHyphen/>
      </w:r>
      <w:r w:rsidRPr="00691DBE">
        <w:rPr>
          <w:noProof/>
        </w:rPr>
        <w:t>refined base oil where entitlement to benefit arose 1 July 2020 to 31 December 2020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_Toc111630407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4</w:t>
      </w:r>
      <w:r w:rsidRPr="00691DBE">
        <w:rPr>
          <w:noProof/>
        </w:rPr>
        <w:fldChar w:fldCharType="end"/>
      </w:r>
    </w:p>
    <w:p w14:paraId="1370456E" w14:textId="5181E520" w:rsidR="008F4436" w:rsidRPr="00691DBE" w:rsidRDefault="008F443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1DBE">
        <w:rPr>
          <w:noProof/>
        </w:rPr>
        <w:t>Part 3—Application, saving and transitional provisions</w:t>
      </w:r>
      <w:r w:rsidRPr="00691DBE">
        <w:rPr>
          <w:b w:val="0"/>
          <w:noProof/>
          <w:sz w:val="18"/>
        </w:rPr>
        <w:tab/>
      </w:r>
      <w:r w:rsidRPr="00691DBE">
        <w:rPr>
          <w:b w:val="0"/>
          <w:noProof/>
          <w:sz w:val="18"/>
        </w:rPr>
        <w:fldChar w:fldCharType="begin"/>
      </w:r>
      <w:r w:rsidRPr="00691DBE">
        <w:rPr>
          <w:b w:val="0"/>
          <w:noProof/>
          <w:sz w:val="18"/>
        </w:rPr>
        <w:instrText xml:space="preserve"> PAGEREF _Toc111630408 \h </w:instrText>
      </w:r>
      <w:r w:rsidRPr="00691DBE">
        <w:rPr>
          <w:b w:val="0"/>
          <w:noProof/>
          <w:sz w:val="18"/>
        </w:rPr>
      </w:r>
      <w:r w:rsidRPr="00691DBE">
        <w:rPr>
          <w:b w:val="0"/>
          <w:noProof/>
          <w:sz w:val="18"/>
        </w:rPr>
        <w:fldChar w:fldCharType="separate"/>
      </w:r>
      <w:r w:rsidR="00614A60">
        <w:rPr>
          <w:b w:val="0"/>
          <w:noProof/>
          <w:sz w:val="18"/>
        </w:rPr>
        <w:t>6</w:t>
      </w:r>
      <w:r w:rsidRPr="00691DBE">
        <w:rPr>
          <w:b w:val="0"/>
          <w:noProof/>
          <w:sz w:val="18"/>
        </w:rPr>
        <w:fldChar w:fldCharType="end"/>
      </w:r>
    </w:p>
    <w:p w14:paraId="5524380B" w14:textId="510A6E45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8</w:t>
      </w:r>
      <w:r w:rsidRPr="00691DBE">
        <w:rPr>
          <w:noProof/>
        </w:rPr>
        <w:tab/>
        <w:t>Application of this instrument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_Toc111630409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6</w:t>
      </w:r>
      <w:r w:rsidRPr="00691DBE">
        <w:rPr>
          <w:noProof/>
        </w:rPr>
        <w:fldChar w:fldCharType="end"/>
      </w:r>
    </w:p>
    <w:p w14:paraId="6986E8D7" w14:textId="4B3C1747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9</w:t>
      </w:r>
      <w:r w:rsidRPr="00691DBE">
        <w:rPr>
          <w:noProof/>
        </w:rPr>
        <w:tab/>
        <w:t>Process approved by Minister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_Toc111630410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6</w:t>
      </w:r>
      <w:r w:rsidRPr="00691DBE">
        <w:rPr>
          <w:noProof/>
        </w:rPr>
        <w:fldChar w:fldCharType="end"/>
      </w:r>
    </w:p>
    <w:p w14:paraId="779F810E" w14:textId="0A0AF202" w:rsidR="008F4436" w:rsidRPr="00691DBE" w:rsidRDefault="008F4436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1DBE">
        <w:rPr>
          <w:noProof/>
        </w:rPr>
        <w:t>Schedule 1—Re</w:t>
      </w:r>
      <w:r w:rsidR="00691DBE">
        <w:rPr>
          <w:noProof/>
        </w:rPr>
        <w:noBreakHyphen/>
      </w:r>
      <w:r w:rsidRPr="00691DBE">
        <w:rPr>
          <w:noProof/>
        </w:rPr>
        <w:t>refined base oil criteria</w:t>
      </w:r>
      <w:r w:rsidRPr="00691DBE">
        <w:rPr>
          <w:b w:val="0"/>
          <w:noProof/>
          <w:sz w:val="18"/>
        </w:rPr>
        <w:tab/>
      </w:r>
      <w:r w:rsidRPr="00691DBE">
        <w:rPr>
          <w:b w:val="0"/>
          <w:noProof/>
          <w:sz w:val="18"/>
        </w:rPr>
        <w:fldChar w:fldCharType="begin"/>
      </w:r>
      <w:r w:rsidRPr="00691DBE">
        <w:rPr>
          <w:b w:val="0"/>
          <w:noProof/>
          <w:sz w:val="18"/>
        </w:rPr>
        <w:instrText xml:space="preserve"> PAGEREF _Toc111630411 \h </w:instrText>
      </w:r>
      <w:r w:rsidRPr="00691DBE">
        <w:rPr>
          <w:b w:val="0"/>
          <w:noProof/>
          <w:sz w:val="18"/>
        </w:rPr>
      </w:r>
      <w:r w:rsidRPr="00691DBE">
        <w:rPr>
          <w:b w:val="0"/>
          <w:noProof/>
          <w:sz w:val="18"/>
        </w:rPr>
        <w:fldChar w:fldCharType="separate"/>
      </w:r>
      <w:r w:rsidR="00614A60">
        <w:rPr>
          <w:b w:val="0"/>
          <w:noProof/>
          <w:sz w:val="18"/>
        </w:rPr>
        <w:t>7</w:t>
      </w:r>
      <w:r w:rsidRPr="00691DBE">
        <w:rPr>
          <w:b w:val="0"/>
          <w:noProof/>
          <w:sz w:val="18"/>
        </w:rPr>
        <w:fldChar w:fldCharType="end"/>
      </w:r>
    </w:p>
    <w:p w14:paraId="3D26E714" w14:textId="5FF8F69E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1</w:t>
      </w:r>
      <w:r w:rsidRPr="00691DBE">
        <w:rPr>
          <w:noProof/>
        </w:rPr>
        <w:tab/>
        <w:t>Mutagenicity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_Toc111630412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187BC0CF" w14:textId="154E28E7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2</w:t>
      </w:r>
      <w:r w:rsidRPr="00691DBE">
        <w:rPr>
          <w:noProof/>
        </w:rPr>
        <w:tab/>
        <w:t>Poly</w:t>
      </w:r>
      <w:r w:rsidR="00691DBE">
        <w:rPr>
          <w:noProof/>
        </w:rPr>
        <w:noBreakHyphen/>
      </w:r>
      <w:r w:rsidRPr="00691DBE">
        <w:rPr>
          <w:noProof/>
        </w:rPr>
        <w:t>aromatic hydrocarbons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_Toc111630413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5EA0972B" w14:textId="4B4E1A4A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3</w:t>
      </w:r>
      <w:r w:rsidRPr="00691DBE">
        <w:rPr>
          <w:noProof/>
        </w:rPr>
        <w:tab/>
        <w:t>Polychlorinated biphenyls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_Toc111630414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51D441E2" w14:textId="2F5E2C1F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4</w:t>
      </w:r>
      <w:r w:rsidRPr="00691DBE">
        <w:rPr>
          <w:noProof/>
        </w:rPr>
        <w:tab/>
        <w:t>Polychlorinated dibenzo</w:t>
      </w:r>
      <w:r w:rsidR="00691DBE">
        <w:rPr>
          <w:noProof/>
        </w:rPr>
        <w:noBreakHyphen/>
      </w:r>
      <w:r w:rsidRPr="00691DBE">
        <w:rPr>
          <w:noProof/>
        </w:rPr>
        <w:t>p</w:t>
      </w:r>
      <w:r w:rsidR="00691DBE">
        <w:rPr>
          <w:noProof/>
        </w:rPr>
        <w:noBreakHyphen/>
      </w:r>
      <w:r w:rsidRPr="00691DBE">
        <w:rPr>
          <w:noProof/>
        </w:rPr>
        <w:t>dioxins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_Toc111630415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56F05F34" w14:textId="14B825DD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5</w:t>
      </w:r>
      <w:r w:rsidRPr="00691DBE">
        <w:rPr>
          <w:noProof/>
        </w:rPr>
        <w:tab/>
        <w:t>Total acid number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_Toc111630416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5E814181" w14:textId="196D9384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6</w:t>
      </w:r>
      <w:r w:rsidRPr="00691DBE">
        <w:rPr>
          <w:noProof/>
        </w:rPr>
        <w:tab/>
        <w:t>Heavy metals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_Toc111630417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7</w:t>
      </w:r>
      <w:r w:rsidRPr="00691DBE">
        <w:rPr>
          <w:noProof/>
        </w:rPr>
        <w:fldChar w:fldCharType="end"/>
      </w:r>
    </w:p>
    <w:p w14:paraId="1FBAD61F" w14:textId="545649A1" w:rsidR="008F4436" w:rsidRPr="00691DBE" w:rsidRDefault="008F44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1DBE">
        <w:rPr>
          <w:noProof/>
        </w:rPr>
        <w:t>7</w:t>
      </w:r>
      <w:r w:rsidRPr="00691DBE">
        <w:rPr>
          <w:noProof/>
        </w:rPr>
        <w:tab/>
        <w:t>Appearance</w:t>
      </w:r>
      <w:r w:rsidRPr="00691DBE">
        <w:rPr>
          <w:noProof/>
        </w:rPr>
        <w:tab/>
      </w:r>
      <w:r w:rsidRPr="00691DBE">
        <w:rPr>
          <w:noProof/>
        </w:rPr>
        <w:fldChar w:fldCharType="begin"/>
      </w:r>
      <w:r w:rsidRPr="00691DBE">
        <w:rPr>
          <w:noProof/>
        </w:rPr>
        <w:instrText xml:space="preserve"> PAGEREF _Toc111630418 \h </w:instrText>
      </w:r>
      <w:r w:rsidRPr="00691DBE">
        <w:rPr>
          <w:noProof/>
        </w:rPr>
      </w:r>
      <w:r w:rsidRPr="00691DBE">
        <w:rPr>
          <w:noProof/>
        </w:rPr>
        <w:fldChar w:fldCharType="separate"/>
      </w:r>
      <w:r w:rsidR="00614A60">
        <w:rPr>
          <w:noProof/>
        </w:rPr>
        <w:t>8</w:t>
      </w:r>
      <w:r w:rsidRPr="00691DBE">
        <w:rPr>
          <w:noProof/>
        </w:rPr>
        <w:fldChar w:fldCharType="end"/>
      </w:r>
    </w:p>
    <w:p w14:paraId="5DB51816" w14:textId="57AA46CA" w:rsidR="008F4436" w:rsidRPr="00691DBE" w:rsidRDefault="008F44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1DBE">
        <w:rPr>
          <w:noProof/>
        </w:rPr>
        <w:t>Schedule 2—Repeals</w:t>
      </w:r>
      <w:r w:rsidRPr="00691DBE">
        <w:rPr>
          <w:b w:val="0"/>
          <w:noProof/>
          <w:sz w:val="18"/>
        </w:rPr>
        <w:tab/>
      </w:r>
      <w:r w:rsidRPr="00691DBE">
        <w:rPr>
          <w:b w:val="0"/>
          <w:noProof/>
          <w:sz w:val="18"/>
        </w:rPr>
        <w:fldChar w:fldCharType="begin"/>
      </w:r>
      <w:r w:rsidRPr="00691DBE">
        <w:rPr>
          <w:b w:val="0"/>
          <w:noProof/>
          <w:sz w:val="18"/>
        </w:rPr>
        <w:instrText xml:space="preserve"> PAGEREF _Toc111630419 \h </w:instrText>
      </w:r>
      <w:r w:rsidRPr="00691DBE">
        <w:rPr>
          <w:b w:val="0"/>
          <w:noProof/>
          <w:sz w:val="18"/>
        </w:rPr>
      </w:r>
      <w:r w:rsidRPr="00691DBE">
        <w:rPr>
          <w:b w:val="0"/>
          <w:noProof/>
          <w:sz w:val="18"/>
        </w:rPr>
        <w:fldChar w:fldCharType="separate"/>
      </w:r>
      <w:r w:rsidR="00614A60">
        <w:rPr>
          <w:b w:val="0"/>
          <w:noProof/>
          <w:sz w:val="18"/>
        </w:rPr>
        <w:t>9</w:t>
      </w:r>
      <w:r w:rsidRPr="00691DBE">
        <w:rPr>
          <w:b w:val="0"/>
          <w:noProof/>
          <w:sz w:val="18"/>
        </w:rPr>
        <w:fldChar w:fldCharType="end"/>
      </w:r>
    </w:p>
    <w:p w14:paraId="0769E002" w14:textId="26A6FF23" w:rsidR="008F4436" w:rsidRPr="00691DBE" w:rsidRDefault="008F44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1DBE">
        <w:rPr>
          <w:noProof/>
        </w:rPr>
        <w:t>Product Stewardship (Oil) Regulations 2000</w:t>
      </w:r>
      <w:r w:rsidRPr="00691DBE">
        <w:rPr>
          <w:i w:val="0"/>
          <w:noProof/>
          <w:sz w:val="18"/>
        </w:rPr>
        <w:tab/>
      </w:r>
      <w:r w:rsidRPr="00691DBE">
        <w:rPr>
          <w:i w:val="0"/>
          <w:noProof/>
          <w:sz w:val="18"/>
        </w:rPr>
        <w:fldChar w:fldCharType="begin"/>
      </w:r>
      <w:r w:rsidRPr="00691DBE">
        <w:rPr>
          <w:i w:val="0"/>
          <w:noProof/>
          <w:sz w:val="18"/>
        </w:rPr>
        <w:instrText xml:space="preserve"> PAGEREF _Toc111630420 \h </w:instrText>
      </w:r>
      <w:r w:rsidRPr="00691DBE">
        <w:rPr>
          <w:i w:val="0"/>
          <w:noProof/>
          <w:sz w:val="18"/>
        </w:rPr>
      </w:r>
      <w:r w:rsidRPr="00691DBE">
        <w:rPr>
          <w:i w:val="0"/>
          <w:noProof/>
          <w:sz w:val="18"/>
        </w:rPr>
        <w:fldChar w:fldCharType="separate"/>
      </w:r>
      <w:r w:rsidR="00614A60">
        <w:rPr>
          <w:i w:val="0"/>
          <w:noProof/>
          <w:sz w:val="18"/>
        </w:rPr>
        <w:t>9</w:t>
      </w:r>
      <w:r w:rsidRPr="00691DBE">
        <w:rPr>
          <w:i w:val="0"/>
          <w:noProof/>
          <w:sz w:val="18"/>
        </w:rPr>
        <w:fldChar w:fldCharType="end"/>
      </w:r>
    </w:p>
    <w:p w14:paraId="03C3624E" w14:textId="77777777" w:rsidR="00670EA1" w:rsidRPr="00691DBE" w:rsidRDefault="008F4436" w:rsidP="00715914">
      <w:r w:rsidRPr="00691DBE">
        <w:fldChar w:fldCharType="end"/>
      </w:r>
    </w:p>
    <w:p w14:paraId="799EF8F0" w14:textId="77777777" w:rsidR="00670EA1" w:rsidRPr="00691DBE" w:rsidRDefault="00670EA1" w:rsidP="00715914">
      <w:pPr>
        <w:sectPr w:rsidR="00670EA1" w:rsidRPr="00691DBE" w:rsidSect="0060757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C10EA4" w14:textId="77777777" w:rsidR="00715914" w:rsidRPr="00691DBE" w:rsidRDefault="00715914" w:rsidP="00715914">
      <w:pPr>
        <w:pStyle w:val="ActHead2"/>
      </w:pPr>
      <w:bookmarkStart w:id="0" w:name="_Toc111630399"/>
      <w:r w:rsidRPr="00691DBE">
        <w:rPr>
          <w:rStyle w:val="CharPartNo"/>
        </w:rPr>
        <w:lastRenderedPageBreak/>
        <w:t>Part 1</w:t>
      </w:r>
      <w:r w:rsidRPr="00691DBE">
        <w:t>—</w:t>
      </w:r>
      <w:r w:rsidRPr="00691DBE">
        <w:rPr>
          <w:rStyle w:val="CharPartText"/>
        </w:rPr>
        <w:t>Preliminary</w:t>
      </w:r>
      <w:bookmarkEnd w:id="0"/>
    </w:p>
    <w:p w14:paraId="235B825F" w14:textId="77777777" w:rsidR="00715914" w:rsidRPr="00691DBE" w:rsidRDefault="00715914" w:rsidP="00715914">
      <w:pPr>
        <w:pStyle w:val="Header"/>
      </w:pPr>
      <w:r w:rsidRPr="00691DBE">
        <w:rPr>
          <w:rStyle w:val="CharDivNo"/>
        </w:rPr>
        <w:t xml:space="preserve"> </w:t>
      </w:r>
      <w:r w:rsidRPr="00691DBE">
        <w:rPr>
          <w:rStyle w:val="CharDivText"/>
        </w:rPr>
        <w:t xml:space="preserve"> </w:t>
      </w:r>
    </w:p>
    <w:p w14:paraId="08A5335B" w14:textId="77777777" w:rsidR="00715914" w:rsidRPr="00691DBE" w:rsidRDefault="008C10E1" w:rsidP="00715914">
      <w:pPr>
        <w:pStyle w:val="ActHead5"/>
      </w:pPr>
      <w:bookmarkStart w:id="1" w:name="_Toc111630400"/>
      <w:r w:rsidRPr="00691DBE">
        <w:rPr>
          <w:rStyle w:val="CharSectno"/>
        </w:rPr>
        <w:t>1</w:t>
      </w:r>
      <w:r w:rsidR="00715914" w:rsidRPr="00691DBE">
        <w:t xml:space="preserve">  </w:t>
      </w:r>
      <w:r w:rsidR="00CE493D" w:rsidRPr="00691DBE">
        <w:t>Name</w:t>
      </w:r>
      <w:bookmarkEnd w:id="1"/>
    </w:p>
    <w:p w14:paraId="44AFF06B" w14:textId="77777777" w:rsidR="00715914" w:rsidRPr="00691DBE" w:rsidRDefault="00715914" w:rsidP="00715914">
      <w:pPr>
        <w:pStyle w:val="subsection"/>
      </w:pPr>
      <w:r w:rsidRPr="00691DBE">
        <w:tab/>
      </w:r>
      <w:r w:rsidRPr="00691DBE">
        <w:tab/>
      </w:r>
      <w:r w:rsidR="00F26676" w:rsidRPr="00691DBE">
        <w:t>This instrument is</w:t>
      </w:r>
      <w:r w:rsidR="00CE493D" w:rsidRPr="00691DBE">
        <w:t xml:space="preserve"> the </w:t>
      </w:r>
      <w:r w:rsidR="0077636F" w:rsidRPr="00691DBE">
        <w:rPr>
          <w:i/>
          <w:noProof/>
        </w:rPr>
        <w:t>Product Stewardship (Oil) Regulations 2022</w:t>
      </w:r>
      <w:r w:rsidRPr="00691DBE">
        <w:t>.</w:t>
      </w:r>
    </w:p>
    <w:p w14:paraId="2CA701DA" w14:textId="77777777" w:rsidR="00715914" w:rsidRPr="00691DBE" w:rsidRDefault="008C10E1" w:rsidP="00715914">
      <w:pPr>
        <w:pStyle w:val="ActHead5"/>
      </w:pPr>
      <w:bookmarkStart w:id="2" w:name="_Toc111630401"/>
      <w:r w:rsidRPr="00691DBE">
        <w:rPr>
          <w:rStyle w:val="CharSectno"/>
        </w:rPr>
        <w:t>2</w:t>
      </w:r>
      <w:r w:rsidR="00715914" w:rsidRPr="00691DBE">
        <w:t xml:space="preserve">  Commencement</w:t>
      </w:r>
      <w:bookmarkEnd w:id="2"/>
    </w:p>
    <w:p w14:paraId="1DFEDEE4" w14:textId="77777777" w:rsidR="00AE3652" w:rsidRPr="00691DBE" w:rsidRDefault="00807626" w:rsidP="00AE3652">
      <w:pPr>
        <w:pStyle w:val="subsection"/>
      </w:pPr>
      <w:bookmarkStart w:id="3" w:name="_GoBack"/>
      <w:r w:rsidRPr="00691DBE">
        <w:tab/>
      </w:r>
      <w:r w:rsidR="00AE3652" w:rsidRPr="00691DBE">
        <w:t>(1)</w:t>
      </w:r>
      <w:r w:rsidR="00AE3652" w:rsidRPr="00691DBE">
        <w:tab/>
        <w:t xml:space="preserve">Each provision of </w:t>
      </w:r>
      <w:r w:rsidR="00F26676" w:rsidRPr="00691DBE">
        <w:t>this instrument</w:t>
      </w:r>
      <w:r w:rsidR="00AE3652" w:rsidRPr="00691DBE">
        <w:t xml:space="preserve"> specified in column 1 of the table commences, or is taken to have commenced, in accordance with column 2 of the table. Any other statement in column 2 has effect according to its terms.</w:t>
      </w:r>
      <w:bookmarkEnd w:id="3"/>
    </w:p>
    <w:p w14:paraId="55B98A5F" w14:textId="77777777" w:rsidR="00AE3652" w:rsidRPr="00691DBE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691DBE" w14:paraId="3BA48543" w14:textId="77777777" w:rsidTr="001251F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FE4B88" w14:textId="77777777" w:rsidR="00AE3652" w:rsidRPr="00691DBE" w:rsidRDefault="00AE3652" w:rsidP="00B9537B">
            <w:pPr>
              <w:pStyle w:val="TableHeading"/>
            </w:pPr>
            <w:r w:rsidRPr="00691DBE">
              <w:t>Commencement information</w:t>
            </w:r>
          </w:p>
        </w:tc>
      </w:tr>
      <w:tr w:rsidR="00AE3652" w:rsidRPr="00691DBE" w14:paraId="1C872060" w14:textId="77777777" w:rsidTr="001251F3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99218D" w14:textId="77777777" w:rsidR="00AE3652" w:rsidRPr="00691DBE" w:rsidRDefault="00AE3652" w:rsidP="00B9537B">
            <w:pPr>
              <w:pStyle w:val="TableHeading"/>
            </w:pPr>
            <w:r w:rsidRPr="00691DB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A8D944" w14:textId="77777777" w:rsidR="00AE3652" w:rsidRPr="00691DBE" w:rsidRDefault="00AE3652" w:rsidP="00B9537B">
            <w:pPr>
              <w:pStyle w:val="TableHeading"/>
            </w:pPr>
            <w:r w:rsidRPr="00691DBE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A3E4A4" w14:textId="77777777" w:rsidR="00AE3652" w:rsidRPr="00691DBE" w:rsidRDefault="00AE3652" w:rsidP="00B9537B">
            <w:pPr>
              <w:pStyle w:val="TableHeading"/>
            </w:pPr>
            <w:r w:rsidRPr="00691DBE">
              <w:t>Column 3</w:t>
            </w:r>
          </w:p>
        </w:tc>
      </w:tr>
      <w:tr w:rsidR="00AE3652" w:rsidRPr="00691DBE" w14:paraId="55DFC253" w14:textId="77777777" w:rsidTr="001251F3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F1D094" w14:textId="77777777" w:rsidR="00AE3652" w:rsidRPr="00691DBE" w:rsidRDefault="00AE3652" w:rsidP="00B9537B">
            <w:pPr>
              <w:pStyle w:val="TableHeading"/>
            </w:pPr>
            <w:r w:rsidRPr="00691DB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DB7F1B" w14:textId="77777777" w:rsidR="00AE3652" w:rsidRPr="00691DBE" w:rsidRDefault="00AE3652" w:rsidP="00B9537B">
            <w:pPr>
              <w:pStyle w:val="TableHeading"/>
            </w:pPr>
            <w:r w:rsidRPr="00691DBE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A7F145" w14:textId="77777777" w:rsidR="00AE3652" w:rsidRPr="00691DBE" w:rsidRDefault="00AE3652" w:rsidP="00B9537B">
            <w:pPr>
              <w:pStyle w:val="TableHeading"/>
            </w:pPr>
            <w:r w:rsidRPr="00691DBE">
              <w:t>Date/Details</w:t>
            </w:r>
          </w:p>
        </w:tc>
      </w:tr>
      <w:tr w:rsidR="00AE3652" w:rsidRPr="00691DBE" w14:paraId="397853E0" w14:textId="77777777" w:rsidTr="001251F3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2ED754" w14:textId="77777777" w:rsidR="00AE3652" w:rsidRPr="00691DBE" w:rsidRDefault="00AE3652" w:rsidP="00B9537B">
            <w:pPr>
              <w:pStyle w:val="Tabletext"/>
            </w:pPr>
            <w:r w:rsidRPr="00691DBE">
              <w:t xml:space="preserve">1.  The whole of </w:t>
            </w:r>
            <w:r w:rsidR="00F26676" w:rsidRPr="00691DBE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075795" w14:textId="77777777" w:rsidR="00AE3652" w:rsidRPr="00691DBE" w:rsidRDefault="007F4597" w:rsidP="00B9537B">
            <w:pPr>
              <w:pStyle w:val="Tabletext"/>
            </w:pPr>
            <w:r w:rsidRPr="00691DBE">
              <w:t>1 October</w:t>
            </w:r>
            <w:r w:rsidR="00A65D95" w:rsidRPr="00691DBE">
              <w:t xml:space="preserve"> 2022</w:t>
            </w:r>
            <w:r w:rsidR="00AE3652" w:rsidRPr="00691DBE">
              <w:t>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B7AD17" w14:textId="77777777" w:rsidR="00AE3652" w:rsidRPr="00691DBE" w:rsidRDefault="007F4597" w:rsidP="00B9537B">
            <w:pPr>
              <w:pStyle w:val="Tabletext"/>
            </w:pPr>
            <w:r w:rsidRPr="00691DBE">
              <w:t>1 October</w:t>
            </w:r>
            <w:r w:rsidR="00A65D95" w:rsidRPr="00691DBE">
              <w:t xml:space="preserve"> 2022</w:t>
            </w:r>
          </w:p>
        </w:tc>
      </w:tr>
    </w:tbl>
    <w:p w14:paraId="5836906A" w14:textId="77777777" w:rsidR="00AE3652" w:rsidRPr="00691DBE" w:rsidRDefault="00AE3652" w:rsidP="00AE3652">
      <w:pPr>
        <w:pStyle w:val="notetext"/>
      </w:pPr>
      <w:r w:rsidRPr="00691DBE">
        <w:rPr>
          <w:snapToGrid w:val="0"/>
          <w:lang w:eastAsia="en-US"/>
        </w:rPr>
        <w:t>Note:</w:t>
      </w:r>
      <w:r w:rsidRPr="00691DBE">
        <w:rPr>
          <w:snapToGrid w:val="0"/>
          <w:lang w:eastAsia="en-US"/>
        </w:rPr>
        <w:tab/>
        <w:t xml:space="preserve">This table relates only to the provisions of </w:t>
      </w:r>
      <w:r w:rsidR="00F26676" w:rsidRPr="00691DBE">
        <w:rPr>
          <w:snapToGrid w:val="0"/>
          <w:lang w:eastAsia="en-US"/>
        </w:rPr>
        <w:t>this instrument</w:t>
      </w:r>
      <w:r w:rsidRPr="00691DBE">
        <w:t xml:space="preserve"> </w:t>
      </w:r>
      <w:r w:rsidRPr="00691DBE">
        <w:rPr>
          <w:snapToGrid w:val="0"/>
          <w:lang w:eastAsia="en-US"/>
        </w:rPr>
        <w:t xml:space="preserve">as originally made. It will not be amended to deal with any later amendments of </w:t>
      </w:r>
      <w:r w:rsidR="00F26676" w:rsidRPr="00691DBE">
        <w:rPr>
          <w:snapToGrid w:val="0"/>
          <w:lang w:eastAsia="en-US"/>
        </w:rPr>
        <w:t>this instrument</w:t>
      </w:r>
      <w:r w:rsidRPr="00691DBE">
        <w:rPr>
          <w:snapToGrid w:val="0"/>
          <w:lang w:eastAsia="en-US"/>
        </w:rPr>
        <w:t>.</w:t>
      </w:r>
    </w:p>
    <w:p w14:paraId="404F1CC2" w14:textId="77777777" w:rsidR="00807626" w:rsidRPr="00691DBE" w:rsidRDefault="00AE3652" w:rsidP="00AE3652">
      <w:pPr>
        <w:pStyle w:val="subsection"/>
      </w:pPr>
      <w:r w:rsidRPr="00691DBE">
        <w:tab/>
        <w:t>(2)</w:t>
      </w:r>
      <w:r w:rsidRPr="00691DBE">
        <w:tab/>
        <w:t xml:space="preserve">Any information in column 3 of the table is not part of </w:t>
      </w:r>
      <w:r w:rsidR="00F26676" w:rsidRPr="00691DBE">
        <w:t>this instrument</w:t>
      </w:r>
      <w:r w:rsidRPr="00691DBE">
        <w:t xml:space="preserve">. Information may be inserted in this column, or information in it may be edited, in any published version of </w:t>
      </w:r>
      <w:r w:rsidR="00F26676" w:rsidRPr="00691DBE">
        <w:t>this instrument</w:t>
      </w:r>
      <w:r w:rsidRPr="00691DBE">
        <w:t>.</w:t>
      </w:r>
    </w:p>
    <w:p w14:paraId="360F07AF" w14:textId="77777777" w:rsidR="007500C8" w:rsidRPr="00691DBE" w:rsidRDefault="008C10E1" w:rsidP="007500C8">
      <w:pPr>
        <w:pStyle w:val="ActHead5"/>
      </w:pPr>
      <w:bookmarkStart w:id="4" w:name="_Toc111630402"/>
      <w:r w:rsidRPr="00691DBE">
        <w:rPr>
          <w:rStyle w:val="CharSectno"/>
        </w:rPr>
        <w:t>3</w:t>
      </w:r>
      <w:r w:rsidR="007500C8" w:rsidRPr="00691DBE">
        <w:t xml:space="preserve">  Authority</w:t>
      </w:r>
      <w:bookmarkEnd w:id="4"/>
    </w:p>
    <w:p w14:paraId="79A689CE" w14:textId="77777777" w:rsidR="00157B8B" w:rsidRPr="00691DBE" w:rsidRDefault="007500C8" w:rsidP="007E667A">
      <w:pPr>
        <w:pStyle w:val="subsection"/>
      </w:pPr>
      <w:r w:rsidRPr="00691DBE">
        <w:tab/>
      </w:r>
      <w:r w:rsidRPr="00691DBE">
        <w:tab/>
      </w:r>
      <w:r w:rsidR="00F26676" w:rsidRPr="00691DBE">
        <w:t>This instrument is</w:t>
      </w:r>
      <w:r w:rsidRPr="00691DBE">
        <w:t xml:space="preserve"> made under the </w:t>
      </w:r>
      <w:r w:rsidR="00A65D95" w:rsidRPr="00691DBE">
        <w:rPr>
          <w:i/>
        </w:rPr>
        <w:t>Product Stewardship (Oil) Act 2000</w:t>
      </w:r>
      <w:r w:rsidR="00F4350D" w:rsidRPr="00691DBE">
        <w:t>.</w:t>
      </w:r>
    </w:p>
    <w:p w14:paraId="05019DC0" w14:textId="77777777" w:rsidR="00B9537B" w:rsidRPr="00691DBE" w:rsidRDefault="008C10E1" w:rsidP="00B9537B">
      <w:pPr>
        <w:pStyle w:val="ActHead5"/>
      </w:pPr>
      <w:bookmarkStart w:id="5" w:name="_Toc111630403"/>
      <w:r w:rsidRPr="00691DBE">
        <w:rPr>
          <w:rStyle w:val="CharSectno"/>
        </w:rPr>
        <w:t>4</w:t>
      </w:r>
      <w:r w:rsidR="00B9537B" w:rsidRPr="00691DBE">
        <w:t xml:space="preserve">  Schedules</w:t>
      </w:r>
      <w:bookmarkEnd w:id="5"/>
    </w:p>
    <w:p w14:paraId="2A0D703F" w14:textId="77777777" w:rsidR="00B9537B" w:rsidRPr="00691DBE" w:rsidRDefault="00B9537B" w:rsidP="00B9537B">
      <w:pPr>
        <w:pStyle w:val="subsection"/>
      </w:pPr>
      <w:r w:rsidRPr="00691DBE">
        <w:tab/>
      </w:r>
      <w:r w:rsidRPr="00691DB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097DBC7" w14:textId="77777777" w:rsidR="00B60E85" w:rsidRPr="00691DBE" w:rsidRDefault="008C10E1" w:rsidP="00B60E85">
      <w:pPr>
        <w:pStyle w:val="ActHead5"/>
      </w:pPr>
      <w:bookmarkStart w:id="6" w:name="_Toc111630404"/>
      <w:r w:rsidRPr="00691DBE">
        <w:rPr>
          <w:rStyle w:val="CharSectno"/>
        </w:rPr>
        <w:t>5</w:t>
      </w:r>
      <w:r w:rsidR="00B60E85" w:rsidRPr="00691DBE">
        <w:t xml:space="preserve">  Definitions</w:t>
      </w:r>
      <w:bookmarkEnd w:id="6"/>
    </w:p>
    <w:p w14:paraId="3CD758A7" w14:textId="77777777" w:rsidR="00B60E85" w:rsidRPr="00691DBE" w:rsidRDefault="00B60E85" w:rsidP="00D41D9F">
      <w:pPr>
        <w:pStyle w:val="notetext"/>
      </w:pPr>
      <w:r w:rsidRPr="00691DBE">
        <w:t>Note:</w:t>
      </w:r>
      <w:r w:rsidRPr="00691DBE">
        <w:tab/>
        <w:t>A number of expressions used in this instrument are defined in the Act, including the following:</w:t>
      </w:r>
    </w:p>
    <w:p w14:paraId="2C70E612" w14:textId="77777777" w:rsidR="00B30EE9" w:rsidRPr="00691DBE" w:rsidRDefault="00B60E85" w:rsidP="00D41D9F">
      <w:pPr>
        <w:pStyle w:val="notepara"/>
      </w:pPr>
      <w:r w:rsidRPr="00691DBE">
        <w:t>(a)</w:t>
      </w:r>
      <w:r w:rsidRPr="00691DBE">
        <w:tab/>
      </w:r>
      <w:r w:rsidR="00B30EE9" w:rsidRPr="00691DBE">
        <w:t>gazetted oil;</w:t>
      </w:r>
    </w:p>
    <w:p w14:paraId="02370D7F" w14:textId="77777777" w:rsidR="00B30EE9" w:rsidRPr="00691DBE" w:rsidRDefault="00B30EE9" w:rsidP="00D41D9F">
      <w:pPr>
        <w:pStyle w:val="notepara"/>
      </w:pPr>
      <w:r w:rsidRPr="00691DBE">
        <w:t>(b)</w:t>
      </w:r>
      <w:r w:rsidRPr="00691DBE">
        <w:tab/>
        <w:t>gazetted use;</w:t>
      </w:r>
    </w:p>
    <w:p w14:paraId="150D6328" w14:textId="77777777" w:rsidR="00B60E85" w:rsidRPr="00691DBE" w:rsidRDefault="00B30EE9" w:rsidP="00D41D9F">
      <w:pPr>
        <w:pStyle w:val="notepara"/>
      </w:pPr>
      <w:r w:rsidRPr="00691DBE">
        <w:t>(c)</w:t>
      </w:r>
      <w:r w:rsidRPr="00691DBE">
        <w:tab/>
      </w:r>
      <w:r w:rsidR="001F5C5E" w:rsidRPr="00691DBE">
        <w:t>product stewardship (oil) benefit</w:t>
      </w:r>
      <w:r w:rsidR="00B60E85" w:rsidRPr="00691DBE">
        <w:t>;</w:t>
      </w:r>
    </w:p>
    <w:p w14:paraId="3DA1BAD8" w14:textId="77777777" w:rsidR="001F5C5E" w:rsidRPr="00691DBE" w:rsidRDefault="001F5C5E" w:rsidP="00D41D9F">
      <w:pPr>
        <w:pStyle w:val="notepara"/>
      </w:pPr>
      <w:r w:rsidRPr="00691DBE">
        <w:t>(</w:t>
      </w:r>
      <w:r w:rsidR="00B30EE9" w:rsidRPr="00691DBE">
        <w:t>d</w:t>
      </w:r>
      <w:r w:rsidRPr="00691DBE">
        <w:t>)</w:t>
      </w:r>
      <w:r w:rsidRPr="00691DBE">
        <w:tab/>
      </w:r>
      <w:r w:rsidR="002F4A61" w:rsidRPr="00691DBE">
        <w:t>recycled oil</w:t>
      </w:r>
      <w:r w:rsidR="00F33D62" w:rsidRPr="00691DBE">
        <w:t>;</w:t>
      </w:r>
    </w:p>
    <w:p w14:paraId="0089BBA0" w14:textId="77777777" w:rsidR="00F33D62" w:rsidRPr="00691DBE" w:rsidRDefault="00F33D62" w:rsidP="00D41D9F">
      <w:pPr>
        <w:pStyle w:val="notepara"/>
      </w:pPr>
      <w:r w:rsidRPr="00691DBE">
        <w:t>(e)</w:t>
      </w:r>
      <w:r w:rsidRPr="00691DBE">
        <w:tab/>
        <w:t>used oil.</w:t>
      </w:r>
    </w:p>
    <w:p w14:paraId="3EEFA3B8" w14:textId="77777777" w:rsidR="00B60E85" w:rsidRPr="00691DBE" w:rsidRDefault="00B60E85" w:rsidP="00B60E85">
      <w:pPr>
        <w:pStyle w:val="subsection"/>
      </w:pPr>
      <w:r w:rsidRPr="00691DBE">
        <w:tab/>
        <w:t>(1)</w:t>
      </w:r>
      <w:r w:rsidRPr="00691DBE">
        <w:tab/>
        <w:t>In this instrument:</w:t>
      </w:r>
    </w:p>
    <w:p w14:paraId="0A68A556" w14:textId="77777777" w:rsidR="00E24CED" w:rsidRPr="00691DBE" w:rsidRDefault="00E24CED" w:rsidP="00E24CED">
      <w:pPr>
        <w:pStyle w:val="Definition"/>
      </w:pPr>
      <w:r w:rsidRPr="00691DBE">
        <w:rPr>
          <w:b/>
          <w:bCs/>
          <w:i/>
        </w:rPr>
        <w:t>Act</w:t>
      </w:r>
      <w:r w:rsidRPr="00691DBE">
        <w:rPr>
          <w:b/>
          <w:i/>
        </w:rPr>
        <w:t xml:space="preserve"> </w:t>
      </w:r>
      <w:r w:rsidRPr="00691DBE">
        <w:t xml:space="preserve">means the </w:t>
      </w:r>
      <w:r w:rsidRPr="00691DBE">
        <w:rPr>
          <w:i/>
        </w:rPr>
        <w:t>Product Stewardship (Oil) Act 2000</w:t>
      </w:r>
      <w:r w:rsidRPr="00691DBE">
        <w:t>.</w:t>
      </w:r>
    </w:p>
    <w:p w14:paraId="6B9B8ADD" w14:textId="77777777" w:rsidR="00E24CED" w:rsidRPr="00691DBE" w:rsidRDefault="00E24CED" w:rsidP="00E24CED">
      <w:pPr>
        <w:pStyle w:val="Definition"/>
      </w:pPr>
      <w:r w:rsidRPr="00691DBE">
        <w:rPr>
          <w:b/>
          <w:i/>
        </w:rPr>
        <w:t xml:space="preserve">base oil </w:t>
      </w:r>
      <w:r w:rsidRPr="00691DBE">
        <w:t>means an oil that is free from contaminants or additives and to which other substances may be added for a particular application.</w:t>
      </w:r>
    </w:p>
    <w:p w14:paraId="492B2A15" w14:textId="77777777" w:rsidR="00E24CED" w:rsidRPr="00691DBE" w:rsidRDefault="00E24CED" w:rsidP="00E24CED">
      <w:pPr>
        <w:pStyle w:val="Definition"/>
      </w:pPr>
      <w:r w:rsidRPr="00691DBE">
        <w:rPr>
          <w:b/>
          <w:i/>
        </w:rPr>
        <w:t xml:space="preserve">independent laboratory </w:t>
      </w:r>
      <w:r w:rsidRPr="00691DBE">
        <w:t>means a laboratory that:</w:t>
      </w:r>
    </w:p>
    <w:p w14:paraId="17FA53C1" w14:textId="77777777" w:rsidR="00E24CED" w:rsidRPr="00691DBE" w:rsidRDefault="00E24CED" w:rsidP="00E24CED">
      <w:pPr>
        <w:pStyle w:val="paragraph"/>
      </w:pPr>
      <w:r w:rsidRPr="00691DBE">
        <w:tab/>
        <w:t>(a)</w:t>
      </w:r>
      <w:r w:rsidRPr="00691DBE">
        <w:tab/>
        <w:t>is independent of the person making the claim for product stewardship (oil) benefit; and</w:t>
      </w:r>
    </w:p>
    <w:p w14:paraId="796BCAB5" w14:textId="77777777" w:rsidR="00E24CED" w:rsidRPr="00691DBE" w:rsidRDefault="00E24CED" w:rsidP="00E24CED">
      <w:pPr>
        <w:pStyle w:val="paragraph"/>
      </w:pPr>
      <w:r w:rsidRPr="00691DBE">
        <w:tab/>
        <w:t>(b)</w:t>
      </w:r>
      <w:r w:rsidRPr="00691DBE">
        <w:tab/>
        <w:t>operates at arm’s length from the person; and</w:t>
      </w:r>
    </w:p>
    <w:p w14:paraId="374C796A" w14:textId="77777777" w:rsidR="00E24CED" w:rsidRPr="00691DBE" w:rsidRDefault="00E24CED" w:rsidP="00E24CED">
      <w:pPr>
        <w:pStyle w:val="paragraph"/>
      </w:pPr>
      <w:r w:rsidRPr="00691DBE">
        <w:tab/>
        <w:t>(c)</w:t>
      </w:r>
      <w:r w:rsidRPr="00691DBE">
        <w:tab/>
        <w:t xml:space="preserve">has appropriate facilities, resources and expertise to conduct the tests necessary for the purposes of </w:t>
      </w:r>
      <w:r w:rsidR="00A06FEB" w:rsidRPr="00691DBE">
        <w:t>Schedule 1</w:t>
      </w:r>
      <w:r w:rsidRPr="00691DBE">
        <w:t>.</w:t>
      </w:r>
    </w:p>
    <w:p w14:paraId="0BDAB47F" w14:textId="77777777" w:rsidR="00E24CED" w:rsidRPr="00691DBE" w:rsidRDefault="00E24CED" w:rsidP="00E24CED">
      <w:pPr>
        <w:pStyle w:val="Definition"/>
      </w:pPr>
      <w:r w:rsidRPr="00691DBE">
        <w:rPr>
          <w:b/>
          <w:i/>
        </w:rPr>
        <w:t>re</w:t>
      </w:r>
      <w:r w:rsidR="00691DBE">
        <w:rPr>
          <w:b/>
          <w:i/>
        </w:rPr>
        <w:noBreakHyphen/>
      </w:r>
      <w:r w:rsidRPr="00691DBE">
        <w:rPr>
          <w:b/>
          <w:i/>
        </w:rPr>
        <w:t>refined</w:t>
      </w:r>
      <w:r w:rsidRPr="00691DBE">
        <w:t xml:space="preserve">: see </w:t>
      </w:r>
      <w:r w:rsidR="00B10388" w:rsidRPr="00691DBE">
        <w:t>subsection (</w:t>
      </w:r>
      <w:r w:rsidRPr="00691DBE">
        <w:t>2).</w:t>
      </w:r>
    </w:p>
    <w:p w14:paraId="604B2F92" w14:textId="77777777" w:rsidR="00E24CED" w:rsidRPr="00691DBE" w:rsidRDefault="00E24CED" w:rsidP="00E24CED">
      <w:pPr>
        <w:pStyle w:val="subsection"/>
      </w:pPr>
      <w:r w:rsidRPr="00691DBE">
        <w:tab/>
        <w:t>(2)</w:t>
      </w:r>
      <w:r w:rsidRPr="00691DBE">
        <w:tab/>
        <w:t xml:space="preserve">For the purposes of this instrument, a used oil has been </w:t>
      </w:r>
      <w:r w:rsidRPr="00691DBE">
        <w:rPr>
          <w:b/>
          <w:i/>
        </w:rPr>
        <w:t>re</w:t>
      </w:r>
      <w:r w:rsidR="00691DBE">
        <w:rPr>
          <w:b/>
          <w:i/>
        </w:rPr>
        <w:noBreakHyphen/>
      </w:r>
      <w:r w:rsidRPr="00691DBE">
        <w:rPr>
          <w:b/>
          <w:i/>
        </w:rPr>
        <w:t xml:space="preserve">refined </w:t>
      </w:r>
      <w:r w:rsidRPr="00691DBE">
        <w:t>if it has been restored to the condition of a base oil:</w:t>
      </w:r>
    </w:p>
    <w:p w14:paraId="3F6CE029" w14:textId="77777777" w:rsidR="00E24CED" w:rsidRPr="00691DBE" w:rsidRDefault="00E24CED" w:rsidP="00E24CED">
      <w:pPr>
        <w:pStyle w:val="paragraph"/>
      </w:pPr>
      <w:r w:rsidRPr="00691DBE">
        <w:tab/>
        <w:t>(a)</w:t>
      </w:r>
      <w:r w:rsidRPr="00691DBE">
        <w:tab/>
      </w:r>
      <w:r w:rsidR="00F57328" w:rsidRPr="00691DBE">
        <w:t xml:space="preserve">first </w:t>
      </w:r>
      <w:r w:rsidRPr="00691DBE">
        <w:t>by either:</w:t>
      </w:r>
    </w:p>
    <w:p w14:paraId="4EE062DB" w14:textId="77777777" w:rsidR="00E24CED" w:rsidRPr="00691DBE" w:rsidRDefault="00E24CED" w:rsidP="00E24CED">
      <w:pPr>
        <w:pStyle w:val="paragraphsub"/>
      </w:pPr>
      <w:r w:rsidRPr="00691DBE">
        <w:tab/>
        <w:t>(i)</w:t>
      </w:r>
      <w:r w:rsidRPr="00691DBE">
        <w:tab/>
        <w:t>thin film evaporation; or</w:t>
      </w:r>
    </w:p>
    <w:p w14:paraId="113D3CDC" w14:textId="77777777" w:rsidR="00E24CED" w:rsidRPr="00691DBE" w:rsidRDefault="00E24CED" w:rsidP="00E24CED">
      <w:pPr>
        <w:pStyle w:val="paragraphsub"/>
      </w:pPr>
      <w:r w:rsidRPr="00691DBE">
        <w:tab/>
        <w:t>(ii)</w:t>
      </w:r>
      <w:r w:rsidRPr="00691DBE">
        <w:tab/>
        <w:t>vacuum distillation;</w:t>
      </w:r>
    </w:p>
    <w:p w14:paraId="75547A77" w14:textId="77777777" w:rsidR="00E24CED" w:rsidRPr="00691DBE" w:rsidRDefault="00E24CED" w:rsidP="00E24CED">
      <w:pPr>
        <w:pStyle w:val="paragraph"/>
      </w:pPr>
      <w:r w:rsidRPr="00691DBE">
        <w:tab/>
      </w:r>
      <w:r w:rsidRPr="00691DBE">
        <w:tab/>
        <w:t>followed by either:</w:t>
      </w:r>
    </w:p>
    <w:p w14:paraId="44EB306D" w14:textId="77777777" w:rsidR="00E24CED" w:rsidRPr="00691DBE" w:rsidRDefault="00E24CED" w:rsidP="00E24CED">
      <w:pPr>
        <w:pStyle w:val="paragraphsub"/>
      </w:pPr>
      <w:r w:rsidRPr="00691DBE">
        <w:tab/>
        <w:t>(iii)</w:t>
      </w:r>
      <w:r w:rsidRPr="00691DBE">
        <w:tab/>
        <w:t>solvent extraction; or</w:t>
      </w:r>
    </w:p>
    <w:p w14:paraId="0DAD8F8E" w14:textId="77777777" w:rsidR="00E24CED" w:rsidRPr="00691DBE" w:rsidRDefault="00E24CED" w:rsidP="00E24CED">
      <w:pPr>
        <w:pStyle w:val="paragraphsub"/>
      </w:pPr>
      <w:r w:rsidRPr="00691DBE">
        <w:tab/>
        <w:t>(iv)</w:t>
      </w:r>
      <w:r w:rsidRPr="00691DBE">
        <w:tab/>
        <w:t>hydrofinishing; or</w:t>
      </w:r>
    </w:p>
    <w:p w14:paraId="5668F8C6" w14:textId="77777777" w:rsidR="00E24CED" w:rsidRPr="00691DBE" w:rsidRDefault="00E24CED" w:rsidP="00E24CED">
      <w:pPr>
        <w:pStyle w:val="paragraph"/>
      </w:pPr>
      <w:r w:rsidRPr="00691DBE">
        <w:tab/>
        <w:t>(b)</w:t>
      </w:r>
      <w:r w:rsidRPr="00691DBE">
        <w:tab/>
        <w:t>by another process approved</w:t>
      </w:r>
      <w:r w:rsidR="00507C69" w:rsidRPr="00691DBE">
        <w:t xml:space="preserve"> in writing</w:t>
      </w:r>
      <w:r w:rsidRPr="00691DBE">
        <w:t xml:space="preserve"> for this </w:t>
      </w:r>
      <w:r w:rsidR="00507C69" w:rsidRPr="00691DBE">
        <w:t>paragraph</w:t>
      </w:r>
      <w:r w:rsidRPr="00691DBE">
        <w:t xml:space="preserve"> by the Minister </w:t>
      </w:r>
      <w:r w:rsidR="00410866" w:rsidRPr="00691DBE">
        <w:t>that is</w:t>
      </w:r>
      <w:r w:rsidRPr="00691DBE">
        <w:t>:</w:t>
      </w:r>
    </w:p>
    <w:p w14:paraId="141CBAFE" w14:textId="77777777" w:rsidR="00E24CED" w:rsidRPr="00691DBE" w:rsidRDefault="00E24CED" w:rsidP="00E24CED">
      <w:pPr>
        <w:pStyle w:val="paragraphsub"/>
      </w:pPr>
      <w:r w:rsidRPr="00691DBE">
        <w:tab/>
        <w:t>(i)</w:t>
      </w:r>
      <w:r w:rsidRPr="00691DBE">
        <w:tab/>
        <w:t>consistent with the objects of the Act; and</w:t>
      </w:r>
    </w:p>
    <w:p w14:paraId="2D3E6DCD" w14:textId="77777777" w:rsidR="00E24CED" w:rsidRPr="00691DBE" w:rsidRDefault="00E24CED" w:rsidP="00E24CED">
      <w:pPr>
        <w:pStyle w:val="paragraphsub"/>
      </w:pPr>
      <w:r w:rsidRPr="00691DBE">
        <w:tab/>
        <w:t>(ii)</w:t>
      </w:r>
      <w:r w:rsidRPr="00691DBE">
        <w:tab/>
        <w:t xml:space="preserve">similar in purpose and effect to the processes mentioned in </w:t>
      </w:r>
      <w:r w:rsidR="007F4597" w:rsidRPr="00691DBE">
        <w:t>paragraph (</w:t>
      </w:r>
      <w:r w:rsidRPr="00691DBE">
        <w:t>a).</w:t>
      </w:r>
    </w:p>
    <w:p w14:paraId="4F072EE8" w14:textId="77777777" w:rsidR="00B60E85" w:rsidRPr="00691DBE" w:rsidRDefault="00C520C3" w:rsidP="00B60E85">
      <w:pPr>
        <w:pStyle w:val="ActHead2"/>
        <w:pageBreakBefore/>
      </w:pPr>
      <w:bookmarkStart w:id="7" w:name="_Toc111630405"/>
      <w:r w:rsidRPr="00691DBE">
        <w:rPr>
          <w:rStyle w:val="CharPartNo"/>
        </w:rPr>
        <w:t>Part 2</w:t>
      </w:r>
      <w:r w:rsidR="00B60E85" w:rsidRPr="00691DBE">
        <w:t>—</w:t>
      </w:r>
      <w:r w:rsidR="00B60E85" w:rsidRPr="00691DBE">
        <w:rPr>
          <w:rStyle w:val="CharPartText"/>
        </w:rPr>
        <w:t>Amounts of product stewardship (oil) benefit</w:t>
      </w:r>
      <w:bookmarkEnd w:id="7"/>
    </w:p>
    <w:p w14:paraId="619F6786" w14:textId="77777777" w:rsidR="00B60E85" w:rsidRPr="00691DBE" w:rsidRDefault="00B60E85" w:rsidP="00B60E85">
      <w:pPr>
        <w:pStyle w:val="Header"/>
      </w:pPr>
      <w:r w:rsidRPr="00691DBE">
        <w:rPr>
          <w:rStyle w:val="CharDivNo"/>
        </w:rPr>
        <w:t xml:space="preserve"> </w:t>
      </w:r>
      <w:r w:rsidRPr="00691DBE">
        <w:rPr>
          <w:rStyle w:val="CharDivText"/>
        </w:rPr>
        <w:t xml:space="preserve"> </w:t>
      </w:r>
    </w:p>
    <w:p w14:paraId="3B537970" w14:textId="77777777" w:rsidR="00F9621F" w:rsidRPr="00691DBE" w:rsidRDefault="008C10E1" w:rsidP="00F9621F">
      <w:pPr>
        <w:pStyle w:val="ActHead5"/>
      </w:pPr>
      <w:bookmarkStart w:id="8" w:name="_Toc111630406"/>
      <w:r w:rsidRPr="00691DBE">
        <w:rPr>
          <w:rStyle w:val="CharSectno"/>
        </w:rPr>
        <w:t>6</w:t>
      </w:r>
      <w:r w:rsidR="00F9621F" w:rsidRPr="00691DBE">
        <w:t xml:space="preserve">  Amount</w:t>
      </w:r>
      <w:r w:rsidR="00AF3FE6" w:rsidRPr="00691DBE">
        <w:t>s</w:t>
      </w:r>
      <w:r w:rsidR="00F9621F" w:rsidRPr="00691DBE">
        <w:t xml:space="preserve"> of product stewardship </w:t>
      </w:r>
      <w:r w:rsidR="000514B8" w:rsidRPr="00691DBE">
        <w:t xml:space="preserve">(oil) </w:t>
      </w:r>
      <w:r w:rsidR="00F9621F" w:rsidRPr="00691DBE">
        <w:t>benefit</w:t>
      </w:r>
      <w:bookmarkEnd w:id="8"/>
    </w:p>
    <w:p w14:paraId="0C669DE6" w14:textId="77777777" w:rsidR="00F9621F" w:rsidRPr="00691DBE" w:rsidRDefault="00F9621F" w:rsidP="00F9621F">
      <w:pPr>
        <w:pStyle w:val="subsection"/>
      </w:pPr>
      <w:r w:rsidRPr="00691DBE">
        <w:tab/>
        <w:t>(1)</w:t>
      </w:r>
      <w:r w:rsidRPr="00691DBE">
        <w:tab/>
        <w:t xml:space="preserve">For </w:t>
      </w:r>
      <w:r w:rsidR="001F5C5E" w:rsidRPr="00691DBE">
        <w:t xml:space="preserve">the purposes of </w:t>
      </w:r>
      <w:r w:rsidR="002A56A3" w:rsidRPr="00691DBE">
        <w:t>sub</w:t>
      </w:r>
      <w:r w:rsidR="007F4597" w:rsidRPr="00691DBE">
        <w:t>section 1</w:t>
      </w:r>
      <w:r w:rsidRPr="00691DBE">
        <w:t>0(1) of the Act, the amount of product stewardship (oil) benefit for a claim period is:</w:t>
      </w:r>
    </w:p>
    <w:p w14:paraId="57C43CB9" w14:textId="77777777" w:rsidR="00F9621F" w:rsidRPr="00691DBE" w:rsidRDefault="00F9621F" w:rsidP="00AE4832">
      <w:pPr>
        <w:pStyle w:val="paragraph"/>
      </w:pPr>
      <w:r w:rsidRPr="00691DBE">
        <w:tab/>
        <w:t>(a)</w:t>
      </w:r>
      <w:r w:rsidRPr="00691DBE">
        <w:tab/>
        <w:t>for a recycled oil</w:t>
      </w:r>
      <w:r w:rsidR="00A92006" w:rsidRPr="00691DBE">
        <w:t xml:space="preserve"> that is not also </w:t>
      </w:r>
      <w:r w:rsidR="00163A4E" w:rsidRPr="00691DBE">
        <w:t xml:space="preserve">a </w:t>
      </w:r>
      <w:r w:rsidR="00A92006" w:rsidRPr="00691DBE">
        <w:t>gazetted oil for a gazetted use</w:t>
      </w:r>
      <w:r w:rsidR="00AE4832" w:rsidRPr="00691DBE">
        <w:t>—</w:t>
      </w:r>
      <w:r w:rsidRPr="00691DBE">
        <w:t xml:space="preserve">the amount mentioned in column </w:t>
      </w:r>
      <w:r w:rsidR="009662B4" w:rsidRPr="00691DBE">
        <w:t>2</w:t>
      </w:r>
      <w:r w:rsidRPr="00691DBE">
        <w:t xml:space="preserve"> of the first category in </w:t>
      </w:r>
      <w:r w:rsidR="007F4597" w:rsidRPr="00691DBE">
        <w:t>items 1</w:t>
      </w:r>
      <w:r w:rsidRPr="00691DBE">
        <w:t xml:space="preserve"> to 7 </w:t>
      </w:r>
      <w:r w:rsidR="00B72FCC" w:rsidRPr="00691DBE">
        <w:t>of</w:t>
      </w:r>
      <w:r w:rsidRPr="00691DBE">
        <w:t xml:space="preserve"> the following table that applies to the recycled oil; </w:t>
      </w:r>
      <w:r w:rsidR="00AE4832" w:rsidRPr="00691DBE">
        <w:t>and</w:t>
      </w:r>
    </w:p>
    <w:p w14:paraId="1E5A5994" w14:textId="77777777" w:rsidR="006A546E" w:rsidRPr="00691DBE" w:rsidRDefault="00F9621F" w:rsidP="00F9621F">
      <w:pPr>
        <w:pStyle w:val="paragraph"/>
      </w:pPr>
      <w:r w:rsidRPr="00691DBE">
        <w:tab/>
        <w:t>(b)</w:t>
      </w:r>
      <w:r w:rsidRPr="00691DBE">
        <w:tab/>
        <w:t>for gazetted oil for a gazetted use</w:t>
      </w:r>
      <w:r w:rsidR="006A546E" w:rsidRPr="00691DBE">
        <w:t>:</w:t>
      </w:r>
    </w:p>
    <w:p w14:paraId="0B2B4A7A" w14:textId="77777777" w:rsidR="006A546E" w:rsidRPr="00691DBE" w:rsidRDefault="006A546E" w:rsidP="006A546E">
      <w:pPr>
        <w:pStyle w:val="paragraphsub"/>
      </w:pPr>
      <w:r w:rsidRPr="00691DBE">
        <w:tab/>
        <w:t>(i)</w:t>
      </w:r>
      <w:r w:rsidRPr="00691DBE">
        <w:tab/>
        <w:t xml:space="preserve">if the oil is both a gazetted oil for a gazetted use and a recycled oil to which any of the categories in </w:t>
      </w:r>
      <w:r w:rsidR="007F4597" w:rsidRPr="00691DBE">
        <w:t>items 3</w:t>
      </w:r>
      <w:r w:rsidRPr="00691DBE">
        <w:t xml:space="preserve"> to 7 </w:t>
      </w:r>
      <w:r w:rsidR="00B72FCC" w:rsidRPr="00691DBE">
        <w:t>of</w:t>
      </w:r>
      <w:r w:rsidRPr="00691DBE">
        <w:t xml:space="preserve"> the following table apply—the amount mentioned in column 2 of the first category in </w:t>
      </w:r>
      <w:r w:rsidR="007F4597" w:rsidRPr="00691DBE">
        <w:t>items 3</w:t>
      </w:r>
      <w:r w:rsidRPr="00691DBE">
        <w:t xml:space="preserve"> to 7 that applies to the oil; or</w:t>
      </w:r>
    </w:p>
    <w:p w14:paraId="16D4D748" w14:textId="77777777" w:rsidR="00F9621F" w:rsidRPr="00691DBE" w:rsidRDefault="006A546E" w:rsidP="006A546E">
      <w:pPr>
        <w:pStyle w:val="paragraphsub"/>
      </w:pPr>
      <w:r w:rsidRPr="00691DBE">
        <w:tab/>
        <w:t>(ii)</w:t>
      </w:r>
      <w:r w:rsidRPr="00691DBE">
        <w:tab/>
        <w:t>in any other case—</w:t>
      </w:r>
      <w:r w:rsidR="00F9621F" w:rsidRPr="00691DBE">
        <w:t xml:space="preserve">the amount covered by column </w:t>
      </w:r>
      <w:r w:rsidR="009662B4" w:rsidRPr="00691DBE">
        <w:t>2</w:t>
      </w:r>
      <w:r w:rsidR="00F9621F" w:rsidRPr="00691DBE">
        <w:t xml:space="preserve"> of </w:t>
      </w:r>
      <w:r w:rsidR="007F4597" w:rsidRPr="00691DBE">
        <w:t>item 8</w:t>
      </w:r>
      <w:r w:rsidR="00F9621F" w:rsidRPr="00691DBE">
        <w:t xml:space="preserve"> </w:t>
      </w:r>
      <w:r w:rsidR="00B72FCC" w:rsidRPr="00691DBE">
        <w:t>of</w:t>
      </w:r>
      <w:r w:rsidR="00F9621F" w:rsidRPr="00691DBE">
        <w:t xml:space="preserve"> the</w:t>
      </w:r>
      <w:r w:rsidR="00F44C9A" w:rsidRPr="00691DBE">
        <w:t xml:space="preserve"> </w:t>
      </w:r>
      <w:r w:rsidR="00F9621F" w:rsidRPr="00691DBE">
        <w:t>following table</w:t>
      </w:r>
      <w:r w:rsidR="00F44C9A" w:rsidRPr="00691DBE">
        <w:t>.</w:t>
      </w:r>
    </w:p>
    <w:p w14:paraId="7E539807" w14:textId="77777777" w:rsidR="009662B4" w:rsidRPr="00691DBE" w:rsidRDefault="009662B4" w:rsidP="009F7489">
      <w:pPr>
        <w:pStyle w:val="Tabletext"/>
      </w:pPr>
    </w:p>
    <w:tbl>
      <w:tblPr>
        <w:tblW w:w="0" w:type="auto"/>
        <w:tblInd w:w="22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85"/>
        <w:gridCol w:w="1418"/>
      </w:tblGrid>
      <w:tr w:rsidR="009662B4" w:rsidRPr="00691DBE" w14:paraId="55D1AF18" w14:textId="77777777" w:rsidTr="00CE2A76">
        <w:trPr>
          <w:tblHeader/>
        </w:trPr>
        <w:tc>
          <w:tcPr>
            <w:tcW w:w="711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7FC518E" w14:textId="77777777" w:rsidR="009662B4" w:rsidRPr="00691DBE" w:rsidRDefault="000514B8" w:rsidP="009662B4">
            <w:pPr>
              <w:pStyle w:val="TableHeading"/>
            </w:pPr>
            <w:r w:rsidRPr="00691DBE">
              <w:t>Amount of product stewardship (oil) benefit</w:t>
            </w:r>
          </w:p>
        </w:tc>
      </w:tr>
      <w:tr w:rsidR="009662B4" w:rsidRPr="00691DBE" w14:paraId="4AFAC43C" w14:textId="77777777" w:rsidTr="00CE2A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83704E2" w14:textId="77777777" w:rsidR="009662B4" w:rsidRPr="00691DBE" w:rsidRDefault="009662B4" w:rsidP="009F7489">
            <w:pPr>
              <w:pStyle w:val="TableHeading"/>
            </w:pPr>
            <w:r w:rsidRPr="00691DBE">
              <w:t>Item</w:t>
            </w:r>
          </w:p>
        </w:tc>
        <w:tc>
          <w:tcPr>
            <w:tcW w:w="4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C331CA" w14:textId="77777777" w:rsidR="009662B4" w:rsidRPr="00691DBE" w:rsidRDefault="009662B4" w:rsidP="009F7489">
            <w:pPr>
              <w:pStyle w:val="TableHeading"/>
            </w:pPr>
            <w:r w:rsidRPr="00691DBE">
              <w:t>Column 1</w:t>
            </w:r>
          </w:p>
          <w:p w14:paraId="5859C422" w14:textId="77777777" w:rsidR="009662B4" w:rsidRPr="00691DBE" w:rsidRDefault="009662B4" w:rsidP="009662B4">
            <w:pPr>
              <w:pStyle w:val="TableHeading"/>
            </w:pPr>
            <w:r w:rsidRPr="00691DBE">
              <w:t>Category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C63D92" w14:textId="77777777" w:rsidR="009662B4" w:rsidRPr="00691DBE" w:rsidRDefault="009662B4" w:rsidP="009F7489">
            <w:pPr>
              <w:pStyle w:val="TableHeading"/>
            </w:pPr>
            <w:r w:rsidRPr="00691DBE">
              <w:t>Column 2</w:t>
            </w:r>
          </w:p>
          <w:p w14:paraId="7E34CF1F" w14:textId="77777777" w:rsidR="009662B4" w:rsidRPr="00691DBE" w:rsidRDefault="009662B4" w:rsidP="009662B4">
            <w:pPr>
              <w:pStyle w:val="TableHeading"/>
            </w:pPr>
            <w:r w:rsidRPr="00691DBE">
              <w:t>Amount (cents/l)</w:t>
            </w:r>
          </w:p>
        </w:tc>
      </w:tr>
      <w:tr w:rsidR="009662B4" w:rsidRPr="00691DBE" w14:paraId="3C401380" w14:textId="77777777" w:rsidTr="00CE2A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14701E6" w14:textId="77777777" w:rsidR="009662B4" w:rsidRPr="00691DBE" w:rsidRDefault="009662B4" w:rsidP="009662B4">
            <w:pPr>
              <w:pStyle w:val="Tabletext"/>
            </w:pPr>
            <w:r w:rsidRPr="00691DBE">
              <w:t>1</w:t>
            </w:r>
          </w:p>
        </w:tc>
        <w:tc>
          <w:tcPr>
            <w:tcW w:w="4985" w:type="dxa"/>
            <w:tcBorders>
              <w:top w:val="single" w:sz="12" w:space="0" w:color="auto"/>
            </w:tcBorders>
            <w:shd w:val="clear" w:color="auto" w:fill="auto"/>
          </w:tcPr>
          <w:p w14:paraId="6C208EB2" w14:textId="77777777" w:rsidR="009662B4" w:rsidRPr="00691DBE" w:rsidRDefault="009662B4" w:rsidP="009662B4">
            <w:pPr>
              <w:pStyle w:val="Tabletext"/>
            </w:pPr>
            <w:r w:rsidRPr="00691DBE">
              <w:t>Re</w:t>
            </w:r>
            <w:r w:rsidR="00691DBE">
              <w:noBreakHyphen/>
            </w:r>
            <w:r w:rsidRPr="00691DBE">
              <w:t>refined base oil (for use as a lubricant or a hydraulic or transformer oil) that meets the criteria mentioned in</w:t>
            </w:r>
            <w:r w:rsidR="0061189D" w:rsidRPr="00691DBE">
              <w:t xml:space="preserve"> </w:t>
            </w:r>
            <w:r w:rsidR="00A06FEB" w:rsidRPr="00691DBE">
              <w:t>Schedule 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380F4112" w14:textId="77777777" w:rsidR="009662B4" w:rsidRPr="00691DBE" w:rsidRDefault="009662B4" w:rsidP="009662B4">
            <w:pPr>
              <w:pStyle w:val="Tabletext"/>
            </w:pPr>
            <w:r w:rsidRPr="00691DBE">
              <w:t>50</w:t>
            </w:r>
          </w:p>
        </w:tc>
      </w:tr>
      <w:tr w:rsidR="009662B4" w:rsidRPr="00691DBE" w14:paraId="068681AF" w14:textId="77777777" w:rsidTr="00CE2A7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138E5AD" w14:textId="77777777" w:rsidR="009662B4" w:rsidRPr="00691DBE" w:rsidRDefault="009662B4" w:rsidP="009662B4">
            <w:pPr>
              <w:pStyle w:val="Tabletext"/>
            </w:pPr>
            <w:r w:rsidRPr="00691DBE">
              <w:t>2</w:t>
            </w:r>
          </w:p>
        </w:tc>
        <w:tc>
          <w:tcPr>
            <w:tcW w:w="4985" w:type="dxa"/>
            <w:tcBorders>
              <w:bottom w:val="single" w:sz="2" w:space="0" w:color="auto"/>
            </w:tcBorders>
            <w:shd w:val="clear" w:color="auto" w:fill="auto"/>
          </w:tcPr>
          <w:p w14:paraId="7ECFDEF5" w14:textId="77777777" w:rsidR="009662B4" w:rsidRPr="00691DBE" w:rsidRDefault="009662B4" w:rsidP="009662B4">
            <w:pPr>
              <w:pStyle w:val="Tabletext"/>
            </w:pPr>
            <w:r w:rsidRPr="00691DBE">
              <w:t>Other re</w:t>
            </w:r>
            <w:r w:rsidR="00691DBE">
              <w:noBreakHyphen/>
            </w:r>
            <w:r w:rsidRPr="00691DBE">
              <w:t>refined base oils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14:paraId="07A9574B" w14:textId="77777777" w:rsidR="009662B4" w:rsidRPr="00691DBE" w:rsidRDefault="009662B4" w:rsidP="009662B4">
            <w:pPr>
              <w:pStyle w:val="Tabletext"/>
            </w:pPr>
            <w:r w:rsidRPr="00691DBE">
              <w:t>10</w:t>
            </w:r>
          </w:p>
        </w:tc>
      </w:tr>
      <w:tr w:rsidR="009662B4" w:rsidRPr="00691DBE" w14:paraId="49D5F43C" w14:textId="77777777" w:rsidTr="00CE2A7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29DB35" w14:textId="77777777" w:rsidR="009662B4" w:rsidRPr="00691DBE" w:rsidRDefault="009662B4" w:rsidP="009662B4">
            <w:pPr>
              <w:pStyle w:val="Tabletext"/>
            </w:pPr>
            <w:r w:rsidRPr="00691DBE">
              <w:t>3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CB68C7" w14:textId="77777777" w:rsidR="009662B4" w:rsidRPr="00691DBE" w:rsidRDefault="009662B4" w:rsidP="009662B4">
            <w:pPr>
              <w:pStyle w:val="Tabletext"/>
            </w:pPr>
            <w:r w:rsidRPr="00691DBE">
              <w:t xml:space="preserve">Diesel fuels that comply with the </w:t>
            </w:r>
            <w:r w:rsidRPr="00691DBE">
              <w:rPr>
                <w:i/>
              </w:rPr>
              <w:t>Fuel Quality Standards (Automotive Diesel) Determination 2019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7F831E" w14:textId="77777777" w:rsidR="009662B4" w:rsidRPr="00691DBE" w:rsidRDefault="009662B4" w:rsidP="009662B4">
            <w:pPr>
              <w:pStyle w:val="Tabletext"/>
            </w:pPr>
            <w:r w:rsidRPr="00691DBE">
              <w:t>7</w:t>
            </w:r>
          </w:p>
        </w:tc>
      </w:tr>
      <w:tr w:rsidR="009662B4" w:rsidRPr="00691DBE" w14:paraId="368F0AF9" w14:textId="77777777" w:rsidTr="00CE2A7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076F93" w14:textId="77777777" w:rsidR="009662B4" w:rsidRPr="00691DBE" w:rsidRDefault="009662B4" w:rsidP="009662B4">
            <w:pPr>
              <w:pStyle w:val="Tabletext"/>
            </w:pPr>
            <w:r w:rsidRPr="00691DBE">
              <w:t>4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5022B6" w14:textId="77777777" w:rsidR="009662B4" w:rsidRPr="00691DBE" w:rsidRDefault="009662B4" w:rsidP="009662B4">
            <w:pPr>
              <w:pStyle w:val="Tabletext"/>
            </w:pPr>
            <w:r w:rsidRPr="00691DBE">
              <w:t>Diesel extenders:</w:t>
            </w:r>
          </w:p>
          <w:p w14:paraId="25505E76" w14:textId="77777777" w:rsidR="009662B4" w:rsidRPr="00691DBE" w:rsidRDefault="009662B4" w:rsidP="00F502B2">
            <w:pPr>
              <w:pStyle w:val="Tablea"/>
            </w:pPr>
            <w:r w:rsidRPr="00691DBE">
              <w:t>(a) that are filtered, de</w:t>
            </w:r>
            <w:r w:rsidR="00691DBE">
              <w:noBreakHyphen/>
            </w:r>
            <w:r w:rsidRPr="00691DBE">
              <w:t>watered and de</w:t>
            </w:r>
            <w:r w:rsidR="00691DBE">
              <w:noBreakHyphen/>
            </w:r>
            <w:r w:rsidRPr="00691DBE">
              <w:t>mineralised; and</w:t>
            </w:r>
          </w:p>
          <w:p w14:paraId="17448D24" w14:textId="77777777" w:rsidR="009662B4" w:rsidRPr="00691DBE" w:rsidRDefault="009662B4" w:rsidP="00F502B2">
            <w:pPr>
              <w:pStyle w:val="Tablea"/>
            </w:pPr>
            <w:r w:rsidRPr="00691DBE">
              <w:t xml:space="preserve">(b) that, if combined with diesel fuels, would produce a combined fuel that complies with the </w:t>
            </w:r>
            <w:r w:rsidRPr="00691DBE">
              <w:rPr>
                <w:i/>
              </w:rPr>
              <w:t>Fuel Quality Standards (Automotive Diesel) Determination 2019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E7615D" w14:textId="77777777" w:rsidR="009662B4" w:rsidRPr="00691DBE" w:rsidRDefault="009662B4" w:rsidP="009662B4">
            <w:pPr>
              <w:pStyle w:val="Tabletext"/>
            </w:pPr>
            <w:r w:rsidRPr="00691DBE">
              <w:t>5</w:t>
            </w:r>
          </w:p>
        </w:tc>
      </w:tr>
      <w:tr w:rsidR="009662B4" w:rsidRPr="00691DBE" w14:paraId="5B33E2B9" w14:textId="77777777" w:rsidTr="00CE2A7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A4B24C" w14:textId="77777777" w:rsidR="009662B4" w:rsidRPr="00691DBE" w:rsidRDefault="009662B4" w:rsidP="009662B4">
            <w:pPr>
              <w:pStyle w:val="Tabletext"/>
            </w:pPr>
            <w:r w:rsidRPr="00691DBE">
              <w:t>5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58DE28" w14:textId="77777777" w:rsidR="009662B4" w:rsidRPr="00691DBE" w:rsidRDefault="009662B4" w:rsidP="009662B4">
            <w:pPr>
              <w:pStyle w:val="Tabletext"/>
            </w:pPr>
            <w:r w:rsidRPr="00691DBE">
              <w:t>High grade industrial burning oils (filtered, de</w:t>
            </w:r>
            <w:r w:rsidR="00691DBE">
              <w:noBreakHyphen/>
            </w:r>
            <w:r w:rsidRPr="00691DBE">
              <w:t>watered and de</w:t>
            </w:r>
            <w:r w:rsidR="00691DBE">
              <w:noBreakHyphen/>
            </w:r>
            <w:r w:rsidRPr="00691DBE">
              <w:t>mineralised)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4F887C" w14:textId="77777777" w:rsidR="009662B4" w:rsidRPr="00691DBE" w:rsidRDefault="009662B4" w:rsidP="009662B4">
            <w:pPr>
              <w:pStyle w:val="Tabletext"/>
            </w:pPr>
            <w:r w:rsidRPr="00691DBE">
              <w:t>5</w:t>
            </w:r>
          </w:p>
        </w:tc>
      </w:tr>
      <w:tr w:rsidR="009662B4" w:rsidRPr="00691DBE" w14:paraId="1E43DF32" w14:textId="77777777" w:rsidTr="00CE2A7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8DBFB3" w14:textId="77777777" w:rsidR="009662B4" w:rsidRPr="00691DBE" w:rsidRDefault="009662B4" w:rsidP="009662B4">
            <w:pPr>
              <w:pStyle w:val="Tabletext"/>
            </w:pPr>
            <w:r w:rsidRPr="00691DBE">
              <w:t>6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0036D5" w14:textId="77777777" w:rsidR="009662B4" w:rsidRPr="00691DBE" w:rsidRDefault="009662B4" w:rsidP="009662B4">
            <w:pPr>
              <w:pStyle w:val="Tabletext"/>
            </w:pPr>
            <w:r w:rsidRPr="00691DBE">
              <w:t>Low grade industrial burning oils (filtered and de</w:t>
            </w:r>
            <w:r w:rsidR="00691DBE">
              <w:noBreakHyphen/>
            </w:r>
            <w:r w:rsidRPr="00691DBE">
              <w:t>watered)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444625" w14:textId="77777777" w:rsidR="009662B4" w:rsidRPr="00691DBE" w:rsidRDefault="009662B4" w:rsidP="009662B4">
            <w:pPr>
              <w:pStyle w:val="Tabletext"/>
            </w:pPr>
            <w:r w:rsidRPr="00691DBE">
              <w:t>3</w:t>
            </w:r>
          </w:p>
        </w:tc>
      </w:tr>
      <w:tr w:rsidR="009662B4" w:rsidRPr="00691DBE" w14:paraId="0A9B8827" w14:textId="77777777" w:rsidTr="00CE2A76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D64E44" w14:textId="77777777" w:rsidR="009662B4" w:rsidRPr="00691DBE" w:rsidRDefault="009662B4" w:rsidP="009662B4">
            <w:pPr>
              <w:pStyle w:val="Tabletext"/>
            </w:pPr>
            <w:r w:rsidRPr="00691DBE">
              <w:t>7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855D06" w14:textId="77777777" w:rsidR="009662B4" w:rsidRPr="00691DBE" w:rsidRDefault="009662B4" w:rsidP="009662B4">
            <w:pPr>
              <w:pStyle w:val="Tabletext"/>
            </w:pPr>
            <w:r w:rsidRPr="00691DBE">
              <w:t>Industrial process oils and lubricants, including hydraulic and transformer oils (re</w:t>
            </w:r>
            <w:r w:rsidR="00691DBE">
              <w:noBreakHyphen/>
            </w:r>
            <w:r w:rsidRPr="00691DBE">
              <w:t>processed or filtered, but not re</w:t>
            </w:r>
            <w:r w:rsidR="00691DBE">
              <w:noBreakHyphen/>
            </w:r>
            <w:r w:rsidRPr="00691DBE">
              <w:t>refined)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4E6C3E" w14:textId="77777777" w:rsidR="009662B4" w:rsidRPr="00691DBE" w:rsidRDefault="009662B4" w:rsidP="009662B4">
            <w:pPr>
              <w:pStyle w:val="Tabletext"/>
            </w:pPr>
            <w:r w:rsidRPr="00691DBE">
              <w:t>0</w:t>
            </w:r>
          </w:p>
        </w:tc>
      </w:tr>
      <w:tr w:rsidR="00AE4832" w:rsidRPr="00691DBE" w14:paraId="054ABEF8" w14:textId="77777777" w:rsidTr="00CE2A7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C2FCF0" w14:textId="77777777" w:rsidR="00AE4832" w:rsidRPr="00691DBE" w:rsidRDefault="00AE4832" w:rsidP="00AE4832">
            <w:pPr>
              <w:pStyle w:val="Tabletext"/>
            </w:pPr>
            <w:r w:rsidRPr="00691DBE">
              <w:t>8</w:t>
            </w:r>
          </w:p>
        </w:tc>
        <w:tc>
          <w:tcPr>
            <w:tcW w:w="4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6E4293" w14:textId="77777777" w:rsidR="00AE4832" w:rsidRPr="00691DBE" w:rsidRDefault="00AE4832" w:rsidP="00AE4832">
            <w:pPr>
              <w:pStyle w:val="Tabletext"/>
            </w:pPr>
            <w:r w:rsidRPr="00691DBE">
              <w:t>Gazetted oil consumed in Australia for a gazetted use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FCF4DD" w14:textId="77777777" w:rsidR="00AE4832" w:rsidRPr="00691DBE" w:rsidRDefault="007B76B4" w:rsidP="00AE4832">
            <w:pPr>
              <w:pStyle w:val="Tabletext"/>
            </w:pPr>
            <w:r w:rsidRPr="00691DBE">
              <w:t>T</w:t>
            </w:r>
            <w:r w:rsidR="00AE4832" w:rsidRPr="00691DBE">
              <w:t xml:space="preserve">he amount worked out under </w:t>
            </w:r>
            <w:r w:rsidR="00B10388" w:rsidRPr="00691DBE">
              <w:t>subsection (</w:t>
            </w:r>
            <w:r w:rsidRPr="00691DBE">
              <w:t>2</w:t>
            </w:r>
            <w:r w:rsidR="00AE4832" w:rsidRPr="00691DBE">
              <w:t>)</w:t>
            </w:r>
          </w:p>
        </w:tc>
      </w:tr>
    </w:tbl>
    <w:p w14:paraId="1F8CED2A" w14:textId="77777777" w:rsidR="008B1600" w:rsidRPr="00691DBE" w:rsidRDefault="008B1600" w:rsidP="001537A9">
      <w:pPr>
        <w:pStyle w:val="Tabletext"/>
      </w:pPr>
    </w:p>
    <w:p w14:paraId="7C731927" w14:textId="77777777" w:rsidR="00F9621F" w:rsidRPr="00691DBE" w:rsidRDefault="007B76B4" w:rsidP="00F9621F">
      <w:pPr>
        <w:pStyle w:val="notetext"/>
      </w:pPr>
      <w:r w:rsidRPr="00691DBE">
        <w:t>Note:</w:t>
      </w:r>
      <w:r w:rsidRPr="00691DBE">
        <w:tab/>
      </w:r>
      <w:r w:rsidR="00F9621F" w:rsidRPr="00691DBE">
        <w:t>Examples for item 2</w:t>
      </w:r>
      <w:r w:rsidRPr="00691DBE">
        <w:t xml:space="preserve"> include c</w:t>
      </w:r>
      <w:r w:rsidR="00F9621F" w:rsidRPr="00691DBE">
        <w:t>hain bar oil</w:t>
      </w:r>
      <w:r w:rsidRPr="00691DBE">
        <w:t xml:space="preserve"> and</w:t>
      </w:r>
      <w:r w:rsidR="00F9621F" w:rsidRPr="00691DBE">
        <w:t xml:space="preserve"> oil incorporated into a manufactured product</w:t>
      </w:r>
      <w:r w:rsidR="00654E89" w:rsidRPr="00691DBE">
        <w:t>.</w:t>
      </w:r>
    </w:p>
    <w:p w14:paraId="6698F682" w14:textId="77777777" w:rsidR="00F9621F" w:rsidRPr="00691DBE" w:rsidRDefault="00F9621F" w:rsidP="00F9621F">
      <w:pPr>
        <w:pStyle w:val="subsection"/>
      </w:pPr>
      <w:r w:rsidRPr="00691DBE">
        <w:tab/>
        <w:t>(</w:t>
      </w:r>
      <w:r w:rsidR="007B76B4" w:rsidRPr="00691DBE">
        <w:t>2</w:t>
      </w:r>
      <w:r w:rsidRPr="00691DBE">
        <w:t>)</w:t>
      </w:r>
      <w:r w:rsidRPr="00691DBE">
        <w:tab/>
        <w:t xml:space="preserve">For the purposes of column </w:t>
      </w:r>
      <w:r w:rsidR="009662B4" w:rsidRPr="00691DBE">
        <w:t>2</w:t>
      </w:r>
      <w:r w:rsidRPr="00691DBE">
        <w:t xml:space="preserve"> of </w:t>
      </w:r>
      <w:r w:rsidR="007F4597" w:rsidRPr="00691DBE">
        <w:t>item 8</w:t>
      </w:r>
      <w:r w:rsidRPr="00691DBE">
        <w:t xml:space="preserve"> </w:t>
      </w:r>
      <w:r w:rsidR="00B72FCC" w:rsidRPr="00691DBE">
        <w:t>of</w:t>
      </w:r>
      <w:r w:rsidRPr="00691DBE">
        <w:t xml:space="preserve"> the table in </w:t>
      </w:r>
      <w:r w:rsidR="00B10388" w:rsidRPr="00691DBE">
        <w:t>subsection (</w:t>
      </w:r>
      <w:r w:rsidRPr="00691DBE">
        <w:t>1), the amount is:</w:t>
      </w:r>
    </w:p>
    <w:p w14:paraId="1535D77C" w14:textId="77777777" w:rsidR="00F9621F" w:rsidRPr="00691DBE" w:rsidRDefault="00F9621F" w:rsidP="00F9621F">
      <w:pPr>
        <w:pStyle w:val="paragraph"/>
      </w:pPr>
      <w:r w:rsidRPr="00691DBE">
        <w:tab/>
        <w:t>(a)</w:t>
      </w:r>
      <w:r w:rsidRPr="00691DBE">
        <w:tab/>
        <w:t>in relation to the consumption of gazetted oil for a gazetted use during the period beginning on 30 March 2022 and ending at the end of 28 September 2022—4.3 cents per litre; or</w:t>
      </w:r>
    </w:p>
    <w:p w14:paraId="4D9865FF" w14:textId="77777777" w:rsidR="00F9621F" w:rsidRPr="00691DBE" w:rsidRDefault="00F9621F" w:rsidP="00F9621F">
      <w:pPr>
        <w:pStyle w:val="paragraph"/>
      </w:pPr>
      <w:r w:rsidRPr="00691DBE">
        <w:tab/>
        <w:t>(b)</w:t>
      </w:r>
      <w:r w:rsidRPr="00691DBE">
        <w:tab/>
        <w:t>in relation to the consumption of gazetted oil for a gazetted use during any other period—8.5 cents per litre.</w:t>
      </w:r>
    </w:p>
    <w:p w14:paraId="6A8DB915" w14:textId="77777777" w:rsidR="007465EC" w:rsidRPr="00691DBE" w:rsidRDefault="00F9621F" w:rsidP="006A546E">
      <w:pPr>
        <w:pStyle w:val="subsection"/>
      </w:pPr>
      <w:r w:rsidRPr="00691DBE">
        <w:tab/>
        <w:t>(</w:t>
      </w:r>
      <w:r w:rsidR="007B76B4" w:rsidRPr="00691DBE">
        <w:t>3</w:t>
      </w:r>
      <w:r w:rsidRPr="00691DBE">
        <w:t>)</w:t>
      </w:r>
      <w:r w:rsidRPr="00691DBE">
        <w:tab/>
      </w:r>
      <w:r w:rsidR="006A546E" w:rsidRPr="00691DBE">
        <w:t xml:space="preserve">Despite </w:t>
      </w:r>
      <w:r w:rsidR="00B10388" w:rsidRPr="00691DBE">
        <w:t>subsection (</w:t>
      </w:r>
      <w:r w:rsidR="006A546E" w:rsidRPr="00691DBE">
        <w:t xml:space="preserve">1), </w:t>
      </w:r>
      <w:r w:rsidR="007465EC" w:rsidRPr="00691DBE">
        <w:t>no product stewardship (oil) benefit is payable in respect of oil (including gazetted oil obtained through recycling) that is to undergo further recycling before it is sold to the end user</w:t>
      </w:r>
      <w:r w:rsidR="00A60FB0" w:rsidRPr="00691DBE">
        <w:t xml:space="preserve"> or consumed</w:t>
      </w:r>
      <w:r w:rsidR="00A91D59" w:rsidRPr="00691DBE">
        <w:t>.</w:t>
      </w:r>
    </w:p>
    <w:p w14:paraId="5A02457A" w14:textId="77777777" w:rsidR="00F9621F" w:rsidRPr="00691DBE" w:rsidRDefault="00F9621F" w:rsidP="00F9621F">
      <w:pPr>
        <w:pStyle w:val="subsection"/>
      </w:pPr>
      <w:r w:rsidRPr="00691DBE">
        <w:tab/>
        <w:t>(</w:t>
      </w:r>
      <w:r w:rsidR="007B76B4" w:rsidRPr="00691DBE">
        <w:t>4</w:t>
      </w:r>
      <w:r w:rsidRPr="00691DBE">
        <w:t>)</w:t>
      </w:r>
      <w:r w:rsidRPr="00691DBE">
        <w:tab/>
        <w:t xml:space="preserve">For </w:t>
      </w:r>
      <w:r w:rsidR="000F1305" w:rsidRPr="00691DBE">
        <w:t xml:space="preserve">the purposes of </w:t>
      </w:r>
      <w:r w:rsidR="007F4597" w:rsidRPr="00691DBE">
        <w:t>item 1</w:t>
      </w:r>
      <w:r w:rsidRPr="00691DBE">
        <w:t xml:space="preserve"> of the table </w:t>
      </w:r>
      <w:r w:rsidR="00905AE4" w:rsidRPr="00691DBE">
        <w:t>in</w:t>
      </w:r>
      <w:r w:rsidRPr="00691DBE">
        <w:t xml:space="preserve"> </w:t>
      </w:r>
      <w:r w:rsidR="00B10388" w:rsidRPr="00691DBE">
        <w:t>subsection (</w:t>
      </w:r>
      <w:r w:rsidRPr="00691DBE">
        <w:t>1):</w:t>
      </w:r>
    </w:p>
    <w:p w14:paraId="243033E9" w14:textId="77777777" w:rsidR="00F9621F" w:rsidRPr="00691DBE" w:rsidRDefault="00F9621F" w:rsidP="00F9621F">
      <w:pPr>
        <w:pStyle w:val="paragraph"/>
      </w:pPr>
      <w:r w:rsidRPr="00691DBE">
        <w:tab/>
        <w:t>(a)</w:t>
      </w:r>
      <w:r w:rsidRPr="00691DBE">
        <w:tab/>
        <w:t xml:space="preserve">an independent laboratory must test the oil against the criteria mentioned in </w:t>
      </w:r>
      <w:r w:rsidR="00A06FEB" w:rsidRPr="00691DBE">
        <w:t>Schedule 1</w:t>
      </w:r>
      <w:r w:rsidRPr="00691DBE">
        <w:t>; and</w:t>
      </w:r>
    </w:p>
    <w:p w14:paraId="68443C45" w14:textId="77777777" w:rsidR="00F9621F" w:rsidRPr="00691DBE" w:rsidRDefault="00F9621F" w:rsidP="00F9621F">
      <w:pPr>
        <w:pStyle w:val="paragraph"/>
      </w:pPr>
      <w:r w:rsidRPr="00691DBE">
        <w:tab/>
        <w:t>(b)</w:t>
      </w:r>
      <w:r w:rsidRPr="00691DBE">
        <w:tab/>
        <w:t>the test results must be given to the Commissioner:</w:t>
      </w:r>
    </w:p>
    <w:p w14:paraId="1CC91FF9" w14:textId="77777777" w:rsidR="00F9621F" w:rsidRPr="00691DBE" w:rsidRDefault="00F9621F" w:rsidP="00F9621F">
      <w:pPr>
        <w:pStyle w:val="paragraphsub"/>
      </w:pPr>
      <w:r w:rsidRPr="00691DBE">
        <w:tab/>
        <w:t>(i)</w:t>
      </w:r>
      <w:r w:rsidRPr="00691DBE">
        <w:tab/>
        <w:t>with the first claim for benefit; and</w:t>
      </w:r>
    </w:p>
    <w:p w14:paraId="6ADC656D" w14:textId="77777777" w:rsidR="00F9621F" w:rsidRPr="00691DBE" w:rsidRDefault="00F9621F" w:rsidP="00F9621F">
      <w:pPr>
        <w:pStyle w:val="paragraphsub"/>
      </w:pPr>
      <w:r w:rsidRPr="00691DBE">
        <w:tab/>
        <w:t>(ii)</w:t>
      </w:r>
      <w:r w:rsidRPr="00691DBE">
        <w:tab/>
        <w:t>at intervals of not more than 6 months while the benefit is being claimed.</w:t>
      </w:r>
    </w:p>
    <w:p w14:paraId="242BFBDD" w14:textId="77777777" w:rsidR="00F9621F" w:rsidRPr="00691DBE" w:rsidRDefault="00F9621F" w:rsidP="00F9621F">
      <w:pPr>
        <w:pStyle w:val="subsection"/>
      </w:pPr>
      <w:r w:rsidRPr="00691DBE">
        <w:tab/>
        <w:t>(</w:t>
      </w:r>
      <w:r w:rsidR="007B76B4" w:rsidRPr="00691DBE">
        <w:t>5</w:t>
      </w:r>
      <w:r w:rsidRPr="00691DBE">
        <w:t>)</w:t>
      </w:r>
      <w:r w:rsidRPr="00691DBE">
        <w:tab/>
        <w:t xml:space="preserve">For </w:t>
      </w:r>
      <w:r w:rsidR="000F1305" w:rsidRPr="00691DBE">
        <w:t xml:space="preserve">the purposes of </w:t>
      </w:r>
      <w:r w:rsidR="007F4597" w:rsidRPr="00691DBE">
        <w:t>paragraph (</w:t>
      </w:r>
      <w:r w:rsidR="007B76B4" w:rsidRPr="00691DBE">
        <w:t>4</w:t>
      </w:r>
      <w:r w:rsidRPr="00691DBE">
        <w:t>)(a), a sample may be tested only if an employee of an independent laboratory certifies that:</w:t>
      </w:r>
    </w:p>
    <w:p w14:paraId="466A0B1A" w14:textId="77777777" w:rsidR="00F9621F" w:rsidRPr="00691DBE" w:rsidRDefault="00F9621F" w:rsidP="00F9621F">
      <w:pPr>
        <w:pStyle w:val="paragraph"/>
      </w:pPr>
      <w:r w:rsidRPr="00691DBE">
        <w:tab/>
        <w:t>(a)</w:t>
      </w:r>
      <w:r w:rsidRPr="00691DBE">
        <w:tab/>
        <w:t>the sample is representative of a production run of the product; and</w:t>
      </w:r>
    </w:p>
    <w:p w14:paraId="6D38B8AA" w14:textId="77777777" w:rsidR="00F9621F" w:rsidRPr="00691DBE" w:rsidRDefault="00F9621F" w:rsidP="00F9621F">
      <w:pPr>
        <w:pStyle w:val="paragraph"/>
      </w:pPr>
      <w:r w:rsidRPr="00691DBE">
        <w:tab/>
        <w:t>(b)</w:t>
      </w:r>
      <w:r w:rsidRPr="00691DBE">
        <w:tab/>
      </w:r>
      <w:r w:rsidR="009B1B0F" w:rsidRPr="00691DBE">
        <w:t>the employee</w:t>
      </w:r>
      <w:r w:rsidRPr="00691DBE">
        <w:t xml:space="preserve"> is satisfied that the sample was not tampered with after it was collected and before it was dispatched to the laboratory.</w:t>
      </w:r>
    </w:p>
    <w:p w14:paraId="341131E4" w14:textId="77777777" w:rsidR="00F9621F" w:rsidRPr="00691DBE" w:rsidRDefault="00F9621F" w:rsidP="00F9621F">
      <w:pPr>
        <w:pStyle w:val="subsection"/>
      </w:pPr>
      <w:r w:rsidRPr="00691DBE">
        <w:tab/>
        <w:t>(</w:t>
      </w:r>
      <w:r w:rsidR="007B76B4" w:rsidRPr="00691DBE">
        <w:t>6</w:t>
      </w:r>
      <w:r w:rsidRPr="00691DBE">
        <w:t>)</w:t>
      </w:r>
      <w:r w:rsidRPr="00691DBE">
        <w:tab/>
        <w:t xml:space="preserve">For </w:t>
      </w:r>
      <w:r w:rsidR="000F1305" w:rsidRPr="00691DBE">
        <w:t xml:space="preserve">the purposes of </w:t>
      </w:r>
      <w:r w:rsidR="007F4597" w:rsidRPr="00691DBE">
        <w:t>paragraph (</w:t>
      </w:r>
      <w:r w:rsidR="007B76B4" w:rsidRPr="00691DBE">
        <w:t>4</w:t>
      </w:r>
      <w:r w:rsidRPr="00691DBE">
        <w:t>)(a), the independent laboratory undertaking the test must certify that the sample tested was not tampered with after receipt by the laboratory and before testing.</w:t>
      </w:r>
    </w:p>
    <w:p w14:paraId="12B3D378" w14:textId="77777777" w:rsidR="00F9621F" w:rsidRPr="00691DBE" w:rsidRDefault="008C10E1" w:rsidP="00F9621F">
      <w:pPr>
        <w:pStyle w:val="ActHead5"/>
      </w:pPr>
      <w:bookmarkStart w:id="9" w:name="_Toc111630407"/>
      <w:r w:rsidRPr="00691DBE">
        <w:rPr>
          <w:rStyle w:val="CharSectno"/>
        </w:rPr>
        <w:t>7</w:t>
      </w:r>
      <w:r w:rsidR="00F9621F" w:rsidRPr="00691DBE">
        <w:t xml:space="preserve">  Additional amount of benefit</w:t>
      </w:r>
      <w:r w:rsidR="0021436F" w:rsidRPr="00691DBE">
        <w:t>—</w:t>
      </w:r>
      <w:r w:rsidR="00F9621F" w:rsidRPr="00691DBE">
        <w:t>re</w:t>
      </w:r>
      <w:r w:rsidR="00691DBE">
        <w:noBreakHyphen/>
      </w:r>
      <w:r w:rsidR="00F9621F" w:rsidRPr="00691DBE">
        <w:t>refined base oil</w:t>
      </w:r>
      <w:r w:rsidR="0021436F" w:rsidRPr="00691DBE">
        <w:t xml:space="preserve"> where entitlement to benefit arose </w:t>
      </w:r>
      <w:r w:rsidR="00B10388" w:rsidRPr="00691DBE">
        <w:t>1 July</w:t>
      </w:r>
      <w:r w:rsidR="0021436F" w:rsidRPr="00691DBE">
        <w:t xml:space="preserve"> 2020 to </w:t>
      </w:r>
      <w:r w:rsidR="00B10388" w:rsidRPr="00691DBE">
        <w:t>31 December</w:t>
      </w:r>
      <w:r w:rsidR="0021436F" w:rsidRPr="00691DBE">
        <w:t xml:space="preserve"> 2020</w:t>
      </w:r>
      <w:bookmarkEnd w:id="9"/>
    </w:p>
    <w:p w14:paraId="17C45BB1" w14:textId="77777777" w:rsidR="00F9621F" w:rsidRPr="00691DBE" w:rsidRDefault="00F9621F" w:rsidP="00F9621F">
      <w:pPr>
        <w:pStyle w:val="SubsectionHead"/>
      </w:pPr>
      <w:r w:rsidRPr="00691DBE">
        <w:t xml:space="preserve">Application of </w:t>
      </w:r>
      <w:r w:rsidR="001F5C5E" w:rsidRPr="00691DBE">
        <w:t>section</w:t>
      </w:r>
    </w:p>
    <w:p w14:paraId="62FE5882" w14:textId="77777777" w:rsidR="00F9621F" w:rsidRPr="00691DBE" w:rsidRDefault="00F9621F" w:rsidP="00F9621F">
      <w:pPr>
        <w:pStyle w:val="subsection"/>
      </w:pPr>
      <w:r w:rsidRPr="00691DBE">
        <w:tab/>
        <w:t>(1)</w:t>
      </w:r>
      <w:r w:rsidRPr="00691DBE">
        <w:tab/>
        <w:t xml:space="preserve">This </w:t>
      </w:r>
      <w:r w:rsidR="001F5C5E" w:rsidRPr="00691DBE">
        <w:t xml:space="preserve">section </w:t>
      </w:r>
      <w:r w:rsidRPr="00691DBE">
        <w:t>applies if:</w:t>
      </w:r>
    </w:p>
    <w:p w14:paraId="529670CE" w14:textId="77777777" w:rsidR="00F9621F" w:rsidRPr="00691DBE" w:rsidRDefault="00F9621F" w:rsidP="00F9621F">
      <w:pPr>
        <w:pStyle w:val="paragraph"/>
      </w:pPr>
      <w:r w:rsidRPr="00691DBE">
        <w:tab/>
        <w:t>(a)</w:t>
      </w:r>
      <w:r w:rsidRPr="00691DBE">
        <w:tab/>
        <w:t>product stewardship (oil) benefit is payable in respect of recycled oil for a claim period; and</w:t>
      </w:r>
    </w:p>
    <w:p w14:paraId="70727928" w14:textId="77777777" w:rsidR="007504A5" w:rsidRPr="00691DBE" w:rsidRDefault="00F9621F" w:rsidP="00F9621F">
      <w:pPr>
        <w:pStyle w:val="paragraph"/>
      </w:pPr>
      <w:r w:rsidRPr="00691DBE">
        <w:tab/>
        <w:t>(b)</w:t>
      </w:r>
      <w:r w:rsidRPr="00691DBE">
        <w:tab/>
        <w:t xml:space="preserve">apart from this </w:t>
      </w:r>
      <w:r w:rsidR="001F5C5E" w:rsidRPr="00691DBE">
        <w:t>section</w:t>
      </w:r>
      <w:r w:rsidRPr="00691DBE">
        <w:t>, the amount of the benefit is</w:t>
      </w:r>
      <w:r w:rsidR="007504A5" w:rsidRPr="00691DBE">
        <w:t>:</w:t>
      </w:r>
    </w:p>
    <w:p w14:paraId="729EEA11" w14:textId="77777777" w:rsidR="007504A5" w:rsidRPr="00691DBE" w:rsidRDefault="007504A5" w:rsidP="007504A5">
      <w:pPr>
        <w:pStyle w:val="paragraphsub"/>
      </w:pPr>
      <w:r w:rsidRPr="00691DBE">
        <w:tab/>
        <w:t>(i)</w:t>
      </w:r>
      <w:r w:rsidRPr="00691DBE">
        <w:tab/>
        <w:t xml:space="preserve">for claims for payment of the benefit made before </w:t>
      </w:r>
      <w:r w:rsidR="007F4597" w:rsidRPr="00691DBE">
        <w:t>1 October</w:t>
      </w:r>
      <w:r w:rsidRPr="00691DBE">
        <w:t xml:space="preserve"> 2022—the amount mentioned in </w:t>
      </w:r>
      <w:r w:rsidR="007F4597" w:rsidRPr="00691DBE">
        <w:t>item 1</w:t>
      </w:r>
      <w:r w:rsidRPr="00691DBE">
        <w:t xml:space="preserve"> of the table in </w:t>
      </w:r>
      <w:r w:rsidR="007F4597" w:rsidRPr="00691DBE">
        <w:t>sub</w:t>
      </w:r>
      <w:r w:rsidR="004C2001" w:rsidRPr="00691DBE">
        <w:t>regulatio</w:t>
      </w:r>
      <w:r w:rsidR="007F4597" w:rsidRPr="00691DBE">
        <w:t>n 4</w:t>
      </w:r>
      <w:r w:rsidRPr="00691DBE">
        <w:t xml:space="preserve">(1) of the </w:t>
      </w:r>
      <w:r w:rsidRPr="00691DBE">
        <w:rPr>
          <w:i/>
        </w:rPr>
        <w:t xml:space="preserve">Product Stewardship (Oil) </w:t>
      </w:r>
      <w:r w:rsidR="0017512A" w:rsidRPr="00691DBE">
        <w:rPr>
          <w:i/>
        </w:rPr>
        <w:t>Regulations 2</w:t>
      </w:r>
      <w:r w:rsidRPr="00691DBE">
        <w:rPr>
          <w:i/>
        </w:rPr>
        <w:t>000</w:t>
      </w:r>
      <w:r w:rsidRPr="00691DBE">
        <w:t xml:space="preserve"> (as in force immediately before that date); or</w:t>
      </w:r>
    </w:p>
    <w:p w14:paraId="558675CD" w14:textId="77777777" w:rsidR="00F9621F" w:rsidRPr="00691DBE" w:rsidRDefault="007504A5" w:rsidP="007504A5">
      <w:pPr>
        <w:pStyle w:val="paragraphsub"/>
      </w:pPr>
      <w:r w:rsidRPr="00691DBE">
        <w:tab/>
        <w:t>(ii)</w:t>
      </w:r>
      <w:r w:rsidRPr="00691DBE">
        <w:tab/>
        <w:t xml:space="preserve">for claims for payment of the benefit made on or after </w:t>
      </w:r>
      <w:r w:rsidR="007F4597" w:rsidRPr="00691DBE">
        <w:t>1 October</w:t>
      </w:r>
      <w:r w:rsidRPr="00691DBE">
        <w:t xml:space="preserve"> 2022—</w:t>
      </w:r>
      <w:r w:rsidR="00F9621F" w:rsidRPr="00691DBE">
        <w:t xml:space="preserve">the amount mentioned in </w:t>
      </w:r>
      <w:r w:rsidR="007F4597" w:rsidRPr="00691DBE">
        <w:t>item 1</w:t>
      </w:r>
      <w:r w:rsidR="00F9621F" w:rsidRPr="00691DBE">
        <w:t xml:space="preserve"> of the table in subsection </w:t>
      </w:r>
      <w:r w:rsidR="008C10E1" w:rsidRPr="00691DBE">
        <w:t>6</w:t>
      </w:r>
      <w:r w:rsidR="00F9621F" w:rsidRPr="00691DBE">
        <w:t>(1)</w:t>
      </w:r>
      <w:r w:rsidR="007B232A" w:rsidRPr="00691DBE">
        <w:t xml:space="preserve"> of this instrument</w:t>
      </w:r>
      <w:r w:rsidR="00F9621F" w:rsidRPr="00691DBE">
        <w:t>; and</w:t>
      </w:r>
    </w:p>
    <w:p w14:paraId="22621B68" w14:textId="77777777" w:rsidR="00F9621F" w:rsidRPr="00691DBE" w:rsidRDefault="00F9621F" w:rsidP="00F9621F">
      <w:pPr>
        <w:pStyle w:val="paragraph"/>
      </w:pPr>
      <w:r w:rsidRPr="00691DBE">
        <w:tab/>
        <w:t>(c)</w:t>
      </w:r>
      <w:r w:rsidRPr="00691DBE">
        <w:tab/>
        <w:t>the entitlement to the benefit arose:</w:t>
      </w:r>
    </w:p>
    <w:p w14:paraId="28C227C5" w14:textId="77777777" w:rsidR="00F9621F" w:rsidRPr="00691DBE" w:rsidRDefault="00F9621F" w:rsidP="00F9621F">
      <w:pPr>
        <w:pStyle w:val="paragraphsub"/>
      </w:pPr>
      <w:r w:rsidRPr="00691DBE">
        <w:tab/>
        <w:t>(i)</w:t>
      </w:r>
      <w:r w:rsidRPr="00691DBE">
        <w:tab/>
        <w:t xml:space="preserve">on or after </w:t>
      </w:r>
      <w:r w:rsidR="00B10388" w:rsidRPr="00691DBE">
        <w:t>1 July</w:t>
      </w:r>
      <w:r w:rsidRPr="00691DBE">
        <w:t xml:space="preserve"> 2020; and</w:t>
      </w:r>
    </w:p>
    <w:p w14:paraId="3B7C72E1" w14:textId="77777777" w:rsidR="00F9621F" w:rsidRPr="00691DBE" w:rsidRDefault="00F9621F" w:rsidP="00F9621F">
      <w:pPr>
        <w:pStyle w:val="paragraphsub"/>
      </w:pPr>
      <w:r w:rsidRPr="00691DBE">
        <w:tab/>
        <w:t>(ii)</w:t>
      </w:r>
      <w:r w:rsidRPr="00691DBE">
        <w:tab/>
        <w:t xml:space="preserve">on or before </w:t>
      </w:r>
      <w:r w:rsidR="00B10388" w:rsidRPr="00691DBE">
        <w:t>31 December</w:t>
      </w:r>
      <w:r w:rsidRPr="00691DBE">
        <w:t xml:space="preserve"> 2020.</w:t>
      </w:r>
    </w:p>
    <w:p w14:paraId="304FF210" w14:textId="77777777" w:rsidR="00F9621F" w:rsidRPr="00691DBE" w:rsidRDefault="00F9621F" w:rsidP="007504A5">
      <w:pPr>
        <w:pStyle w:val="subsection"/>
      </w:pPr>
      <w:r w:rsidRPr="00691DBE">
        <w:tab/>
        <w:t>(2)</w:t>
      </w:r>
      <w:r w:rsidRPr="00691DBE">
        <w:tab/>
        <w:t xml:space="preserve">For the purposes of </w:t>
      </w:r>
      <w:r w:rsidR="00B10388" w:rsidRPr="00691DBE">
        <w:t>subsection (</w:t>
      </w:r>
      <w:r w:rsidRPr="00691DBE">
        <w:t>1), it does not matter</w:t>
      </w:r>
      <w:r w:rsidR="007504A5" w:rsidRPr="00691DBE">
        <w:t xml:space="preserve"> </w:t>
      </w:r>
      <w:r w:rsidRPr="00691DBE">
        <w:t xml:space="preserve">whether any amount of the benefit was paid before </w:t>
      </w:r>
      <w:r w:rsidR="007F4597" w:rsidRPr="00691DBE">
        <w:t>1 October</w:t>
      </w:r>
      <w:r w:rsidR="007504A5" w:rsidRPr="00691DBE">
        <w:t xml:space="preserve"> 2022</w:t>
      </w:r>
      <w:r w:rsidRPr="00691DBE">
        <w:t>.</w:t>
      </w:r>
    </w:p>
    <w:p w14:paraId="06061EDE" w14:textId="77777777" w:rsidR="00F9621F" w:rsidRPr="00691DBE" w:rsidRDefault="00F9621F" w:rsidP="00F9621F">
      <w:pPr>
        <w:pStyle w:val="SubsectionHead"/>
      </w:pPr>
      <w:r w:rsidRPr="00691DBE">
        <w:t>Additional amount</w:t>
      </w:r>
    </w:p>
    <w:p w14:paraId="33DACFF7" w14:textId="77777777" w:rsidR="00F9621F" w:rsidRPr="00691DBE" w:rsidRDefault="00F9621F" w:rsidP="00F9621F">
      <w:pPr>
        <w:pStyle w:val="subsection"/>
      </w:pPr>
      <w:r w:rsidRPr="00691DBE">
        <w:tab/>
        <w:t>(3)</w:t>
      </w:r>
      <w:r w:rsidRPr="00691DBE">
        <w:tab/>
        <w:t xml:space="preserve">If this </w:t>
      </w:r>
      <w:r w:rsidR="00155724" w:rsidRPr="00691DBE">
        <w:t xml:space="preserve">section </w:t>
      </w:r>
      <w:r w:rsidRPr="00691DBE">
        <w:t>applies, the benefit includes an amount of 12 cents</w:t>
      </w:r>
      <w:r w:rsidR="00CB6727" w:rsidRPr="00691DBE">
        <w:t xml:space="preserve"> per </w:t>
      </w:r>
      <w:r w:rsidRPr="00691DBE">
        <w:t>l</w:t>
      </w:r>
      <w:r w:rsidR="00CB6727" w:rsidRPr="00691DBE">
        <w:t>itre</w:t>
      </w:r>
      <w:r w:rsidRPr="00691DBE">
        <w:t xml:space="preserve"> in addition to the amount mentioned in </w:t>
      </w:r>
      <w:r w:rsidR="007F4597" w:rsidRPr="00691DBE">
        <w:t>subparagraph (</w:t>
      </w:r>
      <w:r w:rsidR="009D71B8" w:rsidRPr="00691DBE">
        <w:t>1)(b)(i) or (ii)</w:t>
      </w:r>
      <w:r w:rsidR="00B13F29" w:rsidRPr="00691DBE">
        <w:t xml:space="preserve"> that applies in relation to the claim</w:t>
      </w:r>
      <w:r w:rsidRPr="00691DBE">
        <w:t>.</w:t>
      </w:r>
    </w:p>
    <w:p w14:paraId="6C68FBBD" w14:textId="77777777" w:rsidR="00B60E85" w:rsidRPr="00691DBE" w:rsidRDefault="00C520C3" w:rsidP="00B60E85">
      <w:pPr>
        <w:pStyle w:val="ActHead2"/>
        <w:pageBreakBefore/>
      </w:pPr>
      <w:bookmarkStart w:id="10" w:name="_Toc111630408"/>
      <w:r w:rsidRPr="00691DBE">
        <w:rPr>
          <w:rStyle w:val="CharPartNo"/>
        </w:rPr>
        <w:t>Part 3</w:t>
      </w:r>
      <w:r w:rsidR="00B60E85" w:rsidRPr="00691DBE">
        <w:t>—</w:t>
      </w:r>
      <w:r w:rsidR="00B60E85" w:rsidRPr="00691DBE">
        <w:rPr>
          <w:rStyle w:val="CharPartText"/>
        </w:rPr>
        <w:t>Application</w:t>
      </w:r>
      <w:r w:rsidR="005F6FCB" w:rsidRPr="00691DBE">
        <w:rPr>
          <w:rStyle w:val="CharPartText"/>
        </w:rPr>
        <w:t xml:space="preserve">, </w:t>
      </w:r>
      <w:r w:rsidR="0055363C" w:rsidRPr="00691DBE">
        <w:rPr>
          <w:rStyle w:val="CharPartText"/>
        </w:rPr>
        <w:t>saving and t</w:t>
      </w:r>
      <w:r w:rsidR="00B60E85" w:rsidRPr="00691DBE">
        <w:rPr>
          <w:rStyle w:val="CharPartText"/>
        </w:rPr>
        <w:t>ransitional</w:t>
      </w:r>
      <w:r w:rsidR="0055363C" w:rsidRPr="00691DBE">
        <w:rPr>
          <w:rStyle w:val="CharPartText"/>
        </w:rPr>
        <w:t xml:space="preserve"> </w:t>
      </w:r>
      <w:r w:rsidR="00B60E85" w:rsidRPr="00691DBE">
        <w:rPr>
          <w:rStyle w:val="CharPartText"/>
        </w:rPr>
        <w:t>provisions</w:t>
      </w:r>
      <w:bookmarkEnd w:id="10"/>
    </w:p>
    <w:p w14:paraId="128E66AB" w14:textId="77777777" w:rsidR="00B60E85" w:rsidRPr="00691DBE" w:rsidRDefault="00B60E85" w:rsidP="00B60E85">
      <w:pPr>
        <w:pStyle w:val="Header"/>
      </w:pPr>
      <w:r w:rsidRPr="00691DBE">
        <w:rPr>
          <w:rStyle w:val="CharDivNo"/>
        </w:rPr>
        <w:t xml:space="preserve"> </w:t>
      </w:r>
      <w:r w:rsidRPr="00691DBE">
        <w:rPr>
          <w:rStyle w:val="CharDivText"/>
        </w:rPr>
        <w:t xml:space="preserve"> </w:t>
      </w:r>
    </w:p>
    <w:p w14:paraId="7C055BE6" w14:textId="77777777" w:rsidR="001251F3" w:rsidRPr="00691DBE" w:rsidRDefault="008C10E1" w:rsidP="001251F3">
      <w:pPr>
        <w:pStyle w:val="ActHead5"/>
      </w:pPr>
      <w:bookmarkStart w:id="11" w:name="_Toc111630409"/>
      <w:r w:rsidRPr="00691DBE">
        <w:rPr>
          <w:rStyle w:val="CharSectno"/>
        </w:rPr>
        <w:t>8</w:t>
      </w:r>
      <w:r w:rsidR="001F39BB" w:rsidRPr="00691DBE">
        <w:t xml:space="preserve"> </w:t>
      </w:r>
      <w:r w:rsidR="00744054" w:rsidRPr="00691DBE">
        <w:t xml:space="preserve"> Application </w:t>
      </w:r>
      <w:r w:rsidR="00E10DE8" w:rsidRPr="00691DBE">
        <w:t>of this instrument</w:t>
      </w:r>
      <w:bookmarkEnd w:id="11"/>
    </w:p>
    <w:p w14:paraId="74A38614" w14:textId="77777777" w:rsidR="00E10DE8" w:rsidRPr="00691DBE" w:rsidRDefault="00E10DE8" w:rsidP="00E10DE8">
      <w:pPr>
        <w:pStyle w:val="subsection"/>
      </w:pPr>
      <w:r w:rsidRPr="00691DBE">
        <w:tab/>
      </w:r>
      <w:r w:rsidRPr="00691DBE">
        <w:tab/>
        <w:t xml:space="preserve">This instrument applies to </w:t>
      </w:r>
      <w:r w:rsidR="00E2224C" w:rsidRPr="00691DBE">
        <w:t xml:space="preserve">a </w:t>
      </w:r>
      <w:r w:rsidR="004D1179" w:rsidRPr="00691DBE">
        <w:t xml:space="preserve">claim for </w:t>
      </w:r>
      <w:r w:rsidRPr="00691DBE">
        <w:t xml:space="preserve">product stewardship (oil) benefit </w:t>
      </w:r>
      <w:r w:rsidR="004D1179" w:rsidRPr="00691DBE">
        <w:t>that</w:t>
      </w:r>
      <w:r w:rsidR="006E0771" w:rsidRPr="00691DBE">
        <w:t xml:space="preserve"> </w:t>
      </w:r>
      <w:r w:rsidR="00E2224C" w:rsidRPr="00691DBE">
        <w:t>is</w:t>
      </w:r>
      <w:r w:rsidR="006E0771" w:rsidRPr="00691DBE">
        <w:t xml:space="preserve"> made</w:t>
      </w:r>
      <w:r w:rsidRPr="00691DBE">
        <w:t>:</w:t>
      </w:r>
    </w:p>
    <w:p w14:paraId="405BB376" w14:textId="77777777" w:rsidR="00E10DE8" w:rsidRPr="00691DBE" w:rsidRDefault="00E10DE8" w:rsidP="00E10DE8">
      <w:pPr>
        <w:pStyle w:val="paragraph"/>
      </w:pPr>
      <w:r w:rsidRPr="00691DBE">
        <w:tab/>
        <w:t>(a)</w:t>
      </w:r>
      <w:r w:rsidRPr="00691DBE">
        <w:tab/>
      </w:r>
      <w:r w:rsidR="004D1179" w:rsidRPr="00691DBE">
        <w:t xml:space="preserve">on or </w:t>
      </w:r>
      <w:r w:rsidRPr="00691DBE">
        <w:t xml:space="preserve">after the commencement of this instrument; </w:t>
      </w:r>
      <w:r w:rsidR="006E0771" w:rsidRPr="00691DBE">
        <w:t>or</w:t>
      </w:r>
    </w:p>
    <w:p w14:paraId="19009BFF" w14:textId="77777777" w:rsidR="000D5A5C" w:rsidRPr="00691DBE" w:rsidRDefault="00E10DE8" w:rsidP="00020DD3">
      <w:pPr>
        <w:pStyle w:val="paragraph"/>
      </w:pPr>
      <w:r w:rsidRPr="00691DBE">
        <w:tab/>
        <w:t>(b)</w:t>
      </w:r>
      <w:r w:rsidRPr="00691DBE">
        <w:tab/>
        <w:t xml:space="preserve">before that commencement, if </w:t>
      </w:r>
      <w:r w:rsidR="006E0771" w:rsidRPr="00691DBE">
        <w:t xml:space="preserve">the amount of the benefit </w:t>
      </w:r>
      <w:r w:rsidR="004D1179" w:rsidRPr="00691DBE">
        <w:t>for th</w:t>
      </w:r>
      <w:r w:rsidR="00E2224C" w:rsidRPr="00691DBE">
        <w:t>e</w:t>
      </w:r>
      <w:r w:rsidR="004D1179" w:rsidRPr="00691DBE">
        <w:t xml:space="preserve"> claim </w:t>
      </w:r>
      <w:r w:rsidR="006E0771" w:rsidRPr="00691DBE">
        <w:t xml:space="preserve">was not assessed under </w:t>
      </w:r>
      <w:r w:rsidR="007F4597" w:rsidRPr="00691DBE">
        <w:t>section 1</w:t>
      </w:r>
      <w:r w:rsidR="006E0771" w:rsidRPr="00691DBE">
        <w:t xml:space="preserve">7 of the </w:t>
      </w:r>
      <w:r w:rsidR="006E0771" w:rsidRPr="00691DBE">
        <w:rPr>
          <w:i/>
        </w:rPr>
        <w:t>Product Grants and Benefits Administration Act 2000</w:t>
      </w:r>
      <w:r w:rsidR="006E0771" w:rsidRPr="00691DBE">
        <w:t xml:space="preserve"> before that commencement</w:t>
      </w:r>
      <w:r w:rsidR="00471DAA" w:rsidRPr="00691DBE">
        <w:t>.</w:t>
      </w:r>
    </w:p>
    <w:p w14:paraId="476D4F37" w14:textId="77777777" w:rsidR="00305D6F" w:rsidRPr="00691DBE" w:rsidRDefault="0056474B" w:rsidP="00305D6F">
      <w:pPr>
        <w:pStyle w:val="ActHead5"/>
      </w:pPr>
      <w:bookmarkStart w:id="12" w:name="_Toc111630410"/>
      <w:r w:rsidRPr="00691DBE">
        <w:rPr>
          <w:rStyle w:val="CharSectno"/>
        </w:rPr>
        <w:t>9</w:t>
      </w:r>
      <w:r w:rsidRPr="00691DBE">
        <w:t xml:space="preserve">  </w:t>
      </w:r>
      <w:r w:rsidR="00FF38FE" w:rsidRPr="00691DBE">
        <w:t>P</w:t>
      </w:r>
      <w:r w:rsidRPr="00691DBE">
        <w:t>rocess approved by Minister</w:t>
      </w:r>
      <w:bookmarkEnd w:id="12"/>
    </w:p>
    <w:p w14:paraId="4784D90E" w14:textId="77777777" w:rsidR="0056474B" w:rsidRPr="00691DBE" w:rsidRDefault="0056474B" w:rsidP="0056474B">
      <w:pPr>
        <w:pStyle w:val="subsection"/>
      </w:pPr>
      <w:r w:rsidRPr="00691DBE">
        <w:tab/>
      </w:r>
      <w:r w:rsidRPr="00691DBE">
        <w:tab/>
      </w:r>
      <w:r w:rsidR="005B111D" w:rsidRPr="00691DBE">
        <w:t xml:space="preserve">A process approved by the Minister for the purposes of </w:t>
      </w:r>
      <w:r w:rsidR="00DC57E2" w:rsidRPr="00691DBE">
        <w:t>subregulation 3</w:t>
      </w:r>
      <w:r w:rsidR="005B111D" w:rsidRPr="00691DBE">
        <w:t xml:space="preserve">(2) of the </w:t>
      </w:r>
      <w:r w:rsidR="005B111D" w:rsidRPr="00691DBE">
        <w:rPr>
          <w:i/>
        </w:rPr>
        <w:t xml:space="preserve">Product Stewardship (Oil) </w:t>
      </w:r>
      <w:r w:rsidR="0017512A" w:rsidRPr="00691DBE">
        <w:rPr>
          <w:i/>
        </w:rPr>
        <w:t>Regulations 2</w:t>
      </w:r>
      <w:r w:rsidR="005B111D" w:rsidRPr="00691DBE">
        <w:rPr>
          <w:i/>
        </w:rPr>
        <w:t>000</w:t>
      </w:r>
      <w:r w:rsidR="005B111D" w:rsidRPr="00691DBE">
        <w:t xml:space="preserve"> that was in force immediately before the commencement of this instrument is taken, after that commencement, to be a process approved by the Minister for the purposes of paragraph 5(2)(b) of this instrument.</w:t>
      </w:r>
    </w:p>
    <w:p w14:paraId="4E87D363" w14:textId="77777777" w:rsidR="001251F3" w:rsidRPr="00691DBE" w:rsidRDefault="001251F3">
      <w:pPr>
        <w:sectPr w:rsidR="001251F3" w:rsidRPr="00691DBE" w:rsidSect="0060757C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4BC56CFB" w14:textId="77777777" w:rsidR="001251F3" w:rsidRPr="00691DBE" w:rsidRDefault="00A06FEB" w:rsidP="001251F3">
      <w:pPr>
        <w:pStyle w:val="ActHead1"/>
      </w:pPr>
      <w:bookmarkStart w:id="13" w:name="_Toc111630411"/>
      <w:r w:rsidRPr="00691DBE">
        <w:rPr>
          <w:rStyle w:val="CharChapNo"/>
        </w:rPr>
        <w:t>Schedule 1</w:t>
      </w:r>
      <w:r w:rsidR="001251F3" w:rsidRPr="00691DBE">
        <w:t>—</w:t>
      </w:r>
      <w:r w:rsidR="001251F3" w:rsidRPr="00691DBE">
        <w:rPr>
          <w:rStyle w:val="CharChapText"/>
        </w:rPr>
        <w:t>Re</w:t>
      </w:r>
      <w:r w:rsidR="00691DBE" w:rsidRPr="00691DBE">
        <w:rPr>
          <w:rStyle w:val="CharChapText"/>
        </w:rPr>
        <w:noBreakHyphen/>
      </w:r>
      <w:r w:rsidR="001251F3" w:rsidRPr="00691DBE">
        <w:rPr>
          <w:rStyle w:val="CharChapText"/>
        </w:rPr>
        <w:t>refined base oil criteria</w:t>
      </w:r>
      <w:bookmarkEnd w:id="13"/>
    </w:p>
    <w:p w14:paraId="6FF2C83A" w14:textId="77777777" w:rsidR="001251F3" w:rsidRPr="00691DBE" w:rsidRDefault="009C2097" w:rsidP="001251F3">
      <w:pPr>
        <w:pStyle w:val="notemargin"/>
      </w:pPr>
      <w:r w:rsidRPr="00691DBE">
        <w:t>Note:</w:t>
      </w:r>
      <w:r w:rsidRPr="00691DBE">
        <w:tab/>
        <w:t xml:space="preserve">See </w:t>
      </w:r>
      <w:r w:rsidR="007F4597" w:rsidRPr="00691DBE">
        <w:t>item 1</w:t>
      </w:r>
      <w:r w:rsidR="00965A9F" w:rsidRPr="00691DBE">
        <w:t xml:space="preserve"> </w:t>
      </w:r>
      <w:r w:rsidR="00B72FCC" w:rsidRPr="00691DBE">
        <w:t>of</w:t>
      </w:r>
      <w:r w:rsidR="00965A9F" w:rsidRPr="00691DBE">
        <w:t xml:space="preserve"> the table in </w:t>
      </w:r>
      <w:r w:rsidR="00992344" w:rsidRPr="00691DBE">
        <w:t xml:space="preserve">subsection </w:t>
      </w:r>
      <w:r w:rsidR="008C10E1" w:rsidRPr="00691DBE">
        <w:t>6</w:t>
      </w:r>
      <w:r w:rsidR="00992344" w:rsidRPr="00691DBE">
        <w:t>(1)</w:t>
      </w:r>
      <w:r w:rsidR="00296225" w:rsidRPr="00691DBE">
        <w:t>.</w:t>
      </w:r>
    </w:p>
    <w:p w14:paraId="4FF83A40" w14:textId="77777777" w:rsidR="001251F3" w:rsidRPr="00691DBE" w:rsidRDefault="001251F3" w:rsidP="001251F3">
      <w:pPr>
        <w:pStyle w:val="Header"/>
      </w:pPr>
      <w:r w:rsidRPr="00691DBE">
        <w:rPr>
          <w:rStyle w:val="CharPartNo"/>
        </w:rPr>
        <w:t xml:space="preserve"> </w:t>
      </w:r>
      <w:r w:rsidRPr="00691DBE">
        <w:rPr>
          <w:rStyle w:val="CharPartText"/>
        </w:rPr>
        <w:t xml:space="preserve"> </w:t>
      </w:r>
    </w:p>
    <w:p w14:paraId="00DF99B9" w14:textId="77777777" w:rsidR="00965A9F" w:rsidRPr="00691DBE" w:rsidRDefault="00965A9F" w:rsidP="001251F3">
      <w:pPr>
        <w:pStyle w:val="Header"/>
      </w:pPr>
      <w:r w:rsidRPr="00691DBE">
        <w:rPr>
          <w:rStyle w:val="CharDivNo"/>
        </w:rPr>
        <w:t xml:space="preserve"> </w:t>
      </w:r>
      <w:r w:rsidRPr="00691DBE">
        <w:rPr>
          <w:rStyle w:val="CharDivText"/>
        </w:rPr>
        <w:t xml:space="preserve"> </w:t>
      </w:r>
    </w:p>
    <w:p w14:paraId="1D18F3F9" w14:textId="77777777" w:rsidR="00B12325" w:rsidRPr="00691DBE" w:rsidRDefault="00B12325" w:rsidP="00B12325">
      <w:pPr>
        <w:pStyle w:val="ActHead5"/>
      </w:pPr>
      <w:bookmarkStart w:id="14" w:name="_Toc111630412"/>
      <w:r w:rsidRPr="00691DBE">
        <w:rPr>
          <w:rStyle w:val="CharSectno"/>
        </w:rPr>
        <w:t>1</w:t>
      </w:r>
      <w:r w:rsidRPr="00691DBE">
        <w:t xml:space="preserve">  Mutagenicity</w:t>
      </w:r>
      <w:bookmarkEnd w:id="14"/>
    </w:p>
    <w:p w14:paraId="61545FEA" w14:textId="77777777" w:rsidR="00B12325" w:rsidRPr="00691DBE" w:rsidRDefault="00B12325" w:rsidP="00B12325">
      <w:pPr>
        <w:pStyle w:val="subsection"/>
      </w:pPr>
      <w:r w:rsidRPr="00691DBE">
        <w:tab/>
      </w:r>
      <w:r w:rsidRPr="00691DBE">
        <w:tab/>
        <w:t>The oil must be non</w:t>
      </w:r>
      <w:r w:rsidR="00691DBE">
        <w:noBreakHyphen/>
      </w:r>
      <w:r w:rsidRPr="00691DBE">
        <w:t>carcinogenic, demonstrated by having a mutagenicity index of less than 1 using the Modified Ames Test.</w:t>
      </w:r>
    </w:p>
    <w:p w14:paraId="7CF06BC8" w14:textId="77777777" w:rsidR="00B12325" w:rsidRPr="00691DBE" w:rsidRDefault="00B12325" w:rsidP="00B12325">
      <w:pPr>
        <w:pStyle w:val="ActHead5"/>
      </w:pPr>
      <w:bookmarkStart w:id="15" w:name="_Toc111630413"/>
      <w:r w:rsidRPr="00691DBE">
        <w:rPr>
          <w:rStyle w:val="CharSectno"/>
        </w:rPr>
        <w:t>2</w:t>
      </w:r>
      <w:r w:rsidRPr="00691DBE">
        <w:t xml:space="preserve">  Poly</w:t>
      </w:r>
      <w:r w:rsidR="00691DBE">
        <w:noBreakHyphen/>
      </w:r>
      <w:r w:rsidRPr="00691DBE">
        <w:t>aromatic hydrocarbons</w:t>
      </w:r>
      <w:bookmarkEnd w:id="15"/>
    </w:p>
    <w:p w14:paraId="2E63E306" w14:textId="77777777" w:rsidR="00B12325" w:rsidRPr="00691DBE" w:rsidRDefault="00B12325" w:rsidP="00B12325">
      <w:pPr>
        <w:pStyle w:val="subsection"/>
      </w:pPr>
      <w:r w:rsidRPr="00691DBE">
        <w:tab/>
        <w:t>(1)</w:t>
      </w:r>
      <w:r w:rsidRPr="00691DBE">
        <w:tab/>
        <w:t>The oil must contain less than the following</w:t>
      </w:r>
      <w:r w:rsidR="000378A6" w:rsidRPr="00691DBE">
        <w:t xml:space="preserve"> </w:t>
      </w:r>
      <w:r w:rsidRPr="00691DBE">
        <w:t>for each kilogram of oil:</w:t>
      </w:r>
    </w:p>
    <w:p w14:paraId="49093153" w14:textId="77777777" w:rsidR="00B12325" w:rsidRPr="00691DBE" w:rsidRDefault="00B12325" w:rsidP="00B12325">
      <w:pPr>
        <w:pStyle w:val="paragraph"/>
      </w:pPr>
      <w:r w:rsidRPr="00691DBE">
        <w:tab/>
        <w:t>(a)</w:t>
      </w:r>
      <w:r w:rsidRPr="00691DBE">
        <w:tab/>
        <w:t>10 mg of benzo(a)pyrene;</w:t>
      </w:r>
    </w:p>
    <w:p w14:paraId="00B61652" w14:textId="77777777" w:rsidR="00B12325" w:rsidRPr="00691DBE" w:rsidRDefault="00B12325" w:rsidP="00B12325">
      <w:pPr>
        <w:pStyle w:val="paragraph"/>
      </w:pPr>
      <w:r w:rsidRPr="00691DBE">
        <w:tab/>
        <w:t>(b)</w:t>
      </w:r>
      <w:r w:rsidRPr="00691DBE">
        <w:tab/>
        <w:t>10 mg of dibenz(ah)anthracene;</w:t>
      </w:r>
    </w:p>
    <w:p w14:paraId="6483011B" w14:textId="77777777" w:rsidR="00B12325" w:rsidRPr="00691DBE" w:rsidRDefault="00B12325" w:rsidP="00B12325">
      <w:pPr>
        <w:pStyle w:val="paragraph"/>
      </w:pPr>
      <w:r w:rsidRPr="00691DBE">
        <w:tab/>
        <w:t>(c)</w:t>
      </w:r>
      <w:r w:rsidRPr="00691DBE">
        <w:tab/>
        <w:t>100 mg of benz(a)anthracene;</w:t>
      </w:r>
    </w:p>
    <w:p w14:paraId="10CE674B" w14:textId="77777777" w:rsidR="00B12325" w:rsidRPr="00691DBE" w:rsidRDefault="00B12325" w:rsidP="00B12325">
      <w:pPr>
        <w:pStyle w:val="paragraph"/>
      </w:pPr>
      <w:r w:rsidRPr="00691DBE">
        <w:tab/>
        <w:t>(d)</w:t>
      </w:r>
      <w:r w:rsidRPr="00691DBE">
        <w:tab/>
        <w:t>100 mg of benzo(b)fluoranthene;</w:t>
      </w:r>
    </w:p>
    <w:p w14:paraId="595D5833" w14:textId="77777777" w:rsidR="00B12325" w:rsidRPr="00691DBE" w:rsidRDefault="00B12325" w:rsidP="00B12325">
      <w:pPr>
        <w:pStyle w:val="paragraph"/>
      </w:pPr>
      <w:r w:rsidRPr="00691DBE">
        <w:tab/>
        <w:t>(e)</w:t>
      </w:r>
      <w:r w:rsidRPr="00691DBE">
        <w:tab/>
        <w:t>100 mg of benzo(k)fluoranthene;</w:t>
      </w:r>
    </w:p>
    <w:p w14:paraId="6D0D7FF4" w14:textId="77777777" w:rsidR="00B12325" w:rsidRPr="00691DBE" w:rsidRDefault="00B12325" w:rsidP="00B12325">
      <w:pPr>
        <w:pStyle w:val="paragraph"/>
      </w:pPr>
      <w:r w:rsidRPr="00691DBE">
        <w:tab/>
        <w:t>(f)</w:t>
      </w:r>
      <w:r w:rsidRPr="00691DBE">
        <w:tab/>
        <w:t>100 mg of chrysene;</w:t>
      </w:r>
    </w:p>
    <w:p w14:paraId="39F2B544" w14:textId="77777777" w:rsidR="00B12325" w:rsidRPr="00691DBE" w:rsidRDefault="00B12325" w:rsidP="00B12325">
      <w:pPr>
        <w:pStyle w:val="paragraph"/>
      </w:pPr>
      <w:r w:rsidRPr="00691DBE">
        <w:tab/>
        <w:t>(g)</w:t>
      </w:r>
      <w:r w:rsidRPr="00691DBE">
        <w:tab/>
        <w:t>100 mg of indeno(123</w:t>
      </w:r>
      <w:r w:rsidR="00691DBE">
        <w:noBreakHyphen/>
      </w:r>
      <w:r w:rsidRPr="00691DBE">
        <w:t>cd)pyrene.</w:t>
      </w:r>
    </w:p>
    <w:p w14:paraId="2F20D4D6" w14:textId="77777777" w:rsidR="00B12325" w:rsidRPr="00691DBE" w:rsidRDefault="00B12325" w:rsidP="00B12325">
      <w:pPr>
        <w:pStyle w:val="subsection"/>
      </w:pPr>
      <w:r w:rsidRPr="00691DBE">
        <w:tab/>
        <w:t>(2)</w:t>
      </w:r>
      <w:r w:rsidRPr="00691DBE">
        <w:tab/>
        <w:t>The total amount of poly</w:t>
      </w:r>
      <w:r w:rsidR="00691DBE">
        <w:noBreakHyphen/>
      </w:r>
      <w:r w:rsidRPr="00691DBE">
        <w:t>aromatic hydrocarbons mentioned in subclause (1) that the oil contains must be less than 400 mg for each kilogram of oil.</w:t>
      </w:r>
    </w:p>
    <w:p w14:paraId="1991D522" w14:textId="77777777" w:rsidR="00B12325" w:rsidRPr="00691DBE" w:rsidRDefault="00B12325" w:rsidP="00B12325">
      <w:pPr>
        <w:pStyle w:val="subsection"/>
      </w:pPr>
      <w:r w:rsidRPr="00691DBE">
        <w:tab/>
        <w:t>(3)</w:t>
      </w:r>
      <w:r w:rsidRPr="00691DBE">
        <w:tab/>
        <w:t>The total amount of all poly</w:t>
      </w:r>
      <w:r w:rsidR="00691DBE">
        <w:noBreakHyphen/>
      </w:r>
      <w:r w:rsidRPr="00691DBE">
        <w:t>aromatic hydrocarbons that the oil contains (including poly</w:t>
      </w:r>
      <w:r w:rsidR="00691DBE">
        <w:noBreakHyphen/>
      </w:r>
      <w:r w:rsidRPr="00691DBE">
        <w:t>aromatic hydrocarbons mentioned in subclause (1)) must be less than 1</w:t>
      </w:r>
      <w:r w:rsidR="00924FFF" w:rsidRPr="00691DBE">
        <w:t>,</w:t>
      </w:r>
      <w:r w:rsidRPr="00691DBE">
        <w:t>000 mg for each kilogram of oil.</w:t>
      </w:r>
    </w:p>
    <w:p w14:paraId="0AAA4675" w14:textId="77777777" w:rsidR="00B12325" w:rsidRPr="00691DBE" w:rsidRDefault="00B12325" w:rsidP="00B12325">
      <w:pPr>
        <w:pStyle w:val="ActHead5"/>
      </w:pPr>
      <w:bookmarkStart w:id="16" w:name="_Toc111630414"/>
      <w:r w:rsidRPr="00691DBE">
        <w:rPr>
          <w:rStyle w:val="CharSectno"/>
        </w:rPr>
        <w:t>3</w:t>
      </w:r>
      <w:r w:rsidRPr="00691DBE">
        <w:t xml:space="preserve">  Polychlorinated biphenyls</w:t>
      </w:r>
      <w:bookmarkEnd w:id="16"/>
    </w:p>
    <w:p w14:paraId="415DA675" w14:textId="77777777" w:rsidR="00B12325" w:rsidRPr="00691DBE" w:rsidRDefault="00B12325" w:rsidP="00B12325">
      <w:pPr>
        <w:pStyle w:val="subsection"/>
      </w:pPr>
      <w:r w:rsidRPr="00691DBE">
        <w:tab/>
      </w:r>
      <w:r w:rsidRPr="00691DBE">
        <w:tab/>
        <w:t>The oil must contain less than 2 mg of polychlorinated biphenyls for each kilogram of oil.</w:t>
      </w:r>
    </w:p>
    <w:p w14:paraId="40C7B9EF" w14:textId="77777777" w:rsidR="00B12325" w:rsidRPr="00691DBE" w:rsidRDefault="00B12325" w:rsidP="00B12325">
      <w:pPr>
        <w:pStyle w:val="ActHead5"/>
      </w:pPr>
      <w:bookmarkStart w:id="17" w:name="_Toc111630415"/>
      <w:r w:rsidRPr="00691DBE">
        <w:rPr>
          <w:rStyle w:val="CharSectno"/>
        </w:rPr>
        <w:t>4</w:t>
      </w:r>
      <w:r w:rsidRPr="00691DBE">
        <w:t xml:space="preserve">  Polychlorinated dibenzo</w:t>
      </w:r>
      <w:r w:rsidR="00691DBE">
        <w:noBreakHyphen/>
      </w:r>
      <w:r w:rsidRPr="00691DBE">
        <w:t>p</w:t>
      </w:r>
      <w:r w:rsidR="00691DBE">
        <w:noBreakHyphen/>
      </w:r>
      <w:r w:rsidRPr="00691DBE">
        <w:t>dioxins</w:t>
      </w:r>
      <w:bookmarkEnd w:id="17"/>
    </w:p>
    <w:p w14:paraId="4934E116" w14:textId="77777777" w:rsidR="00B12325" w:rsidRPr="00691DBE" w:rsidRDefault="00B12325" w:rsidP="00B12325">
      <w:pPr>
        <w:pStyle w:val="subsection"/>
      </w:pPr>
      <w:r w:rsidRPr="00691DBE">
        <w:tab/>
      </w:r>
      <w:r w:rsidRPr="00691DBE">
        <w:tab/>
        <w:t>The total amount of dioxins and furans that the oil contains must be less than 10 picograms Toxic Equivalent for each gram of oil.</w:t>
      </w:r>
    </w:p>
    <w:p w14:paraId="0CABEBFA" w14:textId="77777777" w:rsidR="00B12325" w:rsidRPr="00691DBE" w:rsidRDefault="00B12325" w:rsidP="00B12325">
      <w:pPr>
        <w:pStyle w:val="ActHead5"/>
      </w:pPr>
      <w:bookmarkStart w:id="18" w:name="_Toc111630416"/>
      <w:r w:rsidRPr="00691DBE">
        <w:rPr>
          <w:rStyle w:val="CharSectno"/>
        </w:rPr>
        <w:t>5</w:t>
      </w:r>
      <w:r w:rsidRPr="00691DBE">
        <w:t xml:space="preserve">  Total acid number</w:t>
      </w:r>
      <w:bookmarkEnd w:id="18"/>
    </w:p>
    <w:p w14:paraId="3A888746" w14:textId="77777777" w:rsidR="00B12325" w:rsidRPr="00691DBE" w:rsidRDefault="00B12325" w:rsidP="00B12325">
      <w:pPr>
        <w:pStyle w:val="subsection"/>
      </w:pPr>
      <w:r w:rsidRPr="00691DBE">
        <w:tab/>
      </w:r>
      <w:r w:rsidRPr="00691DBE">
        <w:tab/>
        <w:t>The oil must have a total acid number of less than 0.07 mg of potassium hydroxide for each gram of oil.</w:t>
      </w:r>
    </w:p>
    <w:p w14:paraId="22BA5DC6" w14:textId="77777777" w:rsidR="00B12325" w:rsidRPr="00691DBE" w:rsidRDefault="00B12325" w:rsidP="00B12325">
      <w:pPr>
        <w:pStyle w:val="ActHead5"/>
      </w:pPr>
      <w:bookmarkStart w:id="19" w:name="_Toc111630417"/>
      <w:r w:rsidRPr="00691DBE">
        <w:rPr>
          <w:rStyle w:val="CharSectno"/>
        </w:rPr>
        <w:t>6</w:t>
      </w:r>
      <w:r w:rsidRPr="00691DBE">
        <w:t xml:space="preserve">  Heavy metals</w:t>
      </w:r>
      <w:bookmarkEnd w:id="19"/>
    </w:p>
    <w:p w14:paraId="62AC4A7F" w14:textId="77777777" w:rsidR="00B12325" w:rsidRPr="00691DBE" w:rsidRDefault="00B12325" w:rsidP="00B12325">
      <w:pPr>
        <w:pStyle w:val="subsection"/>
      </w:pPr>
      <w:r w:rsidRPr="00691DBE">
        <w:tab/>
      </w:r>
      <w:r w:rsidRPr="00691DBE">
        <w:tab/>
        <w:t>The oil must contain less than the following for each kilogram of oil:</w:t>
      </w:r>
    </w:p>
    <w:p w14:paraId="06B2D49D" w14:textId="77777777" w:rsidR="00B12325" w:rsidRPr="00691DBE" w:rsidRDefault="00B12325" w:rsidP="00B12325">
      <w:pPr>
        <w:pStyle w:val="paragraph"/>
      </w:pPr>
      <w:r w:rsidRPr="00691DBE">
        <w:tab/>
        <w:t>(a)</w:t>
      </w:r>
      <w:r w:rsidRPr="00691DBE">
        <w:tab/>
        <w:t>5 mg of arsenic;</w:t>
      </w:r>
    </w:p>
    <w:p w14:paraId="159342C9" w14:textId="77777777" w:rsidR="00B12325" w:rsidRPr="00691DBE" w:rsidRDefault="00B12325" w:rsidP="00B12325">
      <w:pPr>
        <w:pStyle w:val="paragraph"/>
      </w:pPr>
      <w:r w:rsidRPr="00691DBE">
        <w:tab/>
        <w:t>(b)</w:t>
      </w:r>
      <w:r w:rsidRPr="00691DBE">
        <w:tab/>
        <w:t>2 mg of cadmium;</w:t>
      </w:r>
    </w:p>
    <w:p w14:paraId="4D75D1E4" w14:textId="77777777" w:rsidR="00B12325" w:rsidRPr="00691DBE" w:rsidRDefault="00B12325" w:rsidP="00B12325">
      <w:pPr>
        <w:pStyle w:val="paragraph"/>
      </w:pPr>
      <w:r w:rsidRPr="00691DBE">
        <w:tab/>
        <w:t>(c)</w:t>
      </w:r>
      <w:r w:rsidRPr="00691DBE">
        <w:tab/>
        <w:t>10 mg of chromium;</w:t>
      </w:r>
    </w:p>
    <w:p w14:paraId="3C01EC7F" w14:textId="77777777" w:rsidR="00B12325" w:rsidRPr="00691DBE" w:rsidRDefault="00B12325" w:rsidP="00B12325">
      <w:pPr>
        <w:pStyle w:val="paragraph"/>
      </w:pPr>
      <w:r w:rsidRPr="00691DBE">
        <w:tab/>
        <w:t>(d)</w:t>
      </w:r>
      <w:r w:rsidRPr="00691DBE">
        <w:tab/>
        <w:t>100 mg of lead.</w:t>
      </w:r>
    </w:p>
    <w:p w14:paraId="30DAA7B8" w14:textId="77777777" w:rsidR="00B12325" w:rsidRPr="00691DBE" w:rsidRDefault="00B12325" w:rsidP="00B12325">
      <w:pPr>
        <w:pStyle w:val="ActHead5"/>
      </w:pPr>
      <w:bookmarkStart w:id="20" w:name="_Toc111630418"/>
      <w:r w:rsidRPr="00691DBE">
        <w:rPr>
          <w:rStyle w:val="CharSectno"/>
        </w:rPr>
        <w:t>7</w:t>
      </w:r>
      <w:r w:rsidRPr="00691DBE">
        <w:t xml:space="preserve">  Appearance</w:t>
      </w:r>
      <w:bookmarkEnd w:id="20"/>
    </w:p>
    <w:p w14:paraId="4F6100AE" w14:textId="77777777" w:rsidR="001251F3" w:rsidRPr="00691DBE" w:rsidRDefault="00B12325" w:rsidP="00AE4832">
      <w:pPr>
        <w:pStyle w:val="subsection"/>
        <w:sectPr w:rsidR="001251F3" w:rsidRPr="00691DBE" w:rsidSect="0060757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691DBE">
        <w:tab/>
      </w:r>
      <w:r w:rsidRPr="00691DBE">
        <w:tab/>
        <w:t>The oil must have a clear and bright appearance.</w:t>
      </w:r>
    </w:p>
    <w:p w14:paraId="5763EDF3" w14:textId="77777777" w:rsidR="008464D3" w:rsidRPr="00691DBE" w:rsidRDefault="008464D3" w:rsidP="008464D3">
      <w:pPr>
        <w:pStyle w:val="ActHead6"/>
      </w:pPr>
      <w:bookmarkStart w:id="21" w:name="_Toc111630419"/>
      <w:bookmarkStart w:id="22" w:name="opcAmSched"/>
      <w:bookmarkStart w:id="23" w:name="opcCurrentFind"/>
      <w:r w:rsidRPr="00691DBE">
        <w:rPr>
          <w:rStyle w:val="CharAmSchNo"/>
        </w:rPr>
        <w:t>Schedule </w:t>
      </w:r>
      <w:r w:rsidR="00AE4832" w:rsidRPr="00691DBE">
        <w:rPr>
          <w:rStyle w:val="CharAmSchNo"/>
        </w:rPr>
        <w:t>2</w:t>
      </w:r>
      <w:r w:rsidRPr="00691DBE">
        <w:t>—</w:t>
      </w:r>
      <w:r w:rsidRPr="00691DBE">
        <w:rPr>
          <w:rStyle w:val="CharAmSchText"/>
        </w:rPr>
        <w:t>Repeals</w:t>
      </w:r>
      <w:bookmarkEnd w:id="21"/>
    </w:p>
    <w:bookmarkEnd w:id="22"/>
    <w:bookmarkEnd w:id="23"/>
    <w:p w14:paraId="2FAC5BD8" w14:textId="77777777" w:rsidR="00E93A1C" w:rsidRPr="00691DBE" w:rsidRDefault="00E93A1C">
      <w:pPr>
        <w:pStyle w:val="Header"/>
      </w:pPr>
      <w:r w:rsidRPr="00691DBE">
        <w:rPr>
          <w:rStyle w:val="CharAmPartNo"/>
        </w:rPr>
        <w:t xml:space="preserve"> </w:t>
      </w:r>
      <w:r w:rsidRPr="00691DBE">
        <w:rPr>
          <w:rStyle w:val="CharAmPartText"/>
        </w:rPr>
        <w:t xml:space="preserve"> </w:t>
      </w:r>
    </w:p>
    <w:p w14:paraId="024C3BC6" w14:textId="77777777" w:rsidR="00E93A1C" w:rsidRPr="00691DBE" w:rsidRDefault="00E93A1C" w:rsidP="00E93A1C">
      <w:pPr>
        <w:pStyle w:val="ActHead9"/>
      </w:pPr>
      <w:bookmarkStart w:id="24" w:name="_Toc111630420"/>
      <w:r w:rsidRPr="00691DBE">
        <w:t xml:space="preserve">Product Stewardship (Oil) </w:t>
      </w:r>
      <w:r w:rsidR="0017512A" w:rsidRPr="00691DBE">
        <w:t>Regulations 2</w:t>
      </w:r>
      <w:r w:rsidRPr="00691DBE">
        <w:t>000</w:t>
      </w:r>
      <w:bookmarkEnd w:id="24"/>
    </w:p>
    <w:p w14:paraId="419DC74A" w14:textId="77777777" w:rsidR="00E93A1C" w:rsidRPr="00691DBE" w:rsidRDefault="00E93A1C" w:rsidP="00E93A1C">
      <w:pPr>
        <w:pStyle w:val="ItemHead"/>
      </w:pPr>
      <w:r w:rsidRPr="00691DBE">
        <w:t>1  The whole of the instrument</w:t>
      </w:r>
    </w:p>
    <w:p w14:paraId="5CF329BD" w14:textId="77777777" w:rsidR="00E93A1C" w:rsidRPr="00691DBE" w:rsidRDefault="00E93A1C" w:rsidP="00E93A1C">
      <w:pPr>
        <w:pStyle w:val="Item"/>
      </w:pPr>
      <w:r w:rsidRPr="00691DBE">
        <w:t>Repeal the instrument.</w:t>
      </w:r>
    </w:p>
    <w:p w14:paraId="77952FEB" w14:textId="77777777" w:rsidR="00E93A1C" w:rsidRPr="00691DBE" w:rsidRDefault="00E93A1C">
      <w:pPr>
        <w:sectPr w:rsidR="00E93A1C" w:rsidRPr="00691DBE" w:rsidSect="0060757C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15C38AB" w14:textId="77777777" w:rsidR="00E93A1C" w:rsidRPr="00691DBE" w:rsidRDefault="00E93A1C"/>
    <w:sectPr w:rsidR="00E93A1C" w:rsidRPr="00691DBE" w:rsidSect="0060757C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414C" w14:textId="77777777" w:rsidR="0055363C" w:rsidRDefault="0055363C" w:rsidP="00715914">
      <w:pPr>
        <w:spacing w:line="240" w:lineRule="auto"/>
      </w:pPr>
      <w:r>
        <w:separator/>
      </w:r>
    </w:p>
  </w:endnote>
  <w:endnote w:type="continuationSeparator" w:id="0">
    <w:p w14:paraId="38B5B268" w14:textId="77777777" w:rsidR="0055363C" w:rsidRDefault="0055363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7223" w14:textId="77777777" w:rsidR="00691DBE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C982" w14:textId="77777777" w:rsidR="0055363C" w:rsidRPr="00D675F1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5363C" w14:paraId="0F7D7F81" w14:textId="77777777" w:rsidTr="001251F3">
      <w:tc>
        <w:tcPr>
          <w:tcW w:w="947" w:type="pct"/>
        </w:tcPr>
        <w:p w14:paraId="3BD83A12" w14:textId="77777777" w:rsidR="0055363C" w:rsidRDefault="0055363C" w:rsidP="001F5C5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138A711" w14:textId="31496A3D" w:rsidR="0055363C" w:rsidRDefault="0055363C" w:rsidP="001F5C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56E31E9" w14:textId="77777777" w:rsidR="0055363C" w:rsidRDefault="0055363C" w:rsidP="001F5C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9132C1" w14:textId="77777777" w:rsidR="0055363C" w:rsidRPr="00D675F1" w:rsidRDefault="0055363C" w:rsidP="001F5C5E">
    <w:pPr>
      <w:rPr>
        <w:sz w:val="18"/>
      </w:rPr>
    </w:pPr>
  </w:p>
  <w:p w14:paraId="49550D79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D849" w14:textId="77777777" w:rsidR="0055363C" w:rsidRDefault="0055363C">
    <w:pPr>
      <w:pBdr>
        <w:top w:val="single" w:sz="6" w:space="1" w:color="auto"/>
      </w:pBdr>
      <w:rPr>
        <w:sz w:val="18"/>
      </w:rPr>
    </w:pPr>
  </w:p>
  <w:p w14:paraId="1A704309" w14:textId="4876A895" w:rsidR="0055363C" w:rsidRDefault="0055363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614A60">
      <w:rPr>
        <w:i/>
        <w:noProof/>
        <w:sz w:val="18"/>
      </w:rPr>
      <w:t>Product Stewardship (Oil) Regulations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614A6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5FC873EE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9A81" w14:textId="77777777" w:rsidR="0055363C" w:rsidRPr="00D90ABA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5363C" w14:paraId="683D048A" w14:textId="77777777" w:rsidTr="001251F3">
      <w:tc>
        <w:tcPr>
          <w:tcW w:w="365" w:type="pct"/>
        </w:tcPr>
        <w:p w14:paraId="005D177E" w14:textId="77777777" w:rsidR="0055363C" w:rsidRDefault="0055363C" w:rsidP="00E93A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E5ADAF9" w14:textId="15FC57A9" w:rsidR="0055363C" w:rsidRDefault="0055363C" w:rsidP="00E93A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E8F3DA7" w14:textId="77777777" w:rsidR="0055363C" w:rsidRDefault="0055363C" w:rsidP="00E93A1C">
          <w:pPr>
            <w:spacing w:line="0" w:lineRule="atLeast"/>
            <w:jc w:val="right"/>
            <w:rPr>
              <w:sz w:val="18"/>
            </w:rPr>
          </w:pPr>
        </w:p>
      </w:tc>
    </w:tr>
  </w:tbl>
  <w:p w14:paraId="07E4227D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3D42E" w14:textId="77777777" w:rsidR="0055363C" w:rsidRPr="00D90ABA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5363C" w14:paraId="21D7C2F5" w14:textId="77777777" w:rsidTr="001251F3">
      <w:tc>
        <w:tcPr>
          <w:tcW w:w="942" w:type="pct"/>
        </w:tcPr>
        <w:p w14:paraId="13EFB7B0" w14:textId="77777777" w:rsidR="0055363C" w:rsidRDefault="0055363C" w:rsidP="00E93A1C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6E669FA5" w14:textId="35906018" w:rsidR="0055363C" w:rsidRDefault="0055363C" w:rsidP="00E93A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72076C6F" w14:textId="77777777" w:rsidR="0055363C" w:rsidRDefault="0055363C" w:rsidP="00E93A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5EE261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27970" w14:textId="77777777" w:rsidR="0055363C" w:rsidRPr="00E33C1C" w:rsidRDefault="0055363C" w:rsidP="00E93A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63C" w14:paraId="2FA9DEA8" w14:textId="77777777" w:rsidTr="00691DB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E4987CA" w14:textId="77777777" w:rsidR="0055363C" w:rsidRDefault="0055363C" w:rsidP="00E93A1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5EB42E0" w14:textId="24E45967" w:rsidR="0055363C" w:rsidRDefault="0055363C" w:rsidP="00E93A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D7153D4" w14:textId="77777777" w:rsidR="0055363C" w:rsidRDefault="0055363C" w:rsidP="00E93A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CFA993" w14:textId="77777777" w:rsidR="0055363C" w:rsidRPr="00ED79B6" w:rsidRDefault="0055363C" w:rsidP="00E93A1C">
    <w:pPr>
      <w:rPr>
        <w:i/>
        <w:sz w:val="18"/>
      </w:rPr>
    </w:pPr>
  </w:p>
  <w:p w14:paraId="13A93E60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8DFB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5363C" w14:paraId="381584AE" w14:textId="77777777" w:rsidTr="001251F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B6DD56A" w14:textId="77777777" w:rsidR="0055363C" w:rsidRDefault="0055363C" w:rsidP="00B953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FA10777" w14:textId="6D604792" w:rsidR="0055363C" w:rsidRDefault="0055363C" w:rsidP="00B953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FA856C4" w14:textId="77777777" w:rsidR="0055363C" w:rsidRDefault="0055363C" w:rsidP="00B9537B">
          <w:pPr>
            <w:spacing w:line="0" w:lineRule="atLeast"/>
            <w:jc w:val="right"/>
            <w:rPr>
              <w:sz w:val="18"/>
            </w:rPr>
          </w:pPr>
        </w:p>
      </w:tc>
    </w:tr>
  </w:tbl>
  <w:p w14:paraId="2C8FDB22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B2BB8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5363C" w14:paraId="39144650" w14:textId="77777777" w:rsidTr="001251F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1F908D6" w14:textId="77777777" w:rsidR="0055363C" w:rsidRDefault="0055363C" w:rsidP="00B9537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39D4CF29" w14:textId="37AD9025" w:rsidR="0055363C" w:rsidRDefault="0055363C" w:rsidP="00B953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41C346F" w14:textId="77777777" w:rsidR="0055363C" w:rsidRDefault="0055363C" w:rsidP="00B953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DA498C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A92B" w14:textId="77777777" w:rsidR="0055363C" w:rsidRPr="00E33C1C" w:rsidRDefault="0055363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63C" w14:paraId="6E41A950" w14:textId="77777777" w:rsidTr="00691DB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BCD970F" w14:textId="77777777" w:rsidR="0055363C" w:rsidRDefault="0055363C" w:rsidP="00B9537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928FC61" w14:textId="73C81A71" w:rsidR="0055363C" w:rsidRDefault="0055363C" w:rsidP="00B953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466FE97" w14:textId="77777777" w:rsidR="0055363C" w:rsidRDefault="0055363C" w:rsidP="00B953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0966AF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9384" w14:textId="77777777" w:rsidR="0055363C" w:rsidRDefault="0055363C" w:rsidP="001251F3">
    <w:pPr>
      <w:pStyle w:val="Footer"/>
      <w:spacing w:before="120"/>
    </w:pPr>
  </w:p>
  <w:p w14:paraId="410E1096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A7CE" w14:textId="77777777" w:rsidR="0055363C" w:rsidRPr="0060757C" w:rsidRDefault="0060757C" w:rsidP="006075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49F9C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5363C" w14:paraId="7A11B955" w14:textId="77777777" w:rsidTr="001251F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80BEC94" w14:textId="77777777" w:rsidR="0055363C" w:rsidRDefault="0055363C" w:rsidP="00B953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3C7FB97D" w14:textId="4C2982AF" w:rsidR="0055363C" w:rsidRDefault="0055363C" w:rsidP="00B953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0AFBD471" w14:textId="77777777" w:rsidR="0055363C" w:rsidRDefault="0055363C" w:rsidP="00B9537B">
          <w:pPr>
            <w:spacing w:line="0" w:lineRule="atLeast"/>
            <w:jc w:val="right"/>
            <w:rPr>
              <w:sz w:val="18"/>
            </w:rPr>
          </w:pPr>
        </w:p>
      </w:tc>
    </w:tr>
  </w:tbl>
  <w:p w14:paraId="14FFDA42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97700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5363C" w14:paraId="130B4E17" w14:textId="77777777" w:rsidTr="001251F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0D17276D" w14:textId="77777777" w:rsidR="0055363C" w:rsidRDefault="0055363C" w:rsidP="00B9537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C502DB4" w14:textId="01D76898" w:rsidR="0055363C" w:rsidRDefault="0055363C" w:rsidP="00B953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3AF63991" w14:textId="77777777" w:rsidR="0055363C" w:rsidRDefault="0055363C" w:rsidP="00B953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BF76BD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1F34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5363C" w14:paraId="673C7B7C" w14:textId="77777777" w:rsidTr="001251F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1B5EE19" w14:textId="77777777" w:rsidR="0055363C" w:rsidRDefault="0055363C" w:rsidP="001251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B7C179D" w14:textId="1C2A7FC3" w:rsidR="0055363C" w:rsidRDefault="0055363C" w:rsidP="001251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2A2B667" w14:textId="77777777" w:rsidR="0055363C" w:rsidRDefault="0055363C" w:rsidP="001251F3">
          <w:pPr>
            <w:spacing w:line="0" w:lineRule="atLeast"/>
            <w:jc w:val="right"/>
            <w:rPr>
              <w:sz w:val="18"/>
            </w:rPr>
          </w:pPr>
        </w:p>
      </w:tc>
    </w:tr>
  </w:tbl>
  <w:p w14:paraId="165A3DCF" w14:textId="77777777" w:rsidR="0055363C" w:rsidRPr="00ED79B6" w:rsidRDefault="0055363C" w:rsidP="001251F3">
    <w:pPr>
      <w:rPr>
        <w:i/>
        <w:sz w:val="18"/>
      </w:rPr>
    </w:pPr>
  </w:p>
  <w:p w14:paraId="1F01E80C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9F69" w14:textId="77777777" w:rsidR="0055363C" w:rsidRPr="00E33C1C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5363C" w14:paraId="2169D929" w14:textId="77777777" w:rsidTr="001251F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1F736D37" w14:textId="77777777" w:rsidR="0055363C" w:rsidRDefault="0055363C" w:rsidP="001251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A31AA61" w14:textId="7894CC33" w:rsidR="0055363C" w:rsidRDefault="0055363C" w:rsidP="001251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4E620515" w14:textId="77777777" w:rsidR="0055363C" w:rsidRDefault="0055363C" w:rsidP="001251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BCCE43" w14:textId="77777777" w:rsidR="0055363C" w:rsidRPr="00ED79B6" w:rsidRDefault="0055363C" w:rsidP="001251F3">
    <w:pPr>
      <w:rPr>
        <w:i/>
        <w:sz w:val="18"/>
      </w:rPr>
    </w:pPr>
  </w:p>
  <w:p w14:paraId="0A41CE6A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C3F58" w14:textId="77777777" w:rsidR="0055363C" w:rsidRPr="00E33C1C" w:rsidRDefault="0055363C" w:rsidP="001251F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63C" w14:paraId="0DB2835A" w14:textId="77777777" w:rsidTr="00691DB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796CF22" w14:textId="77777777" w:rsidR="0055363C" w:rsidRDefault="0055363C" w:rsidP="001251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F954616" w14:textId="25E1A00B" w:rsidR="0055363C" w:rsidRDefault="0055363C" w:rsidP="001251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CAE81B3" w14:textId="77777777" w:rsidR="0055363C" w:rsidRDefault="0055363C" w:rsidP="001251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65C693" w14:textId="77777777" w:rsidR="0055363C" w:rsidRPr="00ED79B6" w:rsidRDefault="0055363C" w:rsidP="001251F3">
    <w:pPr>
      <w:rPr>
        <w:i/>
        <w:sz w:val="18"/>
      </w:rPr>
    </w:pPr>
  </w:p>
  <w:p w14:paraId="1F7FB5B1" w14:textId="77777777" w:rsidR="0055363C" w:rsidRPr="0060757C" w:rsidRDefault="0060757C" w:rsidP="0060757C">
    <w:pPr>
      <w:pStyle w:val="Footer"/>
      <w:rPr>
        <w:i/>
        <w:sz w:val="18"/>
      </w:rPr>
    </w:pPr>
    <w:r w:rsidRPr="0060757C">
      <w:rPr>
        <w:i/>
        <w:sz w:val="18"/>
      </w:rPr>
      <w:t>OPC65680 -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B4C7A" w14:textId="77777777" w:rsidR="0055363C" w:rsidRPr="00D675F1" w:rsidRDefault="0055363C" w:rsidP="001251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5363C" w14:paraId="35EE8F6A" w14:textId="77777777" w:rsidTr="001251F3">
      <w:tc>
        <w:tcPr>
          <w:tcW w:w="365" w:type="pct"/>
        </w:tcPr>
        <w:p w14:paraId="5151AE46" w14:textId="77777777" w:rsidR="0055363C" w:rsidRDefault="0055363C" w:rsidP="001F5C5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59797FC" w14:textId="747E8493" w:rsidR="0055363C" w:rsidRDefault="0055363C" w:rsidP="001F5C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4A60">
            <w:rPr>
              <w:i/>
              <w:sz w:val="18"/>
            </w:rPr>
            <w:t>Product Stewardship (Oil)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3AE6F3E" w14:textId="77777777" w:rsidR="0055363C" w:rsidRDefault="0055363C" w:rsidP="001F5C5E">
          <w:pPr>
            <w:spacing w:line="0" w:lineRule="atLeast"/>
            <w:jc w:val="right"/>
            <w:rPr>
              <w:sz w:val="18"/>
            </w:rPr>
          </w:pPr>
        </w:p>
      </w:tc>
    </w:tr>
  </w:tbl>
  <w:p w14:paraId="1C00B2F2" w14:textId="77777777" w:rsidR="0055363C" w:rsidRPr="0060757C" w:rsidRDefault="0060757C" w:rsidP="0060757C">
    <w:pPr>
      <w:rPr>
        <w:rFonts w:cs="Times New Roman"/>
        <w:i/>
        <w:sz w:val="18"/>
      </w:rPr>
    </w:pPr>
    <w:r w:rsidRPr="0060757C">
      <w:rPr>
        <w:rFonts w:cs="Times New Roman"/>
        <w:i/>
        <w:sz w:val="18"/>
      </w:rPr>
      <w:t>OPC65680 -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FDA5" w14:textId="77777777" w:rsidR="0055363C" w:rsidRDefault="0055363C" w:rsidP="00715914">
      <w:pPr>
        <w:spacing w:line="240" w:lineRule="auto"/>
      </w:pPr>
      <w:r>
        <w:separator/>
      </w:r>
    </w:p>
  </w:footnote>
  <w:footnote w:type="continuationSeparator" w:id="0">
    <w:p w14:paraId="137AC5AA" w14:textId="77777777" w:rsidR="0055363C" w:rsidRDefault="0055363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E7F5" w14:textId="77777777" w:rsidR="0055363C" w:rsidRPr="005F1388" w:rsidRDefault="0055363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08D1" w14:textId="42C4FD63" w:rsidR="0055363C" w:rsidRPr="00D675F1" w:rsidRDefault="0055363C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="00165AA3">
      <w:rPr>
        <w:sz w:val="20"/>
      </w:rPr>
      <w:fldChar w:fldCharType="separate"/>
    </w:r>
    <w:r w:rsidR="00165AA3">
      <w:rPr>
        <w:noProof/>
        <w:sz w:val="20"/>
      </w:rPr>
      <w:t>Re-refined base oil criteria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="00165AA3">
      <w:rPr>
        <w:b/>
        <w:sz w:val="20"/>
      </w:rPr>
      <w:fldChar w:fldCharType="separate"/>
    </w:r>
    <w:r w:rsidR="00165AA3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</w:p>
  <w:p w14:paraId="1813F486" w14:textId="05019907" w:rsidR="0055363C" w:rsidRPr="00D675F1" w:rsidRDefault="0055363C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14:paraId="50986DCE" w14:textId="0F68A5D8" w:rsidR="0055363C" w:rsidRPr="00D675F1" w:rsidRDefault="0055363C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14:paraId="02B9495D" w14:textId="77777777" w:rsidR="0055363C" w:rsidRPr="00D675F1" w:rsidRDefault="0055363C">
    <w:pPr>
      <w:jc w:val="right"/>
      <w:rPr>
        <w:b/>
      </w:rPr>
    </w:pPr>
  </w:p>
  <w:p w14:paraId="194019E1" w14:textId="2280BF09" w:rsidR="0055363C" w:rsidRPr="00D675F1" w:rsidRDefault="0055363C" w:rsidP="001251F3">
    <w:pPr>
      <w:pBdr>
        <w:bottom w:val="single" w:sz="6" w:space="1" w:color="auto"/>
      </w:pBdr>
      <w:spacing w:after="120"/>
      <w:jc w:val="right"/>
    </w:pPr>
    <w:r w:rsidRPr="00D675F1">
      <w:t xml:space="preserve">Clause </w:t>
    </w:r>
    <w:r w:rsidR="00F140F0">
      <w:fldChar w:fldCharType="begin"/>
    </w:r>
    <w:r w:rsidR="00F140F0">
      <w:instrText xml:space="preserve"> STYLEREF CharSectno </w:instrText>
    </w:r>
    <w:r w:rsidR="00F140F0">
      <w:fldChar w:fldCharType="separate"/>
    </w:r>
    <w:r w:rsidR="00165AA3">
      <w:rPr>
        <w:noProof/>
      </w:rPr>
      <w:t>1</w:t>
    </w:r>
    <w:r w:rsidR="00F140F0"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71060" w14:textId="77777777" w:rsidR="0055363C" w:rsidRDefault="0055363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3939" w14:textId="606139CA" w:rsidR="0055363C" w:rsidRDefault="0055363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4A60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4A60">
      <w:rPr>
        <w:noProof/>
        <w:sz w:val="20"/>
      </w:rPr>
      <w:t>Repeals</w:t>
    </w:r>
    <w:r>
      <w:rPr>
        <w:sz w:val="20"/>
      </w:rPr>
      <w:fldChar w:fldCharType="end"/>
    </w:r>
  </w:p>
  <w:p w14:paraId="35D51221" w14:textId="0703B1B7" w:rsidR="0055363C" w:rsidRDefault="0055363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254E56" w14:textId="77777777" w:rsidR="0055363C" w:rsidRDefault="0055363C" w:rsidP="001251F3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1743" w14:textId="3AA8D917" w:rsidR="0055363C" w:rsidRDefault="0055363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65AA3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65AA3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57E23477" w14:textId="63D34DED" w:rsidR="0055363C" w:rsidRDefault="0055363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C038BE1" w14:textId="77777777" w:rsidR="0055363C" w:rsidRDefault="0055363C" w:rsidP="001251F3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62BAA" w14:textId="77777777" w:rsidR="0055363C" w:rsidRDefault="0055363C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0B09" w14:textId="3A2EBD4D" w:rsidR="0055363C" w:rsidRDefault="0055363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614A60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14A60">
      <w:rPr>
        <w:noProof/>
        <w:sz w:val="20"/>
      </w:rPr>
      <w:t>Re-refined base oil criteria</w:t>
    </w:r>
    <w:r>
      <w:rPr>
        <w:sz w:val="20"/>
      </w:rPr>
      <w:fldChar w:fldCharType="end"/>
    </w:r>
  </w:p>
  <w:p w14:paraId="6A292585" w14:textId="507382F1" w:rsidR="0055363C" w:rsidRDefault="0055363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7914392" w14:textId="71FB3EA5" w:rsidR="0055363C" w:rsidRPr="007A1328" w:rsidRDefault="0055363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ADA133A" w14:textId="77777777" w:rsidR="0055363C" w:rsidRPr="007A1328" w:rsidRDefault="0055363C" w:rsidP="00715914">
    <w:pPr>
      <w:rPr>
        <w:b/>
        <w:sz w:val="24"/>
      </w:rPr>
    </w:pPr>
  </w:p>
  <w:p w14:paraId="0B207416" w14:textId="737D6191" w:rsidR="0055363C" w:rsidRPr="007A1328" w:rsidRDefault="0055363C" w:rsidP="001251F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4A6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4A60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800A6" w14:textId="6F77AB84" w:rsidR="0055363C" w:rsidRPr="007A1328" w:rsidRDefault="005536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614A60">
      <w:rPr>
        <w:noProof/>
        <w:sz w:val="20"/>
      </w:rPr>
      <w:t>Re-refined base oil criteria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614A6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57D932F" w14:textId="3063389C" w:rsidR="0055363C" w:rsidRPr="007A1328" w:rsidRDefault="005536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D84325E" w14:textId="4F521E4C" w:rsidR="0055363C" w:rsidRPr="007A1328" w:rsidRDefault="005536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38CEDC8" w14:textId="77777777" w:rsidR="0055363C" w:rsidRPr="007A1328" w:rsidRDefault="0055363C" w:rsidP="00715914">
    <w:pPr>
      <w:jc w:val="right"/>
      <w:rPr>
        <w:b/>
        <w:sz w:val="24"/>
      </w:rPr>
    </w:pPr>
  </w:p>
  <w:p w14:paraId="708ADCE2" w14:textId="24E3D0FF" w:rsidR="0055363C" w:rsidRPr="007A1328" w:rsidRDefault="0055363C" w:rsidP="001251F3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14A6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4A60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D678" w14:textId="77777777" w:rsidR="0055363C" w:rsidRPr="007A1328" w:rsidRDefault="0055363C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AC55" w14:textId="77777777" w:rsidR="0055363C" w:rsidRPr="005F1388" w:rsidRDefault="0055363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57E4" w14:textId="77777777" w:rsidR="0055363C" w:rsidRPr="005F1388" w:rsidRDefault="0055363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E422" w14:textId="77777777" w:rsidR="0055363C" w:rsidRPr="00ED79B6" w:rsidRDefault="0055363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9EF11" w14:textId="77777777" w:rsidR="0055363C" w:rsidRPr="00ED79B6" w:rsidRDefault="0055363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E78D" w14:textId="77777777" w:rsidR="0055363C" w:rsidRPr="00ED79B6" w:rsidRDefault="0055363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E581" w14:textId="3364CD57" w:rsidR="0055363C" w:rsidRPr="00D675F1" w:rsidRDefault="0055363C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</w:p>
  <w:p w14:paraId="692E3F8E" w14:textId="3913ED3D" w:rsidR="0055363C" w:rsidRPr="00D675F1" w:rsidRDefault="0055363C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="00165AA3">
      <w:rPr>
        <w:b/>
        <w:sz w:val="20"/>
      </w:rPr>
      <w:fldChar w:fldCharType="separate"/>
    </w:r>
    <w:r w:rsidR="00165AA3">
      <w:rPr>
        <w:b/>
        <w:noProof/>
        <w:sz w:val="20"/>
      </w:rPr>
      <w:t>Part 3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="00165AA3">
      <w:rPr>
        <w:sz w:val="20"/>
      </w:rPr>
      <w:fldChar w:fldCharType="separate"/>
    </w:r>
    <w:r w:rsidR="00165AA3">
      <w:rPr>
        <w:noProof/>
        <w:sz w:val="20"/>
      </w:rPr>
      <w:t>Application, saving and transitional provisions</w:t>
    </w:r>
    <w:r w:rsidRPr="00D675F1">
      <w:rPr>
        <w:sz w:val="20"/>
      </w:rPr>
      <w:fldChar w:fldCharType="end"/>
    </w:r>
  </w:p>
  <w:p w14:paraId="2E49258B" w14:textId="4C7EE0D9" w:rsidR="0055363C" w:rsidRPr="00D675F1" w:rsidRDefault="0055363C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14:paraId="4732221B" w14:textId="77777777" w:rsidR="0055363C" w:rsidRPr="00D675F1" w:rsidRDefault="0055363C">
    <w:pPr>
      <w:rPr>
        <w:b/>
      </w:rPr>
    </w:pPr>
  </w:p>
  <w:p w14:paraId="69535320" w14:textId="13B5C596" w:rsidR="0055363C" w:rsidRPr="00D675F1" w:rsidRDefault="0055363C" w:rsidP="001251F3">
    <w:pPr>
      <w:pBdr>
        <w:bottom w:val="single" w:sz="6" w:space="1" w:color="auto"/>
      </w:pBdr>
      <w:spacing w:after="120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614A60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165AA3">
      <w:rPr>
        <w:noProof/>
        <w:sz w:val="24"/>
      </w:rPr>
      <w:t>8</w:t>
    </w:r>
    <w:r w:rsidRPr="00D675F1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9FC8" w14:textId="05E73AF9" w:rsidR="0055363C" w:rsidRPr="00D675F1" w:rsidRDefault="0055363C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</w:p>
  <w:p w14:paraId="05DA9E91" w14:textId="2C1FFC04" w:rsidR="0055363C" w:rsidRPr="00D675F1" w:rsidRDefault="0055363C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="00165AA3">
      <w:rPr>
        <w:sz w:val="20"/>
      </w:rPr>
      <w:fldChar w:fldCharType="separate"/>
    </w:r>
    <w:r w:rsidR="00F140F0">
      <w:rPr>
        <w:noProof/>
        <w:sz w:val="20"/>
      </w:rPr>
      <w:t>Preliminary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="00165AA3">
      <w:rPr>
        <w:b/>
        <w:sz w:val="20"/>
      </w:rPr>
      <w:fldChar w:fldCharType="separate"/>
    </w:r>
    <w:r w:rsidR="00F140F0">
      <w:rPr>
        <w:b/>
        <w:noProof/>
        <w:sz w:val="20"/>
      </w:rPr>
      <w:t>Part 1</w:t>
    </w:r>
    <w:r w:rsidRPr="00D675F1">
      <w:rPr>
        <w:b/>
        <w:sz w:val="20"/>
      </w:rPr>
      <w:fldChar w:fldCharType="end"/>
    </w:r>
  </w:p>
  <w:p w14:paraId="2F01CB29" w14:textId="465B87F0" w:rsidR="0055363C" w:rsidRPr="00D675F1" w:rsidRDefault="0055363C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14:paraId="72DBBD5B" w14:textId="77777777" w:rsidR="0055363C" w:rsidRPr="00D675F1" w:rsidRDefault="0055363C">
    <w:pPr>
      <w:jc w:val="right"/>
      <w:rPr>
        <w:b/>
      </w:rPr>
    </w:pPr>
  </w:p>
  <w:p w14:paraId="72FC479D" w14:textId="41CB4792" w:rsidR="0055363C" w:rsidRPr="00D675F1" w:rsidRDefault="0055363C" w:rsidP="001251F3">
    <w:pPr>
      <w:pBdr>
        <w:bottom w:val="single" w:sz="6" w:space="1" w:color="auto"/>
      </w:pBdr>
      <w:spacing w:after="120"/>
      <w:jc w:val="right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614A60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F140F0">
      <w:rPr>
        <w:noProof/>
        <w:sz w:val="24"/>
      </w:rPr>
      <w:t>1</w:t>
    </w:r>
    <w:r w:rsidRPr="00D675F1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5FDD6" w14:textId="1772D9E4" w:rsidR="0055363C" w:rsidRPr="00D675F1" w:rsidRDefault="0055363C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="00165AA3">
      <w:rPr>
        <w:b/>
        <w:sz w:val="20"/>
      </w:rPr>
      <w:fldChar w:fldCharType="separate"/>
    </w:r>
    <w:r w:rsidR="00165AA3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="00165AA3">
      <w:rPr>
        <w:sz w:val="20"/>
      </w:rPr>
      <w:fldChar w:fldCharType="separate"/>
    </w:r>
    <w:r w:rsidR="00165AA3">
      <w:rPr>
        <w:noProof/>
        <w:sz w:val="20"/>
      </w:rPr>
      <w:t>Re-refined base oil criteria</w:t>
    </w:r>
    <w:r w:rsidRPr="00D675F1">
      <w:rPr>
        <w:sz w:val="20"/>
      </w:rPr>
      <w:fldChar w:fldCharType="end"/>
    </w:r>
  </w:p>
  <w:p w14:paraId="2107E2AC" w14:textId="4CD01309" w:rsidR="0055363C" w:rsidRPr="00D675F1" w:rsidRDefault="0055363C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14:paraId="468F9CF4" w14:textId="69A0491D" w:rsidR="0055363C" w:rsidRPr="00D675F1" w:rsidRDefault="0055363C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14:paraId="0E850686" w14:textId="77777777" w:rsidR="0055363C" w:rsidRPr="00D675F1" w:rsidRDefault="0055363C">
    <w:pPr>
      <w:rPr>
        <w:b/>
      </w:rPr>
    </w:pPr>
  </w:p>
  <w:p w14:paraId="2057F9E7" w14:textId="3BF4737C" w:rsidR="0055363C" w:rsidRPr="00D675F1" w:rsidRDefault="0055363C" w:rsidP="001251F3">
    <w:pPr>
      <w:pBdr>
        <w:bottom w:val="single" w:sz="6" w:space="1" w:color="auto"/>
      </w:pBdr>
      <w:spacing w:after="120"/>
    </w:pPr>
    <w:r w:rsidRPr="00D675F1">
      <w:t xml:space="preserve">Clause </w:t>
    </w:r>
    <w:r w:rsidR="00F140F0">
      <w:fldChar w:fldCharType="begin"/>
    </w:r>
    <w:r w:rsidR="00F140F0">
      <w:instrText xml:space="preserve"> STYLEREF CharSectno </w:instrText>
    </w:r>
    <w:r w:rsidR="00F140F0">
      <w:fldChar w:fldCharType="separate"/>
    </w:r>
    <w:r w:rsidR="00165AA3">
      <w:rPr>
        <w:noProof/>
      </w:rPr>
      <w:t>7</w:t>
    </w:r>
    <w:r w:rsidR="00F140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E33E1"/>
    <w:multiLevelType w:val="multilevel"/>
    <w:tmpl w:val="DC4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E73690"/>
    <w:multiLevelType w:val="hybridMultilevel"/>
    <w:tmpl w:val="62ACFA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477FE4"/>
    <w:multiLevelType w:val="hybridMultilevel"/>
    <w:tmpl w:val="57B63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06231AF"/>
    <w:multiLevelType w:val="hybridMultilevel"/>
    <w:tmpl w:val="A23C60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17CFF"/>
    <w:multiLevelType w:val="hybridMultilevel"/>
    <w:tmpl w:val="A86A7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D3732"/>
    <w:multiLevelType w:val="hybridMultilevel"/>
    <w:tmpl w:val="6EF4F9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75F98"/>
    <w:multiLevelType w:val="hybridMultilevel"/>
    <w:tmpl w:val="4C14E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18"/>
  </w:num>
  <w:num w:numId="20">
    <w:abstractNumId w:val="10"/>
  </w:num>
  <w:num w:numId="21">
    <w:abstractNumId w:val="22"/>
  </w:num>
  <w:num w:numId="22">
    <w:abstractNumId w:val="23"/>
  </w:num>
  <w:num w:numId="23">
    <w:abstractNumId w:val="17"/>
  </w:num>
  <w:num w:numId="24">
    <w:abstractNumId w:val="24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6676"/>
    <w:rsid w:val="00001066"/>
    <w:rsid w:val="00004470"/>
    <w:rsid w:val="0001004A"/>
    <w:rsid w:val="000136AF"/>
    <w:rsid w:val="00020DD3"/>
    <w:rsid w:val="00025243"/>
    <w:rsid w:val="000309FA"/>
    <w:rsid w:val="0003561A"/>
    <w:rsid w:val="00035D3D"/>
    <w:rsid w:val="000378A6"/>
    <w:rsid w:val="000437C1"/>
    <w:rsid w:val="00046107"/>
    <w:rsid w:val="000514B8"/>
    <w:rsid w:val="0005365D"/>
    <w:rsid w:val="000614BF"/>
    <w:rsid w:val="000741AF"/>
    <w:rsid w:val="00083FB6"/>
    <w:rsid w:val="00086783"/>
    <w:rsid w:val="000B58FA"/>
    <w:rsid w:val="000B7E30"/>
    <w:rsid w:val="000C6380"/>
    <w:rsid w:val="000D05EF"/>
    <w:rsid w:val="000D5A5C"/>
    <w:rsid w:val="000E2261"/>
    <w:rsid w:val="000F1305"/>
    <w:rsid w:val="000F21C1"/>
    <w:rsid w:val="0010745C"/>
    <w:rsid w:val="001251F3"/>
    <w:rsid w:val="00132CEB"/>
    <w:rsid w:val="0013407A"/>
    <w:rsid w:val="00142B62"/>
    <w:rsid w:val="00142FC6"/>
    <w:rsid w:val="00143C26"/>
    <w:rsid w:val="0014539C"/>
    <w:rsid w:val="001518AF"/>
    <w:rsid w:val="001537A9"/>
    <w:rsid w:val="00153893"/>
    <w:rsid w:val="00155724"/>
    <w:rsid w:val="00157B8B"/>
    <w:rsid w:val="001626BC"/>
    <w:rsid w:val="00163A4E"/>
    <w:rsid w:val="00165AA3"/>
    <w:rsid w:val="00166C2F"/>
    <w:rsid w:val="001721AC"/>
    <w:rsid w:val="0017512A"/>
    <w:rsid w:val="001809D7"/>
    <w:rsid w:val="001862A7"/>
    <w:rsid w:val="00191931"/>
    <w:rsid w:val="001939E1"/>
    <w:rsid w:val="00194C3E"/>
    <w:rsid w:val="00195382"/>
    <w:rsid w:val="001B713D"/>
    <w:rsid w:val="001B793D"/>
    <w:rsid w:val="001C2C69"/>
    <w:rsid w:val="001C42AD"/>
    <w:rsid w:val="001C61C5"/>
    <w:rsid w:val="001C69C4"/>
    <w:rsid w:val="001D37EF"/>
    <w:rsid w:val="001E3590"/>
    <w:rsid w:val="001E7407"/>
    <w:rsid w:val="001F39BB"/>
    <w:rsid w:val="001F5C5E"/>
    <w:rsid w:val="001F5D5E"/>
    <w:rsid w:val="001F6219"/>
    <w:rsid w:val="001F6CD4"/>
    <w:rsid w:val="00206C4D"/>
    <w:rsid w:val="00210064"/>
    <w:rsid w:val="0021053C"/>
    <w:rsid w:val="0021436F"/>
    <w:rsid w:val="002150FD"/>
    <w:rsid w:val="00215AF1"/>
    <w:rsid w:val="00223252"/>
    <w:rsid w:val="00226562"/>
    <w:rsid w:val="002321E8"/>
    <w:rsid w:val="00236EEC"/>
    <w:rsid w:val="0024010F"/>
    <w:rsid w:val="00240749"/>
    <w:rsid w:val="00243018"/>
    <w:rsid w:val="0024490B"/>
    <w:rsid w:val="00255BED"/>
    <w:rsid w:val="002564A4"/>
    <w:rsid w:val="0026194D"/>
    <w:rsid w:val="0026736C"/>
    <w:rsid w:val="00274D3C"/>
    <w:rsid w:val="00281308"/>
    <w:rsid w:val="00281F8B"/>
    <w:rsid w:val="00284719"/>
    <w:rsid w:val="00296225"/>
    <w:rsid w:val="00297ECB"/>
    <w:rsid w:val="002A2FAC"/>
    <w:rsid w:val="002A56A3"/>
    <w:rsid w:val="002A7BCF"/>
    <w:rsid w:val="002B1613"/>
    <w:rsid w:val="002B189D"/>
    <w:rsid w:val="002B1A4E"/>
    <w:rsid w:val="002C4A40"/>
    <w:rsid w:val="002C4EAD"/>
    <w:rsid w:val="002D043A"/>
    <w:rsid w:val="002D6224"/>
    <w:rsid w:val="002E3F4B"/>
    <w:rsid w:val="002F2DD9"/>
    <w:rsid w:val="002F4A61"/>
    <w:rsid w:val="002F76DB"/>
    <w:rsid w:val="0030294B"/>
    <w:rsid w:val="00304F8B"/>
    <w:rsid w:val="00305D6F"/>
    <w:rsid w:val="00325129"/>
    <w:rsid w:val="003354D2"/>
    <w:rsid w:val="00335BC6"/>
    <w:rsid w:val="00335ECB"/>
    <w:rsid w:val="003415D3"/>
    <w:rsid w:val="00344701"/>
    <w:rsid w:val="00352B0F"/>
    <w:rsid w:val="00356690"/>
    <w:rsid w:val="00360459"/>
    <w:rsid w:val="00371CF3"/>
    <w:rsid w:val="003B09DB"/>
    <w:rsid w:val="003B1F2F"/>
    <w:rsid w:val="003B77A7"/>
    <w:rsid w:val="003C61D1"/>
    <w:rsid w:val="003C6231"/>
    <w:rsid w:val="003D0BFE"/>
    <w:rsid w:val="003D3916"/>
    <w:rsid w:val="003D5700"/>
    <w:rsid w:val="003E341B"/>
    <w:rsid w:val="003F25F8"/>
    <w:rsid w:val="00407878"/>
    <w:rsid w:val="00410866"/>
    <w:rsid w:val="004116CD"/>
    <w:rsid w:val="004144EC"/>
    <w:rsid w:val="00417EB9"/>
    <w:rsid w:val="00424CA9"/>
    <w:rsid w:val="00431E9B"/>
    <w:rsid w:val="00433235"/>
    <w:rsid w:val="00436FFA"/>
    <w:rsid w:val="004379E3"/>
    <w:rsid w:val="00437E5C"/>
    <w:rsid w:val="0044015E"/>
    <w:rsid w:val="0044291A"/>
    <w:rsid w:val="00444ABD"/>
    <w:rsid w:val="00461C81"/>
    <w:rsid w:val="00467661"/>
    <w:rsid w:val="004705B7"/>
    <w:rsid w:val="00471DAA"/>
    <w:rsid w:val="00472DBE"/>
    <w:rsid w:val="00474A19"/>
    <w:rsid w:val="004808D5"/>
    <w:rsid w:val="00481560"/>
    <w:rsid w:val="00496F97"/>
    <w:rsid w:val="004A0D2A"/>
    <w:rsid w:val="004C10D0"/>
    <w:rsid w:val="004C2001"/>
    <w:rsid w:val="004C6AE8"/>
    <w:rsid w:val="004D1179"/>
    <w:rsid w:val="004D3593"/>
    <w:rsid w:val="004D4CE1"/>
    <w:rsid w:val="004E063A"/>
    <w:rsid w:val="004E2451"/>
    <w:rsid w:val="004E7BEC"/>
    <w:rsid w:val="004F53FA"/>
    <w:rsid w:val="00505D3D"/>
    <w:rsid w:val="00506AF6"/>
    <w:rsid w:val="00507C69"/>
    <w:rsid w:val="00516B8D"/>
    <w:rsid w:val="00537FBC"/>
    <w:rsid w:val="00543CBF"/>
    <w:rsid w:val="0055363C"/>
    <w:rsid w:val="00554954"/>
    <w:rsid w:val="005574D1"/>
    <w:rsid w:val="0056474B"/>
    <w:rsid w:val="00584811"/>
    <w:rsid w:val="00585784"/>
    <w:rsid w:val="00593AA6"/>
    <w:rsid w:val="00594161"/>
    <w:rsid w:val="00594749"/>
    <w:rsid w:val="005A6046"/>
    <w:rsid w:val="005B111D"/>
    <w:rsid w:val="005B4067"/>
    <w:rsid w:val="005C02B3"/>
    <w:rsid w:val="005C3F41"/>
    <w:rsid w:val="005D0414"/>
    <w:rsid w:val="005D2D09"/>
    <w:rsid w:val="005E0587"/>
    <w:rsid w:val="005F6FCB"/>
    <w:rsid w:val="00600219"/>
    <w:rsid w:val="00603DC4"/>
    <w:rsid w:val="0060757C"/>
    <w:rsid w:val="0061189D"/>
    <w:rsid w:val="00614A60"/>
    <w:rsid w:val="00620076"/>
    <w:rsid w:val="00621778"/>
    <w:rsid w:val="00644101"/>
    <w:rsid w:val="00654E89"/>
    <w:rsid w:val="00670EA1"/>
    <w:rsid w:val="006727AC"/>
    <w:rsid w:val="00677CC2"/>
    <w:rsid w:val="006901ED"/>
    <w:rsid w:val="006905DE"/>
    <w:rsid w:val="00691407"/>
    <w:rsid w:val="00691DBE"/>
    <w:rsid w:val="0069207B"/>
    <w:rsid w:val="006944A8"/>
    <w:rsid w:val="006A0CDC"/>
    <w:rsid w:val="006A546E"/>
    <w:rsid w:val="006A5527"/>
    <w:rsid w:val="006B5789"/>
    <w:rsid w:val="006C30C5"/>
    <w:rsid w:val="006C3950"/>
    <w:rsid w:val="006C7F8C"/>
    <w:rsid w:val="006D18D3"/>
    <w:rsid w:val="006D43F4"/>
    <w:rsid w:val="006E0771"/>
    <w:rsid w:val="006E1D82"/>
    <w:rsid w:val="006E6246"/>
    <w:rsid w:val="006F318F"/>
    <w:rsid w:val="006F4226"/>
    <w:rsid w:val="0070017E"/>
    <w:rsid w:val="00700B2C"/>
    <w:rsid w:val="007050A2"/>
    <w:rsid w:val="00710790"/>
    <w:rsid w:val="00713084"/>
    <w:rsid w:val="00714F20"/>
    <w:rsid w:val="0071590F"/>
    <w:rsid w:val="00715914"/>
    <w:rsid w:val="00731E00"/>
    <w:rsid w:val="00744054"/>
    <w:rsid w:val="007440B7"/>
    <w:rsid w:val="007465EC"/>
    <w:rsid w:val="007500C8"/>
    <w:rsid w:val="007504A5"/>
    <w:rsid w:val="00756272"/>
    <w:rsid w:val="0076681A"/>
    <w:rsid w:val="007715C9"/>
    <w:rsid w:val="00771613"/>
    <w:rsid w:val="00774EDD"/>
    <w:rsid w:val="007757EC"/>
    <w:rsid w:val="0077636F"/>
    <w:rsid w:val="00783E89"/>
    <w:rsid w:val="007907E5"/>
    <w:rsid w:val="00793915"/>
    <w:rsid w:val="007B232A"/>
    <w:rsid w:val="007B76B4"/>
    <w:rsid w:val="007B7F0C"/>
    <w:rsid w:val="007C1F8C"/>
    <w:rsid w:val="007C2253"/>
    <w:rsid w:val="007C2CC1"/>
    <w:rsid w:val="007D5A63"/>
    <w:rsid w:val="007D7B81"/>
    <w:rsid w:val="007E163D"/>
    <w:rsid w:val="007E381F"/>
    <w:rsid w:val="007E667A"/>
    <w:rsid w:val="007F28C9"/>
    <w:rsid w:val="007F4597"/>
    <w:rsid w:val="00803587"/>
    <w:rsid w:val="00807626"/>
    <w:rsid w:val="008117E9"/>
    <w:rsid w:val="00824498"/>
    <w:rsid w:val="0082754D"/>
    <w:rsid w:val="00834F13"/>
    <w:rsid w:val="008464D3"/>
    <w:rsid w:val="00851009"/>
    <w:rsid w:val="00856A31"/>
    <w:rsid w:val="008576E5"/>
    <w:rsid w:val="00864B24"/>
    <w:rsid w:val="00867654"/>
    <w:rsid w:val="00867B37"/>
    <w:rsid w:val="008754D0"/>
    <w:rsid w:val="008855C9"/>
    <w:rsid w:val="00886456"/>
    <w:rsid w:val="008971A5"/>
    <w:rsid w:val="008A46E1"/>
    <w:rsid w:val="008A4F43"/>
    <w:rsid w:val="008B1600"/>
    <w:rsid w:val="008B2706"/>
    <w:rsid w:val="008B600F"/>
    <w:rsid w:val="008B672C"/>
    <w:rsid w:val="008B7D84"/>
    <w:rsid w:val="008C10E1"/>
    <w:rsid w:val="008D0EE0"/>
    <w:rsid w:val="008D7938"/>
    <w:rsid w:val="008E6067"/>
    <w:rsid w:val="008F319D"/>
    <w:rsid w:val="008F4436"/>
    <w:rsid w:val="008F54E7"/>
    <w:rsid w:val="00903422"/>
    <w:rsid w:val="00905AE4"/>
    <w:rsid w:val="00915DF9"/>
    <w:rsid w:val="00924FFF"/>
    <w:rsid w:val="009254C3"/>
    <w:rsid w:val="00932377"/>
    <w:rsid w:val="00942831"/>
    <w:rsid w:val="00947D5A"/>
    <w:rsid w:val="009532A5"/>
    <w:rsid w:val="009537A8"/>
    <w:rsid w:val="00965A9F"/>
    <w:rsid w:val="009662B4"/>
    <w:rsid w:val="00975A57"/>
    <w:rsid w:val="00976FF5"/>
    <w:rsid w:val="00977CA5"/>
    <w:rsid w:val="00982242"/>
    <w:rsid w:val="00982E60"/>
    <w:rsid w:val="009868E9"/>
    <w:rsid w:val="00992344"/>
    <w:rsid w:val="009B1B0F"/>
    <w:rsid w:val="009B5AB3"/>
    <w:rsid w:val="009C2097"/>
    <w:rsid w:val="009D4664"/>
    <w:rsid w:val="009D71B8"/>
    <w:rsid w:val="009E142D"/>
    <w:rsid w:val="009E1604"/>
    <w:rsid w:val="009E5CFC"/>
    <w:rsid w:val="009F7489"/>
    <w:rsid w:val="00A02765"/>
    <w:rsid w:val="00A03041"/>
    <w:rsid w:val="00A06FEB"/>
    <w:rsid w:val="00A079CB"/>
    <w:rsid w:val="00A10284"/>
    <w:rsid w:val="00A12128"/>
    <w:rsid w:val="00A13C3A"/>
    <w:rsid w:val="00A20D61"/>
    <w:rsid w:val="00A22C98"/>
    <w:rsid w:val="00A231E2"/>
    <w:rsid w:val="00A31B3D"/>
    <w:rsid w:val="00A60FB0"/>
    <w:rsid w:val="00A64912"/>
    <w:rsid w:val="00A65D95"/>
    <w:rsid w:val="00A70A74"/>
    <w:rsid w:val="00A91D59"/>
    <w:rsid w:val="00A92006"/>
    <w:rsid w:val="00AA7F5A"/>
    <w:rsid w:val="00AB691D"/>
    <w:rsid w:val="00AD5641"/>
    <w:rsid w:val="00AD7889"/>
    <w:rsid w:val="00AE3652"/>
    <w:rsid w:val="00AE4832"/>
    <w:rsid w:val="00AF021B"/>
    <w:rsid w:val="00AF06CF"/>
    <w:rsid w:val="00AF3FE6"/>
    <w:rsid w:val="00B05CF4"/>
    <w:rsid w:val="00B07CDB"/>
    <w:rsid w:val="00B10388"/>
    <w:rsid w:val="00B12325"/>
    <w:rsid w:val="00B13F29"/>
    <w:rsid w:val="00B16A31"/>
    <w:rsid w:val="00B17DFD"/>
    <w:rsid w:val="00B308FE"/>
    <w:rsid w:val="00B30EE9"/>
    <w:rsid w:val="00B33709"/>
    <w:rsid w:val="00B33B3C"/>
    <w:rsid w:val="00B50ADC"/>
    <w:rsid w:val="00B54361"/>
    <w:rsid w:val="00B566B1"/>
    <w:rsid w:val="00B6000C"/>
    <w:rsid w:val="00B60E85"/>
    <w:rsid w:val="00B63834"/>
    <w:rsid w:val="00B65F8A"/>
    <w:rsid w:val="00B700DA"/>
    <w:rsid w:val="00B72734"/>
    <w:rsid w:val="00B72FCC"/>
    <w:rsid w:val="00B80199"/>
    <w:rsid w:val="00B83204"/>
    <w:rsid w:val="00B9537B"/>
    <w:rsid w:val="00BA0B18"/>
    <w:rsid w:val="00BA0C87"/>
    <w:rsid w:val="00BA220B"/>
    <w:rsid w:val="00BA3A57"/>
    <w:rsid w:val="00BA691F"/>
    <w:rsid w:val="00BB30D8"/>
    <w:rsid w:val="00BB4E1A"/>
    <w:rsid w:val="00BB57EC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7E8D"/>
    <w:rsid w:val="00C05FE7"/>
    <w:rsid w:val="00C100EC"/>
    <w:rsid w:val="00C25E7F"/>
    <w:rsid w:val="00C2746F"/>
    <w:rsid w:val="00C324A0"/>
    <w:rsid w:val="00C3300F"/>
    <w:rsid w:val="00C42BF8"/>
    <w:rsid w:val="00C50043"/>
    <w:rsid w:val="00C520C3"/>
    <w:rsid w:val="00C5467D"/>
    <w:rsid w:val="00C72B68"/>
    <w:rsid w:val="00C7573B"/>
    <w:rsid w:val="00C93C03"/>
    <w:rsid w:val="00CB1E3B"/>
    <w:rsid w:val="00CB2C8E"/>
    <w:rsid w:val="00CB602E"/>
    <w:rsid w:val="00CB6727"/>
    <w:rsid w:val="00CB6AD7"/>
    <w:rsid w:val="00CC3EDF"/>
    <w:rsid w:val="00CD0A9F"/>
    <w:rsid w:val="00CD6401"/>
    <w:rsid w:val="00CE051D"/>
    <w:rsid w:val="00CE1335"/>
    <w:rsid w:val="00CE14D2"/>
    <w:rsid w:val="00CE2A76"/>
    <w:rsid w:val="00CE400D"/>
    <w:rsid w:val="00CE493D"/>
    <w:rsid w:val="00CE5756"/>
    <w:rsid w:val="00CF07FA"/>
    <w:rsid w:val="00CF0BB2"/>
    <w:rsid w:val="00CF3EE8"/>
    <w:rsid w:val="00D0084B"/>
    <w:rsid w:val="00D050E6"/>
    <w:rsid w:val="00D05B97"/>
    <w:rsid w:val="00D13441"/>
    <w:rsid w:val="00D150E7"/>
    <w:rsid w:val="00D315E4"/>
    <w:rsid w:val="00D32F65"/>
    <w:rsid w:val="00D41D9F"/>
    <w:rsid w:val="00D47E3F"/>
    <w:rsid w:val="00D52DC2"/>
    <w:rsid w:val="00D53BCC"/>
    <w:rsid w:val="00D611D9"/>
    <w:rsid w:val="00D67E8A"/>
    <w:rsid w:val="00D70DFB"/>
    <w:rsid w:val="00D717BF"/>
    <w:rsid w:val="00D766DF"/>
    <w:rsid w:val="00DA186E"/>
    <w:rsid w:val="00DA4116"/>
    <w:rsid w:val="00DB251C"/>
    <w:rsid w:val="00DB4630"/>
    <w:rsid w:val="00DC4F88"/>
    <w:rsid w:val="00DC57E2"/>
    <w:rsid w:val="00DD26D2"/>
    <w:rsid w:val="00DE47FE"/>
    <w:rsid w:val="00DF3E2C"/>
    <w:rsid w:val="00DF7C31"/>
    <w:rsid w:val="00E05704"/>
    <w:rsid w:val="00E06509"/>
    <w:rsid w:val="00E10DE8"/>
    <w:rsid w:val="00E11E44"/>
    <w:rsid w:val="00E2224C"/>
    <w:rsid w:val="00E24CED"/>
    <w:rsid w:val="00E2755E"/>
    <w:rsid w:val="00E3270E"/>
    <w:rsid w:val="00E338EF"/>
    <w:rsid w:val="00E544BB"/>
    <w:rsid w:val="00E662CB"/>
    <w:rsid w:val="00E67B0D"/>
    <w:rsid w:val="00E74DC7"/>
    <w:rsid w:val="00E76806"/>
    <w:rsid w:val="00E77883"/>
    <w:rsid w:val="00E8075A"/>
    <w:rsid w:val="00E93A1C"/>
    <w:rsid w:val="00E94D5E"/>
    <w:rsid w:val="00EA7100"/>
    <w:rsid w:val="00EA7F9F"/>
    <w:rsid w:val="00EB1274"/>
    <w:rsid w:val="00EB1904"/>
    <w:rsid w:val="00EB6AD0"/>
    <w:rsid w:val="00ED2BB6"/>
    <w:rsid w:val="00ED34E1"/>
    <w:rsid w:val="00ED3B8D"/>
    <w:rsid w:val="00ED659C"/>
    <w:rsid w:val="00EE1B4B"/>
    <w:rsid w:val="00EF2E3A"/>
    <w:rsid w:val="00F072A7"/>
    <w:rsid w:val="00F078DC"/>
    <w:rsid w:val="00F07BFF"/>
    <w:rsid w:val="00F140F0"/>
    <w:rsid w:val="00F26676"/>
    <w:rsid w:val="00F32BA8"/>
    <w:rsid w:val="00F33D62"/>
    <w:rsid w:val="00F349F1"/>
    <w:rsid w:val="00F42E18"/>
    <w:rsid w:val="00F4350D"/>
    <w:rsid w:val="00F44C9A"/>
    <w:rsid w:val="00F502B2"/>
    <w:rsid w:val="00F567F7"/>
    <w:rsid w:val="00F57328"/>
    <w:rsid w:val="00F62036"/>
    <w:rsid w:val="00F65B52"/>
    <w:rsid w:val="00F67BCA"/>
    <w:rsid w:val="00F73BD6"/>
    <w:rsid w:val="00F755B9"/>
    <w:rsid w:val="00F83989"/>
    <w:rsid w:val="00F85099"/>
    <w:rsid w:val="00F92F9D"/>
    <w:rsid w:val="00F9379C"/>
    <w:rsid w:val="00F9621F"/>
    <w:rsid w:val="00F9632C"/>
    <w:rsid w:val="00FA11A0"/>
    <w:rsid w:val="00FA1E52"/>
    <w:rsid w:val="00FA7229"/>
    <w:rsid w:val="00FB1409"/>
    <w:rsid w:val="00FC15E5"/>
    <w:rsid w:val="00FC67BB"/>
    <w:rsid w:val="00FC7073"/>
    <w:rsid w:val="00FD74D8"/>
    <w:rsid w:val="00FD74E0"/>
    <w:rsid w:val="00FE4688"/>
    <w:rsid w:val="00FF38FE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82F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751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1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1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1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1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51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51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51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51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51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7512A"/>
  </w:style>
  <w:style w:type="paragraph" w:customStyle="1" w:styleId="OPCParaBase">
    <w:name w:val="OPCParaBase"/>
    <w:qFormat/>
    <w:rsid w:val="001751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751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751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751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751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751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751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751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751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751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751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7512A"/>
  </w:style>
  <w:style w:type="paragraph" w:customStyle="1" w:styleId="Blocks">
    <w:name w:val="Blocks"/>
    <w:aliases w:val="bb"/>
    <w:basedOn w:val="OPCParaBase"/>
    <w:qFormat/>
    <w:rsid w:val="001751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75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751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7512A"/>
    <w:rPr>
      <w:i/>
    </w:rPr>
  </w:style>
  <w:style w:type="paragraph" w:customStyle="1" w:styleId="BoxList">
    <w:name w:val="BoxList"/>
    <w:aliases w:val="bl"/>
    <w:basedOn w:val="BoxText"/>
    <w:qFormat/>
    <w:rsid w:val="001751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751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751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7512A"/>
    <w:pPr>
      <w:ind w:left="1985" w:hanging="851"/>
    </w:pPr>
  </w:style>
  <w:style w:type="character" w:customStyle="1" w:styleId="CharAmPartNo">
    <w:name w:val="CharAmPartNo"/>
    <w:basedOn w:val="OPCCharBase"/>
    <w:qFormat/>
    <w:rsid w:val="0017512A"/>
  </w:style>
  <w:style w:type="character" w:customStyle="1" w:styleId="CharAmPartText">
    <w:name w:val="CharAmPartText"/>
    <w:basedOn w:val="OPCCharBase"/>
    <w:qFormat/>
    <w:rsid w:val="0017512A"/>
  </w:style>
  <w:style w:type="character" w:customStyle="1" w:styleId="CharAmSchNo">
    <w:name w:val="CharAmSchNo"/>
    <w:basedOn w:val="OPCCharBase"/>
    <w:qFormat/>
    <w:rsid w:val="0017512A"/>
  </w:style>
  <w:style w:type="character" w:customStyle="1" w:styleId="CharAmSchText">
    <w:name w:val="CharAmSchText"/>
    <w:basedOn w:val="OPCCharBase"/>
    <w:qFormat/>
    <w:rsid w:val="0017512A"/>
  </w:style>
  <w:style w:type="character" w:customStyle="1" w:styleId="CharBoldItalic">
    <w:name w:val="CharBoldItalic"/>
    <w:basedOn w:val="OPCCharBase"/>
    <w:uiPriority w:val="1"/>
    <w:qFormat/>
    <w:rsid w:val="001751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7512A"/>
  </w:style>
  <w:style w:type="character" w:customStyle="1" w:styleId="CharChapText">
    <w:name w:val="CharChapText"/>
    <w:basedOn w:val="OPCCharBase"/>
    <w:uiPriority w:val="1"/>
    <w:qFormat/>
    <w:rsid w:val="0017512A"/>
  </w:style>
  <w:style w:type="character" w:customStyle="1" w:styleId="CharDivNo">
    <w:name w:val="CharDivNo"/>
    <w:basedOn w:val="OPCCharBase"/>
    <w:uiPriority w:val="1"/>
    <w:qFormat/>
    <w:rsid w:val="0017512A"/>
  </w:style>
  <w:style w:type="character" w:customStyle="1" w:styleId="CharDivText">
    <w:name w:val="CharDivText"/>
    <w:basedOn w:val="OPCCharBase"/>
    <w:uiPriority w:val="1"/>
    <w:qFormat/>
    <w:rsid w:val="0017512A"/>
  </w:style>
  <w:style w:type="character" w:customStyle="1" w:styleId="CharItalic">
    <w:name w:val="CharItalic"/>
    <w:basedOn w:val="OPCCharBase"/>
    <w:uiPriority w:val="1"/>
    <w:qFormat/>
    <w:rsid w:val="0017512A"/>
    <w:rPr>
      <w:i/>
    </w:rPr>
  </w:style>
  <w:style w:type="character" w:customStyle="1" w:styleId="CharPartNo">
    <w:name w:val="CharPartNo"/>
    <w:basedOn w:val="OPCCharBase"/>
    <w:uiPriority w:val="1"/>
    <w:qFormat/>
    <w:rsid w:val="0017512A"/>
  </w:style>
  <w:style w:type="character" w:customStyle="1" w:styleId="CharPartText">
    <w:name w:val="CharPartText"/>
    <w:basedOn w:val="OPCCharBase"/>
    <w:uiPriority w:val="1"/>
    <w:qFormat/>
    <w:rsid w:val="0017512A"/>
  </w:style>
  <w:style w:type="character" w:customStyle="1" w:styleId="CharSectno">
    <w:name w:val="CharSectno"/>
    <w:basedOn w:val="OPCCharBase"/>
    <w:qFormat/>
    <w:rsid w:val="0017512A"/>
  </w:style>
  <w:style w:type="character" w:customStyle="1" w:styleId="CharSubdNo">
    <w:name w:val="CharSubdNo"/>
    <w:basedOn w:val="OPCCharBase"/>
    <w:uiPriority w:val="1"/>
    <w:qFormat/>
    <w:rsid w:val="0017512A"/>
  </w:style>
  <w:style w:type="character" w:customStyle="1" w:styleId="CharSubdText">
    <w:name w:val="CharSubdText"/>
    <w:basedOn w:val="OPCCharBase"/>
    <w:uiPriority w:val="1"/>
    <w:qFormat/>
    <w:rsid w:val="0017512A"/>
  </w:style>
  <w:style w:type="paragraph" w:customStyle="1" w:styleId="CTA--">
    <w:name w:val="CTA --"/>
    <w:basedOn w:val="OPCParaBase"/>
    <w:next w:val="Normal"/>
    <w:rsid w:val="001751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751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751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751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751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751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751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751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751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751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751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751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751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751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751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7512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751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75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75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75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751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751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51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751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751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751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751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751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751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751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751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751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751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751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751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751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751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751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751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751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751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751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751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751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751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751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751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751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751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751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751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75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751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751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751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751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751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751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751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751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751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751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751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751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751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751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751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751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751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751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751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751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7512A"/>
    <w:rPr>
      <w:sz w:val="16"/>
    </w:rPr>
  </w:style>
  <w:style w:type="table" w:customStyle="1" w:styleId="CFlag">
    <w:name w:val="CFlag"/>
    <w:basedOn w:val="TableNormal"/>
    <w:uiPriority w:val="99"/>
    <w:rsid w:val="001751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75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5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751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751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751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751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751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7512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7512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7512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751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751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751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751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751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751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751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751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751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751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751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751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7512A"/>
  </w:style>
  <w:style w:type="character" w:customStyle="1" w:styleId="CharSubPartNoCASA">
    <w:name w:val="CharSubPartNo(CASA)"/>
    <w:basedOn w:val="OPCCharBase"/>
    <w:uiPriority w:val="1"/>
    <w:rsid w:val="0017512A"/>
  </w:style>
  <w:style w:type="paragraph" w:customStyle="1" w:styleId="ENoteTTIndentHeadingSub">
    <w:name w:val="ENoteTTIndentHeadingSub"/>
    <w:aliases w:val="enTTHis"/>
    <w:basedOn w:val="OPCParaBase"/>
    <w:rsid w:val="001751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751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751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751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751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7512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75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7512A"/>
    <w:rPr>
      <w:sz w:val="22"/>
    </w:rPr>
  </w:style>
  <w:style w:type="paragraph" w:customStyle="1" w:styleId="SOTextNote">
    <w:name w:val="SO TextNote"/>
    <w:aliases w:val="sont"/>
    <w:basedOn w:val="SOText"/>
    <w:qFormat/>
    <w:rsid w:val="001751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751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7512A"/>
    <w:rPr>
      <w:sz w:val="22"/>
    </w:rPr>
  </w:style>
  <w:style w:type="paragraph" w:customStyle="1" w:styleId="FileName">
    <w:name w:val="FileName"/>
    <w:basedOn w:val="Normal"/>
    <w:rsid w:val="0017512A"/>
  </w:style>
  <w:style w:type="paragraph" w:customStyle="1" w:styleId="TableHeading">
    <w:name w:val="TableHeading"/>
    <w:aliases w:val="th"/>
    <w:basedOn w:val="OPCParaBase"/>
    <w:next w:val="Tabletext"/>
    <w:rsid w:val="001751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751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751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751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751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751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751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751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751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75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751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751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751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751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7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5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51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751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751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751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751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75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75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751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7512A"/>
    <w:pPr>
      <w:ind w:left="240" w:hanging="240"/>
    </w:pPr>
  </w:style>
  <w:style w:type="paragraph" w:styleId="Index2">
    <w:name w:val="index 2"/>
    <w:basedOn w:val="Normal"/>
    <w:next w:val="Normal"/>
    <w:autoRedefine/>
    <w:rsid w:val="0017512A"/>
    <w:pPr>
      <w:ind w:left="480" w:hanging="240"/>
    </w:pPr>
  </w:style>
  <w:style w:type="paragraph" w:styleId="Index3">
    <w:name w:val="index 3"/>
    <w:basedOn w:val="Normal"/>
    <w:next w:val="Normal"/>
    <w:autoRedefine/>
    <w:rsid w:val="0017512A"/>
    <w:pPr>
      <w:ind w:left="720" w:hanging="240"/>
    </w:pPr>
  </w:style>
  <w:style w:type="paragraph" w:styleId="Index4">
    <w:name w:val="index 4"/>
    <w:basedOn w:val="Normal"/>
    <w:next w:val="Normal"/>
    <w:autoRedefine/>
    <w:rsid w:val="0017512A"/>
    <w:pPr>
      <w:ind w:left="960" w:hanging="240"/>
    </w:pPr>
  </w:style>
  <w:style w:type="paragraph" w:styleId="Index5">
    <w:name w:val="index 5"/>
    <w:basedOn w:val="Normal"/>
    <w:next w:val="Normal"/>
    <w:autoRedefine/>
    <w:rsid w:val="0017512A"/>
    <w:pPr>
      <w:ind w:left="1200" w:hanging="240"/>
    </w:pPr>
  </w:style>
  <w:style w:type="paragraph" w:styleId="Index6">
    <w:name w:val="index 6"/>
    <w:basedOn w:val="Normal"/>
    <w:next w:val="Normal"/>
    <w:autoRedefine/>
    <w:rsid w:val="0017512A"/>
    <w:pPr>
      <w:ind w:left="1440" w:hanging="240"/>
    </w:pPr>
  </w:style>
  <w:style w:type="paragraph" w:styleId="Index7">
    <w:name w:val="index 7"/>
    <w:basedOn w:val="Normal"/>
    <w:next w:val="Normal"/>
    <w:autoRedefine/>
    <w:rsid w:val="0017512A"/>
    <w:pPr>
      <w:ind w:left="1680" w:hanging="240"/>
    </w:pPr>
  </w:style>
  <w:style w:type="paragraph" w:styleId="Index8">
    <w:name w:val="index 8"/>
    <w:basedOn w:val="Normal"/>
    <w:next w:val="Normal"/>
    <w:autoRedefine/>
    <w:rsid w:val="0017512A"/>
    <w:pPr>
      <w:ind w:left="1920" w:hanging="240"/>
    </w:pPr>
  </w:style>
  <w:style w:type="paragraph" w:styleId="Index9">
    <w:name w:val="index 9"/>
    <w:basedOn w:val="Normal"/>
    <w:next w:val="Normal"/>
    <w:autoRedefine/>
    <w:rsid w:val="0017512A"/>
    <w:pPr>
      <w:ind w:left="2160" w:hanging="240"/>
    </w:pPr>
  </w:style>
  <w:style w:type="paragraph" w:styleId="NormalIndent">
    <w:name w:val="Normal Indent"/>
    <w:basedOn w:val="Normal"/>
    <w:rsid w:val="0017512A"/>
    <w:pPr>
      <w:ind w:left="720"/>
    </w:pPr>
  </w:style>
  <w:style w:type="paragraph" w:styleId="FootnoteText">
    <w:name w:val="footnote text"/>
    <w:basedOn w:val="Normal"/>
    <w:link w:val="FootnoteTextChar"/>
    <w:rsid w:val="00175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7512A"/>
  </w:style>
  <w:style w:type="paragraph" w:styleId="CommentText">
    <w:name w:val="annotation text"/>
    <w:basedOn w:val="Normal"/>
    <w:link w:val="CommentTextChar"/>
    <w:rsid w:val="00175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512A"/>
  </w:style>
  <w:style w:type="paragraph" w:styleId="IndexHeading">
    <w:name w:val="index heading"/>
    <w:basedOn w:val="Normal"/>
    <w:next w:val="Index1"/>
    <w:rsid w:val="001751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751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7512A"/>
    <w:pPr>
      <w:ind w:left="480" w:hanging="480"/>
    </w:pPr>
  </w:style>
  <w:style w:type="paragraph" w:styleId="EnvelopeAddress">
    <w:name w:val="envelope address"/>
    <w:basedOn w:val="Normal"/>
    <w:rsid w:val="001751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751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751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7512A"/>
    <w:rPr>
      <w:sz w:val="16"/>
      <w:szCs w:val="16"/>
    </w:rPr>
  </w:style>
  <w:style w:type="character" w:styleId="PageNumber">
    <w:name w:val="page number"/>
    <w:basedOn w:val="DefaultParagraphFont"/>
    <w:rsid w:val="0017512A"/>
  </w:style>
  <w:style w:type="character" w:styleId="EndnoteReference">
    <w:name w:val="endnote reference"/>
    <w:basedOn w:val="DefaultParagraphFont"/>
    <w:rsid w:val="0017512A"/>
    <w:rPr>
      <w:vertAlign w:val="superscript"/>
    </w:rPr>
  </w:style>
  <w:style w:type="paragraph" w:styleId="EndnoteText">
    <w:name w:val="endnote text"/>
    <w:basedOn w:val="Normal"/>
    <w:link w:val="EndnoteTextChar"/>
    <w:rsid w:val="001751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7512A"/>
  </w:style>
  <w:style w:type="paragraph" w:styleId="TableofAuthorities">
    <w:name w:val="table of authorities"/>
    <w:basedOn w:val="Normal"/>
    <w:next w:val="Normal"/>
    <w:rsid w:val="0017512A"/>
    <w:pPr>
      <w:ind w:left="240" w:hanging="240"/>
    </w:pPr>
  </w:style>
  <w:style w:type="paragraph" w:styleId="MacroText">
    <w:name w:val="macro"/>
    <w:link w:val="MacroTextChar"/>
    <w:rsid w:val="00175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751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751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7512A"/>
    <w:pPr>
      <w:ind w:left="283" w:hanging="283"/>
    </w:pPr>
  </w:style>
  <w:style w:type="paragraph" w:styleId="ListBullet">
    <w:name w:val="List Bullet"/>
    <w:basedOn w:val="Normal"/>
    <w:autoRedefine/>
    <w:rsid w:val="001751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751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7512A"/>
    <w:pPr>
      <w:ind w:left="566" w:hanging="283"/>
    </w:pPr>
  </w:style>
  <w:style w:type="paragraph" w:styleId="List3">
    <w:name w:val="List 3"/>
    <w:basedOn w:val="Normal"/>
    <w:rsid w:val="0017512A"/>
    <w:pPr>
      <w:ind w:left="849" w:hanging="283"/>
    </w:pPr>
  </w:style>
  <w:style w:type="paragraph" w:styleId="List4">
    <w:name w:val="List 4"/>
    <w:basedOn w:val="Normal"/>
    <w:rsid w:val="0017512A"/>
    <w:pPr>
      <w:ind w:left="1132" w:hanging="283"/>
    </w:pPr>
  </w:style>
  <w:style w:type="paragraph" w:styleId="List5">
    <w:name w:val="List 5"/>
    <w:basedOn w:val="Normal"/>
    <w:rsid w:val="0017512A"/>
    <w:pPr>
      <w:ind w:left="1415" w:hanging="283"/>
    </w:pPr>
  </w:style>
  <w:style w:type="paragraph" w:styleId="ListBullet2">
    <w:name w:val="List Bullet 2"/>
    <w:basedOn w:val="Normal"/>
    <w:autoRedefine/>
    <w:rsid w:val="001751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751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751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751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751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751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751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751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751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751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7512A"/>
    <w:pPr>
      <w:ind w:left="4252"/>
    </w:pPr>
  </w:style>
  <w:style w:type="character" w:customStyle="1" w:styleId="ClosingChar">
    <w:name w:val="Closing Char"/>
    <w:basedOn w:val="DefaultParagraphFont"/>
    <w:link w:val="Closing"/>
    <w:rsid w:val="0017512A"/>
    <w:rPr>
      <w:sz w:val="22"/>
    </w:rPr>
  </w:style>
  <w:style w:type="paragraph" w:styleId="Signature">
    <w:name w:val="Signature"/>
    <w:basedOn w:val="Normal"/>
    <w:link w:val="SignatureChar"/>
    <w:rsid w:val="001751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7512A"/>
    <w:rPr>
      <w:sz w:val="22"/>
    </w:rPr>
  </w:style>
  <w:style w:type="paragraph" w:styleId="BodyText">
    <w:name w:val="Body Text"/>
    <w:basedOn w:val="Normal"/>
    <w:link w:val="BodyTextChar"/>
    <w:rsid w:val="00175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512A"/>
    <w:rPr>
      <w:sz w:val="22"/>
    </w:rPr>
  </w:style>
  <w:style w:type="paragraph" w:styleId="BodyTextIndent">
    <w:name w:val="Body Text Indent"/>
    <w:basedOn w:val="Normal"/>
    <w:link w:val="BodyTextIndentChar"/>
    <w:rsid w:val="00175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7512A"/>
    <w:rPr>
      <w:sz w:val="22"/>
    </w:rPr>
  </w:style>
  <w:style w:type="paragraph" w:styleId="ListContinue">
    <w:name w:val="List Continue"/>
    <w:basedOn w:val="Normal"/>
    <w:rsid w:val="0017512A"/>
    <w:pPr>
      <w:spacing w:after="120"/>
      <w:ind w:left="283"/>
    </w:pPr>
  </w:style>
  <w:style w:type="paragraph" w:styleId="ListContinue2">
    <w:name w:val="List Continue 2"/>
    <w:basedOn w:val="Normal"/>
    <w:rsid w:val="0017512A"/>
    <w:pPr>
      <w:spacing w:after="120"/>
      <w:ind w:left="566"/>
    </w:pPr>
  </w:style>
  <w:style w:type="paragraph" w:styleId="ListContinue3">
    <w:name w:val="List Continue 3"/>
    <w:basedOn w:val="Normal"/>
    <w:rsid w:val="0017512A"/>
    <w:pPr>
      <w:spacing w:after="120"/>
      <w:ind w:left="849"/>
    </w:pPr>
  </w:style>
  <w:style w:type="paragraph" w:styleId="ListContinue4">
    <w:name w:val="List Continue 4"/>
    <w:basedOn w:val="Normal"/>
    <w:rsid w:val="0017512A"/>
    <w:pPr>
      <w:spacing w:after="120"/>
      <w:ind w:left="1132"/>
    </w:pPr>
  </w:style>
  <w:style w:type="paragraph" w:styleId="ListContinue5">
    <w:name w:val="List Continue 5"/>
    <w:basedOn w:val="Normal"/>
    <w:rsid w:val="001751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75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751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751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751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7512A"/>
  </w:style>
  <w:style w:type="character" w:customStyle="1" w:styleId="SalutationChar">
    <w:name w:val="Salutation Char"/>
    <w:basedOn w:val="DefaultParagraphFont"/>
    <w:link w:val="Salutation"/>
    <w:rsid w:val="0017512A"/>
    <w:rPr>
      <w:sz w:val="22"/>
    </w:rPr>
  </w:style>
  <w:style w:type="paragraph" w:styleId="Date">
    <w:name w:val="Date"/>
    <w:basedOn w:val="Normal"/>
    <w:next w:val="Normal"/>
    <w:link w:val="DateChar"/>
    <w:rsid w:val="0017512A"/>
  </w:style>
  <w:style w:type="character" w:customStyle="1" w:styleId="DateChar">
    <w:name w:val="Date Char"/>
    <w:basedOn w:val="DefaultParagraphFont"/>
    <w:link w:val="Date"/>
    <w:rsid w:val="0017512A"/>
    <w:rPr>
      <w:sz w:val="22"/>
    </w:rPr>
  </w:style>
  <w:style w:type="paragraph" w:styleId="BodyTextFirstIndent">
    <w:name w:val="Body Text First Indent"/>
    <w:basedOn w:val="BodyText"/>
    <w:link w:val="BodyTextFirstIndentChar"/>
    <w:rsid w:val="001751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751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751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7512A"/>
    <w:rPr>
      <w:sz w:val="22"/>
    </w:rPr>
  </w:style>
  <w:style w:type="paragraph" w:styleId="BodyText2">
    <w:name w:val="Body Text 2"/>
    <w:basedOn w:val="Normal"/>
    <w:link w:val="BodyText2Char"/>
    <w:rsid w:val="00175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7512A"/>
    <w:rPr>
      <w:sz w:val="22"/>
    </w:rPr>
  </w:style>
  <w:style w:type="paragraph" w:styleId="BodyText3">
    <w:name w:val="Body Text 3"/>
    <w:basedOn w:val="Normal"/>
    <w:link w:val="BodyText3Char"/>
    <w:rsid w:val="001751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751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751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7512A"/>
    <w:rPr>
      <w:sz w:val="22"/>
    </w:rPr>
  </w:style>
  <w:style w:type="paragraph" w:styleId="BodyTextIndent3">
    <w:name w:val="Body Text Indent 3"/>
    <w:basedOn w:val="Normal"/>
    <w:link w:val="BodyTextIndent3Char"/>
    <w:rsid w:val="00175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7512A"/>
    <w:rPr>
      <w:sz w:val="16"/>
      <w:szCs w:val="16"/>
    </w:rPr>
  </w:style>
  <w:style w:type="paragraph" w:styleId="BlockText">
    <w:name w:val="Block Text"/>
    <w:basedOn w:val="Normal"/>
    <w:rsid w:val="0017512A"/>
    <w:pPr>
      <w:spacing w:after="120"/>
      <w:ind w:left="1440" w:right="1440"/>
    </w:pPr>
  </w:style>
  <w:style w:type="character" w:styleId="Hyperlink">
    <w:name w:val="Hyperlink"/>
    <w:basedOn w:val="DefaultParagraphFont"/>
    <w:rsid w:val="0017512A"/>
    <w:rPr>
      <w:color w:val="0000FF"/>
      <w:u w:val="single"/>
    </w:rPr>
  </w:style>
  <w:style w:type="character" w:styleId="FollowedHyperlink">
    <w:name w:val="FollowedHyperlink"/>
    <w:basedOn w:val="DefaultParagraphFont"/>
    <w:rsid w:val="0017512A"/>
    <w:rPr>
      <w:color w:val="800080"/>
      <w:u w:val="single"/>
    </w:rPr>
  </w:style>
  <w:style w:type="character" w:styleId="Strong">
    <w:name w:val="Strong"/>
    <w:basedOn w:val="DefaultParagraphFont"/>
    <w:qFormat/>
    <w:rsid w:val="0017512A"/>
    <w:rPr>
      <w:b/>
      <w:bCs/>
    </w:rPr>
  </w:style>
  <w:style w:type="character" w:styleId="Emphasis">
    <w:name w:val="Emphasis"/>
    <w:basedOn w:val="DefaultParagraphFont"/>
    <w:qFormat/>
    <w:rsid w:val="0017512A"/>
    <w:rPr>
      <w:i/>
      <w:iCs/>
    </w:rPr>
  </w:style>
  <w:style w:type="paragraph" w:styleId="DocumentMap">
    <w:name w:val="Document Map"/>
    <w:basedOn w:val="Normal"/>
    <w:link w:val="DocumentMapChar"/>
    <w:rsid w:val="001751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751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751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751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7512A"/>
  </w:style>
  <w:style w:type="character" w:customStyle="1" w:styleId="E-mailSignatureChar">
    <w:name w:val="E-mail Signature Char"/>
    <w:basedOn w:val="DefaultParagraphFont"/>
    <w:link w:val="E-mailSignature"/>
    <w:rsid w:val="0017512A"/>
    <w:rPr>
      <w:sz w:val="22"/>
    </w:rPr>
  </w:style>
  <w:style w:type="paragraph" w:styleId="NormalWeb">
    <w:name w:val="Normal (Web)"/>
    <w:basedOn w:val="Normal"/>
    <w:rsid w:val="0017512A"/>
  </w:style>
  <w:style w:type="character" w:styleId="HTMLAcronym">
    <w:name w:val="HTML Acronym"/>
    <w:basedOn w:val="DefaultParagraphFont"/>
    <w:rsid w:val="0017512A"/>
  </w:style>
  <w:style w:type="paragraph" w:styleId="HTMLAddress">
    <w:name w:val="HTML Address"/>
    <w:basedOn w:val="Normal"/>
    <w:link w:val="HTMLAddressChar"/>
    <w:rsid w:val="001751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7512A"/>
    <w:rPr>
      <w:i/>
      <w:iCs/>
      <w:sz w:val="22"/>
    </w:rPr>
  </w:style>
  <w:style w:type="character" w:styleId="HTMLCite">
    <w:name w:val="HTML Cite"/>
    <w:basedOn w:val="DefaultParagraphFont"/>
    <w:rsid w:val="0017512A"/>
    <w:rPr>
      <w:i/>
      <w:iCs/>
    </w:rPr>
  </w:style>
  <w:style w:type="character" w:styleId="HTMLCode">
    <w:name w:val="HTML Code"/>
    <w:basedOn w:val="DefaultParagraphFont"/>
    <w:rsid w:val="001751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7512A"/>
    <w:rPr>
      <w:i/>
      <w:iCs/>
    </w:rPr>
  </w:style>
  <w:style w:type="character" w:styleId="HTMLKeyboard">
    <w:name w:val="HTML Keyboard"/>
    <w:basedOn w:val="DefaultParagraphFont"/>
    <w:rsid w:val="001751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751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751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751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751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751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75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12A"/>
    <w:rPr>
      <w:b/>
      <w:bCs/>
    </w:rPr>
  </w:style>
  <w:style w:type="numbering" w:styleId="1ai">
    <w:name w:val="Outline List 1"/>
    <w:basedOn w:val="NoList"/>
    <w:rsid w:val="0017512A"/>
    <w:pPr>
      <w:numPr>
        <w:numId w:val="14"/>
      </w:numPr>
    </w:pPr>
  </w:style>
  <w:style w:type="numbering" w:styleId="111111">
    <w:name w:val="Outline List 2"/>
    <w:basedOn w:val="NoList"/>
    <w:rsid w:val="0017512A"/>
    <w:pPr>
      <w:numPr>
        <w:numId w:val="15"/>
      </w:numPr>
    </w:pPr>
  </w:style>
  <w:style w:type="numbering" w:styleId="ArticleSection">
    <w:name w:val="Outline List 3"/>
    <w:basedOn w:val="NoList"/>
    <w:rsid w:val="0017512A"/>
    <w:pPr>
      <w:numPr>
        <w:numId w:val="17"/>
      </w:numPr>
    </w:pPr>
  </w:style>
  <w:style w:type="table" w:styleId="TableSimple1">
    <w:name w:val="Table Simple 1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751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51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751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751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751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751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751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751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751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751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75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751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751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751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751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751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751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751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75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75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75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751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75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751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751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751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751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751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75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751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751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751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751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751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751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7512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75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751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75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75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7512A"/>
  </w:style>
  <w:style w:type="character" w:customStyle="1" w:styleId="paragraphChar">
    <w:name w:val="paragraph Char"/>
    <w:aliases w:val="a Char"/>
    <w:link w:val="paragraph"/>
    <w:locked/>
    <w:rsid w:val="00F9621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79F5-D056-45EF-8745-F30696D2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1927</Words>
  <Characters>9481</Characters>
  <Application>Microsoft Office Word</Application>
  <DocSecurity>0</DocSecurity>
  <PresentationFormat/>
  <Lines>305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(Oil) Regulations 2022</vt:lpstr>
    </vt:vector>
  </TitlesOfParts>
  <Manager/>
  <Company/>
  <LinksUpToDate>false</LinksUpToDate>
  <CharactersWithSpaces>11176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2022-08-16T23:39:00Z</cp:lastPrinted>
  <dcterms:created xsi:type="dcterms:W3CDTF">2022-09-16T04:51:00Z</dcterms:created>
  <dcterms:modified xsi:type="dcterms:W3CDTF">2022-09-16T04:51:00Z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Product Stewardship (Oil)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15 September 2022</vt:lpwstr>
  </property>
  <property fmtid="{D5CDD505-2E9C-101B-9397-08002B2CF9AE}" pid="10" name="Authority">
    <vt:lpwstr>Unk</vt:lpwstr>
  </property>
  <property fmtid="{D5CDD505-2E9C-101B-9397-08002B2CF9AE}" pid="11" name="ID">
    <vt:lpwstr>OPC65680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15 September 2022</vt:lpwstr>
  </property>
</Properties>
</file>