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7AE18" w14:textId="25DEAF4E" w:rsidR="0003018D" w:rsidRPr="00FE2066" w:rsidRDefault="00C0068B" w:rsidP="0003018D">
      <w:pPr>
        <w:jc w:val="center"/>
        <w:rPr>
          <w:rFonts w:ascii="Times New Roman" w:hAnsi="Times New Roman" w:cs="Times New Roman"/>
          <w:b/>
          <w:bCs/>
          <w:sz w:val="24"/>
          <w:szCs w:val="24"/>
          <w:u w:val="single"/>
        </w:rPr>
      </w:pPr>
      <w:r w:rsidRPr="00FE2066">
        <w:rPr>
          <w:rFonts w:ascii="Times New Roman" w:hAnsi="Times New Roman" w:cs="Times New Roman"/>
          <w:b/>
          <w:bCs/>
          <w:sz w:val="24"/>
          <w:szCs w:val="24"/>
          <w:u w:val="single"/>
        </w:rPr>
        <w:t xml:space="preserve">EXPLANATORY STATEMENT </w:t>
      </w:r>
    </w:p>
    <w:p w14:paraId="66A41FE9" w14:textId="6C2CDE92" w:rsidR="0003018D" w:rsidRPr="00FE2066" w:rsidRDefault="00C0068B" w:rsidP="0003018D">
      <w:pPr>
        <w:jc w:val="center"/>
        <w:rPr>
          <w:rFonts w:ascii="Times New Roman" w:hAnsi="Times New Roman" w:cs="Times New Roman"/>
          <w:sz w:val="24"/>
          <w:szCs w:val="24"/>
          <w:u w:val="single"/>
        </w:rPr>
      </w:pPr>
      <w:r w:rsidRPr="00FE2066">
        <w:rPr>
          <w:rFonts w:ascii="Times New Roman" w:hAnsi="Times New Roman" w:cs="Times New Roman"/>
          <w:sz w:val="24"/>
          <w:szCs w:val="24"/>
          <w:u w:val="single"/>
        </w:rPr>
        <w:t xml:space="preserve">Issued by Authority of the Director of Biosecurity </w:t>
      </w:r>
    </w:p>
    <w:p w14:paraId="77D4D4BF" w14:textId="468AB250" w:rsidR="0003018D" w:rsidRPr="00FE2066" w:rsidRDefault="00C0068B" w:rsidP="0003018D">
      <w:pPr>
        <w:jc w:val="center"/>
        <w:rPr>
          <w:rFonts w:ascii="Times New Roman" w:hAnsi="Times New Roman" w:cs="Times New Roman"/>
          <w:i/>
          <w:iCs/>
          <w:sz w:val="24"/>
          <w:szCs w:val="24"/>
        </w:rPr>
      </w:pPr>
      <w:r w:rsidRPr="00FE2066">
        <w:rPr>
          <w:rFonts w:ascii="Times New Roman" w:hAnsi="Times New Roman" w:cs="Times New Roman"/>
          <w:i/>
          <w:iCs/>
          <w:sz w:val="24"/>
          <w:szCs w:val="24"/>
        </w:rPr>
        <w:t xml:space="preserve">Biosecurity Act 2015 </w:t>
      </w:r>
    </w:p>
    <w:p w14:paraId="51E770B7" w14:textId="21B1C031" w:rsidR="0003018D" w:rsidRPr="00FE2066" w:rsidRDefault="00C0068B" w:rsidP="0003018D">
      <w:pPr>
        <w:jc w:val="center"/>
        <w:rPr>
          <w:rFonts w:ascii="Times New Roman" w:hAnsi="Times New Roman" w:cs="Times New Roman"/>
          <w:i/>
          <w:iCs/>
          <w:sz w:val="24"/>
          <w:szCs w:val="24"/>
        </w:rPr>
      </w:pPr>
      <w:r w:rsidRPr="00FE2066">
        <w:rPr>
          <w:rFonts w:ascii="Times New Roman" w:hAnsi="Times New Roman" w:cs="Times New Roman"/>
          <w:i/>
          <w:iCs/>
          <w:sz w:val="24"/>
          <w:szCs w:val="24"/>
        </w:rPr>
        <w:t>Biosecurity (</w:t>
      </w:r>
      <w:r w:rsidR="00A44B2E" w:rsidRPr="00FE2066">
        <w:rPr>
          <w:rFonts w:ascii="Times New Roman" w:hAnsi="Times New Roman" w:cs="Times New Roman"/>
          <w:i/>
          <w:iCs/>
          <w:sz w:val="24"/>
          <w:szCs w:val="24"/>
        </w:rPr>
        <w:t xml:space="preserve">Biosecurity Response Zone </w:t>
      </w:r>
      <w:r w:rsidR="00564EA2" w:rsidRPr="00FE2066">
        <w:rPr>
          <w:rFonts w:ascii="Times New Roman" w:hAnsi="Times New Roman" w:cs="Times New Roman"/>
          <w:i/>
          <w:iCs/>
          <w:sz w:val="24"/>
          <w:szCs w:val="24"/>
        </w:rPr>
        <w:t>for Foot and Mouth Disease</w:t>
      </w:r>
      <w:r w:rsidR="00A44B2E" w:rsidRPr="00FE2066">
        <w:rPr>
          <w:rFonts w:ascii="Times New Roman" w:hAnsi="Times New Roman" w:cs="Times New Roman"/>
          <w:i/>
          <w:iCs/>
          <w:sz w:val="24"/>
          <w:szCs w:val="24"/>
        </w:rPr>
        <w:t>–Relevant Ports</w:t>
      </w:r>
      <w:r w:rsidRPr="00FE2066">
        <w:rPr>
          <w:rFonts w:ascii="Times New Roman" w:hAnsi="Times New Roman" w:cs="Times New Roman"/>
          <w:i/>
          <w:iCs/>
          <w:sz w:val="24"/>
          <w:szCs w:val="24"/>
        </w:rPr>
        <w:t xml:space="preserve">) Determination 2022 </w:t>
      </w:r>
    </w:p>
    <w:p w14:paraId="6919DBC4" w14:textId="159F0296" w:rsidR="0003018D" w:rsidRPr="00FE2066" w:rsidRDefault="00C0068B" w:rsidP="0003018D">
      <w:pPr>
        <w:rPr>
          <w:rFonts w:ascii="Times New Roman" w:hAnsi="Times New Roman" w:cs="Times New Roman"/>
          <w:b/>
          <w:bCs/>
          <w:sz w:val="24"/>
          <w:szCs w:val="24"/>
        </w:rPr>
      </w:pPr>
      <w:r w:rsidRPr="00FE2066">
        <w:rPr>
          <w:rFonts w:ascii="Times New Roman" w:hAnsi="Times New Roman" w:cs="Times New Roman"/>
          <w:b/>
          <w:bCs/>
          <w:sz w:val="24"/>
          <w:szCs w:val="24"/>
        </w:rPr>
        <w:t xml:space="preserve">Legislative Authority </w:t>
      </w:r>
    </w:p>
    <w:p w14:paraId="1B65E063" w14:textId="5A963DD2" w:rsidR="0003018D" w:rsidRPr="00FE2066" w:rsidRDefault="00C0068B" w:rsidP="0003018D">
      <w:pPr>
        <w:rPr>
          <w:rFonts w:ascii="Times New Roman" w:hAnsi="Times New Roman" w:cs="Times New Roman"/>
          <w:sz w:val="24"/>
          <w:szCs w:val="24"/>
        </w:rPr>
      </w:pPr>
      <w:r w:rsidRPr="00FE2066">
        <w:rPr>
          <w:rFonts w:ascii="Times New Roman" w:hAnsi="Times New Roman" w:cs="Times New Roman"/>
          <w:sz w:val="24"/>
          <w:szCs w:val="24"/>
        </w:rPr>
        <w:t xml:space="preserve">The </w:t>
      </w:r>
      <w:r w:rsidRPr="00FE2066">
        <w:rPr>
          <w:rFonts w:ascii="Times New Roman" w:hAnsi="Times New Roman" w:cs="Times New Roman"/>
          <w:i/>
          <w:iCs/>
          <w:sz w:val="24"/>
          <w:szCs w:val="24"/>
        </w:rPr>
        <w:t>Biosecurity Act 2015</w:t>
      </w:r>
      <w:r w:rsidRPr="00FE2066">
        <w:rPr>
          <w:rFonts w:ascii="Times New Roman" w:hAnsi="Times New Roman" w:cs="Times New Roman"/>
          <w:sz w:val="24"/>
          <w:szCs w:val="24"/>
        </w:rPr>
        <w:t xml:space="preserve"> (the Act) provides the</w:t>
      </w:r>
      <w:r w:rsidR="006A7DD1" w:rsidRPr="00FE2066">
        <w:rPr>
          <w:rFonts w:ascii="Times New Roman" w:hAnsi="Times New Roman" w:cs="Times New Roman"/>
          <w:sz w:val="24"/>
          <w:szCs w:val="24"/>
        </w:rPr>
        <w:t xml:space="preserve"> regulatory framework for the</w:t>
      </w:r>
      <w:r w:rsidRPr="00FE2066">
        <w:rPr>
          <w:rFonts w:ascii="Times New Roman" w:hAnsi="Times New Roman" w:cs="Times New Roman"/>
          <w:sz w:val="24"/>
          <w:szCs w:val="24"/>
        </w:rPr>
        <w:t xml:space="preserve"> management of </w:t>
      </w:r>
      <w:r w:rsidR="006A7DD1" w:rsidRPr="00FE2066">
        <w:rPr>
          <w:rFonts w:ascii="Times New Roman" w:hAnsi="Times New Roman" w:cs="Times New Roman"/>
          <w:sz w:val="24"/>
          <w:szCs w:val="24"/>
        </w:rPr>
        <w:t>diseases and pests that may cause harm to human, animal or plant health or the environment</w:t>
      </w:r>
      <w:r w:rsidRPr="00FE2066">
        <w:rPr>
          <w:rFonts w:ascii="Times New Roman" w:hAnsi="Times New Roman" w:cs="Times New Roman"/>
          <w:sz w:val="24"/>
          <w:szCs w:val="24"/>
        </w:rPr>
        <w:t xml:space="preserve">. </w:t>
      </w:r>
    </w:p>
    <w:p w14:paraId="7720FC07" w14:textId="3B26E654" w:rsidR="0004177D" w:rsidRPr="00FE2066" w:rsidRDefault="00C0068B" w:rsidP="0003018D">
      <w:pPr>
        <w:rPr>
          <w:rFonts w:ascii="Times New Roman" w:hAnsi="Times New Roman" w:cs="Times New Roman"/>
          <w:sz w:val="24"/>
          <w:szCs w:val="24"/>
        </w:rPr>
      </w:pPr>
      <w:r w:rsidRPr="00FE2066">
        <w:rPr>
          <w:rFonts w:ascii="Times New Roman" w:hAnsi="Times New Roman" w:cs="Times New Roman"/>
          <w:sz w:val="24"/>
          <w:szCs w:val="24"/>
        </w:rPr>
        <w:t xml:space="preserve">Part 5 of Chapter 6 of the Act provides for the establishment of biosecurity response zones by the Director of Biosecurity. </w:t>
      </w:r>
    </w:p>
    <w:p w14:paraId="1ECD495D" w14:textId="647A16F1" w:rsidR="0004177D" w:rsidRPr="00FE2066" w:rsidRDefault="00C0068B" w:rsidP="0003018D">
      <w:pPr>
        <w:rPr>
          <w:rFonts w:ascii="Times New Roman" w:hAnsi="Times New Roman" w:cs="Times New Roman"/>
          <w:sz w:val="24"/>
          <w:szCs w:val="24"/>
        </w:rPr>
      </w:pPr>
      <w:r w:rsidRPr="00FE2066">
        <w:rPr>
          <w:rFonts w:ascii="Times New Roman" w:hAnsi="Times New Roman" w:cs="Times New Roman"/>
          <w:sz w:val="24"/>
          <w:szCs w:val="24"/>
        </w:rPr>
        <w:t xml:space="preserve">Under subsection 365(1) of the Act, the Director of Biosecurity may, by legislative instrument, </w:t>
      </w:r>
      <w:proofErr w:type="gramStart"/>
      <w:r w:rsidRPr="00FE2066">
        <w:rPr>
          <w:rFonts w:ascii="Times New Roman" w:hAnsi="Times New Roman" w:cs="Times New Roman"/>
          <w:sz w:val="24"/>
          <w:szCs w:val="24"/>
        </w:rPr>
        <w:t>make a determination</w:t>
      </w:r>
      <w:proofErr w:type="gramEnd"/>
      <w:r w:rsidRPr="00FE2066">
        <w:rPr>
          <w:rFonts w:ascii="Times New Roman" w:hAnsi="Times New Roman" w:cs="Times New Roman"/>
          <w:sz w:val="24"/>
          <w:szCs w:val="24"/>
        </w:rPr>
        <w:t xml:space="preserve"> that a specified area in Australian territory is a </w:t>
      </w:r>
      <w:r w:rsidRPr="00FE2066">
        <w:rPr>
          <w:rFonts w:ascii="Times New Roman" w:hAnsi="Times New Roman" w:cs="Times New Roman"/>
          <w:b/>
          <w:bCs/>
          <w:i/>
          <w:iCs/>
          <w:sz w:val="24"/>
          <w:szCs w:val="24"/>
        </w:rPr>
        <w:t>biosecurity response zone</w:t>
      </w:r>
      <w:r w:rsidRPr="00FE2066">
        <w:rPr>
          <w:rFonts w:ascii="Times New Roman" w:hAnsi="Times New Roman" w:cs="Times New Roman"/>
          <w:sz w:val="24"/>
          <w:szCs w:val="24"/>
        </w:rPr>
        <w:t xml:space="preserve"> if:</w:t>
      </w:r>
    </w:p>
    <w:p w14:paraId="7DE2494F" w14:textId="77777777" w:rsidR="003F3213" w:rsidRPr="00FE2066" w:rsidRDefault="00C0068B" w:rsidP="0066459C">
      <w:pPr>
        <w:pStyle w:val="ListParagraph"/>
        <w:numPr>
          <w:ilvl w:val="0"/>
          <w:numId w:val="10"/>
        </w:numPr>
        <w:rPr>
          <w:rFonts w:ascii="Times New Roman" w:hAnsi="Times New Roman" w:cs="Times New Roman"/>
          <w:sz w:val="24"/>
          <w:szCs w:val="24"/>
        </w:rPr>
      </w:pPr>
      <w:r w:rsidRPr="00FE2066">
        <w:rPr>
          <w:rFonts w:ascii="Times New Roman" w:hAnsi="Times New Roman" w:cs="Times New Roman"/>
          <w:sz w:val="24"/>
          <w:szCs w:val="24"/>
        </w:rPr>
        <w:t>a biosecurity officer suspects on reasonable grounds that</w:t>
      </w:r>
      <w:r w:rsidR="003F3213" w:rsidRPr="00FE2066">
        <w:rPr>
          <w:rFonts w:ascii="Times New Roman" w:hAnsi="Times New Roman" w:cs="Times New Roman"/>
          <w:sz w:val="24"/>
          <w:szCs w:val="24"/>
        </w:rPr>
        <w:t>:</w:t>
      </w:r>
    </w:p>
    <w:p w14:paraId="3ACF0341" w14:textId="5E5EE5C7" w:rsidR="006A7DD1" w:rsidRPr="00FE2066" w:rsidRDefault="00C0068B" w:rsidP="005C5AD1">
      <w:pPr>
        <w:pStyle w:val="ListParagraph"/>
        <w:numPr>
          <w:ilvl w:val="1"/>
          <w:numId w:val="10"/>
        </w:numPr>
        <w:rPr>
          <w:rFonts w:ascii="Times New Roman" w:hAnsi="Times New Roman" w:cs="Times New Roman"/>
          <w:sz w:val="24"/>
          <w:szCs w:val="24"/>
        </w:rPr>
      </w:pPr>
      <w:r w:rsidRPr="00FE2066">
        <w:rPr>
          <w:rFonts w:ascii="Times New Roman" w:hAnsi="Times New Roman" w:cs="Times New Roman"/>
          <w:sz w:val="24"/>
          <w:szCs w:val="24"/>
        </w:rPr>
        <w:t xml:space="preserve">a disease or pest may be present in or on goods or premises in the area; and </w:t>
      </w:r>
    </w:p>
    <w:p w14:paraId="3A63FA36" w14:textId="7D1A079D" w:rsidR="0004177D" w:rsidRPr="00FE2066" w:rsidRDefault="00C0068B" w:rsidP="005C5AD1">
      <w:pPr>
        <w:pStyle w:val="ListParagraph"/>
        <w:numPr>
          <w:ilvl w:val="1"/>
          <w:numId w:val="10"/>
        </w:numPr>
        <w:rPr>
          <w:rFonts w:ascii="Times New Roman" w:hAnsi="Times New Roman" w:cs="Times New Roman"/>
          <w:sz w:val="24"/>
          <w:szCs w:val="24"/>
        </w:rPr>
      </w:pPr>
      <w:r w:rsidRPr="00FE2066">
        <w:rPr>
          <w:rFonts w:ascii="Times New Roman" w:hAnsi="Times New Roman" w:cs="Times New Roman"/>
          <w:sz w:val="24"/>
          <w:szCs w:val="24"/>
        </w:rPr>
        <w:t>the disease or pest poses an unacceptable level of biosecurity risk; and</w:t>
      </w:r>
    </w:p>
    <w:p w14:paraId="46979F4E" w14:textId="7EE3CB55" w:rsidR="0003018D" w:rsidRPr="00FE2066" w:rsidRDefault="00C0068B" w:rsidP="0066459C">
      <w:pPr>
        <w:pStyle w:val="ListParagraph"/>
        <w:numPr>
          <w:ilvl w:val="0"/>
          <w:numId w:val="10"/>
        </w:numPr>
        <w:rPr>
          <w:rFonts w:ascii="Times New Roman" w:hAnsi="Times New Roman" w:cs="Times New Roman"/>
          <w:sz w:val="24"/>
          <w:szCs w:val="24"/>
        </w:rPr>
      </w:pPr>
      <w:r w:rsidRPr="00FE2066">
        <w:rPr>
          <w:rFonts w:ascii="Times New Roman" w:hAnsi="Times New Roman" w:cs="Times New Roman"/>
          <w:sz w:val="24"/>
          <w:szCs w:val="24"/>
        </w:rPr>
        <w:t xml:space="preserve">the Director of Biosecurity is satisfied that it is necessary to </w:t>
      </w:r>
      <w:proofErr w:type="gramStart"/>
      <w:r w:rsidRPr="00FE2066">
        <w:rPr>
          <w:rFonts w:ascii="Times New Roman" w:hAnsi="Times New Roman" w:cs="Times New Roman"/>
          <w:sz w:val="24"/>
          <w:szCs w:val="24"/>
        </w:rPr>
        <w:t>make a determination</w:t>
      </w:r>
      <w:proofErr w:type="gramEnd"/>
      <w:r w:rsidRPr="00FE2066">
        <w:rPr>
          <w:rFonts w:ascii="Times New Roman" w:hAnsi="Times New Roman" w:cs="Times New Roman"/>
          <w:sz w:val="24"/>
          <w:szCs w:val="24"/>
        </w:rPr>
        <w:t xml:space="preserve"> for the purposes of managing the biosecurity risk posed by the disease or pest. </w:t>
      </w:r>
    </w:p>
    <w:p w14:paraId="03FC751E" w14:textId="2DE701D7" w:rsidR="0004177D" w:rsidRPr="00FE2066" w:rsidRDefault="00C0068B" w:rsidP="0004177D">
      <w:pPr>
        <w:rPr>
          <w:rFonts w:ascii="Times New Roman" w:hAnsi="Times New Roman" w:cs="Times New Roman"/>
          <w:b/>
          <w:bCs/>
          <w:sz w:val="24"/>
          <w:szCs w:val="24"/>
        </w:rPr>
      </w:pPr>
      <w:r w:rsidRPr="00FE2066">
        <w:rPr>
          <w:rFonts w:ascii="Times New Roman" w:hAnsi="Times New Roman" w:cs="Times New Roman"/>
          <w:b/>
          <w:bCs/>
          <w:sz w:val="24"/>
          <w:szCs w:val="24"/>
        </w:rPr>
        <w:t>Purpose</w:t>
      </w:r>
    </w:p>
    <w:p w14:paraId="123E4DC1" w14:textId="28265355" w:rsidR="0004177D" w:rsidRPr="00FE2066" w:rsidRDefault="00C0068B" w:rsidP="0004177D">
      <w:pPr>
        <w:rPr>
          <w:rFonts w:ascii="Times New Roman" w:hAnsi="Times New Roman" w:cs="Times New Roman"/>
          <w:sz w:val="24"/>
          <w:szCs w:val="24"/>
        </w:rPr>
      </w:pPr>
      <w:r w:rsidRPr="00FE2066">
        <w:rPr>
          <w:rFonts w:ascii="Times New Roman" w:hAnsi="Times New Roman" w:cs="Times New Roman"/>
          <w:sz w:val="24"/>
          <w:szCs w:val="24"/>
        </w:rPr>
        <w:t xml:space="preserve">The purpose of the </w:t>
      </w:r>
      <w:r w:rsidRPr="00FE2066">
        <w:rPr>
          <w:rFonts w:ascii="Times New Roman" w:hAnsi="Times New Roman" w:cs="Times New Roman"/>
          <w:i/>
          <w:iCs/>
          <w:sz w:val="24"/>
          <w:szCs w:val="24"/>
        </w:rPr>
        <w:t>Biosecurity (</w:t>
      </w:r>
      <w:r w:rsidR="00A44B2E" w:rsidRPr="00FE2066">
        <w:rPr>
          <w:rFonts w:ascii="Times New Roman" w:hAnsi="Times New Roman" w:cs="Times New Roman"/>
          <w:i/>
          <w:iCs/>
          <w:sz w:val="24"/>
          <w:szCs w:val="24"/>
        </w:rPr>
        <w:t>Biosecurity Response Zone</w:t>
      </w:r>
      <w:r w:rsidR="00564EA2" w:rsidRPr="00FE2066">
        <w:rPr>
          <w:rFonts w:ascii="Times New Roman" w:hAnsi="Times New Roman" w:cs="Times New Roman"/>
          <w:i/>
          <w:iCs/>
          <w:sz w:val="24"/>
          <w:szCs w:val="24"/>
        </w:rPr>
        <w:t xml:space="preserve"> for Foot and Mouth Disease</w:t>
      </w:r>
      <w:r w:rsidR="00A44B2E" w:rsidRPr="00FE2066">
        <w:rPr>
          <w:rFonts w:ascii="Times New Roman" w:hAnsi="Times New Roman" w:cs="Times New Roman"/>
          <w:i/>
          <w:iCs/>
          <w:sz w:val="24"/>
          <w:szCs w:val="24"/>
        </w:rPr>
        <w:t>–Relevant Ports</w:t>
      </w:r>
      <w:r w:rsidRPr="00FE2066">
        <w:rPr>
          <w:rFonts w:ascii="Times New Roman" w:hAnsi="Times New Roman" w:cs="Times New Roman"/>
          <w:i/>
          <w:iCs/>
          <w:sz w:val="24"/>
          <w:szCs w:val="24"/>
        </w:rPr>
        <w:t>) Determination 2022</w:t>
      </w:r>
      <w:r w:rsidRPr="00FE2066">
        <w:rPr>
          <w:rFonts w:ascii="Times New Roman" w:hAnsi="Times New Roman" w:cs="Times New Roman"/>
          <w:sz w:val="24"/>
          <w:szCs w:val="24"/>
        </w:rPr>
        <w:t xml:space="preserve"> (the Determination) is to determine</w:t>
      </w:r>
      <w:r w:rsidR="00200FE4" w:rsidRPr="00FE2066">
        <w:rPr>
          <w:rFonts w:ascii="Times New Roman" w:hAnsi="Times New Roman" w:cs="Times New Roman"/>
          <w:sz w:val="24"/>
          <w:szCs w:val="24"/>
        </w:rPr>
        <w:t xml:space="preserve"> area</w:t>
      </w:r>
      <w:r w:rsidR="003F3213" w:rsidRPr="00FE2066">
        <w:rPr>
          <w:rFonts w:ascii="Times New Roman" w:hAnsi="Times New Roman" w:cs="Times New Roman"/>
          <w:sz w:val="24"/>
          <w:szCs w:val="24"/>
        </w:rPr>
        <w:t>s</w:t>
      </w:r>
      <w:r w:rsidR="00200FE4" w:rsidRPr="00FE2066">
        <w:rPr>
          <w:rFonts w:ascii="Times New Roman" w:hAnsi="Times New Roman" w:cs="Times New Roman"/>
          <w:sz w:val="24"/>
          <w:szCs w:val="24"/>
        </w:rPr>
        <w:t xml:space="preserve"> in relation to certain </w:t>
      </w:r>
      <w:r w:rsidR="00A44B2E" w:rsidRPr="00FE2066">
        <w:rPr>
          <w:rFonts w:ascii="Times New Roman" w:hAnsi="Times New Roman" w:cs="Times New Roman"/>
          <w:sz w:val="24"/>
          <w:szCs w:val="24"/>
        </w:rPr>
        <w:t>relevant ports</w:t>
      </w:r>
      <w:r w:rsidR="00200FE4" w:rsidRPr="00FE2066">
        <w:rPr>
          <w:rFonts w:ascii="Times New Roman" w:hAnsi="Times New Roman" w:cs="Times New Roman"/>
          <w:sz w:val="24"/>
          <w:szCs w:val="24"/>
        </w:rPr>
        <w:t xml:space="preserve"> </w:t>
      </w:r>
      <w:r w:rsidR="003F3213" w:rsidRPr="00FE2066">
        <w:rPr>
          <w:rFonts w:ascii="Times New Roman" w:hAnsi="Times New Roman" w:cs="Times New Roman"/>
          <w:sz w:val="24"/>
          <w:szCs w:val="24"/>
        </w:rPr>
        <w:t>that are</w:t>
      </w:r>
      <w:r w:rsidR="00200FE4" w:rsidRPr="00FE2066">
        <w:rPr>
          <w:rFonts w:ascii="Times New Roman" w:hAnsi="Times New Roman" w:cs="Times New Roman"/>
          <w:sz w:val="24"/>
          <w:szCs w:val="24"/>
        </w:rPr>
        <w:t xml:space="preserve"> a biosecurity response zone. </w:t>
      </w:r>
    </w:p>
    <w:p w14:paraId="063DDA6E" w14:textId="0B2616FC" w:rsidR="0003018D" w:rsidRPr="00FE2066" w:rsidRDefault="00C0068B" w:rsidP="0003018D">
      <w:pPr>
        <w:rPr>
          <w:rFonts w:ascii="Times New Roman" w:hAnsi="Times New Roman" w:cs="Times New Roman"/>
          <w:b/>
          <w:bCs/>
          <w:sz w:val="24"/>
          <w:szCs w:val="24"/>
        </w:rPr>
      </w:pPr>
      <w:r w:rsidRPr="00FE2066">
        <w:rPr>
          <w:rFonts w:ascii="Times New Roman" w:hAnsi="Times New Roman" w:cs="Times New Roman"/>
          <w:b/>
          <w:bCs/>
          <w:sz w:val="24"/>
          <w:szCs w:val="24"/>
        </w:rPr>
        <w:t>Background</w:t>
      </w:r>
    </w:p>
    <w:p w14:paraId="4F4C81E9" w14:textId="100AFF89" w:rsidR="00200FE4" w:rsidRPr="00FE2066" w:rsidRDefault="00C0068B" w:rsidP="0003018D">
      <w:pPr>
        <w:rPr>
          <w:rFonts w:ascii="Times New Roman" w:hAnsi="Times New Roman" w:cs="Times New Roman"/>
          <w:sz w:val="24"/>
          <w:szCs w:val="24"/>
        </w:rPr>
      </w:pPr>
      <w:r w:rsidRPr="00FE2066">
        <w:rPr>
          <w:rFonts w:ascii="Times New Roman" w:hAnsi="Times New Roman" w:cs="Times New Roman"/>
          <w:sz w:val="24"/>
          <w:szCs w:val="24"/>
        </w:rPr>
        <w:t xml:space="preserve">Foot and mouth disease (FMD) is a highly contagious viral disease of mammals that has great potential </w:t>
      </w:r>
      <w:r w:rsidR="00A43335" w:rsidRPr="00FE2066">
        <w:rPr>
          <w:rFonts w:ascii="Times New Roman" w:hAnsi="Times New Roman" w:cs="Times New Roman"/>
          <w:sz w:val="24"/>
          <w:szCs w:val="24"/>
        </w:rPr>
        <w:t xml:space="preserve">for causing severe economic loss in susceptible cloven-hoofed animals such as cattle, swine, </w:t>
      </w:r>
      <w:proofErr w:type="gramStart"/>
      <w:r w:rsidR="00A43335" w:rsidRPr="00FE2066">
        <w:rPr>
          <w:rFonts w:ascii="Times New Roman" w:hAnsi="Times New Roman" w:cs="Times New Roman"/>
          <w:sz w:val="24"/>
          <w:szCs w:val="24"/>
        </w:rPr>
        <w:t>sheep</w:t>
      </w:r>
      <w:proofErr w:type="gramEnd"/>
      <w:r w:rsidR="00A43335" w:rsidRPr="00FE2066">
        <w:rPr>
          <w:rFonts w:ascii="Times New Roman" w:hAnsi="Times New Roman" w:cs="Times New Roman"/>
          <w:sz w:val="24"/>
          <w:szCs w:val="24"/>
        </w:rPr>
        <w:t xml:space="preserve"> and goats. FMD can persist in the environment in soil, on equipment used with infected animals and on goods such as clothing and footwear. </w:t>
      </w:r>
    </w:p>
    <w:p w14:paraId="1915BCAD" w14:textId="0529F593" w:rsidR="007805D3" w:rsidRPr="00FE2066" w:rsidRDefault="00C0068B" w:rsidP="0003018D">
      <w:pPr>
        <w:rPr>
          <w:rFonts w:ascii="Times New Roman" w:hAnsi="Times New Roman" w:cs="Times New Roman"/>
          <w:sz w:val="24"/>
          <w:szCs w:val="24"/>
        </w:rPr>
      </w:pPr>
      <w:r w:rsidRPr="00FE2066">
        <w:rPr>
          <w:rFonts w:ascii="Times New Roman" w:hAnsi="Times New Roman" w:cs="Times New Roman"/>
          <w:sz w:val="24"/>
          <w:szCs w:val="24"/>
        </w:rPr>
        <w:t>Australia is currently free of FMD.</w:t>
      </w:r>
    </w:p>
    <w:p w14:paraId="38647447" w14:textId="77777777" w:rsidR="005E229F" w:rsidRPr="00FE2066" w:rsidRDefault="00C0068B" w:rsidP="005E229F">
      <w:pPr>
        <w:rPr>
          <w:rFonts w:ascii="Times New Roman" w:hAnsi="Times New Roman" w:cs="Times New Roman"/>
          <w:sz w:val="24"/>
          <w:szCs w:val="24"/>
        </w:rPr>
      </w:pPr>
      <w:r w:rsidRPr="00FE2066">
        <w:rPr>
          <w:rFonts w:ascii="Times New Roman" w:hAnsi="Times New Roman" w:cs="Times New Roman"/>
          <w:sz w:val="24"/>
          <w:szCs w:val="24"/>
        </w:rPr>
        <w:t xml:space="preserve">In May 2022, an outbreak of FMD was confirmed in Indonesia. </w:t>
      </w:r>
    </w:p>
    <w:p w14:paraId="35BEC35F" w14:textId="27031B86" w:rsidR="005E229F" w:rsidRPr="00FE2066" w:rsidRDefault="00C0068B" w:rsidP="0003018D">
      <w:pPr>
        <w:rPr>
          <w:rFonts w:ascii="Times New Roman" w:hAnsi="Times New Roman" w:cs="Times New Roman"/>
          <w:sz w:val="24"/>
          <w:szCs w:val="24"/>
        </w:rPr>
      </w:pPr>
      <w:r w:rsidRPr="00FE2066">
        <w:rPr>
          <w:rFonts w:ascii="Times New Roman" w:hAnsi="Times New Roman" w:cs="Times New Roman"/>
          <w:sz w:val="24"/>
          <w:szCs w:val="24"/>
        </w:rPr>
        <w:t>FMD is currently present in</w:t>
      </w:r>
      <w:r w:rsidR="00BD05C1" w:rsidRPr="00FE2066">
        <w:rPr>
          <w:rFonts w:ascii="Times New Roman" w:hAnsi="Times New Roman" w:cs="Times New Roman"/>
          <w:sz w:val="24"/>
          <w:szCs w:val="24"/>
        </w:rPr>
        <w:t xml:space="preserve"> approximately 70 countries</w:t>
      </w:r>
      <w:r w:rsidRPr="00FE2066">
        <w:rPr>
          <w:rFonts w:ascii="Times New Roman" w:hAnsi="Times New Roman" w:cs="Times New Roman"/>
          <w:sz w:val="24"/>
          <w:szCs w:val="24"/>
        </w:rPr>
        <w:t xml:space="preserve"> overseas, but in the majority of these countries it is contained through vaccination or other control measures. At the onset of an outbreak in a country previously free from FMD, the biosecurity risk is increased. This includes the current situation in Indonesia where the extent of the FMD outbreak remains undefined and is continuing to spread through the archipelago including to Bali, a common tourist destination for Australian travellers. In the absence of vaccination and other measures to control spread, the number of infected animals grows rapidly as does the volume of the virus in the environment. This gives rise to the need to exercise additional powers under the Act in the biosecurity response zone for the purposes of managing the biosecurity risk posed </w:t>
      </w:r>
      <w:r w:rsidRPr="00FE2066">
        <w:rPr>
          <w:rFonts w:ascii="Times New Roman" w:hAnsi="Times New Roman" w:cs="Times New Roman"/>
          <w:sz w:val="24"/>
          <w:szCs w:val="24"/>
        </w:rPr>
        <w:lastRenderedPageBreak/>
        <w:t>by FMD.</w:t>
      </w:r>
      <w:r w:rsidR="009C3AD7" w:rsidRPr="00FE2066">
        <w:rPr>
          <w:rFonts w:ascii="Times New Roman" w:hAnsi="Times New Roman" w:cs="Times New Roman"/>
          <w:sz w:val="24"/>
          <w:szCs w:val="24"/>
        </w:rPr>
        <w:t xml:space="preserve"> A biosecurity response zone to manage FMD risks is in place for airports</w:t>
      </w:r>
      <w:r w:rsidR="00C47E8E" w:rsidRPr="00FE2066">
        <w:rPr>
          <w:rFonts w:ascii="Times New Roman" w:hAnsi="Times New Roman" w:cs="Times New Roman"/>
          <w:sz w:val="24"/>
          <w:szCs w:val="24"/>
        </w:rPr>
        <w:t xml:space="preserve"> at relevant landing places. </w:t>
      </w:r>
    </w:p>
    <w:p w14:paraId="68039E33" w14:textId="58CEECB7" w:rsidR="00564EA2" w:rsidRPr="00FE2066" w:rsidRDefault="00C0068B" w:rsidP="0003018D">
      <w:pPr>
        <w:rPr>
          <w:rFonts w:ascii="Times New Roman" w:hAnsi="Times New Roman" w:cs="Times New Roman"/>
          <w:sz w:val="24"/>
          <w:szCs w:val="24"/>
        </w:rPr>
      </w:pPr>
      <w:r w:rsidRPr="00FE2066">
        <w:rPr>
          <w:rFonts w:ascii="Times New Roman" w:hAnsi="Times New Roman" w:cs="Times New Roman"/>
          <w:sz w:val="24"/>
          <w:szCs w:val="24"/>
        </w:rPr>
        <w:t xml:space="preserve">Any Australian </w:t>
      </w:r>
      <w:r w:rsidR="003F3213" w:rsidRPr="00FE2066">
        <w:rPr>
          <w:rFonts w:ascii="Times New Roman" w:hAnsi="Times New Roman" w:cs="Times New Roman"/>
          <w:sz w:val="24"/>
          <w:szCs w:val="24"/>
        </w:rPr>
        <w:t>f</w:t>
      </w:r>
      <w:r w:rsidR="00A82024" w:rsidRPr="00FE2066">
        <w:rPr>
          <w:rFonts w:ascii="Times New Roman" w:hAnsi="Times New Roman" w:cs="Times New Roman"/>
          <w:sz w:val="24"/>
          <w:szCs w:val="24"/>
        </w:rPr>
        <w:t xml:space="preserve">irst </w:t>
      </w:r>
      <w:r w:rsidR="003F3213" w:rsidRPr="00FE2066">
        <w:rPr>
          <w:rFonts w:ascii="Times New Roman" w:hAnsi="Times New Roman" w:cs="Times New Roman"/>
          <w:sz w:val="24"/>
          <w:szCs w:val="24"/>
        </w:rPr>
        <w:t>p</w:t>
      </w:r>
      <w:r w:rsidR="00A82024" w:rsidRPr="00FE2066">
        <w:rPr>
          <w:rFonts w:ascii="Times New Roman" w:hAnsi="Times New Roman" w:cs="Times New Roman"/>
          <w:sz w:val="24"/>
          <w:szCs w:val="24"/>
        </w:rPr>
        <w:t xml:space="preserve">oint of </w:t>
      </w:r>
      <w:r w:rsidR="003F3213" w:rsidRPr="00FE2066">
        <w:rPr>
          <w:rFonts w:ascii="Times New Roman" w:hAnsi="Times New Roman" w:cs="Times New Roman"/>
          <w:sz w:val="24"/>
          <w:szCs w:val="24"/>
        </w:rPr>
        <w:t>e</w:t>
      </w:r>
      <w:r w:rsidR="00A82024" w:rsidRPr="00FE2066">
        <w:rPr>
          <w:rFonts w:ascii="Times New Roman" w:hAnsi="Times New Roman" w:cs="Times New Roman"/>
          <w:sz w:val="24"/>
          <w:szCs w:val="24"/>
        </w:rPr>
        <w:t xml:space="preserve">ntry </w:t>
      </w:r>
      <w:r w:rsidRPr="00FE2066">
        <w:rPr>
          <w:rFonts w:ascii="Times New Roman" w:hAnsi="Times New Roman" w:cs="Times New Roman"/>
          <w:sz w:val="24"/>
          <w:szCs w:val="24"/>
        </w:rPr>
        <w:t>port may receive vessels from Indonesia</w:t>
      </w:r>
      <w:r w:rsidR="00A82024" w:rsidRPr="00FE2066">
        <w:rPr>
          <w:rFonts w:ascii="Times New Roman" w:hAnsi="Times New Roman" w:cs="Times New Roman"/>
          <w:sz w:val="24"/>
          <w:szCs w:val="24"/>
        </w:rPr>
        <w:t>.</w:t>
      </w:r>
      <w:r w:rsidRPr="00FE2066">
        <w:rPr>
          <w:rFonts w:ascii="Times New Roman" w:hAnsi="Times New Roman" w:cs="Times New Roman"/>
          <w:sz w:val="24"/>
          <w:szCs w:val="24"/>
        </w:rPr>
        <w:t xml:space="preserve"> </w:t>
      </w:r>
      <w:r w:rsidR="005E229F" w:rsidRPr="00FE2066">
        <w:rPr>
          <w:rFonts w:ascii="Times New Roman" w:hAnsi="Times New Roman" w:cs="Times New Roman"/>
          <w:sz w:val="24"/>
          <w:szCs w:val="24"/>
        </w:rPr>
        <w:t xml:space="preserve">In </w:t>
      </w:r>
      <w:r w:rsidRPr="00FE2066">
        <w:rPr>
          <w:rFonts w:ascii="Times New Roman" w:hAnsi="Times New Roman" w:cs="Times New Roman"/>
          <w:sz w:val="24"/>
          <w:szCs w:val="24"/>
        </w:rPr>
        <w:t>this context</w:t>
      </w:r>
      <w:r w:rsidR="005E229F" w:rsidRPr="00FE2066">
        <w:rPr>
          <w:rFonts w:ascii="Times New Roman" w:hAnsi="Times New Roman" w:cs="Times New Roman"/>
          <w:sz w:val="24"/>
          <w:szCs w:val="24"/>
        </w:rPr>
        <w:t>, t</w:t>
      </w:r>
      <w:r w:rsidR="00E15FF6" w:rsidRPr="00FE2066">
        <w:rPr>
          <w:rFonts w:ascii="Times New Roman" w:hAnsi="Times New Roman" w:cs="Times New Roman"/>
          <w:sz w:val="24"/>
          <w:szCs w:val="24"/>
        </w:rPr>
        <w:t xml:space="preserve">he contamination of footwear of </w:t>
      </w:r>
      <w:r w:rsidR="00A82790" w:rsidRPr="00FE2066">
        <w:rPr>
          <w:rFonts w:ascii="Times New Roman" w:hAnsi="Times New Roman" w:cs="Times New Roman"/>
          <w:sz w:val="24"/>
          <w:szCs w:val="24"/>
        </w:rPr>
        <w:t>people entering Australia</w:t>
      </w:r>
      <w:r w:rsidR="00E15FF6" w:rsidRPr="00FE2066">
        <w:rPr>
          <w:rFonts w:ascii="Times New Roman" w:hAnsi="Times New Roman" w:cs="Times New Roman"/>
          <w:sz w:val="24"/>
          <w:szCs w:val="24"/>
        </w:rPr>
        <w:t xml:space="preserve"> </w:t>
      </w:r>
      <w:r w:rsidRPr="00FE2066">
        <w:rPr>
          <w:rFonts w:ascii="Times New Roman" w:hAnsi="Times New Roman" w:cs="Times New Roman"/>
          <w:sz w:val="24"/>
          <w:szCs w:val="24"/>
        </w:rPr>
        <w:t xml:space="preserve">by vessel </w:t>
      </w:r>
      <w:r w:rsidR="00E15FF6" w:rsidRPr="00FE2066">
        <w:rPr>
          <w:rFonts w:ascii="Times New Roman" w:hAnsi="Times New Roman" w:cs="Times New Roman"/>
          <w:sz w:val="24"/>
          <w:szCs w:val="24"/>
        </w:rPr>
        <w:t>from Indonesia presents a risk of introduction of FMD into Australia.</w:t>
      </w:r>
      <w:r w:rsidRPr="00FE2066">
        <w:rPr>
          <w:rFonts w:ascii="Times New Roman" w:hAnsi="Times New Roman" w:cs="Times New Roman"/>
          <w:sz w:val="24"/>
          <w:szCs w:val="24"/>
        </w:rPr>
        <w:t xml:space="preserve"> </w:t>
      </w:r>
      <w:r w:rsidR="00E15FF6" w:rsidRPr="00FE2066">
        <w:rPr>
          <w:rFonts w:ascii="Times New Roman" w:hAnsi="Times New Roman" w:cs="Times New Roman"/>
          <w:sz w:val="24"/>
          <w:szCs w:val="24"/>
        </w:rPr>
        <w:t xml:space="preserve">To minimise this risk and to inform </w:t>
      </w:r>
      <w:r w:rsidR="00A44B2E" w:rsidRPr="00FE2066">
        <w:rPr>
          <w:rFonts w:ascii="Times New Roman" w:hAnsi="Times New Roman" w:cs="Times New Roman"/>
          <w:sz w:val="24"/>
          <w:szCs w:val="24"/>
        </w:rPr>
        <w:t>people</w:t>
      </w:r>
      <w:r w:rsidR="00E15FF6" w:rsidRPr="00FE2066">
        <w:rPr>
          <w:rFonts w:ascii="Times New Roman" w:hAnsi="Times New Roman" w:cs="Times New Roman"/>
          <w:sz w:val="24"/>
          <w:szCs w:val="24"/>
        </w:rPr>
        <w:t xml:space="preserve"> of the biosecurity risk posed by FMD, the footwear worn by p</w:t>
      </w:r>
      <w:r w:rsidR="00A82790" w:rsidRPr="00FE2066">
        <w:rPr>
          <w:rFonts w:ascii="Times New Roman" w:hAnsi="Times New Roman" w:cs="Times New Roman"/>
          <w:sz w:val="24"/>
          <w:szCs w:val="24"/>
        </w:rPr>
        <w:t>eople</w:t>
      </w:r>
      <w:r w:rsidR="00E15FF6" w:rsidRPr="00FE2066">
        <w:rPr>
          <w:rFonts w:ascii="Times New Roman" w:hAnsi="Times New Roman" w:cs="Times New Roman"/>
          <w:sz w:val="24"/>
          <w:szCs w:val="24"/>
        </w:rPr>
        <w:t xml:space="preserve"> on incoming </w:t>
      </w:r>
      <w:r w:rsidR="00A82790" w:rsidRPr="00FE2066">
        <w:rPr>
          <w:rFonts w:ascii="Times New Roman" w:hAnsi="Times New Roman" w:cs="Times New Roman"/>
          <w:sz w:val="24"/>
          <w:szCs w:val="24"/>
        </w:rPr>
        <w:t>vessels</w:t>
      </w:r>
      <w:r w:rsidR="00E15FF6" w:rsidRPr="00FE2066">
        <w:rPr>
          <w:rFonts w:ascii="Times New Roman" w:hAnsi="Times New Roman" w:cs="Times New Roman"/>
          <w:sz w:val="24"/>
          <w:szCs w:val="24"/>
        </w:rPr>
        <w:t xml:space="preserve"> from Indonesia to Australia</w:t>
      </w:r>
      <w:r w:rsidR="009C3AD7" w:rsidRPr="00FE2066">
        <w:rPr>
          <w:rFonts w:ascii="Times New Roman" w:hAnsi="Times New Roman" w:cs="Times New Roman"/>
          <w:sz w:val="24"/>
          <w:szCs w:val="24"/>
        </w:rPr>
        <w:t>, including international cruise vessels,</w:t>
      </w:r>
      <w:r w:rsidR="00E15FF6" w:rsidRPr="00FE2066">
        <w:rPr>
          <w:rFonts w:ascii="Times New Roman" w:hAnsi="Times New Roman" w:cs="Times New Roman"/>
          <w:sz w:val="24"/>
          <w:szCs w:val="24"/>
        </w:rPr>
        <w:t xml:space="preserve"> will be treated using foot</w:t>
      </w:r>
      <w:r w:rsidR="00203BC0" w:rsidRPr="00FE2066">
        <w:rPr>
          <w:rFonts w:ascii="Times New Roman" w:hAnsi="Times New Roman" w:cs="Times New Roman"/>
          <w:sz w:val="24"/>
          <w:szCs w:val="24"/>
        </w:rPr>
        <w:t xml:space="preserve"> </w:t>
      </w:r>
      <w:r w:rsidR="007805D3" w:rsidRPr="00FE2066">
        <w:rPr>
          <w:rFonts w:ascii="Times New Roman" w:hAnsi="Times New Roman" w:cs="Times New Roman"/>
          <w:sz w:val="24"/>
          <w:szCs w:val="24"/>
        </w:rPr>
        <w:t>mats</w:t>
      </w:r>
      <w:r w:rsidR="003C40BA" w:rsidRPr="00FE2066">
        <w:rPr>
          <w:rFonts w:ascii="Times New Roman" w:hAnsi="Times New Roman" w:cs="Times New Roman"/>
          <w:sz w:val="24"/>
          <w:szCs w:val="24"/>
        </w:rPr>
        <w:t xml:space="preserve"> or footbaths</w:t>
      </w:r>
      <w:r w:rsidR="00E15FF6" w:rsidRPr="00FE2066">
        <w:rPr>
          <w:rFonts w:ascii="Times New Roman" w:hAnsi="Times New Roman" w:cs="Times New Roman"/>
          <w:sz w:val="24"/>
          <w:szCs w:val="24"/>
        </w:rPr>
        <w:t xml:space="preserve">. </w:t>
      </w:r>
      <w:r w:rsidR="007805D3" w:rsidRPr="00FE2066">
        <w:rPr>
          <w:rFonts w:ascii="Times New Roman" w:hAnsi="Times New Roman" w:cs="Times New Roman"/>
          <w:sz w:val="24"/>
          <w:szCs w:val="24"/>
        </w:rPr>
        <w:t xml:space="preserve">The determination of areas of </w:t>
      </w:r>
      <w:r w:rsidR="00893545" w:rsidRPr="00FE2066">
        <w:rPr>
          <w:rFonts w:ascii="Times New Roman" w:hAnsi="Times New Roman" w:cs="Times New Roman"/>
          <w:sz w:val="24"/>
          <w:szCs w:val="24"/>
        </w:rPr>
        <w:t xml:space="preserve">relevant </w:t>
      </w:r>
      <w:r w:rsidR="007805D3" w:rsidRPr="00FE2066">
        <w:rPr>
          <w:rFonts w:ascii="Times New Roman" w:hAnsi="Times New Roman" w:cs="Times New Roman"/>
          <w:sz w:val="24"/>
          <w:szCs w:val="24"/>
        </w:rPr>
        <w:t>ports as biosecurity response zones for the treatment of footwear responds to this</w:t>
      </w:r>
      <w:r w:rsidR="00203BC0" w:rsidRPr="00FE2066">
        <w:rPr>
          <w:rFonts w:ascii="Times New Roman" w:hAnsi="Times New Roman" w:cs="Times New Roman"/>
          <w:sz w:val="24"/>
          <w:szCs w:val="24"/>
        </w:rPr>
        <w:t xml:space="preserve"> biosecurity</w:t>
      </w:r>
      <w:r w:rsidR="007805D3" w:rsidRPr="00FE2066">
        <w:rPr>
          <w:rFonts w:ascii="Times New Roman" w:hAnsi="Times New Roman" w:cs="Times New Roman"/>
          <w:sz w:val="24"/>
          <w:szCs w:val="24"/>
        </w:rPr>
        <w:t xml:space="preserve"> risk. </w:t>
      </w:r>
      <w:r w:rsidR="00564EA2" w:rsidRPr="00FE2066">
        <w:rPr>
          <w:rFonts w:ascii="Times New Roman" w:hAnsi="Times New Roman" w:cs="Times New Roman"/>
          <w:sz w:val="24"/>
          <w:szCs w:val="24"/>
        </w:rPr>
        <w:t>If another country develops an active outbreak of foot and mouth disease during the period of effect of the determination, the same treatment would be applied to the footwear of people on incoming vessels from that country.</w:t>
      </w:r>
    </w:p>
    <w:p w14:paraId="779103E4" w14:textId="5C2E1A79" w:rsidR="006A7DD1" w:rsidRPr="00FE2066" w:rsidRDefault="00C0068B" w:rsidP="0003018D">
      <w:pPr>
        <w:rPr>
          <w:rFonts w:ascii="Times New Roman" w:hAnsi="Times New Roman" w:cs="Times New Roman"/>
          <w:sz w:val="24"/>
          <w:szCs w:val="24"/>
        </w:rPr>
      </w:pPr>
      <w:r w:rsidRPr="00FE2066">
        <w:rPr>
          <w:rFonts w:ascii="Times New Roman" w:hAnsi="Times New Roman" w:cs="Times New Roman"/>
          <w:sz w:val="24"/>
          <w:szCs w:val="24"/>
        </w:rPr>
        <w:t>In making the Determination, the Director of Biosecurity considered information provided by a biosecurity officer that a disease or pest, namely</w:t>
      </w:r>
      <w:r w:rsidR="0013794A" w:rsidRPr="00FE2066">
        <w:rPr>
          <w:rFonts w:ascii="Times New Roman" w:hAnsi="Times New Roman" w:cs="Times New Roman"/>
          <w:sz w:val="24"/>
          <w:szCs w:val="24"/>
        </w:rPr>
        <w:t xml:space="preserve"> </w:t>
      </w:r>
      <w:r w:rsidR="00CA4688" w:rsidRPr="00FE2066">
        <w:rPr>
          <w:rFonts w:ascii="Times New Roman" w:hAnsi="Times New Roman" w:cs="Times New Roman"/>
          <w:sz w:val="24"/>
          <w:szCs w:val="24"/>
        </w:rPr>
        <w:t>FMD</w:t>
      </w:r>
      <w:r w:rsidRPr="00FE2066">
        <w:rPr>
          <w:rFonts w:ascii="Times New Roman" w:hAnsi="Times New Roman" w:cs="Times New Roman"/>
          <w:sz w:val="24"/>
          <w:szCs w:val="24"/>
        </w:rPr>
        <w:t xml:space="preserve">, may be present in or on </w:t>
      </w:r>
      <w:r w:rsidR="00893545" w:rsidRPr="00FE2066">
        <w:rPr>
          <w:rFonts w:ascii="Times New Roman" w:hAnsi="Times New Roman" w:cs="Times New Roman"/>
          <w:sz w:val="24"/>
          <w:szCs w:val="24"/>
        </w:rPr>
        <w:t xml:space="preserve">goods or </w:t>
      </w:r>
      <w:r w:rsidRPr="00FE2066">
        <w:rPr>
          <w:rFonts w:ascii="Times New Roman" w:hAnsi="Times New Roman" w:cs="Times New Roman"/>
          <w:sz w:val="24"/>
          <w:szCs w:val="24"/>
        </w:rPr>
        <w:t xml:space="preserve">premises </w:t>
      </w:r>
      <w:r w:rsidR="0066159D" w:rsidRPr="00FE2066">
        <w:rPr>
          <w:rFonts w:ascii="Times New Roman" w:hAnsi="Times New Roman" w:cs="Times New Roman"/>
          <w:sz w:val="24"/>
          <w:szCs w:val="24"/>
        </w:rPr>
        <w:t xml:space="preserve">in the </w:t>
      </w:r>
      <w:r w:rsidR="00893545" w:rsidRPr="00FE2066">
        <w:rPr>
          <w:rFonts w:ascii="Times New Roman" w:hAnsi="Times New Roman" w:cs="Times New Roman"/>
          <w:sz w:val="24"/>
          <w:szCs w:val="24"/>
        </w:rPr>
        <w:t>biosecurity response zone as specified</w:t>
      </w:r>
      <w:r w:rsidRPr="00FE2066">
        <w:rPr>
          <w:rFonts w:ascii="Times New Roman" w:hAnsi="Times New Roman" w:cs="Times New Roman"/>
          <w:sz w:val="24"/>
          <w:szCs w:val="24"/>
        </w:rPr>
        <w:t xml:space="preserve"> in the Determination</w:t>
      </w:r>
      <w:r w:rsidR="00893545" w:rsidRPr="00FE2066">
        <w:rPr>
          <w:rFonts w:ascii="Times New Roman" w:hAnsi="Times New Roman" w:cs="Times New Roman"/>
          <w:sz w:val="24"/>
          <w:szCs w:val="24"/>
        </w:rPr>
        <w:t xml:space="preserve"> and that FMD poses an unacceptable level of biosecurity risk</w:t>
      </w:r>
      <w:r w:rsidRPr="00FE2066">
        <w:rPr>
          <w:rFonts w:ascii="Times New Roman" w:hAnsi="Times New Roman" w:cs="Times New Roman"/>
          <w:sz w:val="24"/>
          <w:szCs w:val="24"/>
        </w:rPr>
        <w:t>. Having considered this information, the Director of Biosecurity was satisfied that it is necessary to make the Determination for the purpose</w:t>
      </w:r>
      <w:r w:rsidR="00E15FF6" w:rsidRPr="00FE2066">
        <w:rPr>
          <w:rFonts w:ascii="Times New Roman" w:hAnsi="Times New Roman" w:cs="Times New Roman"/>
          <w:sz w:val="24"/>
          <w:szCs w:val="24"/>
        </w:rPr>
        <w:t>s</w:t>
      </w:r>
      <w:r w:rsidRPr="00FE2066">
        <w:rPr>
          <w:rFonts w:ascii="Times New Roman" w:hAnsi="Times New Roman" w:cs="Times New Roman"/>
          <w:sz w:val="24"/>
          <w:szCs w:val="24"/>
        </w:rPr>
        <w:t xml:space="preserve"> of managing the biosecurity risk posed by </w:t>
      </w:r>
      <w:r w:rsidR="007E07E5" w:rsidRPr="00FE2066">
        <w:rPr>
          <w:rFonts w:ascii="Times New Roman" w:hAnsi="Times New Roman" w:cs="Times New Roman"/>
          <w:sz w:val="24"/>
          <w:szCs w:val="24"/>
        </w:rPr>
        <w:t>FMD</w:t>
      </w:r>
      <w:r w:rsidRPr="00FE2066">
        <w:rPr>
          <w:rFonts w:ascii="Times New Roman" w:hAnsi="Times New Roman" w:cs="Times New Roman"/>
          <w:sz w:val="24"/>
          <w:szCs w:val="24"/>
        </w:rPr>
        <w:t>.</w:t>
      </w:r>
    </w:p>
    <w:p w14:paraId="29476B4D" w14:textId="5B8537C1" w:rsidR="0003018D" w:rsidRPr="00FE2066" w:rsidRDefault="00C0068B" w:rsidP="0003018D">
      <w:pPr>
        <w:rPr>
          <w:rFonts w:ascii="Times New Roman" w:hAnsi="Times New Roman" w:cs="Times New Roman"/>
          <w:b/>
          <w:bCs/>
          <w:sz w:val="24"/>
          <w:szCs w:val="24"/>
        </w:rPr>
      </w:pPr>
      <w:r w:rsidRPr="00FE2066">
        <w:rPr>
          <w:rFonts w:ascii="Times New Roman" w:hAnsi="Times New Roman" w:cs="Times New Roman"/>
          <w:b/>
          <w:bCs/>
          <w:sz w:val="24"/>
          <w:szCs w:val="24"/>
        </w:rPr>
        <w:t xml:space="preserve">Impact and effect </w:t>
      </w:r>
    </w:p>
    <w:p w14:paraId="38F37F61" w14:textId="23B897DF" w:rsidR="000B1A6E" w:rsidRPr="00FE2066" w:rsidRDefault="00C0068B" w:rsidP="0003018D">
      <w:pPr>
        <w:rPr>
          <w:rFonts w:ascii="Times New Roman" w:hAnsi="Times New Roman" w:cs="Times New Roman"/>
          <w:sz w:val="24"/>
          <w:szCs w:val="24"/>
        </w:rPr>
      </w:pPr>
      <w:r w:rsidRPr="00FE2066">
        <w:rPr>
          <w:rFonts w:ascii="Times New Roman" w:hAnsi="Times New Roman" w:cs="Times New Roman"/>
          <w:sz w:val="24"/>
          <w:szCs w:val="24"/>
        </w:rPr>
        <w:t xml:space="preserve">The effect of the Determination will be to limit the risk of FMD being introduced to Australia by way of </w:t>
      </w:r>
      <w:r w:rsidR="00A82790" w:rsidRPr="00FE2066">
        <w:rPr>
          <w:rFonts w:ascii="Times New Roman" w:hAnsi="Times New Roman" w:cs="Times New Roman"/>
          <w:sz w:val="24"/>
          <w:szCs w:val="24"/>
        </w:rPr>
        <w:t>people entering Australia</w:t>
      </w:r>
      <w:r w:rsidRPr="00FE2066">
        <w:rPr>
          <w:rFonts w:ascii="Times New Roman" w:hAnsi="Times New Roman" w:cs="Times New Roman"/>
          <w:sz w:val="24"/>
          <w:szCs w:val="24"/>
        </w:rPr>
        <w:t xml:space="preserve"> from Indonesia</w:t>
      </w:r>
      <w:r w:rsidR="00564EA2" w:rsidRPr="00FE2066">
        <w:rPr>
          <w:rFonts w:ascii="Times New Roman" w:hAnsi="Times New Roman" w:cs="Times New Roman"/>
          <w:sz w:val="24"/>
          <w:szCs w:val="24"/>
        </w:rPr>
        <w:t>, or if another country develops an active outbreak of FMD, from that country</w:t>
      </w:r>
      <w:r w:rsidRPr="00FE2066">
        <w:rPr>
          <w:rFonts w:ascii="Times New Roman" w:hAnsi="Times New Roman" w:cs="Times New Roman"/>
          <w:sz w:val="24"/>
          <w:szCs w:val="24"/>
        </w:rPr>
        <w:t xml:space="preserve">. </w:t>
      </w:r>
    </w:p>
    <w:p w14:paraId="61369ED0" w14:textId="567EEAEB" w:rsidR="00FE1B59" w:rsidRPr="00FE2066" w:rsidRDefault="00C0068B" w:rsidP="0003018D">
      <w:pPr>
        <w:rPr>
          <w:rFonts w:ascii="Times New Roman" w:hAnsi="Times New Roman" w:cs="Times New Roman"/>
          <w:sz w:val="24"/>
          <w:szCs w:val="24"/>
        </w:rPr>
      </w:pPr>
      <w:r w:rsidRPr="00FE2066">
        <w:rPr>
          <w:rFonts w:ascii="Times New Roman" w:hAnsi="Times New Roman" w:cs="Times New Roman"/>
          <w:sz w:val="24"/>
          <w:szCs w:val="24"/>
        </w:rPr>
        <w:t>Paragraph 366(3)(b)</w:t>
      </w:r>
      <w:r w:rsidR="007E07E5" w:rsidRPr="00FE2066">
        <w:rPr>
          <w:rFonts w:ascii="Times New Roman" w:hAnsi="Times New Roman" w:cs="Times New Roman"/>
          <w:sz w:val="24"/>
          <w:szCs w:val="24"/>
        </w:rPr>
        <w:t xml:space="preserve"> of the Act</w:t>
      </w:r>
      <w:r w:rsidRPr="00FE2066">
        <w:rPr>
          <w:rFonts w:ascii="Times New Roman" w:hAnsi="Times New Roman" w:cs="Times New Roman"/>
          <w:sz w:val="24"/>
          <w:szCs w:val="24"/>
        </w:rPr>
        <w:t xml:space="preserve"> provides that a biosecurity response zone determination may be in force for up to 12 months. </w:t>
      </w:r>
      <w:r w:rsidR="00EA10E7" w:rsidRPr="00FE2066">
        <w:rPr>
          <w:rFonts w:ascii="Times New Roman" w:hAnsi="Times New Roman" w:cs="Times New Roman"/>
          <w:sz w:val="24"/>
          <w:szCs w:val="24"/>
        </w:rPr>
        <w:t xml:space="preserve">The Determination is in force for </w:t>
      </w:r>
      <w:r w:rsidR="00B2030A" w:rsidRPr="00FE2066">
        <w:rPr>
          <w:rFonts w:ascii="Times New Roman" w:hAnsi="Times New Roman" w:cs="Times New Roman"/>
          <w:sz w:val="24"/>
          <w:szCs w:val="24"/>
        </w:rPr>
        <w:t>the period beginning on 24 September 2022 and ending on 30 June 2023</w:t>
      </w:r>
      <w:r w:rsidR="002A7E73" w:rsidRPr="00FE2066">
        <w:rPr>
          <w:rFonts w:ascii="Times New Roman" w:hAnsi="Times New Roman" w:cs="Times New Roman"/>
          <w:sz w:val="24"/>
          <w:szCs w:val="24"/>
        </w:rPr>
        <w:t>.</w:t>
      </w:r>
      <w:r w:rsidRPr="00FE2066">
        <w:rPr>
          <w:rFonts w:ascii="Times New Roman" w:hAnsi="Times New Roman" w:cs="Times New Roman"/>
          <w:sz w:val="24"/>
          <w:szCs w:val="24"/>
        </w:rPr>
        <w:t xml:space="preserve"> </w:t>
      </w:r>
      <w:r w:rsidR="008A36B1" w:rsidRPr="00FE2066">
        <w:rPr>
          <w:rFonts w:ascii="Times New Roman" w:hAnsi="Times New Roman" w:cs="Times New Roman"/>
          <w:sz w:val="24"/>
          <w:szCs w:val="24"/>
        </w:rPr>
        <w:t>Before the Determination ceases to be in effect</w:t>
      </w:r>
      <w:r w:rsidRPr="00FE2066">
        <w:rPr>
          <w:rFonts w:ascii="Times New Roman" w:hAnsi="Times New Roman" w:cs="Times New Roman"/>
          <w:sz w:val="24"/>
          <w:szCs w:val="24"/>
        </w:rPr>
        <w:t>, consideration will be given as to whether the arrangements need to be in place for a further period.</w:t>
      </w:r>
    </w:p>
    <w:p w14:paraId="56589B39" w14:textId="2B85D96E" w:rsidR="0003018D" w:rsidRPr="00FE2066" w:rsidRDefault="00C0068B" w:rsidP="0003018D">
      <w:pPr>
        <w:rPr>
          <w:rFonts w:ascii="Times New Roman" w:hAnsi="Times New Roman" w:cs="Times New Roman"/>
          <w:b/>
          <w:bCs/>
          <w:sz w:val="24"/>
          <w:szCs w:val="24"/>
        </w:rPr>
      </w:pPr>
      <w:r w:rsidRPr="00FE2066">
        <w:rPr>
          <w:rFonts w:ascii="Times New Roman" w:hAnsi="Times New Roman" w:cs="Times New Roman"/>
          <w:b/>
          <w:bCs/>
          <w:sz w:val="24"/>
          <w:szCs w:val="24"/>
        </w:rPr>
        <w:t xml:space="preserve">Consultation </w:t>
      </w:r>
    </w:p>
    <w:p w14:paraId="0084140A" w14:textId="229B0A86" w:rsidR="00D121C4" w:rsidRPr="00FE2066" w:rsidRDefault="00223B88" w:rsidP="0003018D">
      <w:pPr>
        <w:rPr>
          <w:rFonts w:ascii="Times New Roman" w:hAnsi="Times New Roman" w:cs="Times New Roman"/>
          <w:sz w:val="24"/>
          <w:szCs w:val="24"/>
        </w:rPr>
      </w:pPr>
      <w:r w:rsidRPr="00FE2066">
        <w:rPr>
          <w:rFonts w:ascii="Times New Roman" w:hAnsi="Times New Roman" w:cs="Times New Roman"/>
          <w:sz w:val="24"/>
          <w:szCs w:val="24"/>
        </w:rPr>
        <w:t>I</w:t>
      </w:r>
      <w:r w:rsidR="00C0068B" w:rsidRPr="00FE2066">
        <w:rPr>
          <w:rFonts w:ascii="Times New Roman" w:hAnsi="Times New Roman" w:cs="Times New Roman"/>
          <w:sz w:val="24"/>
          <w:szCs w:val="24"/>
        </w:rPr>
        <w:t xml:space="preserve">n accordance with section </w:t>
      </w:r>
      <w:r w:rsidR="00A10F3E" w:rsidRPr="00FE2066">
        <w:rPr>
          <w:rFonts w:ascii="Times New Roman" w:hAnsi="Times New Roman" w:cs="Times New Roman"/>
          <w:sz w:val="24"/>
          <w:szCs w:val="24"/>
        </w:rPr>
        <w:t>3</w:t>
      </w:r>
      <w:r w:rsidR="00C0068B" w:rsidRPr="00FE2066">
        <w:rPr>
          <w:rFonts w:ascii="Times New Roman" w:hAnsi="Times New Roman" w:cs="Times New Roman"/>
          <w:sz w:val="24"/>
          <w:szCs w:val="24"/>
        </w:rPr>
        <w:t>68 of the Act, the Director of Biosecurity consulted</w:t>
      </w:r>
      <w:r w:rsidR="00A10F3E" w:rsidRPr="00FE2066">
        <w:rPr>
          <w:rFonts w:ascii="Times New Roman" w:hAnsi="Times New Roman" w:cs="Times New Roman"/>
          <w:sz w:val="24"/>
          <w:szCs w:val="24"/>
        </w:rPr>
        <w:t xml:space="preserve"> the following heads of the State or Territory bodies responsible for the administration of matters relating to biosecurity in each State or Territory in which the biosecurity response zone will lie</w:t>
      </w:r>
      <w:r w:rsidR="00C0068B" w:rsidRPr="00FE2066">
        <w:rPr>
          <w:rFonts w:ascii="Times New Roman" w:hAnsi="Times New Roman" w:cs="Times New Roman"/>
          <w:sz w:val="24"/>
          <w:szCs w:val="24"/>
        </w:rPr>
        <w:t>:</w:t>
      </w:r>
    </w:p>
    <w:p w14:paraId="2288A5D1" w14:textId="4372A7BC" w:rsidR="00D121C4" w:rsidRPr="00FE2066" w:rsidRDefault="00C0068B" w:rsidP="00D121C4">
      <w:pPr>
        <w:pStyle w:val="ListParagraph"/>
        <w:numPr>
          <w:ilvl w:val="0"/>
          <w:numId w:val="2"/>
        </w:numPr>
        <w:rPr>
          <w:rFonts w:ascii="Times New Roman" w:hAnsi="Times New Roman" w:cs="Times New Roman"/>
          <w:sz w:val="24"/>
          <w:szCs w:val="24"/>
        </w:rPr>
      </w:pPr>
      <w:r w:rsidRPr="00FE2066">
        <w:rPr>
          <w:rFonts w:ascii="Times New Roman" w:hAnsi="Times New Roman" w:cs="Times New Roman"/>
          <w:sz w:val="24"/>
          <w:szCs w:val="24"/>
        </w:rPr>
        <w:t>The Director-General of Primary Industries and Regional Development (WA</w:t>
      </w:r>
      <w:proofErr w:type="gramStart"/>
      <w:r w:rsidRPr="00FE2066">
        <w:rPr>
          <w:rFonts w:ascii="Times New Roman" w:hAnsi="Times New Roman" w:cs="Times New Roman"/>
          <w:sz w:val="24"/>
          <w:szCs w:val="24"/>
        </w:rPr>
        <w:t>);</w:t>
      </w:r>
      <w:proofErr w:type="gramEnd"/>
      <w:r w:rsidRPr="00FE2066">
        <w:rPr>
          <w:rFonts w:ascii="Times New Roman" w:hAnsi="Times New Roman" w:cs="Times New Roman"/>
          <w:sz w:val="24"/>
          <w:szCs w:val="24"/>
        </w:rPr>
        <w:t xml:space="preserve"> </w:t>
      </w:r>
    </w:p>
    <w:p w14:paraId="21CB5F7C" w14:textId="5489CD0E" w:rsidR="00D121C4" w:rsidRPr="00FE2066" w:rsidRDefault="00C0068B" w:rsidP="00D121C4">
      <w:pPr>
        <w:pStyle w:val="ListParagraph"/>
        <w:numPr>
          <w:ilvl w:val="0"/>
          <w:numId w:val="2"/>
        </w:numPr>
        <w:rPr>
          <w:rFonts w:ascii="Times New Roman" w:hAnsi="Times New Roman" w:cs="Times New Roman"/>
          <w:sz w:val="24"/>
          <w:szCs w:val="24"/>
        </w:rPr>
      </w:pPr>
      <w:r w:rsidRPr="00FE2066">
        <w:rPr>
          <w:rFonts w:ascii="Times New Roman" w:hAnsi="Times New Roman" w:cs="Times New Roman"/>
          <w:sz w:val="24"/>
          <w:szCs w:val="24"/>
        </w:rPr>
        <w:t xml:space="preserve">The Secretary of the Department of Regional </w:t>
      </w:r>
      <w:proofErr w:type="gramStart"/>
      <w:r w:rsidRPr="00FE2066">
        <w:rPr>
          <w:rFonts w:ascii="Times New Roman" w:hAnsi="Times New Roman" w:cs="Times New Roman"/>
          <w:sz w:val="24"/>
          <w:szCs w:val="24"/>
        </w:rPr>
        <w:t>NSW;</w:t>
      </w:r>
      <w:proofErr w:type="gramEnd"/>
      <w:r w:rsidRPr="00FE2066">
        <w:rPr>
          <w:rFonts w:ascii="Times New Roman" w:hAnsi="Times New Roman" w:cs="Times New Roman"/>
          <w:sz w:val="24"/>
          <w:szCs w:val="24"/>
        </w:rPr>
        <w:t xml:space="preserve"> </w:t>
      </w:r>
    </w:p>
    <w:p w14:paraId="1376E07C" w14:textId="77777777" w:rsidR="00D121C4" w:rsidRPr="00FE2066" w:rsidRDefault="00C0068B" w:rsidP="00D121C4">
      <w:pPr>
        <w:pStyle w:val="ListParagraph"/>
        <w:numPr>
          <w:ilvl w:val="0"/>
          <w:numId w:val="2"/>
        </w:numPr>
        <w:rPr>
          <w:rFonts w:ascii="Times New Roman" w:hAnsi="Times New Roman" w:cs="Times New Roman"/>
          <w:sz w:val="24"/>
          <w:szCs w:val="24"/>
        </w:rPr>
      </w:pPr>
      <w:r w:rsidRPr="00FE2066">
        <w:rPr>
          <w:rFonts w:ascii="Times New Roman" w:hAnsi="Times New Roman" w:cs="Times New Roman"/>
          <w:sz w:val="24"/>
          <w:szCs w:val="24"/>
        </w:rPr>
        <w:t xml:space="preserve">The Chief Executive of the Queensland Department of Agriculture and </w:t>
      </w:r>
      <w:proofErr w:type="gramStart"/>
      <w:r w:rsidRPr="00FE2066">
        <w:rPr>
          <w:rFonts w:ascii="Times New Roman" w:hAnsi="Times New Roman" w:cs="Times New Roman"/>
          <w:sz w:val="24"/>
          <w:szCs w:val="24"/>
        </w:rPr>
        <w:t>Fisheries;</w:t>
      </w:r>
      <w:proofErr w:type="gramEnd"/>
      <w:r w:rsidRPr="00FE2066">
        <w:rPr>
          <w:rFonts w:ascii="Times New Roman" w:hAnsi="Times New Roman" w:cs="Times New Roman"/>
          <w:sz w:val="24"/>
          <w:szCs w:val="24"/>
        </w:rPr>
        <w:t xml:space="preserve"> </w:t>
      </w:r>
    </w:p>
    <w:p w14:paraId="654DF23C" w14:textId="46883363" w:rsidR="00D121C4" w:rsidRPr="00FE2066" w:rsidRDefault="00C0068B" w:rsidP="00D121C4">
      <w:pPr>
        <w:pStyle w:val="ListParagraph"/>
        <w:numPr>
          <w:ilvl w:val="0"/>
          <w:numId w:val="2"/>
        </w:numPr>
        <w:rPr>
          <w:rFonts w:ascii="Times New Roman" w:hAnsi="Times New Roman" w:cs="Times New Roman"/>
          <w:sz w:val="24"/>
          <w:szCs w:val="24"/>
        </w:rPr>
      </w:pPr>
      <w:r w:rsidRPr="00FE2066">
        <w:rPr>
          <w:rFonts w:ascii="Times New Roman" w:hAnsi="Times New Roman" w:cs="Times New Roman"/>
          <w:sz w:val="24"/>
          <w:szCs w:val="24"/>
        </w:rPr>
        <w:t xml:space="preserve">The Secretary of the Victorian Department of Jobs, Precincts and </w:t>
      </w:r>
      <w:proofErr w:type="gramStart"/>
      <w:r w:rsidRPr="00FE2066">
        <w:rPr>
          <w:rFonts w:ascii="Times New Roman" w:hAnsi="Times New Roman" w:cs="Times New Roman"/>
          <w:sz w:val="24"/>
          <w:szCs w:val="24"/>
        </w:rPr>
        <w:t>Regions;</w:t>
      </w:r>
      <w:proofErr w:type="gramEnd"/>
    </w:p>
    <w:p w14:paraId="1B31E1A5" w14:textId="5064B132" w:rsidR="00D121C4" w:rsidRPr="00FE2066" w:rsidRDefault="00C0068B" w:rsidP="00D121C4">
      <w:pPr>
        <w:pStyle w:val="ListParagraph"/>
        <w:numPr>
          <w:ilvl w:val="0"/>
          <w:numId w:val="2"/>
        </w:numPr>
        <w:rPr>
          <w:rFonts w:ascii="Times New Roman" w:hAnsi="Times New Roman" w:cs="Times New Roman"/>
          <w:sz w:val="24"/>
          <w:szCs w:val="24"/>
        </w:rPr>
      </w:pPr>
      <w:r w:rsidRPr="00FE2066">
        <w:rPr>
          <w:rFonts w:ascii="Times New Roman" w:hAnsi="Times New Roman" w:cs="Times New Roman"/>
          <w:sz w:val="24"/>
          <w:szCs w:val="24"/>
        </w:rPr>
        <w:t xml:space="preserve">The CEO of the Northern Territory Department of Industry, Tourism and </w:t>
      </w:r>
      <w:proofErr w:type="gramStart"/>
      <w:r w:rsidRPr="00FE2066">
        <w:rPr>
          <w:rFonts w:ascii="Times New Roman" w:hAnsi="Times New Roman" w:cs="Times New Roman"/>
          <w:sz w:val="24"/>
          <w:szCs w:val="24"/>
        </w:rPr>
        <w:t>Trade;</w:t>
      </w:r>
      <w:proofErr w:type="gramEnd"/>
      <w:r w:rsidRPr="00FE2066">
        <w:rPr>
          <w:rFonts w:ascii="Times New Roman" w:hAnsi="Times New Roman" w:cs="Times New Roman"/>
          <w:sz w:val="24"/>
          <w:szCs w:val="24"/>
        </w:rPr>
        <w:t xml:space="preserve"> </w:t>
      </w:r>
    </w:p>
    <w:p w14:paraId="48F317B1" w14:textId="41EE9B0A" w:rsidR="00FE1B59" w:rsidRPr="00FE2066" w:rsidRDefault="00C0068B" w:rsidP="00D121C4">
      <w:pPr>
        <w:pStyle w:val="ListParagraph"/>
        <w:numPr>
          <w:ilvl w:val="0"/>
          <w:numId w:val="2"/>
        </w:numPr>
        <w:rPr>
          <w:rFonts w:ascii="Times New Roman" w:hAnsi="Times New Roman" w:cs="Times New Roman"/>
          <w:sz w:val="24"/>
          <w:szCs w:val="24"/>
        </w:rPr>
      </w:pPr>
      <w:r w:rsidRPr="00FE2066">
        <w:rPr>
          <w:rFonts w:ascii="Times New Roman" w:hAnsi="Times New Roman" w:cs="Times New Roman"/>
          <w:sz w:val="24"/>
          <w:szCs w:val="24"/>
        </w:rPr>
        <w:t>The CEO of the South Australian Department of Primary Industries and Regions</w:t>
      </w:r>
      <w:r w:rsidR="005C2D86" w:rsidRPr="00FE2066">
        <w:rPr>
          <w:rFonts w:ascii="Times New Roman" w:hAnsi="Times New Roman" w:cs="Times New Roman"/>
          <w:sz w:val="24"/>
          <w:szCs w:val="24"/>
        </w:rPr>
        <w:t>; and</w:t>
      </w:r>
      <w:r w:rsidRPr="00FE2066">
        <w:rPr>
          <w:rFonts w:ascii="Times New Roman" w:hAnsi="Times New Roman" w:cs="Times New Roman"/>
          <w:sz w:val="24"/>
          <w:szCs w:val="24"/>
        </w:rPr>
        <w:t xml:space="preserve"> </w:t>
      </w:r>
    </w:p>
    <w:p w14:paraId="4158D278" w14:textId="10B7AF4A" w:rsidR="005C2D86" w:rsidRPr="00FE2066" w:rsidRDefault="005C2D86" w:rsidP="00D121C4">
      <w:pPr>
        <w:pStyle w:val="ListParagraph"/>
        <w:numPr>
          <w:ilvl w:val="0"/>
          <w:numId w:val="2"/>
        </w:numPr>
        <w:rPr>
          <w:rFonts w:ascii="Times New Roman" w:hAnsi="Times New Roman" w:cs="Times New Roman"/>
          <w:sz w:val="24"/>
          <w:szCs w:val="24"/>
        </w:rPr>
      </w:pPr>
      <w:r w:rsidRPr="00FE2066">
        <w:rPr>
          <w:rFonts w:ascii="Times New Roman" w:hAnsi="Times New Roman" w:cs="Times New Roman"/>
          <w:sz w:val="24"/>
          <w:szCs w:val="24"/>
        </w:rPr>
        <w:t>The Secretary of the Tasmanian Department of Natural Resources and Environment.</w:t>
      </w:r>
    </w:p>
    <w:p w14:paraId="2656B1D7" w14:textId="585DAFE2" w:rsidR="00592582" w:rsidRPr="00FE2066" w:rsidRDefault="00C0068B" w:rsidP="00592582">
      <w:pPr>
        <w:rPr>
          <w:rFonts w:ascii="Times New Roman" w:hAnsi="Times New Roman" w:cs="Times New Roman"/>
          <w:sz w:val="24"/>
          <w:szCs w:val="24"/>
        </w:rPr>
      </w:pPr>
      <w:r w:rsidRPr="00FE2066">
        <w:rPr>
          <w:rFonts w:ascii="Times New Roman" w:hAnsi="Times New Roman" w:cs="Times New Roman"/>
          <w:sz w:val="24"/>
          <w:szCs w:val="24"/>
        </w:rPr>
        <w:lastRenderedPageBreak/>
        <w:t>Due to the severe risk posed by FMD to animal health and the Australian economy and the need to make the Determination as soon as possible to address these risks, the Office of Best Practice Regulation (OBPR) was not consulted in the making of th</w:t>
      </w:r>
      <w:r w:rsidR="007805D3" w:rsidRPr="00FE2066">
        <w:rPr>
          <w:rFonts w:ascii="Times New Roman" w:hAnsi="Times New Roman" w:cs="Times New Roman"/>
          <w:sz w:val="24"/>
          <w:szCs w:val="24"/>
        </w:rPr>
        <w:t>e</w:t>
      </w:r>
      <w:r w:rsidRPr="00FE2066">
        <w:rPr>
          <w:rFonts w:ascii="Times New Roman" w:hAnsi="Times New Roman" w:cs="Times New Roman"/>
          <w:sz w:val="24"/>
          <w:szCs w:val="24"/>
        </w:rPr>
        <w:t xml:space="preserve"> Determination. </w:t>
      </w:r>
    </w:p>
    <w:p w14:paraId="009C731F" w14:textId="2E31A317" w:rsidR="0003018D" w:rsidRPr="00FE2066" w:rsidRDefault="00C0068B" w:rsidP="0003018D">
      <w:pPr>
        <w:rPr>
          <w:rFonts w:ascii="Times New Roman" w:hAnsi="Times New Roman" w:cs="Times New Roman"/>
          <w:b/>
          <w:bCs/>
          <w:sz w:val="24"/>
          <w:szCs w:val="24"/>
        </w:rPr>
      </w:pPr>
      <w:r w:rsidRPr="00FE2066">
        <w:rPr>
          <w:rFonts w:ascii="Times New Roman" w:hAnsi="Times New Roman" w:cs="Times New Roman"/>
          <w:b/>
          <w:bCs/>
          <w:sz w:val="24"/>
          <w:szCs w:val="24"/>
        </w:rPr>
        <w:t>Details/Operation</w:t>
      </w:r>
    </w:p>
    <w:p w14:paraId="414A7495" w14:textId="634AEBD9" w:rsidR="00592582" w:rsidRPr="00FE2066" w:rsidRDefault="00C0068B" w:rsidP="0003018D">
      <w:pPr>
        <w:rPr>
          <w:rFonts w:ascii="Times New Roman" w:hAnsi="Times New Roman" w:cs="Times New Roman"/>
          <w:sz w:val="24"/>
          <w:szCs w:val="24"/>
        </w:rPr>
      </w:pPr>
      <w:r w:rsidRPr="00FE2066">
        <w:rPr>
          <w:rFonts w:ascii="Times New Roman" w:hAnsi="Times New Roman" w:cs="Times New Roman"/>
          <w:sz w:val="24"/>
          <w:szCs w:val="24"/>
        </w:rPr>
        <w:t xml:space="preserve">The Determination is a legislative instrument for the purposes of the </w:t>
      </w:r>
      <w:r w:rsidRPr="00FE2066">
        <w:rPr>
          <w:rFonts w:ascii="Times New Roman" w:hAnsi="Times New Roman" w:cs="Times New Roman"/>
          <w:i/>
          <w:iCs/>
          <w:sz w:val="24"/>
          <w:szCs w:val="24"/>
        </w:rPr>
        <w:t>Legislation Act 2003</w:t>
      </w:r>
      <w:r w:rsidR="00B34884" w:rsidRPr="00FE2066">
        <w:rPr>
          <w:rFonts w:ascii="Times New Roman" w:hAnsi="Times New Roman" w:cs="Times New Roman"/>
          <w:sz w:val="24"/>
          <w:szCs w:val="24"/>
        </w:rPr>
        <w:t xml:space="preserve"> (the Legislation Act)</w:t>
      </w:r>
      <w:r w:rsidRPr="00FE2066">
        <w:rPr>
          <w:rFonts w:ascii="Times New Roman" w:hAnsi="Times New Roman" w:cs="Times New Roman"/>
          <w:sz w:val="24"/>
          <w:szCs w:val="24"/>
        </w:rPr>
        <w:t xml:space="preserve">. </w:t>
      </w:r>
    </w:p>
    <w:p w14:paraId="37F94385" w14:textId="79BE9A3B" w:rsidR="00592582" w:rsidRPr="00FE2066" w:rsidRDefault="00C0068B" w:rsidP="0003018D">
      <w:pPr>
        <w:rPr>
          <w:rFonts w:ascii="Times New Roman" w:hAnsi="Times New Roman" w:cs="Times New Roman"/>
          <w:sz w:val="24"/>
          <w:szCs w:val="24"/>
        </w:rPr>
      </w:pPr>
      <w:r w:rsidRPr="00FE2066">
        <w:rPr>
          <w:rFonts w:ascii="Times New Roman" w:hAnsi="Times New Roman" w:cs="Times New Roman"/>
          <w:sz w:val="24"/>
          <w:szCs w:val="24"/>
        </w:rPr>
        <w:t xml:space="preserve">The Determination commences on </w:t>
      </w:r>
      <w:r w:rsidR="005C2D86" w:rsidRPr="00FE2066">
        <w:rPr>
          <w:rFonts w:ascii="Times New Roman" w:hAnsi="Times New Roman" w:cs="Times New Roman"/>
          <w:sz w:val="24"/>
          <w:szCs w:val="24"/>
        </w:rPr>
        <w:t>24 September 2022.</w:t>
      </w:r>
    </w:p>
    <w:p w14:paraId="237BDFDC" w14:textId="573CBB6F" w:rsidR="00592582" w:rsidRPr="00FE2066" w:rsidRDefault="00C0068B" w:rsidP="0003018D">
      <w:pPr>
        <w:rPr>
          <w:rFonts w:ascii="Times New Roman" w:hAnsi="Times New Roman" w:cs="Times New Roman"/>
          <w:sz w:val="24"/>
          <w:szCs w:val="24"/>
        </w:rPr>
      </w:pPr>
      <w:r w:rsidRPr="00FE2066">
        <w:rPr>
          <w:rFonts w:ascii="Times New Roman" w:hAnsi="Times New Roman" w:cs="Times New Roman"/>
          <w:sz w:val="24"/>
          <w:szCs w:val="24"/>
        </w:rPr>
        <w:t xml:space="preserve">Details of the Determination are set out in the </w:t>
      </w:r>
      <w:r w:rsidRPr="00FE2066">
        <w:rPr>
          <w:rFonts w:ascii="Times New Roman" w:hAnsi="Times New Roman" w:cs="Times New Roman"/>
          <w:sz w:val="24"/>
          <w:szCs w:val="24"/>
          <w:u w:val="single"/>
        </w:rPr>
        <w:t>Attachment</w:t>
      </w:r>
      <w:r w:rsidRPr="00FE2066">
        <w:rPr>
          <w:rFonts w:ascii="Times New Roman" w:hAnsi="Times New Roman" w:cs="Times New Roman"/>
          <w:sz w:val="24"/>
          <w:szCs w:val="24"/>
        </w:rPr>
        <w:t xml:space="preserve">. </w:t>
      </w:r>
    </w:p>
    <w:p w14:paraId="4FEF8649" w14:textId="29C14708" w:rsidR="00A1199C" w:rsidRPr="00FE2066" w:rsidRDefault="00C0068B" w:rsidP="0003018D">
      <w:pPr>
        <w:rPr>
          <w:rFonts w:ascii="Times New Roman" w:hAnsi="Times New Roman" w:cs="Times New Roman"/>
          <w:b/>
          <w:bCs/>
          <w:sz w:val="24"/>
          <w:szCs w:val="24"/>
        </w:rPr>
      </w:pPr>
      <w:r w:rsidRPr="00FE2066">
        <w:rPr>
          <w:rFonts w:ascii="Times New Roman" w:hAnsi="Times New Roman" w:cs="Times New Roman"/>
          <w:b/>
          <w:bCs/>
          <w:sz w:val="24"/>
          <w:szCs w:val="24"/>
        </w:rPr>
        <w:t xml:space="preserve">Other </w:t>
      </w:r>
    </w:p>
    <w:p w14:paraId="48A2CF08" w14:textId="7304B05F" w:rsidR="00770B68" w:rsidRPr="00FE2066" w:rsidRDefault="00C0068B" w:rsidP="0003018D">
      <w:pPr>
        <w:rPr>
          <w:rFonts w:ascii="Times New Roman" w:hAnsi="Times New Roman" w:cs="Times New Roman"/>
          <w:sz w:val="24"/>
          <w:szCs w:val="24"/>
        </w:rPr>
      </w:pPr>
      <w:r w:rsidRPr="00FE2066">
        <w:rPr>
          <w:rFonts w:ascii="Times New Roman" w:hAnsi="Times New Roman" w:cs="Times New Roman"/>
          <w:sz w:val="24"/>
          <w:szCs w:val="24"/>
        </w:rPr>
        <w:t xml:space="preserve">Subsection 365(4) of the Act provides that a determination under subsection 365(1) is a legislative instrument, but section 42 (disallowance) of the </w:t>
      </w:r>
      <w:r w:rsidR="00B34884" w:rsidRPr="00FE2066">
        <w:rPr>
          <w:rFonts w:ascii="Times New Roman" w:hAnsi="Times New Roman" w:cs="Times New Roman"/>
          <w:sz w:val="24"/>
          <w:szCs w:val="24"/>
        </w:rPr>
        <w:t>Legislation Act does</w:t>
      </w:r>
      <w:r w:rsidRPr="00FE2066">
        <w:rPr>
          <w:rFonts w:ascii="Times New Roman" w:hAnsi="Times New Roman" w:cs="Times New Roman"/>
          <w:sz w:val="24"/>
          <w:szCs w:val="24"/>
        </w:rPr>
        <w:t xml:space="preserve"> not apply to the determination. </w:t>
      </w:r>
    </w:p>
    <w:p w14:paraId="76CECB28" w14:textId="11CA2EB8" w:rsidR="00A1199C" w:rsidRPr="00FE2066" w:rsidRDefault="00C0068B" w:rsidP="0003018D">
      <w:pPr>
        <w:rPr>
          <w:rFonts w:ascii="Times New Roman" w:hAnsi="Times New Roman" w:cs="Times New Roman"/>
          <w:sz w:val="24"/>
          <w:szCs w:val="24"/>
        </w:rPr>
      </w:pPr>
      <w:r w:rsidRPr="00FE2066">
        <w:rPr>
          <w:rFonts w:ascii="Times New Roman" w:hAnsi="Times New Roman" w:cs="Times New Roman"/>
          <w:sz w:val="24"/>
          <w:szCs w:val="24"/>
        </w:rPr>
        <w:t xml:space="preserve">It is appropriate for the Determination to be exempt from disallowance because the risk assessment conducted to determine the level of biosecurity risk associated with FMD </w:t>
      </w:r>
      <w:r w:rsidR="0066159D" w:rsidRPr="00FE2066">
        <w:rPr>
          <w:rFonts w:ascii="Times New Roman" w:hAnsi="Times New Roman" w:cs="Times New Roman"/>
          <w:sz w:val="24"/>
          <w:szCs w:val="24"/>
        </w:rPr>
        <w:t xml:space="preserve">relies on technical and </w:t>
      </w:r>
      <w:proofErr w:type="gramStart"/>
      <w:r w:rsidR="0066159D" w:rsidRPr="00FE2066">
        <w:rPr>
          <w:rFonts w:ascii="Times New Roman" w:hAnsi="Times New Roman" w:cs="Times New Roman"/>
          <w:sz w:val="24"/>
          <w:szCs w:val="24"/>
        </w:rPr>
        <w:t>scientifically-based</w:t>
      </w:r>
      <w:proofErr w:type="gramEnd"/>
      <w:r w:rsidR="0066159D" w:rsidRPr="00FE2066">
        <w:rPr>
          <w:rFonts w:ascii="Times New Roman" w:hAnsi="Times New Roman" w:cs="Times New Roman"/>
          <w:sz w:val="24"/>
          <w:szCs w:val="24"/>
        </w:rPr>
        <w:t xml:space="preserve"> evidence. It </w:t>
      </w:r>
      <w:r w:rsidRPr="00FE2066">
        <w:rPr>
          <w:rFonts w:ascii="Times New Roman" w:hAnsi="Times New Roman" w:cs="Times New Roman"/>
          <w:sz w:val="24"/>
          <w:szCs w:val="24"/>
        </w:rPr>
        <w:t xml:space="preserve">concludes that, among other things, the consequences to animal and human health, the </w:t>
      </w:r>
      <w:proofErr w:type="gramStart"/>
      <w:r w:rsidRPr="00FE2066">
        <w:rPr>
          <w:rFonts w:ascii="Times New Roman" w:hAnsi="Times New Roman" w:cs="Times New Roman"/>
          <w:sz w:val="24"/>
          <w:szCs w:val="24"/>
        </w:rPr>
        <w:t>environment</w:t>
      </w:r>
      <w:proofErr w:type="gramEnd"/>
      <w:r w:rsidRPr="00FE2066">
        <w:rPr>
          <w:rFonts w:ascii="Times New Roman" w:hAnsi="Times New Roman" w:cs="Times New Roman"/>
          <w:sz w:val="24"/>
          <w:szCs w:val="24"/>
        </w:rPr>
        <w:t xml:space="preserve"> and economic impacts of the establishment and/or spread of FMD is considered extreme. Further, the overall risk rating associated with goods carried with </w:t>
      </w:r>
      <w:r w:rsidR="000E2D97" w:rsidRPr="00FE2066">
        <w:rPr>
          <w:rFonts w:ascii="Times New Roman" w:hAnsi="Times New Roman" w:cs="Times New Roman"/>
          <w:sz w:val="24"/>
          <w:szCs w:val="24"/>
        </w:rPr>
        <w:t>travell</w:t>
      </w:r>
      <w:r w:rsidRPr="00FE2066">
        <w:rPr>
          <w:rFonts w:ascii="Times New Roman" w:hAnsi="Times New Roman" w:cs="Times New Roman"/>
          <w:sz w:val="24"/>
          <w:szCs w:val="24"/>
        </w:rPr>
        <w:t xml:space="preserve">ers exposed to susceptible animals or contaminated environments undergoing a widespread uncontrolled outbreak of FMD is high. </w:t>
      </w:r>
      <w:r w:rsidR="0066159D" w:rsidRPr="00FE2066">
        <w:rPr>
          <w:rFonts w:ascii="Times New Roman" w:hAnsi="Times New Roman" w:cs="Times New Roman"/>
          <w:sz w:val="24"/>
          <w:szCs w:val="24"/>
        </w:rPr>
        <w:t xml:space="preserve"> </w:t>
      </w:r>
    </w:p>
    <w:p w14:paraId="722C54E2" w14:textId="21998CFC" w:rsidR="00A1199C" w:rsidRPr="00FE2066" w:rsidRDefault="00C0068B" w:rsidP="0003018D">
      <w:pPr>
        <w:rPr>
          <w:rFonts w:ascii="Times New Roman" w:hAnsi="Times New Roman" w:cs="Times New Roman"/>
          <w:sz w:val="24"/>
          <w:szCs w:val="24"/>
        </w:rPr>
      </w:pPr>
      <w:r w:rsidRPr="00FE2066">
        <w:rPr>
          <w:rFonts w:ascii="Times New Roman" w:hAnsi="Times New Roman" w:cs="Times New Roman"/>
          <w:sz w:val="24"/>
          <w:szCs w:val="24"/>
        </w:rPr>
        <w:t xml:space="preserve">This exemption from disallowance is in accordance with paragraph 44(2)(a) of the Legislation Act. As the Determination is exempt from disallowance, this also means that a Statement of Compatibility with Human Rights is not required in accordance with paragraph 15J(2)(f) of the Legislation Act and subsection 9(1) of the </w:t>
      </w:r>
      <w:r w:rsidRPr="00FE2066">
        <w:rPr>
          <w:rFonts w:ascii="Times New Roman" w:hAnsi="Times New Roman" w:cs="Times New Roman"/>
          <w:i/>
          <w:iCs/>
          <w:sz w:val="24"/>
          <w:szCs w:val="24"/>
        </w:rPr>
        <w:t>Human Rights (Parliamentary Scrutiny) Act 2011</w:t>
      </w:r>
      <w:r w:rsidRPr="00FE2066">
        <w:rPr>
          <w:rFonts w:ascii="Times New Roman" w:hAnsi="Times New Roman" w:cs="Times New Roman"/>
          <w:sz w:val="24"/>
          <w:szCs w:val="24"/>
        </w:rPr>
        <w:t xml:space="preserve">. </w:t>
      </w:r>
    </w:p>
    <w:p w14:paraId="599F19A5" w14:textId="47A7B811" w:rsidR="00A1199C" w:rsidRPr="00FE2066" w:rsidRDefault="00C0068B">
      <w:pPr>
        <w:rPr>
          <w:rFonts w:ascii="Times New Roman" w:hAnsi="Times New Roman" w:cs="Times New Roman"/>
          <w:sz w:val="24"/>
          <w:szCs w:val="24"/>
        </w:rPr>
      </w:pPr>
      <w:r w:rsidRPr="00FE2066">
        <w:rPr>
          <w:rFonts w:ascii="Times New Roman" w:hAnsi="Times New Roman" w:cs="Times New Roman"/>
          <w:sz w:val="24"/>
          <w:szCs w:val="24"/>
        </w:rPr>
        <w:br w:type="page"/>
      </w:r>
    </w:p>
    <w:p w14:paraId="084D37F3" w14:textId="1ADDC82B" w:rsidR="00A1199C" w:rsidRPr="00FE2066" w:rsidRDefault="00C0068B" w:rsidP="00A1199C">
      <w:pPr>
        <w:jc w:val="right"/>
        <w:rPr>
          <w:rFonts w:ascii="Times New Roman" w:hAnsi="Times New Roman" w:cs="Times New Roman"/>
          <w:b/>
          <w:bCs/>
          <w:sz w:val="24"/>
          <w:szCs w:val="24"/>
          <w:u w:val="single"/>
        </w:rPr>
      </w:pPr>
      <w:r w:rsidRPr="00FE2066">
        <w:rPr>
          <w:rFonts w:ascii="Times New Roman" w:hAnsi="Times New Roman" w:cs="Times New Roman"/>
          <w:b/>
          <w:bCs/>
          <w:sz w:val="24"/>
          <w:szCs w:val="24"/>
          <w:u w:val="single"/>
        </w:rPr>
        <w:lastRenderedPageBreak/>
        <w:t xml:space="preserve">ATTACHMENT </w:t>
      </w:r>
    </w:p>
    <w:p w14:paraId="587D1B89" w14:textId="77777777" w:rsidR="00694BAB" w:rsidRPr="00FE2066" w:rsidRDefault="00694BAB" w:rsidP="00694BAB">
      <w:pPr>
        <w:rPr>
          <w:rFonts w:ascii="Times New Roman" w:hAnsi="Times New Roman" w:cs="Times New Roman"/>
          <w:sz w:val="24"/>
          <w:szCs w:val="24"/>
        </w:rPr>
      </w:pPr>
    </w:p>
    <w:p w14:paraId="4954C89A" w14:textId="347D304D" w:rsidR="00694BAB" w:rsidRPr="00FE2066" w:rsidRDefault="00C0068B" w:rsidP="00694BAB">
      <w:pPr>
        <w:rPr>
          <w:rFonts w:ascii="Times New Roman" w:hAnsi="Times New Roman" w:cs="Times New Roman"/>
          <w:b/>
          <w:bCs/>
          <w:sz w:val="26"/>
          <w:szCs w:val="26"/>
          <w:u w:val="single"/>
        </w:rPr>
      </w:pPr>
      <w:r w:rsidRPr="00FE2066">
        <w:rPr>
          <w:rFonts w:ascii="Times New Roman" w:hAnsi="Times New Roman" w:cs="Times New Roman"/>
          <w:b/>
          <w:bCs/>
          <w:sz w:val="26"/>
          <w:szCs w:val="26"/>
          <w:u w:val="single"/>
        </w:rPr>
        <w:t>Details of the Biosecurity (</w:t>
      </w:r>
      <w:r w:rsidR="0088190B" w:rsidRPr="00FE2066">
        <w:rPr>
          <w:rFonts w:ascii="Times New Roman" w:hAnsi="Times New Roman" w:cs="Times New Roman"/>
          <w:b/>
          <w:bCs/>
          <w:sz w:val="26"/>
          <w:szCs w:val="26"/>
          <w:u w:val="single"/>
        </w:rPr>
        <w:t xml:space="preserve">Biosecurity Response Zone </w:t>
      </w:r>
      <w:r w:rsidR="000E2D97" w:rsidRPr="00FE2066">
        <w:rPr>
          <w:rFonts w:ascii="Times New Roman" w:hAnsi="Times New Roman" w:cs="Times New Roman"/>
          <w:b/>
          <w:bCs/>
          <w:sz w:val="26"/>
          <w:szCs w:val="26"/>
          <w:u w:val="single"/>
        </w:rPr>
        <w:t xml:space="preserve">for </w:t>
      </w:r>
      <w:r w:rsidRPr="00FE2066">
        <w:rPr>
          <w:rFonts w:ascii="Times New Roman" w:hAnsi="Times New Roman" w:cs="Times New Roman"/>
          <w:b/>
          <w:bCs/>
          <w:sz w:val="26"/>
          <w:szCs w:val="26"/>
          <w:u w:val="single"/>
        </w:rPr>
        <w:t>Foot and Mouth Disease</w:t>
      </w:r>
      <w:r w:rsidR="000E2D97" w:rsidRPr="00FE2066">
        <w:rPr>
          <w:rFonts w:ascii="Times New Roman" w:hAnsi="Times New Roman" w:cs="Times New Roman"/>
          <w:b/>
          <w:bCs/>
          <w:sz w:val="26"/>
          <w:szCs w:val="26"/>
          <w:u w:val="single"/>
        </w:rPr>
        <w:t>–Relevant Ports</w:t>
      </w:r>
      <w:r w:rsidRPr="00FE2066">
        <w:rPr>
          <w:rFonts w:ascii="Times New Roman" w:hAnsi="Times New Roman" w:cs="Times New Roman"/>
          <w:b/>
          <w:bCs/>
          <w:sz w:val="26"/>
          <w:szCs w:val="26"/>
          <w:u w:val="single"/>
        </w:rPr>
        <w:t>) Determination 2022</w:t>
      </w:r>
    </w:p>
    <w:p w14:paraId="7D4D3400" w14:textId="02D15ACC" w:rsidR="00E56627" w:rsidRPr="00FE2066" w:rsidRDefault="00E56627" w:rsidP="005C5AD1">
      <w:pPr>
        <w:spacing w:before="240"/>
        <w:rPr>
          <w:rFonts w:ascii="Times New Roman" w:hAnsi="Times New Roman" w:cs="Times New Roman"/>
          <w:b/>
          <w:bCs/>
          <w:sz w:val="26"/>
          <w:szCs w:val="26"/>
          <w:u w:val="single"/>
        </w:rPr>
      </w:pPr>
      <w:r w:rsidRPr="00FE2066">
        <w:rPr>
          <w:rFonts w:ascii="Times New Roman" w:hAnsi="Times New Roman" w:cs="Times New Roman"/>
          <w:b/>
          <w:bCs/>
          <w:sz w:val="26"/>
          <w:szCs w:val="26"/>
          <w:u w:val="single"/>
        </w:rPr>
        <w:t>Part 1 - Preliminary</w:t>
      </w:r>
    </w:p>
    <w:p w14:paraId="672CBE55" w14:textId="3617ED8E" w:rsidR="00694BAB" w:rsidRPr="00FE2066" w:rsidRDefault="00C0068B" w:rsidP="00694BAB">
      <w:pPr>
        <w:rPr>
          <w:rFonts w:ascii="Times New Roman" w:hAnsi="Times New Roman" w:cs="Times New Roman"/>
          <w:b/>
          <w:bCs/>
          <w:sz w:val="24"/>
          <w:szCs w:val="24"/>
          <w:u w:val="single"/>
        </w:rPr>
      </w:pPr>
      <w:r w:rsidRPr="00FE2066">
        <w:rPr>
          <w:rFonts w:ascii="Times New Roman" w:hAnsi="Times New Roman" w:cs="Times New Roman"/>
          <w:b/>
          <w:bCs/>
          <w:sz w:val="24"/>
          <w:szCs w:val="24"/>
          <w:u w:val="single"/>
        </w:rPr>
        <w:t xml:space="preserve">Section 1 – Name </w:t>
      </w:r>
    </w:p>
    <w:p w14:paraId="3A60AC75" w14:textId="41B2C906" w:rsidR="00694BAB" w:rsidRPr="00FE2066" w:rsidRDefault="00C0068B" w:rsidP="00694BAB">
      <w:pPr>
        <w:rPr>
          <w:rFonts w:ascii="Times New Roman" w:hAnsi="Times New Roman" w:cs="Times New Roman"/>
          <w:i/>
          <w:iCs/>
          <w:sz w:val="24"/>
          <w:szCs w:val="24"/>
        </w:rPr>
      </w:pPr>
      <w:r w:rsidRPr="00FE2066">
        <w:rPr>
          <w:rFonts w:ascii="Times New Roman" w:hAnsi="Times New Roman" w:cs="Times New Roman"/>
          <w:sz w:val="24"/>
          <w:szCs w:val="24"/>
        </w:rPr>
        <w:t xml:space="preserve">This section provides that the name of the instrument is the </w:t>
      </w:r>
      <w:r w:rsidRPr="00FE2066">
        <w:rPr>
          <w:rFonts w:ascii="Times New Roman" w:hAnsi="Times New Roman" w:cs="Times New Roman"/>
          <w:i/>
          <w:iCs/>
          <w:sz w:val="24"/>
          <w:szCs w:val="24"/>
        </w:rPr>
        <w:t>Biosecurity (</w:t>
      </w:r>
      <w:r w:rsidR="0088190B" w:rsidRPr="00FE2066">
        <w:rPr>
          <w:rFonts w:ascii="Times New Roman" w:hAnsi="Times New Roman" w:cs="Times New Roman"/>
          <w:i/>
          <w:iCs/>
          <w:sz w:val="24"/>
          <w:szCs w:val="24"/>
        </w:rPr>
        <w:t xml:space="preserve">Biosecurity Response Zone </w:t>
      </w:r>
      <w:r w:rsidR="000E2D97" w:rsidRPr="00FE2066">
        <w:rPr>
          <w:rFonts w:ascii="Times New Roman" w:hAnsi="Times New Roman" w:cs="Times New Roman"/>
          <w:i/>
          <w:iCs/>
          <w:sz w:val="24"/>
          <w:szCs w:val="24"/>
        </w:rPr>
        <w:t>for</w:t>
      </w:r>
      <w:r w:rsidR="0088190B" w:rsidRPr="00FE2066">
        <w:rPr>
          <w:rFonts w:ascii="Times New Roman" w:hAnsi="Times New Roman" w:cs="Times New Roman"/>
          <w:i/>
          <w:iCs/>
          <w:sz w:val="24"/>
          <w:szCs w:val="24"/>
        </w:rPr>
        <w:t xml:space="preserve"> </w:t>
      </w:r>
      <w:r w:rsidRPr="00FE2066">
        <w:rPr>
          <w:rFonts w:ascii="Times New Roman" w:hAnsi="Times New Roman" w:cs="Times New Roman"/>
          <w:i/>
          <w:iCs/>
          <w:sz w:val="24"/>
          <w:szCs w:val="24"/>
        </w:rPr>
        <w:t xml:space="preserve">Foot and Mouth Disease </w:t>
      </w:r>
      <w:r w:rsidR="000E2D97" w:rsidRPr="00FE2066">
        <w:rPr>
          <w:rFonts w:ascii="Times New Roman" w:hAnsi="Times New Roman" w:cs="Times New Roman"/>
          <w:i/>
          <w:iCs/>
          <w:sz w:val="24"/>
          <w:szCs w:val="24"/>
        </w:rPr>
        <w:t>– Relevant Ports</w:t>
      </w:r>
      <w:r w:rsidRPr="00FE2066">
        <w:rPr>
          <w:rFonts w:ascii="Times New Roman" w:hAnsi="Times New Roman" w:cs="Times New Roman"/>
          <w:i/>
          <w:iCs/>
          <w:sz w:val="24"/>
          <w:szCs w:val="24"/>
        </w:rPr>
        <w:t>) Determination 2022</w:t>
      </w:r>
      <w:r w:rsidR="001C001C" w:rsidRPr="00FE2066">
        <w:rPr>
          <w:rFonts w:ascii="Times New Roman" w:hAnsi="Times New Roman" w:cs="Times New Roman"/>
          <w:sz w:val="24"/>
          <w:szCs w:val="24"/>
        </w:rPr>
        <w:t xml:space="preserve"> (the Determination)</w:t>
      </w:r>
      <w:r w:rsidRPr="00FE2066">
        <w:rPr>
          <w:rFonts w:ascii="Times New Roman" w:hAnsi="Times New Roman" w:cs="Times New Roman"/>
          <w:sz w:val="24"/>
          <w:szCs w:val="24"/>
        </w:rPr>
        <w:t xml:space="preserve">. </w:t>
      </w:r>
    </w:p>
    <w:p w14:paraId="7228D270" w14:textId="21A708DB" w:rsidR="00694BAB" w:rsidRPr="00FE2066" w:rsidRDefault="00C0068B" w:rsidP="00694BAB">
      <w:pPr>
        <w:rPr>
          <w:rFonts w:ascii="Times New Roman" w:hAnsi="Times New Roman" w:cs="Times New Roman"/>
          <w:b/>
          <w:bCs/>
          <w:sz w:val="24"/>
          <w:szCs w:val="24"/>
          <w:u w:val="single"/>
        </w:rPr>
      </w:pPr>
      <w:r w:rsidRPr="00FE2066">
        <w:rPr>
          <w:rFonts w:ascii="Times New Roman" w:hAnsi="Times New Roman" w:cs="Times New Roman"/>
          <w:b/>
          <w:bCs/>
          <w:sz w:val="24"/>
          <w:szCs w:val="24"/>
          <w:u w:val="single"/>
        </w:rPr>
        <w:t xml:space="preserve">Section 2 – Commencement </w:t>
      </w:r>
    </w:p>
    <w:p w14:paraId="3CA26EF2" w14:textId="5E12DD5F" w:rsidR="00694BAB" w:rsidRPr="00FE2066" w:rsidRDefault="00C0068B" w:rsidP="00694BAB">
      <w:pPr>
        <w:rPr>
          <w:rFonts w:ascii="Times New Roman" w:hAnsi="Times New Roman" w:cs="Times New Roman"/>
          <w:sz w:val="24"/>
          <w:szCs w:val="24"/>
        </w:rPr>
      </w:pPr>
      <w:r w:rsidRPr="00FE2066">
        <w:rPr>
          <w:rFonts w:ascii="Times New Roman" w:hAnsi="Times New Roman" w:cs="Times New Roman"/>
          <w:sz w:val="24"/>
          <w:szCs w:val="24"/>
        </w:rPr>
        <w:t xml:space="preserve">This section provides that the Determination commences </w:t>
      </w:r>
      <w:r w:rsidR="001C001C" w:rsidRPr="00FE2066">
        <w:rPr>
          <w:rFonts w:ascii="Times New Roman" w:hAnsi="Times New Roman" w:cs="Times New Roman"/>
          <w:sz w:val="24"/>
          <w:szCs w:val="24"/>
        </w:rPr>
        <w:t>on 24 September 2022.</w:t>
      </w:r>
    </w:p>
    <w:p w14:paraId="60D8618E" w14:textId="38D42C9F" w:rsidR="00694BAB" w:rsidRPr="00FE2066" w:rsidRDefault="00C0068B" w:rsidP="00694BAB">
      <w:pPr>
        <w:rPr>
          <w:rFonts w:ascii="Times New Roman" w:hAnsi="Times New Roman" w:cs="Times New Roman"/>
          <w:b/>
          <w:bCs/>
          <w:sz w:val="24"/>
          <w:szCs w:val="24"/>
          <w:u w:val="single"/>
        </w:rPr>
      </w:pPr>
      <w:r w:rsidRPr="00FE2066">
        <w:rPr>
          <w:rFonts w:ascii="Times New Roman" w:hAnsi="Times New Roman" w:cs="Times New Roman"/>
          <w:b/>
          <w:bCs/>
          <w:sz w:val="24"/>
          <w:szCs w:val="24"/>
          <w:u w:val="single"/>
        </w:rPr>
        <w:t xml:space="preserve">Section 3 – Authority </w:t>
      </w:r>
    </w:p>
    <w:p w14:paraId="3EC09346" w14:textId="338080F4" w:rsidR="00694BAB" w:rsidRPr="00FE2066" w:rsidRDefault="00C0068B" w:rsidP="00694BAB">
      <w:pPr>
        <w:rPr>
          <w:rFonts w:ascii="Times New Roman" w:hAnsi="Times New Roman" w:cs="Times New Roman"/>
          <w:sz w:val="24"/>
          <w:szCs w:val="24"/>
        </w:rPr>
      </w:pPr>
      <w:r w:rsidRPr="00FE2066">
        <w:rPr>
          <w:rFonts w:ascii="Times New Roman" w:hAnsi="Times New Roman" w:cs="Times New Roman"/>
          <w:sz w:val="24"/>
          <w:szCs w:val="24"/>
        </w:rPr>
        <w:t xml:space="preserve">This section provides that the Determination is made under subsection 365(1) of the </w:t>
      </w:r>
      <w:r w:rsidRPr="00FE2066">
        <w:rPr>
          <w:rFonts w:ascii="Times New Roman" w:hAnsi="Times New Roman" w:cs="Times New Roman"/>
          <w:i/>
          <w:iCs/>
          <w:sz w:val="24"/>
          <w:szCs w:val="24"/>
        </w:rPr>
        <w:t>Biosecurity Act 2015</w:t>
      </w:r>
      <w:r w:rsidR="001C001C" w:rsidRPr="00FE2066">
        <w:rPr>
          <w:rFonts w:ascii="Times New Roman" w:hAnsi="Times New Roman" w:cs="Times New Roman"/>
          <w:sz w:val="24"/>
          <w:szCs w:val="24"/>
        </w:rPr>
        <w:t xml:space="preserve"> (the Act)</w:t>
      </w:r>
      <w:r w:rsidRPr="00FE2066">
        <w:rPr>
          <w:rFonts w:ascii="Times New Roman" w:hAnsi="Times New Roman" w:cs="Times New Roman"/>
          <w:sz w:val="24"/>
          <w:szCs w:val="24"/>
        </w:rPr>
        <w:t xml:space="preserve">. </w:t>
      </w:r>
    </w:p>
    <w:p w14:paraId="6420E7A0" w14:textId="2E982ACF" w:rsidR="00694BAB" w:rsidRPr="00FE2066" w:rsidRDefault="00C0068B" w:rsidP="00694BAB">
      <w:pPr>
        <w:rPr>
          <w:rFonts w:ascii="Times New Roman" w:hAnsi="Times New Roman" w:cs="Times New Roman"/>
          <w:b/>
          <w:bCs/>
          <w:sz w:val="24"/>
          <w:szCs w:val="24"/>
          <w:u w:val="single"/>
        </w:rPr>
      </w:pPr>
      <w:r w:rsidRPr="00FE2066">
        <w:rPr>
          <w:rFonts w:ascii="Times New Roman" w:hAnsi="Times New Roman" w:cs="Times New Roman"/>
          <w:b/>
          <w:bCs/>
          <w:sz w:val="24"/>
          <w:szCs w:val="24"/>
          <w:u w:val="single"/>
        </w:rPr>
        <w:t xml:space="preserve">Section 4 – </w:t>
      </w:r>
      <w:r w:rsidR="00CB328B" w:rsidRPr="00FE2066">
        <w:rPr>
          <w:rFonts w:ascii="Times New Roman" w:hAnsi="Times New Roman" w:cs="Times New Roman"/>
          <w:b/>
          <w:bCs/>
          <w:sz w:val="24"/>
          <w:szCs w:val="24"/>
          <w:u w:val="single"/>
        </w:rPr>
        <w:t>Definitions</w:t>
      </w:r>
    </w:p>
    <w:p w14:paraId="547926A1" w14:textId="63CFD733" w:rsidR="00694BAB" w:rsidRPr="00FE2066" w:rsidRDefault="00C0068B" w:rsidP="00694BAB">
      <w:pPr>
        <w:rPr>
          <w:rFonts w:ascii="Times New Roman" w:hAnsi="Times New Roman" w:cs="Times New Roman"/>
          <w:sz w:val="24"/>
          <w:szCs w:val="24"/>
        </w:rPr>
      </w:pPr>
      <w:r w:rsidRPr="00FE2066">
        <w:rPr>
          <w:rFonts w:ascii="Times New Roman" w:hAnsi="Times New Roman" w:cs="Times New Roman"/>
          <w:sz w:val="24"/>
          <w:szCs w:val="24"/>
        </w:rPr>
        <w:t>T</w:t>
      </w:r>
      <w:r w:rsidR="003F0726" w:rsidRPr="00FE2066">
        <w:rPr>
          <w:rFonts w:ascii="Times New Roman" w:hAnsi="Times New Roman" w:cs="Times New Roman"/>
          <w:sz w:val="24"/>
          <w:szCs w:val="24"/>
        </w:rPr>
        <w:t xml:space="preserve">he purpose of this section is to provide the definitions for the Determination, including </w:t>
      </w:r>
      <w:r w:rsidR="001C001C" w:rsidRPr="00FE2066">
        <w:rPr>
          <w:rFonts w:ascii="Times New Roman" w:hAnsi="Times New Roman" w:cs="Times New Roman"/>
          <w:b/>
          <w:bCs/>
          <w:i/>
          <w:iCs/>
          <w:sz w:val="24"/>
          <w:szCs w:val="24"/>
        </w:rPr>
        <w:t>Act</w:t>
      </w:r>
      <w:r w:rsidR="001C001C" w:rsidRPr="00FE2066">
        <w:rPr>
          <w:rFonts w:ascii="Times New Roman" w:hAnsi="Times New Roman" w:cs="Times New Roman"/>
          <w:sz w:val="24"/>
          <w:szCs w:val="24"/>
        </w:rPr>
        <w:t>,</w:t>
      </w:r>
      <w:r w:rsidR="001C001C" w:rsidRPr="00FE2066">
        <w:rPr>
          <w:rFonts w:ascii="Times New Roman" w:hAnsi="Times New Roman" w:cs="Times New Roman"/>
          <w:b/>
          <w:bCs/>
          <w:i/>
          <w:iCs/>
          <w:sz w:val="24"/>
          <w:szCs w:val="24"/>
        </w:rPr>
        <w:t xml:space="preserve"> biosecurity response zone </w:t>
      </w:r>
      <w:r w:rsidR="001C001C" w:rsidRPr="00FE2066">
        <w:rPr>
          <w:rFonts w:ascii="Times New Roman" w:hAnsi="Times New Roman" w:cs="Times New Roman"/>
          <w:sz w:val="24"/>
          <w:szCs w:val="24"/>
        </w:rPr>
        <w:t>and</w:t>
      </w:r>
      <w:r w:rsidR="001C001C" w:rsidRPr="00FE2066">
        <w:rPr>
          <w:rFonts w:ascii="Times New Roman" w:hAnsi="Times New Roman" w:cs="Times New Roman"/>
          <w:b/>
          <w:bCs/>
          <w:i/>
          <w:iCs/>
          <w:sz w:val="24"/>
          <w:szCs w:val="24"/>
        </w:rPr>
        <w:t xml:space="preserve"> relevant port</w:t>
      </w:r>
      <w:r w:rsidR="003F0726" w:rsidRPr="00FE2066">
        <w:rPr>
          <w:rFonts w:ascii="Times New Roman" w:hAnsi="Times New Roman" w:cs="Times New Roman"/>
          <w:sz w:val="24"/>
          <w:szCs w:val="24"/>
        </w:rPr>
        <w:t xml:space="preserve">. </w:t>
      </w:r>
    </w:p>
    <w:p w14:paraId="27737CF7" w14:textId="6211B9D3" w:rsidR="009B5ABD" w:rsidRPr="00FE2066" w:rsidRDefault="00C0068B" w:rsidP="00694BAB">
      <w:pPr>
        <w:rPr>
          <w:rFonts w:ascii="Times New Roman" w:hAnsi="Times New Roman" w:cs="Times New Roman"/>
          <w:sz w:val="24"/>
          <w:szCs w:val="24"/>
        </w:rPr>
      </w:pPr>
      <w:r w:rsidRPr="00FE2066">
        <w:rPr>
          <w:rFonts w:ascii="Times New Roman" w:hAnsi="Times New Roman" w:cs="Times New Roman"/>
          <w:b/>
          <w:bCs/>
          <w:i/>
          <w:iCs/>
          <w:sz w:val="24"/>
          <w:szCs w:val="24"/>
        </w:rPr>
        <w:t>Relevant port</w:t>
      </w:r>
      <w:r w:rsidRPr="00FE2066">
        <w:rPr>
          <w:rFonts w:ascii="Times New Roman" w:hAnsi="Times New Roman" w:cs="Times New Roman"/>
          <w:sz w:val="24"/>
          <w:szCs w:val="24"/>
        </w:rPr>
        <w:t xml:space="preserve"> means a port that is determined to be a first point of entry for </w:t>
      </w:r>
      <w:r w:rsidR="001C001C" w:rsidRPr="00FE2066">
        <w:rPr>
          <w:rFonts w:ascii="Times New Roman" w:hAnsi="Times New Roman" w:cs="Times New Roman"/>
          <w:sz w:val="24"/>
          <w:szCs w:val="24"/>
        </w:rPr>
        <w:t xml:space="preserve">a </w:t>
      </w:r>
      <w:r w:rsidRPr="00FE2066">
        <w:rPr>
          <w:rFonts w:ascii="Times New Roman" w:hAnsi="Times New Roman" w:cs="Times New Roman"/>
          <w:sz w:val="24"/>
          <w:szCs w:val="24"/>
        </w:rPr>
        <w:t>vessel</w:t>
      </w:r>
      <w:r w:rsidR="001C001C" w:rsidRPr="00FE2066">
        <w:rPr>
          <w:rFonts w:ascii="Times New Roman" w:hAnsi="Times New Roman" w:cs="Times New Roman"/>
          <w:sz w:val="24"/>
          <w:szCs w:val="24"/>
        </w:rPr>
        <w:t xml:space="preserve"> or class of vessels</w:t>
      </w:r>
      <w:r w:rsidRPr="00FE2066">
        <w:rPr>
          <w:rFonts w:ascii="Times New Roman" w:hAnsi="Times New Roman" w:cs="Times New Roman"/>
          <w:sz w:val="24"/>
          <w:szCs w:val="24"/>
        </w:rPr>
        <w:t xml:space="preserve"> under subsection 229(1) of the Act. </w:t>
      </w:r>
    </w:p>
    <w:p w14:paraId="6648C0C8" w14:textId="4766FED8" w:rsidR="0088190B" w:rsidRPr="00FE2066" w:rsidRDefault="009B5ABD" w:rsidP="00694BAB">
      <w:pPr>
        <w:rPr>
          <w:rFonts w:ascii="Times New Roman" w:hAnsi="Times New Roman" w:cs="Times New Roman"/>
          <w:sz w:val="24"/>
          <w:szCs w:val="24"/>
        </w:rPr>
      </w:pPr>
      <w:r w:rsidRPr="00FE2066">
        <w:rPr>
          <w:rFonts w:ascii="Times New Roman" w:hAnsi="Times New Roman" w:cs="Times New Roman"/>
          <w:sz w:val="24"/>
          <w:szCs w:val="24"/>
        </w:rPr>
        <w:t>Section 234 of the Act has the effect that an instrument determining a specified port in Australian territory to be a first point of entry is a legislative instrument. As such, each of these determinations is publicly available on the Federal Register of Legislation.</w:t>
      </w:r>
    </w:p>
    <w:p w14:paraId="7F576A38" w14:textId="5D12D055" w:rsidR="003F7B9B" w:rsidRPr="00FE2066" w:rsidRDefault="00C0068B" w:rsidP="009642DC">
      <w:pPr>
        <w:rPr>
          <w:rFonts w:ascii="Times New Roman" w:hAnsi="Times New Roman" w:cs="Times New Roman"/>
          <w:sz w:val="24"/>
          <w:szCs w:val="24"/>
        </w:rPr>
      </w:pPr>
      <w:r w:rsidRPr="00FE2066">
        <w:rPr>
          <w:rFonts w:ascii="Times New Roman" w:hAnsi="Times New Roman" w:cs="Times New Roman"/>
          <w:sz w:val="24"/>
          <w:szCs w:val="24"/>
        </w:rPr>
        <w:t>These ports</w:t>
      </w:r>
      <w:r w:rsidR="00666E5C" w:rsidRPr="00FE2066">
        <w:rPr>
          <w:rFonts w:ascii="Times New Roman" w:hAnsi="Times New Roman" w:cs="Times New Roman"/>
          <w:sz w:val="24"/>
          <w:szCs w:val="24"/>
        </w:rPr>
        <w:t xml:space="preserve"> are all specified as relevant </w:t>
      </w:r>
      <w:r w:rsidR="00856D16" w:rsidRPr="00FE2066">
        <w:rPr>
          <w:rFonts w:ascii="Times New Roman" w:hAnsi="Times New Roman" w:cs="Times New Roman"/>
          <w:sz w:val="24"/>
          <w:szCs w:val="24"/>
        </w:rPr>
        <w:t>ports</w:t>
      </w:r>
      <w:r w:rsidR="00666E5C" w:rsidRPr="00FE2066">
        <w:rPr>
          <w:rFonts w:ascii="Times New Roman" w:hAnsi="Times New Roman" w:cs="Times New Roman"/>
          <w:sz w:val="24"/>
          <w:szCs w:val="24"/>
        </w:rPr>
        <w:t xml:space="preserve"> for the purposes of the Determination because they</w:t>
      </w:r>
      <w:r w:rsidRPr="00FE2066">
        <w:rPr>
          <w:rFonts w:ascii="Times New Roman" w:hAnsi="Times New Roman" w:cs="Times New Roman"/>
          <w:sz w:val="24"/>
          <w:szCs w:val="24"/>
        </w:rPr>
        <w:t xml:space="preserve"> all </w:t>
      </w:r>
      <w:r w:rsidR="00856D16" w:rsidRPr="00FE2066">
        <w:rPr>
          <w:rFonts w:ascii="Times New Roman" w:hAnsi="Times New Roman" w:cs="Times New Roman"/>
          <w:sz w:val="24"/>
          <w:szCs w:val="24"/>
        </w:rPr>
        <w:t xml:space="preserve">may </w:t>
      </w:r>
      <w:r w:rsidRPr="00FE2066">
        <w:rPr>
          <w:rFonts w:ascii="Times New Roman" w:hAnsi="Times New Roman" w:cs="Times New Roman"/>
          <w:sz w:val="24"/>
          <w:szCs w:val="24"/>
        </w:rPr>
        <w:t xml:space="preserve">receive </w:t>
      </w:r>
      <w:r w:rsidR="009642DC" w:rsidRPr="00FE2066">
        <w:rPr>
          <w:rFonts w:ascii="Times New Roman" w:hAnsi="Times New Roman" w:cs="Times New Roman"/>
          <w:sz w:val="24"/>
          <w:szCs w:val="24"/>
        </w:rPr>
        <w:t>vessels</w:t>
      </w:r>
      <w:r w:rsidRPr="00FE2066">
        <w:rPr>
          <w:rFonts w:ascii="Times New Roman" w:hAnsi="Times New Roman" w:cs="Times New Roman"/>
          <w:sz w:val="24"/>
          <w:szCs w:val="24"/>
        </w:rPr>
        <w:t xml:space="preserve"> from Indonesia. </w:t>
      </w:r>
    </w:p>
    <w:p w14:paraId="7D8FFBD8" w14:textId="3A741C52" w:rsidR="001C001C" w:rsidRPr="00FE2066" w:rsidRDefault="001C001C" w:rsidP="00694BAB">
      <w:pPr>
        <w:rPr>
          <w:rFonts w:ascii="Times New Roman" w:hAnsi="Times New Roman" w:cs="Times New Roman"/>
          <w:b/>
          <w:bCs/>
          <w:sz w:val="24"/>
          <w:szCs w:val="24"/>
          <w:u w:val="single"/>
        </w:rPr>
      </w:pPr>
      <w:r w:rsidRPr="00FE2066">
        <w:rPr>
          <w:rFonts w:ascii="Times New Roman" w:hAnsi="Times New Roman" w:cs="Times New Roman"/>
          <w:b/>
          <w:bCs/>
          <w:sz w:val="24"/>
          <w:szCs w:val="24"/>
          <w:u w:val="single"/>
        </w:rPr>
        <w:t>Section 5 – Reasons for making instrument</w:t>
      </w:r>
    </w:p>
    <w:p w14:paraId="021FEC63" w14:textId="77777777" w:rsidR="001C29B7" w:rsidRPr="00FE2066" w:rsidRDefault="001C001C" w:rsidP="000236CE">
      <w:pPr>
        <w:rPr>
          <w:rFonts w:ascii="Times New Roman" w:hAnsi="Times New Roman" w:cs="Times New Roman"/>
          <w:sz w:val="24"/>
          <w:szCs w:val="24"/>
        </w:rPr>
      </w:pPr>
      <w:r w:rsidRPr="00FE2066">
        <w:rPr>
          <w:rFonts w:ascii="Times New Roman" w:hAnsi="Times New Roman" w:cs="Times New Roman"/>
          <w:sz w:val="24"/>
          <w:szCs w:val="24"/>
        </w:rPr>
        <w:t>This section provides that the reasons for making the instrument are that</w:t>
      </w:r>
      <w:r w:rsidR="001C29B7" w:rsidRPr="00FE2066">
        <w:rPr>
          <w:rFonts w:ascii="Times New Roman" w:hAnsi="Times New Roman" w:cs="Times New Roman"/>
          <w:sz w:val="24"/>
          <w:szCs w:val="24"/>
        </w:rPr>
        <w:t>:</w:t>
      </w:r>
    </w:p>
    <w:p w14:paraId="310D9A2E" w14:textId="35CF304F" w:rsidR="000236CE" w:rsidRPr="00FE2066" w:rsidRDefault="001C001C" w:rsidP="005C5AD1">
      <w:pPr>
        <w:pStyle w:val="ListParagraph"/>
        <w:numPr>
          <w:ilvl w:val="0"/>
          <w:numId w:val="5"/>
        </w:numPr>
        <w:rPr>
          <w:rFonts w:ascii="Times New Roman" w:hAnsi="Times New Roman" w:cs="Times New Roman"/>
          <w:sz w:val="24"/>
          <w:szCs w:val="24"/>
        </w:rPr>
      </w:pPr>
      <w:r w:rsidRPr="00FE2066">
        <w:rPr>
          <w:rFonts w:ascii="Times New Roman" w:hAnsi="Times New Roman" w:cs="Times New Roman"/>
          <w:sz w:val="24"/>
          <w:szCs w:val="24"/>
        </w:rPr>
        <w:t>a biosecurity officer suspects</w:t>
      </w:r>
      <w:r w:rsidR="001C29B7" w:rsidRPr="00FE2066">
        <w:rPr>
          <w:rFonts w:ascii="Times New Roman" w:hAnsi="Times New Roman" w:cs="Times New Roman"/>
          <w:sz w:val="24"/>
          <w:szCs w:val="24"/>
        </w:rPr>
        <w:t>,</w:t>
      </w:r>
      <w:r w:rsidR="000236CE" w:rsidRPr="00FE2066">
        <w:rPr>
          <w:rFonts w:ascii="Times New Roman" w:hAnsi="Times New Roman" w:cs="Times New Roman"/>
          <w:sz w:val="24"/>
          <w:szCs w:val="24"/>
        </w:rPr>
        <w:t xml:space="preserve"> on reasonable grounds</w:t>
      </w:r>
      <w:r w:rsidR="001C29B7" w:rsidRPr="00FE2066">
        <w:rPr>
          <w:rFonts w:ascii="Times New Roman" w:hAnsi="Times New Roman" w:cs="Times New Roman"/>
          <w:sz w:val="24"/>
          <w:szCs w:val="24"/>
        </w:rPr>
        <w:t>,</w:t>
      </w:r>
      <w:r w:rsidR="000236CE" w:rsidRPr="00FE2066">
        <w:rPr>
          <w:rFonts w:ascii="Times New Roman" w:hAnsi="Times New Roman" w:cs="Times New Roman"/>
          <w:sz w:val="24"/>
          <w:szCs w:val="24"/>
        </w:rPr>
        <w:t xml:space="preserve"> that:</w:t>
      </w:r>
    </w:p>
    <w:p w14:paraId="71E0944D" w14:textId="77777777" w:rsidR="000236CE" w:rsidRPr="00FE2066" w:rsidRDefault="000236CE" w:rsidP="005C5AD1">
      <w:pPr>
        <w:pStyle w:val="ListParagraph"/>
        <w:numPr>
          <w:ilvl w:val="1"/>
          <w:numId w:val="5"/>
        </w:numPr>
        <w:rPr>
          <w:rFonts w:ascii="Times New Roman" w:hAnsi="Times New Roman" w:cs="Times New Roman"/>
          <w:sz w:val="24"/>
          <w:szCs w:val="24"/>
        </w:rPr>
      </w:pPr>
      <w:r w:rsidRPr="00FE2066">
        <w:rPr>
          <w:rFonts w:ascii="Times New Roman" w:hAnsi="Times New Roman" w:cs="Times New Roman"/>
          <w:sz w:val="24"/>
          <w:szCs w:val="24"/>
        </w:rPr>
        <w:t>a disease or pest may be present in or on goods or premises in the zone; and</w:t>
      </w:r>
    </w:p>
    <w:p w14:paraId="4FA633A6" w14:textId="77777777" w:rsidR="000236CE" w:rsidRPr="00FE2066" w:rsidRDefault="000236CE" w:rsidP="005C5AD1">
      <w:pPr>
        <w:pStyle w:val="ListParagraph"/>
        <w:numPr>
          <w:ilvl w:val="1"/>
          <w:numId w:val="5"/>
        </w:numPr>
        <w:rPr>
          <w:rFonts w:ascii="Times New Roman" w:hAnsi="Times New Roman" w:cs="Times New Roman"/>
          <w:sz w:val="24"/>
          <w:szCs w:val="24"/>
        </w:rPr>
      </w:pPr>
      <w:r w:rsidRPr="00FE2066">
        <w:rPr>
          <w:rFonts w:ascii="Times New Roman" w:hAnsi="Times New Roman" w:cs="Times New Roman"/>
          <w:sz w:val="24"/>
          <w:szCs w:val="24"/>
        </w:rPr>
        <w:t xml:space="preserve">the disease or pest poses an unacceptable level of biosecurity risk; and </w:t>
      </w:r>
    </w:p>
    <w:p w14:paraId="1075D8DA" w14:textId="687D21F6" w:rsidR="001C001C" w:rsidRPr="00FE2066" w:rsidRDefault="000236CE" w:rsidP="005C5AD1">
      <w:pPr>
        <w:pStyle w:val="ListParagraph"/>
        <w:numPr>
          <w:ilvl w:val="0"/>
          <w:numId w:val="5"/>
        </w:numPr>
        <w:rPr>
          <w:rFonts w:ascii="Times New Roman" w:hAnsi="Times New Roman" w:cs="Times New Roman"/>
          <w:sz w:val="24"/>
          <w:szCs w:val="24"/>
        </w:rPr>
      </w:pPr>
      <w:r w:rsidRPr="00FE2066">
        <w:rPr>
          <w:rFonts w:ascii="Times New Roman" w:hAnsi="Times New Roman" w:cs="Times New Roman"/>
          <w:sz w:val="24"/>
          <w:szCs w:val="24"/>
        </w:rPr>
        <w:t>the Director of Biosecurity is satisfied that it is necessary to make the determination for the purposes of managing the biosecurity risk posed by the disease or pest.</w:t>
      </w:r>
    </w:p>
    <w:p w14:paraId="2AE0AE28" w14:textId="77777777" w:rsidR="000236CE" w:rsidRPr="00FE2066" w:rsidRDefault="001C001C" w:rsidP="001C001C">
      <w:pPr>
        <w:rPr>
          <w:rFonts w:ascii="Times New Roman" w:hAnsi="Times New Roman" w:cs="Times New Roman"/>
          <w:sz w:val="24"/>
          <w:szCs w:val="24"/>
        </w:rPr>
      </w:pPr>
      <w:r w:rsidRPr="00FE2066">
        <w:rPr>
          <w:rFonts w:ascii="Times New Roman" w:hAnsi="Times New Roman" w:cs="Times New Roman"/>
          <w:sz w:val="24"/>
          <w:szCs w:val="24"/>
        </w:rPr>
        <w:t xml:space="preserve">Subsection 366(1) of the Act requires a biosecurity response determination to state </w:t>
      </w:r>
      <w:r w:rsidR="000236CE" w:rsidRPr="00FE2066">
        <w:rPr>
          <w:rFonts w:ascii="Times New Roman" w:hAnsi="Times New Roman" w:cs="Times New Roman"/>
          <w:sz w:val="24"/>
          <w:szCs w:val="24"/>
        </w:rPr>
        <w:t xml:space="preserve">the above-mentioned matters. </w:t>
      </w:r>
    </w:p>
    <w:p w14:paraId="4D390354" w14:textId="2F47553E" w:rsidR="001C001C" w:rsidRPr="00FE2066" w:rsidRDefault="000236CE" w:rsidP="00694BAB">
      <w:pPr>
        <w:rPr>
          <w:rFonts w:ascii="Times New Roman" w:hAnsi="Times New Roman" w:cs="Times New Roman"/>
          <w:sz w:val="24"/>
          <w:szCs w:val="24"/>
        </w:rPr>
      </w:pPr>
      <w:r w:rsidRPr="00FE2066">
        <w:rPr>
          <w:rFonts w:ascii="Times New Roman" w:hAnsi="Times New Roman" w:cs="Times New Roman"/>
          <w:sz w:val="24"/>
          <w:szCs w:val="24"/>
        </w:rPr>
        <w:lastRenderedPageBreak/>
        <w:t xml:space="preserve">Note 1 </w:t>
      </w:r>
      <w:r w:rsidR="001C29B7" w:rsidRPr="00FE2066">
        <w:rPr>
          <w:rFonts w:ascii="Times New Roman" w:hAnsi="Times New Roman" w:cs="Times New Roman"/>
          <w:sz w:val="24"/>
          <w:szCs w:val="24"/>
        </w:rPr>
        <w:t>to</w:t>
      </w:r>
      <w:r w:rsidRPr="00FE2066">
        <w:rPr>
          <w:rFonts w:ascii="Times New Roman" w:hAnsi="Times New Roman" w:cs="Times New Roman"/>
          <w:sz w:val="24"/>
          <w:szCs w:val="24"/>
        </w:rPr>
        <w:t xml:space="preserve"> the </w:t>
      </w:r>
      <w:r w:rsidR="001C29B7" w:rsidRPr="00FE2066">
        <w:rPr>
          <w:rFonts w:ascii="Times New Roman" w:hAnsi="Times New Roman" w:cs="Times New Roman"/>
          <w:sz w:val="24"/>
          <w:szCs w:val="24"/>
        </w:rPr>
        <w:t>section</w:t>
      </w:r>
      <w:r w:rsidRPr="00FE2066">
        <w:rPr>
          <w:rFonts w:ascii="Times New Roman" w:hAnsi="Times New Roman" w:cs="Times New Roman"/>
          <w:sz w:val="24"/>
          <w:szCs w:val="24"/>
        </w:rPr>
        <w:t xml:space="preserve"> advises to see section 310 of the Act in relation to the meaning of “biosecurity risk” in Chapter 6 of the Act and this instrument. Section 310 relevantly provides that for the purposes of Chapter 6, “biosecurity risk” means the likelihood of a disease or pest entering Australian territory or a part of Australian territory, or emerging, establishing itself or spreading in Australian territory or a part of Australian territory, and the potential for the disease or pest to cause certain kinds of harm</w:t>
      </w:r>
      <w:r w:rsidR="00E56627" w:rsidRPr="00FE2066">
        <w:rPr>
          <w:rFonts w:ascii="Times New Roman" w:hAnsi="Times New Roman" w:cs="Times New Roman"/>
          <w:sz w:val="24"/>
          <w:szCs w:val="24"/>
        </w:rPr>
        <w:t xml:space="preserve"> or economic consequences</w:t>
      </w:r>
      <w:r w:rsidRPr="00FE2066">
        <w:rPr>
          <w:rFonts w:ascii="Times New Roman" w:hAnsi="Times New Roman" w:cs="Times New Roman"/>
          <w:sz w:val="24"/>
          <w:szCs w:val="24"/>
        </w:rPr>
        <w:t xml:space="preserve"> (which </w:t>
      </w:r>
      <w:r w:rsidR="00E56627" w:rsidRPr="00FE2066">
        <w:rPr>
          <w:rFonts w:ascii="Times New Roman" w:hAnsi="Times New Roman" w:cs="Times New Roman"/>
          <w:sz w:val="24"/>
          <w:szCs w:val="24"/>
        </w:rPr>
        <w:t>differ</w:t>
      </w:r>
      <w:r w:rsidRPr="00FE2066">
        <w:rPr>
          <w:rFonts w:ascii="Times New Roman" w:hAnsi="Times New Roman" w:cs="Times New Roman"/>
          <w:sz w:val="24"/>
          <w:szCs w:val="24"/>
        </w:rPr>
        <w:t xml:space="preserve"> according to whether the disease or pest is suspected of being, or known to be, an invasive pest). </w:t>
      </w:r>
    </w:p>
    <w:p w14:paraId="519B37B4" w14:textId="5E9DFC4B" w:rsidR="001C001C" w:rsidRPr="00FE2066" w:rsidRDefault="00E56627" w:rsidP="00694BAB">
      <w:pPr>
        <w:rPr>
          <w:rFonts w:ascii="Times New Roman" w:hAnsi="Times New Roman" w:cs="Times New Roman"/>
          <w:sz w:val="24"/>
          <w:szCs w:val="24"/>
        </w:rPr>
      </w:pPr>
      <w:r w:rsidRPr="00FE2066">
        <w:rPr>
          <w:rFonts w:ascii="Times New Roman" w:hAnsi="Times New Roman" w:cs="Times New Roman"/>
          <w:sz w:val="24"/>
          <w:szCs w:val="24"/>
        </w:rPr>
        <w:t xml:space="preserve">Note 2 </w:t>
      </w:r>
      <w:r w:rsidR="001C29B7" w:rsidRPr="00FE2066">
        <w:rPr>
          <w:rFonts w:ascii="Times New Roman" w:hAnsi="Times New Roman" w:cs="Times New Roman"/>
          <w:sz w:val="24"/>
          <w:szCs w:val="24"/>
        </w:rPr>
        <w:t>to the section</w:t>
      </w:r>
      <w:r w:rsidRPr="00FE2066">
        <w:rPr>
          <w:rFonts w:ascii="Times New Roman" w:hAnsi="Times New Roman" w:cs="Times New Roman"/>
          <w:sz w:val="24"/>
          <w:szCs w:val="24"/>
        </w:rPr>
        <w:t xml:space="preserve"> explains that the matters included in section 5 </w:t>
      </w:r>
      <w:r w:rsidR="00FF3E9D" w:rsidRPr="00FE2066">
        <w:rPr>
          <w:rFonts w:ascii="Times New Roman" w:hAnsi="Times New Roman" w:cs="Times New Roman"/>
          <w:sz w:val="24"/>
          <w:szCs w:val="24"/>
        </w:rPr>
        <w:t xml:space="preserve">of the Determination </w:t>
      </w:r>
      <w:r w:rsidRPr="00FE2066">
        <w:rPr>
          <w:rFonts w:ascii="Times New Roman" w:hAnsi="Times New Roman" w:cs="Times New Roman"/>
          <w:sz w:val="24"/>
          <w:szCs w:val="24"/>
        </w:rPr>
        <w:t>must be stated in a biosecurity response zone determination, and to see subsection 366(1) of the Act.</w:t>
      </w:r>
    </w:p>
    <w:p w14:paraId="55887ED4" w14:textId="29084160" w:rsidR="001C29B7" w:rsidRPr="00FE2066" w:rsidRDefault="001C29B7" w:rsidP="00694BAB">
      <w:pPr>
        <w:rPr>
          <w:rFonts w:ascii="Times New Roman" w:hAnsi="Times New Roman" w:cs="Times New Roman"/>
          <w:sz w:val="24"/>
          <w:szCs w:val="24"/>
        </w:rPr>
      </w:pPr>
      <w:r w:rsidRPr="00FE2066">
        <w:rPr>
          <w:rFonts w:ascii="Times New Roman" w:hAnsi="Times New Roman" w:cs="Times New Roman"/>
          <w:sz w:val="24"/>
          <w:szCs w:val="24"/>
        </w:rPr>
        <w:t>In making the Determination, the Director of Biosecurity considered information provided by a biosecurity officer that a disease or pest, namely FMD, may be present in or on goods or premises in the biosecurity response zone as specified in the Determination and that FMD poses an unacceptable level of biosecurity risk. Having considered this information, the Director of Biosecurity was satisfied that it is necessary to make the Determination for the purposes of managing the biosecurity risk posed by FMD.</w:t>
      </w:r>
    </w:p>
    <w:p w14:paraId="5156C6E1" w14:textId="77777777" w:rsidR="00E56627" w:rsidRPr="00FE2066" w:rsidRDefault="00E56627" w:rsidP="00E56627">
      <w:pPr>
        <w:rPr>
          <w:rFonts w:ascii="Times New Roman" w:hAnsi="Times New Roman" w:cs="Times New Roman"/>
          <w:b/>
          <w:bCs/>
          <w:sz w:val="26"/>
          <w:szCs w:val="26"/>
          <w:u w:val="single"/>
        </w:rPr>
      </w:pPr>
      <w:r w:rsidRPr="00FE2066">
        <w:rPr>
          <w:rFonts w:ascii="Times New Roman" w:hAnsi="Times New Roman" w:cs="Times New Roman"/>
          <w:b/>
          <w:bCs/>
          <w:sz w:val="26"/>
          <w:szCs w:val="26"/>
          <w:u w:val="single"/>
        </w:rPr>
        <w:t>Part 2 – Biosecurity Response Zone</w:t>
      </w:r>
    </w:p>
    <w:p w14:paraId="6F413EBA" w14:textId="7BF75F1F" w:rsidR="000A3197" w:rsidRPr="00FE2066" w:rsidRDefault="00C0068B" w:rsidP="00694BAB">
      <w:pPr>
        <w:rPr>
          <w:rFonts w:ascii="Times New Roman" w:hAnsi="Times New Roman" w:cs="Times New Roman"/>
          <w:b/>
          <w:bCs/>
          <w:sz w:val="24"/>
          <w:szCs w:val="24"/>
          <w:u w:val="single"/>
        </w:rPr>
      </w:pPr>
      <w:r w:rsidRPr="00FE2066">
        <w:rPr>
          <w:rFonts w:ascii="Times New Roman" w:hAnsi="Times New Roman" w:cs="Times New Roman"/>
          <w:b/>
          <w:bCs/>
          <w:sz w:val="24"/>
          <w:szCs w:val="24"/>
          <w:u w:val="single"/>
        </w:rPr>
        <w:t xml:space="preserve">Section </w:t>
      </w:r>
      <w:r w:rsidR="00E56627" w:rsidRPr="00FE2066">
        <w:rPr>
          <w:rFonts w:ascii="Times New Roman" w:hAnsi="Times New Roman" w:cs="Times New Roman"/>
          <w:b/>
          <w:bCs/>
          <w:sz w:val="24"/>
          <w:szCs w:val="24"/>
          <w:u w:val="single"/>
        </w:rPr>
        <w:t>6</w:t>
      </w:r>
      <w:r w:rsidRPr="00FE2066">
        <w:rPr>
          <w:rFonts w:ascii="Times New Roman" w:hAnsi="Times New Roman" w:cs="Times New Roman"/>
          <w:b/>
          <w:bCs/>
          <w:sz w:val="24"/>
          <w:szCs w:val="24"/>
          <w:u w:val="single"/>
        </w:rPr>
        <w:t xml:space="preserve"> – </w:t>
      </w:r>
      <w:r w:rsidR="00E56627" w:rsidRPr="00FE2066">
        <w:rPr>
          <w:rFonts w:ascii="Times New Roman" w:hAnsi="Times New Roman" w:cs="Times New Roman"/>
          <w:b/>
          <w:bCs/>
          <w:sz w:val="24"/>
          <w:szCs w:val="24"/>
          <w:u w:val="single"/>
        </w:rPr>
        <w:t>B</w:t>
      </w:r>
      <w:r w:rsidRPr="00FE2066">
        <w:rPr>
          <w:rFonts w:ascii="Times New Roman" w:hAnsi="Times New Roman" w:cs="Times New Roman"/>
          <w:b/>
          <w:bCs/>
          <w:sz w:val="24"/>
          <w:szCs w:val="24"/>
          <w:u w:val="single"/>
        </w:rPr>
        <w:t xml:space="preserve">iosecurity response zone </w:t>
      </w:r>
    </w:p>
    <w:p w14:paraId="4D56930E" w14:textId="5C0915E1" w:rsidR="00E56627" w:rsidRPr="00FE2066" w:rsidRDefault="00C0068B" w:rsidP="00694BAB">
      <w:pPr>
        <w:rPr>
          <w:rFonts w:ascii="Times New Roman" w:hAnsi="Times New Roman" w:cs="Times New Roman"/>
          <w:sz w:val="24"/>
          <w:szCs w:val="24"/>
        </w:rPr>
      </w:pPr>
      <w:r w:rsidRPr="00FE2066">
        <w:rPr>
          <w:rFonts w:ascii="Times New Roman" w:hAnsi="Times New Roman" w:cs="Times New Roman"/>
          <w:sz w:val="24"/>
          <w:szCs w:val="24"/>
        </w:rPr>
        <w:t xml:space="preserve">This section </w:t>
      </w:r>
      <w:r w:rsidR="008101D8" w:rsidRPr="00FE2066">
        <w:rPr>
          <w:rFonts w:ascii="Times New Roman" w:hAnsi="Times New Roman" w:cs="Times New Roman"/>
          <w:sz w:val="24"/>
          <w:szCs w:val="24"/>
        </w:rPr>
        <w:t xml:space="preserve">provides </w:t>
      </w:r>
      <w:r w:rsidR="00E56627" w:rsidRPr="00FE2066">
        <w:rPr>
          <w:rFonts w:ascii="Times New Roman" w:hAnsi="Times New Roman" w:cs="Times New Roman"/>
          <w:sz w:val="24"/>
          <w:szCs w:val="24"/>
        </w:rPr>
        <w:t>for the purposes of subsection 365(1) of the Act that the following areas are a biosecurity response zone:</w:t>
      </w:r>
    </w:p>
    <w:p w14:paraId="04D8249B" w14:textId="3F80D4D2" w:rsidR="00E56627" w:rsidRPr="00FE2066" w:rsidRDefault="00E56627" w:rsidP="00E56627">
      <w:pPr>
        <w:pStyle w:val="ListParagraph"/>
        <w:numPr>
          <w:ilvl w:val="0"/>
          <w:numId w:val="11"/>
        </w:numPr>
        <w:rPr>
          <w:rFonts w:ascii="Times New Roman" w:hAnsi="Times New Roman" w:cs="Times New Roman"/>
          <w:sz w:val="24"/>
          <w:szCs w:val="24"/>
        </w:rPr>
      </w:pPr>
      <w:r w:rsidRPr="00FE2066">
        <w:rPr>
          <w:rFonts w:ascii="Times New Roman" w:hAnsi="Times New Roman" w:cs="Times New Roman"/>
          <w:sz w:val="24"/>
          <w:szCs w:val="24"/>
        </w:rPr>
        <w:t xml:space="preserve">each area of a relevant port that is designated, under paragraph 230(a) of the Act, as a biosecurity entry point for </w:t>
      </w:r>
      <w:r w:rsidR="00FF3E9D" w:rsidRPr="00FE2066">
        <w:rPr>
          <w:rFonts w:ascii="Times New Roman" w:hAnsi="Times New Roman" w:cs="Times New Roman"/>
          <w:sz w:val="24"/>
          <w:szCs w:val="24"/>
        </w:rPr>
        <w:t xml:space="preserve">a </w:t>
      </w:r>
      <w:r w:rsidRPr="00FE2066">
        <w:rPr>
          <w:rFonts w:ascii="Times New Roman" w:hAnsi="Times New Roman" w:cs="Times New Roman"/>
          <w:sz w:val="24"/>
          <w:szCs w:val="24"/>
        </w:rPr>
        <w:t>vessel</w:t>
      </w:r>
      <w:r w:rsidR="009B5ABD" w:rsidRPr="00FE2066">
        <w:rPr>
          <w:rFonts w:ascii="Times New Roman" w:hAnsi="Times New Roman" w:cs="Times New Roman"/>
          <w:sz w:val="24"/>
          <w:szCs w:val="24"/>
        </w:rPr>
        <w:t xml:space="preserve"> </w:t>
      </w:r>
      <w:r w:rsidRPr="00FE2066">
        <w:rPr>
          <w:rFonts w:ascii="Times New Roman" w:hAnsi="Times New Roman" w:cs="Times New Roman"/>
          <w:sz w:val="24"/>
          <w:szCs w:val="24"/>
        </w:rPr>
        <w:t xml:space="preserve">or </w:t>
      </w:r>
      <w:r w:rsidR="009B5ABD" w:rsidRPr="00FE2066">
        <w:rPr>
          <w:rFonts w:ascii="Times New Roman" w:hAnsi="Times New Roman" w:cs="Times New Roman"/>
          <w:sz w:val="24"/>
          <w:szCs w:val="24"/>
        </w:rPr>
        <w:t xml:space="preserve">a </w:t>
      </w:r>
      <w:r w:rsidRPr="00FE2066">
        <w:rPr>
          <w:rFonts w:ascii="Times New Roman" w:hAnsi="Times New Roman" w:cs="Times New Roman"/>
          <w:sz w:val="24"/>
          <w:szCs w:val="24"/>
        </w:rPr>
        <w:t>class of vessels; and</w:t>
      </w:r>
    </w:p>
    <w:p w14:paraId="66845C60" w14:textId="00D43E2A" w:rsidR="00E56627" w:rsidRPr="00FE2066" w:rsidRDefault="00E56627" w:rsidP="005C5AD1">
      <w:pPr>
        <w:pStyle w:val="ListParagraph"/>
        <w:numPr>
          <w:ilvl w:val="0"/>
          <w:numId w:val="11"/>
        </w:numPr>
        <w:rPr>
          <w:rFonts w:ascii="Times New Roman" w:hAnsi="Times New Roman" w:cs="Times New Roman"/>
          <w:sz w:val="24"/>
          <w:szCs w:val="24"/>
        </w:rPr>
      </w:pPr>
      <w:r w:rsidRPr="00FE2066">
        <w:rPr>
          <w:rFonts w:ascii="Times New Roman" w:hAnsi="Times New Roman" w:cs="Times New Roman"/>
          <w:sz w:val="24"/>
          <w:szCs w:val="24"/>
        </w:rPr>
        <w:t>the Port of Cocos (Keeling) Island</w:t>
      </w:r>
      <w:r w:rsidR="00F623C1" w:rsidRPr="00FE2066">
        <w:rPr>
          <w:rFonts w:ascii="Times New Roman" w:hAnsi="Times New Roman" w:cs="Times New Roman"/>
          <w:sz w:val="24"/>
          <w:szCs w:val="24"/>
        </w:rPr>
        <w:t>s</w:t>
      </w:r>
      <w:r w:rsidRPr="00FE2066">
        <w:rPr>
          <w:rFonts w:ascii="Times New Roman" w:hAnsi="Times New Roman" w:cs="Times New Roman"/>
          <w:sz w:val="24"/>
          <w:szCs w:val="24"/>
        </w:rPr>
        <w:t>.</w:t>
      </w:r>
    </w:p>
    <w:p w14:paraId="0E8CCC39" w14:textId="0B7A784C" w:rsidR="008101D8" w:rsidRPr="00FE2066" w:rsidRDefault="00E56627" w:rsidP="00694BAB">
      <w:pPr>
        <w:rPr>
          <w:rFonts w:ascii="Times New Roman" w:hAnsi="Times New Roman" w:cs="Times New Roman"/>
          <w:sz w:val="24"/>
          <w:szCs w:val="24"/>
        </w:rPr>
      </w:pPr>
      <w:r w:rsidRPr="00FE2066">
        <w:rPr>
          <w:rFonts w:ascii="Times New Roman" w:hAnsi="Times New Roman" w:cs="Times New Roman"/>
          <w:b/>
          <w:bCs/>
          <w:i/>
          <w:iCs/>
          <w:sz w:val="24"/>
          <w:szCs w:val="24"/>
        </w:rPr>
        <w:t>Relevant port</w:t>
      </w:r>
      <w:r w:rsidRPr="00FE2066">
        <w:rPr>
          <w:rFonts w:ascii="Times New Roman" w:hAnsi="Times New Roman" w:cs="Times New Roman"/>
          <w:sz w:val="24"/>
          <w:szCs w:val="24"/>
        </w:rPr>
        <w:t xml:space="preserve"> is defined in section 4 to mean a port that is determined to be a first point of entry for </w:t>
      </w:r>
      <w:r w:rsidR="00FF3E9D" w:rsidRPr="00FE2066">
        <w:rPr>
          <w:rFonts w:ascii="Times New Roman" w:hAnsi="Times New Roman" w:cs="Times New Roman"/>
          <w:sz w:val="24"/>
          <w:szCs w:val="24"/>
        </w:rPr>
        <w:t xml:space="preserve">a </w:t>
      </w:r>
      <w:r w:rsidRPr="00FE2066">
        <w:rPr>
          <w:rFonts w:ascii="Times New Roman" w:hAnsi="Times New Roman" w:cs="Times New Roman"/>
          <w:sz w:val="24"/>
          <w:szCs w:val="24"/>
        </w:rPr>
        <w:t>vessel or</w:t>
      </w:r>
      <w:r w:rsidR="008101D8" w:rsidRPr="00FE2066">
        <w:rPr>
          <w:rFonts w:ascii="Times New Roman" w:hAnsi="Times New Roman" w:cs="Times New Roman"/>
          <w:sz w:val="24"/>
          <w:szCs w:val="24"/>
        </w:rPr>
        <w:t xml:space="preserve"> </w:t>
      </w:r>
      <w:r w:rsidRPr="00FE2066">
        <w:rPr>
          <w:rFonts w:ascii="Times New Roman" w:hAnsi="Times New Roman" w:cs="Times New Roman"/>
          <w:sz w:val="24"/>
          <w:szCs w:val="24"/>
        </w:rPr>
        <w:t xml:space="preserve">class of vessels under subsection 229(1) of the Act. </w:t>
      </w:r>
      <w:r w:rsidR="008101D8" w:rsidRPr="00FE2066">
        <w:rPr>
          <w:rFonts w:ascii="Times New Roman" w:hAnsi="Times New Roman" w:cs="Times New Roman"/>
          <w:sz w:val="24"/>
          <w:szCs w:val="24"/>
        </w:rPr>
        <w:t>These determinations are legislative instruments that are publicly available on the Federal Register of Legislation. With one exception, e</w:t>
      </w:r>
      <w:r w:rsidR="009B5ABD" w:rsidRPr="00FE2066">
        <w:rPr>
          <w:rFonts w:ascii="Times New Roman" w:hAnsi="Times New Roman" w:cs="Times New Roman"/>
          <w:sz w:val="24"/>
          <w:szCs w:val="24"/>
        </w:rPr>
        <w:t xml:space="preserve">ach of </w:t>
      </w:r>
      <w:r w:rsidR="008101D8" w:rsidRPr="00FE2066">
        <w:rPr>
          <w:rFonts w:ascii="Times New Roman" w:hAnsi="Times New Roman" w:cs="Times New Roman"/>
          <w:sz w:val="24"/>
          <w:szCs w:val="24"/>
        </w:rPr>
        <w:t>these determinations</w:t>
      </w:r>
      <w:r w:rsidR="009B5ABD" w:rsidRPr="00FE2066">
        <w:rPr>
          <w:rFonts w:ascii="Times New Roman" w:hAnsi="Times New Roman" w:cs="Times New Roman"/>
          <w:sz w:val="24"/>
          <w:szCs w:val="24"/>
        </w:rPr>
        <w:t xml:space="preserve"> </w:t>
      </w:r>
      <w:r w:rsidR="00F623C1" w:rsidRPr="00FE2066">
        <w:rPr>
          <w:rFonts w:ascii="Times New Roman" w:hAnsi="Times New Roman" w:cs="Times New Roman"/>
          <w:sz w:val="24"/>
          <w:szCs w:val="24"/>
        </w:rPr>
        <w:t xml:space="preserve">currently </w:t>
      </w:r>
      <w:r w:rsidR="009B5ABD" w:rsidRPr="00FE2066">
        <w:rPr>
          <w:rFonts w:ascii="Times New Roman" w:hAnsi="Times New Roman" w:cs="Times New Roman"/>
          <w:sz w:val="24"/>
          <w:szCs w:val="24"/>
        </w:rPr>
        <w:t>designates specified area</w:t>
      </w:r>
      <w:r w:rsidR="00495895" w:rsidRPr="00FE2066">
        <w:rPr>
          <w:rFonts w:ascii="Times New Roman" w:hAnsi="Times New Roman" w:cs="Times New Roman"/>
          <w:sz w:val="24"/>
          <w:szCs w:val="24"/>
        </w:rPr>
        <w:t>s</w:t>
      </w:r>
      <w:r w:rsidR="009B5ABD" w:rsidRPr="00FE2066">
        <w:rPr>
          <w:rFonts w:ascii="Times New Roman" w:hAnsi="Times New Roman" w:cs="Times New Roman"/>
          <w:sz w:val="24"/>
          <w:szCs w:val="24"/>
        </w:rPr>
        <w:t xml:space="preserve"> of the port as biosecurity entry point</w:t>
      </w:r>
      <w:r w:rsidR="00495895" w:rsidRPr="00FE2066">
        <w:rPr>
          <w:rFonts w:ascii="Times New Roman" w:hAnsi="Times New Roman" w:cs="Times New Roman"/>
          <w:sz w:val="24"/>
          <w:szCs w:val="24"/>
        </w:rPr>
        <w:t>s</w:t>
      </w:r>
      <w:r w:rsidR="009B5ABD" w:rsidRPr="00FE2066">
        <w:rPr>
          <w:rFonts w:ascii="Times New Roman" w:hAnsi="Times New Roman" w:cs="Times New Roman"/>
          <w:sz w:val="24"/>
          <w:szCs w:val="24"/>
        </w:rPr>
        <w:t xml:space="preserve"> for </w:t>
      </w:r>
      <w:r w:rsidR="00FF3E9D" w:rsidRPr="00FE2066">
        <w:rPr>
          <w:rFonts w:ascii="Times New Roman" w:hAnsi="Times New Roman" w:cs="Times New Roman"/>
          <w:sz w:val="24"/>
          <w:szCs w:val="24"/>
        </w:rPr>
        <w:t xml:space="preserve">a </w:t>
      </w:r>
      <w:r w:rsidR="008101D8" w:rsidRPr="00FE2066">
        <w:rPr>
          <w:rFonts w:ascii="Times New Roman" w:hAnsi="Times New Roman" w:cs="Times New Roman"/>
          <w:sz w:val="24"/>
          <w:szCs w:val="24"/>
        </w:rPr>
        <w:t>vessel</w:t>
      </w:r>
      <w:r w:rsidR="009B5ABD" w:rsidRPr="00FE2066">
        <w:rPr>
          <w:rFonts w:ascii="Times New Roman" w:hAnsi="Times New Roman" w:cs="Times New Roman"/>
          <w:sz w:val="24"/>
          <w:szCs w:val="24"/>
        </w:rPr>
        <w:t xml:space="preserve"> or a class of vessels. </w:t>
      </w:r>
    </w:p>
    <w:p w14:paraId="1D1D8E1D" w14:textId="21FA809D" w:rsidR="00E56627" w:rsidRPr="00FE2066" w:rsidRDefault="009B5ABD" w:rsidP="00694BAB">
      <w:pPr>
        <w:rPr>
          <w:rFonts w:ascii="Times New Roman" w:hAnsi="Times New Roman" w:cs="Times New Roman"/>
          <w:sz w:val="24"/>
          <w:szCs w:val="24"/>
        </w:rPr>
      </w:pPr>
      <w:r w:rsidRPr="00FE2066">
        <w:rPr>
          <w:rFonts w:ascii="Times New Roman" w:hAnsi="Times New Roman" w:cs="Times New Roman"/>
          <w:sz w:val="24"/>
          <w:szCs w:val="24"/>
        </w:rPr>
        <w:t xml:space="preserve">The exception is the </w:t>
      </w:r>
      <w:r w:rsidRPr="00FE2066">
        <w:rPr>
          <w:rFonts w:ascii="Times New Roman" w:hAnsi="Times New Roman" w:cs="Times New Roman"/>
          <w:i/>
          <w:iCs/>
          <w:sz w:val="24"/>
          <w:szCs w:val="24"/>
        </w:rPr>
        <w:t>Biosecurity (First Point of Entry – Port of Cocos (Keeling) Islands) Determination 2022</w:t>
      </w:r>
      <w:r w:rsidRPr="00FE2066">
        <w:rPr>
          <w:rFonts w:ascii="Times New Roman" w:hAnsi="Times New Roman" w:cs="Times New Roman"/>
          <w:sz w:val="24"/>
          <w:szCs w:val="24"/>
        </w:rPr>
        <w:t>, which does not designate an area of the port as a biosecurity entry point for vessels.</w:t>
      </w:r>
      <w:r w:rsidR="00F623C1" w:rsidRPr="00FE2066">
        <w:rPr>
          <w:rFonts w:ascii="Times New Roman" w:hAnsi="Times New Roman" w:cs="Times New Roman"/>
          <w:sz w:val="24"/>
          <w:szCs w:val="24"/>
        </w:rPr>
        <w:t xml:space="preserve"> In this case, it is appropriate for the whole of the Port of Cocos (Keeling) Islands to be specified for the biosecurity response zone.</w:t>
      </w:r>
    </w:p>
    <w:p w14:paraId="2224BBC9" w14:textId="7CF1E58A" w:rsidR="00640DB6" w:rsidRPr="00FE2066" w:rsidRDefault="00640DB6" w:rsidP="00694BAB">
      <w:pPr>
        <w:rPr>
          <w:rFonts w:ascii="Times New Roman" w:hAnsi="Times New Roman" w:cs="Times New Roman"/>
          <w:sz w:val="24"/>
          <w:szCs w:val="24"/>
        </w:rPr>
      </w:pPr>
      <w:r w:rsidRPr="00FE2066">
        <w:rPr>
          <w:rFonts w:ascii="Times New Roman" w:hAnsi="Times New Roman" w:cs="Times New Roman"/>
          <w:sz w:val="24"/>
          <w:szCs w:val="24"/>
        </w:rPr>
        <w:t xml:space="preserve">Note 1 </w:t>
      </w:r>
      <w:r w:rsidR="001C29B7" w:rsidRPr="00FE2066">
        <w:rPr>
          <w:rFonts w:ascii="Times New Roman" w:hAnsi="Times New Roman" w:cs="Times New Roman"/>
          <w:sz w:val="24"/>
          <w:szCs w:val="24"/>
        </w:rPr>
        <w:t>to this section</w:t>
      </w:r>
      <w:r w:rsidRPr="00FE2066">
        <w:rPr>
          <w:rFonts w:ascii="Times New Roman" w:hAnsi="Times New Roman" w:cs="Times New Roman"/>
          <w:sz w:val="24"/>
          <w:szCs w:val="24"/>
        </w:rPr>
        <w:t xml:space="preserve"> explains that the powers set out in Part 3 of the Determination and Division 4 of Part 3 of Chapter 6 of the Act may be exercised in, or in relation to goods or premises (which includes a conveyance) in, the biosecurity response zone for the purpose of managing the biosecurity risk posed by a disease or pest to which this instrument relates (see sections 370 and 371 of the Act).</w:t>
      </w:r>
    </w:p>
    <w:p w14:paraId="083233BD" w14:textId="4A2A4A24" w:rsidR="00640DB6" w:rsidRPr="00FE2066" w:rsidRDefault="00D606AB" w:rsidP="00694BAB">
      <w:pPr>
        <w:rPr>
          <w:rFonts w:ascii="Times New Roman" w:hAnsi="Times New Roman" w:cs="Times New Roman"/>
          <w:sz w:val="24"/>
          <w:szCs w:val="24"/>
        </w:rPr>
      </w:pPr>
      <w:r w:rsidRPr="00FE2066">
        <w:rPr>
          <w:rFonts w:ascii="Times New Roman" w:hAnsi="Times New Roman" w:cs="Times New Roman"/>
          <w:sz w:val="24"/>
          <w:szCs w:val="24"/>
        </w:rPr>
        <w:t xml:space="preserve">The powers set out in Part 3 of the Determination are explained below. </w:t>
      </w:r>
      <w:r w:rsidR="00640DB6" w:rsidRPr="00FE2066">
        <w:rPr>
          <w:rFonts w:ascii="Times New Roman" w:hAnsi="Times New Roman" w:cs="Times New Roman"/>
          <w:sz w:val="24"/>
          <w:szCs w:val="24"/>
        </w:rPr>
        <w:t xml:space="preserve">The powers in Division 4 of Part 3 of Chapter 6 </w:t>
      </w:r>
      <w:r w:rsidR="00795F42" w:rsidRPr="00FE2066">
        <w:rPr>
          <w:rFonts w:ascii="Times New Roman" w:hAnsi="Times New Roman" w:cs="Times New Roman"/>
          <w:sz w:val="24"/>
          <w:szCs w:val="24"/>
        </w:rPr>
        <w:t xml:space="preserve">relevantly provide that in certain circumstances (including for example, where biosecurity measures in relation to the treatment of goods are required by </w:t>
      </w:r>
      <w:r w:rsidR="00795F42" w:rsidRPr="00FE2066">
        <w:rPr>
          <w:rFonts w:ascii="Times New Roman" w:hAnsi="Times New Roman" w:cs="Times New Roman"/>
          <w:sz w:val="24"/>
          <w:szCs w:val="24"/>
        </w:rPr>
        <w:lastRenderedPageBreak/>
        <w:t>a biosecurity officer under sections 333 to 336 - see section 9 below) a biosecurity officer may direct a person in charge of the goods to carry out biosecurity measures</w:t>
      </w:r>
      <w:r w:rsidR="005A0FFA" w:rsidRPr="00FE2066">
        <w:rPr>
          <w:rFonts w:ascii="Times New Roman" w:hAnsi="Times New Roman" w:cs="Times New Roman"/>
          <w:sz w:val="24"/>
          <w:szCs w:val="24"/>
        </w:rPr>
        <w:t>,</w:t>
      </w:r>
      <w:r w:rsidR="00795F42" w:rsidRPr="00FE2066">
        <w:rPr>
          <w:rFonts w:ascii="Times New Roman" w:hAnsi="Times New Roman" w:cs="Times New Roman"/>
          <w:sz w:val="24"/>
          <w:szCs w:val="24"/>
        </w:rPr>
        <w:t xml:space="preserve"> carry out biosecurity measure</w:t>
      </w:r>
      <w:r w:rsidR="005A0FFA" w:rsidRPr="00FE2066">
        <w:rPr>
          <w:rFonts w:ascii="Times New Roman" w:hAnsi="Times New Roman" w:cs="Times New Roman"/>
          <w:sz w:val="24"/>
          <w:szCs w:val="24"/>
        </w:rPr>
        <w:t>s themselves</w:t>
      </w:r>
      <w:r w:rsidR="00795F42" w:rsidRPr="00FE2066">
        <w:rPr>
          <w:rFonts w:ascii="Times New Roman" w:hAnsi="Times New Roman" w:cs="Times New Roman"/>
          <w:sz w:val="24"/>
          <w:szCs w:val="24"/>
        </w:rPr>
        <w:t>, or arrange for another person with appropriate qualifications or expertise to carry out biosecurity measure</w:t>
      </w:r>
      <w:r w:rsidR="005A0FFA" w:rsidRPr="00FE2066">
        <w:rPr>
          <w:rFonts w:ascii="Times New Roman" w:hAnsi="Times New Roman" w:cs="Times New Roman"/>
          <w:sz w:val="24"/>
          <w:szCs w:val="24"/>
        </w:rPr>
        <w:t>s</w:t>
      </w:r>
      <w:r w:rsidR="00795F42" w:rsidRPr="00FE2066">
        <w:rPr>
          <w:rFonts w:ascii="Times New Roman" w:hAnsi="Times New Roman" w:cs="Times New Roman"/>
          <w:sz w:val="24"/>
          <w:szCs w:val="24"/>
        </w:rPr>
        <w:t xml:space="preserve"> (see section 347). A biosecurity officer may also affix a notice to, or near, goods or premises in relation to which biosecurity measures have been required</w:t>
      </w:r>
      <w:r w:rsidR="005A0FFA" w:rsidRPr="00FE2066">
        <w:rPr>
          <w:rFonts w:ascii="Times New Roman" w:hAnsi="Times New Roman" w:cs="Times New Roman"/>
          <w:sz w:val="24"/>
          <w:szCs w:val="24"/>
        </w:rPr>
        <w:t xml:space="preserve">, which must state certain things, for example, that a disease or pest may be present in or on the goods or premises and that biosecurity measures have been required in relation to the goods or premises (see section 348). A civil penalty provision may apply to a person who interferes with, </w:t>
      </w:r>
      <w:proofErr w:type="gramStart"/>
      <w:r w:rsidR="005A0FFA" w:rsidRPr="00FE2066">
        <w:rPr>
          <w:rFonts w:ascii="Times New Roman" w:hAnsi="Times New Roman" w:cs="Times New Roman"/>
          <w:sz w:val="24"/>
          <w:szCs w:val="24"/>
        </w:rPr>
        <w:t>removes</w:t>
      </w:r>
      <w:proofErr w:type="gramEnd"/>
      <w:r w:rsidR="005A0FFA" w:rsidRPr="00FE2066">
        <w:rPr>
          <w:rFonts w:ascii="Times New Roman" w:hAnsi="Times New Roman" w:cs="Times New Roman"/>
          <w:sz w:val="24"/>
          <w:szCs w:val="24"/>
        </w:rPr>
        <w:t xml:space="preserve"> or defaces such a notice (see subsection 348(3)).</w:t>
      </w:r>
    </w:p>
    <w:p w14:paraId="0A21D24A" w14:textId="7FB7C88A" w:rsidR="00640DB6" w:rsidRPr="00FE2066" w:rsidRDefault="00640DB6" w:rsidP="00694BAB">
      <w:pPr>
        <w:rPr>
          <w:rFonts w:ascii="Times New Roman" w:hAnsi="Times New Roman" w:cs="Times New Roman"/>
          <w:sz w:val="24"/>
          <w:szCs w:val="24"/>
        </w:rPr>
      </w:pPr>
      <w:r w:rsidRPr="00FE2066">
        <w:rPr>
          <w:rFonts w:ascii="Times New Roman" w:hAnsi="Times New Roman" w:cs="Times New Roman"/>
          <w:sz w:val="24"/>
          <w:szCs w:val="24"/>
        </w:rPr>
        <w:t xml:space="preserve">Note 2 </w:t>
      </w:r>
      <w:r w:rsidR="00A01D85" w:rsidRPr="00FE2066">
        <w:rPr>
          <w:rFonts w:ascii="Times New Roman" w:hAnsi="Times New Roman" w:cs="Times New Roman"/>
          <w:sz w:val="24"/>
          <w:szCs w:val="24"/>
        </w:rPr>
        <w:t>to this section</w:t>
      </w:r>
      <w:r w:rsidRPr="00FE2066">
        <w:rPr>
          <w:rFonts w:ascii="Times New Roman" w:hAnsi="Times New Roman" w:cs="Times New Roman"/>
          <w:sz w:val="24"/>
          <w:szCs w:val="24"/>
        </w:rPr>
        <w:t xml:space="preserve"> explains that before exercising a power set out in Part 3 of this instrument, a biosecurity official must be satisfied of the matters referred to in section 32 of the Act (the principles).</w:t>
      </w:r>
      <w:r w:rsidR="005A0FFA" w:rsidRPr="00FE2066">
        <w:rPr>
          <w:rFonts w:ascii="Times New Roman" w:hAnsi="Times New Roman" w:cs="Times New Roman"/>
          <w:sz w:val="24"/>
          <w:szCs w:val="24"/>
        </w:rPr>
        <w:t xml:space="preserve"> These principles aim to ensure that a power is only exercised by a biosecurity official if it is likely to be effective in, or to contribute to, achieving the purpose for which the power is to be exercised, is appropriate and adapted for its purpose, and is no more restrictive or intrusive than is required.</w:t>
      </w:r>
    </w:p>
    <w:p w14:paraId="435E5D78" w14:textId="5E72FF83" w:rsidR="006057FC" w:rsidRPr="00FE2066" w:rsidRDefault="00C0068B" w:rsidP="00044873">
      <w:pPr>
        <w:rPr>
          <w:rFonts w:ascii="Times New Roman" w:hAnsi="Times New Roman" w:cs="Times New Roman"/>
          <w:b/>
          <w:bCs/>
          <w:sz w:val="24"/>
          <w:szCs w:val="24"/>
          <w:u w:val="single"/>
        </w:rPr>
      </w:pPr>
      <w:r w:rsidRPr="00FE2066">
        <w:rPr>
          <w:rFonts w:ascii="Times New Roman" w:hAnsi="Times New Roman" w:cs="Times New Roman"/>
          <w:b/>
          <w:bCs/>
          <w:sz w:val="24"/>
          <w:szCs w:val="24"/>
          <w:u w:val="single"/>
        </w:rPr>
        <w:t>Section</w:t>
      </w:r>
      <w:r w:rsidR="00F623C1" w:rsidRPr="00FE2066">
        <w:rPr>
          <w:rFonts w:ascii="Times New Roman" w:hAnsi="Times New Roman" w:cs="Times New Roman"/>
          <w:b/>
          <w:bCs/>
          <w:sz w:val="24"/>
          <w:szCs w:val="24"/>
          <w:u w:val="single"/>
        </w:rPr>
        <w:t xml:space="preserve"> 7</w:t>
      </w:r>
      <w:r w:rsidRPr="00FE2066">
        <w:rPr>
          <w:rFonts w:ascii="Times New Roman" w:hAnsi="Times New Roman" w:cs="Times New Roman"/>
          <w:b/>
          <w:bCs/>
          <w:sz w:val="24"/>
          <w:szCs w:val="24"/>
          <w:u w:val="single"/>
        </w:rPr>
        <w:t xml:space="preserve"> </w:t>
      </w:r>
      <w:r w:rsidR="00666E5C" w:rsidRPr="00FE2066">
        <w:rPr>
          <w:rFonts w:ascii="Times New Roman" w:hAnsi="Times New Roman" w:cs="Times New Roman"/>
          <w:b/>
          <w:bCs/>
          <w:sz w:val="24"/>
          <w:szCs w:val="24"/>
          <w:u w:val="single"/>
        </w:rPr>
        <w:t>–</w:t>
      </w:r>
      <w:r w:rsidRPr="00FE2066">
        <w:rPr>
          <w:rFonts w:ascii="Times New Roman" w:hAnsi="Times New Roman" w:cs="Times New Roman"/>
          <w:b/>
          <w:bCs/>
          <w:sz w:val="24"/>
          <w:szCs w:val="24"/>
          <w:u w:val="single"/>
        </w:rPr>
        <w:t xml:space="preserve"> </w:t>
      </w:r>
      <w:r w:rsidR="00F623C1" w:rsidRPr="00FE2066">
        <w:rPr>
          <w:rFonts w:ascii="Times New Roman" w:hAnsi="Times New Roman" w:cs="Times New Roman"/>
          <w:b/>
          <w:bCs/>
          <w:sz w:val="24"/>
          <w:szCs w:val="24"/>
          <w:u w:val="single"/>
        </w:rPr>
        <w:t>Diseases and Pests</w:t>
      </w:r>
      <w:r w:rsidR="00666E5C" w:rsidRPr="00FE2066">
        <w:rPr>
          <w:rFonts w:ascii="Times New Roman" w:hAnsi="Times New Roman" w:cs="Times New Roman"/>
          <w:b/>
          <w:bCs/>
          <w:sz w:val="24"/>
          <w:szCs w:val="24"/>
          <w:u w:val="single"/>
        </w:rPr>
        <w:t xml:space="preserve"> </w:t>
      </w:r>
    </w:p>
    <w:p w14:paraId="363FA064" w14:textId="150B774D" w:rsidR="008101D8" w:rsidRPr="00FE2066" w:rsidRDefault="008101D8" w:rsidP="00044873">
      <w:pPr>
        <w:rPr>
          <w:rFonts w:ascii="Times New Roman" w:hAnsi="Times New Roman" w:cs="Times New Roman"/>
          <w:sz w:val="24"/>
          <w:szCs w:val="24"/>
        </w:rPr>
      </w:pPr>
      <w:r w:rsidRPr="00FE2066">
        <w:rPr>
          <w:rFonts w:ascii="Times New Roman" w:hAnsi="Times New Roman" w:cs="Times New Roman"/>
          <w:sz w:val="24"/>
          <w:szCs w:val="24"/>
        </w:rPr>
        <w:t>This section states that, for the purposes of paragraph 366(2)(a) of the Act, foot and mouth disease poses an unacceptable level of biosecurity risk and has been identified.</w:t>
      </w:r>
    </w:p>
    <w:p w14:paraId="73EC711A" w14:textId="6F4828A6" w:rsidR="008101D8" w:rsidRPr="00FE2066" w:rsidRDefault="008101D8" w:rsidP="00044873">
      <w:pPr>
        <w:rPr>
          <w:rFonts w:ascii="Times New Roman" w:hAnsi="Times New Roman" w:cs="Times New Roman"/>
          <w:sz w:val="24"/>
          <w:szCs w:val="24"/>
        </w:rPr>
      </w:pPr>
      <w:r w:rsidRPr="00FE2066">
        <w:rPr>
          <w:rFonts w:ascii="Times New Roman" w:hAnsi="Times New Roman" w:cs="Times New Roman"/>
          <w:sz w:val="24"/>
          <w:szCs w:val="24"/>
        </w:rPr>
        <w:t>Paragraph 366(2)(a) of the Act provides that a biosecurity response zone determination must specify each disease or pest that poses an unacceptable level of biosecurity risk and has been identified. Section 7 complies with this requirement.</w:t>
      </w:r>
    </w:p>
    <w:p w14:paraId="544CBB01" w14:textId="49D2DEFC" w:rsidR="00495895" w:rsidRPr="00FE2066" w:rsidRDefault="00495895" w:rsidP="00044873">
      <w:pPr>
        <w:rPr>
          <w:rFonts w:ascii="Times New Roman" w:hAnsi="Times New Roman" w:cs="Times New Roman"/>
          <w:b/>
          <w:bCs/>
          <w:sz w:val="24"/>
          <w:szCs w:val="24"/>
          <w:u w:val="single"/>
        </w:rPr>
      </w:pPr>
      <w:r w:rsidRPr="00FE2066">
        <w:rPr>
          <w:rFonts w:ascii="Times New Roman" w:hAnsi="Times New Roman" w:cs="Times New Roman"/>
          <w:b/>
          <w:bCs/>
          <w:sz w:val="24"/>
          <w:szCs w:val="24"/>
          <w:u w:val="single"/>
        </w:rPr>
        <w:t>Section 8 – Nature of biosecurity risk that needs to be managed</w:t>
      </w:r>
    </w:p>
    <w:p w14:paraId="5D085FFF" w14:textId="650D8FA6" w:rsidR="008101D8" w:rsidRPr="00FE2066" w:rsidRDefault="008101D8" w:rsidP="00044873">
      <w:pPr>
        <w:rPr>
          <w:rFonts w:ascii="Times New Roman" w:hAnsi="Times New Roman" w:cs="Times New Roman"/>
          <w:sz w:val="24"/>
          <w:szCs w:val="24"/>
        </w:rPr>
      </w:pPr>
      <w:r w:rsidRPr="00FE2066">
        <w:rPr>
          <w:rFonts w:ascii="Times New Roman" w:hAnsi="Times New Roman" w:cs="Times New Roman"/>
          <w:sz w:val="24"/>
          <w:szCs w:val="24"/>
        </w:rPr>
        <w:t xml:space="preserve">This section </w:t>
      </w:r>
      <w:r w:rsidR="00495895" w:rsidRPr="00FE2066">
        <w:rPr>
          <w:rFonts w:ascii="Times New Roman" w:hAnsi="Times New Roman" w:cs="Times New Roman"/>
          <w:sz w:val="24"/>
          <w:szCs w:val="24"/>
        </w:rPr>
        <w:t>provides</w:t>
      </w:r>
      <w:r w:rsidRPr="00FE2066">
        <w:rPr>
          <w:rFonts w:ascii="Times New Roman" w:hAnsi="Times New Roman" w:cs="Times New Roman"/>
          <w:sz w:val="24"/>
          <w:szCs w:val="24"/>
        </w:rPr>
        <w:t xml:space="preserve"> that, for the purposes of paragraph 366(2)(b) of the Act, the nature of the biosecurity risk that needs to be managed is that:</w:t>
      </w:r>
    </w:p>
    <w:p w14:paraId="03DC6260" w14:textId="77777777" w:rsidR="00495895" w:rsidRPr="00FE2066" w:rsidRDefault="00495895" w:rsidP="005C5AD1">
      <w:pPr>
        <w:pStyle w:val="paragraph"/>
        <w:numPr>
          <w:ilvl w:val="0"/>
          <w:numId w:val="13"/>
        </w:numPr>
        <w:rPr>
          <w:sz w:val="24"/>
          <w:szCs w:val="24"/>
        </w:rPr>
      </w:pPr>
      <w:r w:rsidRPr="00FE2066">
        <w:rPr>
          <w:sz w:val="24"/>
          <w:szCs w:val="24"/>
        </w:rPr>
        <w:t>there is a likelihood that foot and mouth disease may be present in or on goods in a biosecurity response zone, in particular on footwear worn by people entering Australia from a country with an active outbreak of foot and mouth disease; and</w:t>
      </w:r>
    </w:p>
    <w:p w14:paraId="38B6BBF7" w14:textId="2ECFD21F" w:rsidR="00495895" w:rsidRPr="00FE2066" w:rsidRDefault="00495895" w:rsidP="005C5AD1">
      <w:pPr>
        <w:pStyle w:val="paragraph"/>
        <w:numPr>
          <w:ilvl w:val="0"/>
          <w:numId w:val="13"/>
        </w:numPr>
        <w:rPr>
          <w:sz w:val="24"/>
          <w:szCs w:val="24"/>
        </w:rPr>
      </w:pPr>
      <w:r w:rsidRPr="00FE2066">
        <w:rPr>
          <w:sz w:val="24"/>
          <w:szCs w:val="24"/>
        </w:rPr>
        <w:t xml:space="preserve">foot and mouth disease </w:t>
      </w:r>
      <w:proofErr w:type="gramStart"/>
      <w:r w:rsidRPr="00FE2066">
        <w:rPr>
          <w:sz w:val="24"/>
          <w:szCs w:val="24"/>
        </w:rPr>
        <w:t>is</w:t>
      </w:r>
      <w:proofErr w:type="gramEnd"/>
      <w:r w:rsidRPr="00FE2066">
        <w:rPr>
          <w:sz w:val="24"/>
          <w:szCs w:val="24"/>
        </w:rPr>
        <w:t xml:space="preserve"> not present in Australia; and</w:t>
      </w:r>
    </w:p>
    <w:p w14:paraId="5555CA52" w14:textId="34E3EE37" w:rsidR="00495895" w:rsidRPr="00FE2066" w:rsidRDefault="00495895" w:rsidP="005C5AD1">
      <w:pPr>
        <w:pStyle w:val="paragraph"/>
        <w:numPr>
          <w:ilvl w:val="0"/>
          <w:numId w:val="13"/>
        </w:numPr>
        <w:rPr>
          <w:sz w:val="24"/>
          <w:szCs w:val="24"/>
        </w:rPr>
      </w:pPr>
      <w:r w:rsidRPr="00FE2066">
        <w:rPr>
          <w:sz w:val="24"/>
          <w:szCs w:val="24"/>
        </w:rPr>
        <w:t xml:space="preserve">foot and mouth disease </w:t>
      </w:r>
      <w:proofErr w:type="gramStart"/>
      <w:r w:rsidRPr="00FE2066">
        <w:rPr>
          <w:sz w:val="24"/>
          <w:szCs w:val="24"/>
        </w:rPr>
        <w:t>is</w:t>
      </w:r>
      <w:proofErr w:type="gramEnd"/>
      <w:r w:rsidRPr="00FE2066">
        <w:rPr>
          <w:sz w:val="24"/>
          <w:szCs w:val="24"/>
        </w:rPr>
        <w:t xml:space="preserve"> a highly contagious viral disease of cloven</w:t>
      </w:r>
      <w:r w:rsidRPr="00FE2066">
        <w:rPr>
          <w:sz w:val="24"/>
          <w:szCs w:val="24"/>
        </w:rPr>
        <w:noBreakHyphen/>
        <w:t>hoofed mammals that has a great potential for causing severe economic loss if it enters Australia; and</w:t>
      </w:r>
    </w:p>
    <w:p w14:paraId="573F9297" w14:textId="7D9DA4FF" w:rsidR="00495895" w:rsidRPr="00FE2066" w:rsidRDefault="00495895" w:rsidP="005C5AD1">
      <w:pPr>
        <w:pStyle w:val="paragraph"/>
        <w:numPr>
          <w:ilvl w:val="0"/>
          <w:numId w:val="13"/>
        </w:numPr>
        <w:rPr>
          <w:sz w:val="24"/>
          <w:szCs w:val="24"/>
        </w:rPr>
      </w:pPr>
      <w:r w:rsidRPr="00FE2066">
        <w:rPr>
          <w:sz w:val="24"/>
          <w:szCs w:val="24"/>
        </w:rPr>
        <w:t xml:space="preserve">foot and mouth disease </w:t>
      </w:r>
      <w:proofErr w:type="gramStart"/>
      <w:r w:rsidRPr="00FE2066">
        <w:rPr>
          <w:sz w:val="24"/>
          <w:szCs w:val="24"/>
        </w:rPr>
        <w:t>poses</w:t>
      </w:r>
      <w:proofErr w:type="gramEnd"/>
      <w:r w:rsidRPr="00FE2066">
        <w:rPr>
          <w:sz w:val="24"/>
          <w:szCs w:val="24"/>
        </w:rPr>
        <w:t xml:space="preserve"> an unacceptable level of biosecurity risk.</w:t>
      </w:r>
    </w:p>
    <w:p w14:paraId="6D3A7059" w14:textId="77777777" w:rsidR="00495895" w:rsidRPr="00FE2066" w:rsidRDefault="00495895" w:rsidP="005C5AD1">
      <w:pPr>
        <w:spacing w:after="0"/>
        <w:rPr>
          <w:rFonts w:ascii="Times New Roman" w:hAnsi="Times New Roman" w:cs="Times New Roman"/>
          <w:sz w:val="24"/>
          <w:szCs w:val="24"/>
        </w:rPr>
      </w:pPr>
    </w:p>
    <w:p w14:paraId="5929C316" w14:textId="499BB663" w:rsidR="00516D4F" w:rsidRPr="00FE2066" w:rsidRDefault="00495895" w:rsidP="00044873">
      <w:pPr>
        <w:rPr>
          <w:rFonts w:ascii="Times New Roman" w:hAnsi="Times New Roman" w:cs="Times New Roman"/>
          <w:sz w:val="24"/>
          <w:szCs w:val="24"/>
        </w:rPr>
      </w:pPr>
      <w:r w:rsidRPr="00FE2066">
        <w:rPr>
          <w:rFonts w:ascii="Times New Roman" w:hAnsi="Times New Roman" w:cs="Times New Roman"/>
          <w:sz w:val="24"/>
          <w:szCs w:val="24"/>
        </w:rPr>
        <w:t xml:space="preserve">Paragraph 366(2)(b) of the Act provides that a biosecurity response zone determination must specify the nature of the biosecurity risk that needs to be managed. </w:t>
      </w:r>
      <w:r w:rsidR="008101D8" w:rsidRPr="00FE2066">
        <w:rPr>
          <w:rFonts w:ascii="Times New Roman" w:hAnsi="Times New Roman" w:cs="Times New Roman"/>
          <w:sz w:val="24"/>
          <w:szCs w:val="24"/>
        </w:rPr>
        <w:t>Section 8</w:t>
      </w:r>
      <w:r w:rsidR="00C0068B" w:rsidRPr="00FE2066">
        <w:rPr>
          <w:rFonts w:ascii="Times New Roman" w:hAnsi="Times New Roman" w:cs="Times New Roman"/>
          <w:sz w:val="24"/>
          <w:szCs w:val="24"/>
        </w:rPr>
        <w:t xml:space="preserve"> complies with </w:t>
      </w:r>
      <w:r w:rsidRPr="00FE2066">
        <w:rPr>
          <w:rFonts w:ascii="Times New Roman" w:hAnsi="Times New Roman" w:cs="Times New Roman"/>
          <w:sz w:val="24"/>
          <w:szCs w:val="24"/>
        </w:rPr>
        <w:t>this requirement</w:t>
      </w:r>
      <w:r w:rsidR="00C0068B" w:rsidRPr="00FE2066">
        <w:rPr>
          <w:rFonts w:ascii="Times New Roman" w:hAnsi="Times New Roman" w:cs="Times New Roman"/>
          <w:sz w:val="24"/>
          <w:szCs w:val="24"/>
        </w:rPr>
        <w:t xml:space="preserve"> by specifying</w:t>
      </w:r>
      <w:r w:rsidRPr="00FE2066">
        <w:rPr>
          <w:rFonts w:ascii="Times New Roman" w:hAnsi="Times New Roman" w:cs="Times New Roman"/>
          <w:sz w:val="24"/>
          <w:szCs w:val="24"/>
        </w:rPr>
        <w:t xml:space="preserve"> </w:t>
      </w:r>
      <w:r w:rsidR="00C0068B" w:rsidRPr="00FE2066">
        <w:rPr>
          <w:rFonts w:ascii="Times New Roman" w:hAnsi="Times New Roman" w:cs="Times New Roman"/>
          <w:sz w:val="24"/>
          <w:szCs w:val="24"/>
        </w:rPr>
        <w:t>the nature of the biosecurity risk that needs to be managed in relation to FMD.</w:t>
      </w:r>
    </w:p>
    <w:p w14:paraId="280B0A9B" w14:textId="77777777" w:rsidR="00A01D85" w:rsidRPr="00FE2066" w:rsidRDefault="00A01D85">
      <w:pPr>
        <w:rPr>
          <w:rFonts w:ascii="Times New Roman" w:hAnsi="Times New Roman" w:cs="Times New Roman"/>
          <w:b/>
          <w:bCs/>
          <w:sz w:val="24"/>
          <w:szCs w:val="24"/>
          <w:u w:val="single"/>
        </w:rPr>
      </w:pPr>
      <w:r w:rsidRPr="00FE2066">
        <w:rPr>
          <w:rFonts w:ascii="Times New Roman" w:hAnsi="Times New Roman" w:cs="Times New Roman"/>
          <w:b/>
          <w:bCs/>
          <w:sz w:val="24"/>
          <w:szCs w:val="24"/>
          <w:u w:val="single"/>
        </w:rPr>
        <w:br w:type="page"/>
      </w:r>
    </w:p>
    <w:p w14:paraId="4B93A7D2" w14:textId="0F50C10F" w:rsidR="00495895" w:rsidRPr="00FE2066" w:rsidRDefault="00495895" w:rsidP="00495895">
      <w:pPr>
        <w:rPr>
          <w:rFonts w:ascii="Times New Roman" w:hAnsi="Times New Roman" w:cs="Times New Roman"/>
          <w:b/>
          <w:bCs/>
          <w:sz w:val="26"/>
          <w:szCs w:val="26"/>
          <w:u w:val="single"/>
        </w:rPr>
      </w:pPr>
      <w:r w:rsidRPr="00FE2066">
        <w:rPr>
          <w:rFonts w:ascii="Times New Roman" w:hAnsi="Times New Roman" w:cs="Times New Roman"/>
          <w:b/>
          <w:bCs/>
          <w:sz w:val="26"/>
          <w:szCs w:val="26"/>
          <w:u w:val="single"/>
        </w:rPr>
        <w:lastRenderedPageBreak/>
        <w:t>Part 3 – Powers that may be exercised in, or in relation to goods or premises in, the biosecurity response zone</w:t>
      </w:r>
    </w:p>
    <w:p w14:paraId="7A9A001F" w14:textId="77777777" w:rsidR="00495895" w:rsidRPr="00FE2066" w:rsidRDefault="00495895" w:rsidP="00495895">
      <w:pPr>
        <w:rPr>
          <w:rFonts w:ascii="Times New Roman" w:hAnsi="Times New Roman" w:cs="Times New Roman"/>
          <w:b/>
          <w:bCs/>
          <w:sz w:val="24"/>
          <w:szCs w:val="24"/>
          <w:u w:val="single"/>
        </w:rPr>
      </w:pPr>
      <w:r w:rsidRPr="00FE2066">
        <w:rPr>
          <w:rFonts w:ascii="Times New Roman" w:hAnsi="Times New Roman" w:cs="Times New Roman"/>
          <w:b/>
          <w:bCs/>
          <w:sz w:val="24"/>
          <w:szCs w:val="24"/>
          <w:u w:val="single"/>
        </w:rPr>
        <w:t>Section 9 – Powers to require biosecurity measures to be taken</w:t>
      </w:r>
    </w:p>
    <w:p w14:paraId="470D2D4C" w14:textId="1B33053E" w:rsidR="00495895" w:rsidRPr="00FE2066" w:rsidRDefault="00495895" w:rsidP="00044873">
      <w:pPr>
        <w:rPr>
          <w:rFonts w:ascii="Times New Roman" w:hAnsi="Times New Roman" w:cs="Times New Roman"/>
          <w:sz w:val="24"/>
          <w:szCs w:val="24"/>
        </w:rPr>
      </w:pPr>
      <w:r w:rsidRPr="00FE2066">
        <w:rPr>
          <w:rFonts w:ascii="Times New Roman" w:hAnsi="Times New Roman" w:cs="Times New Roman"/>
          <w:sz w:val="24"/>
          <w:szCs w:val="24"/>
        </w:rPr>
        <w:t>This section provides that, for the purposes of paragraph 366(2)(c) of the Act, the powers set out in the following sections of Division 2 of Part 3 of Chapter 6 of the Act are specified:</w:t>
      </w:r>
    </w:p>
    <w:p w14:paraId="13A2B35B" w14:textId="0F5CE016" w:rsidR="0092103B" w:rsidRPr="00FE2066" w:rsidRDefault="0092103B" w:rsidP="005C5AD1">
      <w:pPr>
        <w:pStyle w:val="paragraph"/>
        <w:numPr>
          <w:ilvl w:val="0"/>
          <w:numId w:val="13"/>
        </w:numPr>
        <w:rPr>
          <w:sz w:val="24"/>
          <w:szCs w:val="24"/>
        </w:rPr>
      </w:pPr>
      <w:r w:rsidRPr="00FE2066">
        <w:rPr>
          <w:sz w:val="24"/>
          <w:szCs w:val="24"/>
        </w:rPr>
        <w:t>the power in section 333 of the Act</w:t>
      </w:r>
      <w:r w:rsidR="00A01D85" w:rsidRPr="00FE2066">
        <w:rPr>
          <w:sz w:val="24"/>
          <w:szCs w:val="24"/>
        </w:rPr>
        <w:t>, that includes the power</w:t>
      </w:r>
      <w:r w:rsidRPr="00FE2066">
        <w:rPr>
          <w:sz w:val="24"/>
          <w:szCs w:val="24"/>
        </w:rPr>
        <w:t xml:space="preserve"> to require persons entering or leaving premises in the biosecurity response zone to do so at specified </w:t>
      </w:r>
      <w:proofErr w:type="gramStart"/>
      <w:r w:rsidRPr="00FE2066">
        <w:rPr>
          <w:sz w:val="24"/>
          <w:szCs w:val="24"/>
        </w:rPr>
        <w:t>places;</w:t>
      </w:r>
      <w:proofErr w:type="gramEnd"/>
      <w:r w:rsidRPr="00FE2066">
        <w:rPr>
          <w:sz w:val="24"/>
          <w:szCs w:val="24"/>
        </w:rPr>
        <w:t xml:space="preserve"> </w:t>
      </w:r>
    </w:p>
    <w:p w14:paraId="736BC1A1" w14:textId="123C62F3" w:rsidR="00495895" w:rsidRPr="00FE2066" w:rsidRDefault="0092103B" w:rsidP="005C5AD1">
      <w:pPr>
        <w:pStyle w:val="paragraph"/>
        <w:numPr>
          <w:ilvl w:val="0"/>
          <w:numId w:val="13"/>
        </w:numPr>
        <w:spacing w:before="120"/>
        <w:ind w:left="714" w:hanging="357"/>
      </w:pPr>
      <w:r w:rsidRPr="00FE2066">
        <w:rPr>
          <w:sz w:val="24"/>
          <w:szCs w:val="24"/>
        </w:rPr>
        <w:t>the power in section 335 of the Act</w:t>
      </w:r>
      <w:r w:rsidR="00A01D85" w:rsidRPr="00FE2066">
        <w:rPr>
          <w:sz w:val="24"/>
          <w:szCs w:val="24"/>
        </w:rPr>
        <w:t>,</w:t>
      </w:r>
      <w:r w:rsidRPr="00FE2066">
        <w:rPr>
          <w:sz w:val="24"/>
          <w:szCs w:val="24"/>
        </w:rPr>
        <w:t xml:space="preserve"> to require goods to be treated in a specified manner in the biosecurity response zone; and</w:t>
      </w:r>
    </w:p>
    <w:p w14:paraId="07F035E7" w14:textId="31ACB4E8" w:rsidR="00495895" w:rsidRPr="00FE2066" w:rsidRDefault="0092103B" w:rsidP="005C5AD1">
      <w:pPr>
        <w:pStyle w:val="paragraph"/>
        <w:numPr>
          <w:ilvl w:val="0"/>
          <w:numId w:val="13"/>
        </w:numPr>
        <w:spacing w:before="120"/>
        <w:ind w:left="714" w:hanging="357"/>
        <w:rPr>
          <w:sz w:val="24"/>
          <w:szCs w:val="24"/>
        </w:rPr>
      </w:pPr>
      <w:r w:rsidRPr="00FE2066">
        <w:rPr>
          <w:sz w:val="24"/>
          <w:szCs w:val="24"/>
        </w:rPr>
        <w:t xml:space="preserve">the power in </w:t>
      </w:r>
      <w:r w:rsidR="00495895" w:rsidRPr="00FE2066">
        <w:rPr>
          <w:sz w:val="24"/>
          <w:szCs w:val="24"/>
        </w:rPr>
        <w:t>section 336</w:t>
      </w:r>
      <w:r w:rsidRPr="00FE2066">
        <w:rPr>
          <w:sz w:val="24"/>
          <w:szCs w:val="24"/>
        </w:rPr>
        <w:t xml:space="preserve"> of the Act in relation to treatment that may damage goods, </w:t>
      </w:r>
      <w:r w:rsidR="00A01D85" w:rsidRPr="00FE2066">
        <w:rPr>
          <w:sz w:val="24"/>
          <w:szCs w:val="24"/>
        </w:rPr>
        <w:t xml:space="preserve">that includes </w:t>
      </w:r>
      <w:r w:rsidRPr="00FE2066">
        <w:rPr>
          <w:sz w:val="24"/>
          <w:szCs w:val="24"/>
        </w:rPr>
        <w:t>the power to treat goods without notice if a biosecurity officer suspects on reasonable grounds that a disease or pest that may be present in or on the goods poses a high level of biosecurity risk, and the goods need to be treated as soon as practicable to reduce that risk to an acceptable level</w:t>
      </w:r>
      <w:r w:rsidR="00495895" w:rsidRPr="00FE2066">
        <w:rPr>
          <w:sz w:val="24"/>
          <w:szCs w:val="24"/>
        </w:rPr>
        <w:t>.</w:t>
      </w:r>
    </w:p>
    <w:p w14:paraId="426D0F1B" w14:textId="592E4439" w:rsidR="0092103B" w:rsidRPr="00FE2066" w:rsidRDefault="0092103B" w:rsidP="0092103B">
      <w:pPr>
        <w:spacing w:before="240"/>
        <w:rPr>
          <w:rFonts w:ascii="Times New Roman" w:hAnsi="Times New Roman" w:cs="Times New Roman"/>
          <w:sz w:val="24"/>
          <w:szCs w:val="24"/>
        </w:rPr>
      </w:pPr>
      <w:r w:rsidRPr="00FE2066">
        <w:rPr>
          <w:rFonts w:ascii="Times New Roman" w:hAnsi="Times New Roman" w:cs="Times New Roman"/>
          <w:sz w:val="24"/>
          <w:szCs w:val="24"/>
        </w:rPr>
        <w:t>Paragraph 366(2)(c) of the</w:t>
      </w:r>
      <w:r w:rsidR="00C0068B" w:rsidRPr="00FE2066">
        <w:rPr>
          <w:rFonts w:ascii="Times New Roman" w:hAnsi="Times New Roman" w:cs="Times New Roman"/>
          <w:sz w:val="24"/>
          <w:szCs w:val="24"/>
        </w:rPr>
        <w:t xml:space="preserve"> Act</w:t>
      </w:r>
      <w:r w:rsidR="00D70FE5" w:rsidRPr="00FE2066">
        <w:rPr>
          <w:rFonts w:ascii="Times New Roman" w:hAnsi="Times New Roman" w:cs="Times New Roman"/>
          <w:sz w:val="24"/>
          <w:szCs w:val="24"/>
        </w:rPr>
        <w:t xml:space="preserve"> </w:t>
      </w:r>
      <w:r w:rsidR="00C0068B" w:rsidRPr="00FE2066">
        <w:rPr>
          <w:rFonts w:ascii="Times New Roman" w:hAnsi="Times New Roman" w:cs="Times New Roman"/>
          <w:sz w:val="24"/>
          <w:szCs w:val="24"/>
        </w:rPr>
        <w:t>provides that a biosecurity response zone determination must specify</w:t>
      </w:r>
      <w:r w:rsidRPr="00FE2066">
        <w:rPr>
          <w:rFonts w:ascii="Times New Roman" w:hAnsi="Times New Roman" w:cs="Times New Roman"/>
          <w:sz w:val="24"/>
          <w:szCs w:val="24"/>
        </w:rPr>
        <w:t xml:space="preserve"> </w:t>
      </w:r>
      <w:r w:rsidR="00C0068B" w:rsidRPr="00FE2066">
        <w:rPr>
          <w:rFonts w:ascii="Times New Roman" w:hAnsi="Times New Roman" w:cs="Times New Roman"/>
          <w:sz w:val="24"/>
          <w:szCs w:val="24"/>
        </w:rPr>
        <w:t>each power in Division 2 of Part 3 (powers to require biosecurity measures to be taken) that may be exercised in the biosecurity response zone in accordance with that Division</w:t>
      </w:r>
      <w:r w:rsidRPr="00FE2066">
        <w:rPr>
          <w:rFonts w:ascii="Times New Roman" w:hAnsi="Times New Roman" w:cs="Times New Roman"/>
          <w:sz w:val="24"/>
          <w:szCs w:val="24"/>
        </w:rPr>
        <w:t>. Section 9 complies with this requirement.</w:t>
      </w:r>
    </w:p>
    <w:p w14:paraId="25C161F4" w14:textId="7F0EC767" w:rsidR="00F5375C" w:rsidRPr="00FE2066" w:rsidRDefault="00F5375C" w:rsidP="0092103B">
      <w:pPr>
        <w:spacing w:before="240"/>
        <w:rPr>
          <w:rFonts w:ascii="Times New Roman" w:hAnsi="Times New Roman" w:cs="Times New Roman"/>
          <w:sz w:val="24"/>
          <w:szCs w:val="24"/>
        </w:rPr>
      </w:pPr>
      <w:r w:rsidRPr="00FE2066">
        <w:rPr>
          <w:rFonts w:ascii="Times New Roman" w:hAnsi="Times New Roman" w:cs="Times New Roman"/>
          <w:sz w:val="24"/>
          <w:szCs w:val="24"/>
        </w:rPr>
        <w:t>The Director of Biosecurity is satisfied that the exercise of each of the above powers in</w:t>
      </w:r>
      <w:r w:rsidR="00CC343A" w:rsidRPr="00FE2066">
        <w:rPr>
          <w:rFonts w:ascii="Times New Roman" w:hAnsi="Times New Roman" w:cs="Times New Roman"/>
          <w:sz w:val="24"/>
          <w:szCs w:val="24"/>
        </w:rPr>
        <w:t xml:space="preserve"> the biosecurity response zone</w:t>
      </w:r>
      <w:r w:rsidRPr="00FE2066">
        <w:rPr>
          <w:rFonts w:ascii="Times New Roman" w:hAnsi="Times New Roman" w:cs="Times New Roman"/>
          <w:sz w:val="24"/>
          <w:szCs w:val="24"/>
        </w:rPr>
        <w:t xml:space="preserve"> is appropriate and adapted for the purpose of managing the biosecurity risk posed by FMD, as explained further below in relation to section 10 of the Determination. </w:t>
      </w:r>
    </w:p>
    <w:p w14:paraId="4ED82B87" w14:textId="05291894" w:rsidR="0092103B" w:rsidRPr="00FE2066" w:rsidRDefault="0092103B" w:rsidP="0092103B">
      <w:pPr>
        <w:spacing w:before="240"/>
        <w:rPr>
          <w:rFonts w:ascii="Times New Roman" w:hAnsi="Times New Roman" w:cs="Times New Roman"/>
          <w:b/>
          <w:bCs/>
          <w:sz w:val="24"/>
          <w:szCs w:val="24"/>
          <w:u w:val="single"/>
        </w:rPr>
      </w:pPr>
      <w:r w:rsidRPr="00FE2066">
        <w:rPr>
          <w:rFonts w:ascii="Times New Roman" w:hAnsi="Times New Roman" w:cs="Times New Roman"/>
          <w:b/>
          <w:bCs/>
          <w:sz w:val="24"/>
          <w:szCs w:val="24"/>
          <w:u w:val="single"/>
        </w:rPr>
        <w:t>Section 10 – Additional biosecurity response zone powers</w:t>
      </w:r>
    </w:p>
    <w:p w14:paraId="14A09A71" w14:textId="5834A9F5" w:rsidR="0092103B" w:rsidRPr="00FE2066" w:rsidRDefault="0092103B" w:rsidP="0092103B">
      <w:pPr>
        <w:spacing w:before="240"/>
        <w:rPr>
          <w:rFonts w:ascii="Times New Roman" w:hAnsi="Times New Roman" w:cs="Times New Roman"/>
          <w:sz w:val="24"/>
          <w:szCs w:val="24"/>
        </w:rPr>
      </w:pPr>
      <w:r w:rsidRPr="00FE2066">
        <w:rPr>
          <w:rFonts w:ascii="Times New Roman" w:hAnsi="Times New Roman" w:cs="Times New Roman"/>
          <w:sz w:val="24"/>
          <w:szCs w:val="24"/>
        </w:rPr>
        <w:t>This section provides that, for the purposes of paragraph 366(2)(f) of the Act, the powers set out in the following paragraphs of section 367 of the Act are specified:</w:t>
      </w:r>
    </w:p>
    <w:p w14:paraId="05C84952" w14:textId="5EFC2429" w:rsidR="0092103B" w:rsidRPr="00FE2066" w:rsidRDefault="0092103B" w:rsidP="00F5375C">
      <w:pPr>
        <w:pStyle w:val="ListParagraph"/>
        <w:numPr>
          <w:ilvl w:val="0"/>
          <w:numId w:val="9"/>
        </w:numPr>
        <w:rPr>
          <w:rFonts w:ascii="Times New Roman" w:hAnsi="Times New Roman" w:cs="Times New Roman"/>
          <w:sz w:val="24"/>
          <w:szCs w:val="24"/>
        </w:rPr>
      </w:pPr>
      <w:r w:rsidRPr="00FE2066">
        <w:rPr>
          <w:rFonts w:ascii="Times New Roman" w:hAnsi="Times New Roman" w:cs="Times New Roman"/>
          <w:sz w:val="24"/>
          <w:szCs w:val="24"/>
        </w:rPr>
        <w:t xml:space="preserve">the power in paragraph 367(a) </w:t>
      </w:r>
      <w:r w:rsidR="00F5375C" w:rsidRPr="00FE2066">
        <w:rPr>
          <w:rFonts w:ascii="Times New Roman" w:hAnsi="Times New Roman" w:cs="Times New Roman"/>
          <w:sz w:val="24"/>
          <w:szCs w:val="24"/>
        </w:rPr>
        <w:t xml:space="preserve">(identification of the biosecurity response zone) – this will allow the </w:t>
      </w:r>
      <w:r w:rsidRPr="00FE2066">
        <w:rPr>
          <w:rFonts w:ascii="Times New Roman" w:hAnsi="Times New Roman" w:cs="Times New Roman"/>
          <w:sz w:val="24"/>
          <w:szCs w:val="24"/>
        </w:rPr>
        <w:t xml:space="preserve">biosecurity response zone to be identified (for example, </w:t>
      </w:r>
      <w:r w:rsidR="00F5375C" w:rsidRPr="00FE2066">
        <w:rPr>
          <w:rFonts w:ascii="Times New Roman" w:hAnsi="Times New Roman" w:cs="Times New Roman"/>
          <w:sz w:val="24"/>
          <w:szCs w:val="24"/>
        </w:rPr>
        <w:t xml:space="preserve">by </w:t>
      </w:r>
      <w:r w:rsidRPr="00FE2066">
        <w:rPr>
          <w:rFonts w:ascii="Times New Roman" w:hAnsi="Times New Roman" w:cs="Times New Roman"/>
          <w:sz w:val="24"/>
          <w:szCs w:val="24"/>
        </w:rPr>
        <w:t>affixing notices); and</w:t>
      </w:r>
    </w:p>
    <w:p w14:paraId="7768EF3F" w14:textId="58F94BD9" w:rsidR="0092103B" w:rsidRPr="00FE2066" w:rsidRDefault="0092103B" w:rsidP="005C5AD1">
      <w:pPr>
        <w:pStyle w:val="ListParagraph"/>
        <w:numPr>
          <w:ilvl w:val="0"/>
          <w:numId w:val="9"/>
        </w:numPr>
        <w:rPr>
          <w:rFonts w:ascii="Times New Roman" w:hAnsi="Times New Roman" w:cs="Times New Roman"/>
          <w:sz w:val="24"/>
          <w:szCs w:val="24"/>
        </w:rPr>
      </w:pPr>
      <w:r w:rsidRPr="00FE2066">
        <w:rPr>
          <w:rFonts w:ascii="Times New Roman" w:hAnsi="Times New Roman" w:cs="Times New Roman"/>
          <w:sz w:val="24"/>
          <w:szCs w:val="24"/>
        </w:rPr>
        <w:t xml:space="preserve">the power in paragraph 367(d) </w:t>
      </w:r>
      <w:r w:rsidR="00F5375C" w:rsidRPr="00FE2066">
        <w:rPr>
          <w:rFonts w:ascii="Times New Roman" w:hAnsi="Times New Roman" w:cs="Times New Roman"/>
          <w:sz w:val="24"/>
          <w:szCs w:val="24"/>
        </w:rPr>
        <w:t>(setting traps or setting up equipment or other structures in the biosecurity response zone) – this will allow</w:t>
      </w:r>
      <w:r w:rsidRPr="00FE2066">
        <w:rPr>
          <w:rFonts w:ascii="Times New Roman" w:hAnsi="Times New Roman" w:cs="Times New Roman"/>
          <w:sz w:val="24"/>
          <w:szCs w:val="24"/>
        </w:rPr>
        <w:t xml:space="preserve"> foot mats and footbaths </w:t>
      </w:r>
      <w:r w:rsidR="00F5375C" w:rsidRPr="00FE2066">
        <w:rPr>
          <w:rFonts w:ascii="Times New Roman" w:hAnsi="Times New Roman" w:cs="Times New Roman"/>
          <w:sz w:val="24"/>
          <w:szCs w:val="24"/>
        </w:rPr>
        <w:t xml:space="preserve">to be set up </w:t>
      </w:r>
      <w:r w:rsidRPr="00FE2066">
        <w:rPr>
          <w:rFonts w:ascii="Times New Roman" w:hAnsi="Times New Roman" w:cs="Times New Roman"/>
          <w:sz w:val="24"/>
          <w:szCs w:val="24"/>
        </w:rPr>
        <w:t>for use in the biosecurity response zone.</w:t>
      </w:r>
    </w:p>
    <w:p w14:paraId="04F0FE38" w14:textId="18CBC424" w:rsidR="00EA10E7" w:rsidRPr="00FE2066" w:rsidRDefault="00F5375C" w:rsidP="005C5AD1">
      <w:pPr>
        <w:spacing w:before="240"/>
        <w:rPr>
          <w:rFonts w:ascii="Times New Roman" w:hAnsi="Times New Roman" w:cs="Times New Roman"/>
          <w:sz w:val="24"/>
          <w:szCs w:val="24"/>
        </w:rPr>
      </w:pPr>
      <w:r w:rsidRPr="00FE2066">
        <w:rPr>
          <w:rFonts w:ascii="Times New Roman" w:hAnsi="Times New Roman" w:cs="Times New Roman"/>
          <w:sz w:val="24"/>
          <w:szCs w:val="24"/>
        </w:rPr>
        <w:t>Paragraph 366(2)(f) provides that a biosecurity response zone determination must specify each power set out in section 367 (additional biosecurity response zone powers) that may be exercised in, or in relation to goods or premises in, the biosecurity response zone in accordance with that section. Section 10 complies with this requirement.</w:t>
      </w:r>
    </w:p>
    <w:p w14:paraId="34A2CAE2" w14:textId="7AAF9338" w:rsidR="00CC343A" w:rsidRPr="00FE2066" w:rsidRDefault="00C0068B" w:rsidP="0066459C">
      <w:pPr>
        <w:rPr>
          <w:rFonts w:ascii="Times New Roman" w:hAnsi="Times New Roman" w:cs="Times New Roman"/>
          <w:sz w:val="24"/>
          <w:szCs w:val="24"/>
        </w:rPr>
      </w:pPr>
      <w:r w:rsidRPr="00FE2066">
        <w:rPr>
          <w:rFonts w:ascii="Times New Roman" w:hAnsi="Times New Roman" w:cs="Times New Roman"/>
          <w:sz w:val="24"/>
          <w:szCs w:val="24"/>
        </w:rPr>
        <w:t>The Director of Biosecurity is satisfied that the exercise of each of the above powers</w:t>
      </w:r>
      <w:r w:rsidR="00F5375C" w:rsidRPr="00FE2066">
        <w:rPr>
          <w:rFonts w:ascii="Times New Roman" w:hAnsi="Times New Roman" w:cs="Times New Roman"/>
          <w:sz w:val="24"/>
          <w:szCs w:val="24"/>
        </w:rPr>
        <w:t xml:space="preserve"> in sections 9 and 10</w:t>
      </w:r>
      <w:r w:rsidRPr="00FE2066">
        <w:rPr>
          <w:rFonts w:ascii="Times New Roman" w:hAnsi="Times New Roman" w:cs="Times New Roman"/>
          <w:sz w:val="24"/>
          <w:szCs w:val="24"/>
        </w:rPr>
        <w:t xml:space="preserve"> is appropriate and adapted for the purpose of managing the biosecurity risk posed by FMD. The above powers allow for the </w:t>
      </w:r>
      <w:r w:rsidR="00392324" w:rsidRPr="00FE2066">
        <w:rPr>
          <w:rFonts w:ascii="Times New Roman" w:hAnsi="Times New Roman" w:cs="Times New Roman"/>
          <w:sz w:val="24"/>
          <w:szCs w:val="24"/>
        </w:rPr>
        <w:t xml:space="preserve">sanitisation </w:t>
      </w:r>
      <w:r w:rsidRPr="00FE2066">
        <w:rPr>
          <w:rFonts w:ascii="Times New Roman" w:hAnsi="Times New Roman" w:cs="Times New Roman"/>
          <w:sz w:val="24"/>
          <w:szCs w:val="24"/>
        </w:rPr>
        <w:t xml:space="preserve">of footwear by setting up foot </w:t>
      </w:r>
      <w:r w:rsidRPr="00FE2066">
        <w:rPr>
          <w:rFonts w:ascii="Times New Roman" w:hAnsi="Times New Roman" w:cs="Times New Roman"/>
          <w:sz w:val="24"/>
          <w:szCs w:val="24"/>
        </w:rPr>
        <w:lastRenderedPageBreak/>
        <w:t>mats</w:t>
      </w:r>
      <w:r w:rsidR="00117C28" w:rsidRPr="00FE2066">
        <w:rPr>
          <w:rFonts w:ascii="Times New Roman" w:hAnsi="Times New Roman" w:cs="Times New Roman"/>
          <w:sz w:val="24"/>
          <w:szCs w:val="24"/>
        </w:rPr>
        <w:t xml:space="preserve"> and footbaths</w:t>
      </w:r>
      <w:r w:rsidRPr="00FE2066">
        <w:rPr>
          <w:rFonts w:ascii="Times New Roman" w:hAnsi="Times New Roman" w:cs="Times New Roman"/>
          <w:sz w:val="24"/>
          <w:szCs w:val="24"/>
        </w:rPr>
        <w:t xml:space="preserve"> in the relevant</w:t>
      </w:r>
      <w:r w:rsidR="007E07E5" w:rsidRPr="00FE2066">
        <w:rPr>
          <w:rFonts w:ascii="Times New Roman" w:hAnsi="Times New Roman" w:cs="Times New Roman"/>
          <w:sz w:val="24"/>
          <w:szCs w:val="24"/>
        </w:rPr>
        <w:t xml:space="preserve"> ports</w:t>
      </w:r>
      <w:r w:rsidR="00A10F3E" w:rsidRPr="00FE2066">
        <w:rPr>
          <w:rFonts w:ascii="Times New Roman" w:hAnsi="Times New Roman" w:cs="Times New Roman"/>
          <w:sz w:val="24"/>
          <w:szCs w:val="24"/>
        </w:rPr>
        <w:t xml:space="preserve">. The powers will allow </w:t>
      </w:r>
      <w:r w:rsidRPr="00FE2066">
        <w:rPr>
          <w:rFonts w:ascii="Times New Roman" w:hAnsi="Times New Roman" w:cs="Times New Roman"/>
          <w:sz w:val="24"/>
          <w:szCs w:val="24"/>
        </w:rPr>
        <w:t>notices to alert people to the use of the foot mats</w:t>
      </w:r>
      <w:r w:rsidR="00117C28" w:rsidRPr="00FE2066">
        <w:rPr>
          <w:rFonts w:ascii="Times New Roman" w:hAnsi="Times New Roman" w:cs="Times New Roman"/>
          <w:sz w:val="24"/>
          <w:szCs w:val="24"/>
        </w:rPr>
        <w:t xml:space="preserve"> and footbaths</w:t>
      </w:r>
      <w:r w:rsidR="00A10F3E" w:rsidRPr="00FE2066">
        <w:rPr>
          <w:rFonts w:ascii="Times New Roman" w:hAnsi="Times New Roman" w:cs="Times New Roman"/>
          <w:sz w:val="24"/>
          <w:szCs w:val="24"/>
        </w:rPr>
        <w:t>,</w:t>
      </w:r>
      <w:r w:rsidRPr="00FE2066">
        <w:rPr>
          <w:rFonts w:ascii="Times New Roman" w:hAnsi="Times New Roman" w:cs="Times New Roman"/>
          <w:sz w:val="24"/>
          <w:szCs w:val="24"/>
        </w:rPr>
        <w:t xml:space="preserve"> any potential that the treatment may damage the goods</w:t>
      </w:r>
      <w:r w:rsidR="00A10F3E" w:rsidRPr="00FE2066">
        <w:rPr>
          <w:rFonts w:ascii="Times New Roman" w:hAnsi="Times New Roman" w:cs="Times New Roman"/>
          <w:sz w:val="24"/>
          <w:szCs w:val="24"/>
        </w:rPr>
        <w:t xml:space="preserve"> and</w:t>
      </w:r>
      <w:r w:rsidRPr="00FE2066">
        <w:rPr>
          <w:rFonts w:ascii="Times New Roman" w:hAnsi="Times New Roman" w:cs="Times New Roman"/>
          <w:sz w:val="24"/>
          <w:szCs w:val="24"/>
        </w:rPr>
        <w:t xml:space="preserve"> </w:t>
      </w:r>
      <w:r w:rsidR="00A10F3E" w:rsidRPr="00FE2066">
        <w:rPr>
          <w:rFonts w:ascii="Times New Roman" w:hAnsi="Times New Roman" w:cs="Times New Roman"/>
          <w:sz w:val="24"/>
          <w:szCs w:val="24"/>
        </w:rPr>
        <w:t>inform</w:t>
      </w:r>
      <w:r w:rsidRPr="00FE2066">
        <w:rPr>
          <w:rFonts w:ascii="Times New Roman" w:hAnsi="Times New Roman" w:cs="Times New Roman"/>
          <w:sz w:val="24"/>
          <w:szCs w:val="24"/>
        </w:rPr>
        <w:t xml:space="preserve"> </w:t>
      </w:r>
      <w:r w:rsidR="00117C28" w:rsidRPr="00FE2066">
        <w:rPr>
          <w:rFonts w:ascii="Times New Roman" w:hAnsi="Times New Roman" w:cs="Times New Roman"/>
          <w:sz w:val="24"/>
          <w:szCs w:val="24"/>
        </w:rPr>
        <w:t>persons</w:t>
      </w:r>
      <w:r w:rsidRPr="00FE2066">
        <w:rPr>
          <w:rFonts w:ascii="Times New Roman" w:hAnsi="Times New Roman" w:cs="Times New Roman"/>
          <w:sz w:val="24"/>
          <w:szCs w:val="24"/>
        </w:rPr>
        <w:t xml:space="preserve"> of the biosecurity risks</w:t>
      </w:r>
      <w:r w:rsidR="00A10F3E" w:rsidRPr="00FE2066">
        <w:rPr>
          <w:rFonts w:ascii="Times New Roman" w:hAnsi="Times New Roman" w:cs="Times New Roman"/>
          <w:sz w:val="24"/>
          <w:szCs w:val="24"/>
        </w:rPr>
        <w:t xml:space="preserve">. </w:t>
      </w:r>
    </w:p>
    <w:p w14:paraId="0D2EAEC2" w14:textId="330ABF89" w:rsidR="002A7E73" w:rsidRPr="00FE2066" w:rsidRDefault="00A10F3E" w:rsidP="0066459C">
      <w:pPr>
        <w:rPr>
          <w:rFonts w:ascii="Times New Roman" w:hAnsi="Times New Roman" w:cs="Times New Roman"/>
          <w:sz w:val="24"/>
          <w:szCs w:val="24"/>
        </w:rPr>
      </w:pPr>
      <w:r w:rsidRPr="00FE2066">
        <w:rPr>
          <w:rFonts w:ascii="Times New Roman" w:hAnsi="Times New Roman" w:cs="Times New Roman"/>
          <w:sz w:val="24"/>
          <w:szCs w:val="24"/>
        </w:rPr>
        <w:t>The powers will also allow persons to be required to leave the premises at specified places, ensuring</w:t>
      </w:r>
      <w:r w:rsidR="00C0068B" w:rsidRPr="00FE2066">
        <w:rPr>
          <w:rFonts w:ascii="Times New Roman" w:hAnsi="Times New Roman" w:cs="Times New Roman"/>
          <w:sz w:val="24"/>
          <w:szCs w:val="24"/>
        </w:rPr>
        <w:t xml:space="preserve"> that t</w:t>
      </w:r>
      <w:r w:rsidR="00117C28" w:rsidRPr="00FE2066">
        <w:rPr>
          <w:rFonts w:ascii="Times New Roman" w:hAnsi="Times New Roman" w:cs="Times New Roman"/>
          <w:sz w:val="24"/>
          <w:szCs w:val="24"/>
        </w:rPr>
        <w:t>hey</w:t>
      </w:r>
      <w:r w:rsidR="00C0068B" w:rsidRPr="00FE2066">
        <w:rPr>
          <w:rFonts w:ascii="Times New Roman" w:hAnsi="Times New Roman" w:cs="Times New Roman"/>
          <w:sz w:val="24"/>
          <w:szCs w:val="24"/>
        </w:rPr>
        <w:t xml:space="preserve"> cannot exit the relevant port by some other avenue thereby avoiding the foot mats</w:t>
      </w:r>
      <w:r w:rsidR="00117C28" w:rsidRPr="00FE2066">
        <w:rPr>
          <w:rFonts w:ascii="Times New Roman" w:hAnsi="Times New Roman" w:cs="Times New Roman"/>
          <w:sz w:val="24"/>
          <w:szCs w:val="24"/>
        </w:rPr>
        <w:t xml:space="preserve"> and foot baths</w:t>
      </w:r>
      <w:r w:rsidR="00C0068B" w:rsidRPr="00FE2066">
        <w:rPr>
          <w:rFonts w:ascii="Times New Roman" w:hAnsi="Times New Roman" w:cs="Times New Roman"/>
          <w:sz w:val="24"/>
          <w:szCs w:val="24"/>
        </w:rPr>
        <w:t>.</w:t>
      </w:r>
      <w:r w:rsidRPr="00FE2066">
        <w:rPr>
          <w:rFonts w:ascii="Times New Roman" w:hAnsi="Times New Roman" w:cs="Times New Roman"/>
          <w:sz w:val="24"/>
          <w:szCs w:val="24"/>
        </w:rPr>
        <w:t xml:space="preserve"> The powers will be exercised together to require the set up and mandatory utilisation of foot mats</w:t>
      </w:r>
      <w:r w:rsidR="00117C28" w:rsidRPr="00FE2066">
        <w:rPr>
          <w:rFonts w:ascii="Times New Roman" w:hAnsi="Times New Roman" w:cs="Times New Roman"/>
          <w:sz w:val="24"/>
          <w:szCs w:val="24"/>
        </w:rPr>
        <w:t xml:space="preserve"> and footbaths</w:t>
      </w:r>
      <w:r w:rsidRPr="00FE2066">
        <w:rPr>
          <w:rFonts w:ascii="Times New Roman" w:hAnsi="Times New Roman" w:cs="Times New Roman"/>
          <w:sz w:val="24"/>
          <w:szCs w:val="24"/>
        </w:rPr>
        <w:t xml:space="preserve"> by p</w:t>
      </w:r>
      <w:r w:rsidR="00117C28" w:rsidRPr="00FE2066">
        <w:rPr>
          <w:rFonts w:ascii="Times New Roman" w:hAnsi="Times New Roman" w:cs="Times New Roman"/>
          <w:sz w:val="24"/>
          <w:szCs w:val="24"/>
        </w:rPr>
        <w:t>eople who arrive</w:t>
      </w:r>
      <w:r w:rsidRPr="00FE2066">
        <w:rPr>
          <w:rFonts w:ascii="Times New Roman" w:hAnsi="Times New Roman" w:cs="Times New Roman"/>
          <w:sz w:val="24"/>
          <w:szCs w:val="24"/>
        </w:rPr>
        <w:t xml:space="preserve"> from </w:t>
      </w:r>
      <w:r w:rsidR="00F5375C" w:rsidRPr="00FE2066">
        <w:rPr>
          <w:rFonts w:ascii="Times New Roman" w:hAnsi="Times New Roman" w:cs="Times New Roman"/>
          <w:sz w:val="24"/>
          <w:szCs w:val="24"/>
        </w:rPr>
        <w:t>Indonesia or other countries with an active outbreak of FMD</w:t>
      </w:r>
      <w:r w:rsidR="00B774C4" w:rsidRPr="00FE2066">
        <w:rPr>
          <w:rFonts w:ascii="Times New Roman" w:hAnsi="Times New Roman" w:cs="Times New Roman"/>
          <w:sz w:val="24"/>
          <w:szCs w:val="24"/>
        </w:rPr>
        <w:t xml:space="preserve"> as they exit a vessel at the areas of a relevant port that are a biosecurity response zone</w:t>
      </w:r>
      <w:r w:rsidR="005C5AD1" w:rsidRPr="00FE2066">
        <w:rPr>
          <w:rFonts w:ascii="Times New Roman" w:hAnsi="Times New Roman" w:cs="Times New Roman"/>
          <w:sz w:val="24"/>
          <w:szCs w:val="24"/>
        </w:rPr>
        <w:t>.</w:t>
      </w:r>
      <w:r w:rsidR="00F5375C" w:rsidRPr="00FE2066">
        <w:rPr>
          <w:rFonts w:ascii="Times New Roman" w:hAnsi="Times New Roman" w:cs="Times New Roman"/>
          <w:sz w:val="24"/>
          <w:szCs w:val="24"/>
        </w:rPr>
        <w:t xml:space="preserve"> </w:t>
      </w:r>
      <w:r w:rsidR="00512E51" w:rsidRPr="00FE2066">
        <w:rPr>
          <w:rFonts w:ascii="Times New Roman" w:hAnsi="Times New Roman" w:cs="Times New Roman"/>
          <w:sz w:val="24"/>
          <w:szCs w:val="24"/>
        </w:rPr>
        <w:t xml:space="preserve">Treating </w:t>
      </w:r>
      <w:r w:rsidRPr="00FE2066">
        <w:rPr>
          <w:rFonts w:ascii="Times New Roman" w:hAnsi="Times New Roman" w:cs="Times New Roman"/>
          <w:sz w:val="24"/>
          <w:szCs w:val="24"/>
        </w:rPr>
        <w:t>shoes by using foot mats</w:t>
      </w:r>
      <w:r w:rsidR="00117C28" w:rsidRPr="00FE2066">
        <w:rPr>
          <w:rFonts w:ascii="Times New Roman" w:hAnsi="Times New Roman" w:cs="Times New Roman"/>
          <w:sz w:val="24"/>
          <w:szCs w:val="24"/>
        </w:rPr>
        <w:t xml:space="preserve"> and footbaths</w:t>
      </w:r>
      <w:r w:rsidRPr="00FE2066">
        <w:rPr>
          <w:rFonts w:ascii="Times New Roman" w:hAnsi="Times New Roman" w:cs="Times New Roman"/>
          <w:sz w:val="24"/>
          <w:szCs w:val="24"/>
        </w:rPr>
        <w:t xml:space="preserve"> reduces the risk of FMD becoming present in Australia.</w:t>
      </w:r>
    </w:p>
    <w:p w14:paraId="2439C13C" w14:textId="18FB9251" w:rsidR="00F5375C" w:rsidRPr="00FE2066" w:rsidRDefault="00F5375C" w:rsidP="00044873">
      <w:pPr>
        <w:rPr>
          <w:rFonts w:ascii="Times New Roman" w:hAnsi="Times New Roman" w:cs="Times New Roman"/>
          <w:b/>
          <w:bCs/>
          <w:sz w:val="26"/>
          <w:szCs w:val="26"/>
          <w:u w:val="single"/>
        </w:rPr>
      </w:pPr>
      <w:r w:rsidRPr="00FE2066">
        <w:rPr>
          <w:rFonts w:ascii="Times New Roman" w:hAnsi="Times New Roman" w:cs="Times New Roman"/>
          <w:b/>
          <w:bCs/>
          <w:sz w:val="26"/>
          <w:szCs w:val="26"/>
          <w:u w:val="single"/>
        </w:rPr>
        <w:t>Part 4 – Period in force</w:t>
      </w:r>
    </w:p>
    <w:p w14:paraId="231C1C19" w14:textId="5BB3C701" w:rsidR="00486271" w:rsidRPr="00FE2066" w:rsidRDefault="00C0068B" w:rsidP="00044873">
      <w:pPr>
        <w:rPr>
          <w:rFonts w:ascii="Times New Roman" w:hAnsi="Times New Roman" w:cs="Times New Roman"/>
          <w:b/>
          <w:bCs/>
          <w:sz w:val="24"/>
          <w:szCs w:val="24"/>
          <w:u w:val="single"/>
        </w:rPr>
      </w:pPr>
      <w:r w:rsidRPr="00FE2066">
        <w:rPr>
          <w:rFonts w:ascii="Times New Roman" w:hAnsi="Times New Roman" w:cs="Times New Roman"/>
          <w:b/>
          <w:bCs/>
          <w:sz w:val="24"/>
          <w:szCs w:val="24"/>
          <w:u w:val="single"/>
        </w:rPr>
        <w:t xml:space="preserve">Section </w:t>
      </w:r>
      <w:r w:rsidR="00F5375C" w:rsidRPr="00FE2066">
        <w:rPr>
          <w:rFonts w:ascii="Times New Roman" w:hAnsi="Times New Roman" w:cs="Times New Roman"/>
          <w:b/>
          <w:bCs/>
          <w:sz w:val="24"/>
          <w:szCs w:val="24"/>
          <w:u w:val="single"/>
        </w:rPr>
        <w:t>11</w:t>
      </w:r>
      <w:r w:rsidRPr="00FE2066">
        <w:rPr>
          <w:rFonts w:ascii="Times New Roman" w:hAnsi="Times New Roman" w:cs="Times New Roman"/>
          <w:b/>
          <w:bCs/>
          <w:sz w:val="24"/>
          <w:szCs w:val="24"/>
          <w:u w:val="single"/>
        </w:rPr>
        <w:t xml:space="preserve"> – Period </w:t>
      </w:r>
      <w:r w:rsidR="00F5375C" w:rsidRPr="00FE2066">
        <w:rPr>
          <w:rFonts w:ascii="Times New Roman" w:hAnsi="Times New Roman" w:cs="Times New Roman"/>
          <w:b/>
          <w:bCs/>
          <w:sz w:val="24"/>
          <w:szCs w:val="24"/>
          <w:u w:val="single"/>
        </w:rPr>
        <w:t>in force</w:t>
      </w:r>
      <w:r w:rsidRPr="00FE2066">
        <w:rPr>
          <w:rFonts w:ascii="Times New Roman" w:hAnsi="Times New Roman" w:cs="Times New Roman"/>
          <w:b/>
          <w:bCs/>
          <w:sz w:val="24"/>
          <w:szCs w:val="24"/>
          <w:u w:val="single"/>
        </w:rPr>
        <w:t xml:space="preserve"> </w:t>
      </w:r>
    </w:p>
    <w:p w14:paraId="6A295BC5" w14:textId="52A51789" w:rsidR="00640DB6" w:rsidRPr="00FE2066" w:rsidRDefault="00C0068B" w:rsidP="00044873">
      <w:pPr>
        <w:rPr>
          <w:rFonts w:ascii="Times New Roman" w:hAnsi="Times New Roman" w:cs="Times New Roman"/>
          <w:sz w:val="24"/>
          <w:szCs w:val="24"/>
        </w:rPr>
      </w:pPr>
      <w:r w:rsidRPr="00FE2066">
        <w:rPr>
          <w:rFonts w:ascii="Times New Roman" w:hAnsi="Times New Roman" w:cs="Times New Roman"/>
          <w:sz w:val="24"/>
          <w:szCs w:val="24"/>
        </w:rPr>
        <w:t xml:space="preserve">This section </w:t>
      </w:r>
      <w:r w:rsidR="00F5375C" w:rsidRPr="00FE2066">
        <w:rPr>
          <w:rFonts w:ascii="Times New Roman" w:hAnsi="Times New Roman" w:cs="Times New Roman"/>
          <w:sz w:val="24"/>
          <w:szCs w:val="24"/>
        </w:rPr>
        <w:t xml:space="preserve">provides </w:t>
      </w:r>
      <w:r w:rsidRPr="00FE2066">
        <w:rPr>
          <w:rFonts w:ascii="Times New Roman" w:hAnsi="Times New Roman" w:cs="Times New Roman"/>
          <w:sz w:val="24"/>
          <w:szCs w:val="24"/>
        </w:rPr>
        <w:t xml:space="preserve">that </w:t>
      </w:r>
      <w:r w:rsidR="00F5375C" w:rsidRPr="00FE2066">
        <w:rPr>
          <w:rFonts w:ascii="Times New Roman" w:hAnsi="Times New Roman" w:cs="Times New Roman"/>
          <w:sz w:val="24"/>
          <w:szCs w:val="24"/>
        </w:rPr>
        <w:t xml:space="preserve">for the purposes of paragraph 366(2)(g) of the Act, </w:t>
      </w:r>
      <w:r w:rsidRPr="00FE2066">
        <w:rPr>
          <w:rFonts w:ascii="Times New Roman" w:hAnsi="Times New Roman" w:cs="Times New Roman"/>
          <w:sz w:val="24"/>
          <w:szCs w:val="24"/>
        </w:rPr>
        <w:t xml:space="preserve">the Determination is in force for </w:t>
      </w:r>
      <w:r w:rsidR="00640DB6" w:rsidRPr="00FE2066">
        <w:rPr>
          <w:rFonts w:ascii="Times New Roman" w:hAnsi="Times New Roman" w:cs="Times New Roman"/>
          <w:sz w:val="24"/>
          <w:szCs w:val="24"/>
        </w:rPr>
        <w:t>the</w:t>
      </w:r>
      <w:r w:rsidRPr="00FE2066">
        <w:rPr>
          <w:rFonts w:ascii="Times New Roman" w:hAnsi="Times New Roman" w:cs="Times New Roman"/>
          <w:sz w:val="24"/>
          <w:szCs w:val="24"/>
        </w:rPr>
        <w:t xml:space="preserve"> period </w:t>
      </w:r>
      <w:r w:rsidR="00640DB6" w:rsidRPr="00FE2066">
        <w:rPr>
          <w:rFonts w:ascii="Times New Roman" w:hAnsi="Times New Roman" w:cs="Times New Roman"/>
          <w:sz w:val="24"/>
          <w:szCs w:val="24"/>
        </w:rPr>
        <w:t>beginning on 24 September and ending on 30 June 2023</w:t>
      </w:r>
      <w:r w:rsidRPr="00FE2066">
        <w:rPr>
          <w:rFonts w:ascii="Times New Roman" w:hAnsi="Times New Roman" w:cs="Times New Roman"/>
          <w:sz w:val="24"/>
          <w:szCs w:val="24"/>
        </w:rPr>
        <w:t xml:space="preserve">.  </w:t>
      </w:r>
    </w:p>
    <w:p w14:paraId="707BFE0B" w14:textId="381DCC0A" w:rsidR="00DF131A" w:rsidRPr="00FE2066" w:rsidRDefault="00C0068B" w:rsidP="00044873">
      <w:pPr>
        <w:rPr>
          <w:rFonts w:ascii="Times New Roman" w:hAnsi="Times New Roman" w:cs="Times New Roman"/>
          <w:sz w:val="24"/>
          <w:szCs w:val="24"/>
        </w:rPr>
      </w:pPr>
      <w:r w:rsidRPr="00FE2066">
        <w:rPr>
          <w:rFonts w:ascii="Times New Roman" w:hAnsi="Times New Roman" w:cs="Times New Roman"/>
          <w:sz w:val="24"/>
          <w:szCs w:val="24"/>
        </w:rPr>
        <w:t>This section complies with paragraph 366(2)(g) of the Act, which requires a biosecurity response</w:t>
      </w:r>
      <w:r w:rsidR="0013794A" w:rsidRPr="00FE2066">
        <w:rPr>
          <w:rFonts w:ascii="Times New Roman" w:hAnsi="Times New Roman" w:cs="Times New Roman"/>
          <w:sz w:val="24"/>
          <w:szCs w:val="24"/>
        </w:rPr>
        <w:t xml:space="preserve"> zone</w:t>
      </w:r>
      <w:r w:rsidRPr="00FE2066">
        <w:rPr>
          <w:rFonts w:ascii="Times New Roman" w:hAnsi="Times New Roman" w:cs="Times New Roman"/>
          <w:sz w:val="24"/>
          <w:szCs w:val="24"/>
        </w:rPr>
        <w:t xml:space="preserve"> determination to specify the period during which the determination is to be in force. </w:t>
      </w:r>
    </w:p>
    <w:p w14:paraId="721F9245" w14:textId="14298861" w:rsidR="00EA10E7" w:rsidRPr="00FE2066" w:rsidRDefault="00C0068B" w:rsidP="00044873">
      <w:pPr>
        <w:rPr>
          <w:rFonts w:ascii="Times New Roman" w:hAnsi="Times New Roman" w:cs="Times New Roman"/>
          <w:sz w:val="24"/>
          <w:szCs w:val="24"/>
        </w:rPr>
      </w:pPr>
      <w:r w:rsidRPr="00FE2066">
        <w:rPr>
          <w:rFonts w:ascii="Times New Roman" w:hAnsi="Times New Roman" w:cs="Times New Roman"/>
          <w:sz w:val="24"/>
          <w:szCs w:val="24"/>
        </w:rPr>
        <w:t xml:space="preserve">The Director of Biosecurity considers that </w:t>
      </w:r>
      <w:r w:rsidR="00640DB6" w:rsidRPr="00FE2066">
        <w:rPr>
          <w:rFonts w:ascii="Times New Roman" w:hAnsi="Times New Roman" w:cs="Times New Roman"/>
          <w:sz w:val="24"/>
          <w:szCs w:val="24"/>
        </w:rPr>
        <w:t>this period</w:t>
      </w:r>
      <w:r w:rsidRPr="00FE2066">
        <w:rPr>
          <w:rFonts w:ascii="Times New Roman" w:hAnsi="Times New Roman" w:cs="Times New Roman"/>
          <w:sz w:val="24"/>
          <w:szCs w:val="24"/>
        </w:rPr>
        <w:t xml:space="preserve"> is no longer than the period of time that is necessary to manage the biosecurity risk posed by FMD.</w:t>
      </w:r>
    </w:p>
    <w:p w14:paraId="725C7E64" w14:textId="5851F19B" w:rsidR="001D1D04" w:rsidRPr="00FE2066" w:rsidRDefault="00C0068B" w:rsidP="001D1D04">
      <w:pPr>
        <w:rPr>
          <w:rFonts w:ascii="Times New Roman" w:hAnsi="Times New Roman" w:cs="Times New Roman"/>
          <w:sz w:val="24"/>
          <w:szCs w:val="24"/>
        </w:rPr>
      </w:pPr>
      <w:r w:rsidRPr="00FE2066">
        <w:rPr>
          <w:rFonts w:ascii="Times New Roman" w:hAnsi="Times New Roman" w:cs="Times New Roman"/>
          <w:sz w:val="24"/>
          <w:szCs w:val="24"/>
        </w:rPr>
        <w:t xml:space="preserve">Paragraph 366(3)(b) </w:t>
      </w:r>
      <w:r w:rsidR="0013794A" w:rsidRPr="00FE2066">
        <w:rPr>
          <w:rFonts w:ascii="Times New Roman" w:hAnsi="Times New Roman" w:cs="Times New Roman"/>
          <w:sz w:val="24"/>
          <w:szCs w:val="24"/>
        </w:rPr>
        <w:t xml:space="preserve">of the Act </w:t>
      </w:r>
      <w:r w:rsidRPr="00FE2066">
        <w:rPr>
          <w:rFonts w:ascii="Times New Roman" w:hAnsi="Times New Roman" w:cs="Times New Roman"/>
          <w:sz w:val="24"/>
          <w:szCs w:val="24"/>
        </w:rPr>
        <w:t>provides that a biosecurity response zone determination may be in force for up to 12 months. Before the Determination ceases to be in effect, consideration will be given as to whether the arrangements need to be in place for a further period.</w:t>
      </w:r>
    </w:p>
    <w:p w14:paraId="44B0C409" w14:textId="18619C7A" w:rsidR="00A0460A" w:rsidRPr="00FE2066" w:rsidRDefault="00C0068B" w:rsidP="00044873">
      <w:pPr>
        <w:rPr>
          <w:rFonts w:ascii="Times New Roman" w:hAnsi="Times New Roman" w:cs="Times New Roman"/>
          <w:b/>
          <w:bCs/>
          <w:sz w:val="24"/>
          <w:szCs w:val="24"/>
          <w:u w:val="single"/>
        </w:rPr>
      </w:pPr>
      <w:r w:rsidRPr="00FE2066">
        <w:rPr>
          <w:rFonts w:ascii="Times New Roman" w:hAnsi="Times New Roman" w:cs="Times New Roman"/>
          <w:b/>
          <w:bCs/>
          <w:sz w:val="24"/>
          <w:szCs w:val="24"/>
          <w:u w:val="single"/>
        </w:rPr>
        <w:t xml:space="preserve">Section </w:t>
      </w:r>
      <w:r w:rsidR="00640DB6" w:rsidRPr="00FE2066">
        <w:rPr>
          <w:rFonts w:ascii="Times New Roman" w:hAnsi="Times New Roman" w:cs="Times New Roman"/>
          <w:b/>
          <w:bCs/>
          <w:sz w:val="24"/>
          <w:szCs w:val="24"/>
          <w:u w:val="single"/>
        </w:rPr>
        <w:t>12</w:t>
      </w:r>
      <w:r w:rsidRPr="00FE2066">
        <w:rPr>
          <w:rFonts w:ascii="Times New Roman" w:hAnsi="Times New Roman" w:cs="Times New Roman"/>
          <w:b/>
          <w:bCs/>
          <w:sz w:val="24"/>
          <w:szCs w:val="24"/>
          <w:u w:val="single"/>
        </w:rPr>
        <w:t xml:space="preserve"> – Repeal </w:t>
      </w:r>
    </w:p>
    <w:p w14:paraId="1B493A77" w14:textId="638848A8" w:rsidR="00694BAB" w:rsidRDefault="00C0068B" w:rsidP="00694BAB">
      <w:pPr>
        <w:rPr>
          <w:rFonts w:ascii="Times New Roman" w:hAnsi="Times New Roman" w:cs="Times New Roman"/>
          <w:sz w:val="24"/>
          <w:szCs w:val="24"/>
        </w:rPr>
      </w:pPr>
      <w:r w:rsidRPr="00FE2066">
        <w:rPr>
          <w:rFonts w:ascii="Times New Roman" w:hAnsi="Times New Roman" w:cs="Times New Roman"/>
          <w:sz w:val="24"/>
          <w:szCs w:val="24"/>
        </w:rPr>
        <w:t xml:space="preserve">This section provides for the repeal of the Determination </w:t>
      </w:r>
      <w:r w:rsidR="00640DB6" w:rsidRPr="00FE2066">
        <w:rPr>
          <w:rFonts w:ascii="Times New Roman" w:hAnsi="Times New Roman" w:cs="Times New Roman"/>
          <w:sz w:val="24"/>
          <w:szCs w:val="24"/>
        </w:rPr>
        <w:t>on 1 July 2023</w:t>
      </w:r>
      <w:r w:rsidRPr="00FE2066">
        <w:rPr>
          <w:rFonts w:ascii="Times New Roman" w:hAnsi="Times New Roman" w:cs="Times New Roman"/>
          <w:sz w:val="24"/>
          <w:szCs w:val="24"/>
        </w:rPr>
        <w:t>. The effect of this section is to repeal the Determination by operation of law without the need to make a separate instrument f</w:t>
      </w:r>
      <w:r w:rsidR="00A46AF8" w:rsidRPr="00FE2066">
        <w:rPr>
          <w:rFonts w:ascii="Times New Roman" w:hAnsi="Times New Roman" w:cs="Times New Roman"/>
          <w:sz w:val="24"/>
          <w:szCs w:val="24"/>
        </w:rPr>
        <w:t>or this purpose.</w:t>
      </w:r>
    </w:p>
    <w:p w14:paraId="4E30B5A0" w14:textId="77777777" w:rsidR="0003018D" w:rsidRPr="0003018D" w:rsidRDefault="0003018D" w:rsidP="005C5AD1">
      <w:pPr>
        <w:rPr>
          <w:rFonts w:ascii="Times New Roman" w:hAnsi="Times New Roman" w:cs="Times New Roman"/>
          <w:sz w:val="24"/>
          <w:szCs w:val="24"/>
        </w:rPr>
      </w:pPr>
    </w:p>
    <w:sectPr w:rsidR="0003018D" w:rsidRPr="0003018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CFEF2" w14:textId="77777777" w:rsidR="00391DB3" w:rsidRDefault="00391DB3" w:rsidP="00391DB3">
      <w:pPr>
        <w:spacing w:after="0" w:line="240" w:lineRule="auto"/>
      </w:pPr>
      <w:r>
        <w:separator/>
      </w:r>
    </w:p>
  </w:endnote>
  <w:endnote w:type="continuationSeparator" w:id="0">
    <w:p w14:paraId="5DF71040" w14:textId="77777777" w:rsidR="00391DB3" w:rsidRDefault="00391DB3" w:rsidP="00391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D11D1" w14:textId="77777777" w:rsidR="00391DB3" w:rsidRDefault="00391DB3" w:rsidP="00391DB3">
      <w:pPr>
        <w:spacing w:after="0" w:line="240" w:lineRule="auto"/>
      </w:pPr>
      <w:r>
        <w:separator/>
      </w:r>
    </w:p>
  </w:footnote>
  <w:footnote w:type="continuationSeparator" w:id="0">
    <w:p w14:paraId="6E8BA7AF" w14:textId="77777777" w:rsidR="00391DB3" w:rsidRDefault="00391DB3" w:rsidP="00391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4D6D" w14:textId="7631D22D" w:rsidR="00391DB3" w:rsidRDefault="00391DB3">
    <w:pPr>
      <w:pStyle w:val="Header"/>
    </w:pPr>
  </w:p>
  <w:p w14:paraId="155EEDB3" w14:textId="77777777" w:rsidR="00391DB3" w:rsidRDefault="00391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4CB2"/>
    <w:multiLevelType w:val="hybridMultilevel"/>
    <w:tmpl w:val="1146F790"/>
    <w:lvl w:ilvl="0" w:tplc="4BA20EE6">
      <w:start w:val="1"/>
      <w:numFmt w:val="bullet"/>
      <w:lvlText w:val=""/>
      <w:lvlJc w:val="left"/>
      <w:pPr>
        <w:ind w:left="780" w:hanging="360"/>
      </w:pPr>
      <w:rPr>
        <w:rFonts w:ascii="Symbol" w:hAnsi="Symbol" w:hint="default"/>
      </w:rPr>
    </w:lvl>
    <w:lvl w:ilvl="1" w:tplc="F1CA7666" w:tentative="1">
      <w:start w:val="1"/>
      <w:numFmt w:val="bullet"/>
      <w:lvlText w:val="o"/>
      <w:lvlJc w:val="left"/>
      <w:pPr>
        <w:ind w:left="1500" w:hanging="360"/>
      </w:pPr>
      <w:rPr>
        <w:rFonts w:ascii="Courier New" w:hAnsi="Courier New" w:cs="Courier New" w:hint="default"/>
      </w:rPr>
    </w:lvl>
    <w:lvl w:ilvl="2" w:tplc="8480B4A6" w:tentative="1">
      <w:start w:val="1"/>
      <w:numFmt w:val="bullet"/>
      <w:lvlText w:val=""/>
      <w:lvlJc w:val="left"/>
      <w:pPr>
        <w:ind w:left="2220" w:hanging="360"/>
      </w:pPr>
      <w:rPr>
        <w:rFonts w:ascii="Wingdings" w:hAnsi="Wingdings" w:hint="default"/>
      </w:rPr>
    </w:lvl>
    <w:lvl w:ilvl="3" w:tplc="E8161E00" w:tentative="1">
      <w:start w:val="1"/>
      <w:numFmt w:val="bullet"/>
      <w:lvlText w:val=""/>
      <w:lvlJc w:val="left"/>
      <w:pPr>
        <w:ind w:left="2940" w:hanging="360"/>
      </w:pPr>
      <w:rPr>
        <w:rFonts w:ascii="Symbol" w:hAnsi="Symbol" w:hint="default"/>
      </w:rPr>
    </w:lvl>
    <w:lvl w:ilvl="4" w:tplc="2D86C2F0" w:tentative="1">
      <w:start w:val="1"/>
      <w:numFmt w:val="bullet"/>
      <w:lvlText w:val="o"/>
      <w:lvlJc w:val="left"/>
      <w:pPr>
        <w:ind w:left="3660" w:hanging="360"/>
      </w:pPr>
      <w:rPr>
        <w:rFonts w:ascii="Courier New" w:hAnsi="Courier New" w:cs="Courier New" w:hint="default"/>
      </w:rPr>
    </w:lvl>
    <w:lvl w:ilvl="5" w:tplc="15F0196C" w:tentative="1">
      <w:start w:val="1"/>
      <w:numFmt w:val="bullet"/>
      <w:lvlText w:val=""/>
      <w:lvlJc w:val="left"/>
      <w:pPr>
        <w:ind w:left="4380" w:hanging="360"/>
      </w:pPr>
      <w:rPr>
        <w:rFonts w:ascii="Wingdings" w:hAnsi="Wingdings" w:hint="default"/>
      </w:rPr>
    </w:lvl>
    <w:lvl w:ilvl="6" w:tplc="BF744AB8" w:tentative="1">
      <w:start w:val="1"/>
      <w:numFmt w:val="bullet"/>
      <w:lvlText w:val=""/>
      <w:lvlJc w:val="left"/>
      <w:pPr>
        <w:ind w:left="5100" w:hanging="360"/>
      </w:pPr>
      <w:rPr>
        <w:rFonts w:ascii="Symbol" w:hAnsi="Symbol" w:hint="default"/>
      </w:rPr>
    </w:lvl>
    <w:lvl w:ilvl="7" w:tplc="F364CA92" w:tentative="1">
      <w:start w:val="1"/>
      <w:numFmt w:val="bullet"/>
      <w:lvlText w:val="o"/>
      <w:lvlJc w:val="left"/>
      <w:pPr>
        <w:ind w:left="5820" w:hanging="360"/>
      </w:pPr>
      <w:rPr>
        <w:rFonts w:ascii="Courier New" w:hAnsi="Courier New" w:cs="Courier New" w:hint="default"/>
      </w:rPr>
    </w:lvl>
    <w:lvl w:ilvl="8" w:tplc="E33ACAA4" w:tentative="1">
      <w:start w:val="1"/>
      <w:numFmt w:val="bullet"/>
      <w:lvlText w:val=""/>
      <w:lvlJc w:val="left"/>
      <w:pPr>
        <w:ind w:left="6540" w:hanging="360"/>
      </w:pPr>
      <w:rPr>
        <w:rFonts w:ascii="Wingdings" w:hAnsi="Wingdings" w:hint="default"/>
      </w:rPr>
    </w:lvl>
  </w:abstractNum>
  <w:abstractNum w:abstractNumId="1" w15:restartNumberingAfterBreak="0">
    <w:nsid w:val="19E34D80"/>
    <w:multiLevelType w:val="hybridMultilevel"/>
    <w:tmpl w:val="3C669DEC"/>
    <w:lvl w:ilvl="0" w:tplc="375891CA">
      <w:start w:val="1"/>
      <w:numFmt w:val="bullet"/>
      <w:lvlText w:val=""/>
      <w:lvlJc w:val="left"/>
      <w:pPr>
        <w:ind w:left="1080" w:hanging="360"/>
      </w:pPr>
      <w:rPr>
        <w:rFonts w:ascii="Symbol" w:hAnsi="Symbol" w:hint="default"/>
      </w:rPr>
    </w:lvl>
    <w:lvl w:ilvl="1" w:tplc="92E6FDA0">
      <w:start w:val="1"/>
      <w:numFmt w:val="bullet"/>
      <w:lvlText w:val="o"/>
      <w:lvlJc w:val="left"/>
      <w:pPr>
        <w:ind w:left="1800" w:hanging="360"/>
      </w:pPr>
      <w:rPr>
        <w:rFonts w:ascii="Courier New" w:hAnsi="Courier New" w:cs="Courier New" w:hint="default"/>
      </w:rPr>
    </w:lvl>
    <w:lvl w:ilvl="2" w:tplc="A992D0A6" w:tentative="1">
      <w:start w:val="1"/>
      <w:numFmt w:val="bullet"/>
      <w:lvlText w:val=""/>
      <w:lvlJc w:val="left"/>
      <w:pPr>
        <w:ind w:left="2520" w:hanging="360"/>
      </w:pPr>
      <w:rPr>
        <w:rFonts w:ascii="Wingdings" w:hAnsi="Wingdings" w:hint="default"/>
      </w:rPr>
    </w:lvl>
    <w:lvl w:ilvl="3" w:tplc="20F22E56" w:tentative="1">
      <w:start w:val="1"/>
      <w:numFmt w:val="bullet"/>
      <w:lvlText w:val=""/>
      <w:lvlJc w:val="left"/>
      <w:pPr>
        <w:ind w:left="3240" w:hanging="360"/>
      </w:pPr>
      <w:rPr>
        <w:rFonts w:ascii="Symbol" w:hAnsi="Symbol" w:hint="default"/>
      </w:rPr>
    </w:lvl>
    <w:lvl w:ilvl="4" w:tplc="1F72C7D2" w:tentative="1">
      <w:start w:val="1"/>
      <w:numFmt w:val="bullet"/>
      <w:lvlText w:val="o"/>
      <w:lvlJc w:val="left"/>
      <w:pPr>
        <w:ind w:left="3960" w:hanging="360"/>
      </w:pPr>
      <w:rPr>
        <w:rFonts w:ascii="Courier New" w:hAnsi="Courier New" w:cs="Courier New" w:hint="default"/>
      </w:rPr>
    </w:lvl>
    <w:lvl w:ilvl="5" w:tplc="71BCA766" w:tentative="1">
      <w:start w:val="1"/>
      <w:numFmt w:val="bullet"/>
      <w:lvlText w:val=""/>
      <w:lvlJc w:val="left"/>
      <w:pPr>
        <w:ind w:left="4680" w:hanging="360"/>
      </w:pPr>
      <w:rPr>
        <w:rFonts w:ascii="Wingdings" w:hAnsi="Wingdings" w:hint="default"/>
      </w:rPr>
    </w:lvl>
    <w:lvl w:ilvl="6" w:tplc="6366CDA8" w:tentative="1">
      <w:start w:val="1"/>
      <w:numFmt w:val="bullet"/>
      <w:lvlText w:val=""/>
      <w:lvlJc w:val="left"/>
      <w:pPr>
        <w:ind w:left="5400" w:hanging="360"/>
      </w:pPr>
      <w:rPr>
        <w:rFonts w:ascii="Symbol" w:hAnsi="Symbol" w:hint="default"/>
      </w:rPr>
    </w:lvl>
    <w:lvl w:ilvl="7" w:tplc="5AD89C18" w:tentative="1">
      <w:start w:val="1"/>
      <w:numFmt w:val="bullet"/>
      <w:lvlText w:val="o"/>
      <w:lvlJc w:val="left"/>
      <w:pPr>
        <w:ind w:left="6120" w:hanging="360"/>
      </w:pPr>
      <w:rPr>
        <w:rFonts w:ascii="Courier New" w:hAnsi="Courier New" w:cs="Courier New" w:hint="default"/>
      </w:rPr>
    </w:lvl>
    <w:lvl w:ilvl="8" w:tplc="BF8CD4DC" w:tentative="1">
      <w:start w:val="1"/>
      <w:numFmt w:val="bullet"/>
      <w:lvlText w:val=""/>
      <w:lvlJc w:val="left"/>
      <w:pPr>
        <w:ind w:left="6840" w:hanging="360"/>
      </w:pPr>
      <w:rPr>
        <w:rFonts w:ascii="Wingdings" w:hAnsi="Wingdings" w:hint="default"/>
      </w:rPr>
    </w:lvl>
  </w:abstractNum>
  <w:abstractNum w:abstractNumId="2" w15:restartNumberingAfterBreak="0">
    <w:nsid w:val="21DD5AB9"/>
    <w:multiLevelType w:val="hybridMultilevel"/>
    <w:tmpl w:val="5DB42002"/>
    <w:lvl w:ilvl="0" w:tplc="30ACB34C">
      <w:start w:val="1"/>
      <w:numFmt w:val="bullet"/>
      <w:lvlText w:val=""/>
      <w:lvlJc w:val="left"/>
      <w:pPr>
        <w:ind w:left="720" w:hanging="360"/>
      </w:pPr>
      <w:rPr>
        <w:rFonts w:ascii="Symbol" w:hAnsi="Symbol" w:hint="default"/>
      </w:rPr>
    </w:lvl>
    <w:lvl w:ilvl="1" w:tplc="065EA7B2" w:tentative="1">
      <w:start w:val="1"/>
      <w:numFmt w:val="bullet"/>
      <w:lvlText w:val="o"/>
      <w:lvlJc w:val="left"/>
      <w:pPr>
        <w:ind w:left="1440" w:hanging="360"/>
      </w:pPr>
      <w:rPr>
        <w:rFonts w:ascii="Courier New" w:hAnsi="Courier New" w:cs="Courier New" w:hint="default"/>
      </w:rPr>
    </w:lvl>
    <w:lvl w:ilvl="2" w:tplc="CC3EF070" w:tentative="1">
      <w:start w:val="1"/>
      <w:numFmt w:val="bullet"/>
      <w:lvlText w:val=""/>
      <w:lvlJc w:val="left"/>
      <w:pPr>
        <w:ind w:left="2160" w:hanging="360"/>
      </w:pPr>
      <w:rPr>
        <w:rFonts w:ascii="Wingdings" w:hAnsi="Wingdings" w:hint="default"/>
      </w:rPr>
    </w:lvl>
    <w:lvl w:ilvl="3" w:tplc="ADF41E48" w:tentative="1">
      <w:start w:val="1"/>
      <w:numFmt w:val="bullet"/>
      <w:lvlText w:val=""/>
      <w:lvlJc w:val="left"/>
      <w:pPr>
        <w:ind w:left="2880" w:hanging="360"/>
      </w:pPr>
      <w:rPr>
        <w:rFonts w:ascii="Symbol" w:hAnsi="Symbol" w:hint="default"/>
      </w:rPr>
    </w:lvl>
    <w:lvl w:ilvl="4" w:tplc="F8BA8DA8" w:tentative="1">
      <w:start w:val="1"/>
      <w:numFmt w:val="bullet"/>
      <w:lvlText w:val="o"/>
      <w:lvlJc w:val="left"/>
      <w:pPr>
        <w:ind w:left="3600" w:hanging="360"/>
      </w:pPr>
      <w:rPr>
        <w:rFonts w:ascii="Courier New" w:hAnsi="Courier New" w:cs="Courier New" w:hint="default"/>
      </w:rPr>
    </w:lvl>
    <w:lvl w:ilvl="5" w:tplc="DB782904" w:tentative="1">
      <w:start w:val="1"/>
      <w:numFmt w:val="bullet"/>
      <w:lvlText w:val=""/>
      <w:lvlJc w:val="left"/>
      <w:pPr>
        <w:ind w:left="4320" w:hanging="360"/>
      </w:pPr>
      <w:rPr>
        <w:rFonts w:ascii="Wingdings" w:hAnsi="Wingdings" w:hint="default"/>
      </w:rPr>
    </w:lvl>
    <w:lvl w:ilvl="6" w:tplc="F7728E1E" w:tentative="1">
      <w:start w:val="1"/>
      <w:numFmt w:val="bullet"/>
      <w:lvlText w:val=""/>
      <w:lvlJc w:val="left"/>
      <w:pPr>
        <w:ind w:left="5040" w:hanging="360"/>
      </w:pPr>
      <w:rPr>
        <w:rFonts w:ascii="Symbol" w:hAnsi="Symbol" w:hint="default"/>
      </w:rPr>
    </w:lvl>
    <w:lvl w:ilvl="7" w:tplc="784C8788" w:tentative="1">
      <w:start w:val="1"/>
      <w:numFmt w:val="bullet"/>
      <w:lvlText w:val="o"/>
      <w:lvlJc w:val="left"/>
      <w:pPr>
        <w:ind w:left="5760" w:hanging="360"/>
      </w:pPr>
      <w:rPr>
        <w:rFonts w:ascii="Courier New" w:hAnsi="Courier New" w:cs="Courier New" w:hint="default"/>
      </w:rPr>
    </w:lvl>
    <w:lvl w:ilvl="8" w:tplc="E496E018" w:tentative="1">
      <w:start w:val="1"/>
      <w:numFmt w:val="bullet"/>
      <w:lvlText w:val=""/>
      <w:lvlJc w:val="left"/>
      <w:pPr>
        <w:ind w:left="6480" w:hanging="360"/>
      </w:pPr>
      <w:rPr>
        <w:rFonts w:ascii="Wingdings" w:hAnsi="Wingdings" w:hint="default"/>
      </w:rPr>
    </w:lvl>
  </w:abstractNum>
  <w:abstractNum w:abstractNumId="3" w15:restartNumberingAfterBreak="0">
    <w:nsid w:val="24020886"/>
    <w:multiLevelType w:val="hybridMultilevel"/>
    <w:tmpl w:val="4D288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C34DE1"/>
    <w:multiLevelType w:val="hybridMultilevel"/>
    <w:tmpl w:val="F4A28776"/>
    <w:lvl w:ilvl="0" w:tplc="607CEF18">
      <w:start w:val="1"/>
      <w:numFmt w:val="bullet"/>
      <w:lvlText w:val=""/>
      <w:lvlJc w:val="left"/>
      <w:pPr>
        <w:ind w:left="720" w:hanging="360"/>
      </w:pPr>
      <w:rPr>
        <w:rFonts w:ascii="Symbol" w:hAnsi="Symbol" w:hint="default"/>
      </w:rPr>
    </w:lvl>
    <w:lvl w:ilvl="1" w:tplc="1E8E7314">
      <w:start w:val="1"/>
      <w:numFmt w:val="bullet"/>
      <w:lvlText w:val="o"/>
      <w:lvlJc w:val="left"/>
      <w:pPr>
        <w:ind w:left="1440" w:hanging="360"/>
      </w:pPr>
      <w:rPr>
        <w:rFonts w:ascii="Courier New" w:hAnsi="Courier New" w:cs="Courier New" w:hint="default"/>
      </w:rPr>
    </w:lvl>
    <w:lvl w:ilvl="2" w:tplc="24B21CBA" w:tentative="1">
      <w:start w:val="1"/>
      <w:numFmt w:val="bullet"/>
      <w:lvlText w:val=""/>
      <w:lvlJc w:val="left"/>
      <w:pPr>
        <w:ind w:left="2160" w:hanging="360"/>
      </w:pPr>
      <w:rPr>
        <w:rFonts w:ascii="Wingdings" w:hAnsi="Wingdings" w:hint="default"/>
      </w:rPr>
    </w:lvl>
    <w:lvl w:ilvl="3" w:tplc="7EBC921A" w:tentative="1">
      <w:start w:val="1"/>
      <w:numFmt w:val="bullet"/>
      <w:lvlText w:val=""/>
      <w:lvlJc w:val="left"/>
      <w:pPr>
        <w:ind w:left="2880" w:hanging="360"/>
      </w:pPr>
      <w:rPr>
        <w:rFonts w:ascii="Symbol" w:hAnsi="Symbol" w:hint="default"/>
      </w:rPr>
    </w:lvl>
    <w:lvl w:ilvl="4" w:tplc="83F272A4" w:tentative="1">
      <w:start w:val="1"/>
      <w:numFmt w:val="bullet"/>
      <w:lvlText w:val="o"/>
      <w:lvlJc w:val="left"/>
      <w:pPr>
        <w:ind w:left="3600" w:hanging="360"/>
      </w:pPr>
      <w:rPr>
        <w:rFonts w:ascii="Courier New" w:hAnsi="Courier New" w:cs="Courier New" w:hint="default"/>
      </w:rPr>
    </w:lvl>
    <w:lvl w:ilvl="5" w:tplc="9A7E7DE8" w:tentative="1">
      <w:start w:val="1"/>
      <w:numFmt w:val="bullet"/>
      <w:lvlText w:val=""/>
      <w:lvlJc w:val="left"/>
      <w:pPr>
        <w:ind w:left="4320" w:hanging="360"/>
      </w:pPr>
      <w:rPr>
        <w:rFonts w:ascii="Wingdings" w:hAnsi="Wingdings" w:hint="default"/>
      </w:rPr>
    </w:lvl>
    <w:lvl w:ilvl="6" w:tplc="9F2A80A0" w:tentative="1">
      <w:start w:val="1"/>
      <w:numFmt w:val="bullet"/>
      <w:lvlText w:val=""/>
      <w:lvlJc w:val="left"/>
      <w:pPr>
        <w:ind w:left="5040" w:hanging="360"/>
      </w:pPr>
      <w:rPr>
        <w:rFonts w:ascii="Symbol" w:hAnsi="Symbol" w:hint="default"/>
      </w:rPr>
    </w:lvl>
    <w:lvl w:ilvl="7" w:tplc="DBA4A9DE" w:tentative="1">
      <w:start w:val="1"/>
      <w:numFmt w:val="bullet"/>
      <w:lvlText w:val="o"/>
      <w:lvlJc w:val="left"/>
      <w:pPr>
        <w:ind w:left="5760" w:hanging="360"/>
      </w:pPr>
      <w:rPr>
        <w:rFonts w:ascii="Courier New" w:hAnsi="Courier New" w:cs="Courier New" w:hint="default"/>
      </w:rPr>
    </w:lvl>
    <w:lvl w:ilvl="8" w:tplc="1D8CC7BC" w:tentative="1">
      <w:start w:val="1"/>
      <w:numFmt w:val="bullet"/>
      <w:lvlText w:val=""/>
      <w:lvlJc w:val="left"/>
      <w:pPr>
        <w:ind w:left="6480" w:hanging="360"/>
      </w:pPr>
      <w:rPr>
        <w:rFonts w:ascii="Wingdings" w:hAnsi="Wingdings" w:hint="default"/>
      </w:rPr>
    </w:lvl>
  </w:abstractNum>
  <w:abstractNum w:abstractNumId="5" w15:restartNumberingAfterBreak="0">
    <w:nsid w:val="27C15BDC"/>
    <w:multiLevelType w:val="hybridMultilevel"/>
    <w:tmpl w:val="831AE5CA"/>
    <w:lvl w:ilvl="0" w:tplc="AA2AA054">
      <w:start w:val="1"/>
      <w:numFmt w:val="bullet"/>
      <w:lvlText w:val=""/>
      <w:lvlJc w:val="left"/>
      <w:pPr>
        <w:ind w:left="720" w:hanging="360"/>
      </w:pPr>
      <w:rPr>
        <w:rFonts w:ascii="Symbol" w:hAnsi="Symbol" w:hint="default"/>
      </w:rPr>
    </w:lvl>
    <w:lvl w:ilvl="1" w:tplc="2046953C" w:tentative="1">
      <w:start w:val="1"/>
      <w:numFmt w:val="bullet"/>
      <w:lvlText w:val="o"/>
      <w:lvlJc w:val="left"/>
      <w:pPr>
        <w:ind w:left="1440" w:hanging="360"/>
      </w:pPr>
      <w:rPr>
        <w:rFonts w:ascii="Courier New" w:hAnsi="Courier New" w:cs="Courier New" w:hint="default"/>
      </w:rPr>
    </w:lvl>
    <w:lvl w:ilvl="2" w:tplc="B328A4DE" w:tentative="1">
      <w:start w:val="1"/>
      <w:numFmt w:val="bullet"/>
      <w:lvlText w:val=""/>
      <w:lvlJc w:val="left"/>
      <w:pPr>
        <w:ind w:left="2160" w:hanging="360"/>
      </w:pPr>
      <w:rPr>
        <w:rFonts w:ascii="Wingdings" w:hAnsi="Wingdings" w:hint="default"/>
      </w:rPr>
    </w:lvl>
    <w:lvl w:ilvl="3" w:tplc="6DA6DB36" w:tentative="1">
      <w:start w:val="1"/>
      <w:numFmt w:val="bullet"/>
      <w:lvlText w:val=""/>
      <w:lvlJc w:val="left"/>
      <w:pPr>
        <w:ind w:left="2880" w:hanging="360"/>
      </w:pPr>
      <w:rPr>
        <w:rFonts w:ascii="Symbol" w:hAnsi="Symbol" w:hint="default"/>
      </w:rPr>
    </w:lvl>
    <w:lvl w:ilvl="4" w:tplc="69AA1132" w:tentative="1">
      <w:start w:val="1"/>
      <w:numFmt w:val="bullet"/>
      <w:lvlText w:val="o"/>
      <w:lvlJc w:val="left"/>
      <w:pPr>
        <w:ind w:left="3600" w:hanging="360"/>
      </w:pPr>
      <w:rPr>
        <w:rFonts w:ascii="Courier New" w:hAnsi="Courier New" w:cs="Courier New" w:hint="default"/>
      </w:rPr>
    </w:lvl>
    <w:lvl w:ilvl="5" w:tplc="F092D968" w:tentative="1">
      <w:start w:val="1"/>
      <w:numFmt w:val="bullet"/>
      <w:lvlText w:val=""/>
      <w:lvlJc w:val="left"/>
      <w:pPr>
        <w:ind w:left="4320" w:hanging="360"/>
      </w:pPr>
      <w:rPr>
        <w:rFonts w:ascii="Wingdings" w:hAnsi="Wingdings" w:hint="default"/>
      </w:rPr>
    </w:lvl>
    <w:lvl w:ilvl="6" w:tplc="FEACC29E" w:tentative="1">
      <w:start w:val="1"/>
      <w:numFmt w:val="bullet"/>
      <w:lvlText w:val=""/>
      <w:lvlJc w:val="left"/>
      <w:pPr>
        <w:ind w:left="5040" w:hanging="360"/>
      </w:pPr>
      <w:rPr>
        <w:rFonts w:ascii="Symbol" w:hAnsi="Symbol" w:hint="default"/>
      </w:rPr>
    </w:lvl>
    <w:lvl w:ilvl="7" w:tplc="A34038BC" w:tentative="1">
      <w:start w:val="1"/>
      <w:numFmt w:val="bullet"/>
      <w:lvlText w:val="o"/>
      <w:lvlJc w:val="left"/>
      <w:pPr>
        <w:ind w:left="5760" w:hanging="360"/>
      </w:pPr>
      <w:rPr>
        <w:rFonts w:ascii="Courier New" w:hAnsi="Courier New" w:cs="Courier New" w:hint="default"/>
      </w:rPr>
    </w:lvl>
    <w:lvl w:ilvl="8" w:tplc="E09EA97C" w:tentative="1">
      <w:start w:val="1"/>
      <w:numFmt w:val="bullet"/>
      <w:lvlText w:val=""/>
      <w:lvlJc w:val="left"/>
      <w:pPr>
        <w:ind w:left="6480" w:hanging="360"/>
      </w:pPr>
      <w:rPr>
        <w:rFonts w:ascii="Wingdings" w:hAnsi="Wingdings" w:hint="default"/>
      </w:rPr>
    </w:lvl>
  </w:abstractNum>
  <w:abstractNum w:abstractNumId="6" w15:restartNumberingAfterBreak="0">
    <w:nsid w:val="2E8A28D5"/>
    <w:multiLevelType w:val="hybridMultilevel"/>
    <w:tmpl w:val="4830E2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2302DD"/>
    <w:multiLevelType w:val="hybridMultilevel"/>
    <w:tmpl w:val="2B20E344"/>
    <w:lvl w:ilvl="0" w:tplc="7CAC5268">
      <w:start w:val="1"/>
      <w:numFmt w:val="bullet"/>
      <w:lvlText w:val=""/>
      <w:lvlJc w:val="left"/>
      <w:pPr>
        <w:ind w:left="720" w:hanging="360"/>
      </w:pPr>
      <w:rPr>
        <w:rFonts w:ascii="Symbol" w:hAnsi="Symbol" w:hint="default"/>
      </w:rPr>
    </w:lvl>
    <w:lvl w:ilvl="1" w:tplc="B7A6EB6C" w:tentative="1">
      <w:start w:val="1"/>
      <w:numFmt w:val="bullet"/>
      <w:lvlText w:val="o"/>
      <w:lvlJc w:val="left"/>
      <w:pPr>
        <w:ind w:left="1440" w:hanging="360"/>
      </w:pPr>
      <w:rPr>
        <w:rFonts w:ascii="Courier New" w:hAnsi="Courier New" w:cs="Courier New" w:hint="default"/>
      </w:rPr>
    </w:lvl>
    <w:lvl w:ilvl="2" w:tplc="479A4DF6" w:tentative="1">
      <w:start w:val="1"/>
      <w:numFmt w:val="bullet"/>
      <w:lvlText w:val=""/>
      <w:lvlJc w:val="left"/>
      <w:pPr>
        <w:ind w:left="2160" w:hanging="360"/>
      </w:pPr>
      <w:rPr>
        <w:rFonts w:ascii="Wingdings" w:hAnsi="Wingdings" w:hint="default"/>
      </w:rPr>
    </w:lvl>
    <w:lvl w:ilvl="3" w:tplc="48AC684C" w:tentative="1">
      <w:start w:val="1"/>
      <w:numFmt w:val="bullet"/>
      <w:lvlText w:val=""/>
      <w:lvlJc w:val="left"/>
      <w:pPr>
        <w:ind w:left="2880" w:hanging="360"/>
      </w:pPr>
      <w:rPr>
        <w:rFonts w:ascii="Symbol" w:hAnsi="Symbol" w:hint="default"/>
      </w:rPr>
    </w:lvl>
    <w:lvl w:ilvl="4" w:tplc="9700814E" w:tentative="1">
      <w:start w:val="1"/>
      <w:numFmt w:val="bullet"/>
      <w:lvlText w:val="o"/>
      <w:lvlJc w:val="left"/>
      <w:pPr>
        <w:ind w:left="3600" w:hanging="360"/>
      </w:pPr>
      <w:rPr>
        <w:rFonts w:ascii="Courier New" w:hAnsi="Courier New" w:cs="Courier New" w:hint="default"/>
      </w:rPr>
    </w:lvl>
    <w:lvl w:ilvl="5" w:tplc="0C4C074A" w:tentative="1">
      <w:start w:val="1"/>
      <w:numFmt w:val="bullet"/>
      <w:lvlText w:val=""/>
      <w:lvlJc w:val="left"/>
      <w:pPr>
        <w:ind w:left="4320" w:hanging="360"/>
      </w:pPr>
      <w:rPr>
        <w:rFonts w:ascii="Wingdings" w:hAnsi="Wingdings" w:hint="default"/>
      </w:rPr>
    </w:lvl>
    <w:lvl w:ilvl="6" w:tplc="E8188ABA" w:tentative="1">
      <w:start w:val="1"/>
      <w:numFmt w:val="bullet"/>
      <w:lvlText w:val=""/>
      <w:lvlJc w:val="left"/>
      <w:pPr>
        <w:ind w:left="5040" w:hanging="360"/>
      </w:pPr>
      <w:rPr>
        <w:rFonts w:ascii="Symbol" w:hAnsi="Symbol" w:hint="default"/>
      </w:rPr>
    </w:lvl>
    <w:lvl w:ilvl="7" w:tplc="A164F20C" w:tentative="1">
      <w:start w:val="1"/>
      <w:numFmt w:val="bullet"/>
      <w:lvlText w:val="o"/>
      <w:lvlJc w:val="left"/>
      <w:pPr>
        <w:ind w:left="5760" w:hanging="360"/>
      </w:pPr>
      <w:rPr>
        <w:rFonts w:ascii="Courier New" w:hAnsi="Courier New" w:cs="Courier New" w:hint="default"/>
      </w:rPr>
    </w:lvl>
    <w:lvl w:ilvl="8" w:tplc="3500C72E" w:tentative="1">
      <w:start w:val="1"/>
      <w:numFmt w:val="bullet"/>
      <w:lvlText w:val=""/>
      <w:lvlJc w:val="left"/>
      <w:pPr>
        <w:ind w:left="6480" w:hanging="360"/>
      </w:pPr>
      <w:rPr>
        <w:rFonts w:ascii="Wingdings" w:hAnsi="Wingdings" w:hint="default"/>
      </w:rPr>
    </w:lvl>
  </w:abstractNum>
  <w:abstractNum w:abstractNumId="8" w15:restartNumberingAfterBreak="0">
    <w:nsid w:val="39F813AD"/>
    <w:multiLevelType w:val="hybridMultilevel"/>
    <w:tmpl w:val="2528CE12"/>
    <w:lvl w:ilvl="0" w:tplc="DF9AD0D8">
      <w:start w:val="1"/>
      <w:numFmt w:val="bullet"/>
      <w:lvlText w:val=""/>
      <w:lvlJc w:val="left"/>
      <w:pPr>
        <w:ind w:left="720" w:hanging="360"/>
      </w:pPr>
      <w:rPr>
        <w:rFonts w:ascii="Symbol" w:hAnsi="Symbol" w:hint="default"/>
      </w:rPr>
    </w:lvl>
    <w:lvl w:ilvl="1" w:tplc="A6C41E44" w:tentative="1">
      <w:start w:val="1"/>
      <w:numFmt w:val="bullet"/>
      <w:lvlText w:val="o"/>
      <w:lvlJc w:val="left"/>
      <w:pPr>
        <w:ind w:left="1440" w:hanging="360"/>
      </w:pPr>
      <w:rPr>
        <w:rFonts w:ascii="Courier New" w:hAnsi="Courier New" w:cs="Courier New" w:hint="default"/>
      </w:rPr>
    </w:lvl>
    <w:lvl w:ilvl="2" w:tplc="9F3C3408" w:tentative="1">
      <w:start w:val="1"/>
      <w:numFmt w:val="bullet"/>
      <w:lvlText w:val=""/>
      <w:lvlJc w:val="left"/>
      <w:pPr>
        <w:ind w:left="2160" w:hanging="360"/>
      </w:pPr>
      <w:rPr>
        <w:rFonts w:ascii="Wingdings" w:hAnsi="Wingdings" w:hint="default"/>
      </w:rPr>
    </w:lvl>
    <w:lvl w:ilvl="3" w:tplc="7436A6D8" w:tentative="1">
      <w:start w:val="1"/>
      <w:numFmt w:val="bullet"/>
      <w:lvlText w:val=""/>
      <w:lvlJc w:val="left"/>
      <w:pPr>
        <w:ind w:left="2880" w:hanging="360"/>
      </w:pPr>
      <w:rPr>
        <w:rFonts w:ascii="Symbol" w:hAnsi="Symbol" w:hint="default"/>
      </w:rPr>
    </w:lvl>
    <w:lvl w:ilvl="4" w:tplc="4BEADA7C" w:tentative="1">
      <w:start w:val="1"/>
      <w:numFmt w:val="bullet"/>
      <w:lvlText w:val="o"/>
      <w:lvlJc w:val="left"/>
      <w:pPr>
        <w:ind w:left="3600" w:hanging="360"/>
      </w:pPr>
      <w:rPr>
        <w:rFonts w:ascii="Courier New" w:hAnsi="Courier New" w:cs="Courier New" w:hint="default"/>
      </w:rPr>
    </w:lvl>
    <w:lvl w:ilvl="5" w:tplc="54E692A6" w:tentative="1">
      <w:start w:val="1"/>
      <w:numFmt w:val="bullet"/>
      <w:lvlText w:val=""/>
      <w:lvlJc w:val="left"/>
      <w:pPr>
        <w:ind w:left="4320" w:hanging="360"/>
      </w:pPr>
      <w:rPr>
        <w:rFonts w:ascii="Wingdings" w:hAnsi="Wingdings" w:hint="default"/>
      </w:rPr>
    </w:lvl>
    <w:lvl w:ilvl="6" w:tplc="9774A92A" w:tentative="1">
      <w:start w:val="1"/>
      <w:numFmt w:val="bullet"/>
      <w:lvlText w:val=""/>
      <w:lvlJc w:val="left"/>
      <w:pPr>
        <w:ind w:left="5040" w:hanging="360"/>
      </w:pPr>
      <w:rPr>
        <w:rFonts w:ascii="Symbol" w:hAnsi="Symbol" w:hint="default"/>
      </w:rPr>
    </w:lvl>
    <w:lvl w:ilvl="7" w:tplc="4AB6C0D8" w:tentative="1">
      <w:start w:val="1"/>
      <w:numFmt w:val="bullet"/>
      <w:lvlText w:val="o"/>
      <w:lvlJc w:val="left"/>
      <w:pPr>
        <w:ind w:left="5760" w:hanging="360"/>
      </w:pPr>
      <w:rPr>
        <w:rFonts w:ascii="Courier New" w:hAnsi="Courier New" w:cs="Courier New" w:hint="default"/>
      </w:rPr>
    </w:lvl>
    <w:lvl w:ilvl="8" w:tplc="BCDA6AD4" w:tentative="1">
      <w:start w:val="1"/>
      <w:numFmt w:val="bullet"/>
      <w:lvlText w:val=""/>
      <w:lvlJc w:val="left"/>
      <w:pPr>
        <w:ind w:left="6480" w:hanging="360"/>
      </w:pPr>
      <w:rPr>
        <w:rFonts w:ascii="Wingdings" w:hAnsi="Wingdings" w:hint="default"/>
      </w:rPr>
    </w:lvl>
  </w:abstractNum>
  <w:abstractNum w:abstractNumId="9" w15:restartNumberingAfterBreak="0">
    <w:nsid w:val="48F766D7"/>
    <w:multiLevelType w:val="hybridMultilevel"/>
    <w:tmpl w:val="0772F832"/>
    <w:lvl w:ilvl="0" w:tplc="EFA2D6D8">
      <w:start w:val="1"/>
      <w:numFmt w:val="bullet"/>
      <w:lvlText w:val=""/>
      <w:lvlJc w:val="left"/>
      <w:pPr>
        <w:ind w:left="780" w:hanging="360"/>
      </w:pPr>
      <w:rPr>
        <w:rFonts w:ascii="Symbol" w:hAnsi="Symbol" w:hint="default"/>
      </w:rPr>
    </w:lvl>
    <w:lvl w:ilvl="1" w:tplc="9C6C7E02" w:tentative="1">
      <w:start w:val="1"/>
      <w:numFmt w:val="bullet"/>
      <w:lvlText w:val="o"/>
      <w:lvlJc w:val="left"/>
      <w:pPr>
        <w:ind w:left="1500" w:hanging="360"/>
      </w:pPr>
      <w:rPr>
        <w:rFonts w:ascii="Courier New" w:hAnsi="Courier New" w:cs="Courier New" w:hint="default"/>
      </w:rPr>
    </w:lvl>
    <w:lvl w:ilvl="2" w:tplc="AF388AA0" w:tentative="1">
      <w:start w:val="1"/>
      <w:numFmt w:val="bullet"/>
      <w:lvlText w:val=""/>
      <w:lvlJc w:val="left"/>
      <w:pPr>
        <w:ind w:left="2220" w:hanging="360"/>
      </w:pPr>
      <w:rPr>
        <w:rFonts w:ascii="Wingdings" w:hAnsi="Wingdings" w:hint="default"/>
      </w:rPr>
    </w:lvl>
    <w:lvl w:ilvl="3" w:tplc="8B8A935C" w:tentative="1">
      <w:start w:val="1"/>
      <w:numFmt w:val="bullet"/>
      <w:lvlText w:val=""/>
      <w:lvlJc w:val="left"/>
      <w:pPr>
        <w:ind w:left="2940" w:hanging="360"/>
      </w:pPr>
      <w:rPr>
        <w:rFonts w:ascii="Symbol" w:hAnsi="Symbol" w:hint="default"/>
      </w:rPr>
    </w:lvl>
    <w:lvl w:ilvl="4" w:tplc="D9DE93CA" w:tentative="1">
      <w:start w:val="1"/>
      <w:numFmt w:val="bullet"/>
      <w:lvlText w:val="o"/>
      <w:lvlJc w:val="left"/>
      <w:pPr>
        <w:ind w:left="3660" w:hanging="360"/>
      </w:pPr>
      <w:rPr>
        <w:rFonts w:ascii="Courier New" w:hAnsi="Courier New" w:cs="Courier New" w:hint="default"/>
      </w:rPr>
    </w:lvl>
    <w:lvl w:ilvl="5" w:tplc="37D2E2F0" w:tentative="1">
      <w:start w:val="1"/>
      <w:numFmt w:val="bullet"/>
      <w:lvlText w:val=""/>
      <w:lvlJc w:val="left"/>
      <w:pPr>
        <w:ind w:left="4380" w:hanging="360"/>
      </w:pPr>
      <w:rPr>
        <w:rFonts w:ascii="Wingdings" w:hAnsi="Wingdings" w:hint="default"/>
      </w:rPr>
    </w:lvl>
    <w:lvl w:ilvl="6" w:tplc="BC00DCB0" w:tentative="1">
      <w:start w:val="1"/>
      <w:numFmt w:val="bullet"/>
      <w:lvlText w:val=""/>
      <w:lvlJc w:val="left"/>
      <w:pPr>
        <w:ind w:left="5100" w:hanging="360"/>
      </w:pPr>
      <w:rPr>
        <w:rFonts w:ascii="Symbol" w:hAnsi="Symbol" w:hint="default"/>
      </w:rPr>
    </w:lvl>
    <w:lvl w:ilvl="7" w:tplc="C97AFD66" w:tentative="1">
      <w:start w:val="1"/>
      <w:numFmt w:val="bullet"/>
      <w:lvlText w:val="o"/>
      <w:lvlJc w:val="left"/>
      <w:pPr>
        <w:ind w:left="5820" w:hanging="360"/>
      </w:pPr>
      <w:rPr>
        <w:rFonts w:ascii="Courier New" w:hAnsi="Courier New" w:cs="Courier New" w:hint="default"/>
      </w:rPr>
    </w:lvl>
    <w:lvl w:ilvl="8" w:tplc="DAB60062" w:tentative="1">
      <w:start w:val="1"/>
      <w:numFmt w:val="bullet"/>
      <w:lvlText w:val=""/>
      <w:lvlJc w:val="left"/>
      <w:pPr>
        <w:ind w:left="6540" w:hanging="360"/>
      </w:pPr>
      <w:rPr>
        <w:rFonts w:ascii="Wingdings" w:hAnsi="Wingdings" w:hint="default"/>
      </w:rPr>
    </w:lvl>
  </w:abstractNum>
  <w:abstractNum w:abstractNumId="10" w15:restartNumberingAfterBreak="0">
    <w:nsid w:val="4D11561C"/>
    <w:multiLevelType w:val="hybridMultilevel"/>
    <w:tmpl w:val="567AE612"/>
    <w:lvl w:ilvl="0" w:tplc="FD9E601C">
      <w:start w:val="1"/>
      <w:numFmt w:val="bullet"/>
      <w:lvlText w:val=""/>
      <w:lvlJc w:val="left"/>
      <w:pPr>
        <w:ind w:left="720" w:hanging="360"/>
      </w:pPr>
      <w:rPr>
        <w:rFonts w:ascii="Symbol" w:hAnsi="Symbol" w:hint="default"/>
      </w:rPr>
    </w:lvl>
    <w:lvl w:ilvl="1" w:tplc="A1C6A3A2" w:tentative="1">
      <w:start w:val="1"/>
      <w:numFmt w:val="bullet"/>
      <w:lvlText w:val="o"/>
      <w:lvlJc w:val="left"/>
      <w:pPr>
        <w:ind w:left="1440" w:hanging="360"/>
      </w:pPr>
      <w:rPr>
        <w:rFonts w:ascii="Courier New" w:hAnsi="Courier New" w:cs="Courier New" w:hint="default"/>
      </w:rPr>
    </w:lvl>
    <w:lvl w:ilvl="2" w:tplc="F2A42F66" w:tentative="1">
      <w:start w:val="1"/>
      <w:numFmt w:val="bullet"/>
      <w:lvlText w:val=""/>
      <w:lvlJc w:val="left"/>
      <w:pPr>
        <w:ind w:left="2160" w:hanging="360"/>
      </w:pPr>
      <w:rPr>
        <w:rFonts w:ascii="Wingdings" w:hAnsi="Wingdings" w:hint="default"/>
      </w:rPr>
    </w:lvl>
    <w:lvl w:ilvl="3" w:tplc="DA848FDA" w:tentative="1">
      <w:start w:val="1"/>
      <w:numFmt w:val="bullet"/>
      <w:lvlText w:val=""/>
      <w:lvlJc w:val="left"/>
      <w:pPr>
        <w:ind w:left="2880" w:hanging="360"/>
      </w:pPr>
      <w:rPr>
        <w:rFonts w:ascii="Symbol" w:hAnsi="Symbol" w:hint="default"/>
      </w:rPr>
    </w:lvl>
    <w:lvl w:ilvl="4" w:tplc="3732F12A" w:tentative="1">
      <w:start w:val="1"/>
      <w:numFmt w:val="bullet"/>
      <w:lvlText w:val="o"/>
      <w:lvlJc w:val="left"/>
      <w:pPr>
        <w:ind w:left="3600" w:hanging="360"/>
      </w:pPr>
      <w:rPr>
        <w:rFonts w:ascii="Courier New" w:hAnsi="Courier New" w:cs="Courier New" w:hint="default"/>
      </w:rPr>
    </w:lvl>
    <w:lvl w:ilvl="5" w:tplc="6EB0C970" w:tentative="1">
      <w:start w:val="1"/>
      <w:numFmt w:val="bullet"/>
      <w:lvlText w:val=""/>
      <w:lvlJc w:val="left"/>
      <w:pPr>
        <w:ind w:left="4320" w:hanging="360"/>
      </w:pPr>
      <w:rPr>
        <w:rFonts w:ascii="Wingdings" w:hAnsi="Wingdings" w:hint="default"/>
      </w:rPr>
    </w:lvl>
    <w:lvl w:ilvl="6" w:tplc="4D681A00" w:tentative="1">
      <w:start w:val="1"/>
      <w:numFmt w:val="bullet"/>
      <w:lvlText w:val=""/>
      <w:lvlJc w:val="left"/>
      <w:pPr>
        <w:ind w:left="5040" w:hanging="360"/>
      </w:pPr>
      <w:rPr>
        <w:rFonts w:ascii="Symbol" w:hAnsi="Symbol" w:hint="default"/>
      </w:rPr>
    </w:lvl>
    <w:lvl w:ilvl="7" w:tplc="F648DBB2" w:tentative="1">
      <w:start w:val="1"/>
      <w:numFmt w:val="bullet"/>
      <w:lvlText w:val="o"/>
      <w:lvlJc w:val="left"/>
      <w:pPr>
        <w:ind w:left="5760" w:hanging="360"/>
      </w:pPr>
      <w:rPr>
        <w:rFonts w:ascii="Courier New" w:hAnsi="Courier New" w:cs="Courier New" w:hint="default"/>
      </w:rPr>
    </w:lvl>
    <w:lvl w:ilvl="8" w:tplc="B5586188" w:tentative="1">
      <w:start w:val="1"/>
      <w:numFmt w:val="bullet"/>
      <w:lvlText w:val=""/>
      <w:lvlJc w:val="left"/>
      <w:pPr>
        <w:ind w:left="6480" w:hanging="360"/>
      </w:pPr>
      <w:rPr>
        <w:rFonts w:ascii="Wingdings" w:hAnsi="Wingdings" w:hint="default"/>
      </w:rPr>
    </w:lvl>
  </w:abstractNum>
  <w:abstractNum w:abstractNumId="11" w15:restartNumberingAfterBreak="0">
    <w:nsid w:val="528C0D83"/>
    <w:multiLevelType w:val="hybridMultilevel"/>
    <w:tmpl w:val="0CF2F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514495"/>
    <w:multiLevelType w:val="hybridMultilevel"/>
    <w:tmpl w:val="8460011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3" w15:restartNumberingAfterBreak="0">
    <w:nsid w:val="79894DF1"/>
    <w:multiLevelType w:val="hybridMultilevel"/>
    <w:tmpl w:val="CBE243D0"/>
    <w:lvl w:ilvl="0" w:tplc="3A66C97E">
      <w:start w:val="1"/>
      <w:numFmt w:val="bullet"/>
      <w:lvlText w:val=""/>
      <w:lvlJc w:val="left"/>
      <w:pPr>
        <w:ind w:left="720" w:hanging="360"/>
      </w:pPr>
      <w:rPr>
        <w:rFonts w:ascii="Symbol" w:hAnsi="Symbol" w:hint="default"/>
      </w:rPr>
    </w:lvl>
    <w:lvl w:ilvl="1" w:tplc="9F3E927A" w:tentative="1">
      <w:start w:val="1"/>
      <w:numFmt w:val="bullet"/>
      <w:lvlText w:val="o"/>
      <w:lvlJc w:val="left"/>
      <w:pPr>
        <w:ind w:left="1440" w:hanging="360"/>
      </w:pPr>
      <w:rPr>
        <w:rFonts w:ascii="Courier New" w:hAnsi="Courier New" w:cs="Courier New" w:hint="default"/>
      </w:rPr>
    </w:lvl>
    <w:lvl w:ilvl="2" w:tplc="EAA08CFA" w:tentative="1">
      <w:start w:val="1"/>
      <w:numFmt w:val="bullet"/>
      <w:lvlText w:val=""/>
      <w:lvlJc w:val="left"/>
      <w:pPr>
        <w:ind w:left="2160" w:hanging="360"/>
      </w:pPr>
      <w:rPr>
        <w:rFonts w:ascii="Wingdings" w:hAnsi="Wingdings" w:hint="default"/>
      </w:rPr>
    </w:lvl>
    <w:lvl w:ilvl="3" w:tplc="BD7CD580" w:tentative="1">
      <w:start w:val="1"/>
      <w:numFmt w:val="bullet"/>
      <w:lvlText w:val=""/>
      <w:lvlJc w:val="left"/>
      <w:pPr>
        <w:ind w:left="2880" w:hanging="360"/>
      </w:pPr>
      <w:rPr>
        <w:rFonts w:ascii="Symbol" w:hAnsi="Symbol" w:hint="default"/>
      </w:rPr>
    </w:lvl>
    <w:lvl w:ilvl="4" w:tplc="3306D50A" w:tentative="1">
      <w:start w:val="1"/>
      <w:numFmt w:val="bullet"/>
      <w:lvlText w:val="o"/>
      <w:lvlJc w:val="left"/>
      <w:pPr>
        <w:ind w:left="3600" w:hanging="360"/>
      </w:pPr>
      <w:rPr>
        <w:rFonts w:ascii="Courier New" w:hAnsi="Courier New" w:cs="Courier New" w:hint="default"/>
      </w:rPr>
    </w:lvl>
    <w:lvl w:ilvl="5" w:tplc="8634049E" w:tentative="1">
      <w:start w:val="1"/>
      <w:numFmt w:val="bullet"/>
      <w:lvlText w:val=""/>
      <w:lvlJc w:val="left"/>
      <w:pPr>
        <w:ind w:left="4320" w:hanging="360"/>
      </w:pPr>
      <w:rPr>
        <w:rFonts w:ascii="Wingdings" w:hAnsi="Wingdings" w:hint="default"/>
      </w:rPr>
    </w:lvl>
    <w:lvl w:ilvl="6" w:tplc="65BA1416" w:tentative="1">
      <w:start w:val="1"/>
      <w:numFmt w:val="bullet"/>
      <w:lvlText w:val=""/>
      <w:lvlJc w:val="left"/>
      <w:pPr>
        <w:ind w:left="5040" w:hanging="360"/>
      </w:pPr>
      <w:rPr>
        <w:rFonts w:ascii="Symbol" w:hAnsi="Symbol" w:hint="default"/>
      </w:rPr>
    </w:lvl>
    <w:lvl w:ilvl="7" w:tplc="F2E258EC" w:tentative="1">
      <w:start w:val="1"/>
      <w:numFmt w:val="bullet"/>
      <w:lvlText w:val="o"/>
      <w:lvlJc w:val="left"/>
      <w:pPr>
        <w:ind w:left="5760" w:hanging="360"/>
      </w:pPr>
      <w:rPr>
        <w:rFonts w:ascii="Courier New" w:hAnsi="Courier New" w:cs="Courier New" w:hint="default"/>
      </w:rPr>
    </w:lvl>
    <w:lvl w:ilvl="8" w:tplc="B73E7898" w:tentative="1">
      <w:start w:val="1"/>
      <w:numFmt w:val="bullet"/>
      <w:lvlText w:val=""/>
      <w:lvlJc w:val="left"/>
      <w:pPr>
        <w:ind w:left="6480" w:hanging="360"/>
      </w:pPr>
      <w:rPr>
        <w:rFonts w:ascii="Wingdings" w:hAnsi="Wingdings" w:hint="default"/>
      </w:rPr>
    </w:lvl>
  </w:abstractNum>
  <w:num w:numId="1" w16cid:durableId="878277949">
    <w:abstractNumId w:val="9"/>
  </w:num>
  <w:num w:numId="2" w16cid:durableId="695666416">
    <w:abstractNumId w:val="0"/>
  </w:num>
  <w:num w:numId="3" w16cid:durableId="2084066598">
    <w:abstractNumId w:val="5"/>
  </w:num>
  <w:num w:numId="4" w16cid:durableId="550769478">
    <w:abstractNumId w:val="13"/>
  </w:num>
  <w:num w:numId="5" w16cid:durableId="1264191933">
    <w:abstractNumId w:val="1"/>
  </w:num>
  <w:num w:numId="6" w16cid:durableId="982541184">
    <w:abstractNumId w:val="10"/>
  </w:num>
  <w:num w:numId="7" w16cid:durableId="1038554509">
    <w:abstractNumId w:val="7"/>
  </w:num>
  <w:num w:numId="8" w16cid:durableId="1683319528">
    <w:abstractNumId w:val="2"/>
  </w:num>
  <w:num w:numId="9" w16cid:durableId="251010093">
    <w:abstractNumId w:val="8"/>
  </w:num>
  <w:num w:numId="10" w16cid:durableId="560092868">
    <w:abstractNumId w:val="4"/>
  </w:num>
  <w:num w:numId="11" w16cid:durableId="306517397">
    <w:abstractNumId w:val="3"/>
  </w:num>
  <w:num w:numId="12" w16cid:durableId="1185092167">
    <w:abstractNumId w:val="11"/>
  </w:num>
  <w:num w:numId="13" w16cid:durableId="2007199538">
    <w:abstractNumId w:val="6"/>
  </w:num>
  <w:num w:numId="14" w16cid:durableId="1720547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8D"/>
    <w:rsid w:val="0000100B"/>
    <w:rsid w:val="00005068"/>
    <w:rsid w:val="000236CE"/>
    <w:rsid w:val="0003018D"/>
    <w:rsid w:val="0004177D"/>
    <w:rsid w:val="00044873"/>
    <w:rsid w:val="00063683"/>
    <w:rsid w:val="000A3197"/>
    <w:rsid w:val="000B1A6E"/>
    <w:rsid w:val="000B3D2E"/>
    <w:rsid w:val="000D0A72"/>
    <w:rsid w:val="000E2D97"/>
    <w:rsid w:val="000E5D39"/>
    <w:rsid w:val="000F669D"/>
    <w:rsid w:val="001150C5"/>
    <w:rsid w:val="00116EAF"/>
    <w:rsid w:val="00117C28"/>
    <w:rsid w:val="00125224"/>
    <w:rsid w:val="0013794A"/>
    <w:rsid w:val="00176B2B"/>
    <w:rsid w:val="00195C91"/>
    <w:rsid w:val="001C001C"/>
    <w:rsid w:val="001C29B7"/>
    <w:rsid w:val="001D1D04"/>
    <w:rsid w:val="00200FE4"/>
    <w:rsid w:val="00203BC0"/>
    <w:rsid w:val="002200CA"/>
    <w:rsid w:val="00223B88"/>
    <w:rsid w:val="002320B7"/>
    <w:rsid w:val="00247425"/>
    <w:rsid w:val="00280A18"/>
    <w:rsid w:val="002A2947"/>
    <w:rsid w:val="002A7E73"/>
    <w:rsid w:val="002D0E85"/>
    <w:rsid w:val="002F23B1"/>
    <w:rsid w:val="002F32F3"/>
    <w:rsid w:val="00301065"/>
    <w:rsid w:val="00391DB3"/>
    <w:rsid w:val="00392324"/>
    <w:rsid w:val="003B2580"/>
    <w:rsid w:val="003C40BA"/>
    <w:rsid w:val="003F0726"/>
    <w:rsid w:val="003F3213"/>
    <w:rsid w:val="003F7B9B"/>
    <w:rsid w:val="0042443B"/>
    <w:rsid w:val="00486271"/>
    <w:rsid w:val="00495895"/>
    <w:rsid w:val="004A2C57"/>
    <w:rsid w:val="00503544"/>
    <w:rsid w:val="00512E51"/>
    <w:rsid w:val="00514186"/>
    <w:rsid w:val="00516D4F"/>
    <w:rsid w:val="00523A85"/>
    <w:rsid w:val="00527FCD"/>
    <w:rsid w:val="00564EA2"/>
    <w:rsid w:val="00570343"/>
    <w:rsid w:val="00592582"/>
    <w:rsid w:val="00597AFF"/>
    <w:rsid w:val="005A0FFA"/>
    <w:rsid w:val="005C2D86"/>
    <w:rsid w:val="005C4EA9"/>
    <w:rsid w:val="005C5AD1"/>
    <w:rsid w:val="005E229F"/>
    <w:rsid w:val="006057FC"/>
    <w:rsid w:val="00640DB6"/>
    <w:rsid w:val="0066159D"/>
    <w:rsid w:val="0066459C"/>
    <w:rsid w:val="00666E5C"/>
    <w:rsid w:val="00682E02"/>
    <w:rsid w:val="00694BAB"/>
    <w:rsid w:val="006A7DD1"/>
    <w:rsid w:val="006E3B23"/>
    <w:rsid w:val="00756F36"/>
    <w:rsid w:val="00770B68"/>
    <w:rsid w:val="007805D3"/>
    <w:rsid w:val="00782157"/>
    <w:rsid w:val="00795F42"/>
    <w:rsid w:val="007A449E"/>
    <w:rsid w:val="007D7440"/>
    <w:rsid w:val="007E07E5"/>
    <w:rsid w:val="0080718F"/>
    <w:rsid w:val="008101D8"/>
    <w:rsid w:val="008414DF"/>
    <w:rsid w:val="00856D16"/>
    <w:rsid w:val="0088190B"/>
    <w:rsid w:val="00893545"/>
    <w:rsid w:val="008A36B1"/>
    <w:rsid w:val="008C15C8"/>
    <w:rsid w:val="0092103B"/>
    <w:rsid w:val="009642DC"/>
    <w:rsid w:val="009B5ABD"/>
    <w:rsid w:val="009C3AD7"/>
    <w:rsid w:val="009D33DF"/>
    <w:rsid w:val="009F374E"/>
    <w:rsid w:val="00A01D85"/>
    <w:rsid w:val="00A0460A"/>
    <w:rsid w:val="00A10F3E"/>
    <w:rsid w:val="00A1199C"/>
    <w:rsid w:val="00A43335"/>
    <w:rsid w:val="00A44B2E"/>
    <w:rsid w:val="00A46AF8"/>
    <w:rsid w:val="00A82024"/>
    <w:rsid w:val="00A82790"/>
    <w:rsid w:val="00AF7CD8"/>
    <w:rsid w:val="00B2030A"/>
    <w:rsid w:val="00B34884"/>
    <w:rsid w:val="00B774C4"/>
    <w:rsid w:val="00BD05C1"/>
    <w:rsid w:val="00C0068B"/>
    <w:rsid w:val="00C07F59"/>
    <w:rsid w:val="00C47E8E"/>
    <w:rsid w:val="00C533BE"/>
    <w:rsid w:val="00CA4688"/>
    <w:rsid w:val="00CB328B"/>
    <w:rsid w:val="00CC343A"/>
    <w:rsid w:val="00CD2BE9"/>
    <w:rsid w:val="00D121C4"/>
    <w:rsid w:val="00D16BD0"/>
    <w:rsid w:val="00D33EA3"/>
    <w:rsid w:val="00D606AB"/>
    <w:rsid w:val="00D70FE5"/>
    <w:rsid w:val="00DD5ED7"/>
    <w:rsid w:val="00DF0F63"/>
    <w:rsid w:val="00DF131A"/>
    <w:rsid w:val="00E01E80"/>
    <w:rsid w:val="00E15FF6"/>
    <w:rsid w:val="00E56627"/>
    <w:rsid w:val="00E77A92"/>
    <w:rsid w:val="00E8003A"/>
    <w:rsid w:val="00EA10E7"/>
    <w:rsid w:val="00F5375C"/>
    <w:rsid w:val="00F623C1"/>
    <w:rsid w:val="00FB3137"/>
    <w:rsid w:val="00FE1B59"/>
    <w:rsid w:val="00FE2066"/>
    <w:rsid w:val="00FF3E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76C1"/>
  <w15:chartTrackingRefBased/>
  <w15:docId w15:val="{52367DFC-D0DD-408A-A4BC-D87CD955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77D"/>
    <w:pPr>
      <w:ind w:left="720"/>
      <w:contextualSpacing/>
    </w:pPr>
  </w:style>
  <w:style w:type="character" w:styleId="CommentReference">
    <w:name w:val="annotation reference"/>
    <w:basedOn w:val="DefaultParagraphFont"/>
    <w:uiPriority w:val="99"/>
    <w:semiHidden/>
    <w:unhideWhenUsed/>
    <w:rsid w:val="009F374E"/>
    <w:rPr>
      <w:sz w:val="16"/>
      <w:szCs w:val="16"/>
    </w:rPr>
  </w:style>
  <w:style w:type="paragraph" w:styleId="CommentText">
    <w:name w:val="annotation text"/>
    <w:basedOn w:val="Normal"/>
    <w:link w:val="CommentTextChar"/>
    <w:uiPriority w:val="99"/>
    <w:semiHidden/>
    <w:unhideWhenUsed/>
    <w:rsid w:val="009F374E"/>
    <w:pPr>
      <w:spacing w:line="240" w:lineRule="auto"/>
    </w:pPr>
    <w:rPr>
      <w:sz w:val="20"/>
      <w:szCs w:val="20"/>
    </w:rPr>
  </w:style>
  <w:style w:type="character" w:customStyle="1" w:styleId="CommentTextChar">
    <w:name w:val="Comment Text Char"/>
    <w:basedOn w:val="DefaultParagraphFont"/>
    <w:link w:val="CommentText"/>
    <w:uiPriority w:val="99"/>
    <w:semiHidden/>
    <w:rsid w:val="009F374E"/>
    <w:rPr>
      <w:sz w:val="20"/>
      <w:szCs w:val="20"/>
    </w:rPr>
  </w:style>
  <w:style w:type="paragraph" w:styleId="CommentSubject">
    <w:name w:val="annotation subject"/>
    <w:basedOn w:val="CommentText"/>
    <w:next w:val="CommentText"/>
    <w:link w:val="CommentSubjectChar"/>
    <w:uiPriority w:val="99"/>
    <w:semiHidden/>
    <w:unhideWhenUsed/>
    <w:rsid w:val="009F374E"/>
    <w:rPr>
      <w:b/>
      <w:bCs/>
    </w:rPr>
  </w:style>
  <w:style w:type="character" w:customStyle="1" w:styleId="CommentSubjectChar">
    <w:name w:val="Comment Subject Char"/>
    <w:basedOn w:val="CommentTextChar"/>
    <w:link w:val="CommentSubject"/>
    <w:uiPriority w:val="99"/>
    <w:semiHidden/>
    <w:rsid w:val="009F374E"/>
    <w:rPr>
      <w:b/>
      <w:bCs/>
      <w:sz w:val="20"/>
      <w:szCs w:val="20"/>
    </w:rPr>
  </w:style>
  <w:style w:type="paragraph" w:styleId="Revision">
    <w:name w:val="Revision"/>
    <w:hidden/>
    <w:uiPriority w:val="99"/>
    <w:semiHidden/>
    <w:rsid w:val="006A7DD1"/>
    <w:pPr>
      <w:spacing w:after="0" w:line="240" w:lineRule="auto"/>
    </w:pPr>
  </w:style>
  <w:style w:type="paragraph" w:customStyle="1" w:styleId="paragraph">
    <w:name w:val="paragraph"/>
    <w:aliases w:val="a"/>
    <w:basedOn w:val="Normal"/>
    <w:rsid w:val="00495895"/>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391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DB3"/>
  </w:style>
  <w:style w:type="paragraph" w:styleId="Footer">
    <w:name w:val="footer"/>
    <w:basedOn w:val="Normal"/>
    <w:link w:val="FooterChar"/>
    <w:uiPriority w:val="99"/>
    <w:unhideWhenUsed/>
    <w:rsid w:val="00391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2995</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Trommestad, Adelle</dc:creator>
  <cp:lastModifiedBy>Jessica Huang</cp:lastModifiedBy>
  <cp:revision>4</cp:revision>
  <cp:lastPrinted>2022-09-20T07:08:00Z</cp:lastPrinted>
  <dcterms:created xsi:type="dcterms:W3CDTF">2022-09-22T11:15:00Z</dcterms:created>
  <dcterms:modified xsi:type="dcterms:W3CDTF">2022-09-23T00:00:00Z</dcterms:modified>
</cp:coreProperties>
</file>