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CB9B" w14:textId="2699B2B7" w:rsidR="00715914" w:rsidRPr="00620085" w:rsidRDefault="00DA186E" w:rsidP="00B05CF4">
      <w:pPr>
        <w:rPr>
          <w:sz w:val="28"/>
        </w:rPr>
      </w:pPr>
      <w:r w:rsidRPr="00620085">
        <w:rPr>
          <w:noProof/>
          <w:lang w:eastAsia="en-AU"/>
        </w:rPr>
        <w:drawing>
          <wp:inline distT="0" distB="0" distL="0" distR="0" wp14:anchorId="5BB9FB28" wp14:editId="08E5232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F625" w14:textId="77777777" w:rsidR="00715914" w:rsidRPr="00620085" w:rsidRDefault="00715914" w:rsidP="00715914">
      <w:pPr>
        <w:rPr>
          <w:sz w:val="19"/>
        </w:rPr>
      </w:pPr>
    </w:p>
    <w:p w14:paraId="27FE8E3C" w14:textId="77777777" w:rsidR="00715914" w:rsidRPr="00620085" w:rsidRDefault="00E0519C" w:rsidP="00715914">
      <w:pPr>
        <w:pStyle w:val="ShortT"/>
      </w:pPr>
      <w:r w:rsidRPr="00620085">
        <w:t>Biosecurity (Biosecurity Response Zone</w:t>
      </w:r>
      <w:r w:rsidR="00246D66" w:rsidRPr="00620085">
        <w:t xml:space="preserve"> for Foot and Mouth Disease—Relevant Ports</w:t>
      </w:r>
      <w:r w:rsidRPr="00620085">
        <w:t xml:space="preserve">) </w:t>
      </w:r>
      <w:r w:rsidR="00A674BC" w:rsidRPr="00620085">
        <w:t>Determination 2</w:t>
      </w:r>
      <w:r w:rsidRPr="00620085">
        <w:t>022</w:t>
      </w:r>
    </w:p>
    <w:p w14:paraId="6BA34E63" w14:textId="77777777" w:rsidR="00246D66" w:rsidRPr="00620085" w:rsidRDefault="00246D66" w:rsidP="000C0DFB">
      <w:pPr>
        <w:pStyle w:val="SignCoverPageStart"/>
        <w:rPr>
          <w:szCs w:val="22"/>
        </w:rPr>
      </w:pPr>
      <w:r w:rsidRPr="00620085">
        <w:rPr>
          <w:szCs w:val="22"/>
        </w:rPr>
        <w:t>I, Cindy Briscoe, Director of Biosecurity, make the following determination.</w:t>
      </w:r>
    </w:p>
    <w:p w14:paraId="73032DD0" w14:textId="19566F11" w:rsidR="00246D66" w:rsidRPr="00620085" w:rsidRDefault="00246D66" w:rsidP="000C0DFB">
      <w:pPr>
        <w:keepNext/>
        <w:spacing w:before="300" w:line="240" w:lineRule="atLeast"/>
        <w:ind w:right="397"/>
        <w:jc w:val="both"/>
        <w:rPr>
          <w:szCs w:val="22"/>
        </w:rPr>
      </w:pPr>
      <w:r w:rsidRPr="00620085">
        <w:rPr>
          <w:szCs w:val="22"/>
        </w:rPr>
        <w:t>Dated</w:t>
      </w:r>
      <w:r w:rsidRPr="00620085">
        <w:rPr>
          <w:szCs w:val="22"/>
        </w:rPr>
        <w:tab/>
      </w:r>
      <w:r w:rsidRPr="00620085">
        <w:rPr>
          <w:szCs w:val="22"/>
        </w:rPr>
        <w:tab/>
      </w:r>
      <w:r w:rsidR="00A54B7A">
        <w:rPr>
          <w:szCs w:val="22"/>
        </w:rPr>
        <w:t>21</w:t>
      </w:r>
      <w:r w:rsidR="00A54B7A" w:rsidRPr="00A54B7A">
        <w:rPr>
          <w:szCs w:val="22"/>
          <w:vertAlign w:val="superscript"/>
        </w:rPr>
        <w:t>st</w:t>
      </w:r>
      <w:r w:rsidR="00A54B7A">
        <w:rPr>
          <w:szCs w:val="22"/>
        </w:rPr>
        <w:t xml:space="preserve"> Sept</w:t>
      </w:r>
      <w:r w:rsidRPr="00620085">
        <w:rPr>
          <w:szCs w:val="22"/>
        </w:rPr>
        <w:tab/>
      </w:r>
      <w:r w:rsidRPr="00620085">
        <w:rPr>
          <w:szCs w:val="22"/>
        </w:rPr>
        <w:tab/>
      </w:r>
      <w:r w:rsidRPr="00620085">
        <w:rPr>
          <w:szCs w:val="22"/>
        </w:rPr>
        <w:fldChar w:fldCharType="begin"/>
      </w:r>
      <w:r w:rsidRPr="00620085">
        <w:rPr>
          <w:szCs w:val="22"/>
        </w:rPr>
        <w:instrText xml:space="preserve"> DOCPROPERTY  DateMade </w:instrText>
      </w:r>
      <w:r w:rsidRPr="00620085">
        <w:rPr>
          <w:szCs w:val="22"/>
        </w:rPr>
        <w:fldChar w:fldCharType="separate"/>
      </w:r>
      <w:r w:rsidR="00054277">
        <w:rPr>
          <w:szCs w:val="22"/>
        </w:rPr>
        <w:t>2022</w:t>
      </w:r>
      <w:r w:rsidRPr="00620085">
        <w:rPr>
          <w:szCs w:val="22"/>
        </w:rPr>
        <w:fldChar w:fldCharType="end"/>
      </w:r>
    </w:p>
    <w:p w14:paraId="277E9471" w14:textId="77777777" w:rsidR="00A54B7A" w:rsidRDefault="00A54B7A" w:rsidP="00A54B7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764F51FE" w14:textId="77777777" w:rsidR="00A54B7A" w:rsidRDefault="00A54B7A" w:rsidP="00A54B7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72C0A768" w14:textId="77777777" w:rsidR="00A54B7A" w:rsidRDefault="00A54B7A" w:rsidP="00A54B7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46064744" w14:textId="77777777" w:rsidR="00A54B7A" w:rsidRDefault="00A54B7A" w:rsidP="00A54B7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7A6CBDAA" w14:textId="77777777" w:rsidR="00A54B7A" w:rsidRDefault="00A54B7A" w:rsidP="00A54B7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</w:p>
    <w:p w14:paraId="55471392" w14:textId="41732C06" w:rsidR="00A54B7A" w:rsidRDefault="00A54B7A" w:rsidP="00A54B7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Cindy Briscoe</w:t>
      </w:r>
    </w:p>
    <w:p w14:paraId="5C017C85" w14:textId="294BA008" w:rsidR="00246D66" w:rsidRPr="00620085" w:rsidRDefault="00246D66" w:rsidP="00A54B7A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20085">
        <w:rPr>
          <w:szCs w:val="22"/>
        </w:rPr>
        <w:t>Cindy Briscoe</w:t>
      </w:r>
    </w:p>
    <w:p w14:paraId="4012F32D" w14:textId="77777777" w:rsidR="00246D66" w:rsidRPr="00620085" w:rsidRDefault="00246D66" w:rsidP="000C0DFB">
      <w:pPr>
        <w:pStyle w:val="SignCoverPageEnd"/>
        <w:rPr>
          <w:szCs w:val="22"/>
        </w:rPr>
      </w:pPr>
      <w:r w:rsidRPr="00620085">
        <w:rPr>
          <w:szCs w:val="22"/>
        </w:rPr>
        <w:t>Director of Biosecurity</w:t>
      </w:r>
    </w:p>
    <w:p w14:paraId="3207DEAA" w14:textId="77777777" w:rsidR="00246D66" w:rsidRPr="00620085" w:rsidRDefault="00246D66" w:rsidP="000C0DFB"/>
    <w:p w14:paraId="72F5E703" w14:textId="77777777" w:rsidR="00715914" w:rsidRPr="00620085" w:rsidRDefault="00715914" w:rsidP="00715914">
      <w:pPr>
        <w:pStyle w:val="Header"/>
        <w:tabs>
          <w:tab w:val="clear" w:pos="4150"/>
          <w:tab w:val="clear" w:pos="8307"/>
        </w:tabs>
      </w:pPr>
      <w:r w:rsidRPr="00620085">
        <w:rPr>
          <w:rStyle w:val="CharChapNo"/>
        </w:rPr>
        <w:t xml:space="preserve"> </w:t>
      </w:r>
      <w:r w:rsidRPr="00620085">
        <w:rPr>
          <w:rStyle w:val="CharChapText"/>
        </w:rPr>
        <w:t xml:space="preserve"> </w:t>
      </w:r>
    </w:p>
    <w:p w14:paraId="5EAC5453" w14:textId="77777777" w:rsidR="00715914" w:rsidRPr="00620085" w:rsidRDefault="00715914" w:rsidP="00715914">
      <w:pPr>
        <w:pStyle w:val="Header"/>
        <w:tabs>
          <w:tab w:val="clear" w:pos="4150"/>
          <w:tab w:val="clear" w:pos="8307"/>
        </w:tabs>
      </w:pPr>
      <w:r w:rsidRPr="00620085">
        <w:rPr>
          <w:rStyle w:val="CharPartNo"/>
        </w:rPr>
        <w:t xml:space="preserve"> </w:t>
      </w:r>
      <w:r w:rsidRPr="00620085">
        <w:rPr>
          <w:rStyle w:val="CharPartText"/>
        </w:rPr>
        <w:t xml:space="preserve"> </w:t>
      </w:r>
    </w:p>
    <w:p w14:paraId="142BE645" w14:textId="77777777" w:rsidR="00715914" w:rsidRPr="00620085" w:rsidRDefault="00715914" w:rsidP="00715914">
      <w:pPr>
        <w:pStyle w:val="Header"/>
        <w:tabs>
          <w:tab w:val="clear" w:pos="4150"/>
          <w:tab w:val="clear" w:pos="8307"/>
        </w:tabs>
      </w:pPr>
      <w:r w:rsidRPr="00620085">
        <w:rPr>
          <w:rStyle w:val="CharDivNo"/>
        </w:rPr>
        <w:t xml:space="preserve"> </w:t>
      </w:r>
      <w:r w:rsidRPr="00620085">
        <w:rPr>
          <w:rStyle w:val="CharDivText"/>
        </w:rPr>
        <w:t xml:space="preserve"> </w:t>
      </w:r>
    </w:p>
    <w:p w14:paraId="732DB10A" w14:textId="77777777" w:rsidR="00715914" w:rsidRPr="00620085" w:rsidRDefault="00715914" w:rsidP="00715914">
      <w:pPr>
        <w:sectPr w:rsidR="00715914" w:rsidRPr="00620085" w:rsidSect="007A17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AEDD3E1" w14:textId="77777777" w:rsidR="00F67BCA" w:rsidRPr="00620085" w:rsidRDefault="00715914" w:rsidP="00715914">
      <w:pPr>
        <w:outlineLvl w:val="0"/>
        <w:rPr>
          <w:sz w:val="36"/>
        </w:rPr>
      </w:pPr>
      <w:r w:rsidRPr="00620085">
        <w:rPr>
          <w:sz w:val="36"/>
        </w:rPr>
        <w:lastRenderedPageBreak/>
        <w:t>Contents</w:t>
      </w:r>
    </w:p>
    <w:p w14:paraId="50E63355" w14:textId="3D20DE0D" w:rsidR="00FD1696" w:rsidRPr="00620085" w:rsidRDefault="00FD169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20085">
        <w:fldChar w:fldCharType="begin"/>
      </w:r>
      <w:r w:rsidRPr="00620085">
        <w:instrText xml:space="preserve"> TOC \o "1-9" </w:instrText>
      </w:r>
      <w:r w:rsidRPr="00620085">
        <w:fldChar w:fldCharType="separate"/>
      </w:r>
      <w:r w:rsidRPr="00620085">
        <w:rPr>
          <w:noProof/>
        </w:rPr>
        <w:t>Part 1—Preliminary</w:t>
      </w:r>
      <w:r w:rsidRPr="00620085">
        <w:rPr>
          <w:b w:val="0"/>
          <w:noProof/>
          <w:sz w:val="18"/>
        </w:rPr>
        <w:tab/>
      </w:r>
      <w:r w:rsidRPr="00620085">
        <w:rPr>
          <w:b w:val="0"/>
          <w:noProof/>
          <w:sz w:val="18"/>
        </w:rPr>
        <w:fldChar w:fldCharType="begin"/>
      </w:r>
      <w:r w:rsidRPr="00620085">
        <w:rPr>
          <w:b w:val="0"/>
          <w:noProof/>
          <w:sz w:val="18"/>
        </w:rPr>
        <w:instrText xml:space="preserve"> PAGEREF _Toc114568458 \h </w:instrText>
      </w:r>
      <w:r w:rsidRPr="00620085">
        <w:rPr>
          <w:b w:val="0"/>
          <w:noProof/>
          <w:sz w:val="18"/>
        </w:rPr>
      </w:r>
      <w:r w:rsidRPr="00620085">
        <w:rPr>
          <w:b w:val="0"/>
          <w:noProof/>
          <w:sz w:val="18"/>
        </w:rPr>
        <w:fldChar w:fldCharType="separate"/>
      </w:r>
      <w:r w:rsidR="00054277">
        <w:rPr>
          <w:b w:val="0"/>
          <w:noProof/>
          <w:sz w:val="18"/>
        </w:rPr>
        <w:t>1</w:t>
      </w:r>
      <w:r w:rsidRPr="00620085">
        <w:rPr>
          <w:b w:val="0"/>
          <w:noProof/>
          <w:sz w:val="18"/>
        </w:rPr>
        <w:fldChar w:fldCharType="end"/>
      </w:r>
    </w:p>
    <w:p w14:paraId="2A4C207E" w14:textId="06DACBDA" w:rsidR="00FD1696" w:rsidRPr="00620085" w:rsidRDefault="00FD16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0085">
        <w:rPr>
          <w:noProof/>
        </w:rPr>
        <w:t>1</w:t>
      </w:r>
      <w:r w:rsidRPr="00620085">
        <w:rPr>
          <w:noProof/>
        </w:rPr>
        <w:tab/>
        <w:t>Name</w:t>
      </w:r>
      <w:r w:rsidRPr="00620085">
        <w:rPr>
          <w:noProof/>
        </w:rPr>
        <w:tab/>
      </w:r>
      <w:r w:rsidRPr="00620085">
        <w:rPr>
          <w:noProof/>
        </w:rPr>
        <w:fldChar w:fldCharType="begin"/>
      </w:r>
      <w:r w:rsidRPr="00620085">
        <w:rPr>
          <w:noProof/>
        </w:rPr>
        <w:instrText xml:space="preserve"> PAGEREF _Toc114568459 \h </w:instrText>
      </w:r>
      <w:r w:rsidRPr="00620085">
        <w:rPr>
          <w:noProof/>
        </w:rPr>
      </w:r>
      <w:r w:rsidRPr="00620085">
        <w:rPr>
          <w:noProof/>
        </w:rPr>
        <w:fldChar w:fldCharType="separate"/>
      </w:r>
      <w:r w:rsidR="00054277">
        <w:rPr>
          <w:noProof/>
        </w:rPr>
        <w:t>1</w:t>
      </w:r>
      <w:r w:rsidRPr="00620085">
        <w:rPr>
          <w:noProof/>
        </w:rPr>
        <w:fldChar w:fldCharType="end"/>
      </w:r>
    </w:p>
    <w:p w14:paraId="458748BB" w14:textId="12A8FEE7" w:rsidR="00FD1696" w:rsidRPr="00620085" w:rsidRDefault="00FD16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0085">
        <w:rPr>
          <w:noProof/>
        </w:rPr>
        <w:t>2</w:t>
      </w:r>
      <w:r w:rsidRPr="00620085">
        <w:rPr>
          <w:noProof/>
        </w:rPr>
        <w:tab/>
        <w:t>Commencement</w:t>
      </w:r>
      <w:r w:rsidRPr="00620085">
        <w:rPr>
          <w:noProof/>
        </w:rPr>
        <w:tab/>
      </w:r>
      <w:r w:rsidRPr="00620085">
        <w:rPr>
          <w:noProof/>
        </w:rPr>
        <w:fldChar w:fldCharType="begin"/>
      </w:r>
      <w:r w:rsidRPr="00620085">
        <w:rPr>
          <w:noProof/>
        </w:rPr>
        <w:instrText xml:space="preserve"> PAGEREF _Toc114568460 \h </w:instrText>
      </w:r>
      <w:r w:rsidRPr="00620085">
        <w:rPr>
          <w:noProof/>
        </w:rPr>
      </w:r>
      <w:r w:rsidRPr="00620085">
        <w:rPr>
          <w:noProof/>
        </w:rPr>
        <w:fldChar w:fldCharType="separate"/>
      </w:r>
      <w:r w:rsidR="00054277">
        <w:rPr>
          <w:noProof/>
        </w:rPr>
        <w:t>1</w:t>
      </w:r>
      <w:r w:rsidRPr="00620085">
        <w:rPr>
          <w:noProof/>
        </w:rPr>
        <w:fldChar w:fldCharType="end"/>
      </w:r>
    </w:p>
    <w:p w14:paraId="71FE084B" w14:textId="71872152" w:rsidR="00FD1696" w:rsidRPr="00620085" w:rsidRDefault="00FD16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0085">
        <w:rPr>
          <w:noProof/>
        </w:rPr>
        <w:t>3</w:t>
      </w:r>
      <w:r w:rsidRPr="00620085">
        <w:rPr>
          <w:noProof/>
        </w:rPr>
        <w:tab/>
        <w:t>Authority</w:t>
      </w:r>
      <w:r w:rsidRPr="00620085">
        <w:rPr>
          <w:noProof/>
        </w:rPr>
        <w:tab/>
      </w:r>
      <w:r w:rsidRPr="00620085">
        <w:rPr>
          <w:noProof/>
        </w:rPr>
        <w:fldChar w:fldCharType="begin"/>
      </w:r>
      <w:r w:rsidRPr="00620085">
        <w:rPr>
          <w:noProof/>
        </w:rPr>
        <w:instrText xml:space="preserve"> PAGEREF _Toc114568461 \h </w:instrText>
      </w:r>
      <w:r w:rsidRPr="00620085">
        <w:rPr>
          <w:noProof/>
        </w:rPr>
      </w:r>
      <w:r w:rsidRPr="00620085">
        <w:rPr>
          <w:noProof/>
        </w:rPr>
        <w:fldChar w:fldCharType="separate"/>
      </w:r>
      <w:r w:rsidR="00054277">
        <w:rPr>
          <w:noProof/>
        </w:rPr>
        <w:t>1</w:t>
      </w:r>
      <w:r w:rsidRPr="00620085">
        <w:rPr>
          <w:noProof/>
        </w:rPr>
        <w:fldChar w:fldCharType="end"/>
      </w:r>
    </w:p>
    <w:p w14:paraId="399127B2" w14:textId="383E6093" w:rsidR="00FD1696" w:rsidRPr="00620085" w:rsidRDefault="00FD16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0085">
        <w:rPr>
          <w:noProof/>
        </w:rPr>
        <w:t>4</w:t>
      </w:r>
      <w:r w:rsidRPr="00620085">
        <w:rPr>
          <w:noProof/>
        </w:rPr>
        <w:tab/>
        <w:t>Definitions</w:t>
      </w:r>
      <w:r w:rsidRPr="00620085">
        <w:rPr>
          <w:noProof/>
        </w:rPr>
        <w:tab/>
      </w:r>
      <w:r w:rsidRPr="00620085">
        <w:rPr>
          <w:noProof/>
        </w:rPr>
        <w:fldChar w:fldCharType="begin"/>
      </w:r>
      <w:r w:rsidRPr="00620085">
        <w:rPr>
          <w:noProof/>
        </w:rPr>
        <w:instrText xml:space="preserve"> PAGEREF _Toc114568462 \h </w:instrText>
      </w:r>
      <w:r w:rsidRPr="00620085">
        <w:rPr>
          <w:noProof/>
        </w:rPr>
      </w:r>
      <w:r w:rsidRPr="00620085">
        <w:rPr>
          <w:noProof/>
        </w:rPr>
        <w:fldChar w:fldCharType="separate"/>
      </w:r>
      <w:r w:rsidR="00054277">
        <w:rPr>
          <w:noProof/>
        </w:rPr>
        <w:t>1</w:t>
      </w:r>
      <w:r w:rsidRPr="00620085">
        <w:rPr>
          <w:noProof/>
        </w:rPr>
        <w:fldChar w:fldCharType="end"/>
      </w:r>
    </w:p>
    <w:p w14:paraId="10ACBAA6" w14:textId="798B5E7F" w:rsidR="00FD1696" w:rsidRPr="00620085" w:rsidRDefault="00FD16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0085">
        <w:rPr>
          <w:noProof/>
        </w:rPr>
        <w:t>5</w:t>
      </w:r>
      <w:r w:rsidRPr="00620085">
        <w:rPr>
          <w:noProof/>
        </w:rPr>
        <w:tab/>
        <w:t>Reasons for making instrument</w:t>
      </w:r>
      <w:r w:rsidRPr="00620085">
        <w:rPr>
          <w:noProof/>
        </w:rPr>
        <w:tab/>
      </w:r>
      <w:r w:rsidRPr="00620085">
        <w:rPr>
          <w:noProof/>
        </w:rPr>
        <w:fldChar w:fldCharType="begin"/>
      </w:r>
      <w:r w:rsidRPr="00620085">
        <w:rPr>
          <w:noProof/>
        </w:rPr>
        <w:instrText xml:space="preserve"> PAGEREF _Toc114568463 \h </w:instrText>
      </w:r>
      <w:r w:rsidRPr="00620085">
        <w:rPr>
          <w:noProof/>
        </w:rPr>
      </w:r>
      <w:r w:rsidRPr="00620085">
        <w:rPr>
          <w:noProof/>
        </w:rPr>
        <w:fldChar w:fldCharType="separate"/>
      </w:r>
      <w:r w:rsidR="00054277">
        <w:rPr>
          <w:noProof/>
        </w:rPr>
        <w:t>1</w:t>
      </w:r>
      <w:r w:rsidRPr="00620085">
        <w:rPr>
          <w:noProof/>
        </w:rPr>
        <w:fldChar w:fldCharType="end"/>
      </w:r>
    </w:p>
    <w:p w14:paraId="4D8123C2" w14:textId="28419980" w:rsidR="00FD1696" w:rsidRPr="00620085" w:rsidRDefault="00FD169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20085">
        <w:rPr>
          <w:noProof/>
        </w:rPr>
        <w:t>Part 2—Biosecurity response zone</w:t>
      </w:r>
      <w:r w:rsidRPr="00620085">
        <w:rPr>
          <w:b w:val="0"/>
          <w:noProof/>
          <w:sz w:val="18"/>
        </w:rPr>
        <w:tab/>
      </w:r>
      <w:r w:rsidRPr="00620085">
        <w:rPr>
          <w:b w:val="0"/>
          <w:noProof/>
          <w:sz w:val="18"/>
        </w:rPr>
        <w:fldChar w:fldCharType="begin"/>
      </w:r>
      <w:r w:rsidRPr="00620085">
        <w:rPr>
          <w:b w:val="0"/>
          <w:noProof/>
          <w:sz w:val="18"/>
        </w:rPr>
        <w:instrText xml:space="preserve"> PAGEREF _Toc114568464 \h </w:instrText>
      </w:r>
      <w:r w:rsidRPr="00620085">
        <w:rPr>
          <w:b w:val="0"/>
          <w:noProof/>
          <w:sz w:val="18"/>
        </w:rPr>
      </w:r>
      <w:r w:rsidRPr="00620085">
        <w:rPr>
          <w:b w:val="0"/>
          <w:noProof/>
          <w:sz w:val="18"/>
        </w:rPr>
        <w:fldChar w:fldCharType="separate"/>
      </w:r>
      <w:r w:rsidR="00054277">
        <w:rPr>
          <w:b w:val="0"/>
          <w:noProof/>
          <w:sz w:val="18"/>
        </w:rPr>
        <w:t>3</w:t>
      </w:r>
      <w:r w:rsidRPr="00620085">
        <w:rPr>
          <w:b w:val="0"/>
          <w:noProof/>
          <w:sz w:val="18"/>
        </w:rPr>
        <w:fldChar w:fldCharType="end"/>
      </w:r>
    </w:p>
    <w:p w14:paraId="6E459ED1" w14:textId="63ED8C1C" w:rsidR="00FD1696" w:rsidRPr="00620085" w:rsidRDefault="00FD16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0085">
        <w:rPr>
          <w:noProof/>
        </w:rPr>
        <w:t>6</w:t>
      </w:r>
      <w:r w:rsidRPr="00620085">
        <w:rPr>
          <w:noProof/>
        </w:rPr>
        <w:tab/>
        <w:t>Biosecurity response zone</w:t>
      </w:r>
      <w:r w:rsidRPr="00620085">
        <w:rPr>
          <w:noProof/>
        </w:rPr>
        <w:tab/>
      </w:r>
      <w:r w:rsidRPr="00620085">
        <w:rPr>
          <w:noProof/>
        </w:rPr>
        <w:fldChar w:fldCharType="begin"/>
      </w:r>
      <w:r w:rsidRPr="00620085">
        <w:rPr>
          <w:noProof/>
        </w:rPr>
        <w:instrText xml:space="preserve"> PAGEREF _Toc114568465 \h </w:instrText>
      </w:r>
      <w:r w:rsidRPr="00620085">
        <w:rPr>
          <w:noProof/>
        </w:rPr>
      </w:r>
      <w:r w:rsidRPr="00620085">
        <w:rPr>
          <w:noProof/>
        </w:rPr>
        <w:fldChar w:fldCharType="separate"/>
      </w:r>
      <w:r w:rsidR="00054277">
        <w:rPr>
          <w:noProof/>
        </w:rPr>
        <w:t>3</w:t>
      </w:r>
      <w:r w:rsidRPr="00620085">
        <w:rPr>
          <w:noProof/>
        </w:rPr>
        <w:fldChar w:fldCharType="end"/>
      </w:r>
    </w:p>
    <w:p w14:paraId="7FEAB3DB" w14:textId="42588797" w:rsidR="00FD1696" w:rsidRPr="00620085" w:rsidRDefault="00FD16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0085">
        <w:rPr>
          <w:noProof/>
        </w:rPr>
        <w:t>7</w:t>
      </w:r>
      <w:r w:rsidRPr="00620085">
        <w:rPr>
          <w:noProof/>
        </w:rPr>
        <w:tab/>
        <w:t>Diseases and pests</w:t>
      </w:r>
      <w:r w:rsidRPr="00620085">
        <w:rPr>
          <w:noProof/>
        </w:rPr>
        <w:tab/>
      </w:r>
      <w:r w:rsidRPr="00620085">
        <w:rPr>
          <w:noProof/>
        </w:rPr>
        <w:fldChar w:fldCharType="begin"/>
      </w:r>
      <w:r w:rsidRPr="00620085">
        <w:rPr>
          <w:noProof/>
        </w:rPr>
        <w:instrText xml:space="preserve"> PAGEREF _Toc114568466 \h </w:instrText>
      </w:r>
      <w:r w:rsidRPr="00620085">
        <w:rPr>
          <w:noProof/>
        </w:rPr>
      </w:r>
      <w:r w:rsidRPr="00620085">
        <w:rPr>
          <w:noProof/>
        </w:rPr>
        <w:fldChar w:fldCharType="separate"/>
      </w:r>
      <w:r w:rsidR="00054277">
        <w:rPr>
          <w:noProof/>
        </w:rPr>
        <w:t>3</w:t>
      </w:r>
      <w:r w:rsidRPr="00620085">
        <w:rPr>
          <w:noProof/>
        </w:rPr>
        <w:fldChar w:fldCharType="end"/>
      </w:r>
    </w:p>
    <w:p w14:paraId="6A02C32E" w14:textId="658DA3C4" w:rsidR="00FD1696" w:rsidRPr="00620085" w:rsidRDefault="00FD16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0085">
        <w:rPr>
          <w:noProof/>
        </w:rPr>
        <w:t>8</w:t>
      </w:r>
      <w:r w:rsidRPr="00620085">
        <w:rPr>
          <w:noProof/>
        </w:rPr>
        <w:tab/>
        <w:t>Nature of biosecurity risk that needs to be managed</w:t>
      </w:r>
      <w:r w:rsidRPr="00620085">
        <w:rPr>
          <w:noProof/>
        </w:rPr>
        <w:tab/>
      </w:r>
      <w:r w:rsidRPr="00620085">
        <w:rPr>
          <w:noProof/>
        </w:rPr>
        <w:fldChar w:fldCharType="begin"/>
      </w:r>
      <w:r w:rsidRPr="00620085">
        <w:rPr>
          <w:noProof/>
        </w:rPr>
        <w:instrText xml:space="preserve"> PAGEREF _Toc114568467 \h </w:instrText>
      </w:r>
      <w:r w:rsidRPr="00620085">
        <w:rPr>
          <w:noProof/>
        </w:rPr>
      </w:r>
      <w:r w:rsidRPr="00620085">
        <w:rPr>
          <w:noProof/>
        </w:rPr>
        <w:fldChar w:fldCharType="separate"/>
      </w:r>
      <w:r w:rsidR="00054277">
        <w:rPr>
          <w:noProof/>
        </w:rPr>
        <w:t>3</w:t>
      </w:r>
      <w:r w:rsidRPr="00620085">
        <w:rPr>
          <w:noProof/>
        </w:rPr>
        <w:fldChar w:fldCharType="end"/>
      </w:r>
    </w:p>
    <w:p w14:paraId="0706A7D6" w14:textId="2DED680B" w:rsidR="00FD1696" w:rsidRPr="00620085" w:rsidRDefault="00FD169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20085">
        <w:rPr>
          <w:noProof/>
        </w:rPr>
        <w:t>Part 3—Powers that may be exercised in, or in relation to goods or premises in, the biosecurity response zone</w:t>
      </w:r>
      <w:r w:rsidRPr="00620085">
        <w:rPr>
          <w:b w:val="0"/>
          <w:noProof/>
          <w:sz w:val="18"/>
        </w:rPr>
        <w:tab/>
      </w:r>
      <w:r w:rsidRPr="00620085">
        <w:rPr>
          <w:b w:val="0"/>
          <w:noProof/>
          <w:sz w:val="18"/>
        </w:rPr>
        <w:fldChar w:fldCharType="begin"/>
      </w:r>
      <w:r w:rsidRPr="00620085">
        <w:rPr>
          <w:b w:val="0"/>
          <w:noProof/>
          <w:sz w:val="18"/>
        </w:rPr>
        <w:instrText xml:space="preserve"> PAGEREF _Toc114568468 \h </w:instrText>
      </w:r>
      <w:r w:rsidRPr="00620085">
        <w:rPr>
          <w:b w:val="0"/>
          <w:noProof/>
          <w:sz w:val="18"/>
        </w:rPr>
      </w:r>
      <w:r w:rsidRPr="00620085">
        <w:rPr>
          <w:b w:val="0"/>
          <w:noProof/>
          <w:sz w:val="18"/>
        </w:rPr>
        <w:fldChar w:fldCharType="separate"/>
      </w:r>
      <w:r w:rsidR="00054277">
        <w:rPr>
          <w:b w:val="0"/>
          <w:noProof/>
          <w:sz w:val="18"/>
        </w:rPr>
        <w:t>4</w:t>
      </w:r>
      <w:r w:rsidRPr="00620085">
        <w:rPr>
          <w:b w:val="0"/>
          <w:noProof/>
          <w:sz w:val="18"/>
        </w:rPr>
        <w:fldChar w:fldCharType="end"/>
      </w:r>
    </w:p>
    <w:p w14:paraId="25617457" w14:textId="7E832793" w:rsidR="00FD1696" w:rsidRPr="00620085" w:rsidRDefault="00FD16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0085">
        <w:rPr>
          <w:noProof/>
        </w:rPr>
        <w:t>9</w:t>
      </w:r>
      <w:r w:rsidRPr="00620085">
        <w:rPr>
          <w:noProof/>
        </w:rPr>
        <w:tab/>
        <w:t>Powers to require biosecurity measures to be taken</w:t>
      </w:r>
      <w:r w:rsidRPr="00620085">
        <w:rPr>
          <w:noProof/>
        </w:rPr>
        <w:tab/>
      </w:r>
      <w:r w:rsidRPr="00620085">
        <w:rPr>
          <w:noProof/>
        </w:rPr>
        <w:fldChar w:fldCharType="begin"/>
      </w:r>
      <w:r w:rsidRPr="00620085">
        <w:rPr>
          <w:noProof/>
        </w:rPr>
        <w:instrText xml:space="preserve"> PAGEREF _Toc114568469 \h </w:instrText>
      </w:r>
      <w:r w:rsidRPr="00620085">
        <w:rPr>
          <w:noProof/>
        </w:rPr>
      </w:r>
      <w:r w:rsidRPr="00620085">
        <w:rPr>
          <w:noProof/>
        </w:rPr>
        <w:fldChar w:fldCharType="separate"/>
      </w:r>
      <w:r w:rsidR="00054277">
        <w:rPr>
          <w:noProof/>
        </w:rPr>
        <w:t>4</w:t>
      </w:r>
      <w:r w:rsidRPr="00620085">
        <w:rPr>
          <w:noProof/>
        </w:rPr>
        <w:fldChar w:fldCharType="end"/>
      </w:r>
    </w:p>
    <w:p w14:paraId="26B8FEE8" w14:textId="689E593B" w:rsidR="00FD1696" w:rsidRPr="00620085" w:rsidRDefault="00FD16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0085">
        <w:rPr>
          <w:noProof/>
        </w:rPr>
        <w:t>10</w:t>
      </w:r>
      <w:r w:rsidRPr="00620085">
        <w:rPr>
          <w:noProof/>
        </w:rPr>
        <w:tab/>
        <w:t>Additional biosecurity response zone powers</w:t>
      </w:r>
      <w:r w:rsidRPr="00620085">
        <w:rPr>
          <w:noProof/>
        </w:rPr>
        <w:tab/>
      </w:r>
      <w:r w:rsidRPr="00620085">
        <w:rPr>
          <w:noProof/>
        </w:rPr>
        <w:fldChar w:fldCharType="begin"/>
      </w:r>
      <w:r w:rsidRPr="00620085">
        <w:rPr>
          <w:noProof/>
        </w:rPr>
        <w:instrText xml:space="preserve"> PAGEREF _Toc114568470 \h </w:instrText>
      </w:r>
      <w:r w:rsidRPr="00620085">
        <w:rPr>
          <w:noProof/>
        </w:rPr>
      </w:r>
      <w:r w:rsidRPr="00620085">
        <w:rPr>
          <w:noProof/>
        </w:rPr>
        <w:fldChar w:fldCharType="separate"/>
      </w:r>
      <w:r w:rsidR="00054277">
        <w:rPr>
          <w:noProof/>
        </w:rPr>
        <w:t>4</w:t>
      </w:r>
      <w:r w:rsidRPr="00620085">
        <w:rPr>
          <w:noProof/>
        </w:rPr>
        <w:fldChar w:fldCharType="end"/>
      </w:r>
    </w:p>
    <w:p w14:paraId="2217C0D5" w14:textId="1F83835E" w:rsidR="00FD1696" w:rsidRPr="00620085" w:rsidRDefault="00FD169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20085">
        <w:rPr>
          <w:noProof/>
        </w:rPr>
        <w:t>Part 4—Period in force</w:t>
      </w:r>
      <w:r w:rsidRPr="00620085">
        <w:rPr>
          <w:b w:val="0"/>
          <w:noProof/>
          <w:sz w:val="18"/>
        </w:rPr>
        <w:tab/>
      </w:r>
      <w:r w:rsidRPr="00620085">
        <w:rPr>
          <w:b w:val="0"/>
          <w:noProof/>
          <w:sz w:val="18"/>
        </w:rPr>
        <w:fldChar w:fldCharType="begin"/>
      </w:r>
      <w:r w:rsidRPr="00620085">
        <w:rPr>
          <w:b w:val="0"/>
          <w:noProof/>
          <w:sz w:val="18"/>
        </w:rPr>
        <w:instrText xml:space="preserve"> PAGEREF _Toc114568471 \h </w:instrText>
      </w:r>
      <w:r w:rsidRPr="00620085">
        <w:rPr>
          <w:b w:val="0"/>
          <w:noProof/>
          <w:sz w:val="18"/>
        </w:rPr>
      </w:r>
      <w:r w:rsidRPr="00620085">
        <w:rPr>
          <w:b w:val="0"/>
          <w:noProof/>
          <w:sz w:val="18"/>
        </w:rPr>
        <w:fldChar w:fldCharType="separate"/>
      </w:r>
      <w:r w:rsidR="00054277">
        <w:rPr>
          <w:b w:val="0"/>
          <w:noProof/>
          <w:sz w:val="18"/>
        </w:rPr>
        <w:t>5</w:t>
      </w:r>
      <w:r w:rsidRPr="00620085">
        <w:rPr>
          <w:b w:val="0"/>
          <w:noProof/>
          <w:sz w:val="18"/>
        </w:rPr>
        <w:fldChar w:fldCharType="end"/>
      </w:r>
    </w:p>
    <w:p w14:paraId="044D67DA" w14:textId="04326352" w:rsidR="00FD1696" w:rsidRPr="00620085" w:rsidRDefault="00FD16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0085">
        <w:rPr>
          <w:noProof/>
        </w:rPr>
        <w:t>11</w:t>
      </w:r>
      <w:r w:rsidRPr="00620085">
        <w:rPr>
          <w:noProof/>
        </w:rPr>
        <w:tab/>
        <w:t>Period in force</w:t>
      </w:r>
      <w:r w:rsidRPr="00620085">
        <w:rPr>
          <w:noProof/>
        </w:rPr>
        <w:tab/>
      </w:r>
      <w:r w:rsidRPr="00620085">
        <w:rPr>
          <w:noProof/>
        </w:rPr>
        <w:fldChar w:fldCharType="begin"/>
      </w:r>
      <w:r w:rsidRPr="00620085">
        <w:rPr>
          <w:noProof/>
        </w:rPr>
        <w:instrText xml:space="preserve"> PAGEREF _Toc114568472 \h </w:instrText>
      </w:r>
      <w:r w:rsidRPr="00620085">
        <w:rPr>
          <w:noProof/>
        </w:rPr>
      </w:r>
      <w:r w:rsidRPr="00620085">
        <w:rPr>
          <w:noProof/>
        </w:rPr>
        <w:fldChar w:fldCharType="separate"/>
      </w:r>
      <w:r w:rsidR="00054277">
        <w:rPr>
          <w:noProof/>
        </w:rPr>
        <w:t>5</w:t>
      </w:r>
      <w:r w:rsidRPr="00620085">
        <w:rPr>
          <w:noProof/>
        </w:rPr>
        <w:fldChar w:fldCharType="end"/>
      </w:r>
    </w:p>
    <w:p w14:paraId="2895B9B7" w14:textId="06792E32" w:rsidR="00FD1696" w:rsidRPr="00620085" w:rsidRDefault="00FD16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0085">
        <w:rPr>
          <w:noProof/>
        </w:rPr>
        <w:t>12</w:t>
      </w:r>
      <w:r w:rsidRPr="00620085">
        <w:rPr>
          <w:noProof/>
        </w:rPr>
        <w:tab/>
        <w:t>Repeal</w:t>
      </w:r>
      <w:r w:rsidRPr="00620085">
        <w:rPr>
          <w:noProof/>
        </w:rPr>
        <w:tab/>
      </w:r>
      <w:r w:rsidRPr="00620085">
        <w:rPr>
          <w:noProof/>
        </w:rPr>
        <w:fldChar w:fldCharType="begin"/>
      </w:r>
      <w:r w:rsidRPr="00620085">
        <w:rPr>
          <w:noProof/>
        </w:rPr>
        <w:instrText xml:space="preserve"> PAGEREF _Toc114568473 \h </w:instrText>
      </w:r>
      <w:r w:rsidRPr="00620085">
        <w:rPr>
          <w:noProof/>
        </w:rPr>
      </w:r>
      <w:r w:rsidRPr="00620085">
        <w:rPr>
          <w:noProof/>
        </w:rPr>
        <w:fldChar w:fldCharType="separate"/>
      </w:r>
      <w:r w:rsidR="00054277">
        <w:rPr>
          <w:noProof/>
        </w:rPr>
        <w:t>5</w:t>
      </w:r>
      <w:r w:rsidRPr="00620085">
        <w:rPr>
          <w:noProof/>
        </w:rPr>
        <w:fldChar w:fldCharType="end"/>
      </w:r>
    </w:p>
    <w:p w14:paraId="130258B5" w14:textId="77777777" w:rsidR="00670EA1" w:rsidRPr="00620085" w:rsidRDefault="00FD1696" w:rsidP="00715914">
      <w:r w:rsidRPr="00620085">
        <w:fldChar w:fldCharType="end"/>
      </w:r>
    </w:p>
    <w:p w14:paraId="5C11C635" w14:textId="77777777" w:rsidR="00670EA1" w:rsidRPr="00620085" w:rsidRDefault="00670EA1" w:rsidP="00715914">
      <w:pPr>
        <w:sectPr w:rsidR="00670EA1" w:rsidRPr="00620085" w:rsidSect="007A17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0EDD0C6" w14:textId="77777777" w:rsidR="00715914" w:rsidRPr="00620085" w:rsidRDefault="00715914" w:rsidP="00715914">
      <w:pPr>
        <w:pStyle w:val="ActHead2"/>
      </w:pPr>
      <w:bookmarkStart w:id="0" w:name="_Toc114568458"/>
      <w:r w:rsidRPr="00620085">
        <w:rPr>
          <w:rStyle w:val="CharPartNo"/>
        </w:rPr>
        <w:lastRenderedPageBreak/>
        <w:t>Part 1</w:t>
      </w:r>
      <w:r w:rsidRPr="00620085">
        <w:t>—</w:t>
      </w:r>
      <w:r w:rsidRPr="00620085">
        <w:rPr>
          <w:rStyle w:val="CharPartText"/>
        </w:rPr>
        <w:t>Preliminary</w:t>
      </w:r>
      <w:bookmarkEnd w:id="0"/>
    </w:p>
    <w:p w14:paraId="2E6EF686" w14:textId="77777777" w:rsidR="00715914" w:rsidRPr="00620085" w:rsidRDefault="00715914" w:rsidP="00715914">
      <w:pPr>
        <w:pStyle w:val="Header"/>
      </w:pPr>
      <w:r w:rsidRPr="00620085">
        <w:rPr>
          <w:rStyle w:val="CharDivNo"/>
        </w:rPr>
        <w:t xml:space="preserve"> </w:t>
      </w:r>
      <w:r w:rsidRPr="00620085">
        <w:rPr>
          <w:rStyle w:val="CharDivText"/>
        </w:rPr>
        <w:t xml:space="preserve"> </w:t>
      </w:r>
    </w:p>
    <w:p w14:paraId="71F44E2A" w14:textId="77777777" w:rsidR="00715914" w:rsidRPr="00620085" w:rsidRDefault="00715914" w:rsidP="00715914">
      <w:pPr>
        <w:pStyle w:val="ActHead5"/>
      </w:pPr>
      <w:bookmarkStart w:id="1" w:name="_Toc114568459"/>
      <w:proofErr w:type="gramStart"/>
      <w:r w:rsidRPr="00620085">
        <w:rPr>
          <w:rStyle w:val="CharSectno"/>
        </w:rPr>
        <w:t>1</w:t>
      </w:r>
      <w:r w:rsidRPr="00620085">
        <w:t xml:space="preserve">  </w:t>
      </w:r>
      <w:r w:rsidR="00CE493D" w:rsidRPr="00620085">
        <w:t>Name</w:t>
      </w:r>
      <w:bookmarkEnd w:id="1"/>
      <w:proofErr w:type="gramEnd"/>
    </w:p>
    <w:p w14:paraId="44679925" w14:textId="77777777" w:rsidR="00715914" w:rsidRPr="00620085" w:rsidRDefault="00715914" w:rsidP="00715914">
      <w:pPr>
        <w:pStyle w:val="subsection"/>
      </w:pPr>
      <w:r w:rsidRPr="00620085">
        <w:tab/>
      </w:r>
      <w:r w:rsidRPr="00620085">
        <w:tab/>
      </w:r>
      <w:r w:rsidR="00E0519C" w:rsidRPr="00620085">
        <w:t>This instrument is</w:t>
      </w:r>
      <w:r w:rsidR="00CE493D" w:rsidRPr="00620085">
        <w:t xml:space="preserve"> the </w:t>
      </w:r>
      <w:r w:rsidR="00A674BC" w:rsidRPr="00620085">
        <w:rPr>
          <w:i/>
          <w:noProof/>
        </w:rPr>
        <w:t>Biosecurity (Biosecurity Response Zone for Foot and Mouth Disease—Relevant Ports) Determination 2022</w:t>
      </w:r>
      <w:r w:rsidRPr="00620085">
        <w:t>.</w:t>
      </w:r>
    </w:p>
    <w:p w14:paraId="556AEBE5" w14:textId="77777777" w:rsidR="00715914" w:rsidRPr="00620085" w:rsidRDefault="00715914" w:rsidP="00715914">
      <w:pPr>
        <w:pStyle w:val="ActHead5"/>
      </w:pPr>
      <w:bookmarkStart w:id="2" w:name="_Toc114568460"/>
      <w:proofErr w:type="gramStart"/>
      <w:r w:rsidRPr="00620085">
        <w:rPr>
          <w:rStyle w:val="CharSectno"/>
        </w:rPr>
        <w:t>2</w:t>
      </w:r>
      <w:r w:rsidRPr="00620085">
        <w:t xml:space="preserve">  Commencement</w:t>
      </w:r>
      <w:bookmarkEnd w:id="2"/>
      <w:proofErr w:type="gramEnd"/>
    </w:p>
    <w:p w14:paraId="01E886AA" w14:textId="77777777" w:rsidR="00AE3652" w:rsidRPr="00620085" w:rsidRDefault="00807626" w:rsidP="00AE3652">
      <w:pPr>
        <w:pStyle w:val="subsection"/>
      </w:pPr>
      <w:r w:rsidRPr="00620085">
        <w:tab/>
      </w:r>
      <w:r w:rsidR="00AE3652" w:rsidRPr="00620085">
        <w:t>(1)</w:t>
      </w:r>
      <w:r w:rsidR="00AE3652" w:rsidRPr="00620085">
        <w:tab/>
        <w:t xml:space="preserve">Each provision of </w:t>
      </w:r>
      <w:r w:rsidR="00E0519C" w:rsidRPr="00620085">
        <w:t>this instrument</w:t>
      </w:r>
      <w:r w:rsidR="00AE3652" w:rsidRPr="00620085">
        <w:t xml:space="preserve"> specified in column 1 of the table commences, or is taken to have commenced, in accordance with column 2 of the table. Any other statement in column 2 has effect according to its terms.</w:t>
      </w:r>
    </w:p>
    <w:p w14:paraId="5082CC66" w14:textId="77777777" w:rsidR="00AE3652" w:rsidRPr="00620085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620085" w14:paraId="1BBC2BA3" w14:textId="77777777" w:rsidTr="000C0DF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4E83814" w14:textId="77777777" w:rsidR="00AE3652" w:rsidRPr="00620085" w:rsidRDefault="00AE3652" w:rsidP="000C0DFB">
            <w:pPr>
              <w:pStyle w:val="TableHeading"/>
            </w:pPr>
            <w:r w:rsidRPr="00620085">
              <w:t>Commencement information</w:t>
            </w:r>
          </w:p>
        </w:tc>
      </w:tr>
      <w:tr w:rsidR="00AE3652" w:rsidRPr="00620085" w14:paraId="51BCD8CE" w14:textId="77777777" w:rsidTr="000C0D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E2D3EC" w14:textId="77777777" w:rsidR="00AE3652" w:rsidRPr="00620085" w:rsidRDefault="00AE3652" w:rsidP="000C0DFB">
            <w:pPr>
              <w:pStyle w:val="TableHeading"/>
            </w:pPr>
            <w:r w:rsidRPr="0062008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E8D80E" w14:textId="77777777" w:rsidR="00AE3652" w:rsidRPr="00620085" w:rsidRDefault="00AE3652" w:rsidP="000C0DFB">
            <w:pPr>
              <w:pStyle w:val="TableHeading"/>
            </w:pPr>
            <w:r w:rsidRPr="0062008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B56A54" w14:textId="77777777" w:rsidR="00AE3652" w:rsidRPr="00620085" w:rsidRDefault="00AE3652" w:rsidP="000C0DFB">
            <w:pPr>
              <w:pStyle w:val="TableHeading"/>
            </w:pPr>
            <w:r w:rsidRPr="00620085">
              <w:t>Column 3</w:t>
            </w:r>
          </w:p>
        </w:tc>
      </w:tr>
      <w:tr w:rsidR="00AE3652" w:rsidRPr="00620085" w14:paraId="0DB9E72B" w14:textId="77777777" w:rsidTr="000C0DF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D62AD4" w14:textId="77777777" w:rsidR="00AE3652" w:rsidRPr="00620085" w:rsidRDefault="00AE3652" w:rsidP="000C0DFB">
            <w:pPr>
              <w:pStyle w:val="TableHeading"/>
            </w:pPr>
            <w:r w:rsidRPr="0062008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35F89C" w14:textId="77777777" w:rsidR="00AE3652" w:rsidRPr="00620085" w:rsidRDefault="00AE3652" w:rsidP="000C0DFB">
            <w:pPr>
              <w:pStyle w:val="TableHeading"/>
            </w:pPr>
            <w:r w:rsidRPr="0062008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8F3A3C" w14:textId="77777777" w:rsidR="00AE3652" w:rsidRPr="00620085" w:rsidRDefault="00AE3652" w:rsidP="000C0DFB">
            <w:pPr>
              <w:pStyle w:val="TableHeading"/>
            </w:pPr>
            <w:r w:rsidRPr="00620085">
              <w:t>Date/Details</w:t>
            </w:r>
          </w:p>
        </w:tc>
      </w:tr>
      <w:tr w:rsidR="00AE3652" w:rsidRPr="00620085" w14:paraId="1540DE99" w14:textId="77777777" w:rsidTr="000C0DF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E60828" w14:textId="77777777" w:rsidR="00AE3652" w:rsidRPr="00620085" w:rsidRDefault="00AE3652" w:rsidP="000C0DFB">
            <w:pPr>
              <w:pStyle w:val="Tabletext"/>
            </w:pPr>
            <w:r w:rsidRPr="00620085">
              <w:t xml:space="preserve">1.  The whole of </w:t>
            </w:r>
            <w:r w:rsidR="00E0519C" w:rsidRPr="0062008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D3AE77" w14:textId="77777777" w:rsidR="00AE3652" w:rsidRPr="00620085" w:rsidRDefault="00FD1696" w:rsidP="000C0DFB">
            <w:pPr>
              <w:pStyle w:val="Tabletext"/>
            </w:pPr>
            <w:r w:rsidRPr="00620085">
              <w:t>24 September</w:t>
            </w:r>
            <w:r w:rsidR="0043476F" w:rsidRPr="00620085">
              <w:t xml:space="preserve"> 2022</w:t>
            </w:r>
            <w:r w:rsidR="00AE3652" w:rsidRPr="0062008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D8CD18" w14:textId="77777777" w:rsidR="00AE3652" w:rsidRPr="00620085" w:rsidRDefault="00FD1696" w:rsidP="000C0DFB">
            <w:pPr>
              <w:pStyle w:val="Tabletext"/>
            </w:pPr>
            <w:r w:rsidRPr="00620085">
              <w:t>24 September</w:t>
            </w:r>
            <w:r w:rsidR="0043476F" w:rsidRPr="00620085">
              <w:t xml:space="preserve"> 2022</w:t>
            </w:r>
          </w:p>
        </w:tc>
      </w:tr>
    </w:tbl>
    <w:p w14:paraId="74A854FE" w14:textId="77777777" w:rsidR="00AE3652" w:rsidRPr="00620085" w:rsidRDefault="00AE3652" w:rsidP="00AE3652">
      <w:pPr>
        <w:pStyle w:val="notetext"/>
      </w:pPr>
      <w:r w:rsidRPr="00620085">
        <w:rPr>
          <w:snapToGrid w:val="0"/>
          <w:lang w:eastAsia="en-US"/>
        </w:rPr>
        <w:t>Note:</w:t>
      </w:r>
      <w:r w:rsidRPr="00620085">
        <w:rPr>
          <w:snapToGrid w:val="0"/>
          <w:lang w:eastAsia="en-US"/>
        </w:rPr>
        <w:tab/>
        <w:t xml:space="preserve">This table relates only to the provisions of </w:t>
      </w:r>
      <w:r w:rsidR="00E0519C" w:rsidRPr="00620085">
        <w:rPr>
          <w:snapToGrid w:val="0"/>
          <w:lang w:eastAsia="en-US"/>
        </w:rPr>
        <w:t>this instrument</w:t>
      </w:r>
      <w:r w:rsidRPr="00620085">
        <w:t xml:space="preserve"> </w:t>
      </w:r>
      <w:r w:rsidRPr="00620085">
        <w:rPr>
          <w:snapToGrid w:val="0"/>
          <w:lang w:eastAsia="en-US"/>
        </w:rPr>
        <w:t xml:space="preserve">as originally made. It will not be amended to deal with any later amendments of </w:t>
      </w:r>
      <w:r w:rsidR="00E0519C" w:rsidRPr="00620085">
        <w:rPr>
          <w:snapToGrid w:val="0"/>
          <w:lang w:eastAsia="en-US"/>
        </w:rPr>
        <w:t>this instrument</w:t>
      </w:r>
      <w:r w:rsidRPr="00620085">
        <w:rPr>
          <w:snapToGrid w:val="0"/>
          <w:lang w:eastAsia="en-US"/>
        </w:rPr>
        <w:t>.</w:t>
      </w:r>
    </w:p>
    <w:p w14:paraId="78D18410" w14:textId="77777777" w:rsidR="00807626" w:rsidRPr="00620085" w:rsidRDefault="00AE3652" w:rsidP="00AE3652">
      <w:pPr>
        <w:pStyle w:val="subsection"/>
      </w:pPr>
      <w:r w:rsidRPr="00620085">
        <w:tab/>
        <w:t>(2)</w:t>
      </w:r>
      <w:r w:rsidRPr="00620085">
        <w:tab/>
        <w:t xml:space="preserve">Any information in column 3 of the table is not part of </w:t>
      </w:r>
      <w:r w:rsidR="00E0519C" w:rsidRPr="00620085">
        <w:t>this instrument</w:t>
      </w:r>
      <w:r w:rsidRPr="00620085">
        <w:t xml:space="preserve">. Information may be inserted in this column, or information in it may be edited, in any published version of </w:t>
      </w:r>
      <w:r w:rsidR="00E0519C" w:rsidRPr="00620085">
        <w:t>this instrument</w:t>
      </w:r>
      <w:r w:rsidRPr="00620085">
        <w:t>.</w:t>
      </w:r>
    </w:p>
    <w:p w14:paraId="18C45A51" w14:textId="77777777" w:rsidR="00246D66" w:rsidRPr="00620085" w:rsidRDefault="00246D66" w:rsidP="00246D66">
      <w:pPr>
        <w:pStyle w:val="ActHead5"/>
      </w:pPr>
      <w:bookmarkStart w:id="3" w:name="_Toc114568461"/>
      <w:proofErr w:type="gramStart"/>
      <w:r w:rsidRPr="00620085">
        <w:rPr>
          <w:rStyle w:val="CharSectno"/>
        </w:rPr>
        <w:t>3</w:t>
      </w:r>
      <w:r w:rsidRPr="00620085">
        <w:t xml:space="preserve">  Authority</w:t>
      </w:r>
      <w:bookmarkEnd w:id="3"/>
      <w:proofErr w:type="gramEnd"/>
    </w:p>
    <w:p w14:paraId="3FC99CAF" w14:textId="77777777" w:rsidR="00246D66" w:rsidRPr="00620085" w:rsidRDefault="00246D66" w:rsidP="00246D66">
      <w:pPr>
        <w:pStyle w:val="subsection"/>
      </w:pPr>
      <w:r w:rsidRPr="00620085">
        <w:tab/>
      </w:r>
      <w:r w:rsidRPr="00620085">
        <w:tab/>
        <w:t xml:space="preserve">This instrument is made under </w:t>
      </w:r>
      <w:r w:rsidR="008D7D24" w:rsidRPr="00620085">
        <w:t>sub</w:t>
      </w:r>
      <w:r w:rsidR="00FD1696" w:rsidRPr="00620085">
        <w:t>section 3</w:t>
      </w:r>
      <w:r w:rsidRPr="00620085">
        <w:t>65(1) of the</w:t>
      </w:r>
      <w:r w:rsidRPr="00620085">
        <w:rPr>
          <w:i/>
        </w:rPr>
        <w:t xml:space="preserve"> Biosecurity Act 2015</w:t>
      </w:r>
      <w:r w:rsidRPr="00620085">
        <w:t>.</w:t>
      </w:r>
    </w:p>
    <w:p w14:paraId="348CB573" w14:textId="77777777" w:rsidR="00246D66" w:rsidRPr="00620085" w:rsidRDefault="00246D66" w:rsidP="00246D66">
      <w:pPr>
        <w:pStyle w:val="ActHead5"/>
      </w:pPr>
      <w:bookmarkStart w:id="4" w:name="_Toc114568462"/>
      <w:proofErr w:type="gramStart"/>
      <w:r w:rsidRPr="00620085">
        <w:rPr>
          <w:rStyle w:val="CharSectno"/>
        </w:rPr>
        <w:t>4</w:t>
      </w:r>
      <w:r w:rsidRPr="00620085">
        <w:t xml:space="preserve">  Definitions</w:t>
      </w:r>
      <w:bookmarkEnd w:id="4"/>
      <w:proofErr w:type="gramEnd"/>
    </w:p>
    <w:p w14:paraId="1519C862" w14:textId="77777777" w:rsidR="00246D66" w:rsidRPr="00620085" w:rsidRDefault="008F0BAB" w:rsidP="00246D66">
      <w:pPr>
        <w:pStyle w:val="subsection"/>
      </w:pPr>
      <w:r w:rsidRPr="00620085">
        <w:tab/>
      </w:r>
      <w:r w:rsidRPr="00620085">
        <w:tab/>
      </w:r>
      <w:r w:rsidR="00246D66" w:rsidRPr="00620085">
        <w:t>In this instrument:</w:t>
      </w:r>
    </w:p>
    <w:p w14:paraId="192915A5" w14:textId="77777777" w:rsidR="00246D66" w:rsidRPr="00620085" w:rsidRDefault="00246D66" w:rsidP="00246D66">
      <w:pPr>
        <w:pStyle w:val="Definition"/>
      </w:pPr>
      <w:r w:rsidRPr="00620085">
        <w:rPr>
          <w:b/>
          <w:i/>
        </w:rPr>
        <w:t>Act</w:t>
      </w:r>
      <w:r w:rsidRPr="00620085">
        <w:t xml:space="preserve"> means the </w:t>
      </w:r>
      <w:r w:rsidRPr="00620085">
        <w:rPr>
          <w:i/>
        </w:rPr>
        <w:t>Biosecurity Act 2015</w:t>
      </w:r>
      <w:r w:rsidRPr="00620085">
        <w:t>.</w:t>
      </w:r>
    </w:p>
    <w:p w14:paraId="58301DB4" w14:textId="77777777" w:rsidR="00246D66" w:rsidRPr="00620085" w:rsidRDefault="00246D66" w:rsidP="00246D66">
      <w:pPr>
        <w:pStyle w:val="Definition"/>
      </w:pPr>
      <w:r w:rsidRPr="00620085">
        <w:rPr>
          <w:b/>
          <w:i/>
        </w:rPr>
        <w:t>biosecurity response zone</w:t>
      </w:r>
      <w:r w:rsidRPr="00620085">
        <w:t xml:space="preserve"> means </w:t>
      </w:r>
      <w:r w:rsidR="00332D8B" w:rsidRPr="00620085">
        <w:t xml:space="preserve">an </w:t>
      </w:r>
      <w:r w:rsidRPr="00620085">
        <w:t>area specified in</w:t>
      </w:r>
      <w:r w:rsidR="000C0DFB" w:rsidRPr="00620085">
        <w:t xml:space="preserve"> </w:t>
      </w:r>
      <w:r w:rsidR="008D7D24" w:rsidRPr="00620085">
        <w:t>section 6</w:t>
      </w:r>
      <w:r w:rsidRPr="00620085">
        <w:t>.</w:t>
      </w:r>
    </w:p>
    <w:p w14:paraId="48F05629" w14:textId="77777777" w:rsidR="000C0DFB" w:rsidRPr="00620085" w:rsidRDefault="000C0DFB" w:rsidP="00246D66">
      <w:pPr>
        <w:pStyle w:val="Definition"/>
      </w:pPr>
      <w:r w:rsidRPr="00620085">
        <w:rPr>
          <w:b/>
          <w:i/>
        </w:rPr>
        <w:t>relevant port</w:t>
      </w:r>
      <w:r w:rsidRPr="00620085">
        <w:t xml:space="preserve"> means a port</w:t>
      </w:r>
      <w:r w:rsidR="00D62BCB" w:rsidRPr="00620085">
        <w:t xml:space="preserve"> </w:t>
      </w:r>
      <w:r w:rsidR="00083DFE" w:rsidRPr="00620085">
        <w:t>that</w:t>
      </w:r>
      <w:r w:rsidRPr="00620085">
        <w:t xml:space="preserve"> is determined </w:t>
      </w:r>
      <w:r w:rsidR="00573955" w:rsidRPr="00620085">
        <w:t xml:space="preserve">under </w:t>
      </w:r>
      <w:r w:rsidR="008D7D24" w:rsidRPr="00620085">
        <w:t>subsection 2</w:t>
      </w:r>
      <w:r w:rsidR="00573955" w:rsidRPr="00620085">
        <w:t>29(1) of the Act to be a first point of entry for a vessel or class of vessels</w:t>
      </w:r>
      <w:r w:rsidR="00D62BCB" w:rsidRPr="00620085">
        <w:t>.</w:t>
      </w:r>
    </w:p>
    <w:p w14:paraId="47263F95" w14:textId="77777777" w:rsidR="00246D66" w:rsidRPr="00620085" w:rsidRDefault="00246D66" w:rsidP="00246D66">
      <w:pPr>
        <w:pStyle w:val="ActHead5"/>
      </w:pPr>
      <w:bookmarkStart w:id="5" w:name="_Toc114568463"/>
      <w:proofErr w:type="gramStart"/>
      <w:r w:rsidRPr="00620085">
        <w:rPr>
          <w:rStyle w:val="CharSectno"/>
        </w:rPr>
        <w:t>5</w:t>
      </w:r>
      <w:r w:rsidRPr="00620085">
        <w:t xml:space="preserve">  Reasons</w:t>
      </w:r>
      <w:proofErr w:type="gramEnd"/>
      <w:r w:rsidRPr="00620085">
        <w:t xml:space="preserve"> for making instrument</w:t>
      </w:r>
      <w:bookmarkEnd w:id="5"/>
    </w:p>
    <w:p w14:paraId="2162050E" w14:textId="77777777" w:rsidR="00945522" w:rsidRPr="00620085" w:rsidRDefault="009A7927" w:rsidP="00945522">
      <w:pPr>
        <w:pStyle w:val="subsection"/>
      </w:pPr>
      <w:r w:rsidRPr="00620085">
        <w:tab/>
      </w:r>
      <w:r w:rsidRPr="00620085">
        <w:tab/>
        <w:t>The reasons for making this instrument are that:</w:t>
      </w:r>
    </w:p>
    <w:p w14:paraId="4868C054" w14:textId="77777777" w:rsidR="00246D66" w:rsidRPr="00620085" w:rsidRDefault="00945522" w:rsidP="00945522">
      <w:pPr>
        <w:pStyle w:val="paragraph"/>
      </w:pPr>
      <w:r w:rsidRPr="00620085">
        <w:tab/>
      </w:r>
      <w:r w:rsidR="00246D66" w:rsidRPr="00620085">
        <w:t>(a)</w:t>
      </w:r>
      <w:r w:rsidR="00246D66" w:rsidRPr="00620085">
        <w:tab/>
        <w:t>a biosecurity officer suspects, on reasonable grounds, that:</w:t>
      </w:r>
    </w:p>
    <w:p w14:paraId="75A732F9" w14:textId="77777777" w:rsidR="00246D66" w:rsidRPr="00620085" w:rsidRDefault="00246D66" w:rsidP="00246D66">
      <w:pPr>
        <w:pStyle w:val="paragraphsub"/>
      </w:pPr>
      <w:r w:rsidRPr="00620085">
        <w:tab/>
        <w:t>(i)</w:t>
      </w:r>
      <w:r w:rsidRPr="00620085">
        <w:tab/>
        <w:t>a disease or pest may be present in or on goods or premises in the biosecurity response zone; and</w:t>
      </w:r>
    </w:p>
    <w:p w14:paraId="2A5B8035" w14:textId="77777777" w:rsidR="00246D66" w:rsidRPr="00620085" w:rsidRDefault="00246D66" w:rsidP="00246D66">
      <w:pPr>
        <w:pStyle w:val="paragraphsub"/>
      </w:pPr>
      <w:r w:rsidRPr="00620085">
        <w:tab/>
        <w:t>(ii)</w:t>
      </w:r>
      <w:r w:rsidRPr="00620085">
        <w:tab/>
        <w:t>the disease or pest poses an unacceptable level of biosecurity risk; and</w:t>
      </w:r>
    </w:p>
    <w:p w14:paraId="13522D93" w14:textId="77777777" w:rsidR="00246D66" w:rsidRPr="00620085" w:rsidRDefault="00246D66" w:rsidP="00246D66">
      <w:pPr>
        <w:pStyle w:val="paragraph"/>
      </w:pPr>
      <w:r w:rsidRPr="00620085">
        <w:lastRenderedPageBreak/>
        <w:tab/>
        <w:t>(b)</w:t>
      </w:r>
      <w:r w:rsidRPr="00620085">
        <w:tab/>
        <w:t>the</w:t>
      </w:r>
      <w:r w:rsidR="00573955" w:rsidRPr="00620085">
        <w:t xml:space="preserve"> </w:t>
      </w:r>
      <w:r w:rsidRPr="00620085">
        <w:t>Director of Biosecurity is satisfied it is necessary to make this instrument for the purpose of managing the biosecurity risk posed by the disease or pest.</w:t>
      </w:r>
    </w:p>
    <w:p w14:paraId="52AB1C58" w14:textId="77777777" w:rsidR="00246D66" w:rsidRPr="00620085" w:rsidRDefault="00246D66" w:rsidP="00246D66">
      <w:pPr>
        <w:pStyle w:val="notetext"/>
      </w:pPr>
      <w:r w:rsidRPr="00620085">
        <w:t>Note</w:t>
      </w:r>
      <w:r w:rsidR="009A7927" w:rsidRPr="00620085">
        <w:t xml:space="preserve"> 1</w:t>
      </w:r>
      <w:r w:rsidRPr="00620085">
        <w:t>:</w:t>
      </w:r>
      <w:r w:rsidRPr="00620085">
        <w:tab/>
        <w:t xml:space="preserve">See </w:t>
      </w:r>
      <w:r w:rsidR="00FD1696" w:rsidRPr="00620085">
        <w:t>section 3</w:t>
      </w:r>
      <w:r w:rsidRPr="00620085">
        <w:t xml:space="preserve">10 of the Act in relation to the meaning of </w:t>
      </w:r>
      <w:r w:rsidRPr="00620085">
        <w:rPr>
          <w:b/>
          <w:i/>
        </w:rPr>
        <w:t>biosecurity risk</w:t>
      </w:r>
      <w:r w:rsidRPr="00620085">
        <w:t xml:space="preserve"> in Chapter 6 of the Act and this instrument.</w:t>
      </w:r>
    </w:p>
    <w:p w14:paraId="096B41CD" w14:textId="77777777" w:rsidR="008F0BAB" w:rsidRPr="00620085" w:rsidRDefault="008F0BAB" w:rsidP="00246D66">
      <w:pPr>
        <w:pStyle w:val="notetext"/>
      </w:pPr>
      <w:r w:rsidRPr="00620085">
        <w:t>Note 2:</w:t>
      </w:r>
      <w:r w:rsidRPr="00620085">
        <w:tab/>
        <w:t xml:space="preserve">The matters included in this section must be stated in a biosecurity response zone determination: see </w:t>
      </w:r>
      <w:r w:rsidR="008D7D24" w:rsidRPr="00620085">
        <w:t>sub</w:t>
      </w:r>
      <w:r w:rsidR="00FD1696" w:rsidRPr="00620085">
        <w:t>section 3</w:t>
      </w:r>
      <w:r w:rsidRPr="00620085">
        <w:t>66(1) of the Act.</w:t>
      </w:r>
    </w:p>
    <w:p w14:paraId="72C8032D" w14:textId="77777777" w:rsidR="00246D66" w:rsidRPr="00620085" w:rsidRDefault="00246D66" w:rsidP="00246D66">
      <w:pPr>
        <w:pStyle w:val="ActHead2"/>
        <w:pageBreakBefore/>
      </w:pPr>
      <w:bookmarkStart w:id="6" w:name="_Toc114568464"/>
      <w:r w:rsidRPr="00620085">
        <w:rPr>
          <w:rStyle w:val="CharPartNo"/>
        </w:rPr>
        <w:lastRenderedPageBreak/>
        <w:t>Part 2</w:t>
      </w:r>
      <w:r w:rsidRPr="00620085">
        <w:t>—</w:t>
      </w:r>
      <w:r w:rsidRPr="00620085">
        <w:rPr>
          <w:rStyle w:val="CharPartText"/>
        </w:rPr>
        <w:t>Biosecurity response zone</w:t>
      </w:r>
      <w:bookmarkEnd w:id="6"/>
    </w:p>
    <w:p w14:paraId="7E2ECDE7" w14:textId="77777777" w:rsidR="00246D66" w:rsidRPr="00620085" w:rsidRDefault="00246D66" w:rsidP="00246D66">
      <w:pPr>
        <w:pStyle w:val="Header"/>
      </w:pPr>
      <w:r w:rsidRPr="00620085">
        <w:rPr>
          <w:rStyle w:val="CharDivNo"/>
        </w:rPr>
        <w:t xml:space="preserve"> </w:t>
      </w:r>
      <w:r w:rsidRPr="00620085">
        <w:rPr>
          <w:rStyle w:val="CharDivText"/>
        </w:rPr>
        <w:t xml:space="preserve"> </w:t>
      </w:r>
    </w:p>
    <w:p w14:paraId="649E2129" w14:textId="77777777" w:rsidR="00246D66" w:rsidRPr="00620085" w:rsidRDefault="00246D66" w:rsidP="00246D66">
      <w:pPr>
        <w:pStyle w:val="ActHead5"/>
      </w:pPr>
      <w:bookmarkStart w:id="7" w:name="_Toc114568465"/>
      <w:proofErr w:type="gramStart"/>
      <w:r w:rsidRPr="00620085">
        <w:rPr>
          <w:rStyle w:val="CharSectno"/>
        </w:rPr>
        <w:t>6</w:t>
      </w:r>
      <w:r w:rsidRPr="00620085">
        <w:t xml:space="preserve">  Biosecurity</w:t>
      </w:r>
      <w:proofErr w:type="gramEnd"/>
      <w:r w:rsidRPr="00620085">
        <w:t xml:space="preserve"> response zone</w:t>
      </w:r>
      <w:bookmarkEnd w:id="7"/>
    </w:p>
    <w:p w14:paraId="216B00AE" w14:textId="77777777" w:rsidR="00914481" w:rsidRPr="00620085" w:rsidRDefault="009A7927" w:rsidP="00246D66">
      <w:pPr>
        <w:pStyle w:val="subsection"/>
      </w:pPr>
      <w:r w:rsidRPr="00620085">
        <w:tab/>
      </w:r>
      <w:r w:rsidRPr="00620085">
        <w:tab/>
      </w:r>
      <w:r w:rsidR="002E7249" w:rsidRPr="00620085">
        <w:t>T</w:t>
      </w:r>
      <w:r w:rsidR="00914481" w:rsidRPr="00620085">
        <w:t xml:space="preserve">he </w:t>
      </w:r>
      <w:r w:rsidR="00083DFE" w:rsidRPr="00620085">
        <w:t xml:space="preserve">following areas </w:t>
      </w:r>
      <w:r w:rsidR="002E7249" w:rsidRPr="00620085">
        <w:t>are</w:t>
      </w:r>
      <w:r w:rsidR="00391936" w:rsidRPr="00620085">
        <w:t xml:space="preserve"> a </w:t>
      </w:r>
      <w:r w:rsidR="00083DFE" w:rsidRPr="00620085">
        <w:t>biosecurity response zone:</w:t>
      </w:r>
    </w:p>
    <w:p w14:paraId="2105E46F" w14:textId="77777777" w:rsidR="00391936" w:rsidRPr="00620085" w:rsidRDefault="00914481" w:rsidP="00914481">
      <w:pPr>
        <w:pStyle w:val="paragraph"/>
      </w:pPr>
      <w:r w:rsidRPr="00620085">
        <w:tab/>
        <w:t>(a)</w:t>
      </w:r>
      <w:r w:rsidRPr="00620085">
        <w:tab/>
      </w:r>
      <w:r w:rsidR="002E7249" w:rsidRPr="00620085">
        <w:t xml:space="preserve">each </w:t>
      </w:r>
      <w:r w:rsidR="00391936" w:rsidRPr="00620085">
        <w:t xml:space="preserve">area of a relevant port that is designated, under </w:t>
      </w:r>
      <w:r w:rsidR="008D7D24" w:rsidRPr="00620085">
        <w:t>paragraph 2</w:t>
      </w:r>
      <w:r w:rsidR="00391936" w:rsidRPr="00620085">
        <w:t>30(a) of the Act, as a biosecurity entry point for</w:t>
      </w:r>
      <w:r w:rsidR="00332D8B" w:rsidRPr="00620085">
        <w:t xml:space="preserve"> a </w:t>
      </w:r>
      <w:r w:rsidR="00391936" w:rsidRPr="00620085">
        <w:t>vessel or</w:t>
      </w:r>
      <w:r w:rsidR="00332D8B" w:rsidRPr="00620085">
        <w:t xml:space="preserve"> </w:t>
      </w:r>
      <w:r w:rsidR="00391936" w:rsidRPr="00620085">
        <w:t xml:space="preserve">class of </w:t>
      </w:r>
      <w:proofErr w:type="gramStart"/>
      <w:r w:rsidR="00391936" w:rsidRPr="00620085">
        <w:t>vessel</w:t>
      </w:r>
      <w:r w:rsidR="001955AB" w:rsidRPr="00620085">
        <w:t>s</w:t>
      </w:r>
      <w:r w:rsidR="00391936" w:rsidRPr="00620085">
        <w:t>;</w:t>
      </w:r>
      <w:proofErr w:type="gramEnd"/>
    </w:p>
    <w:p w14:paraId="7A194C44" w14:textId="77777777" w:rsidR="00391936" w:rsidRPr="00620085" w:rsidRDefault="00391936" w:rsidP="00914481">
      <w:pPr>
        <w:pStyle w:val="paragraph"/>
      </w:pPr>
      <w:r w:rsidRPr="00620085">
        <w:tab/>
        <w:t>(b)</w:t>
      </w:r>
      <w:r w:rsidRPr="00620085">
        <w:tab/>
        <w:t xml:space="preserve">the Port of </w:t>
      </w:r>
      <w:r w:rsidR="009A3192" w:rsidRPr="00620085">
        <w:t>Cocos (Keeling) Island</w:t>
      </w:r>
      <w:r w:rsidR="001955AB" w:rsidRPr="00620085">
        <w:t>s</w:t>
      </w:r>
      <w:r w:rsidR="009A3192" w:rsidRPr="00620085">
        <w:t>.</w:t>
      </w:r>
    </w:p>
    <w:p w14:paraId="378FB3A8" w14:textId="77777777" w:rsidR="00D62BCB" w:rsidRPr="00620085" w:rsidRDefault="00D62BCB" w:rsidP="00D62BCB">
      <w:pPr>
        <w:pStyle w:val="notetext"/>
      </w:pPr>
      <w:r w:rsidRPr="00620085">
        <w:t>Note 1:</w:t>
      </w:r>
      <w:r w:rsidRPr="00620085">
        <w:tab/>
        <w:t>The powers set out in Part 3 of this instrument and Division 4 of Part 3 of Chapter 6 of the Act may be exercised in, or in relation to goods or premises (which includes a conveyance) in, the biosecurity response zone for the purpose of managing the biosecurity risk posed by a disease or pest to which this instrument relates (see sections 370 and 371 of the Act).</w:t>
      </w:r>
    </w:p>
    <w:p w14:paraId="1EEBFDB0" w14:textId="77777777" w:rsidR="00D62BCB" w:rsidRPr="00620085" w:rsidRDefault="00D62BCB" w:rsidP="00D62BCB">
      <w:pPr>
        <w:pStyle w:val="notetext"/>
      </w:pPr>
      <w:r w:rsidRPr="00620085">
        <w:t>Note 2:</w:t>
      </w:r>
      <w:r w:rsidRPr="00620085">
        <w:tab/>
        <w:t xml:space="preserve">Before exercising a power set out in Part 3 of this instrument, a biosecurity official must be satisfied of the matters referred to in </w:t>
      </w:r>
      <w:r w:rsidR="00FD1696" w:rsidRPr="00620085">
        <w:t>section 3</w:t>
      </w:r>
      <w:r w:rsidRPr="00620085">
        <w:t>2 of the Act (the principles).</w:t>
      </w:r>
    </w:p>
    <w:p w14:paraId="5E70119E" w14:textId="77777777" w:rsidR="00246D66" w:rsidRPr="00620085" w:rsidRDefault="009A3192" w:rsidP="009A3192">
      <w:pPr>
        <w:pStyle w:val="ActHead5"/>
      </w:pPr>
      <w:bookmarkStart w:id="8" w:name="_Toc114568466"/>
      <w:proofErr w:type="gramStart"/>
      <w:r w:rsidRPr="00620085">
        <w:rPr>
          <w:rStyle w:val="CharSectno"/>
        </w:rPr>
        <w:t>7</w:t>
      </w:r>
      <w:r w:rsidR="00246D66" w:rsidRPr="00620085">
        <w:t xml:space="preserve">  Diseases</w:t>
      </w:r>
      <w:proofErr w:type="gramEnd"/>
      <w:r w:rsidR="00246D66" w:rsidRPr="00620085">
        <w:t xml:space="preserve"> and pests</w:t>
      </w:r>
      <w:bookmarkEnd w:id="8"/>
    </w:p>
    <w:p w14:paraId="0C60BB95" w14:textId="77777777" w:rsidR="00246D66" w:rsidRPr="00620085" w:rsidRDefault="00246D66" w:rsidP="00246D66">
      <w:pPr>
        <w:pStyle w:val="subsection"/>
      </w:pPr>
      <w:r w:rsidRPr="00620085">
        <w:tab/>
      </w:r>
      <w:r w:rsidRPr="00620085">
        <w:tab/>
        <w:t xml:space="preserve">For </w:t>
      </w:r>
      <w:r w:rsidR="006B31E1" w:rsidRPr="00620085">
        <w:t xml:space="preserve">the purposes of </w:t>
      </w:r>
      <w:r w:rsidRPr="00620085">
        <w:t xml:space="preserve">paragraph 366(2)(a) of the Act, </w:t>
      </w:r>
      <w:r w:rsidR="00945522" w:rsidRPr="00620085">
        <w:t>foot and mouth disease poses an unacceptable level of biosecurity risk and has been identified.</w:t>
      </w:r>
    </w:p>
    <w:p w14:paraId="76090D28" w14:textId="77777777" w:rsidR="00246D66" w:rsidRPr="00620085" w:rsidRDefault="00246D66" w:rsidP="00246D66">
      <w:pPr>
        <w:pStyle w:val="ActHead5"/>
      </w:pPr>
      <w:bookmarkStart w:id="9" w:name="_Toc114568467"/>
      <w:proofErr w:type="gramStart"/>
      <w:r w:rsidRPr="00620085">
        <w:rPr>
          <w:rStyle w:val="CharSectno"/>
        </w:rPr>
        <w:t>8</w:t>
      </w:r>
      <w:r w:rsidRPr="00620085">
        <w:t xml:space="preserve">  Nature</w:t>
      </w:r>
      <w:proofErr w:type="gramEnd"/>
      <w:r w:rsidRPr="00620085">
        <w:t xml:space="preserve"> of biosecurity risk that needs to be managed</w:t>
      </w:r>
      <w:bookmarkEnd w:id="9"/>
    </w:p>
    <w:p w14:paraId="544AA30D" w14:textId="77777777" w:rsidR="00246D66" w:rsidRPr="00620085" w:rsidRDefault="00246D66" w:rsidP="00246D66">
      <w:pPr>
        <w:pStyle w:val="subsection"/>
      </w:pPr>
      <w:r w:rsidRPr="00620085">
        <w:tab/>
      </w:r>
      <w:r w:rsidRPr="00620085">
        <w:tab/>
        <w:t xml:space="preserve">For </w:t>
      </w:r>
      <w:r w:rsidR="006B31E1" w:rsidRPr="00620085">
        <w:t xml:space="preserve">the purposes of </w:t>
      </w:r>
      <w:r w:rsidRPr="00620085">
        <w:t xml:space="preserve">paragraph 366(2)(b) of the Act, the nature of the biosecurity risk that needs to be managed is </w:t>
      </w:r>
      <w:r w:rsidR="00945522" w:rsidRPr="00620085">
        <w:t>that:</w:t>
      </w:r>
    </w:p>
    <w:p w14:paraId="4E5E1CBD" w14:textId="77777777" w:rsidR="00742014" w:rsidRPr="00620085" w:rsidRDefault="00945522" w:rsidP="00945522">
      <w:pPr>
        <w:pStyle w:val="paragraph"/>
      </w:pPr>
      <w:r w:rsidRPr="00620085">
        <w:tab/>
        <w:t>(a)</w:t>
      </w:r>
      <w:r w:rsidRPr="00620085">
        <w:tab/>
      </w:r>
      <w:r w:rsidR="00723568" w:rsidRPr="00620085">
        <w:t xml:space="preserve">there is a likelihood that foot and mouth disease </w:t>
      </w:r>
      <w:r w:rsidR="008C79A4" w:rsidRPr="00620085">
        <w:t xml:space="preserve">may be present in or on goods in </w:t>
      </w:r>
      <w:r w:rsidR="005B63BC" w:rsidRPr="00620085">
        <w:t xml:space="preserve">a </w:t>
      </w:r>
      <w:r w:rsidR="00742014" w:rsidRPr="00620085">
        <w:t>b</w:t>
      </w:r>
      <w:r w:rsidR="008C79A4" w:rsidRPr="00620085">
        <w:t>iosecurity response zone, in particular on footwear worn by people entering Australia</w:t>
      </w:r>
      <w:r w:rsidR="004013A3" w:rsidRPr="00620085">
        <w:t xml:space="preserve"> from a country with an active outbreak of foot and mouth disease</w:t>
      </w:r>
      <w:r w:rsidR="008C79A4" w:rsidRPr="00620085">
        <w:t>;</w:t>
      </w:r>
      <w:r w:rsidRPr="00620085">
        <w:t xml:space="preserve"> </w:t>
      </w:r>
      <w:r w:rsidR="008C79A4" w:rsidRPr="00620085">
        <w:t>and</w:t>
      </w:r>
    </w:p>
    <w:p w14:paraId="0B815189" w14:textId="77777777" w:rsidR="008C79A4" w:rsidRPr="00620085" w:rsidRDefault="00742014" w:rsidP="00945522">
      <w:pPr>
        <w:pStyle w:val="paragraph"/>
      </w:pPr>
      <w:r w:rsidRPr="00620085">
        <w:tab/>
      </w:r>
      <w:r w:rsidR="008C79A4" w:rsidRPr="00620085">
        <w:t>(b)</w:t>
      </w:r>
      <w:r w:rsidR="008C79A4" w:rsidRPr="00620085">
        <w:tab/>
      </w:r>
      <w:r w:rsidR="00723568" w:rsidRPr="00620085">
        <w:t xml:space="preserve">foot and mouth disease </w:t>
      </w:r>
      <w:proofErr w:type="gramStart"/>
      <w:r w:rsidR="008C79A4" w:rsidRPr="00620085">
        <w:t>is</w:t>
      </w:r>
      <w:proofErr w:type="gramEnd"/>
      <w:r w:rsidR="008C79A4" w:rsidRPr="00620085">
        <w:t xml:space="preserve"> not present in Australia; and</w:t>
      </w:r>
    </w:p>
    <w:p w14:paraId="7B21A432" w14:textId="77777777" w:rsidR="008C79A4" w:rsidRPr="00620085" w:rsidRDefault="008C79A4" w:rsidP="00945522">
      <w:pPr>
        <w:pStyle w:val="paragraph"/>
      </w:pPr>
      <w:r w:rsidRPr="00620085">
        <w:tab/>
        <w:t>(c)</w:t>
      </w:r>
      <w:r w:rsidRPr="00620085">
        <w:tab/>
      </w:r>
      <w:r w:rsidR="00723568" w:rsidRPr="00620085">
        <w:t xml:space="preserve">foot and mouth disease </w:t>
      </w:r>
      <w:proofErr w:type="gramStart"/>
      <w:r w:rsidRPr="00620085">
        <w:t>is</w:t>
      </w:r>
      <w:proofErr w:type="gramEnd"/>
      <w:r w:rsidRPr="00620085">
        <w:t xml:space="preserve"> a highly contagious viral disease of cloven</w:t>
      </w:r>
      <w:r w:rsidR="00620085">
        <w:noBreakHyphen/>
      </w:r>
      <w:r w:rsidRPr="00620085">
        <w:t>hoofed mammals that has a great potential for causing severe economic los</w:t>
      </w:r>
      <w:r w:rsidR="00742014" w:rsidRPr="00620085">
        <w:t>s</w:t>
      </w:r>
      <w:r w:rsidRPr="00620085">
        <w:t xml:space="preserve"> if it enters Australia; and</w:t>
      </w:r>
    </w:p>
    <w:p w14:paraId="54A5118B" w14:textId="77777777" w:rsidR="008C79A4" w:rsidRPr="00620085" w:rsidRDefault="008C79A4" w:rsidP="00945522">
      <w:pPr>
        <w:pStyle w:val="paragraph"/>
      </w:pPr>
      <w:r w:rsidRPr="00620085">
        <w:tab/>
        <w:t>(d)</w:t>
      </w:r>
      <w:r w:rsidRPr="00620085">
        <w:tab/>
      </w:r>
      <w:r w:rsidR="00723568" w:rsidRPr="00620085">
        <w:t xml:space="preserve">foot and mouth disease </w:t>
      </w:r>
      <w:proofErr w:type="gramStart"/>
      <w:r w:rsidRPr="00620085">
        <w:t>poses</w:t>
      </w:r>
      <w:proofErr w:type="gramEnd"/>
      <w:r w:rsidRPr="00620085">
        <w:t xml:space="preserve"> an unacceptable level of biosecurity risk.</w:t>
      </w:r>
    </w:p>
    <w:p w14:paraId="5B9ED33E" w14:textId="77777777" w:rsidR="00246D66" w:rsidRPr="00620085" w:rsidRDefault="00246D66" w:rsidP="00246D66">
      <w:pPr>
        <w:pStyle w:val="ActHead2"/>
        <w:pageBreakBefore/>
      </w:pPr>
      <w:bookmarkStart w:id="10" w:name="_Toc114568468"/>
      <w:r w:rsidRPr="00620085">
        <w:rPr>
          <w:rStyle w:val="CharPartNo"/>
        </w:rPr>
        <w:lastRenderedPageBreak/>
        <w:t>Part 3</w:t>
      </w:r>
      <w:r w:rsidRPr="00620085">
        <w:t>—</w:t>
      </w:r>
      <w:r w:rsidRPr="00620085">
        <w:rPr>
          <w:rStyle w:val="CharPartText"/>
        </w:rPr>
        <w:t>Powers that may be exercised in, or in relation to goods or premises in, the biosecurity response zone</w:t>
      </w:r>
      <w:bookmarkEnd w:id="10"/>
    </w:p>
    <w:p w14:paraId="771AD1E1" w14:textId="77777777" w:rsidR="00246D66" w:rsidRPr="00620085" w:rsidRDefault="00246D66" w:rsidP="00246D66">
      <w:pPr>
        <w:pStyle w:val="Header"/>
      </w:pPr>
      <w:r w:rsidRPr="00620085">
        <w:rPr>
          <w:rStyle w:val="CharDivNo"/>
        </w:rPr>
        <w:t xml:space="preserve"> </w:t>
      </w:r>
      <w:r w:rsidRPr="00620085">
        <w:rPr>
          <w:rStyle w:val="CharDivText"/>
        </w:rPr>
        <w:t xml:space="preserve"> </w:t>
      </w:r>
    </w:p>
    <w:p w14:paraId="5AF29534" w14:textId="77777777" w:rsidR="00246D66" w:rsidRPr="00620085" w:rsidRDefault="00246D66" w:rsidP="00246D66">
      <w:pPr>
        <w:pStyle w:val="ActHead5"/>
      </w:pPr>
      <w:bookmarkStart w:id="11" w:name="_Toc114568469"/>
      <w:proofErr w:type="gramStart"/>
      <w:r w:rsidRPr="00620085">
        <w:rPr>
          <w:rStyle w:val="CharSectno"/>
        </w:rPr>
        <w:t>9</w:t>
      </w:r>
      <w:r w:rsidRPr="00620085">
        <w:t xml:space="preserve">  Powers</w:t>
      </w:r>
      <w:proofErr w:type="gramEnd"/>
      <w:r w:rsidRPr="00620085">
        <w:t xml:space="preserve"> to require biosecurity measures to be taken</w:t>
      </w:r>
      <w:bookmarkEnd w:id="11"/>
    </w:p>
    <w:p w14:paraId="2752DE75" w14:textId="77777777" w:rsidR="00246D66" w:rsidRPr="00620085" w:rsidRDefault="00D674C2" w:rsidP="00246D66">
      <w:pPr>
        <w:pStyle w:val="subsection"/>
      </w:pPr>
      <w:r w:rsidRPr="00620085">
        <w:tab/>
      </w:r>
      <w:r w:rsidR="00246D66" w:rsidRPr="00620085">
        <w:tab/>
        <w:t xml:space="preserve">For </w:t>
      </w:r>
      <w:r w:rsidR="006B31E1" w:rsidRPr="00620085">
        <w:t xml:space="preserve">the purposes of </w:t>
      </w:r>
      <w:r w:rsidR="00246D66" w:rsidRPr="00620085">
        <w:t>paragraph 366(2)(c) of the Act, the powers set out in the following sections of Division 2 of Part 3 of Chapter 6 of the Act are specified:</w:t>
      </w:r>
    </w:p>
    <w:p w14:paraId="312CFDEE" w14:textId="77777777" w:rsidR="00246D66" w:rsidRPr="00620085" w:rsidRDefault="00246D66" w:rsidP="00246D66">
      <w:pPr>
        <w:pStyle w:val="paragraph"/>
      </w:pPr>
      <w:r w:rsidRPr="00620085">
        <w:tab/>
        <w:t>(a)</w:t>
      </w:r>
      <w:r w:rsidRPr="00620085">
        <w:tab/>
      </w:r>
      <w:r w:rsidR="00FD1696" w:rsidRPr="00620085">
        <w:t>section 3</w:t>
      </w:r>
      <w:r w:rsidRPr="00620085">
        <w:t>33 (entry and exit etc. requirements—persons</w:t>
      </w:r>
      <w:proofErr w:type="gramStart"/>
      <w:r w:rsidRPr="00620085">
        <w:t>);</w:t>
      </w:r>
      <w:proofErr w:type="gramEnd"/>
    </w:p>
    <w:p w14:paraId="26165B9E" w14:textId="77777777" w:rsidR="005B63BC" w:rsidRPr="00620085" w:rsidRDefault="005B63BC" w:rsidP="00246D66">
      <w:pPr>
        <w:pStyle w:val="paragraph"/>
      </w:pPr>
      <w:r w:rsidRPr="00620085">
        <w:tab/>
        <w:t>(b)</w:t>
      </w:r>
      <w:r w:rsidRPr="00620085">
        <w:tab/>
      </w:r>
      <w:r w:rsidR="00FD1696" w:rsidRPr="00620085">
        <w:t>section 3</w:t>
      </w:r>
      <w:r w:rsidRPr="00620085">
        <w:t>35 (treatment of goods</w:t>
      </w:r>
      <w:proofErr w:type="gramStart"/>
      <w:r w:rsidRPr="00620085">
        <w:t>)</w:t>
      </w:r>
      <w:r w:rsidR="00BF362F" w:rsidRPr="00620085">
        <w:t>;</w:t>
      </w:r>
      <w:proofErr w:type="gramEnd"/>
    </w:p>
    <w:p w14:paraId="42C5932A" w14:textId="77777777" w:rsidR="00BF362F" w:rsidRPr="00620085" w:rsidRDefault="00BF362F" w:rsidP="00246D66">
      <w:pPr>
        <w:pStyle w:val="paragraph"/>
      </w:pPr>
      <w:r w:rsidRPr="00620085">
        <w:tab/>
        <w:t>(c)</w:t>
      </w:r>
      <w:r w:rsidRPr="00620085">
        <w:tab/>
      </w:r>
      <w:r w:rsidR="00FD1696" w:rsidRPr="00620085">
        <w:t>section 3</w:t>
      </w:r>
      <w:r w:rsidRPr="00620085">
        <w:t>36 (treatment that may damage goods).</w:t>
      </w:r>
    </w:p>
    <w:p w14:paraId="30AB9923" w14:textId="77777777" w:rsidR="00246D66" w:rsidRPr="00620085" w:rsidRDefault="00246D66" w:rsidP="00246D66">
      <w:pPr>
        <w:pStyle w:val="ActHead5"/>
      </w:pPr>
      <w:bookmarkStart w:id="12" w:name="_Toc114568470"/>
      <w:proofErr w:type="gramStart"/>
      <w:r w:rsidRPr="00620085">
        <w:rPr>
          <w:rStyle w:val="CharSectno"/>
        </w:rPr>
        <w:t>1</w:t>
      </w:r>
      <w:r w:rsidR="00D674C2" w:rsidRPr="00620085">
        <w:rPr>
          <w:rStyle w:val="CharSectno"/>
        </w:rPr>
        <w:t>0</w:t>
      </w:r>
      <w:r w:rsidRPr="00620085">
        <w:t xml:space="preserve">  Additional</w:t>
      </w:r>
      <w:proofErr w:type="gramEnd"/>
      <w:r w:rsidRPr="00620085">
        <w:t xml:space="preserve"> biosecurity response zone powers</w:t>
      </w:r>
      <w:bookmarkEnd w:id="12"/>
    </w:p>
    <w:p w14:paraId="421E9640" w14:textId="77777777" w:rsidR="00246D66" w:rsidRPr="00620085" w:rsidRDefault="00246D66" w:rsidP="00246D66">
      <w:pPr>
        <w:pStyle w:val="subsection"/>
      </w:pPr>
      <w:r w:rsidRPr="00620085">
        <w:tab/>
      </w:r>
      <w:r w:rsidRPr="00620085">
        <w:tab/>
        <w:t xml:space="preserve">For </w:t>
      </w:r>
      <w:r w:rsidR="006B31E1" w:rsidRPr="00620085">
        <w:t xml:space="preserve">the purposes of </w:t>
      </w:r>
      <w:r w:rsidRPr="00620085">
        <w:t xml:space="preserve">paragraph 366(2)(f) of the Act, the powers set out in the following paragraphs of </w:t>
      </w:r>
      <w:r w:rsidR="00FD1696" w:rsidRPr="00620085">
        <w:t>section 3</w:t>
      </w:r>
      <w:r w:rsidRPr="00620085">
        <w:t>67 of the Act are specified:</w:t>
      </w:r>
    </w:p>
    <w:p w14:paraId="2A76FA7B" w14:textId="77777777" w:rsidR="00246D66" w:rsidRPr="00620085" w:rsidRDefault="00246D66" w:rsidP="00246D66">
      <w:pPr>
        <w:pStyle w:val="paragraph"/>
      </w:pPr>
      <w:r w:rsidRPr="00620085">
        <w:tab/>
        <w:t>(a)</w:t>
      </w:r>
      <w:r w:rsidRPr="00620085">
        <w:tab/>
        <w:t>paragraph (a) (identification of the biosecurity response zone</w:t>
      </w:r>
      <w:proofErr w:type="gramStart"/>
      <w:r w:rsidRPr="00620085">
        <w:t>);</w:t>
      </w:r>
      <w:proofErr w:type="gramEnd"/>
    </w:p>
    <w:p w14:paraId="3174035F" w14:textId="77777777" w:rsidR="00246D66" w:rsidRPr="00620085" w:rsidRDefault="00246D66" w:rsidP="00246D66">
      <w:pPr>
        <w:pStyle w:val="paragraph"/>
      </w:pPr>
      <w:r w:rsidRPr="00620085">
        <w:tab/>
        <w:t>(</w:t>
      </w:r>
      <w:r w:rsidR="00D674C2" w:rsidRPr="00620085">
        <w:t>b</w:t>
      </w:r>
      <w:r w:rsidRPr="00620085">
        <w:t>)</w:t>
      </w:r>
      <w:r w:rsidRPr="00620085">
        <w:tab/>
        <w:t>paragraph (d) (setting traps or setting up equipment or other structures in the biosecurity response zone).</w:t>
      </w:r>
    </w:p>
    <w:p w14:paraId="4AB22050" w14:textId="77777777" w:rsidR="00246D66" w:rsidRPr="00620085" w:rsidRDefault="00246D66" w:rsidP="00246D66">
      <w:pPr>
        <w:pStyle w:val="ActHead2"/>
        <w:pageBreakBefore/>
      </w:pPr>
      <w:bookmarkStart w:id="13" w:name="_Toc114568471"/>
      <w:r w:rsidRPr="00620085">
        <w:rPr>
          <w:rStyle w:val="CharPartNo"/>
        </w:rPr>
        <w:lastRenderedPageBreak/>
        <w:t>Part 4</w:t>
      </w:r>
      <w:r w:rsidRPr="00620085">
        <w:t>—</w:t>
      </w:r>
      <w:r w:rsidRPr="00620085">
        <w:rPr>
          <w:rStyle w:val="CharPartText"/>
        </w:rPr>
        <w:t>Period in force</w:t>
      </w:r>
      <w:bookmarkEnd w:id="13"/>
    </w:p>
    <w:p w14:paraId="2E8E7DDF" w14:textId="77777777" w:rsidR="00246D66" w:rsidRPr="00620085" w:rsidRDefault="00246D66" w:rsidP="00246D66">
      <w:pPr>
        <w:pStyle w:val="Header"/>
      </w:pPr>
      <w:r w:rsidRPr="00620085">
        <w:rPr>
          <w:rStyle w:val="CharDivNo"/>
        </w:rPr>
        <w:t xml:space="preserve"> </w:t>
      </w:r>
      <w:r w:rsidRPr="00620085">
        <w:rPr>
          <w:rStyle w:val="CharDivText"/>
        </w:rPr>
        <w:t xml:space="preserve"> </w:t>
      </w:r>
    </w:p>
    <w:p w14:paraId="2B7FA190" w14:textId="77777777" w:rsidR="00246D66" w:rsidRPr="00620085" w:rsidRDefault="00246D66" w:rsidP="00246D66">
      <w:pPr>
        <w:pStyle w:val="ActHead5"/>
      </w:pPr>
      <w:bookmarkStart w:id="14" w:name="_Toc114568472"/>
      <w:proofErr w:type="gramStart"/>
      <w:r w:rsidRPr="00620085">
        <w:rPr>
          <w:rStyle w:val="CharSectno"/>
        </w:rPr>
        <w:t>1</w:t>
      </w:r>
      <w:r w:rsidR="00E55283" w:rsidRPr="00620085">
        <w:rPr>
          <w:rStyle w:val="CharSectno"/>
        </w:rPr>
        <w:t>1</w:t>
      </w:r>
      <w:r w:rsidRPr="00620085">
        <w:t xml:space="preserve">  Period</w:t>
      </w:r>
      <w:proofErr w:type="gramEnd"/>
      <w:r w:rsidRPr="00620085">
        <w:t xml:space="preserve"> in force</w:t>
      </w:r>
      <w:bookmarkEnd w:id="14"/>
    </w:p>
    <w:p w14:paraId="5A65EB13" w14:textId="77777777" w:rsidR="00252D29" w:rsidRPr="00620085" w:rsidRDefault="00246D66" w:rsidP="00246D66">
      <w:pPr>
        <w:pStyle w:val="subsection"/>
      </w:pPr>
      <w:r w:rsidRPr="00620085">
        <w:tab/>
      </w:r>
      <w:r w:rsidRPr="00620085">
        <w:tab/>
        <w:t xml:space="preserve">For </w:t>
      </w:r>
      <w:r w:rsidR="006B31E1" w:rsidRPr="00620085">
        <w:t xml:space="preserve">the purposes of </w:t>
      </w:r>
      <w:r w:rsidRPr="00620085">
        <w:t>paragraph 366(2)(g) of the Act, this instrument is in force</w:t>
      </w:r>
      <w:r w:rsidR="00E55283" w:rsidRPr="00620085">
        <w:t xml:space="preserve"> </w:t>
      </w:r>
      <w:r w:rsidR="00E32E01" w:rsidRPr="00620085">
        <w:t xml:space="preserve">for the period beginning on </w:t>
      </w:r>
      <w:r w:rsidR="00FD1696" w:rsidRPr="00620085">
        <w:t>24 September</w:t>
      </w:r>
      <w:r w:rsidR="00E32E01" w:rsidRPr="00620085">
        <w:t xml:space="preserve"> 2022 and ending on </w:t>
      </w:r>
      <w:r w:rsidR="00FD1696" w:rsidRPr="00620085">
        <w:t>30 June</w:t>
      </w:r>
      <w:r w:rsidR="00E32E01" w:rsidRPr="00620085">
        <w:t xml:space="preserve"> 2023.</w:t>
      </w:r>
    </w:p>
    <w:p w14:paraId="12F828F9" w14:textId="77777777" w:rsidR="00E55283" w:rsidRPr="00620085" w:rsidRDefault="00E55283" w:rsidP="00E55283">
      <w:pPr>
        <w:pStyle w:val="ActHead5"/>
      </w:pPr>
      <w:bookmarkStart w:id="15" w:name="_Toc114568473"/>
      <w:proofErr w:type="gramStart"/>
      <w:r w:rsidRPr="00620085">
        <w:rPr>
          <w:rStyle w:val="CharSectno"/>
        </w:rPr>
        <w:t>12</w:t>
      </w:r>
      <w:r w:rsidRPr="00620085">
        <w:t xml:space="preserve">  Repeal</w:t>
      </w:r>
      <w:bookmarkEnd w:id="15"/>
      <w:proofErr w:type="gramEnd"/>
    </w:p>
    <w:p w14:paraId="55488F9A" w14:textId="77777777" w:rsidR="00E32E01" w:rsidRPr="00620085" w:rsidRDefault="00E55283" w:rsidP="00E55283">
      <w:pPr>
        <w:pStyle w:val="subsection"/>
      </w:pPr>
      <w:r w:rsidRPr="00620085">
        <w:tab/>
      </w:r>
      <w:r w:rsidRPr="00620085">
        <w:tab/>
        <w:t>This instrument is repeal</w:t>
      </w:r>
      <w:r w:rsidR="00456417" w:rsidRPr="00620085">
        <w:t>ed</w:t>
      </w:r>
      <w:r w:rsidRPr="00620085">
        <w:t xml:space="preserve"> </w:t>
      </w:r>
      <w:r w:rsidR="00252D29" w:rsidRPr="00620085">
        <w:t xml:space="preserve">on </w:t>
      </w:r>
      <w:r w:rsidR="00FD1696" w:rsidRPr="00620085">
        <w:t>1 July</w:t>
      </w:r>
      <w:r w:rsidR="00252D29" w:rsidRPr="00620085">
        <w:t xml:space="preserve"> 2023.</w:t>
      </w:r>
    </w:p>
    <w:sectPr w:rsidR="00E32E01" w:rsidRPr="00620085" w:rsidSect="007A17F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D960" w14:textId="77777777" w:rsidR="002458BC" w:rsidRDefault="002458BC" w:rsidP="00715914">
      <w:pPr>
        <w:spacing w:line="240" w:lineRule="auto"/>
      </w:pPr>
      <w:r>
        <w:separator/>
      </w:r>
    </w:p>
  </w:endnote>
  <w:endnote w:type="continuationSeparator" w:id="0">
    <w:p w14:paraId="309224A1" w14:textId="77777777" w:rsidR="002458BC" w:rsidRDefault="002458B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0937" w14:textId="77777777" w:rsidR="00620085" w:rsidRPr="007A17FD" w:rsidRDefault="007A17FD" w:rsidP="007A17FD">
    <w:pPr>
      <w:pStyle w:val="Footer"/>
      <w:rPr>
        <w:i/>
        <w:sz w:val="18"/>
      </w:rPr>
    </w:pPr>
    <w:r w:rsidRPr="007A17FD">
      <w:rPr>
        <w:i/>
        <w:sz w:val="18"/>
      </w:rPr>
      <w:t>OPC66165 -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D546" w14:textId="77777777" w:rsidR="00614CEF" w:rsidRDefault="00614CEF" w:rsidP="007500C8">
    <w:pPr>
      <w:pStyle w:val="Footer"/>
    </w:pPr>
  </w:p>
  <w:p w14:paraId="6F28BF89" w14:textId="77777777" w:rsidR="00614CEF" w:rsidRPr="007A17FD" w:rsidRDefault="007A17FD" w:rsidP="007A17FD">
    <w:pPr>
      <w:pStyle w:val="Footer"/>
      <w:rPr>
        <w:i/>
        <w:sz w:val="18"/>
      </w:rPr>
    </w:pPr>
    <w:r w:rsidRPr="007A17FD">
      <w:rPr>
        <w:i/>
        <w:sz w:val="18"/>
      </w:rPr>
      <w:t>OPC66165 -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86B6" w14:textId="77777777" w:rsidR="00614CEF" w:rsidRPr="007A17FD" w:rsidRDefault="007A17FD" w:rsidP="007A17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A17FD">
      <w:rPr>
        <w:i/>
        <w:sz w:val="18"/>
      </w:rPr>
      <w:t>OPC66165 -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B12F" w14:textId="77777777" w:rsidR="00614CEF" w:rsidRPr="00E33C1C" w:rsidRDefault="00614CE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14CEF" w14:paraId="578EF242" w14:textId="77777777" w:rsidTr="006200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2F2B04" w14:textId="77777777" w:rsidR="00614CEF" w:rsidRDefault="00614CEF" w:rsidP="000C0D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923B94" w14:textId="5FDE8342" w:rsidR="00614CEF" w:rsidRDefault="00614CEF" w:rsidP="000C0D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277">
            <w:rPr>
              <w:i/>
              <w:sz w:val="18"/>
            </w:rPr>
            <w:t>Biosecurity (Biosecurity Response Zone for Foot and Mouth Disease—Relevant Ports)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0471CF" w14:textId="77777777" w:rsidR="00614CEF" w:rsidRDefault="00614CEF" w:rsidP="000C0DFB">
          <w:pPr>
            <w:spacing w:line="0" w:lineRule="atLeast"/>
            <w:jc w:val="right"/>
            <w:rPr>
              <w:sz w:val="18"/>
            </w:rPr>
          </w:pPr>
        </w:p>
      </w:tc>
    </w:tr>
  </w:tbl>
  <w:p w14:paraId="21F0A293" w14:textId="77777777" w:rsidR="00614CEF" w:rsidRPr="007A17FD" w:rsidRDefault="007A17FD" w:rsidP="007A17FD">
    <w:pPr>
      <w:rPr>
        <w:rFonts w:cs="Times New Roman"/>
        <w:i/>
        <w:sz w:val="18"/>
      </w:rPr>
    </w:pPr>
    <w:r w:rsidRPr="007A17FD">
      <w:rPr>
        <w:rFonts w:cs="Times New Roman"/>
        <w:i/>
        <w:sz w:val="18"/>
      </w:rPr>
      <w:t>OPC66165 -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A8A0" w14:textId="77777777" w:rsidR="00614CEF" w:rsidRPr="00E33C1C" w:rsidRDefault="00614CE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614CEF" w14:paraId="1895B0D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60DC7D" w14:textId="77777777" w:rsidR="00614CEF" w:rsidRDefault="00614CEF" w:rsidP="000C0DF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53F7837F" w14:textId="1FD6C8B9" w:rsidR="00614CEF" w:rsidRDefault="00614CEF" w:rsidP="000C0D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277">
            <w:rPr>
              <w:i/>
              <w:sz w:val="18"/>
            </w:rPr>
            <w:t>Biosecurity (Biosecurity Response Zone for Foot and Mouth Disease—Relevant Ports)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7C820A" w14:textId="77777777" w:rsidR="00614CEF" w:rsidRDefault="00614CEF" w:rsidP="000C0D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AE27EF" w14:textId="77777777" w:rsidR="00614CEF" w:rsidRPr="007A17FD" w:rsidRDefault="007A17FD" w:rsidP="007A17FD">
    <w:pPr>
      <w:rPr>
        <w:rFonts w:cs="Times New Roman"/>
        <w:i/>
        <w:sz w:val="18"/>
      </w:rPr>
    </w:pPr>
    <w:r w:rsidRPr="007A17FD">
      <w:rPr>
        <w:rFonts w:cs="Times New Roman"/>
        <w:i/>
        <w:sz w:val="18"/>
      </w:rPr>
      <w:t>OPC66165 -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5BA9" w14:textId="77777777" w:rsidR="00614CEF" w:rsidRPr="00E33C1C" w:rsidRDefault="00614CE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14CEF" w14:paraId="2751631D" w14:textId="77777777" w:rsidTr="006200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7B4E5F" w14:textId="77777777" w:rsidR="00614CEF" w:rsidRDefault="00614CEF" w:rsidP="000C0DF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7A47A3" w14:textId="5AAB4FAD" w:rsidR="00614CEF" w:rsidRDefault="00614CEF" w:rsidP="000C0D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277">
            <w:rPr>
              <w:i/>
              <w:sz w:val="18"/>
            </w:rPr>
            <w:t>Biosecurity (Biosecurity Response Zone for Foot and Mouth Disease—Relevant Ports)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1B09BE" w14:textId="77777777" w:rsidR="00614CEF" w:rsidRDefault="00614CEF" w:rsidP="000C0DFB">
          <w:pPr>
            <w:spacing w:line="0" w:lineRule="atLeast"/>
            <w:jc w:val="right"/>
            <w:rPr>
              <w:sz w:val="18"/>
            </w:rPr>
          </w:pPr>
        </w:p>
      </w:tc>
    </w:tr>
  </w:tbl>
  <w:p w14:paraId="78542600" w14:textId="77777777" w:rsidR="00614CEF" w:rsidRPr="007A17FD" w:rsidRDefault="007A17FD" w:rsidP="007A17FD">
    <w:pPr>
      <w:rPr>
        <w:rFonts w:cs="Times New Roman"/>
        <w:i/>
        <w:sz w:val="18"/>
      </w:rPr>
    </w:pPr>
    <w:r w:rsidRPr="007A17FD">
      <w:rPr>
        <w:rFonts w:cs="Times New Roman"/>
        <w:i/>
        <w:sz w:val="18"/>
      </w:rPr>
      <w:t>OPC66165 -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4C3E" w14:textId="77777777" w:rsidR="00614CEF" w:rsidRPr="00E33C1C" w:rsidRDefault="00614CE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14CEF" w14:paraId="308702E9" w14:textId="77777777" w:rsidTr="000C0DF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DDD138" w14:textId="77777777" w:rsidR="00614CEF" w:rsidRDefault="00614CEF" w:rsidP="000C0DF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B0445C" w14:textId="55A2F907" w:rsidR="00614CEF" w:rsidRDefault="00614CEF" w:rsidP="000C0D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277">
            <w:rPr>
              <w:i/>
              <w:sz w:val="18"/>
            </w:rPr>
            <w:t>Biosecurity (Biosecurity Response Zone for Foot and Mouth Disease—Relevant Ports)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3B505E" w14:textId="77777777" w:rsidR="00614CEF" w:rsidRDefault="00614CEF" w:rsidP="000C0D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87798A" w14:textId="77777777" w:rsidR="00614CEF" w:rsidRPr="007A17FD" w:rsidRDefault="007A17FD" w:rsidP="007A17FD">
    <w:pPr>
      <w:rPr>
        <w:rFonts w:cs="Times New Roman"/>
        <w:i/>
        <w:sz w:val="18"/>
      </w:rPr>
    </w:pPr>
    <w:r w:rsidRPr="007A17FD">
      <w:rPr>
        <w:rFonts w:cs="Times New Roman"/>
        <w:i/>
        <w:sz w:val="18"/>
      </w:rPr>
      <w:t>OPC66165 -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EF94" w14:textId="77777777" w:rsidR="00614CEF" w:rsidRPr="00E33C1C" w:rsidRDefault="00614CE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14CEF" w14:paraId="512591B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99DDF9" w14:textId="77777777" w:rsidR="00614CEF" w:rsidRDefault="00614CEF" w:rsidP="000C0DF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E59828" w14:textId="592CE133" w:rsidR="00614CEF" w:rsidRDefault="00614CEF" w:rsidP="000C0DF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4277">
            <w:rPr>
              <w:i/>
              <w:sz w:val="18"/>
            </w:rPr>
            <w:t>Biosecurity (Biosecurity Response Zone for Foot and Mouth Disease—Relevant Ports)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0B3CBB" w14:textId="77777777" w:rsidR="00614CEF" w:rsidRDefault="00614CEF" w:rsidP="000C0DF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53499C" w14:textId="77777777" w:rsidR="00614CEF" w:rsidRPr="007A17FD" w:rsidRDefault="007A17FD" w:rsidP="007A17FD">
    <w:pPr>
      <w:rPr>
        <w:rFonts w:cs="Times New Roman"/>
        <w:i/>
        <w:sz w:val="18"/>
      </w:rPr>
    </w:pPr>
    <w:r w:rsidRPr="007A17FD">
      <w:rPr>
        <w:rFonts w:cs="Times New Roman"/>
        <w:i/>
        <w:sz w:val="18"/>
      </w:rPr>
      <w:t>OPC66165 -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4346" w14:textId="77777777" w:rsidR="002458BC" w:rsidRDefault="002458BC" w:rsidP="00715914">
      <w:pPr>
        <w:spacing w:line="240" w:lineRule="auto"/>
      </w:pPr>
      <w:r>
        <w:separator/>
      </w:r>
    </w:p>
  </w:footnote>
  <w:footnote w:type="continuationSeparator" w:id="0">
    <w:p w14:paraId="27D4F31A" w14:textId="77777777" w:rsidR="002458BC" w:rsidRDefault="002458B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4180" w14:textId="77777777" w:rsidR="00614CEF" w:rsidRPr="005F1388" w:rsidRDefault="00614CE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6278" w14:textId="77777777" w:rsidR="00614CEF" w:rsidRPr="005F1388" w:rsidRDefault="00614CE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4B85" w14:textId="77777777" w:rsidR="00614CEF" w:rsidRPr="005F1388" w:rsidRDefault="00614CE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BD55" w14:textId="77777777" w:rsidR="00614CEF" w:rsidRPr="00ED79B6" w:rsidRDefault="00614CE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B283" w14:textId="77777777" w:rsidR="00614CEF" w:rsidRPr="00ED79B6" w:rsidRDefault="00614CE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7472" w14:textId="77777777" w:rsidR="00614CEF" w:rsidRPr="00ED79B6" w:rsidRDefault="00614CE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CB6C" w14:textId="02D95F32" w:rsidR="00614CEF" w:rsidRDefault="00614CE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BE6DB7B" w14:textId="0D0F259C" w:rsidR="00614CEF" w:rsidRDefault="00614CE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54B7A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54B7A">
      <w:rPr>
        <w:noProof/>
        <w:sz w:val="20"/>
      </w:rPr>
      <w:t>Powers that may be exercised in, or in relation to goods or premises in, the biosecurity response zone</w:t>
    </w:r>
    <w:r>
      <w:rPr>
        <w:sz w:val="20"/>
      </w:rPr>
      <w:fldChar w:fldCharType="end"/>
    </w:r>
  </w:p>
  <w:p w14:paraId="027ED115" w14:textId="5BEB3D49" w:rsidR="00614CEF" w:rsidRPr="007A1328" w:rsidRDefault="00614CE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627CC79" w14:textId="77777777" w:rsidR="00614CEF" w:rsidRPr="007A1328" w:rsidRDefault="00614CEF" w:rsidP="00715914">
    <w:pPr>
      <w:rPr>
        <w:b/>
        <w:sz w:val="24"/>
      </w:rPr>
    </w:pPr>
  </w:p>
  <w:p w14:paraId="4FDC207D" w14:textId="58A17D9F" w:rsidR="00614CEF" w:rsidRPr="007A1328" w:rsidRDefault="00614CE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5427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54B7A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4BA9" w14:textId="18EF7AE7" w:rsidR="00614CEF" w:rsidRPr="007A1328" w:rsidRDefault="00614CE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23A668A" w14:textId="4A744798" w:rsidR="00614CEF" w:rsidRPr="007A1328" w:rsidRDefault="00614CE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54B7A">
      <w:rPr>
        <w:sz w:val="20"/>
      </w:rPr>
      <w:fldChar w:fldCharType="separate"/>
    </w:r>
    <w:r w:rsidR="00A54B7A">
      <w:rPr>
        <w:noProof/>
        <w:sz w:val="20"/>
      </w:rPr>
      <w:t>Period in force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54B7A">
      <w:rPr>
        <w:b/>
        <w:sz w:val="20"/>
      </w:rPr>
      <w:fldChar w:fldCharType="separate"/>
    </w:r>
    <w:r w:rsidR="00A54B7A">
      <w:rPr>
        <w:b/>
        <w:noProof/>
        <w:sz w:val="20"/>
      </w:rPr>
      <w:t>Part 4</w:t>
    </w:r>
    <w:r>
      <w:rPr>
        <w:b/>
        <w:sz w:val="20"/>
      </w:rPr>
      <w:fldChar w:fldCharType="end"/>
    </w:r>
  </w:p>
  <w:p w14:paraId="557C954C" w14:textId="7210849C" w:rsidR="00614CEF" w:rsidRPr="007A1328" w:rsidRDefault="00614CE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778644B" w14:textId="77777777" w:rsidR="00614CEF" w:rsidRPr="007A1328" w:rsidRDefault="00614CEF" w:rsidP="00715914">
    <w:pPr>
      <w:jc w:val="right"/>
      <w:rPr>
        <w:b/>
        <w:sz w:val="24"/>
      </w:rPr>
    </w:pPr>
  </w:p>
  <w:p w14:paraId="50AC695C" w14:textId="18B7F6A5" w:rsidR="00614CEF" w:rsidRPr="007A1328" w:rsidRDefault="00614CE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5427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54B7A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1B74" w14:textId="77777777" w:rsidR="00614CEF" w:rsidRPr="007A1328" w:rsidRDefault="00614CEF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A42CAB"/>
    <w:multiLevelType w:val="hybridMultilevel"/>
    <w:tmpl w:val="B0182B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138520427">
    <w:abstractNumId w:val="9"/>
  </w:num>
  <w:num w:numId="2" w16cid:durableId="1007555330">
    <w:abstractNumId w:val="7"/>
  </w:num>
  <w:num w:numId="3" w16cid:durableId="1866088611">
    <w:abstractNumId w:val="6"/>
  </w:num>
  <w:num w:numId="4" w16cid:durableId="852039062">
    <w:abstractNumId w:val="5"/>
  </w:num>
  <w:num w:numId="5" w16cid:durableId="1107584209">
    <w:abstractNumId w:val="4"/>
  </w:num>
  <w:num w:numId="6" w16cid:durableId="1752002432">
    <w:abstractNumId w:val="8"/>
  </w:num>
  <w:num w:numId="7" w16cid:durableId="2007584779">
    <w:abstractNumId w:val="3"/>
  </w:num>
  <w:num w:numId="8" w16cid:durableId="233246040">
    <w:abstractNumId w:val="2"/>
  </w:num>
  <w:num w:numId="9" w16cid:durableId="1243298552">
    <w:abstractNumId w:val="1"/>
  </w:num>
  <w:num w:numId="10" w16cid:durableId="846100067">
    <w:abstractNumId w:val="0"/>
  </w:num>
  <w:num w:numId="11" w16cid:durableId="645428264">
    <w:abstractNumId w:val="16"/>
  </w:num>
  <w:num w:numId="12" w16cid:durableId="1927424636">
    <w:abstractNumId w:val="11"/>
  </w:num>
  <w:num w:numId="13" w16cid:durableId="295573606">
    <w:abstractNumId w:val="12"/>
  </w:num>
  <w:num w:numId="14" w16cid:durableId="1496803436">
    <w:abstractNumId w:val="14"/>
  </w:num>
  <w:num w:numId="15" w16cid:durableId="33122910">
    <w:abstractNumId w:val="13"/>
  </w:num>
  <w:num w:numId="16" w16cid:durableId="608665149">
    <w:abstractNumId w:val="10"/>
  </w:num>
  <w:num w:numId="17" w16cid:durableId="910624592">
    <w:abstractNumId w:val="18"/>
  </w:num>
  <w:num w:numId="18" w16cid:durableId="1655915447">
    <w:abstractNumId w:val="17"/>
  </w:num>
  <w:num w:numId="19" w16cid:durableId="1729062775">
    <w:abstractNumId w:val="16"/>
  </w:num>
  <w:num w:numId="20" w16cid:durableId="8398075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0519C"/>
    <w:rsid w:val="00004470"/>
    <w:rsid w:val="000136AF"/>
    <w:rsid w:val="000437C1"/>
    <w:rsid w:val="00052D1F"/>
    <w:rsid w:val="0005365D"/>
    <w:rsid w:val="00054277"/>
    <w:rsid w:val="000614BF"/>
    <w:rsid w:val="00083DFE"/>
    <w:rsid w:val="00092252"/>
    <w:rsid w:val="000B0FEC"/>
    <w:rsid w:val="000B58FA"/>
    <w:rsid w:val="000B7E30"/>
    <w:rsid w:val="000C0DFB"/>
    <w:rsid w:val="000D05EF"/>
    <w:rsid w:val="000E2261"/>
    <w:rsid w:val="000F21C1"/>
    <w:rsid w:val="000F7A9C"/>
    <w:rsid w:val="0010745C"/>
    <w:rsid w:val="00132CEB"/>
    <w:rsid w:val="00142B62"/>
    <w:rsid w:val="00142FC6"/>
    <w:rsid w:val="0014539C"/>
    <w:rsid w:val="00153893"/>
    <w:rsid w:val="00157B8B"/>
    <w:rsid w:val="00166C2F"/>
    <w:rsid w:val="001721AC"/>
    <w:rsid w:val="001769A7"/>
    <w:rsid w:val="001809D7"/>
    <w:rsid w:val="001939E1"/>
    <w:rsid w:val="00194C3E"/>
    <w:rsid w:val="00195382"/>
    <w:rsid w:val="001955AB"/>
    <w:rsid w:val="001C61C5"/>
    <w:rsid w:val="001C69C4"/>
    <w:rsid w:val="001D37EF"/>
    <w:rsid w:val="001E3590"/>
    <w:rsid w:val="001E7407"/>
    <w:rsid w:val="001F5B29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458BC"/>
    <w:rsid w:val="00246D66"/>
    <w:rsid w:val="00252D29"/>
    <w:rsid w:val="002564A4"/>
    <w:rsid w:val="0026736C"/>
    <w:rsid w:val="00281308"/>
    <w:rsid w:val="00284719"/>
    <w:rsid w:val="00296B4F"/>
    <w:rsid w:val="00297ECB"/>
    <w:rsid w:val="002A7BCF"/>
    <w:rsid w:val="002C4A40"/>
    <w:rsid w:val="002D043A"/>
    <w:rsid w:val="002D6224"/>
    <w:rsid w:val="002E3F4B"/>
    <w:rsid w:val="002E7249"/>
    <w:rsid w:val="00304F8B"/>
    <w:rsid w:val="00332D8B"/>
    <w:rsid w:val="003354D2"/>
    <w:rsid w:val="00335BC6"/>
    <w:rsid w:val="003415D3"/>
    <w:rsid w:val="0034256D"/>
    <w:rsid w:val="00344701"/>
    <w:rsid w:val="00352B0F"/>
    <w:rsid w:val="00356690"/>
    <w:rsid w:val="00360459"/>
    <w:rsid w:val="00391936"/>
    <w:rsid w:val="003942BC"/>
    <w:rsid w:val="003B155E"/>
    <w:rsid w:val="003B77A7"/>
    <w:rsid w:val="003C6231"/>
    <w:rsid w:val="003D0BFE"/>
    <w:rsid w:val="003D5700"/>
    <w:rsid w:val="003E341B"/>
    <w:rsid w:val="003F1BCC"/>
    <w:rsid w:val="004013A3"/>
    <w:rsid w:val="004116CD"/>
    <w:rsid w:val="004144EC"/>
    <w:rsid w:val="00417EB9"/>
    <w:rsid w:val="00424CA9"/>
    <w:rsid w:val="00431E9B"/>
    <w:rsid w:val="0043476F"/>
    <w:rsid w:val="004379E3"/>
    <w:rsid w:val="00437E5C"/>
    <w:rsid w:val="0044015E"/>
    <w:rsid w:val="0044291A"/>
    <w:rsid w:val="00444ABD"/>
    <w:rsid w:val="00456417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073A5"/>
    <w:rsid w:val="00516B8D"/>
    <w:rsid w:val="00520F40"/>
    <w:rsid w:val="00537FBC"/>
    <w:rsid w:val="00554954"/>
    <w:rsid w:val="005574D1"/>
    <w:rsid w:val="00573955"/>
    <w:rsid w:val="00584811"/>
    <w:rsid w:val="00585784"/>
    <w:rsid w:val="00591F84"/>
    <w:rsid w:val="00593AA6"/>
    <w:rsid w:val="00594161"/>
    <w:rsid w:val="00594749"/>
    <w:rsid w:val="005B266B"/>
    <w:rsid w:val="005B2E99"/>
    <w:rsid w:val="005B4067"/>
    <w:rsid w:val="005B63BC"/>
    <w:rsid w:val="005C3F41"/>
    <w:rsid w:val="005D2D09"/>
    <w:rsid w:val="005E688D"/>
    <w:rsid w:val="00600219"/>
    <w:rsid w:val="00603DC4"/>
    <w:rsid w:val="00614CEF"/>
    <w:rsid w:val="00620076"/>
    <w:rsid w:val="00620085"/>
    <w:rsid w:val="00670EA1"/>
    <w:rsid w:val="00677005"/>
    <w:rsid w:val="00677CC2"/>
    <w:rsid w:val="006905DE"/>
    <w:rsid w:val="0069207B"/>
    <w:rsid w:val="006944A8"/>
    <w:rsid w:val="006B31E1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3568"/>
    <w:rsid w:val="00731E00"/>
    <w:rsid w:val="00742014"/>
    <w:rsid w:val="007440B7"/>
    <w:rsid w:val="00746473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0092"/>
    <w:rsid w:val="007A17FD"/>
    <w:rsid w:val="007C2253"/>
    <w:rsid w:val="007D5A63"/>
    <w:rsid w:val="007D7B81"/>
    <w:rsid w:val="007E163D"/>
    <w:rsid w:val="007E667A"/>
    <w:rsid w:val="007F28C9"/>
    <w:rsid w:val="007F2E46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79A4"/>
    <w:rsid w:val="008D0EE0"/>
    <w:rsid w:val="008D7D24"/>
    <w:rsid w:val="008E6067"/>
    <w:rsid w:val="008F0BAB"/>
    <w:rsid w:val="008F319D"/>
    <w:rsid w:val="008F54E7"/>
    <w:rsid w:val="00903422"/>
    <w:rsid w:val="00914481"/>
    <w:rsid w:val="00915DF9"/>
    <w:rsid w:val="009254C3"/>
    <w:rsid w:val="00932377"/>
    <w:rsid w:val="00945522"/>
    <w:rsid w:val="00947D5A"/>
    <w:rsid w:val="009532A5"/>
    <w:rsid w:val="00982242"/>
    <w:rsid w:val="009868E9"/>
    <w:rsid w:val="009A3192"/>
    <w:rsid w:val="009A7927"/>
    <w:rsid w:val="009B5AB3"/>
    <w:rsid w:val="009C43A3"/>
    <w:rsid w:val="009E1604"/>
    <w:rsid w:val="009E5CFC"/>
    <w:rsid w:val="00A079CB"/>
    <w:rsid w:val="00A12128"/>
    <w:rsid w:val="00A22C98"/>
    <w:rsid w:val="00A231E2"/>
    <w:rsid w:val="00A35F6C"/>
    <w:rsid w:val="00A54B7A"/>
    <w:rsid w:val="00A64912"/>
    <w:rsid w:val="00A674BC"/>
    <w:rsid w:val="00A70A74"/>
    <w:rsid w:val="00AA3DA0"/>
    <w:rsid w:val="00AD5641"/>
    <w:rsid w:val="00AD7889"/>
    <w:rsid w:val="00AE3652"/>
    <w:rsid w:val="00AE786D"/>
    <w:rsid w:val="00AF021B"/>
    <w:rsid w:val="00AF06CF"/>
    <w:rsid w:val="00B05CF4"/>
    <w:rsid w:val="00B07CDB"/>
    <w:rsid w:val="00B16A31"/>
    <w:rsid w:val="00B17DFD"/>
    <w:rsid w:val="00B214AC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518E"/>
    <w:rsid w:val="00BE2155"/>
    <w:rsid w:val="00BE2213"/>
    <w:rsid w:val="00BE719A"/>
    <w:rsid w:val="00BE720A"/>
    <w:rsid w:val="00BF0D73"/>
    <w:rsid w:val="00BF2465"/>
    <w:rsid w:val="00BF362F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7AF3"/>
    <w:rsid w:val="00D5193B"/>
    <w:rsid w:val="00D52DC2"/>
    <w:rsid w:val="00D53BCC"/>
    <w:rsid w:val="00D62BCB"/>
    <w:rsid w:val="00D674C2"/>
    <w:rsid w:val="00D67E8A"/>
    <w:rsid w:val="00D70DFB"/>
    <w:rsid w:val="00D766DF"/>
    <w:rsid w:val="00DA186E"/>
    <w:rsid w:val="00DA236F"/>
    <w:rsid w:val="00DA4116"/>
    <w:rsid w:val="00DB251C"/>
    <w:rsid w:val="00DB4630"/>
    <w:rsid w:val="00DC4F88"/>
    <w:rsid w:val="00DF58E7"/>
    <w:rsid w:val="00E0519C"/>
    <w:rsid w:val="00E05704"/>
    <w:rsid w:val="00E11E44"/>
    <w:rsid w:val="00E3270E"/>
    <w:rsid w:val="00E32E01"/>
    <w:rsid w:val="00E338EF"/>
    <w:rsid w:val="00E358DA"/>
    <w:rsid w:val="00E51FE4"/>
    <w:rsid w:val="00E544BB"/>
    <w:rsid w:val="00E55283"/>
    <w:rsid w:val="00E662CB"/>
    <w:rsid w:val="00E74DC7"/>
    <w:rsid w:val="00E76806"/>
    <w:rsid w:val="00E8075A"/>
    <w:rsid w:val="00E8315C"/>
    <w:rsid w:val="00E864AE"/>
    <w:rsid w:val="00E94D5E"/>
    <w:rsid w:val="00EA401A"/>
    <w:rsid w:val="00EA7100"/>
    <w:rsid w:val="00EA7F9F"/>
    <w:rsid w:val="00EB1274"/>
    <w:rsid w:val="00EB6AD0"/>
    <w:rsid w:val="00ED2BB6"/>
    <w:rsid w:val="00ED34E1"/>
    <w:rsid w:val="00ED3B8D"/>
    <w:rsid w:val="00ED5E4B"/>
    <w:rsid w:val="00ED659C"/>
    <w:rsid w:val="00EF2E3A"/>
    <w:rsid w:val="00F016AE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D1696"/>
    <w:rsid w:val="00FD609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7D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674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4B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4B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4B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74B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74B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74B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74B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74B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74B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674BC"/>
  </w:style>
  <w:style w:type="paragraph" w:customStyle="1" w:styleId="OPCParaBase">
    <w:name w:val="OPCParaBase"/>
    <w:qFormat/>
    <w:rsid w:val="00A674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674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674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674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674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674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674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74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674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674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674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674BC"/>
  </w:style>
  <w:style w:type="paragraph" w:customStyle="1" w:styleId="Blocks">
    <w:name w:val="Blocks"/>
    <w:aliases w:val="bb"/>
    <w:basedOn w:val="OPCParaBase"/>
    <w:qFormat/>
    <w:rsid w:val="00A674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674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674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674BC"/>
    <w:rPr>
      <w:i/>
    </w:rPr>
  </w:style>
  <w:style w:type="paragraph" w:customStyle="1" w:styleId="BoxList">
    <w:name w:val="BoxList"/>
    <w:aliases w:val="bl"/>
    <w:basedOn w:val="BoxText"/>
    <w:qFormat/>
    <w:rsid w:val="00A674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674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674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674BC"/>
    <w:pPr>
      <w:ind w:left="1985" w:hanging="851"/>
    </w:pPr>
  </w:style>
  <w:style w:type="character" w:customStyle="1" w:styleId="CharAmPartNo">
    <w:name w:val="CharAmPartNo"/>
    <w:basedOn w:val="OPCCharBase"/>
    <w:qFormat/>
    <w:rsid w:val="00A674BC"/>
  </w:style>
  <w:style w:type="character" w:customStyle="1" w:styleId="CharAmPartText">
    <w:name w:val="CharAmPartText"/>
    <w:basedOn w:val="OPCCharBase"/>
    <w:qFormat/>
    <w:rsid w:val="00A674BC"/>
  </w:style>
  <w:style w:type="character" w:customStyle="1" w:styleId="CharAmSchNo">
    <w:name w:val="CharAmSchNo"/>
    <w:basedOn w:val="OPCCharBase"/>
    <w:qFormat/>
    <w:rsid w:val="00A674BC"/>
  </w:style>
  <w:style w:type="character" w:customStyle="1" w:styleId="CharAmSchText">
    <w:name w:val="CharAmSchText"/>
    <w:basedOn w:val="OPCCharBase"/>
    <w:qFormat/>
    <w:rsid w:val="00A674BC"/>
  </w:style>
  <w:style w:type="character" w:customStyle="1" w:styleId="CharBoldItalic">
    <w:name w:val="CharBoldItalic"/>
    <w:basedOn w:val="OPCCharBase"/>
    <w:uiPriority w:val="1"/>
    <w:qFormat/>
    <w:rsid w:val="00A674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A674BC"/>
  </w:style>
  <w:style w:type="character" w:customStyle="1" w:styleId="CharChapText">
    <w:name w:val="CharChapText"/>
    <w:basedOn w:val="OPCCharBase"/>
    <w:uiPriority w:val="1"/>
    <w:qFormat/>
    <w:rsid w:val="00A674BC"/>
  </w:style>
  <w:style w:type="character" w:customStyle="1" w:styleId="CharDivNo">
    <w:name w:val="CharDivNo"/>
    <w:basedOn w:val="OPCCharBase"/>
    <w:uiPriority w:val="1"/>
    <w:qFormat/>
    <w:rsid w:val="00A674BC"/>
  </w:style>
  <w:style w:type="character" w:customStyle="1" w:styleId="CharDivText">
    <w:name w:val="CharDivText"/>
    <w:basedOn w:val="OPCCharBase"/>
    <w:uiPriority w:val="1"/>
    <w:qFormat/>
    <w:rsid w:val="00A674BC"/>
  </w:style>
  <w:style w:type="character" w:customStyle="1" w:styleId="CharItalic">
    <w:name w:val="CharItalic"/>
    <w:basedOn w:val="OPCCharBase"/>
    <w:uiPriority w:val="1"/>
    <w:qFormat/>
    <w:rsid w:val="00A674BC"/>
    <w:rPr>
      <w:i/>
    </w:rPr>
  </w:style>
  <w:style w:type="character" w:customStyle="1" w:styleId="CharPartNo">
    <w:name w:val="CharPartNo"/>
    <w:basedOn w:val="OPCCharBase"/>
    <w:uiPriority w:val="1"/>
    <w:qFormat/>
    <w:rsid w:val="00A674BC"/>
  </w:style>
  <w:style w:type="character" w:customStyle="1" w:styleId="CharPartText">
    <w:name w:val="CharPartText"/>
    <w:basedOn w:val="OPCCharBase"/>
    <w:uiPriority w:val="1"/>
    <w:qFormat/>
    <w:rsid w:val="00A674BC"/>
  </w:style>
  <w:style w:type="character" w:customStyle="1" w:styleId="CharSectno">
    <w:name w:val="CharSectno"/>
    <w:basedOn w:val="OPCCharBase"/>
    <w:qFormat/>
    <w:rsid w:val="00A674BC"/>
  </w:style>
  <w:style w:type="character" w:customStyle="1" w:styleId="CharSubdNo">
    <w:name w:val="CharSubdNo"/>
    <w:basedOn w:val="OPCCharBase"/>
    <w:uiPriority w:val="1"/>
    <w:qFormat/>
    <w:rsid w:val="00A674BC"/>
  </w:style>
  <w:style w:type="character" w:customStyle="1" w:styleId="CharSubdText">
    <w:name w:val="CharSubdText"/>
    <w:basedOn w:val="OPCCharBase"/>
    <w:uiPriority w:val="1"/>
    <w:qFormat/>
    <w:rsid w:val="00A674BC"/>
  </w:style>
  <w:style w:type="paragraph" w:customStyle="1" w:styleId="CTA--">
    <w:name w:val="CTA --"/>
    <w:basedOn w:val="OPCParaBase"/>
    <w:next w:val="Normal"/>
    <w:rsid w:val="00A674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674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674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674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674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674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674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674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674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674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674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674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674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674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674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674B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674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674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674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674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674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674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674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674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674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674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674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674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674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674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674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674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74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74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674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674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674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674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674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674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674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674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674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674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674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674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674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674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674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674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674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674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674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674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674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674B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674B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674B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674B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674B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674B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674B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674B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674B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674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674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674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674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674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674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674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674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674BC"/>
    <w:rPr>
      <w:sz w:val="16"/>
    </w:rPr>
  </w:style>
  <w:style w:type="table" w:customStyle="1" w:styleId="CFlag">
    <w:name w:val="CFlag"/>
    <w:basedOn w:val="TableNormal"/>
    <w:uiPriority w:val="99"/>
    <w:rsid w:val="00A674B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674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67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674B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674B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674B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674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674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674B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674B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674B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674B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674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674B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674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674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674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674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674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674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674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674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674B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674BC"/>
  </w:style>
  <w:style w:type="character" w:customStyle="1" w:styleId="CharSubPartNoCASA">
    <w:name w:val="CharSubPartNo(CASA)"/>
    <w:basedOn w:val="OPCCharBase"/>
    <w:uiPriority w:val="1"/>
    <w:rsid w:val="00A674BC"/>
  </w:style>
  <w:style w:type="paragraph" w:customStyle="1" w:styleId="ENoteTTIndentHeadingSub">
    <w:name w:val="ENoteTTIndentHeadingSub"/>
    <w:aliases w:val="enTTHis"/>
    <w:basedOn w:val="OPCParaBase"/>
    <w:rsid w:val="00A674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674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674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674B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674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674B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674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674BC"/>
    <w:rPr>
      <w:sz w:val="22"/>
    </w:rPr>
  </w:style>
  <w:style w:type="paragraph" w:customStyle="1" w:styleId="SOTextNote">
    <w:name w:val="SO TextNote"/>
    <w:aliases w:val="sont"/>
    <w:basedOn w:val="SOText"/>
    <w:qFormat/>
    <w:rsid w:val="00A674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674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674BC"/>
    <w:rPr>
      <w:sz w:val="22"/>
    </w:rPr>
  </w:style>
  <w:style w:type="paragraph" w:customStyle="1" w:styleId="FileName">
    <w:name w:val="FileName"/>
    <w:basedOn w:val="Normal"/>
    <w:rsid w:val="00A674BC"/>
  </w:style>
  <w:style w:type="paragraph" w:customStyle="1" w:styleId="TableHeading">
    <w:name w:val="TableHeading"/>
    <w:aliases w:val="th"/>
    <w:basedOn w:val="OPCParaBase"/>
    <w:next w:val="Tabletext"/>
    <w:rsid w:val="00A674B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674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674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674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674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674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674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674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674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674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674B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674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674B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674B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67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7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4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674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674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674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674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674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67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674B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674BC"/>
    <w:pPr>
      <w:ind w:left="240" w:hanging="240"/>
    </w:pPr>
  </w:style>
  <w:style w:type="paragraph" w:styleId="Index2">
    <w:name w:val="index 2"/>
    <w:basedOn w:val="Normal"/>
    <w:next w:val="Normal"/>
    <w:autoRedefine/>
    <w:rsid w:val="00A674BC"/>
    <w:pPr>
      <w:ind w:left="480" w:hanging="240"/>
    </w:pPr>
  </w:style>
  <w:style w:type="paragraph" w:styleId="Index3">
    <w:name w:val="index 3"/>
    <w:basedOn w:val="Normal"/>
    <w:next w:val="Normal"/>
    <w:autoRedefine/>
    <w:rsid w:val="00A674BC"/>
    <w:pPr>
      <w:ind w:left="720" w:hanging="240"/>
    </w:pPr>
  </w:style>
  <w:style w:type="paragraph" w:styleId="Index4">
    <w:name w:val="index 4"/>
    <w:basedOn w:val="Normal"/>
    <w:next w:val="Normal"/>
    <w:autoRedefine/>
    <w:rsid w:val="00A674BC"/>
    <w:pPr>
      <w:ind w:left="960" w:hanging="240"/>
    </w:pPr>
  </w:style>
  <w:style w:type="paragraph" w:styleId="Index5">
    <w:name w:val="index 5"/>
    <w:basedOn w:val="Normal"/>
    <w:next w:val="Normal"/>
    <w:autoRedefine/>
    <w:rsid w:val="00A674BC"/>
    <w:pPr>
      <w:ind w:left="1200" w:hanging="240"/>
    </w:pPr>
  </w:style>
  <w:style w:type="paragraph" w:styleId="Index6">
    <w:name w:val="index 6"/>
    <w:basedOn w:val="Normal"/>
    <w:next w:val="Normal"/>
    <w:autoRedefine/>
    <w:rsid w:val="00A674BC"/>
    <w:pPr>
      <w:ind w:left="1440" w:hanging="240"/>
    </w:pPr>
  </w:style>
  <w:style w:type="paragraph" w:styleId="Index7">
    <w:name w:val="index 7"/>
    <w:basedOn w:val="Normal"/>
    <w:next w:val="Normal"/>
    <w:autoRedefine/>
    <w:rsid w:val="00A674BC"/>
    <w:pPr>
      <w:ind w:left="1680" w:hanging="240"/>
    </w:pPr>
  </w:style>
  <w:style w:type="paragraph" w:styleId="Index8">
    <w:name w:val="index 8"/>
    <w:basedOn w:val="Normal"/>
    <w:next w:val="Normal"/>
    <w:autoRedefine/>
    <w:rsid w:val="00A674BC"/>
    <w:pPr>
      <w:ind w:left="1920" w:hanging="240"/>
    </w:pPr>
  </w:style>
  <w:style w:type="paragraph" w:styleId="Index9">
    <w:name w:val="index 9"/>
    <w:basedOn w:val="Normal"/>
    <w:next w:val="Normal"/>
    <w:autoRedefine/>
    <w:rsid w:val="00A674BC"/>
    <w:pPr>
      <w:ind w:left="2160" w:hanging="240"/>
    </w:pPr>
  </w:style>
  <w:style w:type="paragraph" w:styleId="NormalIndent">
    <w:name w:val="Normal Indent"/>
    <w:basedOn w:val="Normal"/>
    <w:rsid w:val="00A674BC"/>
    <w:pPr>
      <w:ind w:left="720"/>
    </w:pPr>
  </w:style>
  <w:style w:type="paragraph" w:styleId="FootnoteText">
    <w:name w:val="footnote text"/>
    <w:basedOn w:val="Normal"/>
    <w:link w:val="FootnoteTextChar"/>
    <w:rsid w:val="00A674B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674BC"/>
  </w:style>
  <w:style w:type="paragraph" w:styleId="CommentText">
    <w:name w:val="annotation text"/>
    <w:basedOn w:val="Normal"/>
    <w:link w:val="CommentTextChar"/>
    <w:rsid w:val="00A674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74BC"/>
  </w:style>
  <w:style w:type="paragraph" w:styleId="IndexHeading">
    <w:name w:val="index heading"/>
    <w:basedOn w:val="Normal"/>
    <w:next w:val="Index1"/>
    <w:rsid w:val="00A674B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674B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674BC"/>
    <w:pPr>
      <w:ind w:left="480" w:hanging="480"/>
    </w:pPr>
  </w:style>
  <w:style w:type="paragraph" w:styleId="EnvelopeAddress">
    <w:name w:val="envelope address"/>
    <w:basedOn w:val="Normal"/>
    <w:rsid w:val="00A674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674B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674B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674BC"/>
    <w:rPr>
      <w:sz w:val="16"/>
      <w:szCs w:val="16"/>
    </w:rPr>
  </w:style>
  <w:style w:type="character" w:styleId="PageNumber">
    <w:name w:val="page number"/>
    <w:basedOn w:val="DefaultParagraphFont"/>
    <w:rsid w:val="00A674BC"/>
  </w:style>
  <w:style w:type="character" w:styleId="EndnoteReference">
    <w:name w:val="endnote reference"/>
    <w:basedOn w:val="DefaultParagraphFont"/>
    <w:rsid w:val="00A674BC"/>
    <w:rPr>
      <w:vertAlign w:val="superscript"/>
    </w:rPr>
  </w:style>
  <w:style w:type="paragraph" w:styleId="EndnoteText">
    <w:name w:val="endnote text"/>
    <w:basedOn w:val="Normal"/>
    <w:link w:val="EndnoteTextChar"/>
    <w:rsid w:val="00A674B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674BC"/>
  </w:style>
  <w:style w:type="paragraph" w:styleId="TableofAuthorities">
    <w:name w:val="table of authorities"/>
    <w:basedOn w:val="Normal"/>
    <w:next w:val="Normal"/>
    <w:rsid w:val="00A674BC"/>
    <w:pPr>
      <w:ind w:left="240" w:hanging="240"/>
    </w:pPr>
  </w:style>
  <w:style w:type="paragraph" w:styleId="MacroText">
    <w:name w:val="macro"/>
    <w:link w:val="MacroTextChar"/>
    <w:rsid w:val="00A67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674B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674B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674BC"/>
    <w:pPr>
      <w:ind w:left="283" w:hanging="283"/>
    </w:pPr>
  </w:style>
  <w:style w:type="paragraph" w:styleId="ListBullet">
    <w:name w:val="List Bullet"/>
    <w:basedOn w:val="Normal"/>
    <w:autoRedefine/>
    <w:rsid w:val="00A674B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674B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674BC"/>
    <w:pPr>
      <w:ind w:left="566" w:hanging="283"/>
    </w:pPr>
  </w:style>
  <w:style w:type="paragraph" w:styleId="List3">
    <w:name w:val="List 3"/>
    <w:basedOn w:val="Normal"/>
    <w:rsid w:val="00A674BC"/>
    <w:pPr>
      <w:ind w:left="849" w:hanging="283"/>
    </w:pPr>
  </w:style>
  <w:style w:type="paragraph" w:styleId="List4">
    <w:name w:val="List 4"/>
    <w:basedOn w:val="Normal"/>
    <w:rsid w:val="00A674BC"/>
    <w:pPr>
      <w:ind w:left="1132" w:hanging="283"/>
    </w:pPr>
  </w:style>
  <w:style w:type="paragraph" w:styleId="List5">
    <w:name w:val="List 5"/>
    <w:basedOn w:val="Normal"/>
    <w:rsid w:val="00A674BC"/>
    <w:pPr>
      <w:ind w:left="1415" w:hanging="283"/>
    </w:pPr>
  </w:style>
  <w:style w:type="paragraph" w:styleId="ListBullet2">
    <w:name w:val="List Bullet 2"/>
    <w:basedOn w:val="Normal"/>
    <w:autoRedefine/>
    <w:rsid w:val="00A674B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674B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674B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674B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674B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674B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674B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674B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674B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674B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674BC"/>
    <w:pPr>
      <w:ind w:left="4252"/>
    </w:pPr>
  </w:style>
  <w:style w:type="character" w:customStyle="1" w:styleId="ClosingChar">
    <w:name w:val="Closing Char"/>
    <w:basedOn w:val="DefaultParagraphFont"/>
    <w:link w:val="Closing"/>
    <w:rsid w:val="00A674BC"/>
    <w:rPr>
      <w:sz w:val="22"/>
    </w:rPr>
  </w:style>
  <w:style w:type="paragraph" w:styleId="Signature">
    <w:name w:val="Signature"/>
    <w:basedOn w:val="Normal"/>
    <w:link w:val="SignatureChar"/>
    <w:rsid w:val="00A674B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674BC"/>
    <w:rPr>
      <w:sz w:val="22"/>
    </w:rPr>
  </w:style>
  <w:style w:type="paragraph" w:styleId="BodyText">
    <w:name w:val="Body Text"/>
    <w:basedOn w:val="Normal"/>
    <w:link w:val="BodyTextChar"/>
    <w:rsid w:val="00A674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674BC"/>
    <w:rPr>
      <w:sz w:val="22"/>
    </w:rPr>
  </w:style>
  <w:style w:type="paragraph" w:styleId="BodyTextIndent">
    <w:name w:val="Body Text Indent"/>
    <w:basedOn w:val="Normal"/>
    <w:link w:val="BodyTextIndentChar"/>
    <w:rsid w:val="00A674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674BC"/>
    <w:rPr>
      <w:sz w:val="22"/>
    </w:rPr>
  </w:style>
  <w:style w:type="paragraph" w:styleId="ListContinue">
    <w:name w:val="List Continue"/>
    <w:basedOn w:val="Normal"/>
    <w:rsid w:val="00A674BC"/>
    <w:pPr>
      <w:spacing w:after="120"/>
      <w:ind w:left="283"/>
    </w:pPr>
  </w:style>
  <w:style w:type="paragraph" w:styleId="ListContinue2">
    <w:name w:val="List Continue 2"/>
    <w:basedOn w:val="Normal"/>
    <w:rsid w:val="00A674BC"/>
    <w:pPr>
      <w:spacing w:after="120"/>
      <w:ind w:left="566"/>
    </w:pPr>
  </w:style>
  <w:style w:type="paragraph" w:styleId="ListContinue3">
    <w:name w:val="List Continue 3"/>
    <w:basedOn w:val="Normal"/>
    <w:rsid w:val="00A674BC"/>
    <w:pPr>
      <w:spacing w:after="120"/>
      <w:ind w:left="849"/>
    </w:pPr>
  </w:style>
  <w:style w:type="paragraph" w:styleId="ListContinue4">
    <w:name w:val="List Continue 4"/>
    <w:basedOn w:val="Normal"/>
    <w:rsid w:val="00A674BC"/>
    <w:pPr>
      <w:spacing w:after="120"/>
      <w:ind w:left="1132"/>
    </w:pPr>
  </w:style>
  <w:style w:type="paragraph" w:styleId="ListContinue5">
    <w:name w:val="List Continue 5"/>
    <w:basedOn w:val="Normal"/>
    <w:rsid w:val="00A674B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67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674B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674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674B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674BC"/>
  </w:style>
  <w:style w:type="character" w:customStyle="1" w:styleId="SalutationChar">
    <w:name w:val="Salutation Char"/>
    <w:basedOn w:val="DefaultParagraphFont"/>
    <w:link w:val="Salutation"/>
    <w:rsid w:val="00A674BC"/>
    <w:rPr>
      <w:sz w:val="22"/>
    </w:rPr>
  </w:style>
  <w:style w:type="paragraph" w:styleId="Date">
    <w:name w:val="Date"/>
    <w:basedOn w:val="Normal"/>
    <w:next w:val="Normal"/>
    <w:link w:val="DateChar"/>
    <w:rsid w:val="00A674BC"/>
  </w:style>
  <w:style w:type="character" w:customStyle="1" w:styleId="DateChar">
    <w:name w:val="Date Char"/>
    <w:basedOn w:val="DefaultParagraphFont"/>
    <w:link w:val="Date"/>
    <w:rsid w:val="00A674BC"/>
    <w:rPr>
      <w:sz w:val="22"/>
    </w:rPr>
  </w:style>
  <w:style w:type="paragraph" w:styleId="BodyTextFirstIndent">
    <w:name w:val="Body Text First Indent"/>
    <w:basedOn w:val="BodyText"/>
    <w:link w:val="BodyTextFirstIndentChar"/>
    <w:rsid w:val="00A674B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674B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674B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674BC"/>
    <w:rPr>
      <w:sz w:val="22"/>
    </w:rPr>
  </w:style>
  <w:style w:type="paragraph" w:styleId="BodyText2">
    <w:name w:val="Body Text 2"/>
    <w:basedOn w:val="Normal"/>
    <w:link w:val="BodyText2Char"/>
    <w:rsid w:val="00A674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74BC"/>
    <w:rPr>
      <w:sz w:val="22"/>
    </w:rPr>
  </w:style>
  <w:style w:type="paragraph" w:styleId="BodyText3">
    <w:name w:val="Body Text 3"/>
    <w:basedOn w:val="Normal"/>
    <w:link w:val="BodyText3Char"/>
    <w:rsid w:val="00A674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674B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674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674BC"/>
    <w:rPr>
      <w:sz w:val="22"/>
    </w:rPr>
  </w:style>
  <w:style w:type="paragraph" w:styleId="BodyTextIndent3">
    <w:name w:val="Body Text Indent 3"/>
    <w:basedOn w:val="Normal"/>
    <w:link w:val="BodyTextIndent3Char"/>
    <w:rsid w:val="00A674B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74BC"/>
    <w:rPr>
      <w:sz w:val="16"/>
      <w:szCs w:val="16"/>
    </w:rPr>
  </w:style>
  <w:style w:type="paragraph" w:styleId="BlockText">
    <w:name w:val="Block Text"/>
    <w:basedOn w:val="Normal"/>
    <w:rsid w:val="00A674BC"/>
    <w:pPr>
      <w:spacing w:after="120"/>
      <w:ind w:left="1440" w:right="1440"/>
    </w:pPr>
  </w:style>
  <w:style w:type="character" w:styleId="Hyperlink">
    <w:name w:val="Hyperlink"/>
    <w:basedOn w:val="DefaultParagraphFont"/>
    <w:rsid w:val="00A674BC"/>
    <w:rPr>
      <w:color w:val="0000FF"/>
      <w:u w:val="single"/>
    </w:rPr>
  </w:style>
  <w:style w:type="character" w:styleId="FollowedHyperlink">
    <w:name w:val="FollowedHyperlink"/>
    <w:basedOn w:val="DefaultParagraphFont"/>
    <w:rsid w:val="00A674BC"/>
    <w:rPr>
      <w:color w:val="800080"/>
      <w:u w:val="single"/>
    </w:rPr>
  </w:style>
  <w:style w:type="character" w:styleId="Strong">
    <w:name w:val="Strong"/>
    <w:basedOn w:val="DefaultParagraphFont"/>
    <w:qFormat/>
    <w:rsid w:val="00A674BC"/>
    <w:rPr>
      <w:b/>
      <w:bCs/>
    </w:rPr>
  </w:style>
  <w:style w:type="character" w:styleId="Emphasis">
    <w:name w:val="Emphasis"/>
    <w:basedOn w:val="DefaultParagraphFont"/>
    <w:qFormat/>
    <w:rsid w:val="00A674BC"/>
    <w:rPr>
      <w:i/>
      <w:iCs/>
    </w:rPr>
  </w:style>
  <w:style w:type="paragraph" w:styleId="DocumentMap">
    <w:name w:val="Document Map"/>
    <w:basedOn w:val="Normal"/>
    <w:link w:val="DocumentMapChar"/>
    <w:rsid w:val="00A674B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674B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674B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674B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674BC"/>
  </w:style>
  <w:style w:type="character" w:customStyle="1" w:styleId="E-mailSignatureChar">
    <w:name w:val="E-mail Signature Char"/>
    <w:basedOn w:val="DefaultParagraphFont"/>
    <w:link w:val="E-mailSignature"/>
    <w:rsid w:val="00A674BC"/>
    <w:rPr>
      <w:sz w:val="22"/>
    </w:rPr>
  </w:style>
  <w:style w:type="paragraph" w:styleId="NormalWeb">
    <w:name w:val="Normal (Web)"/>
    <w:basedOn w:val="Normal"/>
    <w:rsid w:val="00A674BC"/>
  </w:style>
  <w:style w:type="character" w:styleId="HTMLAcronym">
    <w:name w:val="HTML Acronym"/>
    <w:basedOn w:val="DefaultParagraphFont"/>
    <w:rsid w:val="00A674BC"/>
  </w:style>
  <w:style w:type="paragraph" w:styleId="HTMLAddress">
    <w:name w:val="HTML Address"/>
    <w:basedOn w:val="Normal"/>
    <w:link w:val="HTMLAddressChar"/>
    <w:rsid w:val="00A674B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674BC"/>
    <w:rPr>
      <w:i/>
      <w:iCs/>
      <w:sz w:val="22"/>
    </w:rPr>
  </w:style>
  <w:style w:type="character" w:styleId="HTMLCite">
    <w:name w:val="HTML Cite"/>
    <w:basedOn w:val="DefaultParagraphFont"/>
    <w:rsid w:val="00A674BC"/>
    <w:rPr>
      <w:i/>
      <w:iCs/>
    </w:rPr>
  </w:style>
  <w:style w:type="character" w:styleId="HTMLCode">
    <w:name w:val="HTML Code"/>
    <w:basedOn w:val="DefaultParagraphFont"/>
    <w:rsid w:val="00A674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674BC"/>
    <w:rPr>
      <w:i/>
      <w:iCs/>
    </w:rPr>
  </w:style>
  <w:style w:type="character" w:styleId="HTMLKeyboard">
    <w:name w:val="HTML Keyboard"/>
    <w:basedOn w:val="DefaultParagraphFont"/>
    <w:rsid w:val="00A674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674B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674BC"/>
    <w:rPr>
      <w:rFonts w:ascii="Courier New" w:hAnsi="Courier New" w:cs="Courier New"/>
    </w:rPr>
  </w:style>
  <w:style w:type="character" w:styleId="HTMLSample">
    <w:name w:val="HTML Sample"/>
    <w:basedOn w:val="DefaultParagraphFont"/>
    <w:rsid w:val="00A674B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674B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674B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67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74BC"/>
    <w:rPr>
      <w:b/>
      <w:bCs/>
    </w:rPr>
  </w:style>
  <w:style w:type="numbering" w:styleId="1ai">
    <w:name w:val="Outline List 1"/>
    <w:basedOn w:val="NoList"/>
    <w:rsid w:val="00A674BC"/>
    <w:pPr>
      <w:numPr>
        <w:numId w:val="14"/>
      </w:numPr>
    </w:pPr>
  </w:style>
  <w:style w:type="numbering" w:styleId="111111">
    <w:name w:val="Outline List 2"/>
    <w:basedOn w:val="NoList"/>
    <w:rsid w:val="00A674BC"/>
    <w:pPr>
      <w:numPr>
        <w:numId w:val="15"/>
      </w:numPr>
    </w:pPr>
  </w:style>
  <w:style w:type="numbering" w:styleId="ArticleSection">
    <w:name w:val="Outline List 3"/>
    <w:basedOn w:val="NoList"/>
    <w:rsid w:val="00A674BC"/>
    <w:pPr>
      <w:numPr>
        <w:numId w:val="17"/>
      </w:numPr>
    </w:pPr>
  </w:style>
  <w:style w:type="table" w:styleId="TableSimple1">
    <w:name w:val="Table Simple 1"/>
    <w:basedOn w:val="TableNormal"/>
    <w:rsid w:val="00A674B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74B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74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674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74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74B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74B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74B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74B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74B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74B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74B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74B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74B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74B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674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74B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74B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74B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74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74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74B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74B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74B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74B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74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74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74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74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74B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74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674B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74B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74B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674B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74B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674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74B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74B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674B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74B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74B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74B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674B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674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674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674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674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6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12ED-226B-4860-BA75-D9E6E367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940</Words>
  <Characters>5358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(Biosecurity Response Zone for Foot and Mouth Disease—Relevant Ports) Determination 2022</vt:lpstr>
    </vt:vector>
  </TitlesOfParts>
  <Manager/>
  <Company/>
  <LinksUpToDate>false</LinksUpToDate>
  <CharactersWithSpaces>6286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2022-09-19T08:19:00Z</cp:lastPrinted>
  <dcterms:created xsi:type="dcterms:W3CDTF">2022-09-22T11:16:00Z</dcterms:created>
  <dcterms:modified xsi:type="dcterms:W3CDTF">2022-09-22T23:58:00Z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(Biosecurity Response Zone for Foot and Mouth Disease—Relevant Ports) Determination 2022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OPC66165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