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7160" w14:textId="77777777" w:rsidR="00D80F90" w:rsidRPr="00B2546F" w:rsidRDefault="00D80F90" w:rsidP="00D80F90">
      <w:pPr>
        <w:spacing w:before="0" w:after="0"/>
        <w:jc w:val="center"/>
        <w:rPr>
          <w:b/>
          <w:sz w:val="22"/>
          <w:szCs w:val="22"/>
          <w:u w:val="single"/>
        </w:rPr>
      </w:pPr>
      <w:r w:rsidRPr="00B2546F">
        <w:rPr>
          <w:b/>
          <w:sz w:val="22"/>
          <w:szCs w:val="22"/>
          <w:u w:val="single"/>
        </w:rPr>
        <w:t>EXPLANATORY STATEMENT</w:t>
      </w:r>
    </w:p>
    <w:p w14:paraId="0D792215" w14:textId="77777777" w:rsidR="00D80F90" w:rsidRPr="00B2546F" w:rsidRDefault="00D80F90" w:rsidP="00D80F90">
      <w:pPr>
        <w:spacing w:before="0" w:after="0"/>
        <w:jc w:val="center"/>
        <w:rPr>
          <w:i/>
          <w:sz w:val="22"/>
          <w:szCs w:val="22"/>
        </w:rPr>
      </w:pPr>
    </w:p>
    <w:p w14:paraId="7B1D2790" w14:textId="77777777" w:rsidR="00D80F90" w:rsidRPr="00B2546F" w:rsidRDefault="00D80F90" w:rsidP="00D80F90">
      <w:pPr>
        <w:spacing w:before="0" w:after="0"/>
        <w:jc w:val="center"/>
        <w:rPr>
          <w:i/>
          <w:sz w:val="22"/>
          <w:szCs w:val="22"/>
        </w:rPr>
      </w:pPr>
      <w:r w:rsidRPr="00B2546F">
        <w:rPr>
          <w:i/>
          <w:sz w:val="22"/>
          <w:szCs w:val="22"/>
        </w:rPr>
        <w:t>Therapeutic Goods Act 1989</w:t>
      </w:r>
    </w:p>
    <w:p w14:paraId="2883B866" w14:textId="77777777" w:rsidR="00D80F90" w:rsidRPr="00B2546F" w:rsidRDefault="00D80F90" w:rsidP="00D80F90">
      <w:pPr>
        <w:spacing w:before="0" w:after="0"/>
        <w:jc w:val="center"/>
        <w:rPr>
          <w:i/>
          <w:sz w:val="22"/>
          <w:szCs w:val="22"/>
        </w:rPr>
      </w:pPr>
    </w:p>
    <w:p w14:paraId="6045E8E9" w14:textId="587F6473" w:rsidR="00D80F90" w:rsidRPr="006C1C91" w:rsidRDefault="00D563E3" w:rsidP="00D80F90">
      <w:pPr>
        <w:spacing w:before="0" w:after="0"/>
        <w:jc w:val="center"/>
        <w:rPr>
          <w:sz w:val="22"/>
          <w:szCs w:val="22"/>
        </w:rPr>
      </w:pPr>
      <w:bookmarkStart w:id="0" w:name="_Hlk88734622"/>
      <w:r w:rsidRPr="006C1C91">
        <w:rPr>
          <w:i/>
          <w:sz w:val="22"/>
          <w:szCs w:val="22"/>
        </w:rPr>
        <w:t>Therapeutic Goods (Database of Adverse Event Notifications) (Information) Specification 2022</w:t>
      </w:r>
    </w:p>
    <w:bookmarkEnd w:id="0"/>
    <w:p w14:paraId="750513E6" w14:textId="77777777" w:rsidR="00D80F90" w:rsidRPr="00B2546F" w:rsidRDefault="00D80F90" w:rsidP="00D80F90">
      <w:pPr>
        <w:spacing w:before="0" w:after="0"/>
        <w:rPr>
          <w:sz w:val="22"/>
          <w:szCs w:val="22"/>
        </w:rPr>
      </w:pPr>
    </w:p>
    <w:p w14:paraId="5ED955EA" w14:textId="652F3C6B" w:rsidR="00D80F90" w:rsidRPr="00B2546F" w:rsidRDefault="00D80F90" w:rsidP="00D80F90">
      <w:pPr>
        <w:spacing w:before="0" w:after="0"/>
        <w:rPr>
          <w:sz w:val="22"/>
          <w:szCs w:val="22"/>
        </w:rPr>
      </w:pPr>
      <w:bookmarkStart w:id="1" w:name="_Hlk114230837"/>
      <w:r w:rsidRPr="00B2546F">
        <w:rPr>
          <w:sz w:val="22"/>
          <w:szCs w:val="22"/>
        </w:rPr>
        <w:t xml:space="preserve">The </w:t>
      </w:r>
      <w:r w:rsidRPr="00B2546F">
        <w:rPr>
          <w:i/>
          <w:sz w:val="22"/>
          <w:szCs w:val="22"/>
        </w:rPr>
        <w:t>Therapeutic Goods Act 1989</w:t>
      </w:r>
      <w:r w:rsidRPr="00B2546F">
        <w:rPr>
          <w:sz w:val="22"/>
          <w:szCs w:val="22"/>
        </w:rPr>
        <w:t xml:space="preserve"> (“the Act”) provides for the establishment and maintenance of a national system of controls for the quality, safety, </w:t>
      </w:r>
      <w:proofErr w:type="gramStart"/>
      <w:r w:rsidRPr="00B2546F">
        <w:rPr>
          <w:sz w:val="22"/>
          <w:szCs w:val="22"/>
        </w:rPr>
        <w:t>efficacy</w:t>
      </w:r>
      <w:proofErr w:type="gramEnd"/>
      <w:r w:rsidRPr="00B2546F">
        <w:rPr>
          <w:sz w:val="22"/>
          <w:szCs w:val="22"/>
        </w:rPr>
        <w:t xml:space="preserve"> and timely availability of therapeutic goods that are used in, or exported from, Australia. The Act is administered by the Therapeutic Goods Administration (“the TGA”) within the Australian Government Department of Health</w:t>
      </w:r>
      <w:r w:rsidR="009520A5">
        <w:rPr>
          <w:sz w:val="22"/>
          <w:szCs w:val="22"/>
        </w:rPr>
        <w:t xml:space="preserve"> and Aged Care </w:t>
      </w:r>
      <w:r w:rsidR="009520A5" w:rsidRPr="00090FAA">
        <w:rPr>
          <w:sz w:val="22"/>
          <w:szCs w:val="22"/>
        </w:rPr>
        <w:t>(“the Department”)</w:t>
      </w:r>
      <w:r w:rsidRPr="00B2546F">
        <w:rPr>
          <w:sz w:val="22"/>
          <w:szCs w:val="22"/>
        </w:rPr>
        <w:t>.</w:t>
      </w:r>
    </w:p>
    <w:p w14:paraId="52C1D97C" w14:textId="77777777" w:rsidR="00D80F90" w:rsidRPr="00B2546F" w:rsidRDefault="00D80F90" w:rsidP="00D80F90">
      <w:pPr>
        <w:spacing w:before="0" w:after="0"/>
        <w:rPr>
          <w:sz w:val="22"/>
          <w:szCs w:val="22"/>
        </w:rPr>
      </w:pPr>
    </w:p>
    <w:p w14:paraId="00281DDF" w14:textId="6E151E89" w:rsidR="003D14C0" w:rsidRPr="003D14C0" w:rsidRDefault="003D14C0" w:rsidP="003D14C0">
      <w:pPr>
        <w:spacing w:before="0" w:after="0"/>
        <w:rPr>
          <w:sz w:val="22"/>
          <w:szCs w:val="22"/>
        </w:rPr>
      </w:pPr>
      <w:bookmarkStart w:id="2" w:name="_Hlk95988838"/>
      <w:r w:rsidRPr="003D14C0">
        <w:rPr>
          <w:sz w:val="22"/>
          <w:szCs w:val="22"/>
        </w:rPr>
        <w:t xml:space="preserve">Section 61 of the Act provides that the Secretary may release specified kinds of therapeutic goods information to the public, </w:t>
      </w:r>
      <w:r w:rsidR="00DC4486">
        <w:rPr>
          <w:sz w:val="22"/>
          <w:szCs w:val="22"/>
        </w:rPr>
        <w:t>as well as</w:t>
      </w:r>
      <w:r w:rsidRPr="003D14C0">
        <w:rPr>
          <w:sz w:val="22"/>
          <w:szCs w:val="22"/>
        </w:rPr>
        <w:t xml:space="preserve"> certain </w:t>
      </w:r>
      <w:proofErr w:type="spellStart"/>
      <w:r w:rsidRPr="003D14C0">
        <w:rPr>
          <w:sz w:val="22"/>
          <w:szCs w:val="22"/>
        </w:rPr>
        <w:t>organisations</w:t>
      </w:r>
      <w:proofErr w:type="spellEnd"/>
      <w:r w:rsidRPr="003D14C0">
        <w:rPr>
          <w:sz w:val="22"/>
          <w:szCs w:val="22"/>
        </w:rPr>
        <w:t xml:space="preserve">, </w:t>
      </w:r>
      <w:proofErr w:type="gramStart"/>
      <w:r w:rsidRPr="003D14C0">
        <w:rPr>
          <w:sz w:val="22"/>
          <w:szCs w:val="22"/>
        </w:rPr>
        <w:t>bodies</w:t>
      </w:r>
      <w:proofErr w:type="gramEnd"/>
      <w:r w:rsidRPr="003D14C0">
        <w:rPr>
          <w:sz w:val="22"/>
          <w:szCs w:val="22"/>
        </w:rPr>
        <w:t xml:space="preserve"> or authorities. Subsection 61(1) of the Act provides that therapeutic goods information means, for the purposes of the section, information relating to therapeutic goods which is held by the Department and relates to the performance of the Department’s functions.</w:t>
      </w:r>
    </w:p>
    <w:p w14:paraId="4FFDCE2E" w14:textId="3163544F" w:rsidR="003D14C0" w:rsidRPr="003D14C0" w:rsidRDefault="003D14C0" w:rsidP="003D14C0">
      <w:pPr>
        <w:spacing w:before="0" w:after="0"/>
        <w:rPr>
          <w:sz w:val="22"/>
          <w:szCs w:val="22"/>
        </w:rPr>
      </w:pPr>
    </w:p>
    <w:p w14:paraId="38949EA0" w14:textId="77777777" w:rsidR="00DF58A5" w:rsidRDefault="003D14C0" w:rsidP="00DF58A5">
      <w:pPr>
        <w:spacing w:before="0" w:after="0"/>
        <w:rPr>
          <w:color w:val="000000"/>
          <w:sz w:val="22"/>
          <w:szCs w:val="22"/>
          <w:shd w:val="clear" w:color="auto" w:fill="FFFFFF"/>
        </w:rPr>
      </w:pPr>
      <w:r w:rsidRPr="003D14C0">
        <w:rPr>
          <w:sz w:val="22"/>
          <w:szCs w:val="22"/>
        </w:rPr>
        <w:t xml:space="preserve">Under subsection 61(5C) of the Act, the Secretary may release to the public kinds of therapeutic goods information specified under subsection 61(5D) of the Act. </w:t>
      </w:r>
      <w:r w:rsidR="00DF58A5" w:rsidRPr="00B2546F">
        <w:rPr>
          <w:sz w:val="22"/>
          <w:szCs w:val="22"/>
        </w:rPr>
        <w:t xml:space="preserve">The </w:t>
      </w:r>
      <w:r w:rsidR="00DF58A5" w:rsidRPr="00CB5EB5">
        <w:rPr>
          <w:i/>
          <w:sz w:val="22"/>
          <w:szCs w:val="22"/>
        </w:rPr>
        <w:t>Therapeutic Goods (Database of Adverse Event Notifications) (Information) Specification 2022</w:t>
      </w:r>
      <w:r w:rsidR="00DF58A5">
        <w:rPr>
          <w:i/>
        </w:rPr>
        <w:t xml:space="preserve"> </w:t>
      </w:r>
      <w:r w:rsidR="00DF58A5" w:rsidRPr="00B2546F">
        <w:rPr>
          <w:sz w:val="22"/>
          <w:szCs w:val="22"/>
        </w:rPr>
        <w:t xml:space="preserve">(“the </w:t>
      </w:r>
      <w:r w:rsidR="00DF58A5">
        <w:rPr>
          <w:sz w:val="22"/>
          <w:szCs w:val="22"/>
        </w:rPr>
        <w:t>Specification</w:t>
      </w:r>
      <w:r w:rsidR="00DF58A5" w:rsidRPr="00B2546F">
        <w:rPr>
          <w:sz w:val="22"/>
          <w:szCs w:val="22"/>
        </w:rPr>
        <w:t xml:space="preserve">”) </w:t>
      </w:r>
      <w:r w:rsidR="00DF58A5">
        <w:rPr>
          <w:color w:val="000000"/>
          <w:sz w:val="22"/>
          <w:szCs w:val="22"/>
          <w:shd w:val="clear" w:color="auto" w:fill="FFFFFF"/>
        </w:rPr>
        <w:t>is a legislative instrument made under subsection 61(5D) of the Act and specifies kinds of therapeutic goods information that the Secretary may release to the public under subsection 61(5C) of the Act.</w:t>
      </w:r>
    </w:p>
    <w:p w14:paraId="5DD3ABA3" w14:textId="77777777" w:rsidR="00DF58A5" w:rsidRDefault="00DF58A5" w:rsidP="003D14C0">
      <w:pPr>
        <w:spacing w:before="0" w:after="0"/>
        <w:rPr>
          <w:sz w:val="22"/>
          <w:szCs w:val="22"/>
        </w:rPr>
      </w:pPr>
    </w:p>
    <w:p w14:paraId="092B4E12" w14:textId="3B416B46" w:rsidR="00D121ED" w:rsidRDefault="00D121ED" w:rsidP="0061288B">
      <w:pPr>
        <w:spacing w:before="0" w:after="0"/>
        <w:rPr>
          <w:color w:val="000000"/>
          <w:sz w:val="22"/>
          <w:szCs w:val="22"/>
          <w:shd w:val="clear" w:color="auto" w:fill="FFFFFF"/>
        </w:rPr>
      </w:pPr>
      <w:r>
        <w:rPr>
          <w:color w:val="000000"/>
          <w:sz w:val="22"/>
          <w:szCs w:val="22"/>
          <w:shd w:val="clear" w:color="auto" w:fill="FFFFFF"/>
        </w:rPr>
        <w:t xml:space="preserve">The Specification </w:t>
      </w:r>
      <w:proofErr w:type="spellStart"/>
      <w:r>
        <w:rPr>
          <w:color w:val="000000"/>
          <w:sz w:val="22"/>
          <w:szCs w:val="22"/>
          <w:shd w:val="clear" w:color="auto" w:fill="FFFFFF"/>
        </w:rPr>
        <w:t>authorises</w:t>
      </w:r>
      <w:proofErr w:type="spellEnd"/>
      <w:r>
        <w:rPr>
          <w:color w:val="000000"/>
          <w:sz w:val="22"/>
          <w:szCs w:val="22"/>
          <w:shd w:val="clear" w:color="auto" w:fill="FFFFFF"/>
        </w:rPr>
        <w:t xml:space="preserve"> the release of </w:t>
      </w:r>
      <w:r w:rsidR="008E4FB6">
        <w:rPr>
          <w:color w:val="000000"/>
          <w:sz w:val="22"/>
          <w:szCs w:val="22"/>
          <w:shd w:val="clear" w:color="auto" w:fill="FFFFFF"/>
        </w:rPr>
        <w:t xml:space="preserve">specified kinds of </w:t>
      </w:r>
      <w:r>
        <w:rPr>
          <w:color w:val="000000"/>
          <w:sz w:val="22"/>
          <w:szCs w:val="22"/>
          <w:shd w:val="clear" w:color="auto" w:fill="FFFFFF"/>
        </w:rPr>
        <w:t xml:space="preserve">therapeutic goods information </w:t>
      </w:r>
      <w:r w:rsidR="008E4FB6">
        <w:rPr>
          <w:color w:val="000000"/>
          <w:sz w:val="22"/>
          <w:szCs w:val="22"/>
          <w:shd w:val="clear" w:color="auto" w:fill="FFFFFF"/>
        </w:rPr>
        <w:t>relating to adverse events involving medicines</w:t>
      </w:r>
      <w:r w:rsidR="00751B23">
        <w:rPr>
          <w:color w:val="000000"/>
          <w:sz w:val="22"/>
          <w:szCs w:val="22"/>
          <w:shd w:val="clear" w:color="auto" w:fill="FFFFFF"/>
        </w:rPr>
        <w:t xml:space="preserve"> and b</w:t>
      </w:r>
      <w:r w:rsidR="007F4FED">
        <w:rPr>
          <w:color w:val="000000"/>
          <w:sz w:val="22"/>
          <w:szCs w:val="22"/>
          <w:shd w:val="clear" w:color="auto" w:fill="FFFFFF"/>
        </w:rPr>
        <w:t>iologicals</w:t>
      </w:r>
      <w:r w:rsidR="00CB5EB5">
        <w:rPr>
          <w:color w:val="000000"/>
          <w:sz w:val="22"/>
          <w:szCs w:val="22"/>
          <w:shd w:val="clear" w:color="auto" w:fill="FFFFFF"/>
        </w:rPr>
        <w:t xml:space="preserve">, which </w:t>
      </w:r>
      <w:r w:rsidR="008E4FB6">
        <w:rPr>
          <w:color w:val="000000"/>
          <w:sz w:val="22"/>
          <w:szCs w:val="22"/>
          <w:shd w:val="clear" w:color="auto" w:fill="FFFFFF"/>
        </w:rPr>
        <w:t xml:space="preserve">is contained </w:t>
      </w:r>
      <w:r>
        <w:rPr>
          <w:color w:val="000000"/>
          <w:sz w:val="22"/>
          <w:szCs w:val="22"/>
          <w:shd w:val="clear" w:color="auto" w:fill="FFFFFF"/>
        </w:rPr>
        <w:t>in the Database of Adverse Event Notifications (“DAEN”)</w:t>
      </w:r>
      <w:r w:rsidR="004A0132">
        <w:rPr>
          <w:color w:val="000000"/>
          <w:sz w:val="22"/>
          <w:szCs w:val="22"/>
          <w:shd w:val="clear" w:color="auto" w:fill="FFFFFF"/>
        </w:rPr>
        <w:t xml:space="preserve">, </w:t>
      </w:r>
      <w:r w:rsidR="00CB5EB5">
        <w:rPr>
          <w:color w:val="000000"/>
          <w:sz w:val="22"/>
          <w:szCs w:val="22"/>
          <w:shd w:val="clear" w:color="auto" w:fill="FFFFFF"/>
        </w:rPr>
        <w:t>maintained by the TGA</w:t>
      </w:r>
      <w:r>
        <w:rPr>
          <w:color w:val="000000"/>
          <w:sz w:val="22"/>
          <w:szCs w:val="22"/>
          <w:shd w:val="clear" w:color="auto" w:fill="FFFFFF"/>
        </w:rPr>
        <w:t>.</w:t>
      </w:r>
      <w:r w:rsidR="008E4FB6">
        <w:rPr>
          <w:color w:val="000000"/>
          <w:sz w:val="22"/>
          <w:szCs w:val="22"/>
          <w:shd w:val="clear" w:color="auto" w:fill="FFFFFF"/>
        </w:rPr>
        <w:t xml:space="preserve"> </w:t>
      </w:r>
      <w:r>
        <w:rPr>
          <w:color w:val="000000"/>
          <w:sz w:val="22"/>
          <w:szCs w:val="22"/>
          <w:shd w:val="clear" w:color="auto" w:fill="FFFFFF"/>
        </w:rPr>
        <w:t>The Specification repeals and replaces the </w:t>
      </w:r>
      <w:r>
        <w:rPr>
          <w:i/>
          <w:iCs/>
          <w:color w:val="000000"/>
          <w:sz w:val="22"/>
          <w:szCs w:val="22"/>
          <w:shd w:val="clear" w:color="auto" w:fill="FFFFFF"/>
        </w:rPr>
        <w:t>Therapeutic Goods Information (Database of Adverse Event Notifications) Specification 2012</w:t>
      </w:r>
      <w:r>
        <w:rPr>
          <w:color w:val="000000"/>
          <w:sz w:val="22"/>
          <w:szCs w:val="22"/>
          <w:shd w:val="clear" w:color="auto" w:fill="FFFFFF"/>
        </w:rPr>
        <w:t xml:space="preserve"> (“the former Specification”), which would </w:t>
      </w:r>
      <w:proofErr w:type="gramStart"/>
      <w:r>
        <w:rPr>
          <w:color w:val="000000"/>
          <w:sz w:val="22"/>
          <w:szCs w:val="22"/>
          <w:shd w:val="clear" w:color="auto" w:fill="FFFFFF"/>
        </w:rPr>
        <w:t>otherwise</w:t>
      </w:r>
      <w:proofErr w:type="gramEnd"/>
      <w:r>
        <w:rPr>
          <w:color w:val="000000"/>
          <w:sz w:val="22"/>
          <w:szCs w:val="22"/>
          <w:shd w:val="clear" w:color="auto" w:fill="FFFFFF"/>
        </w:rPr>
        <w:t xml:space="preserve"> sunset on 1 October 2022.</w:t>
      </w:r>
    </w:p>
    <w:p w14:paraId="0BEF0D08" w14:textId="6CD39BDC" w:rsidR="005A55A7" w:rsidRDefault="005A55A7" w:rsidP="0061288B">
      <w:pPr>
        <w:spacing w:before="0" w:after="0"/>
        <w:rPr>
          <w:color w:val="000000"/>
          <w:sz w:val="22"/>
          <w:szCs w:val="22"/>
          <w:shd w:val="clear" w:color="auto" w:fill="FFFFFF"/>
        </w:rPr>
      </w:pPr>
    </w:p>
    <w:p w14:paraId="254C5DF8" w14:textId="4BCEE8FE" w:rsidR="0061288B" w:rsidRPr="00B2546F" w:rsidRDefault="0061288B" w:rsidP="0061288B">
      <w:pPr>
        <w:spacing w:before="0" w:after="0"/>
        <w:rPr>
          <w:b/>
          <w:bCs/>
          <w:sz w:val="22"/>
          <w:szCs w:val="22"/>
        </w:rPr>
      </w:pPr>
      <w:r w:rsidRPr="00B2546F">
        <w:rPr>
          <w:b/>
          <w:bCs/>
          <w:sz w:val="22"/>
          <w:szCs w:val="22"/>
        </w:rPr>
        <w:t>Background</w:t>
      </w:r>
    </w:p>
    <w:p w14:paraId="63460742" w14:textId="77777777" w:rsidR="00DC4486" w:rsidRDefault="00DC4486" w:rsidP="0061288B">
      <w:pPr>
        <w:spacing w:before="0" w:after="0"/>
        <w:rPr>
          <w:sz w:val="22"/>
          <w:szCs w:val="22"/>
        </w:rPr>
      </w:pPr>
    </w:p>
    <w:p w14:paraId="106B09F1" w14:textId="64250C0D" w:rsidR="002E626A" w:rsidRDefault="007267E9" w:rsidP="0061288B">
      <w:pPr>
        <w:spacing w:before="0" w:after="0"/>
        <w:rPr>
          <w:sz w:val="22"/>
          <w:szCs w:val="22"/>
        </w:rPr>
      </w:pPr>
      <w:r>
        <w:rPr>
          <w:sz w:val="22"/>
          <w:szCs w:val="22"/>
        </w:rPr>
        <w:t xml:space="preserve">The former Specification </w:t>
      </w:r>
      <w:r w:rsidR="00ED2D12">
        <w:rPr>
          <w:sz w:val="22"/>
          <w:szCs w:val="22"/>
        </w:rPr>
        <w:t>came into force in 2012</w:t>
      </w:r>
      <w:r w:rsidR="00883880">
        <w:rPr>
          <w:sz w:val="22"/>
          <w:szCs w:val="22"/>
        </w:rPr>
        <w:t xml:space="preserve"> and specified,</w:t>
      </w:r>
      <w:r w:rsidR="00883880" w:rsidRPr="00D92AE5">
        <w:rPr>
          <w:sz w:val="22"/>
          <w:szCs w:val="22"/>
        </w:rPr>
        <w:t xml:space="preserve"> under subsection 61(5D) of the Act, kinds of adverse event information relating to </w:t>
      </w:r>
      <w:r w:rsidR="00883880">
        <w:rPr>
          <w:sz w:val="22"/>
          <w:szCs w:val="22"/>
        </w:rPr>
        <w:t>medicines contained in the DAEN,</w:t>
      </w:r>
      <w:r w:rsidR="00883880" w:rsidRPr="00D92AE5">
        <w:rPr>
          <w:sz w:val="22"/>
          <w:szCs w:val="22"/>
        </w:rPr>
        <w:t xml:space="preserve"> that the Secretary </w:t>
      </w:r>
      <w:r w:rsidR="00A31F5F">
        <w:rPr>
          <w:sz w:val="22"/>
          <w:szCs w:val="22"/>
        </w:rPr>
        <w:t>could</w:t>
      </w:r>
      <w:r w:rsidR="00883880" w:rsidRPr="00D92AE5">
        <w:rPr>
          <w:sz w:val="22"/>
          <w:szCs w:val="22"/>
        </w:rPr>
        <w:t xml:space="preserve"> </w:t>
      </w:r>
      <w:r w:rsidR="00883880">
        <w:rPr>
          <w:sz w:val="22"/>
          <w:szCs w:val="22"/>
        </w:rPr>
        <w:t>release to the public</w:t>
      </w:r>
      <w:r w:rsidR="00883880" w:rsidRPr="00D92AE5">
        <w:rPr>
          <w:sz w:val="22"/>
          <w:szCs w:val="22"/>
        </w:rPr>
        <w:t xml:space="preserve"> under subsection 61(5C) of the Act.</w:t>
      </w:r>
      <w:r w:rsidR="00D22B7F" w:rsidRPr="00D92AE5">
        <w:rPr>
          <w:sz w:val="22"/>
          <w:szCs w:val="22"/>
        </w:rPr>
        <w:t xml:space="preserve"> </w:t>
      </w:r>
      <w:r w:rsidR="00D22B7F">
        <w:rPr>
          <w:sz w:val="22"/>
          <w:szCs w:val="22"/>
        </w:rPr>
        <w:t xml:space="preserve">The former Specification </w:t>
      </w:r>
      <w:r w:rsidR="00BB1CB9">
        <w:rPr>
          <w:sz w:val="22"/>
          <w:szCs w:val="22"/>
        </w:rPr>
        <w:t>enable</w:t>
      </w:r>
      <w:r w:rsidR="00D22B7F">
        <w:rPr>
          <w:sz w:val="22"/>
          <w:szCs w:val="22"/>
        </w:rPr>
        <w:t>d</w:t>
      </w:r>
      <w:r w:rsidR="00BB1CB9" w:rsidRPr="00BB1CB9">
        <w:rPr>
          <w:sz w:val="22"/>
          <w:szCs w:val="22"/>
        </w:rPr>
        <w:t xml:space="preserve"> the TGA to publicly display </w:t>
      </w:r>
      <w:r w:rsidR="004A0132">
        <w:rPr>
          <w:sz w:val="22"/>
          <w:szCs w:val="22"/>
        </w:rPr>
        <w:t xml:space="preserve">de-identified </w:t>
      </w:r>
      <w:r w:rsidR="00D8089C">
        <w:rPr>
          <w:sz w:val="22"/>
          <w:szCs w:val="22"/>
        </w:rPr>
        <w:t>data</w:t>
      </w:r>
      <w:r w:rsidR="00BB1CB9" w:rsidRPr="00BB1CB9">
        <w:rPr>
          <w:sz w:val="22"/>
          <w:szCs w:val="22"/>
        </w:rPr>
        <w:t xml:space="preserve"> about </w:t>
      </w:r>
      <w:r w:rsidR="00D8089C" w:rsidRPr="00BB1CB9">
        <w:rPr>
          <w:sz w:val="22"/>
          <w:szCs w:val="22"/>
        </w:rPr>
        <w:t>reports</w:t>
      </w:r>
      <w:r w:rsidR="00D8089C">
        <w:rPr>
          <w:sz w:val="22"/>
          <w:szCs w:val="22"/>
        </w:rPr>
        <w:t xml:space="preserve"> of adver</w:t>
      </w:r>
      <w:r w:rsidR="00BB1CB9" w:rsidRPr="00BB1CB9">
        <w:rPr>
          <w:sz w:val="22"/>
          <w:szCs w:val="22"/>
        </w:rPr>
        <w:t>se event</w:t>
      </w:r>
      <w:r w:rsidR="00D8089C">
        <w:rPr>
          <w:sz w:val="22"/>
          <w:szCs w:val="22"/>
        </w:rPr>
        <w:t>s</w:t>
      </w:r>
      <w:r w:rsidR="00BB1CB9" w:rsidRPr="00BB1CB9">
        <w:rPr>
          <w:sz w:val="22"/>
          <w:szCs w:val="22"/>
        </w:rPr>
        <w:t xml:space="preserve"> </w:t>
      </w:r>
      <w:r w:rsidR="00D8089C">
        <w:rPr>
          <w:sz w:val="22"/>
          <w:szCs w:val="22"/>
        </w:rPr>
        <w:t>that the TGA</w:t>
      </w:r>
      <w:r w:rsidR="00BB1CB9" w:rsidRPr="00BB1CB9">
        <w:rPr>
          <w:sz w:val="22"/>
          <w:szCs w:val="22"/>
        </w:rPr>
        <w:t xml:space="preserve"> </w:t>
      </w:r>
      <w:r w:rsidR="00D8089C">
        <w:rPr>
          <w:sz w:val="22"/>
          <w:szCs w:val="22"/>
        </w:rPr>
        <w:t>ha</w:t>
      </w:r>
      <w:r w:rsidR="00A31F5F">
        <w:rPr>
          <w:sz w:val="22"/>
          <w:szCs w:val="22"/>
        </w:rPr>
        <w:t>d</w:t>
      </w:r>
      <w:r w:rsidR="00D8089C">
        <w:rPr>
          <w:sz w:val="22"/>
          <w:szCs w:val="22"/>
        </w:rPr>
        <w:t xml:space="preserve"> received in relation to medicines, including vaccines, in Australia.</w:t>
      </w:r>
    </w:p>
    <w:p w14:paraId="5CDAAC91" w14:textId="69864942" w:rsidR="002E626A" w:rsidRDefault="002E626A" w:rsidP="0061288B">
      <w:pPr>
        <w:spacing w:before="0" w:after="0"/>
        <w:rPr>
          <w:sz w:val="22"/>
          <w:szCs w:val="22"/>
        </w:rPr>
      </w:pPr>
    </w:p>
    <w:p w14:paraId="5FB554DF" w14:textId="6D5CCA83" w:rsidR="0079329E" w:rsidRDefault="0079329E" w:rsidP="0079329E">
      <w:pPr>
        <w:spacing w:before="0" w:after="0"/>
        <w:rPr>
          <w:sz w:val="22"/>
          <w:szCs w:val="22"/>
        </w:rPr>
      </w:pPr>
      <w:r w:rsidRPr="0079329E">
        <w:rPr>
          <w:sz w:val="22"/>
          <w:szCs w:val="22"/>
        </w:rPr>
        <w:t>Adverse events are</w:t>
      </w:r>
      <w:r w:rsidR="00A31F5F">
        <w:rPr>
          <w:sz w:val="22"/>
          <w:szCs w:val="22"/>
        </w:rPr>
        <w:t>, in practice, principally</w:t>
      </w:r>
      <w:r w:rsidRPr="0079329E">
        <w:rPr>
          <w:sz w:val="22"/>
          <w:szCs w:val="22"/>
        </w:rPr>
        <w:t xml:space="preserve"> unintended and sometimes harmful occurrences associated with the use of a therapeutic good, </w:t>
      </w:r>
      <w:r w:rsidR="00B82565">
        <w:rPr>
          <w:sz w:val="22"/>
          <w:szCs w:val="22"/>
        </w:rPr>
        <w:t>for example</w:t>
      </w:r>
      <w:r w:rsidR="009F062E">
        <w:rPr>
          <w:sz w:val="22"/>
          <w:szCs w:val="22"/>
        </w:rPr>
        <w:t>,</w:t>
      </w:r>
      <w:r w:rsidRPr="0079329E">
        <w:rPr>
          <w:sz w:val="22"/>
          <w:szCs w:val="22"/>
        </w:rPr>
        <w:t xml:space="preserve"> a vaccine. </w:t>
      </w:r>
      <w:r w:rsidR="00FD755B">
        <w:rPr>
          <w:sz w:val="22"/>
          <w:szCs w:val="22"/>
        </w:rPr>
        <w:t>I</w:t>
      </w:r>
      <w:r w:rsidR="00A31F5F">
        <w:rPr>
          <w:sz w:val="22"/>
          <w:szCs w:val="22"/>
        </w:rPr>
        <w:t xml:space="preserve">n some </w:t>
      </w:r>
      <w:r w:rsidR="005333AD">
        <w:rPr>
          <w:sz w:val="22"/>
          <w:szCs w:val="22"/>
        </w:rPr>
        <w:t>instances,</w:t>
      </w:r>
      <w:r w:rsidR="00A31F5F">
        <w:rPr>
          <w:sz w:val="22"/>
          <w:szCs w:val="22"/>
        </w:rPr>
        <w:t xml:space="preserve"> t</w:t>
      </w:r>
      <w:r w:rsidRPr="0079329E">
        <w:rPr>
          <w:sz w:val="22"/>
          <w:szCs w:val="22"/>
        </w:rPr>
        <w:t xml:space="preserve">he therapeutic good may have caused the event, </w:t>
      </w:r>
      <w:r w:rsidR="00A31F5F">
        <w:rPr>
          <w:sz w:val="22"/>
          <w:szCs w:val="22"/>
        </w:rPr>
        <w:t>and</w:t>
      </w:r>
      <w:r w:rsidRPr="0079329E">
        <w:rPr>
          <w:sz w:val="22"/>
          <w:szCs w:val="22"/>
        </w:rPr>
        <w:t xml:space="preserve"> </w:t>
      </w:r>
      <w:r w:rsidR="00A31F5F">
        <w:rPr>
          <w:sz w:val="22"/>
          <w:szCs w:val="22"/>
        </w:rPr>
        <w:t xml:space="preserve">there may be other instances where the use of the therapeutic good </w:t>
      </w:r>
      <w:r w:rsidRPr="0079329E">
        <w:rPr>
          <w:sz w:val="22"/>
          <w:szCs w:val="22"/>
        </w:rPr>
        <w:t xml:space="preserve">may </w:t>
      </w:r>
      <w:r w:rsidR="00A31F5F">
        <w:rPr>
          <w:sz w:val="22"/>
          <w:szCs w:val="22"/>
        </w:rPr>
        <w:t xml:space="preserve">have </w:t>
      </w:r>
      <w:r w:rsidRPr="0079329E">
        <w:rPr>
          <w:sz w:val="22"/>
          <w:szCs w:val="22"/>
        </w:rPr>
        <w:t>be</w:t>
      </w:r>
      <w:r w:rsidR="00A31F5F">
        <w:rPr>
          <w:sz w:val="22"/>
          <w:szCs w:val="22"/>
        </w:rPr>
        <w:t>en</w:t>
      </w:r>
      <w:r w:rsidRPr="0079329E">
        <w:rPr>
          <w:sz w:val="22"/>
          <w:szCs w:val="22"/>
        </w:rPr>
        <w:t xml:space="preserve"> a coincidence </w:t>
      </w:r>
      <w:r w:rsidR="00A31F5F">
        <w:rPr>
          <w:sz w:val="22"/>
          <w:szCs w:val="22"/>
        </w:rPr>
        <w:t>rather than a cause of</w:t>
      </w:r>
      <w:r w:rsidRPr="0079329E">
        <w:rPr>
          <w:sz w:val="22"/>
          <w:szCs w:val="22"/>
        </w:rPr>
        <w:t xml:space="preserve"> the </w:t>
      </w:r>
      <w:r w:rsidR="00A31F5F">
        <w:rPr>
          <w:sz w:val="22"/>
          <w:szCs w:val="22"/>
        </w:rPr>
        <w:t xml:space="preserve">adverse </w:t>
      </w:r>
      <w:r w:rsidRPr="0079329E">
        <w:rPr>
          <w:sz w:val="22"/>
          <w:szCs w:val="22"/>
        </w:rPr>
        <w:t>event.</w:t>
      </w:r>
      <w:r>
        <w:rPr>
          <w:sz w:val="22"/>
          <w:szCs w:val="22"/>
        </w:rPr>
        <w:t xml:space="preserve"> </w:t>
      </w:r>
      <w:r w:rsidRPr="0079329E">
        <w:rPr>
          <w:sz w:val="22"/>
          <w:szCs w:val="22"/>
        </w:rPr>
        <w:t xml:space="preserve">Adverse events </w:t>
      </w:r>
      <w:r w:rsidR="00A31F5F">
        <w:rPr>
          <w:sz w:val="22"/>
          <w:szCs w:val="22"/>
        </w:rPr>
        <w:t>may</w:t>
      </w:r>
      <w:r w:rsidRPr="0079329E">
        <w:rPr>
          <w:sz w:val="22"/>
          <w:szCs w:val="22"/>
        </w:rPr>
        <w:t xml:space="preserve"> range in severity from mild, expected reactions </w:t>
      </w:r>
      <w:r>
        <w:rPr>
          <w:sz w:val="22"/>
          <w:szCs w:val="22"/>
        </w:rPr>
        <w:t>(</w:t>
      </w:r>
      <w:r w:rsidRPr="0079329E">
        <w:rPr>
          <w:sz w:val="22"/>
          <w:szCs w:val="22"/>
        </w:rPr>
        <w:t xml:space="preserve">such as headache, </w:t>
      </w:r>
      <w:proofErr w:type="gramStart"/>
      <w:r w:rsidRPr="0079329E">
        <w:rPr>
          <w:sz w:val="22"/>
          <w:szCs w:val="22"/>
        </w:rPr>
        <w:t>nausea</w:t>
      </w:r>
      <w:proofErr w:type="gramEnd"/>
      <w:r w:rsidRPr="0079329E">
        <w:rPr>
          <w:sz w:val="22"/>
          <w:szCs w:val="22"/>
        </w:rPr>
        <w:t xml:space="preserve"> and body aches</w:t>
      </w:r>
      <w:r>
        <w:rPr>
          <w:sz w:val="22"/>
          <w:szCs w:val="22"/>
        </w:rPr>
        <w:t>)</w:t>
      </w:r>
      <w:r w:rsidRPr="0079329E">
        <w:rPr>
          <w:sz w:val="22"/>
          <w:szCs w:val="22"/>
        </w:rPr>
        <w:t>, to more severe events</w:t>
      </w:r>
      <w:r w:rsidR="003975D6">
        <w:rPr>
          <w:sz w:val="22"/>
          <w:szCs w:val="22"/>
        </w:rPr>
        <w:t>,</w:t>
      </w:r>
      <w:r w:rsidRPr="0079329E">
        <w:rPr>
          <w:sz w:val="22"/>
          <w:szCs w:val="22"/>
        </w:rPr>
        <w:t xml:space="preserve"> </w:t>
      </w:r>
      <w:r w:rsidR="003975D6">
        <w:rPr>
          <w:sz w:val="22"/>
          <w:szCs w:val="22"/>
        </w:rPr>
        <w:t>including</w:t>
      </w:r>
      <w:r w:rsidR="003975D6" w:rsidRPr="0079329E">
        <w:rPr>
          <w:sz w:val="22"/>
          <w:szCs w:val="22"/>
        </w:rPr>
        <w:t xml:space="preserve"> </w:t>
      </w:r>
      <w:r w:rsidR="003975D6">
        <w:rPr>
          <w:sz w:val="22"/>
          <w:szCs w:val="22"/>
        </w:rPr>
        <w:t>death</w:t>
      </w:r>
      <w:r w:rsidR="00870192">
        <w:rPr>
          <w:sz w:val="22"/>
          <w:szCs w:val="22"/>
        </w:rPr>
        <w:t>.</w:t>
      </w:r>
      <w:r w:rsidR="00D6228C">
        <w:rPr>
          <w:sz w:val="22"/>
          <w:szCs w:val="22"/>
        </w:rPr>
        <w:t xml:space="preserve"> </w:t>
      </w:r>
      <w:r w:rsidR="00D6228C" w:rsidRPr="00D6228C">
        <w:rPr>
          <w:sz w:val="22"/>
          <w:szCs w:val="22"/>
        </w:rPr>
        <w:t>The TGA uses reports of adverse events to monitor the safety of</w:t>
      </w:r>
      <w:r w:rsidR="00D6228C">
        <w:rPr>
          <w:sz w:val="22"/>
          <w:szCs w:val="22"/>
        </w:rPr>
        <w:t xml:space="preserve"> therapeutic goods</w:t>
      </w:r>
      <w:r w:rsidR="005333AD">
        <w:rPr>
          <w:sz w:val="22"/>
          <w:szCs w:val="22"/>
        </w:rPr>
        <w:t xml:space="preserve"> and, where possible, to identify safety signals that may be </w:t>
      </w:r>
      <w:r w:rsidR="00FD755B">
        <w:rPr>
          <w:sz w:val="22"/>
          <w:szCs w:val="22"/>
        </w:rPr>
        <w:t xml:space="preserve">investigated and </w:t>
      </w:r>
      <w:r w:rsidR="005333AD">
        <w:rPr>
          <w:sz w:val="22"/>
          <w:szCs w:val="22"/>
        </w:rPr>
        <w:t xml:space="preserve">used to alert patients, health practitioners and the public about </w:t>
      </w:r>
      <w:proofErr w:type="gramStart"/>
      <w:r w:rsidR="005333AD">
        <w:rPr>
          <w:sz w:val="22"/>
          <w:szCs w:val="22"/>
        </w:rPr>
        <w:t>particular risks</w:t>
      </w:r>
      <w:proofErr w:type="gramEnd"/>
      <w:r w:rsidR="00D6228C">
        <w:rPr>
          <w:sz w:val="22"/>
          <w:szCs w:val="22"/>
        </w:rPr>
        <w:t>.</w:t>
      </w:r>
    </w:p>
    <w:p w14:paraId="0CB2FFA0" w14:textId="77777777" w:rsidR="0079329E" w:rsidRDefault="0079329E" w:rsidP="0061288B">
      <w:pPr>
        <w:spacing w:before="0" w:after="0"/>
        <w:rPr>
          <w:sz w:val="22"/>
          <w:szCs w:val="22"/>
        </w:rPr>
      </w:pPr>
    </w:p>
    <w:p w14:paraId="749E1983" w14:textId="6321D1E8" w:rsidR="004A3F46" w:rsidRDefault="00D8089C" w:rsidP="0061288B">
      <w:pPr>
        <w:spacing w:before="0" w:after="0"/>
        <w:rPr>
          <w:sz w:val="22"/>
          <w:szCs w:val="22"/>
        </w:rPr>
      </w:pPr>
      <w:r w:rsidRPr="00D8089C">
        <w:rPr>
          <w:sz w:val="22"/>
          <w:szCs w:val="22"/>
        </w:rPr>
        <w:t>Th</w:t>
      </w:r>
      <w:r w:rsidR="002E626A">
        <w:rPr>
          <w:sz w:val="22"/>
          <w:szCs w:val="22"/>
        </w:rPr>
        <w:t xml:space="preserve">e DAEN </w:t>
      </w:r>
      <w:r w:rsidRPr="00D8089C">
        <w:rPr>
          <w:sz w:val="22"/>
          <w:szCs w:val="22"/>
        </w:rPr>
        <w:t xml:space="preserve">is an essential component of the TGA’s work to maintain </w:t>
      </w:r>
      <w:r w:rsidR="00587252">
        <w:rPr>
          <w:sz w:val="22"/>
          <w:szCs w:val="22"/>
        </w:rPr>
        <w:t xml:space="preserve">the </w:t>
      </w:r>
      <w:r w:rsidRPr="00D8089C">
        <w:rPr>
          <w:sz w:val="22"/>
          <w:szCs w:val="22"/>
        </w:rPr>
        <w:t xml:space="preserve">transparency </w:t>
      </w:r>
      <w:r w:rsidR="003975D6" w:rsidRPr="00D8089C">
        <w:rPr>
          <w:sz w:val="22"/>
          <w:szCs w:val="22"/>
        </w:rPr>
        <w:t>of adverse</w:t>
      </w:r>
      <w:r w:rsidRPr="00D8089C">
        <w:rPr>
          <w:sz w:val="22"/>
          <w:szCs w:val="22"/>
        </w:rPr>
        <w:t xml:space="preserve"> event information</w:t>
      </w:r>
      <w:r w:rsidR="00587252">
        <w:rPr>
          <w:sz w:val="22"/>
          <w:szCs w:val="22"/>
        </w:rPr>
        <w:t xml:space="preserve"> relating to the use of medicines and biologicals in </w:t>
      </w:r>
      <w:proofErr w:type="gramStart"/>
      <w:r w:rsidR="00587252">
        <w:rPr>
          <w:sz w:val="22"/>
          <w:szCs w:val="22"/>
        </w:rPr>
        <w:t>Australia,</w:t>
      </w:r>
      <w:r w:rsidRPr="00D8089C">
        <w:rPr>
          <w:sz w:val="22"/>
          <w:szCs w:val="22"/>
        </w:rPr>
        <w:t xml:space="preserve"> and</w:t>
      </w:r>
      <w:proofErr w:type="gramEnd"/>
      <w:r w:rsidRPr="00D8089C">
        <w:rPr>
          <w:sz w:val="22"/>
          <w:szCs w:val="22"/>
        </w:rPr>
        <w:t xml:space="preserve"> is accessed daily by the public</w:t>
      </w:r>
      <w:r w:rsidR="004A3F46">
        <w:rPr>
          <w:sz w:val="22"/>
          <w:szCs w:val="22"/>
        </w:rPr>
        <w:t>.</w:t>
      </w:r>
      <w:r w:rsidR="002E626A">
        <w:rPr>
          <w:sz w:val="22"/>
          <w:szCs w:val="22"/>
        </w:rPr>
        <w:t xml:space="preserve"> </w:t>
      </w:r>
      <w:r w:rsidR="00AA0E3B">
        <w:rPr>
          <w:sz w:val="22"/>
          <w:szCs w:val="22"/>
        </w:rPr>
        <w:t>C</w:t>
      </w:r>
      <w:r w:rsidR="004A3F46" w:rsidRPr="004A3F46">
        <w:rPr>
          <w:sz w:val="22"/>
          <w:szCs w:val="22"/>
        </w:rPr>
        <w:t>onsumers, health pr</w:t>
      </w:r>
      <w:r w:rsidR="00587252">
        <w:rPr>
          <w:sz w:val="22"/>
          <w:szCs w:val="22"/>
        </w:rPr>
        <w:t>actitioners,</w:t>
      </w:r>
      <w:r w:rsidR="004A3F46" w:rsidRPr="004A3F46">
        <w:rPr>
          <w:sz w:val="22"/>
          <w:szCs w:val="22"/>
        </w:rPr>
        <w:t xml:space="preserve"> </w:t>
      </w:r>
      <w:r w:rsidR="00587252">
        <w:rPr>
          <w:sz w:val="22"/>
          <w:szCs w:val="22"/>
        </w:rPr>
        <w:t>sponsors and manufacturers</w:t>
      </w:r>
      <w:r w:rsidR="004A3F46" w:rsidRPr="004A3F46">
        <w:rPr>
          <w:sz w:val="22"/>
          <w:szCs w:val="22"/>
        </w:rPr>
        <w:t xml:space="preserve"> can search </w:t>
      </w:r>
      <w:r w:rsidR="00AA0E3B">
        <w:rPr>
          <w:sz w:val="22"/>
          <w:szCs w:val="22"/>
        </w:rPr>
        <w:t>the</w:t>
      </w:r>
      <w:r w:rsidR="00587252">
        <w:rPr>
          <w:sz w:val="22"/>
          <w:szCs w:val="22"/>
        </w:rPr>
        <w:t xml:space="preserve"> DAEN</w:t>
      </w:r>
      <w:r w:rsidR="00587252">
        <w:rPr>
          <w:sz w:val="22"/>
          <w:szCs w:val="22"/>
          <w:u w:val="double"/>
        </w:rPr>
        <w:t xml:space="preserve"> </w:t>
      </w:r>
      <w:r w:rsidR="004A3F46" w:rsidRPr="004A3F46">
        <w:rPr>
          <w:sz w:val="22"/>
          <w:szCs w:val="22"/>
        </w:rPr>
        <w:t>and view data about medicine</w:t>
      </w:r>
      <w:r w:rsidR="00587252">
        <w:rPr>
          <w:sz w:val="22"/>
          <w:szCs w:val="22"/>
        </w:rPr>
        <w:t xml:space="preserve"> and biological </w:t>
      </w:r>
      <w:r w:rsidR="004A3F46" w:rsidRPr="004A3F46">
        <w:rPr>
          <w:sz w:val="22"/>
          <w:szCs w:val="22"/>
        </w:rPr>
        <w:t>adverse event reports, including the name of the medicine</w:t>
      </w:r>
      <w:r w:rsidR="00587252">
        <w:rPr>
          <w:sz w:val="22"/>
          <w:szCs w:val="22"/>
        </w:rPr>
        <w:t xml:space="preserve"> or biological</w:t>
      </w:r>
      <w:r w:rsidR="004A3F46" w:rsidRPr="004A3F46">
        <w:rPr>
          <w:sz w:val="22"/>
          <w:szCs w:val="22"/>
        </w:rPr>
        <w:t>, de-identified patient details (age and gender) and scientific terms that describe the event. The search results also include summaries of the total number of cases in relation to a medicine</w:t>
      </w:r>
      <w:r w:rsidR="00587252">
        <w:rPr>
          <w:sz w:val="22"/>
          <w:szCs w:val="22"/>
        </w:rPr>
        <w:t xml:space="preserve"> or biological</w:t>
      </w:r>
      <w:r w:rsidR="004A3F46" w:rsidRPr="004A3F46">
        <w:rPr>
          <w:sz w:val="22"/>
          <w:szCs w:val="22"/>
        </w:rPr>
        <w:t xml:space="preserve">, </w:t>
      </w:r>
      <w:r w:rsidR="00587252">
        <w:rPr>
          <w:sz w:val="22"/>
          <w:szCs w:val="22"/>
        </w:rPr>
        <w:t xml:space="preserve">the </w:t>
      </w:r>
      <w:r w:rsidR="004A3F46" w:rsidRPr="004A3F46">
        <w:rPr>
          <w:sz w:val="22"/>
          <w:szCs w:val="22"/>
        </w:rPr>
        <w:t>number of cases where death was a reported outcome</w:t>
      </w:r>
      <w:r w:rsidR="00882689">
        <w:rPr>
          <w:sz w:val="22"/>
          <w:szCs w:val="22"/>
        </w:rPr>
        <w:t>,</w:t>
      </w:r>
      <w:r w:rsidR="004A3F46" w:rsidRPr="004A3F46">
        <w:rPr>
          <w:sz w:val="22"/>
          <w:szCs w:val="22"/>
        </w:rPr>
        <w:t xml:space="preserve"> and </w:t>
      </w:r>
      <w:r w:rsidR="00587252">
        <w:rPr>
          <w:sz w:val="22"/>
          <w:szCs w:val="22"/>
        </w:rPr>
        <w:t xml:space="preserve">the </w:t>
      </w:r>
      <w:r w:rsidR="004A3F46" w:rsidRPr="004A3F46">
        <w:rPr>
          <w:sz w:val="22"/>
          <w:szCs w:val="22"/>
        </w:rPr>
        <w:t>number of cases w</w:t>
      </w:r>
      <w:r w:rsidR="004A3F46">
        <w:rPr>
          <w:sz w:val="22"/>
          <w:szCs w:val="22"/>
        </w:rPr>
        <w:t>h</w:t>
      </w:r>
      <w:r w:rsidR="004A3F46" w:rsidRPr="004A3F46">
        <w:rPr>
          <w:sz w:val="22"/>
          <w:szCs w:val="22"/>
        </w:rPr>
        <w:t xml:space="preserve">ere </w:t>
      </w:r>
      <w:r w:rsidR="004A3F46" w:rsidRPr="004A3F46">
        <w:rPr>
          <w:sz w:val="22"/>
          <w:szCs w:val="22"/>
        </w:rPr>
        <w:lastRenderedPageBreak/>
        <w:t xml:space="preserve">the medicine </w:t>
      </w:r>
      <w:r w:rsidR="00587252">
        <w:rPr>
          <w:sz w:val="22"/>
          <w:szCs w:val="22"/>
        </w:rPr>
        <w:t xml:space="preserve">or biological </w:t>
      </w:r>
      <w:r w:rsidR="004A3F46" w:rsidRPr="004A3F46">
        <w:rPr>
          <w:sz w:val="22"/>
          <w:szCs w:val="22"/>
        </w:rPr>
        <w:t xml:space="preserve">was the </w:t>
      </w:r>
      <w:r w:rsidR="00587252">
        <w:rPr>
          <w:sz w:val="22"/>
          <w:szCs w:val="22"/>
        </w:rPr>
        <w:t>only therapeutic good</w:t>
      </w:r>
      <w:r w:rsidR="004A3F46">
        <w:rPr>
          <w:sz w:val="22"/>
          <w:szCs w:val="22"/>
        </w:rPr>
        <w:t xml:space="preserve"> suspected of being related to the adverse event</w:t>
      </w:r>
      <w:r w:rsidR="004A3F46" w:rsidRPr="004A3F46">
        <w:rPr>
          <w:sz w:val="22"/>
          <w:szCs w:val="22"/>
        </w:rPr>
        <w:t>.</w:t>
      </w:r>
    </w:p>
    <w:p w14:paraId="6B66F18A" w14:textId="77777777" w:rsidR="00ED2D12" w:rsidRDefault="00ED2D12" w:rsidP="0061288B">
      <w:pPr>
        <w:spacing w:before="0" w:after="0"/>
        <w:rPr>
          <w:sz w:val="22"/>
          <w:szCs w:val="22"/>
        </w:rPr>
      </w:pPr>
    </w:p>
    <w:p w14:paraId="11C3F366" w14:textId="7953E1F1" w:rsidR="008F1BB5" w:rsidRDefault="00DC4486" w:rsidP="008F1BB5">
      <w:pPr>
        <w:spacing w:before="0" w:after="0"/>
        <w:rPr>
          <w:sz w:val="22"/>
          <w:szCs w:val="22"/>
        </w:rPr>
      </w:pPr>
      <w:r>
        <w:rPr>
          <w:sz w:val="22"/>
          <w:szCs w:val="22"/>
        </w:rPr>
        <w:t xml:space="preserve">The DAEN </w:t>
      </w:r>
      <w:r w:rsidR="008F1BB5">
        <w:rPr>
          <w:sz w:val="22"/>
          <w:szCs w:val="22"/>
        </w:rPr>
        <w:t xml:space="preserve">also </w:t>
      </w:r>
      <w:r>
        <w:rPr>
          <w:sz w:val="22"/>
          <w:szCs w:val="22"/>
        </w:rPr>
        <w:t>support</w:t>
      </w:r>
      <w:r w:rsidR="008F1BB5">
        <w:rPr>
          <w:sz w:val="22"/>
          <w:szCs w:val="22"/>
        </w:rPr>
        <w:t>s</w:t>
      </w:r>
      <w:r>
        <w:rPr>
          <w:sz w:val="22"/>
          <w:szCs w:val="22"/>
        </w:rPr>
        <w:t xml:space="preserve"> research and analysis relating to therapeutic goods adverse events</w:t>
      </w:r>
      <w:r w:rsidR="008F1BB5">
        <w:rPr>
          <w:sz w:val="22"/>
          <w:szCs w:val="22"/>
        </w:rPr>
        <w:t>, which may in turn inform and provide insights to improve future regulation to prevent and better address such events</w:t>
      </w:r>
      <w:r>
        <w:rPr>
          <w:sz w:val="22"/>
          <w:szCs w:val="22"/>
        </w:rPr>
        <w:t>.</w:t>
      </w:r>
      <w:r w:rsidR="002E626A">
        <w:rPr>
          <w:sz w:val="22"/>
          <w:szCs w:val="22"/>
        </w:rPr>
        <w:t xml:space="preserve"> </w:t>
      </w:r>
      <w:r w:rsidR="00A524CF">
        <w:rPr>
          <w:sz w:val="22"/>
          <w:szCs w:val="22"/>
        </w:rPr>
        <w:t>In the 12 months from 1</w:t>
      </w:r>
      <w:r w:rsidR="002E626A">
        <w:rPr>
          <w:sz w:val="22"/>
          <w:szCs w:val="22"/>
        </w:rPr>
        <w:t> </w:t>
      </w:r>
      <w:r w:rsidR="00A524CF">
        <w:rPr>
          <w:sz w:val="22"/>
          <w:szCs w:val="22"/>
        </w:rPr>
        <w:t xml:space="preserve">May 2021 to 30 April 2022, information </w:t>
      </w:r>
      <w:r w:rsidR="007267E9">
        <w:rPr>
          <w:sz w:val="22"/>
          <w:szCs w:val="22"/>
        </w:rPr>
        <w:t xml:space="preserve">about adverse events </w:t>
      </w:r>
      <w:r w:rsidR="00A524CF">
        <w:rPr>
          <w:sz w:val="22"/>
          <w:szCs w:val="22"/>
        </w:rPr>
        <w:t>relatin</w:t>
      </w:r>
      <w:r w:rsidR="007267E9">
        <w:rPr>
          <w:sz w:val="22"/>
          <w:szCs w:val="22"/>
        </w:rPr>
        <w:t>g to medicines</w:t>
      </w:r>
      <w:r w:rsidR="002E626A">
        <w:rPr>
          <w:sz w:val="22"/>
          <w:szCs w:val="22"/>
        </w:rPr>
        <w:t xml:space="preserve"> and </w:t>
      </w:r>
      <w:r w:rsidR="002E626A" w:rsidRPr="007837B8">
        <w:rPr>
          <w:sz w:val="22"/>
          <w:szCs w:val="22"/>
        </w:rPr>
        <w:t>biologicals</w:t>
      </w:r>
      <w:r w:rsidR="007267E9">
        <w:rPr>
          <w:sz w:val="22"/>
          <w:szCs w:val="22"/>
        </w:rPr>
        <w:t xml:space="preserve"> contained in the</w:t>
      </w:r>
      <w:r w:rsidR="00A524CF">
        <w:rPr>
          <w:sz w:val="22"/>
          <w:szCs w:val="22"/>
        </w:rPr>
        <w:t xml:space="preserve"> DAEN was accessed </w:t>
      </w:r>
      <w:r w:rsidR="00B82565">
        <w:rPr>
          <w:sz w:val="22"/>
          <w:szCs w:val="22"/>
        </w:rPr>
        <w:t xml:space="preserve">on </w:t>
      </w:r>
      <w:r w:rsidR="00ED2D12">
        <w:rPr>
          <w:sz w:val="22"/>
          <w:szCs w:val="22"/>
        </w:rPr>
        <w:t xml:space="preserve">more than 680,000 </w:t>
      </w:r>
      <w:r w:rsidR="00B82565">
        <w:rPr>
          <w:sz w:val="22"/>
          <w:szCs w:val="22"/>
        </w:rPr>
        <w:t>occasions</w:t>
      </w:r>
      <w:r w:rsidR="00ED2D12">
        <w:rPr>
          <w:sz w:val="22"/>
          <w:szCs w:val="22"/>
        </w:rPr>
        <w:t xml:space="preserve">, </w:t>
      </w:r>
      <w:r w:rsidR="008F1BB5">
        <w:rPr>
          <w:sz w:val="22"/>
          <w:szCs w:val="22"/>
        </w:rPr>
        <w:t>demonstrating both the level of community interest and focus on adverse event information, and the importance of ensuring</w:t>
      </w:r>
      <w:r w:rsidR="00ED2D12">
        <w:rPr>
          <w:sz w:val="22"/>
          <w:szCs w:val="22"/>
        </w:rPr>
        <w:t xml:space="preserve"> public access to </w:t>
      </w:r>
      <w:r w:rsidR="008F1BB5">
        <w:rPr>
          <w:sz w:val="22"/>
          <w:szCs w:val="22"/>
        </w:rPr>
        <w:t>it</w:t>
      </w:r>
      <w:r w:rsidR="00ED2D12">
        <w:rPr>
          <w:sz w:val="22"/>
          <w:szCs w:val="22"/>
        </w:rPr>
        <w:t xml:space="preserve">. </w:t>
      </w:r>
      <w:r w:rsidR="00F26BDD" w:rsidRPr="00F26BDD">
        <w:rPr>
          <w:sz w:val="22"/>
          <w:szCs w:val="22"/>
        </w:rPr>
        <w:t xml:space="preserve"> </w:t>
      </w:r>
    </w:p>
    <w:p w14:paraId="055F27CF" w14:textId="77777777" w:rsidR="008F1BB5" w:rsidRDefault="008F1BB5" w:rsidP="008F1BB5">
      <w:pPr>
        <w:spacing w:before="0" w:after="0"/>
        <w:rPr>
          <w:sz w:val="22"/>
          <w:szCs w:val="22"/>
        </w:rPr>
      </w:pPr>
    </w:p>
    <w:p w14:paraId="3B69CFE4" w14:textId="49CC409C" w:rsidR="0029754E" w:rsidRDefault="00E2105A" w:rsidP="00F26708">
      <w:pPr>
        <w:spacing w:before="0" w:after="0"/>
        <w:rPr>
          <w:sz w:val="22"/>
          <w:szCs w:val="22"/>
        </w:rPr>
      </w:pPr>
      <w:r>
        <w:rPr>
          <w:sz w:val="22"/>
          <w:szCs w:val="22"/>
        </w:rPr>
        <w:t xml:space="preserve">The Specification </w:t>
      </w:r>
      <w:proofErr w:type="spellStart"/>
      <w:r>
        <w:rPr>
          <w:sz w:val="22"/>
          <w:szCs w:val="22"/>
        </w:rPr>
        <w:t>authorises</w:t>
      </w:r>
      <w:proofErr w:type="spellEnd"/>
      <w:r>
        <w:rPr>
          <w:sz w:val="22"/>
          <w:szCs w:val="22"/>
        </w:rPr>
        <w:t xml:space="preserve"> the release of adverse event information relating to both medicines and biologicals. Since the making of the former Specification, and the commencement on 31 May 2011 of amendments made to the Act by Schedule 1 to the </w:t>
      </w:r>
      <w:r w:rsidRPr="00E2105A">
        <w:rPr>
          <w:i/>
          <w:iCs/>
          <w:sz w:val="22"/>
          <w:szCs w:val="22"/>
        </w:rPr>
        <w:t>Therapeutic Goods Amendment (2009 Measures No. 3) Act 2009</w:t>
      </w:r>
      <w:r>
        <w:rPr>
          <w:sz w:val="22"/>
          <w:szCs w:val="22"/>
        </w:rPr>
        <w:t xml:space="preserve"> (which introduced a new regulatory framework for biologicals), biologicals have transitioned to the new framework that commenced in May 2011 and </w:t>
      </w:r>
      <w:r w:rsidR="00F26BDD" w:rsidRPr="00F26BDD">
        <w:rPr>
          <w:sz w:val="22"/>
          <w:szCs w:val="22"/>
        </w:rPr>
        <w:t xml:space="preserve">include </w:t>
      </w:r>
      <w:r w:rsidR="00F26708">
        <w:rPr>
          <w:sz w:val="22"/>
          <w:szCs w:val="22"/>
        </w:rPr>
        <w:t xml:space="preserve">a range of </w:t>
      </w:r>
      <w:r w:rsidR="00F26BDD" w:rsidRPr="00F26BDD">
        <w:rPr>
          <w:sz w:val="22"/>
          <w:szCs w:val="22"/>
        </w:rPr>
        <w:t xml:space="preserve">products </w:t>
      </w:r>
      <w:r w:rsidR="00F26708">
        <w:rPr>
          <w:sz w:val="22"/>
          <w:szCs w:val="22"/>
        </w:rPr>
        <w:t>including for instance</w:t>
      </w:r>
      <w:r w:rsidR="00F26BDD" w:rsidRPr="00F26BDD">
        <w:rPr>
          <w:sz w:val="22"/>
          <w:szCs w:val="22"/>
        </w:rPr>
        <w:t xml:space="preserve"> </w:t>
      </w:r>
      <w:proofErr w:type="spellStart"/>
      <w:r w:rsidR="00F26BDD" w:rsidRPr="00F26BDD">
        <w:rPr>
          <w:sz w:val="22"/>
          <w:szCs w:val="22"/>
        </w:rPr>
        <w:t>faecal</w:t>
      </w:r>
      <w:proofErr w:type="spellEnd"/>
      <w:r w:rsidR="00F26BDD" w:rsidRPr="00F26BDD">
        <w:rPr>
          <w:sz w:val="22"/>
          <w:szCs w:val="22"/>
        </w:rPr>
        <w:t xml:space="preserve"> microbiota transplants, skin grafts and products made from genetically modified cells (CAR-T cells). Prior to the </w:t>
      </w:r>
      <w:r w:rsidR="00F26708">
        <w:rPr>
          <w:sz w:val="22"/>
          <w:szCs w:val="22"/>
        </w:rPr>
        <w:t>commencement</w:t>
      </w:r>
      <w:r w:rsidR="00F26BDD" w:rsidRPr="00F26BDD">
        <w:rPr>
          <w:sz w:val="22"/>
          <w:szCs w:val="22"/>
        </w:rPr>
        <w:t xml:space="preserve"> of</w:t>
      </w:r>
      <w:r w:rsidR="00F26708">
        <w:rPr>
          <w:sz w:val="22"/>
          <w:szCs w:val="22"/>
        </w:rPr>
        <w:t xml:space="preserve"> the new regulatory framework for</w:t>
      </w:r>
      <w:r w:rsidR="00F26BDD" w:rsidRPr="00F26BDD">
        <w:rPr>
          <w:sz w:val="22"/>
          <w:szCs w:val="22"/>
        </w:rPr>
        <w:t xml:space="preserve"> biologicals </w:t>
      </w:r>
      <w:r w:rsidR="00F26708">
        <w:rPr>
          <w:sz w:val="22"/>
          <w:szCs w:val="22"/>
        </w:rPr>
        <w:t>in May 2011 biologicals</w:t>
      </w:r>
      <w:r w:rsidR="00F26BDD" w:rsidRPr="00F26BDD">
        <w:rPr>
          <w:sz w:val="22"/>
          <w:szCs w:val="22"/>
        </w:rPr>
        <w:t xml:space="preserve"> </w:t>
      </w:r>
      <w:r w:rsidR="00F528E0">
        <w:rPr>
          <w:sz w:val="22"/>
          <w:szCs w:val="22"/>
        </w:rPr>
        <w:t>were</w:t>
      </w:r>
      <w:r w:rsidR="00F26BDD" w:rsidRPr="00F26BDD">
        <w:rPr>
          <w:sz w:val="22"/>
          <w:szCs w:val="22"/>
        </w:rPr>
        <w:t xml:space="preserve"> regulated </w:t>
      </w:r>
      <w:r w:rsidR="00F26708">
        <w:rPr>
          <w:sz w:val="22"/>
          <w:szCs w:val="22"/>
        </w:rPr>
        <w:t xml:space="preserve">as </w:t>
      </w:r>
      <w:r w:rsidR="00F26BDD" w:rsidRPr="00F26BDD">
        <w:rPr>
          <w:sz w:val="22"/>
          <w:szCs w:val="22"/>
        </w:rPr>
        <w:t>either medicines or medical devices, depending on the type of product and its manufacture</w:t>
      </w:r>
      <w:r w:rsidR="009A4797">
        <w:rPr>
          <w:sz w:val="22"/>
          <w:szCs w:val="22"/>
        </w:rPr>
        <w:t>.</w:t>
      </w:r>
      <w:r w:rsidR="0029754E">
        <w:rPr>
          <w:sz w:val="22"/>
          <w:szCs w:val="22"/>
        </w:rPr>
        <w:t xml:space="preserve"> </w:t>
      </w:r>
      <w:r w:rsidR="00F26708">
        <w:rPr>
          <w:sz w:val="22"/>
          <w:szCs w:val="22"/>
        </w:rPr>
        <w:t xml:space="preserve">Identifying biologicals separately in </w:t>
      </w:r>
      <w:r w:rsidR="0029754E">
        <w:rPr>
          <w:sz w:val="22"/>
          <w:szCs w:val="22"/>
        </w:rPr>
        <w:t>the Specification</w:t>
      </w:r>
      <w:r w:rsidR="00080AB3">
        <w:rPr>
          <w:sz w:val="22"/>
          <w:szCs w:val="22"/>
        </w:rPr>
        <w:t xml:space="preserve"> </w:t>
      </w:r>
      <w:r w:rsidR="00F26708">
        <w:rPr>
          <w:sz w:val="22"/>
          <w:szCs w:val="22"/>
        </w:rPr>
        <w:t xml:space="preserve">better reflects the regulation of this class of product </w:t>
      </w:r>
      <w:proofErr w:type="gramStart"/>
      <w:r w:rsidR="00F26708">
        <w:rPr>
          <w:sz w:val="22"/>
          <w:szCs w:val="22"/>
        </w:rPr>
        <w:t>in its own right and</w:t>
      </w:r>
      <w:proofErr w:type="gramEnd"/>
      <w:r w:rsidR="00F26708">
        <w:rPr>
          <w:sz w:val="22"/>
          <w:szCs w:val="22"/>
        </w:rPr>
        <w:t xml:space="preserve"> </w:t>
      </w:r>
      <w:r w:rsidR="0029754E" w:rsidRPr="0029754E">
        <w:rPr>
          <w:sz w:val="22"/>
          <w:szCs w:val="22"/>
        </w:rPr>
        <w:t>clarif</w:t>
      </w:r>
      <w:r w:rsidR="0029754E">
        <w:rPr>
          <w:sz w:val="22"/>
          <w:szCs w:val="22"/>
        </w:rPr>
        <w:t>ies</w:t>
      </w:r>
      <w:r w:rsidR="0029754E" w:rsidRPr="0029754E">
        <w:rPr>
          <w:sz w:val="22"/>
          <w:szCs w:val="22"/>
        </w:rPr>
        <w:t xml:space="preserve"> that adverse events associated with </w:t>
      </w:r>
      <w:r w:rsidR="0029754E">
        <w:rPr>
          <w:sz w:val="22"/>
          <w:szCs w:val="22"/>
        </w:rPr>
        <w:t>biologicals</w:t>
      </w:r>
      <w:r w:rsidR="0029754E" w:rsidRPr="0029754E">
        <w:rPr>
          <w:sz w:val="22"/>
          <w:szCs w:val="22"/>
        </w:rPr>
        <w:t xml:space="preserve"> may also be published in the DAEN</w:t>
      </w:r>
      <w:r w:rsidR="0029754E">
        <w:rPr>
          <w:sz w:val="22"/>
          <w:szCs w:val="22"/>
        </w:rPr>
        <w:t>.</w:t>
      </w:r>
    </w:p>
    <w:p w14:paraId="2AE1AAFC" w14:textId="77777777" w:rsidR="0029754E" w:rsidRDefault="0029754E" w:rsidP="0061288B">
      <w:pPr>
        <w:spacing w:before="0" w:after="0"/>
        <w:rPr>
          <w:sz w:val="22"/>
          <w:szCs w:val="22"/>
        </w:rPr>
      </w:pPr>
    </w:p>
    <w:p w14:paraId="7CA875EE" w14:textId="540B0AB1" w:rsidR="00375D79" w:rsidRDefault="00375D79" w:rsidP="0061288B">
      <w:pPr>
        <w:spacing w:before="0" w:after="0"/>
        <w:rPr>
          <w:sz w:val="22"/>
          <w:szCs w:val="22"/>
        </w:rPr>
      </w:pPr>
      <w:r>
        <w:rPr>
          <w:sz w:val="22"/>
          <w:szCs w:val="22"/>
        </w:rPr>
        <w:t xml:space="preserve">As with the former Specification, the </w:t>
      </w:r>
      <w:r w:rsidR="00F26708">
        <w:rPr>
          <w:sz w:val="22"/>
          <w:szCs w:val="22"/>
        </w:rPr>
        <w:t xml:space="preserve">kinds of therapeutic goods information specified by the </w:t>
      </w:r>
      <w:r>
        <w:rPr>
          <w:sz w:val="22"/>
          <w:szCs w:val="22"/>
        </w:rPr>
        <w:t xml:space="preserve">Specification </w:t>
      </w:r>
      <w:r w:rsidR="000D7B02">
        <w:rPr>
          <w:sz w:val="22"/>
          <w:szCs w:val="22"/>
        </w:rPr>
        <w:t>may be grouped into</w:t>
      </w:r>
      <w:r>
        <w:rPr>
          <w:sz w:val="22"/>
          <w:szCs w:val="22"/>
        </w:rPr>
        <w:t xml:space="preserve"> two </w:t>
      </w:r>
      <w:r w:rsidR="000D7B02">
        <w:rPr>
          <w:sz w:val="22"/>
          <w:szCs w:val="22"/>
        </w:rPr>
        <w:t xml:space="preserve">broadly </w:t>
      </w:r>
      <w:r>
        <w:rPr>
          <w:sz w:val="22"/>
          <w:szCs w:val="22"/>
        </w:rPr>
        <w:t xml:space="preserve">different </w:t>
      </w:r>
      <w:r w:rsidR="000D7B02">
        <w:rPr>
          <w:sz w:val="22"/>
          <w:szCs w:val="22"/>
        </w:rPr>
        <w:t>categories</w:t>
      </w:r>
      <w:r>
        <w:rPr>
          <w:sz w:val="22"/>
          <w:szCs w:val="22"/>
        </w:rPr>
        <w:t>:</w:t>
      </w:r>
    </w:p>
    <w:p w14:paraId="5CE643F4" w14:textId="237E8BF2" w:rsidR="00375D79" w:rsidRPr="00EA52E2" w:rsidRDefault="00080AB3" w:rsidP="00F528E0">
      <w:pPr>
        <w:pStyle w:val="ListParagraph"/>
        <w:numPr>
          <w:ilvl w:val="0"/>
          <w:numId w:val="3"/>
        </w:numPr>
        <w:spacing w:before="120" w:after="0"/>
        <w:ind w:left="714" w:hanging="357"/>
        <w:rPr>
          <w:color w:val="000000"/>
          <w:sz w:val="22"/>
          <w:szCs w:val="22"/>
          <w:shd w:val="clear" w:color="auto" w:fill="FFFFFF"/>
        </w:rPr>
      </w:pPr>
      <w:r>
        <w:rPr>
          <w:color w:val="000000"/>
          <w:sz w:val="22"/>
          <w:szCs w:val="22"/>
          <w:shd w:val="clear" w:color="auto" w:fill="FFFFFF"/>
        </w:rPr>
        <w:t xml:space="preserve">information relating to </w:t>
      </w:r>
      <w:r w:rsidR="000D7B02">
        <w:rPr>
          <w:color w:val="000000"/>
          <w:sz w:val="22"/>
          <w:szCs w:val="22"/>
          <w:shd w:val="clear" w:color="auto" w:fill="FFFFFF"/>
        </w:rPr>
        <w:t xml:space="preserve">an adverse event that has been reported </w:t>
      </w:r>
      <w:r w:rsidR="002A28D7">
        <w:rPr>
          <w:color w:val="000000"/>
          <w:sz w:val="22"/>
          <w:szCs w:val="22"/>
          <w:shd w:val="clear" w:color="auto" w:fill="FFFFFF"/>
        </w:rPr>
        <w:t xml:space="preserve">to the TGA </w:t>
      </w:r>
      <w:r w:rsidR="00375D79" w:rsidRPr="00EA52E2">
        <w:rPr>
          <w:color w:val="000000"/>
          <w:sz w:val="22"/>
          <w:szCs w:val="22"/>
          <w:shd w:val="clear" w:color="auto" w:fill="FFFFFF"/>
        </w:rPr>
        <w:t xml:space="preserve">in relation to a medicine </w:t>
      </w:r>
      <w:r>
        <w:rPr>
          <w:color w:val="000000"/>
          <w:sz w:val="22"/>
          <w:szCs w:val="22"/>
          <w:shd w:val="clear" w:color="auto" w:fill="FFFFFF"/>
        </w:rPr>
        <w:t>or biological, including</w:t>
      </w:r>
      <w:r w:rsidR="00375D79" w:rsidRPr="00EA52E2">
        <w:rPr>
          <w:color w:val="000000"/>
          <w:sz w:val="22"/>
          <w:szCs w:val="22"/>
          <w:shd w:val="clear" w:color="auto" w:fill="FFFFFF"/>
        </w:rPr>
        <w:t xml:space="preserve"> </w:t>
      </w:r>
      <w:r w:rsidR="002A28D7">
        <w:rPr>
          <w:color w:val="000000"/>
          <w:sz w:val="22"/>
          <w:szCs w:val="22"/>
          <w:shd w:val="clear" w:color="auto" w:fill="FFFFFF"/>
        </w:rPr>
        <w:t>for instance the details of the medicine or biological and the adverse event description term, as described in the Medical Dictionary for Regulatory Activities published by the MedDRA Maintenance and Support Services Organization</w:t>
      </w:r>
      <w:r w:rsidR="00375D79" w:rsidRPr="00EA52E2">
        <w:rPr>
          <w:color w:val="000000"/>
          <w:sz w:val="22"/>
          <w:szCs w:val="22"/>
          <w:shd w:val="clear" w:color="auto" w:fill="FFFFFF"/>
        </w:rPr>
        <w:t>; and</w:t>
      </w:r>
    </w:p>
    <w:p w14:paraId="08C9BE1D" w14:textId="34B16396" w:rsidR="00375D79" w:rsidRDefault="00080AB3" w:rsidP="00375D79">
      <w:pPr>
        <w:pStyle w:val="ListParagraph"/>
        <w:numPr>
          <w:ilvl w:val="0"/>
          <w:numId w:val="3"/>
        </w:numPr>
        <w:spacing w:before="0" w:after="0"/>
        <w:rPr>
          <w:color w:val="000000"/>
          <w:sz w:val="22"/>
          <w:szCs w:val="22"/>
          <w:shd w:val="clear" w:color="auto" w:fill="FFFFFF"/>
        </w:rPr>
      </w:pPr>
      <w:r w:rsidRPr="00EA52E2">
        <w:rPr>
          <w:color w:val="000000"/>
          <w:sz w:val="22"/>
          <w:szCs w:val="22"/>
          <w:shd w:val="clear" w:color="auto" w:fill="FFFFFF"/>
        </w:rPr>
        <w:t xml:space="preserve">a summary of </w:t>
      </w:r>
      <w:r>
        <w:rPr>
          <w:color w:val="000000"/>
          <w:sz w:val="22"/>
          <w:szCs w:val="22"/>
          <w:shd w:val="clear" w:color="auto" w:fill="FFFFFF"/>
        </w:rPr>
        <w:t xml:space="preserve">information relating to </w:t>
      </w:r>
      <w:r w:rsidR="00375D79" w:rsidRPr="00EA52E2">
        <w:rPr>
          <w:color w:val="000000"/>
          <w:sz w:val="22"/>
          <w:szCs w:val="22"/>
          <w:shd w:val="clear" w:color="auto" w:fill="FFFFFF"/>
        </w:rPr>
        <w:t xml:space="preserve">adverse events </w:t>
      </w:r>
      <w:r w:rsidR="002A28D7">
        <w:rPr>
          <w:color w:val="000000"/>
          <w:sz w:val="22"/>
          <w:szCs w:val="22"/>
          <w:shd w:val="clear" w:color="auto" w:fill="FFFFFF"/>
        </w:rPr>
        <w:t xml:space="preserve">that (as at the time a person accesses the DAEN) are </w:t>
      </w:r>
      <w:r w:rsidR="00375D79" w:rsidRPr="00EA52E2">
        <w:rPr>
          <w:color w:val="000000"/>
          <w:sz w:val="22"/>
          <w:szCs w:val="22"/>
          <w:shd w:val="clear" w:color="auto" w:fill="FFFFFF"/>
        </w:rPr>
        <w:t xml:space="preserve">reported as having occurred in relation to a medicine </w:t>
      </w:r>
      <w:r>
        <w:rPr>
          <w:color w:val="000000"/>
          <w:sz w:val="22"/>
          <w:szCs w:val="22"/>
          <w:shd w:val="clear" w:color="auto" w:fill="FFFFFF"/>
        </w:rPr>
        <w:t>or biological</w:t>
      </w:r>
      <w:r w:rsidR="00375D79" w:rsidRPr="00EA52E2">
        <w:rPr>
          <w:color w:val="000000"/>
          <w:sz w:val="22"/>
          <w:szCs w:val="22"/>
          <w:shd w:val="clear" w:color="auto" w:fill="FFFFFF"/>
        </w:rPr>
        <w:t>.</w:t>
      </w:r>
    </w:p>
    <w:p w14:paraId="29DEDFB7" w14:textId="77777777" w:rsidR="005A55A7" w:rsidRDefault="005A55A7" w:rsidP="005A55A7">
      <w:pPr>
        <w:pStyle w:val="ListParagraph"/>
        <w:spacing w:before="0" w:after="0"/>
        <w:rPr>
          <w:color w:val="000000"/>
          <w:sz w:val="22"/>
          <w:szCs w:val="22"/>
          <w:shd w:val="clear" w:color="auto" w:fill="FFFFFF"/>
        </w:rPr>
      </w:pPr>
    </w:p>
    <w:p w14:paraId="034340C0" w14:textId="5B2F86AB" w:rsidR="005A55A7" w:rsidRDefault="005A55A7" w:rsidP="0061288B">
      <w:pPr>
        <w:spacing w:before="0" w:after="0"/>
        <w:rPr>
          <w:sz w:val="22"/>
          <w:szCs w:val="22"/>
        </w:rPr>
      </w:pPr>
      <w:r>
        <w:rPr>
          <w:sz w:val="22"/>
          <w:szCs w:val="22"/>
        </w:rPr>
        <w:t>Schedule 1 to the Specification sets out in detail the kinds of therapeutic goods information</w:t>
      </w:r>
      <w:r w:rsidR="00080AB3">
        <w:rPr>
          <w:sz w:val="22"/>
          <w:szCs w:val="22"/>
        </w:rPr>
        <w:t xml:space="preserve"> that</w:t>
      </w:r>
      <w:r>
        <w:rPr>
          <w:sz w:val="22"/>
          <w:szCs w:val="22"/>
        </w:rPr>
        <w:t xml:space="preserve"> the Secretary </w:t>
      </w:r>
      <w:r w:rsidR="00080AB3">
        <w:rPr>
          <w:sz w:val="22"/>
          <w:szCs w:val="22"/>
        </w:rPr>
        <w:t>may</w:t>
      </w:r>
      <w:r>
        <w:rPr>
          <w:sz w:val="22"/>
          <w:szCs w:val="22"/>
        </w:rPr>
        <w:t xml:space="preserve"> release through the DAEN.</w:t>
      </w:r>
    </w:p>
    <w:bookmarkEnd w:id="1"/>
    <w:p w14:paraId="732E5556" w14:textId="244EA404" w:rsidR="005A55A7" w:rsidRDefault="005A55A7" w:rsidP="0061288B">
      <w:pPr>
        <w:spacing w:before="0" w:after="0"/>
        <w:rPr>
          <w:sz w:val="22"/>
          <w:szCs w:val="22"/>
        </w:rPr>
      </w:pPr>
    </w:p>
    <w:bookmarkEnd w:id="2"/>
    <w:p w14:paraId="1FD2DF96" w14:textId="516EF756" w:rsidR="003C5297" w:rsidRPr="00B2546F" w:rsidRDefault="003C5297" w:rsidP="003C5297">
      <w:pPr>
        <w:autoSpaceDE w:val="0"/>
        <w:autoSpaceDN w:val="0"/>
        <w:adjustRightInd w:val="0"/>
        <w:spacing w:before="0" w:after="0"/>
        <w:rPr>
          <w:b/>
          <w:sz w:val="22"/>
          <w:szCs w:val="22"/>
          <w:lang w:eastAsia="en-AU"/>
        </w:rPr>
      </w:pPr>
      <w:r w:rsidRPr="00B2546F">
        <w:rPr>
          <w:b/>
          <w:sz w:val="22"/>
          <w:szCs w:val="22"/>
          <w:lang w:eastAsia="en-AU"/>
        </w:rPr>
        <w:t>Consultation</w:t>
      </w:r>
    </w:p>
    <w:p w14:paraId="1015B2AA" w14:textId="2B73D24A" w:rsidR="000C06A6" w:rsidRPr="00B2546F" w:rsidRDefault="000C06A6" w:rsidP="003C5297">
      <w:pPr>
        <w:autoSpaceDE w:val="0"/>
        <w:autoSpaceDN w:val="0"/>
        <w:adjustRightInd w:val="0"/>
        <w:spacing w:before="0" w:after="0"/>
        <w:rPr>
          <w:color w:val="000000"/>
          <w:sz w:val="22"/>
          <w:szCs w:val="22"/>
          <w:shd w:val="clear" w:color="auto" w:fill="FFFFFF"/>
        </w:rPr>
      </w:pPr>
    </w:p>
    <w:p w14:paraId="4CB4E6D8" w14:textId="322464AD" w:rsidR="00C802F4" w:rsidRDefault="00ED2D12" w:rsidP="00ED2D12">
      <w:pPr>
        <w:autoSpaceDE w:val="0"/>
        <w:autoSpaceDN w:val="0"/>
        <w:adjustRightInd w:val="0"/>
        <w:spacing w:before="0" w:after="0"/>
        <w:rPr>
          <w:color w:val="000000"/>
          <w:sz w:val="22"/>
          <w:szCs w:val="22"/>
          <w:shd w:val="clear" w:color="auto" w:fill="FFFFFF"/>
        </w:rPr>
      </w:pPr>
      <w:r w:rsidRPr="00ED2D12">
        <w:rPr>
          <w:color w:val="000000"/>
          <w:sz w:val="22"/>
          <w:szCs w:val="22"/>
          <w:shd w:val="clear" w:color="auto" w:fill="FFFFFF"/>
        </w:rPr>
        <w:t xml:space="preserve">Between March </w:t>
      </w:r>
      <w:r w:rsidR="004402A7">
        <w:rPr>
          <w:color w:val="000000"/>
          <w:sz w:val="22"/>
          <w:szCs w:val="22"/>
          <w:shd w:val="clear" w:color="auto" w:fill="FFFFFF"/>
        </w:rPr>
        <w:t>and</w:t>
      </w:r>
      <w:r w:rsidRPr="00ED2D12">
        <w:rPr>
          <w:color w:val="000000"/>
          <w:sz w:val="22"/>
          <w:szCs w:val="22"/>
          <w:shd w:val="clear" w:color="auto" w:fill="FFFFFF"/>
        </w:rPr>
        <w:t xml:space="preserve"> </w:t>
      </w:r>
      <w:r w:rsidR="003975D6" w:rsidRPr="00ED2D12">
        <w:rPr>
          <w:color w:val="000000"/>
          <w:sz w:val="22"/>
          <w:szCs w:val="22"/>
          <w:shd w:val="clear" w:color="auto" w:fill="FFFFFF"/>
        </w:rPr>
        <w:t>April 2022,</w:t>
      </w:r>
      <w:r w:rsidRPr="00ED2D12">
        <w:rPr>
          <w:color w:val="000000"/>
          <w:sz w:val="22"/>
          <w:szCs w:val="22"/>
          <w:shd w:val="clear" w:color="auto" w:fill="FFFFFF"/>
        </w:rPr>
        <w:t xml:space="preserve"> </w:t>
      </w:r>
      <w:r w:rsidR="004402A7">
        <w:rPr>
          <w:color w:val="000000"/>
          <w:sz w:val="22"/>
          <w:szCs w:val="22"/>
          <w:shd w:val="clear" w:color="auto" w:fill="FFFFFF"/>
        </w:rPr>
        <w:t xml:space="preserve">the </w:t>
      </w:r>
      <w:r w:rsidRPr="00ED2D12">
        <w:rPr>
          <w:color w:val="000000"/>
          <w:sz w:val="22"/>
          <w:szCs w:val="22"/>
          <w:shd w:val="clear" w:color="auto" w:fill="FFFFFF"/>
        </w:rPr>
        <w:t xml:space="preserve">TGA invited 24 consumer, </w:t>
      </w:r>
      <w:proofErr w:type="gramStart"/>
      <w:r w:rsidRPr="00ED2D12">
        <w:rPr>
          <w:color w:val="000000"/>
          <w:sz w:val="22"/>
          <w:szCs w:val="22"/>
          <w:shd w:val="clear" w:color="auto" w:fill="FFFFFF"/>
        </w:rPr>
        <w:t>industry</w:t>
      </w:r>
      <w:proofErr w:type="gramEnd"/>
      <w:r w:rsidRPr="00ED2D12">
        <w:rPr>
          <w:color w:val="000000"/>
          <w:sz w:val="22"/>
          <w:szCs w:val="22"/>
          <w:shd w:val="clear" w:color="auto" w:fill="FFFFFF"/>
        </w:rPr>
        <w:t xml:space="preserve"> and health professional </w:t>
      </w:r>
      <w:proofErr w:type="spellStart"/>
      <w:r w:rsidRPr="00ED2D12">
        <w:rPr>
          <w:color w:val="000000"/>
          <w:sz w:val="22"/>
          <w:szCs w:val="22"/>
          <w:shd w:val="clear" w:color="auto" w:fill="FFFFFF"/>
        </w:rPr>
        <w:t>organisations</w:t>
      </w:r>
      <w:proofErr w:type="spellEnd"/>
      <w:r w:rsidRPr="00ED2D12">
        <w:rPr>
          <w:color w:val="000000"/>
          <w:sz w:val="22"/>
          <w:szCs w:val="22"/>
          <w:shd w:val="clear" w:color="auto" w:fill="FFFFFF"/>
        </w:rPr>
        <w:t xml:space="preserve"> to provide feedback on </w:t>
      </w:r>
      <w:r w:rsidR="00C802F4">
        <w:rPr>
          <w:color w:val="000000"/>
          <w:sz w:val="22"/>
          <w:szCs w:val="22"/>
          <w:shd w:val="clear" w:color="auto" w:fill="FFFFFF"/>
        </w:rPr>
        <w:t>the</w:t>
      </w:r>
      <w:r w:rsidRPr="00ED2D12">
        <w:rPr>
          <w:color w:val="000000"/>
          <w:sz w:val="22"/>
          <w:szCs w:val="22"/>
          <w:shd w:val="clear" w:color="auto" w:fill="FFFFFF"/>
        </w:rPr>
        <w:t xml:space="preserve"> proposal to remake </w:t>
      </w:r>
      <w:r w:rsidR="004402A7">
        <w:rPr>
          <w:color w:val="000000"/>
          <w:sz w:val="22"/>
          <w:szCs w:val="22"/>
          <w:shd w:val="clear" w:color="auto" w:fill="FFFFFF"/>
        </w:rPr>
        <w:t>the</w:t>
      </w:r>
      <w:r w:rsidR="00C802F4">
        <w:rPr>
          <w:color w:val="000000"/>
          <w:sz w:val="22"/>
          <w:szCs w:val="22"/>
          <w:shd w:val="clear" w:color="auto" w:fill="FFFFFF"/>
        </w:rPr>
        <w:t xml:space="preserve"> former </w:t>
      </w:r>
      <w:r w:rsidRPr="00ED2D12">
        <w:rPr>
          <w:color w:val="000000"/>
          <w:sz w:val="22"/>
          <w:szCs w:val="22"/>
          <w:shd w:val="clear" w:color="auto" w:fill="FFFFFF"/>
        </w:rPr>
        <w:t xml:space="preserve">Specification without significant change. </w:t>
      </w:r>
      <w:r w:rsidR="00C802F4">
        <w:rPr>
          <w:color w:val="000000"/>
          <w:sz w:val="22"/>
          <w:szCs w:val="22"/>
          <w:shd w:val="clear" w:color="auto" w:fill="FFFFFF"/>
        </w:rPr>
        <w:t xml:space="preserve">The TGA received 23 </w:t>
      </w:r>
      <w:r w:rsidRPr="00ED2D12">
        <w:rPr>
          <w:color w:val="000000"/>
          <w:sz w:val="22"/>
          <w:szCs w:val="22"/>
          <w:shd w:val="clear" w:color="auto" w:fill="FFFFFF"/>
        </w:rPr>
        <w:t>responses</w:t>
      </w:r>
      <w:r w:rsidR="00C802F4">
        <w:rPr>
          <w:color w:val="000000"/>
          <w:sz w:val="22"/>
          <w:szCs w:val="22"/>
          <w:shd w:val="clear" w:color="auto" w:fill="FFFFFF"/>
        </w:rPr>
        <w:t xml:space="preserve"> (from </w:t>
      </w:r>
      <w:r w:rsidR="00AF745E">
        <w:rPr>
          <w:color w:val="000000"/>
          <w:sz w:val="22"/>
          <w:szCs w:val="22"/>
          <w:shd w:val="clear" w:color="auto" w:fill="FFFFFF"/>
        </w:rPr>
        <w:t>three</w:t>
      </w:r>
      <w:r w:rsidR="00C802F4" w:rsidRPr="00ED2D12">
        <w:rPr>
          <w:color w:val="000000"/>
          <w:sz w:val="22"/>
          <w:szCs w:val="22"/>
          <w:shd w:val="clear" w:color="auto" w:fill="FFFFFF"/>
        </w:rPr>
        <w:t xml:space="preserve"> consumer groups, 11 health professional</w:t>
      </w:r>
      <w:r w:rsidR="00C802F4">
        <w:rPr>
          <w:color w:val="000000"/>
          <w:sz w:val="22"/>
          <w:szCs w:val="22"/>
          <w:shd w:val="clear" w:color="auto" w:fill="FFFFFF"/>
        </w:rPr>
        <w:t xml:space="preserve"> and </w:t>
      </w:r>
      <w:r w:rsidR="00C802F4" w:rsidRPr="00ED2D12">
        <w:rPr>
          <w:color w:val="000000"/>
          <w:sz w:val="22"/>
          <w:szCs w:val="22"/>
          <w:shd w:val="clear" w:color="auto" w:fill="FFFFFF"/>
        </w:rPr>
        <w:t xml:space="preserve">medical bodies, </w:t>
      </w:r>
      <w:r w:rsidR="00AF745E">
        <w:rPr>
          <w:color w:val="000000"/>
          <w:sz w:val="22"/>
          <w:szCs w:val="22"/>
          <w:shd w:val="clear" w:color="auto" w:fill="FFFFFF"/>
        </w:rPr>
        <w:t>a</w:t>
      </w:r>
      <w:r w:rsidR="00C802F4" w:rsidRPr="00ED2D12">
        <w:rPr>
          <w:color w:val="000000"/>
          <w:sz w:val="22"/>
          <w:szCs w:val="22"/>
          <w:shd w:val="clear" w:color="auto" w:fill="FFFFFF"/>
        </w:rPr>
        <w:t xml:space="preserve"> government body, </w:t>
      </w:r>
      <w:r w:rsidR="00AF745E">
        <w:rPr>
          <w:color w:val="000000"/>
          <w:sz w:val="22"/>
          <w:szCs w:val="22"/>
          <w:shd w:val="clear" w:color="auto" w:fill="FFFFFF"/>
        </w:rPr>
        <w:t>five</w:t>
      </w:r>
      <w:r w:rsidR="00C802F4" w:rsidRPr="00ED2D12">
        <w:rPr>
          <w:color w:val="000000"/>
          <w:sz w:val="22"/>
          <w:szCs w:val="22"/>
          <w:shd w:val="clear" w:color="auto" w:fill="FFFFFF"/>
        </w:rPr>
        <w:t xml:space="preserve"> medicine sponsor groups</w:t>
      </w:r>
      <w:r w:rsidR="00C802F4">
        <w:rPr>
          <w:color w:val="000000"/>
          <w:sz w:val="22"/>
          <w:szCs w:val="22"/>
          <w:shd w:val="clear" w:color="auto" w:fill="FFFFFF"/>
        </w:rPr>
        <w:t xml:space="preserve"> and </w:t>
      </w:r>
      <w:r w:rsidR="00C802F4" w:rsidRPr="00ED2D12">
        <w:rPr>
          <w:color w:val="000000"/>
          <w:sz w:val="22"/>
          <w:szCs w:val="22"/>
          <w:shd w:val="clear" w:color="auto" w:fill="FFFFFF"/>
        </w:rPr>
        <w:t xml:space="preserve">companies </w:t>
      </w:r>
      <w:r w:rsidR="00AF745E">
        <w:rPr>
          <w:color w:val="000000"/>
          <w:sz w:val="22"/>
          <w:szCs w:val="22"/>
          <w:shd w:val="clear" w:color="auto" w:fill="FFFFFF"/>
        </w:rPr>
        <w:t>and three</w:t>
      </w:r>
      <w:r w:rsidR="00C802F4" w:rsidRPr="00ED2D12">
        <w:rPr>
          <w:color w:val="000000"/>
          <w:sz w:val="22"/>
          <w:szCs w:val="22"/>
          <w:shd w:val="clear" w:color="auto" w:fill="FFFFFF"/>
        </w:rPr>
        <w:t xml:space="preserve"> individual</w:t>
      </w:r>
      <w:r w:rsidR="00AF745E">
        <w:rPr>
          <w:color w:val="000000"/>
          <w:sz w:val="22"/>
          <w:szCs w:val="22"/>
          <w:shd w:val="clear" w:color="auto" w:fill="FFFFFF"/>
        </w:rPr>
        <w:t xml:space="preserve"> or</w:t>
      </w:r>
      <w:r w:rsidR="00C802F4">
        <w:rPr>
          <w:color w:val="000000"/>
          <w:sz w:val="22"/>
          <w:szCs w:val="22"/>
          <w:shd w:val="clear" w:color="auto" w:fill="FFFFFF"/>
        </w:rPr>
        <w:t xml:space="preserve"> </w:t>
      </w:r>
      <w:r w:rsidR="00C802F4" w:rsidRPr="00ED2D12">
        <w:rPr>
          <w:color w:val="000000"/>
          <w:sz w:val="22"/>
          <w:szCs w:val="22"/>
          <w:shd w:val="clear" w:color="auto" w:fill="FFFFFF"/>
        </w:rPr>
        <w:t>anonymous respondents</w:t>
      </w:r>
      <w:r w:rsidR="00C802F4">
        <w:rPr>
          <w:color w:val="000000"/>
          <w:sz w:val="22"/>
          <w:szCs w:val="22"/>
          <w:shd w:val="clear" w:color="auto" w:fill="FFFFFF"/>
        </w:rPr>
        <w:t>)</w:t>
      </w:r>
      <w:r w:rsidRPr="00ED2D12">
        <w:rPr>
          <w:color w:val="000000"/>
          <w:sz w:val="22"/>
          <w:szCs w:val="22"/>
          <w:shd w:val="clear" w:color="auto" w:fill="FFFFFF"/>
        </w:rPr>
        <w:t xml:space="preserve"> </w:t>
      </w:r>
      <w:r w:rsidR="00593EA5">
        <w:rPr>
          <w:color w:val="000000"/>
          <w:sz w:val="22"/>
          <w:szCs w:val="22"/>
          <w:shd w:val="clear" w:color="auto" w:fill="FFFFFF"/>
        </w:rPr>
        <w:t>supporting</w:t>
      </w:r>
      <w:r w:rsidRPr="00ED2D12">
        <w:rPr>
          <w:color w:val="000000"/>
          <w:sz w:val="22"/>
          <w:szCs w:val="22"/>
          <w:shd w:val="clear" w:color="auto" w:fill="FFFFFF"/>
        </w:rPr>
        <w:t xml:space="preserve"> </w:t>
      </w:r>
      <w:r w:rsidR="00C802F4">
        <w:rPr>
          <w:color w:val="000000"/>
          <w:sz w:val="22"/>
          <w:szCs w:val="22"/>
          <w:shd w:val="clear" w:color="auto" w:fill="FFFFFF"/>
        </w:rPr>
        <w:t>the</w:t>
      </w:r>
      <w:r w:rsidRPr="00ED2D12">
        <w:rPr>
          <w:color w:val="000000"/>
          <w:sz w:val="22"/>
          <w:szCs w:val="22"/>
          <w:shd w:val="clear" w:color="auto" w:fill="FFFFFF"/>
        </w:rPr>
        <w:t xml:space="preserve"> need for continued transparency </w:t>
      </w:r>
      <w:r w:rsidR="00593EA5">
        <w:rPr>
          <w:color w:val="000000"/>
          <w:sz w:val="22"/>
          <w:szCs w:val="22"/>
          <w:shd w:val="clear" w:color="auto" w:fill="FFFFFF"/>
        </w:rPr>
        <w:t xml:space="preserve">and reporting </w:t>
      </w:r>
      <w:r w:rsidRPr="00ED2D12">
        <w:rPr>
          <w:color w:val="000000"/>
          <w:sz w:val="22"/>
          <w:szCs w:val="22"/>
          <w:shd w:val="clear" w:color="auto" w:fill="FFFFFF"/>
        </w:rPr>
        <w:t xml:space="preserve">of medicine adverse event data in Australia. There was almost unanimous support for remaking the </w:t>
      </w:r>
      <w:r w:rsidR="00C802F4">
        <w:rPr>
          <w:color w:val="000000"/>
          <w:sz w:val="22"/>
          <w:szCs w:val="22"/>
          <w:shd w:val="clear" w:color="auto" w:fill="FFFFFF"/>
        </w:rPr>
        <w:t>instrument</w:t>
      </w:r>
      <w:r w:rsidRPr="00ED2D12">
        <w:rPr>
          <w:color w:val="000000"/>
          <w:sz w:val="22"/>
          <w:szCs w:val="22"/>
          <w:shd w:val="clear" w:color="auto" w:fill="FFFFFF"/>
        </w:rPr>
        <w:t xml:space="preserve"> without change, noting </w:t>
      </w:r>
      <w:r w:rsidR="00593EA5">
        <w:rPr>
          <w:color w:val="000000"/>
          <w:sz w:val="22"/>
          <w:szCs w:val="22"/>
          <w:shd w:val="clear" w:color="auto" w:fill="FFFFFF"/>
        </w:rPr>
        <w:t>an</w:t>
      </w:r>
      <w:r w:rsidRPr="00ED2D12">
        <w:rPr>
          <w:color w:val="000000"/>
          <w:sz w:val="22"/>
          <w:szCs w:val="22"/>
          <w:shd w:val="clear" w:color="auto" w:fill="FFFFFF"/>
        </w:rPr>
        <w:t xml:space="preserve"> intention to consult further on </w:t>
      </w:r>
      <w:r w:rsidR="00593EA5">
        <w:rPr>
          <w:color w:val="000000"/>
          <w:sz w:val="22"/>
          <w:szCs w:val="22"/>
          <w:shd w:val="clear" w:color="auto" w:fill="FFFFFF"/>
        </w:rPr>
        <w:t xml:space="preserve">a </w:t>
      </w:r>
      <w:r w:rsidRPr="00ED2D12">
        <w:rPr>
          <w:color w:val="000000"/>
          <w:sz w:val="22"/>
          <w:szCs w:val="22"/>
          <w:shd w:val="clear" w:color="auto" w:fill="FFFFFF"/>
        </w:rPr>
        <w:t xml:space="preserve">potential </w:t>
      </w:r>
      <w:r w:rsidR="003C4329">
        <w:rPr>
          <w:color w:val="000000"/>
          <w:sz w:val="22"/>
          <w:szCs w:val="22"/>
          <w:shd w:val="clear" w:color="auto" w:fill="FFFFFF"/>
        </w:rPr>
        <w:t xml:space="preserve">future </w:t>
      </w:r>
      <w:r w:rsidRPr="00ED2D12">
        <w:rPr>
          <w:color w:val="000000"/>
          <w:sz w:val="22"/>
          <w:szCs w:val="22"/>
          <w:shd w:val="clear" w:color="auto" w:fill="FFFFFF"/>
        </w:rPr>
        <w:t xml:space="preserve">expansion of data </w:t>
      </w:r>
      <w:r w:rsidR="003C4329">
        <w:rPr>
          <w:color w:val="000000"/>
          <w:sz w:val="22"/>
          <w:szCs w:val="22"/>
          <w:shd w:val="clear" w:color="auto" w:fill="FFFFFF"/>
        </w:rPr>
        <w:t>published in the DAEN</w:t>
      </w:r>
      <w:r w:rsidRPr="00ED2D12">
        <w:rPr>
          <w:color w:val="000000"/>
          <w:sz w:val="22"/>
          <w:szCs w:val="22"/>
          <w:shd w:val="clear" w:color="auto" w:fill="FFFFFF"/>
        </w:rPr>
        <w:t xml:space="preserve">. The </w:t>
      </w:r>
      <w:r w:rsidR="00AF745E">
        <w:rPr>
          <w:color w:val="000000"/>
          <w:sz w:val="22"/>
          <w:szCs w:val="22"/>
          <w:shd w:val="clear" w:color="auto" w:fill="FFFFFF"/>
        </w:rPr>
        <w:t>one</w:t>
      </w:r>
      <w:r w:rsidRPr="00ED2D12">
        <w:rPr>
          <w:color w:val="000000"/>
          <w:sz w:val="22"/>
          <w:szCs w:val="22"/>
          <w:shd w:val="clear" w:color="auto" w:fill="FFFFFF"/>
        </w:rPr>
        <w:t xml:space="preserve"> respondent who did not support </w:t>
      </w:r>
      <w:r w:rsidR="00C802F4">
        <w:rPr>
          <w:color w:val="000000"/>
          <w:sz w:val="22"/>
          <w:szCs w:val="22"/>
          <w:shd w:val="clear" w:color="auto" w:fill="FFFFFF"/>
        </w:rPr>
        <w:t xml:space="preserve">the </w:t>
      </w:r>
      <w:r w:rsidRPr="00ED2D12">
        <w:rPr>
          <w:color w:val="000000"/>
          <w:sz w:val="22"/>
          <w:szCs w:val="22"/>
          <w:shd w:val="clear" w:color="auto" w:fill="FFFFFF"/>
        </w:rPr>
        <w:t>remak</w:t>
      </w:r>
      <w:r w:rsidR="00C802F4">
        <w:rPr>
          <w:color w:val="000000"/>
          <w:sz w:val="22"/>
          <w:szCs w:val="22"/>
          <w:shd w:val="clear" w:color="auto" w:fill="FFFFFF"/>
        </w:rPr>
        <w:t>ing of the instrument</w:t>
      </w:r>
      <w:r w:rsidRPr="00ED2D12">
        <w:rPr>
          <w:color w:val="000000"/>
          <w:sz w:val="22"/>
          <w:szCs w:val="22"/>
          <w:shd w:val="clear" w:color="auto" w:fill="FFFFFF"/>
        </w:rPr>
        <w:t xml:space="preserve"> was an individual who raised concerns about a perceived culture among health professionals of limited reporting of adverse events.</w:t>
      </w:r>
    </w:p>
    <w:p w14:paraId="6DA72788" w14:textId="40A47861" w:rsidR="00AF745E" w:rsidRDefault="00AF745E" w:rsidP="00ED2D12">
      <w:pPr>
        <w:autoSpaceDE w:val="0"/>
        <w:autoSpaceDN w:val="0"/>
        <w:adjustRightInd w:val="0"/>
        <w:spacing w:before="0" w:after="0"/>
        <w:rPr>
          <w:color w:val="000000"/>
          <w:sz w:val="22"/>
          <w:szCs w:val="22"/>
          <w:shd w:val="clear" w:color="auto" w:fill="FFFFFF"/>
        </w:rPr>
      </w:pPr>
    </w:p>
    <w:p w14:paraId="00AAF157" w14:textId="69F2760D" w:rsidR="00AF745E" w:rsidRPr="003975D6" w:rsidRDefault="00F96AC9" w:rsidP="00ED2D12">
      <w:pPr>
        <w:autoSpaceDE w:val="0"/>
        <w:autoSpaceDN w:val="0"/>
        <w:adjustRightInd w:val="0"/>
        <w:spacing w:before="0" w:after="0"/>
        <w:rPr>
          <w:color w:val="000000"/>
          <w:sz w:val="22"/>
          <w:szCs w:val="22"/>
          <w:shd w:val="clear" w:color="auto" w:fill="FFFFFF"/>
        </w:rPr>
      </w:pPr>
      <w:r>
        <w:rPr>
          <w:color w:val="000000"/>
          <w:sz w:val="22"/>
          <w:szCs w:val="22"/>
          <w:shd w:val="clear" w:color="auto" w:fill="FFFFFF"/>
        </w:rPr>
        <w:t>In August 2022 the TGA undertook a f</w:t>
      </w:r>
      <w:r w:rsidR="00AF745E">
        <w:rPr>
          <w:color w:val="000000"/>
          <w:sz w:val="22"/>
          <w:szCs w:val="22"/>
          <w:shd w:val="clear" w:color="auto" w:fill="FFFFFF"/>
        </w:rPr>
        <w:t>urther</w:t>
      </w:r>
      <w:r>
        <w:rPr>
          <w:color w:val="000000"/>
          <w:sz w:val="22"/>
          <w:szCs w:val="22"/>
          <w:shd w:val="clear" w:color="auto" w:fill="FFFFFF"/>
        </w:rPr>
        <w:t xml:space="preserve"> targeted round of</w:t>
      </w:r>
      <w:r w:rsidR="00AF745E">
        <w:rPr>
          <w:color w:val="000000"/>
          <w:sz w:val="22"/>
          <w:szCs w:val="22"/>
          <w:shd w:val="clear" w:color="auto" w:fill="FFFFFF"/>
        </w:rPr>
        <w:t xml:space="preserve"> consultation</w:t>
      </w:r>
      <w:r>
        <w:rPr>
          <w:color w:val="000000"/>
          <w:sz w:val="22"/>
          <w:szCs w:val="22"/>
          <w:shd w:val="clear" w:color="auto" w:fill="FFFFFF"/>
        </w:rPr>
        <w:t xml:space="preserve">, specifically in relation to the publication of information </w:t>
      </w:r>
      <w:r w:rsidR="003C4329">
        <w:rPr>
          <w:color w:val="000000"/>
          <w:sz w:val="22"/>
          <w:szCs w:val="22"/>
          <w:shd w:val="clear" w:color="auto" w:fill="FFFFFF"/>
        </w:rPr>
        <w:t>about</w:t>
      </w:r>
      <w:r>
        <w:rPr>
          <w:color w:val="000000"/>
          <w:sz w:val="22"/>
          <w:szCs w:val="22"/>
          <w:shd w:val="clear" w:color="auto" w:fill="FFFFFF"/>
        </w:rPr>
        <w:t xml:space="preserve"> adverse events reported in relation to biologicals.</w:t>
      </w:r>
      <w:r w:rsidR="00AF745E">
        <w:rPr>
          <w:color w:val="000000"/>
          <w:sz w:val="22"/>
          <w:szCs w:val="22"/>
          <w:shd w:val="clear" w:color="auto" w:fill="FFFFFF"/>
        </w:rPr>
        <w:t xml:space="preserve"> </w:t>
      </w:r>
      <w:r>
        <w:rPr>
          <w:color w:val="000000"/>
          <w:sz w:val="22"/>
          <w:szCs w:val="22"/>
          <w:shd w:val="clear" w:color="auto" w:fill="FFFFFF"/>
        </w:rPr>
        <w:t>T</w:t>
      </w:r>
      <w:r w:rsidR="00D07DCE">
        <w:rPr>
          <w:color w:val="000000"/>
          <w:sz w:val="22"/>
          <w:szCs w:val="22"/>
          <w:shd w:val="clear" w:color="auto" w:fill="FFFFFF"/>
        </w:rPr>
        <w:t>he TGA invited sponsors of biologicals to comment on this continued publication of adverse event information in the DAEN.</w:t>
      </w:r>
      <w:r>
        <w:rPr>
          <w:color w:val="000000"/>
          <w:sz w:val="22"/>
          <w:szCs w:val="22"/>
          <w:shd w:val="clear" w:color="auto" w:fill="FFFFFF"/>
        </w:rPr>
        <w:t xml:space="preserve"> Six responses were received, with all either supporting the proposal or not objecting to it. Several responses noted that the DAEN was a good resource for the tissue banking sector</w:t>
      </w:r>
      <w:r w:rsidR="00614665">
        <w:rPr>
          <w:color w:val="000000"/>
          <w:sz w:val="22"/>
          <w:szCs w:val="22"/>
          <w:shd w:val="clear" w:color="auto" w:fill="FFFFFF"/>
        </w:rPr>
        <w:t xml:space="preserve">, with access to the data provided by the DAEN being both useful and valuable for health practitioners. </w:t>
      </w:r>
      <w:proofErr w:type="gramStart"/>
      <w:r w:rsidR="00DF1B4E">
        <w:rPr>
          <w:color w:val="000000"/>
          <w:sz w:val="22"/>
          <w:szCs w:val="22"/>
          <w:shd w:val="clear" w:color="auto" w:fill="FFFFFF"/>
        </w:rPr>
        <w:t>In particular, t</w:t>
      </w:r>
      <w:r w:rsidR="00614665">
        <w:rPr>
          <w:color w:val="000000"/>
          <w:sz w:val="22"/>
          <w:szCs w:val="22"/>
          <w:shd w:val="clear" w:color="auto" w:fill="FFFFFF"/>
        </w:rPr>
        <w:t>here</w:t>
      </w:r>
      <w:proofErr w:type="gramEnd"/>
      <w:r w:rsidR="00614665">
        <w:rPr>
          <w:color w:val="000000"/>
          <w:sz w:val="22"/>
          <w:szCs w:val="22"/>
          <w:shd w:val="clear" w:color="auto" w:fill="FFFFFF"/>
        </w:rPr>
        <w:t xml:space="preserve"> was strong support for the transparency of this important safety data.</w:t>
      </w:r>
      <w:r w:rsidR="00D07DCE">
        <w:rPr>
          <w:color w:val="000000"/>
          <w:sz w:val="22"/>
          <w:szCs w:val="22"/>
          <w:shd w:val="clear" w:color="auto" w:fill="FFFFFF"/>
        </w:rPr>
        <w:t xml:space="preserve"> </w:t>
      </w:r>
    </w:p>
    <w:p w14:paraId="13EE87E4" w14:textId="77777777" w:rsidR="00C802F4" w:rsidRPr="003975D6" w:rsidRDefault="00C802F4" w:rsidP="00ED2D12">
      <w:pPr>
        <w:autoSpaceDE w:val="0"/>
        <w:autoSpaceDN w:val="0"/>
        <w:adjustRightInd w:val="0"/>
        <w:spacing w:before="0" w:after="0"/>
        <w:rPr>
          <w:color w:val="000000"/>
          <w:sz w:val="22"/>
          <w:szCs w:val="22"/>
          <w:shd w:val="clear" w:color="auto" w:fill="FFFFFF"/>
        </w:rPr>
      </w:pPr>
    </w:p>
    <w:p w14:paraId="7B94C9B6" w14:textId="2F3ECC9C" w:rsidR="003C5297" w:rsidRPr="004402A7" w:rsidRDefault="004402A7" w:rsidP="003C5297">
      <w:pPr>
        <w:autoSpaceDE w:val="0"/>
        <w:autoSpaceDN w:val="0"/>
        <w:adjustRightInd w:val="0"/>
        <w:spacing w:before="0" w:after="0"/>
        <w:rPr>
          <w:rFonts w:eastAsiaTheme="minorHAnsi"/>
          <w:color w:val="000000"/>
          <w:sz w:val="22"/>
          <w:szCs w:val="22"/>
          <w:lang w:val="en-AU"/>
        </w:rPr>
      </w:pPr>
      <w:r w:rsidRPr="003029F1">
        <w:rPr>
          <w:rFonts w:eastAsiaTheme="minorHAnsi"/>
          <w:color w:val="000000"/>
          <w:sz w:val="22"/>
          <w:szCs w:val="22"/>
          <w:lang w:val="en-AU"/>
        </w:rPr>
        <w:t>OBPR advised that a Regulat</w:t>
      </w:r>
      <w:r w:rsidR="00AF745E" w:rsidRPr="003029F1">
        <w:rPr>
          <w:rFonts w:eastAsiaTheme="minorHAnsi"/>
          <w:color w:val="000000"/>
          <w:sz w:val="22"/>
          <w:szCs w:val="22"/>
          <w:lang w:val="en-AU"/>
        </w:rPr>
        <w:t>ion</w:t>
      </w:r>
      <w:r w:rsidRPr="003029F1">
        <w:rPr>
          <w:rFonts w:eastAsiaTheme="minorHAnsi"/>
          <w:color w:val="000000"/>
          <w:sz w:val="22"/>
          <w:szCs w:val="22"/>
          <w:lang w:val="en-AU"/>
        </w:rPr>
        <w:t xml:space="preserve"> Impact Statement is not required </w:t>
      </w:r>
      <w:r w:rsidR="00AF745E" w:rsidRPr="003029F1">
        <w:rPr>
          <w:rFonts w:eastAsiaTheme="minorHAnsi"/>
          <w:color w:val="000000"/>
          <w:sz w:val="22"/>
          <w:szCs w:val="22"/>
          <w:lang w:val="en-AU"/>
        </w:rPr>
        <w:t>in relation</w:t>
      </w:r>
      <w:r w:rsidRPr="003029F1">
        <w:rPr>
          <w:rFonts w:eastAsiaTheme="minorHAnsi"/>
          <w:color w:val="000000"/>
          <w:sz w:val="22"/>
          <w:szCs w:val="22"/>
          <w:lang w:val="en-AU"/>
        </w:rPr>
        <w:t xml:space="preserve"> to the making of the Specification </w:t>
      </w:r>
      <w:r w:rsidR="00C802F4" w:rsidRPr="003029F1">
        <w:rPr>
          <w:rFonts w:eastAsiaTheme="minorHAnsi"/>
          <w:color w:val="000000"/>
          <w:sz w:val="22"/>
          <w:szCs w:val="22"/>
          <w:lang w:val="en-AU"/>
        </w:rPr>
        <w:t>(OBPR22-01957)</w:t>
      </w:r>
      <w:r w:rsidRPr="003029F1">
        <w:rPr>
          <w:rFonts w:eastAsiaTheme="minorHAnsi"/>
          <w:color w:val="000000"/>
          <w:sz w:val="22"/>
          <w:szCs w:val="22"/>
          <w:lang w:val="en-AU"/>
        </w:rPr>
        <w:t>.</w:t>
      </w:r>
    </w:p>
    <w:p w14:paraId="7541C8DE" w14:textId="77777777" w:rsidR="004402A7" w:rsidRPr="00B2546F" w:rsidRDefault="004402A7" w:rsidP="003C5297">
      <w:pPr>
        <w:autoSpaceDE w:val="0"/>
        <w:autoSpaceDN w:val="0"/>
        <w:adjustRightInd w:val="0"/>
        <w:spacing w:before="0" w:after="0"/>
        <w:rPr>
          <w:rFonts w:eastAsiaTheme="minorHAnsi"/>
          <w:strike/>
          <w:color w:val="000000"/>
          <w:sz w:val="22"/>
          <w:szCs w:val="22"/>
          <w:lang w:val="en-AU"/>
        </w:rPr>
      </w:pPr>
    </w:p>
    <w:p w14:paraId="211A5291" w14:textId="4BC34E07" w:rsidR="00970CBF" w:rsidRPr="00970CBF" w:rsidRDefault="00970CBF" w:rsidP="00F20666">
      <w:pPr>
        <w:keepNext/>
        <w:autoSpaceDE w:val="0"/>
        <w:autoSpaceDN w:val="0"/>
        <w:adjustRightInd w:val="0"/>
        <w:spacing w:before="0" w:after="0"/>
        <w:rPr>
          <w:b/>
          <w:sz w:val="22"/>
          <w:szCs w:val="22"/>
          <w:lang w:eastAsia="en-AU"/>
        </w:rPr>
      </w:pPr>
      <w:r w:rsidRPr="00970CBF">
        <w:rPr>
          <w:b/>
          <w:sz w:val="22"/>
          <w:szCs w:val="22"/>
          <w:lang w:eastAsia="en-AU"/>
        </w:rPr>
        <w:t>Incorporation by reference</w:t>
      </w:r>
    </w:p>
    <w:p w14:paraId="4C7F172C" w14:textId="77777777" w:rsidR="00970CBF" w:rsidRPr="00970CBF" w:rsidRDefault="00970CBF" w:rsidP="00F20666">
      <w:pPr>
        <w:keepNext/>
        <w:autoSpaceDE w:val="0"/>
        <w:autoSpaceDN w:val="0"/>
        <w:adjustRightInd w:val="0"/>
        <w:spacing w:before="0" w:after="0"/>
        <w:rPr>
          <w:sz w:val="22"/>
          <w:szCs w:val="22"/>
          <w:lang w:eastAsia="en-AU"/>
        </w:rPr>
      </w:pPr>
    </w:p>
    <w:p w14:paraId="3A1BC8B8" w14:textId="20F7ED58" w:rsidR="008C7676" w:rsidRDefault="00D07DCE" w:rsidP="008C7676">
      <w:pPr>
        <w:autoSpaceDE w:val="0"/>
        <w:autoSpaceDN w:val="0"/>
        <w:adjustRightInd w:val="0"/>
        <w:spacing w:before="0" w:after="0"/>
        <w:rPr>
          <w:sz w:val="22"/>
          <w:szCs w:val="22"/>
          <w:lang w:eastAsia="en-AU"/>
        </w:rPr>
      </w:pPr>
      <w:r>
        <w:rPr>
          <w:sz w:val="22"/>
          <w:szCs w:val="22"/>
          <w:lang w:eastAsia="en-AU"/>
        </w:rPr>
        <w:t xml:space="preserve">The Specification incorporates by reference </w:t>
      </w:r>
      <w:r w:rsidR="00F20666">
        <w:rPr>
          <w:sz w:val="22"/>
          <w:szCs w:val="22"/>
          <w:lang w:eastAsia="en-AU"/>
        </w:rPr>
        <w:t xml:space="preserve">the </w:t>
      </w:r>
      <w:r w:rsidR="00F20666" w:rsidRPr="00DE0FF9">
        <w:rPr>
          <w:i/>
          <w:iCs/>
          <w:sz w:val="22"/>
          <w:szCs w:val="22"/>
          <w:lang w:eastAsia="en-AU"/>
        </w:rPr>
        <w:t>Medical Dictionary for Regulatory Activities</w:t>
      </w:r>
      <w:r w:rsidR="00DE0FF9">
        <w:rPr>
          <w:sz w:val="22"/>
          <w:szCs w:val="22"/>
          <w:lang w:eastAsia="en-AU"/>
        </w:rPr>
        <w:t xml:space="preserve"> (“</w:t>
      </w:r>
      <w:r w:rsidR="00E76802">
        <w:rPr>
          <w:sz w:val="22"/>
          <w:szCs w:val="22"/>
          <w:lang w:eastAsia="en-AU"/>
        </w:rPr>
        <w:t xml:space="preserve">the </w:t>
      </w:r>
      <w:r w:rsidR="00DE0FF9">
        <w:rPr>
          <w:sz w:val="22"/>
          <w:szCs w:val="22"/>
          <w:lang w:eastAsia="en-AU"/>
        </w:rPr>
        <w:t>M</w:t>
      </w:r>
      <w:r w:rsidR="00E76802">
        <w:rPr>
          <w:sz w:val="22"/>
          <w:szCs w:val="22"/>
          <w:lang w:eastAsia="en-AU"/>
        </w:rPr>
        <w:t>ed</w:t>
      </w:r>
      <w:r w:rsidR="00DE0FF9">
        <w:rPr>
          <w:sz w:val="22"/>
          <w:szCs w:val="22"/>
          <w:lang w:eastAsia="en-AU"/>
        </w:rPr>
        <w:t>DRA”)</w:t>
      </w:r>
      <w:r w:rsidR="00F20666">
        <w:rPr>
          <w:sz w:val="22"/>
          <w:szCs w:val="22"/>
          <w:lang w:eastAsia="en-AU"/>
        </w:rPr>
        <w:t>, which is a</w:t>
      </w:r>
      <w:r w:rsidR="008C7676">
        <w:rPr>
          <w:sz w:val="22"/>
          <w:szCs w:val="22"/>
          <w:lang w:eastAsia="en-AU"/>
        </w:rPr>
        <w:t xml:space="preserve">n internationally </w:t>
      </w:r>
      <w:proofErr w:type="spellStart"/>
      <w:r w:rsidR="008C7676">
        <w:rPr>
          <w:sz w:val="22"/>
          <w:szCs w:val="22"/>
          <w:lang w:eastAsia="en-AU"/>
        </w:rPr>
        <w:t>recognised</w:t>
      </w:r>
      <w:proofErr w:type="spellEnd"/>
      <w:r w:rsidR="00F20666">
        <w:rPr>
          <w:sz w:val="22"/>
          <w:szCs w:val="22"/>
          <w:lang w:eastAsia="en-AU"/>
        </w:rPr>
        <w:t xml:space="preserve"> </w:t>
      </w:r>
      <w:proofErr w:type="spellStart"/>
      <w:r w:rsidR="00F20666">
        <w:rPr>
          <w:sz w:val="22"/>
          <w:szCs w:val="22"/>
          <w:lang w:eastAsia="en-AU"/>
        </w:rPr>
        <w:t>standard</w:t>
      </w:r>
      <w:r w:rsidR="00DE0FF9">
        <w:rPr>
          <w:sz w:val="22"/>
          <w:szCs w:val="22"/>
          <w:lang w:eastAsia="en-AU"/>
        </w:rPr>
        <w:t>i</w:t>
      </w:r>
      <w:r w:rsidR="00F20666">
        <w:rPr>
          <w:sz w:val="22"/>
          <w:szCs w:val="22"/>
          <w:lang w:eastAsia="en-AU"/>
        </w:rPr>
        <w:t>sed</w:t>
      </w:r>
      <w:proofErr w:type="spellEnd"/>
      <w:r w:rsidR="00F20666">
        <w:rPr>
          <w:sz w:val="22"/>
          <w:szCs w:val="22"/>
          <w:lang w:eastAsia="en-AU"/>
        </w:rPr>
        <w:t xml:space="preserve"> medical terminology developed by the Internation</w:t>
      </w:r>
      <w:r w:rsidR="00DE0FF9">
        <w:rPr>
          <w:sz w:val="22"/>
          <w:szCs w:val="22"/>
          <w:lang w:eastAsia="en-AU"/>
        </w:rPr>
        <w:t>al</w:t>
      </w:r>
      <w:r w:rsidR="00F20666">
        <w:rPr>
          <w:sz w:val="22"/>
          <w:szCs w:val="22"/>
          <w:lang w:eastAsia="en-AU"/>
        </w:rPr>
        <w:t xml:space="preserve"> Council for </w:t>
      </w:r>
      <w:proofErr w:type="spellStart"/>
      <w:r w:rsidR="00F20666">
        <w:rPr>
          <w:sz w:val="22"/>
          <w:szCs w:val="22"/>
          <w:lang w:eastAsia="en-AU"/>
        </w:rPr>
        <w:t>Harmonisation</w:t>
      </w:r>
      <w:proofErr w:type="spellEnd"/>
      <w:r w:rsidR="00F20666">
        <w:rPr>
          <w:sz w:val="22"/>
          <w:szCs w:val="22"/>
          <w:lang w:eastAsia="en-AU"/>
        </w:rPr>
        <w:t xml:space="preserve"> </w:t>
      </w:r>
      <w:r w:rsidR="00DE0FF9">
        <w:rPr>
          <w:sz w:val="22"/>
          <w:szCs w:val="22"/>
          <w:lang w:eastAsia="en-AU"/>
        </w:rPr>
        <w:t>o</w:t>
      </w:r>
      <w:r w:rsidR="00DE0FF9" w:rsidRPr="00DE0FF9">
        <w:rPr>
          <w:sz w:val="22"/>
          <w:szCs w:val="22"/>
          <w:lang w:eastAsia="en-AU"/>
        </w:rPr>
        <w:t>f Technical Requirements for Pharmaceuticals for Human Use (</w:t>
      </w:r>
      <w:r w:rsidR="00CE6E28">
        <w:rPr>
          <w:sz w:val="22"/>
          <w:szCs w:val="22"/>
          <w:lang w:eastAsia="en-AU"/>
        </w:rPr>
        <w:t>“</w:t>
      </w:r>
      <w:r w:rsidR="00DE0FF9" w:rsidRPr="00DE0FF9">
        <w:rPr>
          <w:sz w:val="22"/>
          <w:szCs w:val="22"/>
          <w:lang w:eastAsia="en-AU"/>
        </w:rPr>
        <w:t>ICH</w:t>
      </w:r>
      <w:r w:rsidR="00CE6E28">
        <w:rPr>
          <w:sz w:val="22"/>
          <w:szCs w:val="22"/>
          <w:lang w:eastAsia="en-AU"/>
        </w:rPr>
        <w:t>”</w:t>
      </w:r>
      <w:r w:rsidR="00DE0FF9" w:rsidRPr="00DE0FF9">
        <w:rPr>
          <w:sz w:val="22"/>
          <w:szCs w:val="22"/>
          <w:lang w:eastAsia="en-AU"/>
        </w:rPr>
        <w:t>)</w:t>
      </w:r>
      <w:r w:rsidR="00E772BB">
        <w:rPr>
          <w:sz w:val="22"/>
          <w:szCs w:val="22"/>
          <w:lang w:eastAsia="en-AU"/>
        </w:rPr>
        <w:t>,</w:t>
      </w:r>
      <w:r w:rsidR="008C7676">
        <w:rPr>
          <w:sz w:val="22"/>
          <w:szCs w:val="22"/>
          <w:lang w:eastAsia="en-AU"/>
        </w:rPr>
        <w:t xml:space="preserve"> and which relates to</w:t>
      </w:r>
      <w:r w:rsidR="00CE6E28">
        <w:rPr>
          <w:sz w:val="22"/>
          <w:szCs w:val="22"/>
          <w:lang w:eastAsia="en-AU"/>
        </w:rPr>
        <w:t xml:space="preserve"> such matters as </w:t>
      </w:r>
      <w:r w:rsidR="008C7676" w:rsidRPr="00D07DCE">
        <w:rPr>
          <w:sz w:val="22"/>
          <w:szCs w:val="22"/>
          <w:lang w:eastAsia="en-AU"/>
        </w:rPr>
        <w:t>medical conditions, medicines</w:t>
      </w:r>
      <w:r w:rsidR="00CE6E28">
        <w:rPr>
          <w:sz w:val="22"/>
          <w:szCs w:val="22"/>
          <w:lang w:eastAsia="en-AU"/>
        </w:rPr>
        <w:t xml:space="preserve">, </w:t>
      </w:r>
      <w:proofErr w:type="gramStart"/>
      <w:r w:rsidR="00CE6E28">
        <w:rPr>
          <w:sz w:val="22"/>
          <w:szCs w:val="22"/>
          <w:lang w:eastAsia="en-AU"/>
        </w:rPr>
        <w:t>biologicals</w:t>
      </w:r>
      <w:proofErr w:type="gramEnd"/>
      <w:r w:rsidR="008C7676" w:rsidRPr="00D07DCE">
        <w:rPr>
          <w:sz w:val="22"/>
          <w:szCs w:val="22"/>
          <w:lang w:eastAsia="en-AU"/>
        </w:rPr>
        <w:t xml:space="preserve"> and medical devices</w:t>
      </w:r>
      <w:r w:rsidR="008C7676">
        <w:rPr>
          <w:sz w:val="22"/>
          <w:szCs w:val="22"/>
          <w:lang w:eastAsia="en-AU"/>
        </w:rPr>
        <w:t>.</w:t>
      </w:r>
      <w:r w:rsidR="008C7676" w:rsidRPr="008C7676">
        <w:rPr>
          <w:sz w:val="22"/>
          <w:szCs w:val="22"/>
          <w:lang w:eastAsia="en-AU"/>
        </w:rPr>
        <w:t xml:space="preserve"> </w:t>
      </w:r>
      <w:r w:rsidR="008C7676">
        <w:rPr>
          <w:sz w:val="22"/>
          <w:szCs w:val="22"/>
          <w:lang w:eastAsia="en-AU"/>
        </w:rPr>
        <w:t>The MedDRA is</w:t>
      </w:r>
      <w:r w:rsidR="008C7676" w:rsidRPr="00D07DCE">
        <w:rPr>
          <w:sz w:val="22"/>
          <w:szCs w:val="22"/>
          <w:lang w:eastAsia="en-AU"/>
        </w:rPr>
        <w:t xml:space="preserve"> maintained and distributed by the MedDRA Maintenance and Support Services Organi</w:t>
      </w:r>
      <w:r w:rsidR="00B22E58">
        <w:rPr>
          <w:sz w:val="22"/>
          <w:szCs w:val="22"/>
          <w:lang w:eastAsia="en-AU"/>
        </w:rPr>
        <w:t>z</w:t>
      </w:r>
      <w:r w:rsidR="008C7676" w:rsidRPr="00D07DCE">
        <w:rPr>
          <w:sz w:val="22"/>
          <w:szCs w:val="22"/>
          <w:lang w:eastAsia="en-AU"/>
        </w:rPr>
        <w:t>ation (</w:t>
      </w:r>
      <w:r w:rsidR="00B6029E">
        <w:rPr>
          <w:sz w:val="22"/>
          <w:szCs w:val="22"/>
          <w:lang w:eastAsia="en-AU"/>
        </w:rPr>
        <w:t>“</w:t>
      </w:r>
      <w:r w:rsidR="008C7676" w:rsidRPr="00D07DCE">
        <w:rPr>
          <w:sz w:val="22"/>
          <w:szCs w:val="22"/>
          <w:lang w:eastAsia="en-AU"/>
        </w:rPr>
        <w:t>MSSO</w:t>
      </w:r>
      <w:r w:rsidR="00B6029E">
        <w:rPr>
          <w:sz w:val="22"/>
          <w:szCs w:val="22"/>
          <w:lang w:eastAsia="en-AU"/>
        </w:rPr>
        <w:t>”</w:t>
      </w:r>
      <w:r w:rsidR="008C7676" w:rsidRPr="00D07DCE">
        <w:rPr>
          <w:sz w:val="22"/>
          <w:szCs w:val="22"/>
          <w:lang w:eastAsia="en-AU"/>
        </w:rPr>
        <w:t>).</w:t>
      </w:r>
    </w:p>
    <w:p w14:paraId="6BFAB855" w14:textId="56F0192D" w:rsidR="008C7676" w:rsidRDefault="008C7676" w:rsidP="00970CBF">
      <w:pPr>
        <w:autoSpaceDE w:val="0"/>
        <w:autoSpaceDN w:val="0"/>
        <w:adjustRightInd w:val="0"/>
        <w:spacing w:before="0" w:after="0"/>
        <w:rPr>
          <w:sz w:val="22"/>
          <w:szCs w:val="22"/>
          <w:lang w:eastAsia="en-AU"/>
        </w:rPr>
      </w:pPr>
    </w:p>
    <w:p w14:paraId="60D4F0E6" w14:textId="39370FF9" w:rsidR="00E772BB" w:rsidRDefault="00E76802" w:rsidP="00E772BB">
      <w:pPr>
        <w:autoSpaceDE w:val="0"/>
        <w:autoSpaceDN w:val="0"/>
        <w:adjustRightInd w:val="0"/>
        <w:spacing w:before="0" w:after="0"/>
        <w:rPr>
          <w:sz w:val="22"/>
          <w:szCs w:val="22"/>
          <w:lang w:eastAsia="en-AU"/>
        </w:rPr>
      </w:pPr>
      <w:r>
        <w:rPr>
          <w:sz w:val="22"/>
          <w:szCs w:val="22"/>
          <w:lang w:eastAsia="en-AU"/>
        </w:rPr>
        <w:t>The MedDRA</w:t>
      </w:r>
      <w:r w:rsidR="00DE0FF9">
        <w:rPr>
          <w:sz w:val="22"/>
          <w:szCs w:val="22"/>
          <w:lang w:eastAsia="en-AU"/>
        </w:rPr>
        <w:t xml:space="preserve"> is used by regulators, industry, </w:t>
      </w:r>
      <w:proofErr w:type="gramStart"/>
      <w:r w:rsidR="00DE0FF9">
        <w:rPr>
          <w:sz w:val="22"/>
          <w:szCs w:val="22"/>
          <w:lang w:eastAsia="en-AU"/>
        </w:rPr>
        <w:t>academics</w:t>
      </w:r>
      <w:proofErr w:type="gramEnd"/>
      <w:r w:rsidR="00DE0FF9">
        <w:rPr>
          <w:sz w:val="22"/>
          <w:szCs w:val="22"/>
          <w:lang w:eastAsia="en-AU"/>
        </w:rPr>
        <w:t xml:space="preserve"> and health professionals</w:t>
      </w:r>
      <w:r>
        <w:rPr>
          <w:sz w:val="22"/>
          <w:szCs w:val="22"/>
          <w:lang w:eastAsia="en-AU"/>
        </w:rPr>
        <w:t>, and facilitates the sharing of information internationally.</w:t>
      </w:r>
      <w:r w:rsidR="00E772BB">
        <w:rPr>
          <w:sz w:val="22"/>
          <w:szCs w:val="22"/>
          <w:lang w:eastAsia="en-AU"/>
        </w:rPr>
        <w:t xml:space="preserve"> The MedDRA is a subscription-based product</w:t>
      </w:r>
      <w:r w:rsidR="00CE6E28">
        <w:rPr>
          <w:sz w:val="22"/>
          <w:szCs w:val="22"/>
          <w:lang w:eastAsia="en-AU"/>
        </w:rPr>
        <w:t xml:space="preserve"> and may be accessed from the </w:t>
      </w:r>
      <w:r w:rsidR="00CE6E28" w:rsidRPr="00CE6E28">
        <w:rPr>
          <w:sz w:val="22"/>
          <w:szCs w:val="22"/>
          <w:lang w:eastAsia="en-AU"/>
        </w:rPr>
        <w:t xml:space="preserve">ICH MedDRA website </w:t>
      </w:r>
      <w:r w:rsidR="00CE6E28">
        <w:rPr>
          <w:sz w:val="22"/>
          <w:szCs w:val="22"/>
          <w:lang w:eastAsia="en-AU"/>
        </w:rPr>
        <w:t xml:space="preserve">at </w:t>
      </w:r>
      <w:r w:rsidR="00CE6E28" w:rsidRPr="00E772BB">
        <w:rPr>
          <w:sz w:val="22"/>
          <w:szCs w:val="22"/>
          <w:lang w:eastAsia="en-AU"/>
        </w:rPr>
        <w:t>https://www.meddra.org</w:t>
      </w:r>
      <w:r w:rsidR="00E772BB">
        <w:rPr>
          <w:sz w:val="22"/>
          <w:szCs w:val="22"/>
          <w:lang w:eastAsia="en-AU"/>
        </w:rPr>
        <w:t xml:space="preserve">. </w:t>
      </w:r>
      <w:r w:rsidR="00000DAE">
        <w:rPr>
          <w:sz w:val="22"/>
          <w:szCs w:val="22"/>
          <w:lang w:eastAsia="en-AU"/>
        </w:rPr>
        <w:t>While unfortunately the MedDRA is not available for free</w:t>
      </w:r>
      <w:r w:rsidR="00E772BB" w:rsidRPr="00E76802">
        <w:rPr>
          <w:sz w:val="22"/>
          <w:szCs w:val="22"/>
          <w:lang w:eastAsia="en-AU"/>
        </w:rPr>
        <w:t>,</w:t>
      </w:r>
      <w:r w:rsidR="00E772BB" w:rsidRPr="00E772BB">
        <w:rPr>
          <w:sz w:val="22"/>
          <w:szCs w:val="22"/>
          <w:lang w:eastAsia="en-AU"/>
        </w:rPr>
        <w:t xml:space="preserve"> </w:t>
      </w:r>
      <w:r w:rsidR="00000DAE">
        <w:rPr>
          <w:sz w:val="22"/>
          <w:szCs w:val="22"/>
          <w:lang w:eastAsia="en-AU"/>
        </w:rPr>
        <w:t>it is anticipated that sponsors and manufacturers of medicines and biologicals</w:t>
      </w:r>
      <w:r w:rsidR="00054466">
        <w:rPr>
          <w:sz w:val="22"/>
          <w:szCs w:val="22"/>
          <w:lang w:eastAsia="en-AU"/>
        </w:rPr>
        <w:t xml:space="preserve"> would have access to it, through an annual paid subscription for commercial users. Health practitioners</w:t>
      </w:r>
      <w:r w:rsidR="00000DAE">
        <w:rPr>
          <w:sz w:val="22"/>
          <w:szCs w:val="22"/>
          <w:lang w:eastAsia="en-AU"/>
        </w:rPr>
        <w:t xml:space="preserve"> </w:t>
      </w:r>
      <w:r w:rsidR="00E772BB">
        <w:rPr>
          <w:sz w:val="22"/>
          <w:szCs w:val="22"/>
          <w:lang w:eastAsia="en-AU"/>
        </w:rPr>
        <w:t>and a</w:t>
      </w:r>
      <w:r w:rsidR="00E772BB" w:rsidRPr="00E76802">
        <w:rPr>
          <w:sz w:val="22"/>
          <w:szCs w:val="22"/>
          <w:lang w:eastAsia="en-AU"/>
        </w:rPr>
        <w:t xml:space="preserve">cademics </w:t>
      </w:r>
      <w:r w:rsidR="00054466">
        <w:rPr>
          <w:sz w:val="22"/>
          <w:szCs w:val="22"/>
          <w:lang w:eastAsia="en-AU"/>
        </w:rPr>
        <w:t xml:space="preserve">are </w:t>
      </w:r>
      <w:r w:rsidR="00E772BB" w:rsidRPr="00E76802">
        <w:rPr>
          <w:sz w:val="22"/>
          <w:szCs w:val="22"/>
          <w:lang w:eastAsia="en-AU"/>
        </w:rPr>
        <w:t xml:space="preserve">also </w:t>
      </w:r>
      <w:r w:rsidR="00054466">
        <w:rPr>
          <w:sz w:val="22"/>
          <w:szCs w:val="22"/>
          <w:lang w:eastAsia="en-AU"/>
        </w:rPr>
        <w:t xml:space="preserve">able to </w:t>
      </w:r>
      <w:r w:rsidR="00E772BB" w:rsidRPr="00E76802">
        <w:rPr>
          <w:sz w:val="22"/>
          <w:szCs w:val="22"/>
          <w:lang w:eastAsia="en-AU"/>
        </w:rPr>
        <w:t>access</w:t>
      </w:r>
      <w:r w:rsidR="00356721">
        <w:rPr>
          <w:sz w:val="22"/>
          <w:szCs w:val="22"/>
          <w:lang w:eastAsia="en-AU"/>
        </w:rPr>
        <w:t xml:space="preserve"> the</w:t>
      </w:r>
      <w:r w:rsidR="00E772BB" w:rsidRPr="00E76802">
        <w:rPr>
          <w:sz w:val="22"/>
          <w:szCs w:val="22"/>
          <w:lang w:eastAsia="en-AU"/>
        </w:rPr>
        <w:t xml:space="preserve"> MedDRA </w:t>
      </w:r>
      <w:r w:rsidR="00356721" w:rsidRPr="00E76802">
        <w:rPr>
          <w:sz w:val="22"/>
          <w:szCs w:val="22"/>
          <w:lang w:eastAsia="en-AU"/>
        </w:rPr>
        <w:t xml:space="preserve">at no cost </w:t>
      </w:r>
      <w:r w:rsidR="00E772BB" w:rsidRPr="00E76802">
        <w:rPr>
          <w:sz w:val="22"/>
          <w:szCs w:val="22"/>
          <w:lang w:eastAsia="en-AU"/>
        </w:rPr>
        <w:t xml:space="preserve">from </w:t>
      </w:r>
      <w:r w:rsidR="00E772BB">
        <w:rPr>
          <w:sz w:val="22"/>
          <w:szCs w:val="22"/>
          <w:lang w:eastAsia="en-AU"/>
        </w:rPr>
        <w:t xml:space="preserve">the </w:t>
      </w:r>
      <w:r w:rsidR="00E772BB" w:rsidRPr="00E76802">
        <w:rPr>
          <w:sz w:val="22"/>
          <w:szCs w:val="22"/>
          <w:lang w:eastAsia="en-AU"/>
        </w:rPr>
        <w:t>MSSO</w:t>
      </w:r>
      <w:r w:rsidR="00E772BB">
        <w:rPr>
          <w:sz w:val="22"/>
          <w:szCs w:val="22"/>
          <w:lang w:eastAsia="en-AU"/>
        </w:rPr>
        <w:t xml:space="preserve">. </w:t>
      </w:r>
    </w:p>
    <w:p w14:paraId="3F9AE5C9" w14:textId="22EF7B0F" w:rsidR="00000DAE" w:rsidRDefault="00000DAE" w:rsidP="00E772BB">
      <w:pPr>
        <w:autoSpaceDE w:val="0"/>
        <w:autoSpaceDN w:val="0"/>
        <w:adjustRightInd w:val="0"/>
        <w:spacing w:before="0" w:after="0"/>
        <w:rPr>
          <w:sz w:val="22"/>
          <w:szCs w:val="22"/>
          <w:lang w:eastAsia="en-AU"/>
        </w:rPr>
      </w:pPr>
    </w:p>
    <w:p w14:paraId="7E1E130F" w14:textId="1E3F7942" w:rsidR="00000DAE" w:rsidRDefault="00054466" w:rsidP="00E772BB">
      <w:pPr>
        <w:autoSpaceDE w:val="0"/>
        <w:autoSpaceDN w:val="0"/>
        <w:adjustRightInd w:val="0"/>
        <w:spacing w:before="0" w:after="0"/>
        <w:rPr>
          <w:sz w:val="22"/>
          <w:szCs w:val="22"/>
          <w:lang w:eastAsia="en-AU"/>
        </w:rPr>
      </w:pPr>
      <w:r>
        <w:rPr>
          <w:sz w:val="22"/>
          <w:szCs w:val="22"/>
          <w:lang w:eastAsia="en-AU"/>
        </w:rPr>
        <w:t>By prior written arrangement with the TGA, members of the public may also request to view MedDRA without charge at the TGA office in Fairbairn, ACT.</w:t>
      </w:r>
    </w:p>
    <w:p w14:paraId="077BE800" w14:textId="377FF914" w:rsidR="0008735D" w:rsidRDefault="0008735D" w:rsidP="00E772BB">
      <w:pPr>
        <w:autoSpaceDE w:val="0"/>
        <w:autoSpaceDN w:val="0"/>
        <w:adjustRightInd w:val="0"/>
        <w:spacing w:before="0" w:after="0"/>
        <w:rPr>
          <w:sz w:val="22"/>
          <w:szCs w:val="22"/>
          <w:lang w:eastAsia="en-AU"/>
        </w:rPr>
      </w:pPr>
    </w:p>
    <w:p w14:paraId="43834D21" w14:textId="4B454506" w:rsidR="0008735D" w:rsidRDefault="0008735D" w:rsidP="00E772BB">
      <w:pPr>
        <w:autoSpaceDE w:val="0"/>
        <w:autoSpaceDN w:val="0"/>
        <w:adjustRightInd w:val="0"/>
        <w:spacing w:before="0" w:after="0"/>
        <w:rPr>
          <w:sz w:val="22"/>
          <w:szCs w:val="22"/>
          <w:lang w:eastAsia="en-AU"/>
        </w:rPr>
      </w:pPr>
      <w:r>
        <w:rPr>
          <w:sz w:val="22"/>
          <w:szCs w:val="22"/>
          <w:lang w:eastAsia="en-AU"/>
        </w:rPr>
        <w:t xml:space="preserve">In accordance </w:t>
      </w:r>
      <w:r w:rsidR="00525E58">
        <w:rPr>
          <w:sz w:val="22"/>
          <w:szCs w:val="22"/>
          <w:lang w:eastAsia="en-AU"/>
        </w:rPr>
        <w:t xml:space="preserve">with </w:t>
      </w:r>
      <w:r w:rsidRPr="0008735D">
        <w:rPr>
          <w:sz w:val="22"/>
          <w:szCs w:val="22"/>
          <w:lang w:eastAsia="en-AU"/>
        </w:rPr>
        <w:t xml:space="preserve">section 14 of the </w:t>
      </w:r>
      <w:r w:rsidRPr="00525E58">
        <w:rPr>
          <w:i/>
          <w:iCs/>
          <w:sz w:val="22"/>
          <w:szCs w:val="22"/>
          <w:lang w:eastAsia="en-AU"/>
        </w:rPr>
        <w:t>Legislation Act 2003</w:t>
      </w:r>
      <w:r w:rsidRPr="0008735D">
        <w:rPr>
          <w:sz w:val="22"/>
          <w:szCs w:val="22"/>
          <w:lang w:eastAsia="en-AU"/>
        </w:rPr>
        <w:t xml:space="preserve"> (“Legislation Act”), the </w:t>
      </w:r>
      <w:r w:rsidR="00294469">
        <w:rPr>
          <w:sz w:val="22"/>
          <w:szCs w:val="22"/>
          <w:lang w:eastAsia="en-AU"/>
        </w:rPr>
        <w:t>MedDRA</w:t>
      </w:r>
      <w:r w:rsidRPr="0008735D">
        <w:rPr>
          <w:sz w:val="22"/>
          <w:szCs w:val="22"/>
          <w:lang w:eastAsia="en-AU"/>
        </w:rPr>
        <w:t xml:space="preserve"> is incorporated as in force or existing immediately before the commencement of the Specification.</w:t>
      </w:r>
    </w:p>
    <w:p w14:paraId="4AC01A6B" w14:textId="6F47BEC2" w:rsidR="00395B31" w:rsidRDefault="00395B31" w:rsidP="003C5297">
      <w:pPr>
        <w:autoSpaceDE w:val="0"/>
        <w:autoSpaceDN w:val="0"/>
        <w:adjustRightInd w:val="0"/>
        <w:spacing w:before="0" w:after="0"/>
        <w:rPr>
          <w:sz w:val="22"/>
          <w:szCs w:val="22"/>
          <w:lang w:eastAsia="en-AU"/>
        </w:rPr>
      </w:pPr>
    </w:p>
    <w:p w14:paraId="478F5A67" w14:textId="55A23460" w:rsidR="003C5297" w:rsidRPr="00B2546F" w:rsidRDefault="003C5297" w:rsidP="003C5297">
      <w:pPr>
        <w:autoSpaceDE w:val="0"/>
        <w:autoSpaceDN w:val="0"/>
        <w:adjustRightInd w:val="0"/>
        <w:spacing w:before="0" w:after="0"/>
        <w:rPr>
          <w:sz w:val="22"/>
          <w:szCs w:val="22"/>
          <w:lang w:eastAsia="en-AU"/>
        </w:rPr>
      </w:pPr>
      <w:r w:rsidRPr="00B2546F">
        <w:rPr>
          <w:sz w:val="22"/>
          <w:szCs w:val="22"/>
          <w:lang w:eastAsia="en-AU"/>
        </w:rPr>
        <w:t xml:space="preserve">Details of the </w:t>
      </w:r>
      <w:r w:rsidR="00D121ED">
        <w:rPr>
          <w:sz w:val="22"/>
          <w:szCs w:val="22"/>
          <w:lang w:eastAsia="en-AU"/>
        </w:rPr>
        <w:t>Specification</w:t>
      </w:r>
      <w:r w:rsidR="00516B5A" w:rsidRPr="00B2546F">
        <w:rPr>
          <w:sz w:val="22"/>
          <w:szCs w:val="22"/>
          <w:lang w:eastAsia="en-AU"/>
        </w:rPr>
        <w:t xml:space="preserve"> </w:t>
      </w:r>
      <w:r w:rsidRPr="00B2546F">
        <w:rPr>
          <w:sz w:val="22"/>
          <w:szCs w:val="22"/>
          <w:lang w:eastAsia="en-AU"/>
        </w:rPr>
        <w:t xml:space="preserve">are set out in </w:t>
      </w:r>
      <w:r w:rsidRPr="00B2546F">
        <w:rPr>
          <w:b/>
          <w:sz w:val="22"/>
          <w:szCs w:val="22"/>
          <w:lang w:eastAsia="en-AU"/>
        </w:rPr>
        <w:t>Attachment A</w:t>
      </w:r>
      <w:r w:rsidRPr="00B2546F">
        <w:rPr>
          <w:sz w:val="22"/>
          <w:szCs w:val="22"/>
          <w:lang w:eastAsia="en-AU"/>
        </w:rPr>
        <w:t>.</w:t>
      </w:r>
    </w:p>
    <w:p w14:paraId="618C0F43" w14:textId="77777777" w:rsidR="003C5297" w:rsidRPr="00B2546F" w:rsidRDefault="003C5297" w:rsidP="003C5297">
      <w:pPr>
        <w:autoSpaceDE w:val="0"/>
        <w:autoSpaceDN w:val="0"/>
        <w:adjustRightInd w:val="0"/>
        <w:spacing w:before="0" w:after="0"/>
        <w:rPr>
          <w:sz w:val="22"/>
          <w:szCs w:val="22"/>
          <w:lang w:eastAsia="en-AU"/>
        </w:rPr>
      </w:pPr>
    </w:p>
    <w:p w14:paraId="5532621E" w14:textId="216FA8AC" w:rsidR="003C5297" w:rsidRPr="00B2546F" w:rsidRDefault="003C5297" w:rsidP="003C5297">
      <w:pPr>
        <w:autoSpaceDE w:val="0"/>
        <w:autoSpaceDN w:val="0"/>
        <w:adjustRightInd w:val="0"/>
        <w:spacing w:before="0" w:after="0"/>
        <w:rPr>
          <w:sz w:val="22"/>
          <w:szCs w:val="22"/>
          <w:lang w:eastAsia="en-AU"/>
        </w:rPr>
      </w:pPr>
      <w:r w:rsidRPr="00B2546F">
        <w:rPr>
          <w:sz w:val="22"/>
          <w:szCs w:val="22"/>
          <w:lang w:eastAsia="en-AU"/>
        </w:rPr>
        <w:t xml:space="preserve">The </w:t>
      </w:r>
      <w:r w:rsidR="00D121ED">
        <w:rPr>
          <w:sz w:val="22"/>
          <w:szCs w:val="22"/>
          <w:lang w:eastAsia="en-AU"/>
        </w:rPr>
        <w:t>Specification</w:t>
      </w:r>
      <w:r w:rsidRPr="00B2546F">
        <w:rPr>
          <w:sz w:val="22"/>
          <w:szCs w:val="22"/>
          <w:lang w:eastAsia="en-AU"/>
        </w:rPr>
        <w:t xml:space="preserve"> is compatible with the human rights and freedoms </w:t>
      </w:r>
      <w:proofErr w:type="spellStart"/>
      <w:r w:rsidRPr="00B2546F">
        <w:rPr>
          <w:sz w:val="22"/>
          <w:szCs w:val="22"/>
          <w:lang w:eastAsia="en-AU"/>
        </w:rPr>
        <w:t>recognised</w:t>
      </w:r>
      <w:proofErr w:type="spellEnd"/>
      <w:r w:rsidRPr="00B2546F">
        <w:rPr>
          <w:sz w:val="22"/>
          <w:szCs w:val="22"/>
          <w:lang w:eastAsia="en-AU"/>
        </w:rPr>
        <w:t xml:space="preserve"> or declared under section 3 of the </w:t>
      </w:r>
      <w:r w:rsidRPr="00B2546F">
        <w:rPr>
          <w:i/>
          <w:sz w:val="22"/>
          <w:szCs w:val="22"/>
          <w:lang w:eastAsia="en-AU"/>
        </w:rPr>
        <w:t>Human Rights (Parliamentary Scrutiny) Act 2011</w:t>
      </w:r>
      <w:r w:rsidRPr="00B2546F">
        <w:rPr>
          <w:sz w:val="22"/>
          <w:szCs w:val="22"/>
          <w:lang w:eastAsia="en-AU"/>
        </w:rPr>
        <w:t xml:space="preserve">. A full statement of compatibility is set out in </w:t>
      </w:r>
      <w:r w:rsidRPr="00B2546F">
        <w:rPr>
          <w:b/>
          <w:sz w:val="22"/>
          <w:szCs w:val="22"/>
          <w:lang w:eastAsia="en-AU"/>
        </w:rPr>
        <w:t>Attachment B</w:t>
      </w:r>
      <w:r w:rsidRPr="00B2546F">
        <w:rPr>
          <w:sz w:val="22"/>
          <w:szCs w:val="22"/>
          <w:lang w:eastAsia="en-AU"/>
        </w:rPr>
        <w:t>.</w:t>
      </w:r>
    </w:p>
    <w:p w14:paraId="08EAFE81" w14:textId="77777777" w:rsidR="003C5297" w:rsidRPr="00B2546F" w:rsidRDefault="003C5297" w:rsidP="003C5297">
      <w:pPr>
        <w:autoSpaceDE w:val="0"/>
        <w:autoSpaceDN w:val="0"/>
        <w:adjustRightInd w:val="0"/>
        <w:spacing w:before="0" w:after="0"/>
        <w:rPr>
          <w:sz w:val="22"/>
          <w:szCs w:val="22"/>
          <w:lang w:eastAsia="en-AU"/>
        </w:rPr>
      </w:pPr>
    </w:p>
    <w:p w14:paraId="3A325A07" w14:textId="4D0587BB" w:rsidR="00141FA8" w:rsidRPr="00B2546F" w:rsidRDefault="00516B5A" w:rsidP="003C5297">
      <w:pPr>
        <w:autoSpaceDE w:val="0"/>
        <w:autoSpaceDN w:val="0"/>
        <w:adjustRightInd w:val="0"/>
        <w:spacing w:before="0" w:after="0"/>
        <w:rPr>
          <w:sz w:val="22"/>
          <w:szCs w:val="22"/>
          <w:lang w:eastAsia="en-AU"/>
        </w:rPr>
      </w:pPr>
      <w:r w:rsidRPr="00B2546F">
        <w:rPr>
          <w:sz w:val="22"/>
          <w:szCs w:val="22"/>
          <w:lang w:eastAsia="en-AU"/>
        </w:rPr>
        <w:t xml:space="preserve">The </w:t>
      </w:r>
      <w:r w:rsidR="00D121ED">
        <w:rPr>
          <w:sz w:val="22"/>
          <w:szCs w:val="22"/>
          <w:lang w:eastAsia="en-AU"/>
        </w:rPr>
        <w:t>Specification</w:t>
      </w:r>
      <w:r w:rsidR="00A96396" w:rsidRPr="00B2546F">
        <w:rPr>
          <w:sz w:val="22"/>
          <w:szCs w:val="22"/>
          <w:lang w:eastAsia="en-AU"/>
        </w:rPr>
        <w:t xml:space="preserve"> </w:t>
      </w:r>
      <w:r w:rsidRPr="00B2546F">
        <w:rPr>
          <w:sz w:val="22"/>
          <w:szCs w:val="22"/>
          <w:lang w:eastAsia="en-AU"/>
        </w:rPr>
        <w:t xml:space="preserve">is a disallowable legislative instrument for the purposes of </w:t>
      </w:r>
      <w:r w:rsidRPr="004114AC">
        <w:rPr>
          <w:sz w:val="22"/>
          <w:szCs w:val="22"/>
          <w:lang w:eastAsia="en-AU"/>
        </w:rPr>
        <w:t>the</w:t>
      </w:r>
      <w:r w:rsidRPr="004114AC">
        <w:rPr>
          <w:i/>
          <w:iCs/>
          <w:sz w:val="22"/>
          <w:szCs w:val="22"/>
          <w:lang w:eastAsia="en-AU"/>
        </w:rPr>
        <w:t xml:space="preserve"> </w:t>
      </w:r>
      <w:r w:rsidRPr="00342F46">
        <w:rPr>
          <w:sz w:val="22"/>
          <w:szCs w:val="22"/>
          <w:lang w:eastAsia="en-AU"/>
        </w:rPr>
        <w:t>Legislation Act</w:t>
      </w:r>
      <w:r w:rsidR="004114AC" w:rsidRPr="004114AC">
        <w:rPr>
          <w:i/>
          <w:iCs/>
          <w:sz w:val="22"/>
          <w:szCs w:val="22"/>
          <w:lang w:eastAsia="en-AU"/>
        </w:rPr>
        <w:t xml:space="preserve"> </w:t>
      </w:r>
      <w:r w:rsidRPr="00B2546F">
        <w:rPr>
          <w:iCs/>
          <w:sz w:val="22"/>
          <w:szCs w:val="22"/>
          <w:lang w:eastAsia="en-AU"/>
        </w:rPr>
        <w:t xml:space="preserve">and commences </w:t>
      </w:r>
      <w:r w:rsidR="00134500">
        <w:rPr>
          <w:iCs/>
          <w:sz w:val="22"/>
          <w:szCs w:val="22"/>
          <w:lang w:eastAsia="en-AU"/>
        </w:rPr>
        <w:t>on 30 September 2022</w:t>
      </w:r>
      <w:r w:rsidR="004114AC">
        <w:rPr>
          <w:iCs/>
          <w:sz w:val="22"/>
          <w:szCs w:val="22"/>
          <w:lang w:eastAsia="en-AU"/>
        </w:rPr>
        <w:t>.</w:t>
      </w:r>
    </w:p>
    <w:p w14:paraId="513F1C95" w14:textId="77777777" w:rsidR="00141FA8" w:rsidRPr="00B2546F" w:rsidRDefault="00141FA8">
      <w:pPr>
        <w:spacing w:before="0" w:after="160" w:line="259" w:lineRule="auto"/>
        <w:rPr>
          <w:sz w:val="22"/>
          <w:szCs w:val="22"/>
          <w:lang w:eastAsia="en-AU"/>
        </w:rPr>
      </w:pPr>
      <w:r w:rsidRPr="00B2546F">
        <w:rPr>
          <w:sz w:val="22"/>
          <w:szCs w:val="22"/>
          <w:lang w:eastAsia="en-AU"/>
        </w:rPr>
        <w:br w:type="page"/>
      </w:r>
    </w:p>
    <w:p w14:paraId="5876270B" w14:textId="77777777" w:rsidR="00141FA8" w:rsidRPr="00B2546F" w:rsidRDefault="00141FA8" w:rsidP="00141FA8">
      <w:pPr>
        <w:spacing w:before="0" w:after="0"/>
        <w:jc w:val="right"/>
        <w:rPr>
          <w:b/>
          <w:bCs/>
          <w:sz w:val="22"/>
          <w:szCs w:val="22"/>
          <w:lang w:eastAsia="en-AU"/>
        </w:rPr>
      </w:pPr>
      <w:r w:rsidRPr="00B2546F">
        <w:rPr>
          <w:b/>
          <w:bCs/>
          <w:sz w:val="22"/>
          <w:szCs w:val="22"/>
          <w:lang w:eastAsia="en-AU"/>
        </w:rPr>
        <w:lastRenderedPageBreak/>
        <w:t>Attachment A</w:t>
      </w:r>
    </w:p>
    <w:p w14:paraId="47C4C37D" w14:textId="77777777" w:rsidR="00141FA8" w:rsidRPr="00B2546F" w:rsidRDefault="00141FA8" w:rsidP="00141FA8">
      <w:pPr>
        <w:spacing w:before="0" w:after="0"/>
        <w:rPr>
          <w:b/>
          <w:bCs/>
          <w:sz w:val="22"/>
          <w:szCs w:val="22"/>
          <w:lang w:eastAsia="en-AU"/>
        </w:rPr>
      </w:pPr>
      <w:bookmarkStart w:id="3" w:name="_Toc199566624"/>
    </w:p>
    <w:p w14:paraId="1989F085" w14:textId="2B7BF46D" w:rsidR="00141FA8" w:rsidRPr="006C1C91" w:rsidRDefault="00141FA8" w:rsidP="00141FA8">
      <w:pPr>
        <w:spacing w:before="0" w:after="0"/>
        <w:rPr>
          <w:sz w:val="22"/>
          <w:szCs w:val="22"/>
          <w:lang w:eastAsia="en-AU"/>
        </w:rPr>
      </w:pPr>
      <w:r w:rsidRPr="00B2546F">
        <w:rPr>
          <w:b/>
          <w:bCs/>
          <w:sz w:val="22"/>
          <w:szCs w:val="22"/>
          <w:lang w:eastAsia="en-AU"/>
        </w:rPr>
        <w:t>Details of</w:t>
      </w:r>
      <w:r w:rsidRPr="00B2546F">
        <w:rPr>
          <w:b/>
          <w:sz w:val="22"/>
          <w:szCs w:val="22"/>
          <w:lang w:eastAsia="en-AU"/>
        </w:rPr>
        <w:t> </w:t>
      </w:r>
      <w:bookmarkEnd w:id="3"/>
      <w:r w:rsidRPr="00B2546F">
        <w:rPr>
          <w:b/>
          <w:sz w:val="22"/>
          <w:szCs w:val="22"/>
          <w:lang w:eastAsia="en-AU"/>
        </w:rPr>
        <w:t>the</w:t>
      </w:r>
      <w:r w:rsidRPr="00B2546F">
        <w:rPr>
          <w:sz w:val="22"/>
          <w:szCs w:val="22"/>
          <w:lang w:eastAsia="en-AU"/>
        </w:rPr>
        <w:t xml:space="preserve"> </w:t>
      </w:r>
      <w:r w:rsidR="00D563E3" w:rsidRPr="006C1C91">
        <w:rPr>
          <w:b/>
          <w:bCs/>
          <w:i/>
          <w:iCs/>
          <w:sz w:val="22"/>
          <w:szCs w:val="22"/>
          <w:lang w:eastAsia="en-AU"/>
        </w:rPr>
        <w:t>Therapeutic Goods (Database of Adverse Event Notifications) (Information) Specification 2022</w:t>
      </w:r>
    </w:p>
    <w:p w14:paraId="3D86C2ED" w14:textId="5BDCE187" w:rsidR="00141FA8" w:rsidRPr="00B2546F" w:rsidRDefault="00141FA8" w:rsidP="00141FA8">
      <w:pPr>
        <w:spacing w:before="0" w:after="0"/>
        <w:rPr>
          <w:sz w:val="22"/>
          <w:szCs w:val="22"/>
          <w:lang w:eastAsia="en-AU"/>
        </w:rPr>
      </w:pPr>
    </w:p>
    <w:p w14:paraId="75F0D47D" w14:textId="77777777" w:rsidR="00141FA8" w:rsidRPr="00B2546F" w:rsidRDefault="00141FA8" w:rsidP="00141FA8">
      <w:pPr>
        <w:spacing w:before="0" w:after="0"/>
        <w:rPr>
          <w:b/>
          <w:bCs/>
          <w:sz w:val="22"/>
          <w:szCs w:val="22"/>
          <w:lang w:eastAsia="en-AU"/>
        </w:rPr>
      </w:pPr>
      <w:r w:rsidRPr="00B2546F">
        <w:rPr>
          <w:b/>
          <w:bCs/>
          <w:sz w:val="22"/>
          <w:szCs w:val="22"/>
          <w:lang w:eastAsia="en-AU"/>
        </w:rPr>
        <w:t>Section 1 – Name</w:t>
      </w:r>
    </w:p>
    <w:p w14:paraId="3314A9CF" w14:textId="77777777" w:rsidR="00141FA8" w:rsidRPr="00B2546F" w:rsidRDefault="00141FA8" w:rsidP="00141FA8">
      <w:pPr>
        <w:spacing w:before="0" w:after="0"/>
        <w:rPr>
          <w:sz w:val="22"/>
          <w:szCs w:val="22"/>
          <w:lang w:eastAsia="en-AU"/>
        </w:rPr>
      </w:pPr>
    </w:p>
    <w:p w14:paraId="3AC34157" w14:textId="79E6A6DC" w:rsidR="00141FA8" w:rsidRPr="00A11704" w:rsidRDefault="00141FA8" w:rsidP="00A11704">
      <w:pPr>
        <w:spacing w:before="0" w:after="0"/>
        <w:rPr>
          <w:i/>
          <w:sz w:val="22"/>
          <w:szCs w:val="22"/>
          <w:lang w:val="en-AU" w:eastAsia="en-AU"/>
        </w:rPr>
      </w:pPr>
      <w:r w:rsidRPr="00B2546F">
        <w:rPr>
          <w:sz w:val="22"/>
          <w:szCs w:val="22"/>
          <w:lang w:eastAsia="en-AU"/>
        </w:rPr>
        <w:t xml:space="preserve">This section provides that the name of the instrument is the </w:t>
      </w:r>
      <w:r w:rsidR="00D563E3" w:rsidRPr="006C1C91">
        <w:rPr>
          <w:i/>
          <w:iCs/>
          <w:sz w:val="22"/>
          <w:szCs w:val="22"/>
          <w:lang w:eastAsia="en-AU"/>
        </w:rPr>
        <w:t>Therapeutic Goods (Database of Adverse Event Notifications) (Information) Specification 2022</w:t>
      </w:r>
      <w:r w:rsidR="00D563E3">
        <w:rPr>
          <w:sz w:val="22"/>
          <w:szCs w:val="22"/>
          <w:lang w:eastAsia="en-AU"/>
        </w:rPr>
        <w:t xml:space="preserve"> </w:t>
      </w:r>
      <w:r w:rsidR="00A11704" w:rsidRPr="00A11704">
        <w:rPr>
          <w:iCs/>
          <w:sz w:val="22"/>
          <w:szCs w:val="22"/>
          <w:lang w:val="en-AU" w:eastAsia="en-AU"/>
        </w:rPr>
        <w:t>(“the Specification”)</w:t>
      </w:r>
      <w:r w:rsidR="00A11704">
        <w:rPr>
          <w:iCs/>
          <w:sz w:val="22"/>
          <w:szCs w:val="22"/>
          <w:lang w:val="en-AU" w:eastAsia="en-AU"/>
        </w:rPr>
        <w:t>.</w:t>
      </w:r>
    </w:p>
    <w:p w14:paraId="15EF76AA" w14:textId="77777777" w:rsidR="00141FA8" w:rsidRPr="00B2546F" w:rsidRDefault="00141FA8" w:rsidP="00141FA8">
      <w:pPr>
        <w:spacing w:before="0" w:after="0"/>
        <w:rPr>
          <w:sz w:val="22"/>
          <w:szCs w:val="22"/>
          <w:lang w:eastAsia="en-AU"/>
        </w:rPr>
      </w:pPr>
    </w:p>
    <w:p w14:paraId="1EA81893" w14:textId="77777777" w:rsidR="00141FA8" w:rsidRPr="00B2546F" w:rsidRDefault="00141FA8" w:rsidP="00141FA8">
      <w:pPr>
        <w:spacing w:before="0" w:after="0"/>
        <w:rPr>
          <w:b/>
          <w:bCs/>
          <w:sz w:val="22"/>
          <w:szCs w:val="22"/>
          <w:lang w:eastAsia="en-AU"/>
        </w:rPr>
      </w:pPr>
      <w:r w:rsidRPr="00B2546F">
        <w:rPr>
          <w:b/>
          <w:bCs/>
          <w:sz w:val="22"/>
          <w:szCs w:val="22"/>
          <w:lang w:eastAsia="en-AU"/>
        </w:rPr>
        <w:t>Section 2 – Commencement</w:t>
      </w:r>
    </w:p>
    <w:p w14:paraId="31C37773" w14:textId="77777777" w:rsidR="00141FA8" w:rsidRPr="00B2546F" w:rsidRDefault="00141FA8" w:rsidP="00141FA8">
      <w:pPr>
        <w:spacing w:before="0" w:after="0"/>
        <w:rPr>
          <w:sz w:val="22"/>
          <w:szCs w:val="22"/>
          <w:lang w:eastAsia="en-AU"/>
        </w:rPr>
      </w:pPr>
    </w:p>
    <w:p w14:paraId="32CA4B86" w14:textId="07A4B4EA" w:rsidR="00141FA8" w:rsidRPr="00B2546F" w:rsidRDefault="00141FA8" w:rsidP="00141FA8">
      <w:pPr>
        <w:spacing w:before="0" w:after="0"/>
        <w:rPr>
          <w:sz w:val="22"/>
          <w:szCs w:val="22"/>
          <w:lang w:eastAsia="en-AU"/>
        </w:rPr>
      </w:pPr>
      <w:r w:rsidRPr="00B2546F">
        <w:rPr>
          <w:sz w:val="22"/>
          <w:szCs w:val="22"/>
          <w:lang w:eastAsia="en-AU"/>
        </w:rPr>
        <w:t xml:space="preserve">This section provides that the </w:t>
      </w:r>
      <w:r w:rsidR="00A11704">
        <w:rPr>
          <w:sz w:val="22"/>
          <w:szCs w:val="22"/>
          <w:lang w:eastAsia="en-AU"/>
        </w:rPr>
        <w:t>Specification</w:t>
      </w:r>
      <w:r w:rsidRPr="00B2546F">
        <w:rPr>
          <w:sz w:val="22"/>
          <w:szCs w:val="22"/>
          <w:lang w:eastAsia="en-AU"/>
        </w:rPr>
        <w:t xml:space="preserve"> commences</w:t>
      </w:r>
      <w:r w:rsidR="00751B23">
        <w:rPr>
          <w:sz w:val="22"/>
          <w:szCs w:val="22"/>
          <w:lang w:eastAsia="en-AU"/>
        </w:rPr>
        <w:t xml:space="preserve"> on</w:t>
      </w:r>
      <w:r w:rsidRPr="00B2546F">
        <w:rPr>
          <w:sz w:val="22"/>
          <w:szCs w:val="22"/>
          <w:lang w:eastAsia="en-AU"/>
        </w:rPr>
        <w:t xml:space="preserve"> </w:t>
      </w:r>
      <w:r w:rsidR="00751B23">
        <w:rPr>
          <w:sz w:val="22"/>
          <w:szCs w:val="22"/>
          <w:lang w:eastAsia="en-AU"/>
        </w:rPr>
        <w:t>30 September 2022</w:t>
      </w:r>
      <w:r w:rsidR="00A11704">
        <w:rPr>
          <w:sz w:val="22"/>
          <w:szCs w:val="22"/>
          <w:lang w:eastAsia="en-AU"/>
        </w:rPr>
        <w:t>.</w:t>
      </w:r>
    </w:p>
    <w:p w14:paraId="15C017DE" w14:textId="77777777" w:rsidR="00141FA8" w:rsidRPr="00B2546F" w:rsidRDefault="00141FA8" w:rsidP="00141FA8">
      <w:pPr>
        <w:spacing w:before="0" w:after="0"/>
        <w:rPr>
          <w:sz w:val="22"/>
          <w:szCs w:val="22"/>
          <w:lang w:eastAsia="en-AU"/>
        </w:rPr>
      </w:pPr>
    </w:p>
    <w:p w14:paraId="05605E5E" w14:textId="77777777" w:rsidR="00141FA8" w:rsidRPr="00B2546F" w:rsidRDefault="00141FA8" w:rsidP="00141FA8">
      <w:pPr>
        <w:spacing w:before="0" w:after="0"/>
        <w:rPr>
          <w:b/>
          <w:bCs/>
          <w:sz w:val="22"/>
          <w:szCs w:val="22"/>
          <w:lang w:eastAsia="en-AU"/>
        </w:rPr>
      </w:pPr>
      <w:r w:rsidRPr="00B2546F">
        <w:rPr>
          <w:b/>
          <w:bCs/>
          <w:sz w:val="22"/>
          <w:szCs w:val="22"/>
          <w:lang w:eastAsia="en-AU"/>
        </w:rPr>
        <w:t>Section 3 – Authority</w:t>
      </w:r>
    </w:p>
    <w:p w14:paraId="5D10F0E6" w14:textId="77777777" w:rsidR="00141FA8" w:rsidRPr="00B2546F" w:rsidRDefault="00141FA8" w:rsidP="00141FA8">
      <w:pPr>
        <w:spacing w:before="0" w:after="0"/>
        <w:rPr>
          <w:sz w:val="22"/>
          <w:szCs w:val="22"/>
          <w:lang w:eastAsia="en-AU"/>
        </w:rPr>
      </w:pPr>
    </w:p>
    <w:p w14:paraId="77E57303" w14:textId="2BAC4E47" w:rsidR="00133FB9" w:rsidRPr="00B2546F" w:rsidRDefault="00141FA8" w:rsidP="00141FA8">
      <w:pPr>
        <w:spacing w:before="0" w:after="0"/>
        <w:rPr>
          <w:sz w:val="22"/>
          <w:szCs w:val="22"/>
          <w:lang w:eastAsia="en-AU"/>
        </w:rPr>
      </w:pPr>
      <w:r w:rsidRPr="00B2546F">
        <w:rPr>
          <w:sz w:val="22"/>
          <w:szCs w:val="22"/>
          <w:lang w:eastAsia="en-AU"/>
        </w:rPr>
        <w:t xml:space="preserve">This section provides that the legislative authority for making the </w:t>
      </w:r>
      <w:r w:rsidR="00A11704">
        <w:rPr>
          <w:sz w:val="22"/>
          <w:szCs w:val="22"/>
          <w:lang w:eastAsia="en-AU"/>
        </w:rPr>
        <w:t>Specification</w:t>
      </w:r>
      <w:r w:rsidR="0029457E" w:rsidRPr="00B2546F">
        <w:rPr>
          <w:sz w:val="22"/>
          <w:szCs w:val="22"/>
          <w:lang w:eastAsia="en-AU"/>
        </w:rPr>
        <w:t xml:space="preserve"> </w:t>
      </w:r>
      <w:r w:rsidRPr="00B2546F">
        <w:rPr>
          <w:sz w:val="22"/>
          <w:szCs w:val="22"/>
          <w:lang w:eastAsia="en-AU"/>
        </w:rPr>
        <w:t xml:space="preserve">is </w:t>
      </w:r>
      <w:r w:rsidR="00A11704">
        <w:rPr>
          <w:sz w:val="22"/>
          <w:szCs w:val="22"/>
          <w:lang w:eastAsia="en-AU"/>
        </w:rPr>
        <w:t>subsection 61(5D)</w:t>
      </w:r>
      <w:r w:rsidRPr="00B2546F">
        <w:rPr>
          <w:sz w:val="22"/>
          <w:szCs w:val="22"/>
          <w:lang w:eastAsia="en-AU"/>
        </w:rPr>
        <w:t xml:space="preserve"> of the </w:t>
      </w:r>
      <w:r w:rsidRPr="00B2546F">
        <w:rPr>
          <w:i/>
          <w:sz w:val="22"/>
          <w:szCs w:val="22"/>
          <w:lang w:eastAsia="en-AU"/>
        </w:rPr>
        <w:t>Therapeutic Goods Act 1989</w:t>
      </w:r>
      <w:r w:rsidRPr="00B2546F">
        <w:rPr>
          <w:sz w:val="22"/>
          <w:szCs w:val="22"/>
          <w:lang w:eastAsia="en-AU"/>
        </w:rPr>
        <w:t xml:space="preserve"> (“the Act”).</w:t>
      </w:r>
    </w:p>
    <w:p w14:paraId="20455D57" w14:textId="77777777" w:rsidR="00141FA8" w:rsidRPr="00B2546F" w:rsidRDefault="00141FA8" w:rsidP="00141FA8">
      <w:pPr>
        <w:spacing w:before="0" w:after="0"/>
        <w:rPr>
          <w:sz w:val="22"/>
          <w:szCs w:val="22"/>
          <w:lang w:eastAsia="en-AU"/>
        </w:rPr>
      </w:pPr>
    </w:p>
    <w:p w14:paraId="201A9153" w14:textId="20C4C5E6" w:rsidR="00141FA8" w:rsidRPr="00B2546F" w:rsidRDefault="00141FA8" w:rsidP="00141FA8">
      <w:pPr>
        <w:spacing w:before="0" w:after="0"/>
        <w:rPr>
          <w:b/>
          <w:bCs/>
          <w:sz w:val="22"/>
          <w:szCs w:val="22"/>
          <w:lang w:eastAsia="en-AU"/>
        </w:rPr>
      </w:pPr>
      <w:r w:rsidRPr="00B2546F">
        <w:rPr>
          <w:b/>
          <w:bCs/>
          <w:sz w:val="22"/>
          <w:szCs w:val="22"/>
          <w:lang w:eastAsia="en-AU"/>
        </w:rPr>
        <w:t xml:space="preserve">Section 4 – </w:t>
      </w:r>
      <w:r w:rsidR="00096D4A" w:rsidRPr="00B2546F">
        <w:rPr>
          <w:b/>
          <w:bCs/>
          <w:sz w:val="22"/>
          <w:szCs w:val="22"/>
          <w:lang w:eastAsia="en-AU"/>
        </w:rPr>
        <w:t>Definitions</w:t>
      </w:r>
    </w:p>
    <w:p w14:paraId="3645D1E7" w14:textId="77777777" w:rsidR="00141FA8" w:rsidRPr="00B2546F" w:rsidRDefault="00141FA8" w:rsidP="00141FA8">
      <w:pPr>
        <w:spacing w:before="0" w:after="0"/>
        <w:rPr>
          <w:b/>
          <w:bCs/>
          <w:sz w:val="22"/>
          <w:szCs w:val="22"/>
          <w:lang w:eastAsia="en-AU"/>
        </w:rPr>
      </w:pPr>
    </w:p>
    <w:p w14:paraId="2F925FF7" w14:textId="413262B1" w:rsidR="00141FA8" w:rsidRPr="00B2546F" w:rsidRDefault="00096D4A" w:rsidP="00141FA8">
      <w:pPr>
        <w:spacing w:before="0" w:after="0"/>
        <w:rPr>
          <w:sz w:val="22"/>
          <w:szCs w:val="22"/>
        </w:rPr>
      </w:pPr>
      <w:r w:rsidRPr="00B2546F">
        <w:rPr>
          <w:sz w:val="22"/>
          <w:szCs w:val="22"/>
          <w:lang w:eastAsia="en-AU"/>
        </w:rPr>
        <w:t>This section provides the definition</w:t>
      </w:r>
      <w:r w:rsidR="009C45C1" w:rsidRPr="00B2546F">
        <w:rPr>
          <w:sz w:val="22"/>
          <w:szCs w:val="22"/>
          <w:lang w:eastAsia="en-AU"/>
        </w:rPr>
        <w:t>s</w:t>
      </w:r>
      <w:r w:rsidRPr="00B2546F">
        <w:rPr>
          <w:sz w:val="22"/>
          <w:szCs w:val="22"/>
          <w:lang w:eastAsia="en-AU"/>
        </w:rPr>
        <w:t xml:space="preserve"> of </w:t>
      </w:r>
      <w:r w:rsidR="009C45C1" w:rsidRPr="00B2546F">
        <w:rPr>
          <w:sz w:val="22"/>
          <w:szCs w:val="22"/>
          <w:lang w:eastAsia="en-AU"/>
        </w:rPr>
        <w:t xml:space="preserve">key </w:t>
      </w:r>
      <w:r w:rsidRPr="00B2546F">
        <w:rPr>
          <w:sz w:val="22"/>
          <w:szCs w:val="22"/>
          <w:lang w:eastAsia="en-AU"/>
        </w:rPr>
        <w:t xml:space="preserve">terms used in the </w:t>
      </w:r>
      <w:r w:rsidR="00A11704">
        <w:rPr>
          <w:sz w:val="22"/>
          <w:szCs w:val="22"/>
          <w:lang w:eastAsia="en-AU"/>
        </w:rPr>
        <w:t>Specification</w:t>
      </w:r>
      <w:r w:rsidR="009C45C1" w:rsidRPr="00B2546F">
        <w:rPr>
          <w:sz w:val="22"/>
          <w:szCs w:val="22"/>
          <w:lang w:eastAsia="en-AU"/>
        </w:rPr>
        <w:t xml:space="preserve">, </w:t>
      </w:r>
      <w:r w:rsidR="00751B23">
        <w:rPr>
          <w:sz w:val="22"/>
          <w:szCs w:val="22"/>
          <w:lang w:eastAsia="en-AU"/>
        </w:rPr>
        <w:t>including</w:t>
      </w:r>
      <w:r w:rsidR="00A11704">
        <w:rPr>
          <w:sz w:val="22"/>
          <w:szCs w:val="22"/>
          <w:lang w:eastAsia="en-AU"/>
        </w:rPr>
        <w:t xml:space="preserve"> ‘adverse event’</w:t>
      </w:r>
      <w:r w:rsidR="00751B23">
        <w:rPr>
          <w:sz w:val="22"/>
          <w:szCs w:val="22"/>
          <w:lang w:eastAsia="en-AU"/>
        </w:rPr>
        <w:t>, ‘DAEN’</w:t>
      </w:r>
      <w:r w:rsidR="00A11704">
        <w:rPr>
          <w:sz w:val="22"/>
          <w:szCs w:val="22"/>
          <w:lang w:eastAsia="en-AU"/>
        </w:rPr>
        <w:t xml:space="preserve"> and ‘</w:t>
      </w:r>
      <w:r w:rsidR="00751B23">
        <w:rPr>
          <w:sz w:val="22"/>
          <w:szCs w:val="22"/>
          <w:lang w:eastAsia="en-AU"/>
        </w:rPr>
        <w:t>MedDRA</w:t>
      </w:r>
      <w:r w:rsidR="00A11704">
        <w:rPr>
          <w:sz w:val="22"/>
          <w:szCs w:val="22"/>
          <w:lang w:eastAsia="en-AU"/>
        </w:rPr>
        <w:t>’</w:t>
      </w:r>
      <w:r w:rsidR="009C45C1" w:rsidRPr="00B2546F">
        <w:rPr>
          <w:sz w:val="22"/>
          <w:szCs w:val="22"/>
          <w:lang w:eastAsia="en-AU"/>
        </w:rPr>
        <w:t xml:space="preserve">. </w:t>
      </w:r>
      <w:r w:rsidR="00224D33" w:rsidRPr="00B2546F">
        <w:rPr>
          <w:sz w:val="22"/>
          <w:szCs w:val="22"/>
        </w:rPr>
        <w:t>Th</w:t>
      </w:r>
      <w:r w:rsidR="009C45C1" w:rsidRPr="00B2546F">
        <w:rPr>
          <w:sz w:val="22"/>
          <w:szCs w:val="22"/>
        </w:rPr>
        <w:t>is</w:t>
      </w:r>
      <w:r w:rsidR="00224D33" w:rsidRPr="00B2546F">
        <w:rPr>
          <w:sz w:val="22"/>
          <w:szCs w:val="22"/>
        </w:rPr>
        <w:t xml:space="preserve"> section</w:t>
      </w:r>
      <w:r w:rsidR="009C45C1" w:rsidRPr="00B2546F">
        <w:rPr>
          <w:sz w:val="22"/>
          <w:szCs w:val="22"/>
        </w:rPr>
        <w:t xml:space="preserve"> also</w:t>
      </w:r>
      <w:r w:rsidR="00224D33" w:rsidRPr="00B2546F">
        <w:rPr>
          <w:sz w:val="22"/>
          <w:szCs w:val="22"/>
        </w:rPr>
        <w:t xml:space="preserve"> notes that </w:t>
      </w:r>
      <w:proofErr w:type="gramStart"/>
      <w:r w:rsidR="00A11704">
        <w:rPr>
          <w:sz w:val="22"/>
          <w:szCs w:val="22"/>
        </w:rPr>
        <w:t>a number of</w:t>
      </w:r>
      <w:proofErr w:type="gramEnd"/>
      <w:r w:rsidR="00A11704">
        <w:rPr>
          <w:sz w:val="22"/>
          <w:szCs w:val="22"/>
        </w:rPr>
        <w:t xml:space="preserve"> terms </w:t>
      </w:r>
      <w:r w:rsidR="00B0261F">
        <w:rPr>
          <w:sz w:val="22"/>
          <w:szCs w:val="22"/>
        </w:rPr>
        <w:t xml:space="preserve">used in the Specification </w:t>
      </w:r>
      <w:r w:rsidR="00A11704">
        <w:rPr>
          <w:sz w:val="22"/>
          <w:szCs w:val="22"/>
        </w:rPr>
        <w:t xml:space="preserve">have the meaning given in subsection 3(1) of the Act, including </w:t>
      </w:r>
      <w:r w:rsidR="00B0261F">
        <w:rPr>
          <w:sz w:val="22"/>
          <w:szCs w:val="22"/>
        </w:rPr>
        <w:t xml:space="preserve">for instance </w:t>
      </w:r>
      <w:r w:rsidR="00751B23">
        <w:rPr>
          <w:sz w:val="22"/>
          <w:szCs w:val="22"/>
        </w:rPr>
        <w:t>’biological’ and ‘medicine’</w:t>
      </w:r>
      <w:r w:rsidR="00A11704">
        <w:rPr>
          <w:sz w:val="22"/>
          <w:szCs w:val="22"/>
        </w:rPr>
        <w:t>.</w:t>
      </w:r>
    </w:p>
    <w:p w14:paraId="4E10DD10" w14:textId="77FD874D" w:rsidR="00096D4A" w:rsidRPr="00B2546F" w:rsidRDefault="00096D4A" w:rsidP="00141FA8">
      <w:pPr>
        <w:spacing w:before="0" w:after="0"/>
        <w:rPr>
          <w:sz w:val="22"/>
          <w:szCs w:val="22"/>
          <w:lang w:eastAsia="en-AU"/>
        </w:rPr>
      </w:pPr>
    </w:p>
    <w:p w14:paraId="543C82AB" w14:textId="5C9B6A54" w:rsidR="00096D4A" w:rsidRPr="00B2546F" w:rsidRDefault="00096D4A" w:rsidP="00141FA8">
      <w:pPr>
        <w:spacing w:before="0" w:after="0"/>
        <w:rPr>
          <w:b/>
          <w:bCs/>
          <w:sz w:val="22"/>
          <w:szCs w:val="22"/>
          <w:lang w:eastAsia="en-AU"/>
        </w:rPr>
      </w:pPr>
      <w:r w:rsidRPr="00B2546F">
        <w:rPr>
          <w:b/>
          <w:bCs/>
          <w:sz w:val="22"/>
          <w:szCs w:val="22"/>
          <w:lang w:eastAsia="en-AU"/>
        </w:rPr>
        <w:t xml:space="preserve">Section 5 – </w:t>
      </w:r>
      <w:r w:rsidR="00751B23">
        <w:rPr>
          <w:b/>
          <w:bCs/>
          <w:sz w:val="22"/>
          <w:szCs w:val="22"/>
          <w:lang w:eastAsia="en-AU"/>
        </w:rPr>
        <w:t>Release of therapeutic goods information</w:t>
      </w:r>
    </w:p>
    <w:p w14:paraId="38384FEC" w14:textId="77777777" w:rsidR="00096D4A" w:rsidRPr="00B2546F" w:rsidRDefault="00096D4A" w:rsidP="00141FA8">
      <w:pPr>
        <w:spacing w:before="0" w:after="0"/>
        <w:rPr>
          <w:b/>
          <w:bCs/>
          <w:sz w:val="22"/>
          <w:szCs w:val="22"/>
          <w:lang w:eastAsia="en-AU"/>
        </w:rPr>
      </w:pPr>
    </w:p>
    <w:p w14:paraId="1D78406D" w14:textId="61B2EFEB" w:rsidR="00141FA8" w:rsidRDefault="00A11704" w:rsidP="00141FA8">
      <w:pPr>
        <w:spacing w:before="0" w:after="0"/>
        <w:rPr>
          <w:sz w:val="22"/>
          <w:szCs w:val="22"/>
          <w:lang w:eastAsia="en-AU"/>
        </w:rPr>
      </w:pPr>
      <w:r w:rsidRPr="00A11704">
        <w:rPr>
          <w:sz w:val="22"/>
          <w:szCs w:val="22"/>
          <w:lang w:eastAsia="en-AU"/>
        </w:rPr>
        <w:t>This section provides that the kinds of therapeutic goods information set out in the table in Schedule 1 are specified for the purpose of subsection 61(5C) of the Act. The effect of this section is to enable the Secretary to release to the public therapeutic goods information of the kind set out in Schedule 1 to the Specification.</w:t>
      </w:r>
    </w:p>
    <w:p w14:paraId="08D90175" w14:textId="77777777" w:rsidR="00A11704" w:rsidRPr="00B2546F" w:rsidRDefault="00A11704" w:rsidP="00141FA8">
      <w:pPr>
        <w:spacing w:before="0" w:after="0"/>
        <w:rPr>
          <w:sz w:val="22"/>
          <w:szCs w:val="22"/>
          <w:lang w:eastAsia="en-AU"/>
        </w:rPr>
      </w:pPr>
    </w:p>
    <w:p w14:paraId="4C0EF2ED" w14:textId="22BF3A48" w:rsidR="00096D4A" w:rsidRPr="00B2546F" w:rsidRDefault="00096D4A" w:rsidP="00141FA8">
      <w:pPr>
        <w:spacing w:before="0" w:after="0"/>
        <w:rPr>
          <w:b/>
          <w:bCs/>
          <w:sz w:val="22"/>
          <w:szCs w:val="22"/>
          <w:lang w:eastAsia="en-AU"/>
        </w:rPr>
      </w:pPr>
      <w:r w:rsidRPr="00B2546F">
        <w:rPr>
          <w:b/>
          <w:bCs/>
          <w:sz w:val="22"/>
          <w:szCs w:val="22"/>
          <w:lang w:eastAsia="en-AU"/>
        </w:rPr>
        <w:t xml:space="preserve">Section 6 – </w:t>
      </w:r>
      <w:r w:rsidR="00A11704">
        <w:rPr>
          <w:b/>
          <w:bCs/>
          <w:sz w:val="22"/>
          <w:szCs w:val="22"/>
          <w:lang w:eastAsia="en-AU"/>
        </w:rPr>
        <w:t>Repeals</w:t>
      </w:r>
    </w:p>
    <w:p w14:paraId="232B3C1C" w14:textId="4CADD1A4" w:rsidR="00096D4A" w:rsidRPr="00B2546F" w:rsidRDefault="00096D4A" w:rsidP="00141FA8">
      <w:pPr>
        <w:spacing w:before="0" w:after="0"/>
        <w:rPr>
          <w:b/>
          <w:bCs/>
          <w:sz w:val="22"/>
          <w:szCs w:val="22"/>
          <w:lang w:eastAsia="en-AU"/>
        </w:rPr>
      </w:pPr>
    </w:p>
    <w:p w14:paraId="435067C1" w14:textId="6D3FCA47" w:rsidR="00096D4A" w:rsidRDefault="00096D4A" w:rsidP="00141FA8">
      <w:pPr>
        <w:spacing w:before="0" w:after="0"/>
        <w:rPr>
          <w:sz w:val="22"/>
          <w:szCs w:val="22"/>
          <w:lang w:eastAsia="en-AU"/>
        </w:rPr>
      </w:pPr>
      <w:r w:rsidRPr="00B2546F">
        <w:rPr>
          <w:sz w:val="22"/>
          <w:szCs w:val="22"/>
          <w:lang w:eastAsia="en-AU"/>
        </w:rPr>
        <w:t>This section provides that each instrument in Schedule</w:t>
      </w:r>
      <w:r w:rsidR="0029457E" w:rsidRPr="00B2546F">
        <w:rPr>
          <w:sz w:val="22"/>
          <w:szCs w:val="22"/>
          <w:lang w:eastAsia="en-AU"/>
        </w:rPr>
        <w:t xml:space="preserve"> </w:t>
      </w:r>
      <w:r w:rsidR="00A11704">
        <w:rPr>
          <w:sz w:val="22"/>
          <w:szCs w:val="22"/>
          <w:lang w:eastAsia="en-AU"/>
        </w:rPr>
        <w:t>2</w:t>
      </w:r>
      <w:r w:rsidRPr="00B2546F">
        <w:rPr>
          <w:sz w:val="22"/>
          <w:szCs w:val="22"/>
          <w:lang w:eastAsia="en-AU"/>
        </w:rPr>
        <w:t xml:space="preserve"> to th</w:t>
      </w:r>
      <w:r w:rsidR="008B5319" w:rsidRPr="00B2546F">
        <w:rPr>
          <w:sz w:val="22"/>
          <w:szCs w:val="22"/>
          <w:lang w:eastAsia="en-AU"/>
        </w:rPr>
        <w:t>e</w:t>
      </w:r>
      <w:r w:rsidRPr="00B2546F">
        <w:rPr>
          <w:sz w:val="22"/>
          <w:szCs w:val="22"/>
          <w:lang w:eastAsia="en-AU"/>
        </w:rPr>
        <w:t xml:space="preserve"> </w:t>
      </w:r>
      <w:r w:rsidR="00A11704">
        <w:rPr>
          <w:sz w:val="22"/>
          <w:szCs w:val="22"/>
          <w:lang w:eastAsia="en-AU"/>
        </w:rPr>
        <w:t>Specification</w:t>
      </w:r>
      <w:r w:rsidR="0029457E" w:rsidRPr="00B2546F">
        <w:rPr>
          <w:sz w:val="22"/>
          <w:szCs w:val="22"/>
          <w:lang w:eastAsia="en-AU"/>
        </w:rPr>
        <w:t xml:space="preserve"> </w:t>
      </w:r>
      <w:r w:rsidRPr="00B2546F">
        <w:rPr>
          <w:sz w:val="22"/>
          <w:szCs w:val="22"/>
          <w:lang w:eastAsia="en-AU"/>
        </w:rPr>
        <w:t>is repealed as set out in the applicable items in th</w:t>
      </w:r>
      <w:r w:rsidR="0029457E" w:rsidRPr="00B2546F">
        <w:rPr>
          <w:sz w:val="22"/>
          <w:szCs w:val="22"/>
          <w:lang w:eastAsia="en-AU"/>
        </w:rPr>
        <w:t>at</w:t>
      </w:r>
      <w:r w:rsidRPr="00B2546F">
        <w:rPr>
          <w:sz w:val="22"/>
          <w:szCs w:val="22"/>
          <w:lang w:eastAsia="en-AU"/>
        </w:rPr>
        <w:t xml:space="preserve"> Schedule.</w:t>
      </w:r>
    </w:p>
    <w:p w14:paraId="43400A57" w14:textId="77777777" w:rsidR="00A11704" w:rsidRDefault="00A11704" w:rsidP="00141FA8">
      <w:pPr>
        <w:spacing w:before="0" w:after="0"/>
        <w:rPr>
          <w:sz w:val="22"/>
          <w:szCs w:val="22"/>
          <w:lang w:eastAsia="en-AU"/>
        </w:rPr>
      </w:pPr>
    </w:p>
    <w:p w14:paraId="0AFED50B" w14:textId="75182E63" w:rsidR="00A11704" w:rsidRPr="00B2546F" w:rsidRDefault="00A11704" w:rsidP="00A11704">
      <w:pPr>
        <w:spacing w:before="0" w:after="0"/>
        <w:rPr>
          <w:b/>
          <w:bCs/>
          <w:sz w:val="22"/>
          <w:szCs w:val="22"/>
          <w:lang w:eastAsia="en-AU"/>
        </w:rPr>
      </w:pPr>
      <w:r w:rsidRPr="00B2546F">
        <w:rPr>
          <w:b/>
          <w:bCs/>
          <w:sz w:val="22"/>
          <w:szCs w:val="22"/>
          <w:lang w:eastAsia="en-AU"/>
        </w:rPr>
        <w:t xml:space="preserve">Schedule </w:t>
      </w:r>
      <w:r>
        <w:rPr>
          <w:b/>
          <w:bCs/>
          <w:sz w:val="22"/>
          <w:szCs w:val="22"/>
          <w:lang w:eastAsia="en-AU"/>
        </w:rPr>
        <w:t>1</w:t>
      </w:r>
      <w:r w:rsidRPr="00B2546F">
        <w:rPr>
          <w:b/>
          <w:bCs/>
          <w:sz w:val="22"/>
          <w:szCs w:val="22"/>
          <w:lang w:eastAsia="en-AU"/>
        </w:rPr>
        <w:t xml:space="preserve"> –</w:t>
      </w:r>
      <w:r>
        <w:rPr>
          <w:b/>
          <w:bCs/>
          <w:sz w:val="22"/>
          <w:szCs w:val="22"/>
          <w:lang w:eastAsia="en-AU"/>
        </w:rPr>
        <w:t xml:space="preserve"> </w:t>
      </w:r>
      <w:r w:rsidR="00683BAA">
        <w:rPr>
          <w:b/>
          <w:bCs/>
          <w:sz w:val="22"/>
          <w:szCs w:val="22"/>
          <w:lang w:eastAsia="en-AU"/>
        </w:rPr>
        <w:t>T</w:t>
      </w:r>
      <w:r w:rsidRPr="00A11704">
        <w:rPr>
          <w:b/>
          <w:bCs/>
          <w:sz w:val="22"/>
          <w:szCs w:val="22"/>
          <w:lang w:eastAsia="en-AU"/>
        </w:rPr>
        <w:t>herapeutic goods information</w:t>
      </w:r>
    </w:p>
    <w:p w14:paraId="4DB09988" w14:textId="77777777" w:rsidR="00A11704" w:rsidRPr="00B2546F" w:rsidRDefault="00A11704" w:rsidP="00141FA8">
      <w:pPr>
        <w:spacing w:before="0" w:after="0"/>
        <w:rPr>
          <w:sz w:val="22"/>
          <w:szCs w:val="22"/>
          <w:lang w:eastAsia="en-AU"/>
        </w:rPr>
      </w:pPr>
    </w:p>
    <w:p w14:paraId="080E7E0F" w14:textId="240A6394" w:rsidR="006674AE" w:rsidRPr="006674AE" w:rsidRDefault="006674AE" w:rsidP="006674AE">
      <w:pPr>
        <w:spacing w:before="0" w:after="0"/>
        <w:rPr>
          <w:sz w:val="22"/>
          <w:szCs w:val="22"/>
          <w:lang w:eastAsia="en-AU"/>
        </w:rPr>
      </w:pPr>
      <w:r w:rsidRPr="006674AE">
        <w:rPr>
          <w:sz w:val="22"/>
          <w:szCs w:val="22"/>
          <w:lang w:eastAsia="en-AU"/>
        </w:rPr>
        <w:t>This Schedule specifies</w:t>
      </w:r>
      <w:r w:rsidR="00B0261F">
        <w:rPr>
          <w:sz w:val="22"/>
          <w:szCs w:val="22"/>
          <w:lang w:eastAsia="en-AU"/>
        </w:rPr>
        <w:t>, for the purposes of section 5 of the Specification,</w:t>
      </w:r>
      <w:r w:rsidRPr="006674AE">
        <w:rPr>
          <w:sz w:val="22"/>
          <w:szCs w:val="22"/>
          <w:lang w:eastAsia="en-AU"/>
        </w:rPr>
        <w:t xml:space="preserve"> the kinds of therapeutic goods information, which </w:t>
      </w:r>
      <w:r w:rsidR="00B0261F">
        <w:rPr>
          <w:sz w:val="22"/>
          <w:szCs w:val="22"/>
          <w:lang w:eastAsia="en-AU"/>
        </w:rPr>
        <w:t xml:space="preserve">the Secretary </w:t>
      </w:r>
      <w:r w:rsidRPr="006674AE">
        <w:rPr>
          <w:sz w:val="22"/>
          <w:szCs w:val="22"/>
          <w:lang w:eastAsia="en-AU"/>
        </w:rPr>
        <w:t>may release to the public under subsection 61(5C) of the Act.</w:t>
      </w:r>
    </w:p>
    <w:p w14:paraId="2F06B16F" w14:textId="77777777" w:rsidR="006674AE" w:rsidRPr="006674AE" w:rsidRDefault="006674AE" w:rsidP="006674AE">
      <w:pPr>
        <w:spacing w:before="0" w:after="0"/>
        <w:rPr>
          <w:sz w:val="22"/>
          <w:szCs w:val="22"/>
          <w:lang w:eastAsia="en-AU"/>
        </w:rPr>
      </w:pPr>
    </w:p>
    <w:p w14:paraId="3B492613" w14:textId="7C359A9E" w:rsidR="00F302F7" w:rsidRDefault="006674AE" w:rsidP="006674AE">
      <w:pPr>
        <w:spacing w:before="0" w:after="0"/>
        <w:rPr>
          <w:sz w:val="22"/>
          <w:szCs w:val="22"/>
          <w:lang w:eastAsia="en-AU"/>
        </w:rPr>
      </w:pPr>
      <w:r w:rsidRPr="006674AE">
        <w:rPr>
          <w:sz w:val="22"/>
          <w:szCs w:val="22"/>
          <w:lang w:eastAsia="en-AU"/>
        </w:rPr>
        <w:t xml:space="preserve">The kinds of </w:t>
      </w:r>
      <w:r w:rsidR="00B0261F">
        <w:rPr>
          <w:sz w:val="22"/>
          <w:szCs w:val="22"/>
          <w:lang w:eastAsia="en-AU"/>
        </w:rPr>
        <w:t xml:space="preserve">therapeutic goods </w:t>
      </w:r>
      <w:r w:rsidRPr="006674AE">
        <w:rPr>
          <w:sz w:val="22"/>
          <w:szCs w:val="22"/>
          <w:lang w:eastAsia="en-AU"/>
        </w:rPr>
        <w:t xml:space="preserve">information specified </w:t>
      </w:r>
      <w:r w:rsidR="00F302F7">
        <w:rPr>
          <w:sz w:val="22"/>
          <w:szCs w:val="22"/>
          <w:lang w:eastAsia="en-AU"/>
        </w:rPr>
        <w:t xml:space="preserve">in item 1 of the table in this </w:t>
      </w:r>
      <w:r w:rsidR="003975D6">
        <w:rPr>
          <w:sz w:val="22"/>
          <w:szCs w:val="22"/>
          <w:lang w:eastAsia="en-AU"/>
        </w:rPr>
        <w:t xml:space="preserve">Schedule </w:t>
      </w:r>
      <w:r w:rsidR="003975D6">
        <w:t>relate</w:t>
      </w:r>
      <w:r w:rsidR="00F302F7" w:rsidRPr="00F302F7">
        <w:rPr>
          <w:sz w:val="22"/>
          <w:szCs w:val="22"/>
          <w:lang w:eastAsia="en-AU"/>
        </w:rPr>
        <w:t xml:space="preserve"> to an adverse event </w:t>
      </w:r>
      <w:r w:rsidR="00115FA2">
        <w:rPr>
          <w:sz w:val="22"/>
          <w:szCs w:val="22"/>
          <w:lang w:eastAsia="en-AU"/>
        </w:rPr>
        <w:t xml:space="preserve">involving a medicine or biological </w:t>
      </w:r>
      <w:r w:rsidR="00F302F7" w:rsidRPr="00F302F7">
        <w:rPr>
          <w:sz w:val="22"/>
          <w:szCs w:val="22"/>
          <w:lang w:eastAsia="en-AU"/>
        </w:rPr>
        <w:t xml:space="preserve">that has been reported to the </w:t>
      </w:r>
      <w:r w:rsidR="00F302F7">
        <w:rPr>
          <w:sz w:val="22"/>
          <w:szCs w:val="22"/>
          <w:lang w:eastAsia="en-AU"/>
        </w:rPr>
        <w:t>Therapeutic Goods Administration (“</w:t>
      </w:r>
      <w:r w:rsidR="00115FA2">
        <w:rPr>
          <w:sz w:val="22"/>
          <w:szCs w:val="22"/>
          <w:lang w:eastAsia="en-AU"/>
        </w:rPr>
        <w:t xml:space="preserve">the </w:t>
      </w:r>
      <w:r w:rsidR="00F302F7" w:rsidRPr="00F302F7">
        <w:rPr>
          <w:sz w:val="22"/>
          <w:szCs w:val="22"/>
          <w:lang w:eastAsia="en-AU"/>
        </w:rPr>
        <w:t>TGA</w:t>
      </w:r>
      <w:r w:rsidR="00F302F7">
        <w:rPr>
          <w:sz w:val="22"/>
          <w:szCs w:val="22"/>
          <w:lang w:eastAsia="en-AU"/>
        </w:rPr>
        <w:t>”)</w:t>
      </w:r>
      <w:r w:rsidR="00115FA2">
        <w:rPr>
          <w:sz w:val="22"/>
          <w:szCs w:val="22"/>
          <w:lang w:eastAsia="en-AU"/>
        </w:rPr>
        <w:t>,</w:t>
      </w:r>
      <w:r w:rsidR="00F302F7">
        <w:rPr>
          <w:sz w:val="22"/>
          <w:szCs w:val="22"/>
          <w:lang w:eastAsia="en-AU"/>
        </w:rPr>
        <w:t xml:space="preserve"> includ</w:t>
      </w:r>
      <w:r w:rsidR="00115FA2">
        <w:rPr>
          <w:sz w:val="22"/>
          <w:szCs w:val="22"/>
          <w:lang w:eastAsia="en-AU"/>
        </w:rPr>
        <w:t>ing</w:t>
      </w:r>
      <w:r w:rsidR="00F302F7">
        <w:rPr>
          <w:sz w:val="22"/>
          <w:szCs w:val="22"/>
          <w:lang w:eastAsia="en-AU"/>
        </w:rPr>
        <w:t xml:space="preserve"> </w:t>
      </w:r>
      <w:r w:rsidR="00115FA2">
        <w:rPr>
          <w:sz w:val="22"/>
          <w:szCs w:val="22"/>
          <w:lang w:eastAsia="en-AU"/>
        </w:rPr>
        <w:t xml:space="preserve">for instance </w:t>
      </w:r>
      <w:r w:rsidR="00F302F7">
        <w:rPr>
          <w:sz w:val="22"/>
          <w:szCs w:val="22"/>
          <w:lang w:eastAsia="en-AU"/>
        </w:rPr>
        <w:t>details of the relevant medicine or biological, details of any other therapeutic goods administered</w:t>
      </w:r>
      <w:r w:rsidR="00115FA2">
        <w:rPr>
          <w:sz w:val="22"/>
          <w:szCs w:val="22"/>
          <w:lang w:eastAsia="en-AU"/>
        </w:rPr>
        <w:t xml:space="preserve"> to the person who is reported to have suffered the adverse event</w:t>
      </w:r>
      <w:r w:rsidR="00F302F7">
        <w:rPr>
          <w:sz w:val="22"/>
          <w:szCs w:val="22"/>
          <w:lang w:eastAsia="en-AU"/>
        </w:rPr>
        <w:t xml:space="preserve"> and the age and gender of the </w:t>
      </w:r>
      <w:r w:rsidR="00115FA2">
        <w:rPr>
          <w:sz w:val="22"/>
          <w:szCs w:val="22"/>
          <w:lang w:eastAsia="en-AU"/>
        </w:rPr>
        <w:t xml:space="preserve">relevant </w:t>
      </w:r>
      <w:r w:rsidR="00F302F7">
        <w:rPr>
          <w:sz w:val="22"/>
          <w:szCs w:val="22"/>
          <w:lang w:eastAsia="en-AU"/>
        </w:rPr>
        <w:t>person.</w:t>
      </w:r>
    </w:p>
    <w:p w14:paraId="29338850" w14:textId="77777777" w:rsidR="00F302F7" w:rsidRDefault="00F302F7" w:rsidP="006674AE">
      <w:pPr>
        <w:spacing w:before="0" w:after="0"/>
        <w:rPr>
          <w:sz w:val="22"/>
          <w:szCs w:val="22"/>
          <w:lang w:eastAsia="en-AU"/>
        </w:rPr>
      </w:pPr>
    </w:p>
    <w:p w14:paraId="4260FC2B" w14:textId="61D79731" w:rsidR="00F302F7" w:rsidRDefault="00F302F7" w:rsidP="006674AE">
      <w:pPr>
        <w:spacing w:before="0" w:after="0"/>
        <w:rPr>
          <w:sz w:val="22"/>
          <w:szCs w:val="22"/>
          <w:lang w:eastAsia="en-AU"/>
        </w:rPr>
      </w:pPr>
      <w:r>
        <w:rPr>
          <w:sz w:val="22"/>
          <w:szCs w:val="22"/>
          <w:lang w:eastAsia="en-AU"/>
        </w:rPr>
        <w:t xml:space="preserve">The kinds of </w:t>
      </w:r>
      <w:r w:rsidR="00115FA2">
        <w:rPr>
          <w:sz w:val="22"/>
          <w:szCs w:val="22"/>
          <w:lang w:eastAsia="en-AU"/>
        </w:rPr>
        <w:t xml:space="preserve">therapeutic goods </w:t>
      </w:r>
      <w:r>
        <w:rPr>
          <w:sz w:val="22"/>
          <w:szCs w:val="22"/>
          <w:lang w:eastAsia="en-AU"/>
        </w:rPr>
        <w:t xml:space="preserve">information specified in item 2 of the table in </w:t>
      </w:r>
      <w:r w:rsidR="00115FA2">
        <w:rPr>
          <w:sz w:val="22"/>
          <w:szCs w:val="22"/>
          <w:lang w:eastAsia="en-AU"/>
        </w:rPr>
        <w:t xml:space="preserve">this </w:t>
      </w:r>
      <w:r>
        <w:rPr>
          <w:sz w:val="22"/>
          <w:szCs w:val="22"/>
          <w:lang w:eastAsia="en-AU"/>
        </w:rPr>
        <w:t xml:space="preserve">Schedule </w:t>
      </w:r>
      <w:r w:rsidRPr="00F302F7">
        <w:rPr>
          <w:sz w:val="22"/>
          <w:szCs w:val="22"/>
          <w:lang w:eastAsia="en-AU"/>
        </w:rPr>
        <w:t>relat</w:t>
      </w:r>
      <w:r w:rsidR="00115FA2">
        <w:rPr>
          <w:sz w:val="22"/>
          <w:szCs w:val="22"/>
          <w:lang w:eastAsia="en-AU"/>
        </w:rPr>
        <w:t>es</w:t>
      </w:r>
      <w:r w:rsidRPr="00F302F7">
        <w:rPr>
          <w:sz w:val="22"/>
          <w:szCs w:val="22"/>
          <w:lang w:eastAsia="en-AU"/>
        </w:rPr>
        <w:t xml:space="preserve"> to a medicine or biological that is collated by the TGA from adverse events that have been reported to the TGA in relation to the medicine or biological and recorded in the DAEN</w:t>
      </w:r>
      <w:r w:rsidR="00115FA2">
        <w:rPr>
          <w:sz w:val="22"/>
          <w:szCs w:val="22"/>
          <w:lang w:eastAsia="en-AU"/>
        </w:rPr>
        <w:t>,</w:t>
      </w:r>
      <w:r>
        <w:rPr>
          <w:sz w:val="22"/>
          <w:szCs w:val="22"/>
          <w:lang w:eastAsia="en-AU"/>
        </w:rPr>
        <w:t xml:space="preserve"> includ</w:t>
      </w:r>
      <w:r w:rsidR="00115FA2">
        <w:rPr>
          <w:sz w:val="22"/>
          <w:szCs w:val="22"/>
          <w:lang w:eastAsia="en-AU"/>
        </w:rPr>
        <w:t>ing</w:t>
      </w:r>
      <w:r>
        <w:rPr>
          <w:sz w:val="22"/>
          <w:szCs w:val="22"/>
          <w:lang w:eastAsia="en-AU"/>
        </w:rPr>
        <w:t xml:space="preserve"> </w:t>
      </w:r>
      <w:r w:rsidR="00115FA2">
        <w:rPr>
          <w:sz w:val="22"/>
          <w:szCs w:val="22"/>
          <w:lang w:eastAsia="en-AU"/>
        </w:rPr>
        <w:t xml:space="preserve">for instance (for a medicine or biological) </w:t>
      </w:r>
      <w:r>
        <w:rPr>
          <w:sz w:val="22"/>
          <w:szCs w:val="22"/>
          <w:lang w:eastAsia="en-AU"/>
        </w:rPr>
        <w:t>the number of relevant cases</w:t>
      </w:r>
      <w:r w:rsidR="00115FA2">
        <w:rPr>
          <w:sz w:val="22"/>
          <w:szCs w:val="22"/>
          <w:lang w:eastAsia="en-AU"/>
        </w:rPr>
        <w:t xml:space="preserve"> and</w:t>
      </w:r>
      <w:r>
        <w:rPr>
          <w:sz w:val="22"/>
          <w:szCs w:val="22"/>
          <w:lang w:eastAsia="en-AU"/>
        </w:rPr>
        <w:t xml:space="preserve"> the number of relevant cases that have resulted in death.</w:t>
      </w:r>
    </w:p>
    <w:p w14:paraId="088911A8" w14:textId="77777777" w:rsidR="00F302F7" w:rsidRDefault="00F302F7" w:rsidP="006674AE">
      <w:pPr>
        <w:spacing w:before="0" w:after="0"/>
        <w:rPr>
          <w:sz w:val="22"/>
          <w:szCs w:val="22"/>
          <w:lang w:eastAsia="en-AU"/>
        </w:rPr>
      </w:pPr>
    </w:p>
    <w:p w14:paraId="294C6A32" w14:textId="305F2FE8" w:rsidR="00141FA8" w:rsidRPr="00B2546F" w:rsidRDefault="009C45C1" w:rsidP="00141FA8">
      <w:pPr>
        <w:spacing w:before="0" w:after="0"/>
        <w:rPr>
          <w:b/>
          <w:bCs/>
          <w:sz w:val="22"/>
          <w:szCs w:val="22"/>
          <w:lang w:eastAsia="en-AU"/>
        </w:rPr>
      </w:pPr>
      <w:r w:rsidRPr="00B2546F">
        <w:rPr>
          <w:b/>
          <w:bCs/>
          <w:sz w:val="22"/>
          <w:szCs w:val="22"/>
          <w:lang w:eastAsia="en-AU"/>
        </w:rPr>
        <w:lastRenderedPageBreak/>
        <w:t xml:space="preserve">Schedule </w:t>
      </w:r>
      <w:r w:rsidR="00A11704">
        <w:rPr>
          <w:b/>
          <w:bCs/>
          <w:sz w:val="22"/>
          <w:szCs w:val="22"/>
          <w:lang w:eastAsia="en-AU"/>
        </w:rPr>
        <w:t>2</w:t>
      </w:r>
      <w:r w:rsidR="00141FA8" w:rsidRPr="00B2546F">
        <w:rPr>
          <w:b/>
          <w:bCs/>
          <w:sz w:val="22"/>
          <w:szCs w:val="22"/>
          <w:lang w:eastAsia="en-AU"/>
        </w:rPr>
        <w:t xml:space="preserve"> – </w:t>
      </w:r>
      <w:r w:rsidRPr="00B2546F">
        <w:rPr>
          <w:b/>
          <w:bCs/>
          <w:sz w:val="22"/>
          <w:szCs w:val="22"/>
          <w:lang w:eastAsia="en-AU"/>
        </w:rPr>
        <w:t>Repeals</w:t>
      </w:r>
    </w:p>
    <w:p w14:paraId="7392B669" w14:textId="77777777" w:rsidR="00141FA8" w:rsidRPr="00B2546F" w:rsidRDefault="00141FA8" w:rsidP="00141FA8">
      <w:pPr>
        <w:spacing w:before="0" w:after="0"/>
        <w:rPr>
          <w:b/>
          <w:bCs/>
          <w:sz w:val="22"/>
          <w:szCs w:val="22"/>
          <w:lang w:eastAsia="en-AU"/>
        </w:rPr>
      </w:pPr>
    </w:p>
    <w:p w14:paraId="541D3917" w14:textId="77777777" w:rsidR="00752023" w:rsidRDefault="00141FA8" w:rsidP="003D354B">
      <w:pPr>
        <w:spacing w:before="0" w:after="0"/>
        <w:rPr>
          <w:sz w:val="22"/>
          <w:szCs w:val="22"/>
          <w:lang w:eastAsia="en-AU"/>
        </w:rPr>
      </w:pPr>
      <w:r w:rsidRPr="00B2546F">
        <w:rPr>
          <w:sz w:val="22"/>
          <w:szCs w:val="22"/>
          <w:lang w:eastAsia="en-AU"/>
        </w:rPr>
        <w:t xml:space="preserve">This Schedule provides that the </w:t>
      </w:r>
      <w:r w:rsidR="001F0E2B">
        <w:rPr>
          <w:bCs/>
          <w:i/>
          <w:iCs/>
          <w:sz w:val="22"/>
          <w:szCs w:val="22"/>
          <w:lang w:val="en-AU" w:eastAsia="en-AU"/>
        </w:rPr>
        <w:t xml:space="preserve">Therapeutic Goods Information (Database of Adverse Event Notifications) Specification 2012 </w:t>
      </w:r>
      <w:r w:rsidRPr="00B2546F">
        <w:rPr>
          <w:sz w:val="22"/>
          <w:szCs w:val="22"/>
          <w:lang w:eastAsia="en-AU"/>
        </w:rPr>
        <w:t>is repealed.</w:t>
      </w:r>
    </w:p>
    <w:p w14:paraId="0E2CFAAC" w14:textId="3188471F" w:rsidR="00141FA8" w:rsidRPr="00B2546F" w:rsidRDefault="00141FA8" w:rsidP="003D354B">
      <w:pPr>
        <w:spacing w:before="0" w:after="0"/>
        <w:rPr>
          <w:sz w:val="22"/>
          <w:szCs w:val="22"/>
          <w:lang w:eastAsia="en-AU"/>
        </w:rPr>
      </w:pPr>
      <w:r w:rsidRPr="00B2546F">
        <w:rPr>
          <w:sz w:val="22"/>
          <w:szCs w:val="22"/>
          <w:lang w:eastAsia="en-AU"/>
        </w:rPr>
        <w:br w:type="page"/>
      </w:r>
    </w:p>
    <w:p w14:paraId="6E99552C" w14:textId="77777777" w:rsidR="00141FA8" w:rsidRPr="00B2546F" w:rsidRDefault="00141FA8" w:rsidP="00141FA8">
      <w:pPr>
        <w:spacing w:before="0" w:after="0"/>
        <w:jc w:val="right"/>
        <w:rPr>
          <w:b/>
        </w:rPr>
      </w:pPr>
      <w:r w:rsidRPr="00B2546F">
        <w:rPr>
          <w:b/>
        </w:rPr>
        <w:lastRenderedPageBreak/>
        <w:t>Attachment B</w:t>
      </w:r>
    </w:p>
    <w:p w14:paraId="0B657E23" w14:textId="77777777" w:rsidR="00141FA8" w:rsidRPr="00B2546F" w:rsidRDefault="00141FA8" w:rsidP="00141FA8">
      <w:pPr>
        <w:spacing w:before="0" w:after="0"/>
        <w:jc w:val="center"/>
        <w:rPr>
          <w:b/>
        </w:rPr>
      </w:pPr>
    </w:p>
    <w:p w14:paraId="4FA4AFA6" w14:textId="77777777" w:rsidR="00141FA8" w:rsidRPr="00B2546F" w:rsidRDefault="00141FA8" w:rsidP="00141FA8">
      <w:pPr>
        <w:spacing w:before="0" w:after="0"/>
        <w:jc w:val="center"/>
        <w:rPr>
          <w:b/>
        </w:rPr>
      </w:pPr>
      <w:r w:rsidRPr="00B2546F">
        <w:rPr>
          <w:b/>
        </w:rPr>
        <w:t>Statement of Compatibility with Human Rights</w:t>
      </w:r>
    </w:p>
    <w:p w14:paraId="7BF35036" w14:textId="77777777" w:rsidR="00141FA8" w:rsidRPr="00B2546F" w:rsidRDefault="00141FA8" w:rsidP="00141FA8">
      <w:pPr>
        <w:spacing w:before="0" w:after="0"/>
        <w:rPr>
          <w:sz w:val="22"/>
          <w:szCs w:val="22"/>
        </w:rPr>
      </w:pPr>
    </w:p>
    <w:p w14:paraId="405930D0" w14:textId="77777777" w:rsidR="00141FA8" w:rsidRPr="00B2546F" w:rsidRDefault="00141FA8" w:rsidP="00141FA8">
      <w:pPr>
        <w:spacing w:before="0" w:after="0"/>
        <w:jc w:val="center"/>
        <w:rPr>
          <w:sz w:val="22"/>
          <w:szCs w:val="22"/>
        </w:rPr>
      </w:pPr>
      <w:r w:rsidRPr="00B2546F">
        <w:rPr>
          <w:sz w:val="22"/>
          <w:szCs w:val="22"/>
        </w:rPr>
        <w:t xml:space="preserve">Prepared in accordance with Part 3 of the </w:t>
      </w:r>
      <w:r w:rsidRPr="00B2546F">
        <w:rPr>
          <w:i/>
          <w:sz w:val="22"/>
          <w:szCs w:val="22"/>
        </w:rPr>
        <w:t>Human Rights (Parliamentary Scrutiny) Act 2011</w:t>
      </w:r>
    </w:p>
    <w:p w14:paraId="38B26584" w14:textId="77777777" w:rsidR="00141FA8" w:rsidRPr="00B2546F" w:rsidRDefault="00141FA8" w:rsidP="00141FA8">
      <w:pPr>
        <w:spacing w:before="0" w:after="0"/>
        <w:jc w:val="center"/>
        <w:rPr>
          <w:b/>
          <w:sz w:val="22"/>
          <w:szCs w:val="22"/>
        </w:rPr>
      </w:pPr>
    </w:p>
    <w:p w14:paraId="6BD5BEBA" w14:textId="270A0210" w:rsidR="00A11704" w:rsidRPr="00A11704" w:rsidRDefault="00D563E3" w:rsidP="00A11704">
      <w:pPr>
        <w:spacing w:before="0" w:after="0"/>
        <w:jc w:val="center"/>
        <w:rPr>
          <w:b/>
          <w:bCs/>
          <w:sz w:val="22"/>
          <w:szCs w:val="22"/>
        </w:rPr>
      </w:pPr>
      <w:r w:rsidRPr="00D563E3">
        <w:rPr>
          <w:b/>
          <w:bCs/>
          <w:i/>
          <w:sz w:val="22"/>
          <w:szCs w:val="22"/>
          <w:lang w:val="en-AU"/>
        </w:rPr>
        <w:t>Therapeutic Goods (Database of Adverse Event Notifications) (Information) Specification 2022</w:t>
      </w:r>
    </w:p>
    <w:p w14:paraId="632914EC" w14:textId="77777777" w:rsidR="00141FA8" w:rsidRPr="00B2546F" w:rsidRDefault="00141FA8" w:rsidP="00141FA8">
      <w:pPr>
        <w:spacing w:before="0" w:after="0"/>
        <w:rPr>
          <w:sz w:val="22"/>
          <w:szCs w:val="22"/>
        </w:rPr>
      </w:pPr>
    </w:p>
    <w:p w14:paraId="3A1493A0" w14:textId="77777777" w:rsidR="00141FA8" w:rsidRPr="00B2546F" w:rsidRDefault="00141FA8" w:rsidP="00141FA8">
      <w:pPr>
        <w:spacing w:before="0" w:after="0"/>
        <w:rPr>
          <w:b/>
          <w:sz w:val="22"/>
          <w:szCs w:val="22"/>
        </w:rPr>
      </w:pPr>
      <w:r w:rsidRPr="00B2546F">
        <w:rPr>
          <w:sz w:val="22"/>
          <w:szCs w:val="22"/>
        </w:rPr>
        <w:t>This disallowable legislative instrument</w:t>
      </w:r>
      <w:r w:rsidRPr="00B2546F">
        <w:rPr>
          <w:i/>
          <w:sz w:val="22"/>
          <w:szCs w:val="22"/>
        </w:rPr>
        <w:t xml:space="preserve"> </w:t>
      </w:r>
      <w:r w:rsidRPr="00B2546F">
        <w:rPr>
          <w:sz w:val="22"/>
          <w:szCs w:val="22"/>
        </w:rPr>
        <w:t xml:space="preserve">is compatible with the human rights and freedoms </w:t>
      </w:r>
      <w:proofErr w:type="spellStart"/>
      <w:r w:rsidRPr="00B2546F">
        <w:rPr>
          <w:sz w:val="22"/>
          <w:szCs w:val="22"/>
        </w:rPr>
        <w:t>recognised</w:t>
      </w:r>
      <w:proofErr w:type="spellEnd"/>
      <w:r w:rsidRPr="00B2546F">
        <w:rPr>
          <w:sz w:val="22"/>
          <w:szCs w:val="22"/>
        </w:rPr>
        <w:t xml:space="preserve"> or declared in the international instruments listed in section 3 of the </w:t>
      </w:r>
      <w:r w:rsidRPr="00B2546F">
        <w:rPr>
          <w:i/>
          <w:sz w:val="22"/>
          <w:szCs w:val="22"/>
        </w:rPr>
        <w:t>Human Rights (Parliamentary Scrutiny) Act 2011</w:t>
      </w:r>
      <w:r w:rsidRPr="00B2546F">
        <w:rPr>
          <w:sz w:val="22"/>
          <w:szCs w:val="22"/>
        </w:rPr>
        <w:t>.</w:t>
      </w:r>
    </w:p>
    <w:p w14:paraId="42703E90" w14:textId="77777777" w:rsidR="00141FA8" w:rsidRPr="00B2546F" w:rsidRDefault="00141FA8" w:rsidP="00141FA8">
      <w:pPr>
        <w:spacing w:before="0" w:after="0"/>
        <w:rPr>
          <w:sz w:val="22"/>
          <w:szCs w:val="22"/>
        </w:rPr>
      </w:pPr>
    </w:p>
    <w:p w14:paraId="671CE131" w14:textId="77777777" w:rsidR="00141FA8" w:rsidRPr="00B2546F" w:rsidRDefault="00141FA8" w:rsidP="00141FA8">
      <w:pPr>
        <w:spacing w:before="0" w:after="0"/>
        <w:rPr>
          <w:b/>
          <w:sz w:val="22"/>
          <w:szCs w:val="22"/>
        </w:rPr>
      </w:pPr>
      <w:r w:rsidRPr="00B2546F">
        <w:rPr>
          <w:b/>
          <w:sz w:val="22"/>
          <w:szCs w:val="22"/>
        </w:rPr>
        <w:t>Overview of legislative instrument</w:t>
      </w:r>
    </w:p>
    <w:p w14:paraId="59F80E8F" w14:textId="77777777" w:rsidR="00141FA8" w:rsidRPr="00B2546F" w:rsidRDefault="00141FA8" w:rsidP="00141FA8">
      <w:pPr>
        <w:autoSpaceDE w:val="0"/>
        <w:autoSpaceDN w:val="0"/>
        <w:adjustRightInd w:val="0"/>
        <w:spacing w:before="0" w:after="0"/>
        <w:rPr>
          <w:rFonts w:eastAsiaTheme="minorHAnsi"/>
          <w:color w:val="000000"/>
          <w:sz w:val="22"/>
          <w:szCs w:val="22"/>
          <w:lang w:val="en-AU"/>
        </w:rPr>
      </w:pPr>
    </w:p>
    <w:p w14:paraId="071AB953" w14:textId="0C135203" w:rsidR="00EA52E2" w:rsidRDefault="00EA52E2" w:rsidP="00CF55EF">
      <w:pPr>
        <w:spacing w:before="0" w:after="0"/>
        <w:rPr>
          <w:sz w:val="22"/>
          <w:szCs w:val="22"/>
        </w:rPr>
      </w:pPr>
      <w:r>
        <w:rPr>
          <w:color w:val="000000"/>
          <w:sz w:val="22"/>
          <w:szCs w:val="22"/>
          <w:shd w:val="clear" w:color="auto" w:fill="FFFFFF"/>
        </w:rPr>
        <w:t>The </w:t>
      </w:r>
      <w:r>
        <w:rPr>
          <w:i/>
          <w:iCs/>
          <w:color w:val="000000"/>
          <w:sz w:val="22"/>
          <w:szCs w:val="22"/>
          <w:shd w:val="clear" w:color="auto" w:fill="FFFFFF"/>
        </w:rPr>
        <w:t>Therapeutic Goods Act 1989</w:t>
      </w:r>
      <w:r>
        <w:rPr>
          <w:color w:val="000000"/>
          <w:sz w:val="22"/>
          <w:szCs w:val="22"/>
          <w:shd w:val="clear" w:color="auto" w:fill="FFFFFF"/>
        </w:rPr>
        <w:t xml:space="preserve"> (“the Act”) provides for the establishment and maintenance of a national system of controls for the quality, safety, </w:t>
      </w:r>
      <w:proofErr w:type="gramStart"/>
      <w:r>
        <w:rPr>
          <w:color w:val="000000"/>
          <w:sz w:val="22"/>
          <w:szCs w:val="22"/>
          <w:shd w:val="clear" w:color="auto" w:fill="FFFFFF"/>
        </w:rPr>
        <w:t>efficacy</w:t>
      </w:r>
      <w:proofErr w:type="gramEnd"/>
      <w:r>
        <w:rPr>
          <w:color w:val="000000"/>
          <w:sz w:val="22"/>
          <w:szCs w:val="22"/>
          <w:shd w:val="clear" w:color="auto" w:fill="FFFFFF"/>
        </w:rPr>
        <w:t xml:space="preserve"> and timely availability of therapeutic goods that are used in, or exported from, Australia. The Act is administered by the Therapeutic Goods Administration (“the TGA”) within the Australian Government Department of Health </w:t>
      </w:r>
      <w:r w:rsidR="009520A5">
        <w:rPr>
          <w:color w:val="000000"/>
          <w:sz w:val="22"/>
          <w:szCs w:val="22"/>
          <w:shd w:val="clear" w:color="auto" w:fill="FFFFFF"/>
        </w:rPr>
        <w:t xml:space="preserve">and Aged Care </w:t>
      </w:r>
      <w:r>
        <w:rPr>
          <w:color w:val="000000"/>
          <w:sz w:val="22"/>
          <w:szCs w:val="22"/>
          <w:shd w:val="clear" w:color="auto" w:fill="FFFFFF"/>
        </w:rPr>
        <w:t>(“the Department”).</w:t>
      </w:r>
    </w:p>
    <w:p w14:paraId="01514976" w14:textId="77777777" w:rsidR="00EA52E2" w:rsidRDefault="00EA52E2" w:rsidP="00CF55EF">
      <w:pPr>
        <w:spacing w:before="0" w:after="0"/>
        <w:rPr>
          <w:sz w:val="22"/>
          <w:szCs w:val="22"/>
        </w:rPr>
      </w:pPr>
    </w:p>
    <w:p w14:paraId="3755B3C3" w14:textId="5173FB6B" w:rsidR="00D04A85" w:rsidRDefault="00141FA8" w:rsidP="00D04A85">
      <w:pPr>
        <w:spacing w:before="0" w:after="0"/>
        <w:rPr>
          <w:rFonts w:eastAsiaTheme="minorHAnsi"/>
          <w:color w:val="000000"/>
          <w:sz w:val="22"/>
          <w:szCs w:val="22"/>
          <w:lang w:val="en-AU"/>
        </w:rPr>
      </w:pPr>
      <w:r w:rsidRPr="00B2546F">
        <w:rPr>
          <w:sz w:val="22"/>
          <w:szCs w:val="22"/>
        </w:rPr>
        <w:t>The</w:t>
      </w:r>
      <w:r w:rsidRPr="00B2546F">
        <w:rPr>
          <w:b/>
          <w:i/>
          <w:sz w:val="22"/>
          <w:szCs w:val="22"/>
        </w:rPr>
        <w:t xml:space="preserve"> </w:t>
      </w:r>
      <w:r w:rsidR="00D563E3" w:rsidRPr="006C1C91">
        <w:rPr>
          <w:bCs/>
          <w:i/>
          <w:sz w:val="22"/>
          <w:szCs w:val="22"/>
        </w:rPr>
        <w:t>Therapeutic Goods (Database of Adverse Event Notifications) (Information) Specification 2022</w:t>
      </w:r>
      <w:r w:rsidR="00D563E3">
        <w:rPr>
          <w:b/>
          <w:i/>
          <w:sz w:val="22"/>
          <w:szCs w:val="22"/>
        </w:rPr>
        <w:t xml:space="preserve"> </w:t>
      </w:r>
      <w:r w:rsidRPr="00B2546F">
        <w:rPr>
          <w:sz w:val="22"/>
          <w:szCs w:val="22"/>
        </w:rPr>
        <w:t xml:space="preserve">(“the </w:t>
      </w:r>
      <w:r w:rsidR="00C132CE">
        <w:rPr>
          <w:sz w:val="22"/>
          <w:szCs w:val="22"/>
        </w:rPr>
        <w:t>instrument</w:t>
      </w:r>
      <w:r w:rsidRPr="00B2546F">
        <w:rPr>
          <w:sz w:val="22"/>
          <w:szCs w:val="22"/>
        </w:rPr>
        <w:t>”)</w:t>
      </w:r>
      <w:r w:rsidRPr="00B2546F">
        <w:rPr>
          <w:i/>
          <w:sz w:val="22"/>
          <w:szCs w:val="22"/>
        </w:rPr>
        <w:t xml:space="preserve"> </w:t>
      </w:r>
      <w:r w:rsidRPr="00B2546F">
        <w:rPr>
          <w:sz w:val="22"/>
          <w:szCs w:val="22"/>
        </w:rPr>
        <w:t xml:space="preserve">is made under </w:t>
      </w:r>
      <w:r w:rsidR="00CF55EF">
        <w:rPr>
          <w:sz w:val="22"/>
          <w:szCs w:val="22"/>
        </w:rPr>
        <w:t>sub</w:t>
      </w:r>
      <w:r w:rsidRPr="00B2546F">
        <w:rPr>
          <w:sz w:val="22"/>
          <w:szCs w:val="22"/>
        </w:rPr>
        <w:t xml:space="preserve">section </w:t>
      </w:r>
      <w:r w:rsidR="00CF55EF">
        <w:rPr>
          <w:sz w:val="22"/>
          <w:szCs w:val="22"/>
        </w:rPr>
        <w:t>61(5D)</w:t>
      </w:r>
      <w:r w:rsidRPr="00B2546F">
        <w:rPr>
          <w:sz w:val="22"/>
          <w:szCs w:val="22"/>
        </w:rPr>
        <w:t xml:space="preserve"> of the Act</w:t>
      </w:r>
      <w:r w:rsidR="00EA52E2">
        <w:rPr>
          <w:sz w:val="22"/>
          <w:szCs w:val="22"/>
        </w:rPr>
        <w:t xml:space="preserve"> </w:t>
      </w:r>
      <w:r w:rsidR="003964FA" w:rsidRPr="00B2546F">
        <w:rPr>
          <w:sz w:val="22"/>
          <w:szCs w:val="22"/>
        </w:rPr>
        <w:t xml:space="preserve">for the purpose of </w:t>
      </w:r>
      <w:r w:rsidR="00CF55EF">
        <w:rPr>
          <w:color w:val="000000"/>
          <w:sz w:val="22"/>
          <w:szCs w:val="22"/>
          <w:shd w:val="clear" w:color="auto" w:fill="FFFFFF"/>
        </w:rPr>
        <w:t xml:space="preserve">specifying kinds of therapeutic goods information that the Secretary may release to the public under subsection 61(5C) of the Act. </w:t>
      </w:r>
      <w:r w:rsidR="00D04A85">
        <w:rPr>
          <w:color w:val="000000"/>
          <w:sz w:val="22"/>
          <w:szCs w:val="22"/>
          <w:shd w:val="clear" w:color="auto" w:fill="FFFFFF"/>
        </w:rPr>
        <w:t xml:space="preserve">The instrument </w:t>
      </w:r>
      <w:proofErr w:type="spellStart"/>
      <w:r w:rsidR="00D04A85">
        <w:rPr>
          <w:color w:val="000000"/>
          <w:sz w:val="22"/>
          <w:szCs w:val="22"/>
          <w:shd w:val="clear" w:color="auto" w:fill="FFFFFF"/>
        </w:rPr>
        <w:t>authorises</w:t>
      </w:r>
      <w:proofErr w:type="spellEnd"/>
      <w:r w:rsidR="00D04A85">
        <w:rPr>
          <w:color w:val="000000"/>
          <w:sz w:val="22"/>
          <w:szCs w:val="22"/>
          <w:shd w:val="clear" w:color="auto" w:fill="FFFFFF"/>
        </w:rPr>
        <w:t xml:space="preserve"> the release </w:t>
      </w:r>
      <w:r w:rsidR="00FD755B">
        <w:rPr>
          <w:color w:val="000000"/>
          <w:sz w:val="22"/>
          <w:szCs w:val="22"/>
          <w:shd w:val="clear" w:color="auto" w:fill="FFFFFF"/>
        </w:rPr>
        <w:t xml:space="preserve">to the public </w:t>
      </w:r>
      <w:r w:rsidR="00D04A85">
        <w:rPr>
          <w:color w:val="000000"/>
          <w:sz w:val="22"/>
          <w:szCs w:val="22"/>
          <w:shd w:val="clear" w:color="auto" w:fill="FFFFFF"/>
        </w:rPr>
        <w:t>of specified kinds of therapeutic goods information relating to adverse events involving medicines and biologicals</w:t>
      </w:r>
      <w:r w:rsidR="00FD755B">
        <w:rPr>
          <w:color w:val="000000"/>
          <w:sz w:val="22"/>
          <w:szCs w:val="22"/>
          <w:shd w:val="clear" w:color="auto" w:fill="FFFFFF"/>
        </w:rPr>
        <w:t>, from</w:t>
      </w:r>
      <w:r w:rsidR="00D04A85">
        <w:rPr>
          <w:color w:val="000000"/>
          <w:sz w:val="22"/>
          <w:szCs w:val="22"/>
          <w:shd w:val="clear" w:color="auto" w:fill="FFFFFF"/>
        </w:rPr>
        <w:t xml:space="preserve"> the Database of Adverse Event Notifications (“</w:t>
      </w:r>
      <w:r w:rsidR="00FD755B">
        <w:rPr>
          <w:color w:val="000000"/>
          <w:sz w:val="22"/>
          <w:szCs w:val="22"/>
          <w:shd w:val="clear" w:color="auto" w:fill="FFFFFF"/>
        </w:rPr>
        <w:t xml:space="preserve">the </w:t>
      </w:r>
      <w:r w:rsidR="00D04A85">
        <w:rPr>
          <w:color w:val="000000"/>
          <w:sz w:val="22"/>
          <w:szCs w:val="22"/>
          <w:shd w:val="clear" w:color="auto" w:fill="FFFFFF"/>
        </w:rPr>
        <w:t>DAEN”)</w:t>
      </w:r>
      <w:r w:rsidR="00FD755B">
        <w:rPr>
          <w:color w:val="000000"/>
          <w:sz w:val="22"/>
          <w:szCs w:val="22"/>
          <w:shd w:val="clear" w:color="auto" w:fill="FFFFFF"/>
        </w:rPr>
        <w:t>, a database of such information that is</w:t>
      </w:r>
      <w:r w:rsidR="00D04A85">
        <w:rPr>
          <w:color w:val="000000"/>
          <w:sz w:val="22"/>
          <w:szCs w:val="22"/>
          <w:shd w:val="clear" w:color="auto" w:fill="FFFFFF"/>
        </w:rPr>
        <w:t xml:space="preserve"> maintained by the TGA</w:t>
      </w:r>
      <w:r w:rsidR="003C4329">
        <w:rPr>
          <w:color w:val="000000"/>
          <w:sz w:val="22"/>
          <w:szCs w:val="22"/>
          <w:shd w:val="clear" w:color="auto" w:fill="FFFFFF"/>
        </w:rPr>
        <w:t xml:space="preserve"> on the TGA website</w:t>
      </w:r>
      <w:r w:rsidR="00D04A85">
        <w:rPr>
          <w:color w:val="000000"/>
          <w:sz w:val="22"/>
          <w:szCs w:val="22"/>
          <w:shd w:val="clear" w:color="auto" w:fill="FFFFFF"/>
        </w:rPr>
        <w:t xml:space="preserve">. </w:t>
      </w:r>
      <w:r w:rsidRPr="00B2546F">
        <w:rPr>
          <w:sz w:val="22"/>
          <w:szCs w:val="22"/>
        </w:rPr>
        <w:t>Th</w:t>
      </w:r>
      <w:r w:rsidR="003964FA" w:rsidRPr="00B2546F">
        <w:rPr>
          <w:sz w:val="22"/>
          <w:szCs w:val="22"/>
        </w:rPr>
        <w:t xml:space="preserve">e </w:t>
      </w:r>
      <w:r w:rsidR="000F1154" w:rsidRPr="00B2546F">
        <w:rPr>
          <w:sz w:val="22"/>
          <w:szCs w:val="22"/>
        </w:rPr>
        <w:t>instrument</w:t>
      </w:r>
      <w:r w:rsidR="003964FA" w:rsidRPr="00B2546F">
        <w:rPr>
          <w:sz w:val="22"/>
          <w:szCs w:val="22"/>
        </w:rPr>
        <w:t xml:space="preserve"> </w:t>
      </w:r>
      <w:r w:rsidR="00FD755B">
        <w:rPr>
          <w:sz w:val="22"/>
          <w:szCs w:val="22"/>
        </w:rPr>
        <w:t xml:space="preserve">also </w:t>
      </w:r>
      <w:r w:rsidRPr="00B2546F">
        <w:rPr>
          <w:sz w:val="22"/>
          <w:szCs w:val="22"/>
        </w:rPr>
        <w:t xml:space="preserve">repeals </w:t>
      </w:r>
      <w:r w:rsidR="0026230C" w:rsidRPr="00B2546F">
        <w:rPr>
          <w:sz w:val="22"/>
          <w:szCs w:val="22"/>
        </w:rPr>
        <w:t>and replaces</w:t>
      </w:r>
      <w:r w:rsidR="003964FA" w:rsidRPr="00B2546F">
        <w:rPr>
          <w:sz w:val="22"/>
          <w:szCs w:val="22"/>
        </w:rPr>
        <w:t xml:space="preserve"> the</w:t>
      </w:r>
      <w:r w:rsidR="0026230C" w:rsidRPr="00B2546F">
        <w:rPr>
          <w:sz w:val="22"/>
          <w:szCs w:val="22"/>
        </w:rPr>
        <w:t xml:space="preserve"> </w:t>
      </w:r>
      <w:r w:rsidR="00CF55EF" w:rsidRPr="00B2546F">
        <w:rPr>
          <w:i/>
          <w:sz w:val="22"/>
          <w:szCs w:val="22"/>
          <w:lang w:val="en-AU"/>
        </w:rPr>
        <w:t>Therapeutic Goods</w:t>
      </w:r>
      <w:r w:rsidR="00CF55EF">
        <w:rPr>
          <w:i/>
          <w:sz w:val="22"/>
          <w:szCs w:val="22"/>
          <w:lang w:val="en-AU"/>
        </w:rPr>
        <w:t xml:space="preserve"> Information</w:t>
      </w:r>
      <w:r w:rsidR="00CF55EF" w:rsidRPr="00B2546F">
        <w:rPr>
          <w:i/>
          <w:sz w:val="22"/>
          <w:szCs w:val="22"/>
          <w:lang w:val="en-AU"/>
        </w:rPr>
        <w:t xml:space="preserve"> (</w:t>
      </w:r>
      <w:r w:rsidR="00CF55EF">
        <w:rPr>
          <w:i/>
          <w:sz w:val="22"/>
          <w:szCs w:val="22"/>
          <w:lang w:val="en-AU"/>
        </w:rPr>
        <w:t xml:space="preserve">Database of Adverse Event Notifications) Specification 2012 </w:t>
      </w:r>
      <w:r w:rsidR="00CF55EF">
        <w:rPr>
          <w:iCs/>
          <w:sz w:val="22"/>
          <w:szCs w:val="22"/>
          <w:lang w:val="en-AU"/>
        </w:rPr>
        <w:t xml:space="preserve">(“the </w:t>
      </w:r>
      <w:r w:rsidR="00C132CE">
        <w:rPr>
          <w:iCs/>
          <w:sz w:val="22"/>
          <w:szCs w:val="22"/>
          <w:lang w:val="en-AU"/>
        </w:rPr>
        <w:t>former instrument</w:t>
      </w:r>
      <w:r w:rsidR="00CF55EF">
        <w:rPr>
          <w:iCs/>
          <w:sz w:val="22"/>
          <w:szCs w:val="22"/>
          <w:lang w:val="en-AU"/>
        </w:rPr>
        <w:t>”)</w:t>
      </w:r>
      <w:r w:rsidR="00CF55EF">
        <w:rPr>
          <w:i/>
          <w:sz w:val="22"/>
          <w:szCs w:val="22"/>
          <w:lang w:val="en-AU"/>
        </w:rPr>
        <w:t xml:space="preserve">, </w:t>
      </w:r>
      <w:r w:rsidR="008B5319" w:rsidRPr="00B2546F">
        <w:rPr>
          <w:rFonts w:eastAsiaTheme="minorHAnsi"/>
          <w:color w:val="000000"/>
          <w:sz w:val="22"/>
          <w:szCs w:val="22"/>
          <w:lang w:val="en-AU"/>
        </w:rPr>
        <w:t xml:space="preserve">which </w:t>
      </w:r>
      <w:r w:rsidR="003964FA" w:rsidRPr="00B2546F">
        <w:rPr>
          <w:rFonts w:eastAsiaTheme="minorHAnsi"/>
          <w:color w:val="000000"/>
          <w:sz w:val="22"/>
          <w:szCs w:val="22"/>
          <w:lang w:val="en-AU"/>
        </w:rPr>
        <w:t xml:space="preserve">would </w:t>
      </w:r>
      <w:proofErr w:type="gramStart"/>
      <w:r w:rsidR="003964FA" w:rsidRPr="00B2546F">
        <w:rPr>
          <w:rFonts w:eastAsiaTheme="minorHAnsi"/>
          <w:color w:val="000000"/>
          <w:sz w:val="22"/>
          <w:szCs w:val="22"/>
          <w:lang w:val="en-AU"/>
        </w:rPr>
        <w:t>otherwise</w:t>
      </w:r>
      <w:proofErr w:type="gramEnd"/>
      <w:r w:rsidRPr="00B2546F">
        <w:rPr>
          <w:rFonts w:eastAsiaTheme="minorHAnsi"/>
          <w:color w:val="000000"/>
          <w:sz w:val="22"/>
          <w:szCs w:val="22"/>
          <w:lang w:val="en-AU"/>
        </w:rPr>
        <w:t xml:space="preserve"> sunset on </w:t>
      </w:r>
      <w:r w:rsidR="001C33ED" w:rsidRPr="00B2546F">
        <w:rPr>
          <w:rFonts w:eastAsiaTheme="minorHAnsi"/>
          <w:color w:val="000000"/>
          <w:sz w:val="22"/>
          <w:szCs w:val="22"/>
          <w:lang w:val="en-AU"/>
        </w:rPr>
        <w:t xml:space="preserve">1 </w:t>
      </w:r>
      <w:r w:rsidR="00CF55EF">
        <w:rPr>
          <w:rFonts w:eastAsiaTheme="minorHAnsi"/>
          <w:color w:val="000000"/>
          <w:sz w:val="22"/>
          <w:szCs w:val="22"/>
          <w:lang w:val="en-AU"/>
        </w:rPr>
        <w:t>October</w:t>
      </w:r>
      <w:r w:rsidR="001C33ED" w:rsidRPr="00B2546F">
        <w:rPr>
          <w:rFonts w:eastAsiaTheme="minorHAnsi"/>
          <w:color w:val="000000"/>
          <w:sz w:val="22"/>
          <w:szCs w:val="22"/>
          <w:lang w:val="en-AU"/>
        </w:rPr>
        <w:t xml:space="preserve"> 2022</w:t>
      </w:r>
      <w:r w:rsidR="003964FA" w:rsidRPr="00B2546F">
        <w:rPr>
          <w:rFonts w:eastAsiaTheme="minorHAnsi"/>
          <w:color w:val="000000"/>
          <w:sz w:val="22"/>
          <w:szCs w:val="22"/>
          <w:lang w:val="en-AU"/>
        </w:rPr>
        <w:t>.</w:t>
      </w:r>
      <w:r w:rsidR="00D04A85">
        <w:rPr>
          <w:rFonts w:eastAsiaTheme="minorHAnsi"/>
          <w:color w:val="000000"/>
          <w:sz w:val="22"/>
          <w:szCs w:val="22"/>
          <w:lang w:val="en-AU"/>
        </w:rPr>
        <w:t xml:space="preserve"> </w:t>
      </w:r>
    </w:p>
    <w:p w14:paraId="79222132" w14:textId="77777777" w:rsidR="00D04A85" w:rsidRDefault="00D04A85" w:rsidP="00D04A85">
      <w:pPr>
        <w:spacing w:before="0" w:after="0"/>
        <w:rPr>
          <w:rFonts w:eastAsiaTheme="minorHAnsi"/>
          <w:color w:val="000000"/>
          <w:sz w:val="22"/>
          <w:szCs w:val="22"/>
          <w:lang w:val="en-AU"/>
        </w:rPr>
      </w:pPr>
    </w:p>
    <w:p w14:paraId="6FB8E142" w14:textId="580F73FC" w:rsidR="001E7D97" w:rsidRDefault="001E7D97" w:rsidP="001E7D97">
      <w:pPr>
        <w:spacing w:before="0" w:after="0"/>
        <w:rPr>
          <w:sz w:val="22"/>
          <w:szCs w:val="22"/>
        </w:rPr>
      </w:pPr>
      <w:r>
        <w:rPr>
          <w:sz w:val="22"/>
          <w:szCs w:val="22"/>
        </w:rPr>
        <w:t>The former instrument, made under subsection 61(5D) of the Act, came into force in 2012 and facilitated the release to the public of certain adverse event information relating to medicines contained in the DAEN. The former Specification enabled the TGA to publicly display data about reports of adverse events that the TGA has received in relation to medicines, including vaccines, in Australia.</w:t>
      </w:r>
    </w:p>
    <w:p w14:paraId="00D48F0F" w14:textId="77777777" w:rsidR="00D04A85" w:rsidRDefault="00D04A85" w:rsidP="00D04A85">
      <w:pPr>
        <w:spacing w:before="0" w:after="0"/>
        <w:rPr>
          <w:sz w:val="22"/>
          <w:szCs w:val="22"/>
        </w:rPr>
      </w:pPr>
    </w:p>
    <w:p w14:paraId="13B9A951" w14:textId="2AF3F4D6" w:rsidR="004463E0" w:rsidRDefault="004463E0" w:rsidP="004463E0">
      <w:pPr>
        <w:spacing w:before="0" w:after="0"/>
        <w:rPr>
          <w:sz w:val="22"/>
          <w:szCs w:val="22"/>
        </w:rPr>
      </w:pPr>
      <w:r w:rsidRPr="0079329E">
        <w:rPr>
          <w:sz w:val="22"/>
          <w:szCs w:val="22"/>
        </w:rPr>
        <w:t>Adverse events are</w:t>
      </w:r>
      <w:r w:rsidR="00FD755B">
        <w:rPr>
          <w:sz w:val="22"/>
          <w:szCs w:val="22"/>
        </w:rPr>
        <w:t>, in practice, principally</w:t>
      </w:r>
      <w:r w:rsidRPr="0079329E">
        <w:rPr>
          <w:sz w:val="22"/>
          <w:szCs w:val="22"/>
        </w:rPr>
        <w:t xml:space="preserve"> unintended and sometimes harmful occurrences associated with the use of a therapeutic good, </w:t>
      </w:r>
      <w:r>
        <w:rPr>
          <w:sz w:val="22"/>
          <w:szCs w:val="22"/>
        </w:rPr>
        <w:t>for example</w:t>
      </w:r>
      <w:r w:rsidR="00D415EE">
        <w:rPr>
          <w:sz w:val="22"/>
          <w:szCs w:val="22"/>
        </w:rPr>
        <w:t>,</w:t>
      </w:r>
      <w:r w:rsidRPr="0079329E">
        <w:rPr>
          <w:sz w:val="22"/>
          <w:szCs w:val="22"/>
        </w:rPr>
        <w:t xml:space="preserve"> a vaccine. </w:t>
      </w:r>
      <w:r w:rsidR="00FD755B">
        <w:rPr>
          <w:sz w:val="22"/>
          <w:szCs w:val="22"/>
        </w:rPr>
        <w:t>In some instances, t</w:t>
      </w:r>
      <w:r w:rsidRPr="0079329E">
        <w:rPr>
          <w:sz w:val="22"/>
          <w:szCs w:val="22"/>
        </w:rPr>
        <w:t xml:space="preserve">he therapeutic good may have caused the event, </w:t>
      </w:r>
      <w:r w:rsidR="00FD755B">
        <w:rPr>
          <w:sz w:val="22"/>
          <w:szCs w:val="22"/>
        </w:rPr>
        <w:t xml:space="preserve">and there may be other instances where the use of the therapeutic </w:t>
      </w:r>
      <w:r w:rsidR="003975D6">
        <w:rPr>
          <w:sz w:val="22"/>
          <w:szCs w:val="22"/>
        </w:rPr>
        <w:t>good</w:t>
      </w:r>
      <w:r w:rsidR="003975D6" w:rsidRPr="0079329E">
        <w:rPr>
          <w:sz w:val="22"/>
          <w:szCs w:val="22"/>
        </w:rPr>
        <w:t xml:space="preserve"> may</w:t>
      </w:r>
      <w:r w:rsidRPr="0079329E">
        <w:rPr>
          <w:sz w:val="22"/>
          <w:szCs w:val="22"/>
        </w:rPr>
        <w:t xml:space="preserve"> </w:t>
      </w:r>
      <w:r w:rsidR="00FD755B">
        <w:rPr>
          <w:sz w:val="22"/>
          <w:szCs w:val="22"/>
        </w:rPr>
        <w:t xml:space="preserve">have </w:t>
      </w:r>
      <w:r w:rsidRPr="0079329E">
        <w:rPr>
          <w:sz w:val="22"/>
          <w:szCs w:val="22"/>
        </w:rPr>
        <w:t>be</w:t>
      </w:r>
      <w:r w:rsidR="00FD755B">
        <w:rPr>
          <w:sz w:val="22"/>
          <w:szCs w:val="22"/>
        </w:rPr>
        <w:t>en</w:t>
      </w:r>
      <w:r w:rsidRPr="0079329E">
        <w:rPr>
          <w:sz w:val="22"/>
          <w:szCs w:val="22"/>
        </w:rPr>
        <w:t xml:space="preserve"> a coincidence </w:t>
      </w:r>
      <w:r w:rsidR="00FD755B">
        <w:rPr>
          <w:sz w:val="22"/>
          <w:szCs w:val="22"/>
        </w:rPr>
        <w:t xml:space="preserve">rather than a cause of </w:t>
      </w:r>
      <w:r w:rsidRPr="0079329E">
        <w:rPr>
          <w:sz w:val="22"/>
          <w:szCs w:val="22"/>
        </w:rPr>
        <w:t>the event.</w:t>
      </w:r>
      <w:r>
        <w:rPr>
          <w:sz w:val="22"/>
          <w:szCs w:val="22"/>
        </w:rPr>
        <w:t xml:space="preserve"> </w:t>
      </w:r>
      <w:r w:rsidRPr="0079329E">
        <w:rPr>
          <w:sz w:val="22"/>
          <w:szCs w:val="22"/>
        </w:rPr>
        <w:t xml:space="preserve">Adverse events </w:t>
      </w:r>
      <w:r w:rsidR="00FD755B">
        <w:rPr>
          <w:sz w:val="22"/>
          <w:szCs w:val="22"/>
        </w:rPr>
        <w:t>may</w:t>
      </w:r>
      <w:r w:rsidRPr="0079329E">
        <w:rPr>
          <w:sz w:val="22"/>
          <w:szCs w:val="22"/>
        </w:rPr>
        <w:t xml:space="preserve"> range in severity from mild, expected reactions </w:t>
      </w:r>
      <w:r>
        <w:rPr>
          <w:sz w:val="22"/>
          <w:szCs w:val="22"/>
        </w:rPr>
        <w:t>(</w:t>
      </w:r>
      <w:r w:rsidRPr="0079329E">
        <w:rPr>
          <w:sz w:val="22"/>
          <w:szCs w:val="22"/>
        </w:rPr>
        <w:t xml:space="preserve">such as headache, </w:t>
      </w:r>
      <w:proofErr w:type="gramStart"/>
      <w:r w:rsidRPr="0079329E">
        <w:rPr>
          <w:sz w:val="22"/>
          <w:szCs w:val="22"/>
        </w:rPr>
        <w:t>nausea</w:t>
      </w:r>
      <w:proofErr w:type="gramEnd"/>
      <w:r w:rsidRPr="0079329E">
        <w:rPr>
          <w:sz w:val="22"/>
          <w:szCs w:val="22"/>
        </w:rPr>
        <w:t xml:space="preserve"> and body aches</w:t>
      </w:r>
      <w:r>
        <w:rPr>
          <w:sz w:val="22"/>
          <w:szCs w:val="22"/>
        </w:rPr>
        <w:t>)</w:t>
      </w:r>
      <w:r w:rsidRPr="0079329E">
        <w:rPr>
          <w:sz w:val="22"/>
          <w:szCs w:val="22"/>
        </w:rPr>
        <w:t>, to more severe events</w:t>
      </w:r>
      <w:r w:rsidR="003975D6">
        <w:rPr>
          <w:sz w:val="22"/>
          <w:szCs w:val="22"/>
        </w:rPr>
        <w:t>,</w:t>
      </w:r>
      <w:r w:rsidRPr="0079329E">
        <w:rPr>
          <w:sz w:val="22"/>
          <w:szCs w:val="22"/>
        </w:rPr>
        <w:t xml:space="preserve"> </w:t>
      </w:r>
      <w:r w:rsidR="003029F1">
        <w:rPr>
          <w:sz w:val="22"/>
          <w:szCs w:val="22"/>
        </w:rPr>
        <w:t xml:space="preserve">including </w:t>
      </w:r>
      <w:r w:rsidR="00FD755B">
        <w:rPr>
          <w:sz w:val="22"/>
          <w:szCs w:val="22"/>
        </w:rPr>
        <w:t>death</w:t>
      </w:r>
      <w:r>
        <w:rPr>
          <w:sz w:val="22"/>
          <w:szCs w:val="22"/>
        </w:rPr>
        <w:t xml:space="preserve">. </w:t>
      </w:r>
      <w:r w:rsidRPr="00D6228C">
        <w:rPr>
          <w:sz w:val="22"/>
          <w:szCs w:val="22"/>
        </w:rPr>
        <w:t>The TGA uses reports of adverse events to monitor the safety of</w:t>
      </w:r>
      <w:r>
        <w:rPr>
          <w:sz w:val="22"/>
          <w:szCs w:val="22"/>
        </w:rPr>
        <w:t xml:space="preserve"> therapeutic goods</w:t>
      </w:r>
      <w:r w:rsidR="00FD755B">
        <w:rPr>
          <w:sz w:val="22"/>
          <w:szCs w:val="22"/>
        </w:rPr>
        <w:t xml:space="preserve"> and, where possible, to identify safety signals that may be investigated and used to alert patients, health practitioners and the public about </w:t>
      </w:r>
      <w:proofErr w:type="gramStart"/>
      <w:r w:rsidR="00FD755B">
        <w:rPr>
          <w:sz w:val="22"/>
          <w:szCs w:val="22"/>
        </w:rPr>
        <w:t>particular risks</w:t>
      </w:r>
      <w:proofErr w:type="gramEnd"/>
      <w:r>
        <w:rPr>
          <w:sz w:val="22"/>
          <w:szCs w:val="22"/>
        </w:rPr>
        <w:t>.</w:t>
      </w:r>
    </w:p>
    <w:p w14:paraId="496CB41D" w14:textId="77777777" w:rsidR="004463E0" w:rsidRDefault="004463E0" w:rsidP="00D04A85">
      <w:pPr>
        <w:spacing w:before="0" w:after="0"/>
        <w:rPr>
          <w:sz w:val="22"/>
          <w:szCs w:val="22"/>
        </w:rPr>
      </w:pPr>
    </w:p>
    <w:p w14:paraId="7580D2AA" w14:textId="73DBB52E" w:rsidR="00D04A85" w:rsidRDefault="00D04A85" w:rsidP="00D04A85">
      <w:pPr>
        <w:spacing w:before="0" w:after="0"/>
        <w:rPr>
          <w:sz w:val="22"/>
          <w:szCs w:val="22"/>
        </w:rPr>
      </w:pPr>
      <w:r>
        <w:rPr>
          <w:sz w:val="22"/>
          <w:szCs w:val="22"/>
        </w:rPr>
        <w:t xml:space="preserve">The DAEN is an essential component of the TGA’s work to maintain </w:t>
      </w:r>
      <w:r w:rsidR="00FD755B">
        <w:rPr>
          <w:sz w:val="22"/>
          <w:szCs w:val="22"/>
        </w:rPr>
        <w:t xml:space="preserve">the </w:t>
      </w:r>
      <w:r>
        <w:rPr>
          <w:sz w:val="22"/>
          <w:szCs w:val="22"/>
        </w:rPr>
        <w:t>transparency of</w:t>
      </w:r>
      <w:r w:rsidR="00FD755B">
        <w:rPr>
          <w:sz w:val="22"/>
          <w:szCs w:val="22"/>
        </w:rPr>
        <w:t xml:space="preserve"> </w:t>
      </w:r>
      <w:r>
        <w:rPr>
          <w:sz w:val="22"/>
          <w:szCs w:val="22"/>
        </w:rPr>
        <w:t xml:space="preserve">adverse event information </w:t>
      </w:r>
      <w:r w:rsidR="00FD755B">
        <w:rPr>
          <w:sz w:val="22"/>
          <w:szCs w:val="22"/>
        </w:rPr>
        <w:t xml:space="preserve">relating to the use of medicines and biologicals in </w:t>
      </w:r>
      <w:proofErr w:type="gramStart"/>
      <w:r w:rsidR="00FD755B">
        <w:rPr>
          <w:sz w:val="22"/>
          <w:szCs w:val="22"/>
        </w:rPr>
        <w:t xml:space="preserve">Australia, </w:t>
      </w:r>
      <w:r>
        <w:rPr>
          <w:sz w:val="22"/>
          <w:szCs w:val="22"/>
        </w:rPr>
        <w:t>and</w:t>
      </w:r>
      <w:proofErr w:type="gramEnd"/>
      <w:r>
        <w:rPr>
          <w:sz w:val="22"/>
          <w:szCs w:val="22"/>
        </w:rPr>
        <w:t xml:space="preserve"> is accessed daily by the public. </w:t>
      </w:r>
      <w:r w:rsidR="00FD755B">
        <w:rPr>
          <w:sz w:val="22"/>
          <w:szCs w:val="22"/>
        </w:rPr>
        <w:t xml:space="preserve">Consumers, health practitioners, sponsors and manufacturers can search the DAEN and </w:t>
      </w:r>
      <w:r>
        <w:rPr>
          <w:sz w:val="22"/>
          <w:szCs w:val="22"/>
        </w:rPr>
        <w:t xml:space="preserve">view data about medicine </w:t>
      </w:r>
      <w:r w:rsidR="00FD755B">
        <w:rPr>
          <w:sz w:val="22"/>
          <w:szCs w:val="22"/>
        </w:rPr>
        <w:t xml:space="preserve">and biological </w:t>
      </w:r>
      <w:r>
        <w:rPr>
          <w:sz w:val="22"/>
          <w:szCs w:val="22"/>
        </w:rPr>
        <w:t>adverse event reports, including the name of the medicine</w:t>
      </w:r>
      <w:r w:rsidR="00FD755B">
        <w:rPr>
          <w:sz w:val="22"/>
          <w:szCs w:val="22"/>
        </w:rPr>
        <w:t xml:space="preserve"> or biological</w:t>
      </w:r>
      <w:r>
        <w:rPr>
          <w:sz w:val="22"/>
          <w:szCs w:val="22"/>
        </w:rPr>
        <w:t>, de-identified patient details (age and gender) and scientific terms that describe the event. The search results also include summaries of the total number of cases in relation to a medicine</w:t>
      </w:r>
      <w:r w:rsidR="00FD755B">
        <w:rPr>
          <w:sz w:val="22"/>
          <w:szCs w:val="22"/>
        </w:rPr>
        <w:t xml:space="preserve"> or biological</w:t>
      </w:r>
      <w:r>
        <w:rPr>
          <w:sz w:val="22"/>
          <w:szCs w:val="22"/>
        </w:rPr>
        <w:t xml:space="preserve">, </w:t>
      </w:r>
      <w:r w:rsidR="00FD755B">
        <w:rPr>
          <w:sz w:val="22"/>
          <w:szCs w:val="22"/>
        </w:rPr>
        <w:t xml:space="preserve">the </w:t>
      </w:r>
      <w:r>
        <w:rPr>
          <w:sz w:val="22"/>
          <w:szCs w:val="22"/>
        </w:rPr>
        <w:t>number of cases where death was a reported outcome</w:t>
      </w:r>
      <w:r w:rsidR="000E0C31">
        <w:rPr>
          <w:sz w:val="22"/>
          <w:szCs w:val="22"/>
        </w:rPr>
        <w:t>,</w:t>
      </w:r>
      <w:r>
        <w:rPr>
          <w:sz w:val="22"/>
          <w:szCs w:val="22"/>
        </w:rPr>
        <w:t xml:space="preserve"> and </w:t>
      </w:r>
      <w:r w:rsidR="00FD755B">
        <w:rPr>
          <w:sz w:val="22"/>
          <w:szCs w:val="22"/>
        </w:rPr>
        <w:t xml:space="preserve">the </w:t>
      </w:r>
      <w:r>
        <w:rPr>
          <w:sz w:val="22"/>
          <w:szCs w:val="22"/>
        </w:rPr>
        <w:t>number of cases where the medicine</w:t>
      </w:r>
      <w:r w:rsidR="00FD755B">
        <w:rPr>
          <w:sz w:val="22"/>
          <w:szCs w:val="22"/>
        </w:rPr>
        <w:t xml:space="preserve"> or biological</w:t>
      </w:r>
      <w:r>
        <w:rPr>
          <w:sz w:val="22"/>
          <w:szCs w:val="22"/>
        </w:rPr>
        <w:t xml:space="preserve"> was </w:t>
      </w:r>
      <w:r w:rsidR="003975D6">
        <w:rPr>
          <w:sz w:val="22"/>
          <w:szCs w:val="22"/>
        </w:rPr>
        <w:t>the only</w:t>
      </w:r>
      <w:r w:rsidR="00FD755B">
        <w:rPr>
          <w:sz w:val="22"/>
          <w:szCs w:val="22"/>
        </w:rPr>
        <w:t xml:space="preserve"> therapeutic good </w:t>
      </w:r>
      <w:r>
        <w:rPr>
          <w:sz w:val="22"/>
          <w:szCs w:val="22"/>
        </w:rPr>
        <w:t>suspected of being related to the adverse event.</w:t>
      </w:r>
    </w:p>
    <w:p w14:paraId="6A1EC801" w14:textId="77777777" w:rsidR="00D04A85" w:rsidRDefault="00D04A85" w:rsidP="00D04A85">
      <w:pPr>
        <w:spacing w:before="0" w:after="0"/>
        <w:rPr>
          <w:sz w:val="22"/>
          <w:szCs w:val="22"/>
        </w:rPr>
      </w:pPr>
    </w:p>
    <w:p w14:paraId="39EBCAAC" w14:textId="70F83D28" w:rsidR="00D04A85" w:rsidRDefault="00D04A85" w:rsidP="00D04A85">
      <w:pPr>
        <w:spacing w:before="0" w:after="0"/>
        <w:rPr>
          <w:sz w:val="22"/>
          <w:szCs w:val="22"/>
        </w:rPr>
      </w:pPr>
      <w:r>
        <w:rPr>
          <w:sz w:val="22"/>
          <w:szCs w:val="22"/>
        </w:rPr>
        <w:t xml:space="preserve">The DAEN </w:t>
      </w:r>
      <w:r w:rsidR="00FD755B">
        <w:rPr>
          <w:sz w:val="22"/>
          <w:szCs w:val="22"/>
        </w:rPr>
        <w:t>also supports research and analysis relating to therapeutic go</w:t>
      </w:r>
      <w:r w:rsidR="003C4329">
        <w:rPr>
          <w:sz w:val="22"/>
          <w:szCs w:val="22"/>
        </w:rPr>
        <w:t>o</w:t>
      </w:r>
      <w:r w:rsidR="00FD755B">
        <w:rPr>
          <w:sz w:val="22"/>
          <w:szCs w:val="22"/>
        </w:rPr>
        <w:t xml:space="preserve">ds adverse events, which may in turn inform and provide insights to improve future regulation to prevent and better address such events. </w:t>
      </w:r>
      <w:r>
        <w:rPr>
          <w:sz w:val="22"/>
          <w:szCs w:val="22"/>
        </w:rPr>
        <w:t xml:space="preserve">In the 12 months from 1 May 2021 to 30 April 2022, information about adverse events relating to medicines and biologicals contained in the DAEN was accessed </w:t>
      </w:r>
      <w:r w:rsidR="000E0C31">
        <w:rPr>
          <w:sz w:val="22"/>
          <w:szCs w:val="22"/>
        </w:rPr>
        <w:t xml:space="preserve">on </w:t>
      </w:r>
      <w:r>
        <w:rPr>
          <w:sz w:val="22"/>
          <w:szCs w:val="22"/>
        </w:rPr>
        <w:t xml:space="preserve">more than 680,000 </w:t>
      </w:r>
      <w:r w:rsidR="000E0C31">
        <w:rPr>
          <w:sz w:val="22"/>
          <w:szCs w:val="22"/>
        </w:rPr>
        <w:t>occasions</w:t>
      </w:r>
      <w:r>
        <w:rPr>
          <w:sz w:val="22"/>
          <w:szCs w:val="22"/>
        </w:rPr>
        <w:t xml:space="preserve">, </w:t>
      </w:r>
      <w:r w:rsidR="00FD755B">
        <w:rPr>
          <w:sz w:val="22"/>
          <w:szCs w:val="22"/>
        </w:rPr>
        <w:t>demonstrating the level of community interest and focus on adverse event information, and the importance of ensuring public access to it</w:t>
      </w:r>
      <w:r>
        <w:rPr>
          <w:sz w:val="22"/>
          <w:szCs w:val="22"/>
        </w:rPr>
        <w:t xml:space="preserve">. </w:t>
      </w:r>
    </w:p>
    <w:p w14:paraId="25CAE913" w14:textId="77777777" w:rsidR="00D04A85" w:rsidRDefault="00D04A85" w:rsidP="00D04A85">
      <w:pPr>
        <w:spacing w:before="0" w:after="0"/>
        <w:rPr>
          <w:sz w:val="22"/>
          <w:szCs w:val="22"/>
        </w:rPr>
      </w:pPr>
    </w:p>
    <w:p w14:paraId="2E189FD9" w14:textId="7E4F1CA4" w:rsidR="00B22794" w:rsidRDefault="00B22794" w:rsidP="00B22794">
      <w:pPr>
        <w:spacing w:before="0" w:after="0"/>
        <w:rPr>
          <w:sz w:val="22"/>
          <w:szCs w:val="22"/>
        </w:rPr>
      </w:pPr>
      <w:r>
        <w:rPr>
          <w:sz w:val="22"/>
          <w:szCs w:val="22"/>
        </w:rPr>
        <w:t xml:space="preserve">The Specification </w:t>
      </w:r>
      <w:proofErr w:type="spellStart"/>
      <w:r>
        <w:rPr>
          <w:sz w:val="22"/>
          <w:szCs w:val="22"/>
        </w:rPr>
        <w:t>authorises</w:t>
      </w:r>
      <w:proofErr w:type="spellEnd"/>
      <w:r>
        <w:rPr>
          <w:sz w:val="22"/>
          <w:szCs w:val="22"/>
        </w:rPr>
        <w:t xml:space="preserve"> the release of adverse event information relating to both medicines and biologicals. Since the making of the former Specification, and the commencement on 31 May 2011 of amendments made to the Act by Schedule 1 to the </w:t>
      </w:r>
      <w:r w:rsidRPr="00E2105A">
        <w:rPr>
          <w:i/>
          <w:iCs/>
          <w:sz w:val="22"/>
          <w:szCs w:val="22"/>
        </w:rPr>
        <w:t>Therapeutic Goods Amendment (2009 Measures No. 3) Act 2009</w:t>
      </w:r>
      <w:r>
        <w:rPr>
          <w:sz w:val="22"/>
          <w:szCs w:val="22"/>
        </w:rPr>
        <w:t xml:space="preserve"> (which introduced a new regulatory framework for biologicals), biologicals have transitioned to the new framework that commenced in May 2011 and </w:t>
      </w:r>
      <w:r w:rsidRPr="00F26BDD">
        <w:rPr>
          <w:sz w:val="22"/>
          <w:szCs w:val="22"/>
        </w:rPr>
        <w:t xml:space="preserve">include </w:t>
      </w:r>
      <w:r>
        <w:rPr>
          <w:sz w:val="22"/>
          <w:szCs w:val="22"/>
        </w:rPr>
        <w:t xml:space="preserve">a range of </w:t>
      </w:r>
      <w:r w:rsidRPr="00F26BDD">
        <w:rPr>
          <w:sz w:val="22"/>
          <w:szCs w:val="22"/>
        </w:rPr>
        <w:t xml:space="preserve">products </w:t>
      </w:r>
      <w:r>
        <w:rPr>
          <w:sz w:val="22"/>
          <w:szCs w:val="22"/>
        </w:rPr>
        <w:t>including for instance</w:t>
      </w:r>
      <w:r w:rsidRPr="00F26BDD">
        <w:rPr>
          <w:sz w:val="22"/>
          <w:szCs w:val="22"/>
        </w:rPr>
        <w:t xml:space="preserve"> </w:t>
      </w:r>
      <w:proofErr w:type="spellStart"/>
      <w:r w:rsidRPr="00F26BDD">
        <w:rPr>
          <w:sz w:val="22"/>
          <w:szCs w:val="22"/>
        </w:rPr>
        <w:t>faecal</w:t>
      </w:r>
      <w:proofErr w:type="spellEnd"/>
      <w:r w:rsidRPr="00F26BDD">
        <w:rPr>
          <w:sz w:val="22"/>
          <w:szCs w:val="22"/>
        </w:rPr>
        <w:t xml:space="preserve"> microbiota transplants, skin grafts and products made from genetically modified cells (CAR-T cells). Prior to the </w:t>
      </w:r>
      <w:r>
        <w:rPr>
          <w:sz w:val="22"/>
          <w:szCs w:val="22"/>
        </w:rPr>
        <w:t>commencement</w:t>
      </w:r>
      <w:r w:rsidRPr="00F26BDD">
        <w:rPr>
          <w:sz w:val="22"/>
          <w:szCs w:val="22"/>
        </w:rPr>
        <w:t xml:space="preserve"> of</w:t>
      </w:r>
      <w:r>
        <w:rPr>
          <w:sz w:val="22"/>
          <w:szCs w:val="22"/>
        </w:rPr>
        <w:t xml:space="preserve"> the new regulatory framework for</w:t>
      </w:r>
      <w:r w:rsidRPr="00F26BDD">
        <w:rPr>
          <w:sz w:val="22"/>
          <w:szCs w:val="22"/>
        </w:rPr>
        <w:t xml:space="preserve"> biologicals </w:t>
      </w:r>
      <w:r>
        <w:rPr>
          <w:sz w:val="22"/>
          <w:szCs w:val="22"/>
        </w:rPr>
        <w:t>in May 2011 biologicals</w:t>
      </w:r>
      <w:r w:rsidRPr="00F26BDD">
        <w:rPr>
          <w:sz w:val="22"/>
          <w:szCs w:val="22"/>
        </w:rPr>
        <w:t xml:space="preserve"> </w:t>
      </w:r>
      <w:r>
        <w:rPr>
          <w:sz w:val="22"/>
          <w:szCs w:val="22"/>
        </w:rPr>
        <w:t>were</w:t>
      </w:r>
      <w:r w:rsidRPr="00F26BDD">
        <w:rPr>
          <w:sz w:val="22"/>
          <w:szCs w:val="22"/>
        </w:rPr>
        <w:t xml:space="preserve"> regulated </w:t>
      </w:r>
      <w:r>
        <w:rPr>
          <w:sz w:val="22"/>
          <w:szCs w:val="22"/>
        </w:rPr>
        <w:t xml:space="preserve">as </w:t>
      </w:r>
      <w:r w:rsidRPr="00F26BDD">
        <w:rPr>
          <w:sz w:val="22"/>
          <w:szCs w:val="22"/>
        </w:rPr>
        <w:t>either medicines or medical devices, depending on the type of product and its manufacture</w:t>
      </w:r>
      <w:r>
        <w:rPr>
          <w:sz w:val="22"/>
          <w:szCs w:val="22"/>
        </w:rPr>
        <w:t xml:space="preserve">. Identifying biologicals separately in the Specification better reflects the regulation of this class of product </w:t>
      </w:r>
      <w:proofErr w:type="gramStart"/>
      <w:r>
        <w:rPr>
          <w:sz w:val="22"/>
          <w:szCs w:val="22"/>
        </w:rPr>
        <w:t>in its own right and</w:t>
      </w:r>
      <w:proofErr w:type="gramEnd"/>
      <w:r>
        <w:rPr>
          <w:sz w:val="22"/>
          <w:szCs w:val="22"/>
        </w:rPr>
        <w:t xml:space="preserve"> </w:t>
      </w:r>
      <w:r w:rsidRPr="0029754E">
        <w:rPr>
          <w:sz w:val="22"/>
          <w:szCs w:val="22"/>
        </w:rPr>
        <w:t>clarif</w:t>
      </w:r>
      <w:r>
        <w:rPr>
          <w:sz w:val="22"/>
          <w:szCs w:val="22"/>
        </w:rPr>
        <w:t>ies</w:t>
      </w:r>
      <w:r w:rsidRPr="0029754E">
        <w:rPr>
          <w:sz w:val="22"/>
          <w:szCs w:val="22"/>
        </w:rPr>
        <w:t xml:space="preserve"> that adverse events associated with </w:t>
      </w:r>
      <w:r>
        <w:rPr>
          <w:sz w:val="22"/>
          <w:szCs w:val="22"/>
        </w:rPr>
        <w:t>biologicals</w:t>
      </w:r>
      <w:r w:rsidRPr="0029754E">
        <w:rPr>
          <w:sz w:val="22"/>
          <w:szCs w:val="22"/>
        </w:rPr>
        <w:t xml:space="preserve"> may also be published in the DAEN</w:t>
      </w:r>
      <w:r>
        <w:rPr>
          <w:sz w:val="22"/>
          <w:szCs w:val="22"/>
        </w:rPr>
        <w:t>.</w:t>
      </w:r>
    </w:p>
    <w:p w14:paraId="132C41E4" w14:textId="77777777" w:rsidR="00D04A85" w:rsidRDefault="00D04A85" w:rsidP="00D04A85">
      <w:pPr>
        <w:spacing w:before="0" w:after="0"/>
        <w:rPr>
          <w:sz w:val="22"/>
          <w:szCs w:val="22"/>
        </w:rPr>
      </w:pPr>
    </w:p>
    <w:p w14:paraId="23E88AE4" w14:textId="770ACFA5" w:rsidR="00D04A85" w:rsidRDefault="00D04A85" w:rsidP="00D04A85">
      <w:pPr>
        <w:spacing w:before="0" w:after="0"/>
        <w:rPr>
          <w:sz w:val="22"/>
          <w:szCs w:val="22"/>
        </w:rPr>
      </w:pPr>
      <w:r>
        <w:rPr>
          <w:sz w:val="22"/>
          <w:szCs w:val="22"/>
        </w:rPr>
        <w:t xml:space="preserve">As with the former </w:t>
      </w:r>
      <w:r w:rsidR="000E0C31">
        <w:rPr>
          <w:sz w:val="22"/>
          <w:szCs w:val="22"/>
        </w:rPr>
        <w:t>instrument</w:t>
      </w:r>
      <w:r>
        <w:rPr>
          <w:sz w:val="22"/>
          <w:szCs w:val="22"/>
        </w:rPr>
        <w:t>, the</w:t>
      </w:r>
      <w:r w:rsidR="00B22794">
        <w:rPr>
          <w:sz w:val="22"/>
          <w:szCs w:val="22"/>
        </w:rPr>
        <w:t xml:space="preserve"> kinds of therapeutic goods information specified by the Specification may be grouped into two broadly different categories</w:t>
      </w:r>
      <w:r>
        <w:rPr>
          <w:sz w:val="22"/>
          <w:szCs w:val="22"/>
        </w:rPr>
        <w:t>:</w:t>
      </w:r>
    </w:p>
    <w:p w14:paraId="2B25161C" w14:textId="77777777" w:rsidR="00D04A85" w:rsidRDefault="00D04A85" w:rsidP="00D04A85">
      <w:pPr>
        <w:spacing w:before="0" w:after="0"/>
        <w:rPr>
          <w:sz w:val="22"/>
          <w:szCs w:val="22"/>
        </w:rPr>
      </w:pPr>
    </w:p>
    <w:p w14:paraId="48CDFC60" w14:textId="74EED365" w:rsidR="00D04A85" w:rsidRDefault="00D04A85" w:rsidP="00D04A85">
      <w:pPr>
        <w:pStyle w:val="ListParagraph"/>
        <w:numPr>
          <w:ilvl w:val="0"/>
          <w:numId w:val="6"/>
        </w:numPr>
        <w:spacing w:before="0" w:after="0"/>
        <w:rPr>
          <w:color w:val="000000"/>
          <w:sz w:val="22"/>
          <w:szCs w:val="22"/>
          <w:shd w:val="clear" w:color="auto" w:fill="FFFFFF"/>
        </w:rPr>
      </w:pPr>
      <w:r>
        <w:rPr>
          <w:color w:val="000000"/>
          <w:sz w:val="22"/>
          <w:szCs w:val="22"/>
          <w:shd w:val="clear" w:color="auto" w:fill="FFFFFF"/>
        </w:rPr>
        <w:t>information relating to</w:t>
      </w:r>
      <w:r w:rsidR="00B22794">
        <w:rPr>
          <w:color w:val="000000"/>
          <w:sz w:val="22"/>
          <w:szCs w:val="22"/>
          <w:shd w:val="clear" w:color="auto" w:fill="FFFFFF"/>
        </w:rPr>
        <w:t xml:space="preserve"> an adverse event that has been reported to the TGA</w:t>
      </w:r>
      <w:r>
        <w:rPr>
          <w:color w:val="000000"/>
          <w:sz w:val="22"/>
          <w:szCs w:val="22"/>
          <w:shd w:val="clear" w:color="auto" w:fill="FFFFFF"/>
        </w:rPr>
        <w:t xml:space="preserve"> in relation to a medicine or biological, including </w:t>
      </w:r>
      <w:r w:rsidR="00B22794">
        <w:rPr>
          <w:color w:val="000000"/>
          <w:sz w:val="22"/>
          <w:szCs w:val="22"/>
          <w:shd w:val="clear" w:color="auto" w:fill="FFFFFF"/>
        </w:rPr>
        <w:t>for instance the details of the medicine or biological and the adverse event description term, as described in the Medical Dictionary for Regulatory Activities published by the MedDRA Maintenance and Support Services Organization</w:t>
      </w:r>
      <w:r>
        <w:rPr>
          <w:color w:val="000000"/>
          <w:sz w:val="22"/>
          <w:szCs w:val="22"/>
          <w:shd w:val="clear" w:color="auto" w:fill="FFFFFF"/>
        </w:rPr>
        <w:t>; and</w:t>
      </w:r>
    </w:p>
    <w:p w14:paraId="2157BE4D" w14:textId="2E373987" w:rsidR="00D04A85" w:rsidRDefault="00D04A85" w:rsidP="00D04A85">
      <w:pPr>
        <w:pStyle w:val="ListParagraph"/>
        <w:numPr>
          <w:ilvl w:val="0"/>
          <w:numId w:val="6"/>
        </w:numPr>
        <w:spacing w:before="0" w:after="0"/>
        <w:rPr>
          <w:color w:val="000000"/>
          <w:sz w:val="22"/>
          <w:szCs w:val="22"/>
          <w:shd w:val="clear" w:color="auto" w:fill="FFFFFF"/>
        </w:rPr>
      </w:pPr>
      <w:r>
        <w:rPr>
          <w:color w:val="000000"/>
          <w:sz w:val="22"/>
          <w:szCs w:val="22"/>
          <w:shd w:val="clear" w:color="auto" w:fill="FFFFFF"/>
        </w:rPr>
        <w:t>a summary of information relating to adverse events</w:t>
      </w:r>
      <w:r w:rsidR="00B22794">
        <w:rPr>
          <w:color w:val="000000"/>
          <w:sz w:val="22"/>
          <w:szCs w:val="22"/>
          <w:shd w:val="clear" w:color="auto" w:fill="FFFFFF"/>
        </w:rPr>
        <w:t xml:space="preserve"> that (as at the time a person accesses the DAEN) are</w:t>
      </w:r>
      <w:r>
        <w:rPr>
          <w:color w:val="000000"/>
          <w:sz w:val="22"/>
          <w:szCs w:val="22"/>
          <w:shd w:val="clear" w:color="auto" w:fill="FFFFFF"/>
        </w:rPr>
        <w:t xml:space="preserve"> reported as having occurred in relation to a medicine or biological.</w:t>
      </w:r>
    </w:p>
    <w:p w14:paraId="3E2C5821" w14:textId="77777777" w:rsidR="00D04A85" w:rsidRDefault="00D04A85" w:rsidP="005F0EF6">
      <w:pPr>
        <w:pStyle w:val="ListParagraph"/>
        <w:spacing w:before="0" w:after="0"/>
        <w:ind w:left="0"/>
        <w:rPr>
          <w:color w:val="000000"/>
          <w:sz w:val="22"/>
          <w:szCs w:val="22"/>
          <w:shd w:val="clear" w:color="auto" w:fill="FFFFFF"/>
        </w:rPr>
      </w:pPr>
    </w:p>
    <w:p w14:paraId="289E7B2F" w14:textId="767311F9" w:rsidR="00141FA8" w:rsidRPr="00B2546F" w:rsidRDefault="00141FA8" w:rsidP="00141FA8">
      <w:pPr>
        <w:spacing w:before="0" w:after="0"/>
        <w:rPr>
          <w:b/>
          <w:sz w:val="22"/>
          <w:szCs w:val="22"/>
        </w:rPr>
      </w:pPr>
      <w:r w:rsidRPr="00B2546F">
        <w:rPr>
          <w:b/>
          <w:sz w:val="22"/>
          <w:szCs w:val="22"/>
        </w:rPr>
        <w:t>Human rights implications</w:t>
      </w:r>
    </w:p>
    <w:p w14:paraId="705CD50C" w14:textId="77777777" w:rsidR="00B729AB" w:rsidRDefault="00B729AB" w:rsidP="00141FA8">
      <w:pPr>
        <w:spacing w:before="0" w:after="0"/>
        <w:rPr>
          <w:sz w:val="22"/>
          <w:szCs w:val="22"/>
        </w:rPr>
      </w:pPr>
    </w:p>
    <w:p w14:paraId="0CC7A8FB" w14:textId="3CD623FE" w:rsidR="00141FA8" w:rsidRPr="00B2546F" w:rsidRDefault="00141FA8" w:rsidP="00141FA8">
      <w:pPr>
        <w:spacing w:before="0" w:after="0"/>
        <w:rPr>
          <w:sz w:val="22"/>
          <w:szCs w:val="22"/>
        </w:rPr>
      </w:pPr>
      <w:r w:rsidRPr="00B2546F">
        <w:rPr>
          <w:sz w:val="22"/>
          <w:szCs w:val="22"/>
        </w:rPr>
        <w:t xml:space="preserve">The </w:t>
      </w:r>
      <w:r w:rsidR="000F1154" w:rsidRPr="00B2546F">
        <w:rPr>
          <w:rFonts w:eastAsiaTheme="minorHAnsi"/>
          <w:color w:val="000000"/>
          <w:sz w:val="22"/>
          <w:szCs w:val="22"/>
          <w:lang w:val="en-AU"/>
        </w:rPr>
        <w:t xml:space="preserve">instrument </w:t>
      </w:r>
      <w:r w:rsidRPr="00B2546F">
        <w:rPr>
          <w:sz w:val="22"/>
          <w:szCs w:val="22"/>
        </w:rPr>
        <w:t>engages the right to health in Article 12 of the International Covenant on Economic, Social and Cultural Rights (“the ICESCR”). Article 12 of the ICESCR promotes the right of all individuals to enjoy the highest attainable standards of physical and mental health.</w:t>
      </w:r>
    </w:p>
    <w:p w14:paraId="62AA580F" w14:textId="7537B792" w:rsidR="00141FA8" w:rsidRPr="00B2546F" w:rsidRDefault="00141FA8" w:rsidP="00141FA8">
      <w:pPr>
        <w:spacing w:before="0" w:after="0"/>
        <w:rPr>
          <w:sz w:val="22"/>
          <w:szCs w:val="22"/>
        </w:rPr>
      </w:pPr>
    </w:p>
    <w:p w14:paraId="3C011E1A" w14:textId="77777777" w:rsidR="00141FA8" w:rsidRPr="00B2546F" w:rsidRDefault="00141FA8" w:rsidP="00141FA8">
      <w:pPr>
        <w:spacing w:before="0" w:after="0"/>
        <w:rPr>
          <w:sz w:val="22"/>
          <w:szCs w:val="22"/>
        </w:rPr>
      </w:pPr>
      <w:r w:rsidRPr="00B2546F">
        <w:rPr>
          <w:sz w:val="22"/>
          <w:szCs w:val="22"/>
        </w:rPr>
        <w:t xml:space="preserve">In </w:t>
      </w:r>
      <w:r w:rsidRPr="00B2546F">
        <w:rPr>
          <w:i/>
          <w:sz w:val="22"/>
          <w:szCs w:val="22"/>
        </w:rPr>
        <w:t xml:space="preserve">General Comment No.14: The Right to the Highest Attainable Standard of Health (Art.12) </w:t>
      </w:r>
      <w:r w:rsidRPr="00B2546F">
        <w:rPr>
          <w:sz w:val="22"/>
          <w:szCs w:val="22"/>
        </w:rPr>
        <w:t>(2000), the United Nations Committee on Economic, Social and Cultural Rights states that health is a ‘fundamental human right indispensable for the exercise of other human rights’, and that the right to health is not be understood as the right to be healthy, but includes the right to a system of health protection which provides equal opportunity for people to enjoy the highest attainable level of health.</w:t>
      </w:r>
    </w:p>
    <w:p w14:paraId="11EC9F71" w14:textId="59ED58D2" w:rsidR="00141FA8" w:rsidRPr="00B2546F" w:rsidRDefault="00141FA8" w:rsidP="00141FA8">
      <w:pPr>
        <w:spacing w:before="0" w:after="0"/>
        <w:rPr>
          <w:sz w:val="22"/>
          <w:szCs w:val="22"/>
        </w:rPr>
      </w:pPr>
    </w:p>
    <w:p w14:paraId="38FD189C" w14:textId="792DF857" w:rsidR="00200657" w:rsidRDefault="00355DCF" w:rsidP="00141FA8">
      <w:pPr>
        <w:spacing w:before="0" w:after="0"/>
        <w:rPr>
          <w:sz w:val="22"/>
          <w:szCs w:val="22"/>
        </w:rPr>
      </w:pPr>
      <w:r w:rsidRPr="00B2546F">
        <w:rPr>
          <w:sz w:val="22"/>
          <w:szCs w:val="22"/>
        </w:rPr>
        <w:t xml:space="preserve">The </w:t>
      </w:r>
      <w:r w:rsidR="000F1154" w:rsidRPr="00B2546F">
        <w:rPr>
          <w:sz w:val="22"/>
          <w:szCs w:val="22"/>
        </w:rPr>
        <w:t>instrument</w:t>
      </w:r>
      <w:r w:rsidRPr="00B2546F">
        <w:rPr>
          <w:sz w:val="22"/>
          <w:szCs w:val="22"/>
        </w:rPr>
        <w:t xml:space="preserve"> takes positive steps to promote the right to health by </w:t>
      </w:r>
      <w:r w:rsidR="007555E2">
        <w:rPr>
          <w:sz w:val="22"/>
          <w:szCs w:val="22"/>
        </w:rPr>
        <w:t xml:space="preserve">continuing to </w:t>
      </w:r>
      <w:r w:rsidR="001F0E2B">
        <w:rPr>
          <w:sz w:val="22"/>
          <w:szCs w:val="22"/>
        </w:rPr>
        <w:t>promot</w:t>
      </w:r>
      <w:r w:rsidR="007555E2">
        <w:rPr>
          <w:sz w:val="22"/>
          <w:szCs w:val="22"/>
        </w:rPr>
        <w:t>e</w:t>
      </w:r>
      <w:r w:rsidR="005962DF">
        <w:rPr>
          <w:sz w:val="22"/>
          <w:szCs w:val="22"/>
        </w:rPr>
        <w:t xml:space="preserve"> transparency and public awareness in relation to adverse events</w:t>
      </w:r>
      <w:r w:rsidR="007555E2">
        <w:rPr>
          <w:sz w:val="22"/>
          <w:szCs w:val="22"/>
        </w:rPr>
        <w:t xml:space="preserve"> </w:t>
      </w:r>
      <w:r w:rsidR="00200657">
        <w:rPr>
          <w:sz w:val="22"/>
          <w:szCs w:val="22"/>
        </w:rPr>
        <w:t xml:space="preserve">reported to the TGA in relation </w:t>
      </w:r>
      <w:r w:rsidR="007555E2">
        <w:rPr>
          <w:sz w:val="22"/>
          <w:szCs w:val="22"/>
        </w:rPr>
        <w:t>to medicines and biologicals</w:t>
      </w:r>
      <w:r w:rsidR="005962DF">
        <w:rPr>
          <w:sz w:val="22"/>
          <w:szCs w:val="22"/>
        </w:rPr>
        <w:t xml:space="preserve">. </w:t>
      </w:r>
      <w:r w:rsidR="00B82565">
        <w:rPr>
          <w:sz w:val="22"/>
          <w:szCs w:val="22"/>
        </w:rPr>
        <w:t>The publication of such information enables the Australian public to be better informed about the safety of medicines and biologicals, as well as supporting research and analysis relating to therapeutic goods adverse events</w:t>
      </w:r>
      <w:r w:rsidR="00B22794">
        <w:rPr>
          <w:sz w:val="22"/>
          <w:szCs w:val="22"/>
        </w:rPr>
        <w:t xml:space="preserve"> and the insights that such research and analysis may generate to help improve the safety of such products for Australians</w:t>
      </w:r>
      <w:r w:rsidR="00B82565">
        <w:rPr>
          <w:sz w:val="22"/>
          <w:szCs w:val="22"/>
        </w:rPr>
        <w:t>.</w:t>
      </w:r>
    </w:p>
    <w:p w14:paraId="57D9EE55" w14:textId="77777777" w:rsidR="00200657" w:rsidRDefault="00200657" w:rsidP="00141FA8">
      <w:pPr>
        <w:spacing w:before="0" w:after="0"/>
        <w:rPr>
          <w:sz w:val="22"/>
          <w:szCs w:val="22"/>
        </w:rPr>
      </w:pPr>
    </w:p>
    <w:p w14:paraId="43ABF4B8" w14:textId="77777777" w:rsidR="00141FA8" w:rsidRPr="00B2546F" w:rsidRDefault="00141FA8" w:rsidP="00FE3301">
      <w:pPr>
        <w:keepNext/>
        <w:spacing w:before="0" w:after="0"/>
        <w:rPr>
          <w:b/>
          <w:sz w:val="22"/>
          <w:szCs w:val="22"/>
        </w:rPr>
      </w:pPr>
      <w:r w:rsidRPr="00B2546F">
        <w:rPr>
          <w:b/>
          <w:sz w:val="22"/>
          <w:szCs w:val="22"/>
        </w:rPr>
        <w:t>Conclusion</w:t>
      </w:r>
    </w:p>
    <w:p w14:paraId="36D80E36" w14:textId="77777777" w:rsidR="00141FA8" w:rsidRPr="00B2546F" w:rsidRDefault="00141FA8" w:rsidP="00FE3301">
      <w:pPr>
        <w:keepNext/>
        <w:spacing w:before="0" w:after="0"/>
        <w:rPr>
          <w:sz w:val="22"/>
          <w:szCs w:val="22"/>
        </w:rPr>
      </w:pPr>
    </w:p>
    <w:p w14:paraId="0E42480D" w14:textId="380C1AA3" w:rsidR="003C5297" w:rsidRPr="0061288B" w:rsidRDefault="00141FA8" w:rsidP="00FE3301">
      <w:pPr>
        <w:keepNext/>
        <w:spacing w:before="0" w:after="0"/>
        <w:rPr>
          <w:sz w:val="22"/>
          <w:szCs w:val="22"/>
        </w:rPr>
      </w:pPr>
      <w:r w:rsidRPr="00B2546F">
        <w:rPr>
          <w:sz w:val="22"/>
          <w:szCs w:val="22"/>
        </w:rPr>
        <w:t xml:space="preserve">The </w:t>
      </w:r>
      <w:r w:rsidR="00C132CE">
        <w:rPr>
          <w:sz w:val="22"/>
          <w:szCs w:val="22"/>
        </w:rPr>
        <w:t>instrument</w:t>
      </w:r>
      <w:r w:rsidRPr="00B2546F">
        <w:rPr>
          <w:rFonts w:eastAsiaTheme="minorHAnsi"/>
          <w:color w:val="000000"/>
          <w:sz w:val="22"/>
          <w:szCs w:val="22"/>
          <w:lang w:val="en-AU"/>
        </w:rPr>
        <w:t xml:space="preserve"> </w:t>
      </w:r>
      <w:r w:rsidRPr="00B2546F">
        <w:rPr>
          <w:sz w:val="22"/>
          <w:szCs w:val="22"/>
        </w:rPr>
        <w:t>is compatible with human rights because it maintains and supports the right to health in Article 12 of the ICESCR and otherwise does not raise any other human rights issue</w:t>
      </w:r>
      <w:r w:rsidRPr="00D46D62">
        <w:rPr>
          <w:sz w:val="22"/>
          <w:szCs w:val="22"/>
        </w:rPr>
        <w:t>s.</w:t>
      </w:r>
    </w:p>
    <w:sectPr w:rsidR="003C5297" w:rsidRPr="0061288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2649" w14:textId="77777777" w:rsidR="004A16A3" w:rsidRDefault="004A16A3" w:rsidP="00D46D62">
      <w:pPr>
        <w:spacing w:before="0" w:after="0"/>
      </w:pPr>
      <w:r>
        <w:separator/>
      </w:r>
    </w:p>
  </w:endnote>
  <w:endnote w:type="continuationSeparator" w:id="0">
    <w:p w14:paraId="3FF95ADB" w14:textId="77777777" w:rsidR="004A16A3" w:rsidRDefault="004A16A3" w:rsidP="00D46D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258160"/>
      <w:docPartObj>
        <w:docPartGallery w:val="Page Numbers (Bottom of Page)"/>
        <w:docPartUnique/>
      </w:docPartObj>
    </w:sdtPr>
    <w:sdtEndPr>
      <w:rPr>
        <w:rFonts w:eastAsiaTheme="minorHAnsi"/>
        <w:noProof/>
        <w:sz w:val="22"/>
        <w:szCs w:val="22"/>
        <w:lang w:val="en-AU"/>
      </w:rPr>
    </w:sdtEndPr>
    <w:sdtContent>
      <w:p w14:paraId="2D498B59" w14:textId="633CBD60" w:rsidR="00D46D62" w:rsidRPr="00D46D62" w:rsidRDefault="00D46D62">
        <w:pPr>
          <w:pStyle w:val="Footer"/>
          <w:jc w:val="right"/>
          <w:rPr>
            <w:rFonts w:eastAsiaTheme="minorHAnsi"/>
            <w:noProof/>
            <w:sz w:val="22"/>
            <w:szCs w:val="22"/>
            <w:lang w:val="en-AU"/>
          </w:rPr>
        </w:pPr>
        <w:r w:rsidRPr="00D46D62">
          <w:rPr>
            <w:rFonts w:eastAsiaTheme="minorHAnsi"/>
            <w:noProof/>
            <w:sz w:val="22"/>
            <w:szCs w:val="22"/>
            <w:lang w:val="en-AU"/>
          </w:rPr>
          <w:fldChar w:fldCharType="begin"/>
        </w:r>
        <w:r w:rsidRPr="00D46D62">
          <w:rPr>
            <w:rFonts w:eastAsiaTheme="minorHAnsi"/>
            <w:noProof/>
            <w:sz w:val="22"/>
            <w:szCs w:val="22"/>
            <w:lang w:val="en-AU"/>
          </w:rPr>
          <w:instrText xml:space="preserve"> PAGE   \* MERGEFORMAT </w:instrText>
        </w:r>
        <w:r w:rsidRPr="00D46D62">
          <w:rPr>
            <w:rFonts w:eastAsiaTheme="minorHAnsi"/>
            <w:noProof/>
            <w:sz w:val="22"/>
            <w:szCs w:val="22"/>
            <w:lang w:val="en-AU"/>
          </w:rPr>
          <w:fldChar w:fldCharType="separate"/>
        </w:r>
        <w:r w:rsidRPr="00D46D62">
          <w:rPr>
            <w:rFonts w:eastAsiaTheme="minorHAnsi"/>
            <w:noProof/>
            <w:sz w:val="22"/>
            <w:szCs w:val="22"/>
            <w:lang w:val="en-AU"/>
          </w:rPr>
          <w:t>2</w:t>
        </w:r>
        <w:r w:rsidRPr="00D46D62">
          <w:rPr>
            <w:rFonts w:eastAsiaTheme="minorHAnsi"/>
            <w:noProof/>
            <w:sz w:val="22"/>
            <w:szCs w:val="22"/>
            <w:lang w:val="en-AU"/>
          </w:rPr>
          <w:fldChar w:fldCharType="end"/>
        </w:r>
      </w:p>
    </w:sdtContent>
  </w:sdt>
  <w:p w14:paraId="46EAE454" w14:textId="77777777" w:rsidR="00D46D62" w:rsidRDefault="00D46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8760" w14:textId="77777777" w:rsidR="004A16A3" w:rsidRDefault="004A16A3" w:rsidP="00D46D62">
      <w:pPr>
        <w:spacing w:before="0" w:after="0"/>
      </w:pPr>
      <w:r>
        <w:separator/>
      </w:r>
    </w:p>
  </w:footnote>
  <w:footnote w:type="continuationSeparator" w:id="0">
    <w:p w14:paraId="7ACF400A" w14:textId="77777777" w:rsidR="004A16A3" w:rsidRDefault="004A16A3" w:rsidP="00D46D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13A"/>
    <w:multiLevelType w:val="hybridMultilevel"/>
    <w:tmpl w:val="10FE1F58"/>
    <w:lvl w:ilvl="0" w:tplc="39D64052">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867E9D"/>
    <w:multiLevelType w:val="hybridMultilevel"/>
    <w:tmpl w:val="48684E6E"/>
    <w:lvl w:ilvl="0" w:tplc="1CDC87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5C3BF8"/>
    <w:multiLevelType w:val="hybridMultilevel"/>
    <w:tmpl w:val="D55A9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3A6C84"/>
    <w:multiLevelType w:val="hybridMultilevel"/>
    <w:tmpl w:val="A2540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130544"/>
    <w:multiLevelType w:val="hybridMultilevel"/>
    <w:tmpl w:val="75047E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90"/>
    <w:rsid w:val="00000DAE"/>
    <w:rsid w:val="00011677"/>
    <w:rsid w:val="00021418"/>
    <w:rsid w:val="00034C53"/>
    <w:rsid w:val="00042E50"/>
    <w:rsid w:val="00054466"/>
    <w:rsid w:val="00080AB3"/>
    <w:rsid w:val="00082DCA"/>
    <w:rsid w:val="0008735D"/>
    <w:rsid w:val="00096D4A"/>
    <w:rsid w:val="000C06A6"/>
    <w:rsid w:val="000D7B02"/>
    <w:rsid w:val="000E0C31"/>
    <w:rsid w:val="000F1154"/>
    <w:rsid w:val="00115FA2"/>
    <w:rsid w:val="001242C7"/>
    <w:rsid w:val="00133FB9"/>
    <w:rsid w:val="00134500"/>
    <w:rsid w:val="00141FA8"/>
    <w:rsid w:val="00160EA7"/>
    <w:rsid w:val="001A3294"/>
    <w:rsid w:val="001C33ED"/>
    <w:rsid w:val="001E3E53"/>
    <w:rsid w:val="001E7D97"/>
    <w:rsid w:val="001F0E2B"/>
    <w:rsid w:val="00200657"/>
    <w:rsid w:val="00224D33"/>
    <w:rsid w:val="00250198"/>
    <w:rsid w:val="00253BEA"/>
    <w:rsid w:val="0026230C"/>
    <w:rsid w:val="00276CEB"/>
    <w:rsid w:val="00280050"/>
    <w:rsid w:val="00292F4B"/>
    <w:rsid w:val="00294469"/>
    <w:rsid w:val="0029457E"/>
    <w:rsid w:val="0029754E"/>
    <w:rsid w:val="002A1C83"/>
    <w:rsid w:val="002A28D7"/>
    <w:rsid w:val="002C1C84"/>
    <w:rsid w:val="002E626A"/>
    <w:rsid w:val="002F6EE9"/>
    <w:rsid w:val="003029F1"/>
    <w:rsid w:val="00340E8C"/>
    <w:rsid w:val="00342F46"/>
    <w:rsid w:val="00355DCF"/>
    <w:rsid w:val="00356721"/>
    <w:rsid w:val="0036239A"/>
    <w:rsid w:val="00362B68"/>
    <w:rsid w:val="00375D79"/>
    <w:rsid w:val="00383E07"/>
    <w:rsid w:val="00395B31"/>
    <w:rsid w:val="003964FA"/>
    <w:rsid w:val="003975D6"/>
    <w:rsid w:val="003A2B47"/>
    <w:rsid w:val="003C4329"/>
    <w:rsid w:val="003C5297"/>
    <w:rsid w:val="003D0B54"/>
    <w:rsid w:val="003D14C0"/>
    <w:rsid w:val="003D354B"/>
    <w:rsid w:val="003D7602"/>
    <w:rsid w:val="004114AC"/>
    <w:rsid w:val="00416BFF"/>
    <w:rsid w:val="004402A7"/>
    <w:rsid w:val="004463E0"/>
    <w:rsid w:val="0046202F"/>
    <w:rsid w:val="00477519"/>
    <w:rsid w:val="004847FE"/>
    <w:rsid w:val="004A0132"/>
    <w:rsid w:val="004A16A3"/>
    <w:rsid w:val="004A3F46"/>
    <w:rsid w:val="004B0F12"/>
    <w:rsid w:val="004E3E10"/>
    <w:rsid w:val="004F01D8"/>
    <w:rsid w:val="004F7F0F"/>
    <w:rsid w:val="00516B5A"/>
    <w:rsid w:val="00525E58"/>
    <w:rsid w:val="005333AD"/>
    <w:rsid w:val="00552F31"/>
    <w:rsid w:val="005861CE"/>
    <w:rsid w:val="00587252"/>
    <w:rsid w:val="00593EA5"/>
    <w:rsid w:val="005962DF"/>
    <w:rsid w:val="005A55A7"/>
    <w:rsid w:val="005C7A88"/>
    <w:rsid w:val="005E7F55"/>
    <w:rsid w:val="005F0EF6"/>
    <w:rsid w:val="005F274C"/>
    <w:rsid w:val="005F5C1E"/>
    <w:rsid w:val="0061288B"/>
    <w:rsid w:val="00614665"/>
    <w:rsid w:val="0063063B"/>
    <w:rsid w:val="006410C2"/>
    <w:rsid w:val="00653489"/>
    <w:rsid w:val="006674AE"/>
    <w:rsid w:val="00672868"/>
    <w:rsid w:val="00683BAA"/>
    <w:rsid w:val="0068549C"/>
    <w:rsid w:val="0069009E"/>
    <w:rsid w:val="006B2734"/>
    <w:rsid w:val="006B54C3"/>
    <w:rsid w:val="006C1C91"/>
    <w:rsid w:val="007267E9"/>
    <w:rsid w:val="007407F6"/>
    <w:rsid w:val="00751B23"/>
    <w:rsid w:val="00752023"/>
    <w:rsid w:val="007555E2"/>
    <w:rsid w:val="00771795"/>
    <w:rsid w:val="007837B8"/>
    <w:rsid w:val="0079329E"/>
    <w:rsid w:val="00795FAC"/>
    <w:rsid w:val="007A429D"/>
    <w:rsid w:val="007C2734"/>
    <w:rsid w:val="007C6894"/>
    <w:rsid w:val="007E2F72"/>
    <w:rsid w:val="007F36A5"/>
    <w:rsid w:val="007F4FED"/>
    <w:rsid w:val="00842846"/>
    <w:rsid w:val="00870192"/>
    <w:rsid w:val="00882689"/>
    <w:rsid w:val="00883880"/>
    <w:rsid w:val="008B5319"/>
    <w:rsid w:val="008C7676"/>
    <w:rsid w:val="008E4070"/>
    <w:rsid w:val="008E4FB6"/>
    <w:rsid w:val="008F1BB5"/>
    <w:rsid w:val="00921844"/>
    <w:rsid w:val="009520A5"/>
    <w:rsid w:val="00970CBF"/>
    <w:rsid w:val="00970D59"/>
    <w:rsid w:val="009A4797"/>
    <w:rsid w:val="009C0184"/>
    <w:rsid w:val="009C45C1"/>
    <w:rsid w:val="009C64E6"/>
    <w:rsid w:val="009D3779"/>
    <w:rsid w:val="009F062E"/>
    <w:rsid w:val="00A029EA"/>
    <w:rsid w:val="00A11704"/>
    <w:rsid w:val="00A1565F"/>
    <w:rsid w:val="00A2114C"/>
    <w:rsid w:val="00A31F5F"/>
    <w:rsid w:val="00A37655"/>
    <w:rsid w:val="00A524CF"/>
    <w:rsid w:val="00A64984"/>
    <w:rsid w:val="00A825E6"/>
    <w:rsid w:val="00A96396"/>
    <w:rsid w:val="00AA0E3B"/>
    <w:rsid w:val="00AA26D3"/>
    <w:rsid w:val="00AC0921"/>
    <w:rsid w:val="00AF54CA"/>
    <w:rsid w:val="00AF745E"/>
    <w:rsid w:val="00B0261F"/>
    <w:rsid w:val="00B10A2E"/>
    <w:rsid w:val="00B22794"/>
    <w:rsid w:val="00B22E58"/>
    <w:rsid w:val="00B2546F"/>
    <w:rsid w:val="00B6029E"/>
    <w:rsid w:val="00B61633"/>
    <w:rsid w:val="00B65D77"/>
    <w:rsid w:val="00B729AB"/>
    <w:rsid w:val="00B82565"/>
    <w:rsid w:val="00B94FB3"/>
    <w:rsid w:val="00BA0B1E"/>
    <w:rsid w:val="00BB1CB9"/>
    <w:rsid w:val="00C05038"/>
    <w:rsid w:val="00C132CE"/>
    <w:rsid w:val="00C4451A"/>
    <w:rsid w:val="00C4605B"/>
    <w:rsid w:val="00C73CD6"/>
    <w:rsid w:val="00C802F4"/>
    <w:rsid w:val="00C81E0A"/>
    <w:rsid w:val="00CB5EB5"/>
    <w:rsid w:val="00CE6E28"/>
    <w:rsid w:val="00CF55EF"/>
    <w:rsid w:val="00D04A85"/>
    <w:rsid w:val="00D07DCE"/>
    <w:rsid w:val="00D121ED"/>
    <w:rsid w:val="00D22B7F"/>
    <w:rsid w:val="00D415EE"/>
    <w:rsid w:val="00D46D62"/>
    <w:rsid w:val="00D563E3"/>
    <w:rsid w:val="00D6228C"/>
    <w:rsid w:val="00D8089C"/>
    <w:rsid w:val="00D80F90"/>
    <w:rsid w:val="00D92AE5"/>
    <w:rsid w:val="00D96C32"/>
    <w:rsid w:val="00DA54CC"/>
    <w:rsid w:val="00DC4486"/>
    <w:rsid w:val="00DD2C74"/>
    <w:rsid w:val="00DE0FF9"/>
    <w:rsid w:val="00DE6151"/>
    <w:rsid w:val="00DF1B4E"/>
    <w:rsid w:val="00DF58A5"/>
    <w:rsid w:val="00E074FF"/>
    <w:rsid w:val="00E2105A"/>
    <w:rsid w:val="00E76802"/>
    <w:rsid w:val="00E772BB"/>
    <w:rsid w:val="00EA3C3D"/>
    <w:rsid w:val="00EA52E2"/>
    <w:rsid w:val="00ED1627"/>
    <w:rsid w:val="00ED2D12"/>
    <w:rsid w:val="00F14D6C"/>
    <w:rsid w:val="00F20666"/>
    <w:rsid w:val="00F26708"/>
    <w:rsid w:val="00F26BDD"/>
    <w:rsid w:val="00F302F7"/>
    <w:rsid w:val="00F528E0"/>
    <w:rsid w:val="00F80E89"/>
    <w:rsid w:val="00F96AC9"/>
    <w:rsid w:val="00FA7E50"/>
    <w:rsid w:val="00FD53A4"/>
    <w:rsid w:val="00FD755B"/>
    <w:rsid w:val="00FE3301"/>
    <w:rsid w:val="00FF2E9F"/>
    <w:rsid w:val="00FF3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13B5"/>
  <w15:chartTrackingRefBased/>
  <w15:docId w15:val="{9156F278-24BF-4033-ADF1-77F3C458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A8"/>
    <w:pPr>
      <w:spacing w:before="180" w:after="120" w:line="240"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8B"/>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141FA8"/>
    <w:rPr>
      <w:sz w:val="16"/>
      <w:szCs w:val="16"/>
    </w:rPr>
  </w:style>
  <w:style w:type="paragraph" w:styleId="CommentText">
    <w:name w:val="annotation text"/>
    <w:basedOn w:val="Normal"/>
    <w:link w:val="CommentTextChar"/>
    <w:uiPriority w:val="99"/>
    <w:semiHidden/>
    <w:unhideWhenUsed/>
    <w:rsid w:val="00141FA8"/>
    <w:rPr>
      <w:sz w:val="20"/>
      <w:szCs w:val="20"/>
    </w:rPr>
  </w:style>
  <w:style w:type="character" w:customStyle="1" w:styleId="CommentTextChar">
    <w:name w:val="Comment Text Char"/>
    <w:basedOn w:val="DefaultParagraphFont"/>
    <w:link w:val="CommentText"/>
    <w:uiPriority w:val="99"/>
    <w:semiHidden/>
    <w:rsid w:val="00141FA8"/>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292F4B"/>
    <w:rPr>
      <w:b/>
      <w:bCs/>
    </w:rPr>
  </w:style>
  <w:style w:type="character" w:customStyle="1" w:styleId="CommentSubjectChar">
    <w:name w:val="Comment Subject Char"/>
    <w:basedOn w:val="CommentTextChar"/>
    <w:link w:val="CommentSubject"/>
    <w:uiPriority w:val="99"/>
    <w:semiHidden/>
    <w:rsid w:val="00292F4B"/>
    <w:rPr>
      <w:rFonts w:eastAsia="Times New Roman"/>
      <w:b/>
      <w:bCs/>
      <w:sz w:val="20"/>
      <w:szCs w:val="20"/>
      <w:lang w:val="en-US"/>
    </w:rPr>
  </w:style>
  <w:style w:type="character" w:styleId="Hyperlink">
    <w:name w:val="Hyperlink"/>
    <w:basedOn w:val="DefaultParagraphFont"/>
    <w:uiPriority w:val="99"/>
    <w:unhideWhenUsed/>
    <w:rsid w:val="0068549C"/>
    <w:rPr>
      <w:color w:val="0000FF"/>
      <w:u w:val="single"/>
    </w:rPr>
  </w:style>
  <w:style w:type="character" w:styleId="UnresolvedMention">
    <w:name w:val="Unresolved Mention"/>
    <w:basedOn w:val="DefaultParagraphFont"/>
    <w:uiPriority w:val="99"/>
    <w:semiHidden/>
    <w:unhideWhenUsed/>
    <w:rsid w:val="0068549C"/>
    <w:rPr>
      <w:color w:val="605E5C"/>
      <w:shd w:val="clear" w:color="auto" w:fill="E1DFDD"/>
    </w:rPr>
  </w:style>
  <w:style w:type="paragraph" w:styleId="ListParagraph">
    <w:name w:val="List Paragraph"/>
    <w:basedOn w:val="Normal"/>
    <w:uiPriority w:val="34"/>
    <w:qFormat/>
    <w:rsid w:val="00AC0921"/>
    <w:pPr>
      <w:ind w:left="720"/>
      <w:contextualSpacing/>
    </w:pPr>
  </w:style>
  <w:style w:type="paragraph" w:styleId="Header">
    <w:name w:val="header"/>
    <w:basedOn w:val="Normal"/>
    <w:link w:val="HeaderChar"/>
    <w:uiPriority w:val="99"/>
    <w:unhideWhenUsed/>
    <w:rsid w:val="00D46D62"/>
    <w:pPr>
      <w:tabs>
        <w:tab w:val="center" w:pos="4513"/>
        <w:tab w:val="right" w:pos="9026"/>
      </w:tabs>
      <w:spacing w:before="0" w:after="0"/>
    </w:pPr>
  </w:style>
  <w:style w:type="character" w:customStyle="1" w:styleId="HeaderChar">
    <w:name w:val="Header Char"/>
    <w:basedOn w:val="DefaultParagraphFont"/>
    <w:link w:val="Header"/>
    <w:uiPriority w:val="99"/>
    <w:rsid w:val="00D46D62"/>
    <w:rPr>
      <w:rFonts w:eastAsia="Times New Roman"/>
      <w:lang w:val="en-US"/>
    </w:rPr>
  </w:style>
  <w:style w:type="paragraph" w:styleId="Footer">
    <w:name w:val="footer"/>
    <w:basedOn w:val="Normal"/>
    <w:link w:val="FooterChar"/>
    <w:uiPriority w:val="99"/>
    <w:unhideWhenUsed/>
    <w:rsid w:val="00D46D62"/>
    <w:pPr>
      <w:tabs>
        <w:tab w:val="center" w:pos="4513"/>
        <w:tab w:val="right" w:pos="9026"/>
      </w:tabs>
      <w:spacing w:before="0" w:after="0"/>
    </w:pPr>
  </w:style>
  <w:style w:type="character" w:customStyle="1" w:styleId="FooterChar">
    <w:name w:val="Footer Char"/>
    <w:basedOn w:val="DefaultParagraphFont"/>
    <w:link w:val="Footer"/>
    <w:uiPriority w:val="99"/>
    <w:rsid w:val="00D46D62"/>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4562">
      <w:bodyDiv w:val="1"/>
      <w:marLeft w:val="0"/>
      <w:marRight w:val="0"/>
      <w:marTop w:val="0"/>
      <w:marBottom w:val="0"/>
      <w:divBdr>
        <w:top w:val="none" w:sz="0" w:space="0" w:color="auto"/>
        <w:left w:val="none" w:sz="0" w:space="0" w:color="auto"/>
        <w:bottom w:val="none" w:sz="0" w:space="0" w:color="auto"/>
        <w:right w:val="none" w:sz="0" w:space="0" w:color="auto"/>
      </w:divBdr>
    </w:div>
    <w:div w:id="454296431">
      <w:bodyDiv w:val="1"/>
      <w:marLeft w:val="0"/>
      <w:marRight w:val="0"/>
      <w:marTop w:val="0"/>
      <w:marBottom w:val="0"/>
      <w:divBdr>
        <w:top w:val="none" w:sz="0" w:space="0" w:color="auto"/>
        <w:left w:val="none" w:sz="0" w:space="0" w:color="auto"/>
        <w:bottom w:val="none" w:sz="0" w:space="0" w:color="auto"/>
        <w:right w:val="none" w:sz="0" w:space="0" w:color="auto"/>
      </w:divBdr>
    </w:div>
    <w:div w:id="694843705">
      <w:bodyDiv w:val="1"/>
      <w:marLeft w:val="0"/>
      <w:marRight w:val="0"/>
      <w:marTop w:val="0"/>
      <w:marBottom w:val="0"/>
      <w:divBdr>
        <w:top w:val="none" w:sz="0" w:space="0" w:color="auto"/>
        <w:left w:val="none" w:sz="0" w:space="0" w:color="auto"/>
        <w:bottom w:val="none" w:sz="0" w:space="0" w:color="auto"/>
        <w:right w:val="none" w:sz="0" w:space="0" w:color="auto"/>
      </w:divBdr>
    </w:div>
    <w:div w:id="1416631960">
      <w:bodyDiv w:val="1"/>
      <w:marLeft w:val="0"/>
      <w:marRight w:val="0"/>
      <w:marTop w:val="0"/>
      <w:marBottom w:val="0"/>
      <w:divBdr>
        <w:top w:val="none" w:sz="0" w:space="0" w:color="auto"/>
        <w:left w:val="none" w:sz="0" w:space="0" w:color="auto"/>
        <w:bottom w:val="none" w:sz="0" w:space="0" w:color="auto"/>
        <w:right w:val="none" w:sz="0" w:space="0" w:color="auto"/>
      </w:divBdr>
    </w:div>
    <w:div w:id="1467353088">
      <w:bodyDiv w:val="1"/>
      <w:marLeft w:val="0"/>
      <w:marRight w:val="0"/>
      <w:marTop w:val="0"/>
      <w:marBottom w:val="0"/>
      <w:divBdr>
        <w:top w:val="none" w:sz="0" w:space="0" w:color="auto"/>
        <w:left w:val="none" w:sz="0" w:space="0" w:color="auto"/>
        <w:bottom w:val="none" w:sz="0" w:space="0" w:color="auto"/>
        <w:right w:val="none" w:sz="0" w:space="0" w:color="auto"/>
      </w:divBdr>
    </w:div>
    <w:div w:id="19522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1D174-53F2-4A73-AB09-81F4059C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3041</Words>
  <Characters>17339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Callum</dc:creator>
  <cp:keywords/>
  <dc:description/>
  <cp:lastModifiedBy>ALLEN, Donna</cp:lastModifiedBy>
  <cp:revision>2</cp:revision>
  <dcterms:created xsi:type="dcterms:W3CDTF">2022-09-23T04:07:00Z</dcterms:created>
  <dcterms:modified xsi:type="dcterms:W3CDTF">2022-09-23T04:07:00Z</dcterms:modified>
</cp:coreProperties>
</file>