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240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D7F3B91" wp14:editId="251CFDD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F3C2" w14:textId="77777777" w:rsidR="00715914" w:rsidRPr="00E500D4" w:rsidRDefault="00715914" w:rsidP="00715914">
      <w:pPr>
        <w:rPr>
          <w:sz w:val="19"/>
        </w:rPr>
      </w:pPr>
    </w:p>
    <w:p w14:paraId="5AA7388F" w14:textId="60306550" w:rsidR="00554826" w:rsidRPr="00E500D4" w:rsidRDefault="00C33A72" w:rsidP="00554826">
      <w:pPr>
        <w:pStyle w:val="ShortT"/>
      </w:pPr>
      <w:r w:rsidRPr="00C33A72">
        <w:t>Therapeutic Goods (Database of Adverse Event Notifications) (Information) Specification 2022</w:t>
      </w:r>
    </w:p>
    <w:p w14:paraId="5C31B30B" w14:textId="7607F4A2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D052A">
        <w:rPr>
          <w:szCs w:val="22"/>
        </w:rPr>
        <w:t>Nick Henderson</w:t>
      </w:r>
      <w:r w:rsidRPr="00DA182D">
        <w:rPr>
          <w:szCs w:val="22"/>
        </w:rPr>
        <w:t xml:space="preserve">, </w:t>
      </w:r>
      <w:r w:rsidR="00C33A72" w:rsidRPr="00C33A72">
        <w:rPr>
          <w:szCs w:val="22"/>
        </w:rPr>
        <w:t>as delegate of the Minister for Health and Aged Care</w:t>
      </w:r>
      <w:r w:rsidR="00C33A72">
        <w:rPr>
          <w:szCs w:val="22"/>
        </w:rPr>
        <w:t>,</w:t>
      </w:r>
      <w:r w:rsidR="00C33A72" w:rsidRPr="00C33A72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C33A72">
        <w:rPr>
          <w:szCs w:val="22"/>
        </w:rPr>
        <w:t>specification</w:t>
      </w:r>
      <w:r w:rsidRPr="00DA182D">
        <w:rPr>
          <w:szCs w:val="22"/>
        </w:rPr>
        <w:t>.</w:t>
      </w:r>
    </w:p>
    <w:p w14:paraId="79AE98D1" w14:textId="35A972E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32E5F">
        <w:rPr>
          <w:szCs w:val="22"/>
        </w:rPr>
        <w:t xml:space="preserve"> 23 </w:t>
      </w:r>
      <w:r w:rsidR="00C33A72">
        <w:rPr>
          <w:szCs w:val="22"/>
        </w:rPr>
        <w:t>September 2022</w:t>
      </w:r>
    </w:p>
    <w:p w14:paraId="3A297260" w14:textId="69D98E1F" w:rsidR="00554826" w:rsidRPr="00AB2A05" w:rsidRDefault="007D052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Nick</w:t>
      </w:r>
      <w:r w:rsidR="00C33A72" w:rsidRPr="00AB2A05">
        <w:rPr>
          <w:szCs w:val="22"/>
        </w:rPr>
        <w:t xml:space="preserve"> </w:t>
      </w:r>
      <w:r>
        <w:rPr>
          <w:szCs w:val="22"/>
        </w:rPr>
        <w:t>Henderson</w:t>
      </w:r>
    </w:p>
    <w:p w14:paraId="0C410CD3" w14:textId="29096F35" w:rsidR="00C33A72" w:rsidRDefault="007D052A" w:rsidP="00554826">
      <w:pPr>
        <w:pStyle w:val="SignCoverPageEnd"/>
        <w:ind w:right="91"/>
        <w:rPr>
          <w:sz w:val="22"/>
          <w:highlight w:val="yellow"/>
        </w:rPr>
      </w:pPr>
      <w:r>
        <w:rPr>
          <w:sz w:val="22"/>
        </w:rPr>
        <w:t xml:space="preserve">Acting First </w:t>
      </w:r>
      <w:r w:rsidR="00C33A72" w:rsidRPr="00AB2A05">
        <w:rPr>
          <w:sz w:val="22"/>
        </w:rPr>
        <w:t>Assistant Secretary</w:t>
      </w:r>
    </w:p>
    <w:p w14:paraId="0816F07B" w14:textId="213D25FE" w:rsidR="00C33A72" w:rsidRDefault="00C33A72" w:rsidP="00554826">
      <w:pPr>
        <w:pStyle w:val="SignCoverPageEnd"/>
        <w:ind w:right="91"/>
        <w:rPr>
          <w:sz w:val="22"/>
        </w:rPr>
      </w:pPr>
      <w:r>
        <w:rPr>
          <w:sz w:val="22"/>
        </w:rPr>
        <w:t>Medicines Regulation Division</w:t>
      </w:r>
    </w:p>
    <w:p w14:paraId="6DCEBE7F" w14:textId="49ACDA6E" w:rsidR="00C33A72" w:rsidRDefault="00C33A72" w:rsidP="00554826">
      <w:pPr>
        <w:pStyle w:val="SignCoverPageEnd"/>
        <w:ind w:right="91"/>
        <w:rPr>
          <w:sz w:val="22"/>
        </w:rPr>
      </w:pPr>
      <w:r w:rsidRPr="002A45F8">
        <w:t>Health Products Regulation Grou</w:t>
      </w:r>
      <w:r>
        <w:t>p</w:t>
      </w:r>
    </w:p>
    <w:p w14:paraId="6315AECE" w14:textId="5AEB52C9" w:rsidR="00554826" w:rsidRDefault="00C33A72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Health and Aged Care</w:t>
      </w:r>
    </w:p>
    <w:p w14:paraId="51DFFE2F" w14:textId="77777777" w:rsidR="00554826" w:rsidRDefault="00554826" w:rsidP="00554826"/>
    <w:p w14:paraId="192739C0" w14:textId="77777777" w:rsidR="00554826" w:rsidRPr="00ED79B6" w:rsidRDefault="00554826" w:rsidP="00554826"/>
    <w:p w14:paraId="10DF4B14" w14:textId="77777777" w:rsidR="00F6696E" w:rsidRDefault="00F6696E" w:rsidP="00F6696E"/>
    <w:p w14:paraId="614FE6F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15BEA51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0140CAE" w14:textId="352ECC80" w:rsidR="00AB67D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B67DF">
        <w:rPr>
          <w:noProof/>
        </w:rPr>
        <w:t>1  Name</w:t>
      </w:r>
      <w:r w:rsidR="00AB67DF">
        <w:rPr>
          <w:noProof/>
        </w:rPr>
        <w:tab/>
      </w:r>
      <w:r w:rsidR="00AB67DF">
        <w:rPr>
          <w:noProof/>
        </w:rPr>
        <w:fldChar w:fldCharType="begin"/>
      </w:r>
      <w:r w:rsidR="00AB67DF">
        <w:rPr>
          <w:noProof/>
        </w:rPr>
        <w:instrText xml:space="preserve"> PAGEREF _Toc113970736 \h </w:instrText>
      </w:r>
      <w:r w:rsidR="00AB67DF">
        <w:rPr>
          <w:noProof/>
        </w:rPr>
      </w:r>
      <w:r w:rsidR="00AB67DF">
        <w:rPr>
          <w:noProof/>
        </w:rPr>
        <w:fldChar w:fldCharType="separate"/>
      </w:r>
      <w:r w:rsidR="00AB67DF">
        <w:rPr>
          <w:noProof/>
        </w:rPr>
        <w:t>1</w:t>
      </w:r>
      <w:r w:rsidR="00AB67DF">
        <w:rPr>
          <w:noProof/>
        </w:rPr>
        <w:fldChar w:fldCharType="end"/>
      </w:r>
    </w:p>
    <w:p w14:paraId="2C374AED" w14:textId="7F23010E" w:rsidR="00AB67DF" w:rsidRDefault="00AB6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_Toc113970737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422629" w14:textId="3265665F" w:rsidR="00AB67DF" w:rsidRDefault="00AB6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_Toc113970738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BED858" w14:textId="38D72909" w:rsidR="00AB67DF" w:rsidRDefault="00AB6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_Toc113970739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87EA5ED" w14:textId="099F6AF6" w:rsidR="00AB67DF" w:rsidRDefault="00AB6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_Toc113970740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B03588" w14:textId="66CA5D43" w:rsidR="00AB67DF" w:rsidRDefault="00AB6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_Toc113970741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02AAB3" w14:textId="6083E718" w:rsidR="00AB67DF" w:rsidRDefault="00AB67D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_Toc113970742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5B7E74" w14:textId="57E25E73" w:rsidR="00AB67DF" w:rsidRDefault="00AB67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_Toc113970743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0EF17E" w14:textId="70A7D35E" w:rsidR="00AB67DF" w:rsidRDefault="00AB67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Information (Database of Adverse Event Notifications) Specification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_Toc113970744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0E4D524" w14:textId="4A999FB4" w:rsidR="00F6696E" w:rsidRDefault="00B418CB" w:rsidP="00F6696E">
      <w:pPr>
        <w:outlineLvl w:val="0"/>
      </w:pPr>
      <w:r>
        <w:fldChar w:fldCharType="end"/>
      </w:r>
    </w:p>
    <w:p w14:paraId="45D19E45" w14:textId="77777777" w:rsidR="00F6696E" w:rsidRPr="00A802BC" w:rsidRDefault="00F6696E" w:rsidP="00F6696E">
      <w:pPr>
        <w:outlineLvl w:val="0"/>
        <w:rPr>
          <w:sz w:val="20"/>
        </w:rPr>
      </w:pPr>
    </w:p>
    <w:p w14:paraId="15B18EE4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C381CA" w14:textId="77777777" w:rsidR="00554826" w:rsidRPr="00554826" w:rsidRDefault="00554826" w:rsidP="00554826">
      <w:pPr>
        <w:pStyle w:val="ActHead5"/>
      </w:pPr>
      <w:bookmarkStart w:id="0" w:name="_Toc113970736"/>
      <w:r w:rsidRPr="00554826">
        <w:lastRenderedPageBreak/>
        <w:t>1  Name</w:t>
      </w:r>
      <w:bookmarkEnd w:id="0"/>
    </w:p>
    <w:p w14:paraId="02570EBC" w14:textId="425ACE9F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Start w:id="2" w:name="_Hlk113971092"/>
      <w:bookmarkEnd w:id="1"/>
      <w:r w:rsidR="00B05561" w:rsidRPr="00B05561">
        <w:rPr>
          <w:i/>
        </w:rPr>
        <w:t>Therapeutic Goods (Database of Adverse Event Notifications) (Information) Specification 2022</w:t>
      </w:r>
      <w:bookmarkEnd w:id="2"/>
      <w:r w:rsidRPr="009C2562">
        <w:t>.</w:t>
      </w:r>
    </w:p>
    <w:p w14:paraId="60DCE86F" w14:textId="77777777" w:rsidR="00554826" w:rsidRPr="00554826" w:rsidRDefault="00554826" w:rsidP="00554826">
      <w:pPr>
        <w:pStyle w:val="ActHead5"/>
      </w:pPr>
      <w:bookmarkStart w:id="3" w:name="_Toc113970737"/>
      <w:r w:rsidRPr="00554826">
        <w:t>2  Commencement</w:t>
      </w:r>
      <w:bookmarkEnd w:id="3"/>
    </w:p>
    <w:p w14:paraId="15CDD5A0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48929CD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69F6DC1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156CAB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5D810D6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668E36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6A935E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A4709D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F968299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ECF8FF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1925C8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CB26A6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B05561" w14:paraId="3FA21699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1D0EB0" w14:textId="2F0E7E62" w:rsidR="003767E2" w:rsidRPr="003A6229" w:rsidRDefault="003767E2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B05561" w:rsidRPr="0027475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C92704" w14:textId="45ABD3E4" w:rsidR="003767E2" w:rsidRPr="00500FEC" w:rsidRDefault="00B05561" w:rsidP="00A02135">
            <w:pPr>
              <w:pStyle w:val="Tabletext"/>
              <w:rPr>
                <w:iCs/>
              </w:rPr>
            </w:pPr>
            <w:r w:rsidRPr="00500FEC">
              <w:rPr>
                <w:iCs/>
              </w:rPr>
              <w:t>30 September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EA9D52" w14:textId="16271535" w:rsidR="003767E2" w:rsidRPr="00500FEC" w:rsidRDefault="00B05561" w:rsidP="00A02135">
            <w:pPr>
              <w:pStyle w:val="Tabletext"/>
              <w:rPr>
                <w:iCs/>
              </w:rPr>
            </w:pPr>
            <w:r w:rsidRPr="00500FEC">
              <w:rPr>
                <w:iCs/>
              </w:rPr>
              <w:t>30 September 2022</w:t>
            </w:r>
          </w:p>
        </w:tc>
      </w:tr>
    </w:tbl>
    <w:p w14:paraId="4849D42F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35DD86E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244C721" w14:textId="77777777" w:rsidR="00554826" w:rsidRPr="00554826" w:rsidRDefault="00554826" w:rsidP="00554826">
      <w:pPr>
        <w:pStyle w:val="ActHead5"/>
      </w:pPr>
      <w:bookmarkStart w:id="4" w:name="_Toc113970738"/>
      <w:r w:rsidRPr="00554826">
        <w:t>3  Authority</w:t>
      </w:r>
      <w:bookmarkEnd w:id="4"/>
    </w:p>
    <w:p w14:paraId="33982EA8" w14:textId="500560F6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2771">
        <w:t xml:space="preserve">subsection 61(5D) of the </w:t>
      </w:r>
      <w:r w:rsidR="001D2771" w:rsidRPr="001D2771">
        <w:rPr>
          <w:i/>
          <w:iCs/>
        </w:rPr>
        <w:t>Therapeutic Goods Act 1989</w:t>
      </w:r>
      <w:r w:rsidRPr="001D2771">
        <w:rPr>
          <w:i/>
          <w:iCs/>
        </w:rPr>
        <w:t>.</w:t>
      </w:r>
    </w:p>
    <w:p w14:paraId="7042AB8F" w14:textId="77777777" w:rsidR="00554826" w:rsidRPr="00554826" w:rsidRDefault="00554826" w:rsidP="00554826">
      <w:pPr>
        <w:pStyle w:val="ActHead5"/>
      </w:pPr>
      <w:bookmarkStart w:id="5" w:name="_Toc113970739"/>
      <w:r w:rsidRPr="00554826">
        <w:t>4  Definitions</w:t>
      </w:r>
      <w:bookmarkEnd w:id="5"/>
    </w:p>
    <w:p w14:paraId="48BC868F" w14:textId="4CF02B1D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1D2771">
        <w:t>subsection 3(1)</w:t>
      </w:r>
      <w:r>
        <w:t xml:space="preserve"> of the Act</w:t>
      </w:r>
      <w:r w:rsidRPr="009C2562">
        <w:t>, including the following:</w:t>
      </w:r>
    </w:p>
    <w:p w14:paraId="59EC5968" w14:textId="3EA191C3" w:rsidR="00C92389" w:rsidRDefault="00554826" w:rsidP="00554826">
      <w:pPr>
        <w:pStyle w:val="notepara"/>
      </w:pPr>
      <w:r w:rsidRPr="009C2562">
        <w:t>(a)</w:t>
      </w:r>
      <w:r w:rsidRPr="009C2562">
        <w:tab/>
      </w:r>
      <w:r w:rsidR="00C92389">
        <w:t>biological;</w:t>
      </w:r>
    </w:p>
    <w:p w14:paraId="18A7EE8E" w14:textId="1ED885F9" w:rsidR="00C43086" w:rsidRDefault="00C92389" w:rsidP="00554826">
      <w:pPr>
        <w:pStyle w:val="notepara"/>
      </w:pPr>
      <w:r>
        <w:t>(b)</w:t>
      </w:r>
      <w:r>
        <w:tab/>
      </w:r>
      <w:r w:rsidR="00C43086">
        <w:t>medicine;</w:t>
      </w:r>
    </w:p>
    <w:p w14:paraId="0382EE4D" w14:textId="30B56F12" w:rsidR="00554826" w:rsidRPr="009C2562" w:rsidRDefault="00C43086" w:rsidP="00554826">
      <w:pPr>
        <w:pStyle w:val="notepara"/>
      </w:pPr>
      <w:r>
        <w:t>(</w:t>
      </w:r>
      <w:r w:rsidR="00C92389">
        <w:t>c</w:t>
      </w:r>
      <w:r>
        <w:t>)</w:t>
      </w:r>
      <w:r>
        <w:tab/>
      </w:r>
      <w:r w:rsidR="00D307B2">
        <w:t>Register</w:t>
      </w:r>
      <w:r w:rsidR="00554826" w:rsidRPr="009C2562">
        <w:t>;</w:t>
      </w:r>
    </w:p>
    <w:p w14:paraId="45912DCC" w14:textId="3B72E00E" w:rsidR="004264FA" w:rsidRDefault="00554826" w:rsidP="00554826">
      <w:pPr>
        <w:pStyle w:val="notepara"/>
      </w:pPr>
      <w:r w:rsidRPr="009C2562">
        <w:t>(</w:t>
      </w:r>
      <w:r w:rsidR="00C92389">
        <w:t>d</w:t>
      </w:r>
      <w:r w:rsidRPr="009C2562">
        <w:t>)</w:t>
      </w:r>
      <w:r w:rsidRPr="009C2562">
        <w:tab/>
      </w:r>
      <w:r w:rsidR="00D307B2">
        <w:t>Secretary</w:t>
      </w:r>
      <w:r w:rsidR="004264FA">
        <w:t>;</w:t>
      </w:r>
    </w:p>
    <w:p w14:paraId="50FCA4FD" w14:textId="5D75CA6F" w:rsidR="00554826" w:rsidRPr="009C2562" w:rsidRDefault="004264FA" w:rsidP="00554826">
      <w:pPr>
        <w:pStyle w:val="notepara"/>
      </w:pPr>
      <w:r>
        <w:t>(e)</w:t>
      </w:r>
      <w:r>
        <w:tab/>
        <w:t>therapeutic goods</w:t>
      </w:r>
      <w:r w:rsidR="00554826">
        <w:t>.</w:t>
      </w:r>
    </w:p>
    <w:p w14:paraId="07524D6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B708444" w14:textId="39E3A92B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D307B2" w:rsidRPr="00D307B2">
        <w:rPr>
          <w:i/>
        </w:rPr>
        <w:t>Therapeutic Goods Act 1989</w:t>
      </w:r>
      <w:r>
        <w:t>.</w:t>
      </w:r>
    </w:p>
    <w:p w14:paraId="253DD72B" w14:textId="04913253" w:rsidR="00577285" w:rsidRDefault="00577285" w:rsidP="00554826">
      <w:pPr>
        <w:pStyle w:val="Definition"/>
      </w:pPr>
      <w:r w:rsidRPr="00590E3A">
        <w:rPr>
          <w:b/>
          <w:i/>
        </w:rPr>
        <w:t>a</w:t>
      </w:r>
      <w:r w:rsidR="00E94F83" w:rsidRPr="00590E3A">
        <w:rPr>
          <w:b/>
          <w:i/>
        </w:rPr>
        <w:t>d</w:t>
      </w:r>
      <w:r w:rsidRPr="00590E3A">
        <w:rPr>
          <w:b/>
          <w:i/>
        </w:rPr>
        <w:t xml:space="preserve">verse event </w:t>
      </w:r>
      <w:r w:rsidRPr="00590E3A">
        <w:t>means an adverse event that occurs in relation to a person</w:t>
      </w:r>
      <w:r w:rsidR="003C5674" w:rsidRPr="00590E3A">
        <w:t xml:space="preserve"> </w:t>
      </w:r>
      <w:r w:rsidRPr="00590E3A">
        <w:t>in Australia following the administration</w:t>
      </w:r>
      <w:r w:rsidR="00AE6DF8">
        <w:t xml:space="preserve"> </w:t>
      </w:r>
      <w:r w:rsidRPr="00590E3A">
        <w:t>of a medicine</w:t>
      </w:r>
      <w:r w:rsidR="00C92389">
        <w:t xml:space="preserve"> or a biological</w:t>
      </w:r>
      <w:r w:rsidRPr="00590E3A">
        <w:t>.</w:t>
      </w:r>
    </w:p>
    <w:p w14:paraId="50A625EF" w14:textId="7CA96A1B" w:rsidR="0075196B" w:rsidRPr="00590E3A" w:rsidRDefault="0075196B" w:rsidP="00AB2A05">
      <w:pPr>
        <w:pStyle w:val="notetext"/>
      </w:pPr>
      <w:r w:rsidRPr="00BD5490">
        <w:t>Note:</w:t>
      </w:r>
      <w:r w:rsidRPr="00BD5490">
        <w:tab/>
      </w:r>
      <w:r w:rsidR="00AB2A05" w:rsidRPr="00AB2A05">
        <w:t xml:space="preserve">An adverse event </w:t>
      </w:r>
      <w:r w:rsidR="00E32AD7">
        <w:t>may</w:t>
      </w:r>
      <w:r w:rsidR="00AB2A05" w:rsidRPr="00AB2A05">
        <w:t xml:space="preserve"> not </w:t>
      </w:r>
      <w:r w:rsidR="00913C26" w:rsidRPr="00BD5490">
        <w:t>necessar</w:t>
      </w:r>
      <w:r w:rsidR="00AB2A05" w:rsidRPr="00AB2A05">
        <w:t>il</w:t>
      </w:r>
      <w:r w:rsidR="00913C26" w:rsidRPr="00BD5490">
        <w:t xml:space="preserve">y </w:t>
      </w:r>
      <w:r w:rsidR="00AB2A05" w:rsidRPr="00AB2A05">
        <w:t>have a caus</w:t>
      </w:r>
      <w:r w:rsidR="00913C26" w:rsidRPr="003C7FC1">
        <w:t>al relationship</w:t>
      </w:r>
      <w:r w:rsidR="00AB2A05" w:rsidRPr="00AB2A05">
        <w:t xml:space="preserve"> with the administration of the medicine or biological.</w:t>
      </w:r>
    </w:p>
    <w:p w14:paraId="03B7B8A7" w14:textId="0A5883AD" w:rsidR="00623AC7" w:rsidRDefault="00623AC7" w:rsidP="00623AC7">
      <w:pPr>
        <w:pStyle w:val="Definition"/>
        <w:rPr>
          <w:b/>
          <w:i/>
        </w:rPr>
      </w:pPr>
      <w:r>
        <w:rPr>
          <w:b/>
          <w:i/>
        </w:rPr>
        <w:t>DAEN</w:t>
      </w:r>
      <w:r w:rsidRPr="0009253B">
        <w:rPr>
          <w:b/>
          <w:i/>
        </w:rPr>
        <w:t xml:space="preserve"> </w:t>
      </w:r>
      <w:r w:rsidRPr="0009253B">
        <w:rPr>
          <w:bCs/>
          <w:iCs/>
        </w:rPr>
        <w:t xml:space="preserve">means the </w:t>
      </w:r>
      <w:r>
        <w:rPr>
          <w:bCs/>
          <w:iCs/>
        </w:rPr>
        <w:t>Database of Adverse Event Notifications maintained by the Therapeutic Goods Administration.</w:t>
      </w:r>
    </w:p>
    <w:p w14:paraId="005AC4C4" w14:textId="0196A967" w:rsidR="00966EAD" w:rsidRDefault="00966EAD" w:rsidP="00554826">
      <w:pPr>
        <w:pStyle w:val="Definition"/>
        <w:rPr>
          <w:b/>
          <w:i/>
        </w:rPr>
      </w:pPr>
      <w:r w:rsidRPr="0009253B">
        <w:rPr>
          <w:b/>
          <w:i/>
        </w:rPr>
        <w:lastRenderedPageBreak/>
        <w:t xml:space="preserve">MedDRA </w:t>
      </w:r>
      <w:r w:rsidRPr="0009253B">
        <w:rPr>
          <w:bCs/>
          <w:iCs/>
        </w:rPr>
        <w:t xml:space="preserve">means the </w:t>
      </w:r>
      <w:r w:rsidRPr="00AB67DF">
        <w:rPr>
          <w:bCs/>
          <w:i/>
        </w:rPr>
        <w:t>Medical Dictionary for Regulatory Activities</w:t>
      </w:r>
      <w:r w:rsidR="009936DC" w:rsidRPr="0009253B">
        <w:rPr>
          <w:bCs/>
          <w:iCs/>
        </w:rPr>
        <w:t xml:space="preserve"> published </w:t>
      </w:r>
      <w:r w:rsidR="00F904BB" w:rsidRPr="0009253B">
        <w:rPr>
          <w:bCs/>
          <w:iCs/>
        </w:rPr>
        <w:t xml:space="preserve">by </w:t>
      </w:r>
      <w:r w:rsidR="0009253B" w:rsidRPr="0009253B">
        <w:rPr>
          <w:bCs/>
          <w:iCs/>
        </w:rPr>
        <w:t>the</w:t>
      </w:r>
      <w:r w:rsidR="0009253B">
        <w:rPr>
          <w:bCs/>
          <w:iCs/>
        </w:rPr>
        <w:t xml:space="preserve"> MedDRA Maintenance and Support Services Organization</w:t>
      </w:r>
      <w:r w:rsidR="007F7525">
        <w:rPr>
          <w:bCs/>
          <w:iCs/>
        </w:rPr>
        <w:t>.</w:t>
      </w:r>
    </w:p>
    <w:p w14:paraId="2E50EF6F" w14:textId="4F4760D6" w:rsidR="00007804" w:rsidRPr="00007804" w:rsidRDefault="00007804" w:rsidP="00554826">
      <w:pPr>
        <w:pStyle w:val="Definition"/>
        <w:rPr>
          <w:bCs/>
          <w:iCs/>
        </w:rPr>
      </w:pPr>
      <w:r w:rsidRPr="00007804">
        <w:rPr>
          <w:b/>
          <w:i/>
        </w:rPr>
        <w:t>Therapeutic Goods Administration</w:t>
      </w:r>
      <w:r w:rsidRPr="00007804">
        <w:rPr>
          <w:bCs/>
          <w:iCs/>
        </w:rPr>
        <w:t>, or</w:t>
      </w:r>
      <w:r w:rsidRPr="00007804">
        <w:rPr>
          <w:b/>
          <w:i/>
        </w:rPr>
        <w:t xml:space="preserve"> TGA</w:t>
      </w:r>
      <w:r w:rsidRPr="00007804">
        <w:rPr>
          <w:bCs/>
          <w:iCs/>
        </w:rPr>
        <w:t>, means that part of the Department known as the Therapeutic Goods Administration.</w:t>
      </w:r>
    </w:p>
    <w:p w14:paraId="5B73B671" w14:textId="15B07A4F" w:rsidR="00554826" w:rsidRPr="00D307B2" w:rsidRDefault="00D307B2" w:rsidP="00554826">
      <w:pPr>
        <w:pStyle w:val="Definition"/>
        <w:rPr>
          <w:bCs/>
          <w:iCs/>
        </w:rPr>
      </w:pPr>
      <w:r w:rsidRPr="00D307B2">
        <w:rPr>
          <w:b/>
          <w:i/>
        </w:rPr>
        <w:t xml:space="preserve">therapeutic goods information </w:t>
      </w:r>
      <w:r w:rsidRPr="00D307B2">
        <w:rPr>
          <w:bCs/>
          <w:iCs/>
        </w:rPr>
        <w:t>has the meaning given by subsection 61(1) of the Act</w:t>
      </w:r>
      <w:r w:rsidR="00554826" w:rsidRPr="00D307B2">
        <w:rPr>
          <w:bCs/>
          <w:iCs/>
        </w:rPr>
        <w:t>.</w:t>
      </w:r>
    </w:p>
    <w:p w14:paraId="0B0654E3" w14:textId="2CF06EE0" w:rsidR="00554826" w:rsidRPr="00D307B2" w:rsidRDefault="00D307B2" w:rsidP="00554826">
      <w:pPr>
        <w:pStyle w:val="ActHead5"/>
      </w:pPr>
      <w:bookmarkStart w:id="6" w:name="_Toc113970740"/>
      <w:r>
        <w:t>5</w:t>
      </w:r>
      <w:r w:rsidR="00554826" w:rsidRPr="00D307B2">
        <w:t xml:space="preserve">  </w:t>
      </w:r>
      <w:r w:rsidRPr="00D307B2">
        <w:t>Release of therapeutic goods information</w:t>
      </w:r>
      <w:bookmarkEnd w:id="6"/>
    </w:p>
    <w:p w14:paraId="0CF34B9B" w14:textId="5EC12817" w:rsidR="00554826" w:rsidRPr="00D307B2" w:rsidRDefault="00554826" w:rsidP="00554826">
      <w:pPr>
        <w:pStyle w:val="subsection"/>
      </w:pPr>
      <w:r w:rsidRPr="00D307B2">
        <w:tab/>
      </w:r>
      <w:r w:rsidR="00D307B2" w:rsidRPr="00D307B2">
        <w:tab/>
        <w:t>The kinds of therapeutic goods information set out in the table in Schedule 1 are specified for the purpose of subsection 61(5C) of the Act.</w:t>
      </w:r>
    </w:p>
    <w:p w14:paraId="208ACE87" w14:textId="6D40C3BD" w:rsidR="00D307B2" w:rsidRPr="009C2562" w:rsidRDefault="00D307B2" w:rsidP="00D307B2">
      <w:pPr>
        <w:pStyle w:val="notetext"/>
      </w:pPr>
      <w:r w:rsidRPr="009C2562">
        <w:t>Note:</w:t>
      </w:r>
      <w:r w:rsidRPr="009C2562">
        <w:tab/>
      </w:r>
      <w:r w:rsidRPr="00D307B2">
        <w:t>Kinds of therapeutic goods information specified under subsection 61(5D) of the Act may be released by the Secretary to the public under subsection 61(5C).</w:t>
      </w:r>
    </w:p>
    <w:p w14:paraId="4D5C8C62" w14:textId="4F4E1A67" w:rsidR="00D307B2" w:rsidRPr="00554826" w:rsidRDefault="00007804" w:rsidP="00D307B2">
      <w:pPr>
        <w:pStyle w:val="ActHead5"/>
      </w:pPr>
      <w:bookmarkStart w:id="7" w:name="_Toc454781205"/>
      <w:bookmarkStart w:id="8" w:name="_Toc113970741"/>
      <w:r>
        <w:t>6</w:t>
      </w:r>
      <w:r w:rsidR="00D307B2" w:rsidRPr="00554826">
        <w:t xml:space="preserve">  </w:t>
      </w:r>
      <w:bookmarkEnd w:id="7"/>
      <w:r w:rsidR="00D307B2">
        <w:t>Repeals</w:t>
      </w:r>
      <w:bookmarkEnd w:id="8"/>
    </w:p>
    <w:p w14:paraId="728262AA" w14:textId="2895A9CF" w:rsidR="00D307B2" w:rsidRDefault="00D307B2" w:rsidP="00D307B2">
      <w:pPr>
        <w:pStyle w:val="subsection"/>
      </w:pPr>
      <w:r w:rsidRPr="006065DA">
        <w:tab/>
      </w:r>
      <w:r w:rsidRPr="006065DA">
        <w:tab/>
        <w:t>Each instrument that is specified in Schedule</w:t>
      </w:r>
      <w:r>
        <w:t xml:space="preserve"> 2</w:t>
      </w:r>
      <w:r w:rsidRPr="006065DA">
        <w:t xml:space="preserve"> </w:t>
      </w:r>
      <w:r>
        <w:t>i</w:t>
      </w:r>
      <w:r w:rsidRPr="006065DA">
        <w:t>s repealed as set out in the applicable items in th</w:t>
      </w:r>
      <w:r>
        <w:t>at</w:t>
      </w:r>
      <w:r w:rsidRPr="006065DA">
        <w:t xml:space="preserve"> Schedule.</w:t>
      </w:r>
    </w:p>
    <w:p w14:paraId="749EE23C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734C3CF" w14:textId="677F0F30" w:rsidR="00BA1533" w:rsidRPr="00F96C3F" w:rsidRDefault="00D307B2" w:rsidP="00BA1533">
      <w:pPr>
        <w:pStyle w:val="ActHead1"/>
        <w:pageBreakBefore/>
      </w:pPr>
      <w:bookmarkStart w:id="9" w:name="_Toc113970742"/>
      <w:r w:rsidRPr="00BA1533">
        <w:rPr>
          <w:rStyle w:val="CharChapNo"/>
        </w:rPr>
        <w:lastRenderedPageBreak/>
        <w:t>Schedule 1—</w:t>
      </w:r>
      <w:r w:rsidR="0085426A">
        <w:rPr>
          <w:rStyle w:val="CharChapNo"/>
        </w:rPr>
        <w:t>T</w:t>
      </w:r>
      <w:r w:rsidR="00007804" w:rsidRPr="00BA1533">
        <w:rPr>
          <w:rStyle w:val="CharChapNo"/>
        </w:rPr>
        <w:t>herapeutic goods information</w:t>
      </w:r>
      <w:bookmarkEnd w:id="9"/>
    </w:p>
    <w:p w14:paraId="19F60157" w14:textId="77777777" w:rsidR="00007804" w:rsidRDefault="00007804" w:rsidP="00007804">
      <w:pPr>
        <w:pStyle w:val="notemargin"/>
      </w:pPr>
      <w:r w:rsidRPr="00FC4418">
        <w:t>Note:</w:t>
      </w:r>
      <w:r w:rsidRPr="00FC4418">
        <w:tab/>
        <w:t>See section </w:t>
      </w:r>
      <w:r>
        <w:t>5</w:t>
      </w:r>
      <w:r w:rsidRPr="00FC4418">
        <w:t>.</w:t>
      </w:r>
    </w:p>
    <w:p w14:paraId="275E6AA1" w14:textId="77777777" w:rsidR="00D307B2" w:rsidRPr="00554826" w:rsidRDefault="00D307B2" w:rsidP="00D307B2"/>
    <w:tbl>
      <w:tblPr>
        <w:tblW w:w="4945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7143"/>
      </w:tblGrid>
      <w:tr w:rsidR="00007804" w:rsidRPr="00C47ACA" w14:paraId="3252F346" w14:textId="77777777" w:rsidTr="00B965AA">
        <w:trPr>
          <w:tblHeader/>
        </w:trPr>
        <w:tc>
          <w:tcPr>
            <w:tcW w:w="65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FC7593C" w14:textId="77777777" w:rsidR="00007804" w:rsidRDefault="00007804" w:rsidP="00B965AA">
            <w:pPr>
              <w:pStyle w:val="TableHeading"/>
            </w:pPr>
            <w:r>
              <w:t>Column 1</w:t>
            </w:r>
          </w:p>
        </w:tc>
        <w:tc>
          <w:tcPr>
            <w:tcW w:w="434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DB70BF8" w14:textId="77777777" w:rsidR="00007804" w:rsidRPr="00C47ACA" w:rsidRDefault="00007804" w:rsidP="00B965AA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</w:tr>
      <w:tr w:rsidR="00007804" w:rsidRPr="00C47ACA" w14:paraId="19C687E5" w14:textId="77777777" w:rsidTr="00C724CD">
        <w:trPr>
          <w:tblHeader/>
        </w:trPr>
        <w:tc>
          <w:tcPr>
            <w:tcW w:w="65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34B9787" w14:textId="77777777" w:rsidR="00007804" w:rsidRPr="00C47ACA" w:rsidRDefault="00007804" w:rsidP="00B965AA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434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600DA60" w14:textId="2E76C92A" w:rsidR="00007804" w:rsidRPr="00C47ACA" w:rsidRDefault="00007804" w:rsidP="00B965AA">
            <w:pPr>
              <w:pStyle w:val="TableHeading"/>
              <w:tabs>
                <w:tab w:val="right" w:pos="2329"/>
              </w:tabs>
            </w:pPr>
            <w:r>
              <w:t xml:space="preserve">Kinds of </w:t>
            </w:r>
            <w:r w:rsidR="0085426A">
              <w:t xml:space="preserve">therapeutic goods </w:t>
            </w:r>
            <w:r>
              <w:t>information</w:t>
            </w:r>
          </w:p>
        </w:tc>
      </w:tr>
      <w:tr w:rsidR="00007804" w:rsidRPr="00636A96" w14:paraId="26935256" w14:textId="77777777" w:rsidTr="00C724CD">
        <w:tc>
          <w:tcPr>
            <w:tcW w:w="6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5808C5" w14:textId="77777777" w:rsidR="00007804" w:rsidRPr="00DA220E" w:rsidRDefault="00007804" w:rsidP="00B965AA">
            <w:pPr>
              <w:pStyle w:val="Tabletext"/>
            </w:pPr>
            <w:r>
              <w:t>1</w:t>
            </w:r>
          </w:p>
        </w:tc>
        <w:tc>
          <w:tcPr>
            <w:tcW w:w="43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5570B0" w14:textId="0E47814F" w:rsidR="00007804" w:rsidRPr="00FD0F1B" w:rsidRDefault="00577285" w:rsidP="00B965AA">
            <w:pPr>
              <w:pStyle w:val="Tabletext"/>
              <w:spacing w:after="60"/>
            </w:pPr>
            <w:r w:rsidRPr="00FD0F1B">
              <w:t xml:space="preserve">information </w:t>
            </w:r>
            <w:r w:rsidR="00FD0F1B" w:rsidRPr="00FD0F1B">
              <w:t>relating to</w:t>
            </w:r>
            <w:r w:rsidRPr="00FD0F1B">
              <w:t xml:space="preserve"> an adverse event </w:t>
            </w:r>
            <w:r w:rsidR="00C43086" w:rsidRPr="00FD0F1B">
              <w:t>that has been reported to the TGA</w:t>
            </w:r>
            <w:r w:rsidR="00FD0F1B" w:rsidRPr="00FD0F1B">
              <w:t xml:space="preserve"> (</w:t>
            </w:r>
            <w:r w:rsidR="00CE2657" w:rsidRPr="00CE2657">
              <w:rPr>
                <w:b/>
                <w:bCs/>
                <w:i/>
                <w:iCs/>
              </w:rPr>
              <w:t>adverse event</w:t>
            </w:r>
            <w:r w:rsidR="00CE2657">
              <w:t xml:space="preserve"> </w:t>
            </w:r>
            <w:r w:rsidR="00FD0F1B" w:rsidRPr="00FD0F1B">
              <w:rPr>
                <w:b/>
                <w:bCs/>
                <w:i/>
                <w:iCs/>
              </w:rPr>
              <w:t>report</w:t>
            </w:r>
            <w:r w:rsidR="00FD0F1B" w:rsidRPr="00FD0F1B">
              <w:t>)</w:t>
            </w:r>
            <w:r w:rsidR="00890263" w:rsidRPr="00FD0F1B">
              <w:t xml:space="preserve">, </w:t>
            </w:r>
            <w:r w:rsidR="00F9591D">
              <w:t>as follows</w:t>
            </w:r>
            <w:r w:rsidR="00007804" w:rsidRPr="00FD0F1B">
              <w:t>:</w:t>
            </w:r>
          </w:p>
          <w:p w14:paraId="74D10B57" w14:textId="44398227" w:rsidR="00007804" w:rsidRPr="00FD0F1B" w:rsidRDefault="00FD0F1B" w:rsidP="00FD0F1B">
            <w:pPr>
              <w:pStyle w:val="Tabletext"/>
              <w:spacing w:after="60"/>
              <w:ind w:left="795" w:hanging="435"/>
            </w:pPr>
            <w:r>
              <w:t>(a)</w:t>
            </w:r>
            <w:r>
              <w:tab/>
            </w:r>
            <w:r w:rsidR="00A426D7">
              <w:t>details</w:t>
            </w:r>
            <w:r w:rsidR="00890263" w:rsidRPr="00FD0F1B">
              <w:t xml:space="preserve"> of the</w:t>
            </w:r>
            <w:r w:rsidR="003C5674">
              <w:t xml:space="preserve"> </w:t>
            </w:r>
            <w:r w:rsidR="00890263" w:rsidRPr="00FD0F1B">
              <w:t>medicine</w:t>
            </w:r>
            <w:r w:rsidR="00C92389">
              <w:t xml:space="preserve"> or biological</w:t>
            </w:r>
            <w:r w:rsidR="00007804" w:rsidRPr="00FD0F1B">
              <w:t>;</w:t>
            </w:r>
          </w:p>
          <w:p w14:paraId="14293416" w14:textId="3E5A9538" w:rsidR="00007804" w:rsidRPr="00FD0F1B" w:rsidRDefault="00FD0F1B" w:rsidP="00FD0F1B">
            <w:pPr>
              <w:pStyle w:val="Tabletext"/>
              <w:spacing w:after="60"/>
              <w:ind w:left="795" w:hanging="435"/>
            </w:pPr>
            <w:r>
              <w:t>(</w:t>
            </w:r>
            <w:r w:rsidR="00A426D7">
              <w:t>b</w:t>
            </w:r>
            <w:r>
              <w:t>)</w:t>
            </w:r>
            <w:r>
              <w:tab/>
            </w:r>
            <w:r w:rsidR="00590E3A">
              <w:t xml:space="preserve">details of </w:t>
            </w:r>
            <w:r w:rsidR="00890263" w:rsidRPr="00FD0F1B">
              <w:t xml:space="preserve">any other </w:t>
            </w:r>
            <w:r w:rsidR="00F10E90">
              <w:t>therapeutic good</w:t>
            </w:r>
            <w:r w:rsidR="00C92389" w:rsidRPr="00FD0F1B">
              <w:t xml:space="preserve"> </w:t>
            </w:r>
            <w:r w:rsidR="00C92389">
              <w:t xml:space="preserve">administered </w:t>
            </w:r>
            <w:r w:rsidR="00C92389" w:rsidRPr="008C127B">
              <w:t>to</w:t>
            </w:r>
            <w:r w:rsidR="00890263" w:rsidRPr="00FD0F1B">
              <w:t xml:space="preserve"> the person</w:t>
            </w:r>
            <w:r w:rsidR="00CE2657">
              <w:t xml:space="preserve"> who is reported to have suffered the adverse event (the </w:t>
            </w:r>
            <w:r w:rsidR="00CE2657" w:rsidRPr="00CE2657">
              <w:rPr>
                <w:b/>
                <w:bCs/>
                <w:i/>
                <w:iCs/>
              </w:rPr>
              <w:t>relevant person</w:t>
            </w:r>
            <w:r w:rsidR="00CE2657">
              <w:t>)</w:t>
            </w:r>
            <w:r w:rsidR="00007804" w:rsidRPr="00FD0F1B">
              <w:t>;</w:t>
            </w:r>
          </w:p>
          <w:p w14:paraId="0BBFE917" w14:textId="6E76584C" w:rsidR="00007804" w:rsidRPr="00FD0F1B" w:rsidRDefault="00FD0F1B" w:rsidP="00FD0F1B">
            <w:pPr>
              <w:pStyle w:val="Tabletext"/>
              <w:spacing w:after="60"/>
              <w:ind w:left="795" w:hanging="435"/>
            </w:pPr>
            <w:r>
              <w:t>(</w:t>
            </w:r>
            <w:r w:rsidR="006D67F3">
              <w:t>c</w:t>
            </w:r>
            <w:r>
              <w:t>)</w:t>
            </w:r>
            <w:r>
              <w:tab/>
            </w:r>
            <w:r w:rsidR="00007804" w:rsidRPr="00FD0F1B">
              <w:t xml:space="preserve">the </w:t>
            </w:r>
            <w:r w:rsidRPr="00FD0F1B">
              <w:t>age of the relevant person</w:t>
            </w:r>
            <w:r w:rsidR="00007804" w:rsidRPr="00FD0F1B">
              <w:t>;</w:t>
            </w:r>
          </w:p>
          <w:p w14:paraId="5C5DDA91" w14:textId="05B75722" w:rsidR="00007804" w:rsidRDefault="00FD0F1B" w:rsidP="00FD0F1B">
            <w:pPr>
              <w:pStyle w:val="Tabletext"/>
              <w:spacing w:after="60"/>
              <w:ind w:left="795" w:hanging="435"/>
            </w:pPr>
            <w:r>
              <w:t>(</w:t>
            </w:r>
            <w:r w:rsidR="006D67F3">
              <w:t>d</w:t>
            </w:r>
            <w:r>
              <w:t>)</w:t>
            </w:r>
            <w:r>
              <w:tab/>
            </w:r>
            <w:r w:rsidRPr="00FD0F1B">
              <w:t>the gender of the relevant person</w:t>
            </w:r>
            <w:r w:rsidR="00007804" w:rsidRPr="00FD0F1B">
              <w:t>;</w:t>
            </w:r>
          </w:p>
          <w:p w14:paraId="27F982D9" w14:textId="3639DAC2" w:rsidR="00FD0F1B" w:rsidRPr="00FD0F1B" w:rsidRDefault="00DA2B7A" w:rsidP="00FD0F1B">
            <w:pPr>
              <w:pStyle w:val="Tabletext"/>
              <w:spacing w:after="60"/>
              <w:ind w:left="795" w:hanging="435"/>
            </w:pPr>
            <w:r>
              <w:t>(</w:t>
            </w:r>
            <w:r w:rsidR="006D67F3">
              <w:t>e</w:t>
            </w:r>
            <w:r>
              <w:t>)</w:t>
            </w:r>
            <w:r>
              <w:tab/>
            </w:r>
            <w:r w:rsidR="00DA2EF0">
              <w:t>the</w:t>
            </w:r>
            <w:r>
              <w:t xml:space="preserve"> </w:t>
            </w:r>
            <w:r w:rsidR="00DA2EF0">
              <w:t xml:space="preserve">adverse event </w:t>
            </w:r>
            <w:r>
              <w:t>description</w:t>
            </w:r>
            <w:r w:rsidR="00DA2EF0">
              <w:t xml:space="preserve"> term</w:t>
            </w:r>
            <w:r w:rsidR="00CE2657">
              <w:t xml:space="preserve">, as described in the </w:t>
            </w:r>
            <w:r w:rsidR="00CE2657" w:rsidRPr="005D0809">
              <w:t>MedDRA</w:t>
            </w:r>
            <w:r w:rsidR="00CE2657">
              <w:t xml:space="preserve">, </w:t>
            </w:r>
            <w:r w:rsidR="00DA2EF0">
              <w:t>that relates to the adv</w:t>
            </w:r>
            <w:r>
              <w:t>erse event</w:t>
            </w:r>
            <w:r w:rsidRPr="005D0809">
              <w:t>;</w:t>
            </w:r>
          </w:p>
          <w:p w14:paraId="512E848A" w14:textId="341B6028" w:rsidR="00FD0F1B" w:rsidRPr="00FD0F1B" w:rsidRDefault="00DA2B7A" w:rsidP="00FD0F1B">
            <w:pPr>
              <w:pStyle w:val="Tabletext"/>
              <w:spacing w:after="60"/>
              <w:ind w:left="795" w:hanging="435"/>
            </w:pPr>
            <w:r>
              <w:t>(</w:t>
            </w:r>
            <w:r w:rsidR="006D67F3">
              <w:t>f</w:t>
            </w:r>
            <w:r>
              <w:t>)</w:t>
            </w:r>
            <w:r>
              <w:tab/>
            </w:r>
            <w:r w:rsidR="00FD0F1B" w:rsidRPr="00FD0F1B">
              <w:t>the date</w:t>
            </w:r>
            <w:r w:rsidR="00FD0F1B">
              <w:t xml:space="preserve"> that the </w:t>
            </w:r>
            <w:r w:rsidR="003C5674">
              <w:t xml:space="preserve">adverse event </w:t>
            </w:r>
            <w:r w:rsidR="00960F07">
              <w:t>wa</w:t>
            </w:r>
            <w:r w:rsidR="00FD0F1B">
              <w:t xml:space="preserve">s </w:t>
            </w:r>
            <w:r w:rsidR="007A10CE">
              <w:t>recorded</w:t>
            </w:r>
            <w:r w:rsidR="00FD0F1B">
              <w:t xml:space="preserve"> by the TGA;</w:t>
            </w:r>
          </w:p>
          <w:p w14:paraId="736C8E13" w14:textId="548BCE61" w:rsidR="00007804" w:rsidRPr="00DA2B7A" w:rsidRDefault="00DA2B7A" w:rsidP="00DA2B7A">
            <w:pPr>
              <w:pStyle w:val="Tabletext"/>
              <w:spacing w:after="60"/>
              <w:ind w:left="795" w:hanging="435"/>
            </w:pPr>
            <w:r>
              <w:t>(</w:t>
            </w:r>
            <w:r w:rsidR="006D67F3">
              <w:t>g</w:t>
            </w:r>
            <w:r>
              <w:t>)</w:t>
            </w:r>
            <w:r>
              <w:tab/>
            </w:r>
            <w:r w:rsidR="00007804" w:rsidRPr="00FD0F1B">
              <w:t xml:space="preserve">the </w:t>
            </w:r>
            <w:r w:rsidR="00FD0F1B">
              <w:t xml:space="preserve">unique </w:t>
            </w:r>
            <w:r w:rsidR="00FD0F1B" w:rsidRPr="00FD0F1B">
              <w:t xml:space="preserve">number allocated to the </w:t>
            </w:r>
            <w:r w:rsidR="003C5674">
              <w:t xml:space="preserve">adverse event </w:t>
            </w:r>
            <w:r w:rsidR="00FD0F1B" w:rsidRPr="00FD0F1B">
              <w:t xml:space="preserve">report </w:t>
            </w:r>
            <w:r w:rsidR="00FD0F1B">
              <w:t>by the TGA</w:t>
            </w:r>
          </w:p>
        </w:tc>
      </w:tr>
      <w:tr w:rsidR="00C724CD" w:rsidRPr="00636A96" w14:paraId="6D68F0FE" w14:textId="77777777" w:rsidTr="00C724CD">
        <w:tc>
          <w:tcPr>
            <w:tcW w:w="6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CF5497" w14:textId="1EAF10EC" w:rsidR="00C724CD" w:rsidRDefault="00B76B8E" w:rsidP="00B965AA">
            <w:pPr>
              <w:pStyle w:val="Tabletext"/>
            </w:pPr>
            <w:r>
              <w:t>2</w:t>
            </w:r>
          </w:p>
        </w:tc>
        <w:tc>
          <w:tcPr>
            <w:tcW w:w="434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B9F8D6" w14:textId="7D0FF86C" w:rsidR="00DA2EF0" w:rsidRPr="00FD0F1B" w:rsidRDefault="00DA2EF0" w:rsidP="00DA2EF0">
            <w:pPr>
              <w:pStyle w:val="Tabletext"/>
              <w:spacing w:after="60"/>
            </w:pPr>
            <w:r w:rsidRPr="00FD0F1B">
              <w:t>information relating to a</w:t>
            </w:r>
            <w:r>
              <w:t xml:space="preserve"> medicine </w:t>
            </w:r>
            <w:r w:rsidR="00C92389">
              <w:t xml:space="preserve">or biological </w:t>
            </w:r>
            <w:r>
              <w:t>that is collated by the TGA from adverse events that have been reported to the TGA in relation to the medicine</w:t>
            </w:r>
            <w:r w:rsidR="00C92389">
              <w:t xml:space="preserve"> or biological</w:t>
            </w:r>
            <w:r w:rsidR="00CE2FC7">
              <w:t xml:space="preserve"> and recorded in the DAEN</w:t>
            </w:r>
            <w:r w:rsidR="005128B3">
              <w:t xml:space="preserve"> (</w:t>
            </w:r>
            <w:r w:rsidR="005128B3" w:rsidRPr="005128B3">
              <w:rPr>
                <w:b/>
                <w:bCs/>
                <w:i/>
                <w:iCs/>
              </w:rPr>
              <w:t>relevant cases</w:t>
            </w:r>
            <w:r w:rsidR="005128B3">
              <w:t>)</w:t>
            </w:r>
            <w:r>
              <w:t>,</w:t>
            </w:r>
            <w:r w:rsidRPr="00FD0F1B">
              <w:t xml:space="preserve"> </w:t>
            </w:r>
            <w:r w:rsidR="00F9591D">
              <w:t>as follows</w:t>
            </w:r>
            <w:r w:rsidRPr="00FD0F1B">
              <w:t>:</w:t>
            </w:r>
          </w:p>
          <w:p w14:paraId="0D18F27E" w14:textId="3E379523" w:rsidR="005128B3" w:rsidRPr="00623AC7" w:rsidRDefault="00B76B8E" w:rsidP="00B76B8E">
            <w:pPr>
              <w:pStyle w:val="Tabletext"/>
              <w:spacing w:after="60"/>
              <w:ind w:left="795" w:hanging="435"/>
            </w:pPr>
            <w:r>
              <w:t>(a)</w:t>
            </w:r>
            <w:r>
              <w:tab/>
            </w:r>
            <w:r w:rsidR="005128B3">
              <w:t xml:space="preserve">the number of </w:t>
            </w:r>
            <w:r w:rsidR="005128B3" w:rsidRPr="00623AC7">
              <w:t>relevant cases</w:t>
            </w:r>
            <w:r w:rsidRPr="00623AC7">
              <w:t>;</w:t>
            </w:r>
          </w:p>
          <w:p w14:paraId="14D1A786" w14:textId="359064C6" w:rsidR="00B76B8E" w:rsidRPr="00FD0F1B" w:rsidRDefault="00B76B8E" w:rsidP="00B76B8E">
            <w:pPr>
              <w:pStyle w:val="Tabletext"/>
              <w:spacing w:after="60"/>
              <w:ind w:left="795" w:hanging="435"/>
            </w:pPr>
            <w:r>
              <w:t>(b)</w:t>
            </w:r>
            <w:r>
              <w:tab/>
            </w:r>
            <w:r w:rsidR="005128B3">
              <w:t xml:space="preserve">the number of </w:t>
            </w:r>
            <w:r w:rsidR="00966EAD">
              <w:t>relevant cases that have resulted in death</w:t>
            </w:r>
            <w:r w:rsidRPr="00FD0F1B">
              <w:t>;</w:t>
            </w:r>
          </w:p>
          <w:p w14:paraId="4A148CA1" w14:textId="1944BE11" w:rsidR="00B76B8E" w:rsidRPr="00FD0F1B" w:rsidRDefault="00B76B8E" w:rsidP="00B76B8E">
            <w:pPr>
              <w:pStyle w:val="Tabletext"/>
              <w:spacing w:after="60"/>
              <w:ind w:left="795" w:hanging="435"/>
            </w:pPr>
            <w:r>
              <w:t>(c)</w:t>
            </w:r>
            <w:r>
              <w:tab/>
            </w:r>
            <w:r w:rsidRPr="00FD0F1B">
              <w:t xml:space="preserve">the </w:t>
            </w:r>
            <w:r w:rsidR="00966EAD">
              <w:t xml:space="preserve">number of relevant cases in which the medicine </w:t>
            </w:r>
            <w:r w:rsidR="00C92389">
              <w:t xml:space="preserve">or biological </w:t>
            </w:r>
            <w:r w:rsidR="00966EAD">
              <w:t xml:space="preserve">was reported to be the only </w:t>
            </w:r>
            <w:r w:rsidR="00C92389">
              <w:t xml:space="preserve">therapeutic good </w:t>
            </w:r>
            <w:r w:rsidR="00966EAD">
              <w:t>suspected of being related to the adverse event</w:t>
            </w:r>
            <w:r w:rsidRPr="00FD0F1B">
              <w:t>;</w:t>
            </w:r>
          </w:p>
          <w:p w14:paraId="1163EB3C" w14:textId="00AE52F9" w:rsidR="00B76B8E" w:rsidRDefault="00B76B8E" w:rsidP="00B76B8E">
            <w:pPr>
              <w:pStyle w:val="Tabletext"/>
              <w:spacing w:after="60"/>
              <w:ind w:left="795" w:hanging="435"/>
            </w:pPr>
            <w:r>
              <w:t>(d)</w:t>
            </w:r>
            <w:r>
              <w:tab/>
            </w:r>
            <w:r w:rsidRPr="00FD0F1B">
              <w:t xml:space="preserve">the </w:t>
            </w:r>
            <w:r w:rsidR="00966EAD">
              <w:t>system organ class terminology, as described in the MedDRA</w:t>
            </w:r>
            <w:r w:rsidR="005D0809">
              <w:t>, for the part of the body that was reported as being affected by each adverse event</w:t>
            </w:r>
            <w:r w:rsidRPr="00FD0F1B">
              <w:t>;</w:t>
            </w:r>
          </w:p>
          <w:p w14:paraId="52ED1C71" w14:textId="602AE447" w:rsidR="00C724CD" w:rsidRPr="005D0809" w:rsidRDefault="00B76B8E" w:rsidP="005D0809">
            <w:pPr>
              <w:pStyle w:val="Tabletext"/>
              <w:spacing w:after="60"/>
              <w:ind w:left="795" w:hanging="435"/>
            </w:pPr>
            <w:r>
              <w:t>(e)</w:t>
            </w:r>
            <w:r>
              <w:tab/>
            </w:r>
            <w:r w:rsidR="005D0809">
              <w:t>the adverse event des</w:t>
            </w:r>
            <w:r>
              <w:t xml:space="preserve">cription </w:t>
            </w:r>
            <w:r w:rsidR="005D0809">
              <w:t>term, as described in the Med</w:t>
            </w:r>
            <w:r w:rsidR="00623AC7">
              <w:t>D</w:t>
            </w:r>
            <w:r w:rsidR="005D0809">
              <w:t>RA, that relates to each adverse event</w:t>
            </w:r>
          </w:p>
        </w:tc>
      </w:tr>
    </w:tbl>
    <w:p w14:paraId="6C2D762E" w14:textId="77777777" w:rsidR="00D307B2" w:rsidRDefault="00D307B2" w:rsidP="00D307B2">
      <w:pPr>
        <w:spacing w:line="240" w:lineRule="auto"/>
      </w:pPr>
      <w:r>
        <w:br w:type="page"/>
      </w:r>
    </w:p>
    <w:p w14:paraId="0E5A160E" w14:textId="4EF4B9E4" w:rsidR="00D6537E" w:rsidRPr="004E1307" w:rsidRDefault="004E1307" w:rsidP="00D6537E">
      <w:pPr>
        <w:pStyle w:val="ActHead6"/>
      </w:pPr>
      <w:bookmarkStart w:id="10" w:name="_Toc113970743"/>
      <w:r>
        <w:lastRenderedPageBreak/>
        <w:t xml:space="preserve">Schedule </w:t>
      </w:r>
      <w:r w:rsidR="00D307B2">
        <w:t>2</w:t>
      </w:r>
      <w:r w:rsidR="00D6537E" w:rsidRPr="004E1307">
        <w:t>—Repeals</w:t>
      </w:r>
      <w:bookmarkEnd w:id="10"/>
    </w:p>
    <w:p w14:paraId="3DC9BA5E" w14:textId="42DA0DEC" w:rsidR="00566D28" w:rsidRDefault="00566D28" w:rsidP="00566D28">
      <w:pPr>
        <w:pStyle w:val="notemargin"/>
      </w:pPr>
      <w:r w:rsidRPr="00FC4418">
        <w:t>Note:</w:t>
      </w:r>
      <w:r w:rsidRPr="00FC4418">
        <w:tab/>
        <w:t>See section </w:t>
      </w:r>
      <w:r>
        <w:t>6</w:t>
      </w:r>
      <w:r w:rsidRPr="00FC4418">
        <w:t>.</w:t>
      </w:r>
    </w:p>
    <w:p w14:paraId="310CCD1C" w14:textId="05FE98E7" w:rsidR="00D6537E" w:rsidRPr="00D6537E" w:rsidRDefault="00D307B2" w:rsidP="00D6537E">
      <w:pPr>
        <w:pStyle w:val="ActHead9"/>
      </w:pPr>
      <w:bookmarkStart w:id="11" w:name="_Toc113970744"/>
      <w:r w:rsidRPr="00D307B2">
        <w:t>Therapeutic Goods Information (Database of Adverse Event Notifications) Specification 2012</w:t>
      </w:r>
      <w:bookmarkEnd w:id="11"/>
    </w:p>
    <w:p w14:paraId="53258396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6135F838" w14:textId="6EC9CD6C" w:rsidR="004E1307" w:rsidRDefault="00D6537E" w:rsidP="00D6537E">
      <w:pPr>
        <w:pStyle w:val="Item"/>
      </w:pPr>
      <w:r>
        <w:t>Repeal the instrument</w:t>
      </w:r>
      <w:r w:rsidR="008C127B">
        <w:t>.</w:t>
      </w:r>
    </w:p>
    <w:p w14:paraId="6E80574E" w14:textId="77777777" w:rsidR="00554826" w:rsidRPr="00554826" w:rsidRDefault="00554826" w:rsidP="00554826"/>
    <w:sectPr w:rsidR="00554826" w:rsidRP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C917" w14:textId="77777777" w:rsidR="002C2FD9" w:rsidRDefault="002C2FD9" w:rsidP="00715914">
      <w:pPr>
        <w:spacing w:line="240" w:lineRule="auto"/>
      </w:pPr>
      <w:r>
        <w:separator/>
      </w:r>
    </w:p>
  </w:endnote>
  <w:endnote w:type="continuationSeparator" w:id="0">
    <w:p w14:paraId="3E424BD7" w14:textId="77777777" w:rsidR="002C2FD9" w:rsidRDefault="002C2F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C42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93F581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8037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8A7FBE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3A7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5371B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CA4F5C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22806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F752DD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D25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3AEF4A2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49E4C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D9FD88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3A7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E02B7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F6A3C4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FC3AD9" w14:textId="77777777" w:rsidR="0072147A" w:rsidRDefault="0072147A" w:rsidP="00A369E3">
          <w:pPr>
            <w:rPr>
              <w:sz w:val="18"/>
            </w:rPr>
          </w:pPr>
        </w:p>
      </w:tc>
    </w:tr>
  </w:tbl>
  <w:p w14:paraId="3998028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D13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4A3564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E3703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53E4A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771D1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9314BF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94E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47ADB01" w14:textId="77777777" w:rsidTr="00A87A58">
      <w:tc>
        <w:tcPr>
          <w:tcW w:w="365" w:type="pct"/>
        </w:tcPr>
        <w:p w14:paraId="75AF1845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942F68B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3A7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F9067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64F3976" w14:textId="77777777" w:rsidTr="00A87A58">
      <w:tc>
        <w:tcPr>
          <w:tcW w:w="5000" w:type="pct"/>
          <w:gridSpan w:val="3"/>
        </w:tcPr>
        <w:p w14:paraId="783076EC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85C5C4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444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B79A0EB" w14:textId="77777777" w:rsidTr="00A87A58">
      <w:tc>
        <w:tcPr>
          <w:tcW w:w="947" w:type="pct"/>
        </w:tcPr>
        <w:p w14:paraId="284514C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D3A1138" w14:textId="6D3D4C9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2E5F">
            <w:rPr>
              <w:i/>
              <w:noProof/>
              <w:sz w:val="18"/>
            </w:rPr>
            <w:t>Therapeutic Goods (Database of Adverse Event Notifications) (Information)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7B37AC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06F9FBC" w14:textId="77777777" w:rsidTr="00A87A58">
      <w:tc>
        <w:tcPr>
          <w:tcW w:w="5000" w:type="pct"/>
          <w:gridSpan w:val="3"/>
        </w:tcPr>
        <w:p w14:paraId="041F50E9" w14:textId="77777777" w:rsidR="00F6696E" w:rsidRDefault="00F6696E" w:rsidP="000850AC">
          <w:pPr>
            <w:rPr>
              <w:sz w:val="18"/>
            </w:rPr>
          </w:pPr>
        </w:p>
      </w:tc>
    </w:tr>
  </w:tbl>
  <w:p w14:paraId="154FC5C4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BB1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08286A8" w14:textId="77777777" w:rsidTr="00A87A58">
      <w:tc>
        <w:tcPr>
          <w:tcW w:w="365" w:type="pct"/>
        </w:tcPr>
        <w:p w14:paraId="6529CA3B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F4027F5" w14:textId="7D3C5C5A" w:rsidR="008C2EAC" w:rsidRDefault="008C127B" w:rsidP="000850A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Therapeutic Goods (Database of Adverse Event Notifications) (Information) Specification 2022</w:t>
          </w:r>
        </w:p>
      </w:tc>
      <w:tc>
        <w:tcPr>
          <w:tcW w:w="947" w:type="pct"/>
        </w:tcPr>
        <w:p w14:paraId="2B49926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C8D66B1" w14:textId="77777777" w:rsidTr="00A87A58">
      <w:tc>
        <w:tcPr>
          <w:tcW w:w="5000" w:type="pct"/>
          <w:gridSpan w:val="3"/>
        </w:tcPr>
        <w:p w14:paraId="6A74C3E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7A956F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CB0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424F167" w14:textId="77777777" w:rsidTr="00A87A58">
      <w:tc>
        <w:tcPr>
          <w:tcW w:w="947" w:type="pct"/>
        </w:tcPr>
        <w:p w14:paraId="071A938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9A2AF6" w14:textId="0FAFE228" w:rsidR="008C2EAC" w:rsidRDefault="008C127B" w:rsidP="000850A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Therapeutic Goods (Database of Adverse Event Notifications) (Information) Specification 2022</w:t>
          </w:r>
        </w:p>
      </w:tc>
      <w:tc>
        <w:tcPr>
          <w:tcW w:w="365" w:type="pct"/>
        </w:tcPr>
        <w:p w14:paraId="326EEA7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DFEC9B0" w14:textId="77777777" w:rsidTr="00A87A58">
      <w:tc>
        <w:tcPr>
          <w:tcW w:w="5000" w:type="pct"/>
          <w:gridSpan w:val="3"/>
        </w:tcPr>
        <w:p w14:paraId="784DDC06" w14:textId="77777777" w:rsidR="008C2EAC" w:rsidRDefault="008C2EAC" w:rsidP="000850AC">
          <w:pPr>
            <w:rPr>
              <w:sz w:val="18"/>
            </w:rPr>
          </w:pPr>
        </w:p>
      </w:tc>
    </w:tr>
  </w:tbl>
  <w:p w14:paraId="128C5A5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0395" w14:textId="77777777" w:rsidR="002C2FD9" w:rsidRDefault="002C2FD9" w:rsidP="00715914">
      <w:pPr>
        <w:spacing w:line="240" w:lineRule="auto"/>
      </w:pPr>
      <w:r>
        <w:separator/>
      </w:r>
    </w:p>
  </w:footnote>
  <w:footnote w:type="continuationSeparator" w:id="0">
    <w:p w14:paraId="0660B703" w14:textId="77777777" w:rsidR="002C2FD9" w:rsidRDefault="002C2F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21E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94D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27F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282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B34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BDAA" w14:textId="77777777" w:rsidR="004E1307" w:rsidRDefault="004E1307" w:rsidP="00715914">
    <w:pPr>
      <w:rPr>
        <w:sz w:val="20"/>
      </w:rPr>
    </w:pPr>
  </w:p>
  <w:p w14:paraId="0EBF1BC5" w14:textId="77777777" w:rsidR="004E1307" w:rsidRDefault="004E1307" w:rsidP="00715914">
    <w:pPr>
      <w:rPr>
        <w:sz w:val="20"/>
      </w:rPr>
    </w:pPr>
  </w:p>
  <w:p w14:paraId="54991587" w14:textId="77777777" w:rsidR="004E1307" w:rsidRPr="007A1328" w:rsidRDefault="004E1307" w:rsidP="00715914">
    <w:pPr>
      <w:rPr>
        <w:sz w:val="20"/>
      </w:rPr>
    </w:pPr>
  </w:p>
  <w:p w14:paraId="0FDBC864" w14:textId="77777777" w:rsidR="004E1307" w:rsidRPr="007A1328" w:rsidRDefault="004E1307" w:rsidP="00715914">
    <w:pPr>
      <w:rPr>
        <w:b/>
        <w:sz w:val="24"/>
      </w:rPr>
    </w:pPr>
  </w:p>
  <w:p w14:paraId="7DA370D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BB18" w14:textId="77777777" w:rsidR="004E1307" w:rsidRPr="007A1328" w:rsidRDefault="004E1307" w:rsidP="00715914">
    <w:pPr>
      <w:jc w:val="right"/>
      <w:rPr>
        <w:sz w:val="20"/>
      </w:rPr>
    </w:pPr>
  </w:p>
  <w:p w14:paraId="3B51865A" w14:textId="77777777" w:rsidR="004E1307" w:rsidRPr="007A1328" w:rsidRDefault="004E1307" w:rsidP="00715914">
    <w:pPr>
      <w:jc w:val="right"/>
      <w:rPr>
        <w:sz w:val="20"/>
      </w:rPr>
    </w:pPr>
  </w:p>
  <w:p w14:paraId="419BF433" w14:textId="77777777" w:rsidR="004E1307" w:rsidRPr="007A1328" w:rsidRDefault="004E1307" w:rsidP="00715914">
    <w:pPr>
      <w:jc w:val="right"/>
      <w:rPr>
        <w:sz w:val="20"/>
      </w:rPr>
    </w:pPr>
  </w:p>
  <w:p w14:paraId="16F429A3" w14:textId="77777777" w:rsidR="004E1307" w:rsidRPr="007A1328" w:rsidRDefault="004E1307" w:rsidP="00715914">
    <w:pPr>
      <w:jc w:val="right"/>
      <w:rPr>
        <w:b/>
        <w:sz w:val="24"/>
      </w:rPr>
    </w:pPr>
  </w:p>
  <w:p w14:paraId="2FEE154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3363A6E"/>
    <w:multiLevelType w:val="hybridMultilevel"/>
    <w:tmpl w:val="F0BC034E"/>
    <w:lvl w:ilvl="0" w:tplc="3B3CBB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72"/>
    <w:rsid w:val="00004174"/>
    <w:rsid w:val="00004470"/>
    <w:rsid w:val="00007804"/>
    <w:rsid w:val="000136AF"/>
    <w:rsid w:val="000258B1"/>
    <w:rsid w:val="00040A89"/>
    <w:rsid w:val="000437C1"/>
    <w:rsid w:val="0004455A"/>
    <w:rsid w:val="00044904"/>
    <w:rsid w:val="0005365D"/>
    <w:rsid w:val="000614BF"/>
    <w:rsid w:val="0006709C"/>
    <w:rsid w:val="00074376"/>
    <w:rsid w:val="0009253B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449C4"/>
    <w:rsid w:val="001516CB"/>
    <w:rsid w:val="00152336"/>
    <w:rsid w:val="00155E44"/>
    <w:rsid w:val="00155F02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2771"/>
    <w:rsid w:val="001D37EF"/>
    <w:rsid w:val="001D7B32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3432"/>
    <w:rsid w:val="00281308"/>
    <w:rsid w:val="00284719"/>
    <w:rsid w:val="00297ECB"/>
    <w:rsid w:val="002A7BCF"/>
    <w:rsid w:val="002C2FD9"/>
    <w:rsid w:val="002C3FD1"/>
    <w:rsid w:val="002D043A"/>
    <w:rsid w:val="002D266B"/>
    <w:rsid w:val="002D6224"/>
    <w:rsid w:val="002D7340"/>
    <w:rsid w:val="002E043B"/>
    <w:rsid w:val="002E7C39"/>
    <w:rsid w:val="00304F8B"/>
    <w:rsid w:val="00327D65"/>
    <w:rsid w:val="00335BC6"/>
    <w:rsid w:val="003415D3"/>
    <w:rsid w:val="00344338"/>
    <w:rsid w:val="00344701"/>
    <w:rsid w:val="00352B0F"/>
    <w:rsid w:val="00360459"/>
    <w:rsid w:val="003767E2"/>
    <w:rsid w:val="0038049F"/>
    <w:rsid w:val="003C5674"/>
    <w:rsid w:val="003C6231"/>
    <w:rsid w:val="003C7FC1"/>
    <w:rsid w:val="003D0BFE"/>
    <w:rsid w:val="003D5700"/>
    <w:rsid w:val="003E341B"/>
    <w:rsid w:val="003E4D00"/>
    <w:rsid w:val="004116CD"/>
    <w:rsid w:val="00417EB9"/>
    <w:rsid w:val="00424CA9"/>
    <w:rsid w:val="004264FA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51BB"/>
    <w:rsid w:val="00496F97"/>
    <w:rsid w:val="004B6C48"/>
    <w:rsid w:val="004C4E59"/>
    <w:rsid w:val="004C6809"/>
    <w:rsid w:val="004E063A"/>
    <w:rsid w:val="004E1307"/>
    <w:rsid w:val="004E7BEC"/>
    <w:rsid w:val="00500FEC"/>
    <w:rsid w:val="00503E4F"/>
    <w:rsid w:val="00505D3D"/>
    <w:rsid w:val="00506AF6"/>
    <w:rsid w:val="005128B3"/>
    <w:rsid w:val="00516B8D"/>
    <w:rsid w:val="00517571"/>
    <w:rsid w:val="005303C8"/>
    <w:rsid w:val="00537FBC"/>
    <w:rsid w:val="00554826"/>
    <w:rsid w:val="00562877"/>
    <w:rsid w:val="00566D28"/>
    <w:rsid w:val="00577285"/>
    <w:rsid w:val="00584811"/>
    <w:rsid w:val="00585784"/>
    <w:rsid w:val="00590E3A"/>
    <w:rsid w:val="00593AA6"/>
    <w:rsid w:val="00594161"/>
    <w:rsid w:val="00594749"/>
    <w:rsid w:val="00595A85"/>
    <w:rsid w:val="005A65D5"/>
    <w:rsid w:val="005B4067"/>
    <w:rsid w:val="005C3F41"/>
    <w:rsid w:val="005D0809"/>
    <w:rsid w:val="005D1D92"/>
    <w:rsid w:val="005D2D09"/>
    <w:rsid w:val="00600219"/>
    <w:rsid w:val="00604F2A"/>
    <w:rsid w:val="00620076"/>
    <w:rsid w:val="00623AC7"/>
    <w:rsid w:val="00627E0A"/>
    <w:rsid w:val="0065488B"/>
    <w:rsid w:val="00670EA1"/>
    <w:rsid w:val="00677CC2"/>
    <w:rsid w:val="0068744B"/>
    <w:rsid w:val="006905DE"/>
    <w:rsid w:val="0069207B"/>
    <w:rsid w:val="006A154F"/>
    <w:rsid w:val="006A2139"/>
    <w:rsid w:val="006A437B"/>
    <w:rsid w:val="006A693E"/>
    <w:rsid w:val="006B1AF4"/>
    <w:rsid w:val="006B5789"/>
    <w:rsid w:val="006C30C5"/>
    <w:rsid w:val="006C7F8C"/>
    <w:rsid w:val="006D3981"/>
    <w:rsid w:val="006D67F3"/>
    <w:rsid w:val="006E2E1C"/>
    <w:rsid w:val="006E6246"/>
    <w:rsid w:val="006E69C2"/>
    <w:rsid w:val="006E6DCC"/>
    <w:rsid w:val="006F318F"/>
    <w:rsid w:val="0070017E"/>
    <w:rsid w:val="00700B2C"/>
    <w:rsid w:val="00704B3A"/>
    <w:rsid w:val="007050A2"/>
    <w:rsid w:val="00711989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196B"/>
    <w:rsid w:val="00756272"/>
    <w:rsid w:val="00762D38"/>
    <w:rsid w:val="00767407"/>
    <w:rsid w:val="007715C9"/>
    <w:rsid w:val="00771613"/>
    <w:rsid w:val="00774EDD"/>
    <w:rsid w:val="007757EC"/>
    <w:rsid w:val="00783E89"/>
    <w:rsid w:val="00793915"/>
    <w:rsid w:val="007A10CE"/>
    <w:rsid w:val="007C2253"/>
    <w:rsid w:val="007C3AB3"/>
    <w:rsid w:val="007D052A"/>
    <w:rsid w:val="007D7911"/>
    <w:rsid w:val="007E163D"/>
    <w:rsid w:val="007E667A"/>
    <w:rsid w:val="007F28C9"/>
    <w:rsid w:val="007F51B2"/>
    <w:rsid w:val="007F7525"/>
    <w:rsid w:val="008040DD"/>
    <w:rsid w:val="008117E9"/>
    <w:rsid w:val="00815E5B"/>
    <w:rsid w:val="00824498"/>
    <w:rsid w:val="00826BD1"/>
    <w:rsid w:val="00831130"/>
    <w:rsid w:val="00835F9B"/>
    <w:rsid w:val="0085426A"/>
    <w:rsid w:val="00854D0B"/>
    <w:rsid w:val="00856959"/>
    <w:rsid w:val="00856A31"/>
    <w:rsid w:val="00860B4E"/>
    <w:rsid w:val="00867B37"/>
    <w:rsid w:val="008754D0"/>
    <w:rsid w:val="00875D13"/>
    <w:rsid w:val="0088290F"/>
    <w:rsid w:val="008855C9"/>
    <w:rsid w:val="00886456"/>
    <w:rsid w:val="00890263"/>
    <w:rsid w:val="00896176"/>
    <w:rsid w:val="008A46E1"/>
    <w:rsid w:val="008A4F43"/>
    <w:rsid w:val="008B2706"/>
    <w:rsid w:val="008C127B"/>
    <w:rsid w:val="008C2EAC"/>
    <w:rsid w:val="008D0EE0"/>
    <w:rsid w:val="008E0027"/>
    <w:rsid w:val="008E6067"/>
    <w:rsid w:val="008F54E7"/>
    <w:rsid w:val="00903422"/>
    <w:rsid w:val="00905585"/>
    <w:rsid w:val="00913C26"/>
    <w:rsid w:val="009254C3"/>
    <w:rsid w:val="00932377"/>
    <w:rsid w:val="00941236"/>
    <w:rsid w:val="00943FD5"/>
    <w:rsid w:val="00947D5A"/>
    <w:rsid w:val="009532A5"/>
    <w:rsid w:val="009545BD"/>
    <w:rsid w:val="00960F07"/>
    <w:rsid w:val="00964CF0"/>
    <w:rsid w:val="00966EAD"/>
    <w:rsid w:val="00977806"/>
    <w:rsid w:val="00982242"/>
    <w:rsid w:val="009868E9"/>
    <w:rsid w:val="009900A3"/>
    <w:rsid w:val="009936DC"/>
    <w:rsid w:val="009C3413"/>
    <w:rsid w:val="00A00309"/>
    <w:rsid w:val="00A0441E"/>
    <w:rsid w:val="00A12128"/>
    <w:rsid w:val="00A22C98"/>
    <w:rsid w:val="00A231E2"/>
    <w:rsid w:val="00A252BE"/>
    <w:rsid w:val="00A257E1"/>
    <w:rsid w:val="00A369E3"/>
    <w:rsid w:val="00A374A2"/>
    <w:rsid w:val="00A426D7"/>
    <w:rsid w:val="00A52E6D"/>
    <w:rsid w:val="00A57600"/>
    <w:rsid w:val="00A64912"/>
    <w:rsid w:val="00A70A74"/>
    <w:rsid w:val="00A75FE9"/>
    <w:rsid w:val="00AB2A05"/>
    <w:rsid w:val="00AB67DF"/>
    <w:rsid w:val="00AD53CC"/>
    <w:rsid w:val="00AD5641"/>
    <w:rsid w:val="00AE5212"/>
    <w:rsid w:val="00AE6DF8"/>
    <w:rsid w:val="00AF001D"/>
    <w:rsid w:val="00AF06CF"/>
    <w:rsid w:val="00B05561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B8E"/>
    <w:rsid w:val="00B80199"/>
    <w:rsid w:val="00B83204"/>
    <w:rsid w:val="00B856E7"/>
    <w:rsid w:val="00BA1533"/>
    <w:rsid w:val="00BA220B"/>
    <w:rsid w:val="00BA3A57"/>
    <w:rsid w:val="00BB0643"/>
    <w:rsid w:val="00BB1533"/>
    <w:rsid w:val="00BB4E1A"/>
    <w:rsid w:val="00BB7DE8"/>
    <w:rsid w:val="00BC015E"/>
    <w:rsid w:val="00BC76AC"/>
    <w:rsid w:val="00BD0ECB"/>
    <w:rsid w:val="00BD5490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3A72"/>
    <w:rsid w:val="00C42BF8"/>
    <w:rsid w:val="00C43086"/>
    <w:rsid w:val="00C50043"/>
    <w:rsid w:val="00C724CD"/>
    <w:rsid w:val="00C7573B"/>
    <w:rsid w:val="00C92389"/>
    <w:rsid w:val="00C97A54"/>
    <w:rsid w:val="00CA5B23"/>
    <w:rsid w:val="00CB602E"/>
    <w:rsid w:val="00CB7E90"/>
    <w:rsid w:val="00CE051D"/>
    <w:rsid w:val="00CE1335"/>
    <w:rsid w:val="00CE2657"/>
    <w:rsid w:val="00CE2FC7"/>
    <w:rsid w:val="00CE493D"/>
    <w:rsid w:val="00CF07FA"/>
    <w:rsid w:val="00CF0BB2"/>
    <w:rsid w:val="00CF3EE8"/>
    <w:rsid w:val="00CF5E78"/>
    <w:rsid w:val="00D13441"/>
    <w:rsid w:val="00D150E7"/>
    <w:rsid w:val="00D307B2"/>
    <w:rsid w:val="00D320E9"/>
    <w:rsid w:val="00D52DC2"/>
    <w:rsid w:val="00D53BCC"/>
    <w:rsid w:val="00D54C9E"/>
    <w:rsid w:val="00D6537E"/>
    <w:rsid w:val="00D70DFB"/>
    <w:rsid w:val="00D72684"/>
    <w:rsid w:val="00D766DF"/>
    <w:rsid w:val="00D8206C"/>
    <w:rsid w:val="00D848BF"/>
    <w:rsid w:val="00D91F10"/>
    <w:rsid w:val="00DA186E"/>
    <w:rsid w:val="00DA2B7A"/>
    <w:rsid w:val="00DA2EF0"/>
    <w:rsid w:val="00DA4116"/>
    <w:rsid w:val="00DA56EF"/>
    <w:rsid w:val="00DB251C"/>
    <w:rsid w:val="00DB4630"/>
    <w:rsid w:val="00DC4F88"/>
    <w:rsid w:val="00DE107C"/>
    <w:rsid w:val="00DF2388"/>
    <w:rsid w:val="00E05704"/>
    <w:rsid w:val="00E32AD7"/>
    <w:rsid w:val="00E338EF"/>
    <w:rsid w:val="00E544BB"/>
    <w:rsid w:val="00E74DC7"/>
    <w:rsid w:val="00E8075A"/>
    <w:rsid w:val="00E86E8B"/>
    <w:rsid w:val="00E9055D"/>
    <w:rsid w:val="00E940D8"/>
    <w:rsid w:val="00E94D5E"/>
    <w:rsid w:val="00E94F83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0E90"/>
    <w:rsid w:val="00F16C59"/>
    <w:rsid w:val="00F25C25"/>
    <w:rsid w:val="00F301D1"/>
    <w:rsid w:val="00F32BA8"/>
    <w:rsid w:val="00F32E5F"/>
    <w:rsid w:val="00F32EE0"/>
    <w:rsid w:val="00F349F1"/>
    <w:rsid w:val="00F4350D"/>
    <w:rsid w:val="00F479C4"/>
    <w:rsid w:val="00F567F7"/>
    <w:rsid w:val="00F65B0B"/>
    <w:rsid w:val="00F6696E"/>
    <w:rsid w:val="00F73BD6"/>
    <w:rsid w:val="00F83989"/>
    <w:rsid w:val="00F85099"/>
    <w:rsid w:val="00F904BB"/>
    <w:rsid w:val="00F9379C"/>
    <w:rsid w:val="00F9591D"/>
    <w:rsid w:val="00F9632C"/>
    <w:rsid w:val="00FA1E52"/>
    <w:rsid w:val="00FA6E76"/>
    <w:rsid w:val="00FB5A08"/>
    <w:rsid w:val="00FC6A80"/>
    <w:rsid w:val="00FD0F1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AB37F5"/>
  <w15:docId w15:val="{815C913A-E192-4946-9E2C-F00F7712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44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9C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761</Words>
  <Characters>4338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 Donna</dc:creator>
  <cp:lastModifiedBy>ALLEN, Donna</cp:lastModifiedBy>
  <cp:revision>2</cp:revision>
  <dcterms:created xsi:type="dcterms:W3CDTF">2022-09-23T04:07:00Z</dcterms:created>
  <dcterms:modified xsi:type="dcterms:W3CDTF">2022-09-23T04:07:00Z</dcterms:modified>
</cp:coreProperties>
</file>