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514B3348" w14:textId="77777777" w:rsidR="00B5075F" w:rsidRDefault="00B5075F" w:rsidP="00B5075F">
      <w:pPr>
        <w:jc w:val="center"/>
        <w:rPr>
          <w:rFonts w:ascii="Times New Roman" w:hAnsi="Times New Roman" w:cs="Times New Roman"/>
          <w:i/>
        </w:rPr>
      </w:pPr>
      <w:r w:rsidRPr="007D5EBC">
        <w:rPr>
          <w:rFonts w:ascii="Times New Roman" w:hAnsi="Times New Roman" w:cs="Times New Roman"/>
          <w:i/>
        </w:rPr>
        <w:t>Australian Communications and Media Authority Act 2005</w:t>
      </w:r>
    </w:p>
    <w:p w14:paraId="4CFB3B7B" w14:textId="77777777" w:rsidR="00B5075F" w:rsidRPr="00641906" w:rsidRDefault="00B5075F" w:rsidP="00B5075F">
      <w:pPr>
        <w:jc w:val="center"/>
        <w:rPr>
          <w:rFonts w:ascii="Times New Roman" w:hAnsi="Times New Roman" w:cs="Times New Roman"/>
          <w:b/>
          <w:i/>
        </w:rPr>
      </w:pPr>
      <w:r w:rsidRPr="007D5EBC">
        <w:rPr>
          <w:rFonts w:ascii="Times New Roman" w:hAnsi="Times New Roman" w:cs="Times New Roman"/>
          <w:b/>
          <w:i/>
        </w:rPr>
        <w:t>Telecommunications (Charges) Determination 20</w:t>
      </w:r>
      <w:r>
        <w:rPr>
          <w:rFonts w:ascii="Times New Roman" w:hAnsi="Times New Roman" w:cs="Times New Roman"/>
          <w:b/>
          <w:i/>
        </w:rPr>
        <w:t>22</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6D21FA39" w14:textId="77777777" w:rsidR="007C7E76" w:rsidRDefault="007C7E76" w:rsidP="007C7E76">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Pr="007D5EBC">
        <w:rPr>
          <w:rFonts w:ascii="Times New Roman" w:hAnsi="Times New Roman" w:cs="Times New Roman"/>
          <w:i/>
        </w:rPr>
        <w:t>Telecommunications (Charges) Determination 20</w:t>
      </w:r>
      <w:r>
        <w:rPr>
          <w:rFonts w:ascii="Times New Roman" w:hAnsi="Times New Roman" w:cs="Times New Roman"/>
          <w:i/>
        </w:rPr>
        <w:t>22</w:t>
      </w:r>
      <w:r w:rsidRPr="007D5EBC">
        <w:rPr>
          <w:rFonts w:ascii="Times New Roman" w:hAnsi="Times New Roman" w:cs="Times New Roman"/>
        </w:rPr>
        <w:t xml:space="preserve">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bookmarkStart w:id="0" w:name="_Hlk109289599"/>
      <w:r w:rsidRPr="0091080B">
        <w:rPr>
          <w:rFonts w:ascii="Times New Roman" w:hAnsi="Times New Roman" w:cs="Times New Roman"/>
        </w:rPr>
        <w:t xml:space="preserve">under </w:t>
      </w:r>
      <w:r w:rsidRPr="00713362">
        <w:rPr>
          <w:rFonts w:ascii="Times New Roman" w:hAnsi="Times New Roman" w:cs="Times New Roman"/>
        </w:rPr>
        <w:t xml:space="preserve">subsection </w:t>
      </w:r>
      <w:r>
        <w:rPr>
          <w:rFonts w:ascii="Times New Roman" w:hAnsi="Times New Roman" w:cs="Times New Roman"/>
        </w:rPr>
        <w:t>60</w:t>
      </w:r>
      <w:r w:rsidRPr="00713362">
        <w:rPr>
          <w:rFonts w:ascii="Times New Roman" w:hAnsi="Times New Roman" w:cs="Times New Roman"/>
        </w:rPr>
        <w:t xml:space="preserve">(1) </w:t>
      </w:r>
      <w:r>
        <w:rPr>
          <w:rFonts w:ascii="Times New Roman" w:hAnsi="Times New Roman" w:cs="Times New Roman"/>
        </w:rPr>
        <w:t xml:space="preserve">of the </w:t>
      </w:r>
      <w:r w:rsidRPr="007D5EBC">
        <w:rPr>
          <w:rFonts w:ascii="Times New Roman" w:hAnsi="Times New Roman" w:cs="Times New Roman"/>
          <w:i/>
        </w:rPr>
        <w:t>Australian Communications and Media Authority Act 2005</w:t>
      </w:r>
      <w:bookmarkEnd w:id="0"/>
      <w:r>
        <w:rPr>
          <w:rFonts w:ascii="Times New Roman" w:hAnsi="Times New Roman" w:cs="Times New Roman"/>
          <w:i/>
        </w:rPr>
        <w:t xml:space="preserve">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Pr="0091080B">
        <w:rPr>
          <w:rFonts w:ascii="Times New Roman" w:hAnsi="Times New Roman" w:cs="Times New Roman"/>
        </w:rPr>
        <w:t>.</w:t>
      </w:r>
    </w:p>
    <w:p w14:paraId="4B895112" w14:textId="11C68B13" w:rsidR="007C7E76" w:rsidRPr="00713362" w:rsidRDefault="007C7E76" w:rsidP="007C7E76">
      <w:pPr>
        <w:rPr>
          <w:rFonts w:ascii="Times New Roman" w:hAnsi="Times New Roman" w:cs="Times New Roman"/>
        </w:rPr>
      </w:pPr>
      <w:bookmarkStart w:id="1" w:name="_Hlk109289800"/>
      <w:r w:rsidRPr="005B2839">
        <w:rPr>
          <w:rFonts w:ascii="Times New Roman" w:hAnsi="Times New Roman" w:cs="Times New Roman"/>
        </w:rPr>
        <w:t xml:space="preserve">Subsection 60(1) of the Act </w:t>
      </w:r>
      <w:r>
        <w:rPr>
          <w:rFonts w:ascii="Times New Roman" w:hAnsi="Times New Roman" w:cs="Times New Roman"/>
        </w:rPr>
        <w:t xml:space="preserve">relevantly </w:t>
      </w:r>
      <w:r w:rsidRPr="005B2839">
        <w:rPr>
          <w:rFonts w:ascii="Times New Roman" w:hAnsi="Times New Roman" w:cs="Times New Roman"/>
        </w:rPr>
        <w:t xml:space="preserve">provides that the ACMA may, by written instrument, make determinations fixing charges for services provided by the ACMA and for any matter in </w:t>
      </w:r>
      <w:r w:rsidR="00E2348E">
        <w:rPr>
          <w:rFonts w:ascii="Times New Roman" w:hAnsi="Times New Roman" w:cs="Times New Roman"/>
        </w:rPr>
        <w:t xml:space="preserve">relation to </w:t>
      </w:r>
      <w:r w:rsidRPr="005B2839">
        <w:rPr>
          <w:rFonts w:ascii="Times New Roman" w:hAnsi="Times New Roman" w:cs="Times New Roman"/>
        </w:rPr>
        <w:t>which expenses are incurred by the ACMA under</w:t>
      </w:r>
      <w:r w:rsidR="00CA6644">
        <w:rPr>
          <w:rFonts w:ascii="Times New Roman" w:hAnsi="Times New Roman" w:cs="Times New Roman"/>
        </w:rPr>
        <w:t xml:space="preserve"> various Act</w:t>
      </w:r>
      <w:r w:rsidR="00F37D20">
        <w:rPr>
          <w:rFonts w:ascii="Times New Roman" w:hAnsi="Times New Roman" w:cs="Times New Roman"/>
        </w:rPr>
        <w:t>s</w:t>
      </w:r>
      <w:r w:rsidR="006C0907">
        <w:rPr>
          <w:rFonts w:ascii="Times New Roman" w:hAnsi="Times New Roman" w:cs="Times New Roman"/>
        </w:rPr>
        <w:t xml:space="preserve"> </w:t>
      </w:r>
      <w:r w:rsidR="005E609D">
        <w:rPr>
          <w:rFonts w:ascii="Times New Roman" w:hAnsi="Times New Roman" w:cs="Times New Roman"/>
        </w:rPr>
        <w:t>(</w:t>
      </w:r>
      <w:r w:rsidR="006C0907">
        <w:rPr>
          <w:rFonts w:ascii="Times New Roman" w:hAnsi="Times New Roman" w:cs="Times New Roman"/>
        </w:rPr>
        <w:t>or instruments made under those Acts</w:t>
      </w:r>
      <w:r w:rsidR="005E609D">
        <w:rPr>
          <w:rFonts w:ascii="Times New Roman" w:hAnsi="Times New Roman" w:cs="Times New Roman"/>
        </w:rPr>
        <w:t>)</w:t>
      </w:r>
      <w:r w:rsidR="00CA6644">
        <w:rPr>
          <w:rFonts w:ascii="Times New Roman" w:hAnsi="Times New Roman" w:cs="Times New Roman"/>
        </w:rPr>
        <w:t>, including</w:t>
      </w:r>
      <w:r w:rsidRPr="005B2839">
        <w:rPr>
          <w:rFonts w:ascii="Times New Roman" w:hAnsi="Times New Roman" w:cs="Times New Roman"/>
        </w:rPr>
        <w:t xml:space="preserve"> the </w:t>
      </w:r>
      <w:r w:rsidRPr="005B2839">
        <w:rPr>
          <w:rFonts w:ascii="Times New Roman" w:hAnsi="Times New Roman" w:cs="Times New Roman"/>
          <w:i/>
        </w:rPr>
        <w:t>Telecommunications Act 1997</w:t>
      </w:r>
      <w:r w:rsidRPr="005B2839">
        <w:rPr>
          <w:rFonts w:ascii="Times New Roman" w:hAnsi="Times New Roman" w:cs="Times New Roman"/>
        </w:rPr>
        <w:t xml:space="preserve"> (</w:t>
      </w:r>
      <w:r w:rsidRPr="005B2839">
        <w:rPr>
          <w:rFonts w:ascii="Times New Roman" w:hAnsi="Times New Roman" w:cs="Times New Roman"/>
          <w:b/>
        </w:rPr>
        <w:t>Telecommunications Act</w:t>
      </w:r>
      <w:r w:rsidRPr="005B2839">
        <w:rPr>
          <w:rFonts w:ascii="Times New Roman" w:hAnsi="Times New Roman" w:cs="Times New Roman"/>
        </w:rPr>
        <w:t>). A charge must not be such as to amount to taxation.</w:t>
      </w:r>
      <w:r>
        <w:rPr>
          <w:rFonts w:ascii="Times New Roman" w:hAnsi="Times New Roman" w:cs="Times New Roman"/>
        </w:rPr>
        <w:t xml:space="preserve"> </w:t>
      </w:r>
    </w:p>
    <w:bookmarkEnd w:id="1"/>
    <w:p w14:paraId="7D900AC6" w14:textId="13C3C7CD"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126DAD8" w14:textId="7A89CAFC" w:rsidR="002D130A" w:rsidRDefault="002D130A" w:rsidP="002D130A">
      <w:pPr>
        <w:rPr>
          <w:rFonts w:ascii="Times New Roman" w:hAnsi="Times New Roman" w:cs="Times New Roman"/>
        </w:rPr>
      </w:pPr>
      <w:r>
        <w:rPr>
          <w:rFonts w:ascii="Times New Roman" w:hAnsi="Times New Roman" w:cs="Times New Roman"/>
        </w:rPr>
        <w:t xml:space="preserve">The instrument sets out fees for a number of services </w:t>
      </w:r>
      <w:r w:rsidR="00E81DC4">
        <w:rPr>
          <w:rFonts w:ascii="Times New Roman" w:hAnsi="Times New Roman" w:cs="Times New Roman"/>
        </w:rPr>
        <w:t xml:space="preserve">provided by the ACMA </w:t>
      </w:r>
      <w:r>
        <w:rPr>
          <w:rFonts w:ascii="Times New Roman" w:hAnsi="Times New Roman" w:cs="Times New Roman"/>
        </w:rPr>
        <w:t xml:space="preserve">to the telecommunications industry, including charges </w:t>
      </w:r>
      <w:r w:rsidR="00920C01">
        <w:rPr>
          <w:rFonts w:ascii="Times New Roman" w:hAnsi="Times New Roman" w:cs="Times New Roman"/>
        </w:rPr>
        <w:t xml:space="preserve">or expenses </w:t>
      </w:r>
      <w:r>
        <w:rPr>
          <w:rFonts w:ascii="Times New Roman" w:hAnsi="Times New Roman" w:cs="Times New Roman"/>
        </w:rPr>
        <w:t xml:space="preserve">associated with applications in relation to: </w:t>
      </w:r>
    </w:p>
    <w:p w14:paraId="1AA63DE1" w14:textId="7C09CB81" w:rsidR="002D130A" w:rsidRPr="001C720F" w:rsidRDefault="002D130A" w:rsidP="002D130A">
      <w:pPr>
        <w:pStyle w:val="ListParagraph"/>
        <w:numPr>
          <w:ilvl w:val="0"/>
          <w:numId w:val="18"/>
        </w:numPr>
        <w:spacing w:line="259" w:lineRule="auto"/>
        <w:rPr>
          <w:rFonts w:ascii="Times New Roman" w:hAnsi="Times New Roman" w:cs="Times New Roman"/>
        </w:rPr>
      </w:pPr>
      <w:r w:rsidRPr="001C720F">
        <w:rPr>
          <w:rFonts w:ascii="Times New Roman" w:hAnsi="Times New Roman" w:cs="Times New Roman"/>
        </w:rPr>
        <w:t xml:space="preserve">nominated carrier </w:t>
      </w:r>
      <w:proofErr w:type="gramStart"/>
      <w:r w:rsidRPr="001C720F">
        <w:rPr>
          <w:rFonts w:ascii="Times New Roman" w:hAnsi="Times New Roman" w:cs="Times New Roman"/>
        </w:rPr>
        <w:t>de</w:t>
      </w:r>
      <w:r>
        <w:rPr>
          <w:rFonts w:ascii="Times New Roman" w:hAnsi="Times New Roman" w:cs="Times New Roman"/>
        </w:rPr>
        <w:t>claration</w:t>
      </w:r>
      <w:r w:rsidR="00F32A17">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xml:space="preserve"> </w:t>
      </w:r>
    </w:p>
    <w:p w14:paraId="76A0970F" w14:textId="1ED112A5" w:rsidR="002D130A" w:rsidRDefault="002D130A" w:rsidP="002D130A">
      <w:pPr>
        <w:pStyle w:val="ListParagraph"/>
        <w:numPr>
          <w:ilvl w:val="0"/>
          <w:numId w:val="18"/>
        </w:numPr>
        <w:spacing w:line="259" w:lineRule="auto"/>
        <w:rPr>
          <w:rFonts w:ascii="Times New Roman" w:hAnsi="Times New Roman" w:cs="Times New Roman"/>
        </w:rPr>
      </w:pPr>
      <w:r>
        <w:rPr>
          <w:rFonts w:ascii="Times New Roman" w:hAnsi="Times New Roman" w:cs="Times New Roman"/>
        </w:rPr>
        <w:t xml:space="preserve">numbers under the </w:t>
      </w:r>
      <w:r w:rsidR="002B70EE">
        <w:rPr>
          <w:rFonts w:ascii="Times New Roman" w:hAnsi="Times New Roman" w:cs="Times New Roman"/>
          <w:i/>
          <w:iCs/>
        </w:rPr>
        <w:t>Telecommunications Numbering Plan 2015</w:t>
      </w:r>
      <w:r w:rsidR="0006704F">
        <w:rPr>
          <w:rFonts w:ascii="Times New Roman" w:hAnsi="Times New Roman" w:cs="Times New Roman"/>
          <w:i/>
          <w:iCs/>
        </w:rPr>
        <w:t xml:space="preserve"> </w:t>
      </w:r>
      <w:r w:rsidR="0006704F">
        <w:rPr>
          <w:rFonts w:ascii="Times New Roman" w:hAnsi="Times New Roman" w:cs="Times New Roman"/>
        </w:rPr>
        <w:t>(</w:t>
      </w:r>
      <w:r w:rsidR="0006704F">
        <w:rPr>
          <w:rFonts w:ascii="Times New Roman" w:hAnsi="Times New Roman" w:cs="Times New Roman"/>
          <w:b/>
          <w:bCs/>
        </w:rPr>
        <w:t>the numbering plan</w:t>
      </w:r>
      <w:proofErr w:type="gramStart"/>
      <w:r w:rsidR="0006704F">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
    <w:p w14:paraId="09D00EBE" w14:textId="55C5044E" w:rsidR="002D130A" w:rsidRPr="001C720F" w:rsidRDefault="002D130A" w:rsidP="002D130A">
      <w:pPr>
        <w:pStyle w:val="ListParagraph"/>
        <w:numPr>
          <w:ilvl w:val="0"/>
          <w:numId w:val="18"/>
        </w:numPr>
        <w:spacing w:line="259" w:lineRule="auto"/>
        <w:rPr>
          <w:rFonts w:ascii="Times New Roman" w:hAnsi="Times New Roman" w:cs="Times New Roman"/>
        </w:rPr>
      </w:pPr>
      <w:r w:rsidRPr="001C720F">
        <w:rPr>
          <w:rFonts w:ascii="Times New Roman" w:hAnsi="Times New Roman" w:cs="Times New Roman"/>
        </w:rPr>
        <w:t xml:space="preserve">facility installation </w:t>
      </w:r>
      <w:proofErr w:type="gramStart"/>
      <w:r w:rsidRPr="001C720F">
        <w:rPr>
          <w:rFonts w:ascii="Times New Roman" w:hAnsi="Times New Roman" w:cs="Times New Roman"/>
        </w:rPr>
        <w:t>permit</w:t>
      </w:r>
      <w:r w:rsidR="00F32A17">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xml:space="preserve"> </w:t>
      </w:r>
    </w:p>
    <w:p w14:paraId="0DD23EE8" w14:textId="48AB9F78" w:rsidR="002D130A" w:rsidRDefault="002D130A" w:rsidP="002D130A">
      <w:pPr>
        <w:pStyle w:val="ListParagraph"/>
        <w:numPr>
          <w:ilvl w:val="0"/>
          <w:numId w:val="18"/>
        </w:numPr>
        <w:spacing w:line="259" w:lineRule="auto"/>
        <w:rPr>
          <w:rFonts w:ascii="Times New Roman" w:hAnsi="Times New Roman" w:cs="Times New Roman"/>
        </w:rPr>
      </w:pPr>
      <w:r w:rsidRPr="00FD6C4D">
        <w:rPr>
          <w:rFonts w:ascii="Times New Roman" w:hAnsi="Times New Roman" w:cs="Times New Roman"/>
        </w:rPr>
        <w:t>protection zone declarations</w:t>
      </w:r>
      <w:r w:rsidR="00320C83">
        <w:rPr>
          <w:rFonts w:ascii="Times New Roman" w:hAnsi="Times New Roman" w:cs="Times New Roman"/>
        </w:rPr>
        <w:t>;</w:t>
      </w:r>
      <w:r w:rsidR="00AA1027">
        <w:rPr>
          <w:rFonts w:ascii="Times New Roman" w:hAnsi="Times New Roman" w:cs="Times New Roman"/>
        </w:rPr>
        <w:t xml:space="preserve"> and</w:t>
      </w:r>
    </w:p>
    <w:p w14:paraId="55C40061" w14:textId="3114275C" w:rsidR="002D130A" w:rsidRPr="001C720F" w:rsidRDefault="002D130A" w:rsidP="002D130A">
      <w:pPr>
        <w:pStyle w:val="ListParagraph"/>
        <w:numPr>
          <w:ilvl w:val="0"/>
          <w:numId w:val="18"/>
        </w:numPr>
        <w:spacing w:line="259" w:lineRule="auto"/>
        <w:rPr>
          <w:rFonts w:ascii="Times New Roman" w:hAnsi="Times New Roman" w:cs="Times New Roman"/>
        </w:rPr>
      </w:pPr>
      <w:r w:rsidRPr="001C720F">
        <w:rPr>
          <w:rFonts w:ascii="Times New Roman" w:hAnsi="Times New Roman" w:cs="Times New Roman"/>
        </w:rPr>
        <w:t>submarine cable installation permit</w:t>
      </w:r>
      <w:r w:rsidR="00F32A17">
        <w:rPr>
          <w:rFonts w:ascii="Times New Roman" w:hAnsi="Times New Roman" w:cs="Times New Roman"/>
        </w:rPr>
        <w:t>s</w:t>
      </w:r>
      <w:r w:rsidR="0014598E">
        <w:rPr>
          <w:rFonts w:ascii="Times New Roman" w:hAnsi="Times New Roman" w:cs="Times New Roman"/>
        </w:rPr>
        <w:t>.</w:t>
      </w:r>
      <w:r>
        <w:rPr>
          <w:rFonts w:ascii="Times New Roman" w:hAnsi="Times New Roman" w:cs="Times New Roman"/>
        </w:rPr>
        <w:t xml:space="preserve"> </w:t>
      </w:r>
    </w:p>
    <w:p w14:paraId="469C7C2C" w14:textId="227204AE" w:rsidR="007F3D3E" w:rsidRDefault="002D130A" w:rsidP="002D130A">
      <w:pPr>
        <w:rPr>
          <w:rFonts w:ascii="Times New Roman" w:hAnsi="Times New Roman" w:cs="Times New Roman"/>
        </w:rPr>
      </w:pPr>
      <w:r>
        <w:rPr>
          <w:rFonts w:ascii="Times New Roman" w:hAnsi="Times New Roman" w:cs="Times New Roman"/>
        </w:rPr>
        <w:t xml:space="preserve">The instrument </w:t>
      </w:r>
      <w:r w:rsidR="007D2535">
        <w:rPr>
          <w:rFonts w:ascii="Times New Roman" w:hAnsi="Times New Roman" w:cs="Times New Roman"/>
        </w:rPr>
        <w:t xml:space="preserve">replaces </w:t>
      </w:r>
      <w:r>
        <w:rPr>
          <w:rFonts w:ascii="Times New Roman" w:hAnsi="Times New Roman" w:cs="Times New Roman"/>
        </w:rPr>
        <w:t xml:space="preserve">the </w:t>
      </w:r>
      <w:r w:rsidR="00154331" w:rsidRPr="00F53A77">
        <w:rPr>
          <w:rFonts w:ascii="Times New Roman" w:hAnsi="Times New Roman" w:cs="Times New Roman"/>
          <w:i/>
          <w:iCs/>
        </w:rPr>
        <w:t>Telecommunications (Charges) Determination 2012</w:t>
      </w:r>
      <w:r w:rsidR="00154331">
        <w:rPr>
          <w:rFonts w:ascii="Times New Roman" w:hAnsi="Times New Roman" w:cs="Times New Roman"/>
        </w:rPr>
        <w:t xml:space="preserve"> (</w:t>
      </w:r>
      <w:r w:rsidRPr="00F53A77">
        <w:rPr>
          <w:rFonts w:ascii="Times New Roman" w:hAnsi="Times New Roman" w:cs="Times New Roman"/>
          <w:b/>
          <w:bCs/>
        </w:rPr>
        <w:t>2012</w:t>
      </w:r>
      <w:r w:rsidRPr="00F53A77">
        <w:rPr>
          <w:rFonts w:ascii="Times New Roman" w:hAnsi="Times New Roman" w:cs="Times New Roman"/>
          <w:b/>
          <w:bCs/>
          <w:i/>
          <w:iCs/>
        </w:rPr>
        <w:t xml:space="preserve"> </w:t>
      </w:r>
      <w:r w:rsidRPr="00F53A77">
        <w:rPr>
          <w:rFonts w:ascii="Times New Roman" w:hAnsi="Times New Roman" w:cs="Times New Roman"/>
          <w:b/>
          <w:bCs/>
        </w:rPr>
        <w:t>Determination</w:t>
      </w:r>
      <w:r w:rsidR="00154331">
        <w:rPr>
          <w:rFonts w:ascii="Times New Roman" w:hAnsi="Times New Roman" w:cs="Times New Roman"/>
        </w:rPr>
        <w:t>)</w:t>
      </w:r>
      <w:r w:rsidR="006A0CE2">
        <w:rPr>
          <w:rFonts w:ascii="Times New Roman" w:hAnsi="Times New Roman" w:cs="Times New Roman"/>
        </w:rPr>
        <w:t xml:space="preserve">, which sunsets on </w:t>
      </w:r>
      <w:r w:rsidR="007F3D3E">
        <w:rPr>
          <w:rFonts w:ascii="Times New Roman" w:hAnsi="Times New Roman" w:cs="Times New Roman"/>
        </w:rPr>
        <w:t>1 October 2022</w:t>
      </w:r>
      <w:r>
        <w:rPr>
          <w:rFonts w:ascii="Times New Roman" w:hAnsi="Times New Roman" w:cs="Times New Roman"/>
        </w:rPr>
        <w:t xml:space="preserve">. </w:t>
      </w:r>
      <w:r w:rsidR="007F3D3E">
        <w:rPr>
          <w:rFonts w:ascii="Times New Roman" w:hAnsi="Times New Roman" w:cs="Times New Roman"/>
        </w:rPr>
        <w:t xml:space="preserve">All of the charges </w:t>
      </w:r>
      <w:r w:rsidR="00B3008E">
        <w:rPr>
          <w:rFonts w:ascii="Times New Roman" w:hAnsi="Times New Roman" w:cs="Times New Roman"/>
        </w:rPr>
        <w:t xml:space="preserve">that were </w:t>
      </w:r>
      <w:r w:rsidR="007D2535">
        <w:rPr>
          <w:rFonts w:ascii="Times New Roman" w:hAnsi="Times New Roman" w:cs="Times New Roman"/>
        </w:rPr>
        <w:t xml:space="preserve">in the 2012 Determination </w:t>
      </w:r>
      <w:r w:rsidR="007F3D3E">
        <w:rPr>
          <w:rFonts w:ascii="Times New Roman" w:hAnsi="Times New Roman" w:cs="Times New Roman"/>
        </w:rPr>
        <w:t>have been reviewed</w:t>
      </w:r>
      <w:r w:rsidR="005D4372">
        <w:rPr>
          <w:rFonts w:ascii="Times New Roman" w:hAnsi="Times New Roman" w:cs="Times New Roman"/>
        </w:rPr>
        <w:t xml:space="preserve"> and revised</w:t>
      </w:r>
      <w:r w:rsidR="007F3D3E">
        <w:rPr>
          <w:rFonts w:ascii="Times New Roman" w:hAnsi="Times New Roman" w:cs="Times New Roman"/>
        </w:rPr>
        <w:t xml:space="preserve"> as part of the ACMA’s review of fees and charges</w:t>
      </w:r>
      <w:r w:rsidR="005278D2">
        <w:rPr>
          <w:rFonts w:ascii="Times New Roman" w:hAnsi="Times New Roman" w:cs="Times New Roman"/>
        </w:rPr>
        <w:t xml:space="preserve"> across the agency. </w:t>
      </w:r>
      <w:r w:rsidR="00EE49E2">
        <w:rPr>
          <w:rFonts w:ascii="Times New Roman" w:hAnsi="Times New Roman" w:cs="Times New Roman"/>
        </w:rPr>
        <w:t xml:space="preserve">As a result of the review, some of the charges have been updated and some (relating to the issue of connections permits under subsections 390(1) and (2) of the Telecommunications Act) </w:t>
      </w:r>
      <w:r w:rsidR="00072DC2">
        <w:rPr>
          <w:rFonts w:ascii="Times New Roman" w:hAnsi="Times New Roman" w:cs="Times New Roman"/>
        </w:rPr>
        <w:t xml:space="preserve">have been removed. </w:t>
      </w:r>
    </w:p>
    <w:p w14:paraId="0421C6A5" w14:textId="63E97046" w:rsidR="00DA75A3" w:rsidRPr="00DD7F94" w:rsidRDefault="00DA75A3" w:rsidP="00F53A77">
      <w:pPr>
        <w:rPr>
          <w:rFonts w:ascii="Times New Roman" w:hAnsi="Times New Roman" w:cs="Times New Roman"/>
        </w:rPr>
      </w:pPr>
      <w:r w:rsidRPr="63482C8E">
        <w:rPr>
          <w:rFonts w:ascii="Times New Roman" w:hAnsi="Times New Roman" w:cs="Times New Roman"/>
        </w:rPr>
        <w:t>For the calculation of charges, the ACMA applied its standard hourly rate and monthly survey information obtained in</w:t>
      </w:r>
      <w:r w:rsidR="009B01BE" w:rsidRPr="63482C8E">
        <w:rPr>
          <w:rFonts w:ascii="Times New Roman" w:hAnsi="Times New Roman" w:cs="Times New Roman"/>
        </w:rPr>
        <w:t xml:space="preserve"> the</w:t>
      </w:r>
      <w:r w:rsidRPr="63482C8E">
        <w:rPr>
          <w:rFonts w:ascii="Times New Roman" w:hAnsi="Times New Roman" w:cs="Times New Roman"/>
        </w:rPr>
        <w:t xml:space="preserve"> 2020-21 financial year on the average time taken by a proficient officer to perform an activity. The ACMA’s standard hourly rate has been updated to reflect its current costs and as a result it has increased from $202 to $226 per hour, i.e., a 11.9% increase. The figure is based on the cost of services incurred by the ACMA in executing its functions </w:t>
      </w:r>
      <w:r w:rsidR="00BB3A06">
        <w:rPr>
          <w:rFonts w:ascii="Times New Roman" w:hAnsi="Times New Roman" w:cs="Times New Roman"/>
        </w:rPr>
        <w:t xml:space="preserve">in </w:t>
      </w:r>
      <w:r w:rsidRPr="63482C8E">
        <w:rPr>
          <w:rFonts w:ascii="Times New Roman" w:hAnsi="Times New Roman" w:cs="Times New Roman"/>
        </w:rPr>
        <w:t xml:space="preserve">the 2020–21 financial year. This rate was established by taking the net cost of services of the ACMA’s business units for </w:t>
      </w:r>
      <w:r w:rsidR="002314FC">
        <w:rPr>
          <w:rFonts w:ascii="Times New Roman" w:hAnsi="Times New Roman" w:cs="Times New Roman"/>
        </w:rPr>
        <w:t xml:space="preserve">the </w:t>
      </w:r>
      <w:r w:rsidRPr="63482C8E">
        <w:rPr>
          <w:rFonts w:ascii="Times New Roman" w:hAnsi="Times New Roman" w:cs="Times New Roman"/>
        </w:rPr>
        <w:t>2020–21</w:t>
      </w:r>
      <w:r w:rsidR="002314FC">
        <w:rPr>
          <w:rFonts w:ascii="Times New Roman" w:hAnsi="Times New Roman" w:cs="Times New Roman"/>
        </w:rPr>
        <w:t xml:space="preserve"> financial year</w:t>
      </w:r>
      <w:r w:rsidRPr="63482C8E">
        <w:rPr>
          <w:rFonts w:ascii="Times New Roman" w:hAnsi="Times New Roman" w:cs="Times New Roman"/>
        </w:rPr>
        <w:t>, including an attribution of all corporate and support costs, and dividing this cost by the total number of productive hours for the 2020–21 financial year. The calculation methodology has not changed from the one adopted when the charges were last reviewed by the ACMA in 2016-17.</w:t>
      </w:r>
    </w:p>
    <w:p w14:paraId="1D5A59D0" w14:textId="3A2DAD96" w:rsidR="00A67356" w:rsidRDefault="002D130A" w:rsidP="0092387B">
      <w:pPr>
        <w:spacing w:after="120" w:line="240" w:lineRule="auto"/>
        <w:rPr>
          <w:rFonts w:ascii="Times New Roman" w:hAnsi="Times New Roman" w:cs="Times New Roman"/>
        </w:rPr>
      </w:pPr>
      <w:r w:rsidRPr="63482C8E">
        <w:rPr>
          <w:rFonts w:ascii="Times New Roman" w:hAnsi="Times New Roman" w:cs="Times New Roman"/>
        </w:rPr>
        <w:t xml:space="preserve">Most of the changes </w:t>
      </w:r>
      <w:r w:rsidR="005E2D05">
        <w:rPr>
          <w:rFonts w:ascii="Times New Roman" w:hAnsi="Times New Roman" w:cs="Times New Roman"/>
        </w:rPr>
        <w:t xml:space="preserve">to </w:t>
      </w:r>
      <w:r w:rsidR="00455A26">
        <w:rPr>
          <w:rFonts w:ascii="Times New Roman" w:hAnsi="Times New Roman" w:cs="Times New Roman"/>
        </w:rPr>
        <w:t xml:space="preserve">the </w:t>
      </w:r>
      <w:r w:rsidR="005E2D05">
        <w:rPr>
          <w:rFonts w:ascii="Times New Roman" w:hAnsi="Times New Roman" w:cs="Times New Roman"/>
        </w:rPr>
        <w:t xml:space="preserve">charges </w:t>
      </w:r>
      <w:r w:rsidR="00455A26">
        <w:rPr>
          <w:rFonts w:ascii="Times New Roman" w:hAnsi="Times New Roman" w:cs="Times New Roman"/>
        </w:rPr>
        <w:t xml:space="preserve">compared to </w:t>
      </w:r>
      <w:r w:rsidR="005E2D05">
        <w:rPr>
          <w:rFonts w:ascii="Times New Roman" w:hAnsi="Times New Roman" w:cs="Times New Roman"/>
        </w:rPr>
        <w:t xml:space="preserve">the 2012 Determination </w:t>
      </w:r>
      <w:r w:rsidRPr="63482C8E">
        <w:rPr>
          <w:rFonts w:ascii="Times New Roman" w:hAnsi="Times New Roman" w:cs="Times New Roman"/>
        </w:rPr>
        <w:t xml:space="preserve">have been made </w:t>
      </w:r>
      <w:r w:rsidR="00BF0DDA">
        <w:rPr>
          <w:rFonts w:ascii="Times New Roman" w:hAnsi="Times New Roman" w:cs="Times New Roman"/>
        </w:rPr>
        <w:t xml:space="preserve">as a result of </w:t>
      </w:r>
      <w:r w:rsidRPr="63482C8E">
        <w:rPr>
          <w:rFonts w:ascii="Times New Roman" w:hAnsi="Times New Roman" w:cs="Times New Roman"/>
        </w:rPr>
        <w:t>change</w:t>
      </w:r>
      <w:r w:rsidR="00BF0DDA">
        <w:rPr>
          <w:rFonts w:ascii="Times New Roman" w:hAnsi="Times New Roman" w:cs="Times New Roman"/>
        </w:rPr>
        <w:t>s</w:t>
      </w:r>
      <w:r w:rsidRPr="63482C8E">
        <w:rPr>
          <w:rFonts w:ascii="Times New Roman" w:hAnsi="Times New Roman" w:cs="Times New Roman"/>
        </w:rPr>
        <w:t xml:space="preserve"> to the ACMA’s hourly rate. However, some fees have also changed as a result of changes </w:t>
      </w:r>
      <w:r w:rsidR="00137626" w:rsidRPr="63482C8E">
        <w:rPr>
          <w:rFonts w:ascii="Times New Roman" w:hAnsi="Times New Roman" w:cs="Times New Roman"/>
        </w:rPr>
        <w:t xml:space="preserve">to </w:t>
      </w:r>
      <w:r w:rsidRPr="63482C8E">
        <w:rPr>
          <w:rFonts w:ascii="Times New Roman" w:hAnsi="Times New Roman" w:cs="Times New Roman"/>
        </w:rPr>
        <w:t>the estimated average time required to perform the activities.</w:t>
      </w:r>
      <w:r w:rsidR="003F2770">
        <w:rPr>
          <w:rFonts w:ascii="Times New Roman" w:hAnsi="Times New Roman" w:cs="Times New Roman"/>
        </w:rPr>
        <w:t xml:space="preserve"> In addition, changes have been made to </w:t>
      </w:r>
      <w:r w:rsidR="0092387B">
        <w:rPr>
          <w:rFonts w:ascii="Times New Roman" w:hAnsi="Times New Roman" w:cs="Times New Roman"/>
        </w:rPr>
        <w:t>charges for numbering activities. O</w:t>
      </w:r>
      <w:r w:rsidR="0092387B" w:rsidRPr="63482C8E">
        <w:rPr>
          <w:rFonts w:ascii="Times New Roman" w:hAnsi="Times New Roman" w:cs="Times New Roman"/>
        </w:rPr>
        <w:t>n 1 April 2017</w:t>
      </w:r>
      <w:r w:rsidR="004C77A9">
        <w:rPr>
          <w:rFonts w:ascii="Times New Roman" w:hAnsi="Times New Roman" w:cs="Times New Roman"/>
        </w:rPr>
        <w:t>,</w:t>
      </w:r>
      <w:r w:rsidR="0092387B" w:rsidRPr="63482C8E">
        <w:rPr>
          <w:rFonts w:ascii="Times New Roman" w:hAnsi="Times New Roman" w:cs="Times New Roman"/>
        </w:rPr>
        <w:t xml:space="preserve"> a flat charge of $35 was imposed for all numbering activities</w:t>
      </w:r>
      <w:r w:rsidR="003F7DCE">
        <w:rPr>
          <w:rFonts w:ascii="Times New Roman" w:hAnsi="Times New Roman" w:cs="Times New Roman"/>
        </w:rPr>
        <w:t xml:space="preserve"> undertaken under the numbering </w:t>
      </w:r>
      <w:r w:rsidR="00A66543">
        <w:rPr>
          <w:rFonts w:ascii="Times New Roman" w:hAnsi="Times New Roman" w:cs="Times New Roman"/>
        </w:rPr>
        <w:t>plan.</w:t>
      </w:r>
      <w:r w:rsidR="0092387B" w:rsidRPr="63482C8E">
        <w:rPr>
          <w:rFonts w:ascii="Times New Roman" w:hAnsi="Times New Roman" w:cs="Times New Roman"/>
        </w:rPr>
        <w:t xml:space="preserve"> The charge was intended to recover the cost of </w:t>
      </w:r>
      <w:r w:rsidR="0092387B" w:rsidRPr="63482C8E">
        <w:rPr>
          <w:rFonts w:ascii="Times New Roman" w:hAnsi="Times New Roman" w:cs="Times New Roman"/>
        </w:rPr>
        <w:lastRenderedPageBreak/>
        <w:t xml:space="preserve">services related to allocations of geographic numbers, registration of carriage service providers, and registration of applicants for </w:t>
      </w:r>
      <w:proofErr w:type="spellStart"/>
      <w:r w:rsidR="0092387B" w:rsidRPr="63482C8E">
        <w:rPr>
          <w:rFonts w:ascii="Times New Roman" w:hAnsi="Times New Roman" w:cs="Times New Roman"/>
        </w:rPr>
        <w:t>smartnumbers</w:t>
      </w:r>
      <w:proofErr w:type="spellEnd"/>
      <w:r w:rsidR="00843382">
        <w:rPr>
          <w:rFonts w:ascii="Times New Roman" w:hAnsi="Times New Roman" w:cs="Times New Roman"/>
        </w:rPr>
        <w:t xml:space="preserve"> </w:t>
      </w:r>
      <w:r w:rsidR="00843382" w:rsidRPr="00BA10FB">
        <w:rPr>
          <w:rFonts w:ascii="Times New Roman" w:hAnsi="Times New Roman" w:cs="Times New Roman"/>
        </w:rPr>
        <w:t>provided under contract by Z</w:t>
      </w:r>
      <w:r w:rsidR="00B03179" w:rsidRPr="00BA10FB">
        <w:rPr>
          <w:rFonts w:ascii="Times New Roman" w:hAnsi="Times New Roman" w:cs="Times New Roman"/>
        </w:rPr>
        <w:t>OAK</w:t>
      </w:r>
      <w:r w:rsidR="00BA10FB" w:rsidRPr="00BA10FB">
        <w:rPr>
          <w:rFonts w:ascii="Times New Roman" w:hAnsi="Times New Roman" w:cs="Times New Roman"/>
        </w:rPr>
        <w:t xml:space="preserve"> Solutions Pty Ltd</w:t>
      </w:r>
      <w:r w:rsidR="00B61356">
        <w:rPr>
          <w:rFonts w:ascii="Times New Roman" w:hAnsi="Times New Roman" w:cs="Times New Roman"/>
        </w:rPr>
        <w:t xml:space="preserve"> (</w:t>
      </w:r>
      <w:r w:rsidR="00B61356">
        <w:rPr>
          <w:rFonts w:ascii="Times New Roman" w:hAnsi="Times New Roman" w:cs="Times New Roman"/>
          <w:b/>
          <w:bCs/>
        </w:rPr>
        <w:t>the contract</w:t>
      </w:r>
      <w:r w:rsidR="00B61356">
        <w:rPr>
          <w:rFonts w:ascii="Times New Roman" w:hAnsi="Times New Roman" w:cs="Times New Roman"/>
        </w:rPr>
        <w:t>)</w:t>
      </w:r>
      <w:r w:rsidR="00794063" w:rsidRPr="00BA10FB">
        <w:rPr>
          <w:rFonts w:ascii="Times New Roman" w:hAnsi="Times New Roman" w:cs="Times New Roman"/>
        </w:rPr>
        <w:t>.</w:t>
      </w:r>
      <w:r w:rsidR="0092387B" w:rsidRPr="00BA10FB">
        <w:rPr>
          <w:rFonts w:ascii="Times New Roman" w:hAnsi="Times New Roman" w:cs="Times New Roman"/>
        </w:rPr>
        <w:t xml:space="preserve"> The charge was determined by dividing the total annual cost of</w:t>
      </w:r>
      <w:r w:rsidR="0092387B" w:rsidRPr="63482C8E">
        <w:rPr>
          <w:rFonts w:ascii="Times New Roman" w:hAnsi="Times New Roman" w:cs="Times New Roman"/>
        </w:rPr>
        <w:t xml:space="preserve"> services by the total estimated annual number of transactions.</w:t>
      </w:r>
      <w:r w:rsidR="00B71BC2">
        <w:rPr>
          <w:rFonts w:ascii="Times New Roman" w:hAnsi="Times New Roman" w:cs="Times New Roman"/>
        </w:rPr>
        <w:t xml:space="preserve"> </w:t>
      </w:r>
      <w:r w:rsidR="00144D6A">
        <w:rPr>
          <w:rFonts w:ascii="Times New Roman" w:hAnsi="Times New Roman" w:cs="Times New Roman"/>
        </w:rPr>
        <w:t>These charges have been unchanged since 2017.</w:t>
      </w:r>
    </w:p>
    <w:p w14:paraId="709BC1B2" w14:textId="4C74EEA5" w:rsidR="007070CF" w:rsidRPr="007070CF" w:rsidRDefault="007070CF" w:rsidP="007070CF">
      <w:pPr>
        <w:rPr>
          <w:rFonts w:ascii="Times New Roman" w:hAnsi="Times New Roman" w:cs="Times New Roman"/>
        </w:rPr>
      </w:pPr>
      <w:r w:rsidRPr="007070CF">
        <w:rPr>
          <w:rFonts w:ascii="Times New Roman" w:hAnsi="Times New Roman" w:cs="Times New Roman"/>
        </w:rPr>
        <w:t>As a result of a continued downward trend in demand from users, revenue generated from the current fee of $35 per transaction has been insufficient to meet the cost of the contract and has resulted in a cumulative under-recovery as of June 2022 of $0.26m which is estimated to increase to $0.4m by the end of the contract in 2024.</w:t>
      </w:r>
    </w:p>
    <w:p w14:paraId="73CB805A" w14:textId="7A66411B" w:rsidR="00465EC5" w:rsidRPr="00465EC5" w:rsidRDefault="0092387B" w:rsidP="00465EC5">
      <w:pPr>
        <w:spacing w:after="120" w:line="240" w:lineRule="auto"/>
        <w:rPr>
          <w:rFonts w:ascii="Times New Roman" w:hAnsi="Times New Roman" w:cs="Times New Roman"/>
        </w:rPr>
      </w:pPr>
      <w:r w:rsidRPr="63482C8E">
        <w:rPr>
          <w:rFonts w:ascii="Times New Roman" w:hAnsi="Times New Roman" w:cs="Times New Roman"/>
        </w:rPr>
        <w:t xml:space="preserve">In March 2022, the ACMA engaged external </w:t>
      </w:r>
      <w:r w:rsidR="0068390D">
        <w:rPr>
          <w:rFonts w:ascii="Times New Roman" w:hAnsi="Times New Roman" w:cs="Times New Roman"/>
        </w:rPr>
        <w:t xml:space="preserve">economic </w:t>
      </w:r>
      <w:r w:rsidRPr="63482C8E">
        <w:rPr>
          <w:rFonts w:ascii="Times New Roman" w:hAnsi="Times New Roman" w:cs="Times New Roman"/>
        </w:rPr>
        <w:t xml:space="preserve">consultants to review </w:t>
      </w:r>
      <w:r w:rsidR="00BC7CF3">
        <w:rPr>
          <w:rFonts w:ascii="Times New Roman" w:hAnsi="Times New Roman" w:cs="Times New Roman"/>
        </w:rPr>
        <w:t xml:space="preserve">and update </w:t>
      </w:r>
      <w:r w:rsidRPr="63482C8E">
        <w:rPr>
          <w:rFonts w:ascii="Times New Roman" w:hAnsi="Times New Roman" w:cs="Times New Roman"/>
        </w:rPr>
        <w:t xml:space="preserve">the </w:t>
      </w:r>
      <w:r w:rsidR="00BC7CF3">
        <w:rPr>
          <w:rFonts w:ascii="Times New Roman" w:hAnsi="Times New Roman" w:cs="Times New Roman"/>
        </w:rPr>
        <w:t xml:space="preserve">fee and cost recovery model </w:t>
      </w:r>
      <w:r w:rsidR="00465EC5" w:rsidRPr="00465EC5">
        <w:rPr>
          <w:rFonts w:ascii="Times New Roman" w:hAnsi="Times New Roman" w:cs="Times New Roman"/>
        </w:rPr>
        <w:t xml:space="preserve">including forecasting future demand, and estimating the fee required to obtain neutral cost recovery by 2024. </w:t>
      </w:r>
    </w:p>
    <w:p w14:paraId="26E0F931" w14:textId="5493A224" w:rsidR="00465EC5" w:rsidRDefault="00465EC5" w:rsidP="00465EC5">
      <w:pPr>
        <w:spacing w:after="120" w:line="240" w:lineRule="auto"/>
        <w:rPr>
          <w:rFonts w:ascii="Times New Roman" w:hAnsi="Times New Roman" w:cs="Times New Roman"/>
        </w:rPr>
      </w:pPr>
      <w:r w:rsidRPr="00465EC5">
        <w:rPr>
          <w:rFonts w:ascii="Times New Roman" w:hAnsi="Times New Roman" w:cs="Times New Roman"/>
        </w:rPr>
        <w:t>The fee</w:t>
      </w:r>
      <w:r w:rsidR="00EC0906">
        <w:rPr>
          <w:rFonts w:ascii="Times New Roman" w:hAnsi="Times New Roman" w:cs="Times New Roman"/>
        </w:rPr>
        <w:t xml:space="preserve"> </w:t>
      </w:r>
      <w:r w:rsidR="00CF42ED">
        <w:rPr>
          <w:rFonts w:ascii="Times New Roman" w:hAnsi="Times New Roman" w:cs="Times New Roman"/>
        </w:rPr>
        <w:t xml:space="preserve">required </w:t>
      </w:r>
      <w:r w:rsidRPr="00465EC5">
        <w:rPr>
          <w:rFonts w:ascii="Times New Roman" w:hAnsi="Times New Roman" w:cs="Times New Roman"/>
        </w:rPr>
        <w:t xml:space="preserve">to achieve neutral cumulative cost recovery by </w:t>
      </w:r>
      <w:r w:rsidR="00CF42ED">
        <w:rPr>
          <w:rFonts w:ascii="Times New Roman" w:hAnsi="Times New Roman" w:cs="Times New Roman"/>
        </w:rPr>
        <w:t xml:space="preserve">2024, noting the forecast decline in demand, </w:t>
      </w:r>
      <w:r w:rsidRPr="00465EC5">
        <w:rPr>
          <w:rFonts w:ascii="Times New Roman" w:hAnsi="Times New Roman" w:cs="Times New Roman"/>
        </w:rPr>
        <w:t>is $57.</w:t>
      </w:r>
    </w:p>
    <w:p w14:paraId="53FF7F55" w14:textId="7BAED23A" w:rsidR="002D130A" w:rsidRPr="005E0C4E" w:rsidRDefault="002D130A" w:rsidP="002D130A">
      <w:pPr>
        <w:rPr>
          <w:rFonts w:ascii="Times New Roman" w:hAnsi="Times New Roman" w:cs="Times New Roman"/>
        </w:rPr>
      </w:pPr>
      <w:r w:rsidRPr="63482C8E">
        <w:rPr>
          <w:rFonts w:ascii="Times New Roman" w:hAnsi="Times New Roman" w:cs="Times New Roman"/>
          <w:b/>
          <w:bCs/>
        </w:rPr>
        <w:t xml:space="preserve">Attachment C </w:t>
      </w:r>
      <w:r w:rsidR="00F52A72" w:rsidRPr="63482C8E">
        <w:rPr>
          <w:rFonts w:ascii="Times New Roman" w:hAnsi="Times New Roman" w:cs="Times New Roman"/>
        </w:rPr>
        <w:t xml:space="preserve">sets out </w:t>
      </w:r>
      <w:r w:rsidRPr="63482C8E">
        <w:rPr>
          <w:rFonts w:ascii="Times New Roman" w:hAnsi="Times New Roman" w:cs="Times New Roman"/>
        </w:rPr>
        <w:t xml:space="preserve">each charge </w:t>
      </w:r>
      <w:r w:rsidR="000316F8">
        <w:rPr>
          <w:rFonts w:ascii="Times New Roman" w:hAnsi="Times New Roman" w:cs="Times New Roman"/>
        </w:rPr>
        <w:t>specified in</w:t>
      </w:r>
      <w:r w:rsidR="000F2CCA" w:rsidRPr="63482C8E">
        <w:rPr>
          <w:rFonts w:ascii="Times New Roman" w:hAnsi="Times New Roman" w:cs="Times New Roman"/>
        </w:rPr>
        <w:t xml:space="preserve"> the </w:t>
      </w:r>
      <w:r w:rsidRPr="63482C8E">
        <w:rPr>
          <w:rFonts w:ascii="Times New Roman" w:hAnsi="Times New Roman" w:cs="Times New Roman"/>
        </w:rPr>
        <w:t xml:space="preserve">instrument and the variance in comparison with the </w:t>
      </w:r>
      <w:r w:rsidR="00E21771">
        <w:rPr>
          <w:rFonts w:ascii="Times New Roman" w:hAnsi="Times New Roman" w:cs="Times New Roman"/>
        </w:rPr>
        <w:t>previous</w:t>
      </w:r>
      <w:r w:rsidRPr="63482C8E">
        <w:rPr>
          <w:rFonts w:ascii="Times New Roman" w:hAnsi="Times New Roman" w:cs="Times New Roman"/>
        </w:rPr>
        <w:t xml:space="preserve"> amount of charge. </w:t>
      </w:r>
      <w:r w:rsidRPr="63482C8E">
        <w:rPr>
          <w:rFonts w:ascii="Times New Roman" w:hAnsi="Times New Roman" w:cs="Times New Roman"/>
          <w:b/>
          <w:bCs/>
        </w:rPr>
        <w:t>Attachment C</w:t>
      </w:r>
      <w:r w:rsidRPr="63482C8E">
        <w:rPr>
          <w:rFonts w:ascii="Times New Roman" w:hAnsi="Times New Roman" w:cs="Times New Roman"/>
        </w:rPr>
        <w:t xml:space="preserve"> also describes the reason for the </w:t>
      </w:r>
      <w:r w:rsidR="00BE4155">
        <w:rPr>
          <w:rFonts w:ascii="Times New Roman" w:hAnsi="Times New Roman" w:cs="Times New Roman"/>
        </w:rPr>
        <w:t>variance</w:t>
      </w:r>
      <w:r w:rsidRPr="63482C8E">
        <w:rPr>
          <w:rFonts w:ascii="Times New Roman" w:hAnsi="Times New Roman" w:cs="Times New Roman"/>
        </w:rPr>
        <w:t xml:space="preserve">.  </w:t>
      </w:r>
      <w:r w:rsidRPr="63482C8E">
        <w:rPr>
          <w:rFonts w:ascii="Times New Roman" w:hAnsi="Times New Roman" w:cs="Times New Roman"/>
          <w:b/>
          <w:bCs/>
        </w:rPr>
        <w:t xml:space="preserve"> </w:t>
      </w:r>
    </w:p>
    <w:p w14:paraId="0C3D9676" w14:textId="03669D2E" w:rsidR="00D30BE2" w:rsidRPr="00D30BE2" w:rsidRDefault="00D30BE2" w:rsidP="002D130A">
      <w:pPr>
        <w:rPr>
          <w:rFonts w:ascii="Times New Roman" w:hAnsi="Times New Roman" w:cs="Times New Roman"/>
        </w:rPr>
      </w:pPr>
      <w:r>
        <w:rPr>
          <w:rFonts w:ascii="Times New Roman" w:hAnsi="Times New Roman" w:cs="Times New Roman"/>
        </w:rPr>
        <w:t xml:space="preserve">The instrument is a disallowable legislative instrument for the purposes of the </w:t>
      </w:r>
      <w:r>
        <w:rPr>
          <w:rFonts w:ascii="Times New Roman" w:hAnsi="Times New Roman" w:cs="Times New Roman"/>
          <w:i/>
          <w:iCs/>
        </w:rPr>
        <w:t>Legislation Act 2003</w:t>
      </w:r>
      <w:r w:rsidR="00364BEE">
        <w:rPr>
          <w:rFonts w:ascii="Times New Roman" w:hAnsi="Times New Roman" w:cs="Times New Roman"/>
          <w:i/>
          <w:iCs/>
        </w:rPr>
        <w:t xml:space="preserve"> </w:t>
      </w:r>
      <w:r w:rsidR="00364BEE">
        <w:rPr>
          <w:rFonts w:ascii="Times New Roman" w:hAnsi="Times New Roman" w:cs="Times New Roman"/>
        </w:rPr>
        <w:t>(</w:t>
      </w:r>
      <w:r w:rsidR="00364BEE">
        <w:rPr>
          <w:rFonts w:ascii="Times New Roman" w:hAnsi="Times New Roman" w:cs="Times New Roman"/>
          <w:b/>
          <w:bCs/>
        </w:rPr>
        <w:t>the LA</w:t>
      </w:r>
      <w:r w:rsidR="00364BEE">
        <w:rPr>
          <w:rFonts w:ascii="Times New Roman" w:hAnsi="Times New Roman" w:cs="Times New Roman"/>
        </w:rPr>
        <w:t>)</w:t>
      </w:r>
      <w:r>
        <w:rPr>
          <w:rFonts w:ascii="Times New Roman" w:hAnsi="Times New Roman" w:cs="Times New Roman"/>
          <w:i/>
          <w:iCs/>
        </w:rPr>
        <w:t xml:space="preserve">. </w:t>
      </w:r>
    </w:p>
    <w:p w14:paraId="491AB09F" w14:textId="20BCF632" w:rsidR="002D130A" w:rsidRDefault="002D130A" w:rsidP="002D130A">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7B805E02" w14:textId="77777777" w:rsidR="008107F2" w:rsidRPr="008107F2" w:rsidRDefault="008107F2" w:rsidP="008107F2">
      <w:pPr>
        <w:shd w:val="clear" w:color="auto" w:fill="FFFFFF"/>
        <w:spacing w:line="235" w:lineRule="atLeast"/>
        <w:rPr>
          <w:rFonts w:ascii="Calibri" w:eastAsia="Times New Roman" w:hAnsi="Calibri" w:cs="Calibri"/>
          <w:color w:val="000000"/>
          <w:lang w:eastAsia="en-AU"/>
        </w:rPr>
      </w:pPr>
      <w:r w:rsidRPr="008107F2">
        <w:rPr>
          <w:rFonts w:ascii="Times New Roman" w:eastAsia="Times New Roman" w:hAnsi="Times New Roman" w:cs="Times New Roman"/>
          <w:color w:val="000000"/>
          <w:lang w:eastAsia="en-AU"/>
        </w:rPr>
        <w:t>The instrument incorporates the following Acts and legislative instruments by reference, as in force from time to time, or otherwise refers to them:</w:t>
      </w:r>
    </w:p>
    <w:p w14:paraId="37137C72" w14:textId="77777777" w:rsidR="00DB7CBD" w:rsidRPr="002C4974" w:rsidRDefault="008107F2" w:rsidP="00DB7CBD">
      <w:pPr>
        <w:pStyle w:val="ListParagraph"/>
        <w:numPr>
          <w:ilvl w:val="0"/>
          <w:numId w:val="18"/>
        </w:numPr>
        <w:shd w:val="clear" w:color="auto" w:fill="FFFFFF"/>
        <w:spacing w:after="0" w:line="235" w:lineRule="atLeast"/>
        <w:rPr>
          <w:rFonts w:ascii="Calibri" w:eastAsia="Times New Roman" w:hAnsi="Calibri" w:cs="Calibri"/>
          <w:color w:val="000000"/>
          <w:lang w:eastAsia="en-AU"/>
        </w:rPr>
      </w:pPr>
      <w:r w:rsidRPr="002C4974">
        <w:rPr>
          <w:rFonts w:ascii="Times New Roman" w:eastAsia="Times New Roman" w:hAnsi="Times New Roman" w:cs="Times New Roman"/>
          <w:color w:val="000000"/>
          <w:lang w:eastAsia="en-AU"/>
        </w:rPr>
        <w:t xml:space="preserve">the </w:t>
      </w:r>
      <w:proofErr w:type="gramStart"/>
      <w:r w:rsidRPr="002C4974">
        <w:rPr>
          <w:rFonts w:ascii="Times New Roman" w:eastAsia="Times New Roman" w:hAnsi="Times New Roman" w:cs="Times New Roman"/>
          <w:color w:val="000000"/>
          <w:lang w:eastAsia="en-AU"/>
        </w:rPr>
        <w:t>Act;</w:t>
      </w:r>
      <w:proofErr w:type="gramEnd"/>
    </w:p>
    <w:p w14:paraId="298922A2" w14:textId="77777777" w:rsidR="00DB7CBD" w:rsidRPr="002C4974" w:rsidRDefault="008107F2" w:rsidP="00DB7CBD">
      <w:pPr>
        <w:pStyle w:val="ListParagraph"/>
        <w:numPr>
          <w:ilvl w:val="0"/>
          <w:numId w:val="18"/>
        </w:numPr>
        <w:shd w:val="clear" w:color="auto" w:fill="FFFFFF"/>
        <w:spacing w:after="0" w:line="235" w:lineRule="atLeast"/>
        <w:rPr>
          <w:rFonts w:ascii="Calibri" w:eastAsia="Times New Roman" w:hAnsi="Calibri" w:cs="Calibri"/>
          <w:color w:val="000000"/>
          <w:lang w:eastAsia="en-AU"/>
        </w:rPr>
      </w:pPr>
      <w:r w:rsidRPr="002C4974">
        <w:rPr>
          <w:rFonts w:ascii="Times New Roman" w:eastAsia="Times New Roman" w:hAnsi="Times New Roman" w:cs="Times New Roman"/>
          <w:color w:val="000000"/>
          <w:lang w:eastAsia="en-AU"/>
        </w:rPr>
        <w:t>the </w:t>
      </w:r>
      <w:r w:rsidRPr="002C4974">
        <w:rPr>
          <w:rFonts w:ascii="Times New Roman" w:eastAsia="Times New Roman" w:hAnsi="Times New Roman" w:cs="Times New Roman"/>
          <w:i/>
          <w:iCs/>
          <w:color w:val="000000"/>
          <w:lang w:eastAsia="en-AU"/>
        </w:rPr>
        <w:t xml:space="preserve">Acts Interpretation Act </w:t>
      </w:r>
      <w:proofErr w:type="gramStart"/>
      <w:r w:rsidRPr="002C4974">
        <w:rPr>
          <w:rFonts w:ascii="Times New Roman" w:eastAsia="Times New Roman" w:hAnsi="Times New Roman" w:cs="Times New Roman"/>
          <w:i/>
          <w:iCs/>
          <w:color w:val="000000"/>
          <w:lang w:eastAsia="en-AU"/>
        </w:rPr>
        <w:t>1901</w:t>
      </w:r>
      <w:r w:rsidRPr="002C4974">
        <w:rPr>
          <w:rFonts w:ascii="Times New Roman" w:eastAsia="Times New Roman" w:hAnsi="Times New Roman" w:cs="Times New Roman"/>
          <w:color w:val="000000"/>
          <w:lang w:eastAsia="en-AU"/>
        </w:rPr>
        <w:t>;</w:t>
      </w:r>
      <w:proofErr w:type="gramEnd"/>
    </w:p>
    <w:p w14:paraId="052560D0" w14:textId="7764A93C" w:rsidR="007B740C" w:rsidRPr="002C4974" w:rsidRDefault="007B740C" w:rsidP="00DB7CBD">
      <w:pPr>
        <w:pStyle w:val="ListParagraph"/>
        <w:numPr>
          <w:ilvl w:val="0"/>
          <w:numId w:val="18"/>
        </w:numPr>
        <w:shd w:val="clear" w:color="auto" w:fill="FFFFFF"/>
        <w:spacing w:after="0" w:line="235" w:lineRule="atLeast"/>
        <w:rPr>
          <w:rFonts w:ascii="Calibri" w:eastAsia="Times New Roman" w:hAnsi="Calibri" w:cs="Calibri"/>
          <w:color w:val="000000"/>
          <w:lang w:eastAsia="en-AU"/>
        </w:rPr>
      </w:pPr>
      <w:r w:rsidRPr="003F733F">
        <w:rPr>
          <w:rFonts w:ascii="Times New Roman" w:eastAsia="Times New Roman" w:hAnsi="Times New Roman" w:cs="Times New Roman"/>
          <w:color w:val="000000"/>
          <w:lang w:eastAsia="en-AU"/>
        </w:rPr>
        <w:t>the </w:t>
      </w:r>
      <w:proofErr w:type="gramStart"/>
      <w:r w:rsidR="00676114">
        <w:rPr>
          <w:rFonts w:ascii="Times New Roman" w:eastAsia="Times New Roman" w:hAnsi="Times New Roman" w:cs="Times New Roman"/>
          <w:color w:val="000000"/>
          <w:lang w:eastAsia="en-AU"/>
        </w:rPr>
        <w:t>LA</w:t>
      </w:r>
      <w:r>
        <w:rPr>
          <w:rFonts w:ascii="Times New Roman" w:eastAsia="Times New Roman" w:hAnsi="Times New Roman" w:cs="Times New Roman"/>
          <w:color w:val="000000"/>
          <w:lang w:eastAsia="en-AU"/>
        </w:rPr>
        <w:t>;</w:t>
      </w:r>
      <w:proofErr w:type="gramEnd"/>
    </w:p>
    <w:p w14:paraId="291C9D4B" w14:textId="485572A5" w:rsidR="00DB7CBD" w:rsidRPr="002C4974" w:rsidRDefault="008107F2" w:rsidP="00DB7CBD">
      <w:pPr>
        <w:pStyle w:val="ListParagraph"/>
        <w:numPr>
          <w:ilvl w:val="0"/>
          <w:numId w:val="18"/>
        </w:numPr>
        <w:shd w:val="clear" w:color="auto" w:fill="FFFFFF"/>
        <w:spacing w:after="0" w:line="235" w:lineRule="atLeast"/>
        <w:rPr>
          <w:rFonts w:ascii="Calibri" w:eastAsia="Times New Roman" w:hAnsi="Calibri" w:cs="Calibri"/>
          <w:color w:val="000000"/>
          <w:lang w:eastAsia="en-AU"/>
        </w:rPr>
      </w:pPr>
      <w:r w:rsidRPr="002C4974">
        <w:rPr>
          <w:rFonts w:ascii="Times New Roman" w:eastAsia="Times New Roman" w:hAnsi="Times New Roman" w:cs="Times New Roman"/>
          <w:color w:val="000000"/>
          <w:lang w:eastAsia="en-AU"/>
        </w:rPr>
        <w:t>the Telecommunications Act</w:t>
      </w:r>
      <w:r w:rsidR="00775FC1">
        <w:rPr>
          <w:rFonts w:ascii="Times New Roman" w:eastAsia="Times New Roman" w:hAnsi="Times New Roman" w:cs="Times New Roman"/>
          <w:color w:val="000000"/>
          <w:lang w:eastAsia="en-AU"/>
        </w:rPr>
        <w:t>;</w:t>
      </w:r>
      <w:r w:rsidR="0097110D">
        <w:rPr>
          <w:rFonts w:ascii="Times New Roman" w:eastAsia="Times New Roman" w:hAnsi="Times New Roman" w:cs="Times New Roman"/>
          <w:color w:val="000000"/>
          <w:lang w:eastAsia="en-AU"/>
        </w:rPr>
        <w:t xml:space="preserve"> and</w:t>
      </w:r>
    </w:p>
    <w:p w14:paraId="5D833638" w14:textId="728B9BAD" w:rsidR="00775FC1" w:rsidRPr="002C4974" w:rsidRDefault="00775FC1" w:rsidP="00DB7CBD">
      <w:pPr>
        <w:pStyle w:val="ListParagraph"/>
        <w:numPr>
          <w:ilvl w:val="0"/>
          <w:numId w:val="18"/>
        </w:numPr>
        <w:shd w:val="clear" w:color="auto" w:fill="FFFFFF"/>
        <w:spacing w:after="0" w:line="235"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the </w:t>
      </w:r>
      <w:r w:rsidR="0006704F">
        <w:rPr>
          <w:rFonts w:ascii="Times New Roman" w:eastAsia="Times New Roman" w:hAnsi="Times New Roman" w:cs="Times New Roman"/>
          <w:color w:val="000000"/>
          <w:lang w:eastAsia="en-AU"/>
        </w:rPr>
        <w:t xml:space="preserve">numbering </w:t>
      </w:r>
      <w:proofErr w:type="gramStart"/>
      <w:r w:rsidR="0006704F">
        <w:rPr>
          <w:rFonts w:ascii="Times New Roman" w:eastAsia="Times New Roman" w:hAnsi="Times New Roman" w:cs="Times New Roman"/>
          <w:color w:val="000000"/>
          <w:lang w:eastAsia="en-AU"/>
        </w:rPr>
        <w:t>plan</w:t>
      </w:r>
      <w:proofErr w:type="gramEnd"/>
      <w:r>
        <w:rPr>
          <w:rFonts w:ascii="Times New Roman" w:eastAsia="Times New Roman" w:hAnsi="Times New Roman" w:cs="Times New Roman"/>
          <w:i/>
          <w:iCs/>
          <w:color w:val="000000"/>
          <w:lang w:eastAsia="en-AU"/>
        </w:rPr>
        <w:t xml:space="preserve">. </w:t>
      </w:r>
    </w:p>
    <w:p w14:paraId="304316CC" w14:textId="77777777" w:rsidR="00C3635C" w:rsidRDefault="00C3635C" w:rsidP="00AA2271">
      <w:pPr>
        <w:shd w:val="clear" w:color="auto" w:fill="FFFFFF"/>
        <w:spacing w:after="0" w:line="235" w:lineRule="atLeast"/>
        <w:rPr>
          <w:color w:val="000000"/>
          <w:shd w:val="clear" w:color="auto" w:fill="FFFFFF"/>
        </w:rPr>
      </w:pPr>
    </w:p>
    <w:p w14:paraId="7403FB68" w14:textId="4BC369DC" w:rsidR="008107F2" w:rsidRDefault="00AA2271">
      <w:pPr>
        <w:shd w:val="clear" w:color="auto" w:fill="FFFFFF"/>
        <w:spacing w:after="0" w:line="235" w:lineRule="atLeast"/>
        <w:rPr>
          <w:rFonts w:ascii="Times New Roman" w:hAnsi="Times New Roman" w:cs="Times New Roman"/>
          <w:color w:val="000000"/>
          <w:shd w:val="clear" w:color="auto" w:fill="FFFFFF"/>
        </w:rPr>
      </w:pPr>
      <w:r w:rsidRPr="002C4974">
        <w:rPr>
          <w:rFonts w:ascii="Times New Roman" w:hAnsi="Times New Roman" w:cs="Times New Roman"/>
          <w:color w:val="000000"/>
          <w:shd w:val="clear" w:color="auto" w:fill="FFFFFF"/>
        </w:rPr>
        <w:t>Commonwealth legislation can be accessed, free of charge, on the Federal Register of Legislation (</w:t>
      </w:r>
      <w:hyperlink r:id="rId12" w:history="1">
        <w:r w:rsidRPr="002C4974">
          <w:rPr>
            <w:rStyle w:val="Hyperlink"/>
            <w:rFonts w:ascii="Times New Roman" w:hAnsi="Times New Roman" w:cs="Times New Roman"/>
            <w:color w:val="0F569E"/>
          </w:rPr>
          <w:t>http://www.legislation.gov.au</w:t>
        </w:r>
      </w:hyperlink>
      <w:r w:rsidRPr="002C4974">
        <w:rPr>
          <w:rFonts w:ascii="Times New Roman" w:hAnsi="Times New Roman" w:cs="Times New Roman"/>
          <w:color w:val="000000"/>
          <w:shd w:val="clear" w:color="auto" w:fill="FFFFFF"/>
        </w:rPr>
        <w:t>).</w:t>
      </w:r>
    </w:p>
    <w:p w14:paraId="22C0F0B2" w14:textId="77777777" w:rsidR="0097110D" w:rsidRPr="002C4974" w:rsidRDefault="0097110D" w:rsidP="002C4974">
      <w:pPr>
        <w:shd w:val="clear" w:color="auto" w:fill="FFFFFF"/>
        <w:spacing w:after="0" w:line="235" w:lineRule="atLeast"/>
        <w:rPr>
          <w:rFonts w:ascii="Times New Roman" w:eastAsia="Times New Roman" w:hAnsi="Times New Roman" w:cs="Times New Roman"/>
          <w:color w:val="000000"/>
          <w:lang w:eastAsia="en-AU"/>
        </w:rPr>
      </w:pP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4CE282F" w14:textId="77777777" w:rsidR="00A823E8" w:rsidRDefault="00A823E8" w:rsidP="00A823E8">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7DBCA0F7" w14:textId="7E9E69D3" w:rsidR="00050117" w:rsidRPr="00050117" w:rsidRDefault="00050117" w:rsidP="00050117">
      <w:pPr>
        <w:spacing w:after="120" w:line="240" w:lineRule="auto"/>
        <w:rPr>
          <w:rFonts w:ascii="Times New Roman" w:hAnsi="Times New Roman" w:cs="Times New Roman"/>
        </w:rPr>
      </w:pPr>
      <w:r w:rsidRPr="1B444920">
        <w:rPr>
          <w:rFonts w:ascii="Times New Roman" w:hAnsi="Times New Roman" w:cs="Times New Roman"/>
        </w:rPr>
        <w:t xml:space="preserve">The ACMA has consulted </w:t>
      </w:r>
      <w:r w:rsidR="00BE4155">
        <w:rPr>
          <w:rFonts w:ascii="Times New Roman" w:hAnsi="Times New Roman" w:cs="Times New Roman"/>
        </w:rPr>
        <w:t xml:space="preserve">the public, including </w:t>
      </w:r>
      <w:r w:rsidRPr="1B444920">
        <w:rPr>
          <w:rFonts w:ascii="Times New Roman" w:hAnsi="Times New Roman" w:cs="Times New Roman"/>
        </w:rPr>
        <w:t>industry stakeholders on the making of the instrument. Between 2</w:t>
      </w:r>
      <w:r w:rsidR="00B71075" w:rsidRPr="1B444920">
        <w:rPr>
          <w:rFonts w:ascii="Times New Roman" w:hAnsi="Times New Roman" w:cs="Times New Roman"/>
        </w:rPr>
        <w:t>7</w:t>
      </w:r>
      <w:r w:rsidRPr="1B444920">
        <w:rPr>
          <w:rFonts w:ascii="Times New Roman" w:hAnsi="Times New Roman" w:cs="Times New Roman"/>
        </w:rPr>
        <w:t xml:space="preserve"> June 2022 </w:t>
      </w:r>
      <w:r w:rsidR="00BE4155">
        <w:rPr>
          <w:rFonts w:ascii="Times New Roman" w:hAnsi="Times New Roman" w:cs="Times New Roman"/>
        </w:rPr>
        <w:t>and</w:t>
      </w:r>
      <w:r w:rsidRPr="1B444920">
        <w:rPr>
          <w:rFonts w:ascii="Times New Roman" w:hAnsi="Times New Roman" w:cs="Times New Roman"/>
        </w:rPr>
        <w:t xml:space="preserve"> 25 July 2022, the ACMA conducted a consultation process inviting submissions on a number of proposed changes to fees for services determined under </w:t>
      </w:r>
      <w:r w:rsidR="00646F13">
        <w:rPr>
          <w:rFonts w:ascii="Times New Roman" w:hAnsi="Times New Roman" w:cs="Times New Roman"/>
        </w:rPr>
        <w:t xml:space="preserve">various </w:t>
      </w:r>
      <w:r w:rsidRPr="1B444920">
        <w:rPr>
          <w:rFonts w:ascii="Times New Roman" w:hAnsi="Times New Roman" w:cs="Times New Roman"/>
        </w:rPr>
        <w:t>cost recovery arrangements</w:t>
      </w:r>
      <w:r w:rsidR="00646F13">
        <w:rPr>
          <w:rFonts w:ascii="Times New Roman" w:hAnsi="Times New Roman" w:cs="Times New Roman"/>
        </w:rPr>
        <w:t>, including the instrument</w:t>
      </w:r>
      <w:r w:rsidRPr="1B444920">
        <w:rPr>
          <w:rFonts w:ascii="Times New Roman" w:hAnsi="Times New Roman" w:cs="Times New Roman"/>
        </w:rPr>
        <w:t>. The consultation was facilitated through the release of a consultation package which included draft instruments</w:t>
      </w:r>
      <w:r w:rsidR="0099457A">
        <w:rPr>
          <w:rFonts w:ascii="Times New Roman" w:hAnsi="Times New Roman" w:cs="Times New Roman"/>
        </w:rPr>
        <w:t xml:space="preserve">, including the </w:t>
      </w:r>
      <w:r w:rsidR="00D13A86">
        <w:rPr>
          <w:rFonts w:ascii="Times New Roman" w:hAnsi="Times New Roman" w:cs="Times New Roman"/>
        </w:rPr>
        <w:t>instrument</w:t>
      </w:r>
      <w:r w:rsidR="00BE4155">
        <w:rPr>
          <w:rFonts w:ascii="Times New Roman" w:hAnsi="Times New Roman" w:cs="Times New Roman"/>
        </w:rPr>
        <w:t>,</w:t>
      </w:r>
      <w:r w:rsidRPr="1B444920">
        <w:rPr>
          <w:rFonts w:ascii="Times New Roman" w:hAnsi="Times New Roman" w:cs="Times New Roman"/>
        </w:rPr>
        <w:t xml:space="preserve"> and a draft Cost Recovery Implementation Statement  on the ACMA’s website.  </w:t>
      </w:r>
    </w:p>
    <w:p w14:paraId="61306478" w14:textId="1677394B" w:rsidR="00050117" w:rsidRPr="001B62FA" w:rsidRDefault="00050117" w:rsidP="002C4974">
      <w:pPr>
        <w:spacing w:after="120" w:line="240" w:lineRule="auto"/>
        <w:rPr>
          <w:rFonts w:ascii="Times New Roman" w:hAnsi="Times New Roman" w:cs="Times New Roman"/>
        </w:rPr>
      </w:pPr>
      <w:r w:rsidRPr="00050117">
        <w:rPr>
          <w:rFonts w:ascii="Times New Roman" w:hAnsi="Times New Roman" w:cs="Times New Roman"/>
        </w:rPr>
        <w:t xml:space="preserve">The consultation package outlined </w:t>
      </w:r>
      <w:r w:rsidR="00365E6E">
        <w:rPr>
          <w:rFonts w:ascii="Times New Roman" w:hAnsi="Times New Roman" w:cs="Times New Roman"/>
        </w:rPr>
        <w:t xml:space="preserve">the main differences between the 2012 Determination and the instrument. </w:t>
      </w:r>
    </w:p>
    <w:p w14:paraId="1CC42C6B" w14:textId="4B63E0D8" w:rsidR="00863DA8" w:rsidRPr="00863DA8" w:rsidRDefault="00050117" w:rsidP="00863DA8">
      <w:pPr>
        <w:spacing w:after="120" w:line="240" w:lineRule="auto"/>
        <w:rPr>
          <w:rFonts w:ascii="Times New Roman" w:hAnsi="Times New Roman" w:cs="Times New Roman"/>
        </w:rPr>
      </w:pPr>
      <w:r w:rsidRPr="00050117">
        <w:rPr>
          <w:rFonts w:ascii="Times New Roman" w:hAnsi="Times New Roman" w:cs="Times New Roman"/>
        </w:rPr>
        <w:t xml:space="preserve">The ACMA received </w:t>
      </w:r>
      <w:r w:rsidR="00D754B8">
        <w:rPr>
          <w:rFonts w:ascii="Times New Roman" w:hAnsi="Times New Roman" w:cs="Times New Roman"/>
        </w:rPr>
        <w:t>five</w:t>
      </w:r>
      <w:r w:rsidRPr="00050117">
        <w:rPr>
          <w:rFonts w:ascii="Times New Roman" w:hAnsi="Times New Roman" w:cs="Times New Roman"/>
        </w:rPr>
        <w:t xml:space="preserve"> submissions in response to the consultation.</w:t>
      </w:r>
      <w:r w:rsidR="00863DA8" w:rsidRPr="00863DA8">
        <w:t xml:space="preserve"> </w:t>
      </w:r>
      <w:r w:rsidR="00863DA8" w:rsidRPr="00863DA8">
        <w:rPr>
          <w:rFonts w:ascii="Times New Roman" w:hAnsi="Times New Roman" w:cs="Times New Roman"/>
        </w:rPr>
        <w:t xml:space="preserve">Four of the submissions commented on the increase to the numbering charges. Submissions </w:t>
      </w:r>
      <w:r w:rsidR="00E81DC4">
        <w:rPr>
          <w:rFonts w:ascii="Times New Roman" w:hAnsi="Times New Roman" w:cs="Times New Roman"/>
        </w:rPr>
        <w:t xml:space="preserve">noted </w:t>
      </w:r>
      <w:r w:rsidR="00863DA8" w:rsidRPr="00863DA8">
        <w:rPr>
          <w:rFonts w:ascii="Times New Roman" w:hAnsi="Times New Roman" w:cs="Times New Roman"/>
        </w:rPr>
        <w:t xml:space="preserve">that the proposed numbering fee increase (63%) is significant and may impact smaller resellers of numbers in the market and have a further downward impact on already declining demand. </w:t>
      </w:r>
      <w:r w:rsidR="00E81DC4">
        <w:rPr>
          <w:rFonts w:ascii="Times New Roman" w:hAnsi="Times New Roman" w:cs="Times New Roman"/>
        </w:rPr>
        <w:t xml:space="preserve">Some submissions </w:t>
      </w:r>
      <w:r w:rsidR="00863DA8" w:rsidRPr="00863DA8">
        <w:rPr>
          <w:rFonts w:ascii="Times New Roman" w:hAnsi="Times New Roman" w:cs="Times New Roman"/>
        </w:rPr>
        <w:t xml:space="preserve">also </w:t>
      </w:r>
      <w:r w:rsidR="00863DA8" w:rsidRPr="00863DA8">
        <w:rPr>
          <w:rFonts w:ascii="Times New Roman" w:hAnsi="Times New Roman" w:cs="Times New Roman"/>
        </w:rPr>
        <w:lastRenderedPageBreak/>
        <w:t xml:space="preserve">commented that the current charging framework and cost recovery model for numbering </w:t>
      </w:r>
      <w:r w:rsidR="00BE4155">
        <w:rPr>
          <w:rFonts w:ascii="Times New Roman" w:hAnsi="Times New Roman" w:cs="Times New Roman"/>
        </w:rPr>
        <w:t>may not be</w:t>
      </w:r>
      <w:r w:rsidR="00863DA8" w:rsidRPr="00863DA8">
        <w:rPr>
          <w:rFonts w:ascii="Times New Roman" w:hAnsi="Times New Roman" w:cs="Times New Roman"/>
        </w:rPr>
        <w:t xml:space="preserve"> sustainable and should be reviewed.</w:t>
      </w:r>
    </w:p>
    <w:p w14:paraId="317B0530" w14:textId="3EC02368" w:rsidR="00777AD7" w:rsidRDefault="00863DA8" w:rsidP="00863DA8">
      <w:pPr>
        <w:spacing w:after="120" w:line="240" w:lineRule="auto"/>
        <w:rPr>
          <w:rFonts w:ascii="Times New Roman" w:hAnsi="Times New Roman" w:cs="Times New Roman"/>
        </w:rPr>
      </w:pPr>
      <w:r w:rsidRPr="00863DA8">
        <w:rPr>
          <w:rFonts w:ascii="Times New Roman" w:hAnsi="Times New Roman" w:cs="Times New Roman"/>
        </w:rPr>
        <w:t xml:space="preserve">Noting all the submissions, the ACMA considers the 63% increase in the numbering transaction fee </w:t>
      </w:r>
      <w:r w:rsidR="00E81DC4">
        <w:rPr>
          <w:rFonts w:ascii="Times New Roman" w:hAnsi="Times New Roman" w:cs="Times New Roman"/>
        </w:rPr>
        <w:t xml:space="preserve">is </w:t>
      </w:r>
      <w:r w:rsidRPr="00863DA8">
        <w:rPr>
          <w:rFonts w:ascii="Times New Roman" w:hAnsi="Times New Roman" w:cs="Times New Roman"/>
        </w:rPr>
        <w:t>necessary to be compliant with Australian Government Charging Framework. Regarding the potential impact on carriage service providers (</w:t>
      </w:r>
      <w:r w:rsidRPr="00463F97">
        <w:rPr>
          <w:rFonts w:ascii="Times New Roman" w:hAnsi="Times New Roman" w:cs="Times New Roman"/>
          <w:b/>
          <w:bCs/>
        </w:rPr>
        <w:t>CSPs</w:t>
      </w:r>
      <w:r w:rsidRPr="00863DA8">
        <w:rPr>
          <w:rFonts w:ascii="Times New Roman" w:hAnsi="Times New Roman" w:cs="Times New Roman"/>
        </w:rPr>
        <w:t xml:space="preserve">) and resellers, the ACMA notes that for transactions that involve allocations of large blocks of numbers such as geographic numbers, the impact of any price increase is likely to be small. For example, in 2020–21, the average number of geographic telephone numbers allocated to </w:t>
      </w:r>
      <w:r w:rsidR="00EC0906">
        <w:rPr>
          <w:rFonts w:ascii="Times New Roman" w:hAnsi="Times New Roman" w:cs="Times New Roman"/>
        </w:rPr>
        <w:t>CSPs</w:t>
      </w:r>
      <w:r w:rsidRPr="00863DA8">
        <w:rPr>
          <w:rFonts w:ascii="Times New Roman" w:hAnsi="Times New Roman" w:cs="Times New Roman"/>
        </w:rPr>
        <w:t xml:space="preserve"> per transaction was 48,758 numbers. This means the proposed fee increase of $22 would equate to an additional $0.0</w:t>
      </w:r>
      <w:r w:rsidR="004534C7">
        <w:rPr>
          <w:rFonts w:ascii="Times New Roman" w:hAnsi="Times New Roman" w:cs="Times New Roman"/>
        </w:rPr>
        <w:t>5</w:t>
      </w:r>
      <w:r w:rsidRPr="00863DA8">
        <w:rPr>
          <w:rFonts w:ascii="Times New Roman" w:hAnsi="Times New Roman" w:cs="Times New Roman"/>
        </w:rPr>
        <w:t xml:space="preserve"> cents per allocated number. Noting long-term declining demand for certain numbering transactions and the impact of this on cost recovery</w:t>
      </w:r>
      <w:r w:rsidR="00EC0906">
        <w:rPr>
          <w:rFonts w:ascii="Times New Roman" w:hAnsi="Times New Roman" w:cs="Times New Roman"/>
        </w:rPr>
        <w:t>,</w:t>
      </w:r>
      <w:r w:rsidRPr="00863DA8">
        <w:rPr>
          <w:rFonts w:ascii="Times New Roman" w:hAnsi="Times New Roman" w:cs="Times New Roman"/>
        </w:rPr>
        <w:t xml:space="preserve"> the ACMA will explore the merits of a broader review but </w:t>
      </w:r>
      <w:r w:rsidR="00EC0906">
        <w:rPr>
          <w:rFonts w:ascii="Times New Roman" w:hAnsi="Times New Roman" w:cs="Times New Roman"/>
        </w:rPr>
        <w:t xml:space="preserve">considers that </w:t>
      </w:r>
      <w:r w:rsidRPr="00863DA8">
        <w:rPr>
          <w:rFonts w:ascii="Times New Roman" w:hAnsi="Times New Roman" w:cs="Times New Roman"/>
        </w:rPr>
        <w:t xml:space="preserve">changes in numbering charges should not be delayed pending that consideration. </w:t>
      </w:r>
    </w:p>
    <w:p w14:paraId="4DA6F363" w14:textId="3FAC3458" w:rsidR="00C656F1" w:rsidRDefault="00BE4155" w:rsidP="00050117">
      <w:pPr>
        <w:spacing w:after="120" w:line="240" w:lineRule="auto"/>
        <w:rPr>
          <w:rFonts w:ascii="Times New Roman" w:hAnsi="Times New Roman" w:cs="Times New Roman"/>
        </w:rPr>
      </w:pPr>
      <w:r>
        <w:rPr>
          <w:rFonts w:ascii="Times New Roman" w:hAnsi="Times New Roman" w:cs="Times New Roman"/>
        </w:rPr>
        <w:t>T</w:t>
      </w:r>
      <w:proofErr w:type="gramStart"/>
      <w:r w:rsidR="00C656F1">
        <w:rPr>
          <w:rFonts w:ascii="Times New Roman" w:hAnsi="Times New Roman" w:cs="Times New Roman"/>
        </w:rPr>
        <w:t>he</w:t>
      </w:r>
      <w:proofErr w:type="gramEnd"/>
      <w:r w:rsidR="00C656F1">
        <w:rPr>
          <w:rFonts w:ascii="Times New Roman" w:hAnsi="Times New Roman" w:cs="Times New Roman"/>
        </w:rPr>
        <w:t xml:space="preserve"> submissions </w:t>
      </w:r>
      <w:r>
        <w:rPr>
          <w:rFonts w:ascii="Times New Roman" w:hAnsi="Times New Roman" w:cs="Times New Roman"/>
        </w:rPr>
        <w:t>are</w:t>
      </w:r>
      <w:r w:rsidR="0048392D">
        <w:rPr>
          <w:rFonts w:ascii="Times New Roman" w:hAnsi="Times New Roman" w:cs="Times New Roman"/>
        </w:rPr>
        <w:t xml:space="preserve"> </w:t>
      </w:r>
      <w:r w:rsidR="00C656F1">
        <w:rPr>
          <w:rFonts w:ascii="Times New Roman" w:hAnsi="Times New Roman" w:cs="Times New Roman"/>
        </w:rPr>
        <w:t xml:space="preserve">available on the ACMA website. </w:t>
      </w:r>
    </w:p>
    <w:p w14:paraId="53D9347B" w14:textId="11F178A4" w:rsidR="006B02EC" w:rsidRPr="00E96282" w:rsidRDefault="00C656F1" w:rsidP="00050117">
      <w:pPr>
        <w:spacing w:after="120" w:line="240" w:lineRule="auto"/>
        <w:rPr>
          <w:rFonts w:ascii="Times New Roman" w:hAnsi="Times New Roman" w:cs="Times New Roman"/>
        </w:rPr>
      </w:pPr>
      <w:r>
        <w:rPr>
          <w:rFonts w:ascii="Times New Roman" w:hAnsi="Times New Roman" w:cs="Times New Roman"/>
        </w:rPr>
        <w:t>No material changes were made to the instrument as a result of the consultation</w:t>
      </w:r>
      <w:r w:rsidR="006B02EC">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4DF3276" w14:textId="67ABAD82" w:rsidR="00EC4CBB" w:rsidRDefault="00EC4CBB" w:rsidP="00EC4CBB">
      <w:pPr>
        <w:rPr>
          <w:rFonts w:ascii="Times New Roman" w:hAnsi="Times New Roman" w:cs="Times New Roman"/>
        </w:rPr>
      </w:pPr>
      <w:r w:rsidRPr="00EC62DD">
        <w:rPr>
          <w:rFonts w:ascii="Times New Roman" w:hAnsi="Times New Roman" w:cs="Times New Roman"/>
        </w:rPr>
        <w:t>A preliminary assessment of the proposal to make the instrument was conducted by the Office of Best Practice Regulation (</w:t>
      </w:r>
      <w:r w:rsidRPr="00BE3312">
        <w:rPr>
          <w:rFonts w:ascii="Times New Roman" w:hAnsi="Times New Roman" w:cs="Times New Roman"/>
          <w:b/>
        </w:rPr>
        <w:t>OBPR</w:t>
      </w:r>
      <w:r w:rsidRPr="00EC62DD">
        <w:rPr>
          <w:rFonts w:ascii="Times New Roman" w:hAnsi="Times New Roman" w:cs="Times New Roman"/>
        </w:rPr>
        <w:t>), based on information provided by the ACMA, for the purposes of determining whether a Regulation Impact Statement (</w:t>
      </w:r>
      <w:r w:rsidRPr="00BE3312">
        <w:rPr>
          <w:rFonts w:ascii="Times New Roman" w:hAnsi="Times New Roman" w:cs="Times New Roman"/>
          <w:b/>
        </w:rPr>
        <w:t>RIS</w:t>
      </w:r>
      <w:r w:rsidRPr="00EC62DD">
        <w:rPr>
          <w:rFonts w:ascii="Times New Roman" w:hAnsi="Times New Roman" w:cs="Times New Roman"/>
        </w:rPr>
        <w:t xml:space="preserve">) would be required. </w:t>
      </w:r>
      <w:r w:rsidR="003A1AB2" w:rsidRPr="00981945">
        <w:rPr>
          <w:rFonts w:ascii="Times New Roman" w:hAnsi="Times New Roman" w:cs="Times New Roman"/>
        </w:rPr>
        <w:t>OBPR considered that the proposal was unlikely to have more than a minor regulatory impact on  business and advised that the preparation of a RIS was not required</w:t>
      </w:r>
      <w:r w:rsidR="00183244">
        <w:rPr>
          <w:rFonts w:ascii="Times New Roman" w:hAnsi="Times New Roman" w:cs="Times New Roman"/>
        </w:rPr>
        <w:t xml:space="preserve"> </w:t>
      </w:r>
      <w:r w:rsidRPr="00240E7A">
        <w:rPr>
          <w:rFonts w:ascii="Times New Roman" w:hAnsi="Times New Roman" w:cs="Times New Roman"/>
        </w:rPr>
        <w:t>(</w:t>
      </w:r>
      <w:r w:rsidRPr="00BE3312">
        <w:rPr>
          <w:rFonts w:ascii="Times New Roman" w:hAnsi="Times New Roman" w:cs="Times New Roman"/>
        </w:rPr>
        <w:t>see</w:t>
      </w:r>
      <w:r w:rsidRPr="00240E7A">
        <w:rPr>
          <w:rFonts w:ascii="Times New Roman" w:hAnsi="Times New Roman" w:cs="Times New Roman"/>
        </w:rPr>
        <w:t xml:space="preserve"> OBPR reference number</w:t>
      </w:r>
      <w:r w:rsidRPr="00BE3312">
        <w:rPr>
          <w:rFonts w:ascii="Times New Roman" w:hAnsi="Times New Roman" w:cs="Times New Roman"/>
        </w:rPr>
        <w:t>s</w:t>
      </w:r>
      <w:r w:rsidRPr="00240E7A">
        <w:rPr>
          <w:rFonts w:ascii="Times New Roman" w:hAnsi="Times New Roman" w:cs="Times New Roman"/>
        </w:rPr>
        <w:t xml:space="preserve"> </w:t>
      </w:r>
      <w:r w:rsidRPr="00AE5D50">
        <w:rPr>
          <w:rFonts w:ascii="Times New Roman" w:hAnsi="Times New Roman" w:cs="Times New Roman"/>
        </w:rPr>
        <w:t>22-01877 and 22-02335).</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6EB13CB"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1F558E">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099915D6" w:rsidR="004C58B9" w:rsidRDefault="004C58B9" w:rsidP="004C58B9">
      <w:pPr>
        <w:rPr>
          <w:rFonts w:ascii="Times New Roman" w:hAnsi="Times New Roman" w:cs="Times New Roman"/>
        </w:rPr>
      </w:pPr>
      <w:r>
        <w:rPr>
          <w:rFonts w:ascii="Times New Roman" w:hAnsi="Times New Roman" w:cs="Times New Roman"/>
        </w:rPr>
        <w:t xml:space="preserve">The statement of compatibility set out </w:t>
      </w:r>
      <w:r w:rsidR="003B4B2E">
        <w:rPr>
          <w:rFonts w:ascii="Times New Roman" w:hAnsi="Times New Roman" w:cs="Times New Roman"/>
        </w:rPr>
        <w:t xml:space="preserve">in </w:t>
      </w:r>
      <w:r w:rsidR="003B4B2E" w:rsidRPr="001B62FA">
        <w:rPr>
          <w:rFonts w:ascii="Times New Roman" w:hAnsi="Times New Roman" w:cs="Times New Roman"/>
          <w:b/>
          <w:bCs/>
        </w:rPr>
        <w:t>Attachment B</w:t>
      </w:r>
      <w:r w:rsidR="003B4B2E">
        <w:rPr>
          <w:rFonts w:ascii="Times New Roman" w:hAnsi="Times New Roman" w:cs="Times New Roman"/>
        </w:rPr>
        <w:t xml:space="preserve"> </w:t>
      </w:r>
      <w:r>
        <w:rPr>
          <w:rFonts w:ascii="Times New Roman" w:hAnsi="Times New Roman" w:cs="Times New Roman"/>
        </w:rPr>
        <w:t>has been prepared to meet that requirement.</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59D67D31"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51114C" w:rsidRPr="0051114C">
        <w:rPr>
          <w:rFonts w:ascii="Times New Roman" w:hAnsi="Times New Roman" w:cs="Times New Roman"/>
          <w:b/>
          <w:i/>
          <w:sz w:val="28"/>
          <w:szCs w:val="28"/>
        </w:rPr>
        <w:t>Telecommunications (Charges) Determination 2022</w:t>
      </w:r>
      <w:r w:rsidR="00470F63">
        <w:rPr>
          <w:rFonts w:ascii="Times New Roman" w:hAnsi="Times New Roman" w:cs="Times New Roman"/>
          <w:b/>
          <w:i/>
          <w:sz w:val="28"/>
          <w:szCs w:val="28"/>
        </w:rPr>
        <w:t xml:space="preserve"> </w:t>
      </w:r>
    </w:p>
    <w:p w14:paraId="0AC960E9" w14:textId="3C2546F5" w:rsidR="004C58B9" w:rsidRDefault="004C58B9" w:rsidP="004C58B9">
      <w:pPr>
        <w:spacing w:before="280"/>
        <w:rPr>
          <w:rFonts w:ascii="Times New Roman" w:hAnsi="Times New Roman" w:cs="Times New Roman"/>
          <w:b/>
        </w:rPr>
      </w:pPr>
      <w:r>
        <w:rPr>
          <w:rFonts w:ascii="Times New Roman" w:hAnsi="Times New Roman" w:cs="Times New Roman"/>
          <w:b/>
        </w:rPr>
        <w:t>Part 1</w:t>
      </w:r>
      <w:r w:rsidR="00EC0906">
        <w:rPr>
          <w:rFonts w:ascii="Times New Roman" w:hAnsi="Times New Roman" w:cs="Times New Roman"/>
          <w:b/>
        </w:rPr>
        <w:t xml:space="preserve"> </w:t>
      </w:r>
      <w:r>
        <w:rPr>
          <w:rFonts w:ascii="Times New Roman" w:hAnsi="Times New Roman" w:cs="Times New Roman"/>
          <w:b/>
        </w:rPr>
        <w:t>–</w:t>
      </w:r>
      <w:r w:rsidR="00EC0906">
        <w:rPr>
          <w:rFonts w:ascii="Times New Roman" w:hAnsi="Times New Roman" w:cs="Times New Roman"/>
          <w:b/>
        </w:rPr>
        <w:t xml:space="preserve"> </w:t>
      </w:r>
      <w:r>
        <w:rPr>
          <w:rFonts w:ascii="Times New Roman" w:hAnsi="Times New Roman" w:cs="Times New Roman"/>
          <w:b/>
        </w:rPr>
        <w:t>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0EE8B910" w14:textId="490459FF" w:rsidR="00CB3E03" w:rsidRDefault="004C58B9" w:rsidP="004C58B9">
      <w:pPr>
        <w:rPr>
          <w:rFonts w:ascii="Times New Roman" w:hAnsi="Times New Roman" w:cs="Times New Roman"/>
          <w:i/>
        </w:rPr>
      </w:pPr>
      <w:r>
        <w:rPr>
          <w:rFonts w:ascii="Times New Roman" w:hAnsi="Times New Roman" w:cs="Times New Roman"/>
        </w:rPr>
        <w:t xml:space="preserve">This section provides for the instrument to be cited as the </w:t>
      </w:r>
      <w:r w:rsidR="00944EF8" w:rsidRPr="00944EF8">
        <w:rPr>
          <w:rFonts w:ascii="Times New Roman" w:hAnsi="Times New Roman" w:cs="Times New Roman"/>
          <w:i/>
        </w:rPr>
        <w:t>Telecommunications (Charges) Determination 2022</w:t>
      </w:r>
      <w:r w:rsidR="00E9285C">
        <w:rPr>
          <w:rFonts w:ascii="Times New Roman" w:hAnsi="Times New Roman" w:cs="Times New Roman"/>
          <w:i/>
        </w:rPr>
        <w:t xml:space="preserve"> </w:t>
      </w:r>
      <w:r w:rsidR="00E9285C">
        <w:rPr>
          <w:rFonts w:ascii="Times New Roman" w:hAnsi="Times New Roman" w:cs="Times New Roman"/>
          <w:iCs/>
        </w:rPr>
        <w:t>(</w:t>
      </w:r>
      <w:r w:rsidR="00E9285C">
        <w:rPr>
          <w:rFonts w:ascii="Times New Roman" w:hAnsi="Times New Roman" w:cs="Times New Roman"/>
          <w:b/>
          <w:bCs/>
          <w:iCs/>
        </w:rPr>
        <w:t>the instrument</w:t>
      </w:r>
      <w:r w:rsidR="00E9285C">
        <w:rPr>
          <w:rFonts w:ascii="Times New Roman" w:hAnsi="Times New Roman" w:cs="Times New Roman"/>
          <w:iCs/>
        </w:rPr>
        <w:t>)</w:t>
      </w:r>
      <w:r w:rsidR="00944EF8" w:rsidRPr="00944EF8">
        <w:rPr>
          <w:rFonts w:ascii="Times New Roman" w:hAnsi="Times New Roman" w:cs="Times New Roman"/>
          <w:i/>
        </w:rPr>
        <w:t>.</w:t>
      </w:r>
    </w:p>
    <w:p w14:paraId="5A4825F8" w14:textId="4B261461"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E195494" w14:textId="74AD2D8C"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w:t>
      </w:r>
      <w:r w:rsidR="009D07C2">
        <w:rPr>
          <w:rFonts w:ascii="Times New Roman" w:hAnsi="Times New Roman" w:cs="Times New Roman"/>
        </w:rPr>
        <w:t xml:space="preserve">on 1 October 2022. </w:t>
      </w:r>
      <w:r w:rsidR="004575A3" w:rsidRPr="002F5DDF">
        <w:rPr>
          <w:rFonts w:ascii="Times New Roman" w:hAnsi="Times New Roman" w:cs="Times New Roman"/>
          <w:lang w:val="en-US"/>
        </w:rPr>
        <w:t xml:space="preserve">The notes at the end of section 2 note that the instrument will be registered on the Federal Register of Legislation and that, in </w:t>
      </w:r>
      <w:r w:rsidR="004575A3" w:rsidRPr="002F5DDF">
        <w:rPr>
          <w:rFonts w:ascii="Times New Roman" w:hAnsi="Times New Roman" w:cs="Times New Roman"/>
        </w:rPr>
        <w:t xml:space="preserve">accordance with subsection 50(1) of the </w:t>
      </w:r>
      <w:r w:rsidR="004575A3" w:rsidRPr="002F5DDF">
        <w:rPr>
          <w:rFonts w:ascii="Times New Roman" w:hAnsi="Times New Roman" w:cs="Times New Roman"/>
          <w:i/>
          <w:iCs/>
        </w:rPr>
        <w:t>Legislation Act 2003</w:t>
      </w:r>
      <w:r w:rsidR="004575A3" w:rsidRPr="002F5DDF">
        <w:rPr>
          <w:rFonts w:ascii="Times New Roman" w:hAnsi="Times New Roman" w:cs="Times New Roman"/>
        </w:rPr>
        <w:t>,</w:t>
      </w:r>
      <w:r w:rsidR="004575A3" w:rsidRPr="002F5DDF">
        <w:rPr>
          <w:rFonts w:ascii="Times New Roman" w:hAnsi="Times New Roman" w:cs="Times New Roman"/>
          <w:i/>
          <w:iCs/>
        </w:rPr>
        <w:t xml:space="preserve"> </w:t>
      </w:r>
      <w:r w:rsidR="004575A3" w:rsidRPr="002F5DDF">
        <w:rPr>
          <w:rFonts w:ascii="Times New Roman" w:hAnsi="Times New Roman" w:cs="Times New Roman"/>
        </w:rPr>
        <w:t xml:space="preserve">the </w:t>
      </w:r>
      <w:r w:rsidR="004575A3" w:rsidRPr="002F5DDF">
        <w:rPr>
          <w:rFonts w:ascii="Times New Roman" w:hAnsi="Times New Roman" w:cs="Times New Roman"/>
          <w:i/>
          <w:iCs/>
          <w:color w:val="000000"/>
          <w:shd w:val="clear" w:color="auto" w:fill="FFFFFF"/>
        </w:rPr>
        <w:t>Telecommunications (Charges) Determination 2012</w:t>
      </w:r>
      <w:r w:rsidR="004575A3" w:rsidRPr="002F5DDF">
        <w:rPr>
          <w:rFonts w:ascii="Times New Roman" w:hAnsi="Times New Roman" w:cs="Times New Roman"/>
          <w:i/>
        </w:rPr>
        <w:t xml:space="preserve"> </w:t>
      </w:r>
      <w:r w:rsidR="00B71E31">
        <w:rPr>
          <w:rFonts w:ascii="Times New Roman" w:hAnsi="Times New Roman" w:cs="Times New Roman"/>
          <w:iCs/>
        </w:rPr>
        <w:t xml:space="preserve">(the </w:t>
      </w:r>
      <w:r w:rsidR="00B71E31">
        <w:rPr>
          <w:rFonts w:ascii="Times New Roman" w:hAnsi="Times New Roman" w:cs="Times New Roman"/>
          <w:b/>
          <w:bCs/>
          <w:iCs/>
        </w:rPr>
        <w:t xml:space="preserve">2012 </w:t>
      </w:r>
      <w:r w:rsidR="00B71E31" w:rsidRPr="00B71E31">
        <w:rPr>
          <w:rFonts w:ascii="Times New Roman" w:hAnsi="Times New Roman" w:cs="Times New Roman"/>
          <w:b/>
          <w:bCs/>
          <w:iCs/>
        </w:rPr>
        <w:t>Determination</w:t>
      </w:r>
      <w:r w:rsidR="00B71E31">
        <w:rPr>
          <w:rFonts w:ascii="Times New Roman" w:hAnsi="Times New Roman" w:cs="Times New Roman"/>
          <w:iCs/>
        </w:rPr>
        <w:t xml:space="preserve">) </w:t>
      </w:r>
      <w:r w:rsidR="004575A3" w:rsidRPr="00B71E31">
        <w:rPr>
          <w:rFonts w:ascii="Times New Roman" w:hAnsi="Times New Roman" w:cs="Times New Roman"/>
        </w:rPr>
        <w:t>sunsets</w:t>
      </w:r>
      <w:r w:rsidR="004575A3" w:rsidRPr="002F5DDF">
        <w:rPr>
          <w:rFonts w:ascii="Times New Roman" w:hAnsi="Times New Roman" w:cs="Times New Roman"/>
        </w:rPr>
        <w:t xml:space="preserve"> on 1 October 2022.</w:t>
      </w:r>
      <w:r w:rsidR="004575A3">
        <w:rPr>
          <w:lang w:val="en-US"/>
        </w:rPr>
        <w:t xml:space="preserve"> </w:t>
      </w: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6E0224E7"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that authorises the making of the instrument, namely </w:t>
      </w:r>
      <w:r w:rsidR="003F4432" w:rsidRPr="003F4432">
        <w:rPr>
          <w:rFonts w:ascii="Times New Roman" w:hAnsi="Times New Roman" w:cs="Times New Roman"/>
        </w:rPr>
        <w:t xml:space="preserve">subsection 60(1) of the </w:t>
      </w:r>
      <w:r w:rsidR="003F4432" w:rsidRPr="002F5DDF">
        <w:rPr>
          <w:rFonts w:ascii="Times New Roman" w:hAnsi="Times New Roman" w:cs="Times New Roman"/>
          <w:i/>
          <w:iCs/>
        </w:rPr>
        <w:t>Australian Communications and Media Authority Act 2005</w:t>
      </w:r>
      <w:r w:rsidR="00E9285C">
        <w:rPr>
          <w:rFonts w:ascii="Times New Roman" w:hAnsi="Times New Roman" w:cs="Times New Roman"/>
          <w:i/>
          <w:iCs/>
        </w:rPr>
        <w:t xml:space="preserve"> </w:t>
      </w:r>
      <w:r w:rsidR="00E9285C">
        <w:rPr>
          <w:rFonts w:ascii="Times New Roman" w:hAnsi="Times New Roman" w:cs="Times New Roman"/>
        </w:rPr>
        <w:t>(</w:t>
      </w:r>
      <w:r w:rsidR="00E9285C">
        <w:rPr>
          <w:rFonts w:ascii="Times New Roman" w:hAnsi="Times New Roman" w:cs="Times New Roman"/>
          <w:b/>
          <w:bCs/>
        </w:rPr>
        <w:t>the Act</w:t>
      </w:r>
      <w:r w:rsidR="00E9285C">
        <w:rPr>
          <w:rFonts w:ascii="Times New Roman" w:hAnsi="Times New Roman" w:cs="Times New Roman"/>
        </w:rPr>
        <w:t>)</w:t>
      </w:r>
      <w:r w:rsidR="003F4432" w:rsidRPr="003F4432">
        <w:rPr>
          <w:rFonts w:ascii="Times New Roman" w:hAnsi="Times New Roman" w:cs="Times New Roman"/>
        </w:rPr>
        <w:t>.</w:t>
      </w:r>
    </w:p>
    <w:p w14:paraId="092F5492" w14:textId="77165E60" w:rsidR="004C58B9" w:rsidRDefault="004C58B9" w:rsidP="004C58B9">
      <w:pPr>
        <w:rPr>
          <w:rFonts w:ascii="Times New Roman" w:hAnsi="Times New Roman" w:cs="Times New Roman"/>
          <w:b/>
        </w:rPr>
      </w:pPr>
      <w:r>
        <w:rPr>
          <w:rFonts w:ascii="Times New Roman" w:hAnsi="Times New Roman" w:cs="Times New Roman"/>
          <w:b/>
        </w:rPr>
        <w:t xml:space="preserve">Section </w:t>
      </w:r>
      <w:r w:rsidR="00B159AB">
        <w:rPr>
          <w:rFonts w:ascii="Times New Roman" w:hAnsi="Times New Roman" w:cs="Times New Roman"/>
          <w:b/>
        </w:rPr>
        <w:t>4</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6A65622D" w14:textId="37802416" w:rsidR="004C58B9" w:rsidRDefault="004C58B9" w:rsidP="004C58B9">
      <w:pPr>
        <w:rPr>
          <w:rFonts w:ascii="Times New Roman" w:hAnsi="Times New Roman" w:cs="Times New Roman"/>
        </w:rPr>
      </w:pPr>
      <w:r>
        <w:rPr>
          <w:rFonts w:ascii="Times New Roman" w:hAnsi="Times New Roman" w:cs="Times New Roman"/>
        </w:rPr>
        <w:t>A number of other expressions used in the instrument are defined in the Act.</w:t>
      </w:r>
    </w:p>
    <w:p w14:paraId="4E744EA9" w14:textId="302F833C" w:rsidR="004C58B9" w:rsidRDefault="004C58B9" w:rsidP="004C58B9">
      <w:pPr>
        <w:rPr>
          <w:rFonts w:ascii="Times New Roman" w:hAnsi="Times New Roman" w:cs="Times New Roman"/>
          <w:b/>
        </w:rPr>
      </w:pPr>
      <w:r>
        <w:rPr>
          <w:rFonts w:ascii="Times New Roman" w:hAnsi="Times New Roman" w:cs="Times New Roman"/>
          <w:b/>
        </w:rPr>
        <w:t xml:space="preserve">Section </w:t>
      </w:r>
      <w:r w:rsidR="00061553">
        <w:rPr>
          <w:rFonts w:ascii="Times New Roman" w:hAnsi="Times New Roman" w:cs="Times New Roman"/>
          <w:b/>
        </w:rPr>
        <w:t>5</w:t>
      </w:r>
      <w:r>
        <w:rPr>
          <w:rFonts w:ascii="Times New Roman" w:hAnsi="Times New Roman" w:cs="Times New Roman"/>
          <w:b/>
        </w:rPr>
        <w:tab/>
        <w:t>References to other instruments</w:t>
      </w:r>
    </w:p>
    <w:p w14:paraId="63F8B4F8" w14:textId="77777777" w:rsidR="00C060BC" w:rsidRPr="00C060BC" w:rsidRDefault="00C060BC" w:rsidP="00C060BC">
      <w:pPr>
        <w:shd w:val="clear" w:color="auto" w:fill="FFFFFF"/>
        <w:spacing w:after="40" w:line="233" w:lineRule="atLeast"/>
        <w:rPr>
          <w:rFonts w:ascii="Calibri" w:eastAsia="Times New Roman" w:hAnsi="Calibri" w:cs="Calibri"/>
          <w:color w:val="000000"/>
          <w:lang w:eastAsia="en-AU"/>
        </w:rPr>
      </w:pPr>
      <w:r w:rsidRPr="00C060BC">
        <w:rPr>
          <w:rFonts w:ascii="Times New Roman" w:eastAsia="Times New Roman" w:hAnsi="Times New Roman" w:cs="Times New Roman"/>
          <w:color w:val="000000"/>
          <w:lang w:eastAsia="en-AU"/>
        </w:rPr>
        <w:t>This section provides that in the instrument, unless the contrary intention appears:</w:t>
      </w:r>
    </w:p>
    <w:p w14:paraId="57438215" w14:textId="77777777" w:rsidR="00C060BC" w:rsidRPr="00C060BC" w:rsidRDefault="00C060BC" w:rsidP="00C060BC">
      <w:pPr>
        <w:shd w:val="clear" w:color="auto" w:fill="FFFFFF"/>
        <w:spacing w:after="0" w:line="233" w:lineRule="atLeast"/>
        <w:ind w:left="720" w:hanging="360"/>
        <w:rPr>
          <w:rFonts w:ascii="Calibri" w:eastAsia="Times New Roman" w:hAnsi="Calibri" w:cs="Calibri"/>
          <w:color w:val="000000"/>
          <w:lang w:eastAsia="en-AU"/>
        </w:rPr>
      </w:pPr>
      <w:r w:rsidRPr="00C060BC">
        <w:rPr>
          <w:rFonts w:ascii="Symbol" w:eastAsia="Times New Roman" w:hAnsi="Symbol" w:cs="Calibri"/>
          <w:color w:val="000000"/>
          <w:lang w:eastAsia="en-AU"/>
        </w:rPr>
        <w:t>·</w:t>
      </w:r>
      <w:r w:rsidRPr="00C060BC">
        <w:rPr>
          <w:rFonts w:ascii="Times New Roman" w:eastAsia="Times New Roman" w:hAnsi="Times New Roman" w:cs="Times New Roman"/>
          <w:color w:val="000000"/>
          <w:sz w:val="14"/>
          <w:szCs w:val="14"/>
          <w:lang w:eastAsia="en-AU"/>
        </w:rPr>
        <w:t>         </w:t>
      </w:r>
      <w:r w:rsidRPr="00C060BC">
        <w:rPr>
          <w:rFonts w:ascii="Times New Roman" w:eastAsia="Times New Roman" w:hAnsi="Times New Roman" w:cs="Times New Roman"/>
          <w:color w:val="000000"/>
          <w:lang w:eastAsia="en-AU"/>
        </w:rPr>
        <w:t>a reference to any other legislative instrument is a reference to that other legislative instrument as in force from time to time; and</w:t>
      </w:r>
    </w:p>
    <w:p w14:paraId="53E2405C" w14:textId="7D1FEA4F" w:rsidR="00C060BC" w:rsidRDefault="00C060BC" w:rsidP="00C060BC">
      <w:pPr>
        <w:shd w:val="clear" w:color="auto" w:fill="FFFFFF"/>
        <w:spacing w:line="233" w:lineRule="atLeast"/>
        <w:ind w:left="720" w:hanging="360"/>
        <w:rPr>
          <w:rFonts w:ascii="Times New Roman" w:eastAsia="Times New Roman" w:hAnsi="Times New Roman" w:cs="Times New Roman"/>
          <w:color w:val="000000"/>
          <w:lang w:eastAsia="en-AU"/>
        </w:rPr>
      </w:pPr>
      <w:r w:rsidRPr="00C060BC">
        <w:rPr>
          <w:rFonts w:ascii="Symbol" w:eastAsia="Times New Roman" w:hAnsi="Symbol" w:cs="Calibri"/>
          <w:color w:val="000000"/>
          <w:lang w:eastAsia="en-AU"/>
        </w:rPr>
        <w:t>·</w:t>
      </w:r>
      <w:r w:rsidRPr="00C060BC">
        <w:rPr>
          <w:rFonts w:ascii="Times New Roman" w:eastAsia="Times New Roman" w:hAnsi="Times New Roman" w:cs="Times New Roman"/>
          <w:color w:val="000000"/>
          <w:sz w:val="14"/>
          <w:szCs w:val="14"/>
          <w:lang w:eastAsia="en-AU"/>
        </w:rPr>
        <w:t>         </w:t>
      </w:r>
      <w:r w:rsidRPr="00C060BC">
        <w:rPr>
          <w:rFonts w:ascii="Times New Roman" w:eastAsia="Times New Roman" w:hAnsi="Times New Roman" w:cs="Times New Roman"/>
          <w:color w:val="000000"/>
          <w:lang w:eastAsia="en-AU"/>
        </w:rPr>
        <w:t xml:space="preserve">a reference to any other kind of instrument is a reference to that other instrument as in force </w:t>
      </w:r>
      <w:r w:rsidR="002747E4">
        <w:rPr>
          <w:rFonts w:ascii="Times New Roman" w:eastAsia="Times New Roman" w:hAnsi="Times New Roman" w:cs="Times New Roman"/>
          <w:color w:val="000000"/>
          <w:lang w:eastAsia="en-AU"/>
        </w:rPr>
        <w:t>at the commencement of the instrument</w:t>
      </w:r>
      <w:r w:rsidRPr="00C060BC">
        <w:rPr>
          <w:rFonts w:ascii="Times New Roman" w:eastAsia="Times New Roman" w:hAnsi="Times New Roman" w:cs="Times New Roman"/>
          <w:color w:val="000000"/>
          <w:lang w:eastAsia="en-AU"/>
        </w:rPr>
        <w:t>.</w:t>
      </w:r>
    </w:p>
    <w:p w14:paraId="2222481B" w14:textId="6450004F" w:rsidR="004C58B9" w:rsidRDefault="004C58B9" w:rsidP="004C58B9">
      <w:pPr>
        <w:rPr>
          <w:rFonts w:ascii="Times New Roman" w:hAnsi="Times New Roman" w:cs="Times New Roman"/>
          <w:b/>
        </w:rPr>
      </w:pPr>
      <w:r>
        <w:rPr>
          <w:rFonts w:ascii="Times New Roman" w:hAnsi="Times New Roman" w:cs="Times New Roman"/>
          <w:b/>
        </w:rPr>
        <w:t>Part 2</w:t>
      </w:r>
      <w:r w:rsidR="00EC0906">
        <w:rPr>
          <w:rFonts w:ascii="Times New Roman" w:hAnsi="Times New Roman" w:cs="Times New Roman"/>
          <w:b/>
        </w:rPr>
        <w:t xml:space="preserve"> -</w:t>
      </w:r>
      <w:r w:rsidR="00520882" w:rsidRPr="00520882">
        <w:t xml:space="preserve"> </w:t>
      </w:r>
      <w:r w:rsidR="00520882" w:rsidRPr="00520882">
        <w:rPr>
          <w:rFonts w:ascii="Times New Roman" w:hAnsi="Times New Roman" w:cs="Times New Roman"/>
          <w:b/>
        </w:rPr>
        <w:t>Charges for services or matters under the Telecommunications Act</w:t>
      </w:r>
    </w:p>
    <w:p w14:paraId="1834FBE4" w14:textId="19190131" w:rsidR="004C58B9" w:rsidRDefault="004C58B9" w:rsidP="004C58B9">
      <w:pPr>
        <w:rPr>
          <w:rFonts w:ascii="Times New Roman" w:hAnsi="Times New Roman" w:cs="Times New Roman"/>
          <w:b/>
        </w:rPr>
      </w:pPr>
      <w:r>
        <w:rPr>
          <w:rFonts w:ascii="Times New Roman" w:hAnsi="Times New Roman" w:cs="Times New Roman"/>
          <w:b/>
        </w:rPr>
        <w:t xml:space="preserve">Section </w:t>
      </w:r>
      <w:r w:rsidR="004C3BE4">
        <w:rPr>
          <w:rFonts w:ascii="Times New Roman" w:hAnsi="Times New Roman" w:cs="Times New Roman"/>
          <w:b/>
        </w:rPr>
        <w:t>6</w:t>
      </w:r>
      <w:r>
        <w:rPr>
          <w:rFonts w:ascii="Times New Roman" w:hAnsi="Times New Roman" w:cs="Times New Roman"/>
          <w:b/>
        </w:rPr>
        <w:tab/>
      </w:r>
      <w:r w:rsidR="007308B7" w:rsidRPr="007308B7">
        <w:rPr>
          <w:rFonts w:ascii="Times New Roman" w:hAnsi="Times New Roman" w:cs="Times New Roman"/>
          <w:b/>
        </w:rPr>
        <w:t>Purpose</w:t>
      </w:r>
    </w:p>
    <w:p w14:paraId="28BD7ED7" w14:textId="5BA19B54" w:rsidR="00795BC1" w:rsidRPr="00364E42" w:rsidRDefault="007B4BC7" w:rsidP="002F5DDF">
      <w:r w:rsidRPr="00364E42">
        <w:rPr>
          <w:rFonts w:ascii="Times New Roman" w:hAnsi="Times New Roman" w:cs="Times New Roman"/>
        </w:rPr>
        <w:t xml:space="preserve">This section outlines the purpose of the instrument </w:t>
      </w:r>
      <w:r w:rsidR="00503C85" w:rsidRPr="00364E42">
        <w:rPr>
          <w:rFonts w:ascii="Times New Roman" w:hAnsi="Times New Roman" w:cs="Times New Roman"/>
        </w:rPr>
        <w:t xml:space="preserve">which </w:t>
      </w:r>
      <w:r w:rsidRPr="00364E42">
        <w:rPr>
          <w:rFonts w:ascii="Times New Roman" w:hAnsi="Times New Roman" w:cs="Times New Roman"/>
        </w:rPr>
        <w:t xml:space="preserve">is to fix charges </w:t>
      </w:r>
      <w:r w:rsidR="00795BC1" w:rsidRPr="00364E42">
        <w:rPr>
          <w:rFonts w:ascii="Times New Roman" w:hAnsi="Times New Roman" w:cs="Times New Roman"/>
        </w:rPr>
        <w:t>that are to be applied in relation to services provided and expenses incurred, by the ACMA</w:t>
      </w:r>
      <w:r w:rsidR="00364E42">
        <w:rPr>
          <w:rFonts w:ascii="Times New Roman" w:hAnsi="Times New Roman" w:cs="Times New Roman"/>
        </w:rPr>
        <w:t>,</w:t>
      </w:r>
      <w:r w:rsidR="00795BC1" w:rsidRPr="00364E42">
        <w:rPr>
          <w:rFonts w:ascii="Times New Roman" w:hAnsi="Times New Roman" w:cs="Times New Roman"/>
        </w:rPr>
        <w:t xml:space="preserve"> in performing its functions or exercising its powers under the </w:t>
      </w:r>
      <w:r w:rsidR="000F6554">
        <w:rPr>
          <w:rFonts w:ascii="Times New Roman" w:hAnsi="Times New Roman" w:cs="Times New Roman"/>
          <w:i/>
          <w:iCs/>
        </w:rPr>
        <w:t xml:space="preserve">Telecommunications Act 1997 </w:t>
      </w:r>
      <w:r w:rsidR="000F6554" w:rsidRPr="002F5DDF">
        <w:rPr>
          <w:rFonts w:ascii="Times New Roman" w:hAnsi="Times New Roman" w:cs="Times New Roman"/>
        </w:rPr>
        <w:t>(</w:t>
      </w:r>
      <w:r w:rsidR="00795BC1" w:rsidRPr="002F5DDF">
        <w:rPr>
          <w:rFonts w:ascii="Times New Roman" w:hAnsi="Times New Roman" w:cs="Times New Roman"/>
          <w:b/>
          <w:bCs/>
        </w:rPr>
        <w:t>Telecommunications Act</w:t>
      </w:r>
      <w:r w:rsidR="000F6554">
        <w:rPr>
          <w:rFonts w:ascii="Times New Roman" w:hAnsi="Times New Roman" w:cs="Times New Roman"/>
        </w:rPr>
        <w:t>)</w:t>
      </w:r>
      <w:r w:rsidR="00795BC1" w:rsidRPr="00364E42">
        <w:rPr>
          <w:rFonts w:ascii="Times New Roman" w:hAnsi="Times New Roman" w:cs="Times New Roman"/>
        </w:rPr>
        <w:t xml:space="preserve"> and instruments made under that Act. </w:t>
      </w:r>
      <w:r w:rsidR="00227891">
        <w:rPr>
          <w:rFonts w:ascii="Times New Roman" w:hAnsi="Times New Roman" w:cs="Times New Roman"/>
        </w:rPr>
        <w:t xml:space="preserve">This includes the </w:t>
      </w:r>
      <w:r w:rsidR="00033A08">
        <w:rPr>
          <w:rFonts w:ascii="Times New Roman" w:hAnsi="Times New Roman" w:cs="Times New Roman"/>
          <w:i/>
          <w:iCs/>
        </w:rPr>
        <w:t>Telecommunications Numbering Plan 2015</w:t>
      </w:r>
      <w:r w:rsidR="00FC5E0C">
        <w:rPr>
          <w:rFonts w:ascii="Times New Roman" w:hAnsi="Times New Roman" w:cs="Times New Roman"/>
          <w:i/>
          <w:iCs/>
        </w:rPr>
        <w:t xml:space="preserve"> </w:t>
      </w:r>
      <w:r w:rsidR="00FC5E0C">
        <w:rPr>
          <w:rFonts w:ascii="Times New Roman" w:hAnsi="Times New Roman" w:cs="Times New Roman"/>
        </w:rPr>
        <w:t>(</w:t>
      </w:r>
      <w:r w:rsidR="00FC5E0C">
        <w:rPr>
          <w:rFonts w:ascii="Times New Roman" w:hAnsi="Times New Roman" w:cs="Times New Roman"/>
          <w:b/>
          <w:bCs/>
        </w:rPr>
        <w:t>numbering plan</w:t>
      </w:r>
      <w:r w:rsidR="00FC5E0C">
        <w:rPr>
          <w:rFonts w:ascii="Times New Roman" w:hAnsi="Times New Roman" w:cs="Times New Roman"/>
        </w:rPr>
        <w:t>)</w:t>
      </w:r>
      <w:r w:rsidR="00227891">
        <w:rPr>
          <w:rFonts w:ascii="Times New Roman" w:hAnsi="Times New Roman" w:cs="Times New Roman"/>
        </w:rPr>
        <w:t xml:space="preserve">.  </w:t>
      </w:r>
    </w:p>
    <w:p w14:paraId="5839CA1F" w14:textId="2BDA41B4" w:rsidR="004C58B9" w:rsidRDefault="004C58B9" w:rsidP="004C58B9">
      <w:pPr>
        <w:rPr>
          <w:rFonts w:ascii="Times New Roman" w:hAnsi="Times New Roman" w:cs="Times New Roman"/>
          <w:b/>
        </w:rPr>
      </w:pPr>
      <w:r>
        <w:rPr>
          <w:rFonts w:ascii="Times New Roman" w:hAnsi="Times New Roman" w:cs="Times New Roman"/>
          <w:b/>
        </w:rPr>
        <w:t xml:space="preserve">Section </w:t>
      </w:r>
      <w:r w:rsidR="00795BC1">
        <w:rPr>
          <w:rFonts w:ascii="Times New Roman" w:hAnsi="Times New Roman" w:cs="Times New Roman"/>
          <w:b/>
        </w:rPr>
        <w:t>7</w:t>
      </w:r>
      <w:r>
        <w:rPr>
          <w:rFonts w:ascii="Times New Roman" w:hAnsi="Times New Roman" w:cs="Times New Roman"/>
          <w:b/>
        </w:rPr>
        <w:tab/>
      </w:r>
      <w:r w:rsidR="00C83FE2" w:rsidRPr="00C83FE2">
        <w:rPr>
          <w:rFonts w:ascii="Times New Roman" w:hAnsi="Times New Roman" w:cs="Times New Roman"/>
          <w:b/>
        </w:rPr>
        <w:t>Charges relating to ACMA’s costs</w:t>
      </w:r>
    </w:p>
    <w:p w14:paraId="267B5E2B" w14:textId="77777777" w:rsidR="00BE4155" w:rsidRDefault="00B369E0" w:rsidP="004C58B9">
      <w:pPr>
        <w:rPr>
          <w:rFonts w:ascii="Times New Roman" w:hAnsi="Times New Roman" w:cs="Times New Roman"/>
        </w:rPr>
        <w:sectPr w:rsidR="00BE4155" w:rsidSect="00082354">
          <w:headerReference w:type="default" r:id="rId14"/>
          <w:footerReference w:type="default" r:id="rId15"/>
          <w:pgSz w:w="11906" w:h="16838"/>
          <w:pgMar w:top="1440" w:right="1440" w:bottom="1440" w:left="1440" w:header="708" w:footer="708" w:gutter="0"/>
          <w:cols w:space="708"/>
          <w:titlePg/>
          <w:docGrid w:linePitch="360"/>
        </w:sectPr>
      </w:pPr>
      <w:r w:rsidRPr="002F5DDF">
        <w:rPr>
          <w:rFonts w:ascii="Times New Roman" w:hAnsi="Times New Roman" w:cs="Times New Roman"/>
        </w:rPr>
        <w:t xml:space="preserve">This section specifies that the charges for matters mentioned in column </w:t>
      </w:r>
      <w:r w:rsidR="00B150C0" w:rsidRPr="002F5DDF">
        <w:rPr>
          <w:rFonts w:ascii="Times New Roman" w:hAnsi="Times New Roman" w:cs="Times New Roman"/>
        </w:rPr>
        <w:t>3</w:t>
      </w:r>
      <w:r w:rsidRPr="002F5DDF">
        <w:rPr>
          <w:rFonts w:ascii="Times New Roman" w:hAnsi="Times New Roman" w:cs="Times New Roman"/>
        </w:rPr>
        <w:t xml:space="preserve"> of an item in </w:t>
      </w:r>
      <w:r w:rsidR="00240E4C" w:rsidRPr="002F5DDF">
        <w:rPr>
          <w:rFonts w:ascii="Times New Roman" w:hAnsi="Times New Roman" w:cs="Times New Roman"/>
        </w:rPr>
        <w:t>Schedule</w:t>
      </w:r>
      <w:r w:rsidRPr="002F5DDF">
        <w:rPr>
          <w:rFonts w:ascii="Times New Roman" w:hAnsi="Times New Roman" w:cs="Times New Roman"/>
        </w:rPr>
        <w:t xml:space="preserve"> 1 is the </w:t>
      </w:r>
      <w:r w:rsidR="003731B5" w:rsidRPr="002F5DDF">
        <w:rPr>
          <w:rFonts w:ascii="Times New Roman" w:hAnsi="Times New Roman" w:cs="Times New Roman"/>
        </w:rPr>
        <w:t>charg</w:t>
      </w:r>
      <w:r w:rsidR="005359C6" w:rsidRPr="002F5DDF">
        <w:rPr>
          <w:rFonts w:ascii="Times New Roman" w:hAnsi="Times New Roman" w:cs="Times New Roman"/>
        </w:rPr>
        <w:t xml:space="preserve">e </w:t>
      </w:r>
      <w:r w:rsidR="00F21A0F" w:rsidRPr="002F5DDF">
        <w:rPr>
          <w:rFonts w:ascii="Times New Roman" w:hAnsi="Times New Roman" w:cs="Times New Roman"/>
        </w:rPr>
        <w:t xml:space="preserve">fixed for provision of a service or matter </w:t>
      </w:r>
      <w:r w:rsidRPr="002F5DDF">
        <w:rPr>
          <w:rFonts w:ascii="Times New Roman" w:hAnsi="Times New Roman" w:cs="Times New Roman"/>
        </w:rPr>
        <w:t xml:space="preserve">in column </w:t>
      </w:r>
      <w:r w:rsidR="003731B5" w:rsidRPr="002F5DDF">
        <w:rPr>
          <w:rFonts w:ascii="Times New Roman" w:hAnsi="Times New Roman" w:cs="Times New Roman"/>
        </w:rPr>
        <w:t>2</w:t>
      </w:r>
      <w:r w:rsidR="007563B3" w:rsidRPr="002F5DDF">
        <w:rPr>
          <w:rFonts w:ascii="Times New Roman" w:hAnsi="Times New Roman" w:cs="Times New Roman"/>
        </w:rPr>
        <w:t xml:space="preserve"> of that item, or </w:t>
      </w:r>
      <w:r w:rsidR="00FE62F5" w:rsidRPr="002F5DDF">
        <w:rPr>
          <w:rFonts w:ascii="Times New Roman" w:hAnsi="Times New Roman" w:cs="Times New Roman"/>
        </w:rPr>
        <w:t>the service or matter mentioned in column 2 of the item, in relation to which expenses are incurred, or to be incurred, by the ACMA</w:t>
      </w:r>
      <w:r w:rsidR="00C412DA" w:rsidRPr="002F5DDF">
        <w:rPr>
          <w:rFonts w:ascii="Times New Roman" w:hAnsi="Times New Roman" w:cs="Times New Roman"/>
        </w:rPr>
        <w:t>, as the case requires.</w:t>
      </w:r>
    </w:p>
    <w:p w14:paraId="4B710768" w14:textId="77777777" w:rsidR="006959BA" w:rsidRDefault="006959BA" w:rsidP="004C58B9">
      <w:pPr>
        <w:rPr>
          <w:rFonts w:ascii="Times New Roman" w:hAnsi="Times New Roman" w:cs="Times New Roman"/>
        </w:rPr>
      </w:pPr>
    </w:p>
    <w:p w14:paraId="22A78EDC" w14:textId="4157414D" w:rsidR="004C58B9" w:rsidRDefault="004C58B9" w:rsidP="004C58B9">
      <w:pPr>
        <w:rPr>
          <w:rFonts w:ascii="Times New Roman" w:hAnsi="Times New Roman" w:cs="Times New Roman"/>
          <w:b/>
        </w:rPr>
      </w:pPr>
      <w:r>
        <w:rPr>
          <w:rFonts w:ascii="Times New Roman" w:hAnsi="Times New Roman" w:cs="Times New Roman"/>
          <w:b/>
        </w:rPr>
        <w:t xml:space="preserve">Section </w:t>
      </w:r>
      <w:r w:rsidR="00C412DA">
        <w:rPr>
          <w:rFonts w:ascii="Times New Roman" w:hAnsi="Times New Roman" w:cs="Times New Roman"/>
          <w:b/>
        </w:rPr>
        <w:t>8</w:t>
      </w:r>
      <w:r>
        <w:rPr>
          <w:rFonts w:ascii="Times New Roman" w:hAnsi="Times New Roman" w:cs="Times New Roman"/>
          <w:b/>
        </w:rPr>
        <w:tab/>
      </w:r>
      <w:r w:rsidR="00E73A91" w:rsidRPr="00E73A91">
        <w:rPr>
          <w:rFonts w:ascii="Times New Roman" w:hAnsi="Times New Roman" w:cs="Times New Roman"/>
          <w:b/>
        </w:rPr>
        <w:t>Hourly rate of charge</w:t>
      </w:r>
    </w:p>
    <w:p w14:paraId="35BDF7E9" w14:textId="7E867CD7" w:rsidR="004A4134" w:rsidRPr="007B38C7" w:rsidRDefault="00AE73E8" w:rsidP="002F5DDF">
      <w:r w:rsidRPr="007B38C7">
        <w:rPr>
          <w:rFonts w:ascii="Times New Roman" w:hAnsi="Times New Roman" w:cs="Times New Roman"/>
        </w:rPr>
        <w:t>This section specifies the ACMA’s standard hourly rate, which has been updated to reflect its current costs.</w:t>
      </w:r>
      <w:r w:rsidR="00352A18" w:rsidRPr="007B38C7">
        <w:rPr>
          <w:rFonts w:ascii="Times New Roman" w:hAnsi="Times New Roman" w:cs="Times New Roman"/>
        </w:rPr>
        <w:t xml:space="preserve"> </w:t>
      </w:r>
      <w:r w:rsidR="004A4134" w:rsidRPr="007B38C7">
        <w:rPr>
          <w:rFonts w:ascii="Times New Roman" w:hAnsi="Times New Roman" w:cs="Times New Roman"/>
        </w:rPr>
        <w:t>The hourly rate of charge for each person providing a service or matter to which the rate applies is</w:t>
      </w:r>
      <w:r w:rsidR="00A5354E" w:rsidRPr="007B38C7">
        <w:rPr>
          <w:rFonts w:ascii="Times New Roman" w:hAnsi="Times New Roman" w:cs="Times New Roman"/>
        </w:rPr>
        <w:t xml:space="preserve"> $226 </w:t>
      </w:r>
      <w:r w:rsidR="004A4134" w:rsidRPr="007B38C7">
        <w:rPr>
          <w:rFonts w:ascii="Times New Roman" w:hAnsi="Times New Roman" w:cs="Times New Roman"/>
        </w:rPr>
        <w:t>for each completed hour</w:t>
      </w:r>
      <w:r w:rsidR="00580A78">
        <w:rPr>
          <w:rFonts w:ascii="Times New Roman" w:hAnsi="Times New Roman" w:cs="Times New Roman"/>
        </w:rPr>
        <w:t>. F</w:t>
      </w:r>
      <w:r w:rsidR="00A5354E" w:rsidRPr="007B38C7">
        <w:rPr>
          <w:rFonts w:ascii="Times New Roman" w:hAnsi="Times New Roman" w:cs="Times New Roman"/>
        </w:rPr>
        <w:t xml:space="preserve">or part of an hour, </w:t>
      </w:r>
      <w:r w:rsidR="004A4134" w:rsidRPr="007B38C7">
        <w:rPr>
          <w:rFonts w:ascii="Times New Roman" w:hAnsi="Times New Roman" w:cs="Times New Roman"/>
        </w:rPr>
        <w:t xml:space="preserve">the </w:t>
      </w:r>
      <w:r w:rsidR="00AE70CE">
        <w:rPr>
          <w:rFonts w:ascii="Times New Roman" w:hAnsi="Times New Roman" w:cs="Times New Roman"/>
        </w:rPr>
        <w:t xml:space="preserve">rate is the </w:t>
      </w:r>
      <w:r w:rsidR="004A4134" w:rsidRPr="007B38C7">
        <w:rPr>
          <w:rFonts w:ascii="Times New Roman" w:hAnsi="Times New Roman" w:cs="Times New Roman"/>
        </w:rPr>
        <w:t xml:space="preserve">proportion of $226 equal to the proportion of an hour for which charge is to be made.  </w:t>
      </w:r>
    </w:p>
    <w:p w14:paraId="7C69C888" w14:textId="61CED8B3" w:rsidR="00CE6E38" w:rsidRPr="00613E72" w:rsidRDefault="00CE6E38" w:rsidP="00CE6E38">
      <w:pPr>
        <w:rPr>
          <w:rFonts w:ascii="Times New Roman" w:hAnsi="Times New Roman" w:cs="Times New Roman"/>
          <w:b/>
        </w:rPr>
      </w:pPr>
      <w:r w:rsidRPr="00613E72">
        <w:rPr>
          <w:rFonts w:ascii="Times New Roman" w:hAnsi="Times New Roman" w:cs="Times New Roman"/>
          <w:b/>
        </w:rPr>
        <w:t xml:space="preserve">Section </w:t>
      </w:r>
      <w:r w:rsidR="00A5354E" w:rsidRPr="00613E72">
        <w:rPr>
          <w:rFonts w:ascii="Times New Roman" w:hAnsi="Times New Roman" w:cs="Times New Roman"/>
          <w:b/>
        </w:rPr>
        <w:t>9</w:t>
      </w:r>
      <w:r w:rsidRPr="00613E72">
        <w:rPr>
          <w:rFonts w:ascii="Times New Roman" w:hAnsi="Times New Roman" w:cs="Times New Roman"/>
          <w:b/>
        </w:rPr>
        <w:tab/>
      </w:r>
      <w:r w:rsidR="006F2968" w:rsidRPr="00613E72">
        <w:rPr>
          <w:rFonts w:ascii="Times New Roman" w:hAnsi="Times New Roman" w:cs="Times New Roman"/>
          <w:b/>
        </w:rPr>
        <w:t>Special rules – refund of numbering plan application charge</w:t>
      </w:r>
    </w:p>
    <w:p w14:paraId="09D4E445" w14:textId="53E69C38" w:rsidR="004B0556" w:rsidRPr="009078C2" w:rsidRDefault="009078C2" w:rsidP="00D37186">
      <w:pPr>
        <w:rPr>
          <w:rFonts w:ascii="Times New Roman" w:hAnsi="Times New Roman" w:cs="Times New Roman"/>
        </w:rPr>
      </w:pPr>
      <w:r w:rsidRPr="00613E72">
        <w:rPr>
          <w:rFonts w:ascii="Times New Roman" w:hAnsi="Times New Roman" w:cs="Times New Roman"/>
        </w:rPr>
        <w:t xml:space="preserve">This section </w:t>
      </w:r>
      <w:r w:rsidR="004B0556" w:rsidRPr="00613E72">
        <w:rPr>
          <w:rFonts w:ascii="Times New Roman" w:hAnsi="Times New Roman" w:cs="Times New Roman"/>
        </w:rPr>
        <w:t xml:space="preserve">provides that if a person makes an application mentioned in column 2 of </w:t>
      </w:r>
      <w:r w:rsidR="00D37186" w:rsidRPr="00613E72">
        <w:rPr>
          <w:rFonts w:ascii="Times New Roman" w:hAnsi="Times New Roman" w:cs="Times New Roman"/>
        </w:rPr>
        <w:t xml:space="preserve">item 2.1 of Part 2 of Schedule 1 (being an application </w:t>
      </w:r>
      <w:r w:rsidR="00D37186" w:rsidRPr="002F5DDF">
        <w:rPr>
          <w:rFonts w:ascii="Times New Roman" w:hAnsi="Times New Roman" w:cs="Times New Roman"/>
        </w:rPr>
        <w:t xml:space="preserve">mentioned in paragraph 457(1)(a) of the Telecommunications Act for the allocation of a number otherwise than in accordance with an allocation system determined under section 463 of the Telecommunications Act), and the ACMA does not approve the application, the ACMA must refund any payment of the charge mentioned in column 3 of item 2.1. </w:t>
      </w:r>
    </w:p>
    <w:p w14:paraId="67A0B511" w14:textId="51040442" w:rsidR="009078C2" w:rsidRPr="001B62FA" w:rsidRDefault="009078C2" w:rsidP="009078C2">
      <w:pPr>
        <w:rPr>
          <w:rFonts w:ascii="Times New Roman" w:hAnsi="Times New Roman" w:cs="Times New Roman"/>
          <w:b/>
          <w:bCs/>
        </w:rPr>
      </w:pPr>
      <w:r w:rsidRPr="00613E72">
        <w:rPr>
          <w:rFonts w:ascii="Times New Roman" w:hAnsi="Times New Roman" w:cs="Times New Roman"/>
          <w:b/>
          <w:bCs/>
        </w:rPr>
        <w:t>Section 1</w:t>
      </w:r>
      <w:r w:rsidR="00E93598" w:rsidRPr="002F5DDF">
        <w:rPr>
          <w:rFonts w:ascii="Times New Roman" w:hAnsi="Times New Roman" w:cs="Times New Roman"/>
          <w:b/>
          <w:bCs/>
        </w:rPr>
        <w:t>0</w:t>
      </w:r>
      <w:r w:rsidRPr="00613E72">
        <w:rPr>
          <w:rFonts w:ascii="Times New Roman" w:hAnsi="Times New Roman" w:cs="Times New Roman"/>
          <w:b/>
          <w:bCs/>
        </w:rPr>
        <w:tab/>
        <w:t>Special rules – charges for facility installation permit applications (not relating to public inquiry)</w:t>
      </w:r>
      <w:r w:rsidR="00183810">
        <w:rPr>
          <w:rFonts w:ascii="Times New Roman" w:hAnsi="Times New Roman" w:cs="Times New Roman"/>
          <w:b/>
          <w:bCs/>
        </w:rPr>
        <w:t xml:space="preserve"> </w:t>
      </w:r>
    </w:p>
    <w:p w14:paraId="12ED6C3E" w14:textId="1F5A791C" w:rsidR="00BD4225" w:rsidRDefault="009078C2">
      <w:r w:rsidRPr="009078C2">
        <w:rPr>
          <w:rFonts w:ascii="Times New Roman" w:hAnsi="Times New Roman" w:cs="Times New Roman"/>
        </w:rPr>
        <w:t xml:space="preserve">This section sets out rules for the treatment of a deposit paid to the ACMA under item 3.1 of </w:t>
      </w:r>
      <w:r w:rsidR="00240E4C">
        <w:rPr>
          <w:rFonts w:ascii="Times New Roman" w:hAnsi="Times New Roman" w:cs="Times New Roman"/>
        </w:rPr>
        <w:t>Schedule</w:t>
      </w:r>
      <w:r w:rsidRPr="009078C2">
        <w:rPr>
          <w:rFonts w:ascii="Times New Roman" w:hAnsi="Times New Roman" w:cs="Times New Roman"/>
        </w:rPr>
        <w:t xml:space="preserve"> </w:t>
      </w:r>
      <w:r w:rsidRPr="002F5DDF">
        <w:rPr>
          <w:rFonts w:ascii="Times New Roman" w:hAnsi="Times New Roman" w:cs="Times New Roman"/>
        </w:rPr>
        <w:t>1</w:t>
      </w:r>
      <w:r w:rsidR="00037063" w:rsidRPr="002F5DDF">
        <w:rPr>
          <w:rFonts w:ascii="Times New Roman" w:hAnsi="Times New Roman" w:cs="Times New Roman"/>
        </w:rPr>
        <w:t xml:space="preserve">, which is a deposit paid </w:t>
      </w:r>
      <w:r w:rsidR="000C6D5F">
        <w:rPr>
          <w:rFonts w:ascii="Times New Roman" w:hAnsi="Times New Roman" w:cs="Times New Roman"/>
        </w:rPr>
        <w:t xml:space="preserve">with an </w:t>
      </w:r>
      <w:r w:rsidR="00F5243A" w:rsidRPr="002F5DDF">
        <w:rPr>
          <w:rFonts w:ascii="Times New Roman" w:hAnsi="Times New Roman" w:cs="Times New Roman"/>
        </w:rPr>
        <w:t xml:space="preserve">application for </w:t>
      </w:r>
      <w:r w:rsidR="00DB493A" w:rsidRPr="002F5DDF">
        <w:rPr>
          <w:rFonts w:ascii="Times New Roman" w:hAnsi="Times New Roman" w:cs="Times New Roman"/>
        </w:rPr>
        <w:t xml:space="preserve">a </w:t>
      </w:r>
      <w:r w:rsidR="00F5243A" w:rsidRPr="002F5DDF">
        <w:rPr>
          <w:rFonts w:ascii="Times New Roman" w:hAnsi="Times New Roman" w:cs="Times New Roman"/>
        </w:rPr>
        <w:t>facility installation permit</w:t>
      </w:r>
      <w:r w:rsidR="004A4260" w:rsidRPr="002F5DDF">
        <w:rPr>
          <w:rFonts w:ascii="Times New Roman" w:hAnsi="Times New Roman" w:cs="Times New Roman"/>
        </w:rPr>
        <w:t xml:space="preserve"> </w:t>
      </w:r>
      <w:r w:rsidR="00560922" w:rsidRPr="002F5DDF">
        <w:rPr>
          <w:rFonts w:ascii="Times New Roman" w:hAnsi="Times New Roman" w:cs="Times New Roman"/>
        </w:rPr>
        <w:t xml:space="preserve">under clause 21 of Schedule 3 to the </w:t>
      </w:r>
      <w:r w:rsidR="00DB493A" w:rsidRPr="002F5DDF">
        <w:rPr>
          <w:rFonts w:ascii="Times New Roman" w:hAnsi="Times New Roman" w:cs="Times New Roman"/>
        </w:rPr>
        <w:t>Telecommunications Act, authorising a carrier to carry out the installation of one or more facilities.</w:t>
      </w:r>
      <w:r w:rsidR="00491C93" w:rsidRPr="002F5DDF">
        <w:rPr>
          <w:rFonts w:ascii="Times New Roman" w:hAnsi="Times New Roman" w:cs="Times New Roman"/>
        </w:rPr>
        <w:t xml:space="preserve"> Section 10 </w:t>
      </w:r>
      <w:r w:rsidR="000D62FF">
        <w:rPr>
          <w:rFonts w:ascii="Times New Roman" w:hAnsi="Times New Roman" w:cs="Times New Roman"/>
        </w:rPr>
        <w:t xml:space="preserve">applies </w:t>
      </w:r>
      <w:r w:rsidR="009407DC">
        <w:rPr>
          <w:rFonts w:ascii="Times New Roman" w:hAnsi="Times New Roman" w:cs="Times New Roman"/>
        </w:rPr>
        <w:t>whe</w:t>
      </w:r>
      <w:r w:rsidR="003A6B5A">
        <w:rPr>
          <w:rFonts w:ascii="Times New Roman" w:hAnsi="Times New Roman" w:cs="Times New Roman"/>
        </w:rPr>
        <w:t xml:space="preserve">n </w:t>
      </w:r>
      <w:r w:rsidR="00491C93" w:rsidRPr="002F5DDF">
        <w:rPr>
          <w:rFonts w:ascii="Times New Roman" w:hAnsi="Times New Roman" w:cs="Times New Roman"/>
        </w:rPr>
        <w:t>a deposit is paid under item</w:t>
      </w:r>
      <w:r w:rsidR="00BD4225" w:rsidRPr="002F5DDF">
        <w:rPr>
          <w:rFonts w:ascii="Times New Roman" w:hAnsi="Times New Roman" w:cs="Times New Roman"/>
        </w:rPr>
        <w:t xml:space="preserve"> 3.1 of Schedule 1 </w:t>
      </w:r>
      <w:r w:rsidR="00595B1D" w:rsidRPr="002F5DDF">
        <w:rPr>
          <w:rFonts w:ascii="Times New Roman" w:hAnsi="Times New Roman" w:cs="Times New Roman"/>
        </w:rPr>
        <w:t xml:space="preserve">to the instrument </w:t>
      </w:r>
      <w:r w:rsidR="00935647">
        <w:rPr>
          <w:rFonts w:ascii="Times New Roman" w:hAnsi="Times New Roman" w:cs="Times New Roman"/>
        </w:rPr>
        <w:t xml:space="preserve">and </w:t>
      </w:r>
      <w:r w:rsidR="009407DC">
        <w:rPr>
          <w:rFonts w:ascii="Times New Roman" w:hAnsi="Times New Roman" w:cs="Times New Roman"/>
        </w:rPr>
        <w:t xml:space="preserve">one </w:t>
      </w:r>
      <w:r w:rsidR="00807F97" w:rsidRPr="002F5DDF">
        <w:rPr>
          <w:rFonts w:ascii="Times New Roman" w:hAnsi="Times New Roman" w:cs="Times New Roman"/>
        </w:rPr>
        <w:t xml:space="preserve">or more amounts are payable under item 3.2 of Schedule 1 </w:t>
      </w:r>
      <w:r w:rsidR="00595B1D" w:rsidRPr="002F5DDF">
        <w:rPr>
          <w:rFonts w:ascii="Times New Roman" w:hAnsi="Times New Roman" w:cs="Times New Roman"/>
        </w:rPr>
        <w:t>to the instrument</w:t>
      </w:r>
      <w:r w:rsidR="00935647">
        <w:rPr>
          <w:rFonts w:ascii="Times New Roman" w:hAnsi="Times New Roman" w:cs="Times New Roman"/>
        </w:rPr>
        <w:t xml:space="preserve">. In the case where </w:t>
      </w:r>
      <w:r w:rsidR="00F35493" w:rsidRPr="002F5DDF">
        <w:rPr>
          <w:rFonts w:ascii="Times New Roman" w:hAnsi="Times New Roman" w:cs="Times New Roman"/>
        </w:rPr>
        <w:t xml:space="preserve">the aggregate of the amounts payable under item 3.2 </w:t>
      </w:r>
      <w:r w:rsidR="00B75860">
        <w:rPr>
          <w:rFonts w:ascii="Times New Roman" w:hAnsi="Times New Roman" w:cs="Times New Roman"/>
        </w:rPr>
        <w:t xml:space="preserve">of Schedule 1 </w:t>
      </w:r>
      <w:r w:rsidR="00F35493" w:rsidRPr="002F5DDF">
        <w:rPr>
          <w:rFonts w:ascii="Times New Roman" w:hAnsi="Times New Roman" w:cs="Times New Roman"/>
        </w:rPr>
        <w:t>is less tha</w:t>
      </w:r>
      <w:r w:rsidR="002807C2">
        <w:rPr>
          <w:rFonts w:ascii="Times New Roman" w:hAnsi="Times New Roman" w:cs="Times New Roman"/>
        </w:rPr>
        <w:t xml:space="preserve">n </w:t>
      </w:r>
      <w:r w:rsidR="00F35493" w:rsidRPr="002F5DDF">
        <w:rPr>
          <w:rFonts w:ascii="Times New Roman" w:hAnsi="Times New Roman" w:cs="Times New Roman"/>
        </w:rPr>
        <w:t xml:space="preserve">the deposit, the </w:t>
      </w:r>
      <w:r w:rsidR="002018B9" w:rsidRPr="002F5DDF">
        <w:rPr>
          <w:rFonts w:ascii="Times New Roman" w:hAnsi="Times New Roman" w:cs="Times New Roman"/>
        </w:rPr>
        <w:t xml:space="preserve">total amount payable will be deducted from the deposit and the balance will be refunded by the ACMA. If the aggregate of amounts payable under item 3.2 </w:t>
      </w:r>
      <w:r w:rsidR="00B75860">
        <w:rPr>
          <w:rFonts w:ascii="Times New Roman" w:hAnsi="Times New Roman" w:cs="Times New Roman"/>
        </w:rPr>
        <w:t xml:space="preserve">of Schedule 1 </w:t>
      </w:r>
      <w:r w:rsidR="002018B9" w:rsidRPr="002F5DDF">
        <w:rPr>
          <w:rFonts w:ascii="Times New Roman" w:hAnsi="Times New Roman" w:cs="Times New Roman"/>
        </w:rPr>
        <w:t xml:space="preserve">is more than the deposit, the applicant must pay the difference </w:t>
      </w:r>
      <w:r w:rsidR="0059551F">
        <w:rPr>
          <w:rFonts w:ascii="Times New Roman" w:hAnsi="Times New Roman" w:cs="Times New Roman"/>
        </w:rPr>
        <w:t>(</w:t>
      </w:r>
      <w:r w:rsidR="002018B9" w:rsidRPr="002F5DDF">
        <w:rPr>
          <w:rFonts w:ascii="Times New Roman" w:hAnsi="Times New Roman" w:cs="Times New Roman"/>
        </w:rPr>
        <w:t>on the issue of an invoice for the charge</w:t>
      </w:r>
      <w:r w:rsidR="0059551F">
        <w:rPr>
          <w:rFonts w:ascii="Times New Roman" w:hAnsi="Times New Roman" w:cs="Times New Roman"/>
        </w:rPr>
        <w:t>)</w:t>
      </w:r>
      <w:r w:rsidR="002018B9" w:rsidRPr="002F5DDF">
        <w:rPr>
          <w:rFonts w:ascii="Times New Roman" w:hAnsi="Times New Roman" w:cs="Times New Roman"/>
        </w:rPr>
        <w:t xml:space="preserve"> as set out in subparagraph 14(1)(d)(</w:t>
      </w:r>
      <w:proofErr w:type="spellStart"/>
      <w:r w:rsidR="002018B9" w:rsidRPr="002F5DDF">
        <w:rPr>
          <w:rFonts w:ascii="Times New Roman" w:hAnsi="Times New Roman" w:cs="Times New Roman"/>
        </w:rPr>
        <w:t>i</w:t>
      </w:r>
      <w:proofErr w:type="spellEnd"/>
      <w:r w:rsidR="002018B9" w:rsidRPr="002F5DDF">
        <w:rPr>
          <w:rFonts w:ascii="Times New Roman" w:hAnsi="Times New Roman" w:cs="Times New Roman"/>
        </w:rPr>
        <w:t xml:space="preserve">) </w:t>
      </w:r>
      <w:r w:rsidR="00BC4A8D" w:rsidRPr="002F5DDF">
        <w:rPr>
          <w:rFonts w:ascii="Times New Roman" w:hAnsi="Times New Roman" w:cs="Times New Roman"/>
        </w:rPr>
        <w:t>of the instrument.</w:t>
      </w:r>
      <w:r w:rsidR="00BC4A8D">
        <w:t xml:space="preserve"> </w:t>
      </w:r>
    </w:p>
    <w:p w14:paraId="4BD9D99A" w14:textId="506A2A39"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1</w:t>
      </w:r>
      <w:r w:rsidRPr="001B62FA">
        <w:rPr>
          <w:rFonts w:ascii="Times New Roman" w:hAnsi="Times New Roman" w:cs="Times New Roman"/>
          <w:b/>
          <w:bCs/>
        </w:rPr>
        <w:tab/>
        <w:t>Special rules – charges for facility installation permit applications (relating to public inquiry)</w:t>
      </w:r>
    </w:p>
    <w:p w14:paraId="21F78511" w14:textId="67F8B161" w:rsidR="00BF2EF1" w:rsidRPr="00D96699" w:rsidRDefault="009078C2" w:rsidP="002F5DDF">
      <w:r w:rsidRPr="002F5DDF">
        <w:rPr>
          <w:rFonts w:ascii="Times New Roman" w:hAnsi="Times New Roman" w:cs="Times New Roman"/>
        </w:rPr>
        <w:t xml:space="preserve">This section sets out rules for the treatment of a deposit paid to the ACMA under item 4.1 of </w:t>
      </w:r>
      <w:r w:rsidR="00240E4C" w:rsidRPr="002F5DDF">
        <w:rPr>
          <w:rFonts w:ascii="Times New Roman" w:hAnsi="Times New Roman" w:cs="Times New Roman"/>
        </w:rPr>
        <w:t>Schedule</w:t>
      </w:r>
      <w:r w:rsidRPr="002F5DDF">
        <w:rPr>
          <w:rFonts w:ascii="Times New Roman" w:hAnsi="Times New Roman" w:cs="Times New Roman"/>
        </w:rPr>
        <w:t xml:space="preserve"> 1</w:t>
      </w:r>
      <w:r w:rsidR="00632EDB" w:rsidRPr="002F5DDF">
        <w:rPr>
          <w:rFonts w:ascii="Times New Roman" w:hAnsi="Times New Roman" w:cs="Times New Roman"/>
        </w:rPr>
        <w:t xml:space="preserve"> to the instrument, </w:t>
      </w:r>
      <w:r w:rsidR="00135399" w:rsidRPr="002F5DDF">
        <w:rPr>
          <w:rFonts w:ascii="Times New Roman" w:hAnsi="Times New Roman" w:cs="Times New Roman"/>
        </w:rPr>
        <w:t xml:space="preserve">which is a deposit </w:t>
      </w:r>
      <w:r w:rsidR="00135399" w:rsidRPr="002F5DDF">
        <w:rPr>
          <w:rFonts w:ascii="Times New Roman" w:hAnsi="Times New Roman" w:cs="Times New Roman"/>
          <w:lang w:val="en-US"/>
        </w:rPr>
        <w:t>payable on account of the expenses to be incurred by the ACMA for the holding of a public inquiry</w:t>
      </w:r>
      <w:r w:rsidR="00135399" w:rsidRPr="002F5DDF">
        <w:rPr>
          <w:rFonts w:ascii="Times New Roman" w:hAnsi="Times New Roman" w:cs="Times New Roman"/>
        </w:rPr>
        <w:t xml:space="preserve"> under </w:t>
      </w:r>
      <w:r w:rsidR="00635234" w:rsidRPr="002F5DDF">
        <w:rPr>
          <w:rFonts w:ascii="Times New Roman" w:hAnsi="Times New Roman" w:cs="Times New Roman"/>
        </w:rPr>
        <w:t>subclause 25(2) of Schedule 3 to the Telecommunications Act in relation to a</w:t>
      </w:r>
      <w:r w:rsidR="00E412BD" w:rsidRPr="002F5DDF">
        <w:rPr>
          <w:rFonts w:ascii="Times New Roman" w:hAnsi="Times New Roman" w:cs="Times New Roman"/>
        </w:rPr>
        <w:t>n application for a</w:t>
      </w:r>
      <w:r w:rsidR="00635234" w:rsidRPr="002F5DDF">
        <w:rPr>
          <w:rFonts w:ascii="Times New Roman" w:hAnsi="Times New Roman" w:cs="Times New Roman"/>
        </w:rPr>
        <w:t xml:space="preserve"> facility installation permit.</w:t>
      </w:r>
      <w:r w:rsidR="00E412BD" w:rsidRPr="002F5DDF">
        <w:rPr>
          <w:rFonts w:ascii="Times New Roman" w:hAnsi="Times New Roman" w:cs="Times New Roman"/>
        </w:rPr>
        <w:t xml:space="preserve"> </w:t>
      </w:r>
      <w:r w:rsidR="00BF2EF1" w:rsidRPr="002F5DDF">
        <w:rPr>
          <w:rFonts w:ascii="Times New Roman" w:hAnsi="Times New Roman" w:cs="Times New Roman"/>
        </w:rPr>
        <w:t xml:space="preserve">Section 11 </w:t>
      </w:r>
      <w:r w:rsidR="00C85AA1">
        <w:rPr>
          <w:rFonts w:ascii="Times New Roman" w:hAnsi="Times New Roman" w:cs="Times New Roman"/>
        </w:rPr>
        <w:t xml:space="preserve">applies </w:t>
      </w:r>
      <w:r w:rsidR="007A1DA3">
        <w:rPr>
          <w:rFonts w:ascii="Times New Roman" w:hAnsi="Times New Roman" w:cs="Times New Roman"/>
        </w:rPr>
        <w:t>whe</w:t>
      </w:r>
      <w:r w:rsidR="003A6B5A">
        <w:rPr>
          <w:rFonts w:ascii="Times New Roman" w:hAnsi="Times New Roman" w:cs="Times New Roman"/>
        </w:rPr>
        <w:t xml:space="preserve">n </w:t>
      </w:r>
      <w:r w:rsidR="00632EDB" w:rsidRPr="002F5DDF">
        <w:rPr>
          <w:rFonts w:ascii="Times New Roman" w:hAnsi="Times New Roman" w:cs="Times New Roman"/>
        </w:rPr>
        <w:t>a deposit is paid under item 4.1 of Schedule 1</w:t>
      </w:r>
      <w:r w:rsidR="003A6B5A">
        <w:rPr>
          <w:rFonts w:ascii="Times New Roman" w:hAnsi="Times New Roman" w:cs="Times New Roman"/>
        </w:rPr>
        <w:t xml:space="preserve"> and </w:t>
      </w:r>
      <w:r w:rsidR="007A1DA3">
        <w:rPr>
          <w:rFonts w:ascii="Times New Roman" w:hAnsi="Times New Roman" w:cs="Times New Roman"/>
        </w:rPr>
        <w:t xml:space="preserve">one </w:t>
      </w:r>
      <w:r w:rsidR="00BF2EF1" w:rsidRPr="002F5DDF">
        <w:rPr>
          <w:rFonts w:ascii="Times New Roman" w:hAnsi="Times New Roman" w:cs="Times New Roman"/>
        </w:rPr>
        <w:t>or more amounts are payable under items 4.2 or 4.3 of Schedule 1</w:t>
      </w:r>
      <w:r w:rsidR="003A6B5A">
        <w:rPr>
          <w:rFonts w:ascii="Times New Roman" w:hAnsi="Times New Roman" w:cs="Times New Roman"/>
        </w:rPr>
        <w:t xml:space="preserve">. If </w:t>
      </w:r>
      <w:r w:rsidR="001675DB" w:rsidRPr="002F5DDF">
        <w:rPr>
          <w:rFonts w:ascii="Times New Roman" w:hAnsi="Times New Roman" w:cs="Times New Roman"/>
        </w:rPr>
        <w:t xml:space="preserve">the </w:t>
      </w:r>
      <w:r w:rsidR="00BF2EF1" w:rsidRPr="002F5DDF">
        <w:rPr>
          <w:rFonts w:ascii="Times New Roman" w:hAnsi="Times New Roman" w:cs="Times New Roman"/>
        </w:rPr>
        <w:t>aggregate of th</w:t>
      </w:r>
      <w:r w:rsidR="003A6B5A">
        <w:rPr>
          <w:rFonts w:ascii="Times New Roman" w:hAnsi="Times New Roman" w:cs="Times New Roman"/>
        </w:rPr>
        <w:t xml:space="preserve">e </w:t>
      </w:r>
      <w:r w:rsidR="00BF2EF1" w:rsidRPr="002F5DDF">
        <w:rPr>
          <w:rFonts w:ascii="Times New Roman" w:hAnsi="Times New Roman" w:cs="Times New Roman"/>
        </w:rPr>
        <w:t xml:space="preserve">amounts </w:t>
      </w:r>
      <w:r w:rsidR="003A6B5A">
        <w:rPr>
          <w:rFonts w:ascii="Times New Roman" w:hAnsi="Times New Roman" w:cs="Times New Roman"/>
        </w:rPr>
        <w:t xml:space="preserve">under items 4.2 or 4.3 of Schedule 1 </w:t>
      </w:r>
      <w:r w:rsidR="00BF2EF1" w:rsidRPr="002F5DDF">
        <w:rPr>
          <w:rFonts w:ascii="Times New Roman" w:hAnsi="Times New Roman" w:cs="Times New Roman"/>
        </w:rPr>
        <w:t xml:space="preserve">is less than </w:t>
      </w:r>
      <w:r w:rsidR="001675DB" w:rsidRPr="002F5DDF">
        <w:rPr>
          <w:rFonts w:ascii="Times New Roman" w:hAnsi="Times New Roman" w:cs="Times New Roman"/>
        </w:rPr>
        <w:t>the</w:t>
      </w:r>
      <w:r w:rsidR="00BF2EF1" w:rsidRPr="002F5DDF">
        <w:rPr>
          <w:rFonts w:ascii="Times New Roman" w:hAnsi="Times New Roman" w:cs="Times New Roman"/>
        </w:rPr>
        <w:t xml:space="preserve"> deposit,</w:t>
      </w:r>
      <w:r w:rsidR="001675DB" w:rsidRPr="002F5DDF">
        <w:rPr>
          <w:rFonts w:ascii="Times New Roman" w:hAnsi="Times New Roman" w:cs="Times New Roman"/>
        </w:rPr>
        <w:t xml:space="preserve"> </w:t>
      </w:r>
      <w:r w:rsidR="009F58DA" w:rsidRPr="002F5DDF">
        <w:rPr>
          <w:rFonts w:ascii="Times New Roman" w:hAnsi="Times New Roman" w:cs="Times New Roman"/>
        </w:rPr>
        <w:t xml:space="preserve">the total amounts payable </w:t>
      </w:r>
      <w:r w:rsidR="00BF2EF1" w:rsidRPr="002F5DDF">
        <w:rPr>
          <w:rFonts w:ascii="Times New Roman" w:hAnsi="Times New Roman" w:cs="Times New Roman"/>
        </w:rPr>
        <w:t>will be deducted from the deposit, and the ACMA must refund the difference to the applicant.</w:t>
      </w:r>
      <w:r w:rsidR="009F58DA" w:rsidRPr="002F5DDF">
        <w:rPr>
          <w:rFonts w:ascii="Times New Roman" w:hAnsi="Times New Roman" w:cs="Times New Roman"/>
        </w:rPr>
        <w:t xml:space="preserve"> If the amounts payable under items 4.2 or 4.3</w:t>
      </w:r>
      <w:r w:rsidR="00B75860">
        <w:rPr>
          <w:rFonts w:ascii="Times New Roman" w:hAnsi="Times New Roman" w:cs="Times New Roman"/>
        </w:rPr>
        <w:t xml:space="preserve"> of Schedule 1</w:t>
      </w:r>
      <w:r w:rsidR="009F58DA" w:rsidRPr="002F5DDF">
        <w:rPr>
          <w:rFonts w:ascii="Times New Roman" w:hAnsi="Times New Roman" w:cs="Times New Roman"/>
        </w:rPr>
        <w:t xml:space="preserve"> are </w:t>
      </w:r>
      <w:r w:rsidR="00336F2E" w:rsidRPr="002F5DDF">
        <w:rPr>
          <w:rFonts w:ascii="Times New Roman" w:hAnsi="Times New Roman" w:cs="Times New Roman"/>
        </w:rPr>
        <w:t>greater than the deposit, the applicant must pay the differen</w:t>
      </w:r>
      <w:r w:rsidR="001F558E">
        <w:rPr>
          <w:rFonts w:ascii="Times New Roman" w:hAnsi="Times New Roman" w:cs="Times New Roman"/>
        </w:rPr>
        <w:t>ce</w:t>
      </w:r>
      <w:r w:rsidR="00336F2E" w:rsidRPr="002F5DDF">
        <w:rPr>
          <w:rFonts w:ascii="Times New Roman" w:hAnsi="Times New Roman" w:cs="Times New Roman"/>
        </w:rPr>
        <w:t xml:space="preserve"> </w:t>
      </w:r>
      <w:r w:rsidR="0059551F">
        <w:rPr>
          <w:rFonts w:ascii="Times New Roman" w:hAnsi="Times New Roman" w:cs="Times New Roman"/>
        </w:rPr>
        <w:t>(</w:t>
      </w:r>
      <w:r w:rsidR="0059551F" w:rsidRPr="00615038">
        <w:rPr>
          <w:rFonts w:ascii="Times New Roman" w:hAnsi="Times New Roman" w:cs="Times New Roman"/>
        </w:rPr>
        <w:t>on the issue of an invoice for the charge</w:t>
      </w:r>
      <w:r w:rsidR="0059551F">
        <w:rPr>
          <w:rFonts w:ascii="Times New Roman" w:hAnsi="Times New Roman" w:cs="Times New Roman"/>
        </w:rPr>
        <w:t xml:space="preserve">) as set out in </w:t>
      </w:r>
      <w:r w:rsidR="00336F2E" w:rsidRPr="002F5DDF">
        <w:rPr>
          <w:rFonts w:ascii="Times New Roman" w:hAnsi="Times New Roman" w:cs="Times New Roman"/>
        </w:rPr>
        <w:t xml:space="preserve">subparagraph 14(1)(d)(ii). </w:t>
      </w:r>
    </w:p>
    <w:p w14:paraId="1502BD93" w14:textId="335F953A"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2</w:t>
      </w:r>
      <w:r w:rsidRPr="001B62FA">
        <w:rPr>
          <w:rFonts w:ascii="Times New Roman" w:hAnsi="Times New Roman" w:cs="Times New Roman"/>
          <w:b/>
          <w:bCs/>
        </w:rPr>
        <w:tab/>
        <w:t>Special rules – charges payable in relation to a request for a declaration, variation, or revocation of a protection zone</w:t>
      </w:r>
    </w:p>
    <w:p w14:paraId="2CEC5343" w14:textId="49BA4870" w:rsidR="009D760D" w:rsidRDefault="009078C2" w:rsidP="009078C2">
      <w:pPr>
        <w:rPr>
          <w:rFonts w:ascii="Times New Roman" w:hAnsi="Times New Roman" w:cs="Times New Roman"/>
        </w:rPr>
      </w:pPr>
      <w:r w:rsidRPr="009078C2">
        <w:rPr>
          <w:rFonts w:ascii="Times New Roman" w:hAnsi="Times New Roman" w:cs="Times New Roman"/>
        </w:rPr>
        <w:t xml:space="preserve">This section sets out rules for the treatment of a deposit paid to the ACMA under items 5.1 </w:t>
      </w:r>
      <w:r w:rsidR="00151A22">
        <w:rPr>
          <w:rFonts w:ascii="Times New Roman" w:hAnsi="Times New Roman" w:cs="Times New Roman"/>
        </w:rPr>
        <w:t xml:space="preserve">or </w:t>
      </w:r>
      <w:r w:rsidRPr="009078C2">
        <w:rPr>
          <w:rFonts w:ascii="Times New Roman" w:hAnsi="Times New Roman" w:cs="Times New Roman"/>
        </w:rPr>
        <w:t xml:space="preserve">5.2 of </w:t>
      </w:r>
      <w:r w:rsidR="00240E4C">
        <w:rPr>
          <w:rFonts w:ascii="Times New Roman" w:hAnsi="Times New Roman" w:cs="Times New Roman"/>
        </w:rPr>
        <w:t>Schedule</w:t>
      </w:r>
      <w:r w:rsidRPr="009078C2">
        <w:rPr>
          <w:rFonts w:ascii="Times New Roman" w:hAnsi="Times New Roman" w:cs="Times New Roman"/>
        </w:rPr>
        <w:t xml:space="preserve"> 1</w:t>
      </w:r>
      <w:r w:rsidR="00EF0166">
        <w:rPr>
          <w:rFonts w:ascii="Times New Roman" w:hAnsi="Times New Roman" w:cs="Times New Roman"/>
        </w:rPr>
        <w:t xml:space="preserve"> </w:t>
      </w:r>
      <w:r w:rsidR="00C15189">
        <w:rPr>
          <w:rFonts w:ascii="Times New Roman" w:hAnsi="Times New Roman" w:cs="Times New Roman"/>
        </w:rPr>
        <w:t xml:space="preserve">to the instrument, being a deposit </w:t>
      </w:r>
      <w:r w:rsidR="00C57A34">
        <w:rPr>
          <w:rFonts w:ascii="Times New Roman" w:hAnsi="Times New Roman" w:cs="Times New Roman"/>
        </w:rPr>
        <w:t>payable on account of expenses to be incurred by the ACMA in relation to</w:t>
      </w:r>
      <w:r w:rsidR="009D760D">
        <w:rPr>
          <w:rFonts w:ascii="Times New Roman" w:hAnsi="Times New Roman" w:cs="Times New Roman"/>
        </w:rPr>
        <w:t xml:space="preserve"> a:</w:t>
      </w:r>
    </w:p>
    <w:p w14:paraId="175DF1CC" w14:textId="77777777" w:rsidR="009D760D" w:rsidRPr="00D47574" w:rsidRDefault="00C57A34" w:rsidP="009D760D">
      <w:pPr>
        <w:pStyle w:val="ListParagraph"/>
        <w:numPr>
          <w:ilvl w:val="0"/>
          <w:numId w:val="22"/>
        </w:numPr>
        <w:rPr>
          <w:rFonts w:ascii="Times New Roman" w:hAnsi="Times New Roman" w:cs="Times New Roman"/>
        </w:rPr>
      </w:pPr>
      <w:r w:rsidRPr="008568AA">
        <w:rPr>
          <w:rFonts w:ascii="Times New Roman" w:hAnsi="Times New Roman" w:cs="Times New Roman"/>
        </w:rPr>
        <w:t>protection zone (decla</w:t>
      </w:r>
      <w:r w:rsidRPr="009F57B2">
        <w:rPr>
          <w:rFonts w:ascii="Times New Roman" w:hAnsi="Times New Roman" w:cs="Times New Roman"/>
        </w:rPr>
        <w:t xml:space="preserve">ration) request </w:t>
      </w:r>
      <w:r w:rsidR="00E42BE3" w:rsidRPr="00D47574">
        <w:rPr>
          <w:rFonts w:ascii="Times New Roman" w:hAnsi="Times New Roman" w:cs="Times New Roman"/>
        </w:rPr>
        <w:t>under clause 5 of Schedule 3A to the Telecommunications Act that the ACMA declare a protection zone</w:t>
      </w:r>
      <w:r w:rsidR="0067687C" w:rsidRPr="00D47574">
        <w:rPr>
          <w:rFonts w:ascii="Times New Roman" w:hAnsi="Times New Roman" w:cs="Times New Roman"/>
        </w:rPr>
        <w:t>, or</w:t>
      </w:r>
    </w:p>
    <w:p w14:paraId="68B30E93" w14:textId="74ECA829" w:rsidR="00C57A34" w:rsidRPr="00D47574" w:rsidRDefault="009D760D" w:rsidP="009D760D">
      <w:pPr>
        <w:pStyle w:val="ListParagraph"/>
        <w:numPr>
          <w:ilvl w:val="0"/>
          <w:numId w:val="22"/>
        </w:numPr>
        <w:rPr>
          <w:rFonts w:ascii="Times New Roman" w:hAnsi="Times New Roman" w:cs="Times New Roman"/>
        </w:rPr>
      </w:pPr>
      <w:r w:rsidRPr="00D47574">
        <w:rPr>
          <w:rFonts w:ascii="Times New Roman" w:hAnsi="Times New Roman" w:cs="Times New Roman"/>
        </w:rPr>
        <w:lastRenderedPageBreak/>
        <w:t xml:space="preserve">protection zone (revocation) or protection zone (variation) request </w:t>
      </w:r>
      <w:r w:rsidR="00712C5C" w:rsidRPr="00D47574">
        <w:rPr>
          <w:rFonts w:ascii="Times New Roman" w:hAnsi="Times New Roman" w:cs="Times New Roman"/>
        </w:rPr>
        <w:t>under clause 24 of Schedule 3A to the Telecommunications Act that the ACMA vary or revoke a declaration of a protection zone.</w:t>
      </w:r>
    </w:p>
    <w:p w14:paraId="16C20E4E" w14:textId="120B99B4" w:rsidR="00EA1C85" w:rsidRPr="00D47574" w:rsidRDefault="003A6B5A" w:rsidP="00EA1C85">
      <w:pPr>
        <w:rPr>
          <w:rFonts w:ascii="Times New Roman" w:hAnsi="Times New Roman" w:cs="Times New Roman"/>
        </w:rPr>
      </w:pPr>
      <w:r>
        <w:rPr>
          <w:rFonts w:ascii="Times New Roman" w:hAnsi="Times New Roman" w:cs="Times New Roman"/>
        </w:rPr>
        <w:t>Section 12 applies w</w:t>
      </w:r>
      <w:r w:rsidR="00262CA4">
        <w:rPr>
          <w:rFonts w:ascii="Times New Roman" w:hAnsi="Times New Roman" w:cs="Times New Roman"/>
        </w:rPr>
        <w:t xml:space="preserve">here </w:t>
      </w:r>
      <w:r w:rsidR="00E53C4E" w:rsidRPr="008568AA">
        <w:rPr>
          <w:rFonts w:ascii="Times New Roman" w:hAnsi="Times New Roman" w:cs="Times New Roman"/>
        </w:rPr>
        <w:t xml:space="preserve">a deposit is paid under items 5.1 or 5.2 </w:t>
      </w:r>
      <w:r w:rsidR="008C7C81" w:rsidRPr="009F57B2">
        <w:rPr>
          <w:rFonts w:ascii="Times New Roman" w:hAnsi="Times New Roman" w:cs="Times New Roman"/>
        </w:rPr>
        <w:t xml:space="preserve">and </w:t>
      </w:r>
      <w:r w:rsidR="007A1DA3">
        <w:rPr>
          <w:rFonts w:ascii="Times New Roman" w:hAnsi="Times New Roman" w:cs="Times New Roman"/>
        </w:rPr>
        <w:t xml:space="preserve">one </w:t>
      </w:r>
      <w:r w:rsidR="009D7FBA" w:rsidRPr="00D47574">
        <w:rPr>
          <w:rFonts w:ascii="Times New Roman" w:hAnsi="Times New Roman" w:cs="Times New Roman"/>
        </w:rPr>
        <w:t>or more amounts are payable under items 5.3 or 5.4 of Schedule 1</w:t>
      </w:r>
      <w:r w:rsidR="00B23E55">
        <w:rPr>
          <w:rFonts w:ascii="Times New Roman" w:hAnsi="Times New Roman" w:cs="Times New Roman"/>
        </w:rPr>
        <w:t xml:space="preserve">. If </w:t>
      </w:r>
      <w:r w:rsidR="00EA1C85" w:rsidRPr="00D47574">
        <w:rPr>
          <w:rFonts w:ascii="Times New Roman" w:hAnsi="Times New Roman" w:cs="Times New Roman"/>
        </w:rPr>
        <w:t xml:space="preserve">the </w:t>
      </w:r>
      <w:r w:rsidR="009D7FBA" w:rsidRPr="00D47574">
        <w:rPr>
          <w:rFonts w:ascii="Times New Roman" w:hAnsi="Times New Roman" w:cs="Times New Roman"/>
        </w:rPr>
        <w:t>aggregate of th</w:t>
      </w:r>
      <w:r w:rsidR="00B23E55">
        <w:rPr>
          <w:rFonts w:ascii="Times New Roman" w:hAnsi="Times New Roman" w:cs="Times New Roman"/>
        </w:rPr>
        <w:t xml:space="preserve">e </w:t>
      </w:r>
      <w:r w:rsidR="009D7FBA" w:rsidRPr="00D47574">
        <w:rPr>
          <w:rFonts w:ascii="Times New Roman" w:hAnsi="Times New Roman" w:cs="Times New Roman"/>
        </w:rPr>
        <w:t xml:space="preserve">amounts </w:t>
      </w:r>
      <w:r w:rsidR="00B23E55">
        <w:rPr>
          <w:rFonts w:ascii="Times New Roman" w:hAnsi="Times New Roman" w:cs="Times New Roman"/>
        </w:rPr>
        <w:t xml:space="preserve">under items 5.3 or 5.4 of Schedule 1 </w:t>
      </w:r>
      <w:r w:rsidR="009D7FBA" w:rsidRPr="00D47574">
        <w:rPr>
          <w:rFonts w:ascii="Times New Roman" w:hAnsi="Times New Roman" w:cs="Times New Roman"/>
        </w:rPr>
        <w:t>is less than the protection zone deposit,</w:t>
      </w:r>
      <w:r w:rsidR="00EA1C85" w:rsidRPr="00D47574">
        <w:rPr>
          <w:rFonts w:ascii="Times New Roman" w:hAnsi="Times New Roman" w:cs="Times New Roman"/>
        </w:rPr>
        <w:t xml:space="preserve"> the total amounts payable will be deducted from the public inquiry deposit, and the ACMA must refund the difference to the applicant. If the amounts payable under items </w:t>
      </w:r>
      <w:r w:rsidR="00B706D0" w:rsidRPr="00D47574">
        <w:rPr>
          <w:rFonts w:ascii="Times New Roman" w:hAnsi="Times New Roman" w:cs="Times New Roman"/>
        </w:rPr>
        <w:t>5</w:t>
      </w:r>
      <w:r w:rsidR="00EA1C85" w:rsidRPr="00D47574">
        <w:rPr>
          <w:rFonts w:ascii="Times New Roman" w:hAnsi="Times New Roman" w:cs="Times New Roman"/>
        </w:rPr>
        <w:t>.</w:t>
      </w:r>
      <w:r w:rsidR="00B706D0" w:rsidRPr="00D47574">
        <w:rPr>
          <w:rFonts w:ascii="Times New Roman" w:hAnsi="Times New Roman" w:cs="Times New Roman"/>
        </w:rPr>
        <w:t>3</w:t>
      </w:r>
      <w:r w:rsidR="00EA1C85" w:rsidRPr="00D47574">
        <w:rPr>
          <w:rFonts w:ascii="Times New Roman" w:hAnsi="Times New Roman" w:cs="Times New Roman"/>
        </w:rPr>
        <w:t xml:space="preserve"> or </w:t>
      </w:r>
      <w:r w:rsidR="00B706D0" w:rsidRPr="00D47574">
        <w:rPr>
          <w:rFonts w:ascii="Times New Roman" w:hAnsi="Times New Roman" w:cs="Times New Roman"/>
        </w:rPr>
        <w:t>5</w:t>
      </w:r>
      <w:r w:rsidR="00EA1C85" w:rsidRPr="00D47574">
        <w:rPr>
          <w:rFonts w:ascii="Times New Roman" w:hAnsi="Times New Roman" w:cs="Times New Roman"/>
        </w:rPr>
        <w:t>.</w:t>
      </w:r>
      <w:r w:rsidR="00B706D0" w:rsidRPr="00D47574">
        <w:rPr>
          <w:rFonts w:ascii="Times New Roman" w:hAnsi="Times New Roman" w:cs="Times New Roman"/>
        </w:rPr>
        <w:t>4</w:t>
      </w:r>
      <w:r w:rsidR="00EA1C85" w:rsidRPr="00D47574">
        <w:rPr>
          <w:rFonts w:ascii="Times New Roman" w:hAnsi="Times New Roman" w:cs="Times New Roman"/>
        </w:rPr>
        <w:t xml:space="preserve"> </w:t>
      </w:r>
      <w:r w:rsidR="00B75860">
        <w:rPr>
          <w:rFonts w:ascii="Times New Roman" w:hAnsi="Times New Roman" w:cs="Times New Roman"/>
        </w:rPr>
        <w:t xml:space="preserve">of Schedule 1 </w:t>
      </w:r>
      <w:r w:rsidR="00EA1C85" w:rsidRPr="00D47574">
        <w:rPr>
          <w:rFonts w:ascii="Times New Roman" w:hAnsi="Times New Roman" w:cs="Times New Roman"/>
        </w:rPr>
        <w:t>are greater than the deposit, the applicant must pay the differen</w:t>
      </w:r>
      <w:r w:rsidR="009F57B2">
        <w:rPr>
          <w:rFonts w:ascii="Times New Roman" w:hAnsi="Times New Roman" w:cs="Times New Roman"/>
        </w:rPr>
        <w:t xml:space="preserve">ce </w:t>
      </w:r>
      <w:r w:rsidR="002168AC">
        <w:rPr>
          <w:rFonts w:ascii="Times New Roman" w:hAnsi="Times New Roman" w:cs="Times New Roman"/>
        </w:rPr>
        <w:t>(</w:t>
      </w:r>
      <w:r w:rsidR="002168AC" w:rsidRPr="00615038">
        <w:rPr>
          <w:rFonts w:ascii="Times New Roman" w:hAnsi="Times New Roman" w:cs="Times New Roman"/>
        </w:rPr>
        <w:t>on the issue of an invoice for the charge</w:t>
      </w:r>
      <w:r w:rsidR="002168AC">
        <w:rPr>
          <w:rFonts w:ascii="Times New Roman" w:hAnsi="Times New Roman" w:cs="Times New Roman"/>
        </w:rPr>
        <w:t>)</w:t>
      </w:r>
      <w:r w:rsidR="005A0EBB">
        <w:rPr>
          <w:rFonts w:ascii="Times New Roman" w:hAnsi="Times New Roman" w:cs="Times New Roman"/>
        </w:rPr>
        <w:t xml:space="preserve"> as set out in </w:t>
      </w:r>
      <w:r w:rsidR="00EA1C85" w:rsidRPr="00D47574">
        <w:rPr>
          <w:rFonts w:ascii="Times New Roman" w:hAnsi="Times New Roman" w:cs="Times New Roman"/>
        </w:rPr>
        <w:t>subparagraph 14(1)(d)(ii</w:t>
      </w:r>
      <w:r w:rsidR="00B706D0" w:rsidRPr="00D47574">
        <w:rPr>
          <w:rFonts w:ascii="Times New Roman" w:hAnsi="Times New Roman" w:cs="Times New Roman"/>
        </w:rPr>
        <w:t>i</w:t>
      </w:r>
      <w:r w:rsidR="00EA1C85" w:rsidRPr="00D47574">
        <w:rPr>
          <w:rFonts w:ascii="Times New Roman" w:hAnsi="Times New Roman" w:cs="Times New Roman"/>
        </w:rPr>
        <w:t xml:space="preserve">). </w:t>
      </w:r>
    </w:p>
    <w:p w14:paraId="29F453EC" w14:textId="0436850C"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3</w:t>
      </w:r>
      <w:r w:rsidRPr="001B62FA">
        <w:rPr>
          <w:rFonts w:ascii="Times New Roman" w:hAnsi="Times New Roman" w:cs="Times New Roman"/>
          <w:b/>
          <w:bCs/>
        </w:rPr>
        <w:tab/>
        <w:t>Special rules – charges payable in relation to an application for a permit to install a submarine cable</w:t>
      </w:r>
    </w:p>
    <w:p w14:paraId="1D445FED" w14:textId="71716A13" w:rsidR="009078C2" w:rsidRDefault="009078C2" w:rsidP="009078C2">
      <w:pPr>
        <w:rPr>
          <w:rFonts w:ascii="Times New Roman" w:hAnsi="Times New Roman" w:cs="Times New Roman"/>
        </w:rPr>
      </w:pPr>
      <w:r w:rsidRPr="00444A66">
        <w:rPr>
          <w:rFonts w:ascii="Times New Roman" w:hAnsi="Times New Roman" w:cs="Times New Roman"/>
        </w:rPr>
        <w:t xml:space="preserve">This section sets out rules for the treatment of a deposit paid to the ACMA under item 6.4 of </w:t>
      </w:r>
      <w:r w:rsidR="00240E4C" w:rsidRPr="00C06D2D">
        <w:rPr>
          <w:rFonts w:ascii="Times New Roman" w:hAnsi="Times New Roman" w:cs="Times New Roman"/>
        </w:rPr>
        <w:t>Schedule</w:t>
      </w:r>
      <w:r w:rsidRPr="00C06D2D">
        <w:rPr>
          <w:rFonts w:ascii="Times New Roman" w:hAnsi="Times New Roman" w:cs="Times New Roman"/>
        </w:rPr>
        <w:t xml:space="preserve"> 1</w:t>
      </w:r>
      <w:r w:rsidR="00E949AD" w:rsidRPr="00F964B1">
        <w:rPr>
          <w:rFonts w:ascii="Times New Roman" w:hAnsi="Times New Roman" w:cs="Times New Roman"/>
        </w:rPr>
        <w:t xml:space="preserve"> to the instrument, being a deposit pa</w:t>
      </w:r>
      <w:r w:rsidR="00E949AD" w:rsidRPr="00444A66">
        <w:rPr>
          <w:rFonts w:ascii="Times New Roman" w:hAnsi="Times New Roman" w:cs="Times New Roman"/>
        </w:rPr>
        <w:t>yable on account of the charges specified in item 6.5 of Schedule 1</w:t>
      </w:r>
      <w:r w:rsidR="00AF301C" w:rsidRPr="00444A66">
        <w:rPr>
          <w:rFonts w:ascii="Times New Roman" w:hAnsi="Times New Roman" w:cs="Times New Roman"/>
        </w:rPr>
        <w:t xml:space="preserve">. The charges in item 6.5 </w:t>
      </w:r>
      <w:r w:rsidR="006D2C39" w:rsidRPr="00444A66">
        <w:rPr>
          <w:rFonts w:ascii="Times New Roman" w:hAnsi="Times New Roman" w:cs="Times New Roman"/>
        </w:rPr>
        <w:t>relate to non-protection zone installation permit application</w:t>
      </w:r>
      <w:r w:rsidR="00C06D2D">
        <w:rPr>
          <w:rFonts w:ascii="Times New Roman" w:hAnsi="Times New Roman" w:cs="Times New Roman"/>
        </w:rPr>
        <w:t xml:space="preserve">s and are charges for </w:t>
      </w:r>
      <w:r w:rsidR="00AF301C" w:rsidRPr="00D47574">
        <w:rPr>
          <w:rFonts w:ascii="Times New Roman" w:hAnsi="Times New Roman" w:cs="Times New Roman"/>
        </w:rPr>
        <w:t>the purposes of clause</w:t>
      </w:r>
      <w:r w:rsidR="00D065D8">
        <w:rPr>
          <w:rFonts w:ascii="Times New Roman" w:hAnsi="Times New Roman" w:cs="Times New Roman"/>
        </w:rPr>
        <w:t xml:space="preserve"> </w:t>
      </w:r>
      <w:r w:rsidR="00AF301C" w:rsidRPr="00D47574">
        <w:rPr>
          <w:rFonts w:ascii="Times New Roman" w:hAnsi="Times New Roman" w:cs="Times New Roman"/>
        </w:rPr>
        <w:t>66 of Schedule 3A to the Telecommunications Act, in relation to external costs for the use of external consultants in considering a non-protection zone installation permit application</w:t>
      </w:r>
      <w:r w:rsidRPr="00444A66">
        <w:rPr>
          <w:rFonts w:ascii="Times New Roman" w:hAnsi="Times New Roman" w:cs="Times New Roman"/>
        </w:rPr>
        <w:t>.</w:t>
      </w:r>
      <w:r w:rsidR="005E3A5E">
        <w:rPr>
          <w:rFonts w:ascii="Times New Roman" w:hAnsi="Times New Roman" w:cs="Times New Roman"/>
        </w:rPr>
        <w:t xml:space="preserve"> </w:t>
      </w:r>
    </w:p>
    <w:p w14:paraId="71EBA982" w14:textId="4AB9C355" w:rsidR="00DB4FD2" w:rsidRPr="00582D45" w:rsidRDefault="00F92D84" w:rsidP="00DB4FD2">
      <w:pPr>
        <w:rPr>
          <w:rFonts w:ascii="Times New Roman" w:hAnsi="Times New Roman" w:cs="Times New Roman"/>
        </w:rPr>
      </w:pPr>
      <w:r w:rsidRPr="00582D45">
        <w:rPr>
          <w:rFonts w:ascii="Times New Roman" w:hAnsi="Times New Roman" w:cs="Times New Roman"/>
        </w:rPr>
        <w:t>Section 13</w:t>
      </w:r>
      <w:r w:rsidR="00B75860">
        <w:rPr>
          <w:rFonts w:ascii="Times New Roman" w:hAnsi="Times New Roman" w:cs="Times New Roman"/>
        </w:rPr>
        <w:t xml:space="preserve"> applies </w:t>
      </w:r>
      <w:r w:rsidR="00262CA4">
        <w:rPr>
          <w:rFonts w:ascii="Times New Roman" w:hAnsi="Times New Roman" w:cs="Times New Roman"/>
        </w:rPr>
        <w:t xml:space="preserve">where </w:t>
      </w:r>
      <w:r w:rsidRPr="00342E90">
        <w:rPr>
          <w:rFonts w:ascii="Times New Roman" w:hAnsi="Times New Roman" w:cs="Times New Roman"/>
        </w:rPr>
        <w:t>a deposit is paid under item 6.4</w:t>
      </w:r>
      <w:r w:rsidR="00B75860">
        <w:rPr>
          <w:rFonts w:ascii="Times New Roman" w:hAnsi="Times New Roman" w:cs="Times New Roman"/>
        </w:rPr>
        <w:t xml:space="preserve"> and one </w:t>
      </w:r>
      <w:r w:rsidR="001B1FF9" w:rsidRPr="00D47574">
        <w:rPr>
          <w:rFonts w:ascii="Times New Roman" w:hAnsi="Times New Roman" w:cs="Times New Roman"/>
        </w:rPr>
        <w:t>or more amounts are payable under item 6.5 of Schedule 1</w:t>
      </w:r>
      <w:r w:rsidR="00B75860">
        <w:rPr>
          <w:rFonts w:ascii="Times New Roman" w:hAnsi="Times New Roman" w:cs="Times New Roman"/>
        </w:rPr>
        <w:t xml:space="preserve">. If </w:t>
      </w:r>
      <w:r w:rsidR="001B1FF9" w:rsidRPr="00D47574">
        <w:rPr>
          <w:rFonts w:ascii="Times New Roman" w:hAnsi="Times New Roman" w:cs="Times New Roman"/>
        </w:rPr>
        <w:t>the aggregate of th</w:t>
      </w:r>
      <w:r w:rsidR="00B75860">
        <w:rPr>
          <w:rFonts w:ascii="Times New Roman" w:hAnsi="Times New Roman" w:cs="Times New Roman"/>
        </w:rPr>
        <w:t xml:space="preserve">e amounts payable under item 6.5 of Schedule 1 </w:t>
      </w:r>
      <w:r w:rsidR="001B1FF9" w:rsidRPr="00D47574">
        <w:rPr>
          <w:rFonts w:ascii="Times New Roman" w:hAnsi="Times New Roman" w:cs="Times New Roman"/>
        </w:rPr>
        <w:t>is less than the</w:t>
      </w:r>
      <w:r w:rsidR="00DB4FD2" w:rsidRPr="00D47574">
        <w:rPr>
          <w:rFonts w:ascii="Times New Roman" w:hAnsi="Times New Roman" w:cs="Times New Roman"/>
        </w:rPr>
        <w:t xml:space="preserve"> </w:t>
      </w:r>
      <w:r w:rsidR="001B1FF9" w:rsidRPr="00D47574">
        <w:rPr>
          <w:rFonts w:ascii="Times New Roman" w:hAnsi="Times New Roman" w:cs="Times New Roman"/>
        </w:rPr>
        <w:t>deposit,</w:t>
      </w:r>
      <w:r w:rsidR="00DB4FD2" w:rsidRPr="00D47574">
        <w:rPr>
          <w:rFonts w:ascii="Times New Roman" w:hAnsi="Times New Roman" w:cs="Times New Roman"/>
        </w:rPr>
        <w:t xml:space="preserve"> the total of t</w:t>
      </w:r>
      <w:r w:rsidR="001B1FF9" w:rsidRPr="00D47574">
        <w:rPr>
          <w:rFonts w:ascii="Times New Roman" w:hAnsi="Times New Roman" w:cs="Times New Roman"/>
        </w:rPr>
        <w:t xml:space="preserve">he amounts </w:t>
      </w:r>
      <w:r w:rsidR="00DB4FD2" w:rsidRPr="00D47574">
        <w:rPr>
          <w:rFonts w:ascii="Times New Roman" w:hAnsi="Times New Roman" w:cs="Times New Roman"/>
        </w:rPr>
        <w:t xml:space="preserve">payable </w:t>
      </w:r>
      <w:r w:rsidR="001B1FF9" w:rsidRPr="00D47574">
        <w:rPr>
          <w:rFonts w:ascii="Times New Roman" w:hAnsi="Times New Roman" w:cs="Times New Roman"/>
        </w:rPr>
        <w:t>will be deducted from the submarine cable deposit, and the ACMA must refund the difference to the applicant.</w:t>
      </w:r>
      <w:r w:rsidR="00DB4FD2" w:rsidRPr="00D47574">
        <w:rPr>
          <w:rFonts w:ascii="Times New Roman" w:hAnsi="Times New Roman" w:cs="Times New Roman"/>
        </w:rPr>
        <w:t xml:space="preserve"> </w:t>
      </w:r>
      <w:r w:rsidR="00DB4FD2" w:rsidRPr="00582D45">
        <w:rPr>
          <w:rFonts w:ascii="Times New Roman" w:hAnsi="Times New Roman" w:cs="Times New Roman"/>
        </w:rPr>
        <w:t xml:space="preserve">If the amounts payable under item </w:t>
      </w:r>
      <w:r w:rsidR="00DB4FD2" w:rsidRPr="00342E90">
        <w:rPr>
          <w:rFonts w:ascii="Times New Roman" w:hAnsi="Times New Roman" w:cs="Times New Roman"/>
        </w:rPr>
        <w:t xml:space="preserve">6.5 </w:t>
      </w:r>
      <w:r w:rsidR="00B75860">
        <w:rPr>
          <w:rFonts w:ascii="Times New Roman" w:hAnsi="Times New Roman" w:cs="Times New Roman"/>
        </w:rPr>
        <w:t xml:space="preserve">of Schedule 1 </w:t>
      </w:r>
      <w:r w:rsidR="001F558E">
        <w:rPr>
          <w:rFonts w:ascii="Times New Roman" w:hAnsi="Times New Roman" w:cs="Times New Roman"/>
        </w:rPr>
        <w:t>are</w:t>
      </w:r>
      <w:r w:rsidR="00DB4FD2" w:rsidRPr="009641D6">
        <w:rPr>
          <w:rFonts w:ascii="Times New Roman" w:hAnsi="Times New Roman" w:cs="Times New Roman"/>
        </w:rPr>
        <w:t xml:space="preserve"> greater than the deposit, the applicant must pay the differen</w:t>
      </w:r>
      <w:r w:rsidR="00DB4FD2" w:rsidRPr="007E17D1">
        <w:rPr>
          <w:rFonts w:ascii="Times New Roman" w:hAnsi="Times New Roman" w:cs="Times New Roman"/>
        </w:rPr>
        <w:t xml:space="preserve">ce </w:t>
      </w:r>
      <w:r w:rsidR="00584618">
        <w:rPr>
          <w:rFonts w:ascii="Times New Roman" w:hAnsi="Times New Roman" w:cs="Times New Roman"/>
        </w:rPr>
        <w:t>(</w:t>
      </w:r>
      <w:r w:rsidR="00584618" w:rsidRPr="00615038">
        <w:rPr>
          <w:rFonts w:ascii="Times New Roman" w:hAnsi="Times New Roman" w:cs="Times New Roman"/>
        </w:rPr>
        <w:t>on the issue of an invoice for the charge</w:t>
      </w:r>
      <w:r w:rsidR="00584618">
        <w:rPr>
          <w:rFonts w:ascii="Times New Roman" w:hAnsi="Times New Roman" w:cs="Times New Roman"/>
        </w:rPr>
        <w:t xml:space="preserve">) as set out in </w:t>
      </w:r>
      <w:r w:rsidR="00DB4FD2" w:rsidRPr="00E35F13">
        <w:rPr>
          <w:rFonts w:ascii="Times New Roman" w:hAnsi="Times New Roman" w:cs="Times New Roman"/>
        </w:rPr>
        <w:t>subparagraph 14(1)(d)(i</w:t>
      </w:r>
      <w:r w:rsidR="00DB4FD2" w:rsidRPr="00C25B6C">
        <w:rPr>
          <w:rFonts w:ascii="Times New Roman" w:hAnsi="Times New Roman" w:cs="Times New Roman"/>
        </w:rPr>
        <w:t>v</w:t>
      </w:r>
      <w:r w:rsidR="00DB4FD2" w:rsidRPr="003618ED">
        <w:rPr>
          <w:rFonts w:ascii="Times New Roman" w:hAnsi="Times New Roman" w:cs="Times New Roman"/>
        </w:rPr>
        <w:t xml:space="preserve">). </w:t>
      </w:r>
    </w:p>
    <w:p w14:paraId="6320BCBF" w14:textId="42806E6B"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4</w:t>
      </w:r>
      <w:r w:rsidRPr="001B62FA">
        <w:rPr>
          <w:rFonts w:ascii="Times New Roman" w:hAnsi="Times New Roman" w:cs="Times New Roman"/>
          <w:b/>
          <w:bCs/>
        </w:rPr>
        <w:tab/>
        <w:t>By whom and when is a charge payable?</w:t>
      </w:r>
    </w:p>
    <w:p w14:paraId="3115C91F" w14:textId="53877FB3" w:rsidR="00F964B1" w:rsidRPr="00257F20" w:rsidRDefault="009078C2" w:rsidP="00D47574">
      <w:r w:rsidRPr="009078C2">
        <w:rPr>
          <w:rFonts w:ascii="Times New Roman" w:hAnsi="Times New Roman" w:cs="Times New Roman"/>
        </w:rPr>
        <w:t xml:space="preserve">This section specifies </w:t>
      </w:r>
      <w:r w:rsidR="00E128CF">
        <w:rPr>
          <w:rFonts w:ascii="Times New Roman" w:hAnsi="Times New Roman" w:cs="Times New Roman"/>
        </w:rPr>
        <w:t xml:space="preserve">when </w:t>
      </w:r>
      <w:r w:rsidRPr="009078C2">
        <w:rPr>
          <w:rFonts w:ascii="Times New Roman" w:hAnsi="Times New Roman" w:cs="Times New Roman"/>
        </w:rPr>
        <w:t xml:space="preserve">charges </w:t>
      </w:r>
      <w:r w:rsidR="00CC0BFD">
        <w:rPr>
          <w:rFonts w:ascii="Times New Roman" w:hAnsi="Times New Roman" w:cs="Times New Roman"/>
        </w:rPr>
        <w:t xml:space="preserve">are </w:t>
      </w:r>
      <w:r w:rsidRPr="009078C2">
        <w:rPr>
          <w:rFonts w:ascii="Times New Roman" w:hAnsi="Times New Roman" w:cs="Times New Roman"/>
        </w:rPr>
        <w:t xml:space="preserve">payable by the applicant </w:t>
      </w:r>
      <w:r w:rsidR="001F68C2">
        <w:rPr>
          <w:rFonts w:ascii="Times New Roman" w:hAnsi="Times New Roman" w:cs="Times New Roman"/>
        </w:rPr>
        <w:t>(where the charge relates to an application</w:t>
      </w:r>
      <w:r w:rsidR="00E80A99">
        <w:rPr>
          <w:rFonts w:ascii="Times New Roman" w:hAnsi="Times New Roman" w:cs="Times New Roman"/>
        </w:rPr>
        <w:t xml:space="preserve">) </w:t>
      </w:r>
      <w:r w:rsidR="00E128CF">
        <w:rPr>
          <w:rFonts w:ascii="Times New Roman" w:hAnsi="Times New Roman" w:cs="Times New Roman"/>
        </w:rPr>
        <w:t xml:space="preserve">or requesting person </w:t>
      </w:r>
      <w:r w:rsidR="00E80A99">
        <w:rPr>
          <w:rFonts w:ascii="Times New Roman" w:hAnsi="Times New Roman" w:cs="Times New Roman"/>
        </w:rPr>
        <w:t xml:space="preserve">(where the charge relates to a request) </w:t>
      </w:r>
      <w:r w:rsidR="00265BDA">
        <w:rPr>
          <w:rFonts w:ascii="Times New Roman" w:hAnsi="Times New Roman" w:cs="Times New Roman"/>
        </w:rPr>
        <w:t xml:space="preserve">under specified </w:t>
      </w:r>
      <w:r w:rsidR="0061126A">
        <w:rPr>
          <w:rFonts w:ascii="Times New Roman" w:hAnsi="Times New Roman" w:cs="Times New Roman"/>
        </w:rPr>
        <w:t xml:space="preserve">items </w:t>
      </w:r>
      <w:r w:rsidR="00265BDA">
        <w:rPr>
          <w:rFonts w:ascii="Times New Roman" w:hAnsi="Times New Roman" w:cs="Times New Roman"/>
        </w:rPr>
        <w:t xml:space="preserve">of </w:t>
      </w:r>
      <w:r w:rsidR="00240E4C">
        <w:rPr>
          <w:rFonts w:ascii="Times New Roman" w:hAnsi="Times New Roman" w:cs="Times New Roman"/>
        </w:rPr>
        <w:t>Schedule</w:t>
      </w:r>
      <w:r w:rsidR="00265BDA">
        <w:rPr>
          <w:rFonts w:ascii="Times New Roman" w:hAnsi="Times New Roman" w:cs="Times New Roman"/>
        </w:rPr>
        <w:t xml:space="preserve"> 1</w:t>
      </w:r>
      <w:r w:rsidR="00603ECE">
        <w:rPr>
          <w:rFonts w:ascii="Times New Roman" w:hAnsi="Times New Roman" w:cs="Times New Roman"/>
        </w:rPr>
        <w:t xml:space="preserve"> to the instrument</w:t>
      </w:r>
      <w:r w:rsidR="0061126A">
        <w:rPr>
          <w:rFonts w:ascii="Times New Roman" w:hAnsi="Times New Roman" w:cs="Times New Roman"/>
        </w:rPr>
        <w:t>.</w:t>
      </w:r>
      <w:r w:rsidR="00603ECE">
        <w:rPr>
          <w:rFonts w:ascii="Times New Roman" w:hAnsi="Times New Roman" w:cs="Times New Roman"/>
        </w:rPr>
        <w:t xml:space="preserve"> </w:t>
      </w:r>
      <w:r w:rsidR="00F964B1">
        <w:rPr>
          <w:rFonts w:ascii="Times New Roman" w:hAnsi="Times New Roman" w:cs="Times New Roman"/>
        </w:rPr>
        <w:t>Where a charge relates to an application</w:t>
      </w:r>
      <w:r w:rsidR="002E57E8">
        <w:rPr>
          <w:rFonts w:ascii="Times New Roman" w:hAnsi="Times New Roman" w:cs="Times New Roman"/>
        </w:rPr>
        <w:t xml:space="preserve">, the charge is payable by the applicant, when the application is made. Where a charge relates to a request, the </w:t>
      </w:r>
      <w:r w:rsidR="008D42B7">
        <w:rPr>
          <w:rFonts w:ascii="Times New Roman" w:hAnsi="Times New Roman" w:cs="Times New Roman"/>
        </w:rPr>
        <w:t xml:space="preserve">charge is payable by the person making the request, when the request is made. </w:t>
      </w:r>
      <w:r w:rsidR="002D5B5A">
        <w:rPr>
          <w:rFonts w:ascii="Times New Roman" w:hAnsi="Times New Roman" w:cs="Times New Roman"/>
        </w:rPr>
        <w:t>For a</w:t>
      </w:r>
      <w:r w:rsidR="00E65E1A">
        <w:rPr>
          <w:rFonts w:ascii="Times New Roman" w:hAnsi="Times New Roman" w:cs="Times New Roman"/>
        </w:rPr>
        <w:t xml:space="preserve">pplications </w:t>
      </w:r>
      <w:r w:rsidR="00832E99">
        <w:rPr>
          <w:rFonts w:ascii="Times New Roman" w:hAnsi="Times New Roman" w:cs="Times New Roman"/>
        </w:rPr>
        <w:t>made under</w:t>
      </w:r>
      <w:r w:rsidR="004F4752">
        <w:rPr>
          <w:rFonts w:ascii="Times New Roman" w:hAnsi="Times New Roman" w:cs="Times New Roman"/>
        </w:rPr>
        <w:t xml:space="preserve"> </w:t>
      </w:r>
      <w:r w:rsidR="00955B24">
        <w:rPr>
          <w:rFonts w:ascii="Times New Roman" w:hAnsi="Times New Roman" w:cs="Times New Roman"/>
        </w:rPr>
        <w:t>Parts 2 or 3 of Chapter 6 of the numbering plan</w:t>
      </w:r>
      <w:r w:rsidR="002D5B5A">
        <w:rPr>
          <w:rFonts w:ascii="Times New Roman" w:hAnsi="Times New Roman" w:cs="Times New Roman"/>
        </w:rPr>
        <w:t xml:space="preserve"> (item 2.</w:t>
      </w:r>
      <w:r w:rsidR="005417D6">
        <w:rPr>
          <w:rFonts w:ascii="Times New Roman" w:hAnsi="Times New Roman" w:cs="Times New Roman"/>
        </w:rPr>
        <w:t>1 of Schedule 1 to the instrument)</w:t>
      </w:r>
      <w:r w:rsidR="00395A6E">
        <w:rPr>
          <w:rFonts w:ascii="Times New Roman" w:hAnsi="Times New Roman" w:cs="Times New Roman"/>
        </w:rPr>
        <w:t xml:space="preserve">, </w:t>
      </w:r>
      <w:r w:rsidR="002D5B5A">
        <w:rPr>
          <w:rFonts w:ascii="Times New Roman" w:hAnsi="Times New Roman" w:cs="Times New Roman"/>
        </w:rPr>
        <w:t xml:space="preserve">section 14 provides that </w:t>
      </w:r>
      <w:r w:rsidR="00395A6E">
        <w:rPr>
          <w:rFonts w:ascii="Times New Roman" w:hAnsi="Times New Roman" w:cs="Times New Roman"/>
        </w:rPr>
        <w:t>the charge is payable in accordance with subsections 58(6) or 63(6) of the numbering plan</w:t>
      </w:r>
      <w:r w:rsidR="00B84ED1">
        <w:rPr>
          <w:rFonts w:ascii="Times New Roman" w:hAnsi="Times New Roman" w:cs="Times New Roman"/>
        </w:rPr>
        <w:t xml:space="preserve">, which require </w:t>
      </w:r>
      <w:r w:rsidR="00DB5460">
        <w:rPr>
          <w:rFonts w:ascii="Times New Roman" w:hAnsi="Times New Roman" w:cs="Times New Roman"/>
        </w:rPr>
        <w:t xml:space="preserve">the </w:t>
      </w:r>
      <w:r w:rsidR="000B3E43">
        <w:rPr>
          <w:rFonts w:ascii="Times New Roman" w:hAnsi="Times New Roman" w:cs="Times New Roman"/>
        </w:rPr>
        <w:t xml:space="preserve">charge to accompany the application. </w:t>
      </w:r>
      <w:r w:rsidR="00E5464A" w:rsidRPr="00D47574">
        <w:rPr>
          <w:rFonts w:ascii="Times New Roman" w:hAnsi="Times New Roman" w:cs="Times New Roman"/>
        </w:rPr>
        <w:t xml:space="preserve">A deposit payable on account of </w:t>
      </w:r>
      <w:r w:rsidR="00E5464A" w:rsidRPr="00D47574">
        <w:rPr>
          <w:rFonts w:ascii="Times New Roman" w:hAnsi="Times New Roman" w:cs="Times New Roman"/>
          <w:lang w:val="en-US"/>
        </w:rPr>
        <w:t>the expenses to be incurred by the ACMA for the holding of a public inquiry</w:t>
      </w:r>
      <w:r w:rsidR="00F0465F" w:rsidRPr="00D47574">
        <w:rPr>
          <w:rFonts w:ascii="Times New Roman" w:hAnsi="Times New Roman" w:cs="Times New Roman"/>
          <w:lang w:val="en-US"/>
        </w:rPr>
        <w:t xml:space="preserve"> (item 4.1 of Schedule 1 to the instrument) </w:t>
      </w:r>
      <w:r w:rsidR="0001217A" w:rsidRPr="00D47574">
        <w:rPr>
          <w:rFonts w:ascii="Times New Roman" w:hAnsi="Times New Roman" w:cs="Times New Roman"/>
          <w:lang w:val="en-US"/>
        </w:rPr>
        <w:t xml:space="preserve">in relation to a facility installation permit </w:t>
      </w:r>
      <w:r w:rsidR="00920729" w:rsidRPr="00D47574">
        <w:rPr>
          <w:rFonts w:ascii="Times New Roman" w:hAnsi="Times New Roman" w:cs="Times New Roman"/>
          <w:lang w:val="en-US"/>
        </w:rPr>
        <w:t xml:space="preserve">application </w:t>
      </w:r>
      <w:r w:rsidR="00513E7B" w:rsidRPr="00D47574">
        <w:rPr>
          <w:rFonts w:ascii="Times New Roman" w:hAnsi="Times New Roman" w:cs="Times New Roman"/>
          <w:lang w:val="en-US"/>
        </w:rPr>
        <w:t xml:space="preserve">is payable </w:t>
      </w:r>
      <w:r w:rsidR="00F964B1" w:rsidRPr="00D47574">
        <w:rPr>
          <w:rFonts w:ascii="Times New Roman" w:hAnsi="Times New Roman" w:cs="Times New Roman"/>
        </w:rPr>
        <w:t xml:space="preserve">within 7 days of the applicant being notified by the ACMA of </w:t>
      </w:r>
      <w:r w:rsidR="00033E9B" w:rsidRPr="00D47574">
        <w:rPr>
          <w:rFonts w:ascii="Times New Roman" w:hAnsi="Times New Roman" w:cs="Times New Roman"/>
        </w:rPr>
        <w:t>its</w:t>
      </w:r>
      <w:r w:rsidR="00F964B1" w:rsidRPr="00D47574">
        <w:rPr>
          <w:rFonts w:ascii="Times New Roman" w:hAnsi="Times New Roman" w:cs="Times New Roman"/>
        </w:rPr>
        <w:t xml:space="preserve"> intention to hold a public inquiry</w:t>
      </w:r>
      <w:r w:rsidR="00920729" w:rsidRPr="00D47574">
        <w:rPr>
          <w:rFonts w:ascii="Times New Roman" w:hAnsi="Times New Roman" w:cs="Times New Roman"/>
        </w:rPr>
        <w:t xml:space="preserve">. </w:t>
      </w:r>
      <w:r w:rsidR="009D743B" w:rsidRPr="00D47574">
        <w:rPr>
          <w:rFonts w:ascii="Times New Roman" w:hAnsi="Times New Roman" w:cs="Times New Roman"/>
        </w:rPr>
        <w:t xml:space="preserve">Some charges are payable by the due date specified in an invoice issued by the ACMA to the applicant or requesting person for the charge. </w:t>
      </w:r>
      <w:r w:rsidR="00F964B1" w:rsidRPr="00D47574">
        <w:rPr>
          <w:rFonts w:ascii="Times New Roman" w:hAnsi="Times New Roman" w:cs="Times New Roman"/>
        </w:rPr>
        <w:t xml:space="preserve"> </w:t>
      </w:r>
    </w:p>
    <w:p w14:paraId="120476C7" w14:textId="16666CA8" w:rsidR="00F964B1" w:rsidRDefault="00F964B1" w:rsidP="004A5A03">
      <w:pPr>
        <w:pStyle w:val="subsection"/>
        <w:tabs>
          <w:tab w:val="clear" w:pos="1021"/>
        </w:tabs>
        <w:ind w:left="0" w:firstLine="0"/>
        <w:rPr>
          <w:szCs w:val="22"/>
        </w:rPr>
      </w:pPr>
      <w:r w:rsidRPr="00564F8C">
        <w:rPr>
          <w:szCs w:val="22"/>
        </w:rPr>
        <w:t xml:space="preserve">In the </w:t>
      </w:r>
      <w:r>
        <w:rPr>
          <w:szCs w:val="22"/>
        </w:rPr>
        <w:t xml:space="preserve">case of a charge mentioned in item 2.3 of Schedule 1, the charge is payable by the person registering to use the </w:t>
      </w:r>
      <w:r w:rsidR="00B75641">
        <w:rPr>
          <w:szCs w:val="22"/>
        </w:rPr>
        <w:t xml:space="preserve">electronic system, </w:t>
      </w:r>
      <w:r>
        <w:rPr>
          <w:szCs w:val="22"/>
        </w:rPr>
        <w:t>immediately before registration.</w:t>
      </w:r>
      <w:r w:rsidR="007547DC">
        <w:rPr>
          <w:szCs w:val="22"/>
        </w:rPr>
        <w:t xml:space="preserve"> </w:t>
      </w:r>
    </w:p>
    <w:p w14:paraId="103512D8" w14:textId="77777777" w:rsidR="00F964B1" w:rsidRPr="009078C2" w:rsidRDefault="00F964B1" w:rsidP="008A2F0A">
      <w:pPr>
        <w:rPr>
          <w:rFonts w:ascii="Times New Roman" w:hAnsi="Times New Roman" w:cs="Times New Roman"/>
        </w:rPr>
      </w:pPr>
    </w:p>
    <w:p w14:paraId="6079B0E6"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3</w:t>
      </w:r>
      <w:r w:rsidRPr="001B62FA">
        <w:rPr>
          <w:rFonts w:ascii="Times New Roman" w:hAnsi="Times New Roman" w:cs="Times New Roman"/>
          <w:b/>
          <w:bCs/>
        </w:rPr>
        <w:tab/>
      </w:r>
      <w:r w:rsidRPr="001B62FA">
        <w:rPr>
          <w:rFonts w:ascii="Times New Roman" w:hAnsi="Times New Roman" w:cs="Times New Roman"/>
          <w:b/>
          <w:bCs/>
        </w:rPr>
        <w:tab/>
        <w:t>Transitional arrangements</w:t>
      </w:r>
    </w:p>
    <w:p w14:paraId="68A45748" w14:textId="103ADE7B" w:rsidR="00BE4155" w:rsidRDefault="00B75641" w:rsidP="009078C2">
      <w:pPr>
        <w:rPr>
          <w:rFonts w:ascii="Times New Roman" w:hAnsi="Times New Roman" w:cs="Times New Roman"/>
        </w:rPr>
      </w:pPr>
      <w:r>
        <w:rPr>
          <w:rFonts w:ascii="Times New Roman" w:hAnsi="Times New Roman" w:cs="Times New Roman"/>
        </w:rPr>
        <w:t xml:space="preserve">Part 3 of the instrument sets out transitional arrangements </w:t>
      </w:r>
      <w:r w:rsidR="00390641">
        <w:rPr>
          <w:rFonts w:ascii="Times New Roman" w:hAnsi="Times New Roman" w:cs="Times New Roman"/>
        </w:rPr>
        <w:t xml:space="preserve">for certain charges that apply as a result of the repeal of the </w:t>
      </w:r>
      <w:r w:rsidR="00390641" w:rsidRPr="00323A6F">
        <w:rPr>
          <w:rFonts w:ascii="Times New Roman" w:hAnsi="Times New Roman" w:cs="Times New Roman"/>
        </w:rPr>
        <w:t>2012 Determination</w:t>
      </w:r>
      <w:r w:rsidR="00390641">
        <w:rPr>
          <w:rFonts w:ascii="Times New Roman" w:hAnsi="Times New Roman" w:cs="Times New Roman"/>
        </w:rPr>
        <w:t xml:space="preserve"> and the commencement of the instrument. </w:t>
      </w:r>
      <w:r w:rsidR="00BE4155">
        <w:rPr>
          <w:rFonts w:ascii="Times New Roman" w:hAnsi="Times New Roman" w:cs="Times New Roman"/>
        </w:rPr>
        <w:br w:type="page"/>
      </w:r>
    </w:p>
    <w:p w14:paraId="6ADB42F1" w14:textId="77777777" w:rsidR="00B75641" w:rsidRPr="00D47574" w:rsidRDefault="00B75641" w:rsidP="009078C2">
      <w:pPr>
        <w:rPr>
          <w:rFonts w:ascii="Times New Roman" w:hAnsi="Times New Roman" w:cs="Times New Roman"/>
        </w:rPr>
      </w:pPr>
    </w:p>
    <w:p w14:paraId="3784407F" w14:textId="5418DBDB"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5</w:t>
      </w:r>
      <w:r w:rsidRPr="001B62FA">
        <w:rPr>
          <w:rFonts w:ascii="Times New Roman" w:hAnsi="Times New Roman" w:cs="Times New Roman"/>
          <w:b/>
          <w:bCs/>
        </w:rPr>
        <w:tab/>
        <w:t>Transitional arrangements – facility installation permit applications (not relating to public inquiry)</w:t>
      </w:r>
    </w:p>
    <w:p w14:paraId="67AB12EA" w14:textId="4BFE6D83" w:rsidR="009078C2" w:rsidRPr="009078C2" w:rsidRDefault="009078C2" w:rsidP="009078C2">
      <w:pPr>
        <w:rPr>
          <w:rFonts w:ascii="Times New Roman" w:hAnsi="Times New Roman" w:cs="Times New Roman"/>
        </w:rPr>
      </w:pPr>
      <w:r w:rsidRPr="009078C2">
        <w:rPr>
          <w:rFonts w:ascii="Times New Roman" w:hAnsi="Times New Roman" w:cs="Times New Roman"/>
        </w:rPr>
        <w:t xml:space="preserve">This section provides that any remaining residue of a deposit paid under item </w:t>
      </w:r>
      <w:r w:rsidR="00D237A6">
        <w:rPr>
          <w:rFonts w:ascii="Times New Roman" w:hAnsi="Times New Roman" w:cs="Times New Roman"/>
        </w:rPr>
        <w:t>4</w:t>
      </w:r>
      <w:r w:rsidRPr="009078C2">
        <w:rPr>
          <w:rFonts w:ascii="Times New Roman" w:hAnsi="Times New Roman" w:cs="Times New Roman"/>
        </w:rPr>
        <w:t xml:space="preserve">.1 of </w:t>
      </w:r>
      <w:r w:rsidR="00240E4C">
        <w:rPr>
          <w:rFonts w:ascii="Times New Roman" w:hAnsi="Times New Roman" w:cs="Times New Roman"/>
        </w:rPr>
        <w:t>Schedule</w:t>
      </w:r>
      <w:r w:rsidRPr="009078C2">
        <w:rPr>
          <w:rFonts w:ascii="Times New Roman" w:hAnsi="Times New Roman" w:cs="Times New Roman"/>
        </w:rPr>
        <w:t xml:space="preserve"> 1 to the 2012 Determination</w:t>
      </w:r>
      <w:r w:rsidR="007D16F1">
        <w:rPr>
          <w:rFonts w:ascii="Times New Roman" w:hAnsi="Times New Roman" w:cs="Times New Roman"/>
        </w:rPr>
        <w:t xml:space="preserve"> prior to the commencement of the instrument,</w:t>
      </w:r>
      <w:r w:rsidRPr="009078C2">
        <w:rPr>
          <w:rFonts w:ascii="Times New Roman" w:hAnsi="Times New Roman" w:cs="Times New Roman"/>
        </w:rPr>
        <w:t xml:space="preserve"> </w:t>
      </w:r>
      <w:r w:rsidR="006C3079">
        <w:rPr>
          <w:rFonts w:ascii="Times New Roman" w:hAnsi="Times New Roman" w:cs="Times New Roman"/>
        </w:rPr>
        <w:t xml:space="preserve">is to </w:t>
      </w:r>
      <w:r w:rsidRPr="009078C2">
        <w:rPr>
          <w:rFonts w:ascii="Times New Roman" w:hAnsi="Times New Roman" w:cs="Times New Roman"/>
        </w:rPr>
        <w:t xml:space="preserve">be treated as </w:t>
      </w:r>
      <w:r w:rsidR="006C3079">
        <w:rPr>
          <w:rFonts w:ascii="Times New Roman" w:hAnsi="Times New Roman" w:cs="Times New Roman"/>
        </w:rPr>
        <w:t xml:space="preserve">if it were the residue of a </w:t>
      </w:r>
      <w:r w:rsidRPr="009078C2">
        <w:rPr>
          <w:rFonts w:ascii="Times New Roman" w:hAnsi="Times New Roman" w:cs="Times New Roman"/>
        </w:rPr>
        <w:t xml:space="preserve">deposit </w:t>
      </w:r>
      <w:r w:rsidR="006C3079">
        <w:rPr>
          <w:rFonts w:ascii="Times New Roman" w:hAnsi="Times New Roman" w:cs="Times New Roman"/>
        </w:rPr>
        <w:t xml:space="preserve">mentioned in </w:t>
      </w:r>
      <w:r w:rsidRPr="009078C2">
        <w:rPr>
          <w:rFonts w:ascii="Times New Roman" w:hAnsi="Times New Roman" w:cs="Times New Roman"/>
        </w:rPr>
        <w:t>section 1</w:t>
      </w:r>
      <w:r w:rsidR="003D2290">
        <w:rPr>
          <w:rFonts w:ascii="Times New Roman" w:hAnsi="Times New Roman" w:cs="Times New Roman"/>
        </w:rPr>
        <w:t>0</w:t>
      </w:r>
      <w:r w:rsidR="00B02B45">
        <w:rPr>
          <w:rFonts w:ascii="Times New Roman" w:hAnsi="Times New Roman" w:cs="Times New Roman"/>
        </w:rPr>
        <w:t xml:space="preserve"> of the instrument</w:t>
      </w:r>
      <w:r w:rsidRPr="009078C2">
        <w:rPr>
          <w:rFonts w:ascii="Times New Roman" w:hAnsi="Times New Roman" w:cs="Times New Roman"/>
        </w:rPr>
        <w:t>.</w:t>
      </w:r>
    </w:p>
    <w:p w14:paraId="29017F7D" w14:textId="62499881"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6</w:t>
      </w:r>
      <w:r w:rsidRPr="001B62FA">
        <w:rPr>
          <w:rFonts w:ascii="Times New Roman" w:hAnsi="Times New Roman" w:cs="Times New Roman"/>
          <w:b/>
          <w:bCs/>
        </w:rPr>
        <w:tab/>
        <w:t>Transitional arrangements – facility installation permit applications (relating to public inquiry)</w:t>
      </w:r>
    </w:p>
    <w:p w14:paraId="3984A824" w14:textId="03EE5C3D" w:rsidR="009078C2" w:rsidRPr="009078C2" w:rsidRDefault="009078C2" w:rsidP="009078C2">
      <w:pPr>
        <w:rPr>
          <w:rFonts w:ascii="Times New Roman" w:hAnsi="Times New Roman" w:cs="Times New Roman"/>
        </w:rPr>
      </w:pPr>
      <w:r w:rsidRPr="009078C2">
        <w:rPr>
          <w:rFonts w:ascii="Times New Roman" w:hAnsi="Times New Roman" w:cs="Times New Roman"/>
        </w:rPr>
        <w:t xml:space="preserve">This section provides that any remaining residue of a deposit paid under item </w:t>
      </w:r>
      <w:r w:rsidR="00D237A6">
        <w:rPr>
          <w:rFonts w:ascii="Times New Roman" w:hAnsi="Times New Roman" w:cs="Times New Roman"/>
        </w:rPr>
        <w:t>5</w:t>
      </w:r>
      <w:r w:rsidRPr="009078C2">
        <w:rPr>
          <w:rFonts w:ascii="Times New Roman" w:hAnsi="Times New Roman" w:cs="Times New Roman"/>
        </w:rPr>
        <w:t xml:space="preserve">.1 of </w:t>
      </w:r>
      <w:r w:rsidR="00240E4C">
        <w:rPr>
          <w:rFonts w:ascii="Times New Roman" w:hAnsi="Times New Roman" w:cs="Times New Roman"/>
        </w:rPr>
        <w:t>Schedule</w:t>
      </w:r>
      <w:r w:rsidRPr="009078C2">
        <w:rPr>
          <w:rFonts w:ascii="Times New Roman" w:hAnsi="Times New Roman" w:cs="Times New Roman"/>
        </w:rPr>
        <w:t xml:space="preserve"> 1 to the 2012 Determination </w:t>
      </w:r>
      <w:r w:rsidR="0053543D">
        <w:rPr>
          <w:rFonts w:ascii="Times New Roman" w:hAnsi="Times New Roman" w:cs="Times New Roman"/>
        </w:rPr>
        <w:t xml:space="preserve">prior to the commencement of the instrument, </w:t>
      </w:r>
      <w:r w:rsidR="006C3079">
        <w:rPr>
          <w:rFonts w:ascii="Times New Roman" w:hAnsi="Times New Roman" w:cs="Times New Roman"/>
        </w:rPr>
        <w:t xml:space="preserve">is to </w:t>
      </w:r>
      <w:r w:rsidRPr="009078C2">
        <w:rPr>
          <w:rFonts w:ascii="Times New Roman" w:hAnsi="Times New Roman" w:cs="Times New Roman"/>
        </w:rPr>
        <w:t xml:space="preserve">be treated as </w:t>
      </w:r>
      <w:r w:rsidR="006C3079">
        <w:rPr>
          <w:rFonts w:ascii="Times New Roman" w:hAnsi="Times New Roman" w:cs="Times New Roman"/>
        </w:rPr>
        <w:t xml:space="preserve">if it were the residue of a </w:t>
      </w:r>
      <w:r w:rsidRPr="009078C2">
        <w:rPr>
          <w:rFonts w:ascii="Times New Roman" w:hAnsi="Times New Roman" w:cs="Times New Roman"/>
        </w:rPr>
        <w:t xml:space="preserve">deposit </w:t>
      </w:r>
      <w:r w:rsidR="006C3079">
        <w:rPr>
          <w:rFonts w:ascii="Times New Roman" w:hAnsi="Times New Roman" w:cs="Times New Roman"/>
        </w:rPr>
        <w:t xml:space="preserve">mentioned in </w:t>
      </w:r>
      <w:r w:rsidRPr="009078C2">
        <w:rPr>
          <w:rFonts w:ascii="Times New Roman" w:hAnsi="Times New Roman" w:cs="Times New Roman"/>
        </w:rPr>
        <w:t>section 1</w:t>
      </w:r>
      <w:r w:rsidR="00E33418">
        <w:rPr>
          <w:rFonts w:ascii="Times New Roman" w:hAnsi="Times New Roman" w:cs="Times New Roman"/>
        </w:rPr>
        <w:t>1</w:t>
      </w:r>
      <w:r w:rsidR="00B02B45">
        <w:rPr>
          <w:rFonts w:ascii="Times New Roman" w:hAnsi="Times New Roman" w:cs="Times New Roman"/>
        </w:rPr>
        <w:t xml:space="preserve"> of the instrument</w:t>
      </w:r>
      <w:r w:rsidRPr="009078C2">
        <w:rPr>
          <w:rFonts w:ascii="Times New Roman" w:hAnsi="Times New Roman" w:cs="Times New Roman"/>
        </w:rPr>
        <w:t>.</w:t>
      </w:r>
    </w:p>
    <w:p w14:paraId="31333CBA" w14:textId="7AEB5EAB"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7</w:t>
      </w:r>
      <w:r w:rsidRPr="001B62FA">
        <w:rPr>
          <w:rFonts w:ascii="Times New Roman" w:hAnsi="Times New Roman" w:cs="Times New Roman"/>
          <w:b/>
          <w:bCs/>
        </w:rPr>
        <w:tab/>
        <w:t xml:space="preserve">Transitional arrangements – request for a declaration, </w:t>
      </w:r>
      <w:proofErr w:type="gramStart"/>
      <w:r w:rsidRPr="001B62FA">
        <w:rPr>
          <w:rFonts w:ascii="Times New Roman" w:hAnsi="Times New Roman" w:cs="Times New Roman"/>
          <w:b/>
          <w:bCs/>
        </w:rPr>
        <w:t>variation</w:t>
      </w:r>
      <w:proofErr w:type="gramEnd"/>
      <w:r w:rsidRPr="001B62FA">
        <w:rPr>
          <w:rFonts w:ascii="Times New Roman" w:hAnsi="Times New Roman" w:cs="Times New Roman"/>
          <w:b/>
          <w:bCs/>
        </w:rPr>
        <w:t xml:space="preserve"> or revocation of a protection zone</w:t>
      </w:r>
    </w:p>
    <w:p w14:paraId="15AD88A2" w14:textId="7F4AA91D" w:rsidR="009078C2" w:rsidRPr="009078C2" w:rsidRDefault="009078C2" w:rsidP="009078C2">
      <w:pPr>
        <w:rPr>
          <w:rFonts w:ascii="Times New Roman" w:hAnsi="Times New Roman" w:cs="Times New Roman"/>
        </w:rPr>
      </w:pPr>
      <w:r w:rsidRPr="009078C2">
        <w:rPr>
          <w:rFonts w:ascii="Times New Roman" w:hAnsi="Times New Roman" w:cs="Times New Roman"/>
        </w:rPr>
        <w:t xml:space="preserve">This section provides that any remaining residue of a deposit paid under items </w:t>
      </w:r>
      <w:r w:rsidR="00D237A6">
        <w:rPr>
          <w:rFonts w:ascii="Times New Roman" w:hAnsi="Times New Roman" w:cs="Times New Roman"/>
        </w:rPr>
        <w:t>6</w:t>
      </w:r>
      <w:r w:rsidRPr="009078C2">
        <w:rPr>
          <w:rFonts w:ascii="Times New Roman" w:hAnsi="Times New Roman" w:cs="Times New Roman"/>
        </w:rPr>
        <w:t xml:space="preserve">.1 </w:t>
      </w:r>
      <w:r w:rsidR="00252C74">
        <w:rPr>
          <w:rFonts w:ascii="Times New Roman" w:hAnsi="Times New Roman" w:cs="Times New Roman"/>
        </w:rPr>
        <w:t xml:space="preserve">or </w:t>
      </w:r>
      <w:r w:rsidR="00D237A6">
        <w:rPr>
          <w:rFonts w:ascii="Times New Roman" w:hAnsi="Times New Roman" w:cs="Times New Roman"/>
        </w:rPr>
        <w:t>6</w:t>
      </w:r>
      <w:r w:rsidRPr="009078C2">
        <w:rPr>
          <w:rFonts w:ascii="Times New Roman" w:hAnsi="Times New Roman" w:cs="Times New Roman"/>
        </w:rPr>
        <w:t xml:space="preserve">.2 of </w:t>
      </w:r>
      <w:r w:rsidR="00240E4C">
        <w:rPr>
          <w:rFonts w:ascii="Times New Roman" w:hAnsi="Times New Roman" w:cs="Times New Roman"/>
        </w:rPr>
        <w:t>Schedule</w:t>
      </w:r>
      <w:r w:rsidRPr="009078C2">
        <w:rPr>
          <w:rFonts w:ascii="Times New Roman" w:hAnsi="Times New Roman" w:cs="Times New Roman"/>
        </w:rPr>
        <w:t xml:space="preserve"> 1 to the 2012 Determination </w:t>
      </w:r>
      <w:r w:rsidR="0053543D">
        <w:rPr>
          <w:rFonts w:ascii="Times New Roman" w:hAnsi="Times New Roman" w:cs="Times New Roman"/>
        </w:rPr>
        <w:t xml:space="preserve">prior to the commencement of the instrument, </w:t>
      </w:r>
      <w:r w:rsidR="006C3079">
        <w:rPr>
          <w:rFonts w:ascii="Times New Roman" w:hAnsi="Times New Roman" w:cs="Times New Roman"/>
        </w:rPr>
        <w:t xml:space="preserve">is to </w:t>
      </w:r>
      <w:r w:rsidRPr="009078C2">
        <w:rPr>
          <w:rFonts w:ascii="Times New Roman" w:hAnsi="Times New Roman" w:cs="Times New Roman"/>
        </w:rPr>
        <w:t xml:space="preserve">be treated as </w:t>
      </w:r>
      <w:r w:rsidR="006C3079">
        <w:rPr>
          <w:rFonts w:ascii="Times New Roman" w:hAnsi="Times New Roman" w:cs="Times New Roman"/>
        </w:rPr>
        <w:t xml:space="preserve">if it were the residue a deposit mentioned in </w:t>
      </w:r>
      <w:r w:rsidRPr="009078C2">
        <w:rPr>
          <w:rFonts w:ascii="Times New Roman" w:hAnsi="Times New Roman" w:cs="Times New Roman"/>
        </w:rPr>
        <w:t>section 1</w:t>
      </w:r>
      <w:r w:rsidR="00E33418">
        <w:rPr>
          <w:rFonts w:ascii="Times New Roman" w:hAnsi="Times New Roman" w:cs="Times New Roman"/>
        </w:rPr>
        <w:t>2</w:t>
      </w:r>
      <w:r w:rsidR="00B02B45">
        <w:rPr>
          <w:rFonts w:ascii="Times New Roman" w:hAnsi="Times New Roman" w:cs="Times New Roman"/>
        </w:rPr>
        <w:t xml:space="preserve"> of the instrument</w:t>
      </w:r>
      <w:r w:rsidRPr="009078C2">
        <w:rPr>
          <w:rFonts w:ascii="Times New Roman" w:hAnsi="Times New Roman" w:cs="Times New Roman"/>
        </w:rPr>
        <w:t>.</w:t>
      </w:r>
    </w:p>
    <w:p w14:paraId="3D5F7941" w14:textId="184A813B"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Section 1</w:t>
      </w:r>
      <w:r w:rsidR="00E93598">
        <w:rPr>
          <w:rFonts w:ascii="Times New Roman" w:hAnsi="Times New Roman" w:cs="Times New Roman"/>
          <w:b/>
          <w:bCs/>
        </w:rPr>
        <w:t>8</w:t>
      </w:r>
      <w:r w:rsidRPr="001B62FA">
        <w:rPr>
          <w:rFonts w:ascii="Times New Roman" w:hAnsi="Times New Roman" w:cs="Times New Roman"/>
          <w:b/>
          <w:bCs/>
        </w:rPr>
        <w:tab/>
        <w:t>Transitional arrangements – application for a permit to install a submarine cable</w:t>
      </w:r>
    </w:p>
    <w:p w14:paraId="12BB9A9E" w14:textId="3BB64312" w:rsidR="009078C2" w:rsidRPr="009078C2" w:rsidRDefault="009078C2" w:rsidP="009078C2">
      <w:pPr>
        <w:rPr>
          <w:rFonts w:ascii="Times New Roman" w:hAnsi="Times New Roman" w:cs="Times New Roman"/>
        </w:rPr>
      </w:pPr>
      <w:r w:rsidRPr="009078C2">
        <w:rPr>
          <w:rFonts w:ascii="Times New Roman" w:hAnsi="Times New Roman" w:cs="Times New Roman"/>
        </w:rPr>
        <w:t xml:space="preserve">This section provides that any remaining residue of a deposit paid under item </w:t>
      </w:r>
      <w:r w:rsidR="00980391">
        <w:rPr>
          <w:rFonts w:ascii="Times New Roman" w:hAnsi="Times New Roman" w:cs="Times New Roman"/>
        </w:rPr>
        <w:t>7</w:t>
      </w:r>
      <w:r w:rsidRPr="009078C2">
        <w:rPr>
          <w:rFonts w:ascii="Times New Roman" w:hAnsi="Times New Roman" w:cs="Times New Roman"/>
        </w:rPr>
        <w:t xml:space="preserve">.4 of </w:t>
      </w:r>
      <w:r w:rsidR="00240E4C">
        <w:rPr>
          <w:rFonts w:ascii="Times New Roman" w:hAnsi="Times New Roman" w:cs="Times New Roman"/>
        </w:rPr>
        <w:t>Schedule</w:t>
      </w:r>
      <w:r w:rsidRPr="009078C2">
        <w:rPr>
          <w:rFonts w:ascii="Times New Roman" w:hAnsi="Times New Roman" w:cs="Times New Roman"/>
        </w:rPr>
        <w:t xml:space="preserve"> 1 to the 2012 Determination </w:t>
      </w:r>
      <w:r w:rsidR="0053543D">
        <w:rPr>
          <w:rFonts w:ascii="Times New Roman" w:hAnsi="Times New Roman" w:cs="Times New Roman"/>
        </w:rPr>
        <w:t xml:space="preserve">prior to the commencement of the instrument, </w:t>
      </w:r>
      <w:r w:rsidR="006C3079">
        <w:rPr>
          <w:rFonts w:ascii="Times New Roman" w:hAnsi="Times New Roman" w:cs="Times New Roman"/>
        </w:rPr>
        <w:t xml:space="preserve">is to </w:t>
      </w:r>
      <w:r w:rsidRPr="009078C2">
        <w:rPr>
          <w:rFonts w:ascii="Times New Roman" w:hAnsi="Times New Roman" w:cs="Times New Roman"/>
        </w:rPr>
        <w:t xml:space="preserve">be treated as </w:t>
      </w:r>
      <w:r w:rsidR="006C3079">
        <w:rPr>
          <w:rFonts w:ascii="Times New Roman" w:hAnsi="Times New Roman" w:cs="Times New Roman"/>
        </w:rPr>
        <w:t xml:space="preserve">if it were the residue of a </w:t>
      </w:r>
      <w:r w:rsidRPr="009078C2">
        <w:rPr>
          <w:rFonts w:ascii="Times New Roman" w:hAnsi="Times New Roman" w:cs="Times New Roman"/>
        </w:rPr>
        <w:t xml:space="preserve">deposit </w:t>
      </w:r>
      <w:r w:rsidR="006C3079">
        <w:rPr>
          <w:rFonts w:ascii="Times New Roman" w:hAnsi="Times New Roman" w:cs="Times New Roman"/>
        </w:rPr>
        <w:t xml:space="preserve">mentioned in </w:t>
      </w:r>
      <w:r w:rsidRPr="009078C2">
        <w:rPr>
          <w:rFonts w:ascii="Times New Roman" w:hAnsi="Times New Roman" w:cs="Times New Roman"/>
        </w:rPr>
        <w:t>section 1</w:t>
      </w:r>
      <w:r w:rsidR="00E33418">
        <w:rPr>
          <w:rFonts w:ascii="Times New Roman" w:hAnsi="Times New Roman" w:cs="Times New Roman"/>
        </w:rPr>
        <w:t>3</w:t>
      </w:r>
      <w:r w:rsidR="00B02B45">
        <w:rPr>
          <w:rFonts w:ascii="Times New Roman" w:hAnsi="Times New Roman" w:cs="Times New Roman"/>
        </w:rPr>
        <w:t xml:space="preserve"> of the instrument</w:t>
      </w:r>
      <w:r w:rsidRPr="009078C2">
        <w:rPr>
          <w:rFonts w:ascii="Times New Roman" w:hAnsi="Times New Roman" w:cs="Times New Roman"/>
        </w:rPr>
        <w:t>.</w:t>
      </w:r>
    </w:p>
    <w:p w14:paraId="7A4FA549" w14:textId="2B7D89F4" w:rsidR="009078C2" w:rsidRDefault="00240E4C" w:rsidP="009078C2">
      <w:pPr>
        <w:rPr>
          <w:rFonts w:ascii="Times New Roman" w:hAnsi="Times New Roman" w:cs="Times New Roman"/>
          <w:b/>
          <w:bCs/>
        </w:rPr>
      </w:pPr>
      <w:r>
        <w:rPr>
          <w:rFonts w:ascii="Times New Roman" w:hAnsi="Times New Roman" w:cs="Times New Roman"/>
          <w:b/>
          <w:bCs/>
        </w:rPr>
        <w:t>Schedule</w:t>
      </w:r>
      <w:r w:rsidR="009078C2" w:rsidRPr="001B62FA">
        <w:rPr>
          <w:rFonts w:ascii="Times New Roman" w:hAnsi="Times New Roman" w:cs="Times New Roman"/>
          <w:b/>
          <w:bCs/>
        </w:rPr>
        <w:t xml:space="preserve"> 1 – Charges payable</w:t>
      </w:r>
    </w:p>
    <w:p w14:paraId="0A22297D" w14:textId="3D75D01A" w:rsidR="00CC3587" w:rsidRPr="00D47574" w:rsidRDefault="00CC3587" w:rsidP="009078C2">
      <w:pPr>
        <w:rPr>
          <w:rFonts w:ascii="Times New Roman" w:hAnsi="Times New Roman" w:cs="Times New Roman"/>
        </w:rPr>
      </w:pPr>
      <w:r>
        <w:rPr>
          <w:rFonts w:ascii="Times New Roman" w:hAnsi="Times New Roman" w:cs="Times New Roman"/>
        </w:rPr>
        <w:t xml:space="preserve">Schedule 1 </w:t>
      </w:r>
      <w:r w:rsidR="000576F9">
        <w:rPr>
          <w:rFonts w:ascii="Times New Roman" w:hAnsi="Times New Roman" w:cs="Times New Roman"/>
        </w:rPr>
        <w:t xml:space="preserve">to the instrument </w:t>
      </w:r>
      <w:r>
        <w:rPr>
          <w:rFonts w:ascii="Times New Roman" w:hAnsi="Times New Roman" w:cs="Times New Roman"/>
        </w:rPr>
        <w:t>specifies the charges payable</w:t>
      </w:r>
      <w:r w:rsidR="00C04F11">
        <w:rPr>
          <w:rFonts w:ascii="Times New Roman" w:hAnsi="Times New Roman" w:cs="Times New Roman"/>
        </w:rPr>
        <w:t xml:space="preserve">. Column 2 of an item </w:t>
      </w:r>
      <w:r w:rsidR="001F558E">
        <w:rPr>
          <w:rFonts w:ascii="Times New Roman" w:hAnsi="Times New Roman" w:cs="Times New Roman"/>
        </w:rPr>
        <w:t>in</w:t>
      </w:r>
      <w:r w:rsidR="00C04F11">
        <w:rPr>
          <w:rFonts w:ascii="Times New Roman" w:hAnsi="Times New Roman" w:cs="Times New Roman"/>
        </w:rPr>
        <w:t xml:space="preserve"> each table specifies the service or matter to which the charge relates and the corresponding column 3 specifies the amount of the charge payable. Attachment </w:t>
      </w:r>
      <w:r w:rsidR="0041189B">
        <w:rPr>
          <w:rFonts w:ascii="Times New Roman" w:hAnsi="Times New Roman" w:cs="Times New Roman"/>
        </w:rPr>
        <w:t xml:space="preserve">C lists each item </w:t>
      </w:r>
      <w:r w:rsidR="000576F9">
        <w:rPr>
          <w:rFonts w:ascii="Times New Roman" w:hAnsi="Times New Roman" w:cs="Times New Roman"/>
        </w:rPr>
        <w:t xml:space="preserve">of Schedule </w:t>
      </w:r>
      <w:r w:rsidR="003552CE">
        <w:rPr>
          <w:rFonts w:ascii="Times New Roman" w:hAnsi="Times New Roman" w:cs="Times New Roman"/>
        </w:rPr>
        <w:t>1</w:t>
      </w:r>
      <w:r w:rsidR="00E90250">
        <w:rPr>
          <w:rFonts w:ascii="Times New Roman" w:hAnsi="Times New Roman" w:cs="Times New Roman"/>
        </w:rPr>
        <w:t xml:space="preserve"> to the instrument</w:t>
      </w:r>
      <w:r w:rsidR="003552CE">
        <w:rPr>
          <w:rFonts w:ascii="Times New Roman" w:hAnsi="Times New Roman" w:cs="Times New Roman"/>
        </w:rPr>
        <w:t xml:space="preserve">, the difference between the charge specified in Schedule 1 to the instrument </w:t>
      </w:r>
      <w:r w:rsidR="005F4BC5">
        <w:rPr>
          <w:rFonts w:ascii="Times New Roman" w:hAnsi="Times New Roman" w:cs="Times New Roman"/>
        </w:rPr>
        <w:t>and the charge specified in the 2012 Determination</w:t>
      </w:r>
      <w:r w:rsidR="001F558E">
        <w:rPr>
          <w:rFonts w:ascii="Times New Roman" w:hAnsi="Times New Roman" w:cs="Times New Roman"/>
        </w:rPr>
        <w:t>,</w:t>
      </w:r>
      <w:r w:rsidR="005F4BC5">
        <w:rPr>
          <w:rFonts w:ascii="Times New Roman" w:hAnsi="Times New Roman" w:cs="Times New Roman"/>
        </w:rPr>
        <w:t xml:space="preserve"> and the reason for the change in the amount of the charge. </w:t>
      </w:r>
    </w:p>
    <w:p w14:paraId="5C84D030"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1</w:t>
      </w:r>
      <w:r w:rsidRPr="001B62FA">
        <w:rPr>
          <w:rFonts w:ascii="Times New Roman" w:hAnsi="Times New Roman" w:cs="Times New Roman"/>
          <w:b/>
          <w:bCs/>
        </w:rPr>
        <w:tab/>
      </w:r>
      <w:r w:rsidRPr="001B62FA">
        <w:rPr>
          <w:rFonts w:ascii="Times New Roman" w:hAnsi="Times New Roman" w:cs="Times New Roman"/>
          <w:b/>
          <w:bCs/>
        </w:rPr>
        <w:tab/>
        <w:t>Nominated carrier declaration charges</w:t>
      </w:r>
    </w:p>
    <w:p w14:paraId="4E7C7195" w14:textId="11FEC5B2" w:rsidR="009078C2" w:rsidRPr="009078C2" w:rsidRDefault="009078C2" w:rsidP="009078C2">
      <w:pPr>
        <w:rPr>
          <w:rFonts w:ascii="Times New Roman" w:hAnsi="Times New Roman" w:cs="Times New Roman"/>
        </w:rPr>
      </w:pPr>
      <w:r w:rsidRPr="00D47574">
        <w:rPr>
          <w:rFonts w:ascii="Times New Roman" w:hAnsi="Times New Roman" w:cs="Times New Roman"/>
          <w:b/>
          <w:bCs/>
        </w:rPr>
        <w:t>Item 1.1</w:t>
      </w:r>
      <w:r w:rsidR="005F2468">
        <w:rPr>
          <w:rFonts w:ascii="Times New Roman" w:hAnsi="Times New Roman" w:cs="Times New Roman"/>
        </w:rPr>
        <w:t xml:space="preserve"> of Part 1 of Schedule 1</w:t>
      </w:r>
      <w:r w:rsidRPr="009078C2">
        <w:rPr>
          <w:rFonts w:ascii="Times New Roman" w:hAnsi="Times New Roman" w:cs="Times New Roman"/>
        </w:rPr>
        <w:t xml:space="preserve"> </w:t>
      </w:r>
      <w:r w:rsidR="005F2468">
        <w:rPr>
          <w:rFonts w:ascii="Times New Roman" w:hAnsi="Times New Roman" w:cs="Times New Roman"/>
        </w:rPr>
        <w:t xml:space="preserve">specifies </w:t>
      </w:r>
      <w:r w:rsidRPr="009078C2">
        <w:rPr>
          <w:rFonts w:ascii="Times New Roman" w:hAnsi="Times New Roman" w:cs="Times New Roman"/>
        </w:rPr>
        <w:t xml:space="preserve">the charge </w:t>
      </w:r>
      <w:r w:rsidR="0015113C">
        <w:rPr>
          <w:rFonts w:ascii="Times New Roman" w:hAnsi="Times New Roman" w:cs="Times New Roman"/>
        </w:rPr>
        <w:t xml:space="preserve">for </w:t>
      </w:r>
      <w:r w:rsidRPr="009078C2">
        <w:rPr>
          <w:rFonts w:ascii="Times New Roman" w:hAnsi="Times New Roman" w:cs="Times New Roman"/>
        </w:rPr>
        <w:t>an application to the ACMA under section 77 of the Telecommunications Act for a nominated carrier declaration</w:t>
      </w:r>
      <w:r w:rsidR="000F6554">
        <w:rPr>
          <w:rFonts w:ascii="Times New Roman" w:hAnsi="Times New Roman" w:cs="Times New Roman"/>
        </w:rPr>
        <w:t xml:space="preserve"> </w:t>
      </w:r>
      <w:r w:rsidR="000F6554" w:rsidRPr="000F6554">
        <w:rPr>
          <w:rFonts w:ascii="Times New Roman" w:hAnsi="Times New Roman" w:cs="Times New Roman"/>
        </w:rPr>
        <w:t>in relation to one or more specified network units</w:t>
      </w:r>
      <w:r w:rsidRPr="009078C2">
        <w:rPr>
          <w:rFonts w:ascii="Times New Roman" w:hAnsi="Times New Roman" w:cs="Times New Roman"/>
        </w:rPr>
        <w:t>.</w:t>
      </w:r>
      <w:r w:rsidR="00D311FD">
        <w:rPr>
          <w:rFonts w:ascii="Times New Roman" w:hAnsi="Times New Roman" w:cs="Times New Roman"/>
        </w:rPr>
        <w:t xml:space="preserve"> </w:t>
      </w:r>
    </w:p>
    <w:p w14:paraId="171E46A9"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2</w:t>
      </w:r>
      <w:r w:rsidRPr="001B62FA">
        <w:rPr>
          <w:rFonts w:ascii="Times New Roman" w:hAnsi="Times New Roman" w:cs="Times New Roman"/>
          <w:b/>
          <w:bCs/>
        </w:rPr>
        <w:tab/>
      </w:r>
      <w:r w:rsidRPr="001B62FA">
        <w:rPr>
          <w:rFonts w:ascii="Times New Roman" w:hAnsi="Times New Roman" w:cs="Times New Roman"/>
          <w:b/>
          <w:bCs/>
        </w:rPr>
        <w:tab/>
        <w:t>Charges payable in relation to applications for numbers under the numbering plan</w:t>
      </w:r>
    </w:p>
    <w:p w14:paraId="78F104F7" w14:textId="7F33A771" w:rsidR="00EF6B16" w:rsidRPr="009078C2" w:rsidRDefault="009078C2" w:rsidP="00100C8C">
      <w:pPr>
        <w:rPr>
          <w:rFonts w:ascii="Times New Roman" w:hAnsi="Times New Roman" w:cs="Times New Roman"/>
        </w:rPr>
      </w:pPr>
      <w:r w:rsidRPr="00D47574">
        <w:rPr>
          <w:rFonts w:ascii="Times New Roman" w:hAnsi="Times New Roman" w:cs="Times New Roman"/>
          <w:b/>
          <w:bCs/>
        </w:rPr>
        <w:t xml:space="preserve">Item 2.1 </w:t>
      </w:r>
      <w:r w:rsidR="00D311FD">
        <w:rPr>
          <w:rFonts w:ascii="Times New Roman" w:hAnsi="Times New Roman" w:cs="Times New Roman"/>
        </w:rPr>
        <w:t>specifies</w:t>
      </w:r>
      <w:r w:rsidR="00D311FD" w:rsidRPr="009078C2">
        <w:rPr>
          <w:rFonts w:ascii="Times New Roman" w:hAnsi="Times New Roman" w:cs="Times New Roman"/>
        </w:rPr>
        <w:t xml:space="preserve"> </w:t>
      </w:r>
      <w:r w:rsidRPr="009078C2">
        <w:rPr>
          <w:rFonts w:ascii="Times New Roman" w:hAnsi="Times New Roman" w:cs="Times New Roman"/>
        </w:rPr>
        <w:t xml:space="preserve">the charges </w:t>
      </w:r>
      <w:r w:rsidR="00D311FD">
        <w:rPr>
          <w:rFonts w:ascii="Times New Roman" w:hAnsi="Times New Roman" w:cs="Times New Roman"/>
        </w:rPr>
        <w:t xml:space="preserve">payable </w:t>
      </w:r>
      <w:r w:rsidRPr="009078C2">
        <w:rPr>
          <w:rFonts w:ascii="Times New Roman" w:hAnsi="Times New Roman" w:cs="Times New Roman"/>
        </w:rPr>
        <w:t>for the</w:t>
      </w:r>
      <w:r w:rsidR="009E24D1">
        <w:rPr>
          <w:rFonts w:ascii="Times New Roman" w:hAnsi="Times New Roman" w:cs="Times New Roman"/>
        </w:rPr>
        <w:t xml:space="preserve"> making of an application mentioned in paragraph 457(1)(a) of the Telecommunications Act, for the</w:t>
      </w:r>
      <w:r w:rsidRPr="009078C2">
        <w:rPr>
          <w:rFonts w:ascii="Times New Roman" w:hAnsi="Times New Roman" w:cs="Times New Roman"/>
        </w:rPr>
        <w:t xml:space="preserve"> allocation of a number otherwise than in accordance with an allocation system determined under section 463 of the Telecommunications Act. </w:t>
      </w:r>
      <w:r w:rsidR="00B5559C">
        <w:rPr>
          <w:rFonts w:ascii="Times New Roman" w:hAnsi="Times New Roman" w:cs="Times New Roman"/>
        </w:rPr>
        <w:t xml:space="preserve">The charges payable for the making of an application for the allocation of one or more standard units of geographic numbers, or </w:t>
      </w:r>
      <w:r w:rsidR="00B3399A">
        <w:rPr>
          <w:rFonts w:ascii="Times New Roman" w:hAnsi="Times New Roman" w:cs="Times New Roman"/>
        </w:rPr>
        <w:t xml:space="preserve">for the allocation of one or more geographic numbers has been </w:t>
      </w:r>
      <w:r w:rsidR="00C33E69">
        <w:rPr>
          <w:rFonts w:ascii="Times New Roman" w:hAnsi="Times New Roman" w:cs="Times New Roman"/>
        </w:rPr>
        <w:t xml:space="preserve">set at $57, and there is no charge associated with other applications under the </w:t>
      </w:r>
      <w:r w:rsidR="00100C8C">
        <w:rPr>
          <w:rFonts w:ascii="Times New Roman" w:hAnsi="Times New Roman" w:cs="Times New Roman"/>
        </w:rPr>
        <w:t xml:space="preserve">numbering plan for allocation of a number. </w:t>
      </w:r>
    </w:p>
    <w:p w14:paraId="4EC2589A" w14:textId="56D53EE6" w:rsidR="009078C2" w:rsidRPr="009078C2" w:rsidRDefault="009078C2" w:rsidP="009078C2">
      <w:pPr>
        <w:rPr>
          <w:rFonts w:ascii="Times New Roman" w:hAnsi="Times New Roman" w:cs="Times New Roman"/>
        </w:rPr>
      </w:pPr>
      <w:r w:rsidRPr="00D47574">
        <w:rPr>
          <w:rFonts w:ascii="Times New Roman" w:hAnsi="Times New Roman" w:cs="Times New Roman"/>
          <w:b/>
          <w:bCs/>
        </w:rPr>
        <w:lastRenderedPageBreak/>
        <w:t>Item 2.2</w:t>
      </w:r>
      <w:r w:rsidRPr="009078C2">
        <w:rPr>
          <w:rFonts w:ascii="Times New Roman" w:hAnsi="Times New Roman" w:cs="Times New Roman"/>
        </w:rPr>
        <w:t xml:space="preserve"> </w:t>
      </w:r>
      <w:r w:rsidR="00257F20">
        <w:rPr>
          <w:rFonts w:ascii="Times New Roman" w:hAnsi="Times New Roman" w:cs="Times New Roman"/>
        </w:rPr>
        <w:t>specifie</w:t>
      </w:r>
      <w:r w:rsidR="00257F20" w:rsidRPr="009078C2">
        <w:rPr>
          <w:rFonts w:ascii="Times New Roman" w:hAnsi="Times New Roman" w:cs="Times New Roman"/>
        </w:rPr>
        <w:t xml:space="preserve">s </w:t>
      </w:r>
      <w:r w:rsidRPr="009078C2">
        <w:rPr>
          <w:rFonts w:ascii="Times New Roman" w:hAnsi="Times New Roman" w:cs="Times New Roman"/>
        </w:rPr>
        <w:t xml:space="preserve">the charge </w:t>
      </w:r>
      <w:r w:rsidR="001E6F0E">
        <w:rPr>
          <w:rFonts w:ascii="Times New Roman" w:hAnsi="Times New Roman" w:cs="Times New Roman"/>
        </w:rPr>
        <w:t xml:space="preserve">for </w:t>
      </w:r>
      <w:r w:rsidRPr="009078C2">
        <w:rPr>
          <w:rFonts w:ascii="Times New Roman" w:hAnsi="Times New Roman" w:cs="Times New Roman"/>
        </w:rPr>
        <w:t xml:space="preserve">an application to the ACMA </w:t>
      </w:r>
      <w:r w:rsidR="00002A60">
        <w:rPr>
          <w:rFonts w:ascii="Times New Roman" w:hAnsi="Times New Roman" w:cs="Times New Roman"/>
        </w:rPr>
        <w:t xml:space="preserve">under subsection 121(1) of the numbering plan, </w:t>
      </w:r>
      <w:r w:rsidRPr="009078C2">
        <w:rPr>
          <w:rFonts w:ascii="Times New Roman" w:hAnsi="Times New Roman" w:cs="Times New Roman"/>
        </w:rPr>
        <w:t>for registration of a carriage service provider under section 122 of the numbering plan.</w:t>
      </w:r>
    </w:p>
    <w:p w14:paraId="4479B2C3" w14:textId="06D9DCFD" w:rsidR="009078C2" w:rsidRPr="00BA4F48" w:rsidRDefault="009078C2" w:rsidP="009078C2">
      <w:pPr>
        <w:rPr>
          <w:rFonts w:ascii="Times New Roman" w:hAnsi="Times New Roman" w:cs="Times New Roman"/>
        </w:rPr>
      </w:pPr>
      <w:r w:rsidRPr="00D47574">
        <w:rPr>
          <w:rFonts w:ascii="Times New Roman" w:hAnsi="Times New Roman" w:cs="Times New Roman"/>
          <w:b/>
          <w:bCs/>
        </w:rPr>
        <w:t>Item 2.3</w:t>
      </w:r>
      <w:r w:rsidRPr="009078C2">
        <w:rPr>
          <w:rFonts w:ascii="Times New Roman" w:hAnsi="Times New Roman" w:cs="Times New Roman"/>
        </w:rPr>
        <w:t xml:space="preserve"> </w:t>
      </w:r>
      <w:r w:rsidR="00EE2017">
        <w:rPr>
          <w:rFonts w:ascii="Times New Roman" w:hAnsi="Times New Roman" w:cs="Times New Roman"/>
        </w:rPr>
        <w:t>specifies</w:t>
      </w:r>
      <w:r w:rsidR="00EE2017" w:rsidRPr="009078C2">
        <w:rPr>
          <w:rFonts w:ascii="Times New Roman" w:hAnsi="Times New Roman" w:cs="Times New Roman"/>
        </w:rPr>
        <w:t xml:space="preserve"> </w:t>
      </w:r>
      <w:r w:rsidRPr="009078C2">
        <w:rPr>
          <w:rFonts w:ascii="Times New Roman" w:hAnsi="Times New Roman" w:cs="Times New Roman"/>
        </w:rPr>
        <w:t xml:space="preserve">the charge </w:t>
      </w:r>
      <w:r w:rsidR="00E2404C">
        <w:rPr>
          <w:rFonts w:ascii="Times New Roman" w:hAnsi="Times New Roman" w:cs="Times New Roman"/>
        </w:rPr>
        <w:t xml:space="preserve">for </w:t>
      </w:r>
      <w:r w:rsidR="007B5FC9">
        <w:rPr>
          <w:rFonts w:ascii="Times New Roman" w:hAnsi="Times New Roman" w:cs="Times New Roman"/>
        </w:rPr>
        <w:t>registering to use the electronic system, made available by the</w:t>
      </w:r>
      <w:r w:rsidRPr="009078C2">
        <w:rPr>
          <w:rFonts w:ascii="Times New Roman" w:hAnsi="Times New Roman" w:cs="Times New Roman"/>
        </w:rPr>
        <w:t xml:space="preserve"> ACMA for EROU </w:t>
      </w:r>
      <w:r w:rsidR="00B25BDA">
        <w:rPr>
          <w:rFonts w:ascii="Times New Roman" w:hAnsi="Times New Roman" w:cs="Times New Roman"/>
        </w:rPr>
        <w:t xml:space="preserve">(enhanced rights of use) </w:t>
      </w:r>
      <w:r w:rsidRPr="009078C2">
        <w:rPr>
          <w:rFonts w:ascii="Times New Roman" w:hAnsi="Times New Roman" w:cs="Times New Roman"/>
        </w:rPr>
        <w:t>applicants to apply with a registered carriage service provider under section 73 of the numbering plan</w:t>
      </w:r>
      <w:r w:rsidR="009B3AD5" w:rsidRPr="009B3AD5">
        <w:t xml:space="preserve"> </w:t>
      </w:r>
      <w:r w:rsidR="009B3AD5" w:rsidRPr="00D47574">
        <w:rPr>
          <w:rFonts w:ascii="Times New Roman" w:hAnsi="Times New Roman" w:cs="Times New Roman"/>
        </w:rPr>
        <w:t xml:space="preserve">for the initial allocation of an unassigned unallocated </w:t>
      </w:r>
      <w:proofErr w:type="spellStart"/>
      <w:r w:rsidR="009B3AD5" w:rsidRPr="00D47574">
        <w:rPr>
          <w:rFonts w:ascii="Times New Roman" w:hAnsi="Times New Roman" w:cs="Times New Roman"/>
        </w:rPr>
        <w:t>smartnumber</w:t>
      </w:r>
      <w:proofErr w:type="spellEnd"/>
      <w:r w:rsidR="009B3AD5" w:rsidRPr="00D47574">
        <w:rPr>
          <w:rFonts w:ascii="Times New Roman" w:hAnsi="Times New Roman" w:cs="Times New Roman"/>
        </w:rPr>
        <w:t>, and for EROU-holders to manage their enhanced rights of use</w:t>
      </w:r>
      <w:r w:rsidRPr="00342E90">
        <w:rPr>
          <w:rFonts w:ascii="Times New Roman" w:hAnsi="Times New Roman" w:cs="Times New Roman"/>
        </w:rPr>
        <w:t>.</w:t>
      </w:r>
    </w:p>
    <w:p w14:paraId="0BCBC320" w14:textId="77777777" w:rsidR="009078C2" w:rsidRPr="001B62FA" w:rsidRDefault="009078C2" w:rsidP="001C28E3">
      <w:pPr>
        <w:keepNext/>
        <w:spacing w:line="257" w:lineRule="auto"/>
        <w:rPr>
          <w:rFonts w:ascii="Times New Roman" w:hAnsi="Times New Roman" w:cs="Times New Roman"/>
          <w:b/>
          <w:bCs/>
        </w:rPr>
      </w:pPr>
      <w:r w:rsidRPr="001B62FA">
        <w:rPr>
          <w:rFonts w:ascii="Times New Roman" w:hAnsi="Times New Roman" w:cs="Times New Roman"/>
          <w:b/>
          <w:bCs/>
        </w:rPr>
        <w:t>Part 3</w:t>
      </w:r>
      <w:r w:rsidRPr="001B62FA">
        <w:rPr>
          <w:rFonts w:ascii="Times New Roman" w:hAnsi="Times New Roman" w:cs="Times New Roman"/>
          <w:b/>
          <w:bCs/>
        </w:rPr>
        <w:tab/>
      </w:r>
      <w:r w:rsidRPr="001B62FA">
        <w:rPr>
          <w:rFonts w:ascii="Times New Roman" w:hAnsi="Times New Roman" w:cs="Times New Roman"/>
          <w:b/>
          <w:bCs/>
        </w:rPr>
        <w:tab/>
        <w:t>Facility installation permits – application charges</w:t>
      </w:r>
    </w:p>
    <w:p w14:paraId="3A91BA17" w14:textId="55847479" w:rsidR="009078C2" w:rsidRPr="009078C2" w:rsidRDefault="009078C2" w:rsidP="009078C2">
      <w:pPr>
        <w:rPr>
          <w:rFonts w:ascii="Times New Roman" w:hAnsi="Times New Roman" w:cs="Times New Roman"/>
        </w:rPr>
      </w:pPr>
      <w:r w:rsidRPr="00D47574">
        <w:rPr>
          <w:rFonts w:ascii="Times New Roman" w:hAnsi="Times New Roman" w:cs="Times New Roman"/>
          <w:b/>
          <w:bCs/>
        </w:rPr>
        <w:t>Item 3.1</w:t>
      </w:r>
      <w:r w:rsidR="00F47FD7">
        <w:rPr>
          <w:rFonts w:ascii="Times New Roman" w:hAnsi="Times New Roman" w:cs="Times New Roman"/>
        </w:rPr>
        <w:t xml:space="preserve"> specifies</w:t>
      </w:r>
      <w:r w:rsidRPr="009078C2">
        <w:rPr>
          <w:rFonts w:ascii="Times New Roman" w:hAnsi="Times New Roman" w:cs="Times New Roman"/>
        </w:rPr>
        <w:t xml:space="preserve"> the </w:t>
      </w:r>
      <w:r w:rsidR="00A75F13">
        <w:rPr>
          <w:rFonts w:ascii="Times New Roman" w:hAnsi="Times New Roman" w:cs="Times New Roman"/>
        </w:rPr>
        <w:t xml:space="preserve">amount of the </w:t>
      </w:r>
      <w:r w:rsidRPr="009078C2">
        <w:rPr>
          <w:rFonts w:ascii="Times New Roman" w:hAnsi="Times New Roman" w:cs="Times New Roman"/>
        </w:rPr>
        <w:t xml:space="preserve">deposit </w:t>
      </w:r>
      <w:r w:rsidR="00777033">
        <w:rPr>
          <w:rFonts w:ascii="Times New Roman" w:hAnsi="Times New Roman" w:cs="Times New Roman"/>
        </w:rPr>
        <w:t xml:space="preserve">that </w:t>
      </w:r>
      <w:r w:rsidR="00DE64EA">
        <w:rPr>
          <w:rFonts w:ascii="Times New Roman" w:hAnsi="Times New Roman" w:cs="Times New Roman"/>
        </w:rPr>
        <w:t xml:space="preserve">is </w:t>
      </w:r>
      <w:r w:rsidRPr="009078C2">
        <w:rPr>
          <w:rFonts w:ascii="Times New Roman" w:hAnsi="Times New Roman" w:cs="Times New Roman"/>
        </w:rPr>
        <w:t>to accompany an application for a facility installation permit</w:t>
      </w:r>
      <w:r w:rsidR="00BC5D41" w:rsidRPr="009B2B60">
        <w:rPr>
          <w:rFonts w:ascii="Times New Roman" w:hAnsi="Times New Roman" w:cs="Times New Roman"/>
        </w:rPr>
        <w:t xml:space="preserve"> under clause 21 of Schedule 3 to the Telecommunications Act, authorising a carrier to carry out the installation of one or more facilities</w:t>
      </w:r>
    </w:p>
    <w:p w14:paraId="315BB47D" w14:textId="03BB6827" w:rsidR="009078C2" w:rsidRDefault="009078C2" w:rsidP="009078C2">
      <w:pPr>
        <w:rPr>
          <w:rFonts w:ascii="Times New Roman" w:hAnsi="Times New Roman" w:cs="Times New Roman"/>
        </w:rPr>
      </w:pPr>
      <w:r w:rsidRPr="00D47574">
        <w:rPr>
          <w:rFonts w:ascii="Times New Roman" w:hAnsi="Times New Roman" w:cs="Times New Roman"/>
          <w:b/>
          <w:bCs/>
        </w:rPr>
        <w:t>Item 3.2</w:t>
      </w:r>
      <w:r w:rsidRPr="009078C2">
        <w:rPr>
          <w:rFonts w:ascii="Times New Roman" w:hAnsi="Times New Roman" w:cs="Times New Roman"/>
        </w:rPr>
        <w:t xml:space="preserve"> specifies </w:t>
      </w:r>
      <w:r w:rsidR="00674775">
        <w:rPr>
          <w:rFonts w:ascii="Times New Roman" w:hAnsi="Times New Roman" w:cs="Times New Roman"/>
        </w:rPr>
        <w:t>a further processing charge for dealing with applications for a facility installation permit</w:t>
      </w:r>
      <w:r w:rsidR="00CE2314">
        <w:rPr>
          <w:rFonts w:ascii="Times New Roman" w:hAnsi="Times New Roman" w:cs="Times New Roman"/>
        </w:rPr>
        <w:t xml:space="preserve">. The charge is determined using </w:t>
      </w:r>
      <w:r w:rsidRPr="009078C2">
        <w:rPr>
          <w:rFonts w:ascii="Times New Roman" w:hAnsi="Times New Roman" w:cs="Times New Roman"/>
        </w:rPr>
        <w:t xml:space="preserve">the hourly rate of charge </w:t>
      </w:r>
      <w:r w:rsidR="00CE2314">
        <w:rPr>
          <w:rFonts w:ascii="Times New Roman" w:hAnsi="Times New Roman" w:cs="Times New Roman"/>
        </w:rPr>
        <w:t>calculated based on</w:t>
      </w:r>
      <w:r w:rsidRPr="009078C2">
        <w:rPr>
          <w:rFonts w:ascii="Times New Roman" w:hAnsi="Times New Roman" w:cs="Times New Roman"/>
        </w:rPr>
        <w:t xml:space="preserve"> the activities of </w:t>
      </w:r>
      <w:r w:rsidR="009C60F2">
        <w:rPr>
          <w:rFonts w:ascii="Times New Roman" w:hAnsi="Times New Roman" w:cs="Times New Roman"/>
        </w:rPr>
        <w:t xml:space="preserve">an </w:t>
      </w:r>
      <w:r w:rsidRPr="009078C2">
        <w:rPr>
          <w:rFonts w:ascii="Times New Roman" w:hAnsi="Times New Roman" w:cs="Times New Roman"/>
        </w:rPr>
        <w:t xml:space="preserve">ACMA </w:t>
      </w:r>
      <w:r w:rsidR="009C60F2">
        <w:rPr>
          <w:rFonts w:ascii="Times New Roman" w:hAnsi="Times New Roman" w:cs="Times New Roman"/>
        </w:rPr>
        <w:t xml:space="preserve">official </w:t>
      </w:r>
      <w:r w:rsidRPr="009078C2">
        <w:rPr>
          <w:rFonts w:ascii="Times New Roman" w:hAnsi="Times New Roman" w:cs="Times New Roman"/>
        </w:rPr>
        <w:t>in connection with dealing with an application for a facility installation permit that do</w:t>
      </w:r>
      <w:r w:rsidR="004432DD">
        <w:rPr>
          <w:rFonts w:ascii="Times New Roman" w:hAnsi="Times New Roman" w:cs="Times New Roman"/>
        </w:rPr>
        <w:t>es</w:t>
      </w:r>
      <w:r w:rsidRPr="009078C2">
        <w:rPr>
          <w:rFonts w:ascii="Times New Roman" w:hAnsi="Times New Roman" w:cs="Times New Roman"/>
        </w:rPr>
        <w:t xml:space="preserve"> not relate to</w:t>
      </w:r>
      <w:r w:rsidR="00CE2314">
        <w:rPr>
          <w:rFonts w:ascii="Times New Roman" w:hAnsi="Times New Roman" w:cs="Times New Roman"/>
        </w:rPr>
        <w:t xml:space="preserve"> the holding of</w:t>
      </w:r>
      <w:r w:rsidRPr="009078C2">
        <w:rPr>
          <w:rFonts w:ascii="Times New Roman" w:hAnsi="Times New Roman" w:cs="Times New Roman"/>
        </w:rPr>
        <w:t xml:space="preserve"> a public inquiry in relation to the permit.</w:t>
      </w:r>
    </w:p>
    <w:p w14:paraId="2CB0C5B8" w14:textId="58D3D279" w:rsidR="008E2267" w:rsidRPr="009078C2" w:rsidRDefault="004A7162" w:rsidP="009078C2">
      <w:pPr>
        <w:rPr>
          <w:rFonts w:ascii="Times New Roman" w:hAnsi="Times New Roman" w:cs="Times New Roman"/>
        </w:rPr>
      </w:pPr>
      <w:r>
        <w:rPr>
          <w:rFonts w:ascii="Times New Roman" w:hAnsi="Times New Roman" w:cs="Times New Roman"/>
        </w:rPr>
        <w:t>In accordance with section 10, i</w:t>
      </w:r>
      <w:r w:rsidR="008E2267">
        <w:rPr>
          <w:rFonts w:ascii="Times New Roman" w:hAnsi="Times New Roman" w:cs="Times New Roman"/>
        </w:rPr>
        <w:t>f the further charges determined are less than the deposit pa</w:t>
      </w:r>
      <w:r w:rsidR="001F558E">
        <w:rPr>
          <w:rFonts w:ascii="Times New Roman" w:hAnsi="Times New Roman" w:cs="Times New Roman"/>
        </w:rPr>
        <w:t>id</w:t>
      </w:r>
      <w:r w:rsidR="008E2267">
        <w:rPr>
          <w:rFonts w:ascii="Times New Roman" w:hAnsi="Times New Roman" w:cs="Times New Roman"/>
        </w:rPr>
        <w:t xml:space="preserve"> under item 3.1, the ACMA will refund the balance to the </w:t>
      </w:r>
      <w:r>
        <w:rPr>
          <w:rFonts w:ascii="Times New Roman" w:hAnsi="Times New Roman" w:cs="Times New Roman"/>
        </w:rPr>
        <w:t xml:space="preserve">applicant, </w:t>
      </w:r>
      <w:r w:rsidR="00EC00E4">
        <w:rPr>
          <w:rFonts w:ascii="Times New Roman" w:hAnsi="Times New Roman" w:cs="Times New Roman"/>
        </w:rPr>
        <w:t xml:space="preserve">and if </w:t>
      </w:r>
      <w:r w:rsidR="001F558E">
        <w:rPr>
          <w:rFonts w:ascii="Times New Roman" w:hAnsi="Times New Roman" w:cs="Times New Roman"/>
        </w:rPr>
        <w:t>they are</w:t>
      </w:r>
      <w:r w:rsidR="00EC00E4">
        <w:rPr>
          <w:rFonts w:ascii="Times New Roman" w:hAnsi="Times New Roman" w:cs="Times New Roman"/>
        </w:rPr>
        <w:t xml:space="preserve"> greater than the deposit</w:t>
      </w:r>
      <w:r w:rsidR="00B670E6">
        <w:rPr>
          <w:rFonts w:ascii="Times New Roman" w:hAnsi="Times New Roman" w:cs="Times New Roman"/>
        </w:rPr>
        <w:t xml:space="preserve">, the applicant will be required to </w:t>
      </w:r>
      <w:r w:rsidR="00D72CA0">
        <w:rPr>
          <w:rFonts w:ascii="Times New Roman" w:hAnsi="Times New Roman" w:cs="Times New Roman"/>
        </w:rPr>
        <w:t xml:space="preserve">pay the balance. </w:t>
      </w:r>
    </w:p>
    <w:p w14:paraId="2627E40C"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4</w:t>
      </w:r>
      <w:r w:rsidRPr="001B62FA">
        <w:rPr>
          <w:rFonts w:ascii="Times New Roman" w:hAnsi="Times New Roman" w:cs="Times New Roman"/>
          <w:b/>
          <w:bCs/>
        </w:rPr>
        <w:tab/>
      </w:r>
      <w:r w:rsidRPr="001B62FA">
        <w:rPr>
          <w:rFonts w:ascii="Times New Roman" w:hAnsi="Times New Roman" w:cs="Times New Roman"/>
          <w:b/>
          <w:bCs/>
        </w:rPr>
        <w:tab/>
        <w:t>Facility installation permits – public inquiry charges</w:t>
      </w:r>
    </w:p>
    <w:p w14:paraId="1D247112" w14:textId="481F38CD" w:rsidR="009078C2" w:rsidRPr="009078C2" w:rsidRDefault="009078C2" w:rsidP="009078C2">
      <w:pPr>
        <w:rPr>
          <w:rFonts w:ascii="Times New Roman" w:hAnsi="Times New Roman" w:cs="Times New Roman"/>
        </w:rPr>
      </w:pPr>
      <w:r w:rsidRPr="00D47574">
        <w:rPr>
          <w:rFonts w:ascii="Times New Roman" w:hAnsi="Times New Roman" w:cs="Times New Roman"/>
          <w:b/>
          <w:bCs/>
        </w:rPr>
        <w:t>Item 4.1</w:t>
      </w:r>
      <w:r w:rsidRPr="009078C2">
        <w:rPr>
          <w:rFonts w:ascii="Times New Roman" w:hAnsi="Times New Roman" w:cs="Times New Roman"/>
        </w:rPr>
        <w:t xml:space="preserve"> </w:t>
      </w:r>
      <w:r w:rsidR="008E0085">
        <w:rPr>
          <w:rFonts w:ascii="Times New Roman" w:hAnsi="Times New Roman" w:cs="Times New Roman"/>
        </w:rPr>
        <w:t>specifies</w:t>
      </w:r>
      <w:r w:rsidR="008E0085" w:rsidRPr="009078C2">
        <w:rPr>
          <w:rFonts w:ascii="Times New Roman" w:hAnsi="Times New Roman" w:cs="Times New Roman"/>
        </w:rPr>
        <w:t xml:space="preserve"> </w:t>
      </w:r>
      <w:r w:rsidRPr="009078C2">
        <w:rPr>
          <w:rFonts w:ascii="Times New Roman" w:hAnsi="Times New Roman" w:cs="Times New Roman"/>
        </w:rPr>
        <w:t xml:space="preserve">the </w:t>
      </w:r>
      <w:r w:rsidR="008E0085">
        <w:rPr>
          <w:rFonts w:ascii="Times New Roman" w:hAnsi="Times New Roman" w:cs="Times New Roman"/>
        </w:rPr>
        <w:t xml:space="preserve">amount of the </w:t>
      </w:r>
      <w:r w:rsidRPr="009078C2">
        <w:rPr>
          <w:rFonts w:ascii="Times New Roman" w:hAnsi="Times New Roman" w:cs="Times New Roman"/>
        </w:rPr>
        <w:t xml:space="preserve">deposit payable to the ACMA on account of the expenses to be incurred in relation to the holding of a public inquiry </w:t>
      </w:r>
      <w:r w:rsidR="00F72CE2" w:rsidRPr="009B2B60">
        <w:rPr>
          <w:rFonts w:ascii="Times New Roman" w:hAnsi="Times New Roman" w:cs="Times New Roman"/>
        </w:rPr>
        <w:t xml:space="preserve">under subclause 25(2) of Schedule 3 to the Telecommunications Act </w:t>
      </w:r>
      <w:r w:rsidR="00F72CE2">
        <w:rPr>
          <w:rFonts w:ascii="Times New Roman" w:hAnsi="Times New Roman" w:cs="Times New Roman"/>
        </w:rPr>
        <w:t xml:space="preserve">in relation to </w:t>
      </w:r>
      <w:r w:rsidRPr="009078C2">
        <w:rPr>
          <w:rFonts w:ascii="Times New Roman" w:hAnsi="Times New Roman" w:cs="Times New Roman"/>
        </w:rPr>
        <w:t>a facility installation permit application.</w:t>
      </w:r>
      <w:r w:rsidR="00F72CE2">
        <w:rPr>
          <w:rFonts w:ascii="Times New Roman" w:hAnsi="Times New Roman" w:cs="Times New Roman"/>
        </w:rPr>
        <w:t xml:space="preserve"> </w:t>
      </w:r>
    </w:p>
    <w:p w14:paraId="50717685" w14:textId="01BDF7E7" w:rsidR="009078C2" w:rsidRPr="00D47574" w:rsidRDefault="009078C2" w:rsidP="00113AD8">
      <w:pPr>
        <w:rPr>
          <w:rFonts w:ascii="Times New Roman" w:hAnsi="Times New Roman" w:cs="Times New Roman"/>
          <w:b/>
          <w:bCs/>
        </w:rPr>
      </w:pPr>
      <w:r w:rsidRPr="00D47574">
        <w:rPr>
          <w:rFonts w:ascii="Times New Roman" w:hAnsi="Times New Roman" w:cs="Times New Roman"/>
          <w:b/>
          <w:bCs/>
        </w:rPr>
        <w:t>Item 4.2</w:t>
      </w:r>
      <w:r w:rsidRPr="009078C2">
        <w:rPr>
          <w:rFonts w:ascii="Times New Roman" w:hAnsi="Times New Roman" w:cs="Times New Roman"/>
        </w:rPr>
        <w:t xml:space="preserve"> </w:t>
      </w:r>
      <w:r w:rsidR="00113AD8" w:rsidRPr="009078C2">
        <w:rPr>
          <w:rFonts w:ascii="Times New Roman" w:hAnsi="Times New Roman" w:cs="Times New Roman"/>
        </w:rPr>
        <w:t xml:space="preserve">specifies </w:t>
      </w:r>
      <w:r w:rsidR="00113AD8">
        <w:rPr>
          <w:rFonts w:ascii="Times New Roman" w:hAnsi="Times New Roman" w:cs="Times New Roman"/>
        </w:rPr>
        <w:t xml:space="preserve">a further processing charge for dealing with applications for a facility installation permit. The charge is determined using </w:t>
      </w:r>
      <w:r w:rsidR="00113AD8" w:rsidRPr="009078C2">
        <w:rPr>
          <w:rFonts w:ascii="Times New Roman" w:hAnsi="Times New Roman" w:cs="Times New Roman"/>
        </w:rPr>
        <w:t xml:space="preserve">the hourly rate of charge </w:t>
      </w:r>
      <w:r w:rsidR="00113AD8">
        <w:rPr>
          <w:rFonts w:ascii="Times New Roman" w:hAnsi="Times New Roman" w:cs="Times New Roman"/>
        </w:rPr>
        <w:t xml:space="preserve">calculated based on </w:t>
      </w:r>
      <w:r w:rsidR="00113AD8" w:rsidRPr="009078C2">
        <w:rPr>
          <w:rFonts w:ascii="Times New Roman" w:hAnsi="Times New Roman" w:cs="Times New Roman"/>
        </w:rPr>
        <w:t xml:space="preserve">the activities of </w:t>
      </w:r>
      <w:r w:rsidR="00113AD8">
        <w:rPr>
          <w:rFonts w:ascii="Times New Roman" w:hAnsi="Times New Roman" w:cs="Times New Roman"/>
        </w:rPr>
        <w:t xml:space="preserve">an </w:t>
      </w:r>
      <w:r w:rsidR="00113AD8" w:rsidRPr="009078C2">
        <w:rPr>
          <w:rFonts w:ascii="Times New Roman" w:hAnsi="Times New Roman" w:cs="Times New Roman"/>
        </w:rPr>
        <w:t xml:space="preserve">ACMA </w:t>
      </w:r>
      <w:r w:rsidR="00113AD8">
        <w:rPr>
          <w:rFonts w:ascii="Times New Roman" w:hAnsi="Times New Roman" w:cs="Times New Roman"/>
        </w:rPr>
        <w:t xml:space="preserve">official </w:t>
      </w:r>
      <w:r w:rsidR="00113AD8" w:rsidRPr="009078C2">
        <w:rPr>
          <w:rFonts w:ascii="Times New Roman" w:hAnsi="Times New Roman" w:cs="Times New Roman"/>
        </w:rPr>
        <w:t xml:space="preserve">in </w:t>
      </w:r>
      <w:r w:rsidRPr="009078C2">
        <w:rPr>
          <w:rFonts w:ascii="Times New Roman" w:hAnsi="Times New Roman" w:cs="Times New Roman"/>
        </w:rPr>
        <w:t xml:space="preserve">relation to the holding of a public inquiry </w:t>
      </w:r>
      <w:r w:rsidR="00D40F50">
        <w:rPr>
          <w:rFonts w:ascii="Times New Roman" w:hAnsi="Times New Roman" w:cs="Times New Roman"/>
        </w:rPr>
        <w:t xml:space="preserve">for </w:t>
      </w:r>
      <w:r w:rsidRPr="009078C2">
        <w:rPr>
          <w:rFonts w:ascii="Times New Roman" w:hAnsi="Times New Roman" w:cs="Times New Roman"/>
        </w:rPr>
        <w:t>a facility installation permit application.</w:t>
      </w:r>
    </w:p>
    <w:p w14:paraId="4E8DF3C9" w14:textId="0EB0EBFE" w:rsidR="009078C2" w:rsidRDefault="009078C2" w:rsidP="009078C2">
      <w:pPr>
        <w:rPr>
          <w:rFonts w:ascii="Times New Roman" w:hAnsi="Times New Roman" w:cs="Times New Roman"/>
        </w:rPr>
      </w:pPr>
      <w:r w:rsidRPr="00D47574">
        <w:rPr>
          <w:rFonts w:ascii="Times New Roman" w:hAnsi="Times New Roman" w:cs="Times New Roman"/>
          <w:b/>
          <w:bCs/>
        </w:rPr>
        <w:t>Item 4.3</w:t>
      </w:r>
      <w:r w:rsidRPr="009078C2">
        <w:rPr>
          <w:rFonts w:ascii="Times New Roman" w:hAnsi="Times New Roman" w:cs="Times New Roman"/>
        </w:rPr>
        <w:t xml:space="preserve"> </w:t>
      </w:r>
      <w:r w:rsidR="00BA53F7">
        <w:rPr>
          <w:rFonts w:ascii="Times New Roman" w:hAnsi="Times New Roman" w:cs="Times New Roman"/>
        </w:rPr>
        <w:t xml:space="preserve">specifies that </w:t>
      </w:r>
      <w:r w:rsidR="00836735">
        <w:rPr>
          <w:rFonts w:ascii="Times New Roman" w:hAnsi="Times New Roman" w:cs="Times New Roman"/>
        </w:rPr>
        <w:t xml:space="preserve">any </w:t>
      </w:r>
      <w:r w:rsidRPr="009078C2">
        <w:rPr>
          <w:rFonts w:ascii="Times New Roman" w:hAnsi="Times New Roman" w:cs="Times New Roman"/>
        </w:rPr>
        <w:t xml:space="preserve">other expenses </w:t>
      </w:r>
      <w:r w:rsidR="003B6055">
        <w:rPr>
          <w:rFonts w:ascii="Times New Roman" w:hAnsi="Times New Roman" w:cs="Times New Roman"/>
        </w:rPr>
        <w:t xml:space="preserve">incurred </w:t>
      </w:r>
      <w:r w:rsidR="00527ED5" w:rsidRPr="009078C2">
        <w:rPr>
          <w:rFonts w:ascii="Times New Roman" w:hAnsi="Times New Roman" w:cs="Times New Roman"/>
        </w:rPr>
        <w:t xml:space="preserve">by the ACMA </w:t>
      </w:r>
      <w:r w:rsidRPr="009078C2">
        <w:rPr>
          <w:rFonts w:ascii="Times New Roman" w:hAnsi="Times New Roman" w:cs="Times New Roman"/>
        </w:rPr>
        <w:t xml:space="preserve">for the holding of a public inquiry in relation to a facility installation permit application </w:t>
      </w:r>
      <w:r w:rsidR="0076251B">
        <w:rPr>
          <w:rFonts w:ascii="Times New Roman" w:hAnsi="Times New Roman" w:cs="Times New Roman"/>
        </w:rPr>
        <w:t>will</w:t>
      </w:r>
      <w:r w:rsidRPr="009078C2">
        <w:rPr>
          <w:rFonts w:ascii="Times New Roman" w:hAnsi="Times New Roman" w:cs="Times New Roman"/>
        </w:rPr>
        <w:t xml:space="preserve"> be charged on a cost incurred basis.</w:t>
      </w:r>
    </w:p>
    <w:p w14:paraId="7AE46342" w14:textId="513E61F8" w:rsidR="00916719" w:rsidRPr="009078C2" w:rsidRDefault="00916719" w:rsidP="00916719">
      <w:pPr>
        <w:rPr>
          <w:rFonts w:ascii="Times New Roman" w:hAnsi="Times New Roman" w:cs="Times New Roman"/>
        </w:rPr>
      </w:pPr>
      <w:r>
        <w:rPr>
          <w:rFonts w:ascii="Times New Roman" w:hAnsi="Times New Roman" w:cs="Times New Roman"/>
        </w:rPr>
        <w:t xml:space="preserve">In accordance with section 11, if </w:t>
      </w:r>
      <w:r w:rsidR="000F5FBD">
        <w:rPr>
          <w:rFonts w:ascii="Times New Roman" w:hAnsi="Times New Roman" w:cs="Times New Roman"/>
        </w:rPr>
        <w:t xml:space="preserve">any further charges payable under items 4.2 or 4.3 </w:t>
      </w:r>
      <w:r>
        <w:rPr>
          <w:rFonts w:ascii="Times New Roman" w:hAnsi="Times New Roman" w:cs="Times New Roman"/>
        </w:rPr>
        <w:t>are less than the deposit pa</w:t>
      </w:r>
      <w:r w:rsidR="001F558E">
        <w:rPr>
          <w:rFonts w:ascii="Times New Roman" w:hAnsi="Times New Roman" w:cs="Times New Roman"/>
        </w:rPr>
        <w:t>id</w:t>
      </w:r>
      <w:r>
        <w:rPr>
          <w:rFonts w:ascii="Times New Roman" w:hAnsi="Times New Roman" w:cs="Times New Roman"/>
        </w:rPr>
        <w:t xml:space="preserve"> under item </w:t>
      </w:r>
      <w:r w:rsidR="00C10BAF">
        <w:rPr>
          <w:rFonts w:ascii="Times New Roman" w:hAnsi="Times New Roman" w:cs="Times New Roman"/>
        </w:rPr>
        <w:t>4</w:t>
      </w:r>
      <w:r>
        <w:rPr>
          <w:rFonts w:ascii="Times New Roman" w:hAnsi="Times New Roman" w:cs="Times New Roman"/>
        </w:rPr>
        <w:t xml:space="preserve">.1, the ACMA will refund the balance to the applicant, and if </w:t>
      </w:r>
      <w:r w:rsidR="00C10BAF">
        <w:rPr>
          <w:rFonts w:ascii="Times New Roman" w:hAnsi="Times New Roman" w:cs="Times New Roman"/>
        </w:rPr>
        <w:t>the charges are</w:t>
      </w:r>
      <w:r>
        <w:rPr>
          <w:rFonts w:ascii="Times New Roman" w:hAnsi="Times New Roman" w:cs="Times New Roman"/>
        </w:rPr>
        <w:t xml:space="preserve"> greater than the deposit, the applicant will be required to pay the balance. </w:t>
      </w:r>
    </w:p>
    <w:p w14:paraId="36CE366B"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5</w:t>
      </w:r>
      <w:r w:rsidRPr="001B62FA">
        <w:rPr>
          <w:rFonts w:ascii="Times New Roman" w:hAnsi="Times New Roman" w:cs="Times New Roman"/>
          <w:b/>
          <w:bCs/>
        </w:rPr>
        <w:tab/>
        <w:t>Charges payable to declare, vary or revoke a protection zone</w:t>
      </w:r>
    </w:p>
    <w:p w14:paraId="61B09391" w14:textId="6191F8A5" w:rsidR="000C7762" w:rsidRPr="009B2B60" w:rsidRDefault="009078C2" w:rsidP="00D47574">
      <w:pPr>
        <w:rPr>
          <w:rFonts w:ascii="Times New Roman" w:hAnsi="Times New Roman" w:cs="Times New Roman"/>
        </w:rPr>
      </w:pPr>
      <w:r w:rsidRPr="00D47574">
        <w:rPr>
          <w:rFonts w:ascii="Times New Roman" w:hAnsi="Times New Roman" w:cs="Times New Roman"/>
          <w:b/>
          <w:bCs/>
        </w:rPr>
        <w:t>Item 5.1</w:t>
      </w:r>
      <w:r w:rsidR="006F528B">
        <w:rPr>
          <w:rFonts w:ascii="Times New Roman" w:hAnsi="Times New Roman" w:cs="Times New Roman"/>
        </w:rPr>
        <w:t xml:space="preserve"> specifies</w:t>
      </w:r>
      <w:r w:rsidRPr="009078C2">
        <w:rPr>
          <w:rFonts w:ascii="Times New Roman" w:hAnsi="Times New Roman" w:cs="Times New Roman"/>
        </w:rPr>
        <w:t xml:space="preserve"> the </w:t>
      </w:r>
      <w:r w:rsidR="006F528B">
        <w:rPr>
          <w:rFonts w:ascii="Times New Roman" w:hAnsi="Times New Roman" w:cs="Times New Roman"/>
        </w:rPr>
        <w:t xml:space="preserve">amount of the </w:t>
      </w:r>
      <w:r w:rsidRPr="009078C2">
        <w:rPr>
          <w:rFonts w:ascii="Times New Roman" w:hAnsi="Times New Roman" w:cs="Times New Roman"/>
        </w:rPr>
        <w:t>deposit payable to the ACMA on account of the expenses to be incurred in relation to a request to declare a protection zone</w:t>
      </w:r>
      <w:r w:rsidR="000C7762">
        <w:rPr>
          <w:rFonts w:ascii="Times New Roman" w:hAnsi="Times New Roman" w:cs="Times New Roman"/>
        </w:rPr>
        <w:t xml:space="preserve"> made under </w:t>
      </w:r>
      <w:r w:rsidR="000C7762" w:rsidRPr="009B2B60">
        <w:rPr>
          <w:rFonts w:ascii="Times New Roman" w:hAnsi="Times New Roman" w:cs="Times New Roman"/>
        </w:rPr>
        <w:t>clause 5 of Schedule 3A to the Telecommunications Act</w:t>
      </w:r>
      <w:r w:rsidR="000C7762">
        <w:rPr>
          <w:rFonts w:ascii="Times New Roman" w:hAnsi="Times New Roman" w:cs="Times New Roman"/>
        </w:rPr>
        <w:t>.</w:t>
      </w:r>
      <w:r w:rsidR="000C7762" w:rsidRPr="009B2B60">
        <w:rPr>
          <w:rFonts w:ascii="Times New Roman" w:hAnsi="Times New Roman" w:cs="Times New Roman"/>
        </w:rPr>
        <w:t xml:space="preserve"> </w:t>
      </w:r>
    </w:p>
    <w:p w14:paraId="20BDF4D1" w14:textId="1718F36B" w:rsidR="009078C2" w:rsidRPr="009078C2" w:rsidRDefault="009078C2" w:rsidP="009078C2">
      <w:pPr>
        <w:rPr>
          <w:rFonts w:ascii="Times New Roman" w:hAnsi="Times New Roman" w:cs="Times New Roman"/>
        </w:rPr>
      </w:pPr>
      <w:r w:rsidRPr="00D47574">
        <w:rPr>
          <w:rFonts w:ascii="Times New Roman" w:hAnsi="Times New Roman" w:cs="Times New Roman"/>
          <w:b/>
          <w:bCs/>
        </w:rPr>
        <w:t>Item 5.2</w:t>
      </w:r>
      <w:r w:rsidRPr="009078C2">
        <w:rPr>
          <w:rFonts w:ascii="Times New Roman" w:hAnsi="Times New Roman" w:cs="Times New Roman"/>
        </w:rPr>
        <w:t xml:space="preserve"> </w:t>
      </w:r>
      <w:r w:rsidR="000C7762">
        <w:rPr>
          <w:rFonts w:ascii="Times New Roman" w:hAnsi="Times New Roman" w:cs="Times New Roman"/>
        </w:rPr>
        <w:t xml:space="preserve">specifies </w:t>
      </w:r>
      <w:r w:rsidRPr="009078C2">
        <w:rPr>
          <w:rFonts w:ascii="Times New Roman" w:hAnsi="Times New Roman" w:cs="Times New Roman"/>
        </w:rPr>
        <w:t xml:space="preserve">the </w:t>
      </w:r>
      <w:r w:rsidR="0034055E">
        <w:rPr>
          <w:rFonts w:ascii="Times New Roman" w:hAnsi="Times New Roman" w:cs="Times New Roman"/>
        </w:rPr>
        <w:t xml:space="preserve">amount of the </w:t>
      </w:r>
      <w:r w:rsidRPr="009078C2">
        <w:rPr>
          <w:rFonts w:ascii="Times New Roman" w:hAnsi="Times New Roman" w:cs="Times New Roman"/>
        </w:rPr>
        <w:t>deposit payable to the ACMA on account of the expenses to be incurred in relation to a request to vary or revoke a declaration of a protection zone</w:t>
      </w:r>
      <w:r w:rsidR="0034055E">
        <w:rPr>
          <w:rFonts w:ascii="Times New Roman" w:hAnsi="Times New Roman" w:cs="Times New Roman"/>
        </w:rPr>
        <w:t>, made under clause 24 of Schedule 3A to the Telecommunications Act</w:t>
      </w:r>
      <w:r w:rsidRPr="009078C2">
        <w:rPr>
          <w:rFonts w:ascii="Times New Roman" w:hAnsi="Times New Roman" w:cs="Times New Roman"/>
        </w:rPr>
        <w:t>.</w:t>
      </w:r>
    </w:p>
    <w:p w14:paraId="02EF7146" w14:textId="6BF5C0F1" w:rsidR="009078C2" w:rsidRPr="009078C2" w:rsidRDefault="009078C2" w:rsidP="009078C2">
      <w:pPr>
        <w:rPr>
          <w:rFonts w:ascii="Times New Roman" w:hAnsi="Times New Roman" w:cs="Times New Roman"/>
        </w:rPr>
      </w:pPr>
      <w:r w:rsidRPr="00D47574">
        <w:rPr>
          <w:rFonts w:ascii="Times New Roman" w:hAnsi="Times New Roman" w:cs="Times New Roman"/>
          <w:b/>
          <w:bCs/>
        </w:rPr>
        <w:t>Item 5.3</w:t>
      </w:r>
      <w:r w:rsidRPr="009078C2">
        <w:rPr>
          <w:rFonts w:ascii="Times New Roman" w:hAnsi="Times New Roman" w:cs="Times New Roman"/>
        </w:rPr>
        <w:t xml:space="preserve"> specifies the </w:t>
      </w:r>
      <w:r w:rsidR="00920C8C">
        <w:rPr>
          <w:rFonts w:ascii="Times New Roman" w:hAnsi="Times New Roman" w:cs="Times New Roman"/>
        </w:rPr>
        <w:t xml:space="preserve">further processing charges for processing requests to declare a protection zone, or to vary or revoke a </w:t>
      </w:r>
      <w:r w:rsidR="0076251B">
        <w:rPr>
          <w:rFonts w:ascii="Times New Roman" w:hAnsi="Times New Roman" w:cs="Times New Roman"/>
        </w:rPr>
        <w:t xml:space="preserve">declaration of a </w:t>
      </w:r>
      <w:r w:rsidR="00920C8C">
        <w:rPr>
          <w:rFonts w:ascii="Times New Roman" w:hAnsi="Times New Roman" w:cs="Times New Roman"/>
        </w:rPr>
        <w:t xml:space="preserve">protection zone. The </w:t>
      </w:r>
      <w:r w:rsidR="00F1154C">
        <w:rPr>
          <w:rFonts w:ascii="Times New Roman" w:hAnsi="Times New Roman" w:cs="Times New Roman"/>
        </w:rPr>
        <w:t xml:space="preserve">further charges are charged at the </w:t>
      </w:r>
      <w:r w:rsidRPr="009078C2">
        <w:rPr>
          <w:rFonts w:ascii="Times New Roman" w:hAnsi="Times New Roman" w:cs="Times New Roman"/>
        </w:rPr>
        <w:t xml:space="preserve">hourly rate </w:t>
      </w:r>
      <w:r w:rsidR="00F1154C">
        <w:rPr>
          <w:rFonts w:ascii="Times New Roman" w:hAnsi="Times New Roman" w:cs="Times New Roman"/>
        </w:rPr>
        <w:t>based on</w:t>
      </w:r>
      <w:r w:rsidRPr="009078C2">
        <w:rPr>
          <w:rFonts w:ascii="Times New Roman" w:hAnsi="Times New Roman" w:cs="Times New Roman"/>
        </w:rPr>
        <w:t xml:space="preserve"> the activities of ACMA </w:t>
      </w:r>
      <w:r w:rsidR="00F57A87">
        <w:rPr>
          <w:rFonts w:ascii="Times New Roman" w:hAnsi="Times New Roman" w:cs="Times New Roman"/>
        </w:rPr>
        <w:t xml:space="preserve">officials </w:t>
      </w:r>
      <w:r w:rsidRPr="009078C2">
        <w:rPr>
          <w:rFonts w:ascii="Times New Roman" w:hAnsi="Times New Roman" w:cs="Times New Roman"/>
        </w:rPr>
        <w:t xml:space="preserve">in </w:t>
      </w:r>
      <w:r w:rsidR="00F57A87">
        <w:rPr>
          <w:rFonts w:ascii="Times New Roman" w:hAnsi="Times New Roman" w:cs="Times New Roman"/>
        </w:rPr>
        <w:t>processing such requests</w:t>
      </w:r>
      <w:r w:rsidRPr="009078C2">
        <w:rPr>
          <w:rFonts w:ascii="Times New Roman" w:hAnsi="Times New Roman" w:cs="Times New Roman"/>
        </w:rPr>
        <w:t>.</w:t>
      </w:r>
    </w:p>
    <w:p w14:paraId="45657342" w14:textId="4E24B4EF" w:rsidR="009078C2" w:rsidRDefault="009078C2" w:rsidP="009078C2">
      <w:pPr>
        <w:rPr>
          <w:rFonts w:ascii="Times New Roman" w:hAnsi="Times New Roman" w:cs="Times New Roman"/>
        </w:rPr>
      </w:pPr>
      <w:r w:rsidRPr="00D47574">
        <w:rPr>
          <w:rFonts w:ascii="Times New Roman" w:hAnsi="Times New Roman" w:cs="Times New Roman"/>
          <w:b/>
          <w:bCs/>
        </w:rPr>
        <w:lastRenderedPageBreak/>
        <w:t>Item 5.4</w:t>
      </w:r>
      <w:r w:rsidRPr="009078C2">
        <w:rPr>
          <w:rFonts w:ascii="Times New Roman" w:hAnsi="Times New Roman" w:cs="Times New Roman"/>
        </w:rPr>
        <w:t xml:space="preserve"> </w:t>
      </w:r>
      <w:r w:rsidR="00153243">
        <w:rPr>
          <w:rFonts w:ascii="Times New Roman" w:hAnsi="Times New Roman" w:cs="Times New Roman"/>
        </w:rPr>
        <w:t xml:space="preserve">specifies </w:t>
      </w:r>
      <w:r w:rsidRPr="009078C2">
        <w:rPr>
          <w:rFonts w:ascii="Times New Roman" w:hAnsi="Times New Roman" w:cs="Times New Roman"/>
        </w:rPr>
        <w:t xml:space="preserve">that external costs incurred by the ACMA in relation to a request to declare a protection zone or vary or revoke a declaration of a protection zone </w:t>
      </w:r>
      <w:r w:rsidR="0076251B">
        <w:rPr>
          <w:rFonts w:ascii="Times New Roman" w:hAnsi="Times New Roman" w:cs="Times New Roman"/>
        </w:rPr>
        <w:t>will</w:t>
      </w:r>
      <w:r w:rsidR="0076251B" w:rsidRPr="009078C2">
        <w:rPr>
          <w:rFonts w:ascii="Times New Roman" w:hAnsi="Times New Roman" w:cs="Times New Roman"/>
        </w:rPr>
        <w:t xml:space="preserve"> </w:t>
      </w:r>
      <w:r w:rsidRPr="009078C2">
        <w:rPr>
          <w:rFonts w:ascii="Times New Roman" w:hAnsi="Times New Roman" w:cs="Times New Roman"/>
        </w:rPr>
        <w:t>be charged on a cost incurred basis.</w:t>
      </w:r>
    </w:p>
    <w:p w14:paraId="40A602B0" w14:textId="61414427" w:rsidR="00C10BAF" w:rsidRPr="009078C2" w:rsidRDefault="00C10BAF" w:rsidP="00C10BAF">
      <w:pPr>
        <w:rPr>
          <w:rFonts w:ascii="Times New Roman" w:hAnsi="Times New Roman" w:cs="Times New Roman"/>
        </w:rPr>
      </w:pPr>
      <w:r>
        <w:rPr>
          <w:rFonts w:ascii="Times New Roman" w:hAnsi="Times New Roman" w:cs="Times New Roman"/>
        </w:rPr>
        <w:t xml:space="preserve">In accordance with section 12, if the further charges determined </w:t>
      </w:r>
      <w:r w:rsidR="0010490E">
        <w:rPr>
          <w:rFonts w:ascii="Times New Roman" w:hAnsi="Times New Roman" w:cs="Times New Roman"/>
        </w:rPr>
        <w:t xml:space="preserve">under items 5.3 or 5.4 </w:t>
      </w:r>
      <w:r>
        <w:rPr>
          <w:rFonts w:ascii="Times New Roman" w:hAnsi="Times New Roman" w:cs="Times New Roman"/>
        </w:rPr>
        <w:t>are less than the deposit pa</w:t>
      </w:r>
      <w:r w:rsidR="001F558E">
        <w:rPr>
          <w:rFonts w:ascii="Times New Roman" w:hAnsi="Times New Roman" w:cs="Times New Roman"/>
        </w:rPr>
        <w:t>id</w:t>
      </w:r>
      <w:r>
        <w:rPr>
          <w:rFonts w:ascii="Times New Roman" w:hAnsi="Times New Roman" w:cs="Times New Roman"/>
        </w:rPr>
        <w:t xml:space="preserve"> under item</w:t>
      </w:r>
      <w:r w:rsidR="0010490E">
        <w:rPr>
          <w:rFonts w:ascii="Times New Roman" w:hAnsi="Times New Roman" w:cs="Times New Roman"/>
        </w:rPr>
        <w:t>s</w:t>
      </w:r>
      <w:r>
        <w:rPr>
          <w:rFonts w:ascii="Times New Roman" w:hAnsi="Times New Roman" w:cs="Times New Roman"/>
        </w:rPr>
        <w:t xml:space="preserve"> </w:t>
      </w:r>
      <w:r w:rsidR="0010490E">
        <w:rPr>
          <w:rFonts w:ascii="Times New Roman" w:hAnsi="Times New Roman" w:cs="Times New Roman"/>
        </w:rPr>
        <w:t>5</w:t>
      </w:r>
      <w:r>
        <w:rPr>
          <w:rFonts w:ascii="Times New Roman" w:hAnsi="Times New Roman" w:cs="Times New Roman"/>
        </w:rPr>
        <w:t>.1</w:t>
      </w:r>
      <w:r w:rsidR="0010490E">
        <w:rPr>
          <w:rFonts w:ascii="Times New Roman" w:hAnsi="Times New Roman" w:cs="Times New Roman"/>
        </w:rPr>
        <w:t xml:space="preserve"> or 5.2</w:t>
      </w:r>
      <w:r>
        <w:rPr>
          <w:rFonts w:ascii="Times New Roman" w:hAnsi="Times New Roman" w:cs="Times New Roman"/>
        </w:rPr>
        <w:t>, the ACMA will refund the balance to the</w:t>
      </w:r>
      <w:r w:rsidR="00410E0D">
        <w:rPr>
          <w:rFonts w:ascii="Times New Roman" w:hAnsi="Times New Roman" w:cs="Times New Roman"/>
        </w:rPr>
        <w:t xml:space="preserve"> requesting person</w:t>
      </w:r>
      <w:r>
        <w:rPr>
          <w:rFonts w:ascii="Times New Roman" w:hAnsi="Times New Roman" w:cs="Times New Roman"/>
        </w:rPr>
        <w:t xml:space="preserve">, and if </w:t>
      </w:r>
      <w:r w:rsidR="0010490E">
        <w:rPr>
          <w:rFonts w:ascii="Times New Roman" w:hAnsi="Times New Roman" w:cs="Times New Roman"/>
        </w:rPr>
        <w:t>the charges are</w:t>
      </w:r>
      <w:r>
        <w:rPr>
          <w:rFonts w:ascii="Times New Roman" w:hAnsi="Times New Roman" w:cs="Times New Roman"/>
        </w:rPr>
        <w:t xml:space="preserve"> greater than the deposit</w:t>
      </w:r>
      <w:r w:rsidR="0010490E">
        <w:rPr>
          <w:rFonts w:ascii="Times New Roman" w:hAnsi="Times New Roman" w:cs="Times New Roman"/>
        </w:rPr>
        <w:t xml:space="preserve"> paid</w:t>
      </w:r>
      <w:r>
        <w:rPr>
          <w:rFonts w:ascii="Times New Roman" w:hAnsi="Times New Roman" w:cs="Times New Roman"/>
        </w:rPr>
        <w:t xml:space="preserve">, the </w:t>
      </w:r>
      <w:r w:rsidR="00DF1742">
        <w:rPr>
          <w:rFonts w:ascii="Times New Roman" w:hAnsi="Times New Roman" w:cs="Times New Roman"/>
        </w:rPr>
        <w:t>requesting person</w:t>
      </w:r>
      <w:r>
        <w:rPr>
          <w:rFonts w:ascii="Times New Roman" w:hAnsi="Times New Roman" w:cs="Times New Roman"/>
        </w:rPr>
        <w:t xml:space="preserve"> will be required to pay the balance. </w:t>
      </w:r>
    </w:p>
    <w:p w14:paraId="3EC903DD" w14:textId="77777777" w:rsidR="00C10BAF" w:rsidRPr="009078C2" w:rsidRDefault="00C10BAF" w:rsidP="009078C2">
      <w:pPr>
        <w:rPr>
          <w:rFonts w:ascii="Times New Roman" w:hAnsi="Times New Roman" w:cs="Times New Roman"/>
        </w:rPr>
      </w:pPr>
    </w:p>
    <w:p w14:paraId="60039633" w14:textId="77777777"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6</w:t>
      </w:r>
      <w:r w:rsidRPr="001B62FA">
        <w:rPr>
          <w:rFonts w:ascii="Times New Roman" w:hAnsi="Times New Roman" w:cs="Times New Roman"/>
          <w:b/>
          <w:bCs/>
        </w:rPr>
        <w:tab/>
      </w:r>
      <w:r w:rsidRPr="001B62FA">
        <w:rPr>
          <w:rFonts w:ascii="Times New Roman" w:hAnsi="Times New Roman" w:cs="Times New Roman"/>
          <w:b/>
          <w:bCs/>
        </w:rPr>
        <w:tab/>
        <w:t>Charges payable in relation to certain permits to install a submarine cable</w:t>
      </w:r>
    </w:p>
    <w:p w14:paraId="6E65189A" w14:textId="10DBA20C" w:rsidR="009078C2" w:rsidRPr="008A712E" w:rsidRDefault="009078C2" w:rsidP="009078C2">
      <w:pPr>
        <w:rPr>
          <w:rFonts w:ascii="Times New Roman" w:hAnsi="Times New Roman" w:cs="Times New Roman"/>
        </w:rPr>
      </w:pPr>
      <w:r w:rsidRPr="00D47574">
        <w:rPr>
          <w:rFonts w:ascii="Times New Roman" w:hAnsi="Times New Roman" w:cs="Times New Roman"/>
          <w:b/>
          <w:bCs/>
        </w:rPr>
        <w:t>Item 6.1</w:t>
      </w:r>
      <w:r w:rsidRPr="008A712E">
        <w:rPr>
          <w:rFonts w:ascii="Times New Roman" w:hAnsi="Times New Roman" w:cs="Times New Roman"/>
        </w:rPr>
        <w:t xml:space="preserve"> </w:t>
      </w:r>
      <w:r w:rsidR="00AC0ADF" w:rsidRPr="008A712E">
        <w:rPr>
          <w:rFonts w:ascii="Times New Roman" w:hAnsi="Times New Roman" w:cs="Times New Roman"/>
        </w:rPr>
        <w:t>specifies</w:t>
      </w:r>
      <w:r w:rsidRPr="008A712E">
        <w:rPr>
          <w:rFonts w:ascii="Times New Roman" w:hAnsi="Times New Roman" w:cs="Times New Roman"/>
        </w:rPr>
        <w:t xml:space="preserve"> </w:t>
      </w:r>
      <w:r w:rsidR="005209A7" w:rsidRPr="008A712E">
        <w:rPr>
          <w:rFonts w:ascii="Times New Roman" w:hAnsi="Times New Roman" w:cs="Times New Roman"/>
        </w:rPr>
        <w:t xml:space="preserve">the </w:t>
      </w:r>
      <w:r w:rsidRPr="008A712E">
        <w:rPr>
          <w:rFonts w:ascii="Times New Roman" w:hAnsi="Times New Roman" w:cs="Times New Roman"/>
        </w:rPr>
        <w:t>charge for considering and processing an application for a protection zone installation permit for each submarine cable the subject of the application</w:t>
      </w:r>
      <w:r w:rsidR="00EE2009" w:rsidRPr="008A712E">
        <w:rPr>
          <w:rFonts w:ascii="Times New Roman" w:hAnsi="Times New Roman" w:cs="Times New Roman"/>
        </w:rPr>
        <w:t xml:space="preserve"> for the purposes of clause 53 of Schedule 3A to the Telecommunications Act</w:t>
      </w:r>
      <w:r w:rsidR="00C0354F" w:rsidRPr="008A712E">
        <w:rPr>
          <w:rFonts w:ascii="Times New Roman" w:hAnsi="Times New Roman" w:cs="Times New Roman"/>
        </w:rPr>
        <w:t>.</w:t>
      </w:r>
    </w:p>
    <w:p w14:paraId="0A0701F0" w14:textId="39B53584" w:rsidR="009078C2" w:rsidRPr="009078C2" w:rsidRDefault="009078C2" w:rsidP="009078C2">
      <w:pPr>
        <w:rPr>
          <w:rFonts w:ascii="Times New Roman" w:hAnsi="Times New Roman" w:cs="Times New Roman"/>
        </w:rPr>
      </w:pPr>
      <w:r w:rsidRPr="00D47574">
        <w:rPr>
          <w:rFonts w:ascii="Times New Roman" w:hAnsi="Times New Roman" w:cs="Times New Roman"/>
          <w:b/>
          <w:bCs/>
        </w:rPr>
        <w:t>Item 6.2</w:t>
      </w:r>
      <w:r w:rsidRPr="009078C2">
        <w:rPr>
          <w:rFonts w:ascii="Times New Roman" w:hAnsi="Times New Roman" w:cs="Times New Roman"/>
        </w:rPr>
        <w:t xml:space="preserve"> </w:t>
      </w:r>
      <w:r w:rsidR="00D11EA1">
        <w:rPr>
          <w:rFonts w:ascii="Times New Roman" w:hAnsi="Times New Roman" w:cs="Times New Roman"/>
        </w:rPr>
        <w:t xml:space="preserve">specifies the </w:t>
      </w:r>
      <w:r w:rsidRPr="009078C2">
        <w:rPr>
          <w:rFonts w:ascii="Times New Roman" w:hAnsi="Times New Roman" w:cs="Times New Roman"/>
        </w:rPr>
        <w:t>charge for considering and processing an application</w:t>
      </w:r>
      <w:r w:rsidR="00D11EA1">
        <w:rPr>
          <w:rFonts w:ascii="Times New Roman" w:hAnsi="Times New Roman" w:cs="Times New Roman"/>
        </w:rPr>
        <w:t xml:space="preserve"> under clause 61 of Schedule 3A to the Telecommunications Act</w:t>
      </w:r>
      <w:r w:rsidRPr="009078C2">
        <w:rPr>
          <w:rFonts w:ascii="Times New Roman" w:hAnsi="Times New Roman" w:cs="Times New Roman"/>
        </w:rPr>
        <w:t xml:space="preserve"> to extend the duration of a protection zone installation permit.</w:t>
      </w:r>
    </w:p>
    <w:p w14:paraId="7F77F47C" w14:textId="2E528E14" w:rsidR="009078C2" w:rsidRPr="009078C2" w:rsidRDefault="009078C2" w:rsidP="009078C2">
      <w:pPr>
        <w:rPr>
          <w:rFonts w:ascii="Times New Roman" w:hAnsi="Times New Roman" w:cs="Times New Roman"/>
        </w:rPr>
      </w:pPr>
      <w:r w:rsidRPr="00D47574">
        <w:rPr>
          <w:rFonts w:ascii="Times New Roman" w:hAnsi="Times New Roman" w:cs="Times New Roman"/>
          <w:b/>
          <w:bCs/>
        </w:rPr>
        <w:t>Item 6.3</w:t>
      </w:r>
      <w:r w:rsidRPr="009078C2">
        <w:rPr>
          <w:rFonts w:ascii="Times New Roman" w:hAnsi="Times New Roman" w:cs="Times New Roman"/>
        </w:rPr>
        <w:t xml:space="preserve"> </w:t>
      </w:r>
      <w:r w:rsidR="006356F9">
        <w:rPr>
          <w:rFonts w:ascii="Times New Roman" w:hAnsi="Times New Roman" w:cs="Times New Roman"/>
        </w:rPr>
        <w:t>specifies the</w:t>
      </w:r>
      <w:r w:rsidRPr="009078C2">
        <w:rPr>
          <w:rFonts w:ascii="Times New Roman" w:hAnsi="Times New Roman" w:cs="Times New Roman"/>
        </w:rPr>
        <w:t xml:space="preserve"> charge for considering and processing an application for a non-protection zone installation permit</w:t>
      </w:r>
      <w:r w:rsidR="007E4E06">
        <w:rPr>
          <w:rFonts w:ascii="Times New Roman" w:hAnsi="Times New Roman" w:cs="Times New Roman"/>
        </w:rPr>
        <w:t xml:space="preserve"> </w:t>
      </w:r>
      <w:r w:rsidR="006356F9">
        <w:rPr>
          <w:rFonts w:ascii="Times New Roman" w:hAnsi="Times New Roman" w:cs="Times New Roman"/>
        </w:rPr>
        <w:t>made under clause 6</w:t>
      </w:r>
      <w:r w:rsidR="00BC6071">
        <w:rPr>
          <w:rFonts w:ascii="Times New Roman" w:hAnsi="Times New Roman" w:cs="Times New Roman"/>
        </w:rPr>
        <w:t>4</w:t>
      </w:r>
      <w:r w:rsidR="006356F9">
        <w:rPr>
          <w:rFonts w:ascii="Times New Roman" w:hAnsi="Times New Roman" w:cs="Times New Roman"/>
        </w:rPr>
        <w:t xml:space="preserve"> of Schedule 3A to the Telecommunications Act</w:t>
      </w:r>
      <w:r w:rsidR="00A47C9B">
        <w:rPr>
          <w:rFonts w:ascii="Times New Roman" w:hAnsi="Times New Roman" w:cs="Times New Roman"/>
        </w:rPr>
        <w:t xml:space="preserve">, </w:t>
      </w:r>
      <w:r w:rsidRPr="009078C2">
        <w:rPr>
          <w:rFonts w:ascii="Times New Roman" w:hAnsi="Times New Roman" w:cs="Times New Roman"/>
        </w:rPr>
        <w:t xml:space="preserve">for each submarine cable the subject of the application, </w:t>
      </w:r>
      <w:r w:rsidR="00BC6071">
        <w:rPr>
          <w:rFonts w:ascii="Times New Roman" w:hAnsi="Times New Roman" w:cs="Times New Roman"/>
        </w:rPr>
        <w:t>excluding</w:t>
      </w:r>
      <w:r w:rsidRPr="009078C2">
        <w:rPr>
          <w:rFonts w:ascii="Times New Roman" w:hAnsi="Times New Roman" w:cs="Times New Roman"/>
        </w:rPr>
        <w:t xml:space="preserve"> the additional charges mentioned at items 6.4 and 6.5</w:t>
      </w:r>
      <w:r w:rsidR="00BC6071">
        <w:rPr>
          <w:rFonts w:ascii="Times New Roman" w:hAnsi="Times New Roman" w:cs="Times New Roman"/>
        </w:rPr>
        <w:t>.</w:t>
      </w:r>
      <w:r w:rsidR="00F6230B">
        <w:rPr>
          <w:rFonts w:ascii="Times New Roman" w:hAnsi="Times New Roman" w:cs="Times New Roman"/>
        </w:rPr>
        <w:t xml:space="preserve"> The charge is the application charge specified for the purposes of clause 66 of Schedule 3A to the Telecommunications Act. </w:t>
      </w:r>
    </w:p>
    <w:p w14:paraId="582AE4F6" w14:textId="3BA07F47" w:rsidR="009078C2" w:rsidRPr="009078C2" w:rsidRDefault="009078C2" w:rsidP="009078C2">
      <w:pPr>
        <w:rPr>
          <w:rFonts w:ascii="Times New Roman" w:hAnsi="Times New Roman" w:cs="Times New Roman"/>
        </w:rPr>
      </w:pPr>
      <w:r w:rsidRPr="00D47574">
        <w:rPr>
          <w:rFonts w:ascii="Times New Roman" w:hAnsi="Times New Roman" w:cs="Times New Roman"/>
          <w:b/>
          <w:bCs/>
        </w:rPr>
        <w:t>Item 6.4</w:t>
      </w:r>
      <w:r w:rsidRPr="009078C2">
        <w:rPr>
          <w:rFonts w:ascii="Times New Roman" w:hAnsi="Times New Roman" w:cs="Times New Roman"/>
        </w:rPr>
        <w:t xml:space="preserve"> </w:t>
      </w:r>
      <w:r w:rsidR="00344516">
        <w:rPr>
          <w:rFonts w:ascii="Times New Roman" w:hAnsi="Times New Roman" w:cs="Times New Roman"/>
        </w:rPr>
        <w:t>specifies the amount of</w:t>
      </w:r>
      <w:r w:rsidR="00344516" w:rsidRPr="009078C2">
        <w:rPr>
          <w:rFonts w:ascii="Times New Roman" w:hAnsi="Times New Roman" w:cs="Times New Roman"/>
        </w:rPr>
        <w:t xml:space="preserve"> </w:t>
      </w:r>
      <w:r w:rsidRPr="009078C2">
        <w:rPr>
          <w:rFonts w:ascii="Times New Roman" w:hAnsi="Times New Roman" w:cs="Times New Roman"/>
        </w:rPr>
        <w:t>the deposit payable in relation to an application for a non-protection zone installation permit on account of the charges at item 6.5.</w:t>
      </w:r>
      <w:r w:rsidR="0053356F">
        <w:rPr>
          <w:rFonts w:ascii="Times New Roman" w:hAnsi="Times New Roman" w:cs="Times New Roman"/>
        </w:rPr>
        <w:t xml:space="preserve"> </w:t>
      </w:r>
    </w:p>
    <w:p w14:paraId="6053A859" w14:textId="45D48786" w:rsidR="00DF1742" w:rsidRPr="009078C2" w:rsidRDefault="009078C2" w:rsidP="009078C2">
      <w:pPr>
        <w:rPr>
          <w:rFonts w:ascii="Times New Roman" w:hAnsi="Times New Roman" w:cs="Times New Roman"/>
        </w:rPr>
      </w:pPr>
      <w:r w:rsidRPr="00D47574">
        <w:rPr>
          <w:rFonts w:ascii="Times New Roman" w:hAnsi="Times New Roman" w:cs="Times New Roman"/>
          <w:b/>
          <w:bCs/>
        </w:rPr>
        <w:t>Item 6.5</w:t>
      </w:r>
      <w:r w:rsidRPr="009078C2">
        <w:rPr>
          <w:rFonts w:ascii="Times New Roman" w:hAnsi="Times New Roman" w:cs="Times New Roman"/>
        </w:rPr>
        <w:t xml:space="preserve"> </w:t>
      </w:r>
      <w:r w:rsidR="0053356F">
        <w:rPr>
          <w:rFonts w:ascii="Times New Roman" w:hAnsi="Times New Roman" w:cs="Times New Roman"/>
        </w:rPr>
        <w:t>specifies</w:t>
      </w:r>
      <w:r w:rsidRPr="009078C2">
        <w:rPr>
          <w:rFonts w:ascii="Times New Roman" w:hAnsi="Times New Roman" w:cs="Times New Roman"/>
        </w:rPr>
        <w:t xml:space="preserve"> that </w:t>
      </w:r>
      <w:r w:rsidR="0053356F">
        <w:rPr>
          <w:rFonts w:ascii="Times New Roman" w:hAnsi="Times New Roman" w:cs="Times New Roman"/>
        </w:rPr>
        <w:t xml:space="preserve">any </w:t>
      </w:r>
      <w:r w:rsidRPr="009078C2">
        <w:rPr>
          <w:rFonts w:ascii="Times New Roman" w:hAnsi="Times New Roman" w:cs="Times New Roman"/>
        </w:rPr>
        <w:t xml:space="preserve">external costs incurred by the ACMA for the use of external consultants in considering an application for a non-protection zone installation permit </w:t>
      </w:r>
      <w:r w:rsidR="0053356F">
        <w:rPr>
          <w:rFonts w:ascii="Times New Roman" w:hAnsi="Times New Roman" w:cs="Times New Roman"/>
        </w:rPr>
        <w:t>will</w:t>
      </w:r>
      <w:r w:rsidRPr="009078C2">
        <w:rPr>
          <w:rFonts w:ascii="Times New Roman" w:hAnsi="Times New Roman" w:cs="Times New Roman"/>
        </w:rPr>
        <w:t xml:space="preserve"> be charged on a cost incurred basis.</w:t>
      </w:r>
      <w:r w:rsidR="0053356F">
        <w:rPr>
          <w:rFonts w:ascii="Times New Roman" w:hAnsi="Times New Roman" w:cs="Times New Roman"/>
        </w:rPr>
        <w:t xml:space="preserve"> </w:t>
      </w:r>
    </w:p>
    <w:p w14:paraId="1EC371AA" w14:textId="6F078F93" w:rsidR="009078C2" w:rsidRDefault="009078C2" w:rsidP="009078C2">
      <w:pPr>
        <w:rPr>
          <w:rFonts w:ascii="Times New Roman" w:hAnsi="Times New Roman" w:cs="Times New Roman"/>
        </w:rPr>
      </w:pPr>
      <w:r w:rsidRPr="00D47574">
        <w:rPr>
          <w:rFonts w:ascii="Times New Roman" w:hAnsi="Times New Roman" w:cs="Times New Roman"/>
          <w:b/>
          <w:bCs/>
        </w:rPr>
        <w:t>Item 6.6</w:t>
      </w:r>
      <w:r w:rsidRPr="009078C2">
        <w:rPr>
          <w:rFonts w:ascii="Times New Roman" w:hAnsi="Times New Roman" w:cs="Times New Roman"/>
        </w:rPr>
        <w:t xml:space="preserve"> </w:t>
      </w:r>
      <w:r w:rsidR="008E4C36">
        <w:rPr>
          <w:rFonts w:ascii="Times New Roman" w:hAnsi="Times New Roman" w:cs="Times New Roman"/>
        </w:rPr>
        <w:t>specifies</w:t>
      </w:r>
      <w:r w:rsidR="008E4C36" w:rsidRPr="009078C2">
        <w:rPr>
          <w:rFonts w:ascii="Times New Roman" w:hAnsi="Times New Roman" w:cs="Times New Roman"/>
        </w:rPr>
        <w:t xml:space="preserve"> </w:t>
      </w:r>
      <w:r w:rsidR="004C5277">
        <w:rPr>
          <w:rFonts w:ascii="Times New Roman" w:hAnsi="Times New Roman" w:cs="Times New Roman"/>
        </w:rPr>
        <w:t xml:space="preserve">the </w:t>
      </w:r>
      <w:r w:rsidRPr="009078C2">
        <w:rPr>
          <w:rFonts w:ascii="Times New Roman" w:hAnsi="Times New Roman" w:cs="Times New Roman"/>
        </w:rPr>
        <w:t>charge for considering and processing an application to extend the duration of a non-protection zone installation permit,</w:t>
      </w:r>
      <w:r w:rsidR="00F64714">
        <w:rPr>
          <w:rFonts w:ascii="Times New Roman" w:hAnsi="Times New Roman" w:cs="Times New Roman"/>
        </w:rPr>
        <w:t xml:space="preserve"> made under clause 76 of Schedule 3A to the Telecommunications Act</w:t>
      </w:r>
      <w:r w:rsidRPr="009078C2">
        <w:rPr>
          <w:rFonts w:ascii="Times New Roman" w:hAnsi="Times New Roman" w:cs="Times New Roman"/>
        </w:rPr>
        <w:t>.</w:t>
      </w:r>
    </w:p>
    <w:p w14:paraId="3FC91FB0" w14:textId="1FE07CF0" w:rsidR="00156C08" w:rsidRPr="009078C2" w:rsidRDefault="007F4EEE" w:rsidP="00156C08">
      <w:pPr>
        <w:rPr>
          <w:rFonts w:ascii="Times New Roman" w:hAnsi="Times New Roman" w:cs="Times New Roman"/>
        </w:rPr>
      </w:pPr>
      <w:r>
        <w:rPr>
          <w:rFonts w:ascii="Times New Roman" w:hAnsi="Times New Roman" w:cs="Times New Roman"/>
        </w:rPr>
        <w:t>In accordance with section 13, if the further charges determined under item 6.5</w:t>
      </w:r>
      <w:r w:rsidR="00105846">
        <w:rPr>
          <w:rFonts w:ascii="Times New Roman" w:hAnsi="Times New Roman" w:cs="Times New Roman"/>
        </w:rPr>
        <w:t xml:space="preserve"> </w:t>
      </w:r>
      <w:r w:rsidR="005558BF">
        <w:rPr>
          <w:rFonts w:ascii="Times New Roman" w:hAnsi="Times New Roman" w:cs="Times New Roman"/>
        </w:rPr>
        <w:t xml:space="preserve">are </w:t>
      </w:r>
      <w:r w:rsidR="00105846">
        <w:rPr>
          <w:rFonts w:ascii="Times New Roman" w:hAnsi="Times New Roman" w:cs="Times New Roman"/>
        </w:rPr>
        <w:t>less than the deposit pa</w:t>
      </w:r>
      <w:r w:rsidR="001F558E">
        <w:rPr>
          <w:rFonts w:ascii="Times New Roman" w:hAnsi="Times New Roman" w:cs="Times New Roman"/>
        </w:rPr>
        <w:t>id</w:t>
      </w:r>
      <w:r w:rsidR="00105846">
        <w:rPr>
          <w:rFonts w:ascii="Times New Roman" w:hAnsi="Times New Roman" w:cs="Times New Roman"/>
        </w:rPr>
        <w:t xml:space="preserve"> under item 6.4</w:t>
      </w:r>
      <w:r w:rsidR="00AC6FDB">
        <w:rPr>
          <w:rFonts w:ascii="Times New Roman" w:hAnsi="Times New Roman" w:cs="Times New Roman"/>
        </w:rPr>
        <w:t xml:space="preserve">, the ACMA will refund </w:t>
      </w:r>
      <w:r w:rsidR="00156C08">
        <w:rPr>
          <w:rFonts w:ascii="Times New Roman" w:hAnsi="Times New Roman" w:cs="Times New Roman"/>
        </w:rPr>
        <w:t xml:space="preserve">the balance to the applicant, and if the charges are greater than the deposit, the applicant will be required to pay the balance. </w:t>
      </w:r>
    </w:p>
    <w:p w14:paraId="4AEC4985" w14:textId="0225C4D4" w:rsidR="009078C2" w:rsidRPr="001B62FA" w:rsidRDefault="009078C2" w:rsidP="009078C2">
      <w:pPr>
        <w:rPr>
          <w:rFonts w:ascii="Times New Roman" w:hAnsi="Times New Roman" w:cs="Times New Roman"/>
          <w:b/>
          <w:bCs/>
        </w:rPr>
      </w:pPr>
      <w:r w:rsidRPr="001B62FA">
        <w:rPr>
          <w:rFonts w:ascii="Times New Roman" w:hAnsi="Times New Roman" w:cs="Times New Roman"/>
          <w:b/>
          <w:bCs/>
        </w:rPr>
        <w:t>Part 7</w:t>
      </w:r>
      <w:r w:rsidRPr="001B62FA">
        <w:rPr>
          <w:rFonts w:ascii="Times New Roman" w:hAnsi="Times New Roman" w:cs="Times New Roman"/>
          <w:b/>
          <w:bCs/>
        </w:rPr>
        <w:tab/>
      </w:r>
      <w:r w:rsidRPr="001B62FA">
        <w:rPr>
          <w:rFonts w:ascii="Times New Roman" w:hAnsi="Times New Roman" w:cs="Times New Roman"/>
          <w:b/>
          <w:bCs/>
        </w:rPr>
        <w:tab/>
        <w:t>Charges payable in relation to labelling certificat</w:t>
      </w:r>
      <w:r w:rsidR="001F558E">
        <w:rPr>
          <w:rFonts w:ascii="Times New Roman" w:hAnsi="Times New Roman" w:cs="Times New Roman"/>
          <w:b/>
          <w:bCs/>
        </w:rPr>
        <w:t>ions</w:t>
      </w:r>
    </w:p>
    <w:p w14:paraId="0F2CF3AF" w14:textId="0E23BCD5" w:rsidR="009078C2" w:rsidRPr="009078C2" w:rsidRDefault="009078C2" w:rsidP="009078C2">
      <w:pPr>
        <w:rPr>
          <w:rFonts w:ascii="Times New Roman" w:hAnsi="Times New Roman" w:cs="Times New Roman"/>
        </w:rPr>
      </w:pPr>
      <w:r w:rsidRPr="00D47574">
        <w:rPr>
          <w:rFonts w:ascii="Times New Roman" w:hAnsi="Times New Roman" w:cs="Times New Roman"/>
          <w:b/>
          <w:bCs/>
        </w:rPr>
        <w:t>Item 7.1</w:t>
      </w:r>
      <w:r w:rsidRPr="009078C2">
        <w:rPr>
          <w:rFonts w:ascii="Times New Roman" w:hAnsi="Times New Roman" w:cs="Times New Roman"/>
        </w:rPr>
        <w:t xml:space="preserve"> </w:t>
      </w:r>
      <w:r w:rsidR="00AB4F7A">
        <w:rPr>
          <w:rFonts w:ascii="Times New Roman" w:hAnsi="Times New Roman" w:cs="Times New Roman"/>
        </w:rPr>
        <w:t>specifies</w:t>
      </w:r>
      <w:r w:rsidR="00AB4F7A" w:rsidRPr="009078C2">
        <w:rPr>
          <w:rFonts w:ascii="Times New Roman" w:hAnsi="Times New Roman" w:cs="Times New Roman"/>
        </w:rPr>
        <w:t xml:space="preserve"> </w:t>
      </w:r>
      <w:r w:rsidRPr="009078C2">
        <w:rPr>
          <w:rFonts w:ascii="Times New Roman" w:hAnsi="Times New Roman" w:cs="Times New Roman"/>
        </w:rPr>
        <w:t xml:space="preserve">the charge for the activities of an ACMA </w:t>
      </w:r>
      <w:r w:rsidR="008A799E">
        <w:rPr>
          <w:rFonts w:ascii="Times New Roman" w:hAnsi="Times New Roman" w:cs="Times New Roman"/>
        </w:rPr>
        <w:t xml:space="preserve">official </w:t>
      </w:r>
      <w:r w:rsidRPr="009078C2">
        <w:rPr>
          <w:rFonts w:ascii="Times New Roman" w:hAnsi="Times New Roman" w:cs="Times New Roman"/>
        </w:rPr>
        <w:t>acting as a certification body when dealing with an application for a written statement under paragraph 408(5)(a) of the Telecommunications Act.</w:t>
      </w:r>
      <w:r w:rsidR="00AA268D">
        <w:rPr>
          <w:rFonts w:ascii="Times New Roman" w:hAnsi="Times New Roman" w:cs="Times New Roman"/>
        </w:rPr>
        <w:t xml:space="preserve"> </w:t>
      </w:r>
      <w:r w:rsidR="007435E6">
        <w:rPr>
          <w:rFonts w:ascii="Times New Roman" w:hAnsi="Times New Roman" w:cs="Times New Roman"/>
        </w:rPr>
        <w:t xml:space="preserve">The charge payable will be determined using the hourly rate. </w:t>
      </w:r>
    </w:p>
    <w:p w14:paraId="20FD6F40" w14:textId="1D67B105" w:rsidR="004C58B9" w:rsidRDefault="00782711" w:rsidP="004C58B9">
      <w:pPr>
        <w:jc w:val="right"/>
        <w:rPr>
          <w:rFonts w:ascii="Times New Roman" w:hAnsi="Times New Roman" w:cs="Times New Roman"/>
          <w:b/>
          <w:sz w:val="28"/>
          <w:szCs w:val="28"/>
        </w:rPr>
      </w:pPr>
      <w:r>
        <w:rPr>
          <w:rFonts w:ascii="Times New Roman" w:hAnsi="Times New Roman" w:cs="Times New Roman"/>
        </w:rPr>
        <w:br w:type="page"/>
      </w:r>
      <w:r w:rsidR="004C58B9">
        <w:rPr>
          <w:rFonts w:ascii="Times New Roman" w:hAnsi="Times New Roman" w:cs="Times New Roman"/>
          <w:b/>
          <w:sz w:val="28"/>
          <w:szCs w:val="28"/>
        </w:rPr>
        <w:lastRenderedPageBreak/>
        <w:t>Attachment B</w:t>
      </w:r>
    </w:p>
    <w:p w14:paraId="35A1ABBD"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16464210" w14:textId="77777777" w:rsidR="004C58B9" w:rsidRDefault="004C58B9" w:rsidP="004C58B9">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713D6D21" w14:textId="77777777" w:rsidR="00026F01" w:rsidRPr="00D217BB" w:rsidRDefault="00026F01" w:rsidP="001B62FA">
      <w:pPr>
        <w:jc w:val="center"/>
        <w:rPr>
          <w:rFonts w:ascii="Times New Roman" w:hAnsi="Times New Roman" w:cs="Times New Roman"/>
          <w:b/>
        </w:rPr>
      </w:pPr>
      <w:r w:rsidRPr="00D217BB">
        <w:rPr>
          <w:rFonts w:ascii="Times New Roman" w:hAnsi="Times New Roman" w:cs="Times New Roman"/>
          <w:b/>
          <w:i/>
        </w:rPr>
        <w:t xml:space="preserve">Telecommunications </w:t>
      </w:r>
      <w:r>
        <w:rPr>
          <w:rFonts w:ascii="Times New Roman" w:hAnsi="Times New Roman" w:cs="Times New Roman"/>
          <w:b/>
          <w:i/>
        </w:rPr>
        <w:t>(</w:t>
      </w:r>
      <w:r w:rsidRPr="00D217BB">
        <w:rPr>
          <w:rFonts w:ascii="Times New Roman" w:hAnsi="Times New Roman" w:cs="Times New Roman"/>
          <w:b/>
          <w:i/>
        </w:rPr>
        <w:t>Charges) Determination</w:t>
      </w:r>
      <w:r>
        <w:rPr>
          <w:rFonts w:ascii="Times New Roman" w:hAnsi="Times New Roman" w:cs="Times New Roman"/>
          <w:b/>
          <w:i/>
        </w:rPr>
        <w:t xml:space="preserve"> </w:t>
      </w:r>
      <w:r w:rsidRPr="00D217BB">
        <w:rPr>
          <w:rFonts w:ascii="Times New Roman" w:hAnsi="Times New Roman" w:cs="Times New Roman"/>
          <w:b/>
          <w:i/>
        </w:rPr>
        <w:t>2022</w:t>
      </w:r>
    </w:p>
    <w:p w14:paraId="20610F78" w14:textId="751EF51F" w:rsidR="004C58B9" w:rsidRDefault="004C58B9" w:rsidP="004C58B9">
      <w:pPr>
        <w:jc w:val="center"/>
        <w:rPr>
          <w:rFonts w:ascii="Times New Roman" w:hAnsi="Times New Roman" w:cs="Times New Roman"/>
          <w:b/>
          <w:i/>
        </w:rPr>
      </w:pPr>
    </w:p>
    <w:p w14:paraId="469B3626" w14:textId="77777777" w:rsidR="004C58B9" w:rsidRDefault="004C58B9" w:rsidP="004C58B9">
      <w:pPr>
        <w:spacing w:before="280"/>
        <w:rPr>
          <w:rFonts w:ascii="Times New Roman" w:hAnsi="Times New Roman" w:cs="Times New Roman"/>
          <w:b/>
          <w:i/>
        </w:rPr>
      </w:pPr>
      <w:r>
        <w:rPr>
          <w:rFonts w:ascii="Times New Roman" w:hAnsi="Times New Roman" w:cs="Times New Roman"/>
          <w:b/>
          <w:i/>
        </w:rPr>
        <w:t>Overview of the instrument</w:t>
      </w:r>
    </w:p>
    <w:p w14:paraId="5FA5F4C1" w14:textId="01DBAE82" w:rsidR="00714984" w:rsidRPr="007117DC" w:rsidRDefault="00D5180F" w:rsidP="00D47574">
      <w:pPr>
        <w:pStyle w:val="subsection"/>
        <w:tabs>
          <w:tab w:val="clear" w:pos="1021"/>
        </w:tabs>
        <w:ind w:left="0" w:firstLine="0"/>
        <w:rPr>
          <w:szCs w:val="22"/>
        </w:rPr>
      </w:pPr>
      <w:r w:rsidRPr="001B62FA">
        <w:rPr>
          <w:szCs w:val="22"/>
        </w:rPr>
        <w:t xml:space="preserve">Subsection 60(1) of the </w:t>
      </w:r>
      <w:r w:rsidR="00460D4B">
        <w:rPr>
          <w:i/>
          <w:iCs/>
          <w:szCs w:val="22"/>
        </w:rPr>
        <w:t xml:space="preserve">Australian Communications and Media Authority Act </w:t>
      </w:r>
      <w:r w:rsidR="00460D4B">
        <w:rPr>
          <w:szCs w:val="22"/>
        </w:rPr>
        <w:t>(</w:t>
      </w:r>
      <w:r w:rsidR="00460D4B">
        <w:rPr>
          <w:b/>
          <w:bCs/>
          <w:szCs w:val="22"/>
        </w:rPr>
        <w:t>the Act</w:t>
      </w:r>
      <w:r w:rsidR="00460D4B">
        <w:rPr>
          <w:szCs w:val="22"/>
        </w:rPr>
        <w:t>)</w:t>
      </w:r>
      <w:r w:rsidR="00460D4B" w:rsidRPr="001B62FA">
        <w:rPr>
          <w:szCs w:val="22"/>
        </w:rPr>
        <w:t xml:space="preserve"> </w:t>
      </w:r>
      <w:r w:rsidRPr="001B62FA">
        <w:rPr>
          <w:szCs w:val="22"/>
        </w:rPr>
        <w:t xml:space="preserve">provides that the ACMA may, by written instrument, make determinations fixing charges for services provided by the ACMA </w:t>
      </w:r>
      <w:r w:rsidR="00FD0785">
        <w:rPr>
          <w:szCs w:val="22"/>
        </w:rPr>
        <w:t>or</w:t>
      </w:r>
      <w:r w:rsidR="00FD0785" w:rsidRPr="001B62FA">
        <w:rPr>
          <w:szCs w:val="22"/>
        </w:rPr>
        <w:t xml:space="preserve"> </w:t>
      </w:r>
      <w:r w:rsidRPr="001B62FA">
        <w:rPr>
          <w:szCs w:val="22"/>
        </w:rPr>
        <w:t xml:space="preserve">for any matter in which expenses are incurred by the ACMA under the </w:t>
      </w:r>
      <w:r w:rsidR="00502F8C">
        <w:rPr>
          <w:i/>
          <w:iCs/>
          <w:szCs w:val="22"/>
        </w:rPr>
        <w:t xml:space="preserve">Telecommunications Act 1997 </w:t>
      </w:r>
      <w:r w:rsidR="00502F8C">
        <w:rPr>
          <w:szCs w:val="22"/>
        </w:rPr>
        <w:t>(</w:t>
      </w:r>
      <w:r w:rsidRPr="00D47574">
        <w:rPr>
          <w:b/>
          <w:bCs/>
          <w:color w:val="000000"/>
          <w:szCs w:val="22"/>
        </w:rPr>
        <w:t>Telecommunications Act</w:t>
      </w:r>
      <w:r w:rsidR="00502F8C">
        <w:rPr>
          <w:szCs w:val="22"/>
        </w:rPr>
        <w:t>)</w:t>
      </w:r>
      <w:r w:rsidR="00BB72B0">
        <w:rPr>
          <w:szCs w:val="22"/>
        </w:rPr>
        <w:t xml:space="preserve"> or </w:t>
      </w:r>
      <w:r w:rsidR="004342BF">
        <w:rPr>
          <w:szCs w:val="22"/>
        </w:rPr>
        <w:t>instruments made under the Telecommunications Act</w:t>
      </w:r>
      <w:r w:rsidRPr="001B62FA">
        <w:rPr>
          <w:szCs w:val="22"/>
        </w:rPr>
        <w:t xml:space="preserve">. A charge must not be such as to amount to taxation. </w:t>
      </w:r>
      <w:r w:rsidR="00FD0785">
        <w:rPr>
          <w:szCs w:val="22"/>
        </w:rPr>
        <w:t xml:space="preserve">The </w:t>
      </w:r>
      <w:r w:rsidR="00FD0785">
        <w:rPr>
          <w:i/>
          <w:iCs/>
          <w:szCs w:val="22"/>
        </w:rPr>
        <w:t xml:space="preserve">Telecommunications (Charges) Determination 2022 </w:t>
      </w:r>
      <w:r w:rsidR="00FD0785">
        <w:rPr>
          <w:szCs w:val="22"/>
        </w:rPr>
        <w:t>(</w:t>
      </w:r>
      <w:r w:rsidR="00FD0785">
        <w:rPr>
          <w:b/>
          <w:bCs/>
          <w:szCs w:val="22"/>
        </w:rPr>
        <w:t>th</w:t>
      </w:r>
      <w:r w:rsidR="00FD0785" w:rsidRPr="00FD0785">
        <w:rPr>
          <w:b/>
          <w:bCs/>
          <w:szCs w:val="22"/>
        </w:rPr>
        <w:t>e instrument</w:t>
      </w:r>
      <w:r w:rsidR="00FD0785">
        <w:rPr>
          <w:szCs w:val="22"/>
        </w:rPr>
        <w:t xml:space="preserve">) is made under subsection 60(1) of the Act and </w:t>
      </w:r>
      <w:r w:rsidR="00714984" w:rsidRPr="005B5919">
        <w:t>fix</w:t>
      </w:r>
      <w:r w:rsidR="00714984" w:rsidRPr="00F60BE1">
        <w:t>es the charges that are to be applied in relation to</w:t>
      </w:r>
      <w:r w:rsidR="00502F8C">
        <w:t xml:space="preserve"> </w:t>
      </w:r>
      <w:r w:rsidR="00714984" w:rsidRPr="007C5397">
        <w:rPr>
          <w:szCs w:val="22"/>
        </w:rPr>
        <w:t>services provided</w:t>
      </w:r>
      <w:r w:rsidR="00502F8C">
        <w:rPr>
          <w:szCs w:val="22"/>
        </w:rPr>
        <w:t>,</w:t>
      </w:r>
      <w:r w:rsidR="00714984" w:rsidRPr="007C5397">
        <w:rPr>
          <w:szCs w:val="22"/>
        </w:rPr>
        <w:t xml:space="preserve"> and</w:t>
      </w:r>
      <w:r w:rsidR="00502F8C">
        <w:rPr>
          <w:szCs w:val="22"/>
        </w:rPr>
        <w:t xml:space="preserve"> </w:t>
      </w:r>
      <w:r w:rsidR="00714984" w:rsidRPr="006541E9">
        <w:rPr>
          <w:szCs w:val="22"/>
        </w:rPr>
        <w:t xml:space="preserve">expenses incurred, </w:t>
      </w:r>
      <w:r w:rsidR="00714984" w:rsidRPr="007117DC">
        <w:rPr>
          <w:szCs w:val="22"/>
        </w:rPr>
        <w:t xml:space="preserve">by the ACMA </w:t>
      </w:r>
      <w:r w:rsidR="00714984">
        <w:rPr>
          <w:szCs w:val="22"/>
        </w:rPr>
        <w:t xml:space="preserve">in performing its functions or exercising its powers under the </w:t>
      </w:r>
      <w:r w:rsidR="00714984" w:rsidRPr="007117DC">
        <w:rPr>
          <w:szCs w:val="22"/>
        </w:rPr>
        <w:t>Telecommunications Act</w:t>
      </w:r>
      <w:r w:rsidR="00714984">
        <w:rPr>
          <w:szCs w:val="22"/>
        </w:rPr>
        <w:t xml:space="preserve"> and instruments </w:t>
      </w:r>
      <w:r w:rsidR="00714984" w:rsidRPr="00813BF9">
        <w:rPr>
          <w:szCs w:val="22"/>
        </w:rPr>
        <w:t xml:space="preserve">made under </w:t>
      </w:r>
      <w:r w:rsidR="00714984">
        <w:rPr>
          <w:szCs w:val="22"/>
        </w:rPr>
        <w:t xml:space="preserve">that </w:t>
      </w:r>
      <w:r w:rsidR="00714984" w:rsidRPr="00813BF9">
        <w:rPr>
          <w:szCs w:val="22"/>
        </w:rPr>
        <w:t>Act</w:t>
      </w:r>
      <w:r w:rsidR="00714984">
        <w:rPr>
          <w:szCs w:val="22"/>
        </w:rPr>
        <w:t xml:space="preserve">. </w:t>
      </w:r>
    </w:p>
    <w:p w14:paraId="56C631FC" w14:textId="77777777" w:rsidR="00D5180F" w:rsidRDefault="00D5180F" w:rsidP="00D5180F">
      <w:pPr>
        <w:pStyle w:val="Default"/>
        <w:spacing w:after="40" w:line="256" w:lineRule="auto"/>
        <w:rPr>
          <w:sz w:val="22"/>
          <w:szCs w:val="22"/>
        </w:rPr>
      </w:pPr>
    </w:p>
    <w:p w14:paraId="2D49C299"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3F77C7D2" w14:textId="77777777" w:rsidR="00D20A36" w:rsidRPr="00D20A36" w:rsidRDefault="00D20A36" w:rsidP="00D20A36">
      <w:pPr>
        <w:rPr>
          <w:rFonts w:ascii="Times New Roman" w:hAnsi="Times New Roman" w:cs="Times New Roman"/>
        </w:rPr>
      </w:pPr>
      <w:r w:rsidRPr="00D20A36">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D47574">
        <w:rPr>
          <w:rFonts w:ascii="Times New Roman" w:hAnsi="Times New Roman" w:cs="Times New Roman"/>
          <w:i/>
          <w:iCs/>
        </w:rPr>
        <w:t>Human Rights (Parliamentary Scrutiny) Act 2011</w:t>
      </w:r>
      <w:r w:rsidRPr="00D20A36">
        <w:rPr>
          <w:rFonts w:ascii="Times New Roman" w:hAnsi="Times New Roman" w:cs="Times New Roman"/>
        </w:rPr>
        <w:t xml:space="preserve"> as they apply to Australia. </w:t>
      </w:r>
    </w:p>
    <w:p w14:paraId="3DFCCE6F" w14:textId="62026C2C" w:rsidR="00D20A36" w:rsidRDefault="00D20A36" w:rsidP="00D20A36">
      <w:pPr>
        <w:rPr>
          <w:rFonts w:ascii="Times New Roman" w:hAnsi="Times New Roman" w:cs="Times New Roman"/>
        </w:rPr>
      </w:pPr>
      <w:r w:rsidRPr="00D20A36">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494235DF"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4E7ABEFA" w14:textId="53C18A0F" w:rsidR="001D75EC" w:rsidRDefault="00B716EC" w:rsidP="004C58B9">
      <w:pPr>
        <w:rPr>
          <w:rFonts w:ascii="Times New Roman" w:hAnsi="Times New Roman" w:cs="Times New Roman"/>
        </w:rPr>
      </w:pPr>
      <w:r w:rsidRPr="00B716EC">
        <w:rPr>
          <w:rFonts w:ascii="Times New Roman" w:hAnsi="Times New Roman" w:cs="Times New Roman"/>
        </w:rPr>
        <w:t>The instrument is compatible with human rights as it does not raise any human rights issues.</w:t>
      </w:r>
    </w:p>
    <w:p w14:paraId="7B5AA0EB" w14:textId="77777777" w:rsidR="001D75EC" w:rsidRDefault="001D75EC" w:rsidP="004C58B9">
      <w:pPr>
        <w:rPr>
          <w:rFonts w:ascii="Times New Roman" w:hAnsi="Times New Roman" w:cs="Times New Roman"/>
        </w:rPr>
      </w:pPr>
    </w:p>
    <w:p w14:paraId="4557DCBD" w14:textId="77777777" w:rsidR="001D75EC" w:rsidRDefault="001D75EC" w:rsidP="004C58B9">
      <w:pPr>
        <w:rPr>
          <w:rFonts w:ascii="Times New Roman" w:hAnsi="Times New Roman" w:cs="Times New Roman"/>
        </w:rPr>
      </w:pPr>
    </w:p>
    <w:p w14:paraId="0A15CBE4" w14:textId="77777777" w:rsidR="001D75EC" w:rsidRDefault="001D75EC" w:rsidP="004C58B9">
      <w:pPr>
        <w:rPr>
          <w:rFonts w:ascii="Times New Roman" w:hAnsi="Times New Roman" w:cs="Times New Roman"/>
        </w:rPr>
      </w:pPr>
    </w:p>
    <w:p w14:paraId="65CF795C" w14:textId="77777777" w:rsidR="001D75EC" w:rsidRDefault="001D75EC" w:rsidP="004C58B9">
      <w:pPr>
        <w:rPr>
          <w:rFonts w:ascii="Times New Roman" w:hAnsi="Times New Roman" w:cs="Times New Roman"/>
        </w:rPr>
      </w:pPr>
    </w:p>
    <w:p w14:paraId="60C9840B" w14:textId="77777777" w:rsidR="008C28C8" w:rsidRDefault="008C28C8" w:rsidP="001D75EC">
      <w:pPr>
        <w:jc w:val="right"/>
        <w:rPr>
          <w:rFonts w:ascii="Times New Roman" w:hAnsi="Times New Roman" w:cs="Times New Roman"/>
          <w:b/>
          <w:sz w:val="28"/>
          <w:szCs w:val="28"/>
        </w:rPr>
        <w:sectPr w:rsidR="008C28C8" w:rsidSect="00082354">
          <w:pgSz w:w="11906" w:h="16838"/>
          <w:pgMar w:top="1440" w:right="1440" w:bottom="1440" w:left="1440" w:header="708" w:footer="708" w:gutter="0"/>
          <w:cols w:space="708"/>
          <w:titlePg/>
          <w:docGrid w:linePitch="360"/>
        </w:sectPr>
      </w:pPr>
    </w:p>
    <w:p w14:paraId="610487A1" w14:textId="77777777" w:rsidR="001D75EC" w:rsidRDefault="001D75EC" w:rsidP="001D75EC">
      <w:pPr>
        <w:jc w:val="right"/>
        <w:rPr>
          <w:rFonts w:ascii="Times New Roman" w:hAnsi="Times New Roman" w:cs="Times New Roman"/>
          <w:b/>
          <w:sz w:val="28"/>
          <w:szCs w:val="28"/>
        </w:rPr>
      </w:pPr>
      <w:r w:rsidRPr="005311C1">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C</w:t>
      </w:r>
    </w:p>
    <w:p w14:paraId="05D424E0" w14:textId="77777777" w:rsidR="001D75EC" w:rsidRPr="005311C1" w:rsidRDefault="001D75EC" w:rsidP="001D75EC">
      <w:pPr>
        <w:jc w:val="center"/>
        <w:rPr>
          <w:rFonts w:ascii="Times New Roman" w:hAnsi="Times New Roman" w:cs="Times New Roman"/>
          <w:b/>
        </w:rPr>
      </w:pPr>
      <w:r w:rsidRPr="005311C1">
        <w:rPr>
          <w:rFonts w:ascii="Times New Roman" w:hAnsi="Times New Roman" w:cs="Times New Roman"/>
          <w:b/>
        </w:rPr>
        <w:t>Fees – Detailed explanation</w:t>
      </w:r>
    </w:p>
    <w:tbl>
      <w:tblPr>
        <w:tblW w:w="1479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3"/>
        <w:gridCol w:w="3792"/>
        <w:gridCol w:w="2413"/>
        <w:gridCol w:w="1838"/>
        <w:gridCol w:w="1723"/>
        <w:gridCol w:w="1263"/>
        <w:gridCol w:w="3023"/>
      </w:tblGrid>
      <w:tr w:rsidR="007013F4" w:rsidRPr="001B62FA" w14:paraId="68B3E3CB" w14:textId="77777777" w:rsidTr="001B62FA">
        <w:trPr>
          <w:trHeight w:val="334"/>
          <w:tblHeader/>
        </w:trPr>
        <w:tc>
          <w:tcPr>
            <w:tcW w:w="14795"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369762BE" w14:textId="0252BAF2" w:rsidR="007013F4" w:rsidRPr="001B62FA" w:rsidRDefault="007013F4" w:rsidP="00BA4C72">
            <w:pPr>
              <w:pStyle w:val="TableHeading"/>
              <w:jc w:val="center"/>
              <w:rPr>
                <w:rFonts w:ascii="Times New Roman" w:hAnsi="Times New Roman"/>
                <w:i/>
                <w:color w:val="FFFFFF" w:themeColor="background1"/>
                <w:sz w:val="22"/>
                <w:szCs w:val="22"/>
              </w:rPr>
            </w:pPr>
            <w:r w:rsidRPr="001B62FA">
              <w:rPr>
                <w:rFonts w:ascii="Times New Roman" w:hAnsi="Times New Roman"/>
                <w:i/>
                <w:sz w:val="22"/>
                <w:szCs w:val="22"/>
              </w:rPr>
              <w:t xml:space="preserve">Telecommunications (Charges) Determination </w:t>
            </w:r>
            <w:r w:rsidR="00102361" w:rsidRPr="001B62FA">
              <w:rPr>
                <w:rFonts w:ascii="Times New Roman" w:hAnsi="Times New Roman"/>
                <w:i/>
                <w:sz w:val="22"/>
                <w:szCs w:val="22"/>
              </w:rPr>
              <w:t>2022</w:t>
            </w:r>
          </w:p>
        </w:tc>
      </w:tr>
      <w:tr w:rsidR="005F5EF0" w:rsidRPr="001B62FA" w14:paraId="45393DCD" w14:textId="77777777" w:rsidTr="001B62FA">
        <w:trPr>
          <w:trHeight w:val="737"/>
          <w:tblHeader/>
        </w:trPr>
        <w:tc>
          <w:tcPr>
            <w:tcW w:w="743" w:type="dxa"/>
            <w:tcBorders>
              <w:top w:val="single" w:sz="2" w:space="0" w:color="auto"/>
              <w:left w:val="single" w:sz="2" w:space="0" w:color="auto"/>
              <w:bottom w:val="single" w:sz="2" w:space="0" w:color="auto"/>
              <w:right w:val="single" w:sz="2" w:space="0" w:color="auto"/>
            </w:tcBorders>
            <w:shd w:val="clear" w:color="auto" w:fill="404040" w:themeFill="text1" w:themeFillTint="BF"/>
          </w:tcPr>
          <w:p w14:paraId="0F128A7E" w14:textId="77777777" w:rsidR="00F92127" w:rsidRPr="001B62FA" w:rsidRDefault="00F92127" w:rsidP="00BA4C72">
            <w:pPr>
              <w:pStyle w:val="TableHeading"/>
              <w:rPr>
                <w:rFonts w:ascii="Times New Roman" w:hAnsi="Times New Roman"/>
                <w:b w:val="0"/>
                <w:color w:val="FFFFFF" w:themeColor="background1"/>
                <w:sz w:val="22"/>
                <w:szCs w:val="22"/>
              </w:rPr>
            </w:pPr>
          </w:p>
          <w:p w14:paraId="3B834A6D" w14:textId="010DF23C" w:rsidR="007013F4" w:rsidRPr="001B62FA" w:rsidRDefault="007013F4" w:rsidP="00BA4C72">
            <w:pPr>
              <w:pStyle w:val="TableHeading"/>
              <w:rPr>
                <w:rFonts w:ascii="Times New Roman" w:hAnsi="Times New Roman"/>
                <w:b w:val="0"/>
                <w:color w:val="FFFFFF" w:themeColor="background1"/>
                <w:sz w:val="22"/>
                <w:szCs w:val="22"/>
              </w:rPr>
            </w:pPr>
            <w:r w:rsidRPr="001B62FA">
              <w:rPr>
                <w:rFonts w:ascii="Times New Roman" w:hAnsi="Times New Roman"/>
                <w:b w:val="0"/>
                <w:color w:val="FFFFFF" w:themeColor="background1"/>
                <w:sz w:val="22"/>
                <w:szCs w:val="22"/>
              </w:rPr>
              <w:t>Ref</w:t>
            </w:r>
          </w:p>
        </w:tc>
        <w:tc>
          <w:tcPr>
            <w:tcW w:w="379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5836DB9B" w14:textId="74AA120C" w:rsidR="007013F4" w:rsidRPr="001B62FA" w:rsidRDefault="007013F4" w:rsidP="00BA4C72">
            <w:pPr>
              <w:pStyle w:val="TableHeading"/>
              <w:rPr>
                <w:rFonts w:ascii="Times New Roman" w:hAnsi="Times New Roman"/>
                <w:b w:val="0"/>
                <w:color w:val="FFFFFF" w:themeColor="background1"/>
                <w:sz w:val="22"/>
                <w:szCs w:val="22"/>
              </w:rPr>
            </w:pPr>
            <w:r w:rsidRPr="001B62FA">
              <w:rPr>
                <w:rFonts w:ascii="Times New Roman" w:hAnsi="Times New Roman"/>
                <w:b w:val="0"/>
                <w:color w:val="FFFFFF" w:themeColor="background1"/>
                <w:sz w:val="22"/>
                <w:szCs w:val="22"/>
              </w:rPr>
              <w:t>Item being charged</w:t>
            </w:r>
          </w:p>
        </w:tc>
        <w:tc>
          <w:tcPr>
            <w:tcW w:w="2413"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21B088D4" w14:textId="77777777" w:rsidR="00F92127" w:rsidRPr="001B62FA" w:rsidRDefault="00F92127" w:rsidP="00BA4C72">
            <w:pPr>
              <w:pStyle w:val="TableHeading"/>
              <w:rPr>
                <w:rFonts w:ascii="Times New Roman" w:hAnsi="Times New Roman"/>
                <w:b w:val="0"/>
                <w:color w:val="FFFFFF" w:themeColor="background1"/>
                <w:sz w:val="22"/>
                <w:szCs w:val="22"/>
              </w:rPr>
            </w:pPr>
          </w:p>
          <w:p w14:paraId="4B93A29F" w14:textId="5557BB12" w:rsidR="007013F4" w:rsidRPr="001B62FA" w:rsidRDefault="007013F4" w:rsidP="00BA4C72">
            <w:pPr>
              <w:pStyle w:val="TableHeading"/>
              <w:rPr>
                <w:rFonts w:ascii="Times New Roman" w:hAnsi="Times New Roman"/>
                <w:b w:val="0"/>
                <w:color w:val="FFFFFF" w:themeColor="background1"/>
                <w:sz w:val="22"/>
                <w:szCs w:val="22"/>
              </w:rPr>
            </w:pPr>
            <w:r w:rsidRPr="001B62FA">
              <w:rPr>
                <w:rFonts w:ascii="Times New Roman" w:hAnsi="Times New Roman"/>
                <w:b w:val="0"/>
                <w:color w:val="FFFFFF" w:themeColor="background1"/>
                <w:sz w:val="22"/>
                <w:szCs w:val="22"/>
              </w:rPr>
              <w:t>Relevant provision of the instrument</w:t>
            </w:r>
          </w:p>
          <w:p w14:paraId="79D29B61" w14:textId="77777777" w:rsidR="007013F4" w:rsidRPr="001B62FA" w:rsidRDefault="007013F4" w:rsidP="00BA4C72">
            <w:pPr>
              <w:pStyle w:val="TableHeading"/>
              <w:rPr>
                <w:rFonts w:ascii="Times New Roman" w:hAnsi="Times New Roman"/>
                <w:b w:val="0"/>
                <w:color w:val="FFFFFF" w:themeColor="background1"/>
                <w:sz w:val="22"/>
                <w:szCs w:val="22"/>
              </w:rPr>
            </w:pPr>
          </w:p>
          <w:p w14:paraId="1F9FCE7A" w14:textId="77777777" w:rsidR="007013F4" w:rsidRPr="001B62FA" w:rsidRDefault="007013F4" w:rsidP="00BA4C72">
            <w:pPr>
              <w:pStyle w:val="TableHeading"/>
              <w:rPr>
                <w:rFonts w:ascii="Times New Roman" w:hAnsi="Times New Roman"/>
                <w:b w:val="0"/>
                <w:color w:val="FFFFFF" w:themeColor="background1"/>
                <w:sz w:val="22"/>
                <w:szCs w:val="22"/>
              </w:rPr>
            </w:pPr>
          </w:p>
        </w:tc>
        <w:tc>
          <w:tcPr>
            <w:tcW w:w="1838"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50C0EA12" w14:textId="5D845507" w:rsidR="007013F4" w:rsidRPr="001B62FA" w:rsidRDefault="00EC0906" w:rsidP="00BA4C72">
            <w:pPr>
              <w:pStyle w:val="TableHeading"/>
              <w:rPr>
                <w:rFonts w:ascii="Times New Roman" w:hAnsi="Times New Roman"/>
                <w:b w:val="0"/>
                <w:color w:val="FFFFFF" w:themeColor="background1"/>
                <w:sz w:val="22"/>
                <w:szCs w:val="22"/>
              </w:rPr>
            </w:pPr>
            <w:r>
              <w:rPr>
                <w:rFonts w:ascii="Times New Roman" w:hAnsi="Times New Roman"/>
                <w:b w:val="0"/>
                <w:color w:val="FFFFFF" w:themeColor="background1"/>
                <w:sz w:val="22"/>
                <w:szCs w:val="22"/>
              </w:rPr>
              <w:t>Previous charge</w:t>
            </w:r>
          </w:p>
        </w:tc>
        <w:tc>
          <w:tcPr>
            <w:tcW w:w="1723"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13E0A6E2" w14:textId="38BEC85B" w:rsidR="007013F4" w:rsidRPr="001B62FA" w:rsidRDefault="00B44C3F" w:rsidP="00BA4C72">
            <w:pPr>
              <w:pStyle w:val="TableHeading"/>
              <w:rPr>
                <w:rFonts w:ascii="Times New Roman" w:hAnsi="Times New Roman"/>
                <w:b w:val="0"/>
                <w:color w:val="FFFFFF" w:themeColor="background1"/>
                <w:sz w:val="22"/>
                <w:szCs w:val="22"/>
              </w:rPr>
            </w:pPr>
            <w:r>
              <w:rPr>
                <w:rFonts w:ascii="Times New Roman" w:hAnsi="Times New Roman"/>
                <w:b w:val="0"/>
                <w:color w:val="FFFFFF" w:themeColor="background1"/>
                <w:sz w:val="22"/>
                <w:szCs w:val="22"/>
              </w:rPr>
              <w:t>Charge specified in the instrument</w:t>
            </w:r>
          </w:p>
        </w:tc>
        <w:tc>
          <w:tcPr>
            <w:tcW w:w="1263"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2C6EE69F" w14:textId="77777777" w:rsidR="007013F4" w:rsidRPr="001B62FA" w:rsidRDefault="007013F4" w:rsidP="00BA4C72">
            <w:pPr>
              <w:pStyle w:val="TableHeading"/>
              <w:rPr>
                <w:rFonts w:ascii="Times New Roman" w:hAnsi="Times New Roman"/>
                <w:b w:val="0"/>
                <w:color w:val="FFFFFF" w:themeColor="background1"/>
                <w:sz w:val="22"/>
                <w:szCs w:val="22"/>
              </w:rPr>
            </w:pPr>
            <w:r w:rsidRPr="001B62FA">
              <w:rPr>
                <w:rFonts w:ascii="Times New Roman" w:hAnsi="Times New Roman"/>
                <w:b w:val="0"/>
                <w:color w:val="FFFFFF" w:themeColor="background1"/>
                <w:sz w:val="22"/>
                <w:szCs w:val="22"/>
              </w:rPr>
              <w:t>Variance increase/ (decrease)</w:t>
            </w:r>
          </w:p>
        </w:tc>
        <w:tc>
          <w:tcPr>
            <w:tcW w:w="3023"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35923648" w14:textId="77777777" w:rsidR="007013F4" w:rsidRPr="001B62FA" w:rsidRDefault="007013F4" w:rsidP="00BA4C72">
            <w:pPr>
              <w:pStyle w:val="TableHeading"/>
              <w:rPr>
                <w:rFonts w:ascii="Times New Roman" w:hAnsi="Times New Roman"/>
                <w:b w:val="0"/>
                <w:color w:val="FFFFFF" w:themeColor="background1"/>
                <w:sz w:val="22"/>
                <w:szCs w:val="22"/>
              </w:rPr>
            </w:pPr>
            <w:r w:rsidRPr="001B62FA">
              <w:rPr>
                <w:rFonts w:ascii="Times New Roman" w:hAnsi="Times New Roman"/>
                <w:b w:val="0"/>
                <w:color w:val="FFFFFF" w:themeColor="background1"/>
                <w:sz w:val="22"/>
                <w:szCs w:val="22"/>
              </w:rPr>
              <w:t>Reason for increase/decrease</w:t>
            </w:r>
          </w:p>
        </w:tc>
      </w:tr>
      <w:tr w:rsidR="00174127" w:rsidRPr="001B62FA" w14:paraId="1E1274A2" w14:textId="77777777" w:rsidTr="001B62FA">
        <w:trPr>
          <w:cantSplit/>
          <w:trHeight w:val="494"/>
        </w:trPr>
        <w:tc>
          <w:tcPr>
            <w:tcW w:w="743" w:type="dxa"/>
            <w:tcBorders>
              <w:top w:val="single" w:sz="2" w:space="0" w:color="auto"/>
              <w:left w:val="single" w:sz="2" w:space="0" w:color="auto"/>
              <w:bottom w:val="single" w:sz="2" w:space="0" w:color="auto"/>
              <w:right w:val="single" w:sz="2" w:space="0" w:color="auto"/>
            </w:tcBorders>
          </w:tcPr>
          <w:p w14:paraId="073899F2" w14:textId="77777777" w:rsidR="00174127" w:rsidRPr="001B62FA" w:rsidRDefault="00174127" w:rsidP="00174127">
            <w:pPr>
              <w:spacing w:after="0"/>
              <w:rPr>
                <w:rFonts w:ascii="Times New Roman" w:hAnsi="Times New Roman" w:cs="Times New Roman"/>
              </w:rPr>
            </w:pPr>
          </w:p>
          <w:p w14:paraId="3D95F51D" w14:textId="3CE91C5F" w:rsidR="00515180" w:rsidRPr="001B62FA" w:rsidRDefault="00515180" w:rsidP="00174127">
            <w:pPr>
              <w:spacing w:after="0"/>
              <w:rPr>
                <w:rFonts w:ascii="Times New Roman" w:hAnsi="Times New Roman" w:cs="Times New Roman"/>
              </w:rPr>
            </w:pPr>
            <w:r w:rsidRPr="001B62FA">
              <w:rPr>
                <w:rFonts w:ascii="Times New Roman" w:hAnsi="Times New Roman" w:cs="Times New Roman"/>
              </w:rPr>
              <w:t>1</w:t>
            </w:r>
          </w:p>
          <w:p w14:paraId="5C9882A1" w14:textId="77777777" w:rsidR="00515180" w:rsidRPr="001B62FA" w:rsidRDefault="00515180" w:rsidP="00515180">
            <w:pPr>
              <w:rPr>
                <w:rFonts w:ascii="Times New Roman" w:hAnsi="Times New Roman" w:cs="Times New Roman"/>
              </w:rPr>
            </w:pPr>
          </w:p>
          <w:p w14:paraId="79E5F0AF" w14:textId="217690AA" w:rsidR="00515180" w:rsidRPr="001B62FA" w:rsidRDefault="00515180" w:rsidP="001B62FA">
            <w:pPr>
              <w:rPr>
                <w:rFonts w:ascii="Times New Roman" w:hAnsi="Times New Roman" w:cs="Times New Roman"/>
              </w:rPr>
            </w:pPr>
          </w:p>
        </w:tc>
        <w:tc>
          <w:tcPr>
            <w:tcW w:w="37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14:paraId="4004AC8D" w14:textId="4FC5C41C" w:rsidR="00174127" w:rsidRPr="001B62FA" w:rsidRDefault="00174127" w:rsidP="00174127">
            <w:pPr>
              <w:spacing w:after="0"/>
              <w:rPr>
                <w:rFonts w:ascii="Times New Roman" w:hAnsi="Times New Roman" w:cs="Times New Roman"/>
              </w:rPr>
            </w:pPr>
            <w:r w:rsidRPr="001B62FA">
              <w:rPr>
                <w:rFonts w:ascii="Times New Roman" w:hAnsi="Times New Roman" w:cs="Times New Roman"/>
              </w:rPr>
              <w:t>Making an application mentioned in section 77 of the Telecommunications Act for a nominated carrier declaration in relation to one or more specified network units</w:t>
            </w:r>
          </w:p>
        </w:tc>
        <w:tc>
          <w:tcPr>
            <w:tcW w:w="2413" w:type="dxa"/>
            <w:tcBorders>
              <w:top w:val="single" w:sz="2" w:space="0" w:color="auto"/>
              <w:left w:val="single" w:sz="2" w:space="0" w:color="auto"/>
              <w:bottom w:val="single" w:sz="2" w:space="0" w:color="auto"/>
              <w:right w:val="single" w:sz="2" w:space="0" w:color="auto"/>
            </w:tcBorders>
          </w:tcPr>
          <w:p w14:paraId="282464BC" w14:textId="77777777" w:rsidR="00DC656A" w:rsidRPr="001B62FA" w:rsidRDefault="00DC656A" w:rsidP="00174127">
            <w:pPr>
              <w:spacing w:after="0"/>
              <w:rPr>
                <w:rFonts w:ascii="Times New Roman" w:hAnsi="Times New Roman" w:cs="Times New Roman"/>
              </w:rPr>
            </w:pPr>
          </w:p>
          <w:p w14:paraId="0E5C7737" w14:textId="0B7F68F8" w:rsidR="00174127" w:rsidRPr="001B62FA" w:rsidRDefault="00DC656A" w:rsidP="00174127">
            <w:pPr>
              <w:spacing w:after="0"/>
              <w:rPr>
                <w:rFonts w:ascii="Times New Roman" w:hAnsi="Times New Roman" w:cs="Times New Roman"/>
              </w:rPr>
            </w:pPr>
            <w:r w:rsidRPr="001B62FA">
              <w:rPr>
                <w:rFonts w:ascii="Times New Roman" w:hAnsi="Times New Roman" w:cs="Times New Roman"/>
              </w:rPr>
              <w:t>Item 1</w:t>
            </w:r>
            <w:r w:rsidR="00483149" w:rsidRPr="002635C8">
              <w:rPr>
                <w:rFonts w:ascii="Times New Roman" w:hAnsi="Times New Roman" w:cs="Times New Roman"/>
              </w:rPr>
              <w:t>.1</w:t>
            </w:r>
            <w:r w:rsidRPr="001B62FA">
              <w:rPr>
                <w:rFonts w:ascii="Times New Roman" w:hAnsi="Times New Roman" w:cs="Times New Roman"/>
              </w:rPr>
              <w:t xml:space="preserve">, </w:t>
            </w:r>
            <w:r w:rsidR="000F4C16" w:rsidRPr="002635C8">
              <w:rPr>
                <w:rFonts w:ascii="Times New Roman" w:hAnsi="Times New Roman" w:cs="Times New Roman"/>
              </w:rPr>
              <w:t>Part</w:t>
            </w:r>
            <w:r w:rsidR="00483149" w:rsidRPr="002635C8">
              <w:rPr>
                <w:rFonts w:ascii="Times New Roman" w:hAnsi="Times New Roman" w:cs="Times New Roman"/>
              </w:rPr>
              <w:t xml:space="preserve"> 1, </w:t>
            </w:r>
            <w:r w:rsidR="003053E2" w:rsidRPr="002635C8">
              <w:rPr>
                <w:rFonts w:ascii="Times New Roman" w:hAnsi="Times New Roman" w:cs="Times New Roman"/>
              </w:rPr>
              <w:t>Schedule</w:t>
            </w:r>
            <w:r w:rsidRPr="001B62FA">
              <w:rPr>
                <w:rFonts w:ascii="Times New Roman" w:hAnsi="Times New Roman" w:cs="Times New Roman"/>
              </w:rPr>
              <w:t xml:space="preserve"> 1</w:t>
            </w:r>
          </w:p>
        </w:tc>
        <w:tc>
          <w:tcPr>
            <w:tcW w:w="1838" w:type="dxa"/>
            <w:shd w:val="clear" w:color="auto" w:fill="auto"/>
            <w:tcMar>
              <w:top w:w="57" w:type="dxa"/>
              <w:left w:w="108" w:type="dxa"/>
              <w:bottom w:w="0" w:type="dxa"/>
              <w:right w:w="108" w:type="dxa"/>
            </w:tcMar>
            <w:vAlign w:val="center"/>
          </w:tcPr>
          <w:p w14:paraId="0C56323B" w14:textId="02B66330" w:rsidR="00174127" w:rsidRPr="001B62FA" w:rsidRDefault="00174127" w:rsidP="00174127">
            <w:pPr>
              <w:spacing w:after="0"/>
              <w:jc w:val="right"/>
              <w:rPr>
                <w:rFonts w:ascii="Times New Roman" w:hAnsi="Times New Roman" w:cs="Times New Roman"/>
              </w:rPr>
            </w:pPr>
            <w:r w:rsidRPr="001B62FA">
              <w:rPr>
                <w:rFonts w:ascii="Times New Roman" w:hAnsi="Times New Roman" w:cs="Times New Roman"/>
              </w:rPr>
              <w:t xml:space="preserve"> $      2,375.00</w:t>
            </w:r>
          </w:p>
        </w:tc>
        <w:tc>
          <w:tcPr>
            <w:tcW w:w="1723" w:type="dxa"/>
            <w:shd w:val="clear" w:color="auto" w:fill="auto"/>
            <w:vAlign w:val="center"/>
          </w:tcPr>
          <w:p w14:paraId="61D1AC37" w14:textId="2A07E19C" w:rsidR="00174127" w:rsidRPr="001B62FA" w:rsidRDefault="00174127" w:rsidP="00174127">
            <w:pPr>
              <w:spacing w:after="0"/>
              <w:jc w:val="right"/>
              <w:rPr>
                <w:rFonts w:ascii="Times New Roman" w:hAnsi="Times New Roman" w:cs="Times New Roman"/>
              </w:rPr>
            </w:pPr>
            <w:r w:rsidRPr="001B62FA">
              <w:rPr>
                <w:rFonts w:ascii="Times New Roman" w:hAnsi="Times New Roman" w:cs="Times New Roman"/>
              </w:rPr>
              <w:t xml:space="preserve"> $      2,237.00</w:t>
            </w:r>
          </w:p>
        </w:tc>
        <w:tc>
          <w:tcPr>
            <w:tcW w:w="1263" w:type="dxa"/>
            <w:shd w:val="clear" w:color="auto" w:fill="auto"/>
            <w:vAlign w:val="center"/>
          </w:tcPr>
          <w:p w14:paraId="43C8AF51" w14:textId="0B66E7DB" w:rsidR="00174127" w:rsidRPr="001B62FA" w:rsidRDefault="00174127" w:rsidP="00174127">
            <w:pPr>
              <w:spacing w:after="0"/>
              <w:jc w:val="right"/>
              <w:rPr>
                <w:rFonts w:ascii="Times New Roman" w:hAnsi="Times New Roman" w:cs="Times New Roman"/>
              </w:rPr>
            </w:pPr>
            <w:r w:rsidRPr="001B62FA">
              <w:rPr>
                <w:rFonts w:ascii="Times New Roman" w:hAnsi="Times New Roman" w:cs="Times New Roman"/>
              </w:rPr>
              <w:t>-6%</w:t>
            </w:r>
          </w:p>
        </w:tc>
        <w:tc>
          <w:tcPr>
            <w:tcW w:w="3023" w:type="dxa"/>
            <w:shd w:val="clear" w:color="auto" w:fill="auto"/>
            <w:vAlign w:val="center"/>
          </w:tcPr>
          <w:p w14:paraId="04FAA181" w14:textId="0FE9A6B0" w:rsidR="00174127" w:rsidRPr="001B62FA" w:rsidRDefault="00174127" w:rsidP="00174127">
            <w:pPr>
              <w:spacing w:after="0"/>
              <w:rPr>
                <w:rFonts w:ascii="Times New Roman" w:hAnsi="Times New Roman" w:cs="Times New Roman"/>
              </w:rPr>
            </w:pPr>
            <w:r w:rsidRPr="001B62FA">
              <w:rPr>
                <w:rFonts w:ascii="Times New Roman" w:hAnsi="Times New Roman" w:cs="Times New Roman"/>
              </w:rPr>
              <w:t xml:space="preserve">This fee </w:t>
            </w:r>
            <w:r w:rsidR="00A922EC">
              <w:rPr>
                <w:rFonts w:ascii="Times New Roman" w:hAnsi="Times New Roman" w:cs="Times New Roman"/>
              </w:rPr>
              <w:t>was determined using the ACMA’s standard hourly rate which has increased.</w:t>
            </w:r>
            <w:r w:rsidRPr="001B62FA">
              <w:rPr>
                <w:rFonts w:ascii="Times New Roman" w:hAnsi="Times New Roman" w:cs="Times New Roman"/>
              </w:rPr>
              <w:t xml:space="preserve">  However, the processing time has decreased by 8%, which has led to an overall reduction in the fee </w:t>
            </w:r>
            <w:r w:rsidR="0021058C">
              <w:rPr>
                <w:rFonts w:ascii="Times New Roman" w:hAnsi="Times New Roman" w:cs="Times New Roman"/>
              </w:rPr>
              <w:t>of 6%</w:t>
            </w:r>
          </w:p>
        </w:tc>
      </w:tr>
      <w:tr w:rsidR="00503945" w:rsidRPr="001B62FA" w14:paraId="407354D7" w14:textId="77777777" w:rsidTr="00F645BD">
        <w:trPr>
          <w:cantSplit/>
          <w:trHeight w:val="494"/>
        </w:trPr>
        <w:tc>
          <w:tcPr>
            <w:tcW w:w="743" w:type="dxa"/>
            <w:tcBorders>
              <w:top w:val="single" w:sz="2" w:space="0" w:color="auto"/>
              <w:left w:val="single" w:sz="2" w:space="0" w:color="auto"/>
              <w:bottom w:val="single" w:sz="2" w:space="0" w:color="auto"/>
              <w:right w:val="single" w:sz="2" w:space="0" w:color="auto"/>
            </w:tcBorders>
          </w:tcPr>
          <w:p w14:paraId="034A608E" w14:textId="55F24340" w:rsidR="00503945" w:rsidRPr="001B62FA" w:rsidRDefault="00503945" w:rsidP="000E7AC0">
            <w:pPr>
              <w:spacing w:after="0"/>
              <w:rPr>
                <w:rFonts w:ascii="Times New Roman" w:hAnsi="Times New Roman" w:cs="Times New Roman"/>
              </w:rPr>
            </w:pPr>
            <w:r w:rsidRPr="001B62FA">
              <w:rPr>
                <w:rFonts w:ascii="Times New Roman" w:hAnsi="Times New Roman" w:cs="Times New Roman"/>
              </w:rPr>
              <w:t>2</w:t>
            </w:r>
          </w:p>
        </w:tc>
        <w:tc>
          <w:tcPr>
            <w:tcW w:w="3792" w:type="dxa"/>
            <w:shd w:val="clear" w:color="auto" w:fill="auto"/>
            <w:tcMar>
              <w:top w:w="57" w:type="dxa"/>
              <w:left w:w="108" w:type="dxa"/>
              <w:bottom w:w="0" w:type="dxa"/>
              <w:right w:w="108" w:type="dxa"/>
            </w:tcMar>
            <w:vAlign w:val="center"/>
          </w:tcPr>
          <w:p w14:paraId="4511291E" w14:textId="0A192A99" w:rsidR="00503945" w:rsidRPr="001B62FA" w:rsidRDefault="00503945" w:rsidP="000E7AC0">
            <w:pPr>
              <w:spacing w:after="0"/>
              <w:rPr>
                <w:rFonts w:ascii="Times New Roman" w:hAnsi="Times New Roman" w:cs="Times New Roman"/>
              </w:rPr>
            </w:pPr>
            <w:r w:rsidRPr="001B62FA">
              <w:rPr>
                <w:rFonts w:ascii="Times New Roman" w:hAnsi="Times New Roman" w:cs="Times New Roman"/>
              </w:rPr>
              <w:t>Considering an application made under subsection 390(1) of the Telecommunications Act for a connection permit for the connection of customer equipment</w:t>
            </w:r>
          </w:p>
        </w:tc>
        <w:tc>
          <w:tcPr>
            <w:tcW w:w="2413" w:type="dxa"/>
            <w:tcBorders>
              <w:top w:val="single" w:sz="2" w:space="0" w:color="auto"/>
              <w:left w:val="single" w:sz="2" w:space="0" w:color="auto"/>
              <w:bottom w:val="single" w:sz="2" w:space="0" w:color="auto"/>
              <w:right w:val="single" w:sz="2" w:space="0" w:color="auto"/>
            </w:tcBorders>
          </w:tcPr>
          <w:p w14:paraId="3E633B91" w14:textId="59B87381" w:rsidR="00503945" w:rsidRPr="001B62FA" w:rsidRDefault="0021058C" w:rsidP="000E7AC0">
            <w:pPr>
              <w:spacing w:after="0"/>
              <w:rPr>
                <w:rFonts w:ascii="Times New Roman" w:hAnsi="Times New Roman" w:cs="Times New Roman"/>
              </w:rPr>
            </w:pPr>
            <w:r>
              <w:rPr>
                <w:rFonts w:ascii="Times New Roman" w:hAnsi="Times New Roman" w:cs="Times New Roman"/>
              </w:rPr>
              <w:t>N/A</w:t>
            </w:r>
          </w:p>
        </w:tc>
        <w:tc>
          <w:tcPr>
            <w:tcW w:w="1838" w:type="dxa"/>
            <w:shd w:val="clear" w:color="auto" w:fill="auto"/>
            <w:tcMar>
              <w:top w:w="57" w:type="dxa"/>
              <w:left w:w="108" w:type="dxa"/>
              <w:bottom w:w="0" w:type="dxa"/>
              <w:right w:w="108" w:type="dxa"/>
            </w:tcMar>
            <w:vAlign w:val="center"/>
          </w:tcPr>
          <w:p w14:paraId="7FF0F114" w14:textId="3F159CEB" w:rsidR="00503945" w:rsidRPr="001B62FA" w:rsidRDefault="00503945" w:rsidP="000E7AC0">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tcBorders>
              <w:top w:val="single" w:sz="2" w:space="0" w:color="auto"/>
              <w:left w:val="single" w:sz="2" w:space="0" w:color="auto"/>
              <w:bottom w:val="single" w:sz="2" w:space="0" w:color="auto"/>
              <w:right w:val="single" w:sz="2" w:space="0" w:color="auto"/>
            </w:tcBorders>
          </w:tcPr>
          <w:p w14:paraId="6709488B" w14:textId="77777777" w:rsidR="00503945" w:rsidRPr="002635C8" w:rsidRDefault="00503945" w:rsidP="000E7AC0">
            <w:pPr>
              <w:spacing w:after="0"/>
              <w:jc w:val="right"/>
              <w:rPr>
                <w:rFonts w:ascii="Times New Roman" w:hAnsi="Times New Roman" w:cs="Times New Roman"/>
              </w:rPr>
            </w:pPr>
          </w:p>
          <w:p w14:paraId="721C4A90" w14:textId="77777777" w:rsidR="00503945" w:rsidRPr="002635C8" w:rsidRDefault="00503945" w:rsidP="000E7AC0">
            <w:pPr>
              <w:spacing w:after="0"/>
              <w:jc w:val="right"/>
              <w:rPr>
                <w:rFonts w:ascii="Times New Roman" w:hAnsi="Times New Roman" w:cs="Times New Roman"/>
              </w:rPr>
            </w:pPr>
          </w:p>
          <w:p w14:paraId="595D9070" w14:textId="6A30EDB6" w:rsidR="00503945" w:rsidRPr="001B62FA" w:rsidRDefault="00503945" w:rsidP="000E7AC0">
            <w:pPr>
              <w:spacing w:after="0"/>
              <w:jc w:val="right"/>
              <w:rPr>
                <w:rFonts w:ascii="Times New Roman" w:hAnsi="Times New Roman" w:cs="Times New Roman"/>
              </w:rPr>
            </w:pPr>
            <w:r w:rsidRPr="002635C8">
              <w:rPr>
                <w:rFonts w:ascii="Times New Roman" w:hAnsi="Times New Roman" w:cs="Times New Roman"/>
              </w:rPr>
              <w:t>N/A</w:t>
            </w:r>
          </w:p>
        </w:tc>
        <w:tc>
          <w:tcPr>
            <w:tcW w:w="1263" w:type="dxa"/>
            <w:tcBorders>
              <w:top w:val="single" w:sz="2" w:space="0" w:color="auto"/>
              <w:left w:val="single" w:sz="2" w:space="0" w:color="auto"/>
              <w:bottom w:val="single" w:sz="2" w:space="0" w:color="auto"/>
              <w:right w:val="single" w:sz="2" w:space="0" w:color="auto"/>
            </w:tcBorders>
          </w:tcPr>
          <w:p w14:paraId="49500B46" w14:textId="77777777" w:rsidR="00503945" w:rsidRPr="002635C8" w:rsidRDefault="00503945" w:rsidP="000E7AC0">
            <w:pPr>
              <w:spacing w:after="0"/>
              <w:jc w:val="right"/>
              <w:rPr>
                <w:rFonts w:ascii="Times New Roman" w:hAnsi="Times New Roman" w:cs="Times New Roman"/>
              </w:rPr>
            </w:pPr>
          </w:p>
          <w:p w14:paraId="1ECD48C9" w14:textId="77777777" w:rsidR="00503945" w:rsidRPr="002635C8" w:rsidRDefault="00503945" w:rsidP="000E7AC0">
            <w:pPr>
              <w:spacing w:after="0"/>
              <w:jc w:val="right"/>
              <w:rPr>
                <w:rFonts w:ascii="Times New Roman" w:hAnsi="Times New Roman" w:cs="Times New Roman"/>
              </w:rPr>
            </w:pPr>
          </w:p>
          <w:p w14:paraId="757B0269" w14:textId="446DFE04" w:rsidR="00503945" w:rsidRPr="001B62FA" w:rsidRDefault="00503945" w:rsidP="000E7AC0">
            <w:pPr>
              <w:spacing w:after="0"/>
              <w:jc w:val="right"/>
              <w:rPr>
                <w:rFonts w:ascii="Times New Roman" w:hAnsi="Times New Roman" w:cs="Times New Roman"/>
              </w:rPr>
            </w:pPr>
            <w:r w:rsidRPr="002635C8">
              <w:rPr>
                <w:rFonts w:ascii="Times New Roman" w:hAnsi="Times New Roman" w:cs="Times New Roman"/>
              </w:rPr>
              <w:t>N/A</w:t>
            </w:r>
          </w:p>
        </w:tc>
        <w:tc>
          <w:tcPr>
            <w:tcW w:w="3023" w:type="dxa"/>
            <w:vMerge w:val="restart"/>
            <w:tcBorders>
              <w:top w:val="single" w:sz="2" w:space="0" w:color="auto"/>
              <w:left w:val="single" w:sz="2" w:space="0" w:color="auto"/>
              <w:right w:val="single" w:sz="2" w:space="0" w:color="auto"/>
            </w:tcBorders>
          </w:tcPr>
          <w:p w14:paraId="7EBD1DD9" w14:textId="77777777" w:rsidR="00503945" w:rsidRPr="002635C8" w:rsidRDefault="00503945" w:rsidP="000E7AC0">
            <w:pPr>
              <w:spacing w:after="0"/>
              <w:rPr>
                <w:rFonts w:ascii="Times New Roman" w:hAnsi="Times New Roman" w:cs="Times New Roman"/>
              </w:rPr>
            </w:pPr>
          </w:p>
          <w:p w14:paraId="7F3BDC7F" w14:textId="77777777" w:rsidR="00503945" w:rsidRPr="002635C8" w:rsidRDefault="00503945" w:rsidP="000E7AC0">
            <w:pPr>
              <w:spacing w:after="0"/>
              <w:rPr>
                <w:rFonts w:ascii="Times New Roman" w:hAnsi="Times New Roman" w:cs="Times New Roman"/>
              </w:rPr>
            </w:pPr>
          </w:p>
          <w:p w14:paraId="0B185B4D" w14:textId="34CD6066" w:rsidR="00503945" w:rsidRPr="001B62FA" w:rsidRDefault="00503945" w:rsidP="000E7AC0">
            <w:pPr>
              <w:spacing w:after="0"/>
              <w:rPr>
                <w:rFonts w:ascii="Times New Roman" w:hAnsi="Times New Roman" w:cs="Times New Roman"/>
              </w:rPr>
            </w:pPr>
            <w:r w:rsidRPr="002635C8">
              <w:rPr>
                <w:rFonts w:ascii="Times New Roman" w:hAnsi="Times New Roman" w:cs="Times New Roman"/>
              </w:rPr>
              <w:t>The ACMA does not anticipate having to provide these activities as industry is now mature and can therefore facilitate connections by providing consent</w:t>
            </w:r>
          </w:p>
        </w:tc>
      </w:tr>
      <w:tr w:rsidR="00503945" w:rsidRPr="001B62FA" w14:paraId="1731A31C" w14:textId="77777777" w:rsidTr="00F645BD">
        <w:trPr>
          <w:cantSplit/>
          <w:trHeight w:val="494"/>
        </w:trPr>
        <w:tc>
          <w:tcPr>
            <w:tcW w:w="743" w:type="dxa"/>
            <w:tcBorders>
              <w:top w:val="single" w:sz="2" w:space="0" w:color="auto"/>
              <w:left w:val="single" w:sz="2" w:space="0" w:color="auto"/>
              <w:bottom w:val="single" w:sz="2" w:space="0" w:color="auto"/>
              <w:right w:val="single" w:sz="2" w:space="0" w:color="auto"/>
            </w:tcBorders>
          </w:tcPr>
          <w:p w14:paraId="4848D38F" w14:textId="4A0AC6D1" w:rsidR="00503945" w:rsidRPr="001B62FA" w:rsidRDefault="00503945" w:rsidP="000E7AC0">
            <w:pPr>
              <w:spacing w:after="0"/>
              <w:rPr>
                <w:rFonts w:ascii="Times New Roman" w:hAnsi="Times New Roman" w:cs="Times New Roman"/>
              </w:rPr>
            </w:pPr>
            <w:r w:rsidRPr="001B62FA">
              <w:rPr>
                <w:rFonts w:ascii="Times New Roman" w:hAnsi="Times New Roman" w:cs="Times New Roman"/>
              </w:rPr>
              <w:t>3</w:t>
            </w:r>
          </w:p>
        </w:tc>
        <w:tc>
          <w:tcPr>
            <w:tcW w:w="3792" w:type="dxa"/>
            <w:shd w:val="clear" w:color="auto" w:fill="auto"/>
            <w:tcMar>
              <w:top w:w="57" w:type="dxa"/>
              <w:left w:w="108" w:type="dxa"/>
              <w:bottom w:w="0" w:type="dxa"/>
              <w:right w:w="108" w:type="dxa"/>
            </w:tcMar>
            <w:vAlign w:val="center"/>
          </w:tcPr>
          <w:p w14:paraId="0453A88F" w14:textId="1433FF85" w:rsidR="00503945" w:rsidRPr="001B62FA" w:rsidRDefault="00503945" w:rsidP="001B62FA">
            <w:pPr>
              <w:spacing w:after="0" w:line="259" w:lineRule="auto"/>
              <w:rPr>
                <w:rFonts w:ascii="Times New Roman" w:hAnsi="Times New Roman" w:cs="Times New Roman"/>
              </w:rPr>
            </w:pPr>
            <w:r w:rsidRPr="001B62FA">
              <w:rPr>
                <w:rFonts w:ascii="Times New Roman" w:hAnsi="Times New Roman" w:cs="Times New Roman"/>
              </w:rPr>
              <w:t>Considering an application made under subsection 390(2) of the Telecommunications Act for a connection permit for the connection of customer cabling</w:t>
            </w:r>
          </w:p>
        </w:tc>
        <w:tc>
          <w:tcPr>
            <w:tcW w:w="2413" w:type="dxa"/>
            <w:tcBorders>
              <w:top w:val="single" w:sz="2" w:space="0" w:color="auto"/>
              <w:left w:val="single" w:sz="2" w:space="0" w:color="auto"/>
              <w:bottom w:val="single" w:sz="2" w:space="0" w:color="auto"/>
              <w:right w:val="single" w:sz="2" w:space="0" w:color="auto"/>
            </w:tcBorders>
          </w:tcPr>
          <w:p w14:paraId="187636EA" w14:textId="768EB2AD" w:rsidR="00503945" w:rsidRPr="001B62FA" w:rsidRDefault="0021058C" w:rsidP="000E7AC0">
            <w:pPr>
              <w:spacing w:after="0"/>
              <w:rPr>
                <w:rFonts w:ascii="Times New Roman" w:hAnsi="Times New Roman" w:cs="Times New Roman"/>
              </w:rPr>
            </w:pPr>
            <w:r>
              <w:rPr>
                <w:rFonts w:ascii="Times New Roman" w:hAnsi="Times New Roman" w:cs="Times New Roman"/>
              </w:rPr>
              <w:t>N/A</w:t>
            </w:r>
          </w:p>
        </w:tc>
        <w:tc>
          <w:tcPr>
            <w:tcW w:w="1838" w:type="dxa"/>
            <w:shd w:val="clear" w:color="auto" w:fill="auto"/>
            <w:tcMar>
              <w:top w:w="57" w:type="dxa"/>
              <w:left w:w="108" w:type="dxa"/>
              <w:bottom w:w="0" w:type="dxa"/>
              <w:right w:w="108" w:type="dxa"/>
            </w:tcMar>
            <w:vAlign w:val="center"/>
          </w:tcPr>
          <w:p w14:paraId="1D640C7A" w14:textId="3B31C96D" w:rsidR="00503945" w:rsidRPr="001B62FA" w:rsidRDefault="00503945" w:rsidP="000E7AC0">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tcBorders>
              <w:top w:val="single" w:sz="2" w:space="0" w:color="auto"/>
              <w:left w:val="single" w:sz="2" w:space="0" w:color="auto"/>
              <w:bottom w:val="single" w:sz="2" w:space="0" w:color="auto"/>
              <w:right w:val="single" w:sz="2" w:space="0" w:color="auto"/>
            </w:tcBorders>
          </w:tcPr>
          <w:p w14:paraId="46785A9E" w14:textId="77777777" w:rsidR="00503945" w:rsidRPr="002635C8" w:rsidRDefault="00503945" w:rsidP="000E7AC0">
            <w:pPr>
              <w:spacing w:after="0"/>
              <w:jc w:val="right"/>
              <w:rPr>
                <w:rFonts w:ascii="Times New Roman" w:hAnsi="Times New Roman" w:cs="Times New Roman"/>
              </w:rPr>
            </w:pPr>
          </w:p>
          <w:p w14:paraId="39557F53" w14:textId="77777777" w:rsidR="00503945" w:rsidRPr="002635C8" w:rsidRDefault="00503945" w:rsidP="000E7AC0">
            <w:pPr>
              <w:spacing w:after="0"/>
              <w:jc w:val="right"/>
              <w:rPr>
                <w:rFonts w:ascii="Times New Roman" w:hAnsi="Times New Roman" w:cs="Times New Roman"/>
              </w:rPr>
            </w:pPr>
          </w:p>
          <w:p w14:paraId="5B501502" w14:textId="531E7457" w:rsidR="00503945" w:rsidRPr="001B62FA" w:rsidRDefault="00503945" w:rsidP="000E7AC0">
            <w:pPr>
              <w:spacing w:after="0"/>
              <w:jc w:val="right"/>
              <w:rPr>
                <w:rFonts w:ascii="Times New Roman" w:hAnsi="Times New Roman" w:cs="Times New Roman"/>
              </w:rPr>
            </w:pPr>
            <w:r w:rsidRPr="002635C8">
              <w:rPr>
                <w:rFonts w:ascii="Times New Roman" w:hAnsi="Times New Roman" w:cs="Times New Roman"/>
              </w:rPr>
              <w:t>N/A</w:t>
            </w:r>
          </w:p>
        </w:tc>
        <w:tc>
          <w:tcPr>
            <w:tcW w:w="1263" w:type="dxa"/>
            <w:tcBorders>
              <w:top w:val="single" w:sz="2" w:space="0" w:color="auto"/>
              <w:left w:val="single" w:sz="2" w:space="0" w:color="auto"/>
              <w:bottom w:val="single" w:sz="2" w:space="0" w:color="auto"/>
              <w:right w:val="single" w:sz="2" w:space="0" w:color="auto"/>
            </w:tcBorders>
          </w:tcPr>
          <w:p w14:paraId="4AB6C5BB" w14:textId="77777777" w:rsidR="00503945" w:rsidRPr="002635C8" w:rsidRDefault="00503945" w:rsidP="000E7AC0">
            <w:pPr>
              <w:spacing w:after="0"/>
              <w:jc w:val="right"/>
              <w:rPr>
                <w:rFonts w:ascii="Times New Roman" w:hAnsi="Times New Roman" w:cs="Times New Roman"/>
              </w:rPr>
            </w:pPr>
          </w:p>
          <w:p w14:paraId="60CC6E73" w14:textId="77777777" w:rsidR="00503945" w:rsidRPr="002635C8" w:rsidRDefault="00503945" w:rsidP="000E7AC0">
            <w:pPr>
              <w:spacing w:after="0"/>
              <w:jc w:val="right"/>
              <w:rPr>
                <w:rFonts w:ascii="Times New Roman" w:hAnsi="Times New Roman" w:cs="Times New Roman"/>
              </w:rPr>
            </w:pPr>
          </w:p>
          <w:p w14:paraId="2A42D7C0" w14:textId="1DB6119D" w:rsidR="00503945" w:rsidRPr="001B62FA" w:rsidRDefault="00503945" w:rsidP="000E7AC0">
            <w:pPr>
              <w:spacing w:after="0"/>
              <w:jc w:val="right"/>
              <w:rPr>
                <w:rFonts w:ascii="Times New Roman" w:hAnsi="Times New Roman" w:cs="Times New Roman"/>
              </w:rPr>
            </w:pPr>
            <w:r w:rsidRPr="002635C8">
              <w:rPr>
                <w:rFonts w:ascii="Times New Roman" w:hAnsi="Times New Roman" w:cs="Times New Roman"/>
              </w:rPr>
              <w:t>N/A</w:t>
            </w:r>
          </w:p>
        </w:tc>
        <w:tc>
          <w:tcPr>
            <w:tcW w:w="3023" w:type="dxa"/>
            <w:vMerge/>
            <w:tcBorders>
              <w:left w:val="single" w:sz="2" w:space="0" w:color="auto"/>
              <w:bottom w:val="single" w:sz="2" w:space="0" w:color="auto"/>
              <w:right w:val="single" w:sz="2" w:space="0" w:color="auto"/>
            </w:tcBorders>
          </w:tcPr>
          <w:p w14:paraId="615BBB69" w14:textId="18296460" w:rsidR="00503945" w:rsidRPr="001B62FA" w:rsidRDefault="00503945" w:rsidP="000E7AC0">
            <w:pPr>
              <w:spacing w:after="0"/>
              <w:rPr>
                <w:rFonts w:ascii="Times New Roman" w:hAnsi="Times New Roman" w:cs="Times New Roman"/>
              </w:rPr>
            </w:pPr>
          </w:p>
        </w:tc>
      </w:tr>
      <w:tr w:rsidR="00EC04F3" w:rsidRPr="001B62FA" w14:paraId="2634D87A" w14:textId="77777777" w:rsidTr="009A19D8">
        <w:trPr>
          <w:cantSplit/>
          <w:trHeight w:val="494"/>
        </w:trPr>
        <w:tc>
          <w:tcPr>
            <w:tcW w:w="743" w:type="dxa"/>
            <w:tcBorders>
              <w:top w:val="single" w:sz="2" w:space="0" w:color="auto"/>
              <w:left w:val="single" w:sz="2" w:space="0" w:color="auto"/>
              <w:bottom w:val="single" w:sz="2" w:space="0" w:color="auto"/>
              <w:right w:val="single" w:sz="2" w:space="0" w:color="auto"/>
            </w:tcBorders>
          </w:tcPr>
          <w:p w14:paraId="33C417FA" w14:textId="51D664AA" w:rsidR="00EC04F3" w:rsidRPr="001B62FA" w:rsidRDefault="00376D67" w:rsidP="00EC04F3">
            <w:pPr>
              <w:spacing w:after="0"/>
              <w:rPr>
                <w:rFonts w:ascii="Times New Roman" w:hAnsi="Times New Roman" w:cs="Times New Roman"/>
              </w:rPr>
            </w:pPr>
            <w:r>
              <w:rPr>
                <w:rFonts w:ascii="Times New Roman" w:hAnsi="Times New Roman" w:cs="Times New Roman"/>
              </w:rPr>
              <w:lastRenderedPageBreak/>
              <w:t>4</w:t>
            </w:r>
          </w:p>
        </w:tc>
        <w:tc>
          <w:tcPr>
            <w:tcW w:w="3792" w:type="dxa"/>
            <w:shd w:val="clear" w:color="auto" w:fill="auto"/>
            <w:tcMar>
              <w:top w:w="57" w:type="dxa"/>
              <w:left w:w="108" w:type="dxa"/>
              <w:bottom w:w="0" w:type="dxa"/>
              <w:right w:w="108" w:type="dxa"/>
            </w:tcMar>
            <w:vAlign w:val="center"/>
          </w:tcPr>
          <w:p w14:paraId="342F30E6" w14:textId="77777777" w:rsidR="00A053EC" w:rsidRDefault="00EC04F3" w:rsidP="00EC04F3">
            <w:pPr>
              <w:pBdr>
                <w:bottom w:val="single" w:sz="6" w:space="1" w:color="auto"/>
              </w:pBdr>
              <w:spacing w:after="0"/>
              <w:rPr>
                <w:rFonts w:ascii="Times New Roman" w:hAnsi="Times New Roman" w:cs="Times New Roman"/>
              </w:rPr>
            </w:pPr>
            <w:r w:rsidRPr="001B62FA">
              <w:rPr>
                <w:rFonts w:ascii="Times New Roman" w:hAnsi="Times New Roman" w:cs="Times New Roman"/>
              </w:rPr>
              <w:t>Making an application mentioned in paragraph 457 (1) (a) of the Telecommunications Act for the allocation of a number otherwise than in accordance with an allocation system determined under section 463 of the Telecommunications Act</w:t>
            </w:r>
            <w:r w:rsidR="00DC55BD">
              <w:rPr>
                <w:rFonts w:ascii="Times New Roman" w:hAnsi="Times New Roman" w:cs="Times New Roman"/>
              </w:rPr>
              <w:t xml:space="preserve">. </w:t>
            </w:r>
            <w:r w:rsidRPr="001B62FA">
              <w:rPr>
                <w:rFonts w:ascii="Times New Roman" w:hAnsi="Times New Roman" w:cs="Times New Roman"/>
              </w:rPr>
              <w:br w:type="page"/>
              <w:t xml:space="preserve"> </w:t>
            </w:r>
          </w:p>
          <w:p w14:paraId="09674459" w14:textId="77777777" w:rsidR="000C48FD" w:rsidRDefault="000C48FD" w:rsidP="00EC04F3">
            <w:pPr>
              <w:spacing w:after="0"/>
              <w:rPr>
                <w:rFonts w:ascii="Times New Roman" w:hAnsi="Times New Roman" w:cs="Times New Roman"/>
              </w:rPr>
            </w:pPr>
          </w:p>
          <w:p w14:paraId="4DE0E1A3" w14:textId="1173A7EC" w:rsidR="00EC04F3" w:rsidRPr="001B62FA" w:rsidRDefault="00EC04F3" w:rsidP="00EC04F3">
            <w:pPr>
              <w:spacing w:after="0"/>
              <w:rPr>
                <w:rFonts w:ascii="Times New Roman" w:hAnsi="Times New Roman" w:cs="Times New Roman"/>
              </w:rPr>
            </w:pPr>
            <w:r w:rsidRPr="001B62FA">
              <w:rPr>
                <w:rFonts w:ascii="Times New Roman" w:hAnsi="Times New Roman" w:cs="Times New Roman"/>
              </w:rPr>
              <w:t>(1) For an application made under Part 2 of Chapter 6 of the numbering plan for allocation of one or more standard units of geographic numbers</w:t>
            </w:r>
          </w:p>
        </w:tc>
        <w:tc>
          <w:tcPr>
            <w:tcW w:w="2413" w:type="dxa"/>
            <w:vMerge w:val="restart"/>
            <w:tcBorders>
              <w:left w:val="single" w:sz="2" w:space="0" w:color="auto"/>
              <w:right w:val="single" w:sz="2" w:space="0" w:color="auto"/>
            </w:tcBorders>
          </w:tcPr>
          <w:p w14:paraId="23638195" w14:textId="77777777" w:rsidR="00EC04F3" w:rsidRPr="002635C8" w:rsidRDefault="00EC04F3" w:rsidP="00EC04F3">
            <w:pPr>
              <w:spacing w:after="0"/>
              <w:rPr>
                <w:rFonts w:ascii="Times New Roman" w:hAnsi="Times New Roman" w:cs="Times New Roman"/>
              </w:rPr>
            </w:pPr>
          </w:p>
          <w:p w14:paraId="2B66DBE6" w14:textId="77777777" w:rsidR="00EC04F3" w:rsidRPr="002635C8" w:rsidRDefault="00EC04F3" w:rsidP="00EC04F3">
            <w:pPr>
              <w:spacing w:after="0"/>
              <w:rPr>
                <w:rFonts w:ascii="Times New Roman" w:hAnsi="Times New Roman" w:cs="Times New Roman"/>
              </w:rPr>
            </w:pPr>
          </w:p>
          <w:p w14:paraId="69DD3332" w14:textId="77777777" w:rsidR="00EC04F3" w:rsidRPr="002635C8" w:rsidRDefault="00EC04F3" w:rsidP="00EC04F3">
            <w:pPr>
              <w:spacing w:after="0"/>
              <w:rPr>
                <w:rFonts w:ascii="Times New Roman" w:hAnsi="Times New Roman" w:cs="Times New Roman"/>
              </w:rPr>
            </w:pPr>
          </w:p>
          <w:p w14:paraId="76B45765" w14:textId="77777777" w:rsidR="00EC04F3" w:rsidRPr="002635C8" w:rsidRDefault="00EC04F3" w:rsidP="00EC04F3">
            <w:pPr>
              <w:spacing w:after="0"/>
              <w:rPr>
                <w:rFonts w:ascii="Times New Roman" w:hAnsi="Times New Roman" w:cs="Times New Roman"/>
              </w:rPr>
            </w:pPr>
          </w:p>
          <w:p w14:paraId="612A38AA" w14:textId="77777777" w:rsidR="00EC04F3" w:rsidRPr="002635C8" w:rsidRDefault="00EC04F3" w:rsidP="00EC04F3">
            <w:pPr>
              <w:spacing w:after="0"/>
              <w:rPr>
                <w:rFonts w:ascii="Times New Roman" w:hAnsi="Times New Roman" w:cs="Times New Roman"/>
              </w:rPr>
            </w:pPr>
          </w:p>
          <w:p w14:paraId="473CFAD6" w14:textId="07A0E580" w:rsidR="00EC04F3" w:rsidRPr="001B62FA" w:rsidRDefault="00EC04F3" w:rsidP="00EC04F3">
            <w:pPr>
              <w:spacing w:after="0"/>
              <w:rPr>
                <w:rFonts w:ascii="Times New Roman" w:hAnsi="Times New Roman" w:cs="Times New Roman"/>
              </w:rPr>
            </w:pPr>
            <w:r w:rsidRPr="002635C8">
              <w:rPr>
                <w:rFonts w:ascii="Times New Roman" w:hAnsi="Times New Roman" w:cs="Times New Roman"/>
              </w:rPr>
              <w:t xml:space="preserve">Item 2.1, Part 2, </w:t>
            </w:r>
            <w:r w:rsidR="003053E2" w:rsidRPr="002635C8">
              <w:rPr>
                <w:rFonts w:ascii="Times New Roman" w:hAnsi="Times New Roman" w:cs="Times New Roman"/>
              </w:rPr>
              <w:t>Schedule</w:t>
            </w:r>
            <w:r w:rsidRPr="002635C8">
              <w:rPr>
                <w:rFonts w:ascii="Times New Roman" w:hAnsi="Times New Roman" w:cs="Times New Roman"/>
              </w:rPr>
              <w:t xml:space="preserve"> 1</w:t>
            </w:r>
          </w:p>
        </w:tc>
        <w:tc>
          <w:tcPr>
            <w:tcW w:w="1838" w:type="dxa"/>
            <w:shd w:val="clear" w:color="auto" w:fill="auto"/>
            <w:tcMar>
              <w:top w:w="57" w:type="dxa"/>
              <w:left w:w="108" w:type="dxa"/>
              <w:bottom w:w="0" w:type="dxa"/>
              <w:right w:w="108" w:type="dxa"/>
            </w:tcMar>
            <w:vAlign w:val="center"/>
          </w:tcPr>
          <w:p w14:paraId="096FCEAB" w14:textId="1EEBFC46"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35.00</w:t>
            </w:r>
          </w:p>
        </w:tc>
        <w:tc>
          <w:tcPr>
            <w:tcW w:w="1723" w:type="dxa"/>
            <w:shd w:val="clear" w:color="auto" w:fill="auto"/>
            <w:vAlign w:val="center"/>
          </w:tcPr>
          <w:p w14:paraId="21583151" w14:textId="5E39C1D9"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57.00</w:t>
            </w:r>
          </w:p>
        </w:tc>
        <w:tc>
          <w:tcPr>
            <w:tcW w:w="1263" w:type="dxa"/>
            <w:shd w:val="clear" w:color="auto" w:fill="auto"/>
            <w:vAlign w:val="center"/>
          </w:tcPr>
          <w:p w14:paraId="4F68B6EF" w14:textId="68CE996A"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63% </w:t>
            </w:r>
          </w:p>
        </w:tc>
        <w:tc>
          <w:tcPr>
            <w:tcW w:w="3023" w:type="dxa"/>
            <w:shd w:val="clear" w:color="auto" w:fill="auto"/>
            <w:vAlign w:val="center"/>
          </w:tcPr>
          <w:p w14:paraId="3F1AA5E5" w14:textId="326FA162" w:rsidR="003B4B4D" w:rsidRPr="004367F5" w:rsidRDefault="00CD4B7F" w:rsidP="003B4B4D">
            <w:pPr>
              <w:spacing w:after="120" w:line="240" w:lineRule="auto"/>
              <w:rPr>
                <w:rFonts w:ascii="Times New Roman" w:hAnsi="Times New Roman" w:cs="Times New Roman"/>
              </w:rPr>
            </w:pPr>
            <w:r>
              <w:rPr>
                <w:rFonts w:ascii="Times New Roman" w:hAnsi="Times New Roman" w:cs="Times New Roman"/>
              </w:rPr>
              <w:t xml:space="preserve">The </w:t>
            </w:r>
            <w:r w:rsidR="006206A1">
              <w:rPr>
                <w:rFonts w:ascii="Times New Roman" w:hAnsi="Times New Roman" w:cs="Times New Roman"/>
              </w:rPr>
              <w:t xml:space="preserve">reason for the increase in the charge is </w:t>
            </w:r>
            <w:r w:rsidR="00EC04F3" w:rsidRPr="001B62FA">
              <w:rPr>
                <w:rFonts w:ascii="Times New Roman" w:hAnsi="Times New Roman" w:cs="Times New Roman"/>
              </w:rPr>
              <w:t xml:space="preserve">to align </w:t>
            </w:r>
            <w:r w:rsidR="00DA49CD">
              <w:rPr>
                <w:rFonts w:ascii="Times New Roman" w:hAnsi="Times New Roman" w:cs="Times New Roman"/>
              </w:rPr>
              <w:t xml:space="preserve">costs </w:t>
            </w:r>
            <w:r w:rsidR="00EC04F3" w:rsidRPr="001B62FA">
              <w:rPr>
                <w:rFonts w:ascii="Times New Roman" w:hAnsi="Times New Roman" w:cs="Times New Roman"/>
              </w:rPr>
              <w:t>with actual cost</w:t>
            </w:r>
            <w:r w:rsidR="00DA49CD">
              <w:rPr>
                <w:rFonts w:ascii="Times New Roman" w:hAnsi="Times New Roman" w:cs="Times New Roman"/>
              </w:rPr>
              <w:t>s</w:t>
            </w:r>
            <w:r w:rsidR="00EC04F3" w:rsidRPr="001B62FA">
              <w:rPr>
                <w:rFonts w:ascii="Times New Roman" w:hAnsi="Times New Roman" w:cs="Times New Roman"/>
              </w:rPr>
              <w:t xml:space="preserve"> required to be recovered.</w:t>
            </w:r>
            <w:r w:rsidR="00DA49CD">
              <w:rPr>
                <w:rFonts w:ascii="Times New Roman" w:hAnsi="Times New Roman" w:cs="Times New Roman"/>
              </w:rPr>
              <w:t xml:space="preserve"> Charges have increased due to a reduction in the number of applications</w:t>
            </w:r>
            <w:r w:rsidR="003B4B4D">
              <w:rPr>
                <w:rFonts w:ascii="Times New Roman" w:hAnsi="Times New Roman" w:cs="Times New Roman"/>
              </w:rPr>
              <w:t>. Further information is provided under the ‘Purpose and o</w:t>
            </w:r>
            <w:r w:rsidR="00C25B6C">
              <w:rPr>
                <w:rFonts w:ascii="Times New Roman" w:hAnsi="Times New Roman" w:cs="Times New Roman"/>
              </w:rPr>
              <w:t>peration</w:t>
            </w:r>
            <w:r w:rsidR="003B4B4D">
              <w:rPr>
                <w:rFonts w:ascii="Times New Roman" w:hAnsi="Times New Roman" w:cs="Times New Roman"/>
              </w:rPr>
              <w:t xml:space="preserve"> of the instrument’ section of this explanatory statement.</w:t>
            </w:r>
            <w:r w:rsidR="00EC04F3" w:rsidRPr="001B62FA">
              <w:rPr>
                <w:rFonts w:ascii="Times New Roman" w:hAnsi="Times New Roman" w:cs="Times New Roman"/>
              </w:rPr>
              <w:t xml:space="preserve"> </w:t>
            </w:r>
            <w:r w:rsidR="003B4B4D">
              <w:rPr>
                <w:rFonts w:ascii="Times New Roman" w:hAnsi="Times New Roman" w:cs="Times New Roman"/>
              </w:rPr>
              <w:t xml:space="preserve">Corresponding changes have also been made to the </w:t>
            </w:r>
            <w:r w:rsidR="003B4B4D">
              <w:rPr>
                <w:rFonts w:ascii="Times New Roman" w:hAnsi="Times New Roman" w:cs="Times New Roman"/>
                <w:i/>
                <w:iCs/>
              </w:rPr>
              <w:t xml:space="preserve">Telecommunications (Numbering Charges) (Allocation Charge) Determination 2015. </w:t>
            </w:r>
          </w:p>
          <w:p w14:paraId="7F3EC5BD" w14:textId="5B68B616" w:rsidR="00EC04F3" w:rsidRPr="001B62FA" w:rsidRDefault="00EC04F3" w:rsidP="00EC04F3">
            <w:pPr>
              <w:spacing w:after="0"/>
              <w:rPr>
                <w:rFonts w:ascii="Times New Roman" w:hAnsi="Times New Roman" w:cs="Times New Roman"/>
              </w:rPr>
            </w:pPr>
          </w:p>
        </w:tc>
      </w:tr>
      <w:tr w:rsidR="00EC04F3" w:rsidRPr="001B62FA" w14:paraId="0BDE2562" w14:textId="77777777" w:rsidTr="00E92954">
        <w:trPr>
          <w:cantSplit/>
          <w:trHeight w:val="592"/>
        </w:trPr>
        <w:tc>
          <w:tcPr>
            <w:tcW w:w="743" w:type="dxa"/>
            <w:tcBorders>
              <w:top w:val="single" w:sz="2" w:space="0" w:color="auto"/>
              <w:left w:val="single" w:sz="2" w:space="0" w:color="auto"/>
              <w:bottom w:val="single" w:sz="2" w:space="0" w:color="auto"/>
              <w:right w:val="single" w:sz="2" w:space="0" w:color="auto"/>
            </w:tcBorders>
          </w:tcPr>
          <w:p w14:paraId="37321F86" w14:textId="28E09E3C" w:rsidR="00EC04F3" w:rsidRPr="001B62FA" w:rsidRDefault="00376D67" w:rsidP="00EC04F3">
            <w:pPr>
              <w:spacing w:after="0"/>
              <w:rPr>
                <w:rFonts w:ascii="Times New Roman" w:hAnsi="Times New Roman" w:cs="Times New Roman"/>
              </w:rPr>
            </w:pPr>
            <w:r>
              <w:rPr>
                <w:rFonts w:ascii="Times New Roman" w:hAnsi="Times New Roman" w:cs="Times New Roman"/>
              </w:rPr>
              <w:lastRenderedPageBreak/>
              <w:t>5</w:t>
            </w:r>
          </w:p>
        </w:tc>
        <w:tc>
          <w:tcPr>
            <w:tcW w:w="3792" w:type="dxa"/>
            <w:shd w:val="clear" w:color="auto" w:fill="auto"/>
            <w:tcMar>
              <w:top w:w="57" w:type="dxa"/>
              <w:left w:w="108" w:type="dxa"/>
              <w:bottom w:w="0" w:type="dxa"/>
              <w:right w:w="108" w:type="dxa"/>
            </w:tcMar>
            <w:vAlign w:val="center"/>
          </w:tcPr>
          <w:p w14:paraId="54617AB0" w14:textId="3266A099" w:rsidR="00EC04F3" w:rsidRPr="001B62FA" w:rsidRDefault="00EC04F3" w:rsidP="00EC04F3">
            <w:pPr>
              <w:spacing w:after="0"/>
              <w:rPr>
                <w:rFonts w:ascii="Times New Roman" w:hAnsi="Times New Roman" w:cs="Times New Roman"/>
              </w:rPr>
            </w:pPr>
            <w:r w:rsidRPr="001B62FA">
              <w:rPr>
                <w:rFonts w:ascii="Times New Roman" w:hAnsi="Times New Roman" w:cs="Times New Roman"/>
              </w:rPr>
              <w:t>(2) For an application made under Part 3 of Chapter 6 of the numbering plan for allocation of one or more geographic numbers</w:t>
            </w:r>
          </w:p>
        </w:tc>
        <w:tc>
          <w:tcPr>
            <w:tcW w:w="2413" w:type="dxa"/>
            <w:vMerge/>
            <w:tcBorders>
              <w:left w:val="single" w:sz="2" w:space="0" w:color="auto"/>
              <w:right w:val="single" w:sz="2" w:space="0" w:color="auto"/>
            </w:tcBorders>
          </w:tcPr>
          <w:p w14:paraId="3AAC9EE2" w14:textId="3B1DA1D8" w:rsidR="00EC04F3" w:rsidRPr="001B62FA" w:rsidRDefault="00EC04F3" w:rsidP="00EC04F3">
            <w:pPr>
              <w:spacing w:after="0"/>
              <w:rPr>
                <w:rFonts w:ascii="Times New Roman" w:hAnsi="Times New Roman" w:cs="Times New Roman"/>
              </w:rPr>
            </w:pPr>
          </w:p>
        </w:tc>
        <w:tc>
          <w:tcPr>
            <w:tcW w:w="1838" w:type="dxa"/>
            <w:shd w:val="clear" w:color="auto" w:fill="auto"/>
            <w:tcMar>
              <w:top w:w="57" w:type="dxa"/>
              <w:left w:w="108" w:type="dxa"/>
              <w:bottom w:w="0" w:type="dxa"/>
              <w:right w:w="108" w:type="dxa"/>
            </w:tcMar>
            <w:vAlign w:val="center"/>
          </w:tcPr>
          <w:p w14:paraId="0B5821FE" w14:textId="35C7D984"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35.00</w:t>
            </w:r>
          </w:p>
        </w:tc>
        <w:tc>
          <w:tcPr>
            <w:tcW w:w="1723" w:type="dxa"/>
            <w:shd w:val="clear" w:color="auto" w:fill="auto"/>
            <w:vAlign w:val="center"/>
          </w:tcPr>
          <w:p w14:paraId="4F1CB13D" w14:textId="4EF06675"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xml:space="preserve"> $          57.00</w:t>
            </w:r>
          </w:p>
        </w:tc>
        <w:tc>
          <w:tcPr>
            <w:tcW w:w="1263" w:type="dxa"/>
            <w:shd w:val="clear" w:color="auto" w:fill="auto"/>
            <w:vAlign w:val="center"/>
          </w:tcPr>
          <w:p w14:paraId="1AC85232" w14:textId="7797779C"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63% </w:t>
            </w:r>
          </w:p>
        </w:tc>
        <w:tc>
          <w:tcPr>
            <w:tcW w:w="3023" w:type="dxa"/>
            <w:shd w:val="clear" w:color="auto" w:fill="auto"/>
            <w:vAlign w:val="center"/>
          </w:tcPr>
          <w:p w14:paraId="691F3C11" w14:textId="35FFD2D1" w:rsidR="00C25B6C" w:rsidRPr="004367F5" w:rsidRDefault="00C25B6C" w:rsidP="00C25B6C">
            <w:pPr>
              <w:spacing w:after="120" w:line="240" w:lineRule="auto"/>
              <w:rPr>
                <w:rFonts w:ascii="Times New Roman" w:hAnsi="Times New Roman" w:cs="Times New Roman"/>
              </w:rPr>
            </w:pPr>
            <w:r>
              <w:rPr>
                <w:rFonts w:ascii="Times New Roman" w:hAnsi="Times New Roman" w:cs="Times New Roman"/>
              </w:rPr>
              <w:t xml:space="preserve">The reason for the increase in the charge is </w:t>
            </w:r>
            <w:r w:rsidRPr="001B62FA">
              <w:rPr>
                <w:rFonts w:ascii="Times New Roman" w:hAnsi="Times New Roman" w:cs="Times New Roman"/>
              </w:rPr>
              <w:t xml:space="preserve">to align </w:t>
            </w:r>
            <w:r>
              <w:rPr>
                <w:rFonts w:ascii="Times New Roman" w:hAnsi="Times New Roman" w:cs="Times New Roman"/>
              </w:rPr>
              <w:t xml:space="preserve">costs </w:t>
            </w:r>
            <w:r w:rsidRPr="001B62FA">
              <w:rPr>
                <w:rFonts w:ascii="Times New Roman" w:hAnsi="Times New Roman" w:cs="Times New Roman"/>
              </w:rPr>
              <w:t>with actual cost</w:t>
            </w:r>
            <w:r>
              <w:rPr>
                <w:rFonts w:ascii="Times New Roman" w:hAnsi="Times New Roman" w:cs="Times New Roman"/>
              </w:rPr>
              <w:t>s</w:t>
            </w:r>
            <w:r w:rsidRPr="001B62FA">
              <w:rPr>
                <w:rFonts w:ascii="Times New Roman" w:hAnsi="Times New Roman" w:cs="Times New Roman"/>
              </w:rPr>
              <w:t xml:space="preserve"> required to be recovered.</w:t>
            </w:r>
            <w:r>
              <w:rPr>
                <w:rFonts w:ascii="Times New Roman" w:hAnsi="Times New Roman" w:cs="Times New Roman"/>
              </w:rPr>
              <w:t xml:space="preserve"> Charges have increased due to a reduction in the number of applications. Further information is provided under the ‘Purpose and operation of the instrument’ section of this explanatory statement. Corresponding changes have also been made to the </w:t>
            </w:r>
            <w:r>
              <w:rPr>
                <w:rFonts w:ascii="Times New Roman" w:hAnsi="Times New Roman" w:cs="Times New Roman"/>
                <w:i/>
                <w:iCs/>
              </w:rPr>
              <w:t xml:space="preserve">Telecommunications (Numbering Charges) (Allocation Charge) Determination 2015. </w:t>
            </w:r>
          </w:p>
          <w:p w14:paraId="12060442" w14:textId="76EE7ADE" w:rsidR="00EC04F3" w:rsidRPr="001B62FA" w:rsidRDefault="00EC04F3" w:rsidP="00EC04F3">
            <w:pPr>
              <w:spacing w:after="0"/>
              <w:rPr>
                <w:rFonts w:ascii="Times New Roman" w:hAnsi="Times New Roman" w:cs="Times New Roman"/>
              </w:rPr>
            </w:pPr>
          </w:p>
        </w:tc>
      </w:tr>
      <w:tr w:rsidR="00EC04F3" w:rsidRPr="001B62FA" w14:paraId="207841B9" w14:textId="77777777" w:rsidTr="001B62FA">
        <w:trPr>
          <w:cantSplit/>
          <w:trHeight w:val="494"/>
        </w:trPr>
        <w:tc>
          <w:tcPr>
            <w:tcW w:w="743" w:type="dxa"/>
            <w:tcBorders>
              <w:top w:val="single" w:sz="2" w:space="0" w:color="auto"/>
              <w:left w:val="single" w:sz="2" w:space="0" w:color="auto"/>
              <w:bottom w:val="single" w:sz="2" w:space="0" w:color="auto"/>
              <w:right w:val="single" w:sz="2" w:space="0" w:color="auto"/>
            </w:tcBorders>
          </w:tcPr>
          <w:p w14:paraId="5AACD0A7" w14:textId="4C231A6B" w:rsidR="00EC04F3" w:rsidRPr="001B62FA" w:rsidRDefault="00376D67" w:rsidP="00EC04F3">
            <w:pPr>
              <w:spacing w:after="0"/>
              <w:rPr>
                <w:rFonts w:ascii="Times New Roman" w:hAnsi="Times New Roman" w:cs="Times New Roman"/>
              </w:rPr>
            </w:pPr>
            <w:r>
              <w:rPr>
                <w:rFonts w:ascii="Times New Roman" w:hAnsi="Times New Roman" w:cs="Times New Roman"/>
              </w:rPr>
              <w:t>6</w:t>
            </w:r>
          </w:p>
        </w:tc>
        <w:tc>
          <w:tcPr>
            <w:tcW w:w="3792" w:type="dxa"/>
            <w:shd w:val="clear" w:color="auto" w:fill="auto"/>
            <w:tcMar>
              <w:top w:w="57" w:type="dxa"/>
              <w:left w:w="108" w:type="dxa"/>
              <w:bottom w:w="0" w:type="dxa"/>
              <w:right w:w="108" w:type="dxa"/>
            </w:tcMar>
            <w:vAlign w:val="center"/>
          </w:tcPr>
          <w:p w14:paraId="644CC610" w14:textId="262BDBF5" w:rsidR="00EC04F3" w:rsidRPr="001B62FA" w:rsidRDefault="00EC04F3" w:rsidP="00EC04F3">
            <w:pPr>
              <w:spacing w:after="0"/>
              <w:rPr>
                <w:rFonts w:ascii="Times New Roman" w:hAnsi="Times New Roman" w:cs="Times New Roman"/>
              </w:rPr>
            </w:pPr>
            <w:r w:rsidRPr="001B62FA">
              <w:rPr>
                <w:rFonts w:ascii="Times New Roman" w:hAnsi="Times New Roman" w:cs="Times New Roman"/>
              </w:rPr>
              <w:t>(3) For any other application made under the numbering plan for allocation of a number</w:t>
            </w:r>
          </w:p>
        </w:tc>
        <w:tc>
          <w:tcPr>
            <w:tcW w:w="2413" w:type="dxa"/>
            <w:vMerge/>
            <w:tcBorders>
              <w:left w:val="single" w:sz="2" w:space="0" w:color="auto"/>
              <w:bottom w:val="single" w:sz="2" w:space="0" w:color="auto"/>
              <w:right w:val="single" w:sz="2" w:space="0" w:color="auto"/>
            </w:tcBorders>
          </w:tcPr>
          <w:p w14:paraId="70574D1E" w14:textId="61FE2FF2" w:rsidR="00EC04F3" w:rsidRPr="001B62FA" w:rsidRDefault="00EC04F3" w:rsidP="00EC04F3">
            <w:pPr>
              <w:spacing w:after="0"/>
              <w:rPr>
                <w:rFonts w:ascii="Times New Roman" w:hAnsi="Times New Roman" w:cs="Times New Roman"/>
              </w:rPr>
            </w:pPr>
          </w:p>
        </w:tc>
        <w:tc>
          <w:tcPr>
            <w:tcW w:w="1838" w:type="dxa"/>
            <w:shd w:val="clear" w:color="auto" w:fill="auto"/>
            <w:tcMar>
              <w:top w:w="57" w:type="dxa"/>
              <w:left w:w="108" w:type="dxa"/>
              <w:bottom w:w="0" w:type="dxa"/>
              <w:right w:w="108" w:type="dxa"/>
            </w:tcMar>
            <w:vAlign w:val="center"/>
          </w:tcPr>
          <w:p w14:paraId="60367B05" w14:textId="5C02D96F"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xml:space="preserve">Zero   </w:t>
            </w:r>
          </w:p>
        </w:tc>
        <w:tc>
          <w:tcPr>
            <w:tcW w:w="1723" w:type="dxa"/>
            <w:shd w:val="clear" w:color="auto" w:fill="auto"/>
            <w:vAlign w:val="center"/>
          </w:tcPr>
          <w:p w14:paraId="251A6A3A" w14:textId="745C70DB"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 xml:space="preserve">Zero  </w:t>
            </w:r>
          </w:p>
        </w:tc>
        <w:tc>
          <w:tcPr>
            <w:tcW w:w="1263" w:type="dxa"/>
            <w:shd w:val="clear" w:color="auto" w:fill="auto"/>
            <w:vAlign w:val="center"/>
          </w:tcPr>
          <w:p w14:paraId="0169ECC5" w14:textId="1962733A" w:rsidR="00EC04F3" w:rsidRPr="001B62FA" w:rsidRDefault="00EC04F3" w:rsidP="00EC04F3">
            <w:pPr>
              <w:spacing w:after="0"/>
              <w:jc w:val="right"/>
              <w:rPr>
                <w:rFonts w:ascii="Times New Roman" w:hAnsi="Times New Roman" w:cs="Times New Roman"/>
              </w:rPr>
            </w:pPr>
            <w:r w:rsidRPr="001B62FA">
              <w:rPr>
                <w:rFonts w:ascii="Times New Roman" w:hAnsi="Times New Roman" w:cs="Times New Roman"/>
              </w:rPr>
              <w:t>Nil </w:t>
            </w:r>
          </w:p>
        </w:tc>
        <w:tc>
          <w:tcPr>
            <w:tcW w:w="3023" w:type="dxa"/>
            <w:shd w:val="clear" w:color="auto" w:fill="auto"/>
            <w:vAlign w:val="center"/>
          </w:tcPr>
          <w:p w14:paraId="57ACEFCC" w14:textId="70EB40AC" w:rsidR="00EC04F3" w:rsidRPr="001B62FA" w:rsidRDefault="00EC04F3" w:rsidP="00EC04F3">
            <w:pPr>
              <w:spacing w:after="0"/>
              <w:rPr>
                <w:rFonts w:ascii="Times New Roman" w:hAnsi="Times New Roman" w:cs="Times New Roman"/>
              </w:rPr>
            </w:pPr>
            <w:r w:rsidRPr="001B62FA">
              <w:rPr>
                <w:rFonts w:ascii="Times New Roman" w:hAnsi="Times New Roman" w:cs="Times New Roman"/>
              </w:rPr>
              <w:t>No change</w:t>
            </w:r>
          </w:p>
        </w:tc>
      </w:tr>
      <w:tr w:rsidR="00A62668" w:rsidRPr="001B62FA" w14:paraId="6C652A20"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553D2850" w14:textId="79B964AB" w:rsidR="00A62668" w:rsidRPr="001B62FA" w:rsidRDefault="00376D67" w:rsidP="00A62668">
            <w:pPr>
              <w:spacing w:after="0"/>
              <w:rPr>
                <w:rFonts w:ascii="Times New Roman" w:hAnsi="Times New Roman" w:cs="Times New Roman"/>
              </w:rPr>
            </w:pPr>
            <w:r>
              <w:rPr>
                <w:rFonts w:ascii="Times New Roman" w:hAnsi="Times New Roman" w:cs="Times New Roman"/>
              </w:rPr>
              <w:lastRenderedPageBreak/>
              <w:t>7</w:t>
            </w:r>
          </w:p>
        </w:tc>
        <w:tc>
          <w:tcPr>
            <w:tcW w:w="3792" w:type="dxa"/>
            <w:shd w:val="clear" w:color="auto" w:fill="auto"/>
            <w:tcMar>
              <w:top w:w="57" w:type="dxa"/>
              <w:left w:w="108" w:type="dxa"/>
              <w:bottom w:w="0" w:type="dxa"/>
              <w:right w:w="108" w:type="dxa"/>
            </w:tcMar>
            <w:vAlign w:val="center"/>
          </w:tcPr>
          <w:p w14:paraId="407E28A1" w14:textId="78DA7DC6"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Making an application under subsection 121(1) of the numbering plan for registration of a carriage service provider under section 122 of the numbering plan</w:t>
            </w:r>
          </w:p>
        </w:tc>
        <w:tc>
          <w:tcPr>
            <w:tcW w:w="2413" w:type="dxa"/>
            <w:shd w:val="clear" w:color="auto" w:fill="auto"/>
            <w:vAlign w:val="center"/>
          </w:tcPr>
          <w:p w14:paraId="42E97AD6" w14:textId="1538325A"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2.2, Part 2, </w:t>
            </w:r>
            <w:r w:rsidR="003053E2" w:rsidRPr="001B62FA">
              <w:rPr>
                <w:rFonts w:ascii="Times New Roman" w:hAnsi="Times New Roman" w:cs="Times New Roman"/>
              </w:rPr>
              <w:t>Schedule</w:t>
            </w:r>
            <w:r w:rsidRPr="001B62FA">
              <w:rPr>
                <w:rFonts w:ascii="Times New Roman" w:hAnsi="Times New Roman" w:cs="Times New Roman"/>
              </w:rPr>
              <w:t xml:space="preserve"> 1</w:t>
            </w:r>
          </w:p>
        </w:tc>
        <w:tc>
          <w:tcPr>
            <w:tcW w:w="1838" w:type="dxa"/>
            <w:shd w:val="clear" w:color="auto" w:fill="auto"/>
            <w:tcMar>
              <w:top w:w="57" w:type="dxa"/>
              <w:left w:w="108" w:type="dxa"/>
              <w:bottom w:w="0" w:type="dxa"/>
              <w:right w:w="108" w:type="dxa"/>
            </w:tcMar>
            <w:vAlign w:val="center"/>
          </w:tcPr>
          <w:p w14:paraId="121A2F20" w14:textId="741281EC"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35.00</w:t>
            </w:r>
          </w:p>
        </w:tc>
        <w:tc>
          <w:tcPr>
            <w:tcW w:w="1723" w:type="dxa"/>
            <w:shd w:val="clear" w:color="auto" w:fill="auto"/>
            <w:vAlign w:val="center"/>
          </w:tcPr>
          <w:p w14:paraId="118E87C4" w14:textId="050F24D6"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          57.00</w:t>
            </w:r>
          </w:p>
        </w:tc>
        <w:tc>
          <w:tcPr>
            <w:tcW w:w="1263" w:type="dxa"/>
            <w:shd w:val="clear" w:color="auto" w:fill="auto"/>
            <w:vAlign w:val="center"/>
          </w:tcPr>
          <w:p w14:paraId="23FB12F7" w14:textId="3104E103"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63% </w:t>
            </w:r>
          </w:p>
        </w:tc>
        <w:tc>
          <w:tcPr>
            <w:tcW w:w="3023" w:type="dxa"/>
            <w:shd w:val="clear" w:color="auto" w:fill="auto"/>
            <w:vAlign w:val="center"/>
          </w:tcPr>
          <w:p w14:paraId="586C4D71" w14:textId="2C0B82F1" w:rsidR="00AA1EFD" w:rsidRPr="004367F5" w:rsidRDefault="00AA1EFD" w:rsidP="00AA1EFD">
            <w:pPr>
              <w:spacing w:after="120" w:line="240" w:lineRule="auto"/>
              <w:rPr>
                <w:rFonts w:ascii="Times New Roman" w:hAnsi="Times New Roman" w:cs="Times New Roman"/>
              </w:rPr>
            </w:pPr>
            <w:r>
              <w:rPr>
                <w:rFonts w:ascii="Times New Roman" w:hAnsi="Times New Roman" w:cs="Times New Roman"/>
              </w:rPr>
              <w:t xml:space="preserve">The reason for the increase in the charge is </w:t>
            </w:r>
            <w:r w:rsidRPr="001B62FA">
              <w:rPr>
                <w:rFonts w:ascii="Times New Roman" w:hAnsi="Times New Roman" w:cs="Times New Roman"/>
              </w:rPr>
              <w:t xml:space="preserve">to align </w:t>
            </w:r>
            <w:r>
              <w:rPr>
                <w:rFonts w:ascii="Times New Roman" w:hAnsi="Times New Roman" w:cs="Times New Roman"/>
              </w:rPr>
              <w:t xml:space="preserve">costs </w:t>
            </w:r>
            <w:r w:rsidRPr="001B62FA">
              <w:rPr>
                <w:rFonts w:ascii="Times New Roman" w:hAnsi="Times New Roman" w:cs="Times New Roman"/>
              </w:rPr>
              <w:t>with actual cost</w:t>
            </w:r>
            <w:r>
              <w:rPr>
                <w:rFonts w:ascii="Times New Roman" w:hAnsi="Times New Roman" w:cs="Times New Roman"/>
              </w:rPr>
              <w:t>s</w:t>
            </w:r>
            <w:r w:rsidRPr="001B62FA">
              <w:rPr>
                <w:rFonts w:ascii="Times New Roman" w:hAnsi="Times New Roman" w:cs="Times New Roman"/>
              </w:rPr>
              <w:t xml:space="preserve"> required to be recovered.</w:t>
            </w:r>
            <w:r>
              <w:rPr>
                <w:rFonts w:ascii="Times New Roman" w:hAnsi="Times New Roman" w:cs="Times New Roman"/>
              </w:rPr>
              <w:t xml:space="preserve"> Charges have increased due to a reduction in the number of applications. Further information is provided under the ‘Purpose and operation of the instrument’ section of this explanatory statement.  </w:t>
            </w:r>
            <w:r w:rsidRPr="001B62FA">
              <w:rPr>
                <w:rFonts w:ascii="Times New Roman" w:hAnsi="Times New Roman" w:cs="Times New Roman"/>
              </w:rPr>
              <w:t xml:space="preserve"> </w:t>
            </w:r>
          </w:p>
          <w:p w14:paraId="72136060" w14:textId="5663CB7B" w:rsidR="00A62668" w:rsidRPr="001B62FA" w:rsidRDefault="00A62668" w:rsidP="00A62668">
            <w:pPr>
              <w:spacing w:after="0"/>
              <w:rPr>
                <w:rFonts w:ascii="Times New Roman" w:hAnsi="Times New Roman" w:cs="Times New Roman"/>
              </w:rPr>
            </w:pPr>
          </w:p>
        </w:tc>
      </w:tr>
      <w:tr w:rsidR="00A62668" w:rsidRPr="001B62FA" w14:paraId="2F647284"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7A3F0612" w14:textId="5857E03E" w:rsidR="00A62668" w:rsidRPr="001B62FA" w:rsidRDefault="00376D67" w:rsidP="00A62668">
            <w:pPr>
              <w:spacing w:after="0"/>
              <w:rPr>
                <w:rFonts w:ascii="Times New Roman" w:hAnsi="Times New Roman" w:cs="Times New Roman"/>
              </w:rPr>
            </w:pPr>
            <w:r>
              <w:rPr>
                <w:rFonts w:ascii="Times New Roman" w:hAnsi="Times New Roman" w:cs="Times New Roman"/>
              </w:rPr>
              <w:t>8</w:t>
            </w:r>
          </w:p>
        </w:tc>
        <w:tc>
          <w:tcPr>
            <w:tcW w:w="3792" w:type="dxa"/>
            <w:shd w:val="clear" w:color="auto" w:fill="auto"/>
            <w:tcMar>
              <w:top w:w="57" w:type="dxa"/>
              <w:left w:w="108" w:type="dxa"/>
              <w:bottom w:w="0" w:type="dxa"/>
              <w:right w:w="108" w:type="dxa"/>
            </w:tcMar>
            <w:vAlign w:val="center"/>
          </w:tcPr>
          <w:p w14:paraId="000DF328" w14:textId="71180B17"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Registering to use the electronic system, made available by the ACMA, for EROU applicants to apply with a registered carriage service provider under section 73 of the numbering plan for the initial allocation of an unassigned unallocated </w:t>
            </w:r>
            <w:proofErr w:type="spellStart"/>
            <w:r w:rsidRPr="001B62FA">
              <w:rPr>
                <w:rFonts w:ascii="Times New Roman" w:hAnsi="Times New Roman" w:cs="Times New Roman"/>
              </w:rPr>
              <w:t>smartnumber</w:t>
            </w:r>
            <w:proofErr w:type="spellEnd"/>
            <w:r w:rsidRPr="001B62FA">
              <w:rPr>
                <w:rFonts w:ascii="Times New Roman" w:hAnsi="Times New Roman" w:cs="Times New Roman"/>
              </w:rPr>
              <w:t>, and for EROU-holders to manage their enhanced rights of use</w:t>
            </w:r>
          </w:p>
        </w:tc>
        <w:tc>
          <w:tcPr>
            <w:tcW w:w="2413" w:type="dxa"/>
            <w:shd w:val="clear" w:color="auto" w:fill="auto"/>
            <w:vAlign w:val="center"/>
          </w:tcPr>
          <w:p w14:paraId="3235FDCE" w14:textId="49B7A78E"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2.3, Part 2, </w:t>
            </w:r>
            <w:r w:rsidR="003053E2" w:rsidRPr="001B62FA">
              <w:rPr>
                <w:rFonts w:ascii="Times New Roman" w:hAnsi="Times New Roman" w:cs="Times New Roman"/>
              </w:rPr>
              <w:t>Schedule</w:t>
            </w:r>
            <w:r w:rsidRPr="001B62FA">
              <w:rPr>
                <w:rFonts w:ascii="Times New Roman" w:hAnsi="Times New Roman" w:cs="Times New Roman"/>
              </w:rPr>
              <w:t xml:space="preserve"> 1</w:t>
            </w:r>
          </w:p>
        </w:tc>
        <w:tc>
          <w:tcPr>
            <w:tcW w:w="1838" w:type="dxa"/>
            <w:shd w:val="clear" w:color="auto" w:fill="auto"/>
            <w:tcMar>
              <w:top w:w="57" w:type="dxa"/>
              <w:left w:w="108" w:type="dxa"/>
              <w:bottom w:w="0" w:type="dxa"/>
              <w:right w:w="108" w:type="dxa"/>
            </w:tcMar>
            <w:vAlign w:val="center"/>
          </w:tcPr>
          <w:p w14:paraId="5C568B1F" w14:textId="5C647678"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35.00</w:t>
            </w:r>
          </w:p>
        </w:tc>
        <w:tc>
          <w:tcPr>
            <w:tcW w:w="1723" w:type="dxa"/>
            <w:shd w:val="clear" w:color="auto" w:fill="auto"/>
            <w:vAlign w:val="center"/>
          </w:tcPr>
          <w:p w14:paraId="7F241014" w14:textId="1521CEC9"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          57.00</w:t>
            </w:r>
          </w:p>
        </w:tc>
        <w:tc>
          <w:tcPr>
            <w:tcW w:w="1263" w:type="dxa"/>
            <w:shd w:val="clear" w:color="auto" w:fill="auto"/>
            <w:vAlign w:val="center"/>
          </w:tcPr>
          <w:p w14:paraId="2589DE15" w14:textId="4D06ABCB"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63% </w:t>
            </w:r>
          </w:p>
        </w:tc>
        <w:tc>
          <w:tcPr>
            <w:tcW w:w="3023" w:type="dxa"/>
            <w:shd w:val="clear" w:color="auto" w:fill="auto"/>
            <w:vAlign w:val="center"/>
          </w:tcPr>
          <w:p w14:paraId="1F3DB7A1" w14:textId="244F6020" w:rsidR="00AA1EFD" w:rsidRPr="004367F5" w:rsidRDefault="00AA1EFD" w:rsidP="00AA1EFD">
            <w:pPr>
              <w:spacing w:after="120" w:line="240" w:lineRule="auto"/>
              <w:rPr>
                <w:rFonts w:ascii="Times New Roman" w:hAnsi="Times New Roman" w:cs="Times New Roman"/>
              </w:rPr>
            </w:pPr>
            <w:r>
              <w:rPr>
                <w:rFonts w:ascii="Times New Roman" w:hAnsi="Times New Roman" w:cs="Times New Roman"/>
              </w:rPr>
              <w:t xml:space="preserve">The reason for the increase in the charge is </w:t>
            </w:r>
            <w:r w:rsidRPr="001B62FA">
              <w:rPr>
                <w:rFonts w:ascii="Times New Roman" w:hAnsi="Times New Roman" w:cs="Times New Roman"/>
              </w:rPr>
              <w:t xml:space="preserve">to align </w:t>
            </w:r>
            <w:r>
              <w:rPr>
                <w:rFonts w:ascii="Times New Roman" w:hAnsi="Times New Roman" w:cs="Times New Roman"/>
              </w:rPr>
              <w:t xml:space="preserve">costs </w:t>
            </w:r>
            <w:r w:rsidRPr="001B62FA">
              <w:rPr>
                <w:rFonts w:ascii="Times New Roman" w:hAnsi="Times New Roman" w:cs="Times New Roman"/>
              </w:rPr>
              <w:t>with actual cost</w:t>
            </w:r>
            <w:r>
              <w:rPr>
                <w:rFonts w:ascii="Times New Roman" w:hAnsi="Times New Roman" w:cs="Times New Roman"/>
              </w:rPr>
              <w:t>s</w:t>
            </w:r>
            <w:r w:rsidRPr="001B62FA">
              <w:rPr>
                <w:rFonts w:ascii="Times New Roman" w:hAnsi="Times New Roman" w:cs="Times New Roman"/>
              </w:rPr>
              <w:t xml:space="preserve"> required to be recovered.</w:t>
            </w:r>
            <w:r>
              <w:rPr>
                <w:rFonts w:ascii="Times New Roman" w:hAnsi="Times New Roman" w:cs="Times New Roman"/>
              </w:rPr>
              <w:t xml:space="preserve"> Charges have increased due to a reduction in the number of</w:t>
            </w:r>
            <w:r w:rsidR="00456706">
              <w:rPr>
                <w:rFonts w:ascii="Times New Roman" w:hAnsi="Times New Roman" w:cs="Times New Roman"/>
              </w:rPr>
              <w:t xml:space="preserve"> numbering</w:t>
            </w:r>
            <w:r>
              <w:rPr>
                <w:rFonts w:ascii="Times New Roman" w:hAnsi="Times New Roman" w:cs="Times New Roman"/>
              </w:rPr>
              <w:t xml:space="preserve"> applications</w:t>
            </w:r>
            <w:r w:rsidR="00456706">
              <w:rPr>
                <w:rFonts w:ascii="Times New Roman" w:hAnsi="Times New Roman" w:cs="Times New Roman"/>
              </w:rPr>
              <w:t>/allocations</w:t>
            </w:r>
            <w:r>
              <w:rPr>
                <w:rFonts w:ascii="Times New Roman" w:hAnsi="Times New Roman" w:cs="Times New Roman"/>
              </w:rPr>
              <w:t xml:space="preserve">. Further information is provided under the ‘Purpose and operation of the instrument’ section of this explanatory statement.  </w:t>
            </w:r>
            <w:r w:rsidRPr="001B62FA">
              <w:rPr>
                <w:rFonts w:ascii="Times New Roman" w:hAnsi="Times New Roman" w:cs="Times New Roman"/>
              </w:rPr>
              <w:t xml:space="preserve"> </w:t>
            </w:r>
          </w:p>
          <w:p w14:paraId="35198733" w14:textId="12A3779E" w:rsidR="00A62668" w:rsidRPr="001B62FA" w:rsidRDefault="00A62668" w:rsidP="00A62668">
            <w:pPr>
              <w:spacing w:after="0"/>
              <w:rPr>
                <w:rFonts w:ascii="Times New Roman" w:hAnsi="Times New Roman" w:cs="Times New Roman"/>
              </w:rPr>
            </w:pPr>
          </w:p>
        </w:tc>
      </w:tr>
      <w:tr w:rsidR="00A62668" w:rsidRPr="001B62FA" w14:paraId="149FAAB9"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282E1806" w14:textId="3E42888F" w:rsidR="00A62668" w:rsidRPr="001B62FA" w:rsidRDefault="00376D67" w:rsidP="00A62668">
            <w:pPr>
              <w:spacing w:after="0"/>
              <w:rPr>
                <w:rFonts w:ascii="Times New Roman" w:hAnsi="Times New Roman" w:cs="Times New Roman"/>
              </w:rPr>
            </w:pPr>
            <w:r>
              <w:rPr>
                <w:rFonts w:ascii="Times New Roman" w:hAnsi="Times New Roman" w:cs="Times New Roman"/>
              </w:rPr>
              <w:lastRenderedPageBreak/>
              <w:t>9</w:t>
            </w:r>
          </w:p>
        </w:tc>
        <w:tc>
          <w:tcPr>
            <w:tcW w:w="3792" w:type="dxa"/>
            <w:shd w:val="clear" w:color="auto" w:fill="auto"/>
            <w:tcMar>
              <w:top w:w="57" w:type="dxa"/>
              <w:left w:w="108" w:type="dxa"/>
              <w:bottom w:w="0" w:type="dxa"/>
              <w:right w:w="108" w:type="dxa"/>
            </w:tcMar>
            <w:vAlign w:val="center"/>
          </w:tcPr>
          <w:p w14:paraId="3B89F444" w14:textId="426E5C6E"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Deposit to accompany a facility installation permit application</w:t>
            </w:r>
          </w:p>
        </w:tc>
        <w:tc>
          <w:tcPr>
            <w:tcW w:w="2413" w:type="dxa"/>
            <w:shd w:val="clear" w:color="auto" w:fill="auto"/>
            <w:vAlign w:val="center"/>
          </w:tcPr>
          <w:p w14:paraId="366CA507" w14:textId="17288BCF" w:rsidR="00A62668" w:rsidRPr="001B62FA" w:rsidRDefault="00A62668" w:rsidP="00A62668">
            <w:pPr>
              <w:rPr>
                <w:rFonts w:ascii="Times New Roman" w:hAnsi="Times New Roman" w:cs="Times New Roman"/>
              </w:rPr>
            </w:pPr>
            <w:r w:rsidRPr="001B62FA">
              <w:rPr>
                <w:rFonts w:ascii="Times New Roman" w:hAnsi="Times New Roman" w:cs="Times New Roman"/>
              </w:rPr>
              <w:t xml:space="preserve">Item 3.1, Part 3, </w:t>
            </w:r>
            <w:r w:rsidR="003053E2" w:rsidRPr="001B62FA">
              <w:rPr>
                <w:rFonts w:ascii="Times New Roman" w:hAnsi="Times New Roman" w:cs="Times New Roman"/>
              </w:rPr>
              <w:t>Schedule</w:t>
            </w:r>
            <w:r w:rsidRPr="001B62FA">
              <w:rPr>
                <w:rFonts w:ascii="Times New Roman" w:hAnsi="Times New Roman" w:cs="Times New Roman"/>
              </w:rPr>
              <w:t xml:space="preserve"> 1</w:t>
            </w:r>
          </w:p>
        </w:tc>
        <w:tc>
          <w:tcPr>
            <w:tcW w:w="1838" w:type="dxa"/>
            <w:shd w:val="clear" w:color="auto" w:fill="auto"/>
            <w:tcMar>
              <w:top w:w="57" w:type="dxa"/>
              <w:left w:w="108" w:type="dxa"/>
              <w:bottom w:w="0" w:type="dxa"/>
              <w:right w:w="108" w:type="dxa"/>
            </w:tcMar>
            <w:vAlign w:val="center"/>
          </w:tcPr>
          <w:p w14:paraId="0103CC99" w14:textId="604FCEC7"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7,474.00</w:t>
            </w:r>
          </w:p>
        </w:tc>
        <w:tc>
          <w:tcPr>
            <w:tcW w:w="1723" w:type="dxa"/>
            <w:shd w:val="clear" w:color="auto" w:fill="auto"/>
            <w:vAlign w:val="center"/>
          </w:tcPr>
          <w:p w14:paraId="09CCAEE6" w14:textId="70BC8700"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9,108.00</w:t>
            </w:r>
          </w:p>
        </w:tc>
        <w:tc>
          <w:tcPr>
            <w:tcW w:w="1263" w:type="dxa"/>
            <w:shd w:val="clear" w:color="auto" w:fill="auto"/>
            <w:vAlign w:val="center"/>
          </w:tcPr>
          <w:p w14:paraId="0C5E7291" w14:textId="0B93FB9F"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22%</w:t>
            </w:r>
          </w:p>
        </w:tc>
        <w:tc>
          <w:tcPr>
            <w:tcW w:w="3023" w:type="dxa"/>
            <w:shd w:val="clear" w:color="auto" w:fill="auto"/>
            <w:vAlign w:val="center"/>
          </w:tcPr>
          <w:p w14:paraId="1E5DEED2" w14:textId="2430B354" w:rsidR="00A62668" w:rsidRPr="001B62FA" w:rsidRDefault="006E2AF7" w:rsidP="00A62668">
            <w:pPr>
              <w:spacing w:after="0"/>
              <w:rPr>
                <w:rFonts w:ascii="Times New Roman" w:hAnsi="Times New Roman" w:cs="Times New Roman"/>
              </w:rPr>
            </w:pPr>
            <w:r>
              <w:rPr>
                <w:rFonts w:ascii="Times New Roman" w:hAnsi="Times New Roman" w:cs="Times New Roman"/>
              </w:rPr>
              <w:t xml:space="preserve">The increase in fee is </w:t>
            </w:r>
            <w:r w:rsidR="001C3F6D">
              <w:rPr>
                <w:rFonts w:ascii="Times New Roman" w:hAnsi="Times New Roman" w:cs="Times New Roman"/>
              </w:rPr>
              <w:t>b</w:t>
            </w:r>
            <w:r w:rsidR="00A62668" w:rsidRPr="001B62FA">
              <w:rPr>
                <w:rFonts w:ascii="Times New Roman" w:hAnsi="Times New Roman" w:cs="Times New Roman"/>
              </w:rPr>
              <w:t xml:space="preserve">ased on </w:t>
            </w:r>
            <w:r w:rsidR="001B050B">
              <w:rPr>
                <w:rFonts w:ascii="Times New Roman" w:hAnsi="Times New Roman" w:cs="Times New Roman"/>
              </w:rPr>
              <w:t xml:space="preserve">a </w:t>
            </w:r>
            <w:r w:rsidR="00A62668" w:rsidRPr="001B62FA">
              <w:rPr>
                <w:rFonts w:ascii="Times New Roman" w:hAnsi="Times New Roman" w:cs="Times New Roman"/>
              </w:rPr>
              <w:t xml:space="preserve">bottom-up assessment of actual time and effort to provide the service averaged over a year and applied to the ACMA’s </w:t>
            </w:r>
            <w:r w:rsidR="00015925">
              <w:rPr>
                <w:rFonts w:ascii="Times New Roman" w:hAnsi="Times New Roman" w:cs="Times New Roman"/>
              </w:rPr>
              <w:t xml:space="preserve">new </w:t>
            </w:r>
            <w:r w:rsidR="00A62668" w:rsidRPr="001B62FA">
              <w:rPr>
                <w:rFonts w:ascii="Times New Roman" w:hAnsi="Times New Roman" w:cs="Times New Roman"/>
              </w:rPr>
              <w:t>standard hourly rate</w:t>
            </w:r>
          </w:p>
        </w:tc>
      </w:tr>
      <w:tr w:rsidR="00A62668" w:rsidRPr="001B62FA" w14:paraId="6115927A"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6878AB9B" w14:textId="197DAE38" w:rsidR="00A62668" w:rsidRPr="001B62FA" w:rsidRDefault="00376D67" w:rsidP="00A62668">
            <w:pPr>
              <w:spacing w:after="0"/>
              <w:rPr>
                <w:rFonts w:ascii="Times New Roman" w:hAnsi="Times New Roman" w:cs="Times New Roman"/>
              </w:rPr>
            </w:pPr>
            <w:r>
              <w:rPr>
                <w:rFonts w:ascii="Times New Roman" w:hAnsi="Times New Roman" w:cs="Times New Roman"/>
              </w:rPr>
              <w:t>10</w:t>
            </w:r>
          </w:p>
        </w:tc>
        <w:tc>
          <w:tcPr>
            <w:tcW w:w="3792" w:type="dxa"/>
            <w:shd w:val="clear" w:color="auto" w:fill="auto"/>
            <w:tcMar>
              <w:top w:w="57" w:type="dxa"/>
              <w:left w:w="108" w:type="dxa"/>
              <w:bottom w:w="0" w:type="dxa"/>
              <w:right w:w="108" w:type="dxa"/>
            </w:tcMar>
            <w:vAlign w:val="center"/>
          </w:tcPr>
          <w:p w14:paraId="4C652E6C" w14:textId="4CBACAB0"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Activities of </w:t>
            </w:r>
            <w:r w:rsidR="002037BF">
              <w:rPr>
                <w:rFonts w:ascii="Times New Roman" w:hAnsi="Times New Roman" w:cs="Times New Roman"/>
              </w:rPr>
              <w:t xml:space="preserve">an </w:t>
            </w:r>
            <w:r w:rsidRPr="001B62FA">
              <w:rPr>
                <w:rFonts w:ascii="Times New Roman" w:hAnsi="Times New Roman" w:cs="Times New Roman"/>
              </w:rPr>
              <w:t>ACMA official in connection with dealing with a facility installation permit application that does not relate to the conduct of a public inquiry in relation to the permit</w:t>
            </w:r>
          </w:p>
        </w:tc>
        <w:tc>
          <w:tcPr>
            <w:tcW w:w="2413" w:type="dxa"/>
            <w:shd w:val="clear" w:color="auto" w:fill="auto"/>
            <w:vAlign w:val="center"/>
          </w:tcPr>
          <w:p w14:paraId="60B2B1B2" w14:textId="4A3FB459"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3.2, Part 3, </w:t>
            </w:r>
            <w:r w:rsidR="003053E2" w:rsidRPr="001B62FA">
              <w:rPr>
                <w:rFonts w:ascii="Times New Roman" w:hAnsi="Times New Roman" w:cs="Times New Roman"/>
              </w:rPr>
              <w:t>Schedule</w:t>
            </w:r>
            <w:r w:rsidRPr="001B62FA">
              <w:rPr>
                <w:rFonts w:ascii="Times New Roman" w:hAnsi="Times New Roman" w:cs="Times New Roman"/>
              </w:rPr>
              <w:t xml:space="preserve"> 1 </w:t>
            </w:r>
          </w:p>
        </w:tc>
        <w:tc>
          <w:tcPr>
            <w:tcW w:w="1838" w:type="dxa"/>
            <w:shd w:val="clear" w:color="auto" w:fill="auto"/>
            <w:tcMar>
              <w:top w:w="57" w:type="dxa"/>
              <w:left w:w="108" w:type="dxa"/>
              <w:bottom w:w="0" w:type="dxa"/>
              <w:right w:w="108" w:type="dxa"/>
            </w:tcMar>
            <w:vAlign w:val="center"/>
          </w:tcPr>
          <w:p w14:paraId="4257F4B2" w14:textId="7FEF9350"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shd w:val="clear" w:color="auto" w:fill="auto"/>
            <w:vAlign w:val="center"/>
          </w:tcPr>
          <w:p w14:paraId="4353343E" w14:textId="24F35355"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263" w:type="dxa"/>
            <w:shd w:val="clear" w:color="auto" w:fill="auto"/>
            <w:vAlign w:val="center"/>
          </w:tcPr>
          <w:p w14:paraId="6A0817B8" w14:textId="25D0B3AE"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12% </w:t>
            </w:r>
          </w:p>
        </w:tc>
        <w:tc>
          <w:tcPr>
            <w:tcW w:w="3023" w:type="dxa"/>
            <w:shd w:val="clear" w:color="auto" w:fill="auto"/>
            <w:vAlign w:val="center"/>
          </w:tcPr>
          <w:p w14:paraId="5382EEF2" w14:textId="0BCF3D3F"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This fee is subject to the increase in the ACMA’s standard hourly rate from $202 to $226 p/h. </w:t>
            </w:r>
          </w:p>
        </w:tc>
      </w:tr>
      <w:tr w:rsidR="00A62668" w:rsidRPr="001B62FA" w14:paraId="46C35F8C" w14:textId="77777777" w:rsidTr="00116561">
        <w:trPr>
          <w:cantSplit/>
          <w:trHeight w:val="540"/>
        </w:trPr>
        <w:tc>
          <w:tcPr>
            <w:tcW w:w="743" w:type="dxa"/>
            <w:tcBorders>
              <w:top w:val="single" w:sz="2" w:space="0" w:color="auto"/>
              <w:left w:val="single" w:sz="2" w:space="0" w:color="auto"/>
              <w:bottom w:val="single" w:sz="2" w:space="0" w:color="auto"/>
              <w:right w:val="single" w:sz="2" w:space="0" w:color="auto"/>
            </w:tcBorders>
          </w:tcPr>
          <w:p w14:paraId="0F97B8A8" w14:textId="05914CC6"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1</w:t>
            </w:r>
          </w:p>
        </w:tc>
        <w:tc>
          <w:tcPr>
            <w:tcW w:w="3792" w:type="dxa"/>
            <w:shd w:val="clear" w:color="auto" w:fill="auto"/>
            <w:tcMar>
              <w:top w:w="57" w:type="dxa"/>
              <w:left w:w="108" w:type="dxa"/>
              <w:bottom w:w="0" w:type="dxa"/>
              <w:right w:w="108" w:type="dxa"/>
            </w:tcMar>
            <w:vAlign w:val="center"/>
          </w:tcPr>
          <w:p w14:paraId="13A146FD" w14:textId="12FB3BD4"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Deposit payable on account of the expenses to be incurred by </w:t>
            </w:r>
            <w:r w:rsidR="00C22241">
              <w:rPr>
                <w:rFonts w:ascii="Times New Roman" w:hAnsi="Times New Roman" w:cs="Times New Roman"/>
              </w:rPr>
              <w:t xml:space="preserve">the </w:t>
            </w:r>
            <w:r w:rsidRPr="001B62FA">
              <w:rPr>
                <w:rFonts w:ascii="Times New Roman" w:hAnsi="Times New Roman" w:cs="Times New Roman"/>
              </w:rPr>
              <w:t>ACMA for the holding of a public inquiry </w:t>
            </w:r>
            <w:r w:rsidR="00C22241">
              <w:rPr>
                <w:rFonts w:ascii="Times New Roman" w:hAnsi="Times New Roman" w:cs="Times New Roman"/>
              </w:rPr>
              <w:t>in relation to the issu</w:t>
            </w:r>
            <w:r w:rsidR="00545C78">
              <w:rPr>
                <w:rFonts w:ascii="Times New Roman" w:hAnsi="Times New Roman" w:cs="Times New Roman"/>
              </w:rPr>
              <w:t>e</w:t>
            </w:r>
            <w:r w:rsidR="00C22241">
              <w:rPr>
                <w:rFonts w:ascii="Times New Roman" w:hAnsi="Times New Roman" w:cs="Times New Roman"/>
              </w:rPr>
              <w:t xml:space="preserve"> of a facility installation permit</w:t>
            </w:r>
          </w:p>
        </w:tc>
        <w:tc>
          <w:tcPr>
            <w:tcW w:w="2413" w:type="dxa"/>
            <w:shd w:val="clear" w:color="auto" w:fill="auto"/>
            <w:vAlign w:val="center"/>
          </w:tcPr>
          <w:p w14:paraId="2D2D0445" w14:textId="74D90216"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4.1, Part 4, </w:t>
            </w:r>
            <w:r w:rsidR="003053E2" w:rsidRPr="001B62FA">
              <w:rPr>
                <w:rFonts w:ascii="Times New Roman" w:hAnsi="Times New Roman" w:cs="Times New Roman"/>
              </w:rPr>
              <w:t>Schedule</w:t>
            </w:r>
            <w:r w:rsidRPr="001B62FA">
              <w:rPr>
                <w:rFonts w:ascii="Times New Roman" w:hAnsi="Times New Roman" w:cs="Times New Roman"/>
              </w:rPr>
              <w:t xml:space="preserve"> 1 </w:t>
            </w:r>
          </w:p>
        </w:tc>
        <w:tc>
          <w:tcPr>
            <w:tcW w:w="1838" w:type="dxa"/>
            <w:shd w:val="clear" w:color="auto" w:fill="auto"/>
            <w:tcMar>
              <w:top w:w="57" w:type="dxa"/>
              <w:left w:w="108" w:type="dxa"/>
              <w:bottom w:w="0" w:type="dxa"/>
              <w:right w:w="108" w:type="dxa"/>
            </w:tcMar>
            <w:vAlign w:val="center"/>
          </w:tcPr>
          <w:p w14:paraId="330992EC" w14:textId="0E36ECFF"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54,540.00</w:t>
            </w:r>
          </w:p>
        </w:tc>
        <w:tc>
          <w:tcPr>
            <w:tcW w:w="1723" w:type="dxa"/>
            <w:shd w:val="clear" w:color="auto" w:fill="auto"/>
            <w:vAlign w:val="center"/>
          </w:tcPr>
          <w:p w14:paraId="115648FF" w14:textId="6C2EB505"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57,385.00</w:t>
            </w:r>
          </w:p>
        </w:tc>
        <w:tc>
          <w:tcPr>
            <w:tcW w:w="1263" w:type="dxa"/>
            <w:shd w:val="clear" w:color="auto" w:fill="auto"/>
            <w:vAlign w:val="center"/>
          </w:tcPr>
          <w:p w14:paraId="363B0946" w14:textId="56E37E78"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5%</w:t>
            </w:r>
          </w:p>
        </w:tc>
        <w:tc>
          <w:tcPr>
            <w:tcW w:w="3023" w:type="dxa"/>
            <w:shd w:val="clear" w:color="auto" w:fill="auto"/>
            <w:vAlign w:val="center"/>
          </w:tcPr>
          <w:p w14:paraId="11DF8378" w14:textId="19EE40D8"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Th</w:t>
            </w:r>
            <w:r w:rsidR="00655B27">
              <w:rPr>
                <w:rFonts w:ascii="Times New Roman" w:hAnsi="Times New Roman" w:cs="Times New Roman"/>
              </w:rPr>
              <w:t xml:space="preserve">e increase in </w:t>
            </w:r>
            <w:r w:rsidRPr="001B62FA">
              <w:rPr>
                <w:rFonts w:ascii="Times New Roman" w:hAnsi="Times New Roman" w:cs="Times New Roman"/>
              </w:rPr>
              <w:t xml:space="preserve">fee is </w:t>
            </w:r>
            <w:r w:rsidR="00655B27">
              <w:rPr>
                <w:rFonts w:ascii="Times New Roman" w:hAnsi="Times New Roman" w:cs="Times New Roman"/>
              </w:rPr>
              <w:t xml:space="preserve">due </w:t>
            </w:r>
            <w:r w:rsidRPr="001B62FA">
              <w:rPr>
                <w:rFonts w:ascii="Times New Roman" w:hAnsi="Times New Roman" w:cs="Times New Roman"/>
              </w:rPr>
              <w:t>to</w:t>
            </w:r>
            <w:r w:rsidR="003A44D5">
              <w:rPr>
                <w:rFonts w:ascii="Times New Roman" w:hAnsi="Times New Roman" w:cs="Times New Roman"/>
              </w:rPr>
              <w:t xml:space="preserve"> the</w:t>
            </w:r>
            <w:r w:rsidRPr="001B62FA">
              <w:rPr>
                <w:rFonts w:ascii="Times New Roman" w:hAnsi="Times New Roman" w:cs="Times New Roman"/>
              </w:rPr>
              <w:t xml:space="preserve"> increase in the ACMA’s standard hourly </w:t>
            </w:r>
            <w:r w:rsidR="00095CBB" w:rsidRPr="001B62FA">
              <w:rPr>
                <w:rFonts w:ascii="Times New Roman" w:hAnsi="Times New Roman" w:cs="Times New Roman"/>
              </w:rPr>
              <w:t>rate</w:t>
            </w:r>
            <w:r w:rsidR="00095CBB">
              <w:rPr>
                <w:rFonts w:ascii="Times New Roman" w:hAnsi="Times New Roman" w:cs="Times New Roman"/>
              </w:rPr>
              <w:t xml:space="preserve"> but</w:t>
            </w:r>
            <w:r w:rsidRPr="001B62FA">
              <w:rPr>
                <w:rFonts w:ascii="Times New Roman" w:hAnsi="Times New Roman" w:cs="Times New Roman"/>
              </w:rPr>
              <w:t xml:space="preserve"> offset by the average processing time which has decreased by 6%.</w:t>
            </w:r>
          </w:p>
        </w:tc>
      </w:tr>
      <w:tr w:rsidR="00A62668" w:rsidRPr="001B62FA" w14:paraId="066624BE"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763D0820" w14:textId="323B04C6"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2</w:t>
            </w:r>
          </w:p>
        </w:tc>
        <w:tc>
          <w:tcPr>
            <w:tcW w:w="3792" w:type="dxa"/>
            <w:shd w:val="clear" w:color="auto" w:fill="auto"/>
            <w:tcMar>
              <w:top w:w="57" w:type="dxa"/>
              <w:left w:w="108" w:type="dxa"/>
              <w:bottom w:w="0" w:type="dxa"/>
              <w:right w:w="108" w:type="dxa"/>
            </w:tcMar>
            <w:vAlign w:val="center"/>
          </w:tcPr>
          <w:p w14:paraId="5035463D" w14:textId="4167C2CF"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Activities of ACMA official</w:t>
            </w:r>
            <w:r w:rsidR="00B73540">
              <w:rPr>
                <w:rFonts w:ascii="Times New Roman" w:hAnsi="Times New Roman" w:cs="Times New Roman"/>
              </w:rPr>
              <w:t>s</w:t>
            </w:r>
            <w:r w:rsidRPr="001B62FA">
              <w:rPr>
                <w:rFonts w:ascii="Times New Roman" w:hAnsi="Times New Roman" w:cs="Times New Roman"/>
              </w:rPr>
              <w:t xml:space="preserve"> in relation to the holding of a public inquiry</w:t>
            </w:r>
            <w:r w:rsidR="0056162D">
              <w:rPr>
                <w:rFonts w:ascii="Times New Roman" w:hAnsi="Times New Roman" w:cs="Times New Roman"/>
              </w:rPr>
              <w:t xml:space="preserve"> in relation to the issue of a facility installation permit</w:t>
            </w:r>
          </w:p>
        </w:tc>
        <w:tc>
          <w:tcPr>
            <w:tcW w:w="2413" w:type="dxa"/>
            <w:shd w:val="clear" w:color="auto" w:fill="auto"/>
            <w:vAlign w:val="center"/>
          </w:tcPr>
          <w:p w14:paraId="26D47DD5" w14:textId="4DEB007F"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4.2, Part 4, </w:t>
            </w:r>
            <w:r w:rsidR="003053E2" w:rsidRPr="001B62FA">
              <w:rPr>
                <w:rFonts w:ascii="Times New Roman" w:hAnsi="Times New Roman" w:cs="Times New Roman"/>
              </w:rPr>
              <w:t>Schedule</w:t>
            </w:r>
            <w:r w:rsidRPr="001B62FA">
              <w:rPr>
                <w:rFonts w:ascii="Times New Roman" w:hAnsi="Times New Roman" w:cs="Times New Roman"/>
              </w:rPr>
              <w:t xml:space="preserve"> 1 </w:t>
            </w:r>
          </w:p>
        </w:tc>
        <w:tc>
          <w:tcPr>
            <w:tcW w:w="1838" w:type="dxa"/>
            <w:shd w:val="clear" w:color="auto" w:fill="auto"/>
            <w:tcMar>
              <w:top w:w="57" w:type="dxa"/>
              <w:left w:w="108" w:type="dxa"/>
              <w:bottom w:w="0" w:type="dxa"/>
              <w:right w:w="108" w:type="dxa"/>
            </w:tcMar>
            <w:vAlign w:val="center"/>
          </w:tcPr>
          <w:p w14:paraId="40EC2EE4" w14:textId="3B195A63"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shd w:val="clear" w:color="auto" w:fill="auto"/>
            <w:vAlign w:val="center"/>
          </w:tcPr>
          <w:p w14:paraId="3FCFCADA" w14:textId="56AD6BB1"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263" w:type="dxa"/>
            <w:shd w:val="clear" w:color="auto" w:fill="auto"/>
            <w:vAlign w:val="center"/>
          </w:tcPr>
          <w:p w14:paraId="21A5E7DC" w14:textId="56095C70"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12% </w:t>
            </w:r>
          </w:p>
        </w:tc>
        <w:tc>
          <w:tcPr>
            <w:tcW w:w="3023" w:type="dxa"/>
            <w:shd w:val="clear" w:color="auto" w:fill="auto"/>
            <w:vAlign w:val="center"/>
          </w:tcPr>
          <w:p w14:paraId="74BCB484" w14:textId="44A964E0"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This fee is subject to the increase in the ACMA’s standard hourly rate from $202 to $226</w:t>
            </w:r>
          </w:p>
        </w:tc>
      </w:tr>
      <w:tr w:rsidR="00240E4C" w:rsidRPr="002635C8" w14:paraId="06839B56" w14:textId="77777777" w:rsidTr="00116561">
        <w:trPr>
          <w:cantSplit/>
          <w:trHeight w:val="494"/>
        </w:trPr>
        <w:tc>
          <w:tcPr>
            <w:tcW w:w="743" w:type="dxa"/>
            <w:tcBorders>
              <w:top w:val="single" w:sz="2" w:space="0" w:color="auto"/>
              <w:left w:val="single" w:sz="2" w:space="0" w:color="auto"/>
              <w:bottom w:val="single" w:sz="2" w:space="0" w:color="auto"/>
              <w:right w:val="single" w:sz="2" w:space="0" w:color="auto"/>
            </w:tcBorders>
          </w:tcPr>
          <w:p w14:paraId="45EC050B" w14:textId="1D32E64A"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3</w:t>
            </w:r>
          </w:p>
        </w:tc>
        <w:tc>
          <w:tcPr>
            <w:tcW w:w="3792" w:type="dxa"/>
            <w:shd w:val="clear" w:color="auto" w:fill="auto"/>
            <w:tcMar>
              <w:top w:w="57" w:type="dxa"/>
              <w:left w:w="108" w:type="dxa"/>
              <w:bottom w:w="0" w:type="dxa"/>
              <w:right w:w="108" w:type="dxa"/>
            </w:tcMar>
            <w:vAlign w:val="center"/>
          </w:tcPr>
          <w:p w14:paraId="0A8A6272" w14:textId="63AE9F97"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Any other expenses incurred by the ACMA not included in item 4.2 in relation to the holding of a public inquiry </w:t>
            </w:r>
          </w:p>
        </w:tc>
        <w:tc>
          <w:tcPr>
            <w:tcW w:w="2413" w:type="dxa"/>
            <w:shd w:val="clear" w:color="auto" w:fill="auto"/>
            <w:vAlign w:val="center"/>
          </w:tcPr>
          <w:p w14:paraId="79EF7505" w14:textId="5F849069"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Item 4.3, Part 4, </w:t>
            </w:r>
            <w:r w:rsidR="003053E2" w:rsidRPr="001B62FA">
              <w:rPr>
                <w:rFonts w:ascii="Times New Roman" w:hAnsi="Times New Roman" w:cs="Times New Roman"/>
              </w:rPr>
              <w:t>Schedule</w:t>
            </w:r>
            <w:r w:rsidRPr="001B62FA">
              <w:rPr>
                <w:rFonts w:ascii="Times New Roman" w:hAnsi="Times New Roman" w:cs="Times New Roman"/>
              </w:rPr>
              <w:t xml:space="preserve"> 1 </w:t>
            </w:r>
          </w:p>
        </w:tc>
        <w:tc>
          <w:tcPr>
            <w:tcW w:w="1838" w:type="dxa"/>
            <w:shd w:val="clear" w:color="auto" w:fill="auto"/>
            <w:tcMar>
              <w:top w:w="57" w:type="dxa"/>
              <w:left w:w="108" w:type="dxa"/>
              <w:bottom w:w="0" w:type="dxa"/>
              <w:right w:w="108" w:type="dxa"/>
            </w:tcMar>
            <w:vAlign w:val="center"/>
          </w:tcPr>
          <w:p w14:paraId="72693733" w14:textId="741C6F63"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723" w:type="dxa"/>
            <w:shd w:val="clear" w:color="auto" w:fill="auto"/>
            <w:vAlign w:val="center"/>
          </w:tcPr>
          <w:p w14:paraId="49779F6E" w14:textId="01EA1697"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263" w:type="dxa"/>
            <w:shd w:val="clear" w:color="auto" w:fill="auto"/>
            <w:vAlign w:val="center"/>
          </w:tcPr>
          <w:p w14:paraId="0D2C1B33" w14:textId="0C714872" w:rsidR="00A62668" w:rsidRPr="001B62FA" w:rsidRDefault="00A62668" w:rsidP="00A62668">
            <w:pPr>
              <w:spacing w:after="0"/>
              <w:jc w:val="right"/>
              <w:rPr>
                <w:rFonts w:ascii="Times New Roman" w:hAnsi="Times New Roman" w:cs="Times New Roman"/>
              </w:rPr>
            </w:pPr>
            <w:r w:rsidRPr="001B62FA">
              <w:rPr>
                <w:rFonts w:ascii="Times New Roman" w:hAnsi="Times New Roman" w:cs="Times New Roman"/>
              </w:rPr>
              <w:t> </w:t>
            </w:r>
          </w:p>
        </w:tc>
        <w:tc>
          <w:tcPr>
            <w:tcW w:w="3023" w:type="dxa"/>
            <w:shd w:val="clear" w:color="auto" w:fill="auto"/>
            <w:vAlign w:val="center"/>
          </w:tcPr>
          <w:p w14:paraId="701C3E01" w14:textId="70F4E99F" w:rsidR="00A62668" w:rsidRPr="001B62FA" w:rsidRDefault="00A62668" w:rsidP="00A62668">
            <w:pPr>
              <w:spacing w:after="0"/>
              <w:rPr>
                <w:rFonts w:ascii="Times New Roman" w:hAnsi="Times New Roman" w:cs="Times New Roman"/>
              </w:rPr>
            </w:pPr>
            <w:r w:rsidRPr="001B62FA">
              <w:rPr>
                <w:rFonts w:ascii="Times New Roman" w:hAnsi="Times New Roman" w:cs="Times New Roman"/>
              </w:rPr>
              <w:t xml:space="preserve">No change </w:t>
            </w:r>
          </w:p>
        </w:tc>
      </w:tr>
      <w:tr w:rsidR="00240E4C" w:rsidRPr="002635C8" w14:paraId="03AA1DB4"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7B1ADE42" w14:textId="44B96DDD" w:rsidR="00FE3E51" w:rsidRPr="001B62FA" w:rsidRDefault="00973348" w:rsidP="00FE3E51">
            <w:pPr>
              <w:spacing w:after="0"/>
              <w:rPr>
                <w:rFonts w:ascii="Times New Roman" w:hAnsi="Times New Roman" w:cs="Times New Roman"/>
              </w:rPr>
            </w:pPr>
            <w:r w:rsidRPr="001B62FA">
              <w:rPr>
                <w:rFonts w:ascii="Times New Roman" w:hAnsi="Times New Roman" w:cs="Times New Roman"/>
              </w:rPr>
              <w:lastRenderedPageBreak/>
              <w:t>1</w:t>
            </w:r>
            <w:r w:rsidR="00376D67">
              <w:rPr>
                <w:rFonts w:ascii="Times New Roman" w:hAnsi="Times New Roman" w:cs="Times New Roman"/>
              </w:rPr>
              <w:t>4</w:t>
            </w:r>
          </w:p>
        </w:tc>
        <w:tc>
          <w:tcPr>
            <w:tcW w:w="3792" w:type="dxa"/>
            <w:shd w:val="clear" w:color="auto" w:fill="auto"/>
            <w:tcMar>
              <w:top w:w="57" w:type="dxa"/>
              <w:left w:w="108" w:type="dxa"/>
              <w:bottom w:w="0" w:type="dxa"/>
              <w:right w:w="108" w:type="dxa"/>
            </w:tcMar>
            <w:vAlign w:val="center"/>
          </w:tcPr>
          <w:p w14:paraId="50CD7F63" w14:textId="171B9EBA"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Deposit payable on account of the expenses to be incurred by the ACMA in relation to a protection zone (declaration) request </w:t>
            </w:r>
          </w:p>
        </w:tc>
        <w:tc>
          <w:tcPr>
            <w:tcW w:w="2413" w:type="dxa"/>
            <w:shd w:val="clear" w:color="auto" w:fill="auto"/>
            <w:vAlign w:val="center"/>
          </w:tcPr>
          <w:p w14:paraId="769CEB14" w14:textId="0522FFB9"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5.1, Part 5, Schedule 1 </w:t>
            </w:r>
          </w:p>
        </w:tc>
        <w:tc>
          <w:tcPr>
            <w:tcW w:w="1838" w:type="dxa"/>
            <w:shd w:val="clear" w:color="auto" w:fill="auto"/>
            <w:tcMar>
              <w:top w:w="57" w:type="dxa"/>
              <w:left w:w="108" w:type="dxa"/>
              <w:bottom w:w="0" w:type="dxa"/>
              <w:right w:w="108" w:type="dxa"/>
            </w:tcMar>
            <w:vAlign w:val="center"/>
          </w:tcPr>
          <w:p w14:paraId="7CF3509A" w14:textId="534FD52B" w:rsidR="00FE3E51" w:rsidRPr="001B62FA" w:rsidRDefault="00FE3E51" w:rsidP="00FE3E51">
            <w:pPr>
              <w:spacing w:after="0"/>
              <w:jc w:val="right"/>
              <w:rPr>
                <w:rFonts w:ascii="Times New Roman" w:hAnsi="Times New Roman" w:cs="Times New Roman"/>
              </w:rPr>
            </w:pPr>
            <w:proofErr w:type="gramStart"/>
            <w:r w:rsidRPr="001B62FA">
              <w:rPr>
                <w:rFonts w:ascii="Times New Roman" w:hAnsi="Times New Roman" w:cs="Times New Roman"/>
              </w:rPr>
              <w:t>$  200,000.00</w:t>
            </w:r>
            <w:proofErr w:type="gramEnd"/>
          </w:p>
        </w:tc>
        <w:tc>
          <w:tcPr>
            <w:tcW w:w="1723" w:type="dxa"/>
            <w:shd w:val="clear" w:color="auto" w:fill="auto"/>
            <w:vAlign w:val="center"/>
          </w:tcPr>
          <w:p w14:paraId="1D682B58" w14:textId="38B1AB90"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$ 161,251.00  </w:t>
            </w:r>
          </w:p>
        </w:tc>
        <w:tc>
          <w:tcPr>
            <w:tcW w:w="1263" w:type="dxa"/>
            <w:shd w:val="clear" w:color="auto" w:fill="auto"/>
            <w:vAlign w:val="center"/>
          </w:tcPr>
          <w:p w14:paraId="40538B23" w14:textId="130F7E18"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-19%</w:t>
            </w:r>
          </w:p>
        </w:tc>
        <w:tc>
          <w:tcPr>
            <w:tcW w:w="3023" w:type="dxa"/>
            <w:shd w:val="clear" w:color="auto" w:fill="auto"/>
            <w:vAlign w:val="center"/>
          </w:tcPr>
          <w:p w14:paraId="600D9215" w14:textId="318FD1DF" w:rsidR="00FE3E51" w:rsidRPr="001B62FA" w:rsidRDefault="00480F1F" w:rsidP="00FE3E51">
            <w:pPr>
              <w:spacing w:after="0"/>
              <w:rPr>
                <w:rFonts w:ascii="Times New Roman" w:hAnsi="Times New Roman" w:cs="Times New Roman"/>
              </w:rPr>
            </w:pPr>
            <w:r>
              <w:rPr>
                <w:rFonts w:ascii="Times New Roman" w:hAnsi="Times New Roman" w:cs="Times New Roman"/>
              </w:rPr>
              <w:t>The reduction in fee resulted from a</w:t>
            </w:r>
            <w:r w:rsidR="00FE3E51" w:rsidRPr="001B62FA">
              <w:rPr>
                <w:rFonts w:ascii="Times New Roman" w:hAnsi="Times New Roman" w:cs="Times New Roman"/>
              </w:rPr>
              <w:t xml:space="preserve"> bottom-up assessment of actual time and effort to provide the service averaged over a year and applied to the ACMA’s </w:t>
            </w:r>
            <w:r>
              <w:rPr>
                <w:rFonts w:ascii="Times New Roman" w:hAnsi="Times New Roman" w:cs="Times New Roman"/>
              </w:rPr>
              <w:t xml:space="preserve">new </w:t>
            </w:r>
            <w:r w:rsidR="00FE3E51" w:rsidRPr="001B62FA">
              <w:rPr>
                <w:rFonts w:ascii="Times New Roman" w:hAnsi="Times New Roman" w:cs="Times New Roman"/>
              </w:rPr>
              <w:t>standard hourly rate</w:t>
            </w:r>
          </w:p>
        </w:tc>
      </w:tr>
      <w:tr w:rsidR="00240E4C" w:rsidRPr="002635C8" w14:paraId="1BFBB7FA"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3DEDC359" w14:textId="18B88DFB" w:rsidR="00FE3E51" w:rsidRPr="001B62FA" w:rsidRDefault="00973348" w:rsidP="00FE3E51">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5</w:t>
            </w:r>
          </w:p>
        </w:tc>
        <w:tc>
          <w:tcPr>
            <w:tcW w:w="3792" w:type="dxa"/>
            <w:shd w:val="clear" w:color="auto" w:fill="auto"/>
            <w:tcMar>
              <w:top w:w="57" w:type="dxa"/>
              <w:left w:w="108" w:type="dxa"/>
              <w:bottom w:w="0" w:type="dxa"/>
              <w:right w:w="108" w:type="dxa"/>
            </w:tcMar>
            <w:vAlign w:val="center"/>
          </w:tcPr>
          <w:p w14:paraId="656BFD94" w14:textId="19A504F6"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Deposit payable on account of the expenses to be incurred by the ACMA in relation to a protection zone (revocation) request or a protection zone (variation) request</w:t>
            </w:r>
          </w:p>
        </w:tc>
        <w:tc>
          <w:tcPr>
            <w:tcW w:w="2413" w:type="dxa"/>
            <w:shd w:val="clear" w:color="auto" w:fill="auto"/>
            <w:vAlign w:val="center"/>
          </w:tcPr>
          <w:p w14:paraId="7AEC0535" w14:textId="4574AAA4"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5.2, Part 5, Schedule 1 </w:t>
            </w:r>
          </w:p>
        </w:tc>
        <w:tc>
          <w:tcPr>
            <w:tcW w:w="1838" w:type="dxa"/>
            <w:shd w:val="clear" w:color="auto" w:fill="auto"/>
            <w:tcMar>
              <w:top w:w="57" w:type="dxa"/>
              <w:left w:w="108" w:type="dxa"/>
              <w:bottom w:w="0" w:type="dxa"/>
              <w:right w:w="108" w:type="dxa"/>
            </w:tcMar>
            <w:vAlign w:val="center"/>
          </w:tcPr>
          <w:p w14:paraId="4B90B86A" w14:textId="46100779" w:rsidR="00FE3E51" w:rsidRPr="001B62FA" w:rsidRDefault="00FE3E51" w:rsidP="00FE3E51">
            <w:pPr>
              <w:spacing w:after="0"/>
              <w:jc w:val="right"/>
              <w:rPr>
                <w:rFonts w:ascii="Times New Roman" w:hAnsi="Times New Roman" w:cs="Times New Roman"/>
              </w:rPr>
            </w:pPr>
            <w:proofErr w:type="gramStart"/>
            <w:r w:rsidRPr="001B62FA">
              <w:rPr>
                <w:rFonts w:ascii="Times New Roman" w:hAnsi="Times New Roman" w:cs="Times New Roman"/>
              </w:rPr>
              <w:t>$  147,000.00</w:t>
            </w:r>
            <w:proofErr w:type="gramEnd"/>
          </w:p>
        </w:tc>
        <w:tc>
          <w:tcPr>
            <w:tcW w:w="1723" w:type="dxa"/>
            <w:shd w:val="clear" w:color="auto" w:fill="auto"/>
            <w:vAlign w:val="center"/>
          </w:tcPr>
          <w:p w14:paraId="09FFA595" w14:textId="6FFB7C9A" w:rsidR="00FE3E51" w:rsidRPr="001B62FA" w:rsidRDefault="00FE3E51" w:rsidP="00FE3E51">
            <w:pPr>
              <w:spacing w:after="0"/>
              <w:jc w:val="right"/>
              <w:rPr>
                <w:rFonts w:ascii="Times New Roman" w:hAnsi="Times New Roman" w:cs="Times New Roman"/>
              </w:rPr>
            </w:pPr>
            <w:proofErr w:type="gramStart"/>
            <w:r w:rsidRPr="001B62FA">
              <w:rPr>
                <w:rFonts w:ascii="Times New Roman" w:hAnsi="Times New Roman" w:cs="Times New Roman"/>
              </w:rPr>
              <w:t>$  136,278.00</w:t>
            </w:r>
            <w:proofErr w:type="gramEnd"/>
          </w:p>
        </w:tc>
        <w:tc>
          <w:tcPr>
            <w:tcW w:w="1263" w:type="dxa"/>
            <w:shd w:val="clear" w:color="auto" w:fill="auto"/>
            <w:vAlign w:val="center"/>
          </w:tcPr>
          <w:p w14:paraId="2F800E43" w14:textId="1DE8235F"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-7%</w:t>
            </w:r>
          </w:p>
        </w:tc>
        <w:tc>
          <w:tcPr>
            <w:tcW w:w="3023" w:type="dxa"/>
            <w:shd w:val="clear" w:color="auto" w:fill="auto"/>
            <w:vAlign w:val="center"/>
          </w:tcPr>
          <w:p w14:paraId="5EAFDE9B" w14:textId="75733272" w:rsidR="00FE3E51" w:rsidRPr="001B62FA" w:rsidRDefault="00F20157" w:rsidP="00FE3E51">
            <w:pPr>
              <w:spacing w:after="0"/>
              <w:rPr>
                <w:rFonts w:ascii="Times New Roman" w:hAnsi="Times New Roman" w:cs="Times New Roman"/>
              </w:rPr>
            </w:pPr>
            <w:r>
              <w:rPr>
                <w:rFonts w:ascii="Times New Roman" w:hAnsi="Times New Roman" w:cs="Times New Roman"/>
              </w:rPr>
              <w:t xml:space="preserve">The reduction in fee resulted from </w:t>
            </w:r>
            <w:r w:rsidR="00E45A93">
              <w:rPr>
                <w:rFonts w:ascii="Times New Roman" w:hAnsi="Times New Roman" w:cs="Times New Roman"/>
              </w:rPr>
              <w:t xml:space="preserve">a </w:t>
            </w:r>
            <w:r w:rsidR="00FE3E51" w:rsidRPr="001B62FA">
              <w:rPr>
                <w:rFonts w:ascii="Times New Roman" w:hAnsi="Times New Roman" w:cs="Times New Roman"/>
              </w:rPr>
              <w:t xml:space="preserve">bottom-up assessment of actual time and effort to provide the service averaged over a year and applied to the ACMA’s </w:t>
            </w:r>
            <w:r w:rsidR="00E45A93">
              <w:rPr>
                <w:rFonts w:ascii="Times New Roman" w:hAnsi="Times New Roman" w:cs="Times New Roman"/>
              </w:rPr>
              <w:t xml:space="preserve">new </w:t>
            </w:r>
            <w:r w:rsidR="00FE3E51" w:rsidRPr="001B62FA">
              <w:rPr>
                <w:rFonts w:ascii="Times New Roman" w:hAnsi="Times New Roman" w:cs="Times New Roman"/>
              </w:rPr>
              <w:t>standard hourly rate</w:t>
            </w:r>
          </w:p>
        </w:tc>
      </w:tr>
      <w:tr w:rsidR="00240E4C" w:rsidRPr="002635C8" w14:paraId="186F2E7F"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1C7CE8E9" w14:textId="7B2B8FBA" w:rsidR="00FE3E51" w:rsidRPr="001B62FA" w:rsidRDefault="00973348" w:rsidP="00FE3E51">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6</w:t>
            </w:r>
          </w:p>
        </w:tc>
        <w:tc>
          <w:tcPr>
            <w:tcW w:w="3792" w:type="dxa"/>
            <w:shd w:val="clear" w:color="auto" w:fill="auto"/>
            <w:tcMar>
              <w:top w:w="57" w:type="dxa"/>
              <w:left w:w="108" w:type="dxa"/>
              <w:bottom w:w="0" w:type="dxa"/>
              <w:right w:w="108" w:type="dxa"/>
            </w:tcMar>
            <w:vAlign w:val="center"/>
          </w:tcPr>
          <w:p w14:paraId="7EFFE4C5" w14:textId="6ABC1E77"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Charges for the activities of ACMA official in relation to a:</w:t>
            </w:r>
            <w:r w:rsidRPr="001B62FA">
              <w:rPr>
                <w:rFonts w:ascii="Times New Roman" w:hAnsi="Times New Roman" w:cs="Times New Roman"/>
              </w:rPr>
              <w:br/>
              <w:t>(a) protection zone (declaration) request;</w:t>
            </w:r>
            <w:r w:rsidRPr="001B62FA">
              <w:rPr>
                <w:rFonts w:ascii="Times New Roman" w:hAnsi="Times New Roman" w:cs="Times New Roman"/>
              </w:rPr>
              <w:br/>
              <w:t>(b) protection zone (revocation) request;</w:t>
            </w:r>
            <w:r w:rsidRPr="001B62FA">
              <w:rPr>
                <w:rFonts w:ascii="Times New Roman" w:hAnsi="Times New Roman" w:cs="Times New Roman"/>
              </w:rPr>
              <w:br/>
              <w:t>(c) protection zone (variation) request</w:t>
            </w:r>
          </w:p>
        </w:tc>
        <w:tc>
          <w:tcPr>
            <w:tcW w:w="2413" w:type="dxa"/>
            <w:shd w:val="clear" w:color="auto" w:fill="auto"/>
            <w:vAlign w:val="center"/>
          </w:tcPr>
          <w:p w14:paraId="39F84743" w14:textId="0FD4BA9A"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5.3, Part 5, Schedule 1 </w:t>
            </w:r>
          </w:p>
        </w:tc>
        <w:tc>
          <w:tcPr>
            <w:tcW w:w="1838" w:type="dxa"/>
            <w:shd w:val="clear" w:color="auto" w:fill="auto"/>
            <w:tcMar>
              <w:top w:w="57" w:type="dxa"/>
              <w:left w:w="108" w:type="dxa"/>
              <w:bottom w:w="0" w:type="dxa"/>
              <w:right w:w="108" w:type="dxa"/>
            </w:tcMar>
            <w:vAlign w:val="center"/>
          </w:tcPr>
          <w:p w14:paraId="04D2AC30" w14:textId="710561BF"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shd w:val="clear" w:color="auto" w:fill="auto"/>
            <w:vAlign w:val="center"/>
          </w:tcPr>
          <w:p w14:paraId="21244E8F" w14:textId="7683D8FD"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263" w:type="dxa"/>
            <w:shd w:val="clear" w:color="auto" w:fill="auto"/>
            <w:vAlign w:val="center"/>
          </w:tcPr>
          <w:p w14:paraId="08E6825E" w14:textId="3B2864CF"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12%</w:t>
            </w:r>
          </w:p>
        </w:tc>
        <w:tc>
          <w:tcPr>
            <w:tcW w:w="3023" w:type="dxa"/>
            <w:shd w:val="clear" w:color="auto" w:fill="auto"/>
            <w:vAlign w:val="center"/>
          </w:tcPr>
          <w:p w14:paraId="0E240F64" w14:textId="17B03FA1"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This fee is subject to the increase in the ACMA’s standard hourly rate from $202 to $226 p/h </w:t>
            </w:r>
          </w:p>
        </w:tc>
      </w:tr>
      <w:tr w:rsidR="00240E4C" w:rsidRPr="002635C8" w14:paraId="46668895"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722F29C3" w14:textId="5135BF97" w:rsidR="00FE3E51" w:rsidRPr="001B62FA" w:rsidRDefault="00973348" w:rsidP="00FE3E51">
            <w:pPr>
              <w:spacing w:after="0"/>
              <w:rPr>
                <w:rFonts w:ascii="Times New Roman" w:hAnsi="Times New Roman" w:cs="Times New Roman"/>
              </w:rPr>
            </w:pPr>
            <w:r w:rsidRPr="001B62FA">
              <w:rPr>
                <w:rFonts w:ascii="Times New Roman" w:hAnsi="Times New Roman" w:cs="Times New Roman"/>
              </w:rPr>
              <w:lastRenderedPageBreak/>
              <w:t>1</w:t>
            </w:r>
            <w:r w:rsidR="00376D67">
              <w:rPr>
                <w:rFonts w:ascii="Times New Roman" w:hAnsi="Times New Roman" w:cs="Times New Roman"/>
              </w:rPr>
              <w:t>7</w:t>
            </w:r>
          </w:p>
        </w:tc>
        <w:tc>
          <w:tcPr>
            <w:tcW w:w="3792" w:type="dxa"/>
            <w:shd w:val="clear" w:color="auto" w:fill="auto"/>
            <w:tcMar>
              <w:top w:w="57" w:type="dxa"/>
              <w:left w:w="108" w:type="dxa"/>
              <w:bottom w:w="0" w:type="dxa"/>
              <w:right w:w="108" w:type="dxa"/>
            </w:tcMar>
            <w:vAlign w:val="center"/>
          </w:tcPr>
          <w:p w14:paraId="16620F22" w14:textId="4DE9B7E9"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External costs incurred by the ACMA in relation to a protection zone (declaration) request, protection zone (revocation) request or protection zone (variation) request including, but not limited to, the following:</w:t>
            </w:r>
            <w:r w:rsidRPr="001B62FA">
              <w:rPr>
                <w:rFonts w:ascii="Times New Roman" w:hAnsi="Times New Roman" w:cs="Times New Roman"/>
              </w:rPr>
              <w:br/>
              <w:t>(a) advertising costs;</w:t>
            </w:r>
            <w:r w:rsidRPr="001B62FA">
              <w:rPr>
                <w:rFonts w:ascii="Times New Roman" w:hAnsi="Times New Roman" w:cs="Times New Roman"/>
              </w:rPr>
              <w:br/>
              <w:t>(b) venue hire and catering costs;</w:t>
            </w:r>
            <w:r w:rsidRPr="001B62FA">
              <w:rPr>
                <w:rFonts w:ascii="Times New Roman" w:hAnsi="Times New Roman" w:cs="Times New Roman"/>
              </w:rPr>
              <w:br/>
              <w:t>(c) travel expenses;</w:t>
            </w:r>
            <w:r w:rsidRPr="001B62FA">
              <w:rPr>
                <w:rFonts w:ascii="Times New Roman" w:hAnsi="Times New Roman" w:cs="Times New Roman"/>
              </w:rPr>
              <w:br/>
              <w:t>(d) consultation costs</w:t>
            </w:r>
          </w:p>
        </w:tc>
        <w:tc>
          <w:tcPr>
            <w:tcW w:w="2413" w:type="dxa"/>
            <w:shd w:val="clear" w:color="auto" w:fill="auto"/>
            <w:vAlign w:val="center"/>
          </w:tcPr>
          <w:p w14:paraId="4AEB5767" w14:textId="20969057"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5.4, Part 5, Schedule 1 </w:t>
            </w:r>
          </w:p>
        </w:tc>
        <w:tc>
          <w:tcPr>
            <w:tcW w:w="1838" w:type="dxa"/>
            <w:shd w:val="clear" w:color="auto" w:fill="auto"/>
            <w:tcMar>
              <w:top w:w="57" w:type="dxa"/>
              <w:left w:w="108" w:type="dxa"/>
              <w:bottom w:w="0" w:type="dxa"/>
              <w:right w:w="108" w:type="dxa"/>
            </w:tcMar>
            <w:vAlign w:val="center"/>
          </w:tcPr>
          <w:p w14:paraId="4184F245" w14:textId="5F85C294"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723" w:type="dxa"/>
            <w:shd w:val="clear" w:color="auto" w:fill="auto"/>
            <w:vAlign w:val="center"/>
          </w:tcPr>
          <w:p w14:paraId="244F1177" w14:textId="29867F5C"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263" w:type="dxa"/>
            <w:shd w:val="clear" w:color="auto" w:fill="auto"/>
            <w:vAlign w:val="center"/>
          </w:tcPr>
          <w:p w14:paraId="085DD840" w14:textId="27D0ACDD"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N/A</w:t>
            </w:r>
          </w:p>
        </w:tc>
        <w:tc>
          <w:tcPr>
            <w:tcW w:w="3023" w:type="dxa"/>
            <w:shd w:val="clear" w:color="auto" w:fill="auto"/>
            <w:vAlign w:val="center"/>
          </w:tcPr>
          <w:p w14:paraId="133DD6CF" w14:textId="0B8455DB"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No change </w:t>
            </w:r>
          </w:p>
        </w:tc>
      </w:tr>
      <w:tr w:rsidR="00240E4C" w:rsidRPr="002635C8" w14:paraId="2462126B"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3DEDD74B" w14:textId="1603E8C9" w:rsidR="00FE3E51" w:rsidRPr="001B62FA" w:rsidRDefault="00973348" w:rsidP="00FE3E51">
            <w:pPr>
              <w:spacing w:after="0"/>
              <w:rPr>
                <w:rFonts w:ascii="Times New Roman" w:hAnsi="Times New Roman" w:cs="Times New Roman"/>
              </w:rPr>
            </w:pPr>
            <w:r w:rsidRPr="001B62FA">
              <w:rPr>
                <w:rFonts w:ascii="Times New Roman" w:hAnsi="Times New Roman" w:cs="Times New Roman"/>
              </w:rPr>
              <w:t>1</w:t>
            </w:r>
            <w:r w:rsidR="00376D67">
              <w:rPr>
                <w:rFonts w:ascii="Times New Roman" w:hAnsi="Times New Roman" w:cs="Times New Roman"/>
              </w:rPr>
              <w:t>8</w:t>
            </w:r>
          </w:p>
        </w:tc>
        <w:tc>
          <w:tcPr>
            <w:tcW w:w="3792" w:type="dxa"/>
            <w:shd w:val="clear" w:color="auto" w:fill="auto"/>
            <w:tcMar>
              <w:top w:w="57" w:type="dxa"/>
              <w:left w:w="108" w:type="dxa"/>
              <w:bottom w:w="0" w:type="dxa"/>
              <w:right w:w="108" w:type="dxa"/>
            </w:tcMar>
            <w:vAlign w:val="center"/>
          </w:tcPr>
          <w:p w14:paraId="68693501" w14:textId="1DE8223C"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Protection zone installation permit application — charge for the purposes of clause 53 of Schedule 3A to the Telecommunications Act, in relation to considering and processing a protection zone installation permit application </w:t>
            </w:r>
          </w:p>
        </w:tc>
        <w:tc>
          <w:tcPr>
            <w:tcW w:w="2413" w:type="dxa"/>
            <w:shd w:val="clear" w:color="auto" w:fill="auto"/>
            <w:vAlign w:val="center"/>
          </w:tcPr>
          <w:p w14:paraId="2723629F" w14:textId="3C9B15EB"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6.1, Part 6, Schedule 1 </w:t>
            </w:r>
          </w:p>
        </w:tc>
        <w:tc>
          <w:tcPr>
            <w:tcW w:w="1838" w:type="dxa"/>
            <w:shd w:val="clear" w:color="auto" w:fill="auto"/>
            <w:tcMar>
              <w:top w:w="57" w:type="dxa"/>
              <w:left w:w="108" w:type="dxa"/>
              <w:bottom w:w="0" w:type="dxa"/>
              <w:right w:w="108" w:type="dxa"/>
            </w:tcMar>
            <w:vAlign w:val="center"/>
          </w:tcPr>
          <w:p w14:paraId="138B3FE3" w14:textId="6EDE758B"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          4,040 (for each submarine cable the subject of the application)  </w:t>
            </w:r>
          </w:p>
        </w:tc>
        <w:tc>
          <w:tcPr>
            <w:tcW w:w="1723" w:type="dxa"/>
            <w:shd w:val="clear" w:color="auto" w:fill="auto"/>
            <w:vAlign w:val="center"/>
          </w:tcPr>
          <w:p w14:paraId="601E9DF0" w14:textId="67503E2B"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     5,123.00 (for each submarine cable the subject of the application)  </w:t>
            </w:r>
          </w:p>
        </w:tc>
        <w:tc>
          <w:tcPr>
            <w:tcW w:w="1263" w:type="dxa"/>
            <w:shd w:val="clear" w:color="auto" w:fill="auto"/>
            <w:vAlign w:val="center"/>
          </w:tcPr>
          <w:p w14:paraId="119DDC0E" w14:textId="0C6DEE63"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27%</w:t>
            </w:r>
          </w:p>
        </w:tc>
        <w:tc>
          <w:tcPr>
            <w:tcW w:w="3023" w:type="dxa"/>
            <w:shd w:val="clear" w:color="auto" w:fill="auto"/>
            <w:vAlign w:val="center"/>
          </w:tcPr>
          <w:p w14:paraId="700FACB8" w14:textId="7EEDF24F" w:rsidR="00FE3E51" w:rsidRPr="001B62FA" w:rsidRDefault="00814468" w:rsidP="00FE3E51">
            <w:pPr>
              <w:spacing w:after="0"/>
              <w:rPr>
                <w:rFonts w:ascii="Times New Roman" w:hAnsi="Times New Roman" w:cs="Times New Roman"/>
              </w:rPr>
            </w:pPr>
            <w:r>
              <w:rPr>
                <w:rFonts w:ascii="Times New Roman" w:hAnsi="Times New Roman" w:cs="Times New Roman"/>
              </w:rPr>
              <w:t>The increase i</w:t>
            </w:r>
            <w:r w:rsidR="00393CD7">
              <w:rPr>
                <w:rFonts w:ascii="Times New Roman" w:hAnsi="Times New Roman" w:cs="Times New Roman"/>
              </w:rPr>
              <w:t>s</w:t>
            </w:r>
            <w:r>
              <w:rPr>
                <w:rFonts w:ascii="Times New Roman" w:hAnsi="Times New Roman" w:cs="Times New Roman"/>
              </w:rPr>
              <w:t xml:space="preserve"> </w:t>
            </w:r>
            <w:r w:rsidR="00E11484">
              <w:rPr>
                <w:rFonts w:ascii="Times New Roman" w:hAnsi="Times New Roman" w:cs="Times New Roman"/>
              </w:rPr>
              <w:t>b</w:t>
            </w:r>
            <w:r w:rsidR="00FE3E51" w:rsidRPr="001B62FA">
              <w:rPr>
                <w:rFonts w:ascii="Times New Roman" w:hAnsi="Times New Roman" w:cs="Times New Roman"/>
              </w:rPr>
              <w:t xml:space="preserve">ased on </w:t>
            </w:r>
            <w:r w:rsidR="00E11484">
              <w:rPr>
                <w:rFonts w:ascii="Times New Roman" w:hAnsi="Times New Roman" w:cs="Times New Roman"/>
              </w:rPr>
              <w:t xml:space="preserve">a </w:t>
            </w:r>
            <w:r w:rsidR="00FE3E51" w:rsidRPr="001B62FA">
              <w:rPr>
                <w:rFonts w:ascii="Times New Roman" w:hAnsi="Times New Roman" w:cs="Times New Roman"/>
              </w:rPr>
              <w:t xml:space="preserve">bottom-up assessment of actual time and effort to provide the service averaged over a year and applied to the ACMA’s </w:t>
            </w:r>
            <w:r w:rsidR="00E11484">
              <w:rPr>
                <w:rFonts w:ascii="Times New Roman" w:hAnsi="Times New Roman" w:cs="Times New Roman"/>
              </w:rPr>
              <w:t xml:space="preserve">new </w:t>
            </w:r>
            <w:r w:rsidR="00FE3E51" w:rsidRPr="001B62FA">
              <w:rPr>
                <w:rFonts w:ascii="Times New Roman" w:hAnsi="Times New Roman" w:cs="Times New Roman"/>
              </w:rPr>
              <w:t>standard hourly rate</w:t>
            </w:r>
          </w:p>
        </w:tc>
      </w:tr>
      <w:tr w:rsidR="00240E4C" w:rsidRPr="002635C8" w14:paraId="17C30525" w14:textId="77777777" w:rsidTr="00231ECA">
        <w:trPr>
          <w:cantSplit/>
          <w:trHeight w:val="494"/>
        </w:trPr>
        <w:tc>
          <w:tcPr>
            <w:tcW w:w="743" w:type="dxa"/>
            <w:tcBorders>
              <w:top w:val="single" w:sz="2" w:space="0" w:color="auto"/>
              <w:left w:val="single" w:sz="2" w:space="0" w:color="auto"/>
              <w:bottom w:val="single" w:sz="2" w:space="0" w:color="auto"/>
              <w:right w:val="single" w:sz="2" w:space="0" w:color="auto"/>
            </w:tcBorders>
          </w:tcPr>
          <w:p w14:paraId="346D866A" w14:textId="2F063432" w:rsidR="00FE3E51" w:rsidRPr="001B62FA" w:rsidRDefault="00376D67" w:rsidP="00FE3E51">
            <w:pPr>
              <w:spacing w:after="0"/>
              <w:rPr>
                <w:rFonts w:ascii="Times New Roman" w:hAnsi="Times New Roman" w:cs="Times New Roman"/>
              </w:rPr>
            </w:pPr>
            <w:r>
              <w:rPr>
                <w:rFonts w:ascii="Times New Roman" w:hAnsi="Times New Roman" w:cs="Times New Roman"/>
              </w:rPr>
              <w:t>19</w:t>
            </w:r>
          </w:p>
        </w:tc>
        <w:tc>
          <w:tcPr>
            <w:tcW w:w="3792" w:type="dxa"/>
            <w:shd w:val="clear" w:color="auto" w:fill="auto"/>
            <w:tcMar>
              <w:top w:w="57" w:type="dxa"/>
              <w:left w:w="108" w:type="dxa"/>
              <w:bottom w:w="0" w:type="dxa"/>
              <w:right w:w="108" w:type="dxa"/>
            </w:tcMar>
            <w:vAlign w:val="center"/>
          </w:tcPr>
          <w:p w14:paraId="68CA65B3" w14:textId="03EFDE68"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Protection zone installation permit — considering and processing an application under clause 61 of </w:t>
            </w:r>
            <w:r w:rsidR="00240E4C">
              <w:rPr>
                <w:rFonts w:ascii="Times New Roman" w:hAnsi="Times New Roman" w:cs="Times New Roman"/>
              </w:rPr>
              <w:t>Schedule</w:t>
            </w:r>
            <w:r w:rsidRPr="001B62FA">
              <w:rPr>
                <w:rFonts w:ascii="Times New Roman" w:hAnsi="Times New Roman" w:cs="Times New Roman"/>
              </w:rPr>
              <w:t xml:space="preserve"> 3A to the Telecommunications Act to extend the duration of a protection zone installation permit</w:t>
            </w:r>
          </w:p>
        </w:tc>
        <w:tc>
          <w:tcPr>
            <w:tcW w:w="2413" w:type="dxa"/>
            <w:shd w:val="clear" w:color="auto" w:fill="auto"/>
            <w:vAlign w:val="center"/>
          </w:tcPr>
          <w:p w14:paraId="37AC7206" w14:textId="2783BCD1"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 xml:space="preserve">Item 6.2, Part 6, Schedule 1 </w:t>
            </w:r>
          </w:p>
        </w:tc>
        <w:tc>
          <w:tcPr>
            <w:tcW w:w="1838" w:type="dxa"/>
            <w:shd w:val="clear" w:color="auto" w:fill="auto"/>
            <w:tcMar>
              <w:top w:w="57" w:type="dxa"/>
              <w:left w:w="108" w:type="dxa"/>
              <w:bottom w:w="0" w:type="dxa"/>
              <w:right w:w="108" w:type="dxa"/>
            </w:tcMar>
            <w:vAlign w:val="center"/>
          </w:tcPr>
          <w:p w14:paraId="6D9F1C87" w14:textId="06E7CA52"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xml:space="preserve"> $      1,414.00</w:t>
            </w:r>
          </w:p>
        </w:tc>
        <w:tc>
          <w:tcPr>
            <w:tcW w:w="1723" w:type="dxa"/>
            <w:shd w:val="clear" w:color="auto" w:fill="auto"/>
            <w:vAlign w:val="center"/>
          </w:tcPr>
          <w:p w14:paraId="0C166AC5" w14:textId="05497140"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      1,394.00</w:t>
            </w:r>
          </w:p>
        </w:tc>
        <w:tc>
          <w:tcPr>
            <w:tcW w:w="1263" w:type="dxa"/>
            <w:shd w:val="clear" w:color="auto" w:fill="auto"/>
            <w:vAlign w:val="center"/>
          </w:tcPr>
          <w:p w14:paraId="530AC7A1" w14:textId="6D8A6656" w:rsidR="00FE3E51" w:rsidRPr="001B62FA" w:rsidRDefault="00FE3E51" w:rsidP="00FE3E51">
            <w:pPr>
              <w:spacing w:after="0"/>
              <w:jc w:val="right"/>
              <w:rPr>
                <w:rFonts w:ascii="Times New Roman" w:hAnsi="Times New Roman" w:cs="Times New Roman"/>
              </w:rPr>
            </w:pPr>
            <w:r w:rsidRPr="001B62FA">
              <w:rPr>
                <w:rFonts w:ascii="Times New Roman" w:hAnsi="Times New Roman" w:cs="Times New Roman"/>
              </w:rPr>
              <w:t>-1%</w:t>
            </w:r>
          </w:p>
        </w:tc>
        <w:tc>
          <w:tcPr>
            <w:tcW w:w="3023" w:type="dxa"/>
            <w:shd w:val="clear" w:color="auto" w:fill="auto"/>
            <w:vAlign w:val="center"/>
          </w:tcPr>
          <w:p w14:paraId="5F9950F1" w14:textId="7184D305" w:rsidR="00FE3E51" w:rsidRPr="001B62FA" w:rsidRDefault="00FE3E51" w:rsidP="00FE3E51">
            <w:pPr>
              <w:spacing w:after="0"/>
              <w:rPr>
                <w:rFonts w:ascii="Times New Roman" w:hAnsi="Times New Roman" w:cs="Times New Roman"/>
              </w:rPr>
            </w:pPr>
            <w:r w:rsidRPr="001B62FA">
              <w:rPr>
                <w:rFonts w:ascii="Times New Roman" w:hAnsi="Times New Roman" w:cs="Times New Roman"/>
              </w:rPr>
              <w:t>No significant change</w:t>
            </w:r>
          </w:p>
        </w:tc>
      </w:tr>
      <w:tr w:rsidR="00240E4C" w:rsidRPr="002635C8" w14:paraId="03A307DE" w14:textId="77777777" w:rsidTr="00A41018">
        <w:trPr>
          <w:cantSplit/>
          <w:trHeight w:val="494"/>
        </w:trPr>
        <w:tc>
          <w:tcPr>
            <w:tcW w:w="743" w:type="dxa"/>
            <w:tcBorders>
              <w:top w:val="single" w:sz="2" w:space="0" w:color="auto"/>
              <w:left w:val="single" w:sz="2" w:space="0" w:color="auto"/>
              <w:bottom w:val="single" w:sz="2" w:space="0" w:color="auto"/>
              <w:right w:val="single" w:sz="2" w:space="0" w:color="auto"/>
            </w:tcBorders>
          </w:tcPr>
          <w:p w14:paraId="2E42FF77" w14:textId="1C0D3F74" w:rsidR="00E75D88" w:rsidRPr="001B62FA" w:rsidRDefault="00973348" w:rsidP="00E75D88">
            <w:pPr>
              <w:spacing w:after="0"/>
              <w:rPr>
                <w:rFonts w:ascii="Times New Roman" w:hAnsi="Times New Roman" w:cs="Times New Roman"/>
              </w:rPr>
            </w:pPr>
            <w:r w:rsidRPr="001B62FA">
              <w:rPr>
                <w:rFonts w:ascii="Times New Roman" w:hAnsi="Times New Roman" w:cs="Times New Roman"/>
              </w:rPr>
              <w:lastRenderedPageBreak/>
              <w:t>2</w:t>
            </w:r>
            <w:r w:rsidR="00D442B8">
              <w:rPr>
                <w:rFonts w:ascii="Times New Roman" w:hAnsi="Times New Roman" w:cs="Times New Roman"/>
              </w:rPr>
              <w:t>0</w:t>
            </w:r>
          </w:p>
        </w:tc>
        <w:tc>
          <w:tcPr>
            <w:tcW w:w="3792" w:type="dxa"/>
            <w:shd w:val="clear" w:color="auto" w:fill="auto"/>
            <w:tcMar>
              <w:top w:w="57" w:type="dxa"/>
              <w:left w:w="108" w:type="dxa"/>
              <w:bottom w:w="0" w:type="dxa"/>
              <w:right w:w="108" w:type="dxa"/>
            </w:tcMar>
            <w:vAlign w:val="center"/>
          </w:tcPr>
          <w:p w14:paraId="5B4F4089" w14:textId="14367B4C"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Non-protection zone installation permit application — charge for the purposes of clause 66 of Schedule 3A to the Telecommunications Act, in relation to considering and processing </w:t>
            </w:r>
            <w:r w:rsidRPr="00CF7A1A">
              <w:rPr>
                <w:rFonts w:ascii="Times New Roman" w:hAnsi="Times New Roman" w:cs="Times New Roman"/>
              </w:rPr>
              <w:t>a non-protection zone installation permit</w:t>
            </w:r>
            <w:r w:rsidRPr="001B62FA">
              <w:rPr>
                <w:rFonts w:ascii="Times New Roman" w:hAnsi="Times New Roman" w:cs="Times New Roman"/>
              </w:rPr>
              <w:t xml:space="preserve"> application, excluding the additional charges mentioned at items 6.4 and 6.5</w:t>
            </w:r>
          </w:p>
        </w:tc>
        <w:tc>
          <w:tcPr>
            <w:tcW w:w="2413" w:type="dxa"/>
            <w:shd w:val="clear" w:color="auto" w:fill="auto"/>
            <w:vAlign w:val="center"/>
          </w:tcPr>
          <w:p w14:paraId="0A6BAC7A" w14:textId="69BD8DE1"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Item 6.3, Part 6, Schedule 1 </w:t>
            </w:r>
          </w:p>
        </w:tc>
        <w:tc>
          <w:tcPr>
            <w:tcW w:w="1838" w:type="dxa"/>
            <w:shd w:val="clear" w:color="auto" w:fill="auto"/>
            <w:tcMar>
              <w:top w:w="57" w:type="dxa"/>
              <w:left w:w="108" w:type="dxa"/>
              <w:bottom w:w="0" w:type="dxa"/>
              <w:right w:w="108" w:type="dxa"/>
            </w:tcMar>
            <w:vAlign w:val="center"/>
          </w:tcPr>
          <w:p w14:paraId="5FC47C97" w14:textId="0A0484E9"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xml:space="preserve"> $     5,959.00 (for each submarine cable the subject of the application)  </w:t>
            </w:r>
          </w:p>
        </w:tc>
        <w:tc>
          <w:tcPr>
            <w:tcW w:w="1723" w:type="dxa"/>
            <w:shd w:val="clear" w:color="auto" w:fill="auto"/>
            <w:vAlign w:val="center"/>
          </w:tcPr>
          <w:p w14:paraId="0FEC9682" w14:textId="6A6B8531"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xml:space="preserve"> $     5,951.00 (for each submarine cable the subject of the application)  </w:t>
            </w:r>
          </w:p>
        </w:tc>
        <w:tc>
          <w:tcPr>
            <w:tcW w:w="1263" w:type="dxa"/>
            <w:shd w:val="clear" w:color="auto" w:fill="auto"/>
            <w:vAlign w:val="center"/>
          </w:tcPr>
          <w:p w14:paraId="0256B10D" w14:textId="39E1A73E"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0%</w:t>
            </w:r>
          </w:p>
        </w:tc>
        <w:tc>
          <w:tcPr>
            <w:tcW w:w="3023" w:type="dxa"/>
            <w:shd w:val="clear" w:color="auto" w:fill="auto"/>
            <w:vAlign w:val="center"/>
          </w:tcPr>
          <w:p w14:paraId="52D2FF90" w14:textId="20D9D00A"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No significant change</w:t>
            </w:r>
          </w:p>
        </w:tc>
      </w:tr>
      <w:tr w:rsidR="00240E4C" w:rsidRPr="002635C8" w14:paraId="264EC86C" w14:textId="77777777" w:rsidTr="00A41018">
        <w:trPr>
          <w:cantSplit/>
          <w:trHeight w:val="494"/>
        </w:trPr>
        <w:tc>
          <w:tcPr>
            <w:tcW w:w="743" w:type="dxa"/>
            <w:tcBorders>
              <w:top w:val="single" w:sz="2" w:space="0" w:color="auto"/>
              <w:left w:val="single" w:sz="2" w:space="0" w:color="auto"/>
              <w:bottom w:val="single" w:sz="2" w:space="0" w:color="auto"/>
              <w:right w:val="single" w:sz="2" w:space="0" w:color="auto"/>
            </w:tcBorders>
          </w:tcPr>
          <w:p w14:paraId="2B079A95" w14:textId="4347FE16" w:rsidR="00E75D88" w:rsidRPr="001B62FA" w:rsidRDefault="00973348" w:rsidP="00E75D88">
            <w:pPr>
              <w:spacing w:after="0"/>
              <w:rPr>
                <w:rFonts w:ascii="Times New Roman" w:hAnsi="Times New Roman" w:cs="Times New Roman"/>
              </w:rPr>
            </w:pPr>
            <w:r w:rsidRPr="001B62FA">
              <w:rPr>
                <w:rFonts w:ascii="Times New Roman" w:hAnsi="Times New Roman" w:cs="Times New Roman"/>
              </w:rPr>
              <w:t>2</w:t>
            </w:r>
            <w:r w:rsidR="00D442B8">
              <w:rPr>
                <w:rFonts w:ascii="Times New Roman" w:hAnsi="Times New Roman" w:cs="Times New Roman"/>
              </w:rPr>
              <w:t>1</w:t>
            </w:r>
          </w:p>
        </w:tc>
        <w:tc>
          <w:tcPr>
            <w:tcW w:w="3792" w:type="dxa"/>
            <w:shd w:val="clear" w:color="auto" w:fill="auto"/>
            <w:tcMar>
              <w:top w:w="57" w:type="dxa"/>
              <w:left w:w="108" w:type="dxa"/>
              <w:bottom w:w="0" w:type="dxa"/>
              <w:right w:w="108" w:type="dxa"/>
            </w:tcMar>
            <w:vAlign w:val="center"/>
          </w:tcPr>
          <w:p w14:paraId="5DC210E8" w14:textId="0924E004"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Non-protection zone installation permit application — deposit payable on account of the charges at item 6.5</w:t>
            </w:r>
          </w:p>
        </w:tc>
        <w:tc>
          <w:tcPr>
            <w:tcW w:w="2413" w:type="dxa"/>
            <w:shd w:val="clear" w:color="auto" w:fill="auto"/>
            <w:vAlign w:val="center"/>
          </w:tcPr>
          <w:p w14:paraId="790F78C2" w14:textId="27F8E7E1"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Item 6.4, Part 6, Schedule 1 </w:t>
            </w:r>
          </w:p>
        </w:tc>
        <w:tc>
          <w:tcPr>
            <w:tcW w:w="1838" w:type="dxa"/>
            <w:shd w:val="clear" w:color="auto" w:fill="auto"/>
            <w:tcMar>
              <w:top w:w="57" w:type="dxa"/>
              <w:left w:w="108" w:type="dxa"/>
              <w:bottom w:w="0" w:type="dxa"/>
              <w:right w:w="108" w:type="dxa"/>
            </w:tcMar>
            <w:vAlign w:val="center"/>
          </w:tcPr>
          <w:p w14:paraId="61989A91" w14:textId="5F0ED34B"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25,000.00</w:t>
            </w:r>
          </w:p>
        </w:tc>
        <w:tc>
          <w:tcPr>
            <w:tcW w:w="1723" w:type="dxa"/>
            <w:shd w:val="clear" w:color="auto" w:fill="auto"/>
            <w:vAlign w:val="center"/>
          </w:tcPr>
          <w:p w14:paraId="366EA2B0" w14:textId="56CCBEE9"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25,000.00</w:t>
            </w:r>
          </w:p>
        </w:tc>
        <w:tc>
          <w:tcPr>
            <w:tcW w:w="1263" w:type="dxa"/>
            <w:shd w:val="clear" w:color="auto" w:fill="auto"/>
            <w:vAlign w:val="center"/>
          </w:tcPr>
          <w:p w14:paraId="4D6416FF" w14:textId="07C4C23F"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N/A</w:t>
            </w:r>
          </w:p>
        </w:tc>
        <w:tc>
          <w:tcPr>
            <w:tcW w:w="3023" w:type="dxa"/>
            <w:shd w:val="clear" w:color="auto" w:fill="auto"/>
            <w:vAlign w:val="center"/>
          </w:tcPr>
          <w:p w14:paraId="13D32568" w14:textId="225C96F2"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No change </w:t>
            </w:r>
          </w:p>
        </w:tc>
      </w:tr>
      <w:tr w:rsidR="00240E4C" w:rsidRPr="002635C8" w14:paraId="322B1111" w14:textId="77777777" w:rsidTr="00A41018">
        <w:trPr>
          <w:cantSplit/>
          <w:trHeight w:val="494"/>
        </w:trPr>
        <w:tc>
          <w:tcPr>
            <w:tcW w:w="743" w:type="dxa"/>
            <w:tcBorders>
              <w:top w:val="single" w:sz="2" w:space="0" w:color="auto"/>
              <w:left w:val="single" w:sz="2" w:space="0" w:color="auto"/>
              <w:bottom w:val="single" w:sz="2" w:space="0" w:color="auto"/>
              <w:right w:val="single" w:sz="2" w:space="0" w:color="auto"/>
            </w:tcBorders>
          </w:tcPr>
          <w:p w14:paraId="24B3B9E3" w14:textId="3BEB6DA1" w:rsidR="00E75D88" w:rsidRPr="001B62FA" w:rsidRDefault="00973348" w:rsidP="00E75D88">
            <w:pPr>
              <w:spacing w:after="0"/>
              <w:rPr>
                <w:rFonts w:ascii="Times New Roman" w:hAnsi="Times New Roman" w:cs="Times New Roman"/>
              </w:rPr>
            </w:pPr>
            <w:r w:rsidRPr="001B62FA">
              <w:rPr>
                <w:rFonts w:ascii="Times New Roman" w:hAnsi="Times New Roman" w:cs="Times New Roman"/>
              </w:rPr>
              <w:t>2</w:t>
            </w:r>
            <w:r w:rsidR="00D442B8">
              <w:rPr>
                <w:rFonts w:ascii="Times New Roman" w:hAnsi="Times New Roman" w:cs="Times New Roman"/>
              </w:rPr>
              <w:t>2</w:t>
            </w:r>
          </w:p>
        </w:tc>
        <w:tc>
          <w:tcPr>
            <w:tcW w:w="3792" w:type="dxa"/>
            <w:shd w:val="clear" w:color="auto" w:fill="auto"/>
            <w:tcMar>
              <w:top w:w="57" w:type="dxa"/>
              <w:left w:w="108" w:type="dxa"/>
              <w:bottom w:w="0" w:type="dxa"/>
              <w:right w:w="108" w:type="dxa"/>
            </w:tcMar>
            <w:vAlign w:val="center"/>
          </w:tcPr>
          <w:p w14:paraId="1DEEF75C" w14:textId="0975C63A"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Non-protection zone installation permit application — charge for the purposes of clause 66 of Schedule 3A to the Telecommunications Act, in relation to external costs for the use of external consultants in considering a non-protection zone installation permit application </w:t>
            </w:r>
          </w:p>
        </w:tc>
        <w:tc>
          <w:tcPr>
            <w:tcW w:w="2413" w:type="dxa"/>
            <w:shd w:val="clear" w:color="auto" w:fill="auto"/>
            <w:vAlign w:val="center"/>
          </w:tcPr>
          <w:p w14:paraId="7394393E" w14:textId="06424690"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Item 6.5, Part 6, Schedule 1 </w:t>
            </w:r>
          </w:p>
        </w:tc>
        <w:tc>
          <w:tcPr>
            <w:tcW w:w="1838" w:type="dxa"/>
            <w:shd w:val="clear" w:color="auto" w:fill="auto"/>
            <w:tcMar>
              <w:top w:w="57" w:type="dxa"/>
              <w:left w:w="108" w:type="dxa"/>
              <w:bottom w:w="0" w:type="dxa"/>
              <w:right w:w="108" w:type="dxa"/>
            </w:tcMar>
            <w:vAlign w:val="center"/>
          </w:tcPr>
          <w:p w14:paraId="186501E7" w14:textId="55179442"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723" w:type="dxa"/>
            <w:shd w:val="clear" w:color="auto" w:fill="auto"/>
            <w:vAlign w:val="center"/>
          </w:tcPr>
          <w:p w14:paraId="7606B07D" w14:textId="049F99B9"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xml:space="preserve"> Actual costs </w:t>
            </w:r>
          </w:p>
        </w:tc>
        <w:tc>
          <w:tcPr>
            <w:tcW w:w="1263" w:type="dxa"/>
            <w:shd w:val="clear" w:color="auto" w:fill="auto"/>
            <w:vAlign w:val="center"/>
          </w:tcPr>
          <w:p w14:paraId="79ADA6BD" w14:textId="79D8F757"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N/A</w:t>
            </w:r>
          </w:p>
        </w:tc>
        <w:tc>
          <w:tcPr>
            <w:tcW w:w="3023" w:type="dxa"/>
            <w:shd w:val="clear" w:color="auto" w:fill="auto"/>
            <w:vAlign w:val="center"/>
          </w:tcPr>
          <w:p w14:paraId="15E2A044" w14:textId="1395BA19"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No change</w:t>
            </w:r>
          </w:p>
        </w:tc>
      </w:tr>
      <w:tr w:rsidR="00240E4C" w:rsidRPr="002635C8" w14:paraId="6295FFCC" w14:textId="77777777" w:rsidTr="00A41018">
        <w:trPr>
          <w:cantSplit/>
          <w:trHeight w:val="494"/>
        </w:trPr>
        <w:tc>
          <w:tcPr>
            <w:tcW w:w="743" w:type="dxa"/>
            <w:tcBorders>
              <w:top w:val="single" w:sz="2" w:space="0" w:color="auto"/>
              <w:left w:val="single" w:sz="2" w:space="0" w:color="auto"/>
              <w:bottom w:val="single" w:sz="2" w:space="0" w:color="auto"/>
              <w:right w:val="single" w:sz="2" w:space="0" w:color="auto"/>
            </w:tcBorders>
          </w:tcPr>
          <w:p w14:paraId="27358822" w14:textId="51D998F2" w:rsidR="00E75D88" w:rsidRPr="001B62FA" w:rsidRDefault="00973348" w:rsidP="00E75D88">
            <w:pPr>
              <w:spacing w:after="0"/>
              <w:rPr>
                <w:rFonts w:ascii="Times New Roman" w:hAnsi="Times New Roman" w:cs="Times New Roman"/>
              </w:rPr>
            </w:pPr>
            <w:r w:rsidRPr="001B62FA">
              <w:rPr>
                <w:rFonts w:ascii="Times New Roman" w:hAnsi="Times New Roman" w:cs="Times New Roman"/>
              </w:rPr>
              <w:t>2</w:t>
            </w:r>
            <w:r w:rsidR="00D442B8">
              <w:rPr>
                <w:rFonts w:ascii="Times New Roman" w:hAnsi="Times New Roman" w:cs="Times New Roman"/>
              </w:rPr>
              <w:t>3</w:t>
            </w:r>
          </w:p>
        </w:tc>
        <w:tc>
          <w:tcPr>
            <w:tcW w:w="3792" w:type="dxa"/>
            <w:shd w:val="clear" w:color="auto" w:fill="auto"/>
            <w:tcMar>
              <w:top w:w="57" w:type="dxa"/>
              <w:left w:w="108" w:type="dxa"/>
              <w:bottom w:w="0" w:type="dxa"/>
              <w:right w:w="108" w:type="dxa"/>
            </w:tcMar>
            <w:vAlign w:val="center"/>
          </w:tcPr>
          <w:p w14:paraId="4BB44729" w14:textId="6D877050"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Non-protection zone installation permit — considering and processing an application under clause 76 of Schedule 3A to the Telecommunications Act to extend the duration of a non-protection zone installation permit</w:t>
            </w:r>
          </w:p>
        </w:tc>
        <w:tc>
          <w:tcPr>
            <w:tcW w:w="2413" w:type="dxa"/>
            <w:shd w:val="clear" w:color="auto" w:fill="auto"/>
            <w:vAlign w:val="center"/>
          </w:tcPr>
          <w:p w14:paraId="5E1ABC52" w14:textId="23CD657D"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 xml:space="preserve">Item 6.6, Part 6, Schedule 1 </w:t>
            </w:r>
          </w:p>
        </w:tc>
        <w:tc>
          <w:tcPr>
            <w:tcW w:w="1838" w:type="dxa"/>
            <w:shd w:val="clear" w:color="auto" w:fill="auto"/>
            <w:tcMar>
              <w:top w:w="57" w:type="dxa"/>
              <w:left w:w="108" w:type="dxa"/>
              <w:bottom w:w="0" w:type="dxa"/>
              <w:right w:w="108" w:type="dxa"/>
            </w:tcMar>
            <w:vAlign w:val="center"/>
          </w:tcPr>
          <w:p w14:paraId="42B77A1E" w14:textId="7210FD5D"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1,414.00</w:t>
            </w:r>
          </w:p>
        </w:tc>
        <w:tc>
          <w:tcPr>
            <w:tcW w:w="1723" w:type="dxa"/>
            <w:shd w:val="clear" w:color="auto" w:fill="auto"/>
            <w:vAlign w:val="center"/>
          </w:tcPr>
          <w:p w14:paraId="13D4B30F" w14:textId="10D4C00A"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      1,394.00</w:t>
            </w:r>
          </w:p>
        </w:tc>
        <w:tc>
          <w:tcPr>
            <w:tcW w:w="1263" w:type="dxa"/>
            <w:shd w:val="clear" w:color="auto" w:fill="auto"/>
            <w:vAlign w:val="center"/>
          </w:tcPr>
          <w:p w14:paraId="61E5F7FA" w14:textId="4CD7FECC" w:rsidR="00E75D88" w:rsidRPr="001B62FA" w:rsidRDefault="00E75D88" w:rsidP="00E75D88">
            <w:pPr>
              <w:spacing w:after="0"/>
              <w:jc w:val="right"/>
              <w:rPr>
                <w:rFonts w:ascii="Times New Roman" w:hAnsi="Times New Roman" w:cs="Times New Roman"/>
              </w:rPr>
            </w:pPr>
            <w:r w:rsidRPr="001B62FA">
              <w:rPr>
                <w:rFonts w:ascii="Times New Roman" w:hAnsi="Times New Roman" w:cs="Times New Roman"/>
              </w:rPr>
              <w:t>-1%</w:t>
            </w:r>
          </w:p>
        </w:tc>
        <w:tc>
          <w:tcPr>
            <w:tcW w:w="3023" w:type="dxa"/>
            <w:shd w:val="clear" w:color="auto" w:fill="auto"/>
            <w:vAlign w:val="center"/>
          </w:tcPr>
          <w:p w14:paraId="4E670E22" w14:textId="1556B6AC" w:rsidR="00E75D88" w:rsidRPr="001B62FA" w:rsidRDefault="00E75D88" w:rsidP="00E75D88">
            <w:pPr>
              <w:spacing w:after="0"/>
              <w:rPr>
                <w:rFonts w:ascii="Times New Roman" w:hAnsi="Times New Roman" w:cs="Times New Roman"/>
              </w:rPr>
            </w:pPr>
            <w:r w:rsidRPr="001B62FA">
              <w:rPr>
                <w:rFonts w:ascii="Times New Roman" w:hAnsi="Times New Roman" w:cs="Times New Roman"/>
              </w:rPr>
              <w:t>No significant change</w:t>
            </w:r>
          </w:p>
        </w:tc>
      </w:tr>
      <w:tr w:rsidR="00426EB7" w:rsidRPr="001B62FA" w14:paraId="7D9A70D2" w14:textId="77777777" w:rsidTr="00426EB7">
        <w:trPr>
          <w:cantSplit/>
          <w:trHeight w:val="494"/>
        </w:trPr>
        <w:tc>
          <w:tcPr>
            <w:tcW w:w="743" w:type="dxa"/>
            <w:tcBorders>
              <w:top w:val="single" w:sz="2" w:space="0" w:color="auto"/>
              <w:left w:val="single" w:sz="2" w:space="0" w:color="auto"/>
              <w:bottom w:val="single" w:sz="2" w:space="0" w:color="auto"/>
              <w:right w:val="single" w:sz="2" w:space="0" w:color="auto"/>
            </w:tcBorders>
          </w:tcPr>
          <w:p w14:paraId="3D2C1D85" w14:textId="19BB43A1" w:rsidR="00426EB7" w:rsidRPr="001B62FA" w:rsidRDefault="00D442B8" w:rsidP="00A168EA">
            <w:pPr>
              <w:spacing w:after="0"/>
              <w:rPr>
                <w:rFonts w:ascii="Times New Roman" w:hAnsi="Times New Roman" w:cs="Times New Roman"/>
              </w:rPr>
            </w:pPr>
            <w:r>
              <w:rPr>
                <w:rFonts w:ascii="Times New Roman" w:hAnsi="Times New Roman" w:cs="Times New Roman"/>
              </w:rPr>
              <w:lastRenderedPageBreak/>
              <w:t>24</w:t>
            </w:r>
          </w:p>
        </w:tc>
        <w:tc>
          <w:tcPr>
            <w:tcW w:w="3792" w:type="dxa"/>
            <w:tcBorders>
              <w:top w:val="single" w:sz="2" w:space="0" w:color="auto"/>
              <w:left w:val="single" w:sz="2" w:space="0" w:color="auto"/>
              <w:bottom w:val="single" w:sz="2" w:space="0" w:color="auto"/>
              <w:right w:val="single" w:sz="2" w:space="0" w:color="auto"/>
            </w:tcBorders>
            <w:shd w:val="clear" w:color="auto" w:fill="auto"/>
            <w:tcMar>
              <w:top w:w="57" w:type="dxa"/>
              <w:left w:w="108" w:type="dxa"/>
              <w:bottom w:w="0" w:type="dxa"/>
              <w:right w:w="108" w:type="dxa"/>
            </w:tcMar>
            <w:vAlign w:val="center"/>
          </w:tcPr>
          <w:p w14:paraId="60755EA4" w14:textId="77777777" w:rsidR="00426EB7" w:rsidRPr="001B62FA" w:rsidRDefault="00426EB7" w:rsidP="00A168EA">
            <w:pPr>
              <w:spacing w:after="0"/>
              <w:rPr>
                <w:rFonts w:ascii="Times New Roman" w:hAnsi="Times New Roman" w:cs="Times New Roman"/>
              </w:rPr>
            </w:pPr>
            <w:r w:rsidRPr="002635C8">
              <w:rPr>
                <w:rFonts w:ascii="Times New Roman" w:hAnsi="Times New Roman" w:cs="Times New Roman"/>
              </w:rPr>
              <w:t>Activities of an ACMA official acting as a certification body in connection with dealing with an application for a written statement under paragraph 408 (5) (a) of the Telecommunications Act</w:t>
            </w:r>
          </w:p>
        </w:tc>
        <w:tc>
          <w:tcPr>
            <w:tcW w:w="2413" w:type="dxa"/>
            <w:tcBorders>
              <w:top w:val="single" w:sz="2" w:space="0" w:color="auto"/>
              <w:left w:val="single" w:sz="2" w:space="0" w:color="auto"/>
              <w:bottom w:val="single" w:sz="2" w:space="0" w:color="auto"/>
              <w:right w:val="single" w:sz="2" w:space="0" w:color="auto"/>
            </w:tcBorders>
            <w:shd w:val="clear" w:color="auto" w:fill="auto"/>
            <w:vAlign w:val="center"/>
          </w:tcPr>
          <w:p w14:paraId="11BCA5ED" w14:textId="77777777" w:rsidR="00426EB7" w:rsidRPr="001B62FA" w:rsidRDefault="00426EB7" w:rsidP="00A168EA">
            <w:pPr>
              <w:spacing w:after="0"/>
              <w:rPr>
                <w:rFonts w:ascii="Times New Roman" w:hAnsi="Times New Roman" w:cs="Times New Roman"/>
              </w:rPr>
            </w:pPr>
            <w:r w:rsidRPr="002635C8">
              <w:rPr>
                <w:rFonts w:ascii="Times New Roman" w:hAnsi="Times New Roman" w:cs="Times New Roman"/>
              </w:rPr>
              <w:t>Item 7.1, Part 7, Schedule 1</w:t>
            </w:r>
          </w:p>
        </w:tc>
        <w:tc>
          <w:tcPr>
            <w:tcW w:w="1838" w:type="dxa"/>
            <w:tcBorders>
              <w:top w:val="single" w:sz="2" w:space="0" w:color="auto"/>
              <w:left w:val="single" w:sz="2" w:space="0" w:color="auto"/>
              <w:bottom w:val="single" w:sz="2" w:space="0" w:color="auto"/>
              <w:right w:val="single" w:sz="2" w:space="0" w:color="auto"/>
            </w:tcBorders>
            <w:shd w:val="clear" w:color="auto" w:fill="auto"/>
            <w:tcMar>
              <w:top w:w="57" w:type="dxa"/>
              <w:left w:w="108" w:type="dxa"/>
              <w:bottom w:w="0" w:type="dxa"/>
              <w:right w:w="108" w:type="dxa"/>
            </w:tcMar>
            <w:vAlign w:val="center"/>
          </w:tcPr>
          <w:p w14:paraId="0D36419A" w14:textId="77777777" w:rsidR="00426EB7" w:rsidRPr="001B62FA" w:rsidRDefault="00426EB7" w:rsidP="00A168EA">
            <w:pPr>
              <w:spacing w:after="0"/>
              <w:jc w:val="right"/>
              <w:rPr>
                <w:rFonts w:ascii="Times New Roman" w:hAnsi="Times New Roman" w:cs="Times New Roman"/>
              </w:rPr>
            </w:pPr>
            <w:r w:rsidRPr="001B62FA">
              <w:rPr>
                <w:rFonts w:ascii="Times New Roman" w:hAnsi="Times New Roman" w:cs="Times New Roman"/>
              </w:rPr>
              <w:t xml:space="preserve"> Hourly rate  </w:t>
            </w:r>
          </w:p>
        </w:tc>
        <w:tc>
          <w:tcPr>
            <w:tcW w:w="1723" w:type="dxa"/>
            <w:tcBorders>
              <w:top w:val="single" w:sz="2" w:space="0" w:color="auto"/>
              <w:left w:val="single" w:sz="2" w:space="0" w:color="auto"/>
              <w:bottom w:val="single" w:sz="2" w:space="0" w:color="auto"/>
              <w:right w:val="single" w:sz="2" w:space="0" w:color="auto"/>
            </w:tcBorders>
            <w:shd w:val="clear" w:color="auto" w:fill="auto"/>
            <w:vAlign w:val="center"/>
          </w:tcPr>
          <w:p w14:paraId="757F75E0" w14:textId="77777777" w:rsidR="00426EB7" w:rsidRPr="001B62FA" w:rsidRDefault="00426EB7" w:rsidP="00A168EA">
            <w:pPr>
              <w:spacing w:after="0"/>
              <w:jc w:val="right"/>
              <w:rPr>
                <w:rFonts w:ascii="Times New Roman" w:hAnsi="Times New Roman" w:cs="Times New Roman"/>
              </w:rPr>
            </w:pPr>
            <w:r w:rsidRPr="001B62FA">
              <w:rPr>
                <w:rFonts w:ascii="Times New Roman" w:hAnsi="Times New Roman" w:cs="Times New Roman"/>
              </w:rPr>
              <w:t xml:space="preserve">Hourly rate </w:t>
            </w:r>
          </w:p>
        </w:tc>
        <w:tc>
          <w:tcPr>
            <w:tcW w:w="1263" w:type="dxa"/>
            <w:tcBorders>
              <w:top w:val="single" w:sz="2" w:space="0" w:color="auto"/>
              <w:left w:val="single" w:sz="2" w:space="0" w:color="auto"/>
              <w:bottom w:val="single" w:sz="2" w:space="0" w:color="auto"/>
              <w:right w:val="single" w:sz="2" w:space="0" w:color="auto"/>
            </w:tcBorders>
            <w:shd w:val="clear" w:color="auto" w:fill="auto"/>
            <w:vAlign w:val="center"/>
          </w:tcPr>
          <w:p w14:paraId="35DA16C6" w14:textId="77777777" w:rsidR="00426EB7" w:rsidRPr="001B62FA" w:rsidRDefault="00426EB7" w:rsidP="00A168EA">
            <w:pPr>
              <w:spacing w:after="0"/>
              <w:jc w:val="right"/>
              <w:rPr>
                <w:rFonts w:ascii="Times New Roman" w:hAnsi="Times New Roman" w:cs="Times New Roman"/>
              </w:rPr>
            </w:pPr>
            <w:r w:rsidRPr="001B62FA">
              <w:rPr>
                <w:rFonts w:ascii="Times New Roman" w:hAnsi="Times New Roman" w:cs="Times New Roman"/>
              </w:rPr>
              <w:t>N/A</w:t>
            </w:r>
          </w:p>
        </w:tc>
        <w:tc>
          <w:tcPr>
            <w:tcW w:w="3023" w:type="dxa"/>
            <w:tcBorders>
              <w:top w:val="single" w:sz="2" w:space="0" w:color="auto"/>
              <w:left w:val="single" w:sz="2" w:space="0" w:color="auto"/>
              <w:bottom w:val="single" w:sz="2" w:space="0" w:color="auto"/>
              <w:right w:val="single" w:sz="2" w:space="0" w:color="auto"/>
            </w:tcBorders>
            <w:shd w:val="clear" w:color="auto" w:fill="auto"/>
            <w:vAlign w:val="center"/>
          </w:tcPr>
          <w:p w14:paraId="0AA88246" w14:textId="621EA7B0" w:rsidR="00426EB7" w:rsidRPr="001B62FA" w:rsidRDefault="00426EB7" w:rsidP="00A168EA">
            <w:pPr>
              <w:spacing w:after="0"/>
              <w:rPr>
                <w:rFonts w:ascii="Times New Roman" w:hAnsi="Times New Roman" w:cs="Times New Roman"/>
              </w:rPr>
            </w:pPr>
            <w:r w:rsidRPr="001B62FA">
              <w:rPr>
                <w:rFonts w:ascii="Times New Roman" w:hAnsi="Times New Roman" w:cs="Times New Roman"/>
              </w:rPr>
              <w:t xml:space="preserve">Only </w:t>
            </w:r>
            <w:r w:rsidR="001F558E">
              <w:rPr>
                <w:rFonts w:ascii="Times New Roman" w:hAnsi="Times New Roman" w:cs="Times New Roman"/>
              </w:rPr>
              <w:t>change is</w:t>
            </w:r>
            <w:r w:rsidRPr="001B62FA">
              <w:rPr>
                <w:rFonts w:ascii="Times New Roman" w:hAnsi="Times New Roman" w:cs="Times New Roman"/>
              </w:rPr>
              <w:t xml:space="preserve"> the increase in the hourly rate from $202 to $226</w:t>
            </w:r>
          </w:p>
        </w:tc>
      </w:tr>
    </w:tbl>
    <w:p w14:paraId="5F43CD1A" w14:textId="77777777" w:rsidR="001D75EC" w:rsidRPr="005311C1" w:rsidRDefault="001D75EC" w:rsidP="001D75EC">
      <w:pPr>
        <w:pStyle w:val="ACMABodyText"/>
        <w:spacing w:after="0"/>
        <w:ind w:left="436" w:right="-862"/>
        <w:jc w:val="both"/>
        <w:rPr>
          <w:sz w:val="22"/>
          <w:szCs w:val="22"/>
        </w:rPr>
      </w:pPr>
    </w:p>
    <w:p w14:paraId="458AF617" w14:textId="77777777" w:rsidR="00025ACE" w:rsidRPr="004C58B9" w:rsidRDefault="00025ACE" w:rsidP="008A2F0A"/>
    <w:sectPr w:rsidR="00025ACE" w:rsidRPr="004C58B9" w:rsidSect="001B62FA">
      <w:footerReference w:type="first" r:id="rId1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F43B" w14:textId="77777777" w:rsidR="007054A6" w:rsidRDefault="007054A6" w:rsidP="00025ACE">
      <w:pPr>
        <w:spacing w:after="0" w:line="240" w:lineRule="auto"/>
      </w:pPr>
      <w:r>
        <w:separator/>
      </w:r>
    </w:p>
  </w:endnote>
  <w:endnote w:type="continuationSeparator" w:id="0">
    <w:p w14:paraId="088EFC43" w14:textId="77777777" w:rsidR="007054A6" w:rsidRDefault="007054A6"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AD3414" w:rsidRDefault="00AD3414" w:rsidP="00AD3414">
        <w:pPr>
          <w:pStyle w:val="Footer"/>
          <w:pBdr>
            <w:top w:val="single" w:sz="4" w:space="1" w:color="auto"/>
          </w:pBdr>
          <w:jc w:val="center"/>
        </w:pPr>
      </w:p>
      <w:p w14:paraId="7A9CDA51" w14:textId="6B06B365"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4827BC">
          <w:rPr>
            <w:rFonts w:ascii="Times New Roman" w:hAnsi="Times New Roman" w:cs="Times New Roman"/>
            <w:i/>
          </w:rPr>
          <w:t>Telecommunications (Charges) Determination 2022</w:t>
        </w:r>
      </w:p>
      <w:p w14:paraId="180626A1" w14:textId="56779CF1" w:rsidR="00025ACE" w:rsidRPr="00B552D8" w:rsidRDefault="00025ACE" w:rsidP="00B552D8">
        <w:pPr>
          <w:pStyle w:val="Footer"/>
          <w:jc w:val="right"/>
          <w:rPr>
            <w:iCs/>
          </w:rPr>
        </w:pPr>
        <w:r w:rsidRPr="00735EAE">
          <w:rPr>
            <w:rFonts w:ascii="Times New Roman" w:hAnsi="Times New Roman" w:cs="Times New Roman"/>
            <w:iCs/>
          </w:rPr>
          <w:fldChar w:fldCharType="begin"/>
        </w:r>
        <w:r w:rsidRPr="00735EAE">
          <w:rPr>
            <w:rFonts w:ascii="Times New Roman" w:hAnsi="Times New Roman" w:cs="Times New Roman"/>
            <w:iCs/>
          </w:rPr>
          <w:instrText xml:space="preserve"> PAGE   \* MERGEFORMAT </w:instrText>
        </w:r>
        <w:r w:rsidRPr="00735EAE">
          <w:rPr>
            <w:rFonts w:ascii="Times New Roman" w:hAnsi="Times New Roman" w:cs="Times New Roman"/>
            <w:iCs/>
          </w:rPr>
          <w:fldChar w:fldCharType="separate"/>
        </w:r>
        <w:r w:rsidR="00D23BD5" w:rsidRPr="00735EAE">
          <w:rPr>
            <w:rFonts w:ascii="Times New Roman" w:hAnsi="Times New Roman" w:cs="Times New Roman"/>
            <w:iCs/>
            <w:noProof/>
          </w:rPr>
          <w:t>6</w:t>
        </w:r>
        <w:r w:rsidRPr="00735EAE">
          <w:rPr>
            <w:rFonts w:ascii="Times New Roman" w:hAnsi="Times New Roman" w:cs="Times New Roman"/>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76422"/>
      <w:docPartObj>
        <w:docPartGallery w:val="Page Numbers (Bottom of Page)"/>
        <w:docPartUnique/>
      </w:docPartObj>
    </w:sdtPr>
    <w:sdtEndPr>
      <w:rPr>
        <w:iCs/>
        <w:noProof/>
      </w:rPr>
    </w:sdtEndPr>
    <w:sdtContent>
      <w:p w14:paraId="60844936" w14:textId="77777777" w:rsidR="00B552D8" w:rsidRDefault="00B552D8" w:rsidP="00B552D8">
        <w:pPr>
          <w:pStyle w:val="Footer"/>
          <w:pBdr>
            <w:top w:val="single" w:sz="4" w:space="1" w:color="auto"/>
          </w:pBdr>
          <w:jc w:val="center"/>
        </w:pPr>
      </w:p>
      <w:p w14:paraId="4DF9976D" w14:textId="77777777" w:rsidR="00B552D8" w:rsidRPr="00AD3414" w:rsidRDefault="00B552D8" w:rsidP="00B552D8">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Telecommunications (Charges) Determination 2022</w:t>
        </w:r>
      </w:p>
      <w:p w14:paraId="5EE6014F" w14:textId="3D74A7BA" w:rsidR="00B552D8" w:rsidRPr="00B552D8" w:rsidRDefault="00B552D8" w:rsidP="00B552D8">
        <w:pPr>
          <w:pStyle w:val="Footer"/>
          <w:jc w:val="right"/>
          <w:rPr>
            <w:iCs/>
            <w:noProof/>
          </w:rPr>
        </w:pPr>
        <w:r w:rsidRPr="00735EAE">
          <w:rPr>
            <w:rFonts w:ascii="Times New Roman" w:hAnsi="Times New Roman" w:cs="Times New Roman"/>
            <w:iCs/>
          </w:rPr>
          <w:fldChar w:fldCharType="begin"/>
        </w:r>
        <w:r w:rsidRPr="00735EAE">
          <w:rPr>
            <w:rFonts w:ascii="Times New Roman" w:hAnsi="Times New Roman" w:cs="Times New Roman"/>
            <w:iCs/>
          </w:rPr>
          <w:instrText xml:space="preserve"> PAGE   \* MERGEFORMAT </w:instrText>
        </w:r>
        <w:r w:rsidRPr="00735EAE">
          <w:rPr>
            <w:rFonts w:ascii="Times New Roman" w:hAnsi="Times New Roman" w:cs="Times New Roman"/>
            <w:iCs/>
          </w:rPr>
          <w:fldChar w:fldCharType="separate"/>
        </w:r>
        <w:r>
          <w:rPr>
            <w:rFonts w:ascii="Times New Roman" w:hAnsi="Times New Roman" w:cs="Times New Roman"/>
            <w:iCs/>
          </w:rPr>
          <w:t>2</w:t>
        </w:r>
        <w:r w:rsidRPr="00735EAE">
          <w:rPr>
            <w:rFonts w:ascii="Times New Roman" w:hAnsi="Times New Roman" w:cs="Times New Roman"/>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2B6B" w14:textId="77777777" w:rsidR="007054A6" w:rsidRDefault="007054A6" w:rsidP="00025ACE">
      <w:pPr>
        <w:spacing w:after="0" w:line="240" w:lineRule="auto"/>
      </w:pPr>
      <w:r>
        <w:separator/>
      </w:r>
    </w:p>
  </w:footnote>
  <w:footnote w:type="continuationSeparator" w:id="0">
    <w:p w14:paraId="6F38F4C9" w14:textId="77777777" w:rsidR="007054A6" w:rsidRDefault="007054A6"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57A89"/>
    <w:multiLevelType w:val="hybridMultilevel"/>
    <w:tmpl w:val="3A68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B395C"/>
    <w:multiLevelType w:val="hybridMultilevel"/>
    <w:tmpl w:val="9282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13C8D"/>
    <w:multiLevelType w:val="hybridMultilevel"/>
    <w:tmpl w:val="06D6795C"/>
    <w:lvl w:ilvl="0" w:tplc="A6AA309A">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FB31DA"/>
    <w:multiLevelType w:val="hybridMultilevel"/>
    <w:tmpl w:val="769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7C214F"/>
    <w:multiLevelType w:val="hybridMultilevel"/>
    <w:tmpl w:val="EA8802A4"/>
    <w:lvl w:ilvl="0" w:tplc="CC7072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6"/>
  </w:num>
  <w:num w:numId="5">
    <w:abstractNumId w:val="5"/>
  </w:num>
  <w:num w:numId="6">
    <w:abstractNumId w:val="0"/>
  </w:num>
  <w:num w:numId="7">
    <w:abstractNumId w:val="4"/>
  </w:num>
  <w:num w:numId="8">
    <w:abstractNumId w:val="10"/>
  </w:num>
  <w:num w:numId="9">
    <w:abstractNumId w:val="1"/>
  </w:num>
  <w:num w:numId="10">
    <w:abstractNumId w:val="4"/>
  </w:num>
  <w:num w:numId="11">
    <w:abstractNumId w:val="6"/>
  </w:num>
  <w:num w:numId="12">
    <w:abstractNumId w:val="5"/>
  </w:num>
  <w:num w:numId="13">
    <w:abstractNumId w:val="10"/>
  </w:num>
  <w:num w:numId="14">
    <w:abstractNumId w:val="1"/>
  </w:num>
  <w:num w:numId="15">
    <w:abstractNumId w:val="4"/>
  </w:num>
  <w:num w:numId="16">
    <w:abstractNumId w:val="6"/>
  </w:num>
  <w:num w:numId="17">
    <w:abstractNumId w:val="5"/>
  </w:num>
  <w:num w:numId="18">
    <w:abstractNumId w:val="3"/>
  </w:num>
  <w:num w:numId="19">
    <w:abstractNumId w:val="2"/>
  </w:num>
  <w:num w:numId="20">
    <w:abstractNumId w:val="9"/>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526"/>
    <w:rsid w:val="00002640"/>
    <w:rsid w:val="00002A60"/>
    <w:rsid w:val="00003720"/>
    <w:rsid w:val="00006051"/>
    <w:rsid w:val="0001217A"/>
    <w:rsid w:val="000124F9"/>
    <w:rsid w:val="00013079"/>
    <w:rsid w:val="00015925"/>
    <w:rsid w:val="00025ACE"/>
    <w:rsid w:val="00026F01"/>
    <w:rsid w:val="000316F8"/>
    <w:rsid w:val="00033A08"/>
    <w:rsid w:val="00033E9B"/>
    <w:rsid w:val="00035DC3"/>
    <w:rsid w:val="00037063"/>
    <w:rsid w:val="00037F0E"/>
    <w:rsid w:val="00050117"/>
    <w:rsid w:val="000576F9"/>
    <w:rsid w:val="0006030C"/>
    <w:rsid w:val="00061553"/>
    <w:rsid w:val="0006704F"/>
    <w:rsid w:val="00070D91"/>
    <w:rsid w:val="000726C7"/>
    <w:rsid w:val="00072DC2"/>
    <w:rsid w:val="00074A8D"/>
    <w:rsid w:val="00082354"/>
    <w:rsid w:val="00082D20"/>
    <w:rsid w:val="00083057"/>
    <w:rsid w:val="00090DE4"/>
    <w:rsid w:val="000935C3"/>
    <w:rsid w:val="0009466C"/>
    <w:rsid w:val="00095AB3"/>
    <w:rsid w:val="00095CBB"/>
    <w:rsid w:val="000A2D0E"/>
    <w:rsid w:val="000A3A94"/>
    <w:rsid w:val="000B037A"/>
    <w:rsid w:val="000B0BA7"/>
    <w:rsid w:val="000B33B6"/>
    <w:rsid w:val="000B3E43"/>
    <w:rsid w:val="000B4B6C"/>
    <w:rsid w:val="000B524F"/>
    <w:rsid w:val="000B6417"/>
    <w:rsid w:val="000C48FD"/>
    <w:rsid w:val="000C6436"/>
    <w:rsid w:val="000C6D0F"/>
    <w:rsid w:val="000C6D5F"/>
    <w:rsid w:val="000C7762"/>
    <w:rsid w:val="000D30BB"/>
    <w:rsid w:val="000D4ECE"/>
    <w:rsid w:val="000D62FF"/>
    <w:rsid w:val="000E277F"/>
    <w:rsid w:val="000E38C9"/>
    <w:rsid w:val="000E5CDD"/>
    <w:rsid w:val="000E6F58"/>
    <w:rsid w:val="000E7AC0"/>
    <w:rsid w:val="000F2CCA"/>
    <w:rsid w:val="000F4C16"/>
    <w:rsid w:val="000F5FBD"/>
    <w:rsid w:val="000F6255"/>
    <w:rsid w:val="000F6554"/>
    <w:rsid w:val="000F7FDF"/>
    <w:rsid w:val="00100121"/>
    <w:rsid w:val="00100C8C"/>
    <w:rsid w:val="00102361"/>
    <w:rsid w:val="00103BE1"/>
    <w:rsid w:val="00104130"/>
    <w:rsid w:val="0010490E"/>
    <w:rsid w:val="00105552"/>
    <w:rsid w:val="00105846"/>
    <w:rsid w:val="00106B61"/>
    <w:rsid w:val="00112987"/>
    <w:rsid w:val="00113AD8"/>
    <w:rsid w:val="00117351"/>
    <w:rsid w:val="00121B9E"/>
    <w:rsid w:val="00122072"/>
    <w:rsid w:val="00134705"/>
    <w:rsid w:val="001350AB"/>
    <w:rsid w:val="00135399"/>
    <w:rsid w:val="00137626"/>
    <w:rsid w:val="00142E11"/>
    <w:rsid w:val="0014411A"/>
    <w:rsid w:val="00144D6A"/>
    <w:rsid w:val="0014598E"/>
    <w:rsid w:val="00146A0C"/>
    <w:rsid w:val="001475D1"/>
    <w:rsid w:val="0015077A"/>
    <w:rsid w:val="0015113C"/>
    <w:rsid w:val="00151A22"/>
    <w:rsid w:val="00153243"/>
    <w:rsid w:val="00154331"/>
    <w:rsid w:val="00156C08"/>
    <w:rsid w:val="00157F04"/>
    <w:rsid w:val="00157FCE"/>
    <w:rsid w:val="0016116D"/>
    <w:rsid w:val="00161C73"/>
    <w:rsid w:val="001640F0"/>
    <w:rsid w:val="00164419"/>
    <w:rsid w:val="001675DB"/>
    <w:rsid w:val="001722BF"/>
    <w:rsid w:val="00174127"/>
    <w:rsid w:val="00183244"/>
    <w:rsid w:val="00183810"/>
    <w:rsid w:val="00185923"/>
    <w:rsid w:val="00185BDC"/>
    <w:rsid w:val="00187994"/>
    <w:rsid w:val="00187C0C"/>
    <w:rsid w:val="001A3DEC"/>
    <w:rsid w:val="001A7762"/>
    <w:rsid w:val="001A79A1"/>
    <w:rsid w:val="001B050B"/>
    <w:rsid w:val="001B1FF9"/>
    <w:rsid w:val="001B62FA"/>
    <w:rsid w:val="001C28E3"/>
    <w:rsid w:val="001C3F6D"/>
    <w:rsid w:val="001C4BF8"/>
    <w:rsid w:val="001C5421"/>
    <w:rsid w:val="001C7854"/>
    <w:rsid w:val="001D2E06"/>
    <w:rsid w:val="001D3A98"/>
    <w:rsid w:val="001D5C25"/>
    <w:rsid w:val="001D75EC"/>
    <w:rsid w:val="001E343E"/>
    <w:rsid w:val="001E592C"/>
    <w:rsid w:val="001E6F0E"/>
    <w:rsid w:val="001F0A2F"/>
    <w:rsid w:val="001F15DD"/>
    <w:rsid w:val="001F508D"/>
    <w:rsid w:val="001F558E"/>
    <w:rsid w:val="001F68C2"/>
    <w:rsid w:val="002018B9"/>
    <w:rsid w:val="002037BF"/>
    <w:rsid w:val="0020468E"/>
    <w:rsid w:val="00206DB7"/>
    <w:rsid w:val="0020752E"/>
    <w:rsid w:val="0021058C"/>
    <w:rsid w:val="00212847"/>
    <w:rsid w:val="002143CA"/>
    <w:rsid w:val="00215066"/>
    <w:rsid w:val="00216889"/>
    <w:rsid w:val="002168AC"/>
    <w:rsid w:val="00220DE7"/>
    <w:rsid w:val="00221F89"/>
    <w:rsid w:val="00226422"/>
    <w:rsid w:val="00227891"/>
    <w:rsid w:val="002314FC"/>
    <w:rsid w:val="00236C52"/>
    <w:rsid w:val="002405FD"/>
    <w:rsid w:val="00240E4C"/>
    <w:rsid w:val="00250586"/>
    <w:rsid w:val="002508F7"/>
    <w:rsid w:val="00252C74"/>
    <w:rsid w:val="00256482"/>
    <w:rsid w:val="00257F20"/>
    <w:rsid w:val="00262CA4"/>
    <w:rsid w:val="002635C8"/>
    <w:rsid w:val="00265BDA"/>
    <w:rsid w:val="00266C67"/>
    <w:rsid w:val="002674E7"/>
    <w:rsid w:val="0026757C"/>
    <w:rsid w:val="00267B59"/>
    <w:rsid w:val="002747E4"/>
    <w:rsid w:val="002807C2"/>
    <w:rsid w:val="00292BF4"/>
    <w:rsid w:val="0029698F"/>
    <w:rsid w:val="00296DFF"/>
    <w:rsid w:val="002A2D8A"/>
    <w:rsid w:val="002A6E43"/>
    <w:rsid w:val="002B6699"/>
    <w:rsid w:val="002B70EE"/>
    <w:rsid w:val="002C2256"/>
    <w:rsid w:val="002C4974"/>
    <w:rsid w:val="002D130A"/>
    <w:rsid w:val="002D5B5A"/>
    <w:rsid w:val="002E1E57"/>
    <w:rsid w:val="002E1ECF"/>
    <w:rsid w:val="002E3B2A"/>
    <w:rsid w:val="002E57E8"/>
    <w:rsid w:val="002F36E0"/>
    <w:rsid w:val="002F5DDF"/>
    <w:rsid w:val="00300FC4"/>
    <w:rsid w:val="00302658"/>
    <w:rsid w:val="00303AA6"/>
    <w:rsid w:val="003053E2"/>
    <w:rsid w:val="00315A58"/>
    <w:rsid w:val="00320C83"/>
    <w:rsid w:val="00323A6F"/>
    <w:rsid w:val="00336F2E"/>
    <w:rsid w:val="0034055E"/>
    <w:rsid w:val="00341DC6"/>
    <w:rsid w:val="00342E90"/>
    <w:rsid w:val="003434D4"/>
    <w:rsid w:val="00344516"/>
    <w:rsid w:val="00345BB6"/>
    <w:rsid w:val="00352A18"/>
    <w:rsid w:val="003552CE"/>
    <w:rsid w:val="0036127C"/>
    <w:rsid w:val="003618ED"/>
    <w:rsid w:val="00364BEE"/>
    <w:rsid w:val="00364E42"/>
    <w:rsid w:val="00365E6E"/>
    <w:rsid w:val="0036752E"/>
    <w:rsid w:val="00370620"/>
    <w:rsid w:val="00370AA7"/>
    <w:rsid w:val="0037306B"/>
    <w:rsid w:val="003731B5"/>
    <w:rsid w:val="00375659"/>
    <w:rsid w:val="00375FA7"/>
    <w:rsid w:val="00376D67"/>
    <w:rsid w:val="00382248"/>
    <w:rsid w:val="00382F56"/>
    <w:rsid w:val="00385EF1"/>
    <w:rsid w:val="00390641"/>
    <w:rsid w:val="00393CD7"/>
    <w:rsid w:val="00395A6E"/>
    <w:rsid w:val="003A1AB2"/>
    <w:rsid w:val="003A3635"/>
    <w:rsid w:val="003A44D5"/>
    <w:rsid w:val="003A509F"/>
    <w:rsid w:val="003A6238"/>
    <w:rsid w:val="003A6B5A"/>
    <w:rsid w:val="003A704A"/>
    <w:rsid w:val="003A7407"/>
    <w:rsid w:val="003B3D92"/>
    <w:rsid w:val="003B4B2E"/>
    <w:rsid w:val="003B4B4D"/>
    <w:rsid w:val="003B6055"/>
    <w:rsid w:val="003B6CC2"/>
    <w:rsid w:val="003B7118"/>
    <w:rsid w:val="003C1FBA"/>
    <w:rsid w:val="003C2F82"/>
    <w:rsid w:val="003C4403"/>
    <w:rsid w:val="003C44B4"/>
    <w:rsid w:val="003C7E64"/>
    <w:rsid w:val="003D2290"/>
    <w:rsid w:val="003D57EC"/>
    <w:rsid w:val="003D74BE"/>
    <w:rsid w:val="003E4FE8"/>
    <w:rsid w:val="003E63BC"/>
    <w:rsid w:val="003F2770"/>
    <w:rsid w:val="003F3246"/>
    <w:rsid w:val="003F4432"/>
    <w:rsid w:val="003F7DCE"/>
    <w:rsid w:val="00402F0A"/>
    <w:rsid w:val="004032F5"/>
    <w:rsid w:val="0041003E"/>
    <w:rsid w:val="00410E0D"/>
    <w:rsid w:val="0041189B"/>
    <w:rsid w:val="0041403C"/>
    <w:rsid w:val="00414EEC"/>
    <w:rsid w:val="00421BD8"/>
    <w:rsid w:val="00426EB7"/>
    <w:rsid w:val="004342BF"/>
    <w:rsid w:val="004362E3"/>
    <w:rsid w:val="004367F5"/>
    <w:rsid w:val="00436F1F"/>
    <w:rsid w:val="004432DD"/>
    <w:rsid w:val="00444A66"/>
    <w:rsid w:val="00445D2E"/>
    <w:rsid w:val="00445EA1"/>
    <w:rsid w:val="00446CB7"/>
    <w:rsid w:val="00450F48"/>
    <w:rsid w:val="004534C7"/>
    <w:rsid w:val="0045489F"/>
    <w:rsid w:val="00455A26"/>
    <w:rsid w:val="00456706"/>
    <w:rsid w:val="00457593"/>
    <w:rsid w:val="004575A3"/>
    <w:rsid w:val="00460D4B"/>
    <w:rsid w:val="00463F97"/>
    <w:rsid w:val="00465EC5"/>
    <w:rsid w:val="00470F63"/>
    <w:rsid w:val="00472DD3"/>
    <w:rsid w:val="0047415B"/>
    <w:rsid w:val="00474889"/>
    <w:rsid w:val="00480F1F"/>
    <w:rsid w:val="00481438"/>
    <w:rsid w:val="004826DD"/>
    <w:rsid w:val="004827BC"/>
    <w:rsid w:val="00483149"/>
    <w:rsid w:val="0048392D"/>
    <w:rsid w:val="00491C93"/>
    <w:rsid w:val="004921A6"/>
    <w:rsid w:val="004971D6"/>
    <w:rsid w:val="004A1064"/>
    <w:rsid w:val="004A40A8"/>
    <w:rsid w:val="004A4134"/>
    <w:rsid w:val="004A4260"/>
    <w:rsid w:val="004A4B36"/>
    <w:rsid w:val="004A5A03"/>
    <w:rsid w:val="004A6D8D"/>
    <w:rsid w:val="004A7162"/>
    <w:rsid w:val="004B0556"/>
    <w:rsid w:val="004C33E0"/>
    <w:rsid w:val="004C3BE4"/>
    <w:rsid w:val="004C5277"/>
    <w:rsid w:val="004C58B9"/>
    <w:rsid w:val="004C77A9"/>
    <w:rsid w:val="004D2843"/>
    <w:rsid w:val="004D3750"/>
    <w:rsid w:val="004E6956"/>
    <w:rsid w:val="004E790E"/>
    <w:rsid w:val="004E7F1A"/>
    <w:rsid w:val="004F1962"/>
    <w:rsid w:val="004F3EAE"/>
    <w:rsid w:val="004F4752"/>
    <w:rsid w:val="004F53EB"/>
    <w:rsid w:val="004F7838"/>
    <w:rsid w:val="00502F8C"/>
    <w:rsid w:val="0050389F"/>
    <w:rsid w:val="00503945"/>
    <w:rsid w:val="00503C85"/>
    <w:rsid w:val="00505649"/>
    <w:rsid w:val="005069B9"/>
    <w:rsid w:val="005105C4"/>
    <w:rsid w:val="0051114C"/>
    <w:rsid w:val="00513E7B"/>
    <w:rsid w:val="00515180"/>
    <w:rsid w:val="00516FC3"/>
    <w:rsid w:val="00517E9B"/>
    <w:rsid w:val="00520882"/>
    <w:rsid w:val="005209A7"/>
    <w:rsid w:val="00525085"/>
    <w:rsid w:val="0052687A"/>
    <w:rsid w:val="005278D2"/>
    <w:rsid w:val="00527ED5"/>
    <w:rsid w:val="0053356F"/>
    <w:rsid w:val="0053543D"/>
    <w:rsid w:val="005359C6"/>
    <w:rsid w:val="00540146"/>
    <w:rsid w:val="005417D6"/>
    <w:rsid w:val="0054573C"/>
    <w:rsid w:val="00545C78"/>
    <w:rsid w:val="00547DFF"/>
    <w:rsid w:val="005517A9"/>
    <w:rsid w:val="005558BF"/>
    <w:rsid w:val="00560922"/>
    <w:rsid w:val="0056162D"/>
    <w:rsid w:val="00570748"/>
    <w:rsid w:val="00570974"/>
    <w:rsid w:val="00580A78"/>
    <w:rsid w:val="005822F5"/>
    <w:rsid w:val="00582D45"/>
    <w:rsid w:val="00584618"/>
    <w:rsid w:val="00586912"/>
    <w:rsid w:val="005933E6"/>
    <w:rsid w:val="00594278"/>
    <w:rsid w:val="0059551F"/>
    <w:rsid w:val="005958D6"/>
    <w:rsid w:val="00595B1D"/>
    <w:rsid w:val="005964CF"/>
    <w:rsid w:val="005A0EBB"/>
    <w:rsid w:val="005A2C0F"/>
    <w:rsid w:val="005A46EF"/>
    <w:rsid w:val="005A6523"/>
    <w:rsid w:val="005B3EE1"/>
    <w:rsid w:val="005C44EF"/>
    <w:rsid w:val="005C5BCD"/>
    <w:rsid w:val="005C65EB"/>
    <w:rsid w:val="005C6D23"/>
    <w:rsid w:val="005D4372"/>
    <w:rsid w:val="005E2D05"/>
    <w:rsid w:val="005E3A5E"/>
    <w:rsid w:val="005E609D"/>
    <w:rsid w:val="005F2468"/>
    <w:rsid w:val="005F4BC5"/>
    <w:rsid w:val="005F5BE6"/>
    <w:rsid w:val="005F5EF0"/>
    <w:rsid w:val="00601606"/>
    <w:rsid w:val="00603B3F"/>
    <w:rsid w:val="00603ECE"/>
    <w:rsid w:val="0061126A"/>
    <w:rsid w:val="006139C5"/>
    <w:rsid w:val="00613E72"/>
    <w:rsid w:val="0061504C"/>
    <w:rsid w:val="006206A1"/>
    <w:rsid w:val="00622C07"/>
    <w:rsid w:val="00623227"/>
    <w:rsid w:val="006232B6"/>
    <w:rsid w:val="0063152C"/>
    <w:rsid w:val="00632EDB"/>
    <w:rsid w:val="0063369C"/>
    <w:rsid w:val="006337BB"/>
    <w:rsid w:val="00635234"/>
    <w:rsid w:val="006356F9"/>
    <w:rsid w:val="0063656C"/>
    <w:rsid w:val="00636E77"/>
    <w:rsid w:val="00641906"/>
    <w:rsid w:val="006458DA"/>
    <w:rsid w:val="00646F13"/>
    <w:rsid w:val="00655B27"/>
    <w:rsid w:val="00660417"/>
    <w:rsid w:val="00661936"/>
    <w:rsid w:val="00663AF2"/>
    <w:rsid w:val="00670716"/>
    <w:rsid w:val="00671216"/>
    <w:rsid w:val="00674775"/>
    <w:rsid w:val="00676114"/>
    <w:rsid w:val="0067687C"/>
    <w:rsid w:val="00676F2F"/>
    <w:rsid w:val="00681986"/>
    <w:rsid w:val="0068390D"/>
    <w:rsid w:val="00686694"/>
    <w:rsid w:val="00686F06"/>
    <w:rsid w:val="00687290"/>
    <w:rsid w:val="006940DB"/>
    <w:rsid w:val="006959BA"/>
    <w:rsid w:val="00696659"/>
    <w:rsid w:val="006A0B90"/>
    <w:rsid w:val="006A0BDF"/>
    <w:rsid w:val="006A0CE2"/>
    <w:rsid w:val="006A19E8"/>
    <w:rsid w:val="006A38CA"/>
    <w:rsid w:val="006A53BB"/>
    <w:rsid w:val="006A669F"/>
    <w:rsid w:val="006B02EC"/>
    <w:rsid w:val="006C0907"/>
    <w:rsid w:val="006C2165"/>
    <w:rsid w:val="006C2AB5"/>
    <w:rsid w:val="006C3079"/>
    <w:rsid w:val="006C59D5"/>
    <w:rsid w:val="006D1591"/>
    <w:rsid w:val="006D2C39"/>
    <w:rsid w:val="006D5B48"/>
    <w:rsid w:val="006D6F68"/>
    <w:rsid w:val="006E2AF7"/>
    <w:rsid w:val="006E4817"/>
    <w:rsid w:val="006F2968"/>
    <w:rsid w:val="006F32BF"/>
    <w:rsid w:val="006F528B"/>
    <w:rsid w:val="007013F4"/>
    <w:rsid w:val="007054A6"/>
    <w:rsid w:val="00706F43"/>
    <w:rsid w:val="007070CF"/>
    <w:rsid w:val="007070D2"/>
    <w:rsid w:val="00712C5C"/>
    <w:rsid w:val="00714984"/>
    <w:rsid w:val="00714AB8"/>
    <w:rsid w:val="00721477"/>
    <w:rsid w:val="00722D2D"/>
    <w:rsid w:val="00726C57"/>
    <w:rsid w:val="00727377"/>
    <w:rsid w:val="007308B7"/>
    <w:rsid w:val="00731A57"/>
    <w:rsid w:val="00731D35"/>
    <w:rsid w:val="00735953"/>
    <w:rsid w:val="00735EAE"/>
    <w:rsid w:val="0074106B"/>
    <w:rsid w:val="007435E6"/>
    <w:rsid w:val="007436DD"/>
    <w:rsid w:val="0074661C"/>
    <w:rsid w:val="00747E0E"/>
    <w:rsid w:val="00750397"/>
    <w:rsid w:val="007547DC"/>
    <w:rsid w:val="007563B3"/>
    <w:rsid w:val="007601A7"/>
    <w:rsid w:val="0076251B"/>
    <w:rsid w:val="00763082"/>
    <w:rsid w:val="00765E36"/>
    <w:rsid w:val="00766475"/>
    <w:rsid w:val="00771B07"/>
    <w:rsid w:val="007721DA"/>
    <w:rsid w:val="0077260B"/>
    <w:rsid w:val="0077364D"/>
    <w:rsid w:val="00775FC1"/>
    <w:rsid w:val="00776A1D"/>
    <w:rsid w:val="00776E3C"/>
    <w:rsid w:val="00777033"/>
    <w:rsid w:val="00777AD7"/>
    <w:rsid w:val="00780C08"/>
    <w:rsid w:val="00781BE5"/>
    <w:rsid w:val="00782711"/>
    <w:rsid w:val="00786643"/>
    <w:rsid w:val="00794063"/>
    <w:rsid w:val="00794C5F"/>
    <w:rsid w:val="00795BC1"/>
    <w:rsid w:val="007A0103"/>
    <w:rsid w:val="007A1B53"/>
    <w:rsid w:val="007A1DA3"/>
    <w:rsid w:val="007A2277"/>
    <w:rsid w:val="007B38C7"/>
    <w:rsid w:val="007B4BC7"/>
    <w:rsid w:val="007B5FC9"/>
    <w:rsid w:val="007B6EAB"/>
    <w:rsid w:val="007B740C"/>
    <w:rsid w:val="007C7E76"/>
    <w:rsid w:val="007D16F1"/>
    <w:rsid w:val="007D2535"/>
    <w:rsid w:val="007D2D43"/>
    <w:rsid w:val="007E0B93"/>
    <w:rsid w:val="007E17D1"/>
    <w:rsid w:val="007E4809"/>
    <w:rsid w:val="007E4BBD"/>
    <w:rsid w:val="007E4E06"/>
    <w:rsid w:val="007F2349"/>
    <w:rsid w:val="007F3D3E"/>
    <w:rsid w:val="007F4EEE"/>
    <w:rsid w:val="007F7E54"/>
    <w:rsid w:val="00805358"/>
    <w:rsid w:val="008070A8"/>
    <w:rsid w:val="00807F97"/>
    <w:rsid w:val="00810499"/>
    <w:rsid w:val="008107F2"/>
    <w:rsid w:val="0081166D"/>
    <w:rsid w:val="0081203C"/>
    <w:rsid w:val="00812DDA"/>
    <w:rsid w:val="00814468"/>
    <w:rsid w:val="00816165"/>
    <w:rsid w:val="00821F3F"/>
    <w:rsid w:val="00822264"/>
    <w:rsid w:val="00827A9E"/>
    <w:rsid w:val="00831310"/>
    <w:rsid w:val="00832E99"/>
    <w:rsid w:val="00836735"/>
    <w:rsid w:val="00841537"/>
    <w:rsid w:val="00843382"/>
    <w:rsid w:val="008441CF"/>
    <w:rsid w:val="0084470A"/>
    <w:rsid w:val="00853B29"/>
    <w:rsid w:val="008568AA"/>
    <w:rsid w:val="00856B9A"/>
    <w:rsid w:val="00863DA8"/>
    <w:rsid w:val="008640A7"/>
    <w:rsid w:val="00866A98"/>
    <w:rsid w:val="00874D64"/>
    <w:rsid w:val="0087707C"/>
    <w:rsid w:val="00887964"/>
    <w:rsid w:val="00893FF9"/>
    <w:rsid w:val="008A1FDF"/>
    <w:rsid w:val="008A2F0A"/>
    <w:rsid w:val="008A5AA3"/>
    <w:rsid w:val="008A712E"/>
    <w:rsid w:val="008A799E"/>
    <w:rsid w:val="008B1203"/>
    <w:rsid w:val="008B7D19"/>
    <w:rsid w:val="008C28C8"/>
    <w:rsid w:val="008C3D30"/>
    <w:rsid w:val="008C53E2"/>
    <w:rsid w:val="008C584E"/>
    <w:rsid w:val="008C7C81"/>
    <w:rsid w:val="008D00AB"/>
    <w:rsid w:val="008D2268"/>
    <w:rsid w:val="008D291A"/>
    <w:rsid w:val="008D42B7"/>
    <w:rsid w:val="008D63EF"/>
    <w:rsid w:val="008E0085"/>
    <w:rsid w:val="008E2267"/>
    <w:rsid w:val="008E3483"/>
    <w:rsid w:val="008E4C36"/>
    <w:rsid w:val="008F4C58"/>
    <w:rsid w:val="008F57F8"/>
    <w:rsid w:val="0090568A"/>
    <w:rsid w:val="0090572C"/>
    <w:rsid w:val="009068DC"/>
    <w:rsid w:val="009078C2"/>
    <w:rsid w:val="0091080B"/>
    <w:rsid w:val="00916719"/>
    <w:rsid w:val="0092057E"/>
    <w:rsid w:val="00920729"/>
    <w:rsid w:val="00920C01"/>
    <w:rsid w:val="00920C8C"/>
    <w:rsid w:val="0092387B"/>
    <w:rsid w:val="009255EA"/>
    <w:rsid w:val="00926833"/>
    <w:rsid w:val="009328B4"/>
    <w:rsid w:val="00935647"/>
    <w:rsid w:val="00940048"/>
    <w:rsid w:val="009407DC"/>
    <w:rsid w:val="00944EF8"/>
    <w:rsid w:val="00955B24"/>
    <w:rsid w:val="009619DE"/>
    <w:rsid w:val="009641D6"/>
    <w:rsid w:val="009670B7"/>
    <w:rsid w:val="009707D9"/>
    <w:rsid w:val="0097110D"/>
    <w:rsid w:val="009723D1"/>
    <w:rsid w:val="00972581"/>
    <w:rsid w:val="00973006"/>
    <w:rsid w:val="009732C1"/>
    <w:rsid w:val="00973348"/>
    <w:rsid w:val="009752F9"/>
    <w:rsid w:val="009771D3"/>
    <w:rsid w:val="00977705"/>
    <w:rsid w:val="00980391"/>
    <w:rsid w:val="00981D4E"/>
    <w:rsid w:val="0098566B"/>
    <w:rsid w:val="009862E5"/>
    <w:rsid w:val="009901A9"/>
    <w:rsid w:val="0099457A"/>
    <w:rsid w:val="00994E4A"/>
    <w:rsid w:val="009A04BC"/>
    <w:rsid w:val="009A516B"/>
    <w:rsid w:val="009A6D0E"/>
    <w:rsid w:val="009A707F"/>
    <w:rsid w:val="009A7475"/>
    <w:rsid w:val="009B01BE"/>
    <w:rsid w:val="009B3AD5"/>
    <w:rsid w:val="009B6F03"/>
    <w:rsid w:val="009B7F05"/>
    <w:rsid w:val="009C2904"/>
    <w:rsid w:val="009C60F2"/>
    <w:rsid w:val="009D07C2"/>
    <w:rsid w:val="009D2E54"/>
    <w:rsid w:val="009D5783"/>
    <w:rsid w:val="009D67A8"/>
    <w:rsid w:val="009D743B"/>
    <w:rsid w:val="009D760D"/>
    <w:rsid w:val="009D7FBA"/>
    <w:rsid w:val="009E20DF"/>
    <w:rsid w:val="009E24D1"/>
    <w:rsid w:val="009E2A52"/>
    <w:rsid w:val="009F370D"/>
    <w:rsid w:val="009F4667"/>
    <w:rsid w:val="009F500A"/>
    <w:rsid w:val="009F57B2"/>
    <w:rsid w:val="009F58DA"/>
    <w:rsid w:val="009F7219"/>
    <w:rsid w:val="00A041A0"/>
    <w:rsid w:val="00A053EC"/>
    <w:rsid w:val="00A06472"/>
    <w:rsid w:val="00A07A2F"/>
    <w:rsid w:val="00A146C4"/>
    <w:rsid w:val="00A158D2"/>
    <w:rsid w:val="00A213A8"/>
    <w:rsid w:val="00A21F3E"/>
    <w:rsid w:val="00A2339B"/>
    <w:rsid w:val="00A27063"/>
    <w:rsid w:val="00A32CAE"/>
    <w:rsid w:val="00A43DBF"/>
    <w:rsid w:val="00A4478E"/>
    <w:rsid w:val="00A47C9B"/>
    <w:rsid w:val="00A5148E"/>
    <w:rsid w:val="00A5354E"/>
    <w:rsid w:val="00A544DF"/>
    <w:rsid w:val="00A55A2A"/>
    <w:rsid w:val="00A618BB"/>
    <w:rsid w:val="00A61BE0"/>
    <w:rsid w:val="00A61F85"/>
    <w:rsid w:val="00A62668"/>
    <w:rsid w:val="00A64EC4"/>
    <w:rsid w:val="00A66543"/>
    <w:rsid w:val="00A67356"/>
    <w:rsid w:val="00A7023B"/>
    <w:rsid w:val="00A70970"/>
    <w:rsid w:val="00A75F13"/>
    <w:rsid w:val="00A76CA1"/>
    <w:rsid w:val="00A823E8"/>
    <w:rsid w:val="00A922EC"/>
    <w:rsid w:val="00A94278"/>
    <w:rsid w:val="00A96F33"/>
    <w:rsid w:val="00AA1027"/>
    <w:rsid w:val="00AA16D2"/>
    <w:rsid w:val="00AA1EFD"/>
    <w:rsid w:val="00AA2271"/>
    <w:rsid w:val="00AA268D"/>
    <w:rsid w:val="00AA30A7"/>
    <w:rsid w:val="00AA6088"/>
    <w:rsid w:val="00AB4D72"/>
    <w:rsid w:val="00AB4F7A"/>
    <w:rsid w:val="00AB65E7"/>
    <w:rsid w:val="00AB71BB"/>
    <w:rsid w:val="00AC0ADF"/>
    <w:rsid w:val="00AC2E6C"/>
    <w:rsid w:val="00AC6FDB"/>
    <w:rsid w:val="00AD2FA5"/>
    <w:rsid w:val="00AD3414"/>
    <w:rsid w:val="00AD500F"/>
    <w:rsid w:val="00AD5CA3"/>
    <w:rsid w:val="00AD6622"/>
    <w:rsid w:val="00AE206B"/>
    <w:rsid w:val="00AE25AF"/>
    <w:rsid w:val="00AE2CB4"/>
    <w:rsid w:val="00AE5D50"/>
    <w:rsid w:val="00AE6898"/>
    <w:rsid w:val="00AE70CE"/>
    <w:rsid w:val="00AE73E8"/>
    <w:rsid w:val="00AF0418"/>
    <w:rsid w:val="00AF080D"/>
    <w:rsid w:val="00AF301C"/>
    <w:rsid w:val="00AF3099"/>
    <w:rsid w:val="00AF6545"/>
    <w:rsid w:val="00B00CB2"/>
    <w:rsid w:val="00B00FC3"/>
    <w:rsid w:val="00B02B45"/>
    <w:rsid w:val="00B02F06"/>
    <w:rsid w:val="00B03179"/>
    <w:rsid w:val="00B07A24"/>
    <w:rsid w:val="00B07FA2"/>
    <w:rsid w:val="00B11FF7"/>
    <w:rsid w:val="00B150C0"/>
    <w:rsid w:val="00B15884"/>
    <w:rsid w:val="00B159AB"/>
    <w:rsid w:val="00B17BFF"/>
    <w:rsid w:val="00B23E55"/>
    <w:rsid w:val="00B250C0"/>
    <w:rsid w:val="00B25BDA"/>
    <w:rsid w:val="00B3008E"/>
    <w:rsid w:val="00B32CE2"/>
    <w:rsid w:val="00B3399A"/>
    <w:rsid w:val="00B3508D"/>
    <w:rsid w:val="00B369E0"/>
    <w:rsid w:val="00B36F89"/>
    <w:rsid w:val="00B4241A"/>
    <w:rsid w:val="00B44C3F"/>
    <w:rsid w:val="00B45609"/>
    <w:rsid w:val="00B45E9E"/>
    <w:rsid w:val="00B46BCF"/>
    <w:rsid w:val="00B5075F"/>
    <w:rsid w:val="00B52584"/>
    <w:rsid w:val="00B52F5E"/>
    <w:rsid w:val="00B53917"/>
    <w:rsid w:val="00B552D8"/>
    <w:rsid w:val="00B5559C"/>
    <w:rsid w:val="00B60AC4"/>
    <w:rsid w:val="00B60B47"/>
    <w:rsid w:val="00B61356"/>
    <w:rsid w:val="00B65AAA"/>
    <w:rsid w:val="00B665E6"/>
    <w:rsid w:val="00B670E6"/>
    <w:rsid w:val="00B706D0"/>
    <w:rsid w:val="00B71075"/>
    <w:rsid w:val="00B716EC"/>
    <w:rsid w:val="00B71BC2"/>
    <w:rsid w:val="00B71E31"/>
    <w:rsid w:val="00B727F3"/>
    <w:rsid w:val="00B73540"/>
    <w:rsid w:val="00B75641"/>
    <w:rsid w:val="00B75860"/>
    <w:rsid w:val="00B75E47"/>
    <w:rsid w:val="00B84ED1"/>
    <w:rsid w:val="00B90F17"/>
    <w:rsid w:val="00B93D94"/>
    <w:rsid w:val="00B94B30"/>
    <w:rsid w:val="00BA011C"/>
    <w:rsid w:val="00BA10FB"/>
    <w:rsid w:val="00BA4316"/>
    <w:rsid w:val="00BA4F48"/>
    <w:rsid w:val="00BA53F7"/>
    <w:rsid w:val="00BA7D17"/>
    <w:rsid w:val="00BB076E"/>
    <w:rsid w:val="00BB1CF2"/>
    <w:rsid w:val="00BB3A06"/>
    <w:rsid w:val="00BB5F8A"/>
    <w:rsid w:val="00BB72B0"/>
    <w:rsid w:val="00BB7A25"/>
    <w:rsid w:val="00BC0A3C"/>
    <w:rsid w:val="00BC4A8D"/>
    <w:rsid w:val="00BC5916"/>
    <w:rsid w:val="00BC5D41"/>
    <w:rsid w:val="00BC6071"/>
    <w:rsid w:val="00BC621F"/>
    <w:rsid w:val="00BC7CF3"/>
    <w:rsid w:val="00BD09AF"/>
    <w:rsid w:val="00BD0FE0"/>
    <w:rsid w:val="00BD4225"/>
    <w:rsid w:val="00BD7045"/>
    <w:rsid w:val="00BE1AC2"/>
    <w:rsid w:val="00BE2C0D"/>
    <w:rsid w:val="00BE4155"/>
    <w:rsid w:val="00BF0DDA"/>
    <w:rsid w:val="00BF2EF1"/>
    <w:rsid w:val="00BF4DD1"/>
    <w:rsid w:val="00C0039F"/>
    <w:rsid w:val="00C032F0"/>
    <w:rsid w:val="00C03503"/>
    <w:rsid w:val="00C0354F"/>
    <w:rsid w:val="00C04F11"/>
    <w:rsid w:val="00C0573A"/>
    <w:rsid w:val="00C060BC"/>
    <w:rsid w:val="00C06D2D"/>
    <w:rsid w:val="00C073AF"/>
    <w:rsid w:val="00C10BAF"/>
    <w:rsid w:val="00C10E3A"/>
    <w:rsid w:val="00C14388"/>
    <w:rsid w:val="00C15189"/>
    <w:rsid w:val="00C1636F"/>
    <w:rsid w:val="00C20621"/>
    <w:rsid w:val="00C21933"/>
    <w:rsid w:val="00C22241"/>
    <w:rsid w:val="00C25B6C"/>
    <w:rsid w:val="00C3113B"/>
    <w:rsid w:val="00C32597"/>
    <w:rsid w:val="00C33E69"/>
    <w:rsid w:val="00C3635C"/>
    <w:rsid w:val="00C412DA"/>
    <w:rsid w:val="00C43BB1"/>
    <w:rsid w:val="00C51851"/>
    <w:rsid w:val="00C52681"/>
    <w:rsid w:val="00C54460"/>
    <w:rsid w:val="00C55192"/>
    <w:rsid w:val="00C57A34"/>
    <w:rsid w:val="00C57E29"/>
    <w:rsid w:val="00C63E8C"/>
    <w:rsid w:val="00C656F1"/>
    <w:rsid w:val="00C659A7"/>
    <w:rsid w:val="00C6616A"/>
    <w:rsid w:val="00C67BF8"/>
    <w:rsid w:val="00C76FFC"/>
    <w:rsid w:val="00C809A2"/>
    <w:rsid w:val="00C83C14"/>
    <w:rsid w:val="00C83FE2"/>
    <w:rsid w:val="00C85AA1"/>
    <w:rsid w:val="00C9259F"/>
    <w:rsid w:val="00CA3398"/>
    <w:rsid w:val="00CA40FA"/>
    <w:rsid w:val="00CA503B"/>
    <w:rsid w:val="00CA593A"/>
    <w:rsid w:val="00CA6644"/>
    <w:rsid w:val="00CA6926"/>
    <w:rsid w:val="00CA735C"/>
    <w:rsid w:val="00CB3AD5"/>
    <w:rsid w:val="00CB3E03"/>
    <w:rsid w:val="00CC0BFD"/>
    <w:rsid w:val="00CC3587"/>
    <w:rsid w:val="00CD0D86"/>
    <w:rsid w:val="00CD277C"/>
    <w:rsid w:val="00CD4B7F"/>
    <w:rsid w:val="00CD6AE5"/>
    <w:rsid w:val="00CD71EB"/>
    <w:rsid w:val="00CE2314"/>
    <w:rsid w:val="00CE3CC8"/>
    <w:rsid w:val="00CE5861"/>
    <w:rsid w:val="00CE6E38"/>
    <w:rsid w:val="00CF42ED"/>
    <w:rsid w:val="00CF4FC7"/>
    <w:rsid w:val="00CF5E0F"/>
    <w:rsid w:val="00CF7A1A"/>
    <w:rsid w:val="00D01381"/>
    <w:rsid w:val="00D04D46"/>
    <w:rsid w:val="00D065D8"/>
    <w:rsid w:val="00D10B2B"/>
    <w:rsid w:val="00D11EA1"/>
    <w:rsid w:val="00D135F5"/>
    <w:rsid w:val="00D13A86"/>
    <w:rsid w:val="00D13D39"/>
    <w:rsid w:val="00D1580A"/>
    <w:rsid w:val="00D20A36"/>
    <w:rsid w:val="00D237A6"/>
    <w:rsid w:val="00D23BD5"/>
    <w:rsid w:val="00D2518B"/>
    <w:rsid w:val="00D25B7F"/>
    <w:rsid w:val="00D30BE2"/>
    <w:rsid w:val="00D311FD"/>
    <w:rsid w:val="00D32E4E"/>
    <w:rsid w:val="00D35790"/>
    <w:rsid w:val="00D37186"/>
    <w:rsid w:val="00D40F50"/>
    <w:rsid w:val="00D41370"/>
    <w:rsid w:val="00D442B8"/>
    <w:rsid w:val="00D47574"/>
    <w:rsid w:val="00D5180F"/>
    <w:rsid w:val="00D5385A"/>
    <w:rsid w:val="00D538CF"/>
    <w:rsid w:val="00D57387"/>
    <w:rsid w:val="00D57A60"/>
    <w:rsid w:val="00D634C2"/>
    <w:rsid w:val="00D65222"/>
    <w:rsid w:val="00D7173D"/>
    <w:rsid w:val="00D72CA0"/>
    <w:rsid w:val="00D754B8"/>
    <w:rsid w:val="00D81376"/>
    <w:rsid w:val="00D868CA"/>
    <w:rsid w:val="00D924CA"/>
    <w:rsid w:val="00D96699"/>
    <w:rsid w:val="00DA01EB"/>
    <w:rsid w:val="00DA0D39"/>
    <w:rsid w:val="00DA49CD"/>
    <w:rsid w:val="00DA75A3"/>
    <w:rsid w:val="00DB493A"/>
    <w:rsid w:val="00DB4A50"/>
    <w:rsid w:val="00DB4E0A"/>
    <w:rsid w:val="00DB4FD2"/>
    <w:rsid w:val="00DB5460"/>
    <w:rsid w:val="00DB7CBD"/>
    <w:rsid w:val="00DC0F15"/>
    <w:rsid w:val="00DC4EA2"/>
    <w:rsid w:val="00DC55BD"/>
    <w:rsid w:val="00DC656A"/>
    <w:rsid w:val="00DC6F36"/>
    <w:rsid w:val="00DD0C16"/>
    <w:rsid w:val="00DD62DB"/>
    <w:rsid w:val="00DD7841"/>
    <w:rsid w:val="00DE0915"/>
    <w:rsid w:val="00DE2685"/>
    <w:rsid w:val="00DE4E8E"/>
    <w:rsid w:val="00DE64EA"/>
    <w:rsid w:val="00DE6AD9"/>
    <w:rsid w:val="00DE7C76"/>
    <w:rsid w:val="00DF03A8"/>
    <w:rsid w:val="00DF1742"/>
    <w:rsid w:val="00DF2758"/>
    <w:rsid w:val="00DF78AA"/>
    <w:rsid w:val="00E0487A"/>
    <w:rsid w:val="00E10B7C"/>
    <w:rsid w:val="00E11484"/>
    <w:rsid w:val="00E128CF"/>
    <w:rsid w:val="00E21771"/>
    <w:rsid w:val="00E227FB"/>
    <w:rsid w:val="00E233EE"/>
    <w:rsid w:val="00E2348E"/>
    <w:rsid w:val="00E2404C"/>
    <w:rsid w:val="00E2757D"/>
    <w:rsid w:val="00E33418"/>
    <w:rsid w:val="00E35F13"/>
    <w:rsid w:val="00E412BD"/>
    <w:rsid w:val="00E42BE3"/>
    <w:rsid w:val="00E43D02"/>
    <w:rsid w:val="00E45A93"/>
    <w:rsid w:val="00E47879"/>
    <w:rsid w:val="00E5018A"/>
    <w:rsid w:val="00E5395D"/>
    <w:rsid w:val="00E53C4E"/>
    <w:rsid w:val="00E5464A"/>
    <w:rsid w:val="00E62B99"/>
    <w:rsid w:val="00E65587"/>
    <w:rsid w:val="00E65E1A"/>
    <w:rsid w:val="00E73A91"/>
    <w:rsid w:val="00E75D88"/>
    <w:rsid w:val="00E80A99"/>
    <w:rsid w:val="00E8185F"/>
    <w:rsid w:val="00E81DC4"/>
    <w:rsid w:val="00E833DA"/>
    <w:rsid w:val="00E83B98"/>
    <w:rsid w:val="00E90250"/>
    <w:rsid w:val="00E917EC"/>
    <w:rsid w:val="00E9285C"/>
    <w:rsid w:val="00E93598"/>
    <w:rsid w:val="00E93F87"/>
    <w:rsid w:val="00E949AD"/>
    <w:rsid w:val="00E95527"/>
    <w:rsid w:val="00EA1C85"/>
    <w:rsid w:val="00EA3688"/>
    <w:rsid w:val="00EB0846"/>
    <w:rsid w:val="00EB0C79"/>
    <w:rsid w:val="00EB399F"/>
    <w:rsid w:val="00EC00E4"/>
    <w:rsid w:val="00EC04F3"/>
    <w:rsid w:val="00EC0906"/>
    <w:rsid w:val="00EC4CBB"/>
    <w:rsid w:val="00EC54C3"/>
    <w:rsid w:val="00EC60E4"/>
    <w:rsid w:val="00EC76A0"/>
    <w:rsid w:val="00EE2009"/>
    <w:rsid w:val="00EE2017"/>
    <w:rsid w:val="00EE2F83"/>
    <w:rsid w:val="00EE49E2"/>
    <w:rsid w:val="00EE5E7F"/>
    <w:rsid w:val="00EE659E"/>
    <w:rsid w:val="00EF0166"/>
    <w:rsid w:val="00EF4DEC"/>
    <w:rsid w:val="00EF6B16"/>
    <w:rsid w:val="00F016F5"/>
    <w:rsid w:val="00F03BB9"/>
    <w:rsid w:val="00F0465F"/>
    <w:rsid w:val="00F07C89"/>
    <w:rsid w:val="00F10631"/>
    <w:rsid w:val="00F1154C"/>
    <w:rsid w:val="00F11A1A"/>
    <w:rsid w:val="00F20157"/>
    <w:rsid w:val="00F21A0F"/>
    <w:rsid w:val="00F21ADE"/>
    <w:rsid w:val="00F32A17"/>
    <w:rsid w:val="00F33BD8"/>
    <w:rsid w:val="00F35493"/>
    <w:rsid w:val="00F37D20"/>
    <w:rsid w:val="00F406BB"/>
    <w:rsid w:val="00F4414D"/>
    <w:rsid w:val="00F47FD7"/>
    <w:rsid w:val="00F51313"/>
    <w:rsid w:val="00F5243A"/>
    <w:rsid w:val="00F52A72"/>
    <w:rsid w:val="00F53A77"/>
    <w:rsid w:val="00F53D20"/>
    <w:rsid w:val="00F563D2"/>
    <w:rsid w:val="00F57A87"/>
    <w:rsid w:val="00F6230B"/>
    <w:rsid w:val="00F628E6"/>
    <w:rsid w:val="00F64714"/>
    <w:rsid w:val="00F675AA"/>
    <w:rsid w:val="00F67C72"/>
    <w:rsid w:val="00F72CE2"/>
    <w:rsid w:val="00F76815"/>
    <w:rsid w:val="00F77AD8"/>
    <w:rsid w:val="00F81ADD"/>
    <w:rsid w:val="00F92127"/>
    <w:rsid w:val="00F92D84"/>
    <w:rsid w:val="00F964B1"/>
    <w:rsid w:val="00F96D66"/>
    <w:rsid w:val="00FA09C9"/>
    <w:rsid w:val="00FB3AF8"/>
    <w:rsid w:val="00FB4437"/>
    <w:rsid w:val="00FC0BF3"/>
    <w:rsid w:val="00FC5E0C"/>
    <w:rsid w:val="00FC67DA"/>
    <w:rsid w:val="00FD0785"/>
    <w:rsid w:val="00FD6A58"/>
    <w:rsid w:val="00FE0AE1"/>
    <w:rsid w:val="00FE3E51"/>
    <w:rsid w:val="00FE62F5"/>
    <w:rsid w:val="00FE7FB9"/>
    <w:rsid w:val="02E6D356"/>
    <w:rsid w:val="0FAC2E01"/>
    <w:rsid w:val="152E6B28"/>
    <w:rsid w:val="1B444920"/>
    <w:rsid w:val="417FED7F"/>
    <w:rsid w:val="45678935"/>
    <w:rsid w:val="4B0DA768"/>
    <w:rsid w:val="63482C8E"/>
    <w:rsid w:val="7DCE6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 Heading"/>
    <w:basedOn w:val="Normal"/>
    <w:qFormat/>
    <w:rsid w:val="001D75EC"/>
    <w:pPr>
      <w:spacing w:after="0" w:line="240" w:lineRule="atLeast"/>
    </w:pPr>
    <w:rPr>
      <w:rFonts w:ascii="Arial" w:eastAsia="Times New Roman" w:hAnsi="Arial" w:cs="Times New Roman"/>
      <w:b/>
      <w:sz w:val="20"/>
      <w:szCs w:val="24"/>
      <w:lang w:eastAsia="en-AU"/>
    </w:rPr>
  </w:style>
  <w:style w:type="paragraph" w:styleId="Revision">
    <w:name w:val="Revision"/>
    <w:hidden/>
    <w:uiPriority w:val="99"/>
    <w:semiHidden/>
    <w:rsid w:val="002635C8"/>
    <w:pPr>
      <w:spacing w:after="0" w:line="240" w:lineRule="auto"/>
    </w:pPr>
  </w:style>
  <w:style w:type="paragraph" w:customStyle="1" w:styleId="subsection">
    <w:name w:val="subsection"/>
    <w:aliases w:val="ss,Subsection"/>
    <w:basedOn w:val="Normal"/>
    <w:link w:val="subsectionChar"/>
    <w:rsid w:val="00795BC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95BC1"/>
    <w:rPr>
      <w:rFonts w:ascii="Times New Roman" w:eastAsia="Times New Roman" w:hAnsi="Times New Roman" w:cs="Times New Roman"/>
      <w:szCs w:val="20"/>
      <w:lang w:eastAsia="en-AU"/>
    </w:rPr>
  </w:style>
  <w:style w:type="paragraph" w:customStyle="1" w:styleId="R1">
    <w:name w:val="R1"/>
    <w:aliases w:val="1. or 1.(1)"/>
    <w:basedOn w:val="Normal"/>
    <w:next w:val="Normal"/>
    <w:rsid w:val="00795BC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795BC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95BC1"/>
    <w:rPr>
      <w:rFonts w:ascii="Times New Roman" w:eastAsia="Times New Roman" w:hAnsi="Times New Roman" w:cs="Times New Roman"/>
      <w:szCs w:val="20"/>
      <w:lang w:eastAsia="en-AU"/>
    </w:rPr>
  </w:style>
  <w:style w:type="paragraph" w:customStyle="1" w:styleId="R2">
    <w:name w:val="R2"/>
    <w:aliases w:val="(2)"/>
    <w:basedOn w:val="Normal"/>
    <w:rsid w:val="00D135F5"/>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P1a">
    <w:name w:val="TableP1(a)"/>
    <w:basedOn w:val="Normal"/>
    <w:rsid w:val="004B0556"/>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4B0556"/>
    <w:pPr>
      <w:spacing w:before="60" w:after="60" w:line="240" w:lineRule="exact"/>
    </w:pPr>
    <w:rPr>
      <w:rFonts w:ascii="Times New Roman" w:eastAsia="Times New Roman" w:hAnsi="Times New Roman" w:cs="Times New Roman"/>
      <w:szCs w:val="24"/>
      <w:lang w:eastAsia="en-AU"/>
    </w:rPr>
  </w:style>
  <w:style w:type="paragraph" w:customStyle="1" w:styleId="paragraphsub">
    <w:name w:val="paragraph(sub)"/>
    <w:aliases w:val="aa"/>
    <w:basedOn w:val="Normal"/>
    <w:rsid w:val="00F964B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15723417">
      <w:bodyDiv w:val="1"/>
      <w:marLeft w:val="0"/>
      <w:marRight w:val="0"/>
      <w:marTop w:val="0"/>
      <w:marBottom w:val="0"/>
      <w:divBdr>
        <w:top w:val="none" w:sz="0" w:space="0" w:color="auto"/>
        <w:left w:val="none" w:sz="0" w:space="0" w:color="auto"/>
        <w:bottom w:val="none" w:sz="0" w:space="0" w:color="auto"/>
        <w:right w:val="none" w:sz="0" w:space="0" w:color="auto"/>
      </w:divBdr>
    </w:div>
    <w:div w:id="20164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UQVA7MFFXVNW-2139912385-1687</_dlc_DocId>
    <_dlc_DocIdUrl xmlns="04b8ec43-391f-4ce4-8841-d6a482add564">
      <Url>http://collaboration/organisation/auth/Chair/Auth/_layouts/15/DocIdRedir.aspx?ID=UQVA7MFFXVNW-2139912385-1687</Url>
      <Description>UQVA7MFFXVNW-2139912385-1687</Description>
    </_dlc_DocIdUrl>
  </documentManagement>
</p:properti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CC7E39C5-173F-47F3-AE80-2B6EFB8B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67BB0-89EF-449A-92F7-C55CD88896C3}">
  <ds:schemaRefs>
    <ds:schemaRef ds:uri="http://schemas.microsoft.com/sharepoint/events"/>
  </ds:schemaRefs>
</ds:datastoreItem>
</file>

<file path=customXml/itemProps5.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5984</Words>
  <Characters>32677</Characters>
  <Application>Microsoft Office Word</Application>
  <DocSecurity>0</DocSecurity>
  <Lines>742</Lines>
  <Paragraphs>336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Sudharshini Jeyaseelan</cp:lastModifiedBy>
  <cp:revision>3</cp:revision>
  <cp:lastPrinted>2016-07-25T00:08:00Z</cp:lastPrinted>
  <dcterms:created xsi:type="dcterms:W3CDTF">2022-09-18T23:47:00Z</dcterms:created>
  <dcterms:modified xsi:type="dcterms:W3CDTF">2022-09-18T23:48:00Z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f16ee754-90b0-4beb-947f-379ec3d94164</vt:lpwstr>
  </property>
  <property fmtid="{D5CDD505-2E9C-101B-9397-08002B2CF9AE}" pid="4" name="TitusGUID">
    <vt:lpwstr>1332d704-cd4e-4b7f-bfcd-d80019022921</vt:lpwstr>
  </property>
</Properties>
</file>