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70E1" w14:textId="77777777" w:rsidR="001F2A16" w:rsidRPr="00DE05C4" w:rsidRDefault="001F2A16" w:rsidP="002152CC">
      <w:pPr>
        <w:pStyle w:val="Header"/>
        <w:pBdr>
          <w:top w:val="single" w:sz="4" w:space="1" w:color="auto"/>
        </w:pBdr>
        <w:tabs>
          <w:tab w:val="clear" w:pos="4153"/>
          <w:tab w:val="clear" w:pos="8306"/>
        </w:tabs>
        <w:spacing w:after="360"/>
        <w:jc w:val="center"/>
        <w:rPr>
          <w:rFonts w:ascii="Arial" w:hAnsi="Arial" w:cs="Arial"/>
          <w:sz w:val="34"/>
          <w:szCs w:val="34"/>
        </w:rPr>
      </w:pPr>
      <w:r w:rsidRPr="00DE05C4">
        <w:rPr>
          <w:rFonts w:ascii="Arial" w:hAnsi="Arial" w:cs="Arial"/>
          <w:sz w:val="34"/>
          <w:szCs w:val="34"/>
        </w:rPr>
        <w:t>Explanatory Statement</w:t>
      </w:r>
    </w:p>
    <w:p w14:paraId="2E5BE26E" w14:textId="77777777" w:rsidR="00267CC7" w:rsidRPr="00267CC7" w:rsidRDefault="00267CC7" w:rsidP="00267CC7">
      <w:pPr>
        <w:pBdr>
          <w:top w:val="single" w:sz="4" w:space="1" w:color="auto"/>
          <w:bottom w:val="single" w:sz="4" w:space="1" w:color="auto"/>
        </w:pBdr>
        <w:spacing w:after="360"/>
        <w:jc w:val="center"/>
        <w:rPr>
          <w:rFonts w:ascii="Arial" w:hAnsi="Arial" w:cs="Arial"/>
          <w:sz w:val="34"/>
          <w:szCs w:val="34"/>
        </w:rPr>
      </w:pPr>
      <w:r w:rsidRPr="00267CC7">
        <w:rPr>
          <w:rFonts w:ascii="Arial" w:hAnsi="Arial" w:cs="Arial"/>
          <w:sz w:val="34"/>
          <w:szCs w:val="34"/>
        </w:rPr>
        <w:t>A New Tax System (Goods and Services Tax) Attribution Rules for Deferred Transfer Farm-out Arrangements Determination 2022</w:t>
      </w:r>
    </w:p>
    <w:p w14:paraId="654F92BD" w14:textId="77777777" w:rsidR="001F2A16" w:rsidRPr="00DE05C4" w:rsidRDefault="001F2A16" w:rsidP="002152CC">
      <w:pPr>
        <w:pStyle w:val="Header"/>
        <w:tabs>
          <w:tab w:val="clear" w:pos="4153"/>
          <w:tab w:val="clear" w:pos="8306"/>
        </w:tabs>
        <w:spacing w:after="120"/>
        <w:rPr>
          <w:rFonts w:ascii="Arial" w:hAnsi="Arial" w:cs="Arial"/>
          <w:sz w:val="22"/>
          <w:szCs w:val="22"/>
        </w:rPr>
      </w:pPr>
    </w:p>
    <w:p w14:paraId="38BD49E8" w14:textId="01048428" w:rsidR="00486653" w:rsidRPr="00DE05C4" w:rsidRDefault="00486653" w:rsidP="00DE05C4">
      <w:pPr>
        <w:pStyle w:val="Heading2"/>
        <w:rPr>
          <w:rFonts w:cs="Arial"/>
          <w:szCs w:val="22"/>
        </w:rPr>
      </w:pPr>
      <w:r w:rsidRPr="00DE05C4">
        <w:rPr>
          <w:rFonts w:cs="Arial"/>
          <w:szCs w:val="22"/>
        </w:rPr>
        <w:t xml:space="preserve">General </w:t>
      </w:r>
      <w:r w:rsidR="0015780B" w:rsidRPr="00DE05C4">
        <w:rPr>
          <w:rFonts w:cs="Arial"/>
          <w:szCs w:val="22"/>
        </w:rPr>
        <w:t>o</w:t>
      </w:r>
      <w:r w:rsidRPr="00DE05C4">
        <w:rPr>
          <w:rFonts w:cs="Arial"/>
          <w:szCs w:val="22"/>
        </w:rPr>
        <w:t xml:space="preserve">utline of </w:t>
      </w:r>
      <w:r w:rsidR="009967C9">
        <w:rPr>
          <w:rFonts w:cs="Arial"/>
          <w:szCs w:val="22"/>
        </w:rPr>
        <w:t>i</w:t>
      </w:r>
      <w:r w:rsidR="00352F52" w:rsidRPr="00DE05C4">
        <w:rPr>
          <w:rFonts w:cs="Arial"/>
          <w:szCs w:val="22"/>
        </w:rPr>
        <w:t>nstrument</w:t>
      </w:r>
    </w:p>
    <w:p w14:paraId="36BA7343" w14:textId="77777777"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is made under subsection 29-25(1) of the </w:t>
      </w:r>
      <w:r w:rsidRPr="00DE05C4">
        <w:rPr>
          <w:rFonts w:ascii="Arial" w:hAnsi="Arial" w:cs="Arial"/>
          <w:i/>
          <w:iCs/>
          <w:sz w:val="22"/>
          <w:szCs w:val="22"/>
        </w:rPr>
        <w:t>A</w:t>
      </w:r>
      <w:r w:rsidRPr="006A6C8B">
        <w:rPr>
          <w:rFonts w:ascii="Arial" w:hAnsi="Arial" w:cs="Arial"/>
          <w:i/>
          <w:iCs/>
          <w:sz w:val="22"/>
          <w:szCs w:val="22"/>
        </w:rPr>
        <w:t xml:space="preserve"> New </w:t>
      </w:r>
      <w:r w:rsidRPr="00DE05C4">
        <w:rPr>
          <w:rFonts w:ascii="Arial" w:hAnsi="Arial" w:cs="Arial"/>
          <w:i/>
          <w:iCs/>
          <w:sz w:val="22"/>
          <w:szCs w:val="22"/>
        </w:rPr>
        <w:t xml:space="preserve">Tax System (Goods and Services Tax) Act 1999 </w:t>
      </w:r>
      <w:r w:rsidRPr="00DE05C4">
        <w:rPr>
          <w:rFonts w:ascii="Arial" w:hAnsi="Arial" w:cs="Arial"/>
          <w:sz w:val="22"/>
          <w:szCs w:val="22"/>
        </w:rPr>
        <w:t>(GST Act).</w:t>
      </w:r>
      <w:bookmarkStart w:id="0" w:name="_ftnref1"/>
    </w:p>
    <w:p w14:paraId="29E4A530" w14:textId="7E7CB161"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sets out specific attribution rules for </w:t>
      </w:r>
      <w:r w:rsidRPr="00DE05C4">
        <w:rPr>
          <w:rFonts w:ascii="Arial" w:hAnsi="Arial" w:cs="Arial"/>
          <w:b/>
          <w:bCs/>
          <w:sz w:val="22"/>
          <w:szCs w:val="22"/>
        </w:rPr>
        <w:t>deferred transfer farm-out arrangements</w:t>
      </w:r>
      <w:r w:rsidRPr="00DE05C4">
        <w:rPr>
          <w:rFonts w:ascii="Arial" w:hAnsi="Arial" w:cs="Arial"/>
          <w:sz w:val="22"/>
          <w:szCs w:val="22"/>
        </w:rPr>
        <w:t xml:space="preserve"> (defined in section </w:t>
      </w:r>
      <w:r w:rsidR="001A1844">
        <w:rPr>
          <w:rFonts w:ascii="Arial" w:hAnsi="Arial" w:cs="Arial"/>
          <w:sz w:val="22"/>
          <w:szCs w:val="22"/>
        </w:rPr>
        <w:t>5</w:t>
      </w:r>
      <w:r w:rsidRPr="00DE05C4">
        <w:rPr>
          <w:rFonts w:ascii="Arial" w:hAnsi="Arial" w:cs="Arial"/>
          <w:sz w:val="22"/>
          <w:szCs w:val="22"/>
        </w:rPr>
        <w:t xml:space="preserve"> of the determination). The determination is necessary to prevent Division 29 and Chapter 4 of the GST Act applying inappropriately to these arrangements.</w:t>
      </w:r>
    </w:p>
    <w:p w14:paraId="43A1DFBB" w14:textId="036BB9E4"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replaces </w:t>
      </w:r>
      <w:r w:rsidRPr="00DE05C4">
        <w:rPr>
          <w:rFonts w:ascii="Arial" w:hAnsi="Arial" w:cs="Arial"/>
          <w:i/>
          <w:iCs/>
          <w:sz w:val="22"/>
          <w:szCs w:val="22"/>
        </w:rPr>
        <w:t>A</w:t>
      </w:r>
      <w:r w:rsidRPr="006A6C8B">
        <w:rPr>
          <w:rFonts w:ascii="Arial" w:hAnsi="Arial" w:cs="Arial"/>
          <w:i/>
          <w:iCs/>
          <w:sz w:val="22"/>
          <w:szCs w:val="22"/>
        </w:rPr>
        <w:t xml:space="preserve"> New </w:t>
      </w:r>
      <w:r w:rsidRPr="00DE05C4">
        <w:rPr>
          <w:rFonts w:ascii="Arial" w:hAnsi="Arial" w:cs="Arial"/>
          <w:i/>
          <w:iCs/>
          <w:sz w:val="22"/>
          <w:szCs w:val="22"/>
        </w:rPr>
        <w:t>Tax System (Goods and Services Tax) Particular Attribution Rules for Deferred Transfer Farm-out Arrangement Determination 2012</w:t>
      </w:r>
      <w:r w:rsidRPr="00DE05C4">
        <w:rPr>
          <w:rFonts w:ascii="Arial" w:hAnsi="Arial" w:cs="Arial"/>
          <w:sz w:val="22"/>
          <w:szCs w:val="22"/>
        </w:rPr>
        <w:t xml:space="preserve"> (F2012L00866)</w:t>
      </w:r>
      <w:bookmarkEnd w:id="0"/>
      <w:r w:rsidRPr="00DE05C4">
        <w:rPr>
          <w:rFonts w:ascii="Arial" w:hAnsi="Arial" w:cs="Arial"/>
          <w:sz w:val="22"/>
          <w:szCs w:val="22"/>
        </w:rPr>
        <w:t>.</w:t>
      </w:r>
    </w:p>
    <w:p w14:paraId="3410D2BD" w14:textId="56C72104"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is a legislative instrument for the purposes of the </w:t>
      </w:r>
      <w:r w:rsidRPr="00DE05C4">
        <w:rPr>
          <w:rFonts w:ascii="Arial" w:hAnsi="Arial" w:cs="Arial"/>
          <w:i/>
          <w:iCs/>
          <w:sz w:val="22"/>
          <w:szCs w:val="22"/>
        </w:rPr>
        <w:t>Legislation Act 2003</w:t>
      </w:r>
      <w:r w:rsidRPr="00DE05C4">
        <w:rPr>
          <w:rFonts w:ascii="Arial" w:hAnsi="Arial" w:cs="Arial"/>
          <w:sz w:val="22"/>
          <w:szCs w:val="22"/>
        </w:rPr>
        <w:t>.</w:t>
      </w:r>
    </w:p>
    <w:p w14:paraId="04717348" w14:textId="304A7158"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Under subsection 33(3) of the </w:t>
      </w:r>
      <w:r w:rsidRPr="00DE05C4">
        <w:rPr>
          <w:rFonts w:ascii="Arial" w:hAnsi="Arial" w:cs="Arial"/>
          <w:i/>
          <w:iCs/>
          <w:sz w:val="22"/>
          <w:szCs w:val="22"/>
        </w:rPr>
        <w:t>Acts Interpretation Act 1901</w:t>
      </w:r>
      <w:r w:rsidRPr="00DE05C4">
        <w:rPr>
          <w:rFonts w:ascii="Arial" w:hAnsi="Arial" w:cs="Arial"/>
          <w:sz w:val="22"/>
          <w:szCs w:val="22"/>
        </w:rPr>
        <w:t xml:space="preserve">, where an Act confers a power to make, grant or issue any determination of a legislative instrument or administrative character (including rules, </w:t>
      </w:r>
      <w:proofErr w:type="gramStart"/>
      <w:r w:rsidRPr="00DE05C4">
        <w:rPr>
          <w:rFonts w:ascii="Arial" w:hAnsi="Arial" w:cs="Arial"/>
          <w:sz w:val="22"/>
          <w:szCs w:val="22"/>
        </w:rPr>
        <w:t>regulations</w:t>
      </w:r>
      <w:proofErr w:type="gramEnd"/>
      <w:r w:rsidRPr="00DE05C4">
        <w:rPr>
          <w:rFonts w:ascii="Arial" w:hAnsi="Arial" w:cs="Arial"/>
          <w:sz w:val="22"/>
          <w:szCs w:val="22"/>
        </w:rPr>
        <w:t xml:space="preserve"> or by-laws) the power shall be construed as including a power exercisable in the like manner and subject to the like conditions (if any) to repeal, rescind, revoke, amend or vary any such determination.</w:t>
      </w:r>
    </w:p>
    <w:p w14:paraId="162318FE" w14:textId="77777777" w:rsidR="00CD757F" w:rsidRPr="00DE05C4" w:rsidRDefault="00CD757F" w:rsidP="00DE05C4">
      <w:pPr>
        <w:spacing w:after="120"/>
        <w:rPr>
          <w:rFonts w:ascii="Arial" w:hAnsi="Arial" w:cs="Arial"/>
          <w:sz w:val="22"/>
          <w:szCs w:val="22"/>
        </w:rPr>
      </w:pPr>
    </w:p>
    <w:p w14:paraId="5B828890" w14:textId="77777777" w:rsidR="00486653" w:rsidRPr="00DE05C4" w:rsidRDefault="00486653" w:rsidP="00DE05C4">
      <w:pPr>
        <w:pStyle w:val="Heading2"/>
        <w:rPr>
          <w:rFonts w:cs="Arial"/>
          <w:szCs w:val="22"/>
        </w:rPr>
      </w:pPr>
      <w:r w:rsidRPr="00DE05C4">
        <w:rPr>
          <w:rFonts w:cs="Arial"/>
          <w:szCs w:val="22"/>
        </w:rPr>
        <w:t>Date of effect</w:t>
      </w:r>
    </w:p>
    <w:p w14:paraId="33F176BA" w14:textId="7C74799F" w:rsidR="0063489F" w:rsidRDefault="0063489F"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commences on the day after it is registered on the </w:t>
      </w:r>
      <w:r w:rsidRPr="006A6C8B">
        <w:rPr>
          <w:rFonts w:ascii="Arial" w:hAnsi="Arial" w:cs="Arial"/>
          <w:sz w:val="22"/>
          <w:szCs w:val="22"/>
        </w:rPr>
        <w:t>Federal</w:t>
      </w:r>
      <w:r w:rsidRPr="00DE05C4">
        <w:rPr>
          <w:rFonts w:ascii="Arial" w:hAnsi="Arial" w:cs="Arial"/>
          <w:sz w:val="22"/>
          <w:szCs w:val="22"/>
        </w:rPr>
        <w:t xml:space="preserve"> Register of Legislation.</w:t>
      </w:r>
      <w:r w:rsidR="004A3F1D">
        <w:rPr>
          <w:rFonts w:ascii="Arial" w:hAnsi="Arial" w:cs="Arial"/>
          <w:sz w:val="22"/>
          <w:szCs w:val="22"/>
        </w:rPr>
        <w:t xml:space="preserve"> </w:t>
      </w:r>
      <w:r w:rsidR="00CF0C35">
        <w:rPr>
          <w:rFonts w:ascii="Arial" w:hAnsi="Arial" w:cs="Arial"/>
          <w:sz w:val="22"/>
          <w:szCs w:val="22"/>
        </w:rPr>
        <w:t>I</w:t>
      </w:r>
      <w:r w:rsidR="004A3F1D">
        <w:rPr>
          <w:rFonts w:ascii="Arial" w:hAnsi="Arial" w:cs="Arial"/>
          <w:sz w:val="22"/>
          <w:szCs w:val="22"/>
        </w:rPr>
        <w:t xml:space="preserve">t applies </w:t>
      </w:r>
      <w:r w:rsidR="004A3F1D" w:rsidRPr="00EE02E7">
        <w:rPr>
          <w:rFonts w:ascii="Arial" w:hAnsi="Arial" w:cs="Arial"/>
          <w:sz w:val="22"/>
          <w:szCs w:val="22"/>
        </w:rPr>
        <w:t xml:space="preserve">where a </w:t>
      </w:r>
      <w:proofErr w:type="spellStart"/>
      <w:r w:rsidR="004A3F1D" w:rsidRPr="00EE02E7">
        <w:rPr>
          <w:rFonts w:ascii="Arial" w:hAnsi="Arial" w:cs="Arial"/>
          <w:sz w:val="22"/>
          <w:szCs w:val="22"/>
        </w:rPr>
        <w:t>farmor</w:t>
      </w:r>
      <w:proofErr w:type="spellEnd"/>
      <w:r w:rsidR="004A3F1D" w:rsidRPr="00EE02E7">
        <w:rPr>
          <w:rFonts w:ascii="Arial" w:hAnsi="Arial" w:cs="Arial"/>
          <w:sz w:val="22"/>
          <w:szCs w:val="22"/>
        </w:rPr>
        <w:t xml:space="preserve"> and a </w:t>
      </w:r>
      <w:proofErr w:type="spellStart"/>
      <w:r w:rsidR="004A3F1D" w:rsidRPr="00EE02E7">
        <w:rPr>
          <w:rFonts w:ascii="Arial" w:hAnsi="Arial" w:cs="Arial"/>
          <w:sz w:val="22"/>
          <w:szCs w:val="22"/>
        </w:rPr>
        <w:t>farmee</w:t>
      </w:r>
      <w:proofErr w:type="spellEnd"/>
      <w:r w:rsidR="004A3F1D" w:rsidRPr="00EE02E7">
        <w:rPr>
          <w:rFonts w:ascii="Arial" w:hAnsi="Arial" w:cs="Arial"/>
          <w:sz w:val="22"/>
          <w:szCs w:val="22"/>
        </w:rPr>
        <w:t xml:space="preserve"> have </w:t>
      </w:r>
      <w:proofErr w:type="gramStart"/>
      <w:r w:rsidR="004A3F1D" w:rsidRPr="00EE02E7">
        <w:rPr>
          <w:rFonts w:ascii="Arial" w:hAnsi="Arial" w:cs="Arial"/>
          <w:sz w:val="22"/>
          <w:szCs w:val="22"/>
        </w:rPr>
        <w:t>entered into</w:t>
      </w:r>
      <w:proofErr w:type="gramEnd"/>
      <w:r w:rsidR="004A3F1D" w:rsidRPr="00EE02E7">
        <w:rPr>
          <w:rFonts w:ascii="Arial" w:hAnsi="Arial" w:cs="Arial"/>
          <w:sz w:val="22"/>
          <w:szCs w:val="22"/>
        </w:rPr>
        <w:t xml:space="preserve"> a deferred transfer farm-out arrangement</w:t>
      </w:r>
      <w:r w:rsidR="00787E15">
        <w:rPr>
          <w:rFonts w:ascii="Arial" w:hAnsi="Arial" w:cs="Arial"/>
          <w:sz w:val="22"/>
          <w:szCs w:val="22"/>
        </w:rPr>
        <w:t>:</w:t>
      </w:r>
    </w:p>
    <w:p w14:paraId="45A2DC21" w14:textId="0F813540" w:rsidR="004A3F1D" w:rsidRPr="004036FA" w:rsidRDefault="004A3F1D" w:rsidP="004A3F1D">
      <w:pPr>
        <w:spacing w:after="120"/>
        <w:ind w:left="1701" w:hanging="567"/>
        <w:rPr>
          <w:rFonts w:ascii="Arial" w:hAnsi="Arial" w:cs="Arial"/>
          <w:sz w:val="22"/>
          <w:szCs w:val="22"/>
        </w:rPr>
      </w:pPr>
      <w:r w:rsidRPr="004036FA">
        <w:rPr>
          <w:rFonts w:ascii="Arial" w:hAnsi="Arial" w:cs="Arial"/>
          <w:sz w:val="22"/>
          <w:szCs w:val="22"/>
        </w:rPr>
        <w:t>(a)</w:t>
      </w:r>
      <w:r w:rsidRPr="004036FA">
        <w:rPr>
          <w:rFonts w:ascii="Arial" w:hAnsi="Arial" w:cs="Arial"/>
          <w:sz w:val="22"/>
          <w:szCs w:val="22"/>
        </w:rPr>
        <w:tab/>
      </w:r>
      <w:bookmarkStart w:id="1" w:name="_Hlk112762229"/>
      <w:r w:rsidRPr="004036FA">
        <w:rPr>
          <w:rFonts w:ascii="Arial" w:hAnsi="Arial" w:cs="Arial"/>
          <w:sz w:val="22"/>
          <w:szCs w:val="22"/>
        </w:rPr>
        <w:t xml:space="preserve">to which </w:t>
      </w:r>
      <w:r>
        <w:rPr>
          <w:rFonts w:ascii="Arial" w:hAnsi="Arial" w:cs="Arial"/>
          <w:sz w:val="22"/>
          <w:szCs w:val="22"/>
        </w:rPr>
        <w:t xml:space="preserve">the </w:t>
      </w:r>
      <w:r w:rsidR="002042E1">
        <w:rPr>
          <w:rFonts w:ascii="Arial" w:hAnsi="Arial" w:cs="Arial"/>
          <w:sz w:val="22"/>
          <w:szCs w:val="22"/>
        </w:rPr>
        <w:t xml:space="preserve">previous determination – </w:t>
      </w:r>
      <w:r w:rsidRPr="00A41313">
        <w:rPr>
          <w:rFonts w:ascii="Arial" w:hAnsi="Arial" w:cs="Arial"/>
          <w:i/>
          <w:iCs/>
          <w:sz w:val="22"/>
          <w:szCs w:val="22"/>
        </w:rPr>
        <w:t>A New Tax System (Goods and Services Tax) (Particular Attribution Rules Where Supply or Acquisition Made Under a Contract Subject to Preconditions) Determination 2012</w:t>
      </w:r>
      <w:r w:rsidRPr="004036FA">
        <w:rPr>
          <w:rFonts w:ascii="Arial" w:hAnsi="Arial" w:cs="Arial"/>
          <w:sz w:val="22"/>
          <w:szCs w:val="22"/>
        </w:rPr>
        <w:t xml:space="preserve"> (F2012L00866)</w:t>
      </w:r>
      <w:r w:rsidR="002042E1">
        <w:rPr>
          <w:rFonts w:ascii="Arial" w:hAnsi="Arial" w:cs="Arial"/>
          <w:sz w:val="22"/>
          <w:szCs w:val="22"/>
        </w:rPr>
        <w:t xml:space="preserve"> –</w:t>
      </w:r>
      <w:r w:rsidRPr="004036FA">
        <w:rPr>
          <w:rFonts w:ascii="Arial" w:hAnsi="Arial" w:cs="Arial"/>
          <w:sz w:val="22"/>
          <w:szCs w:val="22"/>
        </w:rPr>
        <w:t xml:space="preserve"> applied; or</w:t>
      </w:r>
    </w:p>
    <w:p w14:paraId="05A6F89B" w14:textId="599BCF17" w:rsidR="004A3F1D" w:rsidRPr="00DE05C4" w:rsidRDefault="004A3F1D" w:rsidP="00E77C40">
      <w:pPr>
        <w:spacing w:after="120"/>
        <w:ind w:left="1701" w:hanging="567"/>
        <w:rPr>
          <w:rFonts w:ascii="Arial" w:hAnsi="Arial" w:cs="Arial"/>
          <w:sz w:val="22"/>
          <w:szCs w:val="22"/>
        </w:rPr>
      </w:pPr>
      <w:r w:rsidRPr="00231C69">
        <w:rPr>
          <w:rFonts w:ascii="Arial" w:hAnsi="Arial" w:cs="Arial"/>
          <w:sz w:val="22"/>
          <w:szCs w:val="22"/>
        </w:rPr>
        <w:t>(b)</w:t>
      </w:r>
      <w:r w:rsidRPr="00231C69">
        <w:rPr>
          <w:rFonts w:ascii="Arial" w:hAnsi="Arial" w:cs="Arial"/>
          <w:sz w:val="22"/>
          <w:szCs w:val="22"/>
        </w:rPr>
        <w:tab/>
      </w:r>
      <w:r w:rsidRPr="004036FA">
        <w:rPr>
          <w:rFonts w:ascii="Arial" w:hAnsi="Arial" w:cs="Arial"/>
          <w:sz w:val="22"/>
          <w:szCs w:val="22"/>
        </w:rPr>
        <w:t>on or after the date of commencement of this determination.</w:t>
      </w:r>
      <w:bookmarkEnd w:id="1"/>
    </w:p>
    <w:p w14:paraId="04F0D675" w14:textId="065C6175" w:rsidR="006F4D30" w:rsidRPr="00DE05C4" w:rsidRDefault="006F4D30" w:rsidP="00DE05C4">
      <w:pPr>
        <w:spacing w:after="120"/>
        <w:rPr>
          <w:rFonts w:ascii="Arial" w:hAnsi="Arial" w:cs="Arial"/>
          <w:sz w:val="22"/>
          <w:szCs w:val="22"/>
        </w:rPr>
      </w:pPr>
    </w:p>
    <w:p w14:paraId="7BFCE13A" w14:textId="77777777" w:rsidR="00352F52" w:rsidRPr="00DE05C4" w:rsidRDefault="00352F52" w:rsidP="00DE05C4">
      <w:pPr>
        <w:pStyle w:val="Heading2"/>
        <w:rPr>
          <w:rFonts w:cs="Arial"/>
          <w:szCs w:val="22"/>
        </w:rPr>
      </w:pPr>
      <w:r w:rsidRPr="00DE05C4">
        <w:rPr>
          <w:rFonts w:cs="Arial"/>
          <w:szCs w:val="22"/>
        </w:rPr>
        <w:t>What the determination is about</w:t>
      </w:r>
    </w:p>
    <w:p w14:paraId="0AE994C5" w14:textId="77777777" w:rsid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This determination sets out attribution rules for </w:t>
      </w:r>
      <w:r w:rsidR="006615DB" w:rsidRPr="00DE05C4">
        <w:rPr>
          <w:rFonts w:ascii="Arial" w:hAnsi="Arial" w:cs="Arial"/>
          <w:sz w:val="22"/>
          <w:szCs w:val="22"/>
        </w:rPr>
        <w:t xml:space="preserve">certain </w:t>
      </w:r>
      <w:r w:rsidRPr="00DE05C4">
        <w:rPr>
          <w:rFonts w:ascii="Arial" w:hAnsi="Arial" w:cs="Arial"/>
          <w:sz w:val="22"/>
          <w:szCs w:val="22"/>
        </w:rPr>
        <w:t xml:space="preserve">deferred transfer farm-out arrangements that override the basic attribution rules </w:t>
      </w:r>
      <w:r w:rsidR="00D548F1" w:rsidRPr="00DE05C4">
        <w:rPr>
          <w:rFonts w:ascii="Arial" w:hAnsi="Arial" w:cs="Arial"/>
          <w:sz w:val="22"/>
          <w:szCs w:val="22"/>
        </w:rPr>
        <w:t>(</w:t>
      </w:r>
      <w:r w:rsidRPr="00DE05C4">
        <w:rPr>
          <w:rFonts w:ascii="Arial" w:hAnsi="Arial" w:cs="Arial"/>
          <w:sz w:val="22"/>
          <w:szCs w:val="22"/>
        </w:rPr>
        <w:t>outlined in section 29-5 of the GST Act</w:t>
      </w:r>
      <w:r w:rsidR="00D548F1" w:rsidRPr="00DE05C4">
        <w:rPr>
          <w:rFonts w:ascii="Arial" w:hAnsi="Arial" w:cs="Arial"/>
          <w:sz w:val="22"/>
          <w:szCs w:val="22"/>
        </w:rPr>
        <w:t>)</w:t>
      </w:r>
      <w:r w:rsidR="006615DB" w:rsidRPr="00DE05C4">
        <w:rPr>
          <w:rFonts w:ascii="Arial" w:hAnsi="Arial" w:cs="Arial"/>
          <w:sz w:val="22"/>
          <w:szCs w:val="22"/>
        </w:rPr>
        <w:t xml:space="preserve"> </w:t>
      </w:r>
      <w:r w:rsidRPr="00DE05C4">
        <w:rPr>
          <w:rFonts w:ascii="Arial" w:hAnsi="Arial" w:cs="Arial"/>
          <w:sz w:val="22"/>
          <w:szCs w:val="22"/>
        </w:rPr>
        <w:t xml:space="preserve">to attribute GST payable if a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receives an exploration benefit as consideration (or part consideration) for the supply of an interest in a mining tenement</w:t>
      </w:r>
      <w:r w:rsidR="00D548F1" w:rsidRPr="00DE05C4">
        <w:rPr>
          <w:rFonts w:ascii="Arial" w:hAnsi="Arial" w:cs="Arial"/>
          <w:sz w:val="22"/>
          <w:szCs w:val="22"/>
        </w:rPr>
        <w:t>,</w:t>
      </w:r>
      <w:r w:rsidR="00564064" w:rsidRPr="00DE05C4">
        <w:rPr>
          <w:rFonts w:ascii="Arial" w:hAnsi="Arial" w:cs="Arial"/>
          <w:sz w:val="22"/>
          <w:szCs w:val="22"/>
        </w:rPr>
        <w:t xml:space="preserve"> </w:t>
      </w:r>
      <w:r w:rsidRPr="00DE05C4">
        <w:rPr>
          <w:rFonts w:ascii="Arial" w:hAnsi="Arial" w:cs="Arial"/>
          <w:sz w:val="22"/>
          <w:szCs w:val="22"/>
        </w:rPr>
        <w:t xml:space="preserve">before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exercises the right to acquire that interest.</w:t>
      </w:r>
    </w:p>
    <w:p w14:paraId="2C2B7030" w14:textId="77777777" w:rsid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lastRenderedPageBreak/>
        <w:t xml:space="preserve">The determination also sets out the attribution rules that apply instead of the basic attribution rules </w:t>
      </w:r>
      <w:r w:rsidR="00F95A82" w:rsidRPr="00DE05C4">
        <w:rPr>
          <w:rFonts w:ascii="Arial" w:hAnsi="Arial" w:cs="Arial"/>
          <w:sz w:val="22"/>
          <w:szCs w:val="22"/>
        </w:rPr>
        <w:t>(</w:t>
      </w:r>
      <w:r w:rsidRPr="00DE05C4">
        <w:rPr>
          <w:rFonts w:ascii="Arial" w:hAnsi="Arial" w:cs="Arial"/>
          <w:sz w:val="22"/>
          <w:szCs w:val="22"/>
        </w:rPr>
        <w:t>under section 29-10</w:t>
      </w:r>
      <w:r w:rsidR="00F95A82" w:rsidRPr="00DE05C4">
        <w:rPr>
          <w:rFonts w:ascii="Arial" w:hAnsi="Arial" w:cs="Arial"/>
          <w:sz w:val="22"/>
          <w:szCs w:val="22"/>
        </w:rPr>
        <w:t>)</w:t>
      </w:r>
      <w:r w:rsidRPr="00DE05C4">
        <w:rPr>
          <w:rFonts w:ascii="Arial" w:hAnsi="Arial" w:cs="Arial"/>
          <w:sz w:val="22"/>
          <w:szCs w:val="22"/>
        </w:rPr>
        <w:t xml:space="preserve"> to attribute input tax credits if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exercises the right to acquire the interest in the mining tenement and this is a creditable acquisition for the </w:t>
      </w:r>
      <w:proofErr w:type="spellStart"/>
      <w:r w:rsidRPr="00DE05C4">
        <w:rPr>
          <w:rFonts w:ascii="Arial" w:hAnsi="Arial" w:cs="Arial"/>
          <w:sz w:val="22"/>
          <w:szCs w:val="22"/>
        </w:rPr>
        <w:t>farmee</w:t>
      </w:r>
      <w:proofErr w:type="spellEnd"/>
      <w:r w:rsidRPr="00DE05C4">
        <w:rPr>
          <w:rFonts w:ascii="Arial" w:hAnsi="Arial" w:cs="Arial"/>
          <w:sz w:val="22"/>
          <w:szCs w:val="22"/>
        </w:rPr>
        <w:t>.</w:t>
      </w:r>
    </w:p>
    <w:p w14:paraId="64CCB4A9" w14:textId="5B44F8FB" w:rsidR="004A3F1D" w:rsidRPr="00DE05C4" w:rsidRDefault="00564064" w:rsidP="0057419F">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The attribution rules in th</w:t>
      </w:r>
      <w:r w:rsidR="0057419F">
        <w:rPr>
          <w:rFonts w:ascii="Arial" w:hAnsi="Arial" w:cs="Arial"/>
          <w:sz w:val="22"/>
          <w:szCs w:val="22"/>
        </w:rPr>
        <w:t>e</w:t>
      </w:r>
      <w:r w:rsidRPr="00DE05C4">
        <w:rPr>
          <w:rFonts w:ascii="Arial" w:hAnsi="Arial" w:cs="Arial"/>
          <w:sz w:val="22"/>
          <w:szCs w:val="22"/>
        </w:rPr>
        <w:t xml:space="preserve"> determination apply to</w:t>
      </w:r>
      <w:r w:rsidR="001656A4">
        <w:rPr>
          <w:rFonts w:ascii="Arial" w:hAnsi="Arial" w:cs="Arial"/>
          <w:sz w:val="22"/>
          <w:szCs w:val="22"/>
        </w:rPr>
        <w:t xml:space="preserve"> a</w:t>
      </w:r>
      <w:r w:rsidRPr="00DE05C4">
        <w:rPr>
          <w:rFonts w:ascii="Arial" w:hAnsi="Arial" w:cs="Arial"/>
          <w:sz w:val="22"/>
          <w:szCs w:val="22"/>
        </w:rPr>
        <w:t xml:space="preserve"> deferred transfer farm-out</w:t>
      </w:r>
      <w:r w:rsidR="00467A68" w:rsidRPr="00DE05C4">
        <w:rPr>
          <w:rFonts w:ascii="Arial" w:hAnsi="Arial" w:cs="Arial"/>
          <w:sz w:val="22"/>
          <w:szCs w:val="22"/>
        </w:rPr>
        <w:t xml:space="preserve"> arrangement</w:t>
      </w:r>
      <w:r w:rsidR="001A1844">
        <w:rPr>
          <w:rFonts w:ascii="Arial" w:hAnsi="Arial" w:cs="Arial"/>
          <w:sz w:val="22"/>
          <w:szCs w:val="22"/>
        </w:rPr>
        <w:t xml:space="preserve">. In this determination, a </w:t>
      </w:r>
      <w:r w:rsidR="001A1844" w:rsidRPr="00DE05C4">
        <w:rPr>
          <w:rFonts w:ascii="Arial" w:hAnsi="Arial" w:cs="Arial"/>
          <w:sz w:val="22"/>
          <w:szCs w:val="22"/>
        </w:rPr>
        <w:t>deferred transfer farm-out arrangement</w:t>
      </w:r>
      <w:r w:rsidR="001A1844">
        <w:rPr>
          <w:rFonts w:ascii="Arial" w:hAnsi="Arial" w:cs="Arial"/>
          <w:sz w:val="22"/>
          <w:szCs w:val="22"/>
        </w:rPr>
        <w:t xml:space="preserve"> is defined to mean</w:t>
      </w:r>
      <w:r w:rsidR="004A3F1D">
        <w:rPr>
          <w:rFonts w:ascii="Arial" w:hAnsi="Arial" w:cs="Arial"/>
          <w:sz w:val="22"/>
          <w:szCs w:val="22"/>
        </w:rPr>
        <w:t xml:space="preserve"> an arrangement for the </w:t>
      </w:r>
      <w:r w:rsidR="004A3F1D" w:rsidRPr="004A3F1D">
        <w:rPr>
          <w:rFonts w:ascii="Arial" w:hAnsi="Arial" w:cs="Arial"/>
          <w:sz w:val="22"/>
          <w:szCs w:val="22"/>
        </w:rPr>
        <w:t xml:space="preserve">transfer of a percentage interest in a mining tenement from a </w:t>
      </w:r>
      <w:proofErr w:type="spellStart"/>
      <w:r w:rsidR="004A3F1D" w:rsidRPr="004A3F1D">
        <w:rPr>
          <w:rFonts w:ascii="Arial" w:hAnsi="Arial" w:cs="Arial"/>
          <w:sz w:val="22"/>
          <w:szCs w:val="22"/>
        </w:rPr>
        <w:t>farmor</w:t>
      </w:r>
      <w:proofErr w:type="spellEnd"/>
      <w:r w:rsidR="004A3F1D" w:rsidRPr="004A3F1D">
        <w:rPr>
          <w:rFonts w:ascii="Arial" w:hAnsi="Arial" w:cs="Arial"/>
          <w:sz w:val="22"/>
          <w:szCs w:val="22"/>
        </w:rPr>
        <w:t xml:space="preserve"> to a </w:t>
      </w:r>
      <w:proofErr w:type="spellStart"/>
      <w:r w:rsidR="004A3F1D" w:rsidRPr="004A3F1D">
        <w:rPr>
          <w:rFonts w:ascii="Arial" w:hAnsi="Arial" w:cs="Arial"/>
          <w:sz w:val="22"/>
          <w:szCs w:val="22"/>
        </w:rPr>
        <w:t>farmee</w:t>
      </w:r>
      <w:proofErr w:type="spellEnd"/>
      <w:r w:rsidR="004A3F1D" w:rsidRPr="004A3F1D">
        <w:rPr>
          <w:rFonts w:ascii="Arial" w:hAnsi="Arial" w:cs="Arial"/>
          <w:sz w:val="22"/>
          <w:szCs w:val="22"/>
        </w:rPr>
        <w:t>, under which</w:t>
      </w:r>
      <w:r w:rsidR="004A3F1D">
        <w:rPr>
          <w:rFonts w:ascii="Arial" w:hAnsi="Arial" w:cs="Arial"/>
          <w:sz w:val="22"/>
          <w:szCs w:val="22"/>
        </w:rPr>
        <w:t>:</w:t>
      </w:r>
      <w:r w:rsidRPr="00DE05C4">
        <w:rPr>
          <w:rFonts w:ascii="Arial" w:hAnsi="Arial" w:cs="Arial"/>
          <w:sz w:val="22"/>
          <w:szCs w:val="22"/>
        </w:rPr>
        <w:t xml:space="preserve"> </w:t>
      </w:r>
    </w:p>
    <w:p w14:paraId="65B73047" w14:textId="77777777" w:rsidR="004A3F1D" w:rsidRPr="009801F5" w:rsidRDefault="004A3F1D" w:rsidP="004A3F1D">
      <w:pPr>
        <w:pStyle w:val="ListParagraph"/>
        <w:numPr>
          <w:ilvl w:val="0"/>
          <w:numId w:val="7"/>
        </w:numPr>
        <w:spacing w:after="120" w:line="240" w:lineRule="auto"/>
        <w:rPr>
          <w:rFonts w:ascii="Arial" w:hAnsi="Arial" w:cs="Arial"/>
        </w:rPr>
      </w:pPr>
      <w:bookmarkStart w:id="2" w:name="_Hlk112761951"/>
      <w:r>
        <w:rPr>
          <w:rFonts w:ascii="Arial" w:hAnsi="Arial" w:cs="Arial"/>
        </w:rPr>
        <w:t>t</w:t>
      </w:r>
      <w:r w:rsidRPr="00231C69">
        <w:rPr>
          <w:rFonts w:ascii="Arial" w:hAnsi="Arial" w:cs="Arial"/>
        </w:rPr>
        <w:t xml:space="preserve">he </w:t>
      </w:r>
      <w:proofErr w:type="spellStart"/>
      <w:r w:rsidRPr="00231C69">
        <w:rPr>
          <w:rFonts w:ascii="Arial" w:hAnsi="Arial" w:cs="Arial"/>
        </w:rPr>
        <w:t>farmor</w:t>
      </w:r>
      <w:proofErr w:type="spellEnd"/>
      <w:r w:rsidRPr="00231C69">
        <w:rPr>
          <w:rFonts w:ascii="Arial" w:hAnsi="Arial" w:cs="Arial"/>
        </w:rPr>
        <w:t xml:space="preserve"> provides the </w:t>
      </w:r>
      <w:proofErr w:type="spellStart"/>
      <w:r w:rsidRPr="00231C69">
        <w:rPr>
          <w:rFonts w:ascii="Arial" w:hAnsi="Arial" w:cs="Arial"/>
        </w:rPr>
        <w:t>farmee</w:t>
      </w:r>
      <w:proofErr w:type="spellEnd"/>
      <w:r w:rsidRPr="00231C69">
        <w:rPr>
          <w:rFonts w:ascii="Arial" w:hAnsi="Arial" w:cs="Arial"/>
        </w:rPr>
        <w:t xml:space="preserve"> </w:t>
      </w:r>
      <w:r>
        <w:rPr>
          <w:rFonts w:ascii="Arial" w:hAnsi="Arial" w:cs="Arial"/>
        </w:rPr>
        <w:t xml:space="preserve">with </w:t>
      </w:r>
      <w:r w:rsidRPr="00231C69">
        <w:rPr>
          <w:rFonts w:ascii="Arial" w:hAnsi="Arial" w:cs="Arial"/>
        </w:rPr>
        <w:t>a right to acquire the interest in the mining tenement if</w:t>
      </w:r>
      <w:r>
        <w:rPr>
          <w:rFonts w:ascii="Arial" w:hAnsi="Arial" w:cs="Arial"/>
        </w:rPr>
        <w:t xml:space="preserve"> </w:t>
      </w:r>
      <w:r w:rsidRPr="009801F5">
        <w:rPr>
          <w:rFonts w:ascii="Arial" w:hAnsi="Arial" w:cs="Arial"/>
        </w:rPr>
        <w:t xml:space="preserve">the </w:t>
      </w:r>
      <w:proofErr w:type="spellStart"/>
      <w:r w:rsidRPr="009801F5">
        <w:rPr>
          <w:rFonts w:ascii="Arial" w:hAnsi="Arial" w:cs="Arial"/>
        </w:rPr>
        <w:t>farmee</w:t>
      </w:r>
      <w:proofErr w:type="spellEnd"/>
      <w:r w:rsidRPr="009801F5">
        <w:rPr>
          <w:rFonts w:ascii="Arial" w:hAnsi="Arial" w:cs="Arial"/>
        </w:rPr>
        <w:t xml:space="preserve"> meets all of its exploration commitments and any payment requirements to earn that interest (the earn-in requirements) within a specified period of time (the earn-in period</w:t>
      </w:r>
      <w:proofErr w:type="gramStart"/>
      <w:r w:rsidRPr="009801F5">
        <w:rPr>
          <w:rFonts w:ascii="Arial" w:hAnsi="Arial" w:cs="Arial"/>
        </w:rPr>
        <w:t>);</w:t>
      </w:r>
      <w:proofErr w:type="gramEnd"/>
    </w:p>
    <w:p w14:paraId="3FC40070" w14:textId="77777777" w:rsidR="004A3F1D" w:rsidRPr="00687DC6" w:rsidRDefault="004A3F1D" w:rsidP="004A3F1D">
      <w:pPr>
        <w:pStyle w:val="ListParagraph"/>
        <w:numPr>
          <w:ilvl w:val="0"/>
          <w:numId w:val="7"/>
        </w:numPr>
        <w:spacing w:after="120" w:line="240" w:lineRule="auto"/>
        <w:contextualSpacing/>
        <w:rPr>
          <w:rFonts w:ascii="Arial" w:hAnsi="Arial" w:cs="Arial"/>
        </w:rPr>
      </w:pPr>
      <w:r>
        <w:rPr>
          <w:rFonts w:ascii="Arial" w:hAnsi="Arial" w:cs="Arial"/>
        </w:rPr>
        <w:t>most</w:t>
      </w:r>
      <w:r w:rsidRPr="00687DC6">
        <w:rPr>
          <w:rFonts w:ascii="Arial" w:hAnsi="Arial" w:cs="Arial"/>
        </w:rPr>
        <w:t xml:space="preserve"> or all of the exploration commitments to earn that interest </w:t>
      </w:r>
      <w:r>
        <w:rPr>
          <w:rFonts w:ascii="Arial" w:hAnsi="Arial" w:cs="Arial"/>
        </w:rPr>
        <w:t xml:space="preserve">are </w:t>
      </w:r>
      <w:r w:rsidRPr="00687DC6">
        <w:rPr>
          <w:rFonts w:ascii="Arial" w:hAnsi="Arial" w:cs="Arial"/>
        </w:rPr>
        <w:t xml:space="preserve">at the discretion of the </w:t>
      </w:r>
      <w:proofErr w:type="spellStart"/>
      <w:proofErr w:type="gramStart"/>
      <w:r w:rsidRPr="00687DC6">
        <w:rPr>
          <w:rFonts w:ascii="Arial" w:hAnsi="Arial" w:cs="Arial"/>
        </w:rPr>
        <w:t>farmee</w:t>
      </w:r>
      <w:proofErr w:type="spellEnd"/>
      <w:r w:rsidRPr="00687DC6">
        <w:rPr>
          <w:rFonts w:ascii="Arial" w:hAnsi="Arial" w:cs="Arial"/>
        </w:rPr>
        <w:t>;</w:t>
      </w:r>
      <w:proofErr w:type="gramEnd"/>
      <w:r>
        <w:rPr>
          <w:rFonts w:ascii="Arial" w:hAnsi="Arial" w:cs="Arial"/>
        </w:rPr>
        <w:t xml:space="preserve"> </w:t>
      </w:r>
    </w:p>
    <w:p w14:paraId="5D51B110" w14:textId="4E6010D8" w:rsidR="004A3F1D" w:rsidRDefault="004A3F1D" w:rsidP="004A3F1D">
      <w:pPr>
        <w:pStyle w:val="ListParagraph"/>
        <w:numPr>
          <w:ilvl w:val="0"/>
          <w:numId w:val="7"/>
        </w:numPr>
        <w:spacing w:after="120" w:line="240" w:lineRule="auto"/>
        <w:contextualSpacing/>
        <w:rPr>
          <w:rFonts w:ascii="Arial" w:hAnsi="Arial" w:cs="Arial"/>
        </w:rPr>
      </w:pPr>
      <w:r w:rsidRPr="00A25B3B">
        <w:rPr>
          <w:rFonts w:ascii="Arial" w:hAnsi="Arial" w:cs="Arial"/>
        </w:rPr>
        <w:t xml:space="preserve">the </w:t>
      </w:r>
      <w:proofErr w:type="spellStart"/>
      <w:r w:rsidRPr="00A25B3B">
        <w:rPr>
          <w:rFonts w:ascii="Arial" w:hAnsi="Arial" w:cs="Arial"/>
        </w:rPr>
        <w:t>farmor</w:t>
      </w:r>
      <w:proofErr w:type="spellEnd"/>
      <w:r w:rsidRPr="00A25B3B">
        <w:rPr>
          <w:rFonts w:ascii="Arial" w:hAnsi="Arial" w:cs="Arial"/>
        </w:rPr>
        <w:t xml:space="preserve"> grants to the </w:t>
      </w:r>
      <w:proofErr w:type="spellStart"/>
      <w:r w:rsidRPr="00A25B3B">
        <w:rPr>
          <w:rFonts w:ascii="Arial" w:hAnsi="Arial" w:cs="Arial"/>
        </w:rPr>
        <w:t>farmee</w:t>
      </w:r>
      <w:proofErr w:type="spellEnd"/>
      <w:r w:rsidRPr="00A25B3B">
        <w:rPr>
          <w:rFonts w:ascii="Arial" w:hAnsi="Arial" w:cs="Arial"/>
        </w:rPr>
        <w:t xml:space="preserve"> a right to exclusive use and access of the mining tenement</w:t>
      </w:r>
      <w:r>
        <w:rPr>
          <w:rFonts w:ascii="Arial" w:hAnsi="Arial" w:cs="Arial"/>
        </w:rPr>
        <w:t xml:space="preserve"> to carry out the exploration </w:t>
      </w:r>
      <w:proofErr w:type="gramStart"/>
      <w:r>
        <w:rPr>
          <w:rFonts w:ascii="Arial" w:hAnsi="Arial" w:cs="Arial"/>
        </w:rPr>
        <w:t>commitments</w:t>
      </w:r>
      <w:r w:rsidRPr="00687DC6">
        <w:rPr>
          <w:rFonts w:ascii="Arial" w:hAnsi="Arial" w:cs="Arial"/>
        </w:rPr>
        <w:t>;</w:t>
      </w:r>
      <w:proofErr w:type="gramEnd"/>
    </w:p>
    <w:p w14:paraId="56731C9D" w14:textId="61CC6ED3" w:rsidR="001A1844" w:rsidRDefault="001A1844" w:rsidP="004A3F1D">
      <w:pPr>
        <w:pStyle w:val="ListParagraph"/>
        <w:numPr>
          <w:ilvl w:val="0"/>
          <w:numId w:val="7"/>
        </w:numPr>
        <w:spacing w:after="120" w:line="240" w:lineRule="auto"/>
        <w:contextualSpacing/>
        <w:rPr>
          <w:rFonts w:ascii="Arial" w:hAnsi="Arial" w:cs="Arial"/>
        </w:rPr>
      </w:pPr>
      <w:r w:rsidRPr="001A1844">
        <w:rPr>
          <w:rFonts w:ascii="Arial" w:hAnsi="Arial" w:cs="Arial"/>
        </w:rPr>
        <w:t xml:space="preserve">there is a provision of an exploration benefit by the </w:t>
      </w:r>
      <w:proofErr w:type="spellStart"/>
      <w:r w:rsidRPr="001A1844">
        <w:rPr>
          <w:rFonts w:ascii="Arial" w:hAnsi="Arial" w:cs="Arial"/>
        </w:rPr>
        <w:t>farmee</w:t>
      </w:r>
      <w:proofErr w:type="spellEnd"/>
      <w:r w:rsidRPr="001A1844">
        <w:rPr>
          <w:rFonts w:ascii="Arial" w:hAnsi="Arial" w:cs="Arial"/>
        </w:rPr>
        <w:t xml:space="preserve"> to the </w:t>
      </w:r>
      <w:proofErr w:type="spellStart"/>
      <w:proofErr w:type="gramStart"/>
      <w:r w:rsidRPr="001A1844">
        <w:rPr>
          <w:rFonts w:ascii="Arial" w:hAnsi="Arial" w:cs="Arial"/>
        </w:rPr>
        <w:t>farmor</w:t>
      </w:r>
      <w:proofErr w:type="spellEnd"/>
      <w:r>
        <w:rPr>
          <w:rFonts w:ascii="Arial" w:hAnsi="Arial" w:cs="Arial"/>
        </w:rPr>
        <w:t>;</w:t>
      </w:r>
      <w:proofErr w:type="gramEnd"/>
    </w:p>
    <w:p w14:paraId="22028DA1" w14:textId="4B106CB1" w:rsidR="004A3F1D" w:rsidRDefault="004A3F1D" w:rsidP="004A3F1D">
      <w:pPr>
        <w:pStyle w:val="ListParagraph"/>
        <w:numPr>
          <w:ilvl w:val="0"/>
          <w:numId w:val="7"/>
        </w:numPr>
        <w:spacing w:after="120" w:line="240" w:lineRule="auto"/>
        <w:contextualSpacing/>
        <w:rPr>
          <w:rFonts w:ascii="Arial" w:hAnsi="Arial" w:cs="Arial"/>
        </w:rPr>
      </w:pPr>
      <w:r>
        <w:rPr>
          <w:rFonts w:ascii="Arial" w:hAnsi="Arial" w:cs="Arial"/>
        </w:rPr>
        <w:t xml:space="preserve">the </w:t>
      </w:r>
      <w:proofErr w:type="spellStart"/>
      <w:r>
        <w:rPr>
          <w:rFonts w:ascii="Arial" w:hAnsi="Arial" w:cs="Arial"/>
        </w:rPr>
        <w:t>farmor</w:t>
      </w:r>
      <w:proofErr w:type="spellEnd"/>
      <w:r>
        <w:rPr>
          <w:rFonts w:ascii="Arial" w:hAnsi="Arial" w:cs="Arial"/>
        </w:rPr>
        <w:t xml:space="preserve"> will transfer the interest to the </w:t>
      </w:r>
      <w:proofErr w:type="spellStart"/>
      <w:r>
        <w:rPr>
          <w:rFonts w:ascii="Arial" w:hAnsi="Arial" w:cs="Arial"/>
        </w:rPr>
        <w:t>farmee</w:t>
      </w:r>
      <w:proofErr w:type="spellEnd"/>
      <w:r>
        <w:rPr>
          <w:rFonts w:ascii="Arial" w:hAnsi="Arial" w:cs="Arial"/>
        </w:rPr>
        <w:t xml:space="preserve"> at the end of the earn-in period if</w:t>
      </w:r>
      <w:bookmarkEnd w:id="2"/>
      <w:r>
        <w:rPr>
          <w:rFonts w:ascii="Arial" w:hAnsi="Arial" w:cs="Arial"/>
        </w:rPr>
        <w:t xml:space="preserve">: </w:t>
      </w:r>
    </w:p>
    <w:p w14:paraId="5026AB93" w14:textId="77777777" w:rsidR="004A3F1D" w:rsidRDefault="004A3F1D" w:rsidP="00E77C40">
      <w:pPr>
        <w:pStyle w:val="ListParagraph"/>
        <w:spacing w:after="120" w:line="240" w:lineRule="auto"/>
        <w:ind w:left="1474"/>
        <w:contextualSpacing/>
        <w:rPr>
          <w:rFonts w:ascii="Arial" w:hAnsi="Arial" w:cs="Arial"/>
        </w:rPr>
      </w:pPr>
    </w:p>
    <w:p w14:paraId="570012A8" w14:textId="77777777" w:rsidR="004A3F1D" w:rsidRDefault="004A3F1D" w:rsidP="004A3F1D">
      <w:pPr>
        <w:pStyle w:val="ListParagraph"/>
        <w:spacing w:after="120"/>
        <w:ind w:left="1474"/>
        <w:rPr>
          <w:rFonts w:ascii="Arial" w:hAnsi="Arial" w:cs="Arial"/>
        </w:rPr>
      </w:pPr>
      <w:r>
        <w:rPr>
          <w:rFonts w:ascii="Arial" w:hAnsi="Arial" w:cs="Arial"/>
        </w:rPr>
        <w:t xml:space="preserve">i) </w:t>
      </w:r>
      <w:r w:rsidRPr="009801F5">
        <w:rPr>
          <w:rFonts w:ascii="Arial" w:hAnsi="Arial" w:cs="Arial"/>
        </w:rPr>
        <w:t xml:space="preserve">the </w:t>
      </w:r>
      <w:proofErr w:type="spellStart"/>
      <w:r w:rsidRPr="009801F5">
        <w:rPr>
          <w:rFonts w:ascii="Arial" w:hAnsi="Arial" w:cs="Arial"/>
        </w:rPr>
        <w:t>farmee</w:t>
      </w:r>
      <w:proofErr w:type="spellEnd"/>
      <w:r w:rsidRPr="009801F5">
        <w:rPr>
          <w:rFonts w:ascii="Arial" w:hAnsi="Arial" w:cs="Arial"/>
        </w:rPr>
        <w:t xml:space="preserve"> satisfies the earn-in requirements in the earn-in </w:t>
      </w:r>
      <w:proofErr w:type="gramStart"/>
      <w:r w:rsidRPr="009801F5">
        <w:rPr>
          <w:rFonts w:ascii="Arial" w:hAnsi="Arial" w:cs="Arial"/>
        </w:rPr>
        <w:t>period;</w:t>
      </w:r>
      <w:proofErr w:type="gramEnd"/>
      <w:r w:rsidRPr="009801F5">
        <w:rPr>
          <w:rFonts w:ascii="Arial" w:hAnsi="Arial" w:cs="Arial"/>
        </w:rPr>
        <w:t xml:space="preserve"> </w:t>
      </w:r>
    </w:p>
    <w:p w14:paraId="6AA1857F" w14:textId="6A4503EC" w:rsidR="004A3F1D" w:rsidRPr="009801F5" w:rsidRDefault="004A3F1D" w:rsidP="004A3F1D">
      <w:pPr>
        <w:pStyle w:val="ListParagraph"/>
        <w:spacing w:after="120"/>
        <w:ind w:left="1474"/>
        <w:rPr>
          <w:rFonts w:ascii="Arial" w:hAnsi="Arial" w:cs="Arial"/>
        </w:rPr>
      </w:pPr>
      <w:r>
        <w:rPr>
          <w:rFonts w:ascii="Arial" w:hAnsi="Arial" w:cs="Arial"/>
        </w:rPr>
        <w:t>ii)</w:t>
      </w:r>
      <w:r w:rsidR="001A1844">
        <w:rPr>
          <w:rFonts w:ascii="Arial" w:hAnsi="Arial" w:cs="Arial"/>
        </w:rPr>
        <w:t xml:space="preserve"> </w:t>
      </w:r>
      <w:r w:rsidRPr="009801F5">
        <w:rPr>
          <w:rFonts w:ascii="Arial" w:hAnsi="Arial" w:cs="Arial"/>
        </w:rPr>
        <w:t xml:space="preserve">the </w:t>
      </w:r>
      <w:proofErr w:type="spellStart"/>
      <w:r w:rsidRPr="009801F5">
        <w:rPr>
          <w:rFonts w:ascii="Arial" w:hAnsi="Arial" w:cs="Arial"/>
        </w:rPr>
        <w:t>farmee</w:t>
      </w:r>
      <w:proofErr w:type="spellEnd"/>
      <w:r w:rsidRPr="009801F5">
        <w:rPr>
          <w:rFonts w:ascii="Arial" w:hAnsi="Arial" w:cs="Arial"/>
        </w:rPr>
        <w:t xml:space="preserve"> exercises the right to acquire the interest; and </w:t>
      </w:r>
    </w:p>
    <w:p w14:paraId="518B43D5" w14:textId="74B458C3" w:rsidR="004A3F1D" w:rsidRDefault="004A3F1D" w:rsidP="004A3F1D">
      <w:pPr>
        <w:pStyle w:val="ListParagraph"/>
        <w:spacing w:after="120"/>
        <w:ind w:left="1474"/>
        <w:rPr>
          <w:rFonts w:ascii="Arial" w:hAnsi="Arial" w:cs="Arial"/>
        </w:rPr>
      </w:pPr>
      <w:r w:rsidRPr="009801F5">
        <w:rPr>
          <w:rFonts w:ascii="Arial" w:hAnsi="Arial" w:cs="Arial"/>
        </w:rPr>
        <w:t>i</w:t>
      </w:r>
      <w:r w:rsidR="001A1844">
        <w:rPr>
          <w:rFonts w:ascii="Arial" w:hAnsi="Arial" w:cs="Arial"/>
        </w:rPr>
        <w:t>ii</w:t>
      </w:r>
      <w:r w:rsidRPr="009801F5">
        <w:rPr>
          <w:rFonts w:ascii="Arial" w:hAnsi="Arial" w:cs="Arial"/>
        </w:rPr>
        <w:t>) all necessary government approvals are granted</w:t>
      </w:r>
      <w:r>
        <w:rPr>
          <w:rFonts w:ascii="Arial" w:hAnsi="Arial" w:cs="Arial"/>
        </w:rPr>
        <w:t>.</w:t>
      </w:r>
    </w:p>
    <w:p w14:paraId="3842E8FE" w14:textId="7D1B87CA"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The attribution rules set out in this determination only override the basic attribution rules and the special rules in Chapter 4 of the GST Act to the extent of any inconsistency and only to the extent provided for in this determination.</w:t>
      </w:r>
    </w:p>
    <w:p w14:paraId="5A0680F0" w14:textId="2440FF15" w:rsidR="00352F52" w:rsidRPr="00DE05C4" w:rsidRDefault="00352F52" w:rsidP="00DE05C4">
      <w:pPr>
        <w:spacing w:after="120"/>
        <w:rPr>
          <w:rFonts w:ascii="Arial" w:hAnsi="Arial" w:cs="Arial"/>
          <w:sz w:val="22"/>
          <w:szCs w:val="22"/>
        </w:rPr>
      </w:pPr>
    </w:p>
    <w:p w14:paraId="3A1A2C7C" w14:textId="77777777" w:rsidR="00DE05C4" w:rsidRDefault="00352F52" w:rsidP="00DE05C4">
      <w:pPr>
        <w:pStyle w:val="Heading2"/>
        <w:rPr>
          <w:rFonts w:cs="Arial"/>
          <w:szCs w:val="22"/>
        </w:rPr>
      </w:pPr>
      <w:r w:rsidRPr="00DE05C4">
        <w:rPr>
          <w:rFonts w:cs="Arial"/>
          <w:szCs w:val="22"/>
        </w:rPr>
        <w:t>What is the effect of this determination?</w:t>
      </w:r>
    </w:p>
    <w:p w14:paraId="240E9495" w14:textId="197BB6A2" w:rsidR="00352F52" w:rsidRPr="009967C9" w:rsidRDefault="00352F52" w:rsidP="009967C9">
      <w:pPr>
        <w:pStyle w:val="Heading3"/>
        <w:spacing w:before="0" w:after="120"/>
        <w:rPr>
          <w:i/>
          <w:iCs/>
          <w:sz w:val="22"/>
          <w:szCs w:val="22"/>
        </w:rPr>
      </w:pPr>
      <w:proofErr w:type="spellStart"/>
      <w:r w:rsidRPr="009967C9">
        <w:rPr>
          <w:i/>
          <w:iCs/>
          <w:sz w:val="22"/>
          <w:szCs w:val="22"/>
        </w:rPr>
        <w:t>Farmor</w:t>
      </w:r>
      <w:proofErr w:type="spellEnd"/>
    </w:p>
    <w:p w14:paraId="5E66DB30" w14:textId="749146E1"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If the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accounts for GST on a basis other than cash (a ‘non-cash </w:t>
      </w:r>
      <w:proofErr w:type="spellStart"/>
      <w:r w:rsidRPr="00DE05C4">
        <w:rPr>
          <w:rFonts w:ascii="Arial" w:hAnsi="Arial" w:cs="Arial"/>
          <w:sz w:val="22"/>
          <w:szCs w:val="22"/>
        </w:rPr>
        <w:t>basis’</w:t>
      </w:r>
      <w:proofErr w:type="spellEnd"/>
      <w:r w:rsidRPr="00DE05C4">
        <w:rPr>
          <w:rFonts w:ascii="Arial" w:hAnsi="Arial" w:cs="Arial"/>
          <w:sz w:val="22"/>
          <w:szCs w:val="22"/>
        </w:rPr>
        <w:t xml:space="preserve">), the determination ensures that the GST payable on the taxable supply of the interest in the mining tenement is attributable to the tax period in which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exercises the right to acquire the interest in the mining tenement. Effectively, a non-cash basis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and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can exchange tax invoices upon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exercising the right to acquire the interest in the mining tenement and account for GST payable and claim any input tax credits in that tax period. To the extent that it is a barter </w:t>
      </w:r>
      <w:proofErr w:type="gramStart"/>
      <w:r w:rsidRPr="00DE05C4">
        <w:rPr>
          <w:rFonts w:ascii="Arial" w:hAnsi="Arial" w:cs="Arial"/>
          <w:sz w:val="22"/>
          <w:szCs w:val="22"/>
        </w:rPr>
        <w:t>transaction</w:t>
      </w:r>
      <w:proofErr w:type="gramEnd"/>
      <w:r w:rsidRPr="00DE05C4">
        <w:rPr>
          <w:rFonts w:ascii="Arial" w:hAnsi="Arial" w:cs="Arial"/>
          <w:sz w:val="22"/>
          <w:szCs w:val="22"/>
        </w:rPr>
        <w:t xml:space="preserve"> and the acquisitions are fully creditable, it is a wash transaction for the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and for the </w:t>
      </w:r>
      <w:proofErr w:type="spellStart"/>
      <w:r w:rsidRPr="00DE05C4">
        <w:rPr>
          <w:rFonts w:ascii="Arial" w:hAnsi="Arial" w:cs="Arial"/>
          <w:sz w:val="22"/>
          <w:szCs w:val="22"/>
        </w:rPr>
        <w:t>farmee</w:t>
      </w:r>
      <w:proofErr w:type="spellEnd"/>
      <w:r w:rsidR="00F95A82" w:rsidRPr="00DE05C4">
        <w:rPr>
          <w:rFonts w:ascii="Arial" w:hAnsi="Arial" w:cs="Arial"/>
          <w:sz w:val="22"/>
          <w:szCs w:val="22"/>
        </w:rPr>
        <w:t xml:space="preserve"> </w:t>
      </w:r>
      <w:r w:rsidR="002D396C" w:rsidRPr="00DE05C4">
        <w:rPr>
          <w:rFonts w:ascii="Arial" w:hAnsi="Arial" w:cs="Arial"/>
          <w:sz w:val="22"/>
          <w:szCs w:val="22"/>
        </w:rPr>
        <w:t>(</w:t>
      </w:r>
      <w:r w:rsidR="00F95A82" w:rsidRPr="00DE05C4">
        <w:rPr>
          <w:rFonts w:ascii="Arial" w:hAnsi="Arial" w:cs="Arial"/>
          <w:sz w:val="22"/>
          <w:szCs w:val="22"/>
        </w:rPr>
        <w:t>that is, the GST payable will equal the input tax credit for each party)</w:t>
      </w:r>
      <w:r w:rsidR="006A6C8B">
        <w:rPr>
          <w:rFonts w:ascii="Arial" w:hAnsi="Arial" w:cs="Arial"/>
          <w:sz w:val="22"/>
          <w:szCs w:val="22"/>
        </w:rPr>
        <w:t>.</w:t>
      </w:r>
    </w:p>
    <w:p w14:paraId="61B6E1D4" w14:textId="77777777"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The determination ensures that if the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accounts for GST on a cash basis, the GST payable on the taxable supply of the interest in the mining tenement is attributable to the tax period in which the interest is transferred. This aligns with when a cash basis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can claim an input tax credit for the acquisition of the exploration benefit (assuming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has issued a tax invoice to the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for the exploration benefit by this time). If any of the consideration received is cash, the basic attribution rules apply.</w:t>
      </w:r>
    </w:p>
    <w:p w14:paraId="400277CE" w14:textId="49C43BA9" w:rsidR="00352F52" w:rsidRPr="00DE05C4" w:rsidRDefault="00352F52" w:rsidP="009967C9">
      <w:pPr>
        <w:spacing w:after="120"/>
        <w:rPr>
          <w:rFonts w:ascii="Arial" w:hAnsi="Arial" w:cs="Arial"/>
          <w:sz w:val="22"/>
          <w:szCs w:val="22"/>
        </w:rPr>
      </w:pPr>
    </w:p>
    <w:p w14:paraId="517CA40A" w14:textId="77777777" w:rsidR="00352F52" w:rsidRPr="009967C9" w:rsidRDefault="00352F52" w:rsidP="009967C9">
      <w:pPr>
        <w:pStyle w:val="Heading3"/>
        <w:spacing w:before="0" w:after="120"/>
        <w:rPr>
          <w:i/>
          <w:iCs/>
          <w:sz w:val="22"/>
          <w:szCs w:val="22"/>
        </w:rPr>
      </w:pPr>
      <w:proofErr w:type="spellStart"/>
      <w:r w:rsidRPr="009967C9">
        <w:rPr>
          <w:i/>
          <w:iCs/>
          <w:sz w:val="22"/>
          <w:szCs w:val="22"/>
        </w:rPr>
        <w:lastRenderedPageBreak/>
        <w:t>Farmee</w:t>
      </w:r>
      <w:proofErr w:type="spellEnd"/>
    </w:p>
    <w:p w14:paraId="6E703620" w14:textId="02F176D0" w:rsidR="00352F52" w:rsidRP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The determination ensures that if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accounts for GST on either a cash or a non-cash basis, the input tax credit for a creditable acquisition of the interest in the mining tenement is attributed to a tax period no earlier than the first tax period in which the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could issue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with a tax invoice and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could claim an input tax credit. Once a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that operates on a cash basis exercises their right to acquire the interest in the mining tenement,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may claim input tax credits to the extent of any consideration already provided. If they provide further consideration after they have exercised their right, the input tax credit with respect to that further consideration is attributable according to the basic attribution rules.</w:t>
      </w:r>
    </w:p>
    <w:p w14:paraId="6C86804C" w14:textId="77777777" w:rsidR="00352F52" w:rsidRPr="00DE05C4" w:rsidRDefault="00352F52" w:rsidP="00DE05C4">
      <w:pPr>
        <w:spacing w:after="120"/>
        <w:rPr>
          <w:rFonts w:ascii="Arial" w:hAnsi="Arial" w:cs="Arial"/>
          <w:sz w:val="22"/>
          <w:szCs w:val="22"/>
        </w:rPr>
      </w:pPr>
    </w:p>
    <w:p w14:paraId="37B24F91" w14:textId="125AC175" w:rsidR="0063489F" w:rsidRPr="00DE05C4" w:rsidRDefault="0063489F" w:rsidP="00DE05C4">
      <w:pPr>
        <w:pStyle w:val="Heading2"/>
        <w:rPr>
          <w:rFonts w:cs="Arial"/>
          <w:szCs w:val="22"/>
        </w:rPr>
      </w:pPr>
      <w:r w:rsidRPr="00DE05C4">
        <w:rPr>
          <w:rFonts w:cs="Arial"/>
          <w:szCs w:val="22"/>
        </w:rPr>
        <w:t>Compliance cost assessment</w:t>
      </w:r>
    </w:p>
    <w:p w14:paraId="62F0EF6A" w14:textId="77777777" w:rsidR="00DE05C4" w:rsidRDefault="00352F52"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The regulatory impact is minor or machinery in nature and the instrument helps to ensure that the GST law operates as intended, OBPR ID22-01683.</w:t>
      </w:r>
    </w:p>
    <w:p w14:paraId="56BF77B0" w14:textId="19295D67" w:rsidR="00352F52" w:rsidRPr="00DE05C4" w:rsidRDefault="00352F52" w:rsidP="009967C9">
      <w:pPr>
        <w:spacing w:after="120"/>
        <w:rPr>
          <w:rFonts w:ascii="Arial" w:hAnsi="Arial" w:cs="Arial"/>
          <w:sz w:val="22"/>
          <w:szCs w:val="22"/>
        </w:rPr>
      </w:pPr>
    </w:p>
    <w:p w14:paraId="0A5F741B" w14:textId="77777777" w:rsidR="00352F52" w:rsidRPr="00DE05C4" w:rsidRDefault="00352F52" w:rsidP="00DE05C4">
      <w:pPr>
        <w:pStyle w:val="Heading2"/>
        <w:rPr>
          <w:rFonts w:cs="Arial"/>
          <w:szCs w:val="22"/>
        </w:rPr>
      </w:pPr>
      <w:r w:rsidRPr="00DE05C4">
        <w:rPr>
          <w:rFonts w:cs="Arial"/>
          <w:szCs w:val="22"/>
        </w:rPr>
        <w:t>Background</w:t>
      </w:r>
    </w:p>
    <w:p w14:paraId="225C4168" w14:textId="77777777" w:rsidR="00B77EE4" w:rsidRPr="00DE05C4" w:rsidRDefault="00B77EE4"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In the mining sector, exploration activities are sometimes undertaken using farm-out arrangements. This is where an entity (</w:t>
      </w:r>
      <w:proofErr w:type="spellStart"/>
      <w:r w:rsidRPr="00DE05C4">
        <w:rPr>
          <w:rFonts w:ascii="Arial" w:hAnsi="Arial" w:cs="Arial"/>
          <w:sz w:val="22"/>
          <w:szCs w:val="22"/>
        </w:rPr>
        <w:t>farmor</w:t>
      </w:r>
      <w:proofErr w:type="spellEnd"/>
      <w:r w:rsidRPr="00DE05C4">
        <w:rPr>
          <w:rFonts w:ascii="Arial" w:hAnsi="Arial" w:cs="Arial"/>
          <w:sz w:val="22"/>
          <w:szCs w:val="22"/>
        </w:rPr>
        <w:t>) transfers an interest in a mining, quarrying or prospecting right, to an entity (</w:t>
      </w:r>
      <w:proofErr w:type="spellStart"/>
      <w:r w:rsidRPr="00DE05C4">
        <w:rPr>
          <w:rFonts w:ascii="Arial" w:hAnsi="Arial" w:cs="Arial"/>
          <w:sz w:val="22"/>
          <w:szCs w:val="22"/>
        </w:rPr>
        <w:t>farmee</w:t>
      </w:r>
      <w:proofErr w:type="spellEnd"/>
      <w:r w:rsidRPr="00DE05C4">
        <w:rPr>
          <w:rFonts w:ascii="Arial" w:hAnsi="Arial" w:cs="Arial"/>
          <w:sz w:val="22"/>
          <w:szCs w:val="22"/>
        </w:rPr>
        <w:t>) that provides exploration benefits to the first entity. These transfers may be immediate or deferred (that is, after some conditions have been met).</w:t>
      </w:r>
    </w:p>
    <w:p w14:paraId="1AEE458A" w14:textId="77777777" w:rsidR="00DE05C4" w:rsidRDefault="00B77EE4"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Under a typical deferred transfer farm-out arrangement, the owner of an interest in a mining tenement (</w:t>
      </w:r>
      <w:proofErr w:type="spellStart"/>
      <w:r w:rsidRPr="00DE05C4">
        <w:rPr>
          <w:rFonts w:ascii="Arial" w:hAnsi="Arial" w:cs="Arial"/>
          <w:sz w:val="22"/>
          <w:szCs w:val="22"/>
        </w:rPr>
        <w:t>farmor</w:t>
      </w:r>
      <w:proofErr w:type="spellEnd"/>
      <w:r w:rsidRPr="00DE05C4">
        <w:rPr>
          <w:rFonts w:ascii="Arial" w:hAnsi="Arial" w:cs="Arial"/>
          <w:sz w:val="22"/>
          <w:szCs w:val="22"/>
        </w:rPr>
        <w:t xml:space="preserve">) transfers a </w:t>
      </w:r>
      <w:r w:rsidRPr="006A6C8B">
        <w:rPr>
          <w:rFonts w:ascii="Arial" w:hAnsi="Arial" w:cs="Arial"/>
          <w:sz w:val="22"/>
          <w:szCs w:val="22"/>
        </w:rPr>
        <w:t>percent</w:t>
      </w:r>
      <w:r w:rsidRPr="00DE05C4">
        <w:rPr>
          <w:rFonts w:ascii="Arial" w:hAnsi="Arial" w:cs="Arial"/>
          <w:sz w:val="22"/>
          <w:szCs w:val="22"/>
        </w:rPr>
        <w:t xml:space="preserve">age of that interest to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if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meets specified exploration commitments or makes monetary payments. Often the commercial driver for such an arrangement from the </w:t>
      </w:r>
      <w:proofErr w:type="spellStart"/>
      <w:r w:rsidRPr="00DE05C4">
        <w:rPr>
          <w:rFonts w:ascii="Arial" w:hAnsi="Arial" w:cs="Arial"/>
          <w:sz w:val="22"/>
          <w:szCs w:val="22"/>
        </w:rPr>
        <w:t>farmor’s</w:t>
      </w:r>
      <w:proofErr w:type="spellEnd"/>
      <w:r w:rsidRPr="00DE05C4">
        <w:rPr>
          <w:rFonts w:ascii="Arial" w:hAnsi="Arial" w:cs="Arial"/>
          <w:sz w:val="22"/>
          <w:szCs w:val="22"/>
        </w:rPr>
        <w:t xml:space="preserve"> perspective is funding. For the </w:t>
      </w:r>
      <w:proofErr w:type="spellStart"/>
      <w:r w:rsidRPr="00DE05C4">
        <w:rPr>
          <w:rFonts w:ascii="Arial" w:hAnsi="Arial" w:cs="Arial"/>
          <w:sz w:val="22"/>
          <w:szCs w:val="22"/>
        </w:rPr>
        <w:t>farmee</w:t>
      </w:r>
      <w:proofErr w:type="spellEnd"/>
      <w:r w:rsidRPr="00DE05C4">
        <w:rPr>
          <w:rFonts w:ascii="Arial" w:hAnsi="Arial" w:cs="Arial"/>
          <w:sz w:val="22"/>
          <w:szCs w:val="22"/>
        </w:rPr>
        <w:t>, these arrangements provide an opportunity to acquire an interest in a mining tenement.</w:t>
      </w:r>
    </w:p>
    <w:p w14:paraId="009BF2BD" w14:textId="77777777" w:rsidR="00DE05C4" w:rsidRDefault="00B77EE4"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 xml:space="preserve">It is the nature of deferred transfer farm-out arrangements that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might cease exploration before the conditions are met, in which case the </w:t>
      </w:r>
      <w:proofErr w:type="spellStart"/>
      <w:r w:rsidRPr="00DE05C4">
        <w:rPr>
          <w:rFonts w:ascii="Arial" w:hAnsi="Arial" w:cs="Arial"/>
          <w:sz w:val="22"/>
          <w:szCs w:val="22"/>
        </w:rPr>
        <w:t>farmee</w:t>
      </w:r>
      <w:proofErr w:type="spellEnd"/>
      <w:r w:rsidRPr="00DE05C4">
        <w:rPr>
          <w:rFonts w:ascii="Arial" w:hAnsi="Arial" w:cs="Arial"/>
          <w:sz w:val="22"/>
          <w:szCs w:val="22"/>
        </w:rPr>
        <w:t xml:space="preserve"> cannot exercise the right to acquire the </w:t>
      </w:r>
      <w:r w:rsidRPr="006A6C8B">
        <w:rPr>
          <w:rFonts w:ascii="Arial" w:hAnsi="Arial" w:cs="Arial"/>
          <w:sz w:val="22"/>
          <w:szCs w:val="22"/>
        </w:rPr>
        <w:t>percent</w:t>
      </w:r>
      <w:r w:rsidRPr="00DE05C4">
        <w:rPr>
          <w:rFonts w:ascii="Arial" w:hAnsi="Arial" w:cs="Arial"/>
          <w:sz w:val="22"/>
          <w:szCs w:val="22"/>
        </w:rPr>
        <w:t>age interest in the mining tenement.</w:t>
      </w:r>
    </w:p>
    <w:p w14:paraId="37CC68F2" w14:textId="5EC682FC" w:rsidR="00DE05C4" w:rsidRDefault="00B77EE4"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These arrangements are subject to the existing GST law. However, there are certain circumstances when deferred arrangements cause uncertainty in how the GST requirements operate to attribute GST payable to the correct tax period, causing an outcome that is not intended by the GST law.</w:t>
      </w:r>
    </w:p>
    <w:p w14:paraId="1389F1D6" w14:textId="77777777" w:rsidR="00DE05C4" w:rsidRDefault="00B77EE4" w:rsidP="00DE05C4">
      <w:pPr>
        <w:numPr>
          <w:ilvl w:val="0"/>
          <w:numId w:val="1"/>
        </w:numPr>
        <w:tabs>
          <w:tab w:val="clear" w:pos="720"/>
        </w:tabs>
        <w:spacing w:after="120"/>
        <w:ind w:hanging="720"/>
        <w:rPr>
          <w:rFonts w:ascii="Arial" w:hAnsi="Arial" w:cs="Arial"/>
          <w:sz w:val="22"/>
          <w:szCs w:val="22"/>
        </w:rPr>
      </w:pPr>
      <w:r w:rsidRPr="00DE05C4">
        <w:rPr>
          <w:rFonts w:ascii="Arial" w:hAnsi="Arial" w:cs="Arial"/>
          <w:sz w:val="22"/>
          <w:szCs w:val="22"/>
        </w:rPr>
        <w:t>Miscellaneous Taxation Ruling MT 2012/2 sets out the Commissioner’s view on how GST and income tax laws should apply to these arrangements.</w:t>
      </w:r>
    </w:p>
    <w:p w14:paraId="19F73AA6" w14:textId="37E2D173" w:rsidR="0063489F" w:rsidRPr="00DE05C4" w:rsidRDefault="0063489F" w:rsidP="00DE05C4">
      <w:pPr>
        <w:spacing w:after="120"/>
        <w:rPr>
          <w:rFonts w:ascii="Arial" w:hAnsi="Arial" w:cs="Arial"/>
          <w:sz w:val="22"/>
          <w:szCs w:val="22"/>
        </w:rPr>
      </w:pPr>
    </w:p>
    <w:p w14:paraId="15A23895" w14:textId="77777777" w:rsidR="00131D6F" w:rsidRPr="00DE05C4" w:rsidRDefault="00131D6F" w:rsidP="00DE05C4">
      <w:pPr>
        <w:pStyle w:val="Heading2"/>
        <w:rPr>
          <w:rFonts w:cs="Arial"/>
          <w:szCs w:val="22"/>
        </w:rPr>
      </w:pPr>
      <w:r w:rsidRPr="00DE05C4">
        <w:rPr>
          <w:rFonts w:cs="Arial"/>
          <w:szCs w:val="22"/>
        </w:rPr>
        <w:t>Consultation</w:t>
      </w:r>
    </w:p>
    <w:p w14:paraId="032C110A" w14:textId="36DFB26D" w:rsidR="00B77EE4" w:rsidRPr="009967C9" w:rsidRDefault="00B77EE4" w:rsidP="009967C9">
      <w:pPr>
        <w:numPr>
          <w:ilvl w:val="0"/>
          <w:numId w:val="1"/>
        </w:numPr>
        <w:tabs>
          <w:tab w:val="clear" w:pos="720"/>
        </w:tabs>
        <w:spacing w:after="120"/>
        <w:ind w:hanging="720"/>
        <w:rPr>
          <w:rFonts w:ascii="Arial" w:hAnsi="Arial" w:cs="Arial"/>
          <w:sz w:val="22"/>
          <w:szCs w:val="22"/>
        </w:rPr>
      </w:pPr>
      <w:r w:rsidRPr="009967C9">
        <w:rPr>
          <w:rFonts w:ascii="Arial" w:hAnsi="Arial" w:cs="Arial"/>
          <w:sz w:val="22"/>
          <w:szCs w:val="22"/>
        </w:rPr>
        <w:t xml:space="preserve">Subsection 17(1) of the </w:t>
      </w:r>
      <w:r w:rsidRPr="009967C9">
        <w:rPr>
          <w:rFonts w:ascii="Arial" w:hAnsi="Arial" w:cs="Arial"/>
          <w:i/>
          <w:iCs/>
          <w:sz w:val="22"/>
          <w:szCs w:val="22"/>
        </w:rPr>
        <w:t>Legislation Act 2003</w:t>
      </w:r>
      <w:r w:rsidRPr="009967C9">
        <w:rPr>
          <w:rFonts w:ascii="Arial" w:hAnsi="Arial" w:cs="Arial"/>
          <w:sz w:val="22"/>
          <w:szCs w:val="22"/>
        </w:rPr>
        <w:t xml:space="preserve"> requires the Commissioner to be satisfied that appropriate and reasonably practicable consultation has been undertaken before he </w:t>
      </w:r>
      <w:proofErr w:type="gramStart"/>
      <w:r w:rsidRPr="009967C9">
        <w:rPr>
          <w:rFonts w:ascii="Arial" w:hAnsi="Arial" w:cs="Arial"/>
          <w:sz w:val="22"/>
          <w:szCs w:val="22"/>
        </w:rPr>
        <w:t>makes a determination</w:t>
      </w:r>
      <w:proofErr w:type="gramEnd"/>
      <w:r w:rsidRPr="009967C9">
        <w:rPr>
          <w:rFonts w:ascii="Arial" w:hAnsi="Arial" w:cs="Arial"/>
          <w:sz w:val="22"/>
          <w:szCs w:val="22"/>
        </w:rPr>
        <w:t>.</w:t>
      </w:r>
    </w:p>
    <w:p w14:paraId="3083E54F" w14:textId="77777777" w:rsidR="001A1844" w:rsidRDefault="001A1844" w:rsidP="001A1844">
      <w:pPr>
        <w:numPr>
          <w:ilvl w:val="0"/>
          <w:numId w:val="1"/>
        </w:numPr>
        <w:tabs>
          <w:tab w:val="clear" w:pos="720"/>
        </w:tabs>
        <w:spacing w:after="120"/>
        <w:ind w:hanging="720"/>
        <w:rPr>
          <w:rFonts w:ascii="Arial" w:hAnsi="Arial" w:cs="Arial"/>
          <w:sz w:val="22"/>
          <w:szCs w:val="22"/>
        </w:rPr>
      </w:pPr>
      <w:r>
        <w:rPr>
          <w:rFonts w:ascii="Arial" w:hAnsi="Arial" w:cs="Arial"/>
          <w:sz w:val="22"/>
          <w:szCs w:val="22"/>
        </w:rPr>
        <w:t>P</w:t>
      </w:r>
      <w:r w:rsidRPr="001A1844">
        <w:rPr>
          <w:rFonts w:ascii="Arial" w:hAnsi="Arial" w:cs="Arial"/>
          <w:sz w:val="22"/>
          <w:szCs w:val="22"/>
        </w:rPr>
        <w:t>ublic consultation was undertaken on this instrument for a period of 2 weeks</w:t>
      </w:r>
      <w:r>
        <w:rPr>
          <w:rFonts w:ascii="Arial" w:hAnsi="Arial" w:cs="Arial"/>
          <w:sz w:val="22"/>
          <w:szCs w:val="22"/>
        </w:rPr>
        <w:t>.</w:t>
      </w:r>
    </w:p>
    <w:p w14:paraId="6CB2EFCD" w14:textId="77777777" w:rsidR="001A1844" w:rsidRDefault="001A1844" w:rsidP="001A1844">
      <w:pPr>
        <w:numPr>
          <w:ilvl w:val="0"/>
          <w:numId w:val="1"/>
        </w:numPr>
        <w:tabs>
          <w:tab w:val="clear" w:pos="720"/>
        </w:tabs>
        <w:spacing w:after="120"/>
        <w:ind w:hanging="720"/>
        <w:rPr>
          <w:rFonts w:ascii="Arial" w:hAnsi="Arial" w:cs="Arial"/>
          <w:sz w:val="22"/>
          <w:szCs w:val="22"/>
        </w:rPr>
      </w:pPr>
      <w:r w:rsidRPr="001A1844">
        <w:rPr>
          <w:rFonts w:ascii="Arial" w:hAnsi="Arial" w:cs="Arial"/>
          <w:sz w:val="22"/>
          <w:szCs w:val="22"/>
        </w:rPr>
        <w:t xml:space="preserve">The draft instrument and draft explanatory statement were published on the ATO Legal database, which is publicly available. Publication was advertised via the ‘What’s new’ page on that website, and via the ‘Open Consultation’ </w:t>
      </w:r>
      <w:r w:rsidRPr="001A1844">
        <w:rPr>
          <w:rFonts w:ascii="Arial" w:hAnsi="Arial" w:cs="Arial"/>
          <w:sz w:val="22"/>
          <w:szCs w:val="22"/>
        </w:rPr>
        <w:lastRenderedPageBreak/>
        <w:t>page on ato.gov.au. Major tax and superannuation publishers and associations monitor these pages and include the details in the daily and weekly alerts and newsletters that they provide to their subscribers and members.</w:t>
      </w:r>
    </w:p>
    <w:p w14:paraId="537C43FC" w14:textId="24BFC9F1" w:rsidR="001A1844" w:rsidRPr="001A1844" w:rsidRDefault="001A1844" w:rsidP="00E77C40">
      <w:pPr>
        <w:numPr>
          <w:ilvl w:val="0"/>
          <w:numId w:val="1"/>
        </w:numPr>
        <w:tabs>
          <w:tab w:val="clear" w:pos="720"/>
        </w:tabs>
        <w:spacing w:after="120"/>
        <w:ind w:hanging="720"/>
        <w:rPr>
          <w:rFonts w:ascii="Arial" w:hAnsi="Arial" w:cs="Arial"/>
          <w:sz w:val="22"/>
          <w:szCs w:val="22"/>
        </w:rPr>
      </w:pPr>
      <w:r w:rsidRPr="001A1844">
        <w:rPr>
          <w:rFonts w:ascii="Arial" w:hAnsi="Arial" w:cs="Arial"/>
          <w:sz w:val="22"/>
          <w:szCs w:val="22"/>
        </w:rPr>
        <w:t>No comments were received as part of the consultation process.</w:t>
      </w:r>
    </w:p>
    <w:p w14:paraId="772499E1" w14:textId="77777777" w:rsidR="0015780B" w:rsidRPr="00DE05C4" w:rsidRDefault="0015780B" w:rsidP="00DE05C4">
      <w:pPr>
        <w:autoSpaceDE w:val="0"/>
        <w:autoSpaceDN w:val="0"/>
        <w:adjustRightInd w:val="0"/>
        <w:spacing w:after="120"/>
        <w:rPr>
          <w:rFonts w:ascii="Arial" w:hAnsi="Arial" w:cs="Arial"/>
          <w:sz w:val="22"/>
          <w:szCs w:val="22"/>
        </w:rPr>
      </w:pPr>
    </w:p>
    <w:p w14:paraId="1ABD727C" w14:textId="77777777" w:rsidR="007571D0" w:rsidRPr="00DE05C4" w:rsidRDefault="007571D0" w:rsidP="00DE05C4">
      <w:pPr>
        <w:pStyle w:val="Heading2"/>
        <w:spacing w:after="60"/>
        <w:rPr>
          <w:rFonts w:cs="Arial"/>
          <w:sz w:val="20"/>
        </w:rPr>
      </w:pPr>
      <w:r w:rsidRPr="00DE05C4">
        <w:rPr>
          <w:rFonts w:cs="Arial"/>
          <w:sz w:val="20"/>
        </w:rPr>
        <w:t>Legislative references:</w:t>
      </w:r>
    </w:p>
    <w:p w14:paraId="56F7F857" w14:textId="77777777" w:rsidR="0063489F" w:rsidRPr="00DE05C4" w:rsidRDefault="0063489F" w:rsidP="00DE05C4">
      <w:pPr>
        <w:autoSpaceDE w:val="0"/>
        <w:autoSpaceDN w:val="0"/>
        <w:adjustRightInd w:val="0"/>
        <w:rPr>
          <w:rFonts w:ascii="Arial" w:hAnsi="Arial" w:cs="Arial"/>
          <w:i/>
          <w:iCs/>
          <w:sz w:val="20"/>
        </w:rPr>
      </w:pPr>
      <w:r w:rsidRPr="00DE05C4">
        <w:rPr>
          <w:rFonts w:ascii="Arial" w:hAnsi="Arial" w:cs="Arial"/>
          <w:bCs/>
          <w:i/>
          <w:iCs/>
          <w:sz w:val="20"/>
        </w:rPr>
        <w:t>Acts Interpretation Act 1901</w:t>
      </w:r>
    </w:p>
    <w:p w14:paraId="01FEF6CE" w14:textId="77777777" w:rsidR="0063489F" w:rsidRPr="00DE05C4" w:rsidRDefault="0063489F" w:rsidP="00DE05C4">
      <w:pPr>
        <w:autoSpaceDE w:val="0"/>
        <w:autoSpaceDN w:val="0"/>
        <w:adjustRightInd w:val="0"/>
        <w:rPr>
          <w:rFonts w:ascii="Arial" w:hAnsi="Arial" w:cs="Arial"/>
          <w:i/>
          <w:iCs/>
          <w:sz w:val="20"/>
        </w:rPr>
      </w:pPr>
      <w:r w:rsidRPr="00DE05C4">
        <w:rPr>
          <w:rFonts w:ascii="Arial" w:hAnsi="Arial" w:cs="Arial"/>
          <w:i/>
          <w:iCs/>
          <w:sz w:val="20"/>
        </w:rPr>
        <w:t>A</w:t>
      </w:r>
      <w:r w:rsidRPr="006A6C8B">
        <w:rPr>
          <w:rFonts w:ascii="Arial" w:hAnsi="Arial" w:cs="Arial"/>
          <w:i/>
          <w:iCs/>
          <w:sz w:val="20"/>
        </w:rPr>
        <w:t xml:space="preserve"> New </w:t>
      </w:r>
      <w:r w:rsidRPr="00DE05C4">
        <w:rPr>
          <w:rFonts w:ascii="Arial" w:hAnsi="Arial" w:cs="Arial"/>
          <w:i/>
          <w:iCs/>
          <w:sz w:val="20"/>
        </w:rPr>
        <w:t>Tax System (Goods and Services) Tax Act 1999</w:t>
      </w:r>
    </w:p>
    <w:p w14:paraId="45AB7E2A" w14:textId="77777777" w:rsidR="0063489F" w:rsidRPr="00DE05C4" w:rsidRDefault="0063489F" w:rsidP="00DE05C4">
      <w:pPr>
        <w:autoSpaceDE w:val="0"/>
        <w:autoSpaceDN w:val="0"/>
        <w:adjustRightInd w:val="0"/>
        <w:rPr>
          <w:rFonts w:ascii="Arial" w:hAnsi="Arial" w:cs="Arial"/>
          <w:i/>
          <w:iCs/>
          <w:sz w:val="20"/>
        </w:rPr>
      </w:pPr>
      <w:r w:rsidRPr="00DE05C4">
        <w:rPr>
          <w:rFonts w:ascii="Arial" w:hAnsi="Arial" w:cs="Arial"/>
          <w:i/>
          <w:iCs/>
          <w:sz w:val="20"/>
        </w:rPr>
        <w:t>Human Rights (</w:t>
      </w:r>
      <w:r w:rsidRPr="006A6C8B">
        <w:rPr>
          <w:rFonts w:ascii="Arial" w:hAnsi="Arial" w:cs="Arial"/>
          <w:i/>
          <w:iCs/>
          <w:sz w:val="20"/>
        </w:rPr>
        <w:t>Parliament</w:t>
      </w:r>
      <w:r w:rsidRPr="00DE05C4">
        <w:rPr>
          <w:rFonts w:ascii="Arial" w:hAnsi="Arial" w:cs="Arial"/>
          <w:i/>
          <w:iCs/>
          <w:sz w:val="20"/>
        </w:rPr>
        <w:t>ary Scrutiny) Act 2011</w:t>
      </w:r>
    </w:p>
    <w:p w14:paraId="5F13DF42" w14:textId="77777777" w:rsidR="0063489F" w:rsidRPr="00DE05C4" w:rsidRDefault="0063489F" w:rsidP="00DE05C4">
      <w:pPr>
        <w:autoSpaceDE w:val="0"/>
        <w:autoSpaceDN w:val="0"/>
        <w:adjustRightInd w:val="0"/>
        <w:rPr>
          <w:rFonts w:ascii="Arial" w:hAnsi="Arial" w:cs="Arial"/>
          <w:i/>
          <w:iCs/>
          <w:sz w:val="20"/>
        </w:rPr>
      </w:pPr>
      <w:r w:rsidRPr="00DE05C4">
        <w:rPr>
          <w:rFonts w:ascii="Arial" w:hAnsi="Arial" w:cs="Arial"/>
          <w:i/>
          <w:iCs/>
          <w:sz w:val="20"/>
        </w:rPr>
        <w:t>Legislation Act 2003</w:t>
      </w:r>
    </w:p>
    <w:p w14:paraId="3F985D30" w14:textId="77777777" w:rsidR="00BF12D2" w:rsidRPr="00DE05C4" w:rsidRDefault="00E53399" w:rsidP="00DE05C4">
      <w:pPr>
        <w:pStyle w:val="Heading3"/>
        <w:pageBreakBefore/>
        <w:spacing w:before="0" w:after="120"/>
        <w:jc w:val="center"/>
        <w:rPr>
          <w:sz w:val="22"/>
          <w:szCs w:val="22"/>
        </w:rPr>
      </w:pPr>
      <w:r w:rsidRPr="00DE05C4">
        <w:rPr>
          <w:sz w:val="22"/>
          <w:szCs w:val="22"/>
        </w:rPr>
        <w:lastRenderedPageBreak/>
        <w:t xml:space="preserve">Statement of </w:t>
      </w:r>
      <w:r w:rsidR="00261149" w:rsidRPr="00DE05C4">
        <w:rPr>
          <w:sz w:val="22"/>
          <w:szCs w:val="22"/>
        </w:rPr>
        <w:t>C</w:t>
      </w:r>
      <w:r w:rsidRPr="00DE05C4">
        <w:rPr>
          <w:sz w:val="22"/>
          <w:szCs w:val="22"/>
        </w:rPr>
        <w:t>ompatibility</w:t>
      </w:r>
      <w:r w:rsidR="003A7F99" w:rsidRPr="00DE05C4">
        <w:rPr>
          <w:sz w:val="22"/>
          <w:szCs w:val="22"/>
        </w:rPr>
        <w:t xml:space="preserve"> with Human Rights</w:t>
      </w:r>
    </w:p>
    <w:p w14:paraId="533BD447" w14:textId="273BC3D6" w:rsidR="00E53399" w:rsidRPr="00DE05C4" w:rsidRDefault="00C84E3E" w:rsidP="00DE05C4">
      <w:pPr>
        <w:spacing w:after="120"/>
        <w:rPr>
          <w:rFonts w:ascii="Arial" w:hAnsi="Arial" w:cs="Arial"/>
          <w:sz w:val="22"/>
          <w:szCs w:val="22"/>
        </w:rPr>
      </w:pPr>
      <w:r w:rsidRPr="00DE05C4">
        <w:rPr>
          <w:rFonts w:ascii="Arial" w:hAnsi="Arial" w:cs="Arial"/>
          <w:sz w:val="22"/>
          <w:szCs w:val="22"/>
        </w:rPr>
        <w:t xml:space="preserve">This </w:t>
      </w:r>
      <w:r w:rsidR="004B6F05" w:rsidRPr="00DE05C4">
        <w:rPr>
          <w:rFonts w:ascii="Arial" w:hAnsi="Arial" w:cs="Arial"/>
          <w:sz w:val="22"/>
          <w:szCs w:val="22"/>
        </w:rPr>
        <w:t>s</w:t>
      </w:r>
      <w:r w:rsidRPr="00DE05C4">
        <w:rPr>
          <w:rFonts w:ascii="Arial" w:hAnsi="Arial" w:cs="Arial"/>
          <w:sz w:val="22"/>
          <w:szCs w:val="22"/>
        </w:rPr>
        <w:t>tatement is p</w:t>
      </w:r>
      <w:r w:rsidR="00E53399" w:rsidRPr="00DE05C4">
        <w:rPr>
          <w:rFonts w:ascii="Arial" w:hAnsi="Arial" w:cs="Arial"/>
          <w:sz w:val="22"/>
          <w:szCs w:val="22"/>
        </w:rPr>
        <w:t xml:space="preserve">repared in accordance with Part 3 of the </w:t>
      </w:r>
      <w:r w:rsidR="00E53399" w:rsidRPr="00DE05C4">
        <w:rPr>
          <w:rFonts w:ascii="Arial" w:hAnsi="Arial" w:cs="Arial"/>
          <w:i/>
          <w:sz w:val="22"/>
          <w:szCs w:val="22"/>
        </w:rPr>
        <w:t>Human Rights (</w:t>
      </w:r>
      <w:r w:rsidR="00E53399" w:rsidRPr="006A6C8B">
        <w:rPr>
          <w:rFonts w:ascii="Arial" w:hAnsi="Arial" w:cs="Arial"/>
          <w:i/>
          <w:sz w:val="22"/>
          <w:szCs w:val="22"/>
        </w:rPr>
        <w:t>Parliament</w:t>
      </w:r>
      <w:r w:rsidR="00E53399" w:rsidRPr="00DE05C4">
        <w:rPr>
          <w:rFonts w:ascii="Arial" w:hAnsi="Arial" w:cs="Arial"/>
          <w:i/>
          <w:sz w:val="22"/>
          <w:szCs w:val="22"/>
        </w:rPr>
        <w:t>ary Scrutiny) Act 20</w:t>
      </w:r>
      <w:r w:rsidR="007571D0" w:rsidRPr="00DE05C4">
        <w:rPr>
          <w:rFonts w:ascii="Arial" w:hAnsi="Arial" w:cs="Arial"/>
          <w:i/>
          <w:sz w:val="22"/>
          <w:szCs w:val="22"/>
        </w:rPr>
        <w:t>1</w:t>
      </w:r>
      <w:r w:rsidR="00E53399" w:rsidRPr="00DE05C4">
        <w:rPr>
          <w:rFonts w:ascii="Arial" w:hAnsi="Arial" w:cs="Arial"/>
          <w:i/>
          <w:sz w:val="22"/>
          <w:szCs w:val="22"/>
        </w:rPr>
        <w:t>1</w:t>
      </w:r>
      <w:r w:rsidR="007571D0" w:rsidRPr="00DE05C4">
        <w:rPr>
          <w:rFonts w:ascii="Arial" w:hAnsi="Arial" w:cs="Arial"/>
          <w:i/>
          <w:sz w:val="22"/>
          <w:szCs w:val="22"/>
        </w:rPr>
        <w:t>.</w:t>
      </w:r>
    </w:p>
    <w:p w14:paraId="394B7977" w14:textId="77777777" w:rsidR="00D77015" w:rsidRPr="00DE05C4" w:rsidRDefault="00D77015" w:rsidP="00DE05C4">
      <w:pPr>
        <w:spacing w:after="120"/>
        <w:rPr>
          <w:rFonts w:ascii="Arial" w:hAnsi="Arial" w:cs="Arial"/>
          <w:sz w:val="22"/>
          <w:szCs w:val="22"/>
        </w:rPr>
      </w:pPr>
    </w:p>
    <w:p w14:paraId="79B1A3DC" w14:textId="77777777" w:rsidR="00267CC7" w:rsidRPr="00267CC7" w:rsidRDefault="00267CC7" w:rsidP="00D532E0">
      <w:pPr>
        <w:autoSpaceDE w:val="0"/>
        <w:autoSpaceDN w:val="0"/>
        <w:adjustRightInd w:val="0"/>
        <w:spacing w:after="120"/>
        <w:jc w:val="center"/>
        <w:rPr>
          <w:rFonts w:ascii="Arial" w:hAnsi="Arial" w:cs="Arial"/>
          <w:b/>
          <w:i/>
          <w:iCs/>
          <w:sz w:val="22"/>
          <w:szCs w:val="22"/>
        </w:rPr>
      </w:pPr>
      <w:r w:rsidRPr="00267CC7">
        <w:rPr>
          <w:rFonts w:ascii="Arial" w:hAnsi="Arial" w:cs="Arial"/>
          <w:b/>
          <w:i/>
          <w:iCs/>
          <w:sz w:val="22"/>
          <w:szCs w:val="22"/>
        </w:rPr>
        <w:t>A New Tax System (Goods and Services Tax) Attribution Rules for Deferred Transfer Farm-out Arrangements Determination 2022</w:t>
      </w:r>
    </w:p>
    <w:p w14:paraId="7AF52DA9" w14:textId="28342702" w:rsidR="00BF12D2" w:rsidRPr="00DE05C4" w:rsidRDefault="00075B58" w:rsidP="00DE05C4">
      <w:pPr>
        <w:autoSpaceDE w:val="0"/>
        <w:autoSpaceDN w:val="0"/>
        <w:adjustRightInd w:val="0"/>
        <w:spacing w:after="120"/>
        <w:rPr>
          <w:rFonts w:ascii="Arial" w:hAnsi="Arial" w:cs="Arial"/>
          <w:sz w:val="22"/>
          <w:szCs w:val="22"/>
        </w:rPr>
      </w:pPr>
      <w:r w:rsidRPr="00DE05C4">
        <w:rPr>
          <w:rFonts w:ascii="Arial" w:hAnsi="Arial" w:cs="Arial"/>
          <w:sz w:val="22"/>
          <w:szCs w:val="22"/>
        </w:rPr>
        <w:t xml:space="preserve">This </w:t>
      </w:r>
      <w:r w:rsidR="008763C8" w:rsidRPr="00DE05C4">
        <w:rPr>
          <w:rFonts w:ascii="Arial" w:hAnsi="Arial" w:cs="Arial"/>
          <w:sz w:val="22"/>
          <w:szCs w:val="22"/>
        </w:rPr>
        <w:t>l</w:t>
      </w:r>
      <w:r w:rsidRPr="00DE05C4">
        <w:rPr>
          <w:rFonts w:ascii="Arial" w:hAnsi="Arial" w:cs="Arial"/>
          <w:sz w:val="22"/>
          <w:szCs w:val="22"/>
        </w:rPr>
        <w:t xml:space="preserve">egislative </w:t>
      </w:r>
      <w:r w:rsidR="008763C8" w:rsidRPr="00DE05C4">
        <w:rPr>
          <w:rFonts w:ascii="Arial" w:hAnsi="Arial" w:cs="Arial"/>
          <w:sz w:val="22"/>
          <w:szCs w:val="22"/>
        </w:rPr>
        <w:t>i</w:t>
      </w:r>
      <w:r w:rsidRPr="00DE05C4">
        <w:rPr>
          <w:rFonts w:ascii="Arial" w:hAnsi="Arial" w:cs="Arial"/>
          <w:sz w:val="22"/>
          <w:szCs w:val="22"/>
        </w:rPr>
        <w:t>nstrument is compatible with the human rights and freedoms recognised or declared in the international instruments listed in s</w:t>
      </w:r>
      <w:r w:rsidR="00AB1455" w:rsidRPr="00DE05C4">
        <w:rPr>
          <w:rFonts w:ascii="Arial" w:hAnsi="Arial" w:cs="Arial"/>
          <w:sz w:val="22"/>
          <w:szCs w:val="22"/>
        </w:rPr>
        <w:t>ection</w:t>
      </w:r>
      <w:r w:rsidR="00DE05C4">
        <w:rPr>
          <w:rFonts w:ascii="Arial" w:hAnsi="Arial" w:cs="Arial"/>
          <w:sz w:val="22"/>
          <w:szCs w:val="22"/>
        </w:rPr>
        <w:t xml:space="preserve"> </w:t>
      </w:r>
      <w:r w:rsidRPr="00DE05C4">
        <w:rPr>
          <w:rFonts w:ascii="Arial" w:hAnsi="Arial" w:cs="Arial"/>
          <w:sz w:val="22"/>
          <w:szCs w:val="22"/>
        </w:rPr>
        <w:t xml:space="preserve">3 of the </w:t>
      </w:r>
      <w:r w:rsidRPr="00DE05C4">
        <w:rPr>
          <w:rFonts w:ascii="Arial" w:hAnsi="Arial" w:cs="Arial"/>
          <w:i/>
          <w:sz w:val="22"/>
          <w:szCs w:val="22"/>
        </w:rPr>
        <w:t>Human Rights (</w:t>
      </w:r>
      <w:r w:rsidRPr="006A6C8B">
        <w:rPr>
          <w:rFonts w:ascii="Arial" w:hAnsi="Arial" w:cs="Arial"/>
          <w:i/>
          <w:sz w:val="22"/>
          <w:szCs w:val="22"/>
        </w:rPr>
        <w:t>Parliament</w:t>
      </w:r>
      <w:r w:rsidRPr="00DE05C4">
        <w:rPr>
          <w:rFonts w:ascii="Arial" w:hAnsi="Arial" w:cs="Arial"/>
          <w:i/>
          <w:sz w:val="22"/>
          <w:szCs w:val="22"/>
        </w:rPr>
        <w:t>ary Scrutiny) Act 2011</w:t>
      </w:r>
      <w:r w:rsidRPr="00DE05C4">
        <w:rPr>
          <w:rFonts w:ascii="Arial" w:hAnsi="Arial" w:cs="Arial"/>
          <w:sz w:val="22"/>
          <w:szCs w:val="22"/>
        </w:rPr>
        <w:t>.</w:t>
      </w:r>
    </w:p>
    <w:p w14:paraId="2AE59ED0" w14:textId="77777777" w:rsidR="00075B58" w:rsidRPr="00DE05C4" w:rsidRDefault="00075B58" w:rsidP="00DE05C4">
      <w:pPr>
        <w:autoSpaceDE w:val="0"/>
        <w:autoSpaceDN w:val="0"/>
        <w:adjustRightInd w:val="0"/>
        <w:spacing w:after="120"/>
        <w:rPr>
          <w:rFonts w:ascii="Arial" w:hAnsi="Arial" w:cs="Arial"/>
          <w:sz w:val="22"/>
          <w:szCs w:val="22"/>
        </w:rPr>
      </w:pPr>
    </w:p>
    <w:p w14:paraId="460A5320" w14:textId="55810647" w:rsidR="007571D0" w:rsidRPr="00DE05C4" w:rsidRDefault="003A7F99" w:rsidP="00DE05C4">
      <w:pPr>
        <w:pStyle w:val="Heading2"/>
        <w:rPr>
          <w:rFonts w:cs="Arial"/>
          <w:szCs w:val="22"/>
        </w:rPr>
      </w:pPr>
      <w:r w:rsidRPr="00DE05C4">
        <w:rPr>
          <w:rFonts w:cs="Arial"/>
          <w:szCs w:val="22"/>
        </w:rPr>
        <w:t xml:space="preserve">Overview of the </w:t>
      </w:r>
      <w:r w:rsidR="004B6F05" w:rsidRPr="00DE05C4">
        <w:rPr>
          <w:rFonts w:cs="Arial"/>
          <w:szCs w:val="22"/>
        </w:rPr>
        <w:t>l</w:t>
      </w:r>
      <w:r w:rsidR="00075B58" w:rsidRPr="00DE05C4">
        <w:rPr>
          <w:rFonts w:cs="Arial"/>
          <w:szCs w:val="22"/>
        </w:rPr>
        <w:t xml:space="preserve">egislative </w:t>
      </w:r>
      <w:r w:rsidR="004B6F05" w:rsidRPr="00DE05C4">
        <w:rPr>
          <w:rFonts w:cs="Arial"/>
          <w:szCs w:val="22"/>
        </w:rPr>
        <w:t>i</w:t>
      </w:r>
      <w:r w:rsidR="00075B58" w:rsidRPr="00DE05C4">
        <w:rPr>
          <w:rFonts w:cs="Arial"/>
          <w:szCs w:val="22"/>
        </w:rPr>
        <w:t>nstrument</w:t>
      </w:r>
    </w:p>
    <w:p w14:paraId="1D64996C" w14:textId="77777777" w:rsidR="00DE05C4" w:rsidRDefault="00B77EE4" w:rsidP="00DE05C4">
      <w:pPr>
        <w:spacing w:after="120"/>
        <w:rPr>
          <w:rFonts w:ascii="Arial" w:hAnsi="Arial" w:cs="Arial"/>
          <w:sz w:val="22"/>
          <w:szCs w:val="22"/>
        </w:rPr>
      </w:pPr>
      <w:r w:rsidRPr="00DE05C4">
        <w:rPr>
          <w:rFonts w:ascii="Arial" w:hAnsi="Arial" w:cs="Arial"/>
          <w:sz w:val="22"/>
          <w:szCs w:val="22"/>
        </w:rPr>
        <w:t xml:space="preserve">This determination sets out special attribution rules that override the basic attribution rules under section 29-5, section 29-10, and the special rules in Chapter 4 of the </w:t>
      </w:r>
      <w:r w:rsidR="00FB02F4" w:rsidRPr="00DE05C4">
        <w:rPr>
          <w:rFonts w:ascii="Arial" w:hAnsi="Arial" w:cs="Arial"/>
          <w:i/>
          <w:iCs/>
          <w:sz w:val="22"/>
          <w:szCs w:val="22"/>
        </w:rPr>
        <w:t>A</w:t>
      </w:r>
      <w:r w:rsidR="00FB02F4" w:rsidRPr="006A6C8B">
        <w:rPr>
          <w:rFonts w:ascii="Arial" w:hAnsi="Arial" w:cs="Arial"/>
          <w:i/>
          <w:iCs/>
          <w:sz w:val="22"/>
          <w:szCs w:val="22"/>
        </w:rPr>
        <w:t xml:space="preserve"> New </w:t>
      </w:r>
      <w:r w:rsidR="00FB02F4" w:rsidRPr="00DE05C4">
        <w:rPr>
          <w:rFonts w:ascii="Arial" w:hAnsi="Arial" w:cs="Arial"/>
          <w:i/>
          <w:iCs/>
          <w:sz w:val="22"/>
          <w:szCs w:val="22"/>
        </w:rPr>
        <w:t xml:space="preserve">Tax System (Goods and Services) Act 1999 </w:t>
      </w:r>
      <w:r w:rsidR="00FB02F4" w:rsidRPr="00DE05C4">
        <w:rPr>
          <w:rFonts w:ascii="Arial" w:hAnsi="Arial" w:cs="Arial"/>
          <w:sz w:val="22"/>
          <w:szCs w:val="22"/>
        </w:rPr>
        <w:t>(</w:t>
      </w:r>
      <w:r w:rsidRPr="00DE05C4">
        <w:rPr>
          <w:rFonts w:ascii="Arial" w:hAnsi="Arial" w:cs="Arial"/>
          <w:sz w:val="22"/>
          <w:szCs w:val="22"/>
        </w:rPr>
        <w:t>GST Act</w:t>
      </w:r>
      <w:r w:rsidR="00FB02F4" w:rsidRPr="00DE05C4">
        <w:rPr>
          <w:rFonts w:ascii="Arial" w:hAnsi="Arial" w:cs="Arial"/>
          <w:sz w:val="22"/>
          <w:szCs w:val="22"/>
        </w:rPr>
        <w:t>)</w:t>
      </w:r>
      <w:r w:rsidRPr="00DE05C4">
        <w:rPr>
          <w:rFonts w:ascii="Arial" w:hAnsi="Arial" w:cs="Arial"/>
          <w:sz w:val="22"/>
          <w:szCs w:val="22"/>
        </w:rPr>
        <w:t>, which apply to deferred transfer farm-out arrangements that meet the requirements set out this determination. These attribution rules only override the basic attribution rules and the special rules in Chapter 4 of the GST Act to the extent there is any inconsistency. It prevents circumstances from arising for deferred farm-out arrangements that are not intended by the GST law.</w:t>
      </w:r>
    </w:p>
    <w:p w14:paraId="50145CC0" w14:textId="265F021C" w:rsidR="00B77EE4" w:rsidRDefault="00B77EE4" w:rsidP="00DE05C4">
      <w:pPr>
        <w:spacing w:after="120"/>
        <w:rPr>
          <w:rFonts w:ascii="Arial" w:hAnsi="Arial" w:cs="Arial"/>
          <w:sz w:val="22"/>
          <w:szCs w:val="22"/>
        </w:rPr>
      </w:pPr>
      <w:r w:rsidRPr="00DE05C4">
        <w:rPr>
          <w:rFonts w:ascii="Arial" w:hAnsi="Arial" w:cs="Arial"/>
          <w:sz w:val="22"/>
          <w:szCs w:val="22"/>
        </w:rPr>
        <w:t>The deferred transfer farm-out arrangements referred to in this determination are generally used in the mining sector where an entity (</w:t>
      </w:r>
      <w:proofErr w:type="spellStart"/>
      <w:r w:rsidRPr="00DE05C4">
        <w:rPr>
          <w:rFonts w:ascii="Arial" w:hAnsi="Arial" w:cs="Arial"/>
          <w:sz w:val="22"/>
          <w:szCs w:val="22"/>
        </w:rPr>
        <w:t>farmor</w:t>
      </w:r>
      <w:proofErr w:type="spellEnd"/>
      <w:r w:rsidRPr="00DE05C4">
        <w:rPr>
          <w:rFonts w:ascii="Arial" w:hAnsi="Arial" w:cs="Arial"/>
          <w:sz w:val="22"/>
          <w:szCs w:val="22"/>
        </w:rPr>
        <w:t>) transfers and interest in a mining, quarrying or prospecting right, to any entity (</w:t>
      </w:r>
      <w:proofErr w:type="spellStart"/>
      <w:r w:rsidRPr="00DE05C4">
        <w:rPr>
          <w:rFonts w:ascii="Arial" w:hAnsi="Arial" w:cs="Arial"/>
          <w:sz w:val="22"/>
          <w:szCs w:val="22"/>
        </w:rPr>
        <w:t>farmee</w:t>
      </w:r>
      <w:proofErr w:type="spellEnd"/>
      <w:r w:rsidRPr="00DE05C4">
        <w:rPr>
          <w:rFonts w:ascii="Arial" w:hAnsi="Arial" w:cs="Arial"/>
          <w:sz w:val="22"/>
          <w:szCs w:val="22"/>
        </w:rPr>
        <w:t>) that provides exploration benefits in return.</w:t>
      </w:r>
    </w:p>
    <w:p w14:paraId="25E0B108" w14:textId="77777777" w:rsidR="009967C9" w:rsidRPr="00DE05C4" w:rsidRDefault="009967C9" w:rsidP="00DE05C4">
      <w:pPr>
        <w:spacing w:after="120"/>
        <w:rPr>
          <w:rFonts w:ascii="Arial" w:hAnsi="Arial" w:cs="Arial"/>
          <w:sz w:val="22"/>
          <w:szCs w:val="22"/>
        </w:rPr>
      </w:pPr>
    </w:p>
    <w:p w14:paraId="05994AEB" w14:textId="77777777" w:rsidR="00075B58" w:rsidRPr="00DE05C4" w:rsidRDefault="00075B58" w:rsidP="00DE05C4">
      <w:pPr>
        <w:pStyle w:val="Heading2"/>
        <w:rPr>
          <w:rFonts w:cs="Arial"/>
          <w:szCs w:val="22"/>
        </w:rPr>
      </w:pPr>
      <w:r w:rsidRPr="00DE05C4">
        <w:rPr>
          <w:rFonts w:cs="Arial"/>
          <w:szCs w:val="22"/>
        </w:rPr>
        <w:t>Human rights implications</w:t>
      </w:r>
    </w:p>
    <w:p w14:paraId="41119109" w14:textId="37F456F9" w:rsidR="00DE05C4" w:rsidRDefault="00B77EE4" w:rsidP="00DE05C4">
      <w:pPr>
        <w:spacing w:after="120"/>
        <w:rPr>
          <w:rFonts w:ascii="Arial" w:hAnsi="Arial" w:cs="Arial"/>
          <w:sz w:val="22"/>
          <w:szCs w:val="22"/>
        </w:rPr>
      </w:pPr>
      <w:r w:rsidRPr="00DE05C4">
        <w:rPr>
          <w:rFonts w:ascii="Arial" w:hAnsi="Arial" w:cs="Arial"/>
          <w:sz w:val="22"/>
          <w:szCs w:val="22"/>
        </w:rPr>
        <w:t xml:space="preserve">This legislative instrument does not engage any of the applicable rights or freedoms because it merely provides </w:t>
      </w:r>
      <w:proofErr w:type="spellStart"/>
      <w:r w:rsidRPr="00DE05C4">
        <w:rPr>
          <w:rFonts w:ascii="Arial" w:hAnsi="Arial" w:cs="Arial"/>
          <w:sz w:val="22"/>
          <w:szCs w:val="22"/>
        </w:rPr>
        <w:t>farmors</w:t>
      </w:r>
      <w:proofErr w:type="spellEnd"/>
      <w:r w:rsidRPr="00DE05C4">
        <w:rPr>
          <w:rFonts w:ascii="Arial" w:hAnsi="Arial" w:cs="Arial"/>
          <w:sz w:val="22"/>
          <w:szCs w:val="22"/>
        </w:rPr>
        <w:t xml:space="preserve"> and </w:t>
      </w:r>
      <w:proofErr w:type="spellStart"/>
      <w:r w:rsidRPr="00DE05C4">
        <w:rPr>
          <w:rFonts w:ascii="Arial" w:hAnsi="Arial" w:cs="Arial"/>
          <w:sz w:val="22"/>
          <w:szCs w:val="22"/>
        </w:rPr>
        <w:t>farmees</w:t>
      </w:r>
      <w:proofErr w:type="spellEnd"/>
      <w:r w:rsidRPr="00DE05C4">
        <w:rPr>
          <w:rFonts w:ascii="Arial" w:hAnsi="Arial" w:cs="Arial"/>
          <w:sz w:val="22"/>
          <w:szCs w:val="22"/>
        </w:rPr>
        <w:t xml:space="preserve"> with practical and suitable methods to ensure they attribute GST for deferred transfer arrangements to the correct GST period to prevent unintended outcomes in the GST law.</w:t>
      </w:r>
    </w:p>
    <w:p w14:paraId="33B96AD8" w14:textId="77777777" w:rsidR="009967C9" w:rsidRDefault="009967C9" w:rsidP="00DE05C4">
      <w:pPr>
        <w:spacing w:after="120"/>
        <w:rPr>
          <w:rFonts w:ascii="Arial" w:hAnsi="Arial" w:cs="Arial"/>
          <w:sz w:val="22"/>
          <w:szCs w:val="22"/>
        </w:rPr>
      </w:pPr>
    </w:p>
    <w:p w14:paraId="145B0343" w14:textId="375E8B44" w:rsidR="00075B58" w:rsidRPr="00DE05C4" w:rsidRDefault="00075B58" w:rsidP="00DE05C4">
      <w:pPr>
        <w:pStyle w:val="Heading2"/>
        <w:rPr>
          <w:rFonts w:cs="Arial"/>
          <w:szCs w:val="22"/>
        </w:rPr>
      </w:pPr>
      <w:r w:rsidRPr="00DE05C4">
        <w:rPr>
          <w:rFonts w:cs="Arial"/>
          <w:szCs w:val="22"/>
        </w:rPr>
        <w:t>Conclusion</w:t>
      </w:r>
    </w:p>
    <w:p w14:paraId="0298EAC6" w14:textId="577225E1" w:rsidR="00075B58" w:rsidRPr="00DE05C4" w:rsidRDefault="00075B58" w:rsidP="00DE05C4">
      <w:pPr>
        <w:spacing w:after="120"/>
        <w:rPr>
          <w:rFonts w:ascii="Arial" w:hAnsi="Arial" w:cs="Arial"/>
          <w:sz w:val="22"/>
          <w:szCs w:val="22"/>
        </w:rPr>
      </w:pPr>
      <w:r w:rsidRPr="00DE05C4">
        <w:rPr>
          <w:rFonts w:ascii="Arial" w:hAnsi="Arial" w:cs="Arial"/>
          <w:sz w:val="22"/>
          <w:szCs w:val="22"/>
        </w:rPr>
        <w:t>Th</w:t>
      </w:r>
      <w:r w:rsidR="00D034B3" w:rsidRPr="00DE05C4">
        <w:rPr>
          <w:rFonts w:ascii="Arial" w:hAnsi="Arial" w:cs="Arial"/>
          <w:sz w:val="22"/>
          <w:szCs w:val="22"/>
        </w:rPr>
        <w:t>e</w:t>
      </w:r>
      <w:r w:rsidRPr="00DE05C4">
        <w:rPr>
          <w:rFonts w:ascii="Arial" w:hAnsi="Arial" w:cs="Arial"/>
          <w:sz w:val="22"/>
          <w:szCs w:val="22"/>
        </w:rPr>
        <w:t xml:space="preserve"> </w:t>
      </w:r>
      <w:r w:rsidR="008763C8" w:rsidRPr="00DE05C4">
        <w:rPr>
          <w:rFonts w:ascii="Arial" w:hAnsi="Arial" w:cs="Arial"/>
          <w:sz w:val="22"/>
          <w:szCs w:val="22"/>
        </w:rPr>
        <w:t>l</w:t>
      </w:r>
      <w:r w:rsidRPr="00DE05C4">
        <w:rPr>
          <w:rFonts w:ascii="Arial" w:hAnsi="Arial" w:cs="Arial"/>
          <w:sz w:val="22"/>
          <w:szCs w:val="22"/>
        </w:rPr>
        <w:t xml:space="preserve">egislative </w:t>
      </w:r>
      <w:r w:rsidR="008763C8" w:rsidRPr="00DE05C4">
        <w:rPr>
          <w:rFonts w:ascii="Arial" w:hAnsi="Arial" w:cs="Arial"/>
          <w:sz w:val="22"/>
          <w:szCs w:val="22"/>
        </w:rPr>
        <w:t>i</w:t>
      </w:r>
      <w:r w:rsidRPr="00DE05C4">
        <w:rPr>
          <w:rFonts w:ascii="Arial" w:hAnsi="Arial" w:cs="Arial"/>
          <w:sz w:val="22"/>
          <w:szCs w:val="22"/>
        </w:rPr>
        <w:t xml:space="preserve">nstrument </w:t>
      </w:r>
      <w:r w:rsidR="003A7F99" w:rsidRPr="00DE05C4">
        <w:rPr>
          <w:rFonts w:ascii="Arial" w:hAnsi="Arial" w:cs="Arial"/>
          <w:sz w:val="22"/>
          <w:szCs w:val="22"/>
        </w:rPr>
        <w:t xml:space="preserve">is compatible with human rights as it </w:t>
      </w:r>
      <w:r w:rsidR="00C76E3D" w:rsidRPr="00DE05C4">
        <w:rPr>
          <w:rFonts w:ascii="Arial" w:hAnsi="Arial" w:cs="Arial"/>
          <w:sz w:val="22"/>
          <w:szCs w:val="22"/>
        </w:rPr>
        <w:t>does not raise any human rights issues.</w:t>
      </w:r>
    </w:p>
    <w:sectPr w:rsidR="00075B58" w:rsidRPr="00DE05C4" w:rsidSect="00146ED8">
      <w:headerReference w:type="even" r:id="rId8"/>
      <w:headerReference w:type="default" r:id="rId9"/>
      <w:footerReference w:type="even" r:id="rId10"/>
      <w:footerReference w:type="default" r:id="rId11"/>
      <w:headerReference w:type="first" r:id="rId12"/>
      <w:footerReference w:type="first" r:id="rId13"/>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B502" w14:textId="77777777" w:rsidR="00E43E8E" w:rsidRDefault="00E43E8E">
      <w:r>
        <w:separator/>
      </w:r>
    </w:p>
  </w:endnote>
  <w:endnote w:type="continuationSeparator" w:id="0">
    <w:p w14:paraId="695112EF" w14:textId="77777777" w:rsidR="00E43E8E" w:rsidRDefault="00E4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8734" w14:textId="77777777" w:rsidR="00C97FAD" w:rsidRDefault="00C97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EE5" w14:textId="77777777" w:rsidR="00C97FAD" w:rsidRDefault="00C97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732" w14:textId="77777777" w:rsidR="00C97FAD" w:rsidRDefault="00C9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3459" w14:textId="77777777" w:rsidR="00E43E8E" w:rsidRDefault="00E43E8E">
      <w:r>
        <w:separator/>
      </w:r>
    </w:p>
  </w:footnote>
  <w:footnote w:type="continuationSeparator" w:id="0">
    <w:p w14:paraId="11B447FC" w14:textId="77777777" w:rsidR="00E43E8E" w:rsidRDefault="00E4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6DEC" w14:textId="5A2E28BB" w:rsidR="00587C50" w:rsidRPr="0067541C" w:rsidRDefault="00587C50">
    <w:pPr>
      <w:pStyle w:val="Header"/>
      <w:rPr>
        <w:rFonts w:ascii="Arial" w:hAnsi="Arial" w:cs="Arial"/>
        <w:sz w:val="52"/>
      </w:rPr>
    </w:pPr>
    <w:r w:rsidRPr="0067541C">
      <w:rPr>
        <w:rFonts w:ascii="Arial" w:hAnsi="Arial" w:cs="Arial"/>
        <w:sz w:val="20"/>
      </w:rPr>
      <w:t>Taxation Determination</w:t>
    </w:r>
  </w:p>
  <w:p w14:paraId="3142C45C" w14:textId="77777777" w:rsidR="00BF12D2" w:rsidRDefault="00587C50">
    <w:pPr>
      <w:pStyle w:val="Header"/>
      <w:rPr>
        <w:rFonts w:ascii="Arial" w:hAnsi="Arial" w:cs="Arial"/>
        <w:b/>
        <w:sz w:val="52"/>
      </w:rPr>
    </w:pPr>
    <w:r w:rsidRPr="0067541C">
      <w:rPr>
        <w:rFonts w:ascii="Arial" w:hAnsi="Arial" w:cs="Arial"/>
        <w:b/>
        <w:sz w:val="52"/>
      </w:rPr>
      <w:t>TD</w:t>
    </w:r>
  </w:p>
  <w:p w14:paraId="6973DE27" w14:textId="477EEEAB"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156C" w14:textId="37DD7735"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6759" w14:textId="35A3C676" w:rsidR="00146ED8" w:rsidRPr="00333FE9" w:rsidRDefault="00146ED8"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3" w:name="_Hlk39826024"/>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6F97D6C" w14:textId="6CFC3838" w:rsidR="00146ED8" w:rsidRPr="00146ED8" w:rsidRDefault="00DB4A34"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28"/>
        <w:szCs w:val="28"/>
      </w:rPr>
      <w:t xml:space="preserve">  </w:t>
    </w:r>
    <w:r w:rsidR="00146ED8" w:rsidRPr="00146ED8">
      <w:rPr>
        <w:rFonts w:ascii="Arial" w:hAnsi="Arial" w:cs="Arial"/>
        <w:b/>
        <w:sz w:val="28"/>
        <w:szCs w:val="28"/>
      </w:rPr>
      <w:t xml:space="preserve">Instrument ID: </w:t>
    </w:r>
    <w:r w:rsidR="00E44419">
      <w:rPr>
        <w:rFonts w:ascii="Arial" w:hAnsi="Arial" w:cs="Arial"/>
        <w:b/>
        <w:sz w:val="28"/>
        <w:szCs w:val="28"/>
      </w:rPr>
      <w:t>20</w:t>
    </w:r>
    <w:r w:rsidR="00D348D9">
      <w:rPr>
        <w:rFonts w:ascii="Arial" w:hAnsi="Arial" w:cs="Arial"/>
        <w:b/>
        <w:sz w:val="28"/>
        <w:szCs w:val="28"/>
      </w:rPr>
      <w:t>2</w:t>
    </w:r>
    <w:r w:rsidR="007C67A5">
      <w:rPr>
        <w:rFonts w:ascii="Arial" w:hAnsi="Arial" w:cs="Arial"/>
        <w:b/>
        <w:sz w:val="28"/>
        <w:szCs w:val="28"/>
      </w:rPr>
      <w:t>1</w:t>
    </w:r>
    <w:r w:rsidR="00E44419">
      <w:rPr>
        <w:rFonts w:ascii="Arial" w:hAnsi="Arial" w:cs="Arial"/>
        <w:b/>
        <w:sz w:val="28"/>
        <w:szCs w:val="28"/>
      </w:rPr>
      <w:t>/</w:t>
    </w:r>
    <w:r w:rsidR="0063489F">
      <w:rPr>
        <w:rFonts w:ascii="Arial" w:hAnsi="Arial" w:cs="Arial"/>
        <w:b/>
        <w:sz w:val="28"/>
        <w:szCs w:val="28"/>
      </w:rPr>
      <w:t>GST</w:t>
    </w:r>
    <w:r w:rsidR="00E44419">
      <w:rPr>
        <w:rFonts w:ascii="Arial" w:hAnsi="Arial" w:cs="Arial"/>
        <w:b/>
        <w:sz w:val="28"/>
        <w:szCs w:val="28"/>
      </w:rPr>
      <w:t>/00</w:t>
    </w:r>
    <w:r w:rsidR="001859DE">
      <w:rPr>
        <w:rFonts w:ascii="Arial" w:hAnsi="Arial" w:cs="Arial"/>
        <w:b/>
        <w:sz w:val="28"/>
        <w:szCs w:val="28"/>
      </w:rPr>
      <w:t>1</w:t>
    </w:r>
    <w:r w:rsidR="007945FC">
      <w:rPr>
        <w:rFonts w:ascii="Arial" w:hAnsi="Arial" w:cs="Arial"/>
        <w:b/>
        <w:sz w:val="28"/>
        <w:szCs w:val="28"/>
      </w:rPr>
      <w:t>3</w:t>
    </w:r>
  </w:p>
  <w:bookmarkEnd w:id="3"/>
  <w:p w14:paraId="0C4D8C01"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DB72AE1" wp14:editId="2B8212D2">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600A7D5" w14:textId="32FACA43"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21DC1E59"/>
    <w:multiLevelType w:val="hybridMultilevel"/>
    <w:tmpl w:val="E24873B8"/>
    <w:lvl w:ilvl="0" w:tplc="F2B6B1A6">
      <w:start w:val="1"/>
      <w:numFmt w:val="decimal"/>
      <w:lvlText w:val="%1."/>
      <w:lvlJc w:val="left"/>
      <w:pPr>
        <w:tabs>
          <w:tab w:val="num" w:pos="720"/>
        </w:tabs>
        <w:ind w:left="720" w:hanging="360"/>
      </w:pPr>
      <w:rPr>
        <w:rFonts w:hint="default"/>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4588ECA2">
      <w:start w:val="1"/>
      <w:numFmt w:val="lowerRoman"/>
      <w:lvlText w:val="(%4)"/>
      <w:lvlJc w:val="left"/>
      <w:pPr>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D36FA2"/>
    <w:multiLevelType w:val="hybridMultilevel"/>
    <w:tmpl w:val="F50C4CF6"/>
    <w:lvl w:ilvl="0" w:tplc="F8D470E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F81628"/>
    <w:multiLevelType w:val="hybridMultilevel"/>
    <w:tmpl w:val="E1646392"/>
    <w:lvl w:ilvl="0" w:tplc="C26AE874">
      <w:start w:val="1"/>
      <w:numFmt w:val="lowerLetter"/>
      <w:lvlText w:val="(%1)"/>
      <w:lvlJc w:val="left"/>
      <w:pPr>
        <w:ind w:left="1474" w:hanging="765"/>
      </w:pPr>
      <w:rPr>
        <w:rFonts w:hint="default"/>
      </w:rPr>
    </w:lvl>
    <w:lvl w:ilvl="1" w:tplc="0C09001B">
      <w:start w:val="1"/>
      <w:numFmt w:val="lowerRoman"/>
      <w:lvlText w:val="%2."/>
      <w:lvlJc w:val="right"/>
      <w:pPr>
        <w:ind w:left="1789" w:hanging="360"/>
      </w:pPr>
    </w:lvl>
    <w:lvl w:ilvl="2" w:tplc="4A38B6A0">
      <w:start w:val="1"/>
      <w:numFmt w:val="lowerLetter"/>
      <w:lvlText w:val="(%3)"/>
      <w:lvlJc w:val="left"/>
      <w:pPr>
        <w:ind w:left="2509" w:hanging="180"/>
      </w:pPr>
      <w:rPr>
        <w:rFonts w:hint="default"/>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357515D8"/>
    <w:multiLevelType w:val="hybridMultilevel"/>
    <w:tmpl w:val="57BE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C3903"/>
    <w:multiLevelType w:val="hybridMultilevel"/>
    <w:tmpl w:val="A4828E02"/>
    <w:lvl w:ilvl="0" w:tplc="F2B6B1A6">
      <w:start w:val="1"/>
      <w:numFmt w:val="decimal"/>
      <w:lvlText w:val="%1."/>
      <w:lvlJc w:val="left"/>
      <w:pPr>
        <w:tabs>
          <w:tab w:val="num" w:pos="720"/>
        </w:tabs>
        <w:ind w:left="720" w:hanging="360"/>
      </w:pPr>
      <w:rPr>
        <w:rFonts w:hint="default"/>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63261E0C">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A113801"/>
    <w:multiLevelType w:val="hybridMultilevel"/>
    <w:tmpl w:val="3DA8E90E"/>
    <w:lvl w:ilvl="0" w:tplc="C26AE874">
      <w:start w:val="1"/>
      <w:numFmt w:val="lowerLetter"/>
      <w:lvlText w:val="(%1)"/>
      <w:lvlJc w:val="left"/>
      <w:pPr>
        <w:ind w:left="1474" w:hanging="765"/>
      </w:pPr>
      <w:rPr>
        <w:rFonts w:hint="default"/>
      </w:rPr>
    </w:lvl>
    <w:lvl w:ilvl="1" w:tplc="0C09001B">
      <w:start w:val="1"/>
      <w:numFmt w:val="lowerRoman"/>
      <w:lvlText w:val="%2."/>
      <w:lvlJc w:val="right"/>
      <w:pPr>
        <w:ind w:left="1789" w:hanging="360"/>
      </w:pPr>
    </w:lvl>
    <w:lvl w:ilvl="2" w:tplc="425642A4">
      <w:start w:val="1"/>
      <w:numFmt w:val="lowerLetter"/>
      <w:lvlText w:val="(%3)"/>
      <w:lvlJc w:val="right"/>
      <w:pPr>
        <w:ind w:left="2509" w:hanging="180"/>
      </w:pPr>
      <w:rPr>
        <w:rFonts w:ascii="Arial" w:eastAsia="Times New Roman" w:hAnsi="Arial" w:cs="Arial"/>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63FB70D8"/>
    <w:multiLevelType w:val="hybridMultilevel"/>
    <w:tmpl w:val="E112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3"/>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755D"/>
    <w:rsid w:val="000117B2"/>
    <w:rsid w:val="0001796D"/>
    <w:rsid w:val="00017A02"/>
    <w:rsid w:val="00017BF0"/>
    <w:rsid w:val="0002568B"/>
    <w:rsid w:val="00034E96"/>
    <w:rsid w:val="00043FA7"/>
    <w:rsid w:val="000552E8"/>
    <w:rsid w:val="00056585"/>
    <w:rsid w:val="0005674F"/>
    <w:rsid w:val="00057253"/>
    <w:rsid w:val="000572D4"/>
    <w:rsid w:val="00064BAE"/>
    <w:rsid w:val="00065C6E"/>
    <w:rsid w:val="00073F1B"/>
    <w:rsid w:val="00075B58"/>
    <w:rsid w:val="00085446"/>
    <w:rsid w:val="00093E70"/>
    <w:rsid w:val="00095D0E"/>
    <w:rsid w:val="000B11DD"/>
    <w:rsid w:val="000B4ECC"/>
    <w:rsid w:val="000C0372"/>
    <w:rsid w:val="000C390A"/>
    <w:rsid w:val="000C5978"/>
    <w:rsid w:val="000C5FAB"/>
    <w:rsid w:val="000C6EDD"/>
    <w:rsid w:val="000C77DD"/>
    <w:rsid w:val="000D5068"/>
    <w:rsid w:val="000E295B"/>
    <w:rsid w:val="000E45A0"/>
    <w:rsid w:val="000E606E"/>
    <w:rsid w:val="00107460"/>
    <w:rsid w:val="0011018B"/>
    <w:rsid w:val="00112415"/>
    <w:rsid w:val="001157B3"/>
    <w:rsid w:val="00123E68"/>
    <w:rsid w:val="00131D6F"/>
    <w:rsid w:val="00133BB7"/>
    <w:rsid w:val="001362A9"/>
    <w:rsid w:val="0013678D"/>
    <w:rsid w:val="00140A34"/>
    <w:rsid w:val="00140FDD"/>
    <w:rsid w:val="00145264"/>
    <w:rsid w:val="00146337"/>
    <w:rsid w:val="00146ED8"/>
    <w:rsid w:val="00151A28"/>
    <w:rsid w:val="00154199"/>
    <w:rsid w:val="001546DE"/>
    <w:rsid w:val="0015780B"/>
    <w:rsid w:val="00161E46"/>
    <w:rsid w:val="0016213E"/>
    <w:rsid w:val="001656A4"/>
    <w:rsid w:val="00167202"/>
    <w:rsid w:val="0017091A"/>
    <w:rsid w:val="001828A4"/>
    <w:rsid w:val="00183CF7"/>
    <w:rsid w:val="0018468E"/>
    <w:rsid w:val="001859DE"/>
    <w:rsid w:val="001876FD"/>
    <w:rsid w:val="001A0D0F"/>
    <w:rsid w:val="001A1206"/>
    <w:rsid w:val="001A1844"/>
    <w:rsid w:val="001A2AD6"/>
    <w:rsid w:val="001A3690"/>
    <w:rsid w:val="001A3BE2"/>
    <w:rsid w:val="001A4319"/>
    <w:rsid w:val="001C35E7"/>
    <w:rsid w:val="001C4578"/>
    <w:rsid w:val="001E537E"/>
    <w:rsid w:val="001E662E"/>
    <w:rsid w:val="001F28A6"/>
    <w:rsid w:val="001F2A16"/>
    <w:rsid w:val="001F42D8"/>
    <w:rsid w:val="001F4EE5"/>
    <w:rsid w:val="001F6921"/>
    <w:rsid w:val="001F7C3E"/>
    <w:rsid w:val="001F7DDE"/>
    <w:rsid w:val="002013DE"/>
    <w:rsid w:val="00201969"/>
    <w:rsid w:val="0020331B"/>
    <w:rsid w:val="00203A2C"/>
    <w:rsid w:val="002042E1"/>
    <w:rsid w:val="0020498E"/>
    <w:rsid w:val="00213E29"/>
    <w:rsid w:val="00213FA5"/>
    <w:rsid w:val="00214C0D"/>
    <w:rsid w:val="00214DF5"/>
    <w:rsid w:val="002152CC"/>
    <w:rsid w:val="002264BE"/>
    <w:rsid w:val="00232AA1"/>
    <w:rsid w:val="002349C7"/>
    <w:rsid w:val="0023733A"/>
    <w:rsid w:val="0024044F"/>
    <w:rsid w:val="002414DB"/>
    <w:rsid w:val="0024391E"/>
    <w:rsid w:val="00245D00"/>
    <w:rsid w:val="00257F2D"/>
    <w:rsid w:val="00261149"/>
    <w:rsid w:val="00262F9F"/>
    <w:rsid w:val="00266D2D"/>
    <w:rsid w:val="00267CC7"/>
    <w:rsid w:val="00267FD2"/>
    <w:rsid w:val="0027331F"/>
    <w:rsid w:val="002802D8"/>
    <w:rsid w:val="002842B0"/>
    <w:rsid w:val="00285E76"/>
    <w:rsid w:val="002949C3"/>
    <w:rsid w:val="002A10A4"/>
    <w:rsid w:val="002A26FE"/>
    <w:rsid w:val="002A29BA"/>
    <w:rsid w:val="002B1423"/>
    <w:rsid w:val="002B3D02"/>
    <w:rsid w:val="002B6D8F"/>
    <w:rsid w:val="002C6720"/>
    <w:rsid w:val="002C7A41"/>
    <w:rsid w:val="002D22E9"/>
    <w:rsid w:val="002D396C"/>
    <w:rsid w:val="002E6B6D"/>
    <w:rsid w:val="002F07D9"/>
    <w:rsid w:val="002F1257"/>
    <w:rsid w:val="002F4200"/>
    <w:rsid w:val="002F70CA"/>
    <w:rsid w:val="00304F6A"/>
    <w:rsid w:val="00310C61"/>
    <w:rsid w:val="003166DF"/>
    <w:rsid w:val="003171B3"/>
    <w:rsid w:val="0032559D"/>
    <w:rsid w:val="00333087"/>
    <w:rsid w:val="003368AC"/>
    <w:rsid w:val="00337280"/>
    <w:rsid w:val="00343849"/>
    <w:rsid w:val="00344575"/>
    <w:rsid w:val="00350EBF"/>
    <w:rsid w:val="0035113C"/>
    <w:rsid w:val="00352B81"/>
    <w:rsid w:val="00352F52"/>
    <w:rsid w:val="00354525"/>
    <w:rsid w:val="00356B1F"/>
    <w:rsid w:val="00365DC7"/>
    <w:rsid w:val="00365F7A"/>
    <w:rsid w:val="0037047A"/>
    <w:rsid w:val="00380CC4"/>
    <w:rsid w:val="00382508"/>
    <w:rsid w:val="003869A3"/>
    <w:rsid w:val="003946D8"/>
    <w:rsid w:val="00395026"/>
    <w:rsid w:val="003974C9"/>
    <w:rsid w:val="003A7F99"/>
    <w:rsid w:val="003C0686"/>
    <w:rsid w:val="003C3DD4"/>
    <w:rsid w:val="003D08CF"/>
    <w:rsid w:val="003D0CBA"/>
    <w:rsid w:val="003D0F6A"/>
    <w:rsid w:val="003D4BA8"/>
    <w:rsid w:val="003D6CB2"/>
    <w:rsid w:val="003E2E7E"/>
    <w:rsid w:val="003E4E66"/>
    <w:rsid w:val="003E5269"/>
    <w:rsid w:val="003F2F62"/>
    <w:rsid w:val="003F79B0"/>
    <w:rsid w:val="004025D9"/>
    <w:rsid w:val="004030E3"/>
    <w:rsid w:val="00405394"/>
    <w:rsid w:val="004066E4"/>
    <w:rsid w:val="0040680B"/>
    <w:rsid w:val="00407361"/>
    <w:rsid w:val="00417C55"/>
    <w:rsid w:val="00424A7B"/>
    <w:rsid w:val="004314E5"/>
    <w:rsid w:val="00437534"/>
    <w:rsid w:val="00442C3C"/>
    <w:rsid w:val="004447C1"/>
    <w:rsid w:val="00450F62"/>
    <w:rsid w:val="00456940"/>
    <w:rsid w:val="00457707"/>
    <w:rsid w:val="00460A61"/>
    <w:rsid w:val="0046211F"/>
    <w:rsid w:val="0046383A"/>
    <w:rsid w:val="0046787B"/>
    <w:rsid w:val="00467A68"/>
    <w:rsid w:val="00467F12"/>
    <w:rsid w:val="00477A78"/>
    <w:rsid w:val="0048631C"/>
    <w:rsid w:val="00486653"/>
    <w:rsid w:val="004A3F1D"/>
    <w:rsid w:val="004A5882"/>
    <w:rsid w:val="004A5FDA"/>
    <w:rsid w:val="004B0E41"/>
    <w:rsid w:val="004B6F05"/>
    <w:rsid w:val="004B7F33"/>
    <w:rsid w:val="004C10ED"/>
    <w:rsid w:val="004C2B91"/>
    <w:rsid w:val="004C5912"/>
    <w:rsid w:val="004C75B0"/>
    <w:rsid w:val="004D098C"/>
    <w:rsid w:val="004D24A9"/>
    <w:rsid w:val="004E1657"/>
    <w:rsid w:val="004E4798"/>
    <w:rsid w:val="004E5357"/>
    <w:rsid w:val="004F4A07"/>
    <w:rsid w:val="004F5EB1"/>
    <w:rsid w:val="004F6887"/>
    <w:rsid w:val="005030AD"/>
    <w:rsid w:val="00506A1D"/>
    <w:rsid w:val="00507534"/>
    <w:rsid w:val="0051249C"/>
    <w:rsid w:val="00512B7B"/>
    <w:rsid w:val="0051693F"/>
    <w:rsid w:val="005176E7"/>
    <w:rsid w:val="00520330"/>
    <w:rsid w:val="00524B6B"/>
    <w:rsid w:val="0052655E"/>
    <w:rsid w:val="005335A6"/>
    <w:rsid w:val="0053649D"/>
    <w:rsid w:val="005413EE"/>
    <w:rsid w:val="00544D61"/>
    <w:rsid w:val="00552E52"/>
    <w:rsid w:val="00563377"/>
    <w:rsid w:val="00564064"/>
    <w:rsid w:val="0057419F"/>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0B3B"/>
    <w:rsid w:val="005B4B0C"/>
    <w:rsid w:val="005B50A2"/>
    <w:rsid w:val="005B7555"/>
    <w:rsid w:val="005C2A9D"/>
    <w:rsid w:val="005C3408"/>
    <w:rsid w:val="005C5724"/>
    <w:rsid w:val="005D35BC"/>
    <w:rsid w:val="005D4D3E"/>
    <w:rsid w:val="005D611B"/>
    <w:rsid w:val="005F1ACE"/>
    <w:rsid w:val="005F23D5"/>
    <w:rsid w:val="005F256D"/>
    <w:rsid w:val="005F2ED9"/>
    <w:rsid w:val="005F33C6"/>
    <w:rsid w:val="005F51F2"/>
    <w:rsid w:val="0060183A"/>
    <w:rsid w:val="00603110"/>
    <w:rsid w:val="00611C8E"/>
    <w:rsid w:val="006141F7"/>
    <w:rsid w:val="00620135"/>
    <w:rsid w:val="0062389A"/>
    <w:rsid w:val="00631F30"/>
    <w:rsid w:val="0063489F"/>
    <w:rsid w:val="00641A0F"/>
    <w:rsid w:val="00642420"/>
    <w:rsid w:val="00645344"/>
    <w:rsid w:val="00646158"/>
    <w:rsid w:val="00652CF7"/>
    <w:rsid w:val="0065563D"/>
    <w:rsid w:val="00655B96"/>
    <w:rsid w:val="006615DB"/>
    <w:rsid w:val="0066622C"/>
    <w:rsid w:val="00666487"/>
    <w:rsid w:val="00672D6A"/>
    <w:rsid w:val="0067371B"/>
    <w:rsid w:val="00673B37"/>
    <w:rsid w:val="0068030D"/>
    <w:rsid w:val="006826FB"/>
    <w:rsid w:val="00690CFE"/>
    <w:rsid w:val="006918F1"/>
    <w:rsid w:val="00693B19"/>
    <w:rsid w:val="006945EA"/>
    <w:rsid w:val="006A6C8B"/>
    <w:rsid w:val="006B5470"/>
    <w:rsid w:val="006B5A7F"/>
    <w:rsid w:val="006C3B0D"/>
    <w:rsid w:val="006D0138"/>
    <w:rsid w:val="006D496E"/>
    <w:rsid w:val="006D6F52"/>
    <w:rsid w:val="006E53AF"/>
    <w:rsid w:val="006F4D30"/>
    <w:rsid w:val="006F719E"/>
    <w:rsid w:val="00701718"/>
    <w:rsid w:val="00702BA4"/>
    <w:rsid w:val="00710359"/>
    <w:rsid w:val="00712FFF"/>
    <w:rsid w:val="00722DBF"/>
    <w:rsid w:val="00727E05"/>
    <w:rsid w:val="00733990"/>
    <w:rsid w:val="00735157"/>
    <w:rsid w:val="007367C1"/>
    <w:rsid w:val="00740498"/>
    <w:rsid w:val="0074218D"/>
    <w:rsid w:val="00746686"/>
    <w:rsid w:val="00752600"/>
    <w:rsid w:val="0075572A"/>
    <w:rsid w:val="007571D0"/>
    <w:rsid w:val="007579F0"/>
    <w:rsid w:val="00775490"/>
    <w:rsid w:val="007763BC"/>
    <w:rsid w:val="0078436C"/>
    <w:rsid w:val="00787E15"/>
    <w:rsid w:val="007937D4"/>
    <w:rsid w:val="007945FC"/>
    <w:rsid w:val="00795D0C"/>
    <w:rsid w:val="007972C4"/>
    <w:rsid w:val="007A3733"/>
    <w:rsid w:val="007A55BA"/>
    <w:rsid w:val="007B3453"/>
    <w:rsid w:val="007C1F42"/>
    <w:rsid w:val="007C1FBD"/>
    <w:rsid w:val="007C3B94"/>
    <w:rsid w:val="007C67A5"/>
    <w:rsid w:val="007D3043"/>
    <w:rsid w:val="007D60C3"/>
    <w:rsid w:val="007E01F8"/>
    <w:rsid w:val="007E22F5"/>
    <w:rsid w:val="007E441A"/>
    <w:rsid w:val="007E58AE"/>
    <w:rsid w:val="007F25F3"/>
    <w:rsid w:val="007F4229"/>
    <w:rsid w:val="007F4901"/>
    <w:rsid w:val="007F7898"/>
    <w:rsid w:val="008120F6"/>
    <w:rsid w:val="008128BA"/>
    <w:rsid w:val="008141A4"/>
    <w:rsid w:val="00825B6C"/>
    <w:rsid w:val="0082750E"/>
    <w:rsid w:val="00835B59"/>
    <w:rsid w:val="00836B02"/>
    <w:rsid w:val="0084011B"/>
    <w:rsid w:val="00840DF6"/>
    <w:rsid w:val="008467D4"/>
    <w:rsid w:val="00850BCB"/>
    <w:rsid w:val="00850FB0"/>
    <w:rsid w:val="0085238E"/>
    <w:rsid w:val="00852934"/>
    <w:rsid w:val="008540EA"/>
    <w:rsid w:val="008547A2"/>
    <w:rsid w:val="00857591"/>
    <w:rsid w:val="0086082F"/>
    <w:rsid w:val="00861D05"/>
    <w:rsid w:val="00866A00"/>
    <w:rsid w:val="0086797B"/>
    <w:rsid w:val="008702A6"/>
    <w:rsid w:val="008757CE"/>
    <w:rsid w:val="008763C8"/>
    <w:rsid w:val="0087755A"/>
    <w:rsid w:val="00877798"/>
    <w:rsid w:val="0088392C"/>
    <w:rsid w:val="0088633B"/>
    <w:rsid w:val="0089160A"/>
    <w:rsid w:val="00894F6D"/>
    <w:rsid w:val="00897C0E"/>
    <w:rsid w:val="00897E31"/>
    <w:rsid w:val="008A046F"/>
    <w:rsid w:val="008A0489"/>
    <w:rsid w:val="008A405A"/>
    <w:rsid w:val="008A6A6A"/>
    <w:rsid w:val="008B650A"/>
    <w:rsid w:val="008B787C"/>
    <w:rsid w:val="008C3898"/>
    <w:rsid w:val="008C66CC"/>
    <w:rsid w:val="008F483C"/>
    <w:rsid w:val="008F52DF"/>
    <w:rsid w:val="00912D61"/>
    <w:rsid w:val="0091541E"/>
    <w:rsid w:val="009169CB"/>
    <w:rsid w:val="00923A59"/>
    <w:rsid w:val="009274F5"/>
    <w:rsid w:val="009309CD"/>
    <w:rsid w:val="009322D7"/>
    <w:rsid w:val="00932BDE"/>
    <w:rsid w:val="00937EEA"/>
    <w:rsid w:val="009405C9"/>
    <w:rsid w:val="009468D4"/>
    <w:rsid w:val="009502DF"/>
    <w:rsid w:val="009505C9"/>
    <w:rsid w:val="00957E59"/>
    <w:rsid w:val="0096704C"/>
    <w:rsid w:val="00967725"/>
    <w:rsid w:val="00967823"/>
    <w:rsid w:val="00972726"/>
    <w:rsid w:val="00974665"/>
    <w:rsid w:val="009777A3"/>
    <w:rsid w:val="00982084"/>
    <w:rsid w:val="009835B0"/>
    <w:rsid w:val="009902F8"/>
    <w:rsid w:val="00992CF5"/>
    <w:rsid w:val="00993BB8"/>
    <w:rsid w:val="0099555F"/>
    <w:rsid w:val="009967C9"/>
    <w:rsid w:val="009A22A1"/>
    <w:rsid w:val="009B3A17"/>
    <w:rsid w:val="009B3A1B"/>
    <w:rsid w:val="009B3E5B"/>
    <w:rsid w:val="009B3EC1"/>
    <w:rsid w:val="009B6332"/>
    <w:rsid w:val="009C0912"/>
    <w:rsid w:val="009C1910"/>
    <w:rsid w:val="009C5E17"/>
    <w:rsid w:val="009D6694"/>
    <w:rsid w:val="009E0338"/>
    <w:rsid w:val="009F0300"/>
    <w:rsid w:val="009F788F"/>
    <w:rsid w:val="00A02A5F"/>
    <w:rsid w:val="00A03BA5"/>
    <w:rsid w:val="00A12C38"/>
    <w:rsid w:val="00A167A8"/>
    <w:rsid w:val="00A17193"/>
    <w:rsid w:val="00A21F0A"/>
    <w:rsid w:val="00A26011"/>
    <w:rsid w:val="00A27E45"/>
    <w:rsid w:val="00A41EDF"/>
    <w:rsid w:val="00A506C2"/>
    <w:rsid w:val="00A51138"/>
    <w:rsid w:val="00A53733"/>
    <w:rsid w:val="00A54F12"/>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1F19"/>
    <w:rsid w:val="00AB44CA"/>
    <w:rsid w:val="00AB780C"/>
    <w:rsid w:val="00AC3A29"/>
    <w:rsid w:val="00AD5ADE"/>
    <w:rsid w:val="00AD6A21"/>
    <w:rsid w:val="00AE7138"/>
    <w:rsid w:val="00AF1619"/>
    <w:rsid w:val="00AF4BAA"/>
    <w:rsid w:val="00AF4CAF"/>
    <w:rsid w:val="00AF7DBA"/>
    <w:rsid w:val="00B0373E"/>
    <w:rsid w:val="00B117BA"/>
    <w:rsid w:val="00B12009"/>
    <w:rsid w:val="00B12532"/>
    <w:rsid w:val="00B15010"/>
    <w:rsid w:val="00B20D87"/>
    <w:rsid w:val="00B336D3"/>
    <w:rsid w:val="00B339BF"/>
    <w:rsid w:val="00B479FD"/>
    <w:rsid w:val="00B50F89"/>
    <w:rsid w:val="00B53E38"/>
    <w:rsid w:val="00B5565C"/>
    <w:rsid w:val="00B55BBC"/>
    <w:rsid w:val="00B578AC"/>
    <w:rsid w:val="00B6433F"/>
    <w:rsid w:val="00B64CF5"/>
    <w:rsid w:val="00B701B5"/>
    <w:rsid w:val="00B72EB7"/>
    <w:rsid w:val="00B766F7"/>
    <w:rsid w:val="00B76A01"/>
    <w:rsid w:val="00B76C9B"/>
    <w:rsid w:val="00B77BAB"/>
    <w:rsid w:val="00B77EE4"/>
    <w:rsid w:val="00B823A1"/>
    <w:rsid w:val="00B840F6"/>
    <w:rsid w:val="00B8428B"/>
    <w:rsid w:val="00B84EBA"/>
    <w:rsid w:val="00BA1D43"/>
    <w:rsid w:val="00BA3BAF"/>
    <w:rsid w:val="00BA41F5"/>
    <w:rsid w:val="00BB11FA"/>
    <w:rsid w:val="00BB3C9C"/>
    <w:rsid w:val="00BF12D2"/>
    <w:rsid w:val="00BF4822"/>
    <w:rsid w:val="00C01D22"/>
    <w:rsid w:val="00C104B6"/>
    <w:rsid w:val="00C10F02"/>
    <w:rsid w:val="00C114F4"/>
    <w:rsid w:val="00C11B5E"/>
    <w:rsid w:val="00C11D03"/>
    <w:rsid w:val="00C12984"/>
    <w:rsid w:val="00C1462F"/>
    <w:rsid w:val="00C31967"/>
    <w:rsid w:val="00C371DE"/>
    <w:rsid w:val="00C409AE"/>
    <w:rsid w:val="00C416A4"/>
    <w:rsid w:val="00C41C60"/>
    <w:rsid w:val="00C42D50"/>
    <w:rsid w:val="00C4702D"/>
    <w:rsid w:val="00C54DF8"/>
    <w:rsid w:val="00C60B49"/>
    <w:rsid w:val="00C6127A"/>
    <w:rsid w:val="00C614E2"/>
    <w:rsid w:val="00C7440A"/>
    <w:rsid w:val="00C7629C"/>
    <w:rsid w:val="00C76E3D"/>
    <w:rsid w:val="00C84E3E"/>
    <w:rsid w:val="00C865ED"/>
    <w:rsid w:val="00C8775A"/>
    <w:rsid w:val="00C97FAD"/>
    <w:rsid w:val="00CA0877"/>
    <w:rsid w:val="00CA09B8"/>
    <w:rsid w:val="00CA6B59"/>
    <w:rsid w:val="00CA7A15"/>
    <w:rsid w:val="00CB3B6C"/>
    <w:rsid w:val="00CC1833"/>
    <w:rsid w:val="00CC189F"/>
    <w:rsid w:val="00CC3368"/>
    <w:rsid w:val="00CD757F"/>
    <w:rsid w:val="00CF0C35"/>
    <w:rsid w:val="00CF1655"/>
    <w:rsid w:val="00CF16D8"/>
    <w:rsid w:val="00CF19C4"/>
    <w:rsid w:val="00D01FE8"/>
    <w:rsid w:val="00D034B3"/>
    <w:rsid w:val="00D07B5D"/>
    <w:rsid w:val="00D111EA"/>
    <w:rsid w:val="00D13C04"/>
    <w:rsid w:val="00D20695"/>
    <w:rsid w:val="00D20A78"/>
    <w:rsid w:val="00D25680"/>
    <w:rsid w:val="00D278BA"/>
    <w:rsid w:val="00D348D9"/>
    <w:rsid w:val="00D35EE3"/>
    <w:rsid w:val="00D40454"/>
    <w:rsid w:val="00D4059C"/>
    <w:rsid w:val="00D50FEE"/>
    <w:rsid w:val="00D532E0"/>
    <w:rsid w:val="00D53D8F"/>
    <w:rsid w:val="00D548F1"/>
    <w:rsid w:val="00D56ABA"/>
    <w:rsid w:val="00D570A8"/>
    <w:rsid w:val="00D6002B"/>
    <w:rsid w:val="00D61C76"/>
    <w:rsid w:val="00D66AE4"/>
    <w:rsid w:val="00D77015"/>
    <w:rsid w:val="00D848B4"/>
    <w:rsid w:val="00D92B48"/>
    <w:rsid w:val="00D94D96"/>
    <w:rsid w:val="00DA4A50"/>
    <w:rsid w:val="00DB078F"/>
    <w:rsid w:val="00DB1693"/>
    <w:rsid w:val="00DB4A34"/>
    <w:rsid w:val="00DC34F2"/>
    <w:rsid w:val="00DC7729"/>
    <w:rsid w:val="00DD10A8"/>
    <w:rsid w:val="00DD1AEB"/>
    <w:rsid w:val="00DD21E8"/>
    <w:rsid w:val="00DD5B07"/>
    <w:rsid w:val="00DD7EED"/>
    <w:rsid w:val="00DE05C4"/>
    <w:rsid w:val="00DE6821"/>
    <w:rsid w:val="00DE7406"/>
    <w:rsid w:val="00DF2022"/>
    <w:rsid w:val="00DF34BE"/>
    <w:rsid w:val="00DF5D59"/>
    <w:rsid w:val="00E05F60"/>
    <w:rsid w:val="00E110F5"/>
    <w:rsid w:val="00E12AEF"/>
    <w:rsid w:val="00E239E4"/>
    <w:rsid w:val="00E36A38"/>
    <w:rsid w:val="00E43E8E"/>
    <w:rsid w:val="00E44419"/>
    <w:rsid w:val="00E44D12"/>
    <w:rsid w:val="00E46198"/>
    <w:rsid w:val="00E53399"/>
    <w:rsid w:val="00E57797"/>
    <w:rsid w:val="00E71B0E"/>
    <w:rsid w:val="00E7393B"/>
    <w:rsid w:val="00E75AF9"/>
    <w:rsid w:val="00E77995"/>
    <w:rsid w:val="00E77C40"/>
    <w:rsid w:val="00E87099"/>
    <w:rsid w:val="00E87BA6"/>
    <w:rsid w:val="00EA28E6"/>
    <w:rsid w:val="00EA4734"/>
    <w:rsid w:val="00EB20CA"/>
    <w:rsid w:val="00EC0A36"/>
    <w:rsid w:val="00EC2FE1"/>
    <w:rsid w:val="00EC4313"/>
    <w:rsid w:val="00ED3EA6"/>
    <w:rsid w:val="00ED6F00"/>
    <w:rsid w:val="00EE3D1A"/>
    <w:rsid w:val="00EE79C4"/>
    <w:rsid w:val="00EF78C4"/>
    <w:rsid w:val="00F01154"/>
    <w:rsid w:val="00F027C5"/>
    <w:rsid w:val="00F03F0A"/>
    <w:rsid w:val="00F04CD7"/>
    <w:rsid w:val="00F04F17"/>
    <w:rsid w:val="00F058D9"/>
    <w:rsid w:val="00F1234C"/>
    <w:rsid w:val="00F12F77"/>
    <w:rsid w:val="00F1336E"/>
    <w:rsid w:val="00F1600A"/>
    <w:rsid w:val="00F17663"/>
    <w:rsid w:val="00F17F96"/>
    <w:rsid w:val="00F23E15"/>
    <w:rsid w:val="00F244A2"/>
    <w:rsid w:val="00F26D70"/>
    <w:rsid w:val="00F35064"/>
    <w:rsid w:val="00F374D8"/>
    <w:rsid w:val="00F40346"/>
    <w:rsid w:val="00F5684D"/>
    <w:rsid w:val="00F57AB6"/>
    <w:rsid w:val="00F61CEB"/>
    <w:rsid w:val="00F6480F"/>
    <w:rsid w:val="00F81247"/>
    <w:rsid w:val="00F84A3A"/>
    <w:rsid w:val="00F86713"/>
    <w:rsid w:val="00F932E0"/>
    <w:rsid w:val="00F95A82"/>
    <w:rsid w:val="00FA46AA"/>
    <w:rsid w:val="00FB02F4"/>
    <w:rsid w:val="00FB2EB0"/>
    <w:rsid w:val="00FB7701"/>
    <w:rsid w:val="00FC25CA"/>
    <w:rsid w:val="00FC36C9"/>
    <w:rsid w:val="00FC40F0"/>
    <w:rsid w:val="00FC617B"/>
    <w:rsid w:val="00FC6390"/>
    <w:rsid w:val="00FC6D3B"/>
    <w:rsid w:val="00FD0129"/>
    <w:rsid w:val="00FD2CBA"/>
    <w:rsid w:val="00FD4398"/>
    <w:rsid w:val="00FD54AB"/>
    <w:rsid w:val="00FE17ED"/>
    <w:rsid w:val="00FE6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uiPriority w:val="99"/>
    <w:semiHidden/>
    <w:rsid w:val="00FA46AA"/>
  </w:style>
  <w:style w:type="paragraph" w:styleId="Revision">
    <w:name w:val="Revision"/>
    <w:hidden/>
    <w:uiPriority w:val="99"/>
    <w:semiHidden/>
    <w:rsid w:val="006E53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F71F-C88B-4919-9A62-19751E81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2022-08-30T23:37:00Z</dcterms:created>
  <dcterms:modified xsi:type="dcterms:W3CDTF">2022-09-28T04:54:00Z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