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BA111" w14:textId="33520401" w:rsidR="002E5879" w:rsidRDefault="002E5879" w:rsidP="009234FF">
      <w:pPr>
        <w:pStyle w:val="Heading1"/>
        <w:spacing w:before="120" w:after="120" w:line="240" w:lineRule="auto"/>
        <w:rPr>
          <w:bCs/>
          <w:i/>
          <w:spacing w:val="-2"/>
          <w:szCs w:val="28"/>
          <w:lang w:eastAsia="en-AU"/>
        </w:rPr>
      </w:pPr>
      <w:r w:rsidRPr="002E5879">
        <w:rPr>
          <w:bCs/>
          <w:i/>
          <w:spacing w:val="-2"/>
          <w:szCs w:val="28"/>
          <w:lang w:eastAsia="en-AU"/>
        </w:rPr>
        <w:t>Legislation (National Health Instruments) Sunset</w:t>
      </w:r>
      <w:r w:rsidR="006041D4">
        <w:rPr>
          <w:bCs/>
          <w:i/>
          <w:spacing w:val="-2"/>
          <w:szCs w:val="28"/>
          <w:lang w:eastAsia="en-AU"/>
        </w:rPr>
        <w:t>-</w:t>
      </w:r>
      <w:r w:rsidRPr="002E5879">
        <w:rPr>
          <w:bCs/>
          <w:i/>
          <w:spacing w:val="-2"/>
          <w:szCs w:val="28"/>
          <w:lang w:eastAsia="en-AU"/>
        </w:rPr>
        <w:t>altering Declaration 2022</w:t>
      </w:r>
    </w:p>
    <w:p w14:paraId="4EF9FA19" w14:textId="3EB8E951" w:rsidR="009234FF" w:rsidRPr="00AE3ED3" w:rsidRDefault="009234FF" w:rsidP="009234FF">
      <w:pPr>
        <w:pStyle w:val="Heading1"/>
        <w:spacing w:before="120" w:after="120" w:line="240" w:lineRule="auto"/>
      </w:pPr>
      <w:r w:rsidRPr="00AE3ED3">
        <w:t>EXPLANATORY STATEMENT</w:t>
      </w:r>
    </w:p>
    <w:p w14:paraId="66FC6F1D" w14:textId="77777777" w:rsidR="009234FF" w:rsidRPr="005D7B1E" w:rsidRDefault="009234FF" w:rsidP="009234FF">
      <w:pPr>
        <w:pBdr>
          <w:bottom w:val="single" w:sz="12" w:space="1" w:color="auto"/>
        </w:pBdr>
        <w:spacing w:before="120" w:after="120"/>
        <w:jc w:val="center"/>
        <w:rPr>
          <w:i/>
          <w:lang w:val="en-AU"/>
        </w:rPr>
      </w:pPr>
      <w:r w:rsidRPr="00AE3ED3">
        <w:rPr>
          <w:lang w:val="en-AU"/>
        </w:rPr>
        <w:t xml:space="preserve">Issued by the Attorney-General in compliance with </w:t>
      </w:r>
      <w:r w:rsidRPr="00AE3ED3">
        <w:rPr>
          <w:lang w:val="en-AU"/>
        </w:rPr>
        <w:br/>
        <w:t>section 15G of the</w:t>
      </w:r>
      <w:r w:rsidRPr="005D7B1E">
        <w:rPr>
          <w:lang w:val="en-AU"/>
        </w:rPr>
        <w:t xml:space="preserve"> </w:t>
      </w:r>
      <w:r w:rsidRPr="005D7B1E">
        <w:rPr>
          <w:i/>
          <w:lang w:val="en-AU"/>
        </w:rPr>
        <w:t>Legislation Act 2003</w:t>
      </w:r>
    </w:p>
    <w:p w14:paraId="7D3FAA29" w14:textId="77777777" w:rsidR="009234FF" w:rsidRPr="005D7B1E" w:rsidRDefault="009234FF" w:rsidP="009234FF">
      <w:pPr>
        <w:pBdr>
          <w:bottom w:val="single" w:sz="12" w:space="1" w:color="auto"/>
        </w:pBdr>
        <w:spacing w:before="120" w:after="120"/>
        <w:jc w:val="center"/>
        <w:rPr>
          <w:i/>
          <w:lang w:val="en-AU"/>
        </w:rPr>
      </w:pPr>
    </w:p>
    <w:p w14:paraId="0E6FE60D" w14:textId="77777777" w:rsidR="009234FF" w:rsidRPr="004D2E18" w:rsidRDefault="009234FF" w:rsidP="009234FF">
      <w:pPr>
        <w:pStyle w:val="Basetext"/>
        <w:spacing w:after="200"/>
        <w:contextualSpacing/>
        <w:jc w:val="both"/>
        <w:rPr>
          <w:b/>
        </w:rPr>
      </w:pPr>
      <w:r w:rsidRPr="004D2E18">
        <w:rPr>
          <w:b/>
        </w:rPr>
        <w:t xml:space="preserve">INTRODUCTION </w:t>
      </w:r>
    </w:p>
    <w:p w14:paraId="75D93DA3" w14:textId="77777777" w:rsidR="009234FF" w:rsidRPr="004D2E18" w:rsidRDefault="009234FF" w:rsidP="009234FF">
      <w:pPr>
        <w:pStyle w:val="Basetext"/>
        <w:spacing w:before="0" w:after="200" w:line="240" w:lineRule="auto"/>
        <w:contextualSpacing/>
        <w:jc w:val="both"/>
        <w:rPr>
          <w:b/>
        </w:rPr>
      </w:pPr>
    </w:p>
    <w:p w14:paraId="2A1E89E8" w14:textId="485FAE4F" w:rsidR="009234FF" w:rsidRPr="004D2E18" w:rsidRDefault="009234FF" w:rsidP="009234FF">
      <w:pPr>
        <w:pStyle w:val="Basetext"/>
        <w:spacing w:before="0" w:after="200"/>
        <w:contextualSpacing/>
        <w:jc w:val="both"/>
        <w:rPr>
          <w:snapToGrid/>
          <w:color w:val="000000"/>
          <w:lang w:eastAsia="en-AU"/>
        </w:rPr>
      </w:pPr>
      <w:r w:rsidRPr="004D2E18">
        <w:t xml:space="preserve">The </w:t>
      </w:r>
      <w:r w:rsidRPr="004D2E18">
        <w:rPr>
          <w:bCs/>
          <w:i/>
          <w:lang w:val="en-US"/>
        </w:rPr>
        <w:t>Legislation (</w:t>
      </w:r>
      <w:r w:rsidR="002E5879" w:rsidRPr="004D2E18">
        <w:rPr>
          <w:bCs/>
          <w:i/>
          <w:spacing w:val="-2"/>
          <w:lang w:eastAsia="en-AU"/>
        </w:rPr>
        <w:t>National Health</w:t>
      </w:r>
      <w:r w:rsidRPr="004D2E18">
        <w:rPr>
          <w:bCs/>
          <w:i/>
          <w:lang w:val="en-US"/>
        </w:rPr>
        <w:t xml:space="preserve"> Instruments) Sunset-altering Declaration 2022</w:t>
      </w:r>
      <w:r w:rsidRPr="004D2E18">
        <w:rPr>
          <w:bCs/>
          <w:i/>
        </w:rPr>
        <w:t xml:space="preserve"> </w:t>
      </w:r>
      <w:r w:rsidRPr="004D2E18">
        <w:t xml:space="preserve">(the Declaration) is made under subsection 51A(1) of the </w:t>
      </w:r>
      <w:r w:rsidRPr="004D2E18">
        <w:rPr>
          <w:i/>
        </w:rPr>
        <w:t xml:space="preserve">Legislation Act 2003 </w:t>
      </w:r>
      <w:r w:rsidRPr="004D2E18">
        <w:t>(</w:t>
      </w:r>
      <w:proofErr w:type="spellStart"/>
      <w:r w:rsidRPr="004D2E18">
        <w:t>Cth</w:t>
      </w:r>
      <w:proofErr w:type="spellEnd"/>
      <w:r w:rsidRPr="004D2E18">
        <w:t>) (the Legislation </w:t>
      </w:r>
      <w:r w:rsidRPr="004D2E18">
        <w:rPr>
          <w:snapToGrid/>
          <w:color w:val="000000"/>
          <w:lang w:eastAsia="en-AU"/>
        </w:rPr>
        <w:t>Act). It is a legislative instrument for the purposes of the Legislation Act and must be registered on the Federal Register of Legislation. The Declaration is subject to the disallowance provisions of the Legislation Act.</w:t>
      </w:r>
    </w:p>
    <w:p w14:paraId="709D4E23" w14:textId="77777777" w:rsidR="009234FF" w:rsidRPr="004D2E18" w:rsidRDefault="009234FF" w:rsidP="009234FF">
      <w:pPr>
        <w:pStyle w:val="Basetext"/>
        <w:spacing w:before="0" w:after="200" w:line="240" w:lineRule="auto"/>
        <w:contextualSpacing/>
        <w:jc w:val="both"/>
      </w:pPr>
    </w:p>
    <w:p w14:paraId="5DCB9225" w14:textId="77777777" w:rsidR="009234FF" w:rsidRPr="004D2E18" w:rsidRDefault="009234FF" w:rsidP="009234FF">
      <w:pPr>
        <w:pStyle w:val="Basetext"/>
        <w:spacing w:before="0" w:after="200"/>
        <w:contextualSpacing/>
        <w:jc w:val="both"/>
        <w:rPr>
          <w:b/>
        </w:rPr>
      </w:pPr>
      <w:r w:rsidRPr="004D2E18">
        <w:rPr>
          <w:b/>
        </w:rPr>
        <w:t>OUTLINE</w:t>
      </w:r>
    </w:p>
    <w:p w14:paraId="65B271FA" w14:textId="77777777" w:rsidR="009234FF" w:rsidRPr="004D2E18" w:rsidRDefault="009234FF" w:rsidP="009234FF">
      <w:pPr>
        <w:pStyle w:val="Basetext"/>
        <w:spacing w:before="0" w:after="200" w:line="240" w:lineRule="auto"/>
        <w:contextualSpacing/>
        <w:jc w:val="both"/>
        <w:rPr>
          <w:b/>
        </w:rPr>
      </w:pPr>
    </w:p>
    <w:p w14:paraId="09CB6A2D" w14:textId="77777777" w:rsidR="009234FF" w:rsidRPr="004D2E18" w:rsidRDefault="009234FF" w:rsidP="009234FF">
      <w:pPr>
        <w:pStyle w:val="Basetext"/>
        <w:spacing w:before="0" w:after="200"/>
        <w:contextualSpacing/>
        <w:jc w:val="both"/>
      </w:pPr>
      <w:r w:rsidRPr="004D2E18">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5BB4F878" w14:textId="77777777" w:rsidR="009234FF" w:rsidRPr="004D2E18" w:rsidRDefault="009234FF" w:rsidP="009234FF">
      <w:pPr>
        <w:pStyle w:val="Basetext"/>
        <w:spacing w:before="0" w:after="200"/>
        <w:contextualSpacing/>
        <w:jc w:val="both"/>
      </w:pPr>
    </w:p>
    <w:p w14:paraId="48ACEF4E" w14:textId="77777777" w:rsidR="009234FF" w:rsidRPr="004D2E18" w:rsidRDefault="009234FF" w:rsidP="009234FF">
      <w:pPr>
        <w:pStyle w:val="Basetext"/>
        <w:spacing w:before="0" w:after="200"/>
        <w:contextualSpacing/>
        <w:jc w:val="both"/>
      </w:pPr>
      <w:r w:rsidRPr="004D2E18">
        <w:t xml:space="preserve">Subsection 50(1) of the Legislation Act provides that a legislative instrument is automatically repealed on the 1 April or 1 October immediately on or following the tenth anniversary of its registration. </w:t>
      </w:r>
    </w:p>
    <w:p w14:paraId="2D6569C4" w14:textId="77777777" w:rsidR="009234FF" w:rsidRPr="004D2E18" w:rsidRDefault="009234FF" w:rsidP="009234FF">
      <w:pPr>
        <w:shd w:val="clear" w:color="auto" w:fill="FFFFFF"/>
        <w:spacing w:line="276" w:lineRule="auto"/>
        <w:contextualSpacing/>
        <w:jc w:val="both"/>
        <w:rPr>
          <w:color w:val="000000"/>
          <w:sz w:val="22"/>
          <w:szCs w:val="22"/>
          <w:lang w:eastAsia="en-AU"/>
        </w:rPr>
      </w:pPr>
      <w:r w:rsidRPr="004D2E18">
        <w:rPr>
          <w:color w:val="000000"/>
          <w:sz w:val="22"/>
          <w:szCs w:val="22"/>
          <w:lang w:eastAsia="en-AU"/>
        </w:rPr>
        <w:t>Under subsection 51</w:t>
      </w:r>
      <w:proofErr w:type="gramStart"/>
      <w:r w:rsidRPr="004D2E18">
        <w:rPr>
          <w:color w:val="000000"/>
          <w:sz w:val="22"/>
          <w:szCs w:val="22"/>
          <w:lang w:eastAsia="en-AU"/>
        </w:rPr>
        <w:t>A(</w:t>
      </w:r>
      <w:proofErr w:type="gramEnd"/>
      <w:r w:rsidRPr="004D2E18">
        <w:rPr>
          <w:color w:val="000000"/>
          <w:sz w:val="22"/>
          <w:szCs w:val="22"/>
          <w:lang w:eastAsia="en-AU"/>
        </w:rPr>
        <w:t>1) of the Legislation Act, the Attorney-General may issue a declaration aligning the sunsetting days of two or more instruments, if satisfied on application by the rule-maker/s of the relevant instruments that:</w:t>
      </w:r>
    </w:p>
    <w:p w14:paraId="2697434B" w14:textId="77777777" w:rsidR="009234FF" w:rsidRPr="004D2E18" w:rsidRDefault="009234FF" w:rsidP="009234FF">
      <w:pPr>
        <w:pStyle w:val="ListParagraph"/>
        <w:numPr>
          <w:ilvl w:val="0"/>
          <w:numId w:val="7"/>
        </w:numPr>
        <w:shd w:val="clear" w:color="auto" w:fill="FFFFFF"/>
        <w:spacing w:afterLines="100" w:after="240" w:line="276" w:lineRule="auto"/>
        <w:ind w:left="714" w:hanging="357"/>
        <w:jc w:val="both"/>
        <w:rPr>
          <w:color w:val="000000"/>
          <w:sz w:val="22"/>
          <w:szCs w:val="22"/>
          <w:lang w:eastAsia="en-AU"/>
        </w:rPr>
      </w:pPr>
      <w:r w:rsidRPr="004D2E18">
        <w:rPr>
          <w:color w:val="000000"/>
          <w:sz w:val="22"/>
          <w:szCs w:val="22"/>
          <w:lang w:eastAsia="en-AU"/>
        </w:rPr>
        <w:t>all the instruments to be reviewed:</w:t>
      </w:r>
    </w:p>
    <w:p w14:paraId="13FD6BD7" w14:textId="77777777" w:rsidR="009234FF" w:rsidRPr="004D2E18" w:rsidRDefault="009234FF" w:rsidP="009234FF">
      <w:pPr>
        <w:pStyle w:val="ListParagraph"/>
        <w:numPr>
          <w:ilvl w:val="1"/>
          <w:numId w:val="7"/>
        </w:numPr>
        <w:shd w:val="clear" w:color="auto" w:fill="FFFFFF"/>
        <w:spacing w:afterLines="200" w:after="480" w:line="276" w:lineRule="auto"/>
        <w:jc w:val="both"/>
        <w:rPr>
          <w:color w:val="000000"/>
          <w:sz w:val="22"/>
          <w:szCs w:val="22"/>
          <w:lang w:eastAsia="en-AU"/>
        </w:rPr>
      </w:pPr>
      <w:r w:rsidRPr="004D2E18">
        <w:rPr>
          <w:color w:val="000000"/>
          <w:sz w:val="22"/>
          <w:szCs w:val="22"/>
          <w:lang w:eastAsia="en-AU"/>
        </w:rPr>
        <w:t xml:space="preserve">would (in the absence of a declaration made under section 51A of the Legislation Act) be repealed by section 50 or 51 of the Legislation Act; and </w:t>
      </w:r>
    </w:p>
    <w:p w14:paraId="7C1ED78A" w14:textId="77777777" w:rsidR="009234FF" w:rsidRPr="004D2E18" w:rsidRDefault="009234FF" w:rsidP="009234FF">
      <w:pPr>
        <w:pStyle w:val="ListParagraph"/>
        <w:numPr>
          <w:ilvl w:val="1"/>
          <w:numId w:val="7"/>
        </w:numPr>
        <w:shd w:val="clear" w:color="auto" w:fill="FFFFFF"/>
        <w:spacing w:afterLines="200" w:after="480" w:line="276" w:lineRule="auto"/>
        <w:jc w:val="both"/>
        <w:rPr>
          <w:color w:val="000000"/>
          <w:sz w:val="22"/>
          <w:szCs w:val="22"/>
          <w:lang w:eastAsia="en-AU"/>
        </w:rPr>
      </w:pPr>
      <w:r w:rsidRPr="004D2E18">
        <w:rPr>
          <w:color w:val="000000"/>
          <w:sz w:val="22"/>
          <w:szCs w:val="22"/>
          <w:lang w:eastAsia="en-AU"/>
        </w:rPr>
        <w:t>are or will be the subject of a single review; and</w:t>
      </w:r>
    </w:p>
    <w:p w14:paraId="463FD16D" w14:textId="77777777" w:rsidR="009234FF" w:rsidRPr="004D2E18" w:rsidRDefault="009234FF" w:rsidP="009234FF">
      <w:pPr>
        <w:pStyle w:val="ListParagraph"/>
        <w:numPr>
          <w:ilvl w:val="0"/>
          <w:numId w:val="7"/>
        </w:numPr>
        <w:shd w:val="clear" w:color="auto" w:fill="FFFFFF"/>
        <w:spacing w:afterLines="100" w:after="240" w:line="276" w:lineRule="auto"/>
        <w:ind w:left="714" w:hanging="357"/>
        <w:jc w:val="both"/>
        <w:rPr>
          <w:color w:val="000000"/>
          <w:sz w:val="22"/>
          <w:szCs w:val="22"/>
          <w:lang w:eastAsia="en-AU"/>
        </w:rPr>
      </w:pPr>
      <w:r w:rsidRPr="004D2E18">
        <w:rPr>
          <w:color w:val="000000"/>
          <w:sz w:val="22"/>
          <w:szCs w:val="22"/>
          <w:lang w:eastAsia="en-AU"/>
        </w:rPr>
        <w:t>the making of the declaration will facilitate the undertaking of the review or the implementation of its findings. </w:t>
      </w:r>
    </w:p>
    <w:p w14:paraId="19522C06" w14:textId="77777777" w:rsidR="009234FF" w:rsidRPr="004D2E18" w:rsidRDefault="009234FF" w:rsidP="009234FF">
      <w:pPr>
        <w:pStyle w:val="Basetext"/>
        <w:spacing w:before="0" w:after="200"/>
        <w:contextualSpacing/>
        <w:jc w:val="both"/>
      </w:pPr>
      <w:r w:rsidRPr="004D2E18">
        <w:t xml:space="preserve">The objective of issuing a sunset-altering declaration is to facilitate either: </w:t>
      </w:r>
    </w:p>
    <w:p w14:paraId="006FAB77" w14:textId="77777777" w:rsidR="009234FF" w:rsidRPr="004D2E18" w:rsidRDefault="009234FF" w:rsidP="009234FF">
      <w:pPr>
        <w:pStyle w:val="Basetext"/>
        <w:numPr>
          <w:ilvl w:val="0"/>
          <w:numId w:val="6"/>
        </w:numPr>
        <w:spacing w:before="0" w:after="200"/>
        <w:contextualSpacing/>
        <w:jc w:val="both"/>
      </w:pPr>
      <w:r w:rsidRPr="004D2E18">
        <w:t xml:space="preserve">the undertaking of a single review into the fitness-for-purpose of two or more thematically related legislative instruments, or </w:t>
      </w:r>
    </w:p>
    <w:p w14:paraId="57119A11" w14:textId="77777777" w:rsidR="009234FF" w:rsidRPr="004D2E18" w:rsidRDefault="009234FF" w:rsidP="009234FF">
      <w:pPr>
        <w:pStyle w:val="Basetext"/>
        <w:numPr>
          <w:ilvl w:val="0"/>
          <w:numId w:val="6"/>
        </w:numPr>
        <w:spacing w:before="0" w:after="200"/>
        <w:contextualSpacing/>
        <w:jc w:val="both"/>
      </w:pPr>
      <w:r w:rsidRPr="004D2E18">
        <w:t>the implementation of such a review’s findings.</w:t>
      </w:r>
    </w:p>
    <w:p w14:paraId="595073F7" w14:textId="77777777" w:rsidR="009234FF" w:rsidRPr="004D2E18" w:rsidRDefault="009234FF" w:rsidP="009234FF">
      <w:pPr>
        <w:pStyle w:val="Basetext"/>
        <w:spacing w:before="0" w:after="200"/>
        <w:contextualSpacing/>
        <w:jc w:val="both"/>
      </w:pPr>
      <w:r w:rsidRPr="004D2E18">
        <w:t xml:space="preserve">This reduces administrative burden as well as the possibility of legislative inconsistencies arising from reviewing and replacing related legislation at different times. </w:t>
      </w:r>
    </w:p>
    <w:p w14:paraId="7E7D9E59" w14:textId="77777777" w:rsidR="009234FF" w:rsidRPr="004D2E18" w:rsidRDefault="009234FF" w:rsidP="009234FF">
      <w:pPr>
        <w:pStyle w:val="Basetext"/>
        <w:spacing w:before="0" w:after="200"/>
        <w:contextualSpacing/>
        <w:jc w:val="both"/>
      </w:pPr>
    </w:p>
    <w:p w14:paraId="3430B172" w14:textId="6A88D571" w:rsidR="009234FF" w:rsidRPr="004D2E18" w:rsidRDefault="009234FF" w:rsidP="009234FF">
      <w:pPr>
        <w:pStyle w:val="Basetext"/>
        <w:spacing w:before="0"/>
        <w:contextualSpacing/>
        <w:jc w:val="both"/>
      </w:pPr>
      <w:r w:rsidRPr="004D2E18">
        <w:t xml:space="preserve">The Declaration aligns the sunsetting dates of the following instruments to 1 April 2024 (together, </w:t>
      </w:r>
      <w:r w:rsidR="00EE7CD6" w:rsidRPr="004D2E18">
        <w:t>‘</w:t>
      </w:r>
      <w:r w:rsidRPr="004D2E18">
        <w:t xml:space="preserve">the </w:t>
      </w:r>
      <w:r w:rsidR="00DA7782" w:rsidRPr="004D2E18">
        <w:t>National Health</w:t>
      </w:r>
      <w:r w:rsidRPr="004D2E18">
        <w:t xml:space="preserve"> Instruments’): </w:t>
      </w:r>
    </w:p>
    <w:p w14:paraId="19875222" w14:textId="3560B9C2" w:rsidR="00C13605" w:rsidRPr="004D2E18" w:rsidRDefault="00C13605" w:rsidP="00C13605">
      <w:pPr>
        <w:pStyle w:val="ListParagraph"/>
        <w:widowControl/>
        <w:numPr>
          <w:ilvl w:val="0"/>
          <w:numId w:val="1"/>
        </w:numPr>
        <w:spacing w:line="276" w:lineRule="auto"/>
        <w:jc w:val="both"/>
        <w:rPr>
          <w:sz w:val="22"/>
          <w:szCs w:val="22"/>
          <w:lang w:val="en-AU"/>
        </w:rPr>
      </w:pPr>
      <w:r w:rsidRPr="004D2E18">
        <w:rPr>
          <w:sz w:val="22"/>
          <w:szCs w:val="22"/>
          <w:lang w:val="en-AU"/>
        </w:rPr>
        <w:t xml:space="preserve">the </w:t>
      </w:r>
      <w:r w:rsidRPr="004D2E18">
        <w:rPr>
          <w:i/>
          <w:sz w:val="22"/>
          <w:szCs w:val="22"/>
          <w:lang w:val="en-AU"/>
        </w:rPr>
        <w:t>National Health (Efficient Funding of Chemotherapy) Special Arrangement 2011</w:t>
      </w:r>
      <w:r w:rsidRPr="004D2E18">
        <w:rPr>
          <w:sz w:val="22"/>
          <w:szCs w:val="22"/>
          <w:lang w:val="en-AU"/>
        </w:rPr>
        <w:t xml:space="preserve"> (Chemotherapy Arrangement)</w:t>
      </w:r>
      <w:r>
        <w:rPr>
          <w:sz w:val="22"/>
          <w:szCs w:val="22"/>
          <w:lang w:val="en-AU"/>
        </w:rPr>
        <w:t>;</w:t>
      </w:r>
    </w:p>
    <w:p w14:paraId="4B1438A8" w14:textId="13261959" w:rsidR="009E0FF3" w:rsidRPr="004D2E18" w:rsidRDefault="009E0FF3" w:rsidP="009E0FF3">
      <w:pPr>
        <w:pStyle w:val="ListParagraph"/>
        <w:widowControl/>
        <w:numPr>
          <w:ilvl w:val="0"/>
          <w:numId w:val="1"/>
        </w:numPr>
        <w:spacing w:line="276" w:lineRule="auto"/>
        <w:jc w:val="both"/>
        <w:rPr>
          <w:sz w:val="22"/>
          <w:szCs w:val="22"/>
          <w:lang w:val="en-AU"/>
        </w:rPr>
      </w:pPr>
      <w:r w:rsidRPr="004D2E18">
        <w:rPr>
          <w:sz w:val="22"/>
          <w:szCs w:val="22"/>
          <w:lang w:val="en-AU"/>
        </w:rPr>
        <w:t xml:space="preserve">the </w:t>
      </w:r>
      <w:r w:rsidRPr="004D2E18">
        <w:rPr>
          <w:i/>
          <w:sz w:val="22"/>
          <w:szCs w:val="22"/>
          <w:lang w:val="en-AU"/>
        </w:rPr>
        <w:t xml:space="preserve">National Health (Listing of Pharmaceutical Benefits) Instrument 2012 </w:t>
      </w:r>
      <w:r w:rsidRPr="004D2E18">
        <w:rPr>
          <w:sz w:val="22"/>
          <w:szCs w:val="22"/>
          <w:lang w:val="en-AU"/>
        </w:rPr>
        <w:t>(PBS Listing Instrument);</w:t>
      </w:r>
    </w:p>
    <w:p w14:paraId="457EFE28" w14:textId="5D691956" w:rsidR="009E0FF3" w:rsidRPr="00086F79" w:rsidRDefault="009E0FF3" w:rsidP="00C13605">
      <w:pPr>
        <w:pStyle w:val="ListParagraph"/>
        <w:widowControl/>
        <w:numPr>
          <w:ilvl w:val="0"/>
          <w:numId w:val="1"/>
        </w:numPr>
        <w:spacing w:line="276" w:lineRule="auto"/>
        <w:jc w:val="both"/>
        <w:rPr>
          <w:sz w:val="22"/>
          <w:szCs w:val="22"/>
          <w:lang w:val="en-AU"/>
        </w:rPr>
      </w:pPr>
      <w:r w:rsidRPr="004D2E18">
        <w:rPr>
          <w:sz w:val="22"/>
          <w:szCs w:val="22"/>
          <w:lang w:val="en-AU"/>
        </w:rPr>
        <w:lastRenderedPageBreak/>
        <w:t xml:space="preserve">the </w:t>
      </w:r>
      <w:r w:rsidRPr="004D2E18">
        <w:rPr>
          <w:i/>
          <w:sz w:val="22"/>
          <w:szCs w:val="22"/>
          <w:lang w:val="en-AU"/>
        </w:rPr>
        <w:t>National Health (Prescriber bag supplies) Determination 2012</w:t>
      </w:r>
      <w:r w:rsidRPr="004D2E18">
        <w:rPr>
          <w:sz w:val="22"/>
          <w:szCs w:val="22"/>
          <w:lang w:val="en-AU"/>
        </w:rPr>
        <w:t xml:space="preserve"> (Prescriber Bag Determination)</w:t>
      </w:r>
      <w:r w:rsidRPr="00086F79">
        <w:rPr>
          <w:sz w:val="22"/>
          <w:szCs w:val="22"/>
          <w:lang w:val="en-AU"/>
        </w:rPr>
        <w:t>.</w:t>
      </w:r>
    </w:p>
    <w:p w14:paraId="33E92723" w14:textId="77777777" w:rsidR="009E0FF3" w:rsidRPr="004D2E18" w:rsidRDefault="009E0FF3" w:rsidP="009E0FF3">
      <w:pPr>
        <w:widowControl/>
        <w:spacing w:line="276" w:lineRule="auto"/>
        <w:jc w:val="both"/>
        <w:rPr>
          <w:sz w:val="22"/>
          <w:szCs w:val="22"/>
          <w:lang w:val="en-AU"/>
        </w:rPr>
      </w:pPr>
    </w:p>
    <w:p w14:paraId="128F450E" w14:textId="302A446F" w:rsidR="009234FF" w:rsidRPr="004D2E18" w:rsidRDefault="009234FF" w:rsidP="009234FF">
      <w:pPr>
        <w:widowControl/>
        <w:spacing w:line="276" w:lineRule="auto"/>
        <w:jc w:val="both"/>
        <w:rPr>
          <w:sz w:val="22"/>
          <w:szCs w:val="22"/>
        </w:rPr>
      </w:pPr>
      <w:r w:rsidRPr="004D2E18">
        <w:rPr>
          <w:sz w:val="22"/>
          <w:szCs w:val="22"/>
        </w:rPr>
        <w:t xml:space="preserve">Prior to the commencement of the Declaration, the </w:t>
      </w:r>
      <w:r w:rsidR="009E0FF3" w:rsidRPr="004D2E18">
        <w:rPr>
          <w:sz w:val="22"/>
          <w:szCs w:val="22"/>
          <w:lang w:val="en-AU"/>
        </w:rPr>
        <w:t>PBS Listing Instrument</w:t>
      </w:r>
      <w:r w:rsidR="009E0FF3" w:rsidRPr="004D2E18">
        <w:rPr>
          <w:sz w:val="22"/>
          <w:szCs w:val="22"/>
        </w:rPr>
        <w:t xml:space="preserve"> and the Prescriber Bag Determination were</w:t>
      </w:r>
      <w:r w:rsidRPr="004D2E18">
        <w:rPr>
          <w:sz w:val="22"/>
          <w:szCs w:val="22"/>
        </w:rPr>
        <w:t xml:space="preserve"> scheduled to sunset on 1 October 2022 and the</w:t>
      </w:r>
      <w:r w:rsidR="009E0FF3" w:rsidRPr="004D2E18">
        <w:rPr>
          <w:sz w:val="22"/>
          <w:szCs w:val="22"/>
        </w:rPr>
        <w:t xml:space="preserve"> Chemotherapy Arrangement </w:t>
      </w:r>
      <w:r w:rsidR="005B705D">
        <w:rPr>
          <w:sz w:val="22"/>
          <w:szCs w:val="22"/>
        </w:rPr>
        <w:t xml:space="preserve">was scheduled to sunset </w:t>
      </w:r>
      <w:r w:rsidRPr="004D2E18">
        <w:rPr>
          <w:sz w:val="22"/>
          <w:szCs w:val="22"/>
        </w:rPr>
        <w:t>on 1 April 2024.</w:t>
      </w:r>
    </w:p>
    <w:p w14:paraId="77A2B32D" w14:textId="23FDE531" w:rsidR="009234FF" w:rsidRPr="004D2E18" w:rsidRDefault="009234FF" w:rsidP="009234FF">
      <w:pPr>
        <w:widowControl/>
        <w:spacing w:after="160" w:line="259" w:lineRule="auto"/>
        <w:rPr>
          <w:sz w:val="22"/>
          <w:szCs w:val="22"/>
        </w:rPr>
      </w:pPr>
    </w:p>
    <w:p w14:paraId="37C0C16E" w14:textId="77777777" w:rsidR="009234FF" w:rsidRPr="004D2E18" w:rsidRDefault="009234FF" w:rsidP="009234FF">
      <w:pPr>
        <w:widowControl/>
        <w:spacing w:line="276" w:lineRule="auto"/>
        <w:jc w:val="both"/>
        <w:rPr>
          <w:sz w:val="22"/>
          <w:szCs w:val="22"/>
        </w:rPr>
      </w:pPr>
      <w:r w:rsidRPr="004D2E18">
        <w:rPr>
          <w:b/>
          <w:sz w:val="22"/>
          <w:szCs w:val="22"/>
        </w:rPr>
        <w:t>PROCESS BEFORE DECLARATION WAS MADE</w:t>
      </w:r>
      <w:r w:rsidRPr="004D2E18">
        <w:rPr>
          <w:sz w:val="22"/>
          <w:szCs w:val="22"/>
        </w:rPr>
        <w:t xml:space="preserve"> </w:t>
      </w:r>
    </w:p>
    <w:p w14:paraId="78C96B01" w14:textId="77777777" w:rsidR="009234FF" w:rsidRPr="004D2E18" w:rsidRDefault="009234FF" w:rsidP="009234FF">
      <w:pPr>
        <w:widowControl/>
        <w:jc w:val="both"/>
        <w:rPr>
          <w:b/>
          <w:sz w:val="22"/>
          <w:szCs w:val="22"/>
          <w:lang w:val="en-AU"/>
        </w:rPr>
      </w:pPr>
    </w:p>
    <w:p w14:paraId="621B0198" w14:textId="77777777" w:rsidR="009234FF" w:rsidRPr="004D2E18" w:rsidRDefault="009234FF" w:rsidP="009234FF">
      <w:pPr>
        <w:pStyle w:val="Heading3"/>
        <w:spacing w:before="0" w:line="276" w:lineRule="auto"/>
        <w:contextualSpacing/>
        <w:jc w:val="both"/>
        <w:rPr>
          <w:rFonts w:ascii="Times New Roman" w:hAnsi="Times New Roman" w:cs="Times New Roman"/>
          <w:b/>
          <w:color w:val="auto"/>
          <w:sz w:val="22"/>
          <w:szCs w:val="22"/>
        </w:rPr>
      </w:pPr>
      <w:r w:rsidRPr="004D2E18">
        <w:rPr>
          <w:rFonts w:ascii="Times New Roman" w:hAnsi="Times New Roman" w:cs="Times New Roman"/>
          <w:b/>
          <w:color w:val="auto"/>
          <w:sz w:val="22"/>
          <w:szCs w:val="22"/>
        </w:rPr>
        <w:t>Regulatory impact analysis</w:t>
      </w:r>
    </w:p>
    <w:p w14:paraId="4119045A" w14:textId="77777777" w:rsidR="009234FF" w:rsidRPr="004D2E18" w:rsidRDefault="009234FF" w:rsidP="009234FF">
      <w:pPr>
        <w:rPr>
          <w:sz w:val="22"/>
          <w:szCs w:val="22"/>
          <w:lang w:val="en-AU"/>
        </w:rPr>
      </w:pPr>
    </w:p>
    <w:p w14:paraId="77C8CC41" w14:textId="77777777" w:rsidR="009234FF" w:rsidRPr="004D2E18" w:rsidRDefault="009234FF" w:rsidP="009234FF">
      <w:pPr>
        <w:spacing w:line="276" w:lineRule="auto"/>
        <w:contextualSpacing/>
        <w:jc w:val="both"/>
        <w:rPr>
          <w:sz w:val="22"/>
          <w:szCs w:val="22"/>
        </w:rPr>
      </w:pPr>
      <w:r w:rsidRPr="004D2E18">
        <w:rPr>
          <w:sz w:val="22"/>
          <w:szCs w:val="22"/>
        </w:rPr>
        <w:t xml:space="preserve">Sunset-altering declarations are machinery of government instruments, and are therefore not subject to the regulatory impact assessment requirements set out by the Office of Best Practice Regulation (OBPR). The OBPR reference for this standing exemption is ID 19486. </w:t>
      </w:r>
    </w:p>
    <w:p w14:paraId="6D50D877" w14:textId="77777777" w:rsidR="009234FF" w:rsidRPr="004D2E18" w:rsidRDefault="009234FF" w:rsidP="009234FF">
      <w:pPr>
        <w:contextualSpacing/>
        <w:jc w:val="both"/>
        <w:rPr>
          <w:sz w:val="22"/>
          <w:szCs w:val="22"/>
        </w:rPr>
      </w:pPr>
    </w:p>
    <w:p w14:paraId="518D3B00" w14:textId="77777777" w:rsidR="009234FF" w:rsidRPr="004D2E18" w:rsidRDefault="009234FF" w:rsidP="009234FF">
      <w:pPr>
        <w:pStyle w:val="Heading3"/>
        <w:spacing w:before="0" w:line="276" w:lineRule="auto"/>
        <w:contextualSpacing/>
        <w:jc w:val="both"/>
        <w:rPr>
          <w:rFonts w:ascii="Times New Roman" w:hAnsi="Times New Roman" w:cs="Times New Roman"/>
          <w:b/>
          <w:color w:val="auto"/>
          <w:sz w:val="22"/>
          <w:szCs w:val="22"/>
        </w:rPr>
      </w:pPr>
      <w:r w:rsidRPr="004D2E18">
        <w:rPr>
          <w:rFonts w:ascii="Times New Roman" w:hAnsi="Times New Roman" w:cs="Times New Roman"/>
          <w:b/>
          <w:color w:val="auto"/>
          <w:sz w:val="22"/>
          <w:szCs w:val="22"/>
        </w:rPr>
        <w:t xml:space="preserve">Consultation before making </w:t>
      </w:r>
    </w:p>
    <w:p w14:paraId="321D4CE3" w14:textId="77777777" w:rsidR="009234FF" w:rsidRPr="004D2E18" w:rsidRDefault="009234FF" w:rsidP="009234FF">
      <w:pPr>
        <w:rPr>
          <w:sz w:val="22"/>
          <w:szCs w:val="22"/>
          <w:lang w:val="en-AU"/>
        </w:rPr>
      </w:pPr>
    </w:p>
    <w:p w14:paraId="291B6ACC" w14:textId="77777777" w:rsidR="009234FF" w:rsidRPr="004D2E18" w:rsidRDefault="009234FF" w:rsidP="00242A77">
      <w:pPr>
        <w:pStyle w:val="Basetext"/>
        <w:spacing w:before="0" w:after="200"/>
        <w:contextualSpacing/>
      </w:pPr>
      <w:r w:rsidRPr="004D2E18">
        <w:t>Before the Declaration was issued, the Attorney</w:t>
      </w:r>
      <w:r w:rsidRPr="004D2E18">
        <w:noBreakHyphen/>
        <w:t xml:space="preserve">General considered the general obligation to consult imposed by section 17 of the Legislation Act. </w:t>
      </w:r>
    </w:p>
    <w:p w14:paraId="28941E19" w14:textId="53286D93" w:rsidR="00E023ED" w:rsidRDefault="005F3BA8" w:rsidP="005F3BA8">
      <w:pPr>
        <w:spacing w:line="276" w:lineRule="auto"/>
        <w:contextualSpacing/>
        <w:rPr>
          <w:sz w:val="22"/>
          <w:szCs w:val="22"/>
          <w:lang w:val="en-AU"/>
        </w:rPr>
      </w:pPr>
      <w:r w:rsidRPr="004D2E18">
        <w:rPr>
          <w:sz w:val="22"/>
          <w:szCs w:val="22"/>
        </w:rPr>
        <w:t xml:space="preserve">The National Health Instruments are made under the </w:t>
      </w:r>
      <w:r w:rsidRPr="004D2E18">
        <w:rPr>
          <w:i/>
          <w:sz w:val="22"/>
          <w:szCs w:val="22"/>
        </w:rPr>
        <w:t>National Health Act 1953</w:t>
      </w:r>
      <w:r w:rsidRPr="004D2E18">
        <w:rPr>
          <w:sz w:val="22"/>
          <w:szCs w:val="22"/>
        </w:rPr>
        <w:t xml:space="preserve"> (</w:t>
      </w:r>
      <w:proofErr w:type="spellStart"/>
      <w:r w:rsidRPr="004D2E18">
        <w:rPr>
          <w:sz w:val="22"/>
          <w:szCs w:val="22"/>
        </w:rPr>
        <w:t>Cth</w:t>
      </w:r>
      <w:proofErr w:type="spellEnd"/>
      <w:r w:rsidRPr="004D2E18">
        <w:rPr>
          <w:sz w:val="22"/>
          <w:szCs w:val="22"/>
        </w:rPr>
        <w:t xml:space="preserve">) (National Health Act). </w:t>
      </w:r>
      <w:r>
        <w:rPr>
          <w:sz w:val="22"/>
          <w:szCs w:val="22"/>
        </w:rPr>
        <w:t>The application for alignment has been informed by consultations with</w:t>
      </w:r>
      <w:r>
        <w:rPr>
          <w:sz w:val="22"/>
          <w:szCs w:val="22"/>
          <w:lang w:val="en-AU"/>
        </w:rPr>
        <w:t xml:space="preserve"> </w:t>
      </w:r>
      <w:r w:rsidR="00242A77">
        <w:rPr>
          <w:sz w:val="22"/>
          <w:szCs w:val="22"/>
          <w:lang w:val="en-AU"/>
        </w:rPr>
        <w:t xml:space="preserve">Services </w:t>
      </w:r>
      <w:r w:rsidR="00E023ED" w:rsidRPr="004B634F">
        <w:rPr>
          <w:sz w:val="22"/>
          <w:szCs w:val="22"/>
          <w:lang w:val="en-AU"/>
        </w:rPr>
        <w:t>Australia</w:t>
      </w:r>
      <w:r w:rsidR="00E023ED">
        <w:rPr>
          <w:sz w:val="22"/>
          <w:szCs w:val="22"/>
          <w:lang w:val="en-AU"/>
        </w:rPr>
        <w:t>, the</w:t>
      </w:r>
      <w:r>
        <w:rPr>
          <w:sz w:val="22"/>
          <w:szCs w:val="22"/>
          <w:lang w:val="en-AU"/>
        </w:rPr>
        <w:t xml:space="preserve"> </w:t>
      </w:r>
      <w:r w:rsidR="004B634F" w:rsidRPr="004B634F">
        <w:rPr>
          <w:sz w:val="22"/>
          <w:szCs w:val="22"/>
          <w:lang w:val="en-AU"/>
        </w:rPr>
        <w:t>Department</w:t>
      </w:r>
      <w:r w:rsidR="00242A77">
        <w:rPr>
          <w:sz w:val="22"/>
          <w:szCs w:val="22"/>
          <w:lang w:val="en-AU"/>
        </w:rPr>
        <w:t xml:space="preserve"> </w:t>
      </w:r>
      <w:r w:rsidR="004B634F" w:rsidRPr="004B634F">
        <w:rPr>
          <w:sz w:val="22"/>
          <w:szCs w:val="22"/>
          <w:lang w:val="en-AU"/>
        </w:rPr>
        <w:t>of Veterans’ Affairs</w:t>
      </w:r>
      <w:r w:rsidR="00242A77">
        <w:rPr>
          <w:sz w:val="22"/>
          <w:szCs w:val="22"/>
          <w:lang w:val="en-AU"/>
        </w:rPr>
        <w:t xml:space="preserve"> and the </w:t>
      </w:r>
      <w:r w:rsidR="004B634F" w:rsidRPr="004B634F">
        <w:rPr>
          <w:sz w:val="22"/>
          <w:szCs w:val="22"/>
          <w:lang w:val="en-AU"/>
        </w:rPr>
        <w:t>Australian Digital Health Agency</w:t>
      </w:r>
      <w:r w:rsidR="004531D4">
        <w:rPr>
          <w:sz w:val="22"/>
          <w:szCs w:val="22"/>
          <w:lang w:val="en-AU"/>
        </w:rPr>
        <w:t>.</w:t>
      </w:r>
    </w:p>
    <w:p w14:paraId="7B4AF9AC" w14:textId="77777777" w:rsidR="00E023ED" w:rsidRDefault="00E023ED" w:rsidP="005F3BA8">
      <w:pPr>
        <w:spacing w:line="276" w:lineRule="auto"/>
        <w:contextualSpacing/>
        <w:rPr>
          <w:sz w:val="22"/>
          <w:szCs w:val="22"/>
          <w:lang w:val="en-AU"/>
        </w:rPr>
      </w:pPr>
    </w:p>
    <w:p w14:paraId="34798DB9" w14:textId="7F5709E9" w:rsidR="00E023ED" w:rsidRDefault="00886C5B" w:rsidP="005F3BA8">
      <w:pPr>
        <w:spacing w:line="276" w:lineRule="auto"/>
        <w:contextualSpacing/>
        <w:rPr>
          <w:sz w:val="22"/>
          <w:szCs w:val="22"/>
          <w:lang w:val="en-AU"/>
        </w:rPr>
      </w:pPr>
      <w:r>
        <w:rPr>
          <w:sz w:val="22"/>
          <w:szCs w:val="22"/>
          <w:lang w:val="en-AU"/>
        </w:rPr>
        <w:t>In conducting the</w:t>
      </w:r>
      <w:r w:rsidR="00E023ED">
        <w:rPr>
          <w:sz w:val="22"/>
          <w:szCs w:val="22"/>
          <w:lang w:val="en-AU"/>
        </w:rPr>
        <w:t xml:space="preserve"> thematic review, </w:t>
      </w:r>
      <w:r w:rsidR="005B705D" w:rsidRPr="004D2E18">
        <w:rPr>
          <w:sz w:val="22"/>
          <w:szCs w:val="22"/>
        </w:rPr>
        <w:t xml:space="preserve">the Department of Health and Aged Care </w:t>
      </w:r>
      <w:r w:rsidR="00E023ED">
        <w:rPr>
          <w:sz w:val="22"/>
          <w:szCs w:val="22"/>
          <w:lang w:val="en-AU"/>
        </w:rPr>
        <w:t xml:space="preserve">will consult </w:t>
      </w:r>
      <w:r w:rsidR="00E023ED" w:rsidRPr="00E023ED">
        <w:rPr>
          <w:sz w:val="22"/>
          <w:szCs w:val="22"/>
          <w:lang w:val="en-AU"/>
        </w:rPr>
        <w:t>Services Australia, the Department of Veterans Affairs, Medicines Australia,</w:t>
      </w:r>
      <w:r>
        <w:rPr>
          <w:sz w:val="22"/>
          <w:szCs w:val="22"/>
          <w:lang w:val="en-AU"/>
        </w:rPr>
        <w:t xml:space="preserve"> the</w:t>
      </w:r>
      <w:r w:rsidR="00E023ED" w:rsidRPr="00E023ED">
        <w:rPr>
          <w:sz w:val="22"/>
          <w:szCs w:val="22"/>
          <w:lang w:val="en-AU"/>
        </w:rPr>
        <w:t xml:space="preserve"> Generic and Biosimilar Medicines Association,</w:t>
      </w:r>
      <w:r>
        <w:rPr>
          <w:sz w:val="22"/>
          <w:szCs w:val="22"/>
          <w:lang w:val="en-AU"/>
        </w:rPr>
        <w:t xml:space="preserve"> the</w:t>
      </w:r>
      <w:r w:rsidR="00E023ED" w:rsidRPr="00E023ED">
        <w:rPr>
          <w:sz w:val="22"/>
          <w:szCs w:val="22"/>
          <w:lang w:val="en-AU"/>
        </w:rPr>
        <w:t xml:space="preserve"> Pharmacy Guild of Australia, </w:t>
      </w:r>
      <w:r>
        <w:rPr>
          <w:sz w:val="22"/>
          <w:szCs w:val="22"/>
          <w:lang w:val="en-AU"/>
        </w:rPr>
        <w:t xml:space="preserve">the </w:t>
      </w:r>
      <w:r w:rsidR="00E023ED" w:rsidRPr="00E023ED">
        <w:rPr>
          <w:sz w:val="22"/>
          <w:szCs w:val="22"/>
          <w:lang w:val="en-AU"/>
        </w:rPr>
        <w:t>Pharmaceutical Society of Australia as well as key patient interest groups.</w:t>
      </w:r>
    </w:p>
    <w:p w14:paraId="1EE51F8A" w14:textId="77777777" w:rsidR="00E023ED" w:rsidRDefault="00E023ED" w:rsidP="005F3BA8">
      <w:pPr>
        <w:spacing w:line="276" w:lineRule="auto"/>
        <w:contextualSpacing/>
        <w:rPr>
          <w:sz w:val="22"/>
          <w:szCs w:val="22"/>
          <w:lang w:val="en-AU"/>
        </w:rPr>
      </w:pPr>
    </w:p>
    <w:p w14:paraId="66D8B526" w14:textId="11BDF3B6" w:rsidR="009234FF" w:rsidRPr="004D2E18" w:rsidRDefault="009234FF" w:rsidP="009234FF">
      <w:pPr>
        <w:pStyle w:val="Heading3"/>
        <w:spacing w:before="0" w:line="276" w:lineRule="auto"/>
        <w:contextualSpacing/>
        <w:jc w:val="both"/>
        <w:rPr>
          <w:rFonts w:ascii="Times New Roman" w:hAnsi="Times New Roman" w:cs="Times New Roman"/>
          <w:b/>
          <w:color w:val="auto"/>
          <w:sz w:val="22"/>
          <w:szCs w:val="22"/>
        </w:rPr>
      </w:pPr>
      <w:r w:rsidRPr="004D2E18">
        <w:rPr>
          <w:rFonts w:ascii="Times New Roman" w:hAnsi="Times New Roman" w:cs="Times New Roman"/>
          <w:b/>
          <w:color w:val="auto"/>
          <w:sz w:val="22"/>
          <w:szCs w:val="22"/>
        </w:rPr>
        <w:t xml:space="preserve">Statutory preconditions relevant to the </w:t>
      </w:r>
      <w:r w:rsidR="009E1620">
        <w:rPr>
          <w:rFonts w:ascii="Times New Roman" w:hAnsi="Times New Roman" w:cs="Times New Roman"/>
          <w:b/>
          <w:color w:val="auto"/>
          <w:sz w:val="22"/>
          <w:szCs w:val="22"/>
        </w:rPr>
        <w:t>D</w:t>
      </w:r>
      <w:r w:rsidR="00F377CF">
        <w:rPr>
          <w:rFonts w:ascii="Times New Roman" w:hAnsi="Times New Roman" w:cs="Times New Roman"/>
          <w:b/>
          <w:color w:val="auto"/>
          <w:sz w:val="22"/>
          <w:szCs w:val="22"/>
        </w:rPr>
        <w:t>eclaration</w:t>
      </w:r>
    </w:p>
    <w:p w14:paraId="22AA6500" w14:textId="77777777" w:rsidR="009234FF" w:rsidRPr="004D2E18" w:rsidRDefault="009234FF" w:rsidP="009234FF">
      <w:pPr>
        <w:rPr>
          <w:sz w:val="22"/>
          <w:szCs w:val="22"/>
          <w:lang w:val="en-AU"/>
        </w:rPr>
      </w:pPr>
    </w:p>
    <w:p w14:paraId="7DF1690B" w14:textId="77777777" w:rsidR="009234FF" w:rsidRPr="004D2E18" w:rsidRDefault="009234FF" w:rsidP="009234FF">
      <w:pPr>
        <w:spacing w:line="276" w:lineRule="auto"/>
        <w:jc w:val="both"/>
        <w:rPr>
          <w:b/>
          <w:sz w:val="22"/>
          <w:szCs w:val="22"/>
        </w:rPr>
      </w:pPr>
      <w:r w:rsidRPr="004D2E18">
        <w:rPr>
          <w:sz w:val="22"/>
          <w:szCs w:val="22"/>
        </w:rPr>
        <w:t xml:space="preserve">In order to align the sunsetting day of two or more instruments, the Attorney-General must be satisfied on written application from the relevant rule-maker/s that the statutory conditions in paragraphs 51A(1)(a) and (b) of the Legislation Act are met. The statutory conditions are that: </w:t>
      </w:r>
    </w:p>
    <w:p w14:paraId="3157C61B" w14:textId="77777777" w:rsidR="009234FF" w:rsidRPr="004D2E18" w:rsidRDefault="009234FF" w:rsidP="009234FF">
      <w:pPr>
        <w:pStyle w:val="ListParagraph"/>
        <w:numPr>
          <w:ilvl w:val="0"/>
          <w:numId w:val="2"/>
        </w:numPr>
        <w:spacing w:line="276" w:lineRule="auto"/>
        <w:jc w:val="both"/>
        <w:rPr>
          <w:b/>
          <w:bCs/>
          <w:color w:val="000000"/>
          <w:sz w:val="22"/>
          <w:szCs w:val="22"/>
          <w:lang w:eastAsia="en-AU"/>
        </w:rPr>
      </w:pPr>
      <w:r w:rsidRPr="004D2E18">
        <w:rPr>
          <w:color w:val="000000"/>
          <w:sz w:val="22"/>
          <w:szCs w:val="22"/>
          <w:lang w:eastAsia="en-AU"/>
        </w:rPr>
        <w:t>all the instruments to be reviewed:</w:t>
      </w:r>
    </w:p>
    <w:p w14:paraId="0F57BE12" w14:textId="77777777" w:rsidR="009234FF" w:rsidRPr="004D2E18" w:rsidRDefault="009234FF" w:rsidP="009234FF">
      <w:pPr>
        <w:pStyle w:val="ListParagraph"/>
        <w:numPr>
          <w:ilvl w:val="1"/>
          <w:numId w:val="2"/>
        </w:numPr>
        <w:spacing w:line="276" w:lineRule="auto"/>
        <w:jc w:val="both"/>
        <w:rPr>
          <w:b/>
          <w:bCs/>
          <w:color w:val="000000"/>
          <w:sz w:val="22"/>
          <w:szCs w:val="22"/>
          <w:lang w:eastAsia="en-AU"/>
        </w:rPr>
      </w:pPr>
      <w:r w:rsidRPr="004D2E18">
        <w:rPr>
          <w:color w:val="000000"/>
          <w:sz w:val="22"/>
          <w:szCs w:val="22"/>
          <w:lang w:eastAsia="en-AU"/>
        </w:rPr>
        <w:t xml:space="preserve">would (in the absence of a declaration made under section 51A of the Legislation Act) be repealed by section 50 </w:t>
      </w:r>
      <w:bookmarkStart w:id="0" w:name="_GoBack"/>
      <w:bookmarkEnd w:id="0"/>
      <w:r w:rsidRPr="004D2E18">
        <w:rPr>
          <w:color w:val="000000"/>
          <w:sz w:val="22"/>
          <w:szCs w:val="22"/>
          <w:lang w:eastAsia="en-AU"/>
        </w:rPr>
        <w:t>or 51 of the Legislation Act; and </w:t>
      </w:r>
    </w:p>
    <w:p w14:paraId="34237E39" w14:textId="77777777" w:rsidR="009234FF" w:rsidRPr="004D2E18" w:rsidRDefault="009234FF" w:rsidP="009234FF">
      <w:pPr>
        <w:pStyle w:val="ListParagraph"/>
        <w:numPr>
          <w:ilvl w:val="1"/>
          <w:numId w:val="2"/>
        </w:numPr>
        <w:spacing w:line="276" w:lineRule="auto"/>
        <w:jc w:val="both"/>
        <w:rPr>
          <w:b/>
          <w:bCs/>
          <w:color w:val="000000"/>
          <w:sz w:val="22"/>
          <w:szCs w:val="22"/>
          <w:lang w:eastAsia="en-AU"/>
        </w:rPr>
      </w:pPr>
      <w:r w:rsidRPr="004D2E18">
        <w:rPr>
          <w:color w:val="000000"/>
          <w:sz w:val="22"/>
          <w:szCs w:val="22"/>
          <w:lang w:eastAsia="en-AU"/>
        </w:rPr>
        <w:t>are or will be the subject of a single review; and</w:t>
      </w:r>
    </w:p>
    <w:p w14:paraId="50AE27B3" w14:textId="77777777" w:rsidR="009234FF" w:rsidRPr="004D2E18" w:rsidRDefault="009234FF" w:rsidP="009234FF">
      <w:pPr>
        <w:pStyle w:val="ListParagraph"/>
        <w:numPr>
          <w:ilvl w:val="0"/>
          <w:numId w:val="2"/>
        </w:numPr>
        <w:spacing w:line="276" w:lineRule="auto"/>
        <w:jc w:val="both"/>
        <w:rPr>
          <w:color w:val="000000"/>
          <w:sz w:val="22"/>
          <w:szCs w:val="22"/>
          <w:lang w:eastAsia="en-AU"/>
        </w:rPr>
      </w:pPr>
      <w:r w:rsidRPr="004D2E18">
        <w:rPr>
          <w:color w:val="000000"/>
          <w:sz w:val="22"/>
          <w:szCs w:val="22"/>
          <w:lang w:eastAsia="en-AU"/>
        </w:rPr>
        <w:t>the making of the declaration will facilitate the undertaking of the review or the implementation of its findings. </w:t>
      </w:r>
    </w:p>
    <w:p w14:paraId="4435D372" w14:textId="77777777" w:rsidR="009234FF" w:rsidRPr="004D2E18" w:rsidRDefault="009234FF" w:rsidP="009234FF">
      <w:pPr>
        <w:spacing w:line="276" w:lineRule="auto"/>
        <w:jc w:val="both"/>
        <w:rPr>
          <w:b/>
          <w:bCs/>
          <w:color w:val="000000"/>
          <w:sz w:val="22"/>
          <w:szCs w:val="22"/>
          <w:lang w:eastAsia="en-AU"/>
        </w:rPr>
      </w:pPr>
    </w:p>
    <w:p w14:paraId="5FFD98F3" w14:textId="77777777" w:rsidR="009234FF" w:rsidRPr="004D2E18" w:rsidRDefault="009234FF" w:rsidP="009234FF">
      <w:pPr>
        <w:spacing w:line="276" w:lineRule="auto"/>
        <w:jc w:val="both"/>
        <w:rPr>
          <w:b/>
          <w:sz w:val="22"/>
          <w:szCs w:val="22"/>
        </w:rPr>
      </w:pPr>
      <w:r w:rsidRPr="004D2E18">
        <w:rPr>
          <w:sz w:val="22"/>
          <w:szCs w:val="22"/>
        </w:rPr>
        <w:t xml:space="preserve">In terms of process, the Legislation Act requires: </w:t>
      </w:r>
    </w:p>
    <w:p w14:paraId="1EE188A2" w14:textId="77777777" w:rsidR="009234FF" w:rsidRPr="004D2E18" w:rsidRDefault="009234FF" w:rsidP="009234FF">
      <w:pPr>
        <w:pStyle w:val="ListParagraph"/>
        <w:numPr>
          <w:ilvl w:val="0"/>
          <w:numId w:val="3"/>
        </w:numPr>
        <w:spacing w:line="276" w:lineRule="auto"/>
        <w:jc w:val="both"/>
        <w:rPr>
          <w:b/>
          <w:sz w:val="22"/>
          <w:szCs w:val="22"/>
        </w:rPr>
      </w:pPr>
      <w:r w:rsidRPr="004D2E18">
        <w:rPr>
          <w:sz w:val="22"/>
          <w:szCs w:val="22"/>
        </w:rPr>
        <w:t xml:space="preserve">the </w:t>
      </w:r>
      <w:r w:rsidRPr="004D2E18">
        <w:rPr>
          <w:color w:val="000000"/>
          <w:sz w:val="22"/>
          <w:szCs w:val="22"/>
          <w:lang w:eastAsia="en-AU"/>
        </w:rPr>
        <w:t>responsible</w:t>
      </w:r>
      <w:r w:rsidRPr="004D2E18">
        <w:rPr>
          <w:sz w:val="22"/>
          <w:szCs w:val="22"/>
        </w:rPr>
        <w:t xml:space="preserve"> rule-maker/s to apply to the Attorney-General</w:t>
      </w:r>
    </w:p>
    <w:p w14:paraId="4D4366F9" w14:textId="77777777" w:rsidR="009234FF" w:rsidRPr="004D2E18" w:rsidRDefault="009234FF" w:rsidP="009234FF">
      <w:pPr>
        <w:pStyle w:val="ListParagraph"/>
        <w:numPr>
          <w:ilvl w:val="0"/>
          <w:numId w:val="3"/>
        </w:numPr>
        <w:spacing w:line="276" w:lineRule="auto"/>
        <w:jc w:val="both"/>
        <w:rPr>
          <w:b/>
          <w:sz w:val="22"/>
          <w:szCs w:val="22"/>
        </w:rPr>
      </w:pPr>
      <w:r w:rsidRPr="004D2E18">
        <w:rPr>
          <w:sz w:val="22"/>
          <w:szCs w:val="22"/>
        </w:rPr>
        <w:t xml:space="preserve">the Attorney-General to be satisfied of the statutory conditions, and </w:t>
      </w:r>
    </w:p>
    <w:p w14:paraId="2DD23A2C" w14:textId="77777777" w:rsidR="009234FF" w:rsidRPr="004D2E18" w:rsidRDefault="009234FF" w:rsidP="009234FF">
      <w:pPr>
        <w:pStyle w:val="ListParagraph"/>
        <w:numPr>
          <w:ilvl w:val="0"/>
          <w:numId w:val="3"/>
        </w:numPr>
        <w:spacing w:line="276" w:lineRule="auto"/>
        <w:jc w:val="both"/>
        <w:rPr>
          <w:b/>
          <w:sz w:val="22"/>
          <w:szCs w:val="22"/>
        </w:rPr>
      </w:pPr>
      <w:r w:rsidRPr="004D2E18">
        <w:rPr>
          <w:sz w:val="22"/>
          <w:szCs w:val="22"/>
        </w:rPr>
        <w:t xml:space="preserve">the Attorney-General to make a declaration, which is a legislative instrument and subject to disallowance. </w:t>
      </w:r>
    </w:p>
    <w:p w14:paraId="405B8A4E" w14:textId="77777777" w:rsidR="009234FF" w:rsidRPr="004D2E18" w:rsidRDefault="009234FF" w:rsidP="009234FF">
      <w:pPr>
        <w:spacing w:line="276" w:lineRule="auto"/>
        <w:contextualSpacing/>
        <w:jc w:val="both"/>
        <w:rPr>
          <w:sz w:val="22"/>
          <w:szCs w:val="22"/>
        </w:rPr>
      </w:pPr>
    </w:p>
    <w:p w14:paraId="12D5A0B7" w14:textId="1AAF9795" w:rsidR="009234FF" w:rsidRPr="004D2E18" w:rsidRDefault="009234FF" w:rsidP="001A4D45">
      <w:pPr>
        <w:spacing w:line="276" w:lineRule="auto"/>
        <w:contextualSpacing/>
        <w:jc w:val="both"/>
        <w:rPr>
          <w:sz w:val="22"/>
          <w:szCs w:val="22"/>
        </w:rPr>
      </w:pPr>
      <w:r w:rsidRPr="004D2E18">
        <w:rPr>
          <w:sz w:val="22"/>
          <w:szCs w:val="22"/>
        </w:rPr>
        <w:t>For the purposes of section 6 of the Legislation Act</w:t>
      </w:r>
      <w:r w:rsidR="009E0FF3" w:rsidRPr="004D2E18">
        <w:rPr>
          <w:sz w:val="22"/>
          <w:szCs w:val="22"/>
        </w:rPr>
        <w:t xml:space="preserve">, </w:t>
      </w:r>
      <w:r w:rsidRPr="004D2E18">
        <w:rPr>
          <w:sz w:val="22"/>
          <w:szCs w:val="22"/>
        </w:rPr>
        <w:t xml:space="preserve">the </w:t>
      </w:r>
      <w:r w:rsidR="009E0FF3" w:rsidRPr="004D2E18">
        <w:rPr>
          <w:sz w:val="22"/>
          <w:szCs w:val="22"/>
        </w:rPr>
        <w:t xml:space="preserve">Minister </w:t>
      </w:r>
      <w:r w:rsidR="00C11AD1">
        <w:rPr>
          <w:sz w:val="22"/>
          <w:szCs w:val="22"/>
        </w:rPr>
        <w:t>for Health and Aged Care</w:t>
      </w:r>
      <w:r w:rsidRPr="004D2E18">
        <w:rPr>
          <w:sz w:val="22"/>
          <w:szCs w:val="22"/>
        </w:rPr>
        <w:t xml:space="preserve">, </w:t>
      </w:r>
      <w:r w:rsidR="009E0FF3" w:rsidRPr="004D2E18">
        <w:rPr>
          <w:sz w:val="22"/>
          <w:szCs w:val="22"/>
        </w:rPr>
        <w:t>the Hon</w:t>
      </w:r>
      <w:r w:rsidR="00F377CF">
        <w:rPr>
          <w:sz w:val="22"/>
          <w:szCs w:val="22"/>
        </w:rPr>
        <w:t> </w:t>
      </w:r>
      <w:r w:rsidR="009E0FF3" w:rsidRPr="004D2E18">
        <w:rPr>
          <w:sz w:val="22"/>
          <w:szCs w:val="22"/>
        </w:rPr>
        <w:t>Mark Butler MP</w:t>
      </w:r>
      <w:r w:rsidRPr="004D2E18">
        <w:rPr>
          <w:sz w:val="22"/>
          <w:szCs w:val="22"/>
        </w:rPr>
        <w:t>, is the rule maker of the</w:t>
      </w:r>
      <w:r w:rsidR="009E0FF3" w:rsidRPr="004D2E18">
        <w:rPr>
          <w:sz w:val="22"/>
          <w:szCs w:val="22"/>
        </w:rPr>
        <w:t xml:space="preserve"> </w:t>
      </w:r>
      <w:r w:rsidR="004C4FA0" w:rsidRPr="004D2E18">
        <w:rPr>
          <w:sz w:val="22"/>
          <w:szCs w:val="22"/>
        </w:rPr>
        <w:t>National Health</w:t>
      </w:r>
      <w:r w:rsidR="009E0FF3" w:rsidRPr="004D2E18">
        <w:rPr>
          <w:sz w:val="22"/>
          <w:szCs w:val="22"/>
        </w:rPr>
        <w:t xml:space="preserve"> Instruments.</w:t>
      </w:r>
    </w:p>
    <w:p w14:paraId="28833FCF" w14:textId="5BADF6C4" w:rsidR="009234FF" w:rsidRPr="004D2E18" w:rsidRDefault="009234FF" w:rsidP="00086F79">
      <w:pPr>
        <w:spacing w:line="276" w:lineRule="auto"/>
        <w:contextualSpacing/>
        <w:jc w:val="both"/>
      </w:pPr>
    </w:p>
    <w:p w14:paraId="4E33ABEF" w14:textId="5D56FBC7" w:rsidR="009234FF" w:rsidRPr="004D2E18" w:rsidRDefault="00E32D04" w:rsidP="001A4D45">
      <w:pPr>
        <w:spacing w:line="276" w:lineRule="auto"/>
        <w:contextualSpacing/>
        <w:jc w:val="both"/>
        <w:rPr>
          <w:sz w:val="22"/>
          <w:szCs w:val="22"/>
        </w:rPr>
      </w:pPr>
      <w:r w:rsidRPr="004D2E18">
        <w:rPr>
          <w:sz w:val="22"/>
          <w:szCs w:val="22"/>
        </w:rPr>
        <w:t>Minister Butler</w:t>
      </w:r>
      <w:r w:rsidR="009234FF" w:rsidRPr="004D2E18">
        <w:rPr>
          <w:sz w:val="22"/>
          <w:szCs w:val="22"/>
        </w:rPr>
        <w:t xml:space="preserve"> provided a</w:t>
      </w:r>
      <w:r w:rsidR="001A4D45">
        <w:rPr>
          <w:sz w:val="22"/>
          <w:szCs w:val="22"/>
        </w:rPr>
        <w:t xml:space="preserve"> written</w:t>
      </w:r>
      <w:r w:rsidR="009234FF" w:rsidRPr="004D2E18">
        <w:rPr>
          <w:sz w:val="22"/>
          <w:szCs w:val="22"/>
        </w:rPr>
        <w:t xml:space="preserve"> application to the Attorney</w:t>
      </w:r>
      <w:r w:rsidR="009234FF" w:rsidRPr="004D2E18">
        <w:rPr>
          <w:sz w:val="22"/>
          <w:szCs w:val="22"/>
        </w:rPr>
        <w:noBreakHyphen/>
        <w:t xml:space="preserve">General seeking an alignment of the relevant sunsetting days for </w:t>
      </w:r>
      <w:r w:rsidR="00283CED" w:rsidRPr="004D2E18">
        <w:rPr>
          <w:sz w:val="22"/>
          <w:szCs w:val="22"/>
        </w:rPr>
        <w:t xml:space="preserve">the </w:t>
      </w:r>
      <w:r w:rsidR="004C4FA0" w:rsidRPr="004D2E18">
        <w:rPr>
          <w:sz w:val="22"/>
          <w:szCs w:val="22"/>
        </w:rPr>
        <w:t>National Health</w:t>
      </w:r>
      <w:r w:rsidR="009234FF" w:rsidRPr="004D2E18">
        <w:rPr>
          <w:sz w:val="22"/>
          <w:szCs w:val="22"/>
        </w:rPr>
        <w:t xml:space="preserve"> Instruments. On consideration of </w:t>
      </w:r>
      <w:r w:rsidR="00283CED" w:rsidRPr="004D2E18">
        <w:rPr>
          <w:sz w:val="22"/>
          <w:szCs w:val="22"/>
        </w:rPr>
        <w:t>this</w:t>
      </w:r>
      <w:r w:rsidR="009234FF" w:rsidRPr="004D2E18">
        <w:rPr>
          <w:sz w:val="22"/>
          <w:szCs w:val="22"/>
        </w:rPr>
        <w:t xml:space="preserve"> application, the Attorney</w:t>
      </w:r>
      <w:r w:rsidR="009234FF" w:rsidRPr="004D2E18">
        <w:rPr>
          <w:sz w:val="22"/>
          <w:szCs w:val="22"/>
        </w:rPr>
        <w:noBreakHyphen/>
        <w:t>General was satisfied that the criteria in paragraphs 51A(1)(a) and (b) of the Legislation Act were met.</w:t>
      </w:r>
    </w:p>
    <w:p w14:paraId="2F57D175" w14:textId="77777777" w:rsidR="009234FF" w:rsidRPr="004D2E18" w:rsidRDefault="009234FF" w:rsidP="009234FF">
      <w:pPr>
        <w:contextualSpacing/>
        <w:jc w:val="both"/>
        <w:rPr>
          <w:sz w:val="22"/>
          <w:szCs w:val="22"/>
        </w:rPr>
      </w:pPr>
    </w:p>
    <w:p w14:paraId="570B42FB" w14:textId="3F3B562C" w:rsidR="009234FF" w:rsidRPr="004D2E18" w:rsidRDefault="009234FF" w:rsidP="009234FF">
      <w:pPr>
        <w:pStyle w:val="Heading3"/>
        <w:tabs>
          <w:tab w:val="left" w:pos="7335"/>
        </w:tabs>
        <w:spacing w:before="0" w:line="276" w:lineRule="auto"/>
        <w:contextualSpacing/>
        <w:jc w:val="both"/>
        <w:rPr>
          <w:rFonts w:ascii="Times New Roman" w:hAnsi="Times New Roman" w:cs="Times New Roman"/>
          <w:b/>
          <w:color w:val="auto"/>
          <w:sz w:val="22"/>
          <w:szCs w:val="22"/>
        </w:rPr>
      </w:pPr>
      <w:r w:rsidRPr="004D2E18">
        <w:rPr>
          <w:rFonts w:ascii="Times New Roman" w:hAnsi="Times New Roman" w:cs="Times New Roman"/>
          <w:b/>
          <w:color w:val="auto"/>
          <w:sz w:val="22"/>
          <w:szCs w:val="22"/>
        </w:rPr>
        <w:t xml:space="preserve">Statement of Reasons for issuing of the </w:t>
      </w:r>
      <w:r w:rsidR="00F377CF">
        <w:rPr>
          <w:rFonts w:ascii="Times New Roman" w:hAnsi="Times New Roman" w:cs="Times New Roman"/>
          <w:b/>
          <w:color w:val="auto"/>
          <w:sz w:val="22"/>
          <w:szCs w:val="22"/>
        </w:rPr>
        <w:t>Declaration</w:t>
      </w:r>
    </w:p>
    <w:p w14:paraId="661569FA" w14:textId="77777777" w:rsidR="009234FF" w:rsidRPr="004D2E18" w:rsidRDefault="009234FF" w:rsidP="009234FF">
      <w:pPr>
        <w:rPr>
          <w:sz w:val="22"/>
          <w:szCs w:val="22"/>
          <w:lang w:val="en-AU"/>
        </w:rPr>
      </w:pPr>
    </w:p>
    <w:p w14:paraId="5E8F9102" w14:textId="6265B3A5" w:rsidR="009234FF" w:rsidRPr="004D2E18" w:rsidRDefault="009234FF" w:rsidP="009234FF">
      <w:pPr>
        <w:spacing w:after="200" w:line="276" w:lineRule="auto"/>
        <w:contextualSpacing/>
        <w:jc w:val="both"/>
        <w:rPr>
          <w:color w:val="000000"/>
          <w:sz w:val="22"/>
          <w:szCs w:val="22"/>
        </w:rPr>
      </w:pPr>
      <w:r w:rsidRPr="004D2E18">
        <w:rPr>
          <w:color w:val="000000"/>
          <w:sz w:val="22"/>
          <w:szCs w:val="22"/>
        </w:rPr>
        <w:t>For the purposes of subsection 51</w:t>
      </w:r>
      <w:proofErr w:type="gramStart"/>
      <w:r w:rsidRPr="004D2E18">
        <w:rPr>
          <w:color w:val="000000"/>
          <w:sz w:val="22"/>
          <w:szCs w:val="22"/>
        </w:rPr>
        <w:t>A(</w:t>
      </w:r>
      <w:proofErr w:type="gramEnd"/>
      <w:r w:rsidRPr="004D2E18">
        <w:rPr>
          <w:color w:val="000000"/>
          <w:sz w:val="22"/>
          <w:szCs w:val="22"/>
        </w:rPr>
        <w:t xml:space="preserve">4) of the Legislation Act, this section sets out the statement of reasons for the issue of the </w:t>
      </w:r>
      <w:r w:rsidR="00F377CF">
        <w:rPr>
          <w:color w:val="000000"/>
          <w:sz w:val="22"/>
          <w:szCs w:val="22"/>
        </w:rPr>
        <w:t>declaration</w:t>
      </w:r>
      <w:r w:rsidRPr="004D2E18">
        <w:rPr>
          <w:color w:val="000000"/>
          <w:sz w:val="22"/>
          <w:szCs w:val="22"/>
        </w:rPr>
        <w:t xml:space="preserve">. </w:t>
      </w:r>
    </w:p>
    <w:p w14:paraId="44BAD6DD" w14:textId="77777777" w:rsidR="009234FF" w:rsidRPr="004D2E18" w:rsidRDefault="009234FF" w:rsidP="009234FF">
      <w:pPr>
        <w:spacing w:after="200" w:line="276" w:lineRule="auto"/>
        <w:contextualSpacing/>
        <w:jc w:val="both"/>
        <w:rPr>
          <w:color w:val="000000"/>
          <w:sz w:val="22"/>
          <w:szCs w:val="22"/>
        </w:rPr>
      </w:pPr>
    </w:p>
    <w:p w14:paraId="37DF1637" w14:textId="656E8DEF" w:rsidR="004D2E18" w:rsidRPr="00C11AD1" w:rsidRDefault="009234FF" w:rsidP="004D2E18">
      <w:pPr>
        <w:spacing w:line="276" w:lineRule="auto"/>
        <w:contextualSpacing/>
        <w:jc w:val="both"/>
        <w:rPr>
          <w:sz w:val="22"/>
          <w:szCs w:val="22"/>
        </w:rPr>
      </w:pPr>
      <w:r w:rsidRPr="004D2E18">
        <w:rPr>
          <w:sz w:val="22"/>
          <w:szCs w:val="22"/>
        </w:rPr>
        <w:t xml:space="preserve">The Declaration aligns the sunsetting dates for the </w:t>
      </w:r>
      <w:r w:rsidR="007C67E2" w:rsidRPr="004D2E18">
        <w:rPr>
          <w:sz w:val="22"/>
          <w:szCs w:val="22"/>
        </w:rPr>
        <w:t xml:space="preserve">National Health </w:t>
      </w:r>
      <w:r w:rsidRPr="004D2E18">
        <w:rPr>
          <w:sz w:val="22"/>
          <w:szCs w:val="22"/>
        </w:rPr>
        <w:t xml:space="preserve">Instruments to enable the </w:t>
      </w:r>
      <w:r w:rsidR="00283CED" w:rsidRPr="004D2E18">
        <w:rPr>
          <w:sz w:val="22"/>
          <w:szCs w:val="22"/>
        </w:rPr>
        <w:t>Department</w:t>
      </w:r>
      <w:r w:rsidR="00C13605">
        <w:rPr>
          <w:sz w:val="22"/>
          <w:szCs w:val="22"/>
        </w:rPr>
        <w:t xml:space="preserve"> of Health and Aged Care</w:t>
      </w:r>
      <w:r w:rsidRPr="004D2E18">
        <w:rPr>
          <w:sz w:val="22"/>
          <w:szCs w:val="22"/>
        </w:rPr>
        <w:t xml:space="preserve"> to conduct a thematic review of the instruments. </w:t>
      </w:r>
      <w:r w:rsidR="00C11AD1" w:rsidRPr="004D2E18">
        <w:rPr>
          <w:sz w:val="22"/>
          <w:szCs w:val="22"/>
        </w:rPr>
        <w:t xml:space="preserve">These instruments are key, and otherwise representative, components of Australia’s Pharmaceutical Benefits Scheme (PBS). </w:t>
      </w:r>
      <w:r w:rsidR="00C11AD1">
        <w:rPr>
          <w:sz w:val="22"/>
          <w:szCs w:val="22"/>
        </w:rPr>
        <w:t xml:space="preserve"> </w:t>
      </w:r>
      <w:r w:rsidRPr="004D2E18">
        <w:rPr>
          <w:sz w:val="22"/>
          <w:szCs w:val="22"/>
        </w:rPr>
        <w:t xml:space="preserve">The </w:t>
      </w:r>
      <w:r w:rsidR="00C11AD1">
        <w:rPr>
          <w:sz w:val="22"/>
          <w:szCs w:val="22"/>
        </w:rPr>
        <w:t xml:space="preserve">PBS </w:t>
      </w:r>
      <w:r w:rsidR="004D2E18" w:rsidRPr="004D2E18">
        <w:rPr>
          <w:sz w:val="22"/>
          <w:szCs w:val="22"/>
        </w:rPr>
        <w:t xml:space="preserve">is a central feature of Medicare and provides the basis for timely, reliable and affordable access by Australians to necessary medicines. The </w:t>
      </w:r>
      <w:r w:rsidR="009740AA">
        <w:rPr>
          <w:sz w:val="22"/>
          <w:szCs w:val="22"/>
        </w:rPr>
        <w:t>National Health</w:t>
      </w:r>
      <w:r w:rsidR="004D2E18" w:rsidRPr="004D2E18">
        <w:rPr>
          <w:sz w:val="22"/>
          <w:szCs w:val="22"/>
        </w:rPr>
        <w:t xml:space="preserve"> </w:t>
      </w:r>
      <w:r w:rsidR="009740AA">
        <w:rPr>
          <w:sz w:val="22"/>
          <w:szCs w:val="22"/>
        </w:rPr>
        <w:t>I</w:t>
      </w:r>
      <w:r w:rsidR="004D2E18" w:rsidRPr="004D2E18">
        <w:rPr>
          <w:sz w:val="22"/>
          <w:szCs w:val="22"/>
        </w:rPr>
        <w:t>nstruments support the administration of the PBS</w:t>
      </w:r>
      <w:r w:rsidR="004D2E18" w:rsidRPr="00086F79">
        <w:rPr>
          <w:sz w:val="22"/>
          <w:szCs w:val="22"/>
        </w:rPr>
        <w:t>, in particular the PBS Listing Instrument, which determines the medicines that may be supplied to patients at Government-</w:t>
      </w:r>
      <w:proofErr w:type="spellStart"/>
      <w:r w:rsidR="004D2E18" w:rsidRPr="00086F79">
        <w:rPr>
          <w:sz w:val="22"/>
          <w:szCs w:val="22"/>
        </w:rPr>
        <w:t>subsidised</w:t>
      </w:r>
      <w:proofErr w:type="spellEnd"/>
      <w:r w:rsidR="004D2E18" w:rsidRPr="00086F79">
        <w:rPr>
          <w:sz w:val="22"/>
          <w:szCs w:val="22"/>
        </w:rPr>
        <w:t xml:space="preserve"> prices.</w:t>
      </w:r>
    </w:p>
    <w:p w14:paraId="44F0C9DC" w14:textId="77777777" w:rsidR="004D2E18" w:rsidRPr="004D2E18" w:rsidRDefault="004D2E18" w:rsidP="004D2E18">
      <w:pPr>
        <w:spacing w:line="276" w:lineRule="auto"/>
        <w:contextualSpacing/>
        <w:jc w:val="both"/>
        <w:rPr>
          <w:sz w:val="22"/>
          <w:szCs w:val="22"/>
        </w:rPr>
      </w:pPr>
    </w:p>
    <w:p w14:paraId="046405A4" w14:textId="6D05FA86" w:rsidR="004D2E18" w:rsidRPr="004D2E18" w:rsidRDefault="004D2E18" w:rsidP="004D2E18">
      <w:pPr>
        <w:spacing w:line="276" w:lineRule="auto"/>
        <w:contextualSpacing/>
        <w:jc w:val="both"/>
        <w:rPr>
          <w:sz w:val="22"/>
          <w:szCs w:val="22"/>
        </w:rPr>
      </w:pPr>
      <w:r w:rsidRPr="004D2E18">
        <w:rPr>
          <w:sz w:val="22"/>
          <w:szCs w:val="22"/>
        </w:rPr>
        <w:t>The</w:t>
      </w:r>
      <w:r w:rsidR="00392C8D">
        <w:rPr>
          <w:sz w:val="22"/>
          <w:szCs w:val="22"/>
        </w:rPr>
        <w:t xml:space="preserve"> rationale for a</w:t>
      </w:r>
      <w:r w:rsidRPr="004D2E18">
        <w:rPr>
          <w:sz w:val="22"/>
          <w:szCs w:val="22"/>
        </w:rPr>
        <w:t xml:space="preserve"> </w:t>
      </w:r>
      <w:r w:rsidR="00392C8D">
        <w:rPr>
          <w:sz w:val="22"/>
          <w:szCs w:val="22"/>
        </w:rPr>
        <w:t>thematic</w:t>
      </w:r>
      <w:r w:rsidR="00392C8D" w:rsidRPr="004D2E18">
        <w:rPr>
          <w:sz w:val="22"/>
          <w:szCs w:val="22"/>
        </w:rPr>
        <w:t xml:space="preserve"> </w:t>
      </w:r>
      <w:r w:rsidRPr="004D2E18">
        <w:rPr>
          <w:sz w:val="22"/>
          <w:szCs w:val="22"/>
        </w:rPr>
        <w:t>review</w:t>
      </w:r>
      <w:r w:rsidR="002E1B73">
        <w:rPr>
          <w:sz w:val="22"/>
          <w:szCs w:val="22"/>
        </w:rPr>
        <w:t xml:space="preserve"> of</w:t>
      </w:r>
      <w:r w:rsidRPr="004D2E18">
        <w:rPr>
          <w:sz w:val="22"/>
          <w:szCs w:val="22"/>
        </w:rPr>
        <w:t xml:space="preserve"> the PBS instruments </w:t>
      </w:r>
      <w:r w:rsidR="00392C8D" w:rsidRPr="00392C8D">
        <w:rPr>
          <w:sz w:val="22"/>
          <w:szCs w:val="22"/>
        </w:rPr>
        <w:t>is the substantial thematic connection between the instruments and their associated interdependence to support the efficient administration of the PBS.</w:t>
      </w:r>
      <w:r w:rsidR="00392C8D">
        <w:rPr>
          <w:sz w:val="22"/>
          <w:szCs w:val="22"/>
        </w:rPr>
        <w:t xml:space="preserve"> The review </w:t>
      </w:r>
      <w:r w:rsidRPr="004D2E18">
        <w:rPr>
          <w:sz w:val="22"/>
          <w:szCs w:val="22"/>
        </w:rPr>
        <w:t xml:space="preserve">would address the significant complexity and intersection of the instruments by enhancing the readability of the instruments, </w:t>
      </w:r>
      <w:proofErr w:type="spellStart"/>
      <w:r w:rsidRPr="004D2E18">
        <w:rPr>
          <w:sz w:val="22"/>
          <w:szCs w:val="22"/>
        </w:rPr>
        <w:t>minimising</w:t>
      </w:r>
      <w:proofErr w:type="spellEnd"/>
      <w:r w:rsidRPr="004D2E18">
        <w:rPr>
          <w:sz w:val="22"/>
          <w:szCs w:val="22"/>
        </w:rPr>
        <w:t xml:space="preserve"> duplication and promoting greater clarity. </w:t>
      </w:r>
      <w:r w:rsidR="00C11AD1">
        <w:rPr>
          <w:sz w:val="22"/>
          <w:szCs w:val="22"/>
        </w:rPr>
        <w:t>This would include</w:t>
      </w:r>
      <w:r w:rsidRPr="004D2E18">
        <w:rPr>
          <w:sz w:val="22"/>
          <w:szCs w:val="22"/>
        </w:rPr>
        <w:t xml:space="preserve"> streamlin</w:t>
      </w:r>
      <w:r w:rsidR="00C11AD1">
        <w:rPr>
          <w:sz w:val="22"/>
          <w:szCs w:val="22"/>
        </w:rPr>
        <w:t>ing</w:t>
      </w:r>
      <w:r w:rsidRPr="004D2E18">
        <w:rPr>
          <w:sz w:val="22"/>
          <w:szCs w:val="22"/>
        </w:rPr>
        <w:t xml:space="preserve"> and simplify</w:t>
      </w:r>
      <w:r w:rsidR="00C11AD1">
        <w:rPr>
          <w:sz w:val="22"/>
          <w:szCs w:val="22"/>
        </w:rPr>
        <w:t>ing</w:t>
      </w:r>
      <w:r w:rsidRPr="004D2E18">
        <w:rPr>
          <w:sz w:val="22"/>
          <w:szCs w:val="22"/>
        </w:rPr>
        <w:t xml:space="preserve"> the structure and content of the </w:t>
      </w:r>
      <w:r w:rsidR="007E2734">
        <w:rPr>
          <w:sz w:val="22"/>
          <w:szCs w:val="22"/>
        </w:rPr>
        <w:t>National Health</w:t>
      </w:r>
      <w:r w:rsidRPr="004D2E18">
        <w:rPr>
          <w:sz w:val="22"/>
          <w:szCs w:val="22"/>
        </w:rPr>
        <w:t xml:space="preserve"> </w:t>
      </w:r>
      <w:r w:rsidR="007E2734">
        <w:rPr>
          <w:sz w:val="22"/>
          <w:szCs w:val="22"/>
        </w:rPr>
        <w:t>I</w:t>
      </w:r>
      <w:r w:rsidRPr="004D2E18">
        <w:rPr>
          <w:sz w:val="22"/>
          <w:szCs w:val="22"/>
        </w:rPr>
        <w:t>nstruments</w:t>
      </w:r>
      <w:r w:rsidR="00C11AD1">
        <w:rPr>
          <w:sz w:val="22"/>
          <w:szCs w:val="22"/>
        </w:rPr>
        <w:t xml:space="preserve"> to</w:t>
      </w:r>
      <w:r w:rsidRPr="004D2E18">
        <w:rPr>
          <w:sz w:val="22"/>
          <w:szCs w:val="22"/>
        </w:rPr>
        <w:t xml:space="preserve"> promote greater consistency in drafting, particularly with respect to the numerous cross-references.</w:t>
      </w:r>
    </w:p>
    <w:p w14:paraId="5CFFE9E9" w14:textId="77777777" w:rsidR="009234FF" w:rsidRPr="004D2E18" w:rsidRDefault="009234FF" w:rsidP="009234FF">
      <w:pPr>
        <w:spacing w:after="200" w:line="276" w:lineRule="auto"/>
        <w:contextualSpacing/>
        <w:jc w:val="both"/>
        <w:rPr>
          <w:color w:val="000000"/>
          <w:sz w:val="22"/>
          <w:szCs w:val="22"/>
        </w:rPr>
      </w:pPr>
    </w:p>
    <w:p w14:paraId="4D24E4B2" w14:textId="5536E55D" w:rsidR="00E430F4" w:rsidRPr="004D2E18" w:rsidRDefault="009234FF" w:rsidP="009234FF">
      <w:pPr>
        <w:spacing w:after="200" w:line="276" w:lineRule="auto"/>
        <w:contextualSpacing/>
        <w:jc w:val="both"/>
        <w:rPr>
          <w:color w:val="000000"/>
          <w:sz w:val="22"/>
          <w:szCs w:val="22"/>
        </w:rPr>
      </w:pPr>
      <w:r w:rsidRPr="004D2E18">
        <w:rPr>
          <w:color w:val="000000"/>
          <w:sz w:val="22"/>
          <w:szCs w:val="22"/>
        </w:rPr>
        <w:t xml:space="preserve">As </w:t>
      </w:r>
      <w:r w:rsidR="00E430F4" w:rsidRPr="004D2E18">
        <w:rPr>
          <w:color w:val="000000"/>
          <w:sz w:val="22"/>
          <w:szCs w:val="22"/>
        </w:rPr>
        <w:t xml:space="preserve">the </w:t>
      </w:r>
      <w:r w:rsidR="00EE7CD6" w:rsidRPr="004D2E18">
        <w:rPr>
          <w:sz w:val="22"/>
          <w:szCs w:val="22"/>
        </w:rPr>
        <w:t xml:space="preserve">National Health </w:t>
      </w:r>
      <w:r w:rsidR="00E430F4" w:rsidRPr="004D2E18">
        <w:rPr>
          <w:sz w:val="22"/>
          <w:szCs w:val="22"/>
          <w:lang w:val="en-AU"/>
        </w:rPr>
        <w:t>Instruments</w:t>
      </w:r>
      <w:r w:rsidRPr="004D2E18">
        <w:rPr>
          <w:color w:val="000000"/>
          <w:sz w:val="22"/>
          <w:szCs w:val="22"/>
        </w:rPr>
        <w:t xml:space="preserve"> are interrelated and share a common theme, subjecting them to a single review will allow the rule-maker to consider aligning language, drafting and policy changes consistently. Their review will be similar in scope and stakeholders will only need to be consulted once, thus reducing the burden on their time. Administratively</w:t>
      </w:r>
      <w:r w:rsidR="002E1B73">
        <w:rPr>
          <w:color w:val="000000"/>
          <w:sz w:val="22"/>
          <w:szCs w:val="22"/>
        </w:rPr>
        <w:t>,</w:t>
      </w:r>
      <w:r w:rsidRPr="004D2E18">
        <w:rPr>
          <w:color w:val="000000"/>
          <w:sz w:val="22"/>
          <w:szCs w:val="22"/>
        </w:rPr>
        <w:t xml:space="preserve"> it would be more efficient and effective to review the </w:t>
      </w:r>
      <w:r w:rsidR="00E430F4" w:rsidRPr="004D2E18">
        <w:rPr>
          <w:color w:val="000000"/>
          <w:sz w:val="22"/>
          <w:szCs w:val="22"/>
        </w:rPr>
        <w:t>three</w:t>
      </w:r>
      <w:r w:rsidRPr="004D2E18">
        <w:rPr>
          <w:color w:val="000000"/>
          <w:sz w:val="22"/>
          <w:szCs w:val="22"/>
        </w:rPr>
        <w:t xml:space="preserve"> instruments at the same time. </w:t>
      </w:r>
      <w:r w:rsidRPr="004D2E18">
        <w:rPr>
          <w:sz w:val="22"/>
          <w:szCs w:val="22"/>
        </w:rPr>
        <w:t xml:space="preserve">This would align the sunsetting dates of all three instruments to 1 April </w:t>
      </w:r>
      <w:r w:rsidR="00E430F4" w:rsidRPr="004D2E18">
        <w:rPr>
          <w:sz w:val="22"/>
          <w:szCs w:val="22"/>
        </w:rPr>
        <w:t>2024</w:t>
      </w:r>
      <w:r w:rsidRPr="004D2E18">
        <w:rPr>
          <w:sz w:val="22"/>
          <w:szCs w:val="22"/>
        </w:rPr>
        <w:t>.</w:t>
      </w:r>
    </w:p>
    <w:p w14:paraId="4BDD8834" w14:textId="77777777" w:rsidR="009234FF" w:rsidRPr="004D2E18" w:rsidRDefault="009234FF" w:rsidP="009234FF">
      <w:pPr>
        <w:spacing w:after="200" w:line="276" w:lineRule="auto"/>
        <w:contextualSpacing/>
        <w:jc w:val="both"/>
        <w:rPr>
          <w:color w:val="000000"/>
          <w:sz w:val="22"/>
          <w:szCs w:val="22"/>
        </w:rPr>
      </w:pPr>
    </w:p>
    <w:p w14:paraId="0CBEFFEC" w14:textId="1968E2D7" w:rsidR="009234FF" w:rsidRPr="004D2E18" w:rsidRDefault="009234FF" w:rsidP="009234FF">
      <w:pPr>
        <w:spacing w:after="200" w:line="276" w:lineRule="auto"/>
        <w:contextualSpacing/>
        <w:jc w:val="both"/>
        <w:rPr>
          <w:color w:val="000000"/>
          <w:sz w:val="22"/>
          <w:szCs w:val="22"/>
        </w:rPr>
      </w:pPr>
      <w:r w:rsidRPr="004D2E18">
        <w:rPr>
          <w:color w:val="000000"/>
          <w:sz w:val="22"/>
          <w:szCs w:val="22"/>
        </w:rPr>
        <w:t xml:space="preserve">This will be the </w:t>
      </w:r>
      <w:r w:rsidRPr="00CB2252">
        <w:rPr>
          <w:color w:val="000000"/>
          <w:sz w:val="22"/>
          <w:szCs w:val="22"/>
        </w:rPr>
        <w:t>first</w:t>
      </w:r>
      <w:r w:rsidRPr="004D2E18">
        <w:rPr>
          <w:color w:val="000000"/>
          <w:sz w:val="22"/>
          <w:szCs w:val="22"/>
        </w:rPr>
        <w:t xml:space="preserve"> review of </w:t>
      </w:r>
      <w:r w:rsidR="00EE7CD6" w:rsidRPr="004D2E18">
        <w:rPr>
          <w:color w:val="000000"/>
          <w:sz w:val="22"/>
          <w:szCs w:val="22"/>
        </w:rPr>
        <w:t xml:space="preserve">the </w:t>
      </w:r>
      <w:r w:rsidR="00EE7CD6" w:rsidRPr="004D2E18">
        <w:rPr>
          <w:sz w:val="22"/>
          <w:szCs w:val="22"/>
        </w:rPr>
        <w:t xml:space="preserve">National Health </w:t>
      </w:r>
      <w:r w:rsidRPr="004D2E18">
        <w:rPr>
          <w:color w:val="000000"/>
          <w:sz w:val="22"/>
          <w:szCs w:val="22"/>
        </w:rPr>
        <w:t>Instruments</w:t>
      </w:r>
      <w:r w:rsidRPr="004D2E18">
        <w:rPr>
          <w:sz w:val="22"/>
          <w:szCs w:val="22"/>
        </w:rPr>
        <w:t xml:space="preserve"> </w:t>
      </w:r>
      <w:r w:rsidRPr="004D2E18">
        <w:rPr>
          <w:color w:val="000000"/>
          <w:sz w:val="22"/>
          <w:szCs w:val="22"/>
        </w:rPr>
        <w:t xml:space="preserve">under the Legislation Act. A thematic review will broaden the scope of the review as it </w:t>
      </w:r>
      <w:r w:rsidR="009479AA">
        <w:rPr>
          <w:color w:val="000000"/>
          <w:sz w:val="22"/>
          <w:szCs w:val="22"/>
        </w:rPr>
        <w:t>provides an opportunity</w:t>
      </w:r>
      <w:r w:rsidR="009479AA" w:rsidRPr="004D2E18">
        <w:rPr>
          <w:color w:val="000000"/>
          <w:sz w:val="22"/>
          <w:szCs w:val="22"/>
        </w:rPr>
        <w:t xml:space="preserve"> </w:t>
      </w:r>
      <w:r w:rsidRPr="004D2E18">
        <w:rPr>
          <w:color w:val="000000"/>
          <w:sz w:val="22"/>
          <w:szCs w:val="22"/>
        </w:rPr>
        <w:t xml:space="preserve">for stakeholders to be consulted on more than one legislative instrument under the Legislation Act at the same time. The review will consider if the </w:t>
      </w:r>
      <w:r w:rsidR="00EE7CD6" w:rsidRPr="004D2E18">
        <w:rPr>
          <w:sz w:val="22"/>
          <w:szCs w:val="22"/>
        </w:rPr>
        <w:t xml:space="preserve">National Health </w:t>
      </w:r>
      <w:r w:rsidRPr="004D2E18">
        <w:rPr>
          <w:sz w:val="22"/>
          <w:szCs w:val="22"/>
        </w:rPr>
        <w:t>Instruments</w:t>
      </w:r>
      <w:r w:rsidRPr="004D2E18">
        <w:rPr>
          <w:color w:val="000000"/>
          <w:sz w:val="22"/>
          <w:szCs w:val="22"/>
        </w:rPr>
        <w:t xml:space="preserve"> are to be repealed, allowed to sunset or replaced (with or without changes). </w:t>
      </w:r>
    </w:p>
    <w:p w14:paraId="394DE599" w14:textId="77777777" w:rsidR="009A6B70" w:rsidRDefault="009A6B70" w:rsidP="009234FF">
      <w:pPr>
        <w:spacing w:line="276" w:lineRule="auto"/>
        <w:contextualSpacing/>
        <w:jc w:val="both"/>
        <w:rPr>
          <w:color w:val="000000"/>
          <w:sz w:val="22"/>
          <w:szCs w:val="22"/>
        </w:rPr>
      </w:pPr>
    </w:p>
    <w:p w14:paraId="3A75CBDF" w14:textId="7741CA60" w:rsidR="00E430F4" w:rsidRPr="004D2E18" w:rsidRDefault="009A6B70" w:rsidP="009234FF">
      <w:pPr>
        <w:spacing w:line="276" w:lineRule="auto"/>
        <w:contextualSpacing/>
        <w:jc w:val="both"/>
        <w:rPr>
          <w:color w:val="000000"/>
          <w:sz w:val="22"/>
          <w:szCs w:val="22"/>
          <w:highlight w:val="yellow"/>
        </w:rPr>
      </w:pPr>
      <w:r w:rsidRPr="009A6B70">
        <w:rPr>
          <w:color w:val="000000"/>
          <w:sz w:val="22"/>
          <w:szCs w:val="22"/>
        </w:rPr>
        <w:t>The Chemotherapy Arrangement</w:t>
      </w:r>
      <w:r>
        <w:rPr>
          <w:color w:val="000000"/>
          <w:sz w:val="22"/>
          <w:szCs w:val="22"/>
        </w:rPr>
        <w:t xml:space="preserve"> </w:t>
      </w:r>
      <w:r w:rsidRPr="009A6B70">
        <w:rPr>
          <w:color w:val="000000"/>
          <w:sz w:val="22"/>
          <w:szCs w:val="22"/>
        </w:rPr>
        <w:t>has been identified to form part of the alignment with the PBS Listing Instrument and the Prescriber Bag Instrument on account of the Chemotherapy Arrangement being highly characteristic of special arrangements made under the National Health Act. It is anticipated that the consideration of the Chemotherapy Arrangement in the context of the two other instruments will result in certain legal technical amendments that are likely to be extrapolated to other special arrangements made under the National Health Act.</w:t>
      </w:r>
    </w:p>
    <w:p w14:paraId="1BAA0095" w14:textId="77777777" w:rsidR="00E430F4" w:rsidRPr="004D2E18" w:rsidRDefault="00E430F4" w:rsidP="009234FF">
      <w:pPr>
        <w:spacing w:line="276" w:lineRule="auto"/>
        <w:contextualSpacing/>
        <w:jc w:val="both"/>
        <w:rPr>
          <w:color w:val="000000"/>
          <w:sz w:val="22"/>
          <w:szCs w:val="22"/>
        </w:rPr>
      </w:pPr>
    </w:p>
    <w:p w14:paraId="61B7DF65" w14:textId="0B57330E" w:rsidR="009234FF" w:rsidRDefault="009234FF" w:rsidP="009A6B70">
      <w:pPr>
        <w:spacing w:line="276" w:lineRule="auto"/>
        <w:contextualSpacing/>
        <w:jc w:val="both"/>
        <w:rPr>
          <w:color w:val="000000"/>
          <w:sz w:val="22"/>
          <w:szCs w:val="22"/>
        </w:rPr>
      </w:pPr>
      <w:r w:rsidRPr="004D2E18">
        <w:rPr>
          <w:color w:val="000000"/>
          <w:sz w:val="22"/>
          <w:szCs w:val="22"/>
        </w:rPr>
        <w:t xml:space="preserve">A thematic review will facilitate an efficient and effective review process and enable consistent implementation of review findings. As such, the Declaration is consistent with the policy intent of the </w:t>
      </w:r>
      <w:r w:rsidRPr="004D2E18">
        <w:rPr>
          <w:color w:val="000000"/>
          <w:sz w:val="22"/>
          <w:szCs w:val="22"/>
        </w:rPr>
        <w:lastRenderedPageBreak/>
        <w:t>sunsetting regime that legislative instruments should be kept up to date and only remain in force so long as they are needed.</w:t>
      </w:r>
    </w:p>
    <w:p w14:paraId="2B4E4B65" w14:textId="77777777" w:rsidR="007E2734" w:rsidRPr="004D2E18" w:rsidRDefault="007E2734" w:rsidP="009A6B70">
      <w:pPr>
        <w:spacing w:line="276" w:lineRule="auto"/>
        <w:contextualSpacing/>
        <w:jc w:val="both"/>
        <w:rPr>
          <w:color w:val="000000"/>
          <w:sz w:val="22"/>
          <w:szCs w:val="22"/>
        </w:rPr>
      </w:pPr>
    </w:p>
    <w:p w14:paraId="66020094" w14:textId="77777777" w:rsidR="009234FF" w:rsidRPr="004D2E18" w:rsidRDefault="009234FF" w:rsidP="009234FF">
      <w:pPr>
        <w:pStyle w:val="Heading3"/>
        <w:spacing w:before="0" w:line="276" w:lineRule="auto"/>
        <w:contextualSpacing/>
        <w:jc w:val="both"/>
        <w:rPr>
          <w:rFonts w:ascii="Times New Roman" w:hAnsi="Times New Roman" w:cs="Times New Roman"/>
          <w:b/>
          <w:color w:val="auto"/>
          <w:sz w:val="22"/>
          <w:szCs w:val="22"/>
        </w:rPr>
      </w:pPr>
      <w:r w:rsidRPr="004D2E18">
        <w:rPr>
          <w:rFonts w:ascii="Times New Roman" w:hAnsi="Times New Roman" w:cs="Times New Roman"/>
          <w:b/>
          <w:color w:val="auto"/>
          <w:sz w:val="22"/>
          <w:szCs w:val="22"/>
        </w:rPr>
        <w:t xml:space="preserve">More information </w:t>
      </w:r>
    </w:p>
    <w:p w14:paraId="75DD1444" w14:textId="77777777" w:rsidR="009234FF" w:rsidRPr="004D2E18" w:rsidRDefault="009234FF" w:rsidP="009234FF">
      <w:pPr>
        <w:rPr>
          <w:sz w:val="22"/>
          <w:szCs w:val="22"/>
          <w:lang w:val="en-AU"/>
        </w:rPr>
      </w:pPr>
    </w:p>
    <w:p w14:paraId="3D5F6120" w14:textId="77777777" w:rsidR="009234FF" w:rsidRPr="004D2E18" w:rsidRDefault="009234FF" w:rsidP="009234FF">
      <w:pPr>
        <w:spacing w:after="200" w:line="276" w:lineRule="auto"/>
        <w:contextualSpacing/>
        <w:jc w:val="both"/>
        <w:rPr>
          <w:color w:val="000000"/>
          <w:sz w:val="22"/>
          <w:szCs w:val="22"/>
          <w:u w:val="single"/>
        </w:rPr>
      </w:pPr>
      <w:r w:rsidRPr="004D2E18">
        <w:rPr>
          <w:color w:val="000000"/>
          <w:sz w:val="22"/>
          <w:szCs w:val="22"/>
        </w:rPr>
        <w:t xml:space="preserve">Further details on the provisions of the Declaration are provided in </w:t>
      </w:r>
      <w:r w:rsidRPr="004D2E18">
        <w:rPr>
          <w:color w:val="000000"/>
          <w:sz w:val="22"/>
          <w:szCs w:val="22"/>
          <w:u w:val="single"/>
        </w:rPr>
        <w:t>Attachment A.</w:t>
      </w:r>
    </w:p>
    <w:p w14:paraId="0F1DDC2C" w14:textId="77777777" w:rsidR="009234FF" w:rsidRPr="004D2E18" w:rsidRDefault="009234FF" w:rsidP="009234FF">
      <w:pPr>
        <w:spacing w:after="200" w:line="276" w:lineRule="auto"/>
        <w:contextualSpacing/>
        <w:jc w:val="both"/>
        <w:rPr>
          <w:color w:val="000000"/>
          <w:sz w:val="22"/>
          <w:szCs w:val="22"/>
        </w:rPr>
      </w:pPr>
    </w:p>
    <w:p w14:paraId="07944BC5" w14:textId="507EA63A" w:rsidR="009234FF" w:rsidRPr="004D2E18" w:rsidRDefault="009234FF" w:rsidP="009234FF">
      <w:pPr>
        <w:spacing w:after="200" w:line="276" w:lineRule="auto"/>
        <w:contextualSpacing/>
        <w:jc w:val="both"/>
        <w:rPr>
          <w:color w:val="000000"/>
          <w:sz w:val="22"/>
          <w:szCs w:val="22"/>
        </w:rPr>
      </w:pPr>
      <w:r w:rsidRPr="004D2E18">
        <w:rPr>
          <w:color w:val="000000"/>
          <w:sz w:val="22"/>
          <w:szCs w:val="22"/>
        </w:rPr>
        <w:t xml:space="preserve">The </w:t>
      </w:r>
      <w:r w:rsidR="004C4FA0" w:rsidRPr="004D2E18">
        <w:rPr>
          <w:sz w:val="22"/>
          <w:szCs w:val="22"/>
        </w:rPr>
        <w:t>National Health</w:t>
      </w:r>
      <w:r w:rsidRPr="004D2E18">
        <w:rPr>
          <w:sz w:val="22"/>
          <w:szCs w:val="22"/>
        </w:rPr>
        <w:t xml:space="preserve"> Instruments, </w:t>
      </w:r>
      <w:r w:rsidRPr="004D2E18">
        <w:rPr>
          <w:color w:val="000000"/>
          <w:sz w:val="22"/>
          <w:szCs w:val="22"/>
        </w:rPr>
        <w:t>which will now sunset on 1 April 2024 as specified in the Declaration, are available on the Federal Register of Legislation</w:t>
      </w:r>
      <w:r w:rsidRPr="004D2E18">
        <w:rPr>
          <w:color w:val="000000"/>
          <w:sz w:val="22"/>
          <w:szCs w:val="22"/>
        </w:rPr>
        <w:fldChar w:fldCharType="begin"/>
      </w:r>
      <w:r w:rsidRPr="004D2E18">
        <w:rPr>
          <w:color w:val="000000"/>
          <w:sz w:val="22"/>
          <w:szCs w:val="22"/>
        </w:rPr>
        <w:instrText>http://www.comlaw.gov.au/</w:instrText>
      </w:r>
      <w:r w:rsidRPr="004D2E18">
        <w:rPr>
          <w:color w:val="000000"/>
          <w:sz w:val="22"/>
          <w:szCs w:val="22"/>
        </w:rPr>
        <w:fldChar w:fldCharType="separate"/>
      </w:r>
      <w:r w:rsidRPr="004D2E18">
        <w:rPr>
          <w:color w:val="000000"/>
          <w:sz w:val="22"/>
          <w:szCs w:val="22"/>
        </w:rPr>
        <w:t>http://www.comlaw.gov.au</w:t>
      </w:r>
      <w:r w:rsidRPr="004D2E18">
        <w:rPr>
          <w:color w:val="000000"/>
          <w:sz w:val="22"/>
          <w:szCs w:val="22"/>
        </w:rPr>
        <w:fldChar w:fldCharType="end"/>
      </w:r>
      <w:r w:rsidRPr="004D2E18">
        <w:rPr>
          <w:color w:val="000000"/>
          <w:sz w:val="22"/>
          <w:szCs w:val="22"/>
        </w:rPr>
        <w:t>.</w:t>
      </w:r>
    </w:p>
    <w:p w14:paraId="5F2B787D" w14:textId="77777777" w:rsidR="009234FF" w:rsidRPr="004D2E18" w:rsidRDefault="009234FF" w:rsidP="009234FF">
      <w:pPr>
        <w:spacing w:after="200" w:line="276" w:lineRule="auto"/>
        <w:contextualSpacing/>
        <w:jc w:val="both"/>
        <w:rPr>
          <w:color w:val="000000"/>
          <w:sz w:val="22"/>
          <w:szCs w:val="22"/>
        </w:rPr>
      </w:pPr>
    </w:p>
    <w:p w14:paraId="21BA4EE5" w14:textId="18ADA9D8" w:rsidR="009234FF" w:rsidRPr="004D2E18" w:rsidRDefault="009234FF" w:rsidP="009234FF">
      <w:pPr>
        <w:spacing w:line="276" w:lineRule="auto"/>
        <w:contextualSpacing/>
        <w:jc w:val="both"/>
        <w:rPr>
          <w:color w:val="000000"/>
          <w:sz w:val="22"/>
          <w:szCs w:val="22"/>
        </w:rPr>
      </w:pPr>
      <w:r w:rsidRPr="004D2E18">
        <w:rPr>
          <w:color w:val="000000"/>
          <w:sz w:val="22"/>
          <w:szCs w:val="22"/>
        </w:rPr>
        <w:t>Further information may be requested from the Attorney-General’s Department about the operation of the Declaration, and from the</w:t>
      </w:r>
      <w:r w:rsidR="00D1369A" w:rsidRPr="004D2E18">
        <w:rPr>
          <w:color w:val="000000"/>
          <w:sz w:val="22"/>
          <w:szCs w:val="22"/>
        </w:rPr>
        <w:t xml:space="preserve"> Department</w:t>
      </w:r>
      <w:r w:rsidRPr="004D2E18">
        <w:rPr>
          <w:color w:val="000000"/>
          <w:sz w:val="22"/>
          <w:szCs w:val="22"/>
        </w:rPr>
        <w:t xml:space="preserve"> </w:t>
      </w:r>
      <w:r w:rsidR="00C11AD1">
        <w:rPr>
          <w:color w:val="000000"/>
          <w:sz w:val="22"/>
          <w:szCs w:val="22"/>
        </w:rPr>
        <w:t xml:space="preserve">of Health and Aged Care </w:t>
      </w:r>
      <w:r w:rsidRPr="004D2E18">
        <w:rPr>
          <w:color w:val="000000"/>
          <w:sz w:val="22"/>
          <w:szCs w:val="22"/>
        </w:rPr>
        <w:t xml:space="preserve">about the </w:t>
      </w:r>
      <w:r w:rsidR="004C4FA0" w:rsidRPr="004D2E18">
        <w:rPr>
          <w:sz w:val="22"/>
          <w:szCs w:val="22"/>
        </w:rPr>
        <w:t>National Health</w:t>
      </w:r>
      <w:r w:rsidRPr="004D2E18">
        <w:rPr>
          <w:sz w:val="22"/>
          <w:szCs w:val="22"/>
        </w:rPr>
        <w:t xml:space="preserve"> Instruments </w:t>
      </w:r>
      <w:r w:rsidRPr="004D2E18">
        <w:rPr>
          <w:color w:val="000000"/>
          <w:sz w:val="22"/>
          <w:szCs w:val="22"/>
        </w:rPr>
        <w:t>to which the Declaration applies.</w:t>
      </w:r>
    </w:p>
    <w:p w14:paraId="037167DC" w14:textId="77777777" w:rsidR="009234FF" w:rsidRPr="004D2E18" w:rsidRDefault="009234FF" w:rsidP="009234FF">
      <w:pPr>
        <w:contextualSpacing/>
        <w:jc w:val="both"/>
        <w:rPr>
          <w:sz w:val="22"/>
          <w:szCs w:val="22"/>
        </w:rPr>
      </w:pPr>
    </w:p>
    <w:p w14:paraId="30AA0D08" w14:textId="77777777" w:rsidR="009234FF" w:rsidRPr="004D2E18" w:rsidRDefault="009234FF" w:rsidP="009234FF">
      <w:pPr>
        <w:pStyle w:val="Basetext"/>
        <w:spacing w:before="0" w:after="200"/>
        <w:contextualSpacing/>
        <w:jc w:val="both"/>
        <w:rPr>
          <w:b/>
        </w:rPr>
      </w:pPr>
      <w:r w:rsidRPr="004D2E18">
        <w:rPr>
          <w:b/>
        </w:rPr>
        <w:t>STATEMENT OF COMPATIBILITY WITH HUMAN RIGHTS</w:t>
      </w:r>
    </w:p>
    <w:p w14:paraId="06C2C8E5" w14:textId="7626A563" w:rsidR="009234FF" w:rsidRPr="004D2E18" w:rsidRDefault="009234FF" w:rsidP="009234FF">
      <w:pPr>
        <w:spacing w:after="200" w:line="276" w:lineRule="auto"/>
        <w:contextualSpacing/>
        <w:jc w:val="both"/>
        <w:rPr>
          <w:sz w:val="22"/>
          <w:szCs w:val="22"/>
        </w:rPr>
      </w:pPr>
      <w:r w:rsidRPr="004D2E18">
        <w:rPr>
          <w:sz w:val="22"/>
          <w:szCs w:val="22"/>
        </w:rPr>
        <w:t xml:space="preserve">The </w:t>
      </w:r>
      <w:r w:rsidRPr="004D2E18">
        <w:rPr>
          <w:bCs/>
          <w:i/>
          <w:sz w:val="22"/>
          <w:szCs w:val="22"/>
        </w:rPr>
        <w:t>Legislation (</w:t>
      </w:r>
      <w:r w:rsidR="004C4FA0" w:rsidRPr="004D2E18">
        <w:rPr>
          <w:i/>
          <w:sz w:val="22"/>
          <w:szCs w:val="22"/>
        </w:rPr>
        <w:t>National Health</w:t>
      </w:r>
      <w:r w:rsidRPr="004D2E18">
        <w:rPr>
          <w:bCs/>
          <w:i/>
          <w:sz w:val="22"/>
          <w:szCs w:val="22"/>
        </w:rPr>
        <w:t xml:space="preserve"> Instruments) Sunset-altering Declaration 2022 </w:t>
      </w:r>
      <w:r w:rsidRPr="004D2E18">
        <w:rPr>
          <w:bCs/>
          <w:sz w:val="22"/>
          <w:szCs w:val="22"/>
        </w:rPr>
        <w:t>(the </w:t>
      </w:r>
      <w:r w:rsidRPr="004D2E18">
        <w:rPr>
          <w:sz w:val="22"/>
          <w:szCs w:val="22"/>
        </w:rPr>
        <w:t xml:space="preserve">Declaration) is compatible with human rights and freedoms recognised or declared in the international instruments listed in section 3 of the </w:t>
      </w:r>
      <w:r w:rsidRPr="004D2E18">
        <w:rPr>
          <w:i/>
          <w:sz w:val="22"/>
          <w:szCs w:val="22"/>
        </w:rPr>
        <w:t>Human Rights (Parliamentary Scrutiny) Act 2011</w:t>
      </w:r>
      <w:r w:rsidRPr="004D2E18">
        <w:rPr>
          <w:sz w:val="22"/>
          <w:szCs w:val="22"/>
        </w:rPr>
        <w:t xml:space="preserve"> (the Human Rights Act).</w:t>
      </w:r>
    </w:p>
    <w:p w14:paraId="79A1BCA0" w14:textId="77777777" w:rsidR="009234FF" w:rsidRPr="004D2E18" w:rsidRDefault="009234FF" w:rsidP="009234FF">
      <w:pPr>
        <w:spacing w:after="200"/>
        <w:contextualSpacing/>
        <w:jc w:val="both"/>
        <w:rPr>
          <w:sz w:val="22"/>
          <w:szCs w:val="22"/>
        </w:rPr>
      </w:pPr>
    </w:p>
    <w:p w14:paraId="4CCE323F" w14:textId="77777777" w:rsidR="009234FF" w:rsidRPr="004D2E18" w:rsidRDefault="009234FF" w:rsidP="009234FF">
      <w:pPr>
        <w:spacing w:after="200" w:line="276" w:lineRule="auto"/>
        <w:contextualSpacing/>
        <w:jc w:val="both"/>
        <w:rPr>
          <w:b/>
          <w:sz w:val="22"/>
          <w:szCs w:val="22"/>
        </w:rPr>
      </w:pPr>
      <w:r w:rsidRPr="004D2E18">
        <w:rPr>
          <w:b/>
          <w:sz w:val="22"/>
          <w:szCs w:val="22"/>
        </w:rPr>
        <w:t xml:space="preserve">Overview of the Declaration </w:t>
      </w:r>
    </w:p>
    <w:p w14:paraId="1D6A78ED" w14:textId="6669C40A" w:rsidR="009234FF" w:rsidRPr="004D2E18" w:rsidRDefault="009234FF" w:rsidP="009234FF">
      <w:pPr>
        <w:pStyle w:val="Basetext"/>
        <w:spacing w:before="0"/>
        <w:contextualSpacing/>
        <w:jc w:val="both"/>
      </w:pPr>
      <w:r w:rsidRPr="004D2E18">
        <w:t xml:space="preserve">The Declaration is made under subsection 51A(1) of the </w:t>
      </w:r>
      <w:r w:rsidRPr="004D2E18">
        <w:rPr>
          <w:i/>
        </w:rPr>
        <w:t>Legislation Act 2003</w:t>
      </w:r>
      <w:r w:rsidRPr="004D2E18">
        <w:t xml:space="preserve"> (the Legislation Act). Under that subsection, the Attorney-General can align the sunsetting days of two or more legislative instruments to 1 April or 1 October of a year that is up to five years later than the earliest sunsetting day. The instruments specified in the declaration will then be repealed on the day specified in the declaration instead of the previously scheduled sunsetting day. The instruments specified in the Declaration are (together, </w:t>
      </w:r>
      <w:r w:rsidR="007E2734">
        <w:t>‘</w:t>
      </w:r>
      <w:r w:rsidRPr="004D2E18">
        <w:t xml:space="preserve">the </w:t>
      </w:r>
      <w:r w:rsidR="004C4FA0" w:rsidRPr="004D2E18">
        <w:t xml:space="preserve">National Health </w:t>
      </w:r>
      <w:r w:rsidRPr="004D2E18">
        <w:t xml:space="preserve">Instruments’): </w:t>
      </w:r>
    </w:p>
    <w:p w14:paraId="14A58FA9" w14:textId="455F5F43" w:rsidR="00C44C45" w:rsidRPr="004D2E18" w:rsidRDefault="00C44C45" w:rsidP="00C44C45">
      <w:pPr>
        <w:pStyle w:val="ListParagraph"/>
        <w:widowControl/>
        <w:numPr>
          <w:ilvl w:val="0"/>
          <w:numId w:val="4"/>
        </w:numPr>
        <w:spacing w:line="276" w:lineRule="auto"/>
        <w:jc w:val="both"/>
        <w:rPr>
          <w:sz w:val="22"/>
          <w:szCs w:val="22"/>
          <w:lang w:val="en-AU"/>
        </w:rPr>
      </w:pPr>
      <w:r w:rsidRPr="004D2E18">
        <w:rPr>
          <w:sz w:val="22"/>
          <w:szCs w:val="22"/>
          <w:lang w:val="en-AU"/>
        </w:rPr>
        <w:t xml:space="preserve">the </w:t>
      </w:r>
      <w:r w:rsidRPr="004D2E18">
        <w:rPr>
          <w:i/>
          <w:sz w:val="22"/>
          <w:szCs w:val="22"/>
          <w:lang w:val="en-AU"/>
        </w:rPr>
        <w:t>National Health (Efficient Funding of Chemotherapy) Special Arrangement 2011</w:t>
      </w:r>
      <w:r>
        <w:rPr>
          <w:i/>
          <w:sz w:val="22"/>
          <w:szCs w:val="22"/>
          <w:lang w:val="en-AU"/>
        </w:rPr>
        <w:t>;</w:t>
      </w:r>
    </w:p>
    <w:p w14:paraId="77B063CB" w14:textId="456C6692" w:rsidR="00D1369A" w:rsidRPr="004D2E18" w:rsidRDefault="00D1369A" w:rsidP="00D1369A">
      <w:pPr>
        <w:pStyle w:val="ListParagraph"/>
        <w:widowControl/>
        <w:numPr>
          <w:ilvl w:val="0"/>
          <w:numId w:val="4"/>
        </w:numPr>
        <w:spacing w:line="276" w:lineRule="auto"/>
        <w:jc w:val="both"/>
        <w:rPr>
          <w:sz w:val="22"/>
          <w:szCs w:val="22"/>
          <w:lang w:val="en-AU"/>
        </w:rPr>
      </w:pPr>
      <w:r w:rsidRPr="004D2E18">
        <w:rPr>
          <w:sz w:val="22"/>
          <w:szCs w:val="22"/>
          <w:lang w:val="en-AU"/>
        </w:rPr>
        <w:t xml:space="preserve">the </w:t>
      </w:r>
      <w:r w:rsidRPr="004D2E18">
        <w:rPr>
          <w:i/>
          <w:sz w:val="22"/>
          <w:szCs w:val="22"/>
          <w:lang w:val="en-AU"/>
        </w:rPr>
        <w:t>National Health (Listing of Pharmaceutical Benefits) Instrument 2012</w:t>
      </w:r>
      <w:r w:rsidR="00C44C45">
        <w:rPr>
          <w:i/>
          <w:sz w:val="22"/>
          <w:szCs w:val="22"/>
          <w:lang w:val="en-AU"/>
        </w:rPr>
        <w:t>;</w:t>
      </w:r>
      <w:r w:rsidR="00C44C45">
        <w:rPr>
          <w:sz w:val="22"/>
          <w:szCs w:val="22"/>
          <w:lang w:val="en-AU"/>
        </w:rPr>
        <w:t xml:space="preserve"> and</w:t>
      </w:r>
    </w:p>
    <w:p w14:paraId="44F14FB1" w14:textId="60D04009" w:rsidR="00D1369A" w:rsidRPr="004D2E18" w:rsidRDefault="00D1369A" w:rsidP="00D1369A">
      <w:pPr>
        <w:pStyle w:val="ListParagraph"/>
        <w:widowControl/>
        <w:numPr>
          <w:ilvl w:val="0"/>
          <w:numId w:val="4"/>
        </w:numPr>
        <w:spacing w:line="276" w:lineRule="auto"/>
        <w:jc w:val="both"/>
        <w:rPr>
          <w:sz w:val="22"/>
          <w:szCs w:val="22"/>
          <w:lang w:val="en-AU"/>
        </w:rPr>
      </w:pPr>
      <w:r w:rsidRPr="004D2E18">
        <w:rPr>
          <w:sz w:val="22"/>
          <w:szCs w:val="22"/>
          <w:lang w:val="en-AU"/>
        </w:rPr>
        <w:t xml:space="preserve">the </w:t>
      </w:r>
      <w:r w:rsidRPr="004D2E18">
        <w:rPr>
          <w:i/>
          <w:sz w:val="22"/>
          <w:szCs w:val="22"/>
          <w:lang w:val="en-AU"/>
        </w:rPr>
        <w:t>National Health (Prescriber bag supplies) Determination 2012</w:t>
      </w:r>
      <w:r w:rsidR="00C44C45">
        <w:rPr>
          <w:sz w:val="22"/>
          <w:szCs w:val="22"/>
          <w:lang w:val="en-AU"/>
        </w:rPr>
        <w:t>.</w:t>
      </w:r>
    </w:p>
    <w:p w14:paraId="3A725E97" w14:textId="77777777" w:rsidR="009234FF" w:rsidRPr="004D2E18" w:rsidRDefault="009234FF" w:rsidP="009234FF">
      <w:pPr>
        <w:spacing w:line="276" w:lineRule="auto"/>
        <w:contextualSpacing/>
        <w:jc w:val="both"/>
        <w:rPr>
          <w:sz w:val="22"/>
          <w:szCs w:val="22"/>
        </w:rPr>
      </w:pPr>
    </w:p>
    <w:p w14:paraId="50A38D36" w14:textId="17EC8324" w:rsidR="009234FF" w:rsidRPr="004D2E18" w:rsidRDefault="009234FF" w:rsidP="009234FF">
      <w:pPr>
        <w:pStyle w:val="Celltext"/>
        <w:spacing w:before="0" w:line="276" w:lineRule="auto"/>
        <w:contextualSpacing/>
        <w:jc w:val="both"/>
        <w:rPr>
          <w:sz w:val="22"/>
          <w:szCs w:val="22"/>
        </w:rPr>
      </w:pPr>
      <w:r w:rsidRPr="004D2E18">
        <w:rPr>
          <w:sz w:val="22"/>
          <w:szCs w:val="22"/>
        </w:rPr>
        <w:t xml:space="preserve">The Declaration aligns the sunsetting dates of the </w:t>
      </w:r>
      <w:r w:rsidR="004C4FA0" w:rsidRPr="004D2E18">
        <w:rPr>
          <w:sz w:val="22"/>
          <w:szCs w:val="22"/>
        </w:rPr>
        <w:t>National Health</w:t>
      </w:r>
      <w:r w:rsidRPr="004D2E18">
        <w:rPr>
          <w:sz w:val="22"/>
          <w:szCs w:val="22"/>
        </w:rPr>
        <w:t xml:space="preserve"> Instruments to 1 April 2024. Prior to the making of the Declaration, the </w:t>
      </w:r>
      <w:r w:rsidR="00886C5B">
        <w:rPr>
          <w:sz w:val="22"/>
          <w:szCs w:val="22"/>
        </w:rPr>
        <w:t>second and third</w:t>
      </w:r>
      <w:r w:rsidR="00D1369A" w:rsidRPr="004D2E18">
        <w:rPr>
          <w:sz w:val="22"/>
          <w:szCs w:val="22"/>
        </w:rPr>
        <w:t xml:space="preserve"> </w:t>
      </w:r>
      <w:r w:rsidRPr="004D2E18">
        <w:rPr>
          <w:sz w:val="22"/>
          <w:szCs w:val="22"/>
        </w:rPr>
        <w:t xml:space="preserve">instruments were due to sunset on 1 October 2022 and </w:t>
      </w:r>
      <w:r w:rsidR="00D1369A" w:rsidRPr="004D2E18">
        <w:rPr>
          <w:sz w:val="22"/>
          <w:szCs w:val="22"/>
        </w:rPr>
        <w:t xml:space="preserve">the </w:t>
      </w:r>
      <w:r w:rsidR="00886C5B">
        <w:rPr>
          <w:sz w:val="22"/>
          <w:szCs w:val="22"/>
        </w:rPr>
        <w:t>first</w:t>
      </w:r>
      <w:r w:rsidR="00D1369A" w:rsidRPr="004D2E18">
        <w:rPr>
          <w:sz w:val="22"/>
          <w:szCs w:val="22"/>
        </w:rPr>
        <w:t xml:space="preserve"> instrument was due to sunset on </w:t>
      </w:r>
      <w:r w:rsidRPr="004D2E18">
        <w:rPr>
          <w:sz w:val="22"/>
          <w:szCs w:val="22"/>
        </w:rPr>
        <w:t xml:space="preserve">1 April 2024. The objective of issuing the Declaration is to facilitate the undertaking of a single thematic review of the </w:t>
      </w:r>
      <w:r w:rsidR="004C4FA0" w:rsidRPr="004D2E18">
        <w:rPr>
          <w:sz w:val="22"/>
          <w:szCs w:val="22"/>
        </w:rPr>
        <w:t>National Health</w:t>
      </w:r>
      <w:r w:rsidRPr="004D2E18">
        <w:rPr>
          <w:sz w:val="22"/>
          <w:szCs w:val="22"/>
        </w:rPr>
        <w:t xml:space="preserve"> Instruments and the implementation of its findings. </w:t>
      </w:r>
    </w:p>
    <w:p w14:paraId="2D6D3FF6" w14:textId="77777777" w:rsidR="009234FF" w:rsidRPr="004D2E18" w:rsidRDefault="009234FF" w:rsidP="009234FF">
      <w:pPr>
        <w:pStyle w:val="Celltext"/>
        <w:spacing w:before="0"/>
        <w:contextualSpacing/>
        <w:jc w:val="both"/>
        <w:rPr>
          <w:sz w:val="22"/>
          <w:szCs w:val="22"/>
        </w:rPr>
      </w:pPr>
    </w:p>
    <w:p w14:paraId="533B970F" w14:textId="77777777" w:rsidR="009234FF" w:rsidRPr="004D2E18" w:rsidRDefault="009234FF" w:rsidP="009234FF">
      <w:pPr>
        <w:spacing w:after="200" w:line="276" w:lineRule="auto"/>
        <w:contextualSpacing/>
        <w:jc w:val="both"/>
        <w:rPr>
          <w:b/>
          <w:sz w:val="22"/>
          <w:szCs w:val="22"/>
        </w:rPr>
      </w:pPr>
      <w:r w:rsidRPr="004D2E18">
        <w:rPr>
          <w:b/>
          <w:sz w:val="22"/>
          <w:szCs w:val="22"/>
        </w:rPr>
        <w:t xml:space="preserve">Human Rights Implications </w:t>
      </w:r>
    </w:p>
    <w:p w14:paraId="3B378CF9" w14:textId="77777777" w:rsidR="009A6B70" w:rsidRDefault="009A6B70" w:rsidP="009A6B70">
      <w:pPr>
        <w:spacing w:after="200" w:line="276" w:lineRule="auto"/>
        <w:contextualSpacing/>
        <w:jc w:val="both"/>
        <w:rPr>
          <w:color w:val="000000"/>
          <w:sz w:val="22"/>
          <w:szCs w:val="22"/>
        </w:rPr>
      </w:pPr>
    </w:p>
    <w:p w14:paraId="2B334053" w14:textId="400EC471" w:rsidR="009A6B70" w:rsidRPr="009A6B70" w:rsidRDefault="009A6B70" w:rsidP="009A6B70">
      <w:pPr>
        <w:spacing w:after="200" w:line="276" w:lineRule="auto"/>
        <w:contextualSpacing/>
        <w:jc w:val="both"/>
        <w:rPr>
          <w:color w:val="000000"/>
          <w:sz w:val="22"/>
          <w:szCs w:val="22"/>
        </w:rPr>
      </w:pPr>
      <w:r w:rsidRPr="009A6B70">
        <w:rPr>
          <w:color w:val="000000"/>
          <w:sz w:val="22"/>
          <w:szCs w:val="22"/>
        </w:rPr>
        <w:t xml:space="preserve">The </w:t>
      </w:r>
      <w:r>
        <w:rPr>
          <w:color w:val="000000"/>
          <w:sz w:val="22"/>
          <w:szCs w:val="22"/>
        </w:rPr>
        <w:t>National Health</w:t>
      </w:r>
      <w:r w:rsidRPr="009A6B70">
        <w:rPr>
          <w:color w:val="000000"/>
          <w:sz w:val="22"/>
          <w:szCs w:val="22"/>
        </w:rPr>
        <w:t xml:space="preserve"> </w:t>
      </w:r>
      <w:r>
        <w:rPr>
          <w:color w:val="000000"/>
          <w:sz w:val="22"/>
          <w:szCs w:val="22"/>
        </w:rPr>
        <w:t>I</w:t>
      </w:r>
      <w:r w:rsidRPr="009A6B70">
        <w:rPr>
          <w:color w:val="000000"/>
          <w:sz w:val="22"/>
          <w:szCs w:val="22"/>
        </w:rPr>
        <w:t>nstruments engage Articles 9 and 12 of the International Covenant on Economic, Social and Cultural Rights (ICESCR), specifically the rights to social security and health.</w:t>
      </w:r>
    </w:p>
    <w:p w14:paraId="4C8704D2" w14:textId="77777777" w:rsidR="009A6B70" w:rsidRDefault="009A6B70" w:rsidP="009A6B70">
      <w:pPr>
        <w:spacing w:after="200" w:line="276" w:lineRule="auto"/>
        <w:contextualSpacing/>
        <w:jc w:val="both"/>
        <w:rPr>
          <w:color w:val="000000"/>
          <w:sz w:val="22"/>
          <w:szCs w:val="22"/>
        </w:rPr>
      </w:pPr>
    </w:p>
    <w:p w14:paraId="683773BC" w14:textId="1192EC7C" w:rsidR="009A6B70" w:rsidRPr="009A6B70" w:rsidRDefault="009A6B70" w:rsidP="009A6B70">
      <w:pPr>
        <w:spacing w:after="200" w:line="276" w:lineRule="auto"/>
        <w:contextualSpacing/>
        <w:jc w:val="both"/>
        <w:rPr>
          <w:i/>
          <w:color w:val="000000"/>
          <w:sz w:val="22"/>
          <w:szCs w:val="22"/>
        </w:rPr>
      </w:pPr>
      <w:r w:rsidRPr="009A6B70">
        <w:rPr>
          <w:i/>
          <w:color w:val="000000"/>
          <w:sz w:val="22"/>
          <w:szCs w:val="22"/>
        </w:rPr>
        <w:t>The Right to Social Security</w:t>
      </w:r>
    </w:p>
    <w:p w14:paraId="325FED5B" w14:textId="77777777" w:rsidR="009A6B70" w:rsidRPr="009A6B70" w:rsidRDefault="009A6B70" w:rsidP="009A6B70">
      <w:pPr>
        <w:spacing w:after="200" w:line="276" w:lineRule="auto"/>
        <w:contextualSpacing/>
        <w:jc w:val="both"/>
        <w:rPr>
          <w:color w:val="000000"/>
          <w:sz w:val="22"/>
          <w:szCs w:val="22"/>
        </w:rPr>
      </w:pPr>
      <w:r w:rsidRPr="009A6B70">
        <w:rPr>
          <w:color w:val="000000"/>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to satisfy, as a matter of priority, this minimum obligation.</w:t>
      </w:r>
    </w:p>
    <w:p w14:paraId="5141AFA6" w14:textId="77777777" w:rsidR="009A6B70" w:rsidRDefault="009A6B70" w:rsidP="009A6B70">
      <w:pPr>
        <w:spacing w:after="200" w:line="276" w:lineRule="auto"/>
        <w:contextualSpacing/>
        <w:jc w:val="both"/>
        <w:rPr>
          <w:color w:val="000000"/>
          <w:sz w:val="22"/>
          <w:szCs w:val="22"/>
        </w:rPr>
      </w:pPr>
    </w:p>
    <w:p w14:paraId="252191C7" w14:textId="5BABABDF" w:rsidR="009A6B70" w:rsidRPr="009A6B70" w:rsidRDefault="009A6B70" w:rsidP="009A6B70">
      <w:pPr>
        <w:spacing w:after="200" w:line="276" w:lineRule="auto"/>
        <w:contextualSpacing/>
        <w:jc w:val="both"/>
        <w:rPr>
          <w:color w:val="000000"/>
          <w:sz w:val="22"/>
          <w:szCs w:val="22"/>
        </w:rPr>
      </w:pPr>
      <w:r w:rsidRPr="009A6B70">
        <w:rPr>
          <w:color w:val="000000"/>
          <w:sz w:val="22"/>
          <w:szCs w:val="22"/>
        </w:rPr>
        <w:t xml:space="preserve">The UN Committee on Economic Social and Cultural Rights </w:t>
      </w:r>
      <w:r w:rsidR="00886C5B">
        <w:rPr>
          <w:color w:val="000000"/>
          <w:sz w:val="22"/>
          <w:szCs w:val="22"/>
        </w:rPr>
        <w:t xml:space="preserve">(the Committee) </w:t>
      </w:r>
      <w:r w:rsidRPr="009A6B70">
        <w:rPr>
          <w:color w:val="000000"/>
          <w:sz w:val="22"/>
          <w:szCs w:val="22"/>
        </w:rPr>
        <w:t>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BA72771" w14:textId="77777777" w:rsidR="009A6B70" w:rsidRDefault="009A6B70" w:rsidP="009A6B70">
      <w:pPr>
        <w:spacing w:after="200" w:line="276" w:lineRule="auto"/>
        <w:contextualSpacing/>
        <w:jc w:val="both"/>
        <w:rPr>
          <w:color w:val="000000"/>
          <w:sz w:val="22"/>
          <w:szCs w:val="22"/>
        </w:rPr>
      </w:pPr>
    </w:p>
    <w:p w14:paraId="13E25158" w14:textId="5FFC431A" w:rsidR="009A6B70" w:rsidRPr="009A6B70" w:rsidRDefault="009A6B70" w:rsidP="009A6B70">
      <w:pPr>
        <w:spacing w:after="200" w:line="276" w:lineRule="auto"/>
        <w:contextualSpacing/>
        <w:jc w:val="both"/>
        <w:rPr>
          <w:i/>
          <w:color w:val="000000"/>
          <w:sz w:val="22"/>
          <w:szCs w:val="22"/>
        </w:rPr>
      </w:pPr>
      <w:r w:rsidRPr="009A6B70">
        <w:rPr>
          <w:i/>
          <w:color w:val="000000"/>
          <w:sz w:val="22"/>
          <w:szCs w:val="22"/>
        </w:rPr>
        <w:t>The Right to Health</w:t>
      </w:r>
    </w:p>
    <w:p w14:paraId="6C1D9DF0" w14:textId="0D2E7C0B" w:rsidR="009A6B70" w:rsidRPr="00C37061" w:rsidRDefault="009A6B70" w:rsidP="009A6B70">
      <w:pPr>
        <w:spacing w:after="200" w:line="276" w:lineRule="auto"/>
        <w:contextualSpacing/>
        <w:jc w:val="both"/>
        <w:rPr>
          <w:color w:val="000000"/>
          <w:sz w:val="22"/>
          <w:szCs w:val="22"/>
        </w:rPr>
      </w:pPr>
      <w:r w:rsidRPr="009A6B70">
        <w:rPr>
          <w:color w:val="000000"/>
          <w:sz w:val="22"/>
          <w:szCs w:val="22"/>
        </w:rPr>
        <w:t>The right to the enjoyment of the highest attainable standard of physical and mental health is contained in Article 12(1) of the ICESCR. The Committee has stated that the right to health is not a right for each individual to be healthy, but a right to a system of health protection that provides equality of opportunity for people to enjoy the highest attainable level of health.</w:t>
      </w:r>
      <w:r w:rsidR="00163128">
        <w:rPr>
          <w:color w:val="000000"/>
          <w:sz w:val="22"/>
          <w:szCs w:val="22"/>
        </w:rPr>
        <w:t xml:space="preserve"> </w:t>
      </w:r>
      <w:r w:rsidRPr="009A6B70">
        <w:rPr>
          <w:color w:val="000000"/>
          <w:sz w:val="22"/>
          <w:szCs w:val="22"/>
        </w:rPr>
        <w:t xml:space="preserve">The Committee reports that the ‘highest attainable standard of health’ </w:t>
      </w:r>
      <w:proofErr w:type="gramStart"/>
      <w:r w:rsidRPr="009A6B70">
        <w:rPr>
          <w:color w:val="000000"/>
          <w:sz w:val="22"/>
          <w:szCs w:val="22"/>
        </w:rPr>
        <w:t>takes into account</w:t>
      </w:r>
      <w:proofErr w:type="gramEnd"/>
      <w:r w:rsidRPr="009A6B70">
        <w:rPr>
          <w:color w:val="000000"/>
          <w:sz w:val="22"/>
          <w:szCs w:val="22"/>
        </w:rPr>
        <w:t xml:space="preserve"> the country’s available resources. This right may be understood as a right of access to a variety of public health and health care facilities, goods, services, </w:t>
      </w:r>
      <w:r w:rsidRPr="00C37061">
        <w:rPr>
          <w:color w:val="000000"/>
          <w:sz w:val="22"/>
          <w:szCs w:val="22"/>
        </w:rPr>
        <w:t xml:space="preserve">programs, and conditions necessary for the </w:t>
      </w:r>
      <w:proofErr w:type="spellStart"/>
      <w:r w:rsidRPr="00C37061">
        <w:rPr>
          <w:color w:val="000000"/>
          <w:sz w:val="22"/>
          <w:szCs w:val="22"/>
        </w:rPr>
        <w:t>realisation</w:t>
      </w:r>
      <w:proofErr w:type="spellEnd"/>
      <w:r w:rsidRPr="00C37061">
        <w:rPr>
          <w:color w:val="000000"/>
          <w:sz w:val="22"/>
          <w:szCs w:val="22"/>
        </w:rPr>
        <w:t xml:space="preserve"> of the highest attainable standard of health. </w:t>
      </w:r>
    </w:p>
    <w:p w14:paraId="4B596938" w14:textId="77777777" w:rsidR="00163128" w:rsidRPr="00C37061" w:rsidRDefault="00163128" w:rsidP="009A6B70">
      <w:pPr>
        <w:spacing w:after="200" w:line="276" w:lineRule="auto"/>
        <w:contextualSpacing/>
        <w:jc w:val="both"/>
        <w:rPr>
          <w:color w:val="000000"/>
          <w:sz w:val="22"/>
          <w:szCs w:val="22"/>
        </w:rPr>
      </w:pPr>
    </w:p>
    <w:p w14:paraId="301EFA5C" w14:textId="03AC7169" w:rsidR="009234FF" w:rsidRPr="00C37061" w:rsidRDefault="009A6B70" w:rsidP="009A6B70">
      <w:pPr>
        <w:spacing w:after="200" w:line="276" w:lineRule="auto"/>
        <w:contextualSpacing/>
        <w:jc w:val="both"/>
        <w:rPr>
          <w:color w:val="000000"/>
          <w:sz w:val="22"/>
          <w:szCs w:val="22"/>
        </w:rPr>
      </w:pPr>
      <w:r w:rsidRPr="00C37061">
        <w:rPr>
          <w:color w:val="000000"/>
          <w:sz w:val="22"/>
          <w:szCs w:val="22"/>
        </w:rPr>
        <w:t xml:space="preserve">The PBS advances the right to health and the right to social security by providing access to a benefit scheme that assists with advancement of this human right by providing patients with </w:t>
      </w:r>
      <w:proofErr w:type="spellStart"/>
      <w:r w:rsidRPr="00C37061">
        <w:rPr>
          <w:color w:val="000000"/>
          <w:sz w:val="22"/>
          <w:szCs w:val="22"/>
        </w:rPr>
        <w:t>subsidised</w:t>
      </w:r>
      <w:proofErr w:type="spellEnd"/>
      <w:r w:rsidRPr="00C37061">
        <w:rPr>
          <w:color w:val="000000"/>
          <w:sz w:val="22"/>
          <w:szCs w:val="22"/>
        </w:rPr>
        <w:t xml:space="preserve"> access to medicines. The recommendatory role of the Pharmaceutical Benefits Advisory Committee ensures that decisions made about </w:t>
      </w:r>
      <w:proofErr w:type="spellStart"/>
      <w:r w:rsidRPr="00C37061">
        <w:rPr>
          <w:color w:val="000000"/>
          <w:sz w:val="22"/>
          <w:szCs w:val="22"/>
        </w:rPr>
        <w:t>subsidised</w:t>
      </w:r>
      <w:proofErr w:type="spellEnd"/>
      <w:r w:rsidRPr="00C37061">
        <w:rPr>
          <w:color w:val="000000"/>
          <w:sz w:val="22"/>
          <w:szCs w:val="22"/>
        </w:rPr>
        <w:t xml:space="preserve"> access to medicines on the PBS are evidence-based.</w:t>
      </w:r>
    </w:p>
    <w:p w14:paraId="09877189" w14:textId="2C1B4493" w:rsidR="00C37061" w:rsidRPr="00C37061" w:rsidRDefault="00C37061" w:rsidP="009A6B70">
      <w:pPr>
        <w:spacing w:after="200" w:line="276" w:lineRule="auto"/>
        <w:contextualSpacing/>
        <w:jc w:val="both"/>
        <w:rPr>
          <w:color w:val="000000"/>
          <w:sz w:val="22"/>
          <w:szCs w:val="22"/>
        </w:rPr>
      </w:pPr>
    </w:p>
    <w:p w14:paraId="33F59E88" w14:textId="77777777" w:rsidR="00C37061" w:rsidRPr="00C37061" w:rsidRDefault="00C37061" w:rsidP="00C37061">
      <w:pPr>
        <w:shd w:val="clear" w:color="auto" w:fill="FFFFFF"/>
        <w:spacing w:afterLines="1000" w:after="2400" w:line="276" w:lineRule="auto"/>
        <w:contextualSpacing/>
        <w:jc w:val="both"/>
        <w:rPr>
          <w:snapToGrid/>
          <w:color w:val="000000"/>
          <w:sz w:val="22"/>
          <w:szCs w:val="22"/>
          <w:lang w:val="en-AU" w:eastAsia="en-AU"/>
        </w:rPr>
      </w:pPr>
      <w:r w:rsidRPr="00C37061">
        <w:rPr>
          <w:color w:val="000000"/>
          <w:sz w:val="22"/>
          <w:szCs w:val="22"/>
          <w:lang w:eastAsia="en-AU"/>
        </w:rPr>
        <w:t xml:space="preserve">A sunset-altering declaration may extend the operation of an instrument but does not change or affect the rights engaged under the original instrument, which have previously been subject to a Statement of Compatibility. </w:t>
      </w:r>
    </w:p>
    <w:p w14:paraId="70CF8DC3" w14:textId="77777777" w:rsidR="00C37061" w:rsidRPr="00C37061" w:rsidRDefault="00C37061" w:rsidP="00C37061">
      <w:pPr>
        <w:shd w:val="clear" w:color="auto" w:fill="FFFFFF"/>
        <w:spacing w:afterLines="1000" w:after="2400" w:line="276" w:lineRule="auto"/>
        <w:contextualSpacing/>
        <w:jc w:val="both"/>
        <w:rPr>
          <w:color w:val="000000"/>
          <w:sz w:val="22"/>
          <w:szCs w:val="22"/>
          <w:lang w:eastAsia="en-AU"/>
        </w:rPr>
      </w:pPr>
    </w:p>
    <w:p w14:paraId="657E612E" w14:textId="5ED548F1" w:rsidR="00C37061" w:rsidRPr="00C37061" w:rsidRDefault="00C37061" w:rsidP="00C37061">
      <w:pPr>
        <w:shd w:val="clear" w:color="auto" w:fill="FFFFFF"/>
        <w:spacing w:afterLines="1000" w:after="2400" w:line="276" w:lineRule="auto"/>
        <w:contextualSpacing/>
        <w:jc w:val="both"/>
        <w:rPr>
          <w:color w:val="000000"/>
          <w:sz w:val="22"/>
          <w:szCs w:val="22"/>
          <w:lang w:eastAsia="en-AU"/>
        </w:rPr>
      </w:pPr>
      <w:r w:rsidRPr="00C37061">
        <w:rPr>
          <w:color w:val="000000"/>
          <w:sz w:val="22"/>
          <w:szCs w:val="22"/>
          <w:lang w:eastAsia="en-AU"/>
        </w:rPr>
        <w:t xml:space="preserve">The Declaration itself is machinery in nature. It does not alter the arrangements in place under the </w:t>
      </w:r>
      <w:r>
        <w:rPr>
          <w:color w:val="000000"/>
          <w:sz w:val="22"/>
          <w:szCs w:val="22"/>
          <w:lang w:eastAsia="en-AU"/>
        </w:rPr>
        <w:t>National Health Instruments</w:t>
      </w:r>
      <w:r w:rsidRPr="00C37061">
        <w:rPr>
          <w:color w:val="000000"/>
          <w:sz w:val="22"/>
          <w:szCs w:val="22"/>
          <w:lang w:eastAsia="en-AU"/>
        </w:rPr>
        <w:t xml:space="preserve">, but extends the operation of the </w:t>
      </w:r>
      <w:r>
        <w:rPr>
          <w:color w:val="000000"/>
          <w:sz w:val="22"/>
          <w:szCs w:val="22"/>
          <w:lang w:eastAsia="en-AU"/>
        </w:rPr>
        <w:t>instruments</w:t>
      </w:r>
      <w:r w:rsidRPr="00C37061">
        <w:rPr>
          <w:color w:val="000000"/>
          <w:sz w:val="22"/>
          <w:szCs w:val="22"/>
          <w:lang w:eastAsia="en-AU"/>
        </w:rPr>
        <w:t xml:space="preserve"> to 1 April 202</w:t>
      </w:r>
      <w:r>
        <w:rPr>
          <w:color w:val="000000"/>
          <w:sz w:val="22"/>
          <w:szCs w:val="22"/>
          <w:lang w:eastAsia="en-AU"/>
        </w:rPr>
        <w:t>4</w:t>
      </w:r>
      <w:r w:rsidRPr="00C37061">
        <w:rPr>
          <w:color w:val="000000"/>
          <w:sz w:val="22"/>
          <w:szCs w:val="22"/>
          <w:lang w:eastAsia="en-AU"/>
        </w:rPr>
        <w:t xml:space="preserve">. The rights engaged under the </w:t>
      </w:r>
      <w:r>
        <w:rPr>
          <w:color w:val="000000"/>
          <w:sz w:val="22"/>
          <w:szCs w:val="22"/>
          <w:lang w:eastAsia="en-AU"/>
        </w:rPr>
        <w:t>National</w:t>
      </w:r>
      <w:r w:rsidRPr="00C37061">
        <w:rPr>
          <w:color w:val="000000"/>
          <w:sz w:val="22"/>
          <w:szCs w:val="22"/>
          <w:lang w:eastAsia="en-AU"/>
        </w:rPr>
        <w:t xml:space="preserve"> Health Instruments are not changed or substantially affected by the issuing of the Declaration. </w:t>
      </w:r>
    </w:p>
    <w:p w14:paraId="3C631EEB" w14:textId="77777777" w:rsidR="00C37061" w:rsidRPr="00C37061" w:rsidRDefault="00C37061" w:rsidP="00C37061">
      <w:pPr>
        <w:shd w:val="clear" w:color="auto" w:fill="FFFFFF"/>
        <w:spacing w:afterLines="1000" w:after="2400" w:line="276" w:lineRule="auto"/>
        <w:contextualSpacing/>
        <w:jc w:val="both"/>
        <w:rPr>
          <w:color w:val="000000"/>
          <w:sz w:val="22"/>
          <w:szCs w:val="22"/>
          <w:lang w:eastAsia="en-AU"/>
        </w:rPr>
      </w:pPr>
    </w:p>
    <w:p w14:paraId="41A5E4DA" w14:textId="23234228" w:rsidR="00C37061" w:rsidRPr="00C37061" w:rsidRDefault="00C37061" w:rsidP="00C37061">
      <w:pPr>
        <w:shd w:val="clear" w:color="auto" w:fill="FFFFFF"/>
        <w:spacing w:afterLines="1000" w:after="2400" w:line="276" w:lineRule="auto"/>
        <w:contextualSpacing/>
        <w:jc w:val="both"/>
        <w:rPr>
          <w:color w:val="000000"/>
          <w:sz w:val="22"/>
          <w:szCs w:val="22"/>
          <w:lang w:eastAsia="en-AU"/>
        </w:rPr>
      </w:pPr>
      <w:r w:rsidRPr="00C37061">
        <w:rPr>
          <w:color w:val="000000"/>
          <w:sz w:val="22"/>
          <w:szCs w:val="22"/>
          <w:lang w:eastAsia="en-AU"/>
        </w:rPr>
        <w:t xml:space="preserve">Before issuing the Declaration, the Attorney-General was satisfied that all instruments specified in the Declaration would be subject to a single thematic review. A thematic review is an effective mechanism for determining whether the instruments are fit for purpose, identifying opportunities to update, streamline and clarify the operation of the instruments and, where appropriate, reducing unnecessary regulation. The human rights impact of the </w:t>
      </w:r>
      <w:r>
        <w:rPr>
          <w:color w:val="000000"/>
          <w:sz w:val="22"/>
          <w:szCs w:val="22"/>
          <w:lang w:eastAsia="en-AU"/>
        </w:rPr>
        <w:t>National</w:t>
      </w:r>
      <w:r w:rsidRPr="00C37061">
        <w:rPr>
          <w:color w:val="000000"/>
          <w:sz w:val="22"/>
          <w:szCs w:val="22"/>
          <w:lang w:eastAsia="en-AU"/>
        </w:rPr>
        <w:t xml:space="preserve"> Health Instruments will be considered during the proposed review, and addressed in the Statement of Compatibility of each replacement instrument.</w:t>
      </w:r>
    </w:p>
    <w:p w14:paraId="68BF8C96" w14:textId="77777777" w:rsidR="009234FF" w:rsidRPr="004D2E18" w:rsidRDefault="009234FF" w:rsidP="009234FF">
      <w:pPr>
        <w:spacing w:after="200" w:line="276" w:lineRule="auto"/>
        <w:contextualSpacing/>
        <w:jc w:val="both"/>
        <w:rPr>
          <w:color w:val="000000"/>
          <w:sz w:val="22"/>
          <w:szCs w:val="22"/>
        </w:rPr>
      </w:pPr>
    </w:p>
    <w:p w14:paraId="17813F52" w14:textId="77777777" w:rsidR="009234FF" w:rsidRPr="004D2E18" w:rsidRDefault="009234FF" w:rsidP="009234FF">
      <w:pPr>
        <w:keepNext/>
        <w:keepLines/>
        <w:spacing w:after="200" w:line="276" w:lineRule="auto"/>
        <w:contextualSpacing/>
        <w:jc w:val="both"/>
        <w:rPr>
          <w:b/>
          <w:sz w:val="22"/>
          <w:szCs w:val="22"/>
        </w:rPr>
      </w:pPr>
      <w:r w:rsidRPr="004D2E18">
        <w:rPr>
          <w:b/>
          <w:sz w:val="22"/>
          <w:szCs w:val="22"/>
        </w:rPr>
        <w:t>Conclusion</w:t>
      </w:r>
    </w:p>
    <w:p w14:paraId="5466E4AF" w14:textId="77777777" w:rsidR="009234FF" w:rsidRPr="004D2E18" w:rsidRDefault="009234FF" w:rsidP="009234FF">
      <w:pPr>
        <w:spacing w:after="200" w:line="276" w:lineRule="auto"/>
        <w:contextualSpacing/>
        <w:jc w:val="both"/>
        <w:rPr>
          <w:b/>
          <w:sz w:val="22"/>
          <w:szCs w:val="22"/>
        </w:rPr>
      </w:pPr>
    </w:p>
    <w:p w14:paraId="0A5FFAC0" w14:textId="77777777" w:rsidR="009234FF" w:rsidRPr="004D2E18" w:rsidRDefault="009234FF" w:rsidP="009234FF">
      <w:pPr>
        <w:keepLines/>
        <w:spacing w:after="200" w:line="276" w:lineRule="auto"/>
        <w:contextualSpacing/>
        <w:jc w:val="both"/>
        <w:rPr>
          <w:sz w:val="22"/>
          <w:szCs w:val="22"/>
        </w:rPr>
      </w:pPr>
      <w:r w:rsidRPr="004D2E18">
        <w:rPr>
          <w:sz w:val="22"/>
          <w:szCs w:val="22"/>
        </w:rPr>
        <w:t>The Declaration is compatible with the human rights and freedoms recognised or declared in the international instruments listed in section 3 of the Human Rights Act, as it does not raise any human rights issues, and ensures that any proposal to make a replacement instrument will be subject to parliamentary oversight and scrutiny.</w:t>
      </w:r>
    </w:p>
    <w:p w14:paraId="1F233DD1" w14:textId="77777777" w:rsidR="009234FF" w:rsidRPr="004D2E18" w:rsidRDefault="009234FF" w:rsidP="009234FF">
      <w:pPr>
        <w:widowControl/>
        <w:spacing w:after="160" w:line="259" w:lineRule="auto"/>
        <w:rPr>
          <w:color w:val="000000"/>
          <w:sz w:val="22"/>
          <w:szCs w:val="22"/>
        </w:rPr>
      </w:pPr>
      <w:r w:rsidRPr="004D2E18">
        <w:rPr>
          <w:color w:val="000000"/>
          <w:sz w:val="22"/>
          <w:szCs w:val="22"/>
        </w:rPr>
        <w:br w:type="page"/>
      </w:r>
    </w:p>
    <w:p w14:paraId="260738E5" w14:textId="77777777" w:rsidR="009234FF" w:rsidRPr="008A1CD5" w:rsidRDefault="009234FF" w:rsidP="00171010">
      <w:pPr>
        <w:widowControl/>
        <w:spacing w:after="200" w:line="276" w:lineRule="auto"/>
        <w:ind w:left="6480" w:firstLine="720"/>
        <w:contextualSpacing/>
        <w:jc w:val="both"/>
        <w:rPr>
          <w:rStyle w:val="Heading1Char"/>
          <w:rFonts w:eastAsiaTheme="majorEastAsia"/>
          <w:b w:val="0"/>
          <w:color w:val="000000" w:themeColor="text1"/>
          <w:sz w:val="22"/>
          <w:szCs w:val="22"/>
        </w:rPr>
      </w:pPr>
      <w:r w:rsidRPr="008A1CD5">
        <w:rPr>
          <w:rStyle w:val="Heading1Char"/>
          <w:rFonts w:eastAsiaTheme="majorEastAsia"/>
          <w:color w:val="000000" w:themeColor="text1"/>
          <w:sz w:val="22"/>
          <w:szCs w:val="22"/>
        </w:rPr>
        <w:lastRenderedPageBreak/>
        <w:t>ATTACHMENT A</w:t>
      </w:r>
    </w:p>
    <w:p w14:paraId="7E1E64FB" w14:textId="77777777" w:rsidR="009234FF" w:rsidRPr="00AD784C" w:rsidRDefault="009234FF" w:rsidP="009234FF">
      <w:pPr>
        <w:pStyle w:val="Heading2"/>
        <w:spacing w:before="0" w:after="160" w:line="259" w:lineRule="auto"/>
        <w:rPr>
          <w:rFonts w:ascii="Times New Roman" w:hAnsi="Times New Roman" w:cs="Times New Roman"/>
          <w:b/>
        </w:rPr>
      </w:pPr>
      <w:r w:rsidRPr="00AD784C">
        <w:rPr>
          <w:rFonts w:ascii="Times New Roman" w:hAnsi="Times New Roman" w:cs="Times New Roman"/>
          <w:b/>
          <w:color w:val="auto"/>
          <w:sz w:val="22"/>
        </w:rPr>
        <w:t>NOTES ON THE DECLARATION</w:t>
      </w:r>
      <w:r w:rsidRPr="00AD784C">
        <w:rPr>
          <w:rFonts w:ascii="Times New Roman" w:hAnsi="Times New Roman" w:cs="Times New Roman"/>
          <w:b/>
          <w:color w:val="auto"/>
          <w:sz w:val="22"/>
        </w:rPr>
        <w:tab/>
      </w:r>
      <w:r w:rsidRPr="00AD784C">
        <w:rPr>
          <w:rFonts w:ascii="Times New Roman" w:hAnsi="Times New Roman" w:cs="Times New Roman"/>
          <w:b/>
        </w:rPr>
        <w:tab/>
      </w:r>
      <w:r w:rsidRPr="00AD784C">
        <w:rPr>
          <w:rFonts w:ascii="Times New Roman" w:hAnsi="Times New Roman" w:cs="Times New Roman"/>
          <w:b/>
        </w:rPr>
        <w:tab/>
        <w:t xml:space="preserve">       </w:t>
      </w:r>
    </w:p>
    <w:p w14:paraId="6F14EF6F" w14:textId="77777777" w:rsidR="009234FF" w:rsidRPr="00AD784C" w:rsidRDefault="009234FF" w:rsidP="009234FF">
      <w:pPr>
        <w:pStyle w:val="Heading3"/>
        <w:spacing w:before="0" w:after="160" w:line="259" w:lineRule="auto"/>
        <w:rPr>
          <w:rFonts w:ascii="Times New Roman" w:hAnsi="Times New Roman" w:cs="Times New Roman"/>
          <w:b/>
          <w:color w:val="auto"/>
          <w:sz w:val="22"/>
          <w:szCs w:val="22"/>
        </w:rPr>
      </w:pPr>
      <w:r w:rsidRPr="00AD784C">
        <w:rPr>
          <w:rFonts w:ascii="Times New Roman" w:hAnsi="Times New Roman" w:cs="Times New Roman"/>
          <w:b/>
          <w:color w:val="auto"/>
          <w:sz w:val="22"/>
          <w:szCs w:val="22"/>
        </w:rPr>
        <w:t>Section 1</w:t>
      </w:r>
      <w:r w:rsidRPr="00AD784C">
        <w:rPr>
          <w:rFonts w:ascii="Times New Roman" w:hAnsi="Times New Roman" w:cs="Times New Roman"/>
          <w:b/>
          <w:color w:val="auto"/>
          <w:sz w:val="22"/>
          <w:szCs w:val="22"/>
        </w:rPr>
        <w:tab/>
        <w:t>Name</w:t>
      </w:r>
    </w:p>
    <w:p w14:paraId="11327814" w14:textId="77777777" w:rsidR="009234FF" w:rsidRPr="00AD784C" w:rsidRDefault="009234FF" w:rsidP="009234FF">
      <w:pPr>
        <w:spacing w:after="160" w:line="259" w:lineRule="auto"/>
        <w:rPr>
          <w:sz w:val="22"/>
          <w:szCs w:val="22"/>
        </w:rPr>
      </w:pPr>
    </w:p>
    <w:p w14:paraId="58354964" w14:textId="72A99CBA" w:rsidR="009234FF" w:rsidRPr="00AD784C" w:rsidRDefault="009234FF" w:rsidP="009234FF">
      <w:pPr>
        <w:spacing w:after="160" w:line="259" w:lineRule="auto"/>
        <w:rPr>
          <w:sz w:val="22"/>
          <w:szCs w:val="22"/>
        </w:rPr>
      </w:pPr>
      <w:r w:rsidRPr="00AD784C">
        <w:rPr>
          <w:sz w:val="22"/>
          <w:szCs w:val="22"/>
        </w:rPr>
        <w:t xml:space="preserve">This section provides for the </w:t>
      </w:r>
      <w:r w:rsidR="00F377CF">
        <w:rPr>
          <w:sz w:val="22"/>
          <w:szCs w:val="22"/>
        </w:rPr>
        <w:t>D</w:t>
      </w:r>
      <w:r w:rsidRPr="00AD784C">
        <w:rPr>
          <w:sz w:val="22"/>
          <w:szCs w:val="22"/>
        </w:rPr>
        <w:t xml:space="preserve">eclaration to be named the </w:t>
      </w:r>
      <w:r w:rsidRPr="004C4FA0">
        <w:rPr>
          <w:i/>
          <w:iCs/>
          <w:sz w:val="22"/>
          <w:szCs w:val="22"/>
        </w:rPr>
        <w:t>Legislation (</w:t>
      </w:r>
      <w:r w:rsidR="004C4FA0" w:rsidRPr="004C4FA0">
        <w:rPr>
          <w:i/>
          <w:iCs/>
          <w:sz w:val="22"/>
          <w:szCs w:val="22"/>
        </w:rPr>
        <w:t>National Health</w:t>
      </w:r>
      <w:r w:rsidR="00B3187D" w:rsidRPr="004C4FA0">
        <w:rPr>
          <w:i/>
          <w:iCs/>
          <w:sz w:val="22"/>
          <w:szCs w:val="22"/>
        </w:rPr>
        <w:t xml:space="preserve"> </w:t>
      </w:r>
      <w:r w:rsidRPr="004C4FA0">
        <w:rPr>
          <w:i/>
          <w:iCs/>
          <w:sz w:val="22"/>
          <w:szCs w:val="22"/>
        </w:rPr>
        <w:t>Instruments) Sunset-altering Declaration 2022</w:t>
      </w:r>
      <w:r w:rsidRPr="004C4FA0">
        <w:rPr>
          <w:sz w:val="22"/>
          <w:szCs w:val="22"/>
        </w:rPr>
        <w:t>. The declaration may be cited by that name.</w:t>
      </w:r>
      <w:r w:rsidRPr="00AD784C">
        <w:rPr>
          <w:sz w:val="22"/>
          <w:szCs w:val="22"/>
        </w:rPr>
        <w:t xml:space="preserve"> </w:t>
      </w:r>
    </w:p>
    <w:p w14:paraId="0F4D6F07" w14:textId="77777777" w:rsidR="009234FF" w:rsidRPr="00AD784C" w:rsidRDefault="009234FF" w:rsidP="009234FF">
      <w:pPr>
        <w:spacing w:after="160" w:line="259" w:lineRule="auto"/>
        <w:rPr>
          <w:sz w:val="22"/>
          <w:szCs w:val="22"/>
        </w:rPr>
      </w:pPr>
    </w:p>
    <w:p w14:paraId="28A91006" w14:textId="77777777" w:rsidR="009234FF" w:rsidRPr="00AD784C" w:rsidRDefault="009234FF" w:rsidP="009234FF">
      <w:pPr>
        <w:pStyle w:val="Heading3"/>
        <w:spacing w:before="0" w:after="160" w:line="259" w:lineRule="auto"/>
        <w:rPr>
          <w:rFonts w:ascii="Times New Roman" w:hAnsi="Times New Roman" w:cs="Times New Roman"/>
          <w:b/>
          <w:color w:val="auto"/>
          <w:sz w:val="22"/>
          <w:szCs w:val="22"/>
        </w:rPr>
      </w:pPr>
      <w:r w:rsidRPr="00AD784C">
        <w:rPr>
          <w:rFonts w:ascii="Times New Roman" w:hAnsi="Times New Roman" w:cs="Times New Roman"/>
          <w:b/>
          <w:color w:val="auto"/>
          <w:sz w:val="22"/>
          <w:szCs w:val="22"/>
        </w:rPr>
        <w:t xml:space="preserve">Section 2 </w:t>
      </w:r>
      <w:r w:rsidRPr="00AD784C">
        <w:rPr>
          <w:rFonts w:ascii="Times New Roman" w:hAnsi="Times New Roman" w:cs="Times New Roman"/>
          <w:b/>
          <w:color w:val="auto"/>
          <w:sz w:val="22"/>
          <w:szCs w:val="22"/>
        </w:rPr>
        <w:tab/>
        <w:t>Commencement</w:t>
      </w:r>
    </w:p>
    <w:p w14:paraId="78D87DA8" w14:textId="77777777" w:rsidR="009234FF" w:rsidRPr="00AD784C" w:rsidRDefault="009234FF" w:rsidP="009234FF">
      <w:pPr>
        <w:spacing w:after="160" w:line="259" w:lineRule="auto"/>
        <w:rPr>
          <w:sz w:val="22"/>
          <w:szCs w:val="22"/>
          <w:lang w:val="en-AU"/>
        </w:rPr>
      </w:pPr>
    </w:p>
    <w:p w14:paraId="2459A12D" w14:textId="6FEE78F7" w:rsidR="009234FF" w:rsidRPr="00AD784C" w:rsidRDefault="009234FF" w:rsidP="009234FF">
      <w:pPr>
        <w:spacing w:after="160" w:line="259" w:lineRule="auto"/>
        <w:rPr>
          <w:sz w:val="22"/>
          <w:szCs w:val="22"/>
          <w:lang w:val="en-AU"/>
        </w:rPr>
      </w:pPr>
      <w:r w:rsidRPr="00AD784C">
        <w:rPr>
          <w:sz w:val="22"/>
          <w:szCs w:val="22"/>
          <w:lang w:val="en-AU"/>
        </w:rPr>
        <w:t xml:space="preserve">This section provides for the </w:t>
      </w:r>
      <w:r w:rsidR="00F377CF">
        <w:rPr>
          <w:sz w:val="22"/>
          <w:szCs w:val="22"/>
          <w:lang w:val="en-AU"/>
        </w:rPr>
        <w:t>D</w:t>
      </w:r>
      <w:r w:rsidRPr="00AD784C">
        <w:rPr>
          <w:sz w:val="22"/>
          <w:szCs w:val="22"/>
          <w:lang w:val="en-AU"/>
        </w:rPr>
        <w:t xml:space="preserve">eclaration to commence on the day after it is registered. </w:t>
      </w:r>
    </w:p>
    <w:p w14:paraId="1D88FAAA" w14:textId="77777777" w:rsidR="009234FF" w:rsidRPr="00AD784C" w:rsidRDefault="009234FF" w:rsidP="009234FF">
      <w:pPr>
        <w:pStyle w:val="Heading3"/>
        <w:spacing w:before="0" w:after="160" w:line="259" w:lineRule="auto"/>
        <w:rPr>
          <w:rFonts w:ascii="Times New Roman" w:hAnsi="Times New Roman" w:cs="Times New Roman"/>
          <w:color w:val="auto"/>
          <w:sz w:val="22"/>
          <w:szCs w:val="22"/>
        </w:rPr>
      </w:pPr>
    </w:p>
    <w:p w14:paraId="2B0511E4" w14:textId="77777777" w:rsidR="009234FF" w:rsidRPr="00AD784C" w:rsidRDefault="009234FF" w:rsidP="009234FF">
      <w:pPr>
        <w:pStyle w:val="Heading3"/>
        <w:spacing w:before="0" w:after="160" w:line="259" w:lineRule="auto"/>
        <w:rPr>
          <w:rFonts w:ascii="Times New Roman" w:hAnsi="Times New Roman" w:cs="Times New Roman"/>
          <w:b/>
          <w:color w:val="auto"/>
          <w:sz w:val="22"/>
          <w:szCs w:val="22"/>
        </w:rPr>
      </w:pPr>
      <w:r w:rsidRPr="00AD784C">
        <w:rPr>
          <w:rFonts w:ascii="Times New Roman" w:hAnsi="Times New Roman" w:cs="Times New Roman"/>
          <w:b/>
          <w:color w:val="auto"/>
          <w:sz w:val="22"/>
          <w:szCs w:val="22"/>
        </w:rPr>
        <w:t>Section 3</w:t>
      </w:r>
      <w:r w:rsidRPr="00AD784C">
        <w:rPr>
          <w:rFonts w:ascii="Times New Roman" w:hAnsi="Times New Roman" w:cs="Times New Roman"/>
          <w:b/>
          <w:color w:val="auto"/>
          <w:sz w:val="22"/>
          <w:szCs w:val="22"/>
        </w:rPr>
        <w:tab/>
        <w:t>Authority</w:t>
      </w:r>
    </w:p>
    <w:p w14:paraId="7C8C3243" w14:textId="77777777" w:rsidR="009234FF" w:rsidRPr="00AD784C" w:rsidRDefault="009234FF" w:rsidP="009234FF">
      <w:pPr>
        <w:spacing w:after="160" w:line="259" w:lineRule="auto"/>
        <w:rPr>
          <w:sz w:val="22"/>
          <w:szCs w:val="22"/>
          <w:lang w:val="en-AU"/>
        </w:rPr>
      </w:pPr>
    </w:p>
    <w:p w14:paraId="29713DC3" w14:textId="2AA37D10" w:rsidR="009234FF" w:rsidRPr="00AD784C" w:rsidRDefault="009234FF" w:rsidP="009234FF">
      <w:pPr>
        <w:spacing w:after="160" w:line="259" w:lineRule="auto"/>
        <w:rPr>
          <w:sz w:val="22"/>
          <w:szCs w:val="22"/>
          <w:lang w:val="en-AU"/>
        </w:rPr>
      </w:pPr>
      <w:r w:rsidRPr="00AD784C">
        <w:rPr>
          <w:sz w:val="22"/>
          <w:szCs w:val="22"/>
          <w:lang w:val="en-AU"/>
        </w:rPr>
        <w:t xml:space="preserve">This section provides that the </w:t>
      </w:r>
      <w:r w:rsidR="00F377CF">
        <w:rPr>
          <w:sz w:val="22"/>
          <w:szCs w:val="22"/>
          <w:lang w:val="en-AU"/>
        </w:rPr>
        <w:t>D</w:t>
      </w:r>
      <w:r w:rsidRPr="00AD784C">
        <w:rPr>
          <w:sz w:val="22"/>
          <w:szCs w:val="22"/>
          <w:lang w:val="en-AU"/>
        </w:rPr>
        <w:t>eclaration is made under subsection 51</w:t>
      </w:r>
      <w:proofErr w:type="gramStart"/>
      <w:r w:rsidRPr="00AD784C">
        <w:rPr>
          <w:sz w:val="22"/>
          <w:szCs w:val="22"/>
          <w:lang w:val="en-AU"/>
        </w:rPr>
        <w:t>A(</w:t>
      </w:r>
      <w:proofErr w:type="gramEnd"/>
      <w:r w:rsidRPr="00AD784C">
        <w:rPr>
          <w:sz w:val="22"/>
          <w:szCs w:val="22"/>
          <w:lang w:val="en-AU"/>
        </w:rPr>
        <w:t xml:space="preserve">1) of the </w:t>
      </w:r>
      <w:r w:rsidRPr="00AD784C">
        <w:rPr>
          <w:i/>
          <w:sz w:val="22"/>
          <w:szCs w:val="22"/>
          <w:lang w:val="en-AU"/>
        </w:rPr>
        <w:t>Legislation Act 2003</w:t>
      </w:r>
      <w:r w:rsidRPr="00AD784C">
        <w:rPr>
          <w:sz w:val="22"/>
          <w:szCs w:val="22"/>
          <w:lang w:val="en-AU"/>
        </w:rPr>
        <w:t>.</w:t>
      </w:r>
    </w:p>
    <w:p w14:paraId="785B1A68" w14:textId="77777777" w:rsidR="009234FF" w:rsidRPr="00AD784C" w:rsidRDefault="009234FF" w:rsidP="009234FF">
      <w:pPr>
        <w:pStyle w:val="Heading3"/>
        <w:spacing w:before="0" w:after="160" w:line="259" w:lineRule="auto"/>
        <w:rPr>
          <w:rFonts w:ascii="Times New Roman" w:hAnsi="Times New Roman" w:cs="Times New Roman"/>
          <w:color w:val="auto"/>
          <w:sz w:val="22"/>
          <w:szCs w:val="22"/>
        </w:rPr>
      </w:pPr>
    </w:p>
    <w:p w14:paraId="5A110D4D" w14:textId="77777777" w:rsidR="009234FF" w:rsidRPr="00AD784C" w:rsidRDefault="009234FF" w:rsidP="009234FF">
      <w:pPr>
        <w:pStyle w:val="Heading3"/>
        <w:spacing w:before="0" w:after="160" w:line="259" w:lineRule="auto"/>
        <w:rPr>
          <w:rFonts w:ascii="Times New Roman" w:hAnsi="Times New Roman" w:cs="Times New Roman"/>
          <w:b/>
          <w:color w:val="auto"/>
          <w:sz w:val="22"/>
          <w:szCs w:val="22"/>
        </w:rPr>
      </w:pPr>
      <w:r w:rsidRPr="00AD784C">
        <w:rPr>
          <w:rFonts w:ascii="Times New Roman" w:hAnsi="Times New Roman" w:cs="Times New Roman"/>
          <w:b/>
          <w:color w:val="auto"/>
          <w:sz w:val="22"/>
          <w:szCs w:val="22"/>
        </w:rPr>
        <w:t>Section 4</w:t>
      </w:r>
      <w:r w:rsidRPr="00AD784C">
        <w:rPr>
          <w:rFonts w:ascii="Times New Roman" w:hAnsi="Times New Roman" w:cs="Times New Roman"/>
          <w:b/>
          <w:color w:val="auto"/>
          <w:sz w:val="22"/>
          <w:szCs w:val="22"/>
        </w:rPr>
        <w:tab/>
        <w:t>Aligning of sunsetting</w:t>
      </w:r>
    </w:p>
    <w:p w14:paraId="5B38372F" w14:textId="77777777" w:rsidR="009234FF" w:rsidRPr="00AD784C" w:rsidRDefault="009234FF" w:rsidP="009234FF">
      <w:pPr>
        <w:pStyle w:val="Default"/>
        <w:spacing w:after="160" w:line="259" w:lineRule="auto"/>
        <w:rPr>
          <w:color w:val="auto"/>
          <w:sz w:val="22"/>
          <w:szCs w:val="22"/>
        </w:rPr>
      </w:pPr>
    </w:p>
    <w:p w14:paraId="55AF66D9" w14:textId="77777777" w:rsidR="00B3187D" w:rsidRDefault="009234FF" w:rsidP="00B3187D">
      <w:pPr>
        <w:pStyle w:val="Default"/>
        <w:spacing w:after="160" w:line="259" w:lineRule="auto"/>
        <w:rPr>
          <w:color w:val="auto"/>
          <w:sz w:val="22"/>
          <w:szCs w:val="22"/>
        </w:rPr>
      </w:pPr>
      <w:r w:rsidRPr="00AD784C">
        <w:rPr>
          <w:color w:val="auto"/>
          <w:sz w:val="22"/>
          <w:szCs w:val="22"/>
        </w:rPr>
        <w:t xml:space="preserve">This section provides that the following instruments are repealed by section 51A of the </w:t>
      </w:r>
      <w:r w:rsidRPr="00AD784C">
        <w:rPr>
          <w:i/>
          <w:iCs/>
          <w:color w:val="auto"/>
          <w:sz w:val="22"/>
          <w:szCs w:val="22"/>
        </w:rPr>
        <w:t xml:space="preserve">Legislation Act 2003 </w:t>
      </w:r>
      <w:r w:rsidRPr="00AD784C">
        <w:rPr>
          <w:color w:val="auto"/>
          <w:sz w:val="22"/>
          <w:szCs w:val="22"/>
        </w:rPr>
        <w:t xml:space="preserve">on 1 </w:t>
      </w:r>
      <w:r>
        <w:rPr>
          <w:color w:val="auto"/>
          <w:sz w:val="22"/>
          <w:szCs w:val="22"/>
        </w:rPr>
        <w:t>April 2024</w:t>
      </w:r>
      <w:r w:rsidRPr="00AD784C">
        <w:rPr>
          <w:color w:val="auto"/>
          <w:sz w:val="22"/>
          <w:szCs w:val="22"/>
        </w:rPr>
        <w:t xml:space="preserve">: </w:t>
      </w:r>
    </w:p>
    <w:p w14:paraId="38F6C705" w14:textId="6A0DCCF4" w:rsidR="007E2734" w:rsidRPr="007E2734" w:rsidRDefault="00B3187D" w:rsidP="007E2734">
      <w:pPr>
        <w:pStyle w:val="Default"/>
        <w:numPr>
          <w:ilvl w:val="0"/>
          <w:numId w:val="11"/>
        </w:numPr>
        <w:spacing w:after="160" w:line="259" w:lineRule="auto"/>
        <w:rPr>
          <w:color w:val="auto"/>
          <w:sz w:val="22"/>
          <w:szCs w:val="22"/>
        </w:rPr>
      </w:pPr>
      <w:r w:rsidRPr="00B3187D">
        <w:rPr>
          <w:sz w:val="22"/>
          <w:szCs w:val="22"/>
        </w:rPr>
        <w:t xml:space="preserve">the </w:t>
      </w:r>
      <w:r w:rsidRPr="009E1620">
        <w:rPr>
          <w:i/>
          <w:sz w:val="22"/>
          <w:szCs w:val="22"/>
        </w:rPr>
        <w:t>National Health (Efficient Funding of Chemotherapy) Special Arrangement 2011</w:t>
      </w:r>
      <w:r w:rsidR="007E2734">
        <w:rPr>
          <w:sz w:val="22"/>
          <w:szCs w:val="22"/>
        </w:rPr>
        <w:t>;</w:t>
      </w:r>
      <w:r w:rsidR="007E2734" w:rsidRPr="007E2734">
        <w:rPr>
          <w:sz w:val="22"/>
          <w:szCs w:val="22"/>
        </w:rPr>
        <w:t xml:space="preserve"> </w:t>
      </w:r>
    </w:p>
    <w:p w14:paraId="540EAE3B" w14:textId="7DB266A6" w:rsidR="007E2734" w:rsidRPr="007E2734" w:rsidRDefault="007E2734" w:rsidP="007E2734">
      <w:pPr>
        <w:pStyle w:val="Default"/>
        <w:numPr>
          <w:ilvl w:val="0"/>
          <w:numId w:val="11"/>
        </w:numPr>
        <w:spacing w:after="160" w:line="259" w:lineRule="auto"/>
        <w:rPr>
          <w:color w:val="auto"/>
          <w:sz w:val="22"/>
          <w:szCs w:val="22"/>
        </w:rPr>
      </w:pPr>
      <w:r>
        <w:rPr>
          <w:sz w:val="22"/>
          <w:szCs w:val="22"/>
        </w:rPr>
        <w:t>t</w:t>
      </w:r>
      <w:r w:rsidRPr="00B3187D">
        <w:rPr>
          <w:sz w:val="22"/>
          <w:szCs w:val="22"/>
        </w:rPr>
        <w:t xml:space="preserve">he </w:t>
      </w:r>
      <w:r w:rsidRPr="009E1620">
        <w:rPr>
          <w:i/>
          <w:sz w:val="22"/>
          <w:szCs w:val="22"/>
        </w:rPr>
        <w:t>National Health (Listing of Pharmaceutical Benefits) Instrument 2012</w:t>
      </w:r>
      <w:r w:rsidR="00C44C45">
        <w:rPr>
          <w:sz w:val="22"/>
          <w:szCs w:val="22"/>
        </w:rPr>
        <w:t xml:space="preserve">; </w:t>
      </w:r>
      <w:r w:rsidRPr="00B3187D">
        <w:rPr>
          <w:sz w:val="22"/>
          <w:szCs w:val="22"/>
        </w:rPr>
        <w:t>and</w:t>
      </w:r>
    </w:p>
    <w:p w14:paraId="1149257D" w14:textId="327E528F" w:rsidR="00B3187D" w:rsidRPr="007E2734" w:rsidRDefault="007E2734" w:rsidP="007E2734">
      <w:pPr>
        <w:pStyle w:val="Default"/>
        <w:numPr>
          <w:ilvl w:val="0"/>
          <w:numId w:val="11"/>
        </w:numPr>
        <w:spacing w:after="160" w:line="259" w:lineRule="auto"/>
        <w:rPr>
          <w:color w:val="auto"/>
          <w:sz w:val="22"/>
          <w:szCs w:val="22"/>
        </w:rPr>
      </w:pPr>
      <w:r w:rsidRPr="00B3187D">
        <w:rPr>
          <w:sz w:val="22"/>
          <w:szCs w:val="22"/>
        </w:rPr>
        <w:t xml:space="preserve">the </w:t>
      </w:r>
      <w:r w:rsidRPr="009E1620">
        <w:rPr>
          <w:i/>
          <w:sz w:val="22"/>
          <w:szCs w:val="22"/>
        </w:rPr>
        <w:t>National Health (Prescriber bag supplies) Determination 2012</w:t>
      </w:r>
      <w:r>
        <w:rPr>
          <w:sz w:val="22"/>
          <w:szCs w:val="22"/>
        </w:rPr>
        <w:t>.</w:t>
      </w:r>
    </w:p>
    <w:p w14:paraId="4BE3A665" w14:textId="23FBB5A7" w:rsidR="009234FF" w:rsidRPr="00AD784C" w:rsidRDefault="009234FF" w:rsidP="009234FF">
      <w:pPr>
        <w:spacing w:after="160" w:line="259" w:lineRule="auto"/>
        <w:rPr>
          <w:sz w:val="22"/>
          <w:szCs w:val="22"/>
        </w:rPr>
      </w:pPr>
      <w:r w:rsidRPr="00AD784C">
        <w:rPr>
          <w:sz w:val="22"/>
          <w:szCs w:val="22"/>
        </w:rPr>
        <w:t xml:space="preserve">1 </w:t>
      </w:r>
      <w:r>
        <w:rPr>
          <w:sz w:val="22"/>
          <w:szCs w:val="22"/>
        </w:rPr>
        <w:t>April 2024</w:t>
      </w:r>
      <w:r w:rsidRPr="00AD784C">
        <w:rPr>
          <w:sz w:val="22"/>
          <w:szCs w:val="22"/>
        </w:rPr>
        <w:t xml:space="preserve"> is the aligned sunsetting day for those instruments, which would otherwise have sunset on 1</w:t>
      </w:r>
      <w:r w:rsidR="00886C5B">
        <w:rPr>
          <w:sz w:val="22"/>
          <w:szCs w:val="22"/>
        </w:rPr>
        <w:t xml:space="preserve"> April 2024, 1</w:t>
      </w:r>
      <w:r w:rsidRPr="00AD784C">
        <w:rPr>
          <w:sz w:val="22"/>
          <w:szCs w:val="22"/>
        </w:rPr>
        <w:t xml:space="preserve"> October 2022</w:t>
      </w:r>
      <w:r w:rsidR="00886C5B">
        <w:rPr>
          <w:sz w:val="22"/>
          <w:szCs w:val="22"/>
        </w:rPr>
        <w:t xml:space="preserve"> and 1 </w:t>
      </w:r>
      <w:r w:rsidR="00B3187D">
        <w:rPr>
          <w:sz w:val="22"/>
          <w:szCs w:val="22"/>
        </w:rPr>
        <w:t>October 2022</w:t>
      </w:r>
      <w:r w:rsidR="00886C5B">
        <w:rPr>
          <w:sz w:val="22"/>
          <w:szCs w:val="22"/>
        </w:rPr>
        <w:t xml:space="preserve"> </w:t>
      </w:r>
      <w:r w:rsidRPr="00AD784C">
        <w:rPr>
          <w:sz w:val="22"/>
          <w:szCs w:val="22"/>
        </w:rPr>
        <w:t>respectively.</w:t>
      </w:r>
    </w:p>
    <w:p w14:paraId="777360B5" w14:textId="77777777" w:rsidR="009234FF" w:rsidRPr="00AD784C" w:rsidRDefault="009234FF" w:rsidP="009234FF">
      <w:pPr>
        <w:pStyle w:val="Heading3"/>
        <w:spacing w:before="0" w:after="160" w:line="259" w:lineRule="auto"/>
        <w:rPr>
          <w:rFonts w:ascii="Times New Roman" w:hAnsi="Times New Roman" w:cs="Times New Roman"/>
          <w:color w:val="auto"/>
          <w:sz w:val="22"/>
          <w:szCs w:val="22"/>
        </w:rPr>
      </w:pPr>
    </w:p>
    <w:p w14:paraId="2051EECD" w14:textId="77777777" w:rsidR="009234FF" w:rsidRPr="00AD784C" w:rsidRDefault="009234FF" w:rsidP="009234FF">
      <w:pPr>
        <w:pStyle w:val="Heading3"/>
        <w:spacing w:before="0" w:after="160" w:line="259" w:lineRule="auto"/>
        <w:rPr>
          <w:rFonts w:ascii="Times New Roman" w:hAnsi="Times New Roman" w:cs="Times New Roman"/>
          <w:b/>
          <w:color w:val="auto"/>
          <w:sz w:val="22"/>
          <w:szCs w:val="22"/>
        </w:rPr>
      </w:pPr>
      <w:r w:rsidRPr="00AD784C">
        <w:rPr>
          <w:rFonts w:ascii="Times New Roman" w:hAnsi="Times New Roman" w:cs="Times New Roman"/>
          <w:b/>
          <w:color w:val="auto"/>
          <w:sz w:val="22"/>
          <w:szCs w:val="22"/>
        </w:rPr>
        <w:t>Section 5</w:t>
      </w:r>
      <w:r w:rsidRPr="00AD784C">
        <w:rPr>
          <w:rFonts w:ascii="Times New Roman" w:hAnsi="Times New Roman" w:cs="Times New Roman"/>
          <w:b/>
          <w:color w:val="auto"/>
          <w:sz w:val="22"/>
          <w:szCs w:val="22"/>
        </w:rPr>
        <w:tab/>
        <w:t>Repeal of this instrument</w:t>
      </w:r>
    </w:p>
    <w:p w14:paraId="0242E972" w14:textId="77777777" w:rsidR="009234FF" w:rsidRPr="00AD784C" w:rsidRDefault="009234FF" w:rsidP="009234FF">
      <w:pPr>
        <w:pStyle w:val="subsection"/>
        <w:spacing w:before="0" w:after="160" w:line="259" w:lineRule="auto"/>
        <w:ind w:left="0" w:firstLine="0"/>
        <w:jc w:val="both"/>
        <w:rPr>
          <w:snapToGrid/>
          <w:sz w:val="22"/>
          <w:szCs w:val="22"/>
          <w:lang w:val="en-AU" w:eastAsia="en-US"/>
        </w:rPr>
      </w:pPr>
    </w:p>
    <w:p w14:paraId="5C026C04" w14:textId="5D01A6DA" w:rsidR="009234FF" w:rsidRPr="00AD784C" w:rsidRDefault="009234FF" w:rsidP="009234FF">
      <w:pPr>
        <w:pStyle w:val="subsection"/>
        <w:spacing w:before="0" w:after="160" w:line="259" w:lineRule="auto"/>
        <w:ind w:left="0" w:firstLine="0"/>
        <w:jc w:val="both"/>
        <w:rPr>
          <w:sz w:val="22"/>
          <w:szCs w:val="22"/>
          <w:lang w:val="en-AU"/>
        </w:rPr>
      </w:pPr>
      <w:r w:rsidRPr="00AD784C">
        <w:rPr>
          <w:snapToGrid/>
          <w:sz w:val="22"/>
          <w:szCs w:val="22"/>
          <w:lang w:val="en-AU" w:eastAsia="en-US"/>
        </w:rPr>
        <w:t xml:space="preserve">This section provides that the </w:t>
      </w:r>
      <w:r w:rsidR="00F377CF">
        <w:rPr>
          <w:snapToGrid/>
          <w:sz w:val="22"/>
          <w:szCs w:val="22"/>
          <w:lang w:val="en-AU" w:eastAsia="en-US"/>
        </w:rPr>
        <w:t xml:space="preserve">Declaration </w:t>
      </w:r>
      <w:r w:rsidRPr="00AD784C">
        <w:rPr>
          <w:snapToGrid/>
          <w:sz w:val="22"/>
          <w:szCs w:val="22"/>
          <w:lang w:val="en-AU" w:eastAsia="en-US"/>
        </w:rPr>
        <w:t>is repealed at the start of 2</w:t>
      </w:r>
      <w:r>
        <w:rPr>
          <w:snapToGrid/>
          <w:sz w:val="22"/>
          <w:szCs w:val="22"/>
          <w:lang w:val="en-AU" w:eastAsia="en-US"/>
        </w:rPr>
        <w:t xml:space="preserve"> April 2024</w:t>
      </w:r>
      <w:r w:rsidRPr="00AD784C">
        <w:rPr>
          <w:sz w:val="22"/>
          <w:szCs w:val="22"/>
        </w:rPr>
        <w:t>.</w:t>
      </w:r>
    </w:p>
    <w:p w14:paraId="63F6B8BC" w14:textId="77777777" w:rsidR="009234FF" w:rsidRPr="00D47B64" w:rsidRDefault="009234FF" w:rsidP="009234FF">
      <w:pPr>
        <w:spacing w:after="200" w:line="276" w:lineRule="auto"/>
        <w:contextualSpacing/>
        <w:jc w:val="both"/>
        <w:rPr>
          <w:color w:val="000000"/>
          <w:sz w:val="22"/>
          <w:szCs w:val="22"/>
        </w:rPr>
      </w:pPr>
    </w:p>
    <w:p w14:paraId="0B19E8A1" w14:textId="77777777" w:rsidR="004E2C95" w:rsidRDefault="004E2C95"/>
    <w:sectPr w:rsidR="004E2C95" w:rsidSect="003141CF">
      <w:footerReference w:type="default" r:id="rId1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05C8F" w14:textId="77777777" w:rsidR="005B4134" w:rsidRDefault="005B4134">
      <w:r>
        <w:separator/>
      </w:r>
    </w:p>
  </w:endnote>
  <w:endnote w:type="continuationSeparator" w:id="0">
    <w:p w14:paraId="41E05F59" w14:textId="77777777" w:rsidR="005B4134" w:rsidRDefault="005B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665426"/>
      <w:docPartObj>
        <w:docPartGallery w:val="Page Numbers (Bottom of Page)"/>
        <w:docPartUnique/>
      </w:docPartObj>
    </w:sdtPr>
    <w:sdtEndPr>
      <w:rPr>
        <w:noProof/>
      </w:rPr>
    </w:sdtEndPr>
    <w:sdtContent>
      <w:p w14:paraId="128EAA40" w14:textId="77777777" w:rsidR="009B152F" w:rsidRDefault="00B318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2624B5" w14:textId="77777777" w:rsidR="009B152F" w:rsidRDefault="009E1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DE55C" w14:textId="77777777" w:rsidR="005B4134" w:rsidRDefault="005B4134">
      <w:r>
        <w:separator/>
      </w:r>
    </w:p>
  </w:footnote>
  <w:footnote w:type="continuationSeparator" w:id="0">
    <w:p w14:paraId="0DF39DB0" w14:textId="77777777" w:rsidR="005B4134" w:rsidRDefault="005B4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71FE"/>
    <w:multiLevelType w:val="hybridMultilevel"/>
    <w:tmpl w:val="C70A7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D03AB"/>
    <w:multiLevelType w:val="hybridMultilevel"/>
    <w:tmpl w:val="09E844D8"/>
    <w:lvl w:ilvl="0" w:tplc="8EBA1950">
      <w:start w:val="1"/>
      <w:numFmt w:val="lowerLetter"/>
      <w:lvlText w:val="(%1)"/>
      <w:lvlJc w:val="left"/>
      <w:pPr>
        <w:ind w:left="825" w:hanging="465"/>
      </w:pPr>
      <w:rPr>
        <w:rFonts w:hint="default"/>
        <w:b w:val="0"/>
      </w:rPr>
    </w:lvl>
    <w:lvl w:ilvl="1" w:tplc="01EC1E48">
      <w:start w:val="1"/>
      <w:numFmt w:val="lowerRoman"/>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3561F8"/>
    <w:multiLevelType w:val="hybridMultilevel"/>
    <w:tmpl w:val="92C86AE8"/>
    <w:lvl w:ilvl="0" w:tplc="0C090001">
      <w:start w:val="1"/>
      <w:numFmt w:val="bullet"/>
      <w:lvlText w:val=""/>
      <w:lvlJc w:val="left"/>
      <w:pPr>
        <w:ind w:left="720" w:hanging="360"/>
      </w:pPr>
      <w:rPr>
        <w:rFonts w:ascii="Symbol" w:hAnsi="Symbo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163AB0"/>
    <w:multiLevelType w:val="hybridMultilevel"/>
    <w:tmpl w:val="2F58AA82"/>
    <w:lvl w:ilvl="0" w:tplc="386AC230">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AB53EB"/>
    <w:multiLevelType w:val="hybridMultilevel"/>
    <w:tmpl w:val="F1B2E5B0"/>
    <w:lvl w:ilvl="0" w:tplc="3E4E9352">
      <w:start w:val="1"/>
      <w:numFmt w:val="lowerLetter"/>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6F509A"/>
    <w:multiLevelType w:val="hybridMultilevel"/>
    <w:tmpl w:val="CA12C97A"/>
    <w:lvl w:ilvl="0" w:tplc="3E4E9352">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5C422F7"/>
    <w:multiLevelType w:val="hybridMultilevel"/>
    <w:tmpl w:val="AEC8CF46"/>
    <w:lvl w:ilvl="0" w:tplc="3E4E9352">
      <w:start w:val="1"/>
      <w:numFmt w:val="lowerLetter"/>
      <w:lvlText w:val="(%1)"/>
      <w:lvlJc w:val="left"/>
      <w:pPr>
        <w:ind w:left="720" w:hanging="360"/>
      </w:pPr>
      <w:rPr>
        <w:rFonts w:hint="default"/>
      </w:rPr>
    </w:lvl>
    <w:lvl w:ilvl="1" w:tplc="01EC1E48">
      <w:start w:val="1"/>
      <w:numFmt w:val="lowerRoman"/>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4B5619"/>
    <w:multiLevelType w:val="hybridMultilevel"/>
    <w:tmpl w:val="4DB80C30"/>
    <w:lvl w:ilvl="0" w:tplc="8EBA1950">
      <w:start w:val="1"/>
      <w:numFmt w:val="lowerLetter"/>
      <w:lvlText w:val="(%1)"/>
      <w:lvlJc w:val="left"/>
      <w:pPr>
        <w:ind w:left="825" w:hanging="465"/>
      </w:pPr>
      <w:rPr>
        <w:rFonts w:hint="default"/>
        <w:b w:val="0"/>
      </w:rPr>
    </w:lvl>
    <w:lvl w:ilvl="1" w:tplc="E3F840AA">
      <w:start w:val="1"/>
      <w:numFmt w:val="lowerRoman"/>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AFE14A1"/>
    <w:multiLevelType w:val="hybridMultilevel"/>
    <w:tmpl w:val="F1B2E5B0"/>
    <w:lvl w:ilvl="0" w:tplc="3E4E9352">
      <w:start w:val="1"/>
      <w:numFmt w:val="lowerLetter"/>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88193A"/>
    <w:multiLevelType w:val="hybridMultilevel"/>
    <w:tmpl w:val="0CCE8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4BF063C"/>
    <w:multiLevelType w:val="hybridMultilevel"/>
    <w:tmpl w:val="F1B2E5B0"/>
    <w:lvl w:ilvl="0" w:tplc="3E4E9352">
      <w:start w:val="1"/>
      <w:numFmt w:val="lowerLetter"/>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4"/>
  </w:num>
  <w:num w:numId="5">
    <w:abstractNumId w:val="2"/>
  </w:num>
  <w:num w:numId="6">
    <w:abstractNumId w:val="0"/>
  </w:num>
  <w:num w:numId="7">
    <w:abstractNumId w:val="6"/>
  </w:num>
  <w:num w:numId="8">
    <w:abstractNumId w:val="5"/>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FF"/>
    <w:rsid w:val="00041C18"/>
    <w:rsid w:val="00086F79"/>
    <w:rsid w:val="000D6FB3"/>
    <w:rsid w:val="000F6808"/>
    <w:rsid w:val="00163128"/>
    <w:rsid w:val="00171010"/>
    <w:rsid w:val="001A4D45"/>
    <w:rsid w:val="00216897"/>
    <w:rsid w:val="00242A77"/>
    <w:rsid w:val="00254E0C"/>
    <w:rsid w:val="00283CED"/>
    <w:rsid w:val="002A5719"/>
    <w:rsid w:val="002E1B73"/>
    <w:rsid w:val="002E5879"/>
    <w:rsid w:val="00341936"/>
    <w:rsid w:val="00376C04"/>
    <w:rsid w:val="00392C8D"/>
    <w:rsid w:val="003D2FD9"/>
    <w:rsid w:val="004322E6"/>
    <w:rsid w:val="004531D4"/>
    <w:rsid w:val="00495CF5"/>
    <w:rsid w:val="004B634F"/>
    <w:rsid w:val="004C4FA0"/>
    <w:rsid w:val="004D2E18"/>
    <w:rsid w:val="004E2C95"/>
    <w:rsid w:val="004E3BFA"/>
    <w:rsid w:val="005979F7"/>
    <w:rsid w:val="005B4134"/>
    <w:rsid w:val="005B705D"/>
    <w:rsid w:val="005F3BA8"/>
    <w:rsid w:val="006041D4"/>
    <w:rsid w:val="0060470E"/>
    <w:rsid w:val="007C67E2"/>
    <w:rsid w:val="007E2734"/>
    <w:rsid w:val="00813099"/>
    <w:rsid w:val="00841D72"/>
    <w:rsid w:val="00886C5B"/>
    <w:rsid w:val="008D73BB"/>
    <w:rsid w:val="009234FF"/>
    <w:rsid w:val="009479AA"/>
    <w:rsid w:val="009740AA"/>
    <w:rsid w:val="009A6B70"/>
    <w:rsid w:val="009E0FF3"/>
    <w:rsid w:val="009E1620"/>
    <w:rsid w:val="00A44A92"/>
    <w:rsid w:val="00B25B10"/>
    <w:rsid w:val="00B3187D"/>
    <w:rsid w:val="00B33E21"/>
    <w:rsid w:val="00B86504"/>
    <w:rsid w:val="00B93522"/>
    <w:rsid w:val="00C0209E"/>
    <w:rsid w:val="00C11AD1"/>
    <w:rsid w:val="00C13605"/>
    <w:rsid w:val="00C37061"/>
    <w:rsid w:val="00C44C45"/>
    <w:rsid w:val="00C66E3A"/>
    <w:rsid w:val="00CB107A"/>
    <w:rsid w:val="00CB2252"/>
    <w:rsid w:val="00D12945"/>
    <w:rsid w:val="00D1369A"/>
    <w:rsid w:val="00D83B2C"/>
    <w:rsid w:val="00DA7782"/>
    <w:rsid w:val="00DC3CF0"/>
    <w:rsid w:val="00E023ED"/>
    <w:rsid w:val="00E32D04"/>
    <w:rsid w:val="00E430F4"/>
    <w:rsid w:val="00E81391"/>
    <w:rsid w:val="00EE7CD6"/>
    <w:rsid w:val="00F377CF"/>
    <w:rsid w:val="00FA7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C06A"/>
  <w15:chartTrackingRefBased/>
  <w15:docId w15:val="{9B2DA398-0F98-43FE-BA68-CC156BAD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4FF"/>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9234FF"/>
    <w:pPr>
      <w:keepNext w:val="0"/>
      <w:keepLines w:val="0"/>
      <w:spacing w:before="360" w:line="260" w:lineRule="atLeast"/>
      <w:jc w:val="center"/>
      <w:outlineLvl w:val="0"/>
    </w:pPr>
    <w:rPr>
      <w:rFonts w:ascii="Times New Roman" w:eastAsia="Times New Roman" w:hAnsi="Times New Roman" w:cs="Times New Roman"/>
      <w:b/>
      <w:color w:val="auto"/>
      <w:sz w:val="28"/>
      <w:szCs w:val="24"/>
      <w:lang w:val="en-AU"/>
    </w:rPr>
  </w:style>
  <w:style w:type="paragraph" w:styleId="Heading2">
    <w:name w:val="heading 2"/>
    <w:basedOn w:val="Normal"/>
    <w:next w:val="Normal"/>
    <w:link w:val="Heading2Char"/>
    <w:uiPriority w:val="9"/>
    <w:semiHidden/>
    <w:unhideWhenUsed/>
    <w:qFormat/>
    <w:rsid w:val="009234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34F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34FF"/>
    <w:rPr>
      <w:rFonts w:ascii="Times New Roman" w:eastAsia="Times New Roman" w:hAnsi="Times New Roman" w:cs="Times New Roman"/>
      <w:b/>
      <w:snapToGrid w:val="0"/>
      <w:sz w:val="28"/>
      <w:szCs w:val="24"/>
    </w:rPr>
  </w:style>
  <w:style w:type="character" w:customStyle="1" w:styleId="Heading2Char">
    <w:name w:val="Heading 2 Char"/>
    <w:basedOn w:val="DefaultParagraphFont"/>
    <w:link w:val="Heading2"/>
    <w:uiPriority w:val="9"/>
    <w:semiHidden/>
    <w:rsid w:val="009234FF"/>
    <w:rPr>
      <w:rFonts w:asciiTheme="majorHAnsi" w:eastAsiaTheme="majorEastAsia" w:hAnsiTheme="majorHAnsi" w:cstheme="majorBidi"/>
      <w:snapToGrid w:val="0"/>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9234FF"/>
    <w:rPr>
      <w:rFonts w:asciiTheme="majorHAnsi" w:eastAsiaTheme="majorEastAsia" w:hAnsiTheme="majorHAnsi" w:cstheme="majorBidi"/>
      <w:snapToGrid w:val="0"/>
      <w:color w:val="1F3763" w:themeColor="accent1" w:themeShade="7F"/>
      <w:sz w:val="24"/>
      <w:szCs w:val="24"/>
      <w:lang w:val="en-US"/>
    </w:rPr>
  </w:style>
  <w:style w:type="paragraph" w:customStyle="1" w:styleId="Basetext">
    <w:name w:val="Base text"/>
    <w:basedOn w:val="Normal"/>
    <w:link w:val="BasetextChar"/>
    <w:qFormat/>
    <w:rsid w:val="009234FF"/>
    <w:pPr>
      <w:spacing w:before="180" w:line="276" w:lineRule="auto"/>
    </w:pPr>
    <w:rPr>
      <w:sz w:val="22"/>
      <w:szCs w:val="22"/>
      <w:lang w:val="en-AU"/>
    </w:rPr>
  </w:style>
  <w:style w:type="character" w:customStyle="1" w:styleId="BasetextChar">
    <w:name w:val="Base text Char"/>
    <w:basedOn w:val="DefaultParagraphFont"/>
    <w:link w:val="Basetext"/>
    <w:rsid w:val="009234FF"/>
    <w:rPr>
      <w:rFonts w:ascii="Times New Roman" w:eastAsia="Times New Roman" w:hAnsi="Times New Roman" w:cs="Times New Roman"/>
      <w:snapToGrid w:val="0"/>
    </w:rPr>
  </w:style>
  <w:style w:type="paragraph" w:styleId="ListParagraph">
    <w:name w:val="List Paragraph"/>
    <w:basedOn w:val="Normal"/>
    <w:uiPriority w:val="34"/>
    <w:qFormat/>
    <w:rsid w:val="009234FF"/>
    <w:pPr>
      <w:ind w:left="720"/>
      <w:contextualSpacing/>
    </w:pPr>
  </w:style>
  <w:style w:type="paragraph" w:styleId="Footer">
    <w:name w:val="footer"/>
    <w:basedOn w:val="Normal"/>
    <w:link w:val="FooterChar"/>
    <w:uiPriority w:val="99"/>
    <w:unhideWhenUsed/>
    <w:rsid w:val="009234FF"/>
    <w:pPr>
      <w:tabs>
        <w:tab w:val="center" w:pos="4513"/>
        <w:tab w:val="right" w:pos="9026"/>
      </w:tabs>
    </w:pPr>
  </w:style>
  <w:style w:type="character" w:customStyle="1" w:styleId="FooterChar">
    <w:name w:val="Footer Char"/>
    <w:basedOn w:val="DefaultParagraphFont"/>
    <w:link w:val="Footer"/>
    <w:uiPriority w:val="99"/>
    <w:rsid w:val="009234FF"/>
    <w:rPr>
      <w:rFonts w:ascii="Times New Roman" w:eastAsia="Times New Roman" w:hAnsi="Times New Roman" w:cs="Times New Roman"/>
      <w:snapToGrid w:val="0"/>
      <w:sz w:val="24"/>
      <w:szCs w:val="20"/>
      <w:lang w:val="en-US"/>
    </w:rPr>
  </w:style>
  <w:style w:type="character" w:styleId="CommentReference">
    <w:name w:val="annotation reference"/>
    <w:basedOn w:val="DefaultParagraphFont"/>
    <w:uiPriority w:val="99"/>
    <w:semiHidden/>
    <w:unhideWhenUsed/>
    <w:rsid w:val="009234FF"/>
    <w:rPr>
      <w:sz w:val="16"/>
      <w:szCs w:val="16"/>
    </w:rPr>
  </w:style>
  <w:style w:type="paragraph" w:styleId="CommentText">
    <w:name w:val="annotation text"/>
    <w:basedOn w:val="Normal"/>
    <w:link w:val="CommentTextChar"/>
    <w:uiPriority w:val="99"/>
    <w:unhideWhenUsed/>
    <w:rsid w:val="009234FF"/>
    <w:rPr>
      <w:sz w:val="20"/>
    </w:rPr>
  </w:style>
  <w:style w:type="character" w:customStyle="1" w:styleId="CommentTextChar">
    <w:name w:val="Comment Text Char"/>
    <w:basedOn w:val="DefaultParagraphFont"/>
    <w:link w:val="CommentText"/>
    <w:uiPriority w:val="99"/>
    <w:rsid w:val="009234FF"/>
    <w:rPr>
      <w:rFonts w:ascii="Times New Roman" w:eastAsia="Times New Roman" w:hAnsi="Times New Roman" w:cs="Times New Roman"/>
      <w:snapToGrid w:val="0"/>
      <w:sz w:val="20"/>
      <w:szCs w:val="20"/>
      <w:lang w:val="en-US"/>
    </w:rPr>
  </w:style>
  <w:style w:type="paragraph" w:customStyle="1" w:styleId="Celltext">
    <w:name w:val="Cell text"/>
    <w:basedOn w:val="Normal"/>
    <w:uiPriority w:val="99"/>
    <w:rsid w:val="009234FF"/>
    <w:pPr>
      <w:widowControl/>
      <w:spacing w:before="120"/>
    </w:pPr>
    <w:rPr>
      <w:snapToGrid/>
      <w:lang w:val="en-AU" w:eastAsia="en-AU"/>
    </w:rPr>
  </w:style>
  <w:style w:type="paragraph" w:customStyle="1" w:styleId="subsection">
    <w:name w:val="subsection"/>
    <w:aliases w:val="ss"/>
    <w:basedOn w:val="Normal"/>
    <w:link w:val="subsectionChar"/>
    <w:rsid w:val="009234FF"/>
    <w:pPr>
      <w:tabs>
        <w:tab w:val="right" w:pos="1021"/>
      </w:tabs>
      <w:spacing w:before="180"/>
      <w:ind w:left="1134" w:hanging="1134"/>
    </w:pPr>
    <w:rPr>
      <w:lang w:eastAsia="en-AU"/>
    </w:rPr>
  </w:style>
  <w:style w:type="character" w:customStyle="1" w:styleId="subsectionChar">
    <w:name w:val="subsection Char"/>
    <w:aliases w:val="ss Char"/>
    <w:link w:val="subsection"/>
    <w:locked/>
    <w:rsid w:val="009234FF"/>
    <w:rPr>
      <w:rFonts w:ascii="Times New Roman" w:eastAsia="Times New Roman" w:hAnsi="Times New Roman" w:cs="Times New Roman"/>
      <w:snapToGrid w:val="0"/>
      <w:sz w:val="24"/>
      <w:szCs w:val="20"/>
      <w:lang w:val="en-US" w:eastAsia="en-AU"/>
    </w:rPr>
  </w:style>
  <w:style w:type="paragraph" w:customStyle="1" w:styleId="Default">
    <w:name w:val="Default"/>
    <w:rsid w:val="009234FF"/>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923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4FF"/>
    <w:rPr>
      <w:rFonts w:ascii="Segoe UI" w:eastAsia="Times New Roman" w:hAnsi="Segoe UI" w:cs="Segoe UI"/>
      <w:snapToGrid w:val="0"/>
      <w:sz w:val="18"/>
      <w:szCs w:val="18"/>
      <w:lang w:val="en-US"/>
    </w:rPr>
  </w:style>
  <w:style w:type="paragraph" w:styleId="CommentSubject">
    <w:name w:val="annotation subject"/>
    <w:basedOn w:val="CommentText"/>
    <w:next w:val="CommentText"/>
    <w:link w:val="CommentSubjectChar"/>
    <w:uiPriority w:val="99"/>
    <w:semiHidden/>
    <w:unhideWhenUsed/>
    <w:rsid w:val="00341936"/>
    <w:rPr>
      <w:b/>
      <w:bCs/>
    </w:rPr>
  </w:style>
  <w:style w:type="character" w:customStyle="1" w:styleId="CommentSubjectChar">
    <w:name w:val="Comment Subject Char"/>
    <w:basedOn w:val="CommentTextChar"/>
    <w:link w:val="CommentSubject"/>
    <w:uiPriority w:val="99"/>
    <w:semiHidden/>
    <w:rsid w:val="00341936"/>
    <w:rPr>
      <w:rFonts w:ascii="Times New Roman" w:eastAsia="Times New Roman" w:hAnsi="Times New Roman" w:cs="Times New Roman"/>
      <w:b/>
      <w:bCs/>
      <w:snapToGrid w:val="0"/>
      <w:sz w:val="20"/>
      <w:szCs w:val="20"/>
      <w:lang w:val="en-US"/>
    </w:rPr>
  </w:style>
  <w:style w:type="paragraph" w:styleId="Revision">
    <w:name w:val="Revision"/>
    <w:hidden/>
    <w:uiPriority w:val="99"/>
    <w:semiHidden/>
    <w:rsid w:val="00C13605"/>
    <w:pPr>
      <w:spacing w:after="0" w:line="240" w:lineRule="auto"/>
    </w:pPr>
    <w:rPr>
      <w:rFonts w:ascii="Times New Roman" w:eastAsia="Times New Roman" w:hAnsi="Times New Roman" w:cs="Times New Roman"/>
      <w:snapToGrid w:val="0"/>
      <w:sz w:val="24"/>
      <w:szCs w:val="20"/>
      <w:lang w:val="en-US"/>
    </w:rPr>
  </w:style>
  <w:style w:type="character" w:styleId="Hyperlink">
    <w:name w:val="Hyperlink"/>
    <w:basedOn w:val="DefaultParagraphFont"/>
    <w:uiPriority w:val="99"/>
    <w:semiHidden/>
    <w:unhideWhenUsed/>
    <w:rsid w:val="004322E6"/>
    <w:rPr>
      <w:color w:val="0563C1"/>
      <w:u w:val="single"/>
    </w:rPr>
  </w:style>
  <w:style w:type="character" w:styleId="FollowedHyperlink">
    <w:name w:val="FollowedHyperlink"/>
    <w:basedOn w:val="DefaultParagraphFont"/>
    <w:uiPriority w:val="99"/>
    <w:semiHidden/>
    <w:unhideWhenUsed/>
    <w:rsid w:val="00DC3C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1831">
      <w:bodyDiv w:val="1"/>
      <w:marLeft w:val="0"/>
      <w:marRight w:val="0"/>
      <w:marTop w:val="0"/>
      <w:marBottom w:val="0"/>
      <w:divBdr>
        <w:top w:val="none" w:sz="0" w:space="0" w:color="auto"/>
        <w:left w:val="none" w:sz="0" w:space="0" w:color="auto"/>
        <w:bottom w:val="none" w:sz="0" w:space="0" w:color="auto"/>
        <w:right w:val="none" w:sz="0" w:space="0" w:color="auto"/>
      </w:divBdr>
    </w:div>
    <w:div w:id="336468971">
      <w:bodyDiv w:val="1"/>
      <w:marLeft w:val="0"/>
      <w:marRight w:val="0"/>
      <w:marTop w:val="0"/>
      <w:marBottom w:val="0"/>
      <w:divBdr>
        <w:top w:val="none" w:sz="0" w:space="0" w:color="auto"/>
        <w:left w:val="none" w:sz="0" w:space="0" w:color="auto"/>
        <w:bottom w:val="none" w:sz="0" w:space="0" w:color="auto"/>
        <w:right w:val="none" w:sz="0" w:space="0" w:color="auto"/>
      </w:divBdr>
    </w:div>
    <w:div w:id="570191193">
      <w:bodyDiv w:val="1"/>
      <w:marLeft w:val="0"/>
      <w:marRight w:val="0"/>
      <w:marTop w:val="0"/>
      <w:marBottom w:val="0"/>
      <w:divBdr>
        <w:top w:val="none" w:sz="0" w:space="0" w:color="auto"/>
        <w:left w:val="none" w:sz="0" w:space="0" w:color="auto"/>
        <w:bottom w:val="none" w:sz="0" w:space="0" w:color="auto"/>
        <w:right w:val="none" w:sz="0" w:space="0" w:color="auto"/>
      </w:divBdr>
    </w:div>
    <w:div w:id="927351425">
      <w:bodyDiv w:val="1"/>
      <w:marLeft w:val="0"/>
      <w:marRight w:val="0"/>
      <w:marTop w:val="0"/>
      <w:marBottom w:val="0"/>
      <w:divBdr>
        <w:top w:val="none" w:sz="0" w:space="0" w:color="auto"/>
        <w:left w:val="none" w:sz="0" w:space="0" w:color="auto"/>
        <w:bottom w:val="none" w:sz="0" w:space="0" w:color="auto"/>
        <w:right w:val="none" w:sz="0" w:space="0" w:color="auto"/>
      </w:divBdr>
    </w:div>
    <w:div w:id="1001277156">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391541240">
      <w:bodyDiv w:val="1"/>
      <w:marLeft w:val="0"/>
      <w:marRight w:val="0"/>
      <w:marTop w:val="0"/>
      <w:marBottom w:val="0"/>
      <w:divBdr>
        <w:top w:val="none" w:sz="0" w:space="0" w:color="auto"/>
        <w:left w:val="none" w:sz="0" w:space="0" w:color="auto"/>
        <w:bottom w:val="none" w:sz="0" w:space="0" w:color="auto"/>
        <w:right w:val="none" w:sz="0" w:space="0" w:color="auto"/>
      </w:divBdr>
    </w:div>
    <w:div w:id="1407142487">
      <w:bodyDiv w:val="1"/>
      <w:marLeft w:val="0"/>
      <w:marRight w:val="0"/>
      <w:marTop w:val="0"/>
      <w:marBottom w:val="0"/>
      <w:divBdr>
        <w:top w:val="none" w:sz="0" w:space="0" w:color="auto"/>
        <w:left w:val="none" w:sz="0" w:space="0" w:color="auto"/>
        <w:bottom w:val="none" w:sz="0" w:space="0" w:color="auto"/>
        <w:right w:val="none" w:sz="0" w:space="0" w:color="auto"/>
      </w:divBdr>
    </w:div>
    <w:div w:id="1741441210">
      <w:bodyDiv w:val="1"/>
      <w:marLeft w:val="0"/>
      <w:marRight w:val="0"/>
      <w:marTop w:val="0"/>
      <w:marBottom w:val="0"/>
      <w:divBdr>
        <w:top w:val="none" w:sz="0" w:space="0" w:color="auto"/>
        <w:left w:val="none" w:sz="0" w:space="0" w:color="auto"/>
        <w:bottom w:val="none" w:sz="0" w:space="0" w:color="auto"/>
        <w:right w:val="none" w:sz="0" w:space="0" w:color="auto"/>
      </w:divBdr>
    </w:div>
    <w:div w:id="197587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3BD57BC8738FA4B8D42C09D8E8ADB03" ma:contentTypeVersion="" ma:contentTypeDescription="PDMS Document Site Content Type" ma:contentTypeScope="" ma:versionID="655cbed1ee3bc7b186b4d522fb4301e3">
  <xsd:schema xmlns:xsd="http://www.w3.org/2001/XMLSchema" xmlns:xs="http://www.w3.org/2001/XMLSchema" xmlns:p="http://schemas.microsoft.com/office/2006/metadata/properties" xmlns:ns2="2F637A21-FE36-4BC0-8A5B-F51688F2811C" targetNamespace="http://schemas.microsoft.com/office/2006/metadata/properties" ma:root="true" ma:fieldsID="529191e8aee1425eda9fdd7e067b6487" ns2:_="">
    <xsd:import namespace="2F637A21-FE36-4BC0-8A5B-F51688F2811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37A21-FE36-4BC0-8A5B-F51688F2811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F637A21-FE36-4BC0-8A5B-F51688F281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3D2F4-EF91-43C8-8874-99A001BA8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37A21-FE36-4BC0-8A5B-F51688F28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72184-56D0-4CF6-B321-EE57B519F8DA}">
  <ds:schemaRefs>
    <ds:schemaRef ds:uri="http://purl.org/dc/elements/1.1/"/>
    <ds:schemaRef ds:uri="http://purl.org/dc/dcmitype/"/>
    <ds:schemaRef ds:uri="http://schemas.microsoft.com/office/2006/documentManagement/types"/>
    <ds:schemaRef ds:uri="2F637A21-FE36-4BC0-8A5B-F51688F2811C"/>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50CABD9-49FD-470D-BFAC-19AA86FB5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2418</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Argitis, Isabella</dc:creator>
  <cp:keywords/>
  <dc:description/>
  <cp:lastModifiedBy>Gallagher, Mark</cp:lastModifiedBy>
  <cp:revision>4</cp:revision>
  <dcterms:created xsi:type="dcterms:W3CDTF">2022-09-14T00:12:00Z</dcterms:created>
  <dcterms:modified xsi:type="dcterms:W3CDTF">2022-09-15T00:05:00Z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0x010100266966F133664895A6EE3632470D45F50003BD57BC8738FA4B8D42C09D8E8ADB03</vt:lpwstr>
  </property>
</Properties>
</file>