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3E311" w14:textId="77777777" w:rsidR="001F2A16" w:rsidRPr="00F04F17" w:rsidRDefault="001F2A16" w:rsidP="00DB4A34">
      <w:pPr>
        <w:pStyle w:val="Header"/>
        <w:pBdr>
          <w:top w:val="single" w:sz="4" w:space="1" w:color="auto"/>
        </w:pBdr>
        <w:tabs>
          <w:tab w:val="clear" w:pos="4153"/>
          <w:tab w:val="clear" w:pos="8306"/>
        </w:tabs>
        <w:spacing w:after="360"/>
        <w:jc w:val="center"/>
        <w:rPr>
          <w:rFonts w:ascii="Arial" w:hAnsi="Arial" w:cs="Arial"/>
          <w:sz w:val="34"/>
          <w:szCs w:val="34"/>
        </w:rPr>
      </w:pPr>
      <w:r w:rsidRPr="00F04F17">
        <w:rPr>
          <w:rFonts w:ascii="Arial" w:hAnsi="Arial" w:cs="Arial"/>
          <w:sz w:val="34"/>
          <w:szCs w:val="34"/>
        </w:rPr>
        <w:t>Explanatory Statement</w:t>
      </w:r>
    </w:p>
    <w:p w14:paraId="22EAB18F" w14:textId="77777777" w:rsidR="0099555F" w:rsidRPr="00F04F17" w:rsidRDefault="0063489F" w:rsidP="00DB4A34">
      <w:pPr>
        <w:pStyle w:val="Header"/>
        <w:pBdr>
          <w:bottom w:val="single" w:sz="4" w:space="1" w:color="auto"/>
        </w:pBdr>
        <w:tabs>
          <w:tab w:val="clear" w:pos="4153"/>
          <w:tab w:val="clear" w:pos="8306"/>
        </w:tabs>
        <w:spacing w:after="120"/>
        <w:jc w:val="center"/>
        <w:rPr>
          <w:rFonts w:ascii="Arial" w:hAnsi="Arial" w:cs="Arial"/>
          <w:szCs w:val="24"/>
        </w:rPr>
      </w:pPr>
      <w:r>
        <w:rPr>
          <w:rFonts w:ascii="Arial" w:hAnsi="Arial" w:cs="Arial"/>
          <w:sz w:val="34"/>
          <w:szCs w:val="34"/>
        </w:rPr>
        <w:t>A New Tax System (Goods and Services Tax) Adjustment Note Information Requirements Determination 2022</w:t>
      </w:r>
    </w:p>
    <w:p w14:paraId="20AA7F23" w14:textId="77777777" w:rsidR="001F2A16" w:rsidRPr="00DB4A34" w:rsidRDefault="001F2A16" w:rsidP="00DB4A34">
      <w:pPr>
        <w:pStyle w:val="Header"/>
        <w:tabs>
          <w:tab w:val="clear" w:pos="4153"/>
          <w:tab w:val="clear" w:pos="8306"/>
        </w:tabs>
        <w:spacing w:after="120"/>
        <w:rPr>
          <w:rFonts w:ascii="Arial" w:hAnsi="Arial" w:cs="Arial"/>
          <w:sz w:val="22"/>
          <w:szCs w:val="22"/>
        </w:rPr>
      </w:pPr>
    </w:p>
    <w:p w14:paraId="47DC206E" w14:textId="77777777" w:rsidR="00486653" w:rsidRPr="00F04F17" w:rsidRDefault="00486653" w:rsidP="00F04F17">
      <w:pPr>
        <w:pStyle w:val="Heading2"/>
        <w:rPr>
          <w:rFonts w:cs="Arial"/>
          <w:szCs w:val="22"/>
        </w:rPr>
      </w:pPr>
      <w:r w:rsidRPr="00F04F17">
        <w:rPr>
          <w:rFonts w:cs="Arial"/>
          <w:szCs w:val="22"/>
        </w:rPr>
        <w:t xml:space="preserve">General </w:t>
      </w:r>
      <w:r w:rsidR="0015780B" w:rsidRPr="00F04F17">
        <w:rPr>
          <w:rFonts w:cs="Arial"/>
          <w:szCs w:val="22"/>
        </w:rPr>
        <w:t>o</w:t>
      </w:r>
      <w:r w:rsidRPr="00F04F17">
        <w:rPr>
          <w:rFonts w:cs="Arial"/>
          <w:szCs w:val="22"/>
        </w:rPr>
        <w:t xml:space="preserve">utline of </w:t>
      </w:r>
      <w:r w:rsidR="0063489F">
        <w:rPr>
          <w:rFonts w:cs="Arial"/>
          <w:szCs w:val="22"/>
        </w:rPr>
        <w:t>Determination</w:t>
      </w:r>
    </w:p>
    <w:p w14:paraId="62D4F712" w14:textId="77777777" w:rsidR="0063489F" w:rsidRPr="0063489F" w:rsidRDefault="0063489F" w:rsidP="00D11A54">
      <w:pPr>
        <w:numPr>
          <w:ilvl w:val="0"/>
          <w:numId w:val="16"/>
        </w:numPr>
        <w:spacing w:after="120"/>
        <w:ind w:hanging="720"/>
        <w:rPr>
          <w:rFonts w:ascii="Arial" w:hAnsi="Arial" w:cs="Arial"/>
          <w:bCs/>
          <w:sz w:val="22"/>
          <w:szCs w:val="22"/>
        </w:rPr>
      </w:pPr>
      <w:r w:rsidRPr="0063489F">
        <w:rPr>
          <w:rFonts w:ascii="Arial" w:hAnsi="Arial" w:cs="Arial"/>
          <w:bCs/>
          <w:sz w:val="22"/>
          <w:szCs w:val="22"/>
        </w:rPr>
        <w:t xml:space="preserve">This determination is made under </w:t>
      </w:r>
      <w:r w:rsidR="00D11A54">
        <w:rPr>
          <w:rFonts w:ascii="Arial" w:hAnsi="Arial" w:cs="Arial"/>
          <w:bCs/>
          <w:sz w:val="22"/>
          <w:szCs w:val="22"/>
        </w:rPr>
        <w:t>paragraph</w:t>
      </w:r>
      <w:r w:rsidRPr="0063489F">
        <w:rPr>
          <w:rFonts w:ascii="Arial" w:hAnsi="Arial" w:cs="Arial"/>
          <w:bCs/>
          <w:sz w:val="22"/>
          <w:szCs w:val="22"/>
        </w:rPr>
        <w:t xml:space="preserve"> 29-75(1)(c) of the </w:t>
      </w:r>
      <w:r w:rsidRPr="0063489F">
        <w:rPr>
          <w:rFonts w:ascii="Arial" w:hAnsi="Arial" w:cs="Arial"/>
          <w:bCs/>
          <w:i/>
          <w:iCs/>
          <w:sz w:val="22"/>
          <w:szCs w:val="22"/>
        </w:rPr>
        <w:t>A New Tax System (Goods and Services Tax) Act 1999</w:t>
      </w:r>
      <w:r w:rsidRPr="0063489F">
        <w:rPr>
          <w:rFonts w:ascii="Arial" w:hAnsi="Arial" w:cs="Arial"/>
          <w:bCs/>
          <w:sz w:val="22"/>
          <w:szCs w:val="22"/>
        </w:rPr>
        <w:t xml:space="preserve"> (GST Act).</w:t>
      </w:r>
    </w:p>
    <w:p w14:paraId="1F1768F3" w14:textId="77777777" w:rsidR="0063489F" w:rsidRPr="0063489F" w:rsidRDefault="0063489F" w:rsidP="00D11A54">
      <w:pPr>
        <w:numPr>
          <w:ilvl w:val="0"/>
          <w:numId w:val="16"/>
        </w:numPr>
        <w:spacing w:after="120"/>
        <w:ind w:hanging="720"/>
        <w:rPr>
          <w:rFonts w:ascii="Arial" w:hAnsi="Arial" w:cs="Arial"/>
          <w:sz w:val="22"/>
          <w:szCs w:val="22"/>
        </w:rPr>
      </w:pPr>
      <w:r w:rsidRPr="0063489F">
        <w:rPr>
          <w:rFonts w:ascii="Arial" w:hAnsi="Arial" w:cs="Arial"/>
          <w:sz w:val="22"/>
          <w:szCs w:val="22"/>
        </w:rPr>
        <w:t>The determination sets out the information that must be included in an adjustment note, including a recipient created adjustment note.</w:t>
      </w:r>
    </w:p>
    <w:p w14:paraId="6021EBF8" w14:textId="77777777" w:rsidR="0063489F" w:rsidRPr="0063489F" w:rsidRDefault="0063489F" w:rsidP="00D11A54">
      <w:pPr>
        <w:numPr>
          <w:ilvl w:val="0"/>
          <w:numId w:val="16"/>
        </w:numPr>
        <w:spacing w:after="120"/>
        <w:ind w:hanging="720"/>
        <w:rPr>
          <w:rFonts w:ascii="Arial" w:hAnsi="Arial" w:cs="Arial"/>
          <w:bCs/>
          <w:sz w:val="22"/>
          <w:szCs w:val="22"/>
        </w:rPr>
      </w:pPr>
      <w:r w:rsidRPr="0063489F">
        <w:rPr>
          <w:rFonts w:ascii="Arial" w:hAnsi="Arial" w:cs="Arial"/>
        </w:rPr>
        <w:t xml:space="preserve">It </w:t>
      </w:r>
      <w:r w:rsidRPr="0063489F">
        <w:rPr>
          <w:rFonts w:ascii="Arial" w:hAnsi="Arial" w:cs="Arial"/>
          <w:bCs/>
          <w:sz w:val="22"/>
          <w:szCs w:val="22"/>
        </w:rPr>
        <w:t xml:space="preserve">replaces </w:t>
      </w:r>
      <w:r w:rsidRPr="0063489F">
        <w:rPr>
          <w:rFonts w:ascii="Arial" w:hAnsi="Arial" w:cs="Arial"/>
          <w:bCs/>
          <w:i/>
          <w:iCs/>
          <w:sz w:val="22"/>
          <w:szCs w:val="22"/>
        </w:rPr>
        <w:t>A New Tax System (Goods and Services Tax) Adjustment Note Information Requirements Determination 2012</w:t>
      </w:r>
      <w:r w:rsidRPr="0063489F">
        <w:rPr>
          <w:rFonts w:ascii="Arial" w:hAnsi="Arial" w:cs="Arial"/>
          <w:bCs/>
          <w:sz w:val="22"/>
          <w:szCs w:val="22"/>
        </w:rPr>
        <w:t xml:space="preserve"> </w:t>
      </w:r>
      <w:r w:rsidR="00D11A54">
        <w:rPr>
          <w:rFonts w:ascii="Arial" w:hAnsi="Arial" w:cs="Arial"/>
          <w:bCs/>
          <w:sz w:val="22"/>
          <w:szCs w:val="22"/>
        </w:rPr>
        <w:t>(</w:t>
      </w:r>
      <w:r w:rsidRPr="0063489F">
        <w:rPr>
          <w:rFonts w:ascii="Arial" w:eastAsiaTheme="majorEastAsia" w:hAnsi="Arial" w:cs="Arial"/>
          <w:sz w:val="22"/>
          <w:szCs w:val="22"/>
          <w:lang w:eastAsia="en-US"/>
        </w:rPr>
        <w:t>F2013C00796</w:t>
      </w:r>
      <w:r w:rsidRPr="0063489F">
        <w:rPr>
          <w:rFonts w:ascii="Arial" w:hAnsi="Arial" w:cs="Arial"/>
          <w:bCs/>
          <w:sz w:val="22"/>
          <w:szCs w:val="22"/>
        </w:rPr>
        <w:t>).</w:t>
      </w:r>
      <w:r w:rsidRPr="0063489F">
        <w:rPr>
          <w:rFonts w:ascii="Arial" w:hAnsi="Arial" w:cs="Arial"/>
          <w:sz w:val="22"/>
          <w:szCs w:val="22"/>
        </w:rPr>
        <w:t xml:space="preserve">  </w:t>
      </w:r>
    </w:p>
    <w:p w14:paraId="1066840E" w14:textId="77777777" w:rsidR="0063489F" w:rsidRPr="0063489F" w:rsidRDefault="0063489F" w:rsidP="00D11A54">
      <w:pPr>
        <w:numPr>
          <w:ilvl w:val="0"/>
          <w:numId w:val="16"/>
        </w:numPr>
        <w:spacing w:after="120"/>
        <w:ind w:hanging="720"/>
        <w:rPr>
          <w:rFonts w:ascii="Arial" w:hAnsi="Arial" w:cs="Arial"/>
          <w:bCs/>
          <w:sz w:val="22"/>
          <w:szCs w:val="22"/>
        </w:rPr>
      </w:pPr>
      <w:r w:rsidRPr="0063489F">
        <w:rPr>
          <w:rFonts w:ascii="Arial" w:hAnsi="Arial" w:cs="Arial"/>
          <w:sz w:val="22"/>
          <w:szCs w:val="22"/>
        </w:rPr>
        <w:t xml:space="preserve">The determination is a legislative instrument for the purposes of the </w:t>
      </w:r>
      <w:r w:rsidRPr="0063489F">
        <w:rPr>
          <w:rFonts w:ascii="Arial" w:hAnsi="Arial" w:cs="Arial"/>
          <w:i/>
          <w:sz w:val="22"/>
          <w:szCs w:val="22"/>
        </w:rPr>
        <w:t>Legislation Act 2003</w:t>
      </w:r>
      <w:r w:rsidRPr="0063489F">
        <w:rPr>
          <w:rFonts w:ascii="Arial" w:hAnsi="Arial" w:cs="Arial"/>
          <w:iCs/>
          <w:sz w:val="22"/>
          <w:szCs w:val="22"/>
        </w:rPr>
        <w:t>.</w:t>
      </w:r>
    </w:p>
    <w:p w14:paraId="47E4C355" w14:textId="77777777" w:rsidR="0063489F" w:rsidRPr="0063489F" w:rsidRDefault="0063489F" w:rsidP="00D11A54">
      <w:pPr>
        <w:pStyle w:val="ListParagraph"/>
        <w:numPr>
          <w:ilvl w:val="0"/>
          <w:numId w:val="16"/>
        </w:numPr>
        <w:spacing w:after="120"/>
        <w:ind w:hanging="720"/>
        <w:rPr>
          <w:rFonts w:ascii="Arial" w:eastAsia="Times New Roman" w:hAnsi="Arial" w:cs="Arial"/>
          <w:bCs/>
          <w:lang w:eastAsia="en-AU"/>
        </w:rPr>
      </w:pPr>
      <w:r w:rsidRPr="0063489F">
        <w:rPr>
          <w:rFonts w:ascii="Arial" w:eastAsia="Times New Roman" w:hAnsi="Arial" w:cs="Arial"/>
          <w:bCs/>
          <w:lang w:eastAsia="en-AU"/>
        </w:rPr>
        <w:t xml:space="preserve">Under subsection 33(3) of the </w:t>
      </w:r>
      <w:r w:rsidRPr="0063489F">
        <w:rPr>
          <w:rFonts w:ascii="Arial" w:eastAsia="Times New Roman" w:hAnsi="Arial" w:cs="Arial"/>
          <w:bCs/>
          <w:i/>
          <w:iCs/>
          <w:lang w:eastAsia="en-AU"/>
        </w:rPr>
        <w:t>Acts Interpretation Act 1901</w:t>
      </w:r>
      <w:r w:rsidRPr="0063489F">
        <w:rPr>
          <w:rFonts w:ascii="Arial" w:eastAsia="Times New Roman" w:hAnsi="Arial" w:cs="Arial"/>
          <w:bCs/>
          <w:lang w:eastAsia="en-AU"/>
        </w:rPr>
        <w:t xml:space="preserve">, where an Act confers a power to make, grant or issue any instrument of a legislative or administrative character (including rules, </w:t>
      </w:r>
      <w:proofErr w:type="gramStart"/>
      <w:r w:rsidRPr="0063489F">
        <w:rPr>
          <w:rFonts w:ascii="Arial" w:eastAsia="Times New Roman" w:hAnsi="Arial" w:cs="Arial"/>
          <w:bCs/>
          <w:lang w:eastAsia="en-AU"/>
        </w:rPr>
        <w:t>regulations</w:t>
      </w:r>
      <w:proofErr w:type="gramEnd"/>
      <w:r w:rsidRPr="0063489F">
        <w:rPr>
          <w:rFonts w:ascii="Arial" w:eastAsia="Times New Roman" w:hAnsi="Arial" w:cs="Arial"/>
          <w:bCs/>
          <w:lang w:eastAsia="en-AU"/>
        </w:rPr>
        <w:t xml:space="preserve"> or by-laws) the power shall be construed as including a power exercisable in the like manner and subject to the like conditions (if any) to repeal, rescind, revoke, amend, or vary any such instrument.</w:t>
      </w:r>
    </w:p>
    <w:p w14:paraId="2E268133" w14:textId="77777777" w:rsidR="00CD757F" w:rsidRPr="00F04F17" w:rsidRDefault="00CD757F" w:rsidP="00F04F17">
      <w:pPr>
        <w:spacing w:after="120"/>
        <w:rPr>
          <w:rFonts w:ascii="Arial" w:hAnsi="Arial" w:cs="Arial"/>
          <w:sz w:val="22"/>
          <w:szCs w:val="22"/>
        </w:rPr>
      </w:pPr>
    </w:p>
    <w:p w14:paraId="16375BE5" w14:textId="77777777" w:rsidR="00486653" w:rsidRPr="00F04F17" w:rsidRDefault="00486653" w:rsidP="00F04F17">
      <w:pPr>
        <w:pStyle w:val="Heading2"/>
        <w:rPr>
          <w:rFonts w:cs="Arial"/>
          <w:szCs w:val="22"/>
        </w:rPr>
      </w:pPr>
      <w:r w:rsidRPr="00F04F17">
        <w:rPr>
          <w:rFonts w:cs="Arial"/>
          <w:szCs w:val="22"/>
        </w:rPr>
        <w:t>Date of effect</w:t>
      </w:r>
    </w:p>
    <w:p w14:paraId="64CD15EA" w14:textId="3D209DBC" w:rsidR="0063489F" w:rsidRPr="00D11A54" w:rsidRDefault="0063489F" w:rsidP="00D11A54">
      <w:pPr>
        <w:pStyle w:val="ListParagraph"/>
        <w:numPr>
          <w:ilvl w:val="0"/>
          <w:numId w:val="16"/>
        </w:numPr>
        <w:spacing w:after="120"/>
        <w:ind w:hanging="720"/>
        <w:rPr>
          <w:rFonts w:ascii="Arial" w:eastAsia="Times New Roman" w:hAnsi="Arial" w:cs="Arial"/>
          <w:bCs/>
          <w:lang w:eastAsia="en-AU"/>
        </w:rPr>
      </w:pPr>
      <w:r w:rsidRPr="00D11A54">
        <w:rPr>
          <w:rFonts w:ascii="Arial" w:eastAsia="Times New Roman" w:hAnsi="Arial" w:cs="Arial"/>
          <w:bCs/>
          <w:lang w:eastAsia="en-AU"/>
        </w:rPr>
        <w:t xml:space="preserve">This </w:t>
      </w:r>
      <w:r w:rsidR="00D93A53">
        <w:rPr>
          <w:rFonts w:ascii="Arial" w:eastAsia="Times New Roman" w:hAnsi="Arial" w:cs="Arial"/>
          <w:bCs/>
          <w:lang w:eastAsia="en-AU"/>
        </w:rPr>
        <w:t>d</w:t>
      </w:r>
      <w:r w:rsidRPr="00D11A54">
        <w:rPr>
          <w:rFonts w:ascii="Arial" w:eastAsia="Times New Roman" w:hAnsi="Arial" w:cs="Arial"/>
          <w:bCs/>
          <w:lang w:eastAsia="en-AU"/>
        </w:rPr>
        <w:t>etermination commences on the day after it is registered on the Federal Register of Legislation.</w:t>
      </w:r>
    </w:p>
    <w:p w14:paraId="2ACE94EA" w14:textId="77777777" w:rsidR="006F4D30" w:rsidRPr="00F04F17" w:rsidRDefault="006F4D30" w:rsidP="00F04F17">
      <w:pPr>
        <w:spacing w:after="120"/>
        <w:rPr>
          <w:rFonts w:ascii="Arial" w:hAnsi="Arial" w:cs="Arial"/>
          <w:sz w:val="22"/>
          <w:szCs w:val="22"/>
        </w:rPr>
      </w:pPr>
    </w:p>
    <w:p w14:paraId="5233A5DB" w14:textId="77777777" w:rsidR="0063489F" w:rsidRPr="0063489F" w:rsidRDefault="0063489F" w:rsidP="0063489F">
      <w:pPr>
        <w:pStyle w:val="Heading2"/>
        <w:rPr>
          <w:szCs w:val="22"/>
        </w:rPr>
      </w:pPr>
      <w:r w:rsidRPr="0063489F">
        <w:rPr>
          <w:szCs w:val="22"/>
        </w:rPr>
        <w:t>Effect of this determination</w:t>
      </w:r>
    </w:p>
    <w:p w14:paraId="226E9C06" w14:textId="77777777" w:rsidR="0063489F" w:rsidRPr="00D11A54" w:rsidRDefault="0063489F" w:rsidP="00D11A54">
      <w:pPr>
        <w:pStyle w:val="ListParagraph"/>
        <w:numPr>
          <w:ilvl w:val="0"/>
          <w:numId w:val="16"/>
        </w:numPr>
        <w:spacing w:after="120"/>
        <w:ind w:hanging="720"/>
        <w:rPr>
          <w:rFonts w:ascii="Arial" w:eastAsia="Times New Roman" w:hAnsi="Arial" w:cs="Arial"/>
          <w:bCs/>
          <w:lang w:eastAsia="en-AU"/>
        </w:rPr>
      </w:pPr>
      <w:r w:rsidRPr="00D11A54">
        <w:rPr>
          <w:rFonts w:ascii="Arial" w:eastAsia="Times New Roman" w:hAnsi="Arial" w:cs="Arial"/>
          <w:bCs/>
          <w:lang w:eastAsia="en-AU"/>
        </w:rPr>
        <w:t xml:space="preserve">This </w:t>
      </w:r>
      <w:bookmarkStart w:id="0" w:name="ft13"/>
      <w:bookmarkStart w:id="1" w:name="#FT13"/>
      <w:bookmarkEnd w:id="0"/>
      <w:bookmarkEnd w:id="1"/>
      <w:r w:rsidRPr="00D11A54">
        <w:rPr>
          <w:rFonts w:ascii="Arial" w:eastAsia="Times New Roman" w:hAnsi="Arial" w:cs="Arial"/>
          <w:bCs/>
          <w:lang w:eastAsia="en-AU"/>
        </w:rPr>
        <w:t>determination sets out the additional information requirements for a document to be an adjustment note or recipient created adjustment note under subsection 29-75(1) of the GST Act.</w:t>
      </w:r>
      <w:r w:rsidR="00FC3F8B">
        <w:rPr>
          <w:rFonts w:ascii="Arial" w:eastAsia="Times New Roman" w:hAnsi="Arial" w:cs="Arial"/>
          <w:bCs/>
          <w:lang w:eastAsia="en-AU"/>
        </w:rPr>
        <w:t xml:space="preserve"> Unless an exception applies</w:t>
      </w:r>
      <w:r w:rsidR="005B2465">
        <w:rPr>
          <w:rFonts w:ascii="Arial" w:eastAsia="Times New Roman" w:hAnsi="Arial" w:cs="Arial"/>
          <w:bCs/>
          <w:lang w:eastAsia="en-AU"/>
        </w:rPr>
        <w:t>,</w:t>
      </w:r>
      <w:r w:rsidR="00FC3F8B">
        <w:rPr>
          <w:rFonts w:ascii="Arial" w:eastAsia="Times New Roman" w:hAnsi="Arial" w:cs="Arial"/>
          <w:bCs/>
          <w:lang w:eastAsia="en-AU"/>
        </w:rPr>
        <w:t xml:space="preserve"> a</w:t>
      </w:r>
      <w:r w:rsidRPr="00D11A54">
        <w:rPr>
          <w:rFonts w:ascii="Arial" w:eastAsia="Times New Roman" w:hAnsi="Arial" w:cs="Arial"/>
          <w:bCs/>
          <w:lang w:eastAsia="en-AU"/>
        </w:rPr>
        <w:t xml:space="preserve"> supplier or a recipient must hold an adjustment note to attribute a decreasing adjustment from an adjustment event when completing their GST return for a tax period.</w:t>
      </w:r>
    </w:p>
    <w:p w14:paraId="08646760" w14:textId="77777777" w:rsidR="0063489F" w:rsidRPr="00D11A54" w:rsidRDefault="0063489F" w:rsidP="00D11A54">
      <w:pPr>
        <w:pStyle w:val="ListParagraph"/>
        <w:numPr>
          <w:ilvl w:val="0"/>
          <w:numId w:val="16"/>
        </w:numPr>
        <w:spacing w:after="120"/>
        <w:ind w:hanging="720"/>
        <w:rPr>
          <w:rFonts w:ascii="Arial" w:eastAsia="Times New Roman" w:hAnsi="Arial" w:cs="Arial"/>
          <w:bCs/>
          <w:lang w:eastAsia="en-AU"/>
        </w:rPr>
      </w:pPr>
      <w:r w:rsidRPr="00D11A54">
        <w:rPr>
          <w:rFonts w:ascii="Arial" w:eastAsia="Times New Roman" w:hAnsi="Arial" w:cs="Arial"/>
          <w:bCs/>
          <w:lang w:eastAsia="en-AU"/>
        </w:rPr>
        <w:t>Even where a document has insufficient information, the Commissioner has the discretion to treat a document as an adjustment note under subsection 29-75(1) of the GST Act.</w:t>
      </w:r>
    </w:p>
    <w:p w14:paraId="0EDE9583" w14:textId="77777777" w:rsidR="007F4229" w:rsidRDefault="007F4229" w:rsidP="00F04F17">
      <w:pPr>
        <w:spacing w:after="120"/>
        <w:rPr>
          <w:rFonts w:ascii="Arial" w:hAnsi="Arial" w:cs="Arial"/>
          <w:sz w:val="22"/>
          <w:szCs w:val="22"/>
        </w:rPr>
      </w:pPr>
    </w:p>
    <w:p w14:paraId="0C1A6895" w14:textId="77777777" w:rsidR="0063489F" w:rsidRPr="00457707" w:rsidRDefault="0063489F" w:rsidP="00457707">
      <w:pPr>
        <w:pStyle w:val="Heading2"/>
        <w:rPr>
          <w:rFonts w:cs="Arial"/>
          <w:szCs w:val="22"/>
        </w:rPr>
      </w:pPr>
      <w:r w:rsidRPr="00457707">
        <w:rPr>
          <w:rFonts w:cs="Arial"/>
          <w:szCs w:val="22"/>
        </w:rPr>
        <w:lastRenderedPageBreak/>
        <w:t>Compliance cost assessment</w:t>
      </w:r>
    </w:p>
    <w:p w14:paraId="6C2AD320" w14:textId="77777777" w:rsidR="0063489F" w:rsidRPr="00D11A54" w:rsidRDefault="0063489F" w:rsidP="00D11A54">
      <w:pPr>
        <w:pStyle w:val="ListParagraph"/>
        <w:numPr>
          <w:ilvl w:val="0"/>
          <w:numId w:val="16"/>
        </w:numPr>
        <w:spacing w:after="120"/>
        <w:ind w:hanging="720"/>
        <w:rPr>
          <w:rFonts w:ascii="Arial" w:eastAsia="Times New Roman" w:hAnsi="Arial" w:cs="Arial"/>
          <w:bCs/>
          <w:lang w:eastAsia="en-AU"/>
        </w:rPr>
      </w:pPr>
      <w:r w:rsidRPr="00D11A54">
        <w:rPr>
          <w:rFonts w:ascii="Arial" w:eastAsia="Times New Roman" w:hAnsi="Arial" w:cs="Arial"/>
          <w:bCs/>
          <w:lang w:eastAsia="en-AU"/>
        </w:rPr>
        <w:t>There will be no additional regulatory impacts as the determination is minor and machinery in nature OBPR22-01625.</w:t>
      </w:r>
    </w:p>
    <w:p w14:paraId="41F258E7" w14:textId="77777777" w:rsidR="0063489F" w:rsidRPr="00F04F17" w:rsidRDefault="0063489F" w:rsidP="00F04F17">
      <w:pPr>
        <w:spacing w:after="120"/>
        <w:rPr>
          <w:rFonts w:ascii="Arial" w:hAnsi="Arial" w:cs="Arial"/>
          <w:sz w:val="22"/>
          <w:szCs w:val="22"/>
        </w:rPr>
      </w:pPr>
    </w:p>
    <w:p w14:paraId="09496D83" w14:textId="77777777" w:rsidR="009C1910" w:rsidRPr="00F04F17" w:rsidRDefault="009C1910" w:rsidP="00F04F17">
      <w:pPr>
        <w:pStyle w:val="Heading2"/>
        <w:rPr>
          <w:rFonts w:cs="Arial"/>
          <w:szCs w:val="22"/>
        </w:rPr>
      </w:pPr>
      <w:r w:rsidRPr="00F04F17">
        <w:rPr>
          <w:rFonts w:cs="Arial"/>
          <w:szCs w:val="22"/>
        </w:rPr>
        <w:t>Background</w:t>
      </w:r>
    </w:p>
    <w:p w14:paraId="60FAFB07" w14:textId="77777777" w:rsidR="0063489F" w:rsidRPr="00D11A54" w:rsidRDefault="0063489F" w:rsidP="00001FBA">
      <w:pPr>
        <w:pStyle w:val="ListParagraph"/>
        <w:numPr>
          <w:ilvl w:val="0"/>
          <w:numId w:val="16"/>
        </w:numPr>
        <w:spacing w:after="120" w:line="240" w:lineRule="auto"/>
        <w:ind w:hanging="720"/>
        <w:rPr>
          <w:rFonts w:ascii="Arial" w:eastAsia="Times New Roman" w:hAnsi="Arial" w:cs="Arial"/>
          <w:bCs/>
          <w:lang w:eastAsia="en-AU"/>
        </w:rPr>
      </w:pPr>
      <w:r w:rsidRPr="00D11A54">
        <w:rPr>
          <w:rFonts w:ascii="Arial" w:eastAsia="Times New Roman" w:hAnsi="Arial" w:cs="Arial"/>
          <w:bCs/>
          <w:lang w:eastAsia="en-AU"/>
        </w:rPr>
        <w:t xml:space="preserve">This determination </w:t>
      </w:r>
      <w:bookmarkStart w:id="2" w:name="_Hlk107233393"/>
      <w:r w:rsidRPr="00D11A54">
        <w:rPr>
          <w:rFonts w:ascii="Arial" w:eastAsia="Times New Roman" w:hAnsi="Arial" w:cs="Arial"/>
          <w:bCs/>
          <w:lang w:eastAsia="en-AU"/>
        </w:rPr>
        <w:t>specifies additional information that needs to be included in an adjustment note and a recipient created adjustment note</w:t>
      </w:r>
      <w:bookmarkEnd w:id="2"/>
      <w:r w:rsidRPr="00D11A54">
        <w:rPr>
          <w:rFonts w:ascii="Arial" w:eastAsia="Times New Roman" w:hAnsi="Arial" w:cs="Arial"/>
          <w:bCs/>
          <w:lang w:eastAsia="en-AU"/>
        </w:rPr>
        <w:t xml:space="preserve"> under subsection 29-75(1)</w:t>
      </w:r>
      <w:r w:rsidR="00D11A54" w:rsidRPr="00D11A54">
        <w:rPr>
          <w:rFonts w:ascii="Arial" w:eastAsia="Times New Roman" w:hAnsi="Arial" w:cs="Arial"/>
          <w:bCs/>
          <w:lang w:eastAsia="en-AU"/>
        </w:rPr>
        <w:t xml:space="preserve"> of the</w:t>
      </w:r>
      <w:r w:rsidRPr="00D11A54">
        <w:rPr>
          <w:rFonts w:ascii="Arial" w:eastAsia="Times New Roman" w:hAnsi="Arial" w:cs="Arial"/>
          <w:bCs/>
          <w:lang w:eastAsia="en-AU"/>
        </w:rPr>
        <w:t xml:space="preserve"> GST Act.</w:t>
      </w:r>
    </w:p>
    <w:p w14:paraId="177D1D7A" w14:textId="77777777" w:rsidR="00144139" w:rsidRDefault="0063489F" w:rsidP="00144139">
      <w:pPr>
        <w:pStyle w:val="ListParagraph"/>
        <w:numPr>
          <w:ilvl w:val="0"/>
          <w:numId w:val="16"/>
        </w:numPr>
        <w:spacing w:after="120" w:line="240" w:lineRule="auto"/>
        <w:ind w:hanging="720"/>
        <w:rPr>
          <w:rFonts w:ascii="Arial" w:eastAsia="Times New Roman" w:hAnsi="Arial" w:cs="Arial"/>
          <w:bCs/>
          <w:lang w:eastAsia="en-AU"/>
        </w:rPr>
      </w:pPr>
      <w:r w:rsidRPr="00D11A54">
        <w:rPr>
          <w:rFonts w:ascii="Arial" w:eastAsia="Times New Roman" w:hAnsi="Arial" w:cs="Arial"/>
          <w:bCs/>
          <w:lang w:eastAsia="en-AU"/>
        </w:rPr>
        <w:t>Adjustment notes and tax invoices are generally issued by a supplier making a taxable supply. However, in some circumstances a recipient may be able to issue a tax invoice and an adjustment note. For example, where the recipient determines the value of the goods or services. In such circumstances, the tax invoice or any corresponding adjustment notes may be created by the recipient in accordance with subsections 29-70(3) and 29-75(2) of the GST Act.</w:t>
      </w:r>
    </w:p>
    <w:p w14:paraId="35E0944F" w14:textId="77777777" w:rsidR="006360A7" w:rsidRPr="00144139" w:rsidRDefault="006360A7" w:rsidP="00144139">
      <w:pPr>
        <w:pStyle w:val="ListParagraph"/>
        <w:numPr>
          <w:ilvl w:val="0"/>
          <w:numId w:val="16"/>
        </w:numPr>
        <w:spacing w:after="120" w:line="240" w:lineRule="auto"/>
        <w:ind w:hanging="720"/>
        <w:rPr>
          <w:rFonts w:ascii="Arial" w:eastAsia="Times New Roman" w:hAnsi="Arial" w:cs="Arial"/>
          <w:bCs/>
          <w:lang w:eastAsia="en-AU"/>
        </w:rPr>
      </w:pPr>
      <w:r w:rsidRPr="00144139">
        <w:rPr>
          <w:rFonts w:ascii="Arial" w:hAnsi="Arial" w:cs="Arial"/>
          <w:bCs/>
        </w:rPr>
        <w:t>Adjustment notes and recipient created adjustment notes are needed where there is an adjustment event. An adjustment event is an event which cancels the supply or acquisition, alters the price paid or received by the parties or causes the supply or acquisition to become, or stop being, a taxable supply or creditable acquisition.</w:t>
      </w:r>
      <w:r w:rsidRPr="006360A7">
        <w:t xml:space="preserve"> </w:t>
      </w:r>
      <w:r w:rsidRPr="00144139">
        <w:rPr>
          <w:rFonts w:ascii="Arial" w:eastAsia="Times New Roman" w:hAnsi="Arial" w:cs="Arial"/>
          <w:bCs/>
          <w:lang w:eastAsia="en-AU"/>
        </w:rPr>
        <w:t>Where an adjustment event results in the previously reported GST or input tax credit no longer correctly reflect</w:t>
      </w:r>
      <w:r w:rsidR="005B2465" w:rsidRPr="00144139">
        <w:rPr>
          <w:rFonts w:ascii="Arial" w:eastAsia="Times New Roman" w:hAnsi="Arial" w:cs="Arial"/>
          <w:bCs/>
          <w:lang w:eastAsia="en-AU"/>
        </w:rPr>
        <w:t>ing</w:t>
      </w:r>
      <w:r w:rsidRPr="00144139">
        <w:rPr>
          <w:rFonts w:ascii="Arial" w:eastAsia="Times New Roman" w:hAnsi="Arial" w:cs="Arial"/>
          <w:bCs/>
          <w:lang w:eastAsia="en-AU"/>
        </w:rPr>
        <w:t xml:space="preserve"> the GST or input tax credit for the supply or acquisition, an adjustment will arise. The adjustment will be either an increasing adjustment or decreasing adjustment.</w:t>
      </w:r>
    </w:p>
    <w:p w14:paraId="03A65D04" w14:textId="77777777" w:rsidR="0063489F" w:rsidRPr="00D11A54" w:rsidRDefault="0063489F" w:rsidP="00001FBA">
      <w:pPr>
        <w:pStyle w:val="ListParagraph"/>
        <w:numPr>
          <w:ilvl w:val="0"/>
          <w:numId w:val="16"/>
        </w:numPr>
        <w:spacing w:after="120" w:line="240" w:lineRule="auto"/>
        <w:ind w:hanging="720"/>
        <w:rPr>
          <w:rFonts w:ascii="Arial" w:eastAsia="Times New Roman" w:hAnsi="Arial" w:cs="Arial"/>
          <w:bCs/>
          <w:lang w:eastAsia="en-AU"/>
        </w:rPr>
      </w:pPr>
      <w:r w:rsidRPr="00D11A54">
        <w:rPr>
          <w:rFonts w:ascii="Arial" w:eastAsia="Times New Roman" w:hAnsi="Arial" w:cs="Arial"/>
          <w:bCs/>
          <w:lang w:eastAsia="en-AU"/>
        </w:rPr>
        <w:t>An increasing adjustment increases the net amount for the tax period, while a decreasing adjustment decreases the net amount for the tax period. Except in certain circumstances, a decreasing adjustment of more than $75 cannot be attributed in a GST return to a tax period until an adjustment note is held.</w:t>
      </w:r>
    </w:p>
    <w:p w14:paraId="204B0C6A" w14:textId="77777777" w:rsidR="0063489F" w:rsidRDefault="0063489F" w:rsidP="00001FBA">
      <w:pPr>
        <w:pStyle w:val="ListParagraph"/>
        <w:numPr>
          <w:ilvl w:val="0"/>
          <w:numId w:val="16"/>
        </w:numPr>
        <w:spacing w:after="120" w:line="240" w:lineRule="auto"/>
        <w:ind w:hanging="720"/>
        <w:rPr>
          <w:rFonts w:ascii="Arial" w:hAnsi="Arial" w:cs="Arial"/>
        </w:rPr>
      </w:pPr>
      <w:r w:rsidRPr="00D11A54">
        <w:rPr>
          <w:rFonts w:ascii="Arial" w:eastAsia="Times New Roman" w:hAnsi="Arial" w:cs="Arial"/>
          <w:bCs/>
          <w:lang w:eastAsia="en-AU"/>
        </w:rPr>
        <w:t>The supplier or recipient is required to give the other party a copy of the</w:t>
      </w:r>
      <w:r>
        <w:rPr>
          <w:rFonts w:ascii="Arial" w:hAnsi="Arial" w:cs="Arial"/>
        </w:rPr>
        <w:t xml:space="preserve"> adjustment note within 28 days of the earlier of:</w:t>
      </w:r>
    </w:p>
    <w:p w14:paraId="7A280D8E" w14:textId="77777777" w:rsidR="0063489F" w:rsidRDefault="0063489F" w:rsidP="006F58D0">
      <w:pPr>
        <w:pStyle w:val="ListParagraph"/>
        <w:numPr>
          <w:ilvl w:val="0"/>
          <w:numId w:val="57"/>
        </w:numPr>
        <w:tabs>
          <w:tab w:val="num" w:pos="357"/>
        </w:tabs>
        <w:spacing w:after="120"/>
        <w:ind w:left="360" w:firstLine="360"/>
        <w:rPr>
          <w:rFonts w:ascii="Arial" w:hAnsi="Arial" w:cs="Arial"/>
        </w:rPr>
      </w:pPr>
      <w:r>
        <w:rPr>
          <w:rFonts w:ascii="Arial" w:hAnsi="Arial" w:cs="Arial"/>
        </w:rPr>
        <w:t>a request by the other party; or</w:t>
      </w:r>
    </w:p>
    <w:p w14:paraId="6D9CF2A0" w14:textId="77777777" w:rsidR="0063489F" w:rsidRDefault="0063489F" w:rsidP="006F58D0">
      <w:pPr>
        <w:pStyle w:val="ListParagraph"/>
        <w:numPr>
          <w:ilvl w:val="0"/>
          <w:numId w:val="57"/>
        </w:numPr>
        <w:spacing w:after="120"/>
        <w:ind w:left="1418" w:hanging="698"/>
        <w:rPr>
          <w:rFonts w:ascii="Arial" w:hAnsi="Arial" w:cs="Arial"/>
        </w:rPr>
      </w:pPr>
      <w:r>
        <w:rPr>
          <w:rFonts w:ascii="Arial" w:hAnsi="Arial" w:cs="Arial"/>
        </w:rPr>
        <w:t>becoming aware of the adjustment before an adjustment note is required.</w:t>
      </w:r>
    </w:p>
    <w:p w14:paraId="3914CFA6" w14:textId="77777777" w:rsidR="0063489F" w:rsidRDefault="0063489F" w:rsidP="00001FBA">
      <w:pPr>
        <w:spacing w:after="120"/>
        <w:ind w:left="720"/>
        <w:rPr>
          <w:rFonts w:ascii="Arial" w:hAnsi="Arial" w:cs="Arial"/>
          <w:sz w:val="22"/>
          <w:szCs w:val="22"/>
        </w:rPr>
      </w:pPr>
      <w:bookmarkStart w:id="3" w:name="_Hlk109045814"/>
      <w:r w:rsidRPr="00402E32">
        <w:rPr>
          <w:rFonts w:ascii="Arial" w:hAnsi="Arial" w:cs="Arial"/>
          <w:sz w:val="22"/>
          <w:szCs w:val="22"/>
        </w:rPr>
        <w:t xml:space="preserve">However, under section 29-80 of the GST Act, </w:t>
      </w:r>
      <w:r w:rsidR="0040183D">
        <w:rPr>
          <w:rFonts w:ascii="Arial" w:hAnsi="Arial" w:cs="Arial"/>
          <w:sz w:val="22"/>
          <w:szCs w:val="22"/>
        </w:rPr>
        <w:t>the requirement</w:t>
      </w:r>
      <w:r w:rsidR="00D14BFC">
        <w:rPr>
          <w:rFonts w:ascii="Arial" w:hAnsi="Arial" w:cs="Arial"/>
          <w:sz w:val="22"/>
          <w:szCs w:val="22"/>
        </w:rPr>
        <w:t>s to hold or</w:t>
      </w:r>
      <w:r w:rsidR="0040183D">
        <w:rPr>
          <w:rFonts w:ascii="Arial" w:hAnsi="Arial" w:cs="Arial"/>
          <w:sz w:val="22"/>
          <w:szCs w:val="22"/>
        </w:rPr>
        <w:t xml:space="preserve"> issue </w:t>
      </w:r>
      <w:r w:rsidRPr="00402E32">
        <w:rPr>
          <w:rFonts w:ascii="Arial" w:hAnsi="Arial" w:cs="Arial"/>
          <w:sz w:val="22"/>
          <w:szCs w:val="22"/>
        </w:rPr>
        <w:t xml:space="preserve">an adjustment note </w:t>
      </w:r>
      <w:r w:rsidR="0040183D">
        <w:rPr>
          <w:rFonts w:ascii="Arial" w:hAnsi="Arial" w:cs="Arial"/>
          <w:sz w:val="22"/>
          <w:szCs w:val="22"/>
        </w:rPr>
        <w:t>does not apply</w:t>
      </w:r>
      <w:r w:rsidRPr="00402E32">
        <w:rPr>
          <w:rFonts w:ascii="Arial" w:hAnsi="Arial" w:cs="Arial"/>
          <w:sz w:val="22"/>
          <w:szCs w:val="22"/>
        </w:rPr>
        <w:t xml:space="preserve"> where the amount of the adjustment is $75 or less, or such higher amount as the </w:t>
      </w:r>
      <w:bookmarkStart w:id="4" w:name="_Hlk104479916"/>
      <w:r w:rsidRPr="00402E32">
        <w:rPr>
          <w:rFonts w:ascii="Arial" w:hAnsi="Arial" w:cs="Arial"/>
          <w:i/>
          <w:iCs/>
          <w:sz w:val="22"/>
          <w:szCs w:val="22"/>
        </w:rPr>
        <w:t xml:space="preserve">A New Tax System (Goods and Services Tax) Regulations </w:t>
      </w:r>
      <w:bookmarkEnd w:id="4"/>
      <w:r w:rsidRPr="00402E32">
        <w:rPr>
          <w:rFonts w:ascii="Arial" w:hAnsi="Arial" w:cs="Arial"/>
          <w:i/>
          <w:iCs/>
          <w:sz w:val="22"/>
          <w:szCs w:val="22"/>
        </w:rPr>
        <w:t>2019</w:t>
      </w:r>
      <w:r w:rsidRPr="00402E32">
        <w:rPr>
          <w:rFonts w:ascii="Arial" w:hAnsi="Arial" w:cs="Arial"/>
          <w:sz w:val="22"/>
          <w:szCs w:val="22"/>
        </w:rPr>
        <w:t xml:space="preserve"> (GST regulations) specify.</w:t>
      </w:r>
    </w:p>
    <w:bookmarkEnd w:id="3"/>
    <w:p w14:paraId="6E6EDFF4" w14:textId="77777777" w:rsidR="00A53733" w:rsidRPr="00F04F17" w:rsidRDefault="00A53733" w:rsidP="00F04F17">
      <w:pPr>
        <w:spacing w:after="120"/>
        <w:rPr>
          <w:rFonts w:ascii="Arial" w:hAnsi="Arial" w:cs="Arial"/>
          <w:sz w:val="22"/>
          <w:szCs w:val="22"/>
        </w:rPr>
      </w:pPr>
    </w:p>
    <w:p w14:paraId="2E928CE0" w14:textId="77777777" w:rsidR="0063489F" w:rsidRPr="00D11A54" w:rsidRDefault="00131D6F" w:rsidP="00D11A54">
      <w:pPr>
        <w:pStyle w:val="Heading2"/>
        <w:rPr>
          <w:rFonts w:cs="Arial"/>
          <w:szCs w:val="22"/>
        </w:rPr>
      </w:pPr>
      <w:r w:rsidRPr="00F04F17">
        <w:rPr>
          <w:rFonts w:cs="Arial"/>
          <w:szCs w:val="22"/>
        </w:rPr>
        <w:t>Consultation</w:t>
      </w:r>
    </w:p>
    <w:p w14:paraId="76A18B8D" w14:textId="77777777" w:rsidR="00867F49" w:rsidRPr="00867F49" w:rsidRDefault="0063489F" w:rsidP="00867F49">
      <w:pPr>
        <w:pStyle w:val="ListParagraph"/>
        <w:numPr>
          <w:ilvl w:val="0"/>
          <w:numId w:val="16"/>
        </w:numPr>
        <w:spacing w:after="120"/>
        <w:ind w:hanging="720"/>
        <w:rPr>
          <w:rFonts w:ascii="Arial" w:eastAsia="Times New Roman" w:hAnsi="Arial" w:cs="Arial"/>
          <w:bCs/>
          <w:lang w:eastAsia="en-AU"/>
        </w:rPr>
      </w:pPr>
      <w:r w:rsidRPr="00867F49">
        <w:rPr>
          <w:rFonts w:ascii="Arial" w:hAnsi="Arial" w:cs="Arial"/>
        </w:rPr>
        <w:t xml:space="preserve">Subsection 17(1) of the </w:t>
      </w:r>
      <w:r w:rsidRPr="00867F49">
        <w:rPr>
          <w:rFonts w:ascii="Arial" w:hAnsi="Arial" w:cs="Arial"/>
          <w:i/>
          <w:iCs/>
        </w:rPr>
        <w:t>Legislation Act 2003</w:t>
      </w:r>
      <w:r w:rsidRPr="00867F49">
        <w:rPr>
          <w:rFonts w:ascii="Arial" w:hAnsi="Arial" w:cs="Arial"/>
        </w:rPr>
        <w:t xml:space="preserve"> requires that the </w:t>
      </w:r>
      <w:r w:rsidR="00867F49">
        <w:rPr>
          <w:rFonts w:ascii="Arial" w:hAnsi="Arial" w:cs="Arial"/>
        </w:rPr>
        <w:t>Commissioner</w:t>
      </w:r>
      <w:r w:rsidR="00867F49" w:rsidRPr="00867F49">
        <w:rPr>
          <w:rFonts w:ascii="Arial" w:hAnsi="Arial" w:cs="Arial"/>
        </w:rPr>
        <w:t xml:space="preserve"> </w:t>
      </w:r>
      <w:r w:rsidR="00867F49" w:rsidRPr="009967C9">
        <w:rPr>
          <w:rFonts w:ascii="Arial" w:hAnsi="Arial" w:cs="Arial"/>
        </w:rPr>
        <w:t xml:space="preserve">to be satisfied that appropriate and reasonably practicable consultation has been undertaken before </w:t>
      </w:r>
      <w:proofErr w:type="gramStart"/>
      <w:r w:rsidR="00867F49">
        <w:rPr>
          <w:rFonts w:ascii="Arial" w:hAnsi="Arial" w:cs="Arial"/>
        </w:rPr>
        <w:t xml:space="preserve">making </w:t>
      </w:r>
      <w:r w:rsidR="00867F49" w:rsidRPr="009967C9">
        <w:rPr>
          <w:rFonts w:ascii="Arial" w:hAnsi="Arial" w:cs="Arial"/>
        </w:rPr>
        <w:t>a determination</w:t>
      </w:r>
      <w:proofErr w:type="gramEnd"/>
      <w:r w:rsidR="00867F49">
        <w:rPr>
          <w:rFonts w:ascii="Arial" w:hAnsi="Arial" w:cs="Arial"/>
        </w:rPr>
        <w:t>.</w:t>
      </w:r>
    </w:p>
    <w:p w14:paraId="1BBDB656" w14:textId="77777777" w:rsidR="00867F49" w:rsidRPr="00867F49" w:rsidRDefault="00867F49" w:rsidP="00867F49">
      <w:pPr>
        <w:pStyle w:val="ListParagraph"/>
        <w:numPr>
          <w:ilvl w:val="0"/>
          <w:numId w:val="16"/>
        </w:numPr>
        <w:spacing w:after="120"/>
        <w:ind w:hanging="720"/>
        <w:rPr>
          <w:rFonts w:ascii="Arial" w:eastAsia="Times New Roman" w:hAnsi="Arial" w:cs="Arial"/>
          <w:bCs/>
          <w:lang w:eastAsia="en-AU"/>
        </w:rPr>
      </w:pPr>
      <w:r w:rsidRPr="00867F49">
        <w:rPr>
          <w:rFonts w:ascii="Arial" w:hAnsi="Arial" w:cs="Arial"/>
          <w:bCs/>
        </w:rPr>
        <w:t>Public consultation was undertaken on this instrument for a period of 2 weeks.</w:t>
      </w:r>
    </w:p>
    <w:p w14:paraId="0B2EDF5D" w14:textId="77777777" w:rsidR="00867F49" w:rsidRPr="00867F49" w:rsidRDefault="00867F49" w:rsidP="00867F49">
      <w:pPr>
        <w:pStyle w:val="ListParagraph"/>
        <w:numPr>
          <w:ilvl w:val="0"/>
          <w:numId w:val="16"/>
        </w:numPr>
        <w:spacing w:after="120"/>
        <w:ind w:hanging="720"/>
        <w:rPr>
          <w:rFonts w:ascii="Arial" w:eastAsia="Times New Roman" w:hAnsi="Arial" w:cs="Arial"/>
          <w:bCs/>
          <w:lang w:eastAsia="en-AU"/>
        </w:rPr>
      </w:pPr>
      <w:r w:rsidRPr="00867F49">
        <w:rPr>
          <w:rFonts w:ascii="Arial" w:hAnsi="Arial" w:cs="Arial"/>
          <w:bCs/>
        </w:rPr>
        <w:t xml:space="preserve">The draft instrument and draft explanatory statement were published on the ATO Legal database, which is publicly available. Publication was advertised via the ‘What’s new’ page on that website, and via the ‘Open Consultation’ page on ato.gov.au. Major tax and superannuation publishers and </w:t>
      </w:r>
      <w:r w:rsidRPr="00867F49">
        <w:rPr>
          <w:rFonts w:ascii="Arial" w:hAnsi="Arial" w:cs="Arial"/>
          <w:bCs/>
        </w:rPr>
        <w:lastRenderedPageBreak/>
        <w:t>associations monitor these pages and include the details in the daily and weekly alerts and newsletters that they provide to their subscribers and members.</w:t>
      </w:r>
    </w:p>
    <w:p w14:paraId="21FC52FA" w14:textId="2DA417B9" w:rsidR="00867F49" w:rsidRPr="00867F49" w:rsidRDefault="00867F49" w:rsidP="00867F49">
      <w:pPr>
        <w:pStyle w:val="ListParagraph"/>
        <w:numPr>
          <w:ilvl w:val="0"/>
          <w:numId w:val="16"/>
        </w:numPr>
        <w:spacing w:after="120"/>
        <w:ind w:hanging="720"/>
        <w:rPr>
          <w:rFonts w:ascii="Arial" w:eastAsia="Times New Roman" w:hAnsi="Arial" w:cs="Arial"/>
          <w:bCs/>
          <w:lang w:eastAsia="en-AU"/>
        </w:rPr>
      </w:pPr>
      <w:r w:rsidRPr="00867F49">
        <w:rPr>
          <w:rFonts w:ascii="Arial" w:hAnsi="Arial" w:cs="Arial"/>
          <w:bCs/>
        </w:rPr>
        <w:t>No comments were received as part of the consultation process.</w:t>
      </w:r>
    </w:p>
    <w:p w14:paraId="34029B38" w14:textId="77777777" w:rsidR="0015780B" w:rsidRPr="00F04F17" w:rsidRDefault="0015780B" w:rsidP="00F04F17">
      <w:pPr>
        <w:autoSpaceDE w:val="0"/>
        <w:autoSpaceDN w:val="0"/>
        <w:adjustRightInd w:val="0"/>
        <w:spacing w:after="120"/>
        <w:rPr>
          <w:rFonts w:ascii="Arial" w:hAnsi="Arial" w:cs="Arial"/>
          <w:sz w:val="22"/>
          <w:szCs w:val="22"/>
        </w:rPr>
      </w:pPr>
    </w:p>
    <w:p w14:paraId="630993D9" w14:textId="77777777" w:rsidR="007571D0" w:rsidRPr="00382A3A" w:rsidRDefault="007571D0" w:rsidP="00F04F17">
      <w:pPr>
        <w:pStyle w:val="Heading2"/>
        <w:spacing w:after="60"/>
        <w:rPr>
          <w:rFonts w:cs="Arial"/>
          <w:sz w:val="20"/>
        </w:rPr>
      </w:pPr>
      <w:r w:rsidRPr="00F04F17">
        <w:rPr>
          <w:rFonts w:cs="Arial"/>
          <w:sz w:val="20"/>
        </w:rPr>
        <w:t xml:space="preserve">Legislative </w:t>
      </w:r>
      <w:r w:rsidRPr="00382A3A">
        <w:rPr>
          <w:rFonts w:cs="Arial"/>
          <w:sz w:val="20"/>
        </w:rPr>
        <w:t>references:</w:t>
      </w:r>
    </w:p>
    <w:p w14:paraId="0179EA3D" w14:textId="77777777" w:rsidR="0063489F" w:rsidRPr="00382A3A" w:rsidRDefault="0063489F" w:rsidP="0063489F">
      <w:pPr>
        <w:autoSpaceDE w:val="0"/>
        <w:autoSpaceDN w:val="0"/>
        <w:adjustRightInd w:val="0"/>
        <w:rPr>
          <w:rFonts w:ascii="Arial" w:hAnsi="Arial" w:cs="Arial"/>
          <w:i/>
          <w:iCs/>
          <w:sz w:val="20"/>
        </w:rPr>
      </w:pPr>
      <w:r w:rsidRPr="00382A3A">
        <w:rPr>
          <w:rFonts w:ascii="Arial" w:hAnsi="Arial" w:cs="Arial"/>
          <w:bCs/>
          <w:i/>
          <w:iCs/>
          <w:sz w:val="20"/>
        </w:rPr>
        <w:t>Acts Interpretation Act 1901</w:t>
      </w:r>
    </w:p>
    <w:p w14:paraId="3D1BEA0C" w14:textId="77777777" w:rsidR="0063489F" w:rsidRPr="0063489F" w:rsidRDefault="0063489F" w:rsidP="0063489F">
      <w:pPr>
        <w:autoSpaceDE w:val="0"/>
        <w:autoSpaceDN w:val="0"/>
        <w:adjustRightInd w:val="0"/>
        <w:rPr>
          <w:rFonts w:ascii="Arial" w:hAnsi="Arial" w:cs="Arial"/>
          <w:i/>
          <w:iCs/>
          <w:sz w:val="20"/>
        </w:rPr>
      </w:pPr>
      <w:r w:rsidRPr="0063489F">
        <w:rPr>
          <w:rFonts w:ascii="Arial" w:hAnsi="Arial" w:cs="Arial"/>
          <w:i/>
          <w:iCs/>
          <w:sz w:val="20"/>
        </w:rPr>
        <w:t>A New Tax System (Goods and Services) Tax Act 1999</w:t>
      </w:r>
    </w:p>
    <w:p w14:paraId="72EE9790" w14:textId="77777777" w:rsidR="0063489F" w:rsidRPr="0063489F" w:rsidRDefault="0063489F" w:rsidP="0063489F">
      <w:pPr>
        <w:autoSpaceDE w:val="0"/>
        <w:autoSpaceDN w:val="0"/>
        <w:adjustRightInd w:val="0"/>
        <w:rPr>
          <w:rFonts w:ascii="Arial" w:hAnsi="Arial" w:cs="Arial"/>
          <w:i/>
          <w:iCs/>
          <w:sz w:val="20"/>
        </w:rPr>
      </w:pPr>
      <w:r w:rsidRPr="0063489F">
        <w:rPr>
          <w:rFonts w:ascii="Arial" w:hAnsi="Arial" w:cs="Arial"/>
          <w:i/>
          <w:iCs/>
          <w:sz w:val="20"/>
        </w:rPr>
        <w:t>A New Tax System (Goods and Services Tax) Regulations 1999</w:t>
      </w:r>
    </w:p>
    <w:p w14:paraId="46396660" w14:textId="77777777" w:rsidR="0063489F" w:rsidRPr="0063489F" w:rsidRDefault="0063489F" w:rsidP="0063489F">
      <w:pPr>
        <w:autoSpaceDE w:val="0"/>
        <w:autoSpaceDN w:val="0"/>
        <w:adjustRightInd w:val="0"/>
        <w:rPr>
          <w:rFonts w:ascii="Arial" w:hAnsi="Arial" w:cs="Arial"/>
          <w:i/>
          <w:iCs/>
          <w:sz w:val="20"/>
        </w:rPr>
      </w:pPr>
      <w:r w:rsidRPr="0063489F">
        <w:rPr>
          <w:rFonts w:ascii="Helvetica Neue" w:hAnsi="Helvetica Neue"/>
          <w:i/>
          <w:iCs/>
          <w:sz w:val="20"/>
        </w:rPr>
        <w:t>Human Rights (Parliamentary Scrutiny) Act 2011</w:t>
      </w:r>
    </w:p>
    <w:p w14:paraId="23193C7B" w14:textId="77777777" w:rsidR="0063489F" w:rsidRPr="0063489F" w:rsidRDefault="0063489F" w:rsidP="0063489F">
      <w:pPr>
        <w:autoSpaceDE w:val="0"/>
        <w:autoSpaceDN w:val="0"/>
        <w:adjustRightInd w:val="0"/>
        <w:rPr>
          <w:rFonts w:ascii="Arial" w:hAnsi="Arial" w:cs="Arial"/>
          <w:i/>
          <w:iCs/>
          <w:sz w:val="20"/>
        </w:rPr>
      </w:pPr>
      <w:r w:rsidRPr="0063489F">
        <w:rPr>
          <w:rFonts w:ascii="Arial" w:hAnsi="Arial" w:cs="Arial"/>
          <w:i/>
          <w:iCs/>
          <w:sz w:val="20"/>
        </w:rPr>
        <w:t>Legislation Act 2003</w:t>
      </w:r>
    </w:p>
    <w:p w14:paraId="1A31F8BA" w14:textId="77777777" w:rsidR="00BF12D2" w:rsidRPr="00F04F17" w:rsidRDefault="00E53399" w:rsidP="00F04F17">
      <w:pPr>
        <w:pStyle w:val="Heading3"/>
        <w:pageBreakBefore/>
        <w:spacing w:before="0" w:after="120"/>
        <w:jc w:val="center"/>
        <w:rPr>
          <w:sz w:val="22"/>
          <w:szCs w:val="22"/>
        </w:rPr>
      </w:pPr>
      <w:r w:rsidRPr="00F04F17">
        <w:rPr>
          <w:sz w:val="22"/>
          <w:szCs w:val="22"/>
        </w:rPr>
        <w:lastRenderedPageBreak/>
        <w:t xml:space="preserve">Statement of </w:t>
      </w:r>
      <w:r w:rsidR="00261149" w:rsidRPr="00F04F17">
        <w:rPr>
          <w:sz w:val="22"/>
          <w:szCs w:val="22"/>
        </w:rPr>
        <w:t>C</w:t>
      </w:r>
      <w:r w:rsidRPr="00F04F17">
        <w:rPr>
          <w:sz w:val="22"/>
          <w:szCs w:val="22"/>
        </w:rPr>
        <w:t>ompatibility</w:t>
      </w:r>
      <w:r w:rsidR="003A7F99" w:rsidRPr="00F04F17">
        <w:rPr>
          <w:sz w:val="22"/>
          <w:szCs w:val="22"/>
        </w:rPr>
        <w:t xml:space="preserve"> with Human Rights</w:t>
      </w:r>
    </w:p>
    <w:p w14:paraId="0A1FBA56" w14:textId="77777777" w:rsidR="00E53399" w:rsidRPr="00F04F17" w:rsidRDefault="00C84E3E" w:rsidP="00F04F17">
      <w:pPr>
        <w:spacing w:after="120"/>
        <w:rPr>
          <w:sz w:val="22"/>
          <w:szCs w:val="22"/>
        </w:rPr>
      </w:pPr>
      <w:r w:rsidRPr="00F04F17">
        <w:rPr>
          <w:rFonts w:ascii="Arial" w:hAnsi="Arial" w:cs="Arial"/>
          <w:sz w:val="22"/>
          <w:szCs w:val="22"/>
        </w:rPr>
        <w:t xml:space="preserve">This </w:t>
      </w:r>
      <w:r w:rsidR="004B6F05" w:rsidRPr="00F04F17">
        <w:rPr>
          <w:rFonts w:ascii="Arial" w:hAnsi="Arial" w:cs="Arial"/>
          <w:sz w:val="22"/>
          <w:szCs w:val="22"/>
        </w:rPr>
        <w:t>s</w:t>
      </w:r>
      <w:r w:rsidRPr="00F04F17">
        <w:rPr>
          <w:rFonts w:ascii="Arial" w:hAnsi="Arial" w:cs="Arial"/>
          <w:sz w:val="22"/>
          <w:szCs w:val="22"/>
        </w:rPr>
        <w:t>tatement is p</w:t>
      </w:r>
      <w:r w:rsidR="00E53399" w:rsidRPr="00F04F17">
        <w:rPr>
          <w:rFonts w:ascii="Arial" w:hAnsi="Arial" w:cs="Arial"/>
          <w:sz w:val="22"/>
          <w:szCs w:val="22"/>
        </w:rPr>
        <w:t xml:space="preserve">repared in accordance with Part 3 of the </w:t>
      </w:r>
      <w:r w:rsidR="00E53399" w:rsidRPr="00F04F17">
        <w:rPr>
          <w:rFonts w:ascii="Arial" w:hAnsi="Arial" w:cs="Arial"/>
          <w:i/>
          <w:sz w:val="22"/>
          <w:szCs w:val="22"/>
        </w:rPr>
        <w:t>Human Rights (</w:t>
      </w:r>
      <w:r w:rsidR="00E53399" w:rsidRPr="009F788F">
        <w:rPr>
          <w:rFonts w:ascii="Arial" w:hAnsi="Arial" w:cs="Arial"/>
          <w:i/>
          <w:sz w:val="22"/>
          <w:szCs w:val="22"/>
        </w:rPr>
        <w:t>Parliament</w:t>
      </w:r>
      <w:r w:rsidR="00E53399" w:rsidRPr="00F04F17">
        <w:rPr>
          <w:rFonts w:ascii="Arial" w:hAnsi="Arial" w:cs="Arial"/>
          <w:i/>
          <w:sz w:val="22"/>
          <w:szCs w:val="22"/>
        </w:rPr>
        <w:t>ary Scrutiny) Act 20</w:t>
      </w:r>
      <w:r w:rsidR="007571D0" w:rsidRPr="00F04F17">
        <w:rPr>
          <w:rFonts w:ascii="Arial" w:hAnsi="Arial" w:cs="Arial"/>
          <w:i/>
          <w:sz w:val="22"/>
          <w:szCs w:val="22"/>
        </w:rPr>
        <w:t>1</w:t>
      </w:r>
      <w:r w:rsidR="00E53399" w:rsidRPr="00F04F17">
        <w:rPr>
          <w:rFonts w:ascii="Arial" w:hAnsi="Arial" w:cs="Arial"/>
          <w:i/>
          <w:sz w:val="22"/>
          <w:szCs w:val="22"/>
        </w:rPr>
        <w:t>1</w:t>
      </w:r>
      <w:r w:rsidR="007571D0" w:rsidRPr="00F04F17">
        <w:rPr>
          <w:rFonts w:ascii="Arial" w:hAnsi="Arial" w:cs="Arial"/>
          <w:i/>
          <w:sz w:val="22"/>
          <w:szCs w:val="22"/>
        </w:rPr>
        <w:t>.</w:t>
      </w:r>
    </w:p>
    <w:p w14:paraId="7E3C22A5" w14:textId="77777777" w:rsidR="00D77015" w:rsidRPr="00F04F17" w:rsidRDefault="00D77015" w:rsidP="00F04F17">
      <w:pPr>
        <w:spacing w:after="120"/>
        <w:rPr>
          <w:rFonts w:ascii="Arial" w:hAnsi="Arial" w:cs="Arial"/>
          <w:sz w:val="22"/>
          <w:szCs w:val="22"/>
        </w:rPr>
      </w:pPr>
    </w:p>
    <w:p w14:paraId="640A16FD" w14:textId="77777777" w:rsidR="0063489F" w:rsidRPr="00D24415" w:rsidRDefault="0063489F" w:rsidP="0063489F">
      <w:pPr>
        <w:shd w:val="clear" w:color="auto" w:fill="FFFFFF"/>
        <w:spacing w:after="240"/>
        <w:jc w:val="center"/>
        <w:rPr>
          <w:rFonts w:ascii="Helvetica Neue" w:hAnsi="Helvetica Neue"/>
          <w:b/>
          <w:bCs/>
          <w:i/>
          <w:iCs/>
          <w:sz w:val="22"/>
          <w:szCs w:val="22"/>
          <w:lang w:val="en-US"/>
        </w:rPr>
      </w:pPr>
      <w:r w:rsidRPr="00D24415">
        <w:rPr>
          <w:rFonts w:ascii="Helvetica Neue" w:hAnsi="Helvetica Neue"/>
          <w:b/>
          <w:bCs/>
          <w:i/>
          <w:iCs/>
          <w:sz w:val="22"/>
          <w:szCs w:val="22"/>
          <w:lang w:val="en-US"/>
        </w:rPr>
        <w:t>A New Tax System (Goods and Services Tax) Adjustment Note Information Requirements Determination 2022</w:t>
      </w:r>
    </w:p>
    <w:p w14:paraId="7220DC45" w14:textId="77777777" w:rsidR="00BF12D2" w:rsidRPr="00F04F17" w:rsidRDefault="00075B58" w:rsidP="00F04F17">
      <w:pPr>
        <w:autoSpaceDE w:val="0"/>
        <w:autoSpaceDN w:val="0"/>
        <w:adjustRightInd w:val="0"/>
        <w:spacing w:after="120"/>
        <w:rPr>
          <w:rFonts w:ascii="Arial" w:hAnsi="Arial" w:cs="Arial"/>
          <w:sz w:val="22"/>
          <w:szCs w:val="22"/>
        </w:rPr>
      </w:pPr>
      <w:r w:rsidRPr="00F04F17">
        <w:rPr>
          <w:rFonts w:ascii="Arial" w:hAnsi="Arial" w:cs="Arial"/>
          <w:sz w:val="22"/>
          <w:szCs w:val="22"/>
        </w:rPr>
        <w:t xml:space="preserve">This </w:t>
      </w:r>
      <w:r w:rsidR="008763C8" w:rsidRPr="00F04F17">
        <w:rPr>
          <w:rFonts w:ascii="Arial" w:hAnsi="Arial" w:cs="Arial"/>
          <w:sz w:val="22"/>
          <w:szCs w:val="22"/>
        </w:rPr>
        <w:t>l</w:t>
      </w:r>
      <w:r w:rsidRPr="00F04F17">
        <w:rPr>
          <w:rFonts w:ascii="Arial" w:hAnsi="Arial" w:cs="Arial"/>
          <w:sz w:val="22"/>
          <w:szCs w:val="22"/>
        </w:rPr>
        <w:t xml:space="preserve">egislative </w:t>
      </w:r>
      <w:r w:rsidR="008763C8" w:rsidRPr="00F04F17">
        <w:rPr>
          <w:rFonts w:ascii="Arial" w:hAnsi="Arial" w:cs="Arial"/>
          <w:sz w:val="22"/>
          <w:szCs w:val="22"/>
        </w:rPr>
        <w:t>i</w:t>
      </w:r>
      <w:r w:rsidRPr="00F04F17">
        <w:rPr>
          <w:rFonts w:ascii="Arial" w:hAnsi="Arial" w:cs="Arial"/>
          <w:sz w:val="22"/>
          <w:szCs w:val="22"/>
        </w:rPr>
        <w:t>nstrument is compatible with the human rights and freedoms recognised or declared in the international instruments listed in s</w:t>
      </w:r>
      <w:r w:rsidR="00AB1455" w:rsidRPr="00F04F17">
        <w:rPr>
          <w:rFonts w:ascii="Arial" w:hAnsi="Arial" w:cs="Arial"/>
          <w:sz w:val="22"/>
          <w:szCs w:val="22"/>
        </w:rPr>
        <w:t>ection </w:t>
      </w:r>
      <w:r w:rsidRPr="00F04F17">
        <w:rPr>
          <w:rFonts w:ascii="Arial" w:hAnsi="Arial" w:cs="Arial"/>
          <w:sz w:val="22"/>
          <w:szCs w:val="22"/>
        </w:rPr>
        <w:t xml:space="preserve">3 of the </w:t>
      </w:r>
      <w:r w:rsidRPr="00F04F17">
        <w:rPr>
          <w:rFonts w:ascii="Arial" w:hAnsi="Arial" w:cs="Arial"/>
          <w:i/>
          <w:sz w:val="22"/>
          <w:szCs w:val="22"/>
        </w:rPr>
        <w:t>Human Rights (</w:t>
      </w:r>
      <w:r w:rsidRPr="009F788F">
        <w:rPr>
          <w:rFonts w:ascii="Arial" w:hAnsi="Arial" w:cs="Arial"/>
          <w:i/>
          <w:sz w:val="22"/>
          <w:szCs w:val="22"/>
        </w:rPr>
        <w:t>Parliament</w:t>
      </w:r>
      <w:r w:rsidRPr="00F04F17">
        <w:rPr>
          <w:rFonts w:ascii="Arial" w:hAnsi="Arial" w:cs="Arial"/>
          <w:i/>
          <w:sz w:val="22"/>
          <w:szCs w:val="22"/>
        </w:rPr>
        <w:t>ary Scrutiny) Act 2011</w:t>
      </w:r>
      <w:r w:rsidRPr="00F04F17">
        <w:rPr>
          <w:rFonts w:ascii="Arial" w:hAnsi="Arial" w:cs="Arial"/>
          <w:sz w:val="22"/>
          <w:szCs w:val="22"/>
        </w:rPr>
        <w:t>.</w:t>
      </w:r>
    </w:p>
    <w:p w14:paraId="71AF46A3" w14:textId="77777777" w:rsidR="00075B58" w:rsidRPr="00F04F17" w:rsidRDefault="00075B58" w:rsidP="00F04F17">
      <w:pPr>
        <w:autoSpaceDE w:val="0"/>
        <w:autoSpaceDN w:val="0"/>
        <w:adjustRightInd w:val="0"/>
        <w:spacing w:after="120"/>
        <w:rPr>
          <w:rFonts w:ascii="Arial" w:hAnsi="Arial" w:cs="Arial"/>
          <w:sz w:val="22"/>
          <w:szCs w:val="22"/>
        </w:rPr>
      </w:pPr>
    </w:p>
    <w:p w14:paraId="6C35D9EB" w14:textId="77777777" w:rsidR="007571D0" w:rsidRPr="00F04F17" w:rsidRDefault="003A7F99" w:rsidP="00F04F17">
      <w:pPr>
        <w:pStyle w:val="Heading2"/>
        <w:rPr>
          <w:rFonts w:cs="Arial"/>
          <w:szCs w:val="22"/>
        </w:rPr>
      </w:pPr>
      <w:r w:rsidRPr="00F04F17">
        <w:rPr>
          <w:rFonts w:cs="Arial"/>
          <w:szCs w:val="22"/>
        </w:rPr>
        <w:t xml:space="preserve">Overview of the </w:t>
      </w:r>
      <w:r w:rsidR="004B6F05" w:rsidRPr="00F04F17">
        <w:rPr>
          <w:rFonts w:cs="Arial"/>
          <w:szCs w:val="22"/>
        </w:rPr>
        <w:t>l</w:t>
      </w:r>
      <w:r w:rsidR="00075B58" w:rsidRPr="00F04F17">
        <w:rPr>
          <w:rFonts w:cs="Arial"/>
          <w:szCs w:val="22"/>
        </w:rPr>
        <w:t xml:space="preserve">egislative </w:t>
      </w:r>
      <w:r w:rsidR="004B6F05" w:rsidRPr="00F04F17">
        <w:rPr>
          <w:rFonts w:cs="Arial"/>
          <w:szCs w:val="22"/>
        </w:rPr>
        <w:t>i</w:t>
      </w:r>
      <w:r w:rsidR="00075B58" w:rsidRPr="00F04F17">
        <w:rPr>
          <w:rFonts w:cs="Arial"/>
          <w:szCs w:val="22"/>
        </w:rPr>
        <w:t>nstrument</w:t>
      </w:r>
    </w:p>
    <w:p w14:paraId="68F5EC34" w14:textId="77777777" w:rsidR="007571D0" w:rsidRPr="00F04F17" w:rsidRDefault="00D034B3" w:rsidP="00F04F17">
      <w:pPr>
        <w:spacing w:after="120"/>
        <w:rPr>
          <w:rFonts w:ascii="Arial" w:hAnsi="Arial" w:cs="Arial"/>
          <w:sz w:val="22"/>
          <w:szCs w:val="22"/>
        </w:rPr>
      </w:pPr>
      <w:r>
        <w:rPr>
          <w:rFonts w:ascii="Arial" w:hAnsi="Arial" w:cs="Arial"/>
          <w:sz w:val="22"/>
          <w:szCs w:val="22"/>
        </w:rPr>
        <w:t>This disallowable legislative instrument has been developed to ensure taxpayers are able to substantiate and properly account for adjustments associated with taxable supplies. It describes what additional information should be included in an adjustment note and a recipient created adjustment note, in addition to the requirements expressly mentioned in subsection 29-75(1) of the GST Act.</w:t>
      </w:r>
    </w:p>
    <w:p w14:paraId="3D736D05" w14:textId="77777777" w:rsidR="00075B58" w:rsidRPr="00F04F17" w:rsidRDefault="00075B58" w:rsidP="00F04F17">
      <w:pPr>
        <w:pStyle w:val="Heading2"/>
        <w:rPr>
          <w:rFonts w:cs="Arial"/>
          <w:szCs w:val="22"/>
        </w:rPr>
      </w:pPr>
      <w:r w:rsidRPr="00F04F17">
        <w:rPr>
          <w:rFonts w:cs="Arial"/>
          <w:szCs w:val="22"/>
        </w:rPr>
        <w:t>Human rights implications</w:t>
      </w:r>
    </w:p>
    <w:p w14:paraId="102A2266" w14:textId="77777777" w:rsidR="0096704C" w:rsidRPr="00F04F17" w:rsidRDefault="00D034B3" w:rsidP="00F04F17">
      <w:pPr>
        <w:spacing w:after="120"/>
        <w:rPr>
          <w:rFonts w:ascii="Arial" w:hAnsi="Arial" w:cs="Arial"/>
          <w:sz w:val="22"/>
          <w:szCs w:val="22"/>
        </w:rPr>
      </w:pPr>
      <w:r w:rsidRPr="00CB2A2D">
        <w:rPr>
          <w:rFonts w:ascii="Arial" w:hAnsi="Arial" w:cs="Arial"/>
          <w:sz w:val="22"/>
          <w:szCs w:val="22"/>
        </w:rPr>
        <w:t>The legislative instrument does not engage any of the applicable rights or freedoms</w:t>
      </w:r>
      <w:r>
        <w:rPr>
          <w:rFonts w:ascii="Arial" w:hAnsi="Arial" w:cs="Arial"/>
          <w:sz w:val="22"/>
          <w:szCs w:val="22"/>
        </w:rPr>
        <w:t>.</w:t>
      </w:r>
      <w:r w:rsidRPr="00842E43">
        <w:rPr>
          <w:rFonts w:ascii="Arial" w:hAnsi="Arial" w:cs="Arial"/>
          <w:sz w:val="22"/>
          <w:szCs w:val="22"/>
        </w:rPr>
        <w:t xml:space="preserve"> </w:t>
      </w:r>
      <w:r>
        <w:rPr>
          <w:rFonts w:ascii="Arial" w:hAnsi="Arial" w:cs="Arial"/>
          <w:sz w:val="22"/>
          <w:szCs w:val="22"/>
        </w:rPr>
        <w:t>because it merely sets out the minimum information requirements to be included in an adjustment note and a recipient created adjustment note issued for a GST supply.</w:t>
      </w:r>
    </w:p>
    <w:p w14:paraId="3B7664C4" w14:textId="77777777" w:rsidR="00075B58" w:rsidRPr="00F04F17" w:rsidRDefault="00075B58" w:rsidP="00F04F17">
      <w:pPr>
        <w:pStyle w:val="Heading2"/>
        <w:rPr>
          <w:rFonts w:cs="Arial"/>
          <w:szCs w:val="22"/>
        </w:rPr>
      </w:pPr>
      <w:r w:rsidRPr="00F04F17">
        <w:rPr>
          <w:rFonts w:cs="Arial"/>
          <w:szCs w:val="22"/>
        </w:rPr>
        <w:t>Conclusion</w:t>
      </w:r>
    </w:p>
    <w:p w14:paraId="48049882" w14:textId="77777777" w:rsidR="00075B58" w:rsidRPr="00CD757F" w:rsidRDefault="00075B58" w:rsidP="00F04F17">
      <w:pPr>
        <w:spacing w:after="120"/>
        <w:rPr>
          <w:rFonts w:ascii="Arial" w:hAnsi="Arial" w:cs="Arial"/>
          <w:sz w:val="22"/>
          <w:szCs w:val="22"/>
        </w:rPr>
      </w:pPr>
      <w:r w:rsidRPr="00F04F17">
        <w:rPr>
          <w:rFonts w:ascii="Arial" w:hAnsi="Arial" w:cs="Arial"/>
          <w:sz w:val="22"/>
          <w:szCs w:val="22"/>
        </w:rPr>
        <w:t>Th</w:t>
      </w:r>
      <w:r w:rsidR="00D034B3">
        <w:rPr>
          <w:rFonts w:ascii="Arial" w:hAnsi="Arial" w:cs="Arial"/>
          <w:sz w:val="22"/>
          <w:szCs w:val="22"/>
        </w:rPr>
        <w:t>e</w:t>
      </w:r>
      <w:r w:rsidRPr="00F04F17">
        <w:rPr>
          <w:rFonts w:ascii="Arial" w:hAnsi="Arial" w:cs="Arial"/>
          <w:sz w:val="22"/>
          <w:szCs w:val="22"/>
        </w:rPr>
        <w:t xml:space="preserve"> </w:t>
      </w:r>
      <w:r w:rsidR="008763C8" w:rsidRPr="00F04F17">
        <w:rPr>
          <w:rFonts w:ascii="Arial" w:hAnsi="Arial" w:cs="Arial"/>
          <w:sz w:val="22"/>
          <w:szCs w:val="22"/>
        </w:rPr>
        <w:t>l</w:t>
      </w:r>
      <w:r w:rsidRPr="00F04F17">
        <w:rPr>
          <w:rFonts w:ascii="Arial" w:hAnsi="Arial" w:cs="Arial"/>
          <w:sz w:val="22"/>
          <w:szCs w:val="22"/>
        </w:rPr>
        <w:t xml:space="preserve">egislative </w:t>
      </w:r>
      <w:r w:rsidR="008763C8" w:rsidRPr="00F04F17">
        <w:rPr>
          <w:rFonts w:ascii="Arial" w:hAnsi="Arial" w:cs="Arial"/>
          <w:sz w:val="22"/>
          <w:szCs w:val="22"/>
        </w:rPr>
        <w:t>i</w:t>
      </w:r>
      <w:r w:rsidRPr="00F04F17">
        <w:rPr>
          <w:rFonts w:ascii="Arial" w:hAnsi="Arial" w:cs="Arial"/>
          <w:sz w:val="22"/>
          <w:szCs w:val="22"/>
        </w:rPr>
        <w:t xml:space="preserve">nstrument </w:t>
      </w:r>
      <w:r w:rsidR="003A7F99" w:rsidRPr="00F04F17">
        <w:rPr>
          <w:rFonts w:ascii="Arial" w:hAnsi="Arial" w:cs="Arial"/>
          <w:sz w:val="22"/>
          <w:szCs w:val="22"/>
        </w:rPr>
        <w:t xml:space="preserve">is compatible with human rights as it </w:t>
      </w:r>
      <w:r w:rsidR="00C76E3D" w:rsidRPr="00F04F17">
        <w:rPr>
          <w:rFonts w:ascii="Arial" w:hAnsi="Arial" w:cs="Arial"/>
          <w:sz w:val="22"/>
          <w:szCs w:val="22"/>
        </w:rPr>
        <w:t>does not raise any human rights issues.</w:t>
      </w:r>
    </w:p>
    <w:sectPr w:rsidR="00075B58" w:rsidRPr="00CD757F" w:rsidSect="00146ED8">
      <w:headerReference w:type="even" r:id="rId12"/>
      <w:headerReference w:type="default" r:id="rId13"/>
      <w:footerReference w:type="even" r:id="rId14"/>
      <w:footerReference w:type="default" r:id="rId15"/>
      <w:headerReference w:type="first" r:id="rId16"/>
      <w:footerReference w:type="first" r:id="rId17"/>
      <w:pgSz w:w="11906" w:h="16838" w:code="9"/>
      <w:pgMar w:top="1440" w:right="1700" w:bottom="1358" w:left="184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B6CA8" w14:textId="77777777" w:rsidR="002C5660" w:rsidRDefault="002C5660">
      <w:r>
        <w:separator/>
      </w:r>
    </w:p>
  </w:endnote>
  <w:endnote w:type="continuationSeparator" w:id="0">
    <w:p w14:paraId="5BF62C48" w14:textId="77777777" w:rsidR="002C5660" w:rsidRDefault="002C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A002C" w14:textId="77777777" w:rsidR="005B2465" w:rsidRDefault="005B24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4E9A" w14:textId="77777777" w:rsidR="005B2465" w:rsidRDefault="005B24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6126" w14:textId="77777777" w:rsidR="005B2465" w:rsidRDefault="005B2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B7CE1" w14:textId="77777777" w:rsidR="002C5660" w:rsidRDefault="002C5660">
      <w:r>
        <w:separator/>
      </w:r>
    </w:p>
  </w:footnote>
  <w:footnote w:type="continuationSeparator" w:id="0">
    <w:p w14:paraId="092183FE" w14:textId="77777777" w:rsidR="002C5660" w:rsidRDefault="002C5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7018" w14:textId="77777777" w:rsidR="00587C50" w:rsidRPr="0067541C" w:rsidRDefault="00587C50">
    <w:pPr>
      <w:pStyle w:val="Header"/>
      <w:rPr>
        <w:rFonts w:ascii="Arial" w:hAnsi="Arial" w:cs="Arial"/>
        <w:sz w:val="52"/>
      </w:rPr>
    </w:pPr>
    <w:r w:rsidRPr="0067541C">
      <w:rPr>
        <w:rFonts w:ascii="Arial" w:hAnsi="Arial" w:cs="Arial"/>
        <w:sz w:val="20"/>
      </w:rPr>
      <w:t>Taxation Determination</w:t>
    </w:r>
  </w:p>
  <w:p w14:paraId="57BA2122" w14:textId="77777777" w:rsidR="00BF12D2" w:rsidRDefault="00587C50">
    <w:pPr>
      <w:pStyle w:val="Header"/>
      <w:rPr>
        <w:rFonts w:ascii="Arial" w:hAnsi="Arial" w:cs="Arial"/>
        <w:b/>
        <w:sz w:val="52"/>
      </w:rPr>
    </w:pPr>
    <w:r w:rsidRPr="0067541C">
      <w:rPr>
        <w:rFonts w:ascii="Arial" w:hAnsi="Arial" w:cs="Arial"/>
        <w:b/>
        <w:sz w:val="52"/>
      </w:rPr>
      <w:t>TD</w:t>
    </w:r>
  </w:p>
  <w:p w14:paraId="1A95FC15" w14:textId="77777777"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E87BA6">
      <w:rPr>
        <w:rFonts w:ascii="Arial" w:hAnsi="Arial" w:cs="Arial"/>
        <w:noProof/>
        <w:snapToGrid w:val="0"/>
        <w:sz w:val="20"/>
        <w:lang w:eastAsia="en-US"/>
      </w:rPr>
      <w:t>4</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FOI status:</w:t>
    </w:r>
    <w:r w:rsidR="0067371B">
      <w:rPr>
        <w:rFonts w:ascii="Arial" w:hAnsi="Arial" w:cs="Arial"/>
        <w:sz w:val="20"/>
      </w:rPr>
      <w:t xml:space="preserve"> </w:t>
    </w:r>
    <w:r w:rsidRPr="0067541C">
      <w:rPr>
        <w:rFonts w:ascii="Arial" w:hAnsi="Arial" w:cs="Arial"/>
        <w:b/>
        <w:sz w:val="20"/>
      </w:rPr>
      <w:t>may be released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AC8A" w14:textId="77777777"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EF78" w14:textId="77777777" w:rsidR="00146ED8" w:rsidRPr="00333FE9" w:rsidRDefault="00146ED8" w:rsidP="00304F6A">
    <w:pPr>
      <w:framePr w:w="4381" w:h="732" w:hSpace="180" w:wrap="around" w:vAnchor="page" w:hAnchor="page" w:x="6045" w:y="1090"/>
      <w:pBdr>
        <w:top w:val="single" w:sz="12" w:space="1" w:color="auto"/>
        <w:left w:val="single" w:sz="12" w:space="1" w:color="auto"/>
        <w:bottom w:val="single" w:sz="12" w:space="1" w:color="auto"/>
        <w:right w:val="single" w:sz="12" w:space="1" w:color="auto"/>
      </w:pBdr>
      <w:jc w:val="center"/>
      <w:rPr>
        <w:rFonts w:ascii="Arial" w:hAnsi="Arial" w:cs="Arial"/>
        <w:sz w:val="20"/>
      </w:rPr>
    </w:pPr>
    <w:bookmarkStart w:id="5" w:name="_Hlk39826024"/>
    <w:r>
      <w:rPr>
        <w:rFonts w:ascii="Arial" w:hAnsi="Arial" w:cs="Arial"/>
        <w:sz w:val="20"/>
      </w:rPr>
      <w:t xml:space="preserve">Australian </w:t>
    </w:r>
    <w:r w:rsidRPr="00333FE9">
      <w:rPr>
        <w:rFonts w:ascii="Arial" w:hAnsi="Arial" w:cs="Arial"/>
        <w:sz w:val="20"/>
      </w:rPr>
      <w:t xml:space="preserve">Taxation </w:t>
    </w:r>
    <w:r>
      <w:rPr>
        <w:rFonts w:ascii="Arial" w:hAnsi="Arial" w:cs="Arial"/>
        <w:sz w:val="20"/>
      </w:rPr>
      <w:t>Office Legislative Instrument</w:t>
    </w:r>
  </w:p>
  <w:p w14:paraId="5BE1995F" w14:textId="77777777" w:rsidR="00146ED8" w:rsidRPr="00146ED8" w:rsidRDefault="00DB4A34" w:rsidP="00304F6A">
    <w:pPr>
      <w:framePr w:w="4381" w:h="732" w:hSpace="180" w:wrap="around" w:vAnchor="page" w:hAnchor="page" w:x="6045" w:y="1090"/>
      <w:pBdr>
        <w:top w:val="single" w:sz="12" w:space="1" w:color="auto"/>
        <w:left w:val="single" w:sz="12" w:space="1" w:color="auto"/>
        <w:bottom w:val="single" w:sz="12" w:space="1" w:color="auto"/>
        <w:right w:val="single" w:sz="12" w:space="1" w:color="auto"/>
      </w:pBdr>
      <w:rPr>
        <w:rFonts w:ascii="Arial" w:hAnsi="Arial" w:cs="Arial"/>
        <w:sz w:val="28"/>
        <w:szCs w:val="28"/>
      </w:rPr>
    </w:pPr>
    <w:r>
      <w:rPr>
        <w:rFonts w:ascii="Arial" w:hAnsi="Arial" w:cs="Arial"/>
        <w:b/>
        <w:sz w:val="28"/>
        <w:szCs w:val="28"/>
      </w:rPr>
      <w:t xml:space="preserve">  </w:t>
    </w:r>
    <w:r w:rsidR="00146ED8" w:rsidRPr="00146ED8">
      <w:rPr>
        <w:rFonts w:ascii="Arial" w:hAnsi="Arial" w:cs="Arial"/>
        <w:b/>
        <w:sz w:val="28"/>
        <w:szCs w:val="28"/>
      </w:rPr>
      <w:t xml:space="preserve">Instrument ID: </w:t>
    </w:r>
    <w:r w:rsidR="00E44419">
      <w:rPr>
        <w:rFonts w:ascii="Arial" w:hAnsi="Arial" w:cs="Arial"/>
        <w:b/>
        <w:sz w:val="28"/>
        <w:szCs w:val="28"/>
      </w:rPr>
      <w:t>20</w:t>
    </w:r>
    <w:r w:rsidR="00D348D9">
      <w:rPr>
        <w:rFonts w:ascii="Arial" w:hAnsi="Arial" w:cs="Arial"/>
        <w:b/>
        <w:sz w:val="28"/>
        <w:szCs w:val="28"/>
      </w:rPr>
      <w:t>2</w:t>
    </w:r>
    <w:r w:rsidR="007C67A5">
      <w:rPr>
        <w:rFonts w:ascii="Arial" w:hAnsi="Arial" w:cs="Arial"/>
        <w:b/>
        <w:sz w:val="28"/>
        <w:szCs w:val="28"/>
      </w:rPr>
      <w:t>1</w:t>
    </w:r>
    <w:r w:rsidR="00E44419">
      <w:rPr>
        <w:rFonts w:ascii="Arial" w:hAnsi="Arial" w:cs="Arial"/>
        <w:b/>
        <w:sz w:val="28"/>
        <w:szCs w:val="28"/>
      </w:rPr>
      <w:t>/</w:t>
    </w:r>
    <w:r w:rsidR="0063489F">
      <w:rPr>
        <w:rFonts w:ascii="Arial" w:hAnsi="Arial" w:cs="Arial"/>
        <w:b/>
        <w:sz w:val="28"/>
        <w:szCs w:val="28"/>
      </w:rPr>
      <w:t>GST</w:t>
    </w:r>
    <w:r w:rsidR="00E44419">
      <w:rPr>
        <w:rFonts w:ascii="Arial" w:hAnsi="Arial" w:cs="Arial"/>
        <w:b/>
        <w:sz w:val="28"/>
        <w:szCs w:val="28"/>
      </w:rPr>
      <w:t>/00</w:t>
    </w:r>
    <w:r w:rsidR="001859DE">
      <w:rPr>
        <w:rFonts w:ascii="Arial" w:hAnsi="Arial" w:cs="Arial"/>
        <w:b/>
        <w:sz w:val="28"/>
        <w:szCs w:val="28"/>
      </w:rPr>
      <w:t>1</w:t>
    </w:r>
    <w:r w:rsidR="0063489F">
      <w:rPr>
        <w:rFonts w:ascii="Arial" w:hAnsi="Arial" w:cs="Arial"/>
        <w:b/>
        <w:sz w:val="28"/>
        <w:szCs w:val="28"/>
      </w:rPr>
      <w:t>4#</w:t>
    </w:r>
  </w:p>
  <w:bookmarkEnd w:id="5"/>
  <w:p w14:paraId="78C5B5FD" w14:textId="77777777"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159E79F8" wp14:editId="7BB9ECDE">
          <wp:extent cx="2413635" cy="701675"/>
          <wp:effectExtent l="0" t="0" r="5715" b="3175"/>
          <wp:docPr id="1" name="Picture 1"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ATO logo containing the Federal Government crest and the words Australian Taxation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53E39B01" w14:textId="77777777" w:rsidR="00CC1833" w:rsidRPr="001A6644" w:rsidRDefault="00CC1833" w:rsidP="001828A4">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15:restartNumberingAfterBreak="0">
    <w:nsid w:val="016B0816"/>
    <w:multiLevelType w:val="hybridMultilevel"/>
    <w:tmpl w:val="32B0F610"/>
    <w:lvl w:ilvl="0" w:tplc="02224C8E">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3870F5A"/>
    <w:multiLevelType w:val="hybridMultilevel"/>
    <w:tmpl w:val="32B0F610"/>
    <w:lvl w:ilvl="0" w:tplc="02224C8E">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7521253"/>
    <w:multiLevelType w:val="hybridMultilevel"/>
    <w:tmpl w:val="32B0F610"/>
    <w:lvl w:ilvl="0" w:tplc="02224C8E">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C25115C"/>
    <w:multiLevelType w:val="hybridMultilevel"/>
    <w:tmpl w:val="32B0F610"/>
    <w:lvl w:ilvl="0" w:tplc="02224C8E">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10" w15:restartNumberingAfterBreak="0">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11" w15:restartNumberingAfterBreak="0">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95E5ED5"/>
    <w:multiLevelType w:val="hybridMultilevel"/>
    <w:tmpl w:val="BCB05D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9633370"/>
    <w:multiLevelType w:val="hybridMultilevel"/>
    <w:tmpl w:val="E6B8C764"/>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E3827A1E">
      <w:start w:val="1"/>
      <w:numFmt w:val="decimal"/>
      <w:lvlText w:val="(%4)"/>
      <w:lvlJc w:val="left"/>
      <w:pPr>
        <w:tabs>
          <w:tab w:val="num" w:pos="1210"/>
        </w:tabs>
        <w:ind w:left="1210" w:hanging="360"/>
      </w:pPr>
      <w:rPr>
        <w:rFonts w:ascii="Arial" w:eastAsia="Times New Roman" w:hAnsi="Arial" w:cs="Arial"/>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1BD32202"/>
    <w:multiLevelType w:val="hybridMultilevel"/>
    <w:tmpl w:val="AE129762"/>
    <w:lvl w:ilvl="0" w:tplc="F2B6B1A6">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9" w15:restartNumberingAfterBreak="0">
    <w:nsid w:val="220976E1"/>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21" w15:restartNumberingAfterBreak="0">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C927A5"/>
    <w:multiLevelType w:val="hybridMultilevel"/>
    <w:tmpl w:val="26BEA514"/>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2A013140"/>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27" w15:restartNumberingAfterBreak="0">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28" w15:restartNumberingAfterBreak="0">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95B0E32"/>
    <w:multiLevelType w:val="hybridMultilevel"/>
    <w:tmpl w:val="BBAC275A"/>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3D965A69"/>
    <w:multiLevelType w:val="hybridMultilevel"/>
    <w:tmpl w:val="9654BFFC"/>
    <w:lvl w:ilvl="0" w:tplc="5650CDFE">
      <w:start w:val="1"/>
      <w:numFmt w:val="decimal"/>
      <w:lvlText w:val="%1."/>
      <w:lvlJc w:val="left"/>
      <w:pPr>
        <w:ind w:left="786" w:hanging="360"/>
      </w:pPr>
      <w:rPr>
        <w:rFonts w:hint="default"/>
      </w:rPr>
    </w:lvl>
    <w:lvl w:ilvl="1" w:tplc="0C090019">
      <w:start w:val="1"/>
      <w:numFmt w:val="lowerLetter"/>
      <w:lvlText w:val="%2."/>
      <w:lvlJc w:val="left"/>
      <w:pPr>
        <w:ind w:left="1506" w:hanging="360"/>
      </w:pPr>
    </w:lvl>
    <w:lvl w:ilvl="2" w:tplc="BB880150">
      <w:start w:val="1"/>
      <w:numFmt w:val="lowerLetter"/>
      <w:lvlText w:val="(%3)"/>
      <w:lvlJc w:val="left"/>
      <w:pPr>
        <w:ind w:left="2406" w:hanging="360"/>
      </w:pPr>
      <w:rPr>
        <w:rFonts w:hint="default"/>
        <w:b/>
      </w:r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2" w15:restartNumberingAfterBreak="0">
    <w:nsid w:val="3FCC3903"/>
    <w:multiLevelType w:val="hybridMultilevel"/>
    <w:tmpl w:val="DE18CDD4"/>
    <w:lvl w:ilvl="0" w:tplc="F2B6B1A6">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400E0CFB"/>
    <w:multiLevelType w:val="hybridMultilevel"/>
    <w:tmpl w:val="9FE48122"/>
    <w:lvl w:ilvl="0" w:tplc="AAF85D0A">
      <w:start w:val="1"/>
      <w:numFmt w:val="decimal"/>
      <w:lvlText w:val="(%1)"/>
      <w:lvlJc w:val="left"/>
      <w:pPr>
        <w:ind w:left="1080" w:hanging="72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36" w15:restartNumberingAfterBreak="0">
    <w:nsid w:val="438C238A"/>
    <w:multiLevelType w:val="hybridMultilevel"/>
    <w:tmpl w:val="ADBA489C"/>
    <w:lvl w:ilvl="0" w:tplc="F2B6B1A6">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44D731C7"/>
    <w:multiLevelType w:val="hybridMultilevel"/>
    <w:tmpl w:val="C1768288"/>
    <w:lvl w:ilvl="0" w:tplc="F2B6B1A6">
      <w:start w:val="1"/>
      <w:numFmt w:val="decimal"/>
      <w:lvlText w:val="%1."/>
      <w:lvlJc w:val="left"/>
      <w:pPr>
        <w:tabs>
          <w:tab w:val="num" w:pos="720"/>
        </w:tabs>
        <w:ind w:left="720" w:hanging="360"/>
      </w:pPr>
      <w:rPr>
        <w:rFonts w:hint="default"/>
        <w:sz w:val="22"/>
        <w:szCs w:val="22"/>
      </w:rPr>
    </w:lvl>
    <w:lvl w:ilvl="1" w:tplc="0C090017">
      <w:start w:val="1"/>
      <w:numFmt w:val="lowerLetter"/>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463110E5"/>
    <w:multiLevelType w:val="hybridMultilevel"/>
    <w:tmpl w:val="32B0F610"/>
    <w:lvl w:ilvl="0" w:tplc="02224C8E">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4B5B30B7"/>
    <w:multiLevelType w:val="hybridMultilevel"/>
    <w:tmpl w:val="470858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C051111"/>
    <w:multiLevelType w:val="hybridMultilevel"/>
    <w:tmpl w:val="C1F090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50017317"/>
    <w:multiLevelType w:val="hybridMultilevel"/>
    <w:tmpl w:val="F260D1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56BA5B8A"/>
    <w:multiLevelType w:val="hybridMultilevel"/>
    <w:tmpl w:val="16C025D8"/>
    <w:lvl w:ilvl="0" w:tplc="DFF8DCA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6" w15:restartNumberingAfterBreak="0">
    <w:nsid w:val="59735512"/>
    <w:multiLevelType w:val="hybridMultilevel"/>
    <w:tmpl w:val="16C025D8"/>
    <w:lvl w:ilvl="0" w:tplc="DFF8DCA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7" w15:restartNumberingAfterBreak="0">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48" w15:restartNumberingAfterBreak="0">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9" w15:restartNumberingAfterBreak="0">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53" w15:restartNumberingAfterBreak="0">
    <w:nsid w:val="67C008EB"/>
    <w:multiLevelType w:val="hybridMultilevel"/>
    <w:tmpl w:val="B8C26C4C"/>
    <w:lvl w:ilvl="0" w:tplc="F0BE2E62">
      <w:start w:val="1"/>
      <w:numFmt w:val="decimal"/>
      <w:lvlText w:val="(%1)"/>
      <w:lvlJc w:val="left"/>
      <w:pPr>
        <w:ind w:left="1778" w:hanging="36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54" w15:restartNumberingAfterBreak="0">
    <w:nsid w:val="6922117D"/>
    <w:multiLevelType w:val="hybridMultilevel"/>
    <w:tmpl w:val="5D4A5724"/>
    <w:lvl w:ilvl="0" w:tplc="C17C41C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5" w15:restartNumberingAfterBreak="0">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0EF42C5"/>
    <w:multiLevelType w:val="hybridMultilevel"/>
    <w:tmpl w:val="58BCA002"/>
    <w:lvl w:ilvl="0" w:tplc="3BB2996A">
      <w:start w:val="1"/>
      <w:numFmt w:val="decimal"/>
      <w:lvlText w:val="%1."/>
      <w:lvlJc w:val="left"/>
      <w:pPr>
        <w:tabs>
          <w:tab w:val="num" w:pos="360"/>
        </w:tabs>
        <w:ind w:left="360" w:hanging="360"/>
      </w:pPr>
      <w:rPr>
        <w:b w:val="0"/>
        <w:i w:val="0"/>
      </w:rPr>
    </w:lvl>
    <w:lvl w:ilvl="1" w:tplc="C2ACD91E">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77704383"/>
    <w:multiLevelType w:val="hybridMultilevel"/>
    <w:tmpl w:val="564C30C4"/>
    <w:lvl w:ilvl="0" w:tplc="0C090019">
      <w:start w:val="1"/>
      <w:numFmt w:val="lowerLetter"/>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0" w15:restartNumberingAfterBreak="0">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1"/>
  </w:num>
  <w:num w:numId="3">
    <w:abstractNumId w:val="34"/>
  </w:num>
  <w:num w:numId="4">
    <w:abstractNumId w:val="57"/>
  </w:num>
  <w:num w:numId="5">
    <w:abstractNumId w:val="8"/>
  </w:num>
  <w:num w:numId="6">
    <w:abstractNumId w:val="18"/>
  </w:num>
  <w:num w:numId="7">
    <w:abstractNumId w:val="50"/>
  </w:num>
  <w:num w:numId="8">
    <w:abstractNumId w:val="49"/>
  </w:num>
  <w:num w:numId="9">
    <w:abstractNumId w:val="38"/>
  </w:num>
  <w:num w:numId="10">
    <w:abstractNumId w:val="29"/>
  </w:num>
  <w:num w:numId="11">
    <w:abstractNumId w:val="60"/>
  </w:num>
  <w:num w:numId="12">
    <w:abstractNumId w:val="51"/>
  </w:num>
  <w:num w:numId="13">
    <w:abstractNumId w:val="56"/>
  </w:num>
  <w:num w:numId="14">
    <w:abstractNumId w:val="55"/>
  </w:num>
  <w:num w:numId="15">
    <w:abstractNumId w:val="28"/>
  </w:num>
  <w:num w:numId="16">
    <w:abstractNumId w:val="32"/>
  </w:num>
  <w:num w:numId="17">
    <w:abstractNumId w:val="16"/>
  </w:num>
  <w:num w:numId="18">
    <w:abstractNumId w:val="23"/>
  </w:num>
  <w:num w:numId="19">
    <w:abstractNumId w:val="6"/>
  </w:num>
  <w:num w:numId="20">
    <w:abstractNumId w:val="2"/>
  </w:num>
  <w:num w:numId="21">
    <w:abstractNumId w:val="17"/>
  </w:num>
  <w:num w:numId="22">
    <w:abstractNumId w:val="47"/>
  </w:num>
  <w:num w:numId="23">
    <w:abstractNumId w:val="12"/>
  </w:num>
  <w:num w:numId="24">
    <w:abstractNumId w:val="27"/>
  </w:num>
  <w:num w:numId="25">
    <w:abstractNumId w:val="44"/>
  </w:num>
  <w:num w:numId="26">
    <w:abstractNumId w:val="42"/>
  </w:num>
  <w:num w:numId="27">
    <w:abstractNumId w:val="11"/>
  </w:num>
  <w:num w:numId="28">
    <w:abstractNumId w:val="48"/>
  </w:num>
  <w:num w:numId="29">
    <w:abstractNumId w:val="26"/>
  </w:num>
  <w:num w:numId="30">
    <w:abstractNumId w:val="20"/>
  </w:num>
  <w:num w:numId="31">
    <w:abstractNumId w:val="9"/>
  </w:num>
  <w:num w:numId="32">
    <w:abstractNumId w:val="0"/>
  </w:num>
  <w:num w:numId="33">
    <w:abstractNumId w:val="10"/>
  </w:num>
  <w:num w:numId="34">
    <w:abstractNumId w:val="35"/>
  </w:num>
  <w:num w:numId="35">
    <w:abstractNumId w:val="52"/>
  </w:num>
  <w:num w:numId="36">
    <w:abstractNumId w:val="25"/>
  </w:num>
  <w:num w:numId="37">
    <w:abstractNumId w:val="58"/>
  </w:num>
  <w:num w:numId="38">
    <w:abstractNumId w:val="19"/>
  </w:num>
  <w:num w:numId="39">
    <w:abstractNumId w:val="33"/>
  </w:num>
  <w:num w:numId="40">
    <w:abstractNumId w:val="43"/>
  </w:num>
  <w:num w:numId="41">
    <w:abstractNumId w:val="24"/>
  </w:num>
  <w:num w:numId="42">
    <w:abstractNumId w:val="41"/>
  </w:num>
  <w:num w:numId="43">
    <w:abstractNumId w:val="13"/>
  </w:num>
  <w:num w:numId="44">
    <w:abstractNumId w:val="22"/>
  </w:num>
  <w:num w:numId="45">
    <w:abstractNumId w:val="30"/>
  </w:num>
  <w:num w:numId="46">
    <w:abstractNumId w:val="31"/>
  </w:num>
  <w:num w:numId="47">
    <w:abstractNumId w:val="39"/>
  </w:num>
  <w:num w:numId="48">
    <w:abstractNumId w:val="5"/>
  </w:num>
  <w:num w:numId="49">
    <w:abstractNumId w:val="4"/>
  </w:num>
  <w:num w:numId="50">
    <w:abstractNumId w:val="40"/>
  </w:num>
  <w:num w:numId="51">
    <w:abstractNumId w:val="59"/>
  </w:num>
  <w:num w:numId="52">
    <w:abstractNumId w:val="37"/>
  </w:num>
  <w:num w:numId="53">
    <w:abstractNumId w:val="1"/>
  </w:num>
  <w:num w:numId="54">
    <w:abstractNumId w:val="3"/>
  </w:num>
  <w:num w:numId="55">
    <w:abstractNumId w:val="15"/>
  </w:num>
  <w:num w:numId="56">
    <w:abstractNumId w:val="36"/>
  </w:num>
  <w:num w:numId="57">
    <w:abstractNumId w:val="45"/>
  </w:num>
  <w:num w:numId="58">
    <w:abstractNumId w:val="14"/>
  </w:num>
  <w:num w:numId="59">
    <w:abstractNumId w:val="54"/>
  </w:num>
  <w:num w:numId="60">
    <w:abstractNumId w:val="46"/>
  </w:num>
  <w:num w:numId="61">
    <w:abstractNumId w:val="5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01FBA"/>
    <w:rsid w:val="0000755D"/>
    <w:rsid w:val="000117B2"/>
    <w:rsid w:val="0001796D"/>
    <w:rsid w:val="00017A02"/>
    <w:rsid w:val="00017BF0"/>
    <w:rsid w:val="0002568B"/>
    <w:rsid w:val="00043FA7"/>
    <w:rsid w:val="000552E8"/>
    <w:rsid w:val="00056585"/>
    <w:rsid w:val="0005674F"/>
    <w:rsid w:val="00057253"/>
    <w:rsid w:val="000572D4"/>
    <w:rsid w:val="00064BAE"/>
    <w:rsid w:val="00065C6E"/>
    <w:rsid w:val="00073F1B"/>
    <w:rsid w:val="00075B58"/>
    <w:rsid w:val="00085446"/>
    <w:rsid w:val="00093E70"/>
    <w:rsid w:val="00095D0E"/>
    <w:rsid w:val="000B11DD"/>
    <w:rsid w:val="000B4ECC"/>
    <w:rsid w:val="000C0372"/>
    <w:rsid w:val="000C390A"/>
    <w:rsid w:val="000C5978"/>
    <w:rsid w:val="000C5FAB"/>
    <w:rsid w:val="000C6EDD"/>
    <w:rsid w:val="000C77DD"/>
    <w:rsid w:val="000D5068"/>
    <w:rsid w:val="000E295B"/>
    <w:rsid w:val="000E45A0"/>
    <w:rsid w:val="000E606E"/>
    <w:rsid w:val="000F5AF3"/>
    <w:rsid w:val="00107460"/>
    <w:rsid w:val="0011018B"/>
    <w:rsid w:val="00112415"/>
    <w:rsid w:val="001157B3"/>
    <w:rsid w:val="00123E68"/>
    <w:rsid w:val="00131D6F"/>
    <w:rsid w:val="00133BB7"/>
    <w:rsid w:val="001362A9"/>
    <w:rsid w:val="0013678D"/>
    <w:rsid w:val="00140A34"/>
    <w:rsid w:val="00140FDD"/>
    <w:rsid w:val="00144139"/>
    <w:rsid w:val="00145264"/>
    <w:rsid w:val="00146337"/>
    <w:rsid w:val="00146ED8"/>
    <w:rsid w:val="00151A28"/>
    <w:rsid w:val="00154199"/>
    <w:rsid w:val="001546DE"/>
    <w:rsid w:val="0015780B"/>
    <w:rsid w:val="00161E46"/>
    <w:rsid w:val="0016213E"/>
    <w:rsid w:val="00167202"/>
    <w:rsid w:val="0017091A"/>
    <w:rsid w:val="001828A4"/>
    <w:rsid w:val="00183CF7"/>
    <w:rsid w:val="0018468E"/>
    <w:rsid w:val="001859DE"/>
    <w:rsid w:val="001876FD"/>
    <w:rsid w:val="001A1206"/>
    <w:rsid w:val="001A2AD6"/>
    <w:rsid w:val="001A3690"/>
    <w:rsid w:val="001A3BE2"/>
    <w:rsid w:val="001B2913"/>
    <w:rsid w:val="001C35E7"/>
    <w:rsid w:val="001C4578"/>
    <w:rsid w:val="001E537E"/>
    <w:rsid w:val="001E662E"/>
    <w:rsid w:val="001F28A6"/>
    <w:rsid w:val="001F2A16"/>
    <w:rsid w:val="001F42D8"/>
    <w:rsid w:val="001F4EE5"/>
    <w:rsid w:val="001F6921"/>
    <w:rsid w:val="001F7C3E"/>
    <w:rsid w:val="001F7DDE"/>
    <w:rsid w:val="002013DE"/>
    <w:rsid w:val="00201969"/>
    <w:rsid w:val="0020331B"/>
    <w:rsid w:val="00203A2C"/>
    <w:rsid w:val="0020498E"/>
    <w:rsid w:val="00213E29"/>
    <w:rsid w:val="00213FA5"/>
    <w:rsid w:val="00214C0D"/>
    <w:rsid w:val="00214DF5"/>
    <w:rsid w:val="002264BE"/>
    <w:rsid w:val="00232AA1"/>
    <w:rsid w:val="002349C7"/>
    <w:rsid w:val="0023733A"/>
    <w:rsid w:val="0024044F"/>
    <w:rsid w:val="002414DB"/>
    <w:rsid w:val="0024391E"/>
    <w:rsid w:val="00245D00"/>
    <w:rsid w:val="00257F2D"/>
    <w:rsid w:val="00261149"/>
    <w:rsid w:val="00262F9F"/>
    <w:rsid w:val="00266D2D"/>
    <w:rsid w:val="00267FD2"/>
    <w:rsid w:val="0027331F"/>
    <w:rsid w:val="002802D8"/>
    <w:rsid w:val="002842B0"/>
    <w:rsid w:val="00285E76"/>
    <w:rsid w:val="002949C3"/>
    <w:rsid w:val="002A10A4"/>
    <w:rsid w:val="002A26FE"/>
    <w:rsid w:val="002A29BA"/>
    <w:rsid w:val="002B1423"/>
    <w:rsid w:val="002B3D02"/>
    <w:rsid w:val="002B6D8F"/>
    <w:rsid w:val="002C5660"/>
    <w:rsid w:val="002C6720"/>
    <w:rsid w:val="002C7A41"/>
    <w:rsid w:val="002D22E9"/>
    <w:rsid w:val="002E6B6D"/>
    <w:rsid w:val="002F07D9"/>
    <w:rsid w:val="002F1257"/>
    <w:rsid w:val="002F4200"/>
    <w:rsid w:val="002F70CA"/>
    <w:rsid w:val="00304F6A"/>
    <w:rsid w:val="00310C61"/>
    <w:rsid w:val="003166DF"/>
    <w:rsid w:val="003171B3"/>
    <w:rsid w:val="0032559D"/>
    <w:rsid w:val="00333087"/>
    <w:rsid w:val="003368AC"/>
    <w:rsid w:val="00337280"/>
    <w:rsid w:val="00343849"/>
    <w:rsid w:val="00344575"/>
    <w:rsid w:val="00350EBF"/>
    <w:rsid w:val="0035113C"/>
    <w:rsid w:val="00352B81"/>
    <w:rsid w:val="00354525"/>
    <w:rsid w:val="00365DC7"/>
    <w:rsid w:val="00365F7A"/>
    <w:rsid w:val="0037047A"/>
    <w:rsid w:val="00380CC4"/>
    <w:rsid w:val="00382508"/>
    <w:rsid w:val="00382A3A"/>
    <w:rsid w:val="003869A3"/>
    <w:rsid w:val="003946D8"/>
    <w:rsid w:val="00395026"/>
    <w:rsid w:val="003974C9"/>
    <w:rsid w:val="003A7F99"/>
    <w:rsid w:val="003C0686"/>
    <w:rsid w:val="003C3DD4"/>
    <w:rsid w:val="003D08CF"/>
    <w:rsid w:val="003D0CBA"/>
    <w:rsid w:val="003D0F6A"/>
    <w:rsid w:val="003D4BA8"/>
    <w:rsid w:val="003D6CB2"/>
    <w:rsid w:val="003E5269"/>
    <w:rsid w:val="003F2F62"/>
    <w:rsid w:val="003F79B0"/>
    <w:rsid w:val="0040183D"/>
    <w:rsid w:val="004025D9"/>
    <w:rsid w:val="004030E3"/>
    <w:rsid w:val="00405394"/>
    <w:rsid w:val="004066E4"/>
    <w:rsid w:val="0040680B"/>
    <w:rsid w:val="00407361"/>
    <w:rsid w:val="00417C55"/>
    <w:rsid w:val="00424A7B"/>
    <w:rsid w:val="004314E5"/>
    <w:rsid w:val="00437534"/>
    <w:rsid w:val="00440477"/>
    <w:rsid w:val="00442C3C"/>
    <w:rsid w:val="004447C1"/>
    <w:rsid w:val="00450F62"/>
    <w:rsid w:val="00456940"/>
    <w:rsid w:val="00457707"/>
    <w:rsid w:val="00460A61"/>
    <w:rsid w:val="0046211F"/>
    <w:rsid w:val="0046383A"/>
    <w:rsid w:val="0046787B"/>
    <w:rsid w:val="00467F12"/>
    <w:rsid w:val="00477A78"/>
    <w:rsid w:val="0048631C"/>
    <w:rsid w:val="00486653"/>
    <w:rsid w:val="004A5882"/>
    <w:rsid w:val="004A5FDA"/>
    <w:rsid w:val="004B0E41"/>
    <w:rsid w:val="004B5C02"/>
    <w:rsid w:val="004B6F05"/>
    <w:rsid w:val="004B7F33"/>
    <w:rsid w:val="004C10ED"/>
    <w:rsid w:val="004C2B91"/>
    <w:rsid w:val="004C5912"/>
    <w:rsid w:val="004C75B0"/>
    <w:rsid w:val="004D098C"/>
    <w:rsid w:val="004D24A9"/>
    <w:rsid w:val="004E1657"/>
    <w:rsid w:val="004E4798"/>
    <w:rsid w:val="004E5357"/>
    <w:rsid w:val="004F3A49"/>
    <w:rsid w:val="004F4A07"/>
    <w:rsid w:val="004F5EB1"/>
    <w:rsid w:val="004F6887"/>
    <w:rsid w:val="005030AD"/>
    <w:rsid w:val="00506A1D"/>
    <w:rsid w:val="00507534"/>
    <w:rsid w:val="0051249C"/>
    <w:rsid w:val="0051693F"/>
    <w:rsid w:val="005176E7"/>
    <w:rsid w:val="00520330"/>
    <w:rsid w:val="00524B6B"/>
    <w:rsid w:val="0052655E"/>
    <w:rsid w:val="005335A6"/>
    <w:rsid w:val="0053649D"/>
    <w:rsid w:val="005413EE"/>
    <w:rsid w:val="00544D61"/>
    <w:rsid w:val="00552E52"/>
    <w:rsid w:val="005567CE"/>
    <w:rsid w:val="00563377"/>
    <w:rsid w:val="0057444D"/>
    <w:rsid w:val="005744FD"/>
    <w:rsid w:val="00577FA0"/>
    <w:rsid w:val="00583FAE"/>
    <w:rsid w:val="00585EF7"/>
    <w:rsid w:val="00587443"/>
    <w:rsid w:val="00587C50"/>
    <w:rsid w:val="005917F3"/>
    <w:rsid w:val="0059601C"/>
    <w:rsid w:val="005A0960"/>
    <w:rsid w:val="005A12AD"/>
    <w:rsid w:val="005A4725"/>
    <w:rsid w:val="005A6D67"/>
    <w:rsid w:val="005B0ACD"/>
    <w:rsid w:val="005B2465"/>
    <w:rsid w:val="005B4B0C"/>
    <w:rsid w:val="005B50A2"/>
    <w:rsid w:val="005B7555"/>
    <w:rsid w:val="005C2A9D"/>
    <w:rsid w:val="005C3408"/>
    <w:rsid w:val="005D35BC"/>
    <w:rsid w:val="005D4D3E"/>
    <w:rsid w:val="005D611B"/>
    <w:rsid w:val="005F1ACE"/>
    <w:rsid w:val="005F23D5"/>
    <w:rsid w:val="005F256D"/>
    <w:rsid w:val="005F2ED9"/>
    <w:rsid w:val="005F33C6"/>
    <w:rsid w:val="005F51F2"/>
    <w:rsid w:val="0060183A"/>
    <w:rsid w:val="00603110"/>
    <w:rsid w:val="00611C8E"/>
    <w:rsid w:val="006141F7"/>
    <w:rsid w:val="00620135"/>
    <w:rsid w:val="0062389A"/>
    <w:rsid w:val="00631F30"/>
    <w:rsid w:val="0063489F"/>
    <w:rsid w:val="006360A7"/>
    <w:rsid w:val="00641A0F"/>
    <w:rsid w:val="00642420"/>
    <w:rsid w:val="00646158"/>
    <w:rsid w:val="00650D86"/>
    <w:rsid w:val="00652CF7"/>
    <w:rsid w:val="0065563D"/>
    <w:rsid w:val="00655B96"/>
    <w:rsid w:val="0066622C"/>
    <w:rsid w:val="00666487"/>
    <w:rsid w:val="00672D6A"/>
    <w:rsid w:val="0067371B"/>
    <w:rsid w:val="0067395E"/>
    <w:rsid w:val="00673B37"/>
    <w:rsid w:val="006826FB"/>
    <w:rsid w:val="006918F1"/>
    <w:rsid w:val="00693B19"/>
    <w:rsid w:val="006945EA"/>
    <w:rsid w:val="006B5470"/>
    <w:rsid w:val="006B5A7F"/>
    <w:rsid w:val="006C3B0D"/>
    <w:rsid w:val="006D0138"/>
    <w:rsid w:val="006D496E"/>
    <w:rsid w:val="006D6F52"/>
    <w:rsid w:val="006E53AF"/>
    <w:rsid w:val="006F4D30"/>
    <w:rsid w:val="006F58D0"/>
    <w:rsid w:val="006F719E"/>
    <w:rsid w:val="00701718"/>
    <w:rsid w:val="00702BA4"/>
    <w:rsid w:val="00710359"/>
    <w:rsid w:val="00712FFF"/>
    <w:rsid w:val="00722DBF"/>
    <w:rsid w:val="00733990"/>
    <w:rsid w:val="00735157"/>
    <w:rsid w:val="007367C1"/>
    <w:rsid w:val="00740498"/>
    <w:rsid w:val="0074218D"/>
    <w:rsid w:val="00746686"/>
    <w:rsid w:val="00752600"/>
    <w:rsid w:val="0075572A"/>
    <w:rsid w:val="007571D0"/>
    <w:rsid w:val="007579F0"/>
    <w:rsid w:val="00775490"/>
    <w:rsid w:val="007763BC"/>
    <w:rsid w:val="007937D4"/>
    <w:rsid w:val="00795D0C"/>
    <w:rsid w:val="007972C4"/>
    <w:rsid w:val="007A3733"/>
    <w:rsid w:val="007A55BA"/>
    <w:rsid w:val="007B3453"/>
    <w:rsid w:val="007C1F42"/>
    <w:rsid w:val="007C1FBD"/>
    <w:rsid w:val="007C3B94"/>
    <w:rsid w:val="007C67A5"/>
    <w:rsid w:val="007D3043"/>
    <w:rsid w:val="007D60C3"/>
    <w:rsid w:val="007E01F8"/>
    <w:rsid w:val="007E22F5"/>
    <w:rsid w:val="007E441A"/>
    <w:rsid w:val="007E58AE"/>
    <w:rsid w:val="007F25F3"/>
    <w:rsid w:val="007F4229"/>
    <w:rsid w:val="007F4901"/>
    <w:rsid w:val="007F7898"/>
    <w:rsid w:val="008120F6"/>
    <w:rsid w:val="008128BA"/>
    <w:rsid w:val="008141A4"/>
    <w:rsid w:val="00825B6C"/>
    <w:rsid w:val="0082750E"/>
    <w:rsid w:val="00835B59"/>
    <w:rsid w:val="00836B02"/>
    <w:rsid w:val="0084011B"/>
    <w:rsid w:val="00840DF6"/>
    <w:rsid w:val="008467D4"/>
    <w:rsid w:val="00850BCB"/>
    <w:rsid w:val="00850FB0"/>
    <w:rsid w:val="0085238E"/>
    <w:rsid w:val="00852934"/>
    <w:rsid w:val="008540EA"/>
    <w:rsid w:val="008547A2"/>
    <w:rsid w:val="00857591"/>
    <w:rsid w:val="0086082F"/>
    <w:rsid w:val="00861D05"/>
    <w:rsid w:val="00866A00"/>
    <w:rsid w:val="0086797B"/>
    <w:rsid w:val="00867F49"/>
    <w:rsid w:val="008702A6"/>
    <w:rsid w:val="008757CE"/>
    <w:rsid w:val="008763C8"/>
    <w:rsid w:val="0087755A"/>
    <w:rsid w:val="00877798"/>
    <w:rsid w:val="0088392C"/>
    <w:rsid w:val="0088633B"/>
    <w:rsid w:val="0089160A"/>
    <w:rsid w:val="00894F6D"/>
    <w:rsid w:val="00897C0E"/>
    <w:rsid w:val="00897E31"/>
    <w:rsid w:val="008A046F"/>
    <w:rsid w:val="008A0489"/>
    <w:rsid w:val="008A405A"/>
    <w:rsid w:val="008A6A6A"/>
    <w:rsid w:val="008B650A"/>
    <w:rsid w:val="008B6A93"/>
    <w:rsid w:val="008B787C"/>
    <w:rsid w:val="008C3898"/>
    <w:rsid w:val="008C66CC"/>
    <w:rsid w:val="008F483C"/>
    <w:rsid w:val="008F52DF"/>
    <w:rsid w:val="00912D61"/>
    <w:rsid w:val="0091541E"/>
    <w:rsid w:val="009169CB"/>
    <w:rsid w:val="00923A59"/>
    <w:rsid w:val="009274F5"/>
    <w:rsid w:val="009309CD"/>
    <w:rsid w:val="009322D7"/>
    <w:rsid w:val="00932BDE"/>
    <w:rsid w:val="009405C9"/>
    <w:rsid w:val="009468D4"/>
    <w:rsid w:val="009502DF"/>
    <w:rsid w:val="009505C9"/>
    <w:rsid w:val="00957E59"/>
    <w:rsid w:val="0096704C"/>
    <w:rsid w:val="00967725"/>
    <w:rsid w:val="00967823"/>
    <w:rsid w:val="00972726"/>
    <w:rsid w:val="00974665"/>
    <w:rsid w:val="009777A3"/>
    <w:rsid w:val="00982084"/>
    <w:rsid w:val="009835B0"/>
    <w:rsid w:val="009902F8"/>
    <w:rsid w:val="00992CF5"/>
    <w:rsid w:val="00993BB8"/>
    <w:rsid w:val="0099555F"/>
    <w:rsid w:val="009A22A1"/>
    <w:rsid w:val="009B3A17"/>
    <w:rsid w:val="009B3A1B"/>
    <w:rsid w:val="009B3E5B"/>
    <w:rsid w:val="009B3EC1"/>
    <w:rsid w:val="009B6332"/>
    <w:rsid w:val="009C0912"/>
    <w:rsid w:val="009C1910"/>
    <w:rsid w:val="009C5E17"/>
    <w:rsid w:val="009D6694"/>
    <w:rsid w:val="009E0338"/>
    <w:rsid w:val="009F0300"/>
    <w:rsid w:val="009F788F"/>
    <w:rsid w:val="00A02A5F"/>
    <w:rsid w:val="00A03BA5"/>
    <w:rsid w:val="00A1261A"/>
    <w:rsid w:val="00A12C38"/>
    <w:rsid w:val="00A167A8"/>
    <w:rsid w:val="00A21F0A"/>
    <w:rsid w:val="00A26011"/>
    <w:rsid w:val="00A27E45"/>
    <w:rsid w:val="00A41EDF"/>
    <w:rsid w:val="00A506C2"/>
    <w:rsid w:val="00A51138"/>
    <w:rsid w:val="00A53733"/>
    <w:rsid w:val="00A54F12"/>
    <w:rsid w:val="00A62886"/>
    <w:rsid w:val="00A71757"/>
    <w:rsid w:val="00A74C38"/>
    <w:rsid w:val="00A77D24"/>
    <w:rsid w:val="00A805CB"/>
    <w:rsid w:val="00A8572F"/>
    <w:rsid w:val="00A93E07"/>
    <w:rsid w:val="00A979CF"/>
    <w:rsid w:val="00AA33B7"/>
    <w:rsid w:val="00AA4DF8"/>
    <w:rsid w:val="00AA7D50"/>
    <w:rsid w:val="00AB0840"/>
    <w:rsid w:val="00AB0A75"/>
    <w:rsid w:val="00AB1455"/>
    <w:rsid w:val="00AB44CA"/>
    <w:rsid w:val="00AB780C"/>
    <w:rsid w:val="00AC3A29"/>
    <w:rsid w:val="00AD5ADE"/>
    <w:rsid w:val="00AD6A21"/>
    <w:rsid w:val="00AE7138"/>
    <w:rsid w:val="00AF1619"/>
    <w:rsid w:val="00AF4CAF"/>
    <w:rsid w:val="00AF7DBA"/>
    <w:rsid w:val="00B117BA"/>
    <w:rsid w:val="00B12009"/>
    <w:rsid w:val="00B12532"/>
    <w:rsid w:val="00B15010"/>
    <w:rsid w:val="00B20D87"/>
    <w:rsid w:val="00B336D3"/>
    <w:rsid w:val="00B339BF"/>
    <w:rsid w:val="00B479FD"/>
    <w:rsid w:val="00B50F89"/>
    <w:rsid w:val="00B53E38"/>
    <w:rsid w:val="00B55BBC"/>
    <w:rsid w:val="00B578AC"/>
    <w:rsid w:val="00B6433F"/>
    <w:rsid w:val="00B64CF5"/>
    <w:rsid w:val="00B701B5"/>
    <w:rsid w:val="00B72EB7"/>
    <w:rsid w:val="00B766F7"/>
    <w:rsid w:val="00B76A01"/>
    <w:rsid w:val="00B76C9B"/>
    <w:rsid w:val="00B77BAB"/>
    <w:rsid w:val="00B823A1"/>
    <w:rsid w:val="00B840F6"/>
    <w:rsid w:val="00B8428B"/>
    <w:rsid w:val="00B84EBA"/>
    <w:rsid w:val="00BA1D43"/>
    <w:rsid w:val="00BA3BAF"/>
    <w:rsid w:val="00BA41F5"/>
    <w:rsid w:val="00BB11FA"/>
    <w:rsid w:val="00BB3C9C"/>
    <w:rsid w:val="00BF12D2"/>
    <w:rsid w:val="00BF4822"/>
    <w:rsid w:val="00C01D22"/>
    <w:rsid w:val="00C104B6"/>
    <w:rsid w:val="00C10F02"/>
    <w:rsid w:val="00C114F4"/>
    <w:rsid w:val="00C11B5E"/>
    <w:rsid w:val="00C11D03"/>
    <w:rsid w:val="00C12984"/>
    <w:rsid w:val="00C31967"/>
    <w:rsid w:val="00C371DE"/>
    <w:rsid w:val="00C409AE"/>
    <w:rsid w:val="00C416A4"/>
    <w:rsid w:val="00C42D50"/>
    <w:rsid w:val="00C4702D"/>
    <w:rsid w:val="00C51595"/>
    <w:rsid w:val="00C54DF8"/>
    <w:rsid w:val="00C60B49"/>
    <w:rsid w:val="00C6127A"/>
    <w:rsid w:val="00C614E2"/>
    <w:rsid w:val="00C7440A"/>
    <w:rsid w:val="00C7629C"/>
    <w:rsid w:val="00C76E3D"/>
    <w:rsid w:val="00C8012A"/>
    <w:rsid w:val="00C84E3E"/>
    <w:rsid w:val="00C865ED"/>
    <w:rsid w:val="00C8775A"/>
    <w:rsid w:val="00CA0877"/>
    <w:rsid w:val="00CA6B59"/>
    <w:rsid w:val="00CA7A15"/>
    <w:rsid w:val="00CB3B6C"/>
    <w:rsid w:val="00CC1833"/>
    <w:rsid w:val="00CC189F"/>
    <w:rsid w:val="00CC3368"/>
    <w:rsid w:val="00CD757F"/>
    <w:rsid w:val="00CF1655"/>
    <w:rsid w:val="00CF16D8"/>
    <w:rsid w:val="00CF19C4"/>
    <w:rsid w:val="00D01FE8"/>
    <w:rsid w:val="00D034B3"/>
    <w:rsid w:val="00D07B5D"/>
    <w:rsid w:val="00D111EA"/>
    <w:rsid w:val="00D11A54"/>
    <w:rsid w:val="00D13C04"/>
    <w:rsid w:val="00D14BFC"/>
    <w:rsid w:val="00D20695"/>
    <w:rsid w:val="00D20A78"/>
    <w:rsid w:val="00D25680"/>
    <w:rsid w:val="00D278BA"/>
    <w:rsid w:val="00D348D9"/>
    <w:rsid w:val="00D35EE3"/>
    <w:rsid w:val="00D40454"/>
    <w:rsid w:val="00D4059C"/>
    <w:rsid w:val="00D50FEE"/>
    <w:rsid w:val="00D53D8F"/>
    <w:rsid w:val="00D56ABA"/>
    <w:rsid w:val="00D6002B"/>
    <w:rsid w:val="00D61C76"/>
    <w:rsid w:val="00D66AE4"/>
    <w:rsid w:val="00D77015"/>
    <w:rsid w:val="00D848B4"/>
    <w:rsid w:val="00D92B48"/>
    <w:rsid w:val="00D93A53"/>
    <w:rsid w:val="00D94D96"/>
    <w:rsid w:val="00DA26DE"/>
    <w:rsid w:val="00DA4A50"/>
    <w:rsid w:val="00DB078F"/>
    <w:rsid w:val="00DB1693"/>
    <w:rsid w:val="00DB4A34"/>
    <w:rsid w:val="00DC34F2"/>
    <w:rsid w:val="00DC7729"/>
    <w:rsid w:val="00DD10A8"/>
    <w:rsid w:val="00DD1AEB"/>
    <w:rsid w:val="00DD21E8"/>
    <w:rsid w:val="00DD5B07"/>
    <w:rsid w:val="00DD7EED"/>
    <w:rsid w:val="00DE6821"/>
    <w:rsid w:val="00DE7406"/>
    <w:rsid w:val="00DF2022"/>
    <w:rsid w:val="00DF34BE"/>
    <w:rsid w:val="00DF5D59"/>
    <w:rsid w:val="00E05F60"/>
    <w:rsid w:val="00E110F5"/>
    <w:rsid w:val="00E12AEF"/>
    <w:rsid w:val="00E239E4"/>
    <w:rsid w:val="00E36A38"/>
    <w:rsid w:val="00E44419"/>
    <w:rsid w:val="00E44D12"/>
    <w:rsid w:val="00E46198"/>
    <w:rsid w:val="00E53399"/>
    <w:rsid w:val="00E57797"/>
    <w:rsid w:val="00E71B0E"/>
    <w:rsid w:val="00E7393B"/>
    <w:rsid w:val="00E77995"/>
    <w:rsid w:val="00E87099"/>
    <w:rsid w:val="00E87BA6"/>
    <w:rsid w:val="00EA28E6"/>
    <w:rsid w:val="00EA4734"/>
    <w:rsid w:val="00EB20CA"/>
    <w:rsid w:val="00EC0A36"/>
    <w:rsid w:val="00EC2FE1"/>
    <w:rsid w:val="00EC4313"/>
    <w:rsid w:val="00ED3EA6"/>
    <w:rsid w:val="00ED6F00"/>
    <w:rsid w:val="00EE3D1A"/>
    <w:rsid w:val="00EE79C4"/>
    <w:rsid w:val="00EF78C4"/>
    <w:rsid w:val="00F027C5"/>
    <w:rsid w:val="00F03F0A"/>
    <w:rsid w:val="00F04CD7"/>
    <w:rsid w:val="00F04F17"/>
    <w:rsid w:val="00F058D9"/>
    <w:rsid w:val="00F1234C"/>
    <w:rsid w:val="00F12F77"/>
    <w:rsid w:val="00F1336E"/>
    <w:rsid w:val="00F17663"/>
    <w:rsid w:val="00F17F96"/>
    <w:rsid w:val="00F23E15"/>
    <w:rsid w:val="00F244A2"/>
    <w:rsid w:val="00F26D70"/>
    <w:rsid w:val="00F35064"/>
    <w:rsid w:val="00F374D8"/>
    <w:rsid w:val="00F40346"/>
    <w:rsid w:val="00F5684D"/>
    <w:rsid w:val="00F57AB6"/>
    <w:rsid w:val="00F6480F"/>
    <w:rsid w:val="00F84A3A"/>
    <w:rsid w:val="00F86713"/>
    <w:rsid w:val="00F932E0"/>
    <w:rsid w:val="00FA46AA"/>
    <w:rsid w:val="00FB2EB0"/>
    <w:rsid w:val="00FB7701"/>
    <w:rsid w:val="00FC25CA"/>
    <w:rsid w:val="00FC36C9"/>
    <w:rsid w:val="00FC3F8B"/>
    <w:rsid w:val="00FC40F0"/>
    <w:rsid w:val="00FC617B"/>
    <w:rsid w:val="00FC6390"/>
    <w:rsid w:val="00FC6D3B"/>
    <w:rsid w:val="00FD0129"/>
    <w:rsid w:val="00FD2CBA"/>
    <w:rsid w:val="00FD4398"/>
    <w:rsid w:val="00FD54AB"/>
    <w:rsid w:val="00FE17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2A9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55F"/>
    <w:rPr>
      <w:sz w:val="24"/>
    </w:rPr>
  </w:style>
  <w:style w:type="paragraph" w:styleId="Heading2">
    <w:name w:val="heading 2"/>
    <w:basedOn w:val="Normal"/>
    <w:next w:val="Normal"/>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link w:val="CommentTextChar"/>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qFormat/>
    <w:rsid w:val="00075B58"/>
    <w:pPr>
      <w:spacing w:after="200" w:line="276" w:lineRule="auto"/>
      <w:ind w:left="720"/>
    </w:pPr>
    <w:rPr>
      <w:rFonts w:ascii="Calibri" w:eastAsia="Calibri" w:hAnsi="Calibri"/>
      <w:sz w:val="22"/>
      <w:szCs w:val="22"/>
      <w:lang w:eastAsia="en-US"/>
    </w:rPr>
  </w:style>
  <w:style w:type="character" w:styleId="FollowedHyperlink">
    <w:name w:val="FollowedHyperlink"/>
    <w:basedOn w:val="DefaultParagraphFont"/>
    <w:rsid w:val="004C75B0"/>
    <w:rPr>
      <w:color w:val="800080" w:themeColor="followedHyperlink"/>
      <w:u w:val="single"/>
    </w:rPr>
  </w:style>
  <w:style w:type="character" w:customStyle="1" w:styleId="CommentTextChar">
    <w:name w:val="Comment Text Char"/>
    <w:basedOn w:val="DefaultParagraphFont"/>
    <w:link w:val="CommentText"/>
    <w:semiHidden/>
    <w:rsid w:val="00FA46AA"/>
  </w:style>
  <w:style w:type="paragraph" w:styleId="Revision">
    <w:name w:val="Revision"/>
    <w:hidden/>
    <w:uiPriority w:val="99"/>
    <w:semiHidden/>
    <w:rsid w:val="006E53A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97221">
      <w:bodyDiv w:val="1"/>
      <w:marLeft w:val="0"/>
      <w:marRight w:val="0"/>
      <w:marTop w:val="0"/>
      <w:marBottom w:val="0"/>
      <w:divBdr>
        <w:top w:val="none" w:sz="0" w:space="0" w:color="auto"/>
        <w:left w:val="none" w:sz="0" w:space="0" w:color="auto"/>
        <w:bottom w:val="none" w:sz="0" w:space="0" w:color="auto"/>
        <w:right w:val="none" w:sz="0" w:space="0" w:color="auto"/>
      </w:divBdr>
    </w:div>
    <w:div w:id="796415215">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2035575979">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B81FFF99F74E2499A8BF1196A0B06FF" ma:contentTypeVersion="14" ma:contentTypeDescription="Create a new document." ma:contentTypeScope="" ma:versionID="ac0f36989e1235e3c99bd9810493f997">
  <xsd:schema xmlns:xsd="http://www.w3.org/2001/XMLSchema" xmlns:xs="http://www.w3.org/2001/XMLSchema" xmlns:p="http://schemas.microsoft.com/office/2006/metadata/properties" xmlns:ns2="5e039acd-daf0-4ba3-b421-e9b9ae1a3620" xmlns:ns3="130b1883-dea7-4878-ade7-6834362f113c" targetNamespace="http://schemas.microsoft.com/office/2006/metadata/properties" ma:root="true" ma:fieldsID="5b372ee5f78de4e22f7c1e9880457e7a" ns2:_="" ns3:_="">
    <xsd:import namespace="5e039acd-daf0-4ba3-b421-e9b9ae1a3620"/>
    <xsd:import namespace="130b1883-dea7-4878-ade7-6834362f113c"/>
    <xsd:element name="properties">
      <xsd:complexType>
        <xsd:sequence>
          <xsd:element name="documentManagement">
            <xsd:complexType>
              <xsd:all>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3:Action" minOccurs="0"/>
                <xsd:element ref="ns2:Archive" minOccurs="0"/>
                <xsd:element ref="ns3:Re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ma:taxonomy="true" ma:internalName="n1a6d2b88979416cad2cc3ecb331e44a" ma:taxonomyFieldName="Security_x0020_Classification" ma:displayName="Security Classification" ma:default="3110;#OFFICIAL|5d128361-bbb7-4b9a-ac60-b26612a0ec1b"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Archive" ma:index="16" nillable="true" ma:displayName="Archive" ma:default="0" ma:internalName="Archi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30b1883-dea7-4878-ade7-6834362f113c" elementFormDefault="qualified">
    <xsd:import namespace="http://schemas.microsoft.com/office/2006/documentManagement/types"/>
    <xsd:import namespace="http://schemas.microsoft.com/office/infopath/2007/PartnerControls"/>
    <xsd:element name="Action" ma:index="15" nillable="true" ma:displayName="Action" ma:format="Dropdown" ma:internalName="Action">
      <xsd:simpleType>
        <xsd:restriction base="dms:Choice">
          <xsd:enumeration value="Archive (search)"/>
          <xsd:enumeration value="Archive (non-search)"/>
          <xsd:enumeration value="Delete"/>
          <xsd:enumeration value="Keep (current)"/>
        </xsd:restriction>
      </xsd:simpleType>
    </xsd:element>
    <xsd:element name="Reviewed" ma:index="17" nillable="true" ma:displayName="Reviewed" ma:format="Dropdown" ma:internalName="Reviewed">
      <xsd:simpleType>
        <xsd:restriction base="dms:Choice">
          <xsd:enumeration value="Archive"/>
          <xsd:enumeration value="Keep"/>
          <xsd:enumeration value="De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5d128361-bbb7-4b9a-ac60-b26612a0ec1b</TermId>
        </TermInfo>
      </Terms>
    </n1a6d2b88979416cad2cc3ecb331e44a>
    <Action xmlns="130b1883-dea7-4878-ade7-6834362f113c" xsi:nil="true"/>
    <Archive xmlns="5e039acd-daf0-4ba3-b421-e9b9ae1a3620">false</Archive>
    <Reviewed xmlns="130b1883-dea7-4878-ade7-6834362f113c" xsi:nil="true"/>
    <TaxCatchAll xmlns="5e039acd-daf0-4ba3-b421-e9b9ae1a3620">
      <Value>3110</Value>
    </TaxCatchAll>
    <_dlc_DocId xmlns="5e039acd-daf0-4ba3-b421-e9b9ae1a3620">5YHNKJZSV77T-1448427550-31</_dlc_DocId>
    <_dlc_DocIdUrl xmlns="5e039acd-daf0-4ba3-b421-e9b9ae1a3620">
      <Url>http://sharepoint/GASites/SBIT/_layouts/15/DocIdRedir.aspx?ID=5YHNKJZSV77T-1448427550-31</Url>
      <Description>5YHNKJZSV77T-1448427550-31</Description>
    </_dlc_DocIdUrl>
  </documentManagement>
</p:properties>
</file>

<file path=customXml/itemProps1.xml><?xml version="1.0" encoding="utf-8"?>
<ds:datastoreItem xmlns:ds="http://schemas.openxmlformats.org/officeDocument/2006/customXml" ds:itemID="{ECD7ACD6-311B-47B1-A30B-FC75AD99920E}">
  <ds:schemaRefs>
    <ds:schemaRef ds:uri="http://schemas.microsoft.com/sharepoint/v3/contenttype/forms"/>
  </ds:schemaRefs>
</ds:datastoreItem>
</file>

<file path=customXml/itemProps2.xml><?xml version="1.0" encoding="utf-8"?>
<ds:datastoreItem xmlns:ds="http://schemas.openxmlformats.org/officeDocument/2006/customXml" ds:itemID="{0BC9C6D4-36D3-4367-AC5A-4E44349AC195}">
  <ds:schemaRefs>
    <ds:schemaRef ds:uri="http://schemas.microsoft.com/sharepoint/events"/>
  </ds:schemaRefs>
</ds:datastoreItem>
</file>

<file path=customXml/itemProps3.xml><?xml version="1.0" encoding="utf-8"?>
<ds:datastoreItem xmlns:ds="http://schemas.openxmlformats.org/officeDocument/2006/customXml" ds:itemID="{60EEFD60-8FCB-4E57-B62F-327ABF784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9acd-daf0-4ba3-b421-e9b9ae1a3620"/>
    <ds:schemaRef ds:uri="130b1883-dea7-4878-ade7-6834362f1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B9B922-979D-4945-A99A-B33C4FF2D321}">
  <ds:schemaRefs>
    <ds:schemaRef ds:uri="http://schemas.openxmlformats.org/officeDocument/2006/bibliography"/>
  </ds:schemaRefs>
</ds:datastoreItem>
</file>

<file path=customXml/itemProps5.xml><?xml version="1.0" encoding="utf-8"?>
<ds:datastoreItem xmlns:ds="http://schemas.openxmlformats.org/officeDocument/2006/customXml" ds:itemID="{0E758F84-3875-4177-B152-CFE83064F0C8}">
  <ds:schemaRefs>
    <ds:schemaRef ds:uri="http://schemas.microsoft.com/office/2006/metadata/properties"/>
    <ds:schemaRef ds:uri="http://schemas.microsoft.com/office/infopath/2007/PartnerControls"/>
    <ds:schemaRef ds:uri="5e039acd-daf0-4ba3-b421-e9b9ae1a3620"/>
    <ds:schemaRef ds:uri="130b1883-dea7-4878-ade7-6834362f113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989</Words>
  <Characters>5301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6278</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2022-09-14T01:17:00Z</dcterms:created>
  <dcterms:modified xsi:type="dcterms:W3CDTF">2022-09-14T01:17:00Z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y fmtid="{D5CDD505-2E9C-101B-9397-08002B2CF9AE}" pid="3" name="ContentTypeId">
    <vt:lpwstr>0x010100BB81FFF99F74E2499A8BF1196A0B06FF</vt:lpwstr>
  </property>
  <property fmtid="{D5CDD505-2E9C-101B-9397-08002B2CF9AE}" pid="4" name="_dlc_DocIdItemGuid">
    <vt:lpwstr>bbb369ec-0972-4b92-bb23-903f7ef87c7f</vt:lpwstr>
  </property>
  <property fmtid="{D5CDD505-2E9C-101B-9397-08002B2CF9AE}" pid="5" name="Security Classification">
    <vt:lpwstr>3110;#OFFICIAL|5d128361-bbb7-4b9a-ac60-b26612a0ec1b</vt:lpwstr>
  </property>
</Properties>
</file>