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1BD3F" w14:textId="77777777" w:rsidR="009B152F" w:rsidRPr="00D57976" w:rsidRDefault="009B152F" w:rsidP="009B152F">
      <w:pPr>
        <w:pStyle w:val="Heading1"/>
        <w:spacing w:before="120" w:after="120" w:line="240" w:lineRule="auto"/>
        <w:rPr>
          <w:b w:val="0"/>
          <w:bCs/>
          <w:spacing w:val="-2"/>
          <w:szCs w:val="28"/>
          <w:lang w:eastAsia="en-AU"/>
        </w:rPr>
      </w:pPr>
      <w:bookmarkStart w:id="0" w:name="_GoBack"/>
      <w:bookmarkEnd w:id="0"/>
      <w:r w:rsidRPr="009B0953">
        <w:rPr>
          <w:bCs/>
          <w:i/>
          <w:spacing w:val="-2"/>
          <w:szCs w:val="28"/>
          <w:lang w:eastAsia="en-AU"/>
        </w:rPr>
        <w:t>Legislation (</w:t>
      </w:r>
      <w:r>
        <w:rPr>
          <w:bCs/>
          <w:i/>
          <w:spacing w:val="-2"/>
          <w:szCs w:val="28"/>
          <w:lang w:eastAsia="en-AU"/>
        </w:rPr>
        <w:t xml:space="preserve">Lightstation Heritage Management Instruments) </w:t>
      </w:r>
      <w:r w:rsidRPr="00D57976">
        <w:rPr>
          <w:bCs/>
          <w:i/>
          <w:spacing w:val="-2"/>
          <w:szCs w:val="28"/>
          <w:lang w:eastAsia="en-AU"/>
        </w:rPr>
        <w:t xml:space="preserve">Sunset-altering </w:t>
      </w:r>
      <w:r>
        <w:rPr>
          <w:bCs/>
          <w:i/>
          <w:spacing w:val="-2"/>
          <w:szCs w:val="28"/>
          <w:lang w:eastAsia="en-AU"/>
        </w:rPr>
        <w:br/>
      </w:r>
      <w:r w:rsidRPr="00D57976">
        <w:rPr>
          <w:bCs/>
          <w:i/>
          <w:spacing w:val="-2"/>
          <w:szCs w:val="28"/>
          <w:lang w:eastAsia="en-AU"/>
        </w:rPr>
        <w:t>Declaration 20</w:t>
      </w:r>
      <w:r>
        <w:rPr>
          <w:bCs/>
          <w:i/>
          <w:spacing w:val="-2"/>
          <w:szCs w:val="28"/>
          <w:lang w:eastAsia="en-AU"/>
        </w:rPr>
        <w:t>22</w:t>
      </w:r>
    </w:p>
    <w:p w14:paraId="2895E3FE" w14:textId="77777777" w:rsidR="009B152F" w:rsidRPr="00AE3ED3" w:rsidRDefault="009B152F" w:rsidP="009B152F">
      <w:pPr>
        <w:pStyle w:val="Heading1"/>
        <w:spacing w:before="120" w:after="120" w:line="240" w:lineRule="auto"/>
      </w:pPr>
      <w:r w:rsidRPr="00AE3ED3">
        <w:t>EXPLANATORY STATEMENT</w:t>
      </w:r>
    </w:p>
    <w:p w14:paraId="19585367" w14:textId="77777777" w:rsidR="009B152F" w:rsidRPr="005D7B1E" w:rsidRDefault="009B152F" w:rsidP="009B152F">
      <w:pPr>
        <w:pBdr>
          <w:bottom w:val="single" w:sz="12" w:space="1" w:color="auto"/>
        </w:pBdr>
        <w:spacing w:before="120" w:after="120"/>
        <w:jc w:val="center"/>
        <w:rPr>
          <w:i/>
          <w:lang w:val="en-AU"/>
        </w:rPr>
      </w:pPr>
      <w:r w:rsidRPr="00AE3ED3">
        <w:rPr>
          <w:lang w:val="en-AU"/>
        </w:rPr>
        <w:t xml:space="preserve">Issued by the Attorney-General in compliance with </w:t>
      </w:r>
      <w:r w:rsidRPr="00AE3ED3">
        <w:rPr>
          <w:lang w:val="en-AU"/>
        </w:rPr>
        <w:br/>
        <w:t>section 15G of the</w:t>
      </w:r>
      <w:r w:rsidRPr="005D7B1E">
        <w:rPr>
          <w:lang w:val="en-AU"/>
        </w:rPr>
        <w:t xml:space="preserve"> </w:t>
      </w:r>
      <w:r w:rsidRPr="005D7B1E">
        <w:rPr>
          <w:i/>
          <w:lang w:val="en-AU"/>
        </w:rPr>
        <w:t>Legislation Act 2003</w:t>
      </w:r>
    </w:p>
    <w:p w14:paraId="6C845EDF" w14:textId="77777777" w:rsidR="009B152F" w:rsidRPr="005D7B1E" w:rsidRDefault="009B152F" w:rsidP="009B152F">
      <w:pPr>
        <w:pBdr>
          <w:bottom w:val="single" w:sz="12" w:space="1" w:color="auto"/>
        </w:pBdr>
        <w:spacing w:before="120" w:after="120"/>
        <w:jc w:val="center"/>
        <w:rPr>
          <w:i/>
          <w:lang w:val="en-AU"/>
        </w:rPr>
      </w:pPr>
    </w:p>
    <w:p w14:paraId="2D3883A7" w14:textId="77777777" w:rsidR="009B152F" w:rsidRPr="00410B2C" w:rsidRDefault="009B152F" w:rsidP="009B152F">
      <w:pPr>
        <w:pStyle w:val="Basetext"/>
        <w:spacing w:after="200"/>
        <w:contextualSpacing/>
        <w:jc w:val="both"/>
        <w:rPr>
          <w:b/>
        </w:rPr>
      </w:pPr>
      <w:r w:rsidRPr="00410B2C">
        <w:rPr>
          <w:b/>
        </w:rPr>
        <w:t xml:space="preserve">INTRODUCTION </w:t>
      </w:r>
    </w:p>
    <w:p w14:paraId="6C1F7435" w14:textId="77777777" w:rsidR="009B152F" w:rsidRPr="00410B2C" w:rsidRDefault="009B152F" w:rsidP="00410B2C">
      <w:pPr>
        <w:pStyle w:val="Basetext"/>
        <w:spacing w:before="0" w:after="200" w:line="240" w:lineRule="auto"/>
        <w:contextualSpacing/>
        <w:jc w:val="both"/>
        <w:rPr>
          <w:b/>
        </w:rPr>
      </w:pPr>
    </w:p>
    <w:p w14:paraId="0DBA0D98" w14:textId="00974CF1" w:rsidR="009B152F" w:rsidRPr="00410B2C" w:rsidRDefault="009B152F" w:rsidP="009B152F">
      <w:pPr>
        <w:pStyle w:val="Basetext"/>
        <w:spacing w:before="0" w:after="200"/>
        <w:contextualSpacing/>
        <w:jc w:val="both"/>
        <w:rPr>
          <w:snapToGrid/>
          <w:color w:val="000000"/>
          <w:lang w:eastAsia="en-AU"/>
        </w:rPr>
      </w:pPr>
      <w:r w:rsidRPr="00410B2C">
        <w:t xml:space="preserve">The </w:t>
      </w:r>
      <w:r w:rsidRPr="00410B2C">
        <w:rPr>
          <w:bCs/>
          <w:i/>
          <w:lang w:val="en-US"/>
        </w:rPr>
        <w:t>Legislation (Lightstation Heritage Management Instruments) Sunset-altering Declaration 2022</w:t>
      </w:r>
      <w:r w:rsidRPr="00410B2C">
        <w:rPr>
          <w:bCs/>
          <w:i/>
        </w:rPr>
        <w:t xml:space="preserve"> </w:t>
      </w:r>
      <w:r w:rsidRPr="00410B2C">
        <w:t>(the Declaration) is made under subsection 51</w:t>
      </w:r>
      <w:proofErr w:type="gramStart"/>
      <w:r w:rsidRPr="00410B2C">
        <w:t>A(</w:t>
      </w:r>
      <w:proofErr w:type="gramEnd"/>
      <w:r w:rsidRPr="00410B2C">
        <w:t xml:space="preserve">1) of the </w:t>
      </w:r>
      <w:r w:rsidRPr="00410B2C">
        <w:rPr>
          <w:i/>
        </w:rPr>
        <w:t xml:space="preserve">Legislation Act 2003 </w:t>
      </w:r>
      <w:r w:rsidRPr="00410B2C">
        <w:t>(</w:t>
      </w:r>
      <w:proofErr w:type="spellStart"/>
      <w:r w:rsidRPr="00410B2C">
        <w:t>Cth</w:t>
      </w:r>
      <w:proofErr w:type="spellEnd"/>
      <w:r w:rsidRPr="00410B2C">
        <w:t>) (the</w:t>
      </w:r>
      <w:r w:rsidR="00832450">
        <w:t> </w:t>
      </w:r>
      <w:r w:rsidRPr="00410B2C">
        <w:t>Legislation </w:t>
      </w:r>
      <w:r w:rsidRPr="00410B2C">
        <w:rPr>
          <w:snapToGrid/>
          <w:color w:val="000000"/>
          <w:lang w:eastAsia="en-AU"/>
        </w:rPr>
        <w:t>Act). It is a legislative instrument for the purposes of the Legislation Act and must be registered on the Federal Register of Legislation. The Declaration is subject to the disallowance provisions of the Legislation Act.</w:t>
      </w:r>
    </w:p>
    <w:p w14:paraId="35A828E8" w14:textId="77777777" w:rsidR="009B152F" w:rsidRPr="00410B2C" w:rsidRDefault="009B152F" w:rsidP="00410B2C">
      <w:pPr>
        <w:pStyle w:val="Basetext"/>
        <w:spacing w:before="0" w:after="200" w:line="240" w:lineRule="auto"/>
        <w:contextualSpacing/>
        <w:jc w:val="both"/>
      </w:pPr>
    </w:p>
    <w:p w14:paraId="0F3617F6" w14:textId="77777777" w:rsidR="009B152F" w:rsidRPr="00410B2C" w:rsidRDefault="009B152F" w:rsidP="00982DEE">
      <w:pPr>
        <w:pStyle w:val="Basetext"/>
        <w:spacing w:before="120" w:after="120"/>
        <w:contextualSpacing/>
        <w:jc w:val="both"/>
        <w:rPr>
          <w:b/>
        </w:rPr>
      </w:pPr>
      <w:r w:rsidRPr="00410B2C">
        <w:rPr>
          <w:b/>
        </w:rPr>
        <w:t>OUTLINE</w:t>
      </w:r>
    </w:p>
    <w:p w14:paraId="2941FD61" w14:textId="77777777" w:rsidR="009B152F" w:rsidRPr="00410B2C" w:rsidRDefault="009B152F" w:rsidP="00410B2C">
      <w:pPr>
        <w:pStyle w:val="Basetext"/>
        <w:spacing w:before="0" w:after="200" w:line="240" w:lineRule="auto"/>
        <w:contextualSpacing/>
        <w:jc w:val="both"/>
        <w:rPr>
          <w:b/>
        </w:rPr>
      </w:pPr>
    </w:p>
    <w:p w14:paraId="63A230E0" w14:textId="2ABF15FC" w:rsidR="009B152F" w:rsidRPr="00410B2C" w:rsidRDefault="009B152F" w:rsidP="009B152F">
      <w:pPr>
        <w:pStyle w:val="Basetext"/>
        <w:spacing w:before="0" w:after="200"/>
        <w:contextualSpacing/>
        <w:jc w:val="both"/>
      </w:pPr>
      <w:r w:rsidRPr="00410B2C">
        <w:t>Sunsetting is the automatic repeal of legislative instruments after a fixed period. The Australian</w:t>
      </w:r>
      <w:r w:rsidR="00E203B9">
        <w:t> </w:t>
      </w:r>
      <w:r w:rsidRPr="00410B2C">
        <w:t>Government’s sunsetting framework is established under Part 4 of Chapter 3 of the Legislation Act. The purpose of the sunsetting framework is to ensure that legislative instruments are kept up to date and only remain in force for so long as they are needed.</w:t>
      </w:r>
    </w:p>
    <w:p w14:paraId="6039FBE2" w14:textId="77777777" w:rsidR="009B152F" w:rsidRPr="00410B2C" w:rsidRDefault="009B152F" w:rsidP="009B152F">
      <w:pPr>
        <w:pStyle w:val="Basetext"/>
        <w:spacing w:before="0" w:after="200"/>
        <w:contextualSpacing/>
        <w:jc w:val="both"/>
      </w:pPr>
    </w:p>
    <w:p w14:paraId="2B80E645" w14:textId="77777777" w:rsidR="009B152F" w:rsidRPr="00410B2C" w:rsidRDefault="009B152F" w:rsidP="009B152F">
      <w:pPr>
        <w:pStyle w:val="Basetext"/>
        <w:spacing w:before="0" w:after="200"/>
        <w:contextualSpacing/>
        <w:jc w:val="both"/>
      </w:pPr>
      <w:r w:rsidRPr="00410B2C">
        <w:t xml:space="preserve">Subsection 50(1) of the Legislation Act provides that a legislative instrument is automatically repealed on the 1 April or 1 October immediately on or following the tenth anniversary of its registration. </w:t>
      </w:r>
    </w:p>
    <w:p w14:paraId="1BF35F46" w14:textId="773D6367" w:rsidR="007D16E1" w:rsidRDefault="009B152F" w:rsidP="008E2867">
      <w:pPr>
        <w:shd w:val="clear" w:color="auto" w:fill="FFFFFF"/>
        <w:spacing w:line="276" w:lineRule="auto"/>
        <w:contextualSpacing/>
        <w:jc w:val="both"/>
        <w:rPr>
          <w:color w:val="000000"/>
          <w:sz w:val="22"/>
          <w:szCs w:val="22"/>
          <w:lang w:eastAsia="en-AU"/>
        </w:rPr>
      </w:pPr>
      <w:r w:rsidRPr="00410B2C">
        <w:rPr>
          <w:color w:val="000000"/>
          <w:sz w:val="22"/>
          <w:szCs w:val="22"/>
          <w:lang w:eastAsia="en-AU"/>
        </w:rPr>
        <w:t>Under subsection 51</w:t>
      </w:r>
      <w:proofErr w:type="gramStart"/>
      <w:r w:rsidRPr="00410B2C">
        <w:rPr>
          <w:color w:val="000000"/>
          <w:sz w:val="22"/>
          <w:szCs w:val="22"/>
          <w:lang w:eastAsia="en-AU"/>
        </w:rPr>
        <w:t>A(</w:t>
      </w:r>
      <w:proofErr w:type="gramEnd"/>
      <w:r w:rsidRPr="00410B2C">
        <w:rPr>
          <w:color w:val="000000"/>
          <w:sz w:val="22"/>
          <w:szCs w:val="22"/>
          <w:lang w:eastAsia="en-AU"/>
        </w:rPr>
        <w:t>1) of the Legislation Act, the Attorney-General may issue a declaration aligning the sunsetting days of two or more instruments, if satisfied on application by the rule-maker</w:t>
      </w:r>
      <w:r w:rsidR="002F3BD0">
        <w:rPr>
          <w:color w:val="000000"/>
          <w:sz w:val="22"/>
          <w:szCs w:val="22"/>
          <w:lang w:eastAsia="en-AU"/>
        </w:rPr>
        <w:t>/s</w:t>
      </w:r>
      <w:r w:rsidRPr="00410B2C">
        <w:rPr>
          <w:color w:val="000000"/>
          <w:sz w:val="22"/>
          <w:szCs w:val="22"/>
          <w:lang w:eastAsia="en-AU"/>
        </w:rPr>
        <w:t xml:space="preserve"> of the relevant instruments that:</w:t>
      </w:r>
    </w:p>
    <w:p w14:paraId="57352054" w14:textId="3C8A0896" w:rsidR="007D16E1" w:rsidRDefault="007D16E1" w:rsidP="007D16E1">
      <w:pPr>
        <w:pStyle w:val="ListParagraph"/>
        <w:numPr>
          <w:ilvl w:val="0"/>
          <w:numId w:val="11"/>
        </w:numPr>
        <w:shd w:val="clear" w:color="auto" w:fill="FFFFFF"/>
        <w:spacing w:afterLines="100" w:after="240" w:line="276" w:lineRule="auto"/>
        <w:ind w:left="714" w:hanging="357"/>
        <w:jc w:val="both"/>
        <w:rPr>
          <w:color w:val="000000"/>
          <w:sz w:val="22"/>
          <w:szCs w:val="22"/>
          <w:lang w:eastAsia="en-AU"/>
        </w:rPr>
      </w:pPr>
      <w:r>
        <w:rPr>
          <w:color w:val="000000"/>
          <w:sz w:val="22"/>
          <w:szCs w:val="22"/>
          <w:lang w:eastAsia="en-AU"/>
        </w:rPr>
        <w:t>all the instruments to be reviewed:</w:t>
      </w:r>
    </w:p>
    <w:p w14:paraId="11E6E5FE" w14:textId="0C3A0EF0" w:rsidR="007D16E1" w:rsidRDefault="007D16E1" w:rsidP="007D16E1">
      <w:pPr>
        <w:pStyle w:val="ListParagraph"/>
        <w:numPr>
          <w:ilvl w:val="1"/>
          <w:numId w:val="11"/>
        </w:numPr>
        <w:shd w:val="clear" w:color="auto" w:fill="FFFFFF"/>
        <w:spacing w:afterLines="200" w:after="480" w:line="276" w:lineRule="auto"/>
        <w:jc w:val="both"/>
        <w:rPr>
          <w:color w:val="000000"/>
          <w:sz w:val="22"/>
          <w:szCs w:val="22"/>
          <w:lang w:eastAsia="en-AU"/>
        </w:rPr>
      </w:pPr>
      <w:r>
        <w:rPr>
          <w:color w:val="000000"/>
          <w:sz w:val="22"/>
          <w:szCs w:val="22"/>
          <w:lang w:eastAsia="en-AU"/>
        </w:rPr>
        <w:t xml:space="preserve">would (in the absence of a declaration made under section 51A of the Legislation Act) be repealed by section 50 or 51 of the Legislation Act; and </w:t>
      </w:r>
    </w:p>
    <w:p w14:paraId="2A5BC430" w14:textId="42E626D8" w:rsidR="007D16E1" w:rsidRDefault="007D16E1" w:rsidP="007D16E1">
      <w:pPr>
        <w:pStyle w:val="ListParagraph"/>
        <w:numPr>
          <w:ilvl w:val="1"/>
          <w:numId w:val="11"/>
        </w:numPr>
        <w:shd w:val="clear" w:color="auto" w:fill="FFFFFF"/>
        <w:spacing w:afterLines="200" w:after="480" w:line="276" w:lineRule="auto"/>
        <w:jc w:val="both"/>
        <w:rPr>
          <w:color w:val="000000"/>
          <w:sz w:val="22"/>
          <w:szCs w:val="22"/>
          <w:lang w:eastAsia="en-AU"/>
        </w:rPr>
      </w:pPr>
      <w:r>
        <w:rPr>
          <w:color w:val="000000"/>
          <w:sz w:val="22"/>
          <w:szCs w:val="22"/>
          <w:lang w:eastAsia="en-AU"/>
        </w:rPr>
        <w:t>are or will be the subject of a single review; and</w:t>
      </w:r>
    </w:p>
    <w:p w14:paraId="5A8D6421" w14:textId="20A9A1AB" w:rsidR="009B152F" w:rsidRPr="007D16E1" w:rsidRDefault="007D16E1" w:rsidP="008E2867">
      <w:pPr>
        <w:pStyle w:val="ListParagraph"/>
        <w:numPr>
          <w:ilvl w:val="0"/>
          <w:numId w:val="11"/>
        </w:numPr>
        <w:shd w:val="clear" w:color="auto" w:fill="FFFFFF"/>
        <w:spacing w:afterLines="100" w:after="240" w:line="276" w:lineRule="auto"/>
        <w:ind w:left="714" w:hanging="357"/>
        <w:jc w:val="both"/>
        <w:rPr>
          <w:color w:val="000000"/>
          <w:sz w:val="22"/>
          <w:szCs w:val="22"/>
          <w:lang w:eastAsia="en-AU"/>
        </w:rPr>
      </w:pPr>
      <w:r>
        <w:rPr>
          <w:color w:val="000000"/>
          <w:sz w:val="22"/>
          <w:szCs w:val="22"/>
          <w:lang w:eastAsia="en-AU"/>
        </w:rPr>
        <w:t>the making of</w:t>
      </w:r>
      <w:r w:rsidRPr="007D16E1">
        <w:rPr>
          <w:color w:val="000000"/>
          <w:sz w:val="22"/>
          <w:szCs w:val="22"/>
          <w:lang w:eastAsia="en-AU"/>
        </w:rPr>
        <w:t xml:space="preserve"> </w:t>
      </w:r>
      <w:r w:rsidRPr="00410B2C">
        <w:rPr>
          <w:color w:val="000000"/>
          <w:sz w:val="22"/>
          <w:szCs w:val="22"/>
          <w:lang w:eastAsia="en-AU"/>
        </w:rPr>
        <w:t>the declaration will facilitate the undertaking of the review or the implementation of its findings. </w:t>
      </w:r>
    </w:p>
    <w:p w14:paraId="4AF3C90E" w14:textId="77777777" w:rsidR="00E203B9" w:rsidRDefault="009B152F" w:rsidP="009B152F">
      <w:pPr>
        <w:pStyle w:val="Basetext"/>
        <w:spacing w:before="0" w:after="200"/>
        <w:contextualSpacing/>
        <w:jc w:val="both"/>
      </w:pPr>
      <w:r w:rsidRPr="00410B2C">
        <w:t xml:space="preserve">The objective of issuing a sunset-altering declaration is to facilitate either: </w:t>
      </w:r>
    </w:p>
    <w:p w14:paraId="27D26F98" w14:textId="77777777" w:rsidR="00E203B9" w:rsidRDefault="009B152F" w:rsidP="00E203B9">
      <w:pPr>
        <w:pStyle w:val="Basetext"/>
        <w:numPr>
          <w:ilvl w:val="0"/>
          <w:numId w:val="10"/>
        </w:numPr>
        <w:spacing w:before="0" w:after="200"/>
        <w:contextualSpacing/>
        <w:jc w:val="both"/>
      </w:pPr>
      <w:r w:rsidRPr="00410B2C">
        <w:t>the undertaking of a single review into the fitness-for-purpose of two or more thematically related legislative instruments</w:t>
      </w:r>
      <w:r w:rsidR="00E203B9">
        <w:t>,</w:t>
      </w:r>
      <w:r w:rsidRPr="00410B2C">
        <w:t xml:space="preserve"> or </w:t>
      </w:r>
    </w:p>
    <w:p w14:paraId="324186A3" w14:textId="77777777" w:rsidR="00E203B9" w:rsidRDefault="009B152F" w:rsidP="00E203B9">
      <w:pPr>
        <w:pStyle w:val="Basetext"/>
        <w:numPr>
          <w:ilvl w:val="0"/>
          <w:numId w:val="10"/>
        </w:numPr>
        <w:spacing w:before="0" w:after="200"/>
        <w:contextualSpacing/>
        <w:jc w:val="both"/>
      </w:pPr>
      <w:r w:rsidRPr="00410B2C">
        <w:t>the implementation of such a review’s findings.</w:t>
      </w:r>
    </w:p>
    <w:p w14:paraId="7D473DA5" w14:textId="31F8D649" w:rsidR="009B152F" w:rsidRPr="00410B2C" w:rsidRDefault="009B152F" w:rsidP="00E203B9">
      <w:pPr>
        <w:pStyle w:val="Basetext"/>
        <w:spacing w:before="0" w:after="200"/>
        <w:contextualSpacing/>
        <w:jc w:val="both"/>
      </w:pPr>
      <w:r w:rsidRPr="00410B2C">
        <w:t xml:space="preserve">This reduces administrative burden as well as the possibility of legislative inconsistencies arising from reviewing and replacing related legislation at different times. </w:t>
      </w:r>
    </w:p>
    <w:p w14:paraId="3114E638" w14:textId="77777777" w:rsidR="009B152F" w:rsidRPr="00410B2C" w:rsidRDefault="009B152F" w:rsidP="009B152F">
      <w:pPr>
        <w:pStyle w:val="Basetext"/>
        <w:spacing w:before="0" w:after="200"/>
        <w:contextualSpacing/>
        <w:jc w:val="both"/>
      </w:pPr>
    </w:p>
    <w:p w14:paraId="09D0AED1" w14:textId="05EE4F36" w:rsidR="009B152F" w:rsidRPr="00410B2C" w:rsidRDefault="009B152F" w:rsidP="009B152F">
      <w:pPr>
        <w:pStyle w:val="Basetext"/>
        <w:spacing w:before="0"/>
        <w:contextualSpacing/>
        <w:jc w:val="both"/>
      </w:pPr>
      <w:r w:rsidRPr="00410B2C">
        <w:t>The Declaration aligns the sunsetting dates of the following instruments to 1 April 2024 (together, the ‘Lightstation Heritage Management</w:t>
      </w:r>
      <w:r w:rsidR="004F69E1">
        <w:t xml:space="preserve"> I</w:t>
      </w:r>
      <w:r w:rsidR="004F69E1" w:rsidRPr="004F69E1">
        <w:t>nstruments</w:t>
      </w:r>
      <w:r w:rsidRPr="00410B2C">
        <w:t xml:space="preserve">’): </w:t>
      </w:r>
    </w:p>
    <w:p w14:paraId="25CF2B72" w14:textId="262011BA" w:rsidR="009B152F" w:rsidRPr="00410B2C" w:rsidRDefault="009B152F" w:rsidP="009B152F">
      <w:pPr>
        <w:pStyle w:val="ListParagraph"/>
        <w:numPr>
          <w:ilvl w:val="0"/>
          <w:numId w:val="1"/>
        </w:numPr>
        <w:spacing w:after="200" w:line="276" w:lineRule="auto"/>
        <w:ind w:left="714" w:hanging="357"/>
        <w:jc w:val="both"/>
        <w:rPr>
          <w:i/>
          <w:color w:val="000000"/>
          <w:sz w:val="22"/>
          <w:szCs w:val="22"/>
        </w:rPr>
      </w:pPr>
      <w:r w:rsidRPr="00410B2C">
        <w:rPr>
          <w:color w:val="000000"/>
          <w:sz w:val="22"/>
          <w:szCs w:val="22"/>
        </w:rPr>
        <w:t xml:space="preserve">the </w:t>
      </w:r>
      <w:r w:rsidRPr="004A51C9">
        <w:rPr>
          <w:i/>
          <w:color w:val="000000"/>
          <w:sz w:val="22"/>
          <w:szCs w:val="22"/>
        </w:rPr>
        <w:t>Lady Elliot Island Lightstation Heritage Management Plan</w:t>
      </w:r>
      <w:r w:rsidR="004A51C9">
        <w:rPr>
          <w:i/>
          <w:color w:val="000000"/>
          <w:sz w:val="22"/>
          <w:szCs w:val="22"/>
        </w:rPr>
        <w:t xml:space="preserve"> </w:t>
      </w:r>
      <w:r w:rsidR="004A51C9">
        <w:rPr>
          <w:color w:val="000000"/>
          <w:sz w:val="22"/>
          <w:szCs w:val="22"/>
        </w:rPr>
        <w:t>(</w:t>
      </w:r>
      <w:proofErr w:type="spellStart"/>
      <w:r w:rsidR="004A51C9">
        <w:rPr>
          <w:color w:val="000000"/>
          <w:sz w:val="22"/>
          <w:szCs w:val="22"/>
        </w:rPr>
        <w:t>Cth</w:t>
      </w:r>
      <w:proofErr w:type="spellEnd"/>
      <w:r w:rsidR="004A51C9">
        <w:rPr>
          <w:color w:val="000000"/>
          <w:sz w:val="22"/>
          <w:szCs w:val="22"/>
        </w:rPr>
        <w:t>)</w:t>
      </w:r>
      <w:r w:rsidRPr="00410B2C">
        <w:rPr>
          <w:color w:val="000000"/>
          <w:sz w:val="22"/>
          <w:szCs w:val="22"/>
        </w:rPr>
        <w:t>; and</w:t>
      </w:r>
      <w:r w:rsidRPr="00410B2C">
        <w:rPr>
          <w:i/>
          <w:color w:val="000000"/>
          <w:sz w:val="22"/>
          <w:szCs w:val="22"/>
        </w:rPr>
        <w:t xml:space="preserve"> </w:t>
      </w:r>
    </w:p>
    <w:p w14:paraId="17C26BA4" w14:textId="3488F7A7" w:rsidR="009B152F" w:rsidRPr="00982DEE" w:rsidRDefault="009B152F" w:rsidP="009B152F">
      <w:pPr>
        <w:pStyle w:val="ListParagraph"/>
        <w:widowControl/>
        <w:numPr>
          <w:ilvl w:val="0"/>
          <w:numId w:val="1"/>
        </w:numPr>
        <w:spacing w:line="276" w:lineRule="auto"/>
        <w:ind w:left="714" w:hanging="357"/>
        <w:jc w:val="both"/>
        <w:rPr>
          <w:b/>
          <w:sz w:val="22"/>
          <w:szCs w:val="22"/>
          <w:lang w:val="en-AU"/>
        </w:rPr>
      </w:pPr>
      <w:r w:rsidRPr="00410B2C">
        <w:rPr>
          <w:color w:val="000000"/>
          <w:sz w:val="22"/>
          <w:szCs w:val="22"/>
        </w:rPr>
        <w:t xml:space="preserve">the </w:t>
      </w:r>
      <w:r w:rsidRPr="004A51C9">
        <w:rPr>
          <w:i/>
          <w:color w:val="000000"/>
          <w:sz w:val="22"/>
          <w:szCs w:val="22"/>
        </w:rPr>
        <w:t>Dent Island Lightstation Heritage Management Plan</w:t>
      </w:r>
      <w:r w:rsidR="004A51C9">
        <w:rPr>
          <w:i/>
          <w:color w:val="000000"/>
          <w:sz w:val="22"/>
          <w:szCs w:val="22"/>
        </w:rPr>
        <w:t xml:space="preserve"> </w:t>
      </w:r>
      <w:r w:rsidR="004A51C9">
        <w:rPr>
          <w:color w:val="000000"/>
          <w:sz w:val="22"/>
          <w:szCs w:val="22"/>
        </w:rPr>
        <w:t>(</w:t>
      </w:r>
      <w:proofErr w:type="spellStart"/>
      <w:r w:rsidR="004A51C9">
        <w:rPr>
          <w:color w:val="000000"/>
          <w:sz w:val="22"/>
          <w:szCs w:val="22"/>
        </w:rPr>
        <w:t>Cth</w:t>
      </w:r>
      <w:proofErr w:type="spellEnd"/>
      <w:r w:rsidR="004A51C9">
        <w:rPr>
          <w:color w:val="000000"/>
          <w:sz w:val="22"/>
          <w:szCs w:val="22"/>
        </w:rPr>
        <w:t>)</w:t>
      </w:r>
      <w:r w:rsidRPr="00410B2C">
        <w:rPr>
          <w:color w:val="000000"/>
          <w:sz w:val="22"/>
          <w:szCs w:val="22"/>
        </w:rPr>
        <w:t>.</w:t>
      </w:r>
    </w:p>
    <w:p w14:paraId="18A82109" w14:textId="7BD1B797" w:rsidR="009B152F" w:rsidRDefault="00982DEE" w:rsidP="00982DEE">
      <w:pPr>
        <w:widowControl/>
        <w:spacing w:line="276" w:lineRule="auto"/>
        <w:jc w:val="both"/>
        <w:rPr>
          <w:sz w:val="22"/>
          <w:szCs w:val="22"/>
        </w:rPr>
      </w:pPr>
      <w:r w:rsidRPr="00982DEE">
        <w:rPr>
          <w:sz w:val="22"/>
          <w:szCs w:val="22"/>
        </w:rPr>
        <w:lastRenderedPageBreak/>
        <w:t xml:space="preserve">Prior to the commencement of the Declaration, the </w:t>
      </w:r>
      <w:r w:rsidRPr="00982DEE">
        <w:rPr>
          <w:i/>
          <w:iCs/>
          <w:sz w:val="22"/>
          <w:szCs w:val="22"/>
        </w:rPr>
        <w:t>Lady Elliot Island Lightstation Heritage Management Plan</w:t>
      </w:r>
      <w:r w:rsidRPr="00982DEE">
        <w:rPr>
          <w:sz w:val="22"/>
          <w:szCs w:val="22"/>
        </w:rPr>
        <w:t xml:space="preserve"> was scheduled to sunset on 1 October 2022 and the </w:t>
      </w:r>
      <w:r w:rsidRPr="00982DEE">
        <w:rPr>
          <w:i/>
          <w:iCs/>
          <w:sz w:val="22"/>
          <w:szCs w:val="22"/>
        </w:rPr>
        <w:t>Dent Island Lightstation Heritage Management Plan</w:t>
      </w:r>
      <w:r w:rsidRPr="00982DEE">
        <w:rPr>
          <w:sz w:val="22"/>
          <w:szCs w:val="22"/>
        </w:rPr>
        <w:t xml:space="preserve"> on 1 April 2024.</w:t>
      </w:r>
    </w:p>
    <w:p w14:paraId="377D0A73" w14:textId="77777777" w:rsidR="00982DEE" w:rsidRDefault="00982DEE" w:rsidP="00982DEE">
      <w:pPr>
        <w:widowControl/>
        <w:spacing w:line="276" w:lineRule="auto"/>
        <w:jc w:val="both"/>
      </w:pPr>
    </w:p>
    <w:p w14:paraId="0508216D" w14:textId="77777777" w:rsidR="009B152F" w:rsidRDefault="009B152F" w:rsidP="009B152F">
      <w:pPr>
        <w:widowControl/>
        <w:spacing w:line="276" w:lineRule="auto"/>
        <w:jc w:val="both"/>
      </w:pPr>
      <w:r w:rsidRPr="001426C1">
        <w:rPr>
          <w:b/>
        </w:rPr>
        <w:t>PROCESS BEFORE DECLARATION WAS MADE</w:t>
      </w:r>
      <w:r w:rsidRPr="008A1CD5">
        <w:t xml:space="preserve"> </w:t>
      </w:r>
    </w:p>
    <w:p w14:paraId="23F70D32" w14:textId="77777777" w:rsidR="009B152F" w:rsidRPr="001426C1" w:rsidRDefault="009B152F" w:rsidP="003141CF">
      <w:pPr>
        <w:widowControl/>
        <w:jc w:val="both"/>
        <w:rPr>
          <w:b/>
          <w:sz w:val="22"/>
          <w:szCs w:val="22"/>
          <w:lang w:val="en-AU"/>
        </w:rPr>
      </w:pPr>
    </w:p>
    <w:p w14:paraId="57C1EC49" w14:textId="77777777" w:rsidR="009B152F" w:rsidRPr="00410B2C" w:rsidRDefault="009B152F" w:rsidP="009B152F">
      <w:pPr>
        <w:pStyle w:val="Heading3"/>
        <w:spacing w:before="0" w:line="276" w:lineRule="auto"/>
        <w:contextualSpacing/>
        <w:jc w:val="both"/>
        <w:rPr>
          <w:rFonts w:ascii="Times New Roman" w:hAnsi="Times New Roman" w:cs="Times New Roman"/>
          <w:b/>
          <w:color w:val="auto"/>
          <w:sz w:val="22"/>
          <w:szCs w:val="22"/>
        </w:rPr>
      </w:pPr>
      <w:r w:rsidRPr="00410B2C">
        <w:rPr>
          <w:rFonts w:ascii="Times New Roman" w:hAnsi="Times New Roman" w:cs="Times New Roman"/>
          <w:b/>
          <w:color w:val="auto"/>
          <w:sz w:val="22"/>
          <w:szCs w:val="22"/>
        </w:rPr>
        <w:t>Regulatory impact analysis</w:t>
      </w:r>
    </w:p>
    <w:p w14:paraId="4592A468" w14:textId="77777777" w:rsidR="009B152F" w:rsidRPr="00410B2C" w:rsidRDefault="009B152F" w:rsidP="003141CF">
      <w:pPr>
        <w:rPr>
          <w:sz w:val="22"/>
          <w:szCs w:val="22"/>
          <w:lang w:val="en-AU"/>
        </w:rPr>
      </w:pPr>
    </w:p>
    <w:p w14:paraId="25B9F53C" w14:textId="77777777" w:rsidR="009B152F" w:rsidRPr="00410B2C" w:rsidRDefault="009B152F" w:rsidP="009B152F">
      <w:pPr>
        <w:spacing w:line="276" w:lineRule="auto"/>
        <w:contextualSpacing/>
        <w:jc w:val="both"/>
        <w:rPr>
          <w:sz w:val="22"/>
          <w:szCs w:val="22"/>
        </w:rPr>
      </w:pPr>
      <w:r w:rsidRPr="00410B2C">
        <w:rPr>
          <w:sz w:val="22"/>
          <w:szCs w:val="22"/>
        </w:rPr>
        <w:t xml:space="preserve">Sunset-altering declarations are machinery of government instruments, and are therefore not subject to the regulatory impact assessment requirements set out by the Office of Best Practice Regulation (OBPR). The OBPR reference for this standing exemption is ID 19486. </w:t>
      </w:r>
    </w:p>
    <w:p w14:paraId="6A01D543" w14:textId="77777777" w:rsidR="009B152F" w:rsidRPr="00410B2C" w:rsidRDefault="009B152F" w:rsidP="003141CF">
      <w:pPr>
        <w:contextualSpacing/>
        <w:jc w:val="both"/>
        <w:rPr>
          <w:sz w:val="22"/>
          <w:szCs w:val="22"/>
        </w:rPr>
      </w:pPr>
    </w:p>
    <w:p w14:paraId="635F5CB4" w14:textId="77777777" w:rsidR="009B152F" w:rsidRPr="00410B2C" w:rsidRDefault="009B152F" w:rsidP="009B152F">
      <w:pPr>
        <w:pStyle w:val="Heading3"/>
        <w:spacing w:before="0" w:line="276" w:lineRule="auto"/>
        <w:contextualSpacing/>
        <w:jc w:val="both"/>
        <w:rPr>
          <w:rFonts w:ascii="Times New Roman" w:hAnsi="Times New Roman" w:cs="Times New Roman"/>
          <w:b/>
          <w:color w:val="auto"/>
          <w:sz w:val="22"/>
          <w:szCs w:val="22"/>
        </w:rPr>
      </w:pPr>
      <w:r w:rsidRPr="00410B2C">
        <w:rPr>
          <w:rFonts w:ascii="Times New Roman" w:hAnsi="Times New Roman" w:cs="Times New Roman"/>
          <w:b/>
          <w:color w:val="auto"/>
          <w:sz w:val="22"/>
          <w:szCs w:val="22"/>
        </w:rPr>
        <w:t xml:space="preserve">Consultation before making </w:t>
      </w:r>
    </w:p>
    <w:p w14:paraId="5C745EC6" w14:textId="77777777" w:rsidR="009B152F" w:rsidRPr="00410B2C" w:rsidRDefault="009B152F" w:rsidP="003141CF">
      <w:pPr>
        <w:rPr>
          <w:sz w:val="22"/>
          <w:szCs w:val="22"/>
          <w:lang w:val="en-AU"/>
        </w:rPr>
      </w:pPr>
    </w:p>
    <w:p w14:paraId="7764B5A8" w14:textId="77777777" w:rsidR="009B152F" w:rsidRPr="00410B2C" w:rsidRDefault="009B152F" w:rsidP="009B152F">
      <w:pPr>
        <w:pStyle w:val="Basetext"/>
        <w:spacing w:before="0" w:after="200"/>
        <w:contextualSpacing/>
        <w:jc w:val="both"/>
      </w:pPr>
      <w:r w:rsidRPr="00410B2C">
        <w:t>Before the Declaration was issued, the Attorney</w:t>
      </w:r>
      <w:r w:rsidRPr="00410B2C">
        <w:noBreakHyphen/>
        <w:t xml:space="preserve">General considered the general obligation to consult imposed by section 17 of the Legislation Act. </w:t>
      </w:r>
    </w:p>
    <w:p w14:paraId="6D99E52A" w14:textId="77777777" w:rsidR="009B152F" w:rsidRPr="00410B2C" w:rsidRDefault="009B152F" w:rsidP="009B152F">
      <w:pPr>
        <w:pStyle w:val="Basetext"/>
        <w:spacing w:before="0" w:after="200"/>
        <w:contextualSpacing/>
        <w:jc w:val="both"/>
      </w:pPr>
    </w:p>
    <w:p w14:paraId="62333054" w14:textId="4B4903DB" w:rsidR="009B152F" w:rsidRDefault="00982DEE" w:rsidP="009B152F">
      <w:pPr>
        <w:pStyle w:val="Basetext"/>
        <w:spacing w:before="0" w:after="200"/>
        <w:contextualSpacing/>
        <w:jc w:val="both"/>
      </w:pPr>
      <w:r>
        <w:t xml:space="preserve">The </w:t>
      </w:r>
      <w:r>
        <w:rPr>
          <w:i/>
        </w:rPr>
        <w:t xml:space="preserve">Environment Protection and Biodiversity Conservation Act 1999 </w:t>
      </w:r>
      <w:r>
        <w:t xml:space="preserve">(EPBC Act), being the legislation under which the Lightstation Heritage Management Instruments were made, is administered by the </w:t>
      </w:r>
      <w:r w:rsidRPr="00410B2C">
        <w:t>Department of Climate Change, Energy, the Environment and Water</w:t>
      </w:r>
      <w:r>
        <w:t xml:space="preserve"> (the Department). Staff in the Department were consulted on the proposal to align the </w:t>
      </w:r>
      <w:r w:rsidRPr="00410B2C">
        <w:t>sunsetting dates of the Lightstation Heritage Management</w:t>
      </w:r>
      <w:r>
        <w:t xml:space="preserve"> I</w:t>
      </w:r>
      <w:r w:rsidRPr="004F69E1">
        <w:t>nstruments</w:t>
      </w:r>
      <w:r w:rsidRPr="00410B2C">
        <w:t xml:space="preserve"> to 1 April 2024. </w:t>
      </w:r>
      <w:r>
        <w:t>The Department indicated support for the realignment.</w:t>
      </w:r>
    </w:p>
    <w:p w14:paraId="4B25B390" w14:textId="77777777" w:rsidR="00982DEE" w:rsidRPr="00410B2C" w:rsidRDefault="00982DEE" w:rsidP="009B152F">
      <w:pPr>
        <w:pStyle w:val="Basetext"/>
        <w:spacing w:before="0" w:after="200"/>
        <w:contextualSpacing/>
        <w:jc w:val="both"/>
      </w:pPr>
    </w:p>
    <w:p w14:paraId="60D1F1D0" w14:textId="7829412C" w:rsidR="009B152F" w:rsidRPr="00410B2C" w:rsidRDefault="009B152F" w:rsidP="009B152F">
      <w:pPr>
        <w:pStyle w:val="Basetext"/>
        <w:spacing w:before="0"/>
        <w:contextualSpacing/>
        <w:jc w:val="both"/>
      </w:pPr>
      <w:r w:rsidRPr="00410B2C">
        <w:t xml:space="preserve">Any replacement </w:t>
      </w:r>
      <w:r w:rsidR="00982DEE" w:rsidRPr="00410B2C">
        <w:t>Lightstation Heritage Management</w:t>
      </w:r>
      <w:r w:rsidR="00982DEE">
        <w:t xml:space="preserve"> I</w:t>
      </w:r>
      <w:r w:rsidR="00982DEE" w:rsidRPr="004F69E1">
        <w:t>nstruments</w:t>
      </w:r>
      <w:r w:rsidRPr="00410B2C">
        <w:t xml:space="preserve"> will be subject to further consultation and parliamentary oversight, including oversight on whether adequate consultation occurred with persons likely to be affected by the replacement instruments. As such, the Declaration</w:t>
      </w:r>
      <w:r w:rsidRPr="00410B2C">
        <w:rPr>
          <w:b/>
          <w:bCs/>
        </w:rPr>
        <w:t xml:space="preserve"> </w:t>
      </w:r>
      <w:r w:rsidRPr="00410B2C">
        <w:t>is consistent with the policy intent of the sunsetting regime.</w:t>
      </w:r>
    </w:p>
    <w:p w14:paraId="71369698" w14:textId="77777777" w:rsidR="009B152F" w:rsidRPr="00410B2C" w:rsidRDefault="009B152F" w:rsidP="003141CF">
      <w:pPr>
        <w:contextualSpacing/>
        <w:jc w:val="both"/>
        <w:rPr>
          <w:sz w:val="22"/>
          <w:szCs w:val="22"/>
        </w:rPr>
      </w:pPr>
    </w:p>
    <w:p w14:paraId="563C43D9" w14:textId="6BFF150D" w:rsidR="00ED6293" w:rsidRPr="00410B2C" w:rsidRDefault="00ED6293" w:rsidP="00ED6293">
      <w:pPr>
        <w:pStyle w:val="Heading3"/>
        <w:spacing w:before="0" w:line="276" w:lineRule="auto"/>
        <w:contextualSpacing/>
        <w:jc w:val="both"/>
        <w:rPr>
          <w:rFonts w:ascii="Times New Roman" w:hAnsi="Times New Roman" w:cs="Times New Roman"/>
          <w:b/>
          <w:color w:val="auto"/>
          <w:sz w:val="22"/>
          <w:szCs w:val="22"/>
        </w:rPr>
      </w:pPr>
      <w:r w:rsidRPr="00410B2C">
        <w:rPr>
          <w:rFonts w:ascii="Times New Roman" w:hAnsi="Times New Roman" w:cs="Times New Roman"/>
          <w:b/>
          <w:color w:val="auto"/>
          <w:sz w:val="22"/>
          <w:szCs w:val="22"/>
        </w:rPr>
        <w:t xml:space="preserve">Statutory preconditions relevant to the </w:t>
      </w:r>
      <w:r w:rsidR="008D05F5">
        <w:rPr>
          <w:rFonts w:ascii="Times New Roman" w:hAnsi="Times New Roman" w:cs="Times New Roman"/>
          <w:b/>
          <w:color w:val="auto"/>
          <w:sz w:val="22"/>
          <w:szCs w:val="22"/>
        </w:rPr>
        <w:t>D</w:t>
      </w:r>
      <w:r w:rsidR="009F11D6">
        <w:rPr>
          <w:rFonts w:ascii="Times New Roman" w:hAnsi="Times New Roman" w:cs="Times New Roman"/>
          <w:b/>
          <w:color w:val="auto"/>
          <w:sz w:val="22"/>
          <w:szCs w:val="22"/>
        </w:rPr>
        <w:t>eclaration</w:t>
      </w:r>
    </w:p>
    <w:p w14:paraId="6103B4C5" w14:textId="77777777" w:rsidR="00ED6293" w:rsidRPr="00410B2C" w:rsidRDefault="00ED6293" w:rsidP="003141CF">
      <w:pPr>
        <w:rPr>
          <w:sz w:val="22"/>
          <w:szCs w:val="22"/>
          <w:lang w:val="en-AU"/>
        </w:rPr>
      </w:pPr>
    </w:p>
    <w:p w14:paraId="663ADAB5" w14:textId="7837765E" w:rsidR="00ED6293" w:rsidRPr="00410B2C" w:rsidRDefault="00ED6293" w:rsidP="00ED6293">
      <w:pPr>
        <w:spacing w:line="276" w:lineRule="auto"/>
        <w:jc w:val="both"/>
        <w:rPr>
          <w:b/>
          <w:sz w:val="22"/>
          <w:szCs w:val="22"/>
        </w:rPr>
      </w:pPr>
      <w:r w:rsidRPr="00410B2C">
        <w:rPr>
          <w:sz w:val="22"/>
          <w:szCs w:val="22"/>
        </w:rPr>
        <w:t>In order to align the sunsetting day of two or more instruments, the Attorney-General must be satisfied on written application from the relevant rule-maker</w:t>
      </w:r>
      <w:r w:rsidR="002F3BD0">
        <w:rPr>
          <w:sz w:val="22"/>
          <w:szCs w:val="22"/>
        </w:rPr>
        <w:t>/s</w:t>
      </w:r>
      <w:r w:rsidRPr="00410B2C">
        <w:rPr>
          <w:sz w:val="22"/>
          <w:szCs w:val="22"/>
        </w:rPr>
        <w:t xml:space="preserve"> that the statutory conditions in paragraphs 51A(1)(a) and (b) of the Legislation Act are met. The statutory conditions are that: </w:t>
      </w:r>
    </w:p>
    <w:p w14:paraId="7AE5363B" w14:textId="77777777" w:rsidR="00ED6293" w:rsidRPr="00410B2C" w:rsidRDefault="00ED6293" w:rsidP="00ED6293">
      <w:pPr>
        <w:pStyle w:val="ListParagraph"/>
        <w:numPr>
          <w:ilvl w:val="0"/>
          <w:numId w:val="4"/>
        </w:numPr>
        <w:spacing w:line="276" w:lineRule="auto"/>
        <w:jc w:val="both"/>
        <w:rPr>
          <w:b/>
          <w:bCs/>
          <w:color w:val="000000"/>
          <w:sz w:val="22"/>
          <w:szCs w:val="22"/>
          <w:lang w:eastAsia="en-AU"/>
        </w:rPr>
      </w:pPr>
      <w:r w:rsidRPr="00410B2C">
        <w:rPr>
          <w:color w:val="000000"/>
          <w:sz w:val="22"/>
          <w:szCs w:val="22"/>
          <w:lang w:eastAsia="en-AU"/>
        </w:rPr>
        <w:t>all the instruments to be reviewed:</w:t>
      </w:r>
    </w:p>
    <w:p w14:paraId="465E6587" w14:textId="77777777" w:rsidR="00ED6293" w:rsidRPr="00410B2C" w:rsidRDefault="00ED6293" w:rsidP="00ED6293">
      <w:pPr>
        <w:pStyle w:val="ListParagraph"/>
        <w:numPr>
          <w:ilvl w:val="1"/>
          <w:numId w:val="4"/>
        </w:numPr>
        <w:spacing w:line="276" w:lineRule="auto"/>
        <w:jc w:val="both"/>
        <w:rPr>
          <w:b/>
          <w:bCs/>
          <w:color w:val="000000"/>
          <w:sz w:val="22"/>
          <w:szCs w:val="22"/>
          <w:lang w:eastAsia="en-AU"/>
        </w:rPr>
      </w:pPr>
      <w:r w:rsidRPr="00410B2C">
        <w:rPr>
          <w:color w:val="000000"/>
          <w:sz w:val="22"/>
          <w:szCs w:val="22"/>
          <w:lang w:eastAsia="en-AU"/>
        </w:rPr>
        <w:t>would (in the absence of a declaration made under section 51A of the Legislation Act) be repealed by section 50 or 51 of the Legislation Act; and </w:t>
      </w:r>
    </w:p>
    <w:p w14:paraId="2E69BBB1" w14:textId="77777777" w:rsidR="00ED6293" w:rsidRPr="00410B2C" w:rsidRDefault="00ED6293" w:rsidP="00ED6293">
      <w:pPr>
        <w:pStyle w:val="ListParagraph"/>
        <w:numPr>
          <w:ilvl w:val="1"/>
          <w:numId w:val="4"/>
        </w:numPr>
        <w:spacing w:line="276" w:lineRule="auto"/>
        <w:jc w:val="both"/>
        <w:rPr>
          <w:b/>
          <w:bCs/>
          <w:color w:val="000000"/>
          <w:sz w:val="22"/>
          <w:szCs w:val="22"/>
          <w:lang w:eastAsia="en-AU"/>
        </w:rPr>
      </w:pPr>
      <w:r w:rsidRPr="00410B2C">
        <w:rPr>
          <w:color w:val="000000"/>
          <w:sz w:val="22"/>
          <w:szCs w:val="22"/>
          <w:lang w:eastAsia="en-AU"/>
        </w:rPr>
        <w:t>are or will be the subject of a single review; and</w:t>
      </w:r>
    </w:p>
    <w:p w14:paraId="2952525D" w14:textId="77777777" w:rsidR="00ED6293" w:rsidRPr="00410B2C" w:rsidRDefault="00ED6293" w:rsidP="00ED6293">
      <w:pPr>
        <w:pStyle w:val="ListParagraph"/>
        <w:numPr>
          <w:ilvl w:val="0"/>
          <w:numId w:val="4"/>
        </w:numPr>
        <w:spacing w:line="276" w:lineRule="auto"/>
        <w:jc w:val="both"/>
        <w:rPr>
          <w:color w:val="000000"/>
          <w:sz w:val="22"/>
          <w:szCs w:val="22"/>
          <w:lang w:eastAsia="en-AU"/>
        </w:rPr>
      </w:pPr>
      <w:r w:rsidRPr="00410B2C">
        <w:rPr>
          <w:color w:val="000000"/>
          <w:sz w:val="22"/>
          <w:szCs w:val="22"/>
          <w:lang w:eastAsia="en-AU"/>
        </w:rPr>
        <w:t>the making of the declaration will facilitate the undertaking of the review or the implementation of its findings. </w:t>
      </w:r>
    </w:p>
    <w:p w14:paraId="562E8430" w14:textId="77777777" w:rsidR="00ED6293" w:rsidRPr="00410B2C" w:rsidRDefault="00ED6293" w:rsidP="00ED6293">
      <w:pPr>
        <w:spacing w:line="276" w:lineRule="auto"/>
        <w:jc w:val="both"/>
        <w:rPr>
          <w:b/>
          <w:bCs/>
          <w:color w:val="000000"/>
          <w:sz w:val="22"/>
          <w:szCs w:val="22"/>
          <w:lang w:eastAsia="en-AU"/>
        </w:rPr>
      </w:pPr>
    </w:p>
    <w:p w14:paraId="51920D70" w14:textId="77777777" w:rsidR="00ED6293" w:rsidRPr="00410B2C" w:rsidRDefault="00ED6293" w:rsidP="00ED6293">
      <w:pPr>
        <w:spacing w:line="276" w:lineRule="auto"/>
        <w:jc w:val="both"/>
        <w:rPr>
          <w:b/>
          <w:sz w:val="22"/>
          <w:szCs w:val="22"/>
        </w:rPr>
      </w:pPr>
      <w:r w:rsidRPr="00410B2C">
        <w:rPr>
          <w:sz w:val="22"/>
          <w:szCs w:val="22"/>
        </w:rPr>
        <w:t xml:space="preserve">In terms of process, the Legislation Act requires: </w:t>
      </w:r>
    </w:p>
    <w:p w14:paraId="6B1A6005" w14:textId="5A4C0217" w:rsidR="00ED6293" w:rsidRPr="00410B2C" w:rsidRDefault="00ED6293" w:rsidP="00ED6293">
      <w:pPr>
        <w:pStyle w:val="ListParagraph"/>
        <w:numPr>
          <w:ilvl w:val="0"/>
          <w:numId w:val="5"/>
        </w:numPr>
        <w:spacing w:line="276" w:lineRule="auto"/>
        <w:jc w:val="both"/>
        <w:rPr>
          <w:b/>
          <w:sz w:val="22"/>
          <w:szCs w:val="22"/>
        </w:rPr>
      </w:pPr>
      <w:r w:rsidRPr="00410B2C">
        <w:rPr>
          <w:sz w:val="22"/>
          <w:szCs w:val="22"/>
        </w:rPr>
        <w:t xml:space="preserve">the </w:t>
      </w:r>
      <w:r w:rsidRPr="00410B2C">
        <w:rPr>
          <w:color w:val="000000"/>
          <w:sz w:val="22"/>
          <w:szCs w:val="22"/>
          <w:lang w:eastAsia="en-AU"/>
        </w:rPr>
        <w:t>responsible</w:t>
      </w:r>
      <w:r w:rsidRPr="00410B2C">
        <w:rPr>
          <w:sz w:val="22"/>
          <w:szCs w:val="22"/>
        </w:rPr>
        <w:t xml:space="preserve"> rule-maker</w:t>
      </w:r>
      <w:r w:rsidR="002F3BD0">
        <w:rPr>
          <w:sz w:val="22"/>
          <w:szCs w:val="22"/>
        </w:rPr>
        <w:t>/s</w:t>
      </w:r>
      <w:r w:rsidRPr="00410B2C">
        <w:rPr>
          <w:sz w:val="22"/>
          <w:szCs w:val="22"/>
        </w:rPr>
        <w:t xml:space="preserve"> to apply to the Attorney-General</w:t>
      </w:r>
    </w:p>
    <w:p w14:paraId="6DE293F4" w14:textId="77777777" w:rsidR="00ED6293" w:rsidRPr="00410B2C" w:rsidRDefault="00ED6293" w:rsidP="00ED6293">
      <w:pPr>
        <w:pStyle w:val="ListParagraph"/>
        <w:numPr>
          <w:ilvl w:val="0"/>
          <w:numId w:val="5"/>
        </w:numPr>
        <w:spacing w:line="276" w:lineRule="auto"/>
        <w:jc w:val="both"/>
        <w:rPr>
          <w:b/>
          <w:sz w:val="22"/>
          <w:szCs w:val="22"/>
        </w:rPr>
      </w:pPr>
      <w:r w:rsidRPr="00410B2C">
        <w:rPr>
          <w:sz w:val="22"/>
          <w:szCs w:val="22"/>
        </w:rPr>
        <w:t xml:space="preserve">the Attorney-General to be satisfied of the statutory conditions, and </w:t>
      </w:r>
    </w:p>
    <w:p w14:paraId="2852E676" w14:textId="77777777" w:rsidR="00ED6293" w:rsidRPr="00410B2C" w:rsidRDefault="00ED6293" w:rsidP="00ED6293">
      <w:pPr>
        <w:pStyle w:val="ListParagraph"/>
        <w:numPr>
          <w:ilvl w:val="0"/>
          <w:numId w:val="5"/>
        </w:numPr>
        <w:spacing w:line="276" w:lineRule="auto"/>
        <w:jc w:val="both"/>
        <w:rPr>
          <w:b/>
          <w:sz w:val="22"/>
          <w:szCs w:val="22"/>
        </w:rPr>
      </w:pPr>
      <w:r w:rsidRPr="00410B2C">
        <w:rPr>
          <w:sz w:val="22"/>
          <w:szCs w:val="22"/>
        </w:rPr>
        <w:t xml:space="preserve">the Attorney-General to make a declaration, which is a legislative instrument and subject to disallowance. </w:t>
      </w:r>
    </w:p>
    <w:p w14:paraId="0F600939" w14:textId="77777777" w:rsidR="00ED6293" w:rsidRPr="00410B2C" w:rsidRDefault="00ED6293" w:rsidP="00ED6293">
      <w:pPr>
        <w:rPr>
          <w:sz w:val="22"/>
          <w:szCs w:val="22"/>
          <w:lang w:val="en-AU"/>
        </w:rPr>
      </w:pPr>
    </w:p>
    <w:p w14:paraId="5A3D36A6" w14:textId="77777777" w:rsidR="00982DEE" w:rsidRPr="0066269A" w:rsidRDefault="00982DEE" w:rsidP="00982DEE">
      <w:pPr>
        <w:spacing w:line="276" w:lineRule="auto"/>
        <w:contextualSpacing/>
        <w:jc w:val="both"/>
        <w:rPr>
          <w:sz w:val="22"/>
          <w:szCs w:val="22"/>
        </w:rPr>
      </w:pPr>
      <w:r w:rsidRPr="0066269A">
        <w:rPr>
          <w:sz w:val="22"/>
          <w:szCs w:val="22"/>
        </w:rPr>
        <w:t>The Lightstation Heritage Management Instruments are made under s 341</w:t>
      </w:r>
      <w:proofErr w:type="gramStart"/>
      <w:r w:rsidRPr="0066269A">
        <w:rPr>
          <w:sz w:val="22"/>
          <w:szCs w:val="22"/>
        </w:rPr>
        <w:t>S(</w:t>
      </w:r>
      <w:proofErr w:type="gramEnd"/>
      <w:r w:rsidRPr="0066269A">
        <w:rPr>
          <w:sz w:val="22"/>
          <w:szCs w:val="22"/>
        </w:rPr>
        <w:t xml:space="preserve">1) of the </w:t>
      </w:r>
      <w:r w:rsidRPr="0066269A">
        <w:rPr>
          <w:i/>
          <w:sz w:val="22"/>
          <w:szCs w:val="22"/>
        </w:rPr>
        <w:t>Environment Protection and Biodiversity Conservation Act 1999</w:t>
      </w:r>
      <w:r w:rsidRPr="0066269A">
        <w:rPr>
          <w:sz w:val="22"/>
          <w:szCs w:val="22"/>
        </w:rPr>
        <w:t xml:space="preserve"> (</w:t>
      </w:r>
      <w:proofErr w:type="spellStart"/>
      <w:r w:rsidRPr="0066269A">
        <w:rPr>
          <w:sz w:val="22"/>
          <w:szCs w:val="22"/>
        </w:rPr>
        <w:t>Cth</w:t>
      </w:r>
      <w:proofErr w:type="spellEnd"/>
      <w:r w:rsidRPr="0066269A">
        <w:rPr>
          <w:sz w:val="22"/>
          <w:szCs w:val="22"/>
        </w:rPr>
        <w:t>) (EPBC Act). EPBC Act subsection 341</w:t>
      </w:r>
      <w:proofErr w:type="gramStart"/>
      <w:r w:rsidRPr="0066269A">
        <w:rPr>
          <w:sz w:val="22"/>
          <w:szCs w:val="22"/>
        </w:rPr>
        <w:t>S(</w:t>
      </w:r>
      <w:proofErr w:type="gramEnd"/>
      <w:r w:rsidRPr="0066269A">
        <w:rPr>
          <w:sz w:val="22"/>
          <w:szCs w:val="22"/>
        </w:rPr>
        <w:t xml:space="preserve">1) requires a Commonwealth Agency to make a written plan (a heritage management plan) to protect and </w:t>
      </w:r>
      <w:r w:rsidRPr="0066269A">
        <w:rPr>
          <w:sz w:val="22"/>
          <w:szCs w:val="22"/>
        </w:rPr>
        <w:lastRenderedPageBreak/>
        <w:t xml:space="preserve">manage the Commonwealth Heritage values of a Commonwealth Heritage place it owns or controls. </w:t>
      </w:r>
    </w:p>
    <w:p w14:paraId="7966633B" w14:textId="77777777" w:rsidR="00982DEE" w:rsidRDefault="00982DEE" w:rsidP="00982DEE">
      <w:pPr>
        <w:spacing w:line="276" w:lineRule="auto"/>
        <w:contextualSpacing/>
        <w:jc w:val="both"/>
      </w:pPr>
    </w:p>
    <w:p w14:paraId="67F9C1F9" w14:textId="77777777" w:rsidR="00982DEE" w:rsidRDefault="00982DEE" w:rsidP="00982DEE">
      <w:pPr>
        <w:spacing w:line="276" w:lineRule="auto"/>
        <w:contextualSpacing/>
        <w:jc w:val="both"/>
        <w:rPr>
          <w:sz w:val="22"/>
          <w:szCs w:val="22"/>
        </w:rPr>
      </w:pPr>
      <w:r>
        <w:rPr>
          <w:sz w:val="22"/>
          <w:szCs w:val="22"/>
        </w:rPr>
        <w:t xml:space="preserve">For the purposes of section 6 of the Legislation Act: </w:t>
      </w:r>
    </w:p>
    <w:p w14:paraId="73934AE4" w14:textId="77777777" w:rsidR="00982DEE" w:rsidRDefault="00982DEE" w:rsidP="00982DEE">
      <w:pPr>
        <w:spacing w:line="276" w:lineRule="auto"/>
        <w:contextualSpacing/>
        <w:jc w:val="both"/>
        <w:rPr>
          <w:sz w:val="22"/>
          <w:szCs w:val="22"/>
        </w:rPr>
      </w:pPr>
    </w:p>
    <w:p w14:paraId="74ACFA12" w14:textId="77777777" w:rsidR="00982DEE" w:rsidRDefault="00982DEE" w:rsidP="00982DEE">
      <w:pPr>
        <w:pStyle w:val="ListParagraph"/>
        <w:numPr>
          <w:ilvl w:val="0"/>
          <w:numId w:val="13"/>
        </w:numPr>
        <w:spacing w:line="276" w:lineRule="auto"/>
        <w:jc w:val="both"/>
        <w:rPr>
          <w:sz w:val="22"/>
          <w:szCs w:val="22"/>
        </w:rPr>
      </w:pPr>
      <w:r w:rsidRPr="0066269A">
        <w:rPr>
          <w:sz w:val="22"/>
          <w:szCs w:val="22"/>
        </w:rPr>
        <w:t xml:space="preserve">the Chief Executive Officer of the Great Barrier Reef Marine Park Authority (Reef Authority), Mr Josh Thomas, is the rule maker of the </w:t>
      </w:r>
      <w:r w:rsidRPr="0066269A">
        <w:rPr>
          <w:i/>
          <w:sz w:val="22"/>
          <w:szCs w:val="22"/>
        </w:rPr>
        <w:t>Lady Elliot Island Lightstation Heritage Management Plan</w:t>
      </w:r>
      <w:r>
        <w:rPr>
          <w:i/>
          <w:sz w:val="22"/>
          <w:szCs w:val="22"/>
        </w:rPr>
        <w:t>;</w:t>
      </w:r>
      <w:r w:rsidRPr="0066269A">
        <w:rPr>
          <w:sz w:val="22"/>
          <w:szCs w:val="22"/>
        </w:rPr>
        <w:t xml:space="preserve"> and </w:t>
      </w:r>
    </w:p>
    <w:p w14:paraId="2B027E73" w14:textId="4FCA18D2" w:rsidR="00982DEE" w:rsidRPr="0066269A" w:rsidRDefault="00982DEE" w:rsidP="00982DEE">
      <w:pPr>
        <w:pStyle w:val="ListParagraph"/>
        <w:numPr>
          <w:ilvl w:val="0"/>
          <w:numId w:val="13"/>
        </w:numPr>
        <w:spacing w:line="276" w:lineRule="auto"/>
        <w:jc w:val="both"/>
      </w:pPr>
      <w:r w:rsidRPr="0066269A">
        <w:rPr>
          <w:sz w:val="22"/>
          <w:szCs w:val="22"/>
        </w:rPr>
        <w:t xml:space="preserve">Mr Thomas is co-rule-maker of the </w:t>
      </w:r>
      <w:r w:rsidRPr="0066269A">
        <w:rPr>
          <w:i/>
          <w:sz w:val="22"/>
          <w:szCs w:val="22"/>
        </w:rPr>
        <w:t xml:space="preserve">Dent Island </w:t>
      </w:r>
      <w:proofErr w:type="spellStart"/>
      <w:r w:rsidRPr="0066269A">
        <w:rPr>
          <w:i/>
          <w:sz w:val="22"/>
          <w:szCs w:val="22"/>
        </w:rPr>
        <w:t>Lightstation</w:t>
      </w:r>
      <w:proofErr w:type="spellEnd"/>
      <w:r w:rsidRPr="0066269A">
        <w:rPr>
          <w:i/>
          <w:sz w:val="22"/>
          <w:szCs w:val="22"/>
        </w:rPr>
        <w:t xml:space="preserve"> Heritage Management Plan </w:t>
      </w:r>
      <w:r w:rsidRPr="0066269A">
        <w:rPr>
          <w:sz w:val="22"/>
          <w:szCs w:val="22"/>
        </w:rPr>
        <w:t xml:space="preserve">along with the Chief Executive Officer of the Australian Maritime Safety Authority (AMSA), </w:t>
      </w:r>
      <w:r w:rsidR="00B00D88">
        <w:rPr>
          <w:sz w:val="22"/>
          <w:szCs w:val="22"/>
        </w:rPr>
        <w:br/>
      </w:r>
      <w:r w:rsidRPr="0066269A">
        <w:rPr>
          <w:sz w:val="22"/>
          <w:szCs w:val="22"/>
        </w:rPr>
        <w:t xml:space="preserve">Mr Mick Kinley. </w:t>
      </w:r>
    </w:p>
    <w:p w14:paraId="19B9C9A3" w14:textId="77777777" w:rsidR="00982DEE" w:rsidRPr="00410B2C" w:rsidRDefault="00982DEE" w:rsidP="00982DEE">
      <w:pPr>
        <w:pStyle w:val="Basetext"/>
        <w:spacing w:before="0"/>
        <w:contextualSpacing/>
        <w:jc w:val="both"/>
      </w:pPr>
    </w:p>
    <w:p w14:paraId="07792D1D" w14:textId="77777777" w:rsidR="00982DEE" w:rsidRDefault="00982DEE" w:rsidP="00982DEE">
      <w:pPr>
        <w:spacing w:line="276" w:lineRule="auto"/>
        <w:contextualSpacing/>
        <w:jc w:val="both"/>
        <w:rPr>
          <w:sz w:val="22"/>
          <w:szCs w:val="22"/>
        </w:rPr>
      </w:pPr>
      <w:r>
        <w:rPr>
          <w:sz w:val="22"/>
          <w:szCs w:val="22"/>
        </w:rPr>
        <w:t>Mr Thomas</w:t>
      </w:r>
      <w:r w:rsidRPr="008A1CD5">
        <w:rPr>
          <w:sz w:val="22"/>
          <w:szCs w:val="22"/>
        </w:rPr>
        <w:t xml:space="preserve"> </w:t>
      </w:r>
      <w:r>
        <w:rPr>
          <w:sz w:val="22"/>
          <w:szCs w:val="22"/>
        </w:rPr>
        <w:t>provided</w:t>
      </w:r>
      <w:r w:rsidRPr="008A1CD5">
        <w:rPr>
          <w:sz w:val="22"/>
          <w:szCs w:val="22"/>
        </w:rPr>
        <w:t xml:space="preserve"> an application to the Attorney</w:t>
      </w:r>
      <w:r w:rsidRPr="008A1CD5">
        <w:rPr>
          <w:sz w:val="22"/>
          <w:szCs w:val="22"/>
        </w:rPr>
        <w:noBreakHyphen/>
        <w:t>General seeking an alignment of the relevant sunsetting days</w:t>
      </w:r>
      <w:r>
        <w:rPr>
          <w:sz w:val="22"/>
          <w:szCs w:val="22"/>
        </w:rPr>
        <w:t xml:space="preserve"> for both Lightstation Heritage Management Instruments, as one of the relevant </w:t>
      </w:r>
      <w:proofErr w:type="gramStart"/>
      <w:r>
        <w:rPr>
          <w:sz w:val="22"/>
          <w:szCs w:val="22"/>
        </w:rPr>
        <w:t>rule</w:t>
      </w:r>
      <w:proofErr w:type="gramEnd"/>
      <w:r>
        <w:rPr>
          <w:sz w:val="22"/>
          <w:szCs w:val="22"/>
        </w:rPr>
        <w:noBreakHyphen/>
        <w:t>makers for those instruments for the purposes of section 6 of the Legislation Act</w:t>
      </w:r>
      <w:r w:rsidRPr="008A1CD5">
        <w:rPr>
          <w:sz w:val="22"/>
          <w:szCs w:val="22"/>
        </w:rPr>
        <w:t>.</w:t>
      </w:r>
      <w:r>
        <w:rPr>
          <w:sz w:val="22"/>
          <w:szCs w:val="22"/>
        </w:rPr>
        <w:t xml:space="preserve"> Mr Kinley provided a letter in support of Mr Thomas’s application in relation to the </w:t>
      </w:r>
      <w:r w:rsidRPr="002B19FB">
        <w:rPr>
          <w:i/>
          <w:color w:val="000000"/>
          <w:sz w:val="22"/>
        </w:rPr>
        <w:t xml:space="preserve">Dent Island Lightstation Heritage Management Plan </w:t>
      </w:r>
      <w:r>
        <w:rPr>
          <w:sz w:val="22"/>
          <w:szCs w:val="22"/>
        </w:rPr>
        <w:t>as the other rule-maker for that instrument for the purposes of section 6 of the Legislation Act.</w:t>
      </w:r>
      <w:r w:rsidRPr="008A1CD5">
        <w:rPr>
          <w:sz w:val="22"/>
          <w:szCs w:val="22"/>
        </w:rPr>
        <w:t xml:space="preserve"> On consideration of th</w:t>
      </w:r>
      <w:r>
        <w:rPr>
          <w:sz w:val="22"/>
          <w:szCs w:val="22"/>
        </w:rPr>
        <w:t>ese</w:t>
      </w:r>
      <w:r w:rsidRPr="008A1CD5">
        <w:rPr>
          <w:sz w:val="22"/>
          <w:szCs w:val="22"/>
        </w:rPr>
        <w:t xml:space="preserve"> application</w:t>
      </w:r>
      <w:r>
        <w:rPr>
          <w:sz w:val="22"/>
          <w:szCs w:val="22"/>
        </w:rPr>
        <w:t>s</w:t>
      </w:r>
      <w:r w:rsidRPr="008A1CD5">
        <w:rPr>
          <w:sz w:val="22"/>
          <w:szCs w:val="22"/>
        </w:rPr>
        <w:t>, the Attorney</w:t>
      </w:r>
      <w:r w:rsidRPr="008A1CD5">
        <w:rPr>
          <w:sz w:val="22"/>
          <w:szCs w:val="22"/>
        </w:rPr>
        <w:noBreakHyphen/>
        <w:t>General was satisfied that the criteria in paragraphs 51A(1)(a) and (b) of the Legislation Act were met.</w:t>
      </w:r>
    </w:p>
    <w:p w14:paraId="1651B0B7" w14:textId="77777777" w:rsidR="003141CF" w:rsidRDefault="003141CF" w:rsidP="003141CF">
      <w:pPr>
        <w:contextualSpacing/>
        <w:jc w:val="both"/>
        <w:rPr>
          <w:sz w:val="22"/>
          <w:szCs w:val="22"/>
        </w:rPr>
      </w:pPr>
    </w:p>
    <w:p w14:paraId="56F51CEB" w14:textId="33D77AE6" w:rsidR="003141CF" w:rsidRPr="00410B2C" w:rsidRDefault="003141CF" w:rsidP="003141CF">
      <w:pPr>
        <w:pStyle w:val="Heading3"/>
        <w:tabs>
          <w:tab w:val="left" w:pos="7335"/>
        </w:tabs>
        <w:spacing w:before="0" w:line="276" w:lineRule="auto"/>
        <w:contextualSpacing/>
        <w:jc w:val="both"/>
        <w:rPr>
          <w:rFonts w:ascii="Times New Roman" w:hAnsi="Times New Roman" w:cs="Times New Roman"/>
          <w:b/>
          <w:color w:val="auto"/>
          <w:sz w:val="22"/>
          <w:szCs w:val="22"/>
        </w:rPr>
      </w:pPr>
      <w:r w:rsidRPr="00410B2C">
        <w:rPr>
          <w:rFonts w:ascii="Times New Roman" w:hAnsi="Times New Roman" w:cs="Times New Roman"/>
          <w:b/>
          <w:color w:val="auto"/>
          <w:sz w:val="22"/>
          <w:szCs w:val="22"/>
        </w:rPr>
        <w:t xml:space="preserve">Statement of Reasons for issuing of the </w:t>
      </w:r>
      <w:r w:rsidR="009F11D6">
        <w:rPr>
          <w:rFonts w:ascii="Times New Roman" w:hAnsi="Times New Roman" w:cs="Times New Roman"/>
          <w:b/>
          <w:color w:val="auto"/>
          <w:sz w:val="22"/>
          <w:szCs w:val="22"/>
        </w:rPr>
        <w:t>Declaration</w:t>
      </w:r>
    </w:p>
    <w:p w14:paraId="1463454E" w14:textId="77777777" w:rsidR="003141CF" w:rsidRPr="00410B2C" w:rsidRDefault="003141CF" w:rsidP="003141CF">
      <w:pPr>
        <w:rPr>
          <w:sz w:val="22"/>
          <w:szCs w:val="22"/>
          <w:lang w:val="en-AU"/>
        </w:rPr>
      </w:pPr>
    </w:p>
    <w:p w14:paraId="3F668452" w14:textId="6C92A809" w:rsidR="003141CF" w:rsidRPr="00410B2C" w:rsidRDefault="003141CF" w:rsidP="003141CF">
      <w:pPr>
        <w:spacing w:after="200" w:line="276" w:lineRule="auto"/>
        <w:contextualSpacing/>
        <w:jc w:val="both"/>
        <w:rPr>
          <w:color w:val="000000"/>
          <w:sz w:val="22"/>
          <w:szCs w:val="22"/>
        </w:rPr>
      </w:pPr>
      <w:r w:rsidRPr="00410B2C">
        <w:rPr>
          <w:color w:val="000000"/>
          <w:sz w:val="22"/>
          <w:szCs w:val="22"/>
        </w:rPr>
        <w:t>For the purposes of subsection 51</w:t>
      </w:r>
      <w:proofErr w:type="gramStart"/>
      <w:r w:rsidRPr="00410B2C">
        <w:rPr>
          <w:color w:val="000000"/>
          <w:sz w:val="22"/>
          <w:szCs w:val="22"/>
        </w:rPr>
        <w:t>A(</w:t>
      </w:r>
      <w:proofErr w:type="gramEnd"/>
      <w:r w:rsidRPr="00410B2C">
        <w:rPr>
          <w:color w:val="000000"/>
          <w:sz w:val="22"/>
          <w:szCs w:val="22"/>
        </w:rPr>
        <w:t xml:space="preserve">4) of the Legislation Act, this section sets out the statement of reasons for the issue of the </w:t>
      </w:r>
      <w:r w:rsidR="009F11D6">
        <w:rPr>
          <w:color w:val="000000"/>
          <w:sz w:val="22"/>
          <w:szCs w:val="22"/>
        </w:rPr>
        <w:t>declaration</w:t>
      </w:r>
      <w:r w:rsidRPr="00410B2C">
        <w:rPr>
          <w:color w:val="000000"/>
          <w:sz w:val="22"/>
          <w:szCs w:val="22"/>
        </w:rPr>
        <w:t xml:space="preserve">. </w:t>
      </w:r>
    </w:p>
    <w:p w14:paraId="5AEF2676" w14:textId="77777777" w:rsidR="003141CF" w:rsidRPr="00410B2C" w:rsidRDefault="003141CF" w:rsidP="003141CF">
      <w:pPr>
        <w:spacing w:after="200" w:line="276" w:lineRule="auto"/>
        <w:contextualSpacing/>
        <w:jc w:val="both"/>
        <w:rPr>
          <w:color w:val="000000"/>
          <w:sz w:val="22"/>
          <w:szCs w:val="22"/>
        </w:rPr>
      </w:pPr>
    </w:p>
    <w:p w14:paraId="23A3738E" w14:textId="630F095A" w:rsidR="003141CF" w:rsidRPr="00410B2C" w:rsidRDefault="0079307D" w:rsidP="003141CF">
      <w:pPr>
        <w:spacing w:after="200" w:line="276" w:lineRule="auto"/>
        <w:contextualSpacing/>
        <w:jc w:val="both"/>
        <w:rPr>
          <w:color w:val="000000"/>
          <w:sz w:val="22"/>
          <w:szCs w:val="22"/>
        </w:rPr>
      </w:pPr>
      <w:r>
        <w:rPr>
          <w:sz w:val="22"/>
          <w:szCs w:val="22"/>
        </w:rPr>
        <w:t>T</w:t>
      </w:r>
      <w:r w:rsidR="003141CF" w:rsidRPr="004F69E1">
        <w:rPr>
          <w:sz w:val="22"/>
          <w:szCs w:val="22"/>
        </w:rPr>
        <w:t xml:space="preserve">he Declaration aligns the sunsetting dates for the </w:t>
      </w:r>
      <w:r w:rsidR="007B2380" w:rsidRPr="004F69E1">
        <w:rPr>
          <w:sz w:val="22"/>
          <w:szCs w:val="22"/>
        </w:rPr>
        <w:t xml:space="preserve">Lightstation Heritage Management </w:t>
      </w:r>
      <w:r w:rsidR="004F69E1">
        <w:rPr>
          <w:sz w:val="22"/>
          <w:szCs w:val="22"/>
        </w:rPr>
        <w:t>I</w:t>
      </w:r>
      <w:r w:rsidR="004F69E1" w:rsidRPr="004F69E1">
        <w:rPr>
          <w:sz w:val="22"/>
          <w:szCs w:val="22"/>
        </w:rPr>
        <w:t xml:space="preserve">nstruments </w:t>
      </w:r>
      <w:r w:rsidR="003141CF" w:rsidRPr="004F69E1">
        <w:rPr>
          <w:sz w:val="22"/>
          <w:szCs w:val="22"/>
        </w:rPr>
        <w:t xml:space="preserve">to enable the </w:t>
      </w:r>
      <w:r w:rsidR="007B2380" w:rsidRPr="004F69E1">
        <w:rPr>
          <w:sz w:val="22"/>
          <w:szCs w:val="22"/>
        </w:rPr>
        <w:t xml:space="preserve">Reef Authority </w:t>
      </w:r>
      <w:r w:rsidR="003141CF" w:rsidRPr="004F69E1">
        <w:rPr>
          <w:sz w:val="22"/>
          <w:szCs w:val="22"/>
        </w:rPr>
        <w:t xml:space="preserve">to conduct a thematic review of the instruments. The </w:t>
      </w:r>
      <w:r w:rsidR="007B2380" w:rsidRPr="004F69E1">
        <w:rPr>
          <w:sz w:val="22"/>
          <w:szCs w:val="22"/>
        </w:rPr>
        <w:t>Lightstation Heritage Management</w:t>
      </w:r>
      <w:r w:rsidR="004F69E1" w:rsidRPr="004F69E1">
        <w:rPr>
          <w:sz w:val="22"/>
          <w:szCs w:val="22"/>
        </w:rPr>
        <w:t xml:space="preserve"> Instruments</w:t>
      </w:r>
      <w:r w:rsidR="007B2380" w:rsidRPr="004F69E1">
        <w:rPr>
          <w:sz w:val="22"/>
          <w:szCs w:val="22"/>
        </w:rPr>
        <w:t xml:space="preserve"> </w:t>
      </w:r>
      <w:r w:rsidR="003141CF" w:rsidRPr="004F69E1">
        <w:rPr>
          <w:sz w:val="22"/>
          <w:szCs w:val="22"/>
        </w:rPr>
        <w:t>are made under the</w:t>
      </w:r>
      <w:r w:rsidR="007B2380" w:rsidRPr="004F69E1">
        <w:rPr>
          <w:sz w:val="22"/>
          <w:szCs w:val="22"/>
        </w:rPr>
        <w:t xml:space="preserve"> EPBC Act.</w:t>
      </w:r>
      <w:r w:rsidR="003141CF" w:rsidRPr="004F69E1">
        <w:rPr>
          <w:sz w:val="22"/>
          <w:szCs w:val="22"/>
        </w:rPr>
        <w:t xml:space="preserve"> </w:t>
      </w:r>
      <w:r w:rsidR="004F69E1" w:rsidRPr="004F69E1">
        <w:rPr>
          <w:sz w:val="22"/>
          <w:szCs w:val="22"/>
        </w:rPr>
        <w:t>Subsection 341</w:t>
      </w:r>
      <w:proofErr w:type="gramStart"/>
      <w:r w:rsidR="004F69E1" w:rsidRPr="004F69E1">
        <w:rPr>
          <w:sz w:val="22"/>
          <w:szCs w:val="22"/>
        </w:rPr>
        <w:t>S(</w:t>
      </w:r>
      <w:proofErr w:type="gramEnd"/>
      <w:r w:rsidR="004F69E1" w:rsidRPr="004F69E1">
        <w:rPr>
          <w:sz w:val="22"/>
          <w:szCs w:val="22"/>
        </w:rPr>
        <w:t xml:space="preserve">1) of the EPBC Act requires a Commonwealth </w:t>
      </w:r>
      <w:r w:rsidR="009035ED">
        <w:rPr>
          <w:sz w:val="22"/>
          <w:szCs w:val="22"/>
        </w:rPr>
        <w:t>a</w:t>
      </w:r>
      <w:r w:rsidR="004F69E1" w:rsidRPr="004F69E1">
        <w:rPr>
          <w:sz w:val="22"/>
          <w:szCs w:val="22"/>
        </w:rPr>
        <w:t>gency to make a written plan (a heritage management plan) to protect and manage the Commonwealth Heritage values of a Commonwealth Heritage place it owns or controls. The heritage management plans that the Reef Authority</w:t>
      </w:r>
      <w:r w:rsidR="00BC2047">
        <w:rPr>
          <w:sz w:val="22"/>
          <w:szCs w:val="22"/>
        </w:rPr>
        <w:t>, and AMSA,</w:t>
      </w:r>
      <w:r w:rsidR="004F69E1" w:rsidRPr="004F69E1">
        <w:rPr>
          <w:sz w:val="22"/>
          <w:szCs w:val="22"/>
        </w:rPr>
        <w:t xml:space="preserve"> ha</w:t>
      </w:r>
      <w:r w:rsidR="00BC2047">
        <w:rPr>
          <w:sz w:val="22"/>
          <w:szCs w:val="22"/>
        </w:rPr>
        <w:t>ve</w:t>
      </w:r>
      <w:r w:rsidR="004F69E1" w:rsidRPr="004F69E1">
        <w:rPr>
          <w:sz w:val="22"/>
          <w:szCs w:val="22"/>
        </w:rPr>
        <w:t xml:space="preserve"> responsibility for relate to lightstations on Commonwealth</w:t>
      </w:r>
      <w:r w:rsidR="009035ED">
        <w:rPr>
          <w:sz w:val="22"/>
          <w:szCs w:val="22"/>
        </w:rPr>
        <w:t>–</w:t>
      </w:r>
      <w:r w:rsidR="004F69E1" w:rsidRPr="004F69E1">
        <w:rPr>
          <w:sz w:val="22"/>
          <w:szCs w:val="22"/>
        </w:rPr>
        <w:t xml:space="preserve">owned islands within the Great Barrier Reef Marine Park. </w:t>
      </w:r>
      <w:r w:rsidR="00410B2C" w:rsidRPr="004F69E1">
        <w:rPr>
          <w:sz w:val="22"/>
          <w:szCs w:val="22"/>
        </w:rPr>
        <w:t>The Lightstation Heritage Management</w:t>
      </w:r>
      <w:r w:rsidR="004F69E1" w:rsidRPr="004F69E1">
        <w:rPr>
          <w:sz w:val="22"/>
          <w:szCs w:val="22"/>
        </w:rPr>
        <w:t xml:space="preserve"> Instruments</w:t>
      </w:r>
      <w:r w:rsidR="00410B2C" w:rsidRPr="004F69E1">
        <w:rPr>
          <w:sz w:val="22"/>
          <w:szCs w:val="22"/>
        </w:rPr>
        <w:t xml:space="preserve"> define the designated authorities and plans for the management of Lady Elliot Island Lightstation</w:t>
      </w:r>
      <w:r w:rsidR="00410B2C" w:rsidRPr="004F69E1">
        <w:rPr>
          <w:color w:val="000000"/>
          <w:sz w:val="22"/>
          <w:szCs w:val="22"/>
        </w:rPr>
        <w:t xml:space="preserve"> and Dent Island Lightstation, respectively.</w:t>
      </w:r>
    </w:p>
    <w:p w14:paraId="5094DDA2" w14:textId="77777777" w:rsidR="003141CF" w:rsidRPr="00410B2C" w:rsidRDefault="003141CF" w:rsidP="003141CF">
      <w:pPr>
        <w:spacing w:after="200" w:line="276" w:lineRule="auto"/>
        <w:contextualSpacing/>
        <w:jc w:val="both"/>
        <w:rPr>
          <w:color w:val="000000"/>
          <w:sz w:val="22"/>
          <w:szCs w:val="22"/>
        </w:rPr>
      </w:pPr>
    </w:p>
    <w:p w14:paraId="7A0781E4" w14:textId="608305E4" w:rsidR="003141CF" w:rsidRDefault="003141CF" w:rsidP="003141CF">
      <w:pPr>
        <w:spacing w:after="200" w:line="276" w:lineRule="auto"/>
        <w:contextualSpacing/>
        <w:jc w:val="both"/>
        <w:rPr>
          <w:color w:val="000000"/>
          <w:sz w:val="22"/>
          <w:szCs w:val="22"/>
        </w:rPr>
      </w:pPr>
      <w:r w:rsidRPr="00410B2C">
        <w:rPr>
          <w:color w:val="000000"/>
          <w:sz w:val="22"/>
          <w:szCs w:val="22"/>
        </w:rPr>
        <w:t xml:space="preserve">As the </w:t>
      </w:r>
      <w:r w:rsidR="00410B2C" w:rsidRPr="00410B2C">
        <w:rPr>
          <w:sz w:val="22"/>
          <w:szCs w:val="22"/>
        </w:rPr>
        <w:t xml:space="preserve">Lightstation Heritage Management </w:t>
      </w:r>
      <w:r w:rsidR="004F69E1">
        <w:rPr>
          <w:sz w:val="22"/>
          <w:szCs w:val="22"/>
        </w:rPr>
        <w:t>I</w:t>
      </w:r>
      <w:r w:rsidR="004F69E1" w:rsidRPr="004F69E1">
        <w:rPr>
          <w:sz w:val="22"/>
          <w:szCs w:val="22"/>
        </w:rPr>
        <w:t>nstruments</w:t>
      </w:r>
      <w:r w:rsidR="00410B2C" w:rsidRPr="00410B2C">
        <w:rPr>
          <w:color w:val="000000"/>
          <w:sz w:val="22"/>
          <w:szCs w:val="22"/>
        </w:rPr>
        <w:t xml:space="preserve"> </w:t>
      </w:r>
      <w:r w:rsidRPr="00410B2C">
        <w:rPr>
          <w:color w:val="000000"/>
          <w:sz w:val="22"/>
          <w:szCs w:val="22"/>
        </w:rPr>
        <w:t>are interrelated and share a common theme, subjecting them to a single review will allow the rule-maker</w:t>
      </w:r>
      <w:r w:rsidR="002F3BD0">
        <w:rPr>
          <w:color w:val="000000"/>
          <w:sz w:val="22"/>
          <w:szCs w:val="22"/>
        </w:rPr>
        <w:t>/s</w:t>
      </w:r>
      <w:r w:rsidRPr="00410B2C">
        <w:rPr>
          <w:color w:val="000000"/>
          <w:sz w:val="22"/>
          <w:szCs w:val="22"/>
        </w:rPr>
        <w:t xml:space="preserve"> to consider aligning language, drafting and policy changes consistently. Their review will be similar in scope and stakeholders will only need to be consulted once, thus reducing the burden on their time. Administratively it would be more efficient and effective to review the two instruments at the same time. </w:t>
      </w:r>
    </w:p>
    <w:p w14:paraId="0D0EF334" w14:textId="77777777" w:rsidR="00410B2C" w:rsidRDefault="00410B2C" w:rsidP="003141CF">
      <w:pPr>
        <w:spacing w:after="200" w:line="276" w:lineRule="auto"/>
        <w:contextualSpacing/>
        <w:jc w:val="both"/>
        <w:rPr>
          <w:color w:val="000000"/>
          <w:sz w:val="22"/>
          <w:szCs w:val="22"/>
        </w:rPr>
      </w:pPr>
    </w:p>
    <w:p w14:paraId="1194D09C" w14:textId="62DC9852" w:rsidR="00410B2C" w:rsidRPr="00410B2C" w:rsidRDefault="00410B2C" w:rsidP="004F69E1">
      <w:pPr>
        <w:spacing w:after="200" w:line="276" w:lineRule="auto"/>
        <w:contextualSpacing/>
        <w:jc w:val="both"/>
        <w:rPr>
          <w:color w:val="000000"/>
          <w:sz w:val="22"/>
          <w:szCs w:val="22"/>
        </w:rPr>
      </w:pPr>
      <w:r w:rsidRPr="00410B2C">
        <w:rPr>
          <w:sz w:val="22"/>
          <w:szCs w:val="22"/>
        </w:rPr>
        <w:t xml:space="preserve">It is further intended that the Low Isles Lightstation Heritage Management Plan, which is being developed by the Reef Authority, would be considered in tandem with the thematic review and drafted to commence on 1 April 2024 (or in the preceding six months). This would </w:t>
      </w:r>
      <w:r>
        <w:rPr>
          <w:sz w:val="22"/>
          <w:szCs w:val="22"/>
        </w:rPr>
        <w:t>align</w:t>
      </w:r>
      <w:r w:rsidR="004F69E1">
        <w:rPr>
          <w:sz w:val="22"/>
          <w:szCs w:val="22"/>
        </w:rPr>
        <w:t xml:space="preserve"> the sunsetting dates of</w:t>
      </w:r>
      <w:r w:rsidRPr="00410B2C">
        <w:rPr>
          <w:sz w:val="22"/>
          <w:szCs w:val="22"/>
        </w:rPr>
        <w:t xml:space="preserve"> </w:t>
      </w:r>
      <w:r w:rsidR="00013270">
        <w:rPr>
          <w:sz w:val="22"/>
          <w:szCs w:val="22"/>
        </w:rPr>
        <w:t xml:space="preserve">this instrument and </w:t>
      </w:r>
      <w:r w:rsidR="00013270" w:rsidRPr="00013270">
        <w:rPr>
          <w:sz w:val="22"/>
          <w:szCs w:val="22"/>
        </w:rPr>
        <w:t>any replacement Lightstation Heritage Management Instruments</w:t>
      </w:r>
      <w:r w:rsidR="004F69E1" w:rsidRPr="00013270">
        <w:rPr>
          <w:sz w:val="22"/>
          <w:szCs w:val="22"/>
        </w:rPr>
        <w:t xml:space="preserve"> to 1 </w:t>
      </w:r>
      <w:r w:rsidRPr="00013270">
        <w:rPr>
          <w:sz w:val="22"/>
          <w:szCs w:val="22"/>
        </w:rPr>
        <w:t>April</w:t>
      </w:r>
      <w:r w:rsidRPr="00410B2C">
        <w:rPr>
          <w:sz w:val="22"/>
          <w:szCs w:val="22"/>
        </w:rPr>
        <w:t xml:space="preserve"> 2034.</w:t>
      </w:r>
    </w:p>
    <w:p w14:paraId="1513A56D" w14:textId="77777777" w:rsidR="003141CF" w:rsidRPr="00410B2C" w:rsidRDefault="003141CF" w:rsidP="003141CF">
      <w:pPr>
        <w:spacing w:after="200" w:line="276" w:lineRule="auto"/>
        <w:contextualSpacing/>
        <w:jc w:val="both"/>
        <w:rPr>
          <w:color w:val="000000"/>
          <w:sz w:val="22"/>
          <w:szCs w:val="22"/>
        </w:rPr>
      </w:pPr>
    </w:p>
    <w:p w14:paraId="7A7A4ADA" w14:textId="1E02F7A2" w:rsidR="00E95472" w:rsidRDefault="00410B2C" w:rsidP="003141CF">
      <w:pPr>
        <w:spacing w:after="200" w:line="276" w:lineRule="auto"/>
        <w:contextualSpacing/>
        <w:jc w:val="both"/>
        <w:rPr>
          <w:color w:val="000000"/>
          <w:sz w:val="22"/>
          <w:szCs w:val="22"/>
        </w:rPr>
      </w:pPr>
      <w:r>
        <w:rPr>
          <w:color w:val="000000"/>
          <w:sz w:val="22"/>
          <w:szCs w:val="22"/>
        </w:rPr>
        <w:t>T</w:t>
      </w:r>
      <w:r w:rsidR="003141CF" w:rsidRPr="00410B2C">
        <w:rPr>
          <w:color w:val="000000"/>
          <w:sz w:val="22"/>
          <w:szCs w:val="22"/>
        </w:rPr>
        <w:t xml:space="preserve">his will be the first review </w:t>
      </w:r>
      <w:r w:rsidR="004F69E1">
        <w:rPr>
          <w:color w:val="000000"/>
          <w:sz w:val="22"/>
          <w:szCs w:val="22"/>
        </w:rPr>
        <w:t xml:space="preserve">of the </w:t>
      </w:r>
      <w:r w:rsidR="00630686">
        <w:rPr>
          <w:color w:val="000000"/>
          <w:sz w:val="22"/>
          <w:szCs w:val="22"/>
        </w:rPr>
        <w:t>Lightstation Heritage Management Instruments</w:t>
      </w:r>
      <w:r w:rsidR="00630686" w:rsidRPr="00410B2C">
        <w:rPr>
          <w:sz w:val="22"/>
          <w:szCs w:val="22"/>
        </w:rPr>
        <w:t xml:space="preserve"> </w:t>
      </w:r>
      <w:r w:rsidR="00630686" w:rsidRPr="00410B2C">
        <w:rPr>
          <w:color w:val="000000"/>
          <w:sz w:val="22"/>
          <w:szCs w:val="22"/>
        </w:rPr>
        <w:t xml:space="preserve">under the </w:t>
      </w:r>
      <w:r w:rsidR="00630686">
        <w:rPr>
          <w:color w:val="000000"/>
          <w:sz w:val="22"/>
          <w:szCs w:val="22"/>
        </w:rPr>
        <w:t xml:space="preserve">Legislation </w:t>
      </w:r>
      <w:r w:rsidR="00630686" w:rsidRPr="00410B2C">
        <w:rPr>
          <w:color w:val="000000"/>
          <w:sz w:val="22"/>
          <w:szCs w:val="22"/>
        </w:rPr>
        <w:t xml:space="preserve">Act. A thematic review will broaden the scope of the review as it allows for stakeholders to be consulted on more than one legislative instrument under the </w:t>
      </w:r>
      <w:r w:rsidR="00630686">
        <w:rPr>
          <w:color w:val="000000"/>
          <w:sz w:val="22"/>
          <w:szCs w:val="22"/>
        </w:rPr>
        <w:t xml:space="preserve">Legislation </w:t>
      </w:r>
      <w:r w:rsidR="00630686" w:rsidRPr="00410B2C">
        <w:rPr>
          <w:color w:val="000000"/>
          <w:sz w:val="22"/>
          <w:szCs w:val="22"/>
        </w:rPr>
        <w:t xml:space="preserve">Act at the same time. The review will </w:t>
      </w:r>
      <w:r w:rsidR="00630686" w:rsidRPr="00410B2C">
        <w:rPr>
          <w:color w:val="000000"/>
          <w:sz w:val="22"/>
          <w:szCs w:val="22"/>
        </w:rPr>
        <w:lastRenderedPageBreak/>
        <w:t xml:space="preserve">consider if the </w:t>
      </w:r>
      <w:r w:rsidR="00630686" w:rsidRPr="00410B2C">
        <w:rPr>
          <w:sz w:val="22"/>
          <w:szCs w:val="22"/>
        </w:rPr>
        <w:t>Lightstation Heritage Management</w:t>
      </w:r>
      <w:r w:rsidR="00630686">
        <w:rPr>
          <w:sz w:val="22"/>
          <w:szCs w:val="22"/>
        </w:rPr>
        <w:t xml:space="preserve"> I</w:t>
      </w:r>
      <w:r w:rsidR="00630686" w:rsidRPr="004F69E1">
        <w:rPr>
          <w:sz w:val="22"/>
          <w:szCs w:val="22"/>
        </w:rPr>
        <w:t>nstruments</w:t>
      </w:r>
      <w:r w:rsidR="00630686" w:rsidRPr="00410B2C">
        <w:rPr>
          <w:color w:val="000000"/>
          <w:sz w:val="22"/>
          <w:szCs w:val="22"/>
        </w:rPr>
        <w:t xml:space="preserve"> are to be repealed, allowed to sunset or replaced (with or without changes).</w:t>
      </w:r>
    </w:p>
    <w:p w14:paraId="6B7784D9" w14:textId="7760E474" w:rsidR="003141CF" w:rsidRPr="00E95472" w:rsidRDefault="00E95472" w:rsidP="00E95472">
      <w:pPr>
        <w:pStyle w:val="Basetext"/>
        <w:spacing w:before="0" w:after="200"/>
        <w:contextualSpacing/>
        <w:jc w:val="both"/>
        <w:rPr>
          <w:bCs/>
        </w:rPr>
      </w:pPr>
      <w:r w:rsidRPr="00410B2C">
        <w:t xml:space="preserve">The Reef Authority </w:t>
      </w:r>
      <w:r w:rsidR="005739B3">
        <w:t>has notified</w:t>
      </w:r>
      <w:r w:rsidRPr="00410B2C">
        <w:t xml:space="preserve"> the leaseholders of the islands about the review and that approval is being sought for it to be a thematic review.</w:t>
      </w:r>
    </w:p>
    <w:p w14:paraId="633073CA" w14:textId="45DCDEF3" w:rsidR="009F506F" w:rsidRDefault="003141CF" w:rsidP="003141CF">
      <w:pPr>
        <w:spacing w:line="276" w:lineRule="auto"/>
        <w:contextualSpacing/>
        <w:jc w:val="both"/>
        <w:rPr>
          <w:color w:val="000000"/>
          <w:sz w:val="22"/>
          <w:szCs w:val="22"/>
        </w:rPr>
      </w:pPr>
      <w:r w:rsidRPr="00410B2C">
        <w:rPr>
          <w:color w:val="000000"/>
          <w:sz w:val="22"/>
          <w:szCs w:val="22"/>
        </w:rPr>
        <w:t>The objective of the review is to undertake a single examination of two interrelated instruments to identify potential efficiencies and ensure a consistent approach. A thematic review will facilitate an efficient and effective review process and enable consistent implementation of review findings. As such, the Declaration is consistent with the policy intent of the sunsetting regime that legislative instruments should be kept up to date and only remain in force so long as they are needed.</w:t>
      </w:r>
    </w:p>
    <w:p w14:paraId="4561ECBD" w14:textId="6A8F81F7" w:rsidR="009F506F" w:rsidRDefault="009F506F" w:rsidP="00411456">
      <w:pPr>
        <w:contextualSpacing/>
        <w:jc w:val="both"/>
        <w:rPr>
          <w:color w:val="000000"/>
          <w:sz w:val="22"/>
          <w:szCs w:val="22"/>
        </w:rPr>
      </w:pPr>
    </w:p>
    <w:p w14:paraId="53B82577" w14:textId="77777777" w:rsidR="004B7090" w:rsidRPr="004B7090" w:rsidRDefault="004B7090" w:rsidP="004B7090">
      <w:pPr>
        <w:pStyle w:val="Heading3"/>
        <w:spacing w:before="0" w:line="276" w:lineRule="auto"/>
        <w:contextualSpacing/>
        <w:jc w:val="both"/>
        <w:rPr>
          <w:rFonts w:ascii="Times New Roman" w:hAnsi="Times New Roman" w:cs="Times New Roman"/>
          <w:b/>
          <w:color w:val="auto"/>
          <w:sz w:val="22"/>
        </w:rPr>
      </w:pPr>
      <w:r w:rsidRPr="004B7090">
        <w:rPr>
          <w:rFonts w:ascii="Times New Roman" w:hAnsi="Times New Roman" w:cs="Times New Roman"/>
          <w:b/>
          <w:color w:val="auto"/>
          <w:sz w:val="22"/>
        </w:rPr>
        <w:t xml:space="preserve">More information </w:t>
      </w:r>
    </w:p>
    <w:p w14:paraId="5A821C79" w14:textId="77777777" w:rsidR="004B7090" w:rsidRPr="00560359" w:rsidRDefault="004B7090" w:rsidP="004B7090">
      <w:pPr>
        <w:rPr>
          <w:lang w:val="en-AU"/>
        </w:rPr>
      </w:pPr>
    </w:p>
    <w:p w14:paraId="4C8B2A6B" w14:textId="77777777" w:rsidR="004B7090" w:rsidRPr="004B7090" w:rsidRDefault="004B7090" w:rsidP="004B7090">
      <w:pPr>
        <w:spacing w:after="200" w:line="276" w:lineRule="auto"/>
        <w:contextualSpacing/>
        <w:jc w:val="both"/>
        <w:rPr>
          <w:color w:val="000000"/>
          <w:sz w:val="22"/>
          <w:szCs w:val="22"/>
          <w:u w:val="single"/>
        </w:rPr>
      </w:pPr>
      <w:r w:rsidRPr="004B7090">
        <w:rPr>
          <w:color w:val="000000"/>
          <w:sz w:val="22"/>
          <w:szCs w:val="22"/>
        </w:rPr>
        <w:t xml:space="preserve">Further details on the provisions of the Declaration are provided in </w:t>
      </w:r>
      <w:r w:rsidRPr="004B7090">
        <w:rPr>
          <w:color w:val="000000"/>
          <w:sz w:val="22"/>
          <w:szCs w:val="22"/>
          <w:u w:val="single"/>
        </w:rPr>
        <w:t>Attachment A.</w:t>
      </w:r>
    </w:p>
    <w:p w14:paraId="11E72A42" w14:textId="77777777" w:rsidR="004B7090" w:rsidRPr="004B7090" w:rsidRDefault="004B7090" w:rsidP="004B7090">
      <w:pPr>
        <w:spacing w:after="200" w:line="276" w:lineRule="auto"/>
        <w:contextualSpacing/>
        <w:jc w:val="both"/>
        <w:rPr>
          <w:color w:val="000000"/>
          <w:sz w:val="22"/>
          <w:szCs w:val="22"/>
        </w:rPr>
      </w:pPr>
    </w:p>
    <w:p w14:paraId="6C4CE237" w14:textId="1F8FED13" w:rsidR="004B7090" w:rsidRPr="004B7090" w:rsidRDefault="004B7090" w:rsidP="004B7090">
      <w:pPr>
        <w:spacing w:after="200" w:line="276" w:lineRule="auto"/>
        <w:contextualSpacing/>
        <w:jc w:val="both"/>
        <w:rPr>
          <w:color w:val="000000"/>
          <w:sz w:val="22"/>
          <w:szCs w:val="22"/>
        </w:rPr>
      </w:pPr>
      <w:r w:rsidRPr="004B7090">
        <w:rPr>
          <w:color w:val="000000"/>
          <w:sz w:val="22"/>
          <w:szCs w:val="22"/>
        </w:rPr>
        <w:t xml:space="preserve">The </w:t>
      </w:r>
      <w:r w:rsidR="00C37996" w:rsidRPr="00410B2C">
        <w:rPr>
          <w:sz w:val="22"/>
          <w:szCs w:val="22"/>
        </w:rPr>
        <w:t>Lightstation Heritage Management</w:t>
      </w:r>
      <w:r w:rsidR="00DA2632">
        <w:rPr>
          <w:sz w:val="22"/>
          <w:szCs w:val="22"/>
        </w:rPr>
        <w:t xml:space="preserve"> </w:t>
      </w:r>
      <w:r w:rsidR="00C37996">
        <w:rPr>
          <w:sz w:val="22"/>
          <w:szCs w:val="22"/>
        </w:rPr>
        <w:t>I</w:t>
      </w:r>
      <w:r w:rsidR="00C37996" w:rsidRPr="004F69E1">
        <w:rPr>
          <w:sz w:val="22"/>
          <w:szCs w:val="22"/>
        </w:rPr>
        <w:t>nstruments</w:t>
      </w:r>
      <w:r w:rsidR="007172CD">
        <w:rPr>
          <w:sz w:val="22"/>
          <w:szCs w:val="22"/>
        </w:rPr>
        <w:t>,</w:t>
      </w:r>
      <w:r w:rsidR="00C37996" w:rsidRPr="00410B2C">
        <w:rPr>
          <w:sz w:val="22"/>
          <w:szCs w:val="22"/>
        </w:rPr>
        <w:t xml:space="preserve"> </w:t>
      </w:r>
      <w:r w:rsidRPr="004B7090">
        <w:rPr>
          <w:color w:val="000000"/>
          <w:sz w:val="22"/>
          <w:szCs w:val="22"/>
        </w:rPr>
        <w:t>which will now sunset on 1 </w:t>
      </w:r>
      <w:r w:rsidR="00C37996">
        <w:rPr>
          <w:color w:val="000000"/>
          <w:sz w:val="22"/>
          <w:szCs w:val="22"/>
        </w:rPr>
        <w:t>April 2024</w:t>
      </w:r>
      <w:r w:rsidRPr="004B7090">
        <w:rPr>
          <w:color w:val="000000"/>
          <w:sz w:val="22"/>
          <w:szCs w:val="22"/>
        </w:rPr>
        <w:t xml:space="preserve"> as specified in the Declaration, are available on the Federal Register of Legislation</w:t>
      </w:r>
      <w:r w:rsidRPr="004B7090">
        <w:rPr>
          <w:color w:val="000000"/>
          <w:sz w:val="22"/>
          <w:szCs w:val="22"/>
        </w:rPr>
        <w:fldChar w:fldCharType="begin"/>
      </w:r>
      <w:r w:rsidRPr="004B7090">
        <w:rPr>
          <w:color w:val="000000"/>
          <w:sz w:val="22"/>
          <w:szCs w:val="22"/>
        </w:rPr>
        <w:instrText>http://www.comlaw.gov.au/</w:instrText>
      </w:r>
      <w:r w:rsidRPr="004B7090">
        <w:rPr>
          <w:color w:val="000000"/>
          <w:sz w:val="22"/>
          <w:szCs w:val="22"/>
        </w:rPr>
        <w:fldChar w:fldCharType="separate"/>
      </w:r>
      <w:r w:rsidRPr="004B7090">
        <w:rPr>
          <w:color w:val="000000"/>
          <w:sz w:val="22"/>
          <w:szCs w:val="22"/>
        </w:rPr>
        <w:t>http://www.comlaw.gov.au</w:t>
      </w:r>
      <w:r w:rsidRPr="004B7090">
        <w:rPr>
          <w:color w:val="000000"/>
          <w:sz w:val="22"/>
          <w:szCs w:val="22"/>
        </w:rPr>
        <w:fldChar w:fldCharType="end"/>
      </w:r>
      <w:r w:rsidRPr="004B7090">
        <w:rPr>
          <w:color w:val="000000"/>
          <w:sz w:val="22"/>
          <w:szCs w:val="22"/>
        </w:rPr>
        <w:t>.</w:t>
      </w:r>
    </w:p>
    <w:p w14:paraId="5C8F59AE" w14:textId="77777777" w:rsidR="004B7090" w:rsidRPr="004B7090" w:rsidRDefault="004B7090" w:rsidP="004B7090">
      <w:pPr>
        <w:spacing w:after="200" w:line="276" w:lineRule="auto"/>
        <w:contextualSpacing/>
        <w:jc w:val="both"/>
        <w:rPr>
          <w:color w:val="000000"/>
          <w:sz w:val="22"/>
          <w:szCs w:val="22"/>
        </w:rPr>
      </w:pPr>
    </w:p>
    <w:p w14:paraId="0270523D" w14:textId="60069CBB" w:rsidR="00ED6293" w:rsidRDefault="004B7090" w:rsidP="004B7090">
      <w:pPr>
        <w:spacing w:line="276" w:lineRule="auto"/>
        <w:contextualSpacing/>
        <w:jc w:val="both"/>
        <w:rPr>
          <w:color w:val="000000"/>
          <w:sz w:val="22"/>
          <w:szCs w:val="22"/>
        </w:rPr>
      </w:pPr>
      <w:r w:rsidRPr="004B7090">
        <w:rPr>
          <w:color w:val="000000"/>
          <w:sz w:val="22"/>
          <w:szCs w:val="22"/>
        </w:rPr>
        <w:t xml:space="preserve">Further information may be requested from the Attorney-General’s Department about the operation of the Declaration, and from the </w:t>
      </w:r>
      <w:r w:rsidR="00C37996">
        <w:rPr>
          <w:color w:val="000000"/>
          <w:sz w:val="22"/>
          <w:szCs w:val="22"/>
        </w:rPr>
        <w:t>Reef Authority</w:t>
      </w:r>
      <w:r w:rsidR="00BC2047">
        <w:rPr>
          <w:color w:val="000000"/>
          <w:sz w:val="22"/>
          <w:szCs w:val="22"/>
        </w:rPr>
        <w:t xml:space="preserve"> and AMSA</w:t>
      </w:r>
      <w:r w:rsidR="00C37996">
        <w:rPr>
          <w:color w:val="000000"/>
          <w:sz w:val="22"/>
          <w:szCs w:val="22"/>
        </w:rPr>
        <w:t xml:space="preserve"> </w:t>
      </w:r>
      <w:r w:rsidRPr="004B7090">
        <w:rPr>
          <w:color w:val="000000"/>
          <w:sz w:val="22"/>
          <w:szCs w:val="22"/>
        </w:rPr>
        <w:t xml:space="preserve">about the </w:t>
      </w:r>
      <w:r w:rsidR="00C37996" w:rsidRPr="00410B2C">
        <w:rPr>
          <w:sz w:val="22"/>
          <w:szCs w:val="22"/>
        </w:rPr>
        <w:t>Lightstation Heritage Management</w:t>
      </w:r>
      <w:r w:rsidR="00C37996">
        <w:rPr>
          <w:sz w:val="22"/>
          <w:szCs w:val="22"/>
        </w:rPr>
        <w:t xml:space="preserve"> I</w:t>
      </w:r>
      <w:r w:rsidR="00C37996" w:rsidRPr="004F69E1">
        <w:rPr>
          <w:sz w:val="22"/>
          <w:szCs w:val="22"/>
        </w:rPr>
        <w:t>nstruments</w:t>
      </w:r>
      <w:r w:rsidR="00C37996" w:rsidRPr="00410B2C">
        <w:rPr>
          <w:sz w:val="22"/>
          <w:szCs w:val="22"/>
        </w:rPr>
        <w:t xml:space="preserve"> </w:t>
      </w:r>
      <w:r w:rsidRPr="004B7090">
        <w:rPr>
          <w:color w:val="000000"/>
          <w:sz w:val="22"/>
          <w:szCs w:val="22"/>
        </w:rPr>
        <w:t>to which the Declaration applies.</w:t>
      </w:r>
    </w:p>
    <w:p w14:paraId="2A0FA276" w14:textId="77777777" w:rsidR="0028687E" w:rsidRPr="004B7090" w:rsidRDefault="0028687E" w:rsidP="00DA2632">
      <w:pPr>
        <w:contextualSpacing/>
        <w:jc w:val="both"/>
        <w:rPr>
          <w:sz w:val="22"/>
          <w:szCs w:val="22"/>
        </w:rPr>
      </w:pPr>
    </w:p>
    <w:p w14:paraId="34D85A78" w14:textId="77777777" w:rsidR="0028687E" w:rsidRPr="008A1CD5" w:rsidRDefault="0028687E" w:rsidP="0028687E">
      <w:pPr>
        <w:pStyle w:val="Basetext"/>
        <w:spacing w:before="0" w:after="200"/>
        <w:contextualSpacing/>
        <w:jc w:val="both"/>
        <w:rPr>
          <w:b/>
        </w:rPr>
      </w:pPr>
      <w:r w:rsidRPr="008A1CD5">
        <w:rPr>
          <w:b/>
        </w:rPr>
        <w:t>STATEMENT OF COMPATIBILITY WITH HUMAN RIGHTS</w:t>
      </w:r>
    </w:p>
    <w:p w14:paraId="6B1370A7" w14:textId="77777777" w:rsidR="0028687E" w:rsidRDefault="0028687E" w:rsidP="0028687E">
      <w:pPr>
        <w:spacing w:after="200" w:line="276" w:lineRule="auto"/>
        <w:contextualSpacing/>
        <w:jc w:val="both"/>
        <w:rPr>
          <w:sz w:val="22"/>
          <w:szCs w:val="22"/>
        </w:rPr>
      </w:pPr>
      <w:r w:rsidRPr="008A1CD5">
        <w:rPr>
          <w:sz w:val="22"/>
          <w:szCs w:val="22"/>
        </w:rPr>
        <w:t xml:space="preserve">The </w:t>
      </w:r>
      <w:r w:rsidR="00DA2632" w:rsidRPr="00410B2C">
        <w:rPr>
          <w:bCs/>
          <w:i/>
          <w:sz w:val="22"/>
          <w:szCs w:val="22"/>
        </w:rPr>
        <w:t xml:space="preserve">Legislation (Lightstation Heritage Management Instruments) Sunset-altering Declaration 2022 </w:t>
      </w:r>
      <w:r w:rsidRPr="008A1CD5">
        <w:rPr>
          <w:bCs/>
          <w:sz w:val="22"/>
          <w:szCs w:val="22"/>
        </w:rPr>
        <w:t>(the </w:t>
      </w:r>
      <w:r w:rsidRPr="008A1CD5">
        <w:rPr>
          <w:sz w:val="22"/>
          <w:szCs w:val="22"/>
        </w:rPr>
        <w:t xml:space="preserve">Declaration) is compatible with human rights and freedoms recognised or declared in the international instruments listed in section 3 of the </w:t>
      </w:r>
      <w:r w:rsidRPr="008A1CD5">
        <w:rPr>
          <w:i/>
          <w:sz w:val="22"/>
          <w:szCs w:val="22"/>
        </w:rPr>
        <w:t>Human Rights (Parliamentary Scrutiny) Act 2011</w:t>
      </w:r>
      <w:r w:rsidRPr="008A1CD5">
        <w:rPr>
          <w:sz w:val="22"/>
          <w:szCs w:val="22"/>
        </w:rPr>
        <w:t xml:space="preserve"> (the Human Rights Act).</w:t>
      </w:r>
    </w:p>
    <w:p w14:paraId="63D5A64F" w14:textId="77777777" w:rsidR="00DA2632" w:rsidRDefault="00DA2632" w:rsidP="00DA2632">
      <w:pPr>
        <w:spacing w:after="200"/>
        <w:contextualSpacing/>
        <w:jc w:val="both"/>
        <w:rPr>
          <w:sz w:val="22"/>
          <w:szCs w:val="22"/>
        </w:rPr>
      </w:pPr>
    </w:p>
    <w:p w14:paraId="165A176B" w14:textId="77777777" w:rsidR="00DA2632" w:rsidRPr="00DA2632" w:rsidRDefault="00DA2632" w:rsidP="00DA2632">
      <w:pPr>
        <w:spacing w:after="200" w:line="276" w:lineRule="auto"/>
        <w:contextualSpacing/>
        <w:jc w:val="both"/>
        <w:rPr>
          <w:b/>
          <w:sz w:val="22"/>
          <w:szCs w:val="22"/>
        </w:rPr>
      </w:pPr>
      <w:r w:rsidRPr="001426C1">
        <w:rPr>
          <w:b/>
          <w:sz w:val="22"/>
          <w:szCs w:val="22"/>
        </w:rPr>
        <w:t xml:space="preserve">Overview of the Declaration </w:t>
      </w:r>
    </w:p>
    <w:p w14:paraId="19411ADF" w14:textId="77777777" w:rsidR="00DA2632" w:rsidRPr="00410B2C" w:rsidRDefault="00DA2632" w:rsidP="00DA2632">
      <w:pPr>
        <w:pStyle w:val="Basetext"/>
        <w:spacing w:before="0"/>
        <w:contextualSpacing/>
        <w:jc w:val="both"/>
      </w:pPr>
      <w:r w:rsidRPr="008A1CD5">
        <w:t>The Declaration is made under subsection 51</w:t>
      </w:r>
      <w:proofErr w:type="gramStart"/>
      <w:r w:rsidRPr="008A1CD5">
        <w:t>A(</w:t>
      </w:r>
      <w:proofErr w:type="gramEnd"/>
      <w:r w:rsidRPr="008A1CD5">
        <w:t xml:space="preserve">1) of the </w:t>
      </w:r>
      <w:r w:rsidRPr="003E1F16">
        <w:rPr>
          <w:i/>
        </w:rPr>
        <w:t>Legislation Act 2003</w:t>
      </w:r>
      <w:r>
        <w:t xml:space="preserve"> (the Legislation Act)</w:t>
      </w:r>
      <w:r w:rsidRPr="008A1CD5">
        <w:t>. Under that subsection, the Attorney-General can align the sunsetting days of two or more legislative instruments to 1 April or 1 October of a year that is up to five years later than the earliest sunsetting day. The instruments specified in the declaration will then be repealed on the day specified in the declaration instead of the previously scheduled sunsetting day. The instruments specified in the Declaration are</w:t>
      </w:r>
      <w:r>
        <w:t xml:space="preserve"> </w:t>
      </w:r>
      <w:r w:rsidRPr="008A1CD5">
        <w:t>(</w:t>
      </w:r>
      <w:r w:rsidRPr="00410B2C">
        <w:t>together, the ‘Lightstation Heritage Management</w:t>
      </w:r>
      <w:r>
        <w:t xml:space="preserve"> I</w:t>
      </w:r>
      <w:r w:rsidRPr="004F69E1">
        <w:t>nstruments</w:t>
      </w:r>
      <w:r w:rsidRPr="00410B2C">
        <w:t xml:space="preserve">’): </w:t>
      </w:r>
    </w:p>
    <w:p w14:paraId="71B09CEC" w14:textId="5F0D18F0" w:rsidR="00DA2632" w:rsidRPr="00410B2C" w:rsidRDefault="00DA2632" w:rsidP="00DA2632">
      <w:pPr>
        <w:pStyle w:val="ListParagraph"/>
        <w:numPr>
          <w:ilvl w:val="0"/>
          <w:numId w:val="7"/>
        </w:numPr>
        <w:spacing w:after="200" w:line="276" w:lineRule="auto"/>
        <w:jc w:val="both"/>
        <w:rPr>
          <w:i/>
          <w:color w:val="000000"/>
          <w:sz w:val="22"/>
          <w:szCs w:val="22"/>
        </w:rPr>
      </w:pPr>
      <w:r w:rsidRPr="00410B2C">
        <w:rPr>
          <w:color w:val="000000"/>
          <w:sz w:val="22"/>
          <w:szCs w:val="22"/>
        </w:rPr>
        <w:t xml:space="preserve">the </w:t>
      </w:r>
      <w:r w:rsidRPr="00B91CE6">
        <w:rPr>
          <w:i/>
          <w:color w:val="000000"/>
          <w:sz w:val="22"/>
          <w:szCs w:val="22"/>
        </w:rPr>
        <w:t>Lady Elliot Island Lightstation Heritage Management Plan</w:t>
      </w:r>
      <w:r w:rsidR="00B91CE6">
        <w:rPr>
          <w:color w:val="000000"/>
          <w:sz w:val="22"/>
          <w:szCs w:val="22"/>
        </w:rPr>
        <w:t xml:space="preserve"> (</w:t>
      </w:r>
      <w:proofErr w:type="spellStart"/>
      <w:r w:rsidR="00B91CE6">
        <w:rPr>
          <w:color w:val="000000"/>
          <w:sz w:val="22"/>
          <w:szCs w:val="22"/>
        </w:rPr>
        <w:t>Cth</w:t>
      </w:r>
      <w:proofErr w:type="spellEnd"/>
      <w:r w:rsidR="00B91CE6">
        <w:rPr>
          <w:color w:val="000000"/>
          <w:sz w:val="22"/>
          <w:szCs w:val="22"/>
        </w:rPr>
        <w:t>)</w:t>
      </w:r>
      <w:r w:rsidRPr="00410B2C">
        <w:rPr>
          <w:color w:val="000000"/>
          <w:sz w:val="22"/>
          <w:szCs w:val="22"/>
        </w:rPr>
        <w:t>; and</w:t>
      </w:r>
      <w:r w:rsidRPr="00410B2C">
        <w:rPr>
          <w:i/>
          <w:color w:val="000000"/>
          <w:sz w:val="22"/>
          <w:szCs w:val="22"/>
        </w:rPr>
        <w:t xml:space="preserve"> </w:t>
      </w:r>
    </w:p>
    <w:p w14:paraId="1F81079E" w14:textId="14FF9A55" w:rsidR="00DA2632" w:rsidRPr="00410B2C" w:rsidRDefault="00DA2632" w:rsidP="00DA2632">
      <w:pPr>
        <w:pStyle w:val="ListParagraph"/>
        <w:widowControl/>
        <w:numPr>
          <w:ilvl w:val="0"/>
          <w:numId w:val="7"/>
        </w:numPr>
        <w:spacing w:line="276" w:lineRule="auto"/>
        <w:ind w:left="714" w:hanging="357"/>
        <w:jc w:val="both"/>
        <w:rPr>
          <w:b/>
          <w:sz w:val="22"/>
          <w:szCs w:val="22"/>
          <w:lang w:val="en-AU"/>
        </w:rPr>
      </w:pPr>
      <w:r w:rsidRPr="00410B2C">
        <w:rPr>
          <w:color w:val="000000"/>
          <w:sz w:val="22"/>
          <w:szCs w:val="22"/>
        </w:rPr>
        <w:t xml:space="preserve">the </w:t>
      </w:r>
      <w:r w:rsidRPr="00B91CE6">
        <w:rPr>
          <w:i/>
          <w:color w:val="000000"/>
          <w:sz w:val="22"/>
          <w:szCs w:val="22"/>
        </w:rPr>
        <w:t>Dent Island Lightstation Heritage Management Plan</w:t>
      </w:r>
      <w:r w:rsidR="00B91CE6">
        <w:rPr>
          <w:color w:val="000000"/>
          <w:sz w:val="22"/>
          <w:szCs w:val="22"/>
        </w:rPr>
        <w:t xml:space="preserve"> (</w:t>
      </w:r>
      <w:proofErr w:type="spellStart"/>
      <w:r w:rsidR="00B91CE6">
        <w:rPr>
          <w:color w:val="000000"/>
          <w:sz w:val="22"/>
          <w:szCs w:val="22"/>
        </w:rPr>
        <w:t>Cth</w:t>
      </w:r>
      <w:proofErr w:type="spellEnd"/>
      <w:r w:rsidR="00B91CE6">
        <w:rPr>
          <w:color w:val="000000"/>
          <w:sz w:val="22"/>
          <w:szCs w:val="22"/>
        </w:rPr>
        <w:t>)</w:t>
      </w:r>
      <w:r w:rsidRPr="00410B2C">
        <w:rPr>
          <w:color w:val="000000"/>
          <w:sz w:val="22"/>
          <w:szCs w:val="22"/>
        </w:rPr>
        <w:t>.</w:t>
      </w:r>
    </w:p>
    <w:p w14:paraId="340DF1DF" w14:textId="77777777" w:rsidR="00DA2632" w:rsidRDefault="00DA2632" w:rsidP="00DA2632">
      <w:pPr>
        <w:spacing w:line="276" w:lineRule="auto"/>
        <w:contextualSpacing/>
        <w:jc w:val="both"/>
        <w:rPr>
          <w:sz w:val="22"/>
          <w:szCs w:val="22"/>
        </w:rPr>
      </w:pPr>
    </w:p>
    <w:p w14:paraId="1604B7B4" w14:textId="44DF40AF" w:rsidR="00DA2632" w:rsidRDefault="00DA2632" w:rsidP="00DA2632">
      <w:pPr>
        <w:pStyle w:val="Celltext"/>
        <w:spacing w:before="0" w:line="276" w:lineRule="auto"/>
        <w:contextualSpacing/>
        <w:jc w:val="both"/>
        <w:rPr>
          <w:sz w:val="22"/>
          <w:szCs w:val="22"/>
        </w:rPr>
      </w:pPr>
      <w:r w:rsidRPr="008A1CD5">
        <w:rPr>
          <w:sz w:val="22"/>
          <w:szCs w:val="22"/>
        </w:rPr>
        <w:t xml:space="preserve">The Declaration aligns the sunsetting dates of the </w:t>
      </w:r>
      <w:r w:rsidRPr="00410B2C">
        <w:rPr>
          <w:sz w:val="22"/>
          <w:szCs w:val="22"/>
        </w:rPr>
        <w:t>Lightstation Heritage Management</w:t>
      </w:r>
      <w:r>
        <w:t xml:space="preserve"> </w:t>
      </w:r>
      <w:r>
        <w:rPr>
          <w:sz w:val="22"/>
          <w:szCs w:val="22"/>
        </w:rPr>
        <w:t>I</w:t>
      </w:r>
      <w:r w:rsidRPr="004F69E1">
        <w:rPr>
          <w:sz w:val="22"/>
          <w:szCs w:val="22"/>
        </w:rPr>
        <w:t>nstruments</w:t>
      </w:r>
      <w:r>
        <w:rPr>
          <w:sz w:val="22"/>
          <w:szCs w:val="22"/>
        </w:rPr>
        <w:t xml:space="preserve"> </w:t>
      </w:r>
      <w:r w:rsidRPr="008A1CD5">
        <w:rPr>
          <w:sz w:val="22"/>
          <w:szCs w:val="22"/>
        </w:rPr>
        <w:t>to 1 </w:t>
      </w:r>
      <w:r>
        <w:rPr>
          <w:sz w:val="22"/>
          <w:szCs w:val="22"/>
        </w:rPr>
        <w:t>April 2024</w:t>
      </w:r>
      <w:r w:rsidRPr="008A1CD5">
        <w:rPr>
          <w:sz w:val="22"/>
          <w:szCs w:val="22"/>
        </w:rPr>
        <w:t xml:space="preserve">. </w:t>
      </w:r>
      <w:r w:rsidR="000E6165">
        <w:rPr>
          <w:sz w:val="22"/>
          <w:szCs w:val="22"/>
        </w:rPr>
        <w:t>Prior to the making of the Declaration, t</w:t>
      </w:r>
      <w:r w:rsidR="000E6165" w:rsidRPr="008A1CD5">
        <w:rPr>
          <w:sz w:val="22"/>
          <w:szCs w:val="22"/>
        </w:rPr>
        <w:t xml:space="preserve">he instruments </w:t>
      </w:r>
      <w:r w:rsidR="000E6165">
        <w:rPr>
          <w:sz w:val="22"/>
          <w:szCs w:val="22"/>
        </w:rPr>
        <w:t>we</w:t>
      </w:r>
      <w:r w:rsidR="000E6165" w:rsidRPr="008A1CD5">
        <w:rPr>
          <w:sz w:val="22"/>
          <w:szCs w:val="22"/>
        </w:rPr>
        <w:t>re due to sunset on 1</w:t>
      </w:r>
      <w:r w:rsidR="00832450">
        <w:rPr>
          <w:sz w:val="22"/>
          <w:szCs w:val="22"/>
        </w:rPr>
        <w:t> </w:t>
      </w:r>
      <w:r w:rsidR="000E6165" w:rsidRPr="008A1CD5">
        <w:rPr>
          <w:sz w:val="22"/>
          <w:szCs w:val="22"/>
        </w:rPr>
        <w:t>October</w:t>
      </w:r>
      <w:r w:rsidR="00832450">
        <w:rPr>
          <w:sz w:val="22"/>
          <w:szCs w:val="22"/>
        </w:rPr>
        <w:t> </w:t>
      </w:r>
      <w:r w:rsidR="000E6165" w:rsidRPr="008A1CD5">
        <w:rPr>
          <w:sz w:val="22"/>
          <w:szCs w:val="22"/>
        </w:rPr>
        <w:t>2022 and 1 </w:t>
      </w:r>
      <w:r w:rsidR="000E6165">
        <w:rPr>
          <w:sz w:val="22"/>
          <w:szCs w:val="22"/>
        </w:rPr>
        <w:t>April 2024</w:t>
      </w:r>
      <w:r w:rsidR="000E6165" w:rsidRPr="008A1CD5">
        <w:rPr>
          <w:sz w:val="22"/>
          <w:szCs w:val="22"/>
        </w:rPr>
        <w:t xml:space="preserve"> respectively. The objective of issuing the Declaration is to facilitate the undertaking of a single thematic review of the </w:t>
      </w:r>
      <w:r w:rsidR="000E6165" w:rsidRPr="00410B2C">
        <w:rPr>
          <w:sz w:val="22"/>
          <w:szCs w:val="22"/>
        </w:rPr>
        <w:t>Lightstation Heritage Management</w:t>
      </w:r>
      <w:r w:rsidR="000E6165">
        <w:t xml:space="preserve"> </w:t>
      </w:r>
      <w:r w:rsidR="000E6165">
        <w:rPr>
          <w:sz w:val="22"/>
          <w:szCs w:val="22"/>
        </w:rPr>
        <w:t>I</w:t>
      </w:r>
      <w:r w:rsidR="000E6165" w:rsidRPr="004F69E1">
        <w:rPr>
          <w:sz w:val="22"/>
          <w:szCs w:val="22"/>
        </w:rPr>
        <w:t>nstruments</w:t>
      </w:r>
      <w:r w:rsidR="000E6165">
        <w:rPr>
          <w:sz w:val="22"/>
          <w:szCs w:val="22"/>
        </w:rPr>
        <w:t xml:space="preserve"> </w:t>
      </w:r>
      <w:r w:rsidR="000E6165" w:rsidRPr="008A1CD5">
        <w:rPr>
          <w:sz w:val="22"/>
          <w:szCs w:val="22"/>
        </w:rPr>
        <w:t>and the implementation of its findings.</w:t>
      </w:r>
    </w:p>
    <w:p w14:paraId="4E083700" w14:textId="77777777" w:rsidR="00DA2632" w:rsidRDefault="00DA2632" w:rsidP="00DA2632">
      <w:pPr>
        <w:pStyle w:val="Celltext"/>
        <w:spacing w:before="0"/>
        <w:contextualSpacing/>
        <w:jc w:val="both"/>
        <w:rPr>
          <w:sz w:val="22"/>
          <w:szCs w:val="22"/>
        </w:rPr>
      </w:pPr>
    </w:p>
    <w:p w14:paraId="2C32E733" w14:textId="77777777" w:rsidR="00DA2632" w:rsidRPr="001426C1" w:rsidRDefault="00DA2632" w:rsidP="00DA2632">
      <w:pPr>
        <w:spacing w:after="200" w:line="276" w:lineRule="auto"/>
        <w:contextualSpacing/>
        <w:jc w:val="both"/>
        <w:rPr>
          <w:b/>
          <w:sz w:val="22"/>
          <w:szCs w:val="22"/>
        </w:rPr>
      </w:pPr>
      <w:r w:rsidRPr="001426C1">
        <w:rPr>
          <w:b/>
          <w:sz w:val="22"/>
          <w:szCs w:val="22"/>
        </w:rPr>
        <w:t xml:space="preserve">Human Rights Implications </w:t>
      </w:r>
    </w:p>
    <w:p w14:paraId="37DC4E18" w14:textId="77777777" w:rsidR="00DA2632" w:rsidRPr="008A1CD5" w:rsidRDefault="00DA2632" w:rsidP="00DA2632">
      <w:pPr>
        <w:spacing w:after="200" w:line="276" w:lineRule="auto"/>
        <w:contextualSpacing/>
        <w:jc w:val="both"/>
        <w:rPr>
          <w:color w:val="000000"/>
          <w:sz w:val="22"/>
          <w:szCs w:val="22"/>
        </w:rPr>
      </w:pPr>
    </w:p>
    <w:p w14:paraId="19ACBBE6" w14:textId="136AE00C" w:rsidR="00DA2632" w:rsidRPr="008A1CD5" w:rsidRDefault="009035ED" w:rsidP="00DA2632">
      <w:pPr>
        <w:spacing w:after="200" w:line="276" w:lineRule="auto"/>
        <w:contextualSpacing/>
        <w:jc w:val="both"/>
        <w:rPr>
          <w:color w:val="000000"/>
          <w:sz w:val="22"/>
          <w:szCs w:val="22"/>
        </w:rPr>
      </w:pPr>
      <w:r>
        <w:rPr>
          <w:color w:val="000000"/>
          <w:sz w:val="22"/>
          <w:szCs w:val="22"/>
        </w:rPr>
        <w:t>T</w:t>
      </w:r>
      <w:r w:rsidR="00DA2632" w:rsidRPr="008A1CD5">
        <w:rPr>
          <w:color w:val="000000"/>
          <w:sz w:val="22"/>
          <w:szCs w:val="22"/>
        </w:rPr>
        <w:t xml:space="preserve">he </w:t>
      </w:r>
      <w:r w:rsidR="00D47B64" w:rsidRPr="00410B2C">
        <w:rPr>
          <w:sz w:val="22"/>
          <w:szCs w:val="22"/>
        </w:rPr>
        <w:t>Lightstation Heritage Management</w:t>
      </w:r>
      <w:r w:rsidR="00D47B64">
        <w:t xml:space="preserve"> </w:t>
      </w:r>
      <w:r w:rsidR="00D47B64">
        <w:rPr>
          <w:sz w:val="22"/>
          <w:szCs w:val="22"/>
        </w:rPr>
        <w:t>I</w:t>
      </w:r>
      <w:r w:rsidR="00D47B64" w:rsidRPr="004F69E1">
        <w:rPr>
          <w:sz w:val="22"/>
          <w:szCs w:val="22"/>
        </w:rPr>
        <w:t>nstruments</w:t>
      </w:r>
      <w:r w:rsidR="00D47B64">
        <w:rPr>
          <w:sz w:val="22"/>
          <w:szCs w:val="22"/>
        </w:rPr>
        <w:t xml:space="preserve"> do</w:t>
      </w:r>
      <w:r w:rsidR="00DA2632" w:rsidRPr="008A1CD5">
        <w:rPr>
          <w:color w:val="000000"/>
          <w:sz w:val="22"/>
          <w:szCs w:val="22"/>
        </w:rPr>
        <w:t xml:space="preserve"> not engage any applicable rights or freedoms as </w:t>
      </w:r>
      <w:r w:rsidR="00D47B64">
        <w:rPr>
          <w:color w:val="000000"/>
          <w:sz w:val="22"/>
          <w:szCs w:val="22"/>
        </w:rPr>
        <w:lastRenderedPageBreak/>
        <w:t xml:space="preserve">they are </w:t>
      </w:r>
      <w:r w:rsidR="00DA2632" w:rsidRPr="008A1CD5">
        <w:rPr>
          <w:color w:val="000000"/>
          <w:sz w:val="22"/>
          <w:szCs w:val="22"/>
        </w:rPr>
        <w:t>of a minor or machinery nature</w:t>
      </w:r>
      <w:r w:rsidR="00B00D88">
        <w:rPr>
          <w:color w:val="000000"/>
          <w:sz w:val="22"/>
          <w:szCs w:val="22"/>
        </w:rPr>
        <w:t xml:space="preserve"> and include largely operational content for the management of the lightstations</w:t>
      </w:r>
      <w:r w:rsidR="00DA2632" w:rsidRPr="008A1CD5">
        <w:rPr>
          <w:color w:val="000000"/>
          <w:sz w:val="22"/>
          <w:szCs w:val="22"/>
        </w:rPr>
        <w:t xml:space="preserve">. As a result, </w:t>
      </w:r>
      <w:r w:rsidR="009A19F2">
        <w:rPr>
          <w:color w:val="000000"/>
          <w:sz w:val="22"/>
          <w:szCs w:val="22"/>
        </w:rPr>
        <w:t xml:space="preserve">they </w:t>
      </w:r>
      <w:r w:rsidR="00DA2632" w:rsidRPr="008A1CD5">
        <w:rPr>
          <w:color w:val="000000"/>
          <w:sz w:val="22"/>
          <w:szCs w:val="22"/>
        </w:rPr>
        <w:t>raise no human rights issues</w:t>
      </w:r>
      <w:r w:rsidR="009A19F2">
        <w:rPr>
          <w:color w:val="000000"/>
          <w:sz w:val="22"/>
          <w:szCs w:val="22"/>
        </w:rPr>
        <w:t xml:space="preserve"> and are compatible with human rights.</w:t>
      </w:r>
    </w:p>
    <w:p w14:paraId="12B11D7B" w14:textId="77777777" w:rsidR="00DA2632" w:rsidRPr="008A1CD5" w:rsidRDefault="00DA2632" w:rsidP="00DA2632">
      <w:pPr>
        <w:spacing w:after="200" w:line="276" w:lineRule="auto"/>
        <w:contextualSpacing/>
        <w:jc w:val="both"/>
        <w:rPr>
          <w:color w:val="000000"/>
          <w:sz w:val="22"/>
          <w:szCs w:val="22"/>
        </w:rPr>
      </w:pPr>
    </w:p>
    <w:p w14:paraId="2FC4B0A1" w14:textId="61408AEE" w:rsidR="00D47B64" w:rsidRDefault="00E865B0" w:rsidP="00D47B64">
      <w:pPr>
        <w:spacing w:after="200" w:line="276" w:lineRule="auto"/>
        <w:contextualSpacing/>
        <w:jc w:val="both"/>
        <w:rPr>
          <w:color w:val="000000"/>
          <w:sz w:val="22"/>
          <w:szCs w:val="22"/>
        </w:rPr>
      </w:pPr>
      <w:r>
        <w:rPr>
          <w:color w:val="000000"/>
          <w:lang w:eastAsia="en-AU"/>
        </w:rPr>
        <w:t xml:space="preserve">A </w:t>
      </w:r>
      <w:r w:rsidRPr="00735044">
        <w:rPr>
          <w:color w:val="000000"/>
          <w:sz w:val="22"/>
          <w:szCs w:val="22"/>
          <w:lang w:eastAsia="en-AU"/>
        </w:rPr>
        <w:t>sunset-altering declaration may extend the operation of an instrument but does not change or affect the rights engaged under the original instrument</w:t>
      </w:r>
      <w:r w:rsidR="00D860D1" w:rsidRPr="00735044">
        <w:rPr>
          <w:color w:val="000000"/>
          <w:sz w:val="22"/>
          <w:szCs w:val="22"/>
          <w:lang w:eastAsia="en-AU"/>
        </w:rPr>
        <w:t>, which has previously been subject to a Statement of Compatibility.</w:t>
      </w:r>
      <w:r w:rsidRPr="00735044">
        <w:rPr>
          <w:color w:val="000000"/>
          <w:sz w:val="22"/>
          <w:szCs w:val="22"/>
          <w:lang w:eastAsia="en-AU"/>
        </w:rPr>
        <w:t xml:space="preserve"> As such, </w:t>
      </w:r>
      <w:r w:rsidRPr="00735044">
        <w:rPr>
          <w:color w:val="000000"/>
          <w:sz w:val="22"/>
          <w:szCs w:val="22"/>
        </w:rPr>
        <w:t>t</w:t>
      </w:r>
      <w:r w:rsidR="00DA2632" w:rsidRPr="00735044">
        <w:rPr>
          <w:color w:val="000000"/>
          <w:sz w:val="22"/>
          <w:szCs w:val="22"/>
        </w:rPr>
        <w:t>he</w:t>
      </w:r>
      <w:r w:rsidR="00DA2632" w:rsidRPr="008A1CD5">
        <w:rPr>
          <w:color w:val="000000"/>
          <w:sz w:val="22"/>
          <w:szCs w:val="22"/>
        </w:rPr>
        <w:t xml:space="preserve"> postponement of the sunsetting date of the </w:t>
      </w:r>
      <w:r w:rsidR="00AD784C" w:rsidRPr="004A51C9">
        <w:rPr>
          <w:i/>
          <w:color w:val="000000"/>
          <w:sz w:val="22"/>
          <w:szCs w:val="22"/>
        </w:rPr>
        <w:t>Lady Elliot Island Lightstation Heritage Management Plan</w:t>
      </w:r>
      <w:r w:rsidR="00306FC5">
        <w:rPr>
          <w:i/>
          <w:color w:val="000000"/>
          <w:sz w:val="22"/>
          <w:szCs w:val="22"/>
        </w:rPr>
        <w:t xml:space="preserve"> </w:t>
      </w:r>
      <w:r w:rsidR="00306FC5">
        <w:rPr>
          <w:color w:val="000000"/>
          <w:sz w:val="22"/>
          <w:szCs w:val="22"/>
        </w:rPr>
        <w:t>(</w:t>
      </w:r>
      <w:proofErr w:type="spellStart"/>
      <w:r w:rsidR="00306FC5">
        <w:rPr>
          <w:color w:val="000000"/>
          <w:sz w:val="22"/>
          <w:szCs w:val="22"/>
        </w:rPr>
        <w:t>Cth</w:t>
      </w:r>
      <w:proofErr w:type="spellEnd"/>
      <w:r w:rsidR="00306FC5">
        <w:rPr>
          <w:color w:val="000000"/>
          <w:sz w:val="22"/>
          <w:szCs w:val="22"/>
        </w:rPr>
        <w:t>)</w:t>
      </w:r>
      <w:r w:rsidR="00AD784C" w:rsidRPr="004A51C9">
        <w:rPr>
          <w:i/>
          <w:color w:val="000000"/>
          <w:sz w:val="22"/>
          <w:szCs w:val="22"/>
        </w:rPr>
        <w:t xml:space="preserve"> </w:t>
      </w:r>
      <w:r w:rsidR="009A19F2">
        <w:rPr>
          <w:color w:val="000000"/>
          <w:sz w:val="22"/>
          <w:szCs w:val="22"/>
        </w:rPr>
        <w:t xml:space="preserve">by issuing the Declaration under section 51A of the Legislation Act </w:t>
      </w:r>
      <w:r w:rsidR="00DA2632" w:rsidRPr="008A1CD5">
        <w:rPr>
          <w:color w:val="000000"/>
          <w:sz w:val="22"/>
          <w:szCs w:val="22"/>
        </w:rPr>
        <w:t>does not affect its operation</w:t>
      </w:r>
      <w:r w:rsidR="00D860D1">
        <w:rPr>
          <w:color w:val="000000"/>
          <w:sz w:val="22"/>
          <w:szCs w:val="22"/>
        </w:rPr>
        <w:t xml:space="preserve"> </w:t>
      </w:r>
      <w:r>
        <w:rPr>
          <w:color w:val="000000"/>
          <w:sz w:val="22"/>
          <w:szCs w:val="22"/>
        </w:rPr>
        <w:t xml:space="preserve">as the Declaration is itself machinery in </w:t>
      </w:r>
      <w:r w:rsidR="00D860D1">
        <w:rPr>
          <w:color w:val="000000"/>
          <w:sz w:val="22"/>
          <w:szCs w:val="22"/>
        </w:rPr>
        <w:t xml:space="preserve">nature. </w:t>
      </w:r>
      <w:proofErr w:type="gramStart"/>
      <w:r w:rsidR="00D860D1">
        <w:rPr>
          <w:color w:val="000000"/>
          <w:sz w:val="22"/>
          <w:szCs w:val="22"/>
        </w:rPr>
        <w:t>T</w:t>
      </w:r>
      <w:r w:rsidR="00D860D1" w:rsidRPr="008A1CD5">
        <w:rPr>
          <w:color w:val="000000"/>
          <w:sz w:val="22"/>
          <w:szCs w:val="22"/>
        </w:rPr>
        <w:t>herefore</w:t>
      </w:r>
      <w:proofErr w:type="gramEnd"/>
      <w:r>
        <w:rPr>
          <w:color w:val="000000"/>
          <w:sz w:val="22"/>
          <w:szCs w:val="22"/>
        </w:rPr>
        <w:t xml:space="preserve"> the Declaration</w:t>
      </w:r>
      <w:r w:rsidR="00DA2632" w:rsidRPr="008A1CD5">
        <w:rPr>
          <w:color w:val="000000"/>
          <w:sz w:val="22"/>
          <w:szCs w:val="22"/>
        </w:rPr>
        <w:t xml:space="preserve"> does not change</w:t>
      </w:r>
      <w:r>
        <w:rPr>
          <w:color w:val="000000"/>
          <w:sz w:val="22"/>
          <w:szCs w:val="22"/>
        </w:rPr>
        <w:t xml:space="preserve"> the instruments</w:t>
      </w:r>
      <w:r w:rsidR="00715170">
        <w:rPr>
          <w:color w:val="000000"/>
          <w:sz w:val="22"/>
          <w:szCs w:val="22"/>
        </w:rPr>
        <w:t>’</w:t>
      </w:r>
      <w:r w:rsidR="008E3968">
        <w:rPr>
          <w:color w:val="000000"/>
          <w:sz w:val="22"/>
          <w:szCs w:val="22"/>
        </w:rPr>
        <w:t xml:space="preserve"> </w:t>
      </w:r>
      <w:r w:rsidR="00DA2632" w:rsidRPr="008A1CD5">
        <w:rPr>
          <w:color w:val="000000"/>
          <w:sz w:val="22"/>
          <w:szCs w:val="22"/>
        </w:rPr>
        <w:t>effect</w:t>
      </w:r>
      <w:r w:rsidR="008E3968">
        <w:rPr>
          <w:color w:val="000000"/>
          <w:sz w:val="22"/>
          <w:szCs w:val="22"/>
        </w:rPr>
        <w:t>, or lack thereof, on rights and freedoms.</w:t>
      </w:r>
      <w:r w:rsidR="00DA2632" w:rsidRPr="008A1CD5">
        <w:rPr>
          <w:color w:val="000000"/>
          <w:sz w:val="22"/>
          <w:szCs w:val="22"/>
        </w:rPr>
        <w:t xml:space="preserve"> </w:t>
      </w:r>
    </w:p>
    <w:p w14:paraId="1FA0B2CD" w14:textId="72F836C4" w:rsidR="00E865B0" w:rsidRDefault="00E865B0" w:rsidP="00D47B64">
      <w:pPr>
        <w:spacing w:after="200" w:line="276" w:lineRule="auto"/>
        <w:contextualSpacing/>
        <w:jc w:val="both"/>
        <w:rPr>
          <w:color w:val="000000"/>
          <w:sz w:val="22"/>
          <w:szCs w:val="22"/>
        </w:rPr>
      </w:pPr>
    </w:p>
    <w:p w14:paraId="6F8FFE99" w14:textId="367966C5" w:rsidR="009F506F" w:rsidRPr="00D860D1" w:rsidRDefault="00E865B0" w:rsidP="00E865B0">
      <w:pPr>
        <w:shd w:val="clear" w:color="auto" w:fill="FFFFFF"/>
        <w:spacing w:afterLines="1000" w:after="2400" w:line="276" w:lineRule="auto"/>
        <w:contextualSpacing/>
        <w:jc w:val="both"/>
        <w:rPr>
          <w:snapToGrid/>
          <w:color w:val="000000"/>
          <w:sz w:val="22"/>
          <w:szCs w:val="22"/>
          <w:lang w:val="en-AU" w:eastAsia="en-AU"/>
        </w:rPr>
      </w:pPr>
      <w:r w:rsidRPr="00D860D1">
        <w:rPr>
          <w:color w:val="000000"/>
          <w:sz w:val="22"/>
          <w:szCs w:val="22"/>
          <w:lang w:eastAsia="en-AU"/>
        </w:rPr>
        <w:t>Before issuing the Declaration, the Attorney-General was satisfied that all instruments specified in the Declaration would be subject to a single thematic review. A thematic review is an effective mechanism for determining whether the instruments are fit for purpose, identifying opportunities to update, streamline and clarify the operation of the instruments and, where appropriate, reducing unnecessary regulation. The human rights impact of the</w:t>
      </w:r>
      <w:r w:rsidR="00D860D1" w:rsidRPr="00D860D1">
        <w:rPr>
          <w:color w:val="000000"/>
          <w:sz w:val="22"/>
          <w:szCs w:val="22"/>
          <w:lang w:eastAsia="en-AU"/>
        </w:rPr>
        <w:t xml:space="preserve"> </w:t>
      </w:r>
      <w:r w:rsidR="00D860D1" w:rsidRPr="00D860D1">
        <w:rPr>
          <w:sz w:val="22"/>
          <w:szCs w:val="22"/>
        </w:rPr>
        <w:t xml:space="preserve">Lightstation Heritage Management Instruments </w:t>
      </w:r>
      <w:r w:rsidRPr="00D860D1">
        <w:rPr>
          <w:color w:val="000000"/>
          <w:sz w:val="22"/>
          <w:szCs w:val="22"/>
          <w:lang w:eastAsia="en-AU"/>
        </w:rPr>
        <w:t>will be considered during the proposed review, and addressed in the Statement of Compatibility of each replacement instrument.</w:t>
      </w:r>
    </w:p>
    <w:p w14:paraId="3533F52E" w14:textId="2551C061" w:rsidR="009F506F" w:rsidRDefault="009F506F" w:rsidP="00D47B64">
      <w:pPr>
        <w:spacing w:after="200" w:line="276" w:lineRule="auto"/>
        <w:contextualSpacing/>
        <w:jc w:val="both"/>
        <w:rPr>
          <w:color w:val="000000"/>
          <w:sz w:val="22"/>
          <w:szCs w:val="22"/>
        </w:rPr>
      </w:pPr>
    </w:p>
    <w:p w14:paraId="7C476715" w14:textId="77777777" w:rsidR="00AD784C" w:rsidRDefault="00AD784C" w:rsidP="00AD784C">
      <w:pPr>
        <w:keepNext/>
        <w:keepLines/>
        <w:spacing w:after="200" w:line="276" w:lineRule="auto"/>
        <w:contextualSpacing/>
        <w:jc w:val="both"/>
        <w:rPr>
          <w:b/>
          <w:sz w:val="22"/>
          <w:szCs w:val="22"/>
        </w:rPr>
      </w:pPr>
      <w:r w:rsidRPr="001426C1">
        <w:rPr>
          <w:b/>
          <w:sz w:val="22"/>
          <w:szCs w:val="22"/>
        </w:rPr>
        <w:t>Conclusion</w:t>
      </w:r>
    </w:p>
    <w:p w14:paraId="5A4A7A34" w14:textId="77777777" w:rsidR="00AD784C" w:rsidRPr="001426C1" w:rsidRDefault="00AD784C" w:rsidP="00AD784C">
      <w:pPr>
        <w:spacing w:after="200" w:line="276" w:lineRule="auto"/>
        <w:contextualSpacing/>
        <w:jc w:val="both"/>
        <w:rPr>
          <w:b/>
          <w:sz w:val="22"/>
          <w:szCs w:val="22"/>
        </w:rPr>
      </w:pPr>
    </w:p>
    <w:p w14:paraId="763EF42E" w14:textId="621B1168" w:rsidR="00AD784C" w:rsidRPr="008A1CD5" w:rsidRDefault="00AD784C" w:rsidP="00AD784C">
      <w:pPr>
        <w:keepLines/>
        <w:spacing w:after="200" w:line="276" w:lineRule="auto"/>
        <w:contextualSpacing/>
        <w:jc w:val="both"/>
        <w:rPr>
          <w:sz w:val="22"/>
          <w:szCs w:val="22"/>
        </w:rPr>
      </w:pPr>
      <w:r w:rsidRPr="008A1CD5">
        <w:rPr>
          <w:sz w:val="22"/>
          <w:szCs w:val="22"/>
        </w:rPr>
        <w:t xml:space="preserve">The Declaration is compatible with the human rights and freedoms recognised or declared in the international </w:t>
      </w:r>
      <w:r w:rsidRPr="00DF60BB">
        <w:rPr>
          <w:sz w:val="22"/>
          <w:szCs w:val="22"/>
        </w:rPr>
        <w:t>instruments listed in section 3 of the Human Rights Act, as it does not raise any human rights issues</w:t>
      </w:r>
      <w:r w:rsidR="00AD6EDF" w:rsidRPr="00DF60BB">
        <w:rPr>
          <w:sz w:val="22"/>
          <w:szCs w:val="22"/>
        </w:rPr>
        <w:t>, and ensures that any proposal to make a replacement instrument will be subject to parliamentary oversight and scrutiny.</w:t>
      </w:r>
    </w:p>
    <w:p w14:paraId="682A7A00" w14:textId="77777777" w:rsidR="00AD784C" w:rsidRDefault="00AD784C">
      <w:pPr>
        <w:widowControl/>
        <w:spacing w:after="160" w:line="259" w:lineRule="auto"/>
        <w:rPr>
          <w:color w:val="000000"/>
          <w:sz w:val="22"/>
          <w:szCs w:val="22"/>
        </w:rPr>
      </w:pPr>
      <w:r>
        <w:rPr>
          <w:color w:val="000000"/>
          <w:sz w:val="22"/>
          <w:szCs w:val="22"/>
        </w:rPr>
        <w:br w:type="page"/>
      </w:r>
    </w:p>
    <w:p w14:paraId="4097446A" w14:textId="77777777" w:rsidR="00AD784C" w:rsidRPr="008A1CD5" w:rsidRDefault="00AD784C" w:rsidP="00AD784C">
      <w:pPr>
        <w:widowControl/>
        <w:spacing w:after="200" w:line="276" w:lineRule="auto"/>
        <w:contextualSpacing/>
        <w:jc w:val="both"/>
        <w:rPr>
          <w:rStyle w:val="Heading1Char"/>
          <w:rFonts w:eastAsiaTheme="majorEastAsia"/>
          <w:b w:val="0"/>
          <w:color w:val="000000" w:themeColor="text1"/>
          <w:sz w:val="22"/>
          <w:szCs w:val="22"/>
        </w:rPr>
      </w:pPr>
      <w:r w:rsidRPr="008A1CD5">
        <w:rPr>
          <w:rStyle w:val="Heading1Char"/>
          <w:rFonts w:eastAsiaTheme="majorEastAsia"/>
          <w:color w:val="000000" w:themeColor="text1"/>
          <w:sz w:val="22"/>
          <w:szCs w:val="22"/>
        </w:rPr>
        <w:lastRenderedPageBreak/>
        <w:t>ATTACHMENT A</w:t>
      </w:r>
    </w:p>
    <w:p w14:paraId="06287E5D" w14:textId="77777777" w:rsidR="00AD784C" w:rsidRPr="00AD784C" w:rsidRDefault="00AD784C" w:rsidP="00AD784C">
      <w:pPr>
        <w:pStyle w:val="Heading2"/>
        <w:spacing w:before="0" w:after="160" w:line="259" w:lineRule="auto"/>
        <w:rPr>
          <w:rFonts w:ascii="Times New Roman" w:hAnsi="Times New Roman" w:cs="Times New Roman"/>
          <w:b/>
        </w:rPr>
      </w:pPr>
      <w:r w:rsidRPr="00AD784C">
        <w:rPr>
          <w:rFonts w:ascii="Times New Roman" w:hAnsi="Times New Roman" w:cs="Times New Roman"/>
          <w:b/>
          <w:color w:val="auto"/>
          <w:sz w:val="22"/>
        </w:rPr>
        <w:t>NOTES ON THE DECLARATION</w:t>
      </w:r>
      <w:r w:rsidRPr="00AD784C">
        <w:rPr>
          <w:rFonts w:ascii="Times New Roman" w:hAnsi="Times New Roman" w:cs="Times New Roman"/>
          <w:b/>
          <w:color w:val="auto"/>
          <w:sz w:val="22"/>
        </w:rPr>
        <w:tab/>
      </w:r>
      <w:r w:rsidRPr="00AD784C">
        <w:rPr>
          <w:rFonts w:ascii="Times New Roman" w:hAnsi="Times New Roman" w:cs="Times New Roman"/>
          <w:b/>
        </w:rPr>
        <w:tab/>
      </w:r>
      <w:r w:rsidRPr="00AD784C">
        <w:rPr>
          <w:rFonts w:ascii="Times New Roman" w:hAnsi="Times New Roman" w:cs="Times New Roman"/>
          <w:b/>
        </w:rPr>
        <w:tab/>
        <w:t xml:space="preserve">       </w:t>
      </w:r>
    </w:p>
    <w:p w14:paraId="5A845FD2" w14:textId="77777777" w:rsidR="00AD784C" w:rsidRPr="00AD784C" w:rsidRDefault="00AD784C" w:rsidP="00AD784C">
      <w:pPr>
        <w:pStyle w:val="Heading3"/>
        <w:spacing w:before="0" w:after="160" w:line="259" w:lineRule="auto"/>
        <w:rPr>
          <w:rFonts w:ascii="Times New Roman" w:hAnsi="Times New Roman" w:cs="Times New Roman"/>
          <w:b/>
          <w:color w:val="auto"/>
          <w:sz w:val="22"/>
          <w:szCs w:val="22"/>
        </w:rPr>
      </w:pPr>
      <w:r w:rsidRPr="00AD784C">
        <w:rPr>
          <w:rFonts w:ascii="Times New Roman" w:hAnsi="Times New Roman" w:cs="Times New Roman"/>
          <w:b/>
          <w:color w:val="auto"/>
          <w:sz w:val="22"/>
          <w:szCs w:val="22"/>
        </w:rPr>
        <w:t>Section 1</w:t>
      </w:r>
      <w:r w:rsidRPr="00AD784C">
        <w:rPr>
          <w:rFonts w:ascii="Times New Roman" w:hAnsi="Times New Roman" w:cs="Times New Roman"/>
          <w:b/>
          <w:color w:val="auto"/>
          <w:sz w:val="22"/>
          <w:szCs w:val="22"/>
        </w:rPr>
        <w:tab/>
        <w:t>Name</w:t>
      </w:r>
    </w:p>
    <w:p w14:paraId="235CD14F" w14:textId="77777777" w:rsidR="00AD784C" w:rsidRPr="00AD784C" w:rsidRDefault="00AD784C" w:rsidP="00AD784C">
      <w:pPr>
        <w:spacing w:after="160" w:line="259" w:lineRule="auto"/>
        <w:rPr>
          <w:sz w:val="22"/>
          <w:szCs w:val="22"/>
        </w:rPr>
      </w:pPr>
    </w:p>
    <w:p w14:paraId="3AD68B42" w14:textId="29234F86" w:rsidR="00AD784C" w:rsidRPr="00AD784C" w:rsidRDefault="00AD784C" w:rsidP="00AD784C">
      <w:pPr>
        <w:spacing w:after="160" w:line="259" w:lineRule="auto"/>
        <w:rPr>
          <w:sz w:val="22"/>
          <w:szCs w:val="22"/>
        </w:rPr>
      </w:pPr>
      <w:r w:rsidRPr="00AD784C">
        <w:rPr>
          <w:sz w:val="22"/>
          <w:szCs w:val="22"/>
        </w:rPr>
        <w:t xml:space="preserve">This section provides for the </w:t>
      </w:r>
      <w:r w:rsidR="00715170">
        <w:rPr>
          <w:sz w:val="22"/>
          <w:szCs w:val="22"/>
        </w:rPr>
        <w:t>D</w:t>
      </w:r>
      <w:r w:rsidRPr="00AD784C">
        <w:rPr>
          <w:sz w:val="22"/>
          <w:szCs w:val="22"/>
        </w:rPr>
        <w:t xml:space="preserve">eclaration to be named the </w:t>
      </w:r>
      <w:r w:rsidRPr="00AD784C">
        <w:rPr>
          <w:i/>
          <w:iCs/>
          <w:sz w:val="22"/>
          <w:szCs w:val="22"/>
        </w:rPr>
        <w:t>Legislation (Lightstation Heritage Management Instruments)</w:t>
      </w:r>
      <w:r>
        <w:rPr>
          <w:i/>
          <w:iCs/>
          <w:sz w:val="22"/>
          <w:szCs w:val="22"/>
        </w:rPr>
        <w:t xml:space="preserve"> </w:t>
      </w:r>
      <w:r w:rsidRPr="00AD784C">
        <w:rPr>
          <w:i/>
          <w:iCs/>
          <w:sz w:val="22"/>
          <w:szCs w:val="22"/>
        </w:rPr>
        <w:t>Sunset-altering Declaration 2022</w:t>
      </w:r>
      <w:r w:rsidRPr="00AD784C">
        <w:rPr>
          <w:sz w:val="22"/>
          <w:szCs w:val="22"/>
        </w:rPr>
        <w:t xml:space="preserve">. The </w:t>
      </w:r>
      <w:r w:rsidR="00715170">
        <w:rPr>
          <w:sz w:val="22"/>
          <w:szCs w:val="22"/>
        </w:rPr>
        <w:t>D</w:t>
      </w:r>
      <w:r w:rsidRPr="00AD784C">
        <w:rPr>
          <w:sz w:val="22"/>
          <w:szCs w:val="22"/>
        </w:rPr>
        <w:t xml:space="preserve">eclaration may be cited by that name. </w:t>
      </w:r>
    </w:p>
    <w:p w14:paraId="53A9285C" w14:textId="77777777" w:rsidR="00AD784C" w:rsidRPr="00AD784C" w:rsidRDefault="00AD784C" w:rsidP="00AD784C">
      <w:pPr>
        <w:spacing w:after="160" w:line="259" w:lineRule="auto"/>
        <w:rPr>
          <w:sz w:val="22"/>
          <w:szCs w:val="22"/>
        </w:rPr>
      </w:pPr>
    </w:p>
    <w:p w14:paraId="1B7E32E8" w14:textId="77777777" w:rsidR="00AD784C" w:rsidRPr="00AD784C" w:rsidRDefault="00AD784C" w:rsidP="00AD784C">
      <w:pPr>
        <w:pStyle w:val="Heading3"/>
        <w:spacing w:before="0" w:after="160" w:line="259" w:lineRule="auto"/>
        <w:rPr>
          <w:rFonts w:ascii="Times New Roman" w:hAnsi="Times New Roman" w:cs="Times New Roman"/>
          <w:b/>
          <w:color w:val="auto"/>
          <w:sz w:val="22"/>
          <w:szCs w:val="22"/>
        </w:rPr>
      </w:pPr>
      <w:r w:rsidRPr="00AD784C">
        <w:rPr>
          <w:rFonts w:ascii="Times New Roman" w:hAnsi="Times New Roman" w:cs="Times New Roman"/>
          <w:b/>
          <w:color w:val="auto"/>
          <w:sz w:val="22"/>
          <w:szCs w:val="22"/>
        </w:rPr>
        <w:t xml:space="preserve">Section 2 </w:t>
      </w:r>
      <w:r w:rsidRPr="00AD784C">
        <w:rPr>
          <w:rFonts w:ascii="Times New Roman" w:hAnsi="Times New Roman" w:cs="Times New Roman"/>
          <w:b/>
          <w:color w:val="auto"/>
          <w:sz w:val="22"/>
          <w:szCs w:val="22"/>
        </w:rPr>
        <w:tab/>
        <w:t>Commencement</w:t>
      </w:r>
    </w:p>
    <w:p w14:paraId="5373ADD2" w14:textId="77777777" w:rsidR="00AD784C" w:rsidRPr="00AD784C" w:rsidRDefault="00AD784C" w:rsidP="00AD784C">
      <w:pPr>
        <w:spacing w:after="160" w:line="259" w:lineRule="auto"/>
        <w:rPr>
          <w:sz w:val="22"/>
          <w:szCs w:val="22"/>
          <w:lang w:val="en-AU"/>
        </w:rPr>
      </w:pPr>
    </w:p>
    <w:p w14:paraId="17E02C54" w14:textId="4AAE863F" w:rsidR="00AD784C" w:rsidRPr="00AD784C" w:rsidRDefault="00AD784C" w:rsidP="00AD784C">
      <w:pPr>
        <w:spacing w:after="160" w:line="259" w:lineRule="auto"/>
        <w:rPr>
          <w:sz w:val="22"/>
          <w:szCs w:val="22"/>
          <w:lang w:val="en-AU"/>
        </w:rPr>
      </w:pPr>
      <w:r w:rsidRPr="00AD784C">
        <w:rPr>
          <w:sz w:val="22"/>
          <w:szCs w:val="22"/>
          <w:lang w:val="en-AU"/>
        </w:rPr>
        <w:t xml:space="preserve">This section provides for the </w:t>
      </w:r>
      <w:r w:rsidR="00715170">
        <w:rPr>
          <w:sz w:val="22"/>
          <w:szCs w:val="22"/>
          <w:lang w:val="en-AU"/>
        </w:rPr>
        <w:t>D</w:t>
      </w:r>
      <w:r w:rsidRPr="00AD784C">
        <w:rPr>
          <w:sz w:val="22"/>
          <w:szCs w:val="22"/>
          <w:lang w:val="en-AU"/>
        </w:rPr>
        <w:t xml:space="preserve">eclaration to commence on the day after it is registered. </w:t>
      </w:r>
    </w:p>
    <w:p w14:paraId="0E116098" w14:textId="77777777" w:rsidR="00AD784C" w:rsidRPr="00AD784C" w:rsidRDefault="00AD784C" w:rsidP="00AD784C">
      <w:pPr>
        <w:pStyle w:val="Heading3"/>
        <w:spacing w:before="0" w:after="160" w:line="259" w:lineRule="auto"/>
        <w:rPr>
          <w:rFonts w:ascii="Times New Roman" w:hAnsi="Times New Roman" w:cs="Times New Roman"/>
          <w:color w:val="auto"/>
          <w:sz w:val="22"/>
          <w:szCs w:val="22"/>
        </w:rPr>
      </w:pPr>
    </w:p>
    <w:p w14:paraId="4BB36509" w14:textId="77777777" w:rsidR="00AD784C" w:rsidRPr="00AD784C" w:rsidRDefault="00AD784C" w:rsidP="00AD784C">
      <w:pPr>
        <w:pStyle w:val="Heading3"/>
        <w:spacing w:before="0" w:after="160" w:line="259" w:lineRule="auto"/>
        <w:rPr>
          <w:rFonts w:ascii="Times New Roman" w:hAnsi="Times New Roman" w:cs="Times New Roman"/>
          <w:b/>
          <w:color w:val="auto"/>
          <w:sz w:val="22"/>
          <w:szCs w:val="22"/>
        </w:rPr>
      </w:pPr>
      <w:r w:rsidRPr="00AD784C">
        <w:rPr>
          <w:rFonts w:ascii="Times New Roman" w:hAnsi="Times New Roman" w:cs="Times New Roman"/>
          <w:b/>
          <w:color w:val="auto"/>
          <w:sz w:val="22"/>
          <w:szCs w:val="22"/>
        </w:rPr>
        <w:t>Section 3</w:t>
      </w:r>
      <w:r w:rsidRPr="00AD784C">
        <w:rPr>
          <w:rFonts w:ascii="Times New Roman" w:hAnsi="Times New Roman" w:cs="Times New Roman"/>
          <w:b/>
          <w:color w:val="auto"/>
          <w:sz w:val="22"/>
          <w:szCs w:val="22"/>
        </w:rPr>
        <w:tab/>
        <w:t>Authority</w:t>
      </w:r>
    </w:p>
    <w:p w14:paraId="3C37DE7D" w14:textId="77777777" w:rsidR="00AD784C" w:rsidRPr="00AD784C" w:rsidRDefault="00AD784C" w:rsidP="00AD784C">
      <w:pPr>
        <w:spacing w:after="160" w:line="259" w:lineRule="auto"/>
        <w:rPr>
          <w:sz w:val="22"/>
          <w:szCs w:val="22"/>
          <w:lang w:val="en-AU"/>
        </w:rPr>
      </w:pPr>
    </w:p>
    <w:p w14:paraId="465F418B" w14:textId="2460EC11" w:rsidR="00AD784C" w:rsidRPr="00AD784C" w:rsidRDefault="00AD784C" w:rsidP="00AD784C">
      <w:pPr>
        <w:spacing w:after="160" w:line="259" w:lineRule="auto"/>
        <w:rPr>
          <w:sz w:val="22"/>
          <w:szCs w:val="22"/>
          <w:lang w:val="en-AU"/>
        </w:rPr>
      </w:pPr>
      <w:r w:rsidRPr="00AD784C">
        <w:rPr>
          <w:sz w:val="22"/>
          <w:szCs w:val="22"/>
          <w:lang w:val="en-AU"/>
        </w:rPr>
        <w:t xml:space="preserve">This section provides that the </w:t>
      </w:r>
      <w:r w:rsidR="00715170">
        <w:rPr>
          <w:sz w:val="22"/>
          <w:szCs w:val="22"/>
          <w:lang w:val="en-AU"/>
        </w:rPr>
        <w:t>D</w:t>
      </w:r>
      <w:r w:rsidRPr="00AD784C">
        <w:rPr>
          <w:sz w:val="22"/>
          <w:szCs w:val="22"/>
          <w:lang w:val="en-AU"/>
        </w:rPr>
        <w:t>eclaration is made under subsection 51</w:t>
      </w:r>
      <w:proofErr w:type="gramStart"/>
      <w:r w:rsidRPr="00AD784C">
        <w:rPr>
          <w:sz w:val="22"/>
          <w:szCs w:val="22"/>
          <w:lang w:val="en-AU"/>
        </w:rPr>
        <w:t>A(</w:t>
      </w:r>
      <w:proofErr w:type="gramEnd"/>
      <w:r w:rsidRPr="00AD784C">
        <w:rPr>
          <w:sz w:val="22"/>
          <w:szCs w:val="22"/>
          <w:lang w:val="en-AU"/>
        </w:rPr>
        <w:t xml:space="preserve">1) of the </w:t>
      </w:r>
      <w:r w:rsidRPr="00AD784C">
        <w:rPr>
          <w:i/>
          <w:sz w:val="22"/>
          <w:szCs w:val="22"/>
          <w:lang w:val="en-AU"/>
        </w:rPr>
        <w:t>Legislation Act 2003</w:t>
      </w:r>
      <w:r w:rsidRPr="00AD784C">
        <w:rPr>
          <w:sz w:val="22"/>
          <w:szCs w:val="22"/>
          <w:lang w:val="en-AU"/>
        </w:rPr>
        <w:t>.</w:t>
      </w:r>
    </w:p>
    <w:p w14:paraId="4F624D0F" w14:textId="77777777" w:rsidR="00AD784C" w:rsidRPr="00AD784C" w:rsidRDefault="00AD784C" w:rsidP="00AD784C">
      <w:pPr>
        <w:pStyle w:val="Heading3"/>
        <w:spacing w:before="0" w:after="160" w:line="259" w:lineRule="auto"/>
        <w:rPr>
          <w:rFonts w:ascii="Times New Roman" w:hAnsi="Times New Roman" w:cs="Times New Roman"/>
          <w:color w:val="auto"/>
          <w:sz w:val="22"/>
          <w:szCs w:val="22"/>
        </w:rPr>
      </w:pPr>
    </w:p>
    <w:p w14:paraId="093310F1" w14:textId="77777777" w:rsidR="00AD784C" w:rsidRPr="00AD784C" w:rsidRDefault="00AD784C" w:rsidP="00AD784C">
      <w:pPr>
        <w:pStyle w:val="Heading3"/>
        <w:spacing w:before="0" w:after="160" w:line="259" w:lineRule="auto"/>
        <w:rPr>
          <w:rFonts w:ascii="Times New Roman" w:hAnsi="Times New Roman" w:cs="Times New Roman"/>
          <w:b/>
          <w:color w:val="auto"/>
          <w:sz w:val="22"/>
          <w:szCs w:val="22"/>
        </w:rPr>
      </w:pPr>
      <w:r w:rsidRPr="00AD784C">
        <w:rPr>
          <w:rFonts w:ascii="Times New Roman" w:hAnsi="Times New Roman" w:cs="Times New Roman"/>
          <w:b/>
          <w:color w:val="auto"/>
          <w:sz w:val="22"/>
          <w:szCs w:val="22"/>
        </w:rPr>
        <w:t>Section 4</w:t>
      </w:r>
      <w:r w:rsidRPr="00AD784C">
        <w:rPr>
          <w:rFonts w:ascii="Times New Roman" w:hAnsi="Times New Roman" w:cs="Times New Roman"/>
          <w:b/>
          <w:color w:val="auto"/>
          <w:sz w:val="22"/>
          <w:szCs w:val="22"/>
        </w:rPr>
        <w:tab/>
        <w:t>Aligning of sunsetting</w:t>
      </w:r>
    </w:p>
    <w:p w14:paraId="071DB4E3" w14:textId="77777777" w:rsidR="00AD784C" w:rsidRPr="00AD784C" w:rsidRDefault="00AD784C" w:rsidP="00AD784C">
      <w:pPr>
        <w:pStyle w:val="Default"/>
        <w:spacing w:after="160" w:line="259" w:lineRule="auto"/>
        <w:rPr>
          <w:color w:val="auto"/>
          <w:sz w:val="22"/>
          <w:szCs w:val="22"/>
        </w:rPr>
      </w:pPr>
    </w:p>
    <w:p w14:paraId="19B118F2" w14:textId="354CFF19" w:rsidR="00AD784C" w:rsidRPr="00AD784C" w:rsidRDefault="00AD784C" w:rsidP="00AD784C">
      <w:pPr>
        <w:pStyle w:val="Default"/>
        <w:spacing w:after="160" w:line="259" w:lineRule="auto"/>
        <w:rPr>
          <w:color w:val="auto"/>
          <w:sz w:val="22"/>
          <w:szCs w:val="22"/>
        </w:rPr>
      </w:pPr>
      <w:r w:rsidRPr="00AD784C">
        <w:rPr>
          <w:color w:val="auto"/>
          <w:sz w:val="22"/>
          <w:szCs w:val="22"/>
        </w:rPr>
        <w:t xml:space="preserve">This section provides that the following instruments are repealed by section 51A of the </w:t>
      </w:r>
      <w:r w:rsidRPr="00AD784C">
        <w:rPr>
          <w:i/>
          <w:iCs/>
          <w:color w:val="auto"/>
          <w:sz w:val="22"/>
          <w:szCs w:val="22"/>
        </w:rPr>
        <w:t>Legislation</w:t>
      </w:r>
      <w:r w:rsidR="00715170">
        <w:rPr>
          <w:i/>
          <w:iCs/>
          <w:color w:val="auto"/>
          <w:sz w:val="22"/>
          <w:szCs w:val="22"/>
        </w:rPr>
        <w:t> </w:t>
      </w:r>
      <w:r w:rsidRPr="00AD784C">
        <w:rPr>
          <w:i/>
          <w:iCs/>
          <w:color w:val="auto"/>
          <w:sz w:val="22"/>
          <w:szCs w:val="22"/>
        </w:rPr>
        <w:t xml:space="preserve">Act 2003 </w:t>
      </w:r>
      <w:r w:rsidRPr="00AD784C">
        <w:rPr>
          <w:color w:val="auto"/>
          <w:sz w:val="22"/>
          <w:szCs w:val="22"/>
        </w:rPr>
        <w:t xml:space="preserve">on 1 </w:t>
      </w:r>
      <w:r>
        <w:rPr>
          <w:color w:val="auto"/>
          <w:sz w:val="22"/>
          <w:szCs w:val="22"/>
        </w:rPr>
        <w:t>April 2024</w:t>
      </w:r>
      <w:r w:rsidRPr="00AD784C">
        <w:rPr>
          <w:color w:val="auto"/>
          <w:sz w:val="22"/>
          <w:szCs w:val="22"/>
        </w:rPr>
        <w:t xml:space="preserve">: </w:t>
      </w:r>
    </w:p>
    <w:p w14:paraId="3A16C365" w14:textId="1D3015CB" w:rsidR="00AD784C" w:rsidRPr="00410B2C" w:rsidRDefault="00AD784C" w:rsidP="00AD784C">
      <w:pPr>
        <w:pStyle w:val="ListParagraph"/>
        <w:numPr>
          <w:ilvl w:val="0"/>
          <w:numId w:val="8"/>
        </w:numPr>
        <w:spacing w:after="160" w:line="259" w:lineRule="auto"/>
        <w:contextualSpacing w:val="0"/>
        <w:rPr>
          <w:i/>
          <w:color w:val="000000"/>
          <w:sz w:val="22"/>
          <w:szCs w:val="22"/>
        </w:rPr>
      </w:pPr>
      <w:r w:rsidRPr="00410B2C">
        <w:rPr>
          <w:color w:val="000000"/>
          <w:sz w:val="22"/>
          <w:szCs w:val="22"/>
        </w:rPr>
        <w:t xml:space="preserve">the </w:t>
      </w:r>
      <w:r w:rsidRPr="004A51C9">
        <w:rPr>
          <w:i/>
          <w:color w:val="000000"/>
          <w:sz w:val="22"/>
          <w:szCs w:val="22"/>
        </w:rPr>
        <w:t>Lady Elliot Island Lightstation Heritage Management Plan</w:t>
      </w:r>
      <w:r w:rsidR="00306FC5">
        <w:rPr>
          <w:i/>
          <w:color w:val="000000"/>
          <w:sz w:val="22"/>
          <w:szCs w:val="22"/>
        </w:rPr>
        <w:t xml:space="preserve"> </w:t>
      </w:r>
      <w:r w:rsidR="00306FC5">
        <w:rPr>
          <w:color w:val="000000"/>
          <w:sz w:val="22"/>
          <w:szCs w:val="22"/>
        </w:rPr>
        <w:t>(</w:t>
      </w:r>
      <w:proofErr w:type="spellStart"/>
      <w:r w:rsidR="00306FC5">
        <w:rPr>
          <w:color w:val="000000"/>
          <w:sz w:val="22"/>
          <w:szCs w:val="22"/>
        </w:rPr>
        <w:t>Cth</w:t>
      </w:r>
      <w:proofErr w:type="spellEnd"/>
      <w:r w:rsidR="00306FC5">
        <w:rPr>
          <w:color w:val="000000"/>
          <w:sz w:val="22"/>
          <w:szCs w:val="22"/>
        </w:rPr>
        <w:t>)</w:t>
      </w:r>
      <w:r w:rsidRPr="00410B2C">
        <w:rPr>
          <w:color w:val="000000"/>
          <w:sz w:val="22"/>
          <w:szCs w:val="22"/>
        </w:rPr>
        <w:t>; and</w:t>
      </w:r>
      <w:r w:rsidRPr="00410B2C">
        <w:rPr>
          <w:i/>
          <w:color w:val="000000"/>
          <w:sz w:val="22"/>
          <w:szCs w:val="22"/>
        </w:rPr>
        <w:t xml:space="preserve"> </w:t>
      </w:r>
    </w:p>
    <w:p w14:paraId="1652DE79" w14:textId="7E1ADDD1" w:rsidR="00AD784C" w:rsidRPr="00AD784C" w:rsidRDefault="00AD784C" w:rsidP="00AD784C">
      <w:pPr>
        <w:pStyle w:val="ListParagraph"/>
        <w:numPr>
          <w:ilvl w:val="0"/>
          <w:numId w:val="8"/>
        </w:numPr>
        <w:spacing w:after="160" w:line="259" w:lineRule="auto"/>
        <w:contextualSpacing w:val="0"/>
        <w:rPr>
          <w:b/>
          <w:sz w:val="22"/>
          <w:szCs w:val="22"/>
          <w:lang w:val="en-AU"/>
        </w:rPr>
      </w:pPr>
      <w:r w:rsidRPr="00410B2C">
        <w:rPr>
          <w:color w:val="000000"/>
          <w:sz w:val="22"/>
          <w:szCs w:val="22"/>
        </w:rPr>
        <w:t xml:space="preserve">the </w:t>
      </w:r>
      <w:r w:rsidRPr="004A51C9">
        <w:rPr>
          <w:i/>
          <w:color w:val="000000"/>
          <w:sz w:val="22"/>
          <w:szCs w:val="22"/>
        </w:rPr>
        <w:t>Dent Island Lightstation Heritage Management Plan</w:t>
      </w:r>
      <w:r w:rsidR="00306FC5">
        <w:rPr>
          <w:i/>
          <w:color w:val="000000"/>
          <w:sz w:val="22"/>
          <w:szCs w:val="22"/>
        </w:rPr>
        <w:t xml:space="preserve"> </w:t>
      </w:r>
      <w:r w:rsidR="00306FC5">
        <w:rPr>
          <w:color w:val="000000"/>
          <w:sz w:val="22"/>
          <w:szCs w:val="22"/>
        </w:rPr>
        <w:t>(Cth)</w:t>
      </w:r>
      <w:r w:rsidRPr="00410B2C">
        <w:rPr>
          <w:color w:val="000000"/>
          <w:sz w:val="22"/>
          <w:szCs w:val="22"/>
        </w:rPr>
        <w:t>.</w:t>
      </w:r>
    </w:p>
    <w:p w14:paraId="042D8733" w14:textId="77777777" w:rsidR="00AD784C" w:rsidRPr="00AD784C" w:rsidRDefault="00AD784C" w:rsidP="00AD784C">
      <w:pPr>
        <w:spacing w:after="160" w:line="259" w:lineRule="auto"/>
        <w:rPr>
          <w:sz w:val="22"/>
          <w:szCs w:val="22"/>
        </w:rPr>
      </w:pPr>
      <w:r w:rsidRPr="00AD784C">
        <w:rPr>
          <w:sz w:val="22"/>
          <w:szCs w:val="22"/>
        </w:rPr>
        <w:t xml:space="preserve">1 </w:t>
      </w:r>
      <w:r>
        <w:rPr>
          <w:sz w:val="22"/>
          <w:szCs w:val="22"/>
        </w:rPr>
        <w:t>April 2024</w:t>
      </w:r>
      <w:r w:rsidRPr="00AD784C">
        <w:rPr>
          <w:sz w:val="22"/>
          <w:szCs w:val="22"/>
        </w:rPr>
        <w:t xml:space="preserve"> is the aligned sunsetting day for those instruments, which would otherwise have sunset on 1 October 2022 and 1 </w:t>
      </w:r>
      <w:r>
        <w:rPr>
          <w:sz w:val="22"/>
          <w:szCs w:val="22"/>
        </w:rPr>
        <w:t>April 2024</w:t>
      </w:r>
      <w:r w:rsidRPr="00AD784C">
        <w:rPr>
          <w:sz w:val="22"/>
          <w:szCs w:val="22"/>
        </w:rPr>
        <w:t xml:space="preserve"> respectively.</w:t>
      </w:r>
    </w:p>
    <w:p w14:paraId="61A86EB1" w14:textId="77777777" w:rsidR="00AD784C" w:rsidRPr="00AD784C" w:rsidRDefault="00AD784C" w:rsidP="00AD784C">
      <w:pPr>
        <w:pStyle w:val="Heading3"/>
        <w:spacing w:before="0" w:after="160" w:line="259" w:lineRule="auto"/>
        <w:rPr>
          <w:rFonts w:ascii="Times New Roman" w:hAnsi="Times New Roman" w:cs="Times New Roman"/>
          <w:color w:val="auto"/>
          <w:sz w:val="22"/>
          <w:szCs w:val="22"/>
        </w:rPr>
      </w:pPr>
    </w:p>
    <w:p w14:paraId="15AB5ADD" w14:textId="77777777" w:rsidR="00AD784C" w:rsidRPr="00AD784C" w:rsidRDefault="00AD784C" w:rsidP="00AD784C">
      <w:pPr>
        <w:pStyle w:val="Heading3"/>
        <w:spacing w:before="0" w:after="160" w:line="259" w:lineRule="auto"/>
        <w:rPr>
          <w:rFonts w:ascii="Times New Roman" w:hAnsi="Times New Roman" w:cs="Times New Roman"/>
          <w:b/>
          <w:color w:val="auto"/>
          <w:sz w:val="22"/>
          <w:szCs w:val="22"/>
        </w:rPr>
      </w:pPr>
      <w:r w:rsidRPr="00AD784C">
        <w:rPr>
          <w:rFonts w:ascii="Times New Roman" w:hAnsi="Times New Roman" w:cs="Times New Roman"/>
          <w:b/>
          <w:color w:val="auto"/>
          <w:sz w:val="22"/>
          <w:szCs w:val="22"/>
        </w:rPr>
        <w:t>Section 5</w:t>
      </w:r>
      <w:r w:rsidRPr="00AD784C">
        <w:rPr>
          <w:rFonts w:ascii="Times New Roman" w:hAnsi="Times New Roman" w:cs="Times New Roman"/>
          <w:b/>
          <w:color w:val="auto"/>
          <w:sz w:val="22"/>
          <w:szCs w:val="22"/>
        </w:rPr>
        <w:tab/>
        <w:t>Repeal of this instrument</w:t>
      </w:r>
    </w:p>
    <w:p w14:paraId="69C98C9A" w14:textId="77777777" w:rsidR="00AD784C" w:rsidRPr="00AD784C" w:rsidRDefault="00AD784C" w:rsidP="00AD784C">
      <w:pPr>
        <w:pStyle w:val="subsection"/>
        <w:spacing w:before="0" w:after="160" w:line="259" w:lineRule="auto"/>
        <w:ind w:left="0" w:firstLine="0"/>
        <w:jc w:val="both"/>
        <w:rPr>
          <w:snapToGrid/>
          <w:sz w:val="22"/>
          <w:szCs w:val="22"/>
          <w:lang w:val="en-AU" w:eastAsia="en-US"/>
        </w:rPr>
      </w:pPr>
    </w:p>
    <w:p w14:paraId="7423D240" w14:textId="65E34164" w:rsidR="00AD784C" w:rsidRPr="00AD784C" w:rsidRDefault="00AD784C" w:rsidP="00AD784C">
      <w:pPr>
        <w:pStyle w:val="subsection"/>
        <w:spacing w:before="0" w:after="160" w:line="259" w:lineRule="auto"/>
        <w:ind w:left="0" w:firstLine="0"/>
        <w:jc w:val="both"/>
        <w:rPr>
          <w:sz w:val="22"/>
          <w:szCs w:val="22"/>
          <w:lang w:val="en-AU"/>
        </w:rPr>
      </w:pPr>
      <w:r w:rsidRPr="00AD784C">
        <w:rPr>
          <w:snapToGrid/>
          <w:sz w:val="22"/>
          <w:szCs w:val="22"/>
          <w:lang w:val="en-AU" w:eastAsia="en-US"/>
        </w:rPr>
        <w:t xml:space="preserve">This section provides that the </w:t>
      </w:r>
      <w:r w:rsidR="00715170">
        <w:rPr>
          <w:snapToGrid/>
          <w:sz w:val="22"/>
          <w:szCs w:val="22"/>
          <w:lang w:val="en-AU" w:eastAsia="en-US"/>
        </w:rPr>
        <w:t>Declaration</w:t>
      </w:r>
      <w:r w:rsidR="00715170" w:rsidRPr="00AD784C">
        <w:rPr>
          <w:snapToGrid/>
          <w:sz w:val="22"/>
          <w:szCs w:val="22"/>
          <w:lang w:val="en-AU" w:eastAsia="en-US"/>
        </w:rPr>
        <w:t xml:space="preserve"> </w:t>
      </w:r>
      <w:r w:rsidRPr="00AD784C">
        <w:rPr>
          <w:snapToGrid/>
          <w:sz w:val="22"/>
          <w:szCs w:val="22"/>
          <w:lang w:val="en-AU" w:eastAsia="en-US"/>
        </w:rPr>
        <w:t>is repealed at the start of 2</w:t>
      </w:r>
      <w:r>
        <w:rPr>
          <w:snapToGrid/>
          <w:sz w:val="22"/>
          <w:szCs w:val="22"/>
          <w:lang w:val="en-AU" w:eastAsia="en-US"/>
        </w:rPr>
        <w:t xml:space="preserve"> April 2024</w:t>
      </w:r>
      <w:r w:rsidRPr="00AD784C">
        <w:rPr>
          <w:sz w:val="22"/>
          <w:szCs w:val="22"/>
        </w:rPr>
        <w:t>.</w:t>
      </w:r>
    </w:p>
    <w:p w14:paraId="1D45C714" w14:textId="77777777" w:rsidR="00AD784C" w:rsidRPr="00D47B64" w:rsidRDefault="00AD784C" w:rsidP="00D47B64">
      <w:pPr>
        <w:spacing w:after="200" w:line="276" w:lineRule="auto"/>
        <w:contextualSpacing/>
        <w:jc w:val="both"/>
        <w:rPr>
          <w:color w:val="000000"/>
          <w:sz w:val="22"/>
          <w:szCs w:val="22"/>
        </w:rPr>
      </w:pPr>
    </w:p>
    <w:sectPr w:rsidR="00AD784C" w:rsidRPr="00D47B64" w:rsidSect="003141CF">
      <w:foot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5D525" w14:textId="77777777" w:rsidR="00D9754F" w:rsidRDefault="00D9754F" w:rsidP="009B152F">
      <w:r>
        <w:separator/>
      </w:r>
    </w:p>
  </w:endnote>
  <w:endnote w:type="continuationSeparator" w:id="0">
    <w:p w14:paraId="35C9A4C9" w14:textId="77777777" w:rsidR="00D9754F" w:rsidRDefault="00D9754F" w:rsidP="009B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665426"/>
      <w:docPartObj>
        <w:docPartGallery w:val="Page Numbers (Bottom of Page)"/>
        <w:docPartUnique/>
      </w:docPartObj>
    </w:sdtPr>
    <w:sdtEndPr>
      <w:rPr>
        <w:noProof/>
      </w:rPr>
    </w:sdtEndPr>
    <w:sdtContent>
      <w:p w14:paraId="5196B3C1" w14:textId="77777777" w:rsidR="009B152F" w:rsidRDefault="009B15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AD319" w14:textId="77777777" w:rsidR="009B152F" w:rsidRDefault="009B1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E2076" w14:textId="77777777" w:rsidR="00D9754F" w:rsidRDefault="00D9754F" w:rsidP="009B152F">
      <w:r>
        <w:separator/>
      </w:r>
    </w:p>
  </w:footnote>
  <w:footnote w:type="continuationSeparator" w:id="0">
    <w:p w14:paraId="71F40747" w14:textId="77777777" w:rsidR="00D9754F" w:rsidRDefault="00D9754F" w:rsidP="009B1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71FE"/>
    <w:multiLevelType w:val="hybridMultilevel"/>
    <w:tmpl w:val="C70A7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D03AB"/>
    <w:multiLevelType w:val="hybridMultilevel"/>
    <w:tmpl w:val="09E844D8"/>
    <w:lvl w:ilvl="0" w:tplc="8EBA1950">
      <w:start w:val="1"/>
      <w:numFmt w:val="lowerLetter"/>
      <w:lvlText w:val="(%1)"/>
      <w:lvlJc w:val="left"/>
      <w:pPr>
        <w:ind w:left="825" w:hanging="465"/>
      </w:pPr>
      <w:rPr>
        <w:rFonts w:hint="default"/>
        <w:b w:val="0"/>
      </w:rPr>
    </w:lvl>
    <w:lvl w:ilvl="1" w:tplc="01EC1E48">
      <w:start w:val="1"/>
      <w:numFmt w:val="lowerRoman"/>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3561F8"/>
    <w:multiLevelType w:val="hybridMultilevel"/>
    <w:tmpl w:val="92C86AE8"/>
    <w:lvl w:ilvl="0" w:tplc="0C090001">
      <w:start w:val="1"/>
      <w:numFmt w:val="bullet"/>
      <w:lvlText w:val=""/>
      <w:lvlJc w:val="left"/>
      <w:pPr>
        <w:ind w:left="720" w:hanging="360"/>
      </w:pPr>
      <w:rPr>
        <w:rFonts w:ascii="Symbol" w:hAnsi="Symbo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BB3CD0"/>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C65D28"/>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9B01A4"/>
    <w:multiLevelType w:val="hybridMultilevel"/>
    <w:tmpl w:val="2A36C3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AB53EB"/>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6F509A"/>
    <w:multiLevelType w:val="hybridMultilevel"/>
    <w:tmpl w:val="CA12C97A"/>
    <w:lvl w:ilvl="0" w:tplc="3E4E9352">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C422F7"/>
    <w:multiLevelType w:val="hybridMultilevel"/>
    <w:tmpl w:val="AEC8CF46"/>
    <w:lvl w:ilvl="0" w:tplc="3E4E9352">
      <w:start w:val="1"/>
      <w:numFmt w:val="lowerLetter"/>
      <w:lvlText w:val="(%1)"/>
      <w:lvlJc w:val="left"/>
      <w:pPr>
        <w:ind w:left="720" w:hanging="360"/>
      </w:pPr>
      <w:rPr>
        <w:rFonts w:hint="default"/>
      </w:rPr>
    </w:lvl>
    <w:lvl w:ilvl="1" w:tplc="01EC1E48">
      <w:start w:val="1"/>
      <w:numFmt w:val="lowerRoman"/>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73742E"/>
    <w:multiLevelType w:val="multilevel"/>
    <w:tmpl w:val="C786FC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4B034F0"/>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4B5619"/>
    <w:multiLevelType w:val="hybridMultilevel"/>
    <w:tmpl w:val="4DB80C30"/>
    <w:lvl w:ilvl="0" w:tplc="8EBA1950">
      <w:start w:val="1"/>
      <w:numFmt w:val="lowerLetter"/>
      <w:lvlText w:val="(%1)"/>
      <w:lvlJc w:val="left"/>
      <w:pPr>
        <w:ind w:left="825" w:hanging="465"/>
      </w:pPr>
      <w:rPr>
        <w:rFonts w:hint="default"/>
        <w:b w:val="0"/>
      </w:rPr>
    </w:lvl>
    <w:lvl w:ilvl="1" w:tplc="E3F840AA">
      <w:start w:val="1"/>
      <w:numFmt w:val="lowerRoman"/>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FE14A1"/>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5"/>
  </w:num>
  <w:num w:numId="4">
    <w:abstractNumId w:val="1"/>
  </w:num>
  <w:num w:numId="5">
    <w:abstractNumId w:val="11"/>
  </w:num>
  <w:num w:numId="6">
    <w:abstractNumId w:val="10"/>
  </w:num>
  <w:num w:numId="7">
    <w:abstractNumId w:val="6"/>
  </w:num>
  <w:num w:numId="8">
    <w:abstractNumId w:val="2"/>
  </w:num>
  <w:num w:numId="9">
    <w:abstractNumId w:val="3"/>
  </w:num>
  <w:num w:numId="10">
    <w:abstractNumId w:val="0"/>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2F"/>
    <w:rsid w:val="00013270"/>
    <w:rsid w:val="00096FB7"/>
    <w:rsid w:val="000A5D69"/>
    <w:rsid w:val="000B6D42"/>
    <w:rsid w:val="000C5AF0"/>
    <w:rsid w:val="000E0610"/>
    <w:rsid w:val="000E6165"/>
    <w:rsid w:val="000F11CB"/>
    <w:rsid w:val="00197688"/>
    <w:rsid w:val="0028687E"/>
    <w:rsid w:val="002869CD"/>
    <w:rsid w:val="002B19FB"/>
    <w:rsid w:val="002F2252"/>
    <w:rsid w:val="002F3BD0"/>
    <w:rsid w:val="00306FC5"/>
    <w:rsid w:val="003141CF"/>
    <w:rsid w:val="00410B2C"/>
    <w:rsid w:val="00411456"/>
    <w:rsid w:val="00436398"/>
    <w:rsid w:val="004A51C9"/>
    <w:rsid w:val="004B613E"/>
    <w:rsid w:val="004B7090"/>
    <w:rsid w:val="004F69E1"/>
    <w:rsid w:val="005739B3"/>
    <w:rsid w:val="005D7F0D"/>
    <w:rsid w:val="006231B5"/>
    <w:rsid w:val="00630686"/>
    <w:rsid w:val="006A72EA"/>
    <w:rsid w:val="00715170"/>
    <w:rsid w:val="00716AF1"/>
    <w:rsid w:val="007172CD"/>
    <w:rsid w:val="00735044"/>
    <w:rsid w:val="0079307D"/>
    <w:rsid w:val="00795DF1"/>
    <w:rsid w:val="007B2093"/>
    <w:rsid w:val="007B2380"/>
    <w:rsid w:val="007D16E1"/>
    <w:rsid w:val="007E3BBE"/>
    <w:rsid w:val="00805C73"/>
    <w:rsid w:val="00832450"/>
    <w:rsid w:val="008A2FF6"/>
    <w:rsid w:val="008D05F5"/>
    <w:rsid w:val="008E2867"/>
    <w:rsid w:val="008E3968"/>
    <w:rsid w:val="009035ED"/>
    <w:rsid w:val="00982DEE"/>
    <w:rsid w:val="009A19F2"/>
    <w:rsid w:val="009B152F"/>
    <w:rsid w:val="009C7F0A"/>
    <w:rsid w:val="009E5F5A"/>
    <w:rsid w:val="009F11D6"/>
    <w:rsid w:val="009F506F"/>
    <w:rsid w:val="00A1790B"/>
    <w:rsid w:val="00A52D06"/>
    <w:rsid w:val="00A96FF8"/>
    <w:rsid w:val="00AA34A1"/>
    <w:rsid w:val="00AC0AB5"/>
    <w:rsid w:val="00AC22C7"/>
    <w:rsid w:val="00AD6EDF"/>
    <w:rsid w:val="00AD784C"/>
    <w:rsid w:val="00B00D88"/>
    <w:rsid w:val="00B20C0D"/>
    <w:rsid w:val="00B879E3"/>
    <w:rsid w:val="00B91CE6"/>
    <w:rsid w:val="00BC2047"/>
    <w:rsid w:val="00C37996"/>
    <w:rsid w:val="00C835A7"/>
    <w:rsid w:val="00CB163C"/>
    <w:rsid w:val="00D47B64"/>
    <w:rsid w:val="00D549EF"/>
    <w:rsid w:val="00D5633A"/>
    <w:rsid w:val="00D860D1"/>
    <w:rsid w:val="00D9754F"/>
    <w:rsid w:val="00DA2632"/>
    <w:rsid w:val="00DB08DD"/>
    <w:rsid w:val="00DF60BB"/>
    <w:rsid w:val="00E203B9"/>
    <w:rsid w:val="00E23E7B"/>
    <w:rsid w:val="00E27E23"/>
    <w:rsid w:val="00E819F4"/>
    <w:rsid w:val="00E865B0"/>
    <w:rsid w:val="00E95472"/>
    <w:rsid w:val="00ED6293"/>
    <w:rsid w:val="00F102F6"/>
    <w:rsid w:val="00F33F9A"/>
    <w:rsid w:val="00F40DC6"/>
    <w:rsid w:val="00FA4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796B"/>
  <w15:chartTrackingRefBased/>
  <w15:docId w15:val="{AE2DACA1-8DCD-48D1-9807-D52AAA78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52F"/>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9B152F"/>
    <w:pPr>
      <w:keepNext w:val="0"/>
      <w:keepLines w:val="0"/>
      <w:spacing w:before="360" w:line="260" w:lineRule="atLeast"/>
      <w:jc w:val="center"/>
      <w:outlineLvl w:val="0"/>
    </w:pPr>
    <w:rPr>
      <w:rFonts w:ascii="Times New Roman" w:eastAsia="Times New Roman" w:hAnsi="Times New Roman" w:cs="Times New Roman"/>
      <w:b/>
      <w:color w:val="auto"/>
      <w:sz w:val="28"/>
      <w:szCs w:val="24"/>
      <w:lang w:val="en-AU"/>
    </w:rPr>
  </w:style>
  <w:style w:type="paragraph" w:styleId="Heading2">
    <w:name w:val="heading 2"/>
    <w:basedOn w:val="Normal"/>
    <w:next w:val="Normal"/>
    <w:link w:val="Heading2Char"/>
    <w:uiPriority w:val="9"/>
    <w:semiHidden/>
    <w:unhideWhenUsed/>
    <w:qFormat/>
    <w:rsid w:val="009B15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152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52F"/>
    <w:rPr>
      <w:rFonts w:ascii="Times New Roman" w:eastAsia="Times New Roman" w:hAnsi="Times New Roman" w:cs="Times New Roman"/>
      <w:b/>
      <w:snapToGrid w:val="0"/>
      <w:sz w:val="28"/>
      <w:szCs w:val="24"/>
    </w:rPr>
  </w:style>
  <w:style w:type="paragraph" w:customStyle="1" w:styleId="Basetext">
    <w:name w:val="Base text"/>
    <w:basedOn w:val="Normal"/>
    <w:link w:val="BasetextChar"/>
    <w:qFormat/>
    <w:rsid w:val="009B152F"/>
    <w:pPr>
      <w:spacing w:before="180" w:line="276" w:lineRule="auto"/>
    </w:pPr>
    <w:rPr>
      <w:sz w:val="22"/>
      <w:szCs w:val="22"/>
      <w:lang w:val="en-AU"/>
    </w:rPr>
  </w:style>
  <w:style w:type="character" w:customStyle="1" w:styleId="BasetextChar">
    <w:name w:val="Base text Char"/>
    <w:basedOn w:val="DefaultParagraphFont"/>
    <w:link w:val="Basetext"/>
    <w:rsid w:val="009B152F"/>
    <w:rPr>
      <w:rFonts w:ascii="Times New Roman" w:eastAsia="Times New Roman" w:hAnsi="Times New Roman" w:cs="Times New Roman"/>
      <w:snapToGrid w:val="0"/>
    </w:rPr>
  </w:style>
  <w:style w:type="character" w:customStyle="1" w:styleId="Heading2Char">
    <w:name w:val="Heading 2 Char"/>
    <w:basedOn w:val="DefaultParagraphFont"/>
    <w:link w:val="Heading2"/>
    <w:uiPriority w:val="9"/>
    <w:semiHidden/>
    <w:rsid w:val="009B152F"/>
    <w:rPr>
      <w:rFonts w:asciiTheme="majorHAnsi" w:eastAsiaTheme="majorEastAsia" w:hAnsiTheme="majorHAnsi" w:cstheme="majorBidi"/>
      <w:snapToGrid w:val="0"/>
      <w:color w:val="2F5496" w:themeColor="accent1" w:themeShade="BF"/>
      <w:sz w:val="26"/>
      <w:szCs w:val="26"/>
      <w:lang w:val="en-US"/>
    </w:rPr>
  </w:style>
  <w:style w:type="paragraph" w:styleId="ListParagraph">
    <w:name w:val="List Paragraph"/>
    <w:basedOn w:val="Normal"/>
    <w:uiPriority w:val="34"/>
    <w:qFormat/>
    <w:rsid w:val="009B152F"/>
    <w:pPr>
      <w:ind w:left="720"/>
      <w:contextualSpacing/>
    </w:pPr>
  </w:style>
  <w:style w:type="paragraph" w:styleId="Header">
    <w:name w:val="header"/>
    <w:basedOn w:val="Normal"/>
    <w:link w:val="HeaderChar"/>
    <w:uiPriority w:val="99"/>
    <w:unhideWhenUsed/>
    <w:rsid w:val="009B152F"/>
    <w:pPr>
      <w:tabs>
        <w:tab w:val="center" w:pos="4513"/>
        <w:tab w:val="right" w:pos="9026"/>
      </w:tabs>
    </w:pPr>
  </w:style>
  <w:style w:type="character" w:customStyle="1" w:styleId="HeaderChar">
    <w:name w:val="Header Char"/>
    <w:basedOn w:val="DefaultParagraphFont"/>
    <w:link w:val="Header"/>
    <w:uiPriority w:val="99"/>
    <w:rsid w:val="009B152F"/>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9B152F"/>
    <w:pPr>
      <w:tabs>
        <w:tab w:val="center" w:pos="4513"/>
        <w:tab w:val="right" w:pos="9026"/>
      </w:tabs>
    </w:pPr>
  </w:style>
  <w:style w:type="character" w:customStyle="1" w:styleId="FooterChar">
    <w:name w:val="Footer Char"/>
    <w:basedOn w:val="DefaultParagraphFont"/>
    <w:link w:val="Footer"/>
    <w:uiPriority w:val="99"/>
    <w:rsid w:val="009B152F"/>
    <w:rPr>
      <w:rFonts w:ascii="Times New Roman" w:eastAsia="Times New Roman" w:hAnsi="Times New Roman" w:cs="Times New Roman"/>
      <w:snapToGrid w:val="0"/>
      <w:sz w:val="24"/>
      <w:szCs w:val="20"/>
      <w:lang w:val="en-US"/>
    </w:rPr>
  </w:style>
  <w:style w:type="character" w:customStyle="1" w:styleId="Heading3Char">
    <w:name w:val="Heading 3 Char"/>
    <w:basedOn w:val="DefaultParagraphFont"/>
    <w:link w:val="Heading3"/>
    <w:uiPriority w:val="9"/>
    <w:semiHidden/>
    <w:rsid w:val="009B152F"/>
    <w:rPr>
      <w:rFonts w:asciiTheme="majorHAnsi" w:eastAsiaTheme="majorEastAsia" w:hAnsiTheme="majorHAnsi" w:cstheme="majorBidi"/>
      <w:snapToGrid w:val="0"/>
      <w:color w:val="1F3763" w:themeColor="accent1" w:themeShade="7F"/>
      <w:sz w:val="24"/>
      <w:szCs w:val="24"/>
      <w:lang w:val="en-US"/>
    </w:rPr>
  </w:style>
  <w:style w:type="character" w:styleId="CommentReference">
    <w:name w:val="annotation reference"/>
    <w:basedOn w:val="DefaultParagraphFont"/>
    <w:uiPriority w:val="99"/>
    <w:semiHidden/>
    <w:unhideWhenUsed/>
    <w:rsid w:val="009B152F"/>
    <w:rPr>
      <w:sz w:val="16"/>
      <w:szCs w:val="16"/>
    </w:rPr>
  </w:style>
  <w:style w:type="paragraph" w:styleId="CommentText">
    <w:name w:val="annotation text"/>
    <w:basedOn w:val="Normal"/>
    <w:link w:val="CommentTextChar"/>
    <w:uiPriority w:val="99"/>
    <w:unhideWhenUsed/>
    <w:rsid w:val="009B152F"/>
    <w:rPr>
      <w:sz w:val="20"/>
    </w:rPr>
  </w:style>
  <w:style w:type="character" w:customStyle="1" w:styleId="CommentTextChar">
    <w:name w:val="Comment Text Char"/>
    <w:basedOn w:val="DefaultParagraphFont"/>
    <w:link w:val="CommentText"/>
    <w:uiPriority w:val="99"/>
    <w:rsid w:val="009B152F"/>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9B152F"/>
    <w:rPr>
      <w:b/>
      <w:bCs/>
    </w:rPr>
  </w:style>
  <w:style w:type="character" w:customStyle="1" w:styleId="CommentSubjectChar">
    <w:name w:val="Comment Subject Char"/>
    <w:basedOn w:val="CommentTextChar"/>
    <w:link w:val="CommentSubject"/>
    <w:uiPriority w:val="99"/>
    <w:semiHidden/>
    <w:rsid w:val="009B152F"/>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9B1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52F"/>
    <w:rPr>
      <w:rFonts w:ascii="Segoe UI" w:eastAsia="Times New Roman" w:hAnsi="Segoe UI" w:cs="Segoe UI"/>
      <w:snapToGrid w:val="0"/>
      <w:sz w:val="18"/>
      <w:szCs w:val="18"/>
      <w:lang w:val="en-US"/>
    </w:rPr>
  </w:style>
  <w:style w:type="paragraph" w:customStyle="1" w:styleId="Celltext">
    <w:name w:val="Cell text"/>
    <w:basedOn w:val="Normal"/>
    <w:uiPriority w:val="99"/>
    <w:rsid w:val="00DA2632"/>
    <w:pPr>
      <w:widowControl/>
      <w:spacing w:before="120"/>
    </w:pPr>
    <w:rPr>
      <w:snapToGrid/>
      <w:lang w:val="en-AU" w:eastAsia="en-AU"/>
    </w:rPr>
  </w:style>
  <w:style w:type="paragraph" w:customStyle="1" w:styleId="subsection">
    <w:name w:val="subsection"/>
    <w:aliases w:val="ss"/>
    <w:basedOn w:val="Normal"/>
    <w:link w:val="subsectionChar"/>
    <w:rsid w:val="00AD784C"/>
    <w:pPr>
      <w:tabs>
        <w:tab w:val="right" w:pos="1021"/>
      </w:tabs>
      <w:spacing w:before="180"/>
      <w:ind w:left="1134" w:hanging="1134"/>
    </w:pPr>
    <w:rPr>
      <w:lang w:eastAsia="en-AU"/>
    </w:rPr>
  </w:style>
  <w:style w:type="character" w:customStyle="1" w:styleId="subsectionChar">
    <w:name w:val="subsection Char"/>
    <w:aliases w:val="ss Char"/>
    <w:link w:val="subsection"/>
    <w:locked/>
    <w:rsid w:val="00AD784C"/>
    <w:rPr>
      <w:rFonts w:ascii="Times New Roman" w:eastAsia="Times New Roman" w:hAnsi="Times New Roman" w:cs="Times New Roman"/>
      <w:snapToGrid w:val="0"/>
      <w:sz w:val="24"/>
      <w:szCs w:val="20"/>
      <w:lang w:val="en-US" w:eastAsia="en-AU"/>
    </w:rPr>
  </w:style>
  <w:style w:type="paragraph" w:customStyle="1" w:styleId="Default">
    <w:name w:val="Default"/>
    <w:rsid w:val="00AD784C"/>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9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F637A21-FE36-4BC0-8A5B-F51688F281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3BD57BC8738FA4B8D42C09D8E8ADB03" ma:contentTypeVersion="" ma:contentTypeDescription="PDMS Document Site Content Type" ma:contentTypeScope="" ma:versionID="655cbed1ee3bc7b186b4d522fb4301e3">
  <xsd:schema xmlns:xsd="http://www.w3.org/2001/XMLSchema" xmlns:xs="http://www.w3.org/2001/XMLSchema" xmlns:p="http://schemas.microsoft.com/office/2006/metadata/properties" xmlns:ns2="2F637A21-FE36-4BC0-8A5B-F51688F2811C" targetNamespace="http://schemas.microsoft.com/office/2006/metadata/properties" ma:root="true" ma:fieldsID="529191e8aee1425eda9fdd7e067b6487" ns2:_="">
    <xsd:import namespace="2F637A21-FE36-4BC0-8A5B-F51688F2811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37A21-FE36-4BC0-8A5B-F51688F2811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290A5-32F0-4288-A84A-DEA8CBEB4EE2}">
  <ds:schemaRef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2F637A21-FE36-4BC0-8A5B-F51688F2811C"/>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D364432E-8D81-4FB6-BA9D-0715D1710C5A}">
  <ds:schemaRefs>
    <ds:schemaRef ds:uri="http://schemas.microsoft.com/sharepoint/v3/contenttype/forms"/>
  </ds:schemaRefs>
</ds:datastoreItem>
</file>

<file path=customXml/itemProps3.xml><?xml version="1.0" encoding="utf-8"?>
<ds:datastoreItem xmlns:ds="http://schemas.openxmlformats.org/officeDocument/2006/customXml" ds:itemID="{2AD1B0CD-C5BC-44A8-AD10-5D4A59BE0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37A21-FE36-4BC0-8A5B-F51688F28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Lou</dc:creator>
  <cp:keywords/>
  <dc:description/>
  <cp:lastModifiedBy>Gallagher, Mark</cp:lastModifiedBy>
  <cp:revision>7</cp:revision>
  <dcterms:created xsi:type="dcterms:W3CDTF">2022-09-07T22:35:00Z</dcterms:created>
  <dcterms:modified xsi:type="dcterms:W3CDTF">2022-09-15T00:13:00Z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0x010100266966F133664895A6EE3632470D45F50003BD57BC8738FA4B8D42C09D8E8ADB03</vt:lpwstr>
  </property>
</Properties>
</file>