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8FD9D" w14:textId="77777777" w:rsidR="00CD0FAC" w:rsidRPr="00E64F2F" w:rsidRDefault="00CD0FAC" w:rsidP="00CD0FAC">
      <w:pPr>
        <w:jc w:val="center"/>
        <w:rPr>
          <w:b/>
          <w:u w:val="single"/>
        </w:rPr>
      </w:pPr>
      <w:r w:rsidRPr="00E64F2F">
        <w:rPr>
          <w:b/>
          <w:u w:val="single"/>
        </w:rPr>
        <w:t>EXPLANATORY STATEMENT</w:t>
      </w:r>
    </w:p>
    <w:p w14:paraId="080628D6" w14:textId="77777777" w:rsidR="00CD0FAC" w:rsidRPr="00E64F2F" w:rsidRDefault="00CD0FAC" w:rsidP="00CD0FAC">
      <w:pPr>
        <w:jc w:val="center"/>
        <w:rPr>
          <w:b/>
          <w:u w:val="single"/>
        </w:rPr>
      </w:pPr>
    </w:p>
    <w:p w14:paraId="6F594114" w14:textId="77777777" w:rsidR="00CD0FAC" w:rsidRPr="00E64F2F" w:rsidRDefault="00CD0FAC" w:rsidP="00CD0FAC">
      <w:pPr>
        <w:jc w:val="center"/>
        <w:rPr>
          <w:b/>
        </w:rPr>
      </w:pPr>
      <w:r w:rsidRPr="00E64F2F">
        <w:rPr>
          <w:b/>
        </w:rPr>
        <w:t xml:space="preserve">Issued by the authority of the Minister for Aged Care </w:t>
      </w:r>
    </w:p>
    <w:p w14:paraId="4E2283F7" w14:textId="77777777" w:rsidR="00CD0FAC" w:rsidRPr="00E64F2F" w:rsidRDefault="00CD0FAC" w:rsidP="00CD0FAC">
      <w:pPr>
        <w:jc w:val="center"/>
        <w:rPr>
          <w:b/>
          <w:i/>
        </w:rPr>
      </w:pPr>
    </w:p>
    <w:p w14:paraId="1D2D838F" w14:textId="77777777" w:rsidR="00CD0FAC" w:rsidRPr="00E64F2F" w:rsidRDefault="00CD0FAC" w:rsidP="00CD0FAC">
      <w:pPr>
        <w:jc w:val="center"/>
        <w:rPr>
          <w:b/>
          <w:i/>
        </w:rPr>
      </w:pPr>
      <w:r w:rsidRPr="00E64F2F">
        <w:rPr>
          <w:b/>
          <w:i/>
        </w:rPr>
        <w:t>Aged Care Act 1997</w:t>
      </w:r>
    </w:p>
    <w:p w14:paraId="761CBCD8" w14:textId="77777777" w:rsidR="00CD0FAC" w:rsidRPr="00E64F2F" w:rsidRDefault="00CD0FAC" w:rsidP="00CD0FAC">
      <w:pPr>
        <w:jc w:val="center"/>
        <w:rPr>
          <w:b/>
          <w:i/>
        </w:rPr>
      </w:pPr>
      <w:r w:rsidRPr="00E64F2F">
        <w:rPr>
          <w:b/>
          <w:i/>
        </w:rPr>
        <w:t>Aged Care Quality and Safety Commission Act 2018</w:t>
      </w:r>
    </w:p>
    <w:p w14:paraId="478597A4" w14:textId="77777777" w:rsidR="00CD0FAC" w:rsidRPr="00E64F2F" w:rsidRDefault="00CD0FAC" w:rsidP="00CD0FAC">
      <w:pPr>
        <w:rPr>
          <w:b/>
        </w:rPr>
      </w:pPr>
    </w:p>
    <w:p w14:paraId="6B173B14" w14:textId="77777777" w:rsidR="00CD0FAC" w:rsidRPr="00E64F2F" w:rsidRDefault="00CD0FAC" w:rsidP="00CD0FAC">
      <w:pPr>
        <w:jc w:val="center"/>
        <w:rPr>
          <w:i/>
        </w:rPr>
      </w:pPr>
      <w:r w:rsidRPr="00E64F2F">
        <w:rPr>
          <w:b/>
          <w:i/>
        </w:rPr>
        <w:t>Aged Care Legislation Amendment (Reportable Incidents) Instrument 2022</w:t>
      </w:r>
    </w:p>
    <w:p w14:paraId="7542598F" w14:textId="77777777" w:rsidR="00CD0FAC" w:rsidRPr="00E64F2F" w:rsidRDefault="00CD0FAC" w:rsidP="00CD0FAC"/>
    <w:p w14:paraId="0D72C75A" w14:textId="77777777" w:rsidR="00CD0FAC" w:rsidRPr="00E64F2F" w:rsidRDefault="00CD0FAC" w:rsidP="00CD0FAC">
      <w:pPr>
        <w:rPr>
          <w:b/>
        </w:rPr>
      </w:pPr>
      <w:r w:rsidRPr="00E64F2F">
        <w:rPr>
          <w:b/>
        </w:rPr>
        <w:t>Purpose</w:t>
      </w:r>
    </w:p>
    <w:p w14:paraId="075679AD" w14:textId="77777777" w:rsidR="00CD0FAC" w:rsidRPr="00E64F2F" w:rsidRDefault="00CD0FAC" w:rsidP="00CD0FAC">
      <w:pPr>
        <w:rPr>
          <w:b/>
        </w:rPr>
      </w:pPr>
    </w:p>
    <w:p w14:paraId="1B869B3F" w14:textId="655E4AD7" w:rsidR="00CD0FAC" w:rsidRPr="00E64F2F" w:rsidRDefault="00CD0FAC" w:rsidP="00CD0FAC">
      <w:bookmarkStart w:id="0" w:name="_Hlk88205804"/>
      <w:r w:rsidRPr="00E64F2F">
        <w:t xml:space="preserve">The purpose of the </w:t>
      </w:r>
      <w:r w:rsidRPr="00E64F2F">
        <w:rPr>
          <w:i/>
        </w:rPr>
        <w:t>Aged Care Legislation Amendment (Reportable Incidents) Instrument 2022</w:t>
      </w:r>
      <w:r w:rsidRPr="00E64F2F">
        <w:t xml:space="preserve"> (Instrument) is to prescribe how the Aged Care Quality and Safety Commissioner (Commissioner) may deal with reportable incidents notified by a service provider of a Commonwealth-funded aged care service (as defined in </w:t>
      </w:r>
      <w:r w:rsidR="00E819D1" w:rsidRPr="00E64F2F">
        <w:br/>
      </w:r>
      <w:r w:rsidRPr="00E64F2F">
        <w:t xml:space="preserve">section 8 of the </w:t>
      </w:r>
      <w:r w:rsidRPr="00E64F2F">
        <w:rPr>
          <w:i/>
          <w:iCs/>
        </w:rPr>
        <w:t>Aged Care Quality and Safety Commission Act 2018</w:t>
      </w:r>
      <w:r w:rsidRPr="00E64F2F">
        <w:t xml:space="preserve"> (Commission Act), being a service provider who provides services under the Commonwealth Home Support Programme (CHSP) or the National Aboriginal and Torres Strait Islander Flexible Aged Care Program NATSIFACP)) for the purposes of subsection 21(8) of the Commission Act. </w:t>
      </w:r>
      <w:bookmarkStart w:id="1" w:name="_Hlk86219169"/>
      <w:r w:rsidRPr="00E64F2F">
        <w:t>The Instrument also makes minor consequential amendments to the equivalent arrangements for approved providers for consistency with the arrangements for service providers of Commonwealth-funded aged care services and to improve readability and clarity.</w:t>
      </w:r>
    </w:p>
    <w:p w14:paraId="15FE789C" w14:textId="77777777" w:rsidR="00CD0FAC" w:rsidRPr="00E64F2F" w:rsidRDefault="00CD0FAC" w:rsidP="00CD0FAC"/>
    <w:p w14:paraId="5E65BF67" w14:textId="77777777" w:rsidR="00CD0FAC" w:rsidRPr="00E64F2F" w:rsidRDefault="00CD0FAC" w:rsidP="00CD0FAC">
      <w:r w:rsidRPr="00E64F2F">
        <w:rPr>
          <w:iCs/>
        </w:rPr>
        <w:t xml:space="preserve">The Instrument also amends the </w:t>
      </w:r>
      <w:r w:rsidRPr="00E64F2F">
        <w:rPr>
          <w:i/>
        </w:rPr>
        <w:t>Quality of Care Principles 2014</w:t>
      </w:r>
      <w:r w:rsidRPr="00E64F2F">
        <w:rPr>
          <w:iCs/>
        </w:rPr>
        <w:t xml:space="preserve"> (Quality of Care Principles)</w:t>
      </w:r>
      <w:r w:rsidRPr="00E64F2F">
        <w:rPr>
          <w:i/>
        </w:rPr>
        <w:t xml:space="preserve"> </w:t>
      </w:r>
      <w:r w:rsidRPr="00E64F2F">
        <w:rPr>
          <w:iCs/>
        </w:rPr>
        <w:t xml:space="preserve">to expand the definition of the type of reportable incidents that must be reported to the Commissioner within 24 hours.  </w:t>
      </w:r>
    </w:p>
    <w:p w14:paraId="006CBE3E" w14:textId="77777777" w:rsidR="00CD0FAC" w:rsidRPr="00E64F2F" w:rsidRDefault="00CD0FAC" w:rsidP="00CD0FAC"/>
    <w:p w14:paraId="66CB129C" w14:textId="77777777" w:rsidR="00CD0FAC" w:rsidRPr="00E64F2F" w:rsidRDefault="00CD0FAC" w:rsidP="00CD0FAC">
      <w:pPr>
        <w:rPr>
          <w:iCs/>
        </w:rPr>
      </w:pPr>
      <w:r w:rsidRPr="00E64F2F">
        <w:t xml:space="preserve">This instrument is a legislative instrument for the purposes of the </w:t>
      </w:r>
      <w:r w:rsidRPr="00E64F2F">
        <w:rPr>
          <w:i/>
        </w:rPr>
        <w:t>Legislation Act 2003.</w:t>
      </w:r>
      <w:bookmarkEnd w:id="1"/>
    </w:p>
    <w:p w14:paraId="1795CC75" w14:textId="77777777" w:rsidR="00CD0FAC" w:rsidRPr="00E64F2F" w:rsidRDefault="00CD0FAC" w:rsidP="00CD0FAC">
      <w:pPr>
        <w:rPr>
          <w:i/>
        </w:rPr>
      </w:pPr>
    </w:p>
    <w:bookmarkEnd w:id="0"/>
    <w:p w14:paraId="68D16504" w14:textId="77777777" w:rsidR="00CD0FAC" w:rsidRPr="00E64F2F" w:rsidRDefault="00CD0FAC" w:rsidP="00CD0FAC">
      <w:pPr>
        <w:rPr>
          <w:b/>
        </w:rPr>
      </w:pPr>
      <w:r w:rsidRPr="00E64F2F">
        <w:rPr>
          <w:b/>
        </w:rPr>
        <w:t>Background</w:t>
      </w:r>
    </w:p>
    <w:p w14:paraId="441D335A" w14:textId="77777777" w:rsidR="00CD0FAC" w:rsidRPr="00E64F2F" w:rsidRDefault="00CD0FAC" w:rsidP="00CD0FAC">
      <w:pPr>
        <w:rPr>
          <w:b/>
        </w:rPr>
      </w:pPr>
    </w:p>
    <w:p w14:paraId="2F47E8ED" w14:textId="77777777" w:rsidR="00CD0FAC" w:rsidRPr="00E64F2F" w:rsidRDefault="00CD0FAC" w:rsidP="00CD0FAC">
      <w:bookmarkStart w:id="2" w:name="_Hlk88205810"/>
      <w:r w:rsidRPr="00E64F2F">
        <w:t xml:space="preserve">The arrangements relating to the Serious Incident Response Scheme (SIRS) in residential aged care (including flexible care delivered in a residential care setting) commenced on 1 April 2021. The purpose of the SIRS is to ensure incidents of abuse and neglect of older Australians receiving aged care services are appropriately dealt with and prevented. Under the existing SIRS arrangements, approved providers of residential aged care and flexible care provided in a residential aged care setting are required to establish incident management systems, take reasonable steps to prevent incidents and manage incidents. </w:t>
      </w:r>
    </w:p>
    <w:p w14:paraId="74BF8EC8" w14:textId="77777777" w:rsidR="00CD0FAC" w:rsidRPr="00E64F2F" w:rsidRDefault="00CD0FAC" w:rsidP="00CD0FAC"/>
    <w:p w14:paraId="73D581D1" w14:textId="77777777" w:rsidR="00CD0FAC" w:rsidRPr="00E64F2F" w:rsidRDefault="00CD0FAC" w:rsidP="00CD0FAC">
      <w:r w:rsidRPr="00E64F2F">
        <w:t xml:space="preserve">From 1 December 2022, the SIRS will extend to home care, in-home aged care services, and flexible care services delivered in home and community settings. This includes services provided through CHSP and NATSIFACP. The </w:t>
      </w:r>
      <w:r w:rsidRPr="00E64F2F">
        <w:rPr>
          <w:i/>
          <w:iCs/>
        </w:rPr>
        <w:t>Quality of Care Principles 2014</w:t>
      </w:r>
      <w:r w:rsidRPr="00E64F2F">
        <w:t xml:space="preserve"> (Quality of Care Principles) will be amended to provide further detail regarding the extension of the SIRS to home care and flexible care delivered in home and community settings. These amendments will be made in a separate legislative instrument. </w:t>
      </w:r>
    </w:p>
    <w:p w14:paraId="60E2362B" w14:textId="77777777" w:rsidR="00CD0FAC" w:rsidRPr="00E64F2F" w:rsidRDefault="00CD0FAC" w:rsidP="00CD0FAC"/>
    <w:p w14:paraId="61450A94" w14:textId="16C56964" w:rsidR="00CD0FAC" w:rsidRPr="00E64F2F" w:rsidRDefault="00CD0FAC" w:rsidP="00CD0FAC">
      <w:r w:rsidRPr="00E64F2F">
        <w:lastRenderedPageBreak/>
        <w:t xml:space="preserve">Residential aged care and home care package providers are referred to as ‘approved providers’ within the meaning of the </w:t>
      </w:r>
      <w:r w:rsidRPr="00E64F2F">
        <w:rPr>
          <w:i/>
          <w:iCs/>
        </w:rPr>
        <w:t>Aged Care Act 1997</w:t>
      </w:r>
      <w:r w:rsidRPr="00E64F2F">
        <w:t xml:space="preserve"> (</w:t>
      </w:r>
      <w:proofErr w:type="spellStart"/>
      <w:r w:rsidRPr="00E64F2F">
        <w:t>Cth</w:t>
      </w:r>
      <w:proofErr w:type="spellEnd"/>
      <w:r w:rsidRPr="00E64F2F">
        <w:t xml:space="preserve">) and have statutory obligations and responsibilities. CHSP and NATSIFACP are administered through Commonwealth-funded grant arrangements. Providers of CHSP and NATSIFACP are referred to as a “service provider of a Commonwealth-funded aged care service” in the Commission Act. The obligations of CHSP and NATSIFACP providers are set out in the relevant program manuals, which form part of the providers’ grant agreements. </w:t>
      </w:r>
    </w:p>
    <w:p w14:paraId="30B3AC61" w14:textId="77777777" w:rsidR="00CD0FAC" w:rsidRPr="00E64F2F" w:rsidRDefault="00CD0FAC" w:rsidP="00CD0FAC"/>
    <w:p w14:paraId="77E8CC31" w14:textId="7AC1553A" w:rsidR="00CD0FAC" w:rsidRPr="00E64F2F" w:rsidRDefault="00CD0FAC" w:rsidP="00CD0FAC">
      <w:r w:rsidRPr="00E64F2F">
        <w:t>The NATISFACP Program Manual currently includes SIRS obligations for service providers of NATSIFACP delivered in residential settings</w:t>
      </w:r>
      <w:r w:rsidR="00E819D1" w:rsidRPr="00E64F2F">
        <w:t>,</w:t>
      </w:r>
      <w:r w:rsidRPr="00E64F2F">
        <w:t xml:space="preserve"> and the Program Manuals for CHSP and NATSIFACP service providers will be updated to specify that from 1 December 2022, these service providers will be required to comply with the SIRS obligations in respect of services delivered in home or community settings, including notifying the Commissioner of a reportable incident.  </w:t>
      </w:r>
    </w:p>
    <w:p w14:paraId="38EE7487" w14:textId="77777777" w:rsidR="00CD0FAC" w:rsidRPr="00E64F2F" w:rsidRDefault="00CD0FAC" w:rsidP="00CD0FAC"/>
    <w:p w14:paraId="2EF93B48" w14:textId="77777777" w:rsidR="00CD0FAC" w:rsidRPr="00E64F2F" w:rsidRDefault="00CD0FAC" w:rsidP="00CD0FAC">
      <w:r w:rsidRPr="00E64F2F">
        <w:t xml:space="preserve">To ensure the Commissioner is able to deal with a notification regarding a reportable incident received from a CHSP or NATSIFACP service provider, Schedule 4 of the </w:t>
      </w:r>
      <w:r w:rsidRPr="00E64F2F">
        <w:rPr>
          <w:i/>
          <w:iCs/>
        </w:rPr>
        <w:t>Aged Care and Other Legislation Amendment (Royal Commission Response) Act 2022</w:t>
      </w:r>
      <w:r w:rsidRPr="00E64F2F">
        <w:t xml:space="preserve"> (Royal Commission Response Act) amended the Commission Act to provide that the </w:t>
      </w:r>
      <w:r w:rsidRPr="00E64F2F">
        <w:rPr>
          <w:i/>
          <w:iCs/>
        </w:rPr>
        <w:t xml:space="preserve">Aged Care Quality and Safety Commission Rules 2018 </w:t>
      </w:r>
      <w:r w:rsidRPr="00E64F2F">
        <w:t xml:space="preserve">(Rules) can specify the Commissioner’s powers to deal with reportable incidents notified by service providers of a Commonwealth-funded aged care (CFAC) service. </w:t>
      </w:r>
    </w:p>
    <w:p w14:paraId="2A6403A3" w14:textId="77777777" w:rsidR="00CD0FAC" w:rsidRPr="00E64F2F" w:rsidRDefault="00CD0FAC" w:rsidP="00CD0FAC"/>
    <w:p w14:paraId="59EC4CD2" w14:textId="77777777" w:rsidR="00CD0FAC" w:rsidRPr="00E64F2F" w:rsidRDefault="00CD0FAC" w:rsidP="00CD0FAC">
      <w:r w:rsidRPr="00E64F2F">
        <w:t xml:space="preserve">Accordingly, the Instrument amends the Rules to set out how the Commissioner can deal with a reportable incident notified by a CFAC service provider. On receipt of a notification of a reportable incident by a CFAC service provider, the Commissioner will have the power to require additional information, request the service provider give a final report, or request the service provider to undertake an inquiry or remedial action in relation to the incident. The Commissioner will also be able to refer the incident to police or another person or body with responsibility in relation to the incident or take any other action to deal with the </w:t>
      </w:r>
      <w:proofErr w:type="gramStart"/>
      <w:r w:rsidRPr="00E64F2F">
        <w:t>incident, if</w:t>
      </w:r>
      <w:proofErr w:type="gramEnd"/>
      <w:r w:rsidRPr="00E64F2F">
        <w:t xml:space="preserve"> the Commissioner considers it reasonable to do so in the circumstances.</w:t>
      </w:r>
    </w:p>
    <w:p w14:paraId="594BEE80" w14:textId="77777777" w:rsidR="00CD0FAC" w:rsidRPr="00E64F2F" w:rsidRDefault="00CD0FAC" w:rsidP="00CD0FAC"/>
    <w:p w14:paraId="51099903" w14:textId="77777777" w:rsidR="00CD0FAC" w:rsidRPr="00E64F2F" w:rsidRDefault="00CD0FAC" w:rsidP="00CD0FAC">
      <w:pPr>
        <w:autoSpaceDE w:val="0"/>
        <w:autoSpaceDN w:val="0"/>
        <w:adjustRightInd w:val="0"/>
      </w:pPr>
      <w:r w:rsidRPr="00E64F2F">
        <w:t xml:space="preserve">The Instrument also amends the Quality of Care Principles to specify that reportable incidents of unlawful sexual contact or inappropriate sexual conduct inflicted on a care recipient will be a priority 1 reportable incidents. This means that all reportable incidents of unlawful sexual contact or inappropriate sexual conduct must be notified to the Commissioner within 24 hours of the approved provider becoming aware of the incident. </w:t>
      </w:r>
    </w:p>
    <w:bookmarkEnd w:id="2"/>
    <w:p w14:paraId="783FF33C" w14:textId="77777777" w:rsidR="00CD0FAC" w:rsidRPr="00E64F2F" w:rsidRDefault="00CD0FAC" w:rsidP="00CD0FAC">
      <w:pPr>
        <w:rPr>
          <w:u w:val="single"/>
        </w:rPr>
      </w:pPr>
    </w:p>
    <w:p w14:paraId="48633B42" w14:textId="77777777" w:rsidR="00CD0FAC" w:rsidRPr="00E64F2F" w:rsidRDefault="00CD0FAC" w:rsidP="00CD0FAC">
      <w:pPr>
        <w:keepNext/>
        <w:rPr>
          <w:b/>
        </w:rPr>
      </w:pPr>
      <w:r w:rsidRPr="00E64F2F">
        <w:rPr>
          <w:b/>
        </w:rPr>
        <w:t>Authority</w:t>
      </w:r>
    </w:p>
    <w:p w14:paraId="21E53390" w14:textId="77777777" w:rsidR="00CD0FAC" w:rsidRPr="00E64F2F" w:rsidRDefault="00CD0FAC" w:rsidP="00CD0FAC">
      <w:pPr>
        <w:keepNext/>
        <w:rPr>
          <w:b/>
        </w:rPr>
      </w:pPr>
    </w:p>
    <w:p w14:paraId="70F7D3F5" w14:textId="77777777" w:rsidR="00CD0FAC" w:rsidRPr="00E64F2F" w:rsidRDefault="00CD0FAC" w:rsidP="00CD0FAC">
      <w:r w:rsidRPr="00E64F2F">
        <w:rPr>
          <w:color w:val="000000"/>
          <w:shd w:val="clear" w:color="auto" w:fill="FFFFFF"/>
        </w:rPr>
        <w:t>Section 96-1 of the Aged Care Act provides the Minister the power to, by legislative instrument, make Principles providing for matters required or permitted, or necessary or convenient, in order to give effect to the relevant Part or section of the Aged Care Act. The </w:t>
      </w:r>
      <w:proofErr w:type="gramStart"/>
      <w:r w:rsidRPr="00E64F2F">
        <w:rPr>
          <w:color w:val="000000"/>
          <w:shd w:val="clear" w:color="auto" w:fill="FFFFFF"/>
        </w:rPr>
        <w:t>Quality of Care</w:t>
      </w:r>
      <w:proofErr w:type="gramEnd"/>
      <w:r w:rsidRPr="00E64F2F">
        <w:rPr>
          <w:color w:val="000000"/>
          <w:shd w:val="clear" w:color="auto" w:fill="FFFFFF"/>
        </w:rPr>
        <w:t xml:space="preserve"> Principles are made under section 96-1 of the Aged Care Act, and set out matters for the purposes of Part 4.1 of the Aged Care Act. Paragraph 54-1(1)(e) of the Aged Care Act provides that an approved provider has a responsibility to manage incidents and take reasonable steps to prevent incidents, including through implementing and maintaining an incident management system that </w:t>
      </w:r>
      <w:r w:rsidRPr="00E64F2F">
        <w:rPr>
          <w:color w:val="000000"/>
          <w:shd w:val="clear" w:color="auto" w:fill="FFFFFF"/>
        </w:rPr>
        <w:lastRenderedPageBreak/>
        <w:t xml:space="preserve">complies with any requirements specified in the Quality of Care Principles.  Paragraph 54-3(1) of the Aged Care Act provides that the Quality of Care Principles must make provisions for dealing with reportable incidents. The Instrument amends the Quality of Care Principles to specify these matters.  </w:t>
      </w:r>
    </w:p>
    <w:p w14:paraId="6E8B4421" w14:textId="77777777" w:rsidR="00CD0FAC" w:rsidRPr="00E64F2F" w:rsidRDefault="00CD0FAC" w:rsidP="00CD0FAC"/>
    <w:p w14:paraId="6FC19601" w14:textId="5CE1E39C" w:rsidR="00CD0FAC" w:rsidRPr="00E64F2F" w:rsidRDefault="00CD0FAC" w:rsidP="00CD0FAC">
      <w:r w:rsidRPr="00E64F2F">
        <w:t xml:space="preserve">The </w:t>
      </w:r>
      <w:r w:rsidRPr="00E64F2F">
        <w:rPr>
          <w:iCs/>
        </w:rPr>
        <w:t xml:space="preserve">Rules </w:t>
      </w:r>
      <w:r w:rsidRPr="00E64F2F">
        <w:t>are made by the Minister under section 77 of the Commission Act. Subsection 21(1) of the Commission Act provides that the Rules may make provision for, or in relation to, the performance of a function conferred on the Commissioner by section 16 of the Commission Act. The functions of the Commissioner under section 16 include protecting and enhancing the safety, health and well-being and quality of life of aged care consumers and promoting the provision of quality care and services by CFAC service providers.</w:t>
      </w:r>
    </w:p>
    <w:p w14:paraId="70A4937B" w14:textId="77777777" w:rsidR="00CD0FAC" w:rsidRPr="00E64F2F" w:rsidRDefault="00CD0FAC" w:rsidP="00CD0FAC"/>
    <w:p w14:paraId="74BABDE8" w14:textId="77777777" w:rsidR="00CD0FAC" w:rsidRPr="00E64F2F" w:rsidRDefault="00CD0FAC" w:rsidP="00CD0FAC">
      <w:r w:rsidRPr="00E64F2F">
        <w:t>Subsection 21(7) of the Commission Act provides that the Rules may provide for matters in relation to how the Commissioner deals with reportable incidents notified by approved providers, Subsection 21(8) of the Commission Act provides that the Rules may make provision for, or in relation to, how the Commissioner deals with a reportable incident for a CFAC service provider. This includes action that may be taken by the Commissioner in dealing with a reportable incident, including requiring the service provider to do something, the circumstances in which the Commissioner may authorise or carry out an inquiry in relation to a reportable incident</w:t>
      </w:r>
      <w:r w:rsidRPr="00E64F2F">
        <w:rPr>
          <w:szCs w:val="20"/>
        </w:rPr>
        <w:t xml:space="preserve"> </w:t>
      </w:r>
      <w:r w:rsidRPr="00E64F2F">
        <w:t>and how information given to the Commissioner about such a reportable incident may be dealt with. The Instrument amends the Rules to specify these matters for the purposes of subsection 21(1), (7) and (8) of the Commission Act.</w:t>
      </w:r>
    </w:p>
    <w:p w14:paraId="3B146099" w14:textId="77777777" w:rsidR="00CD0FAC" w:rsidRPr="00E64F2F" w:rsidRDefault="00CD0FAC" w:rsidP="00CD0FAC"/>
    <w:p w14:paraId="17CA960A" w14:textId="77777777" w:rsidR="00CD0FAC" w:rsidRPr="00E64F2F" w:rsidRDefault="00CD0FAC" w:rsidP="00CD0FAC">
      <w:r w:rsidRPr="00E64F2F">
        <w:t xml:space="preserve">Under subsection 33(3) of the </w:t>
      </w:r>
      <w:r w:rsidRPr="00E64F2F">
        <w:rPr>
          <w:i/>
          <w:iCs/>
        </w:rPr>
        <w:t>Acts Interpretation Act 1901</w:t>
      </w:r>
      <w:r w:rsidRPr="00E64F2F">
        <w:t>, where an Act confers a power to make, grant or issue an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51EAC9E9" w14:textId="77777777" w:rsidR="00CD0FAC" w:rsidRPr="00E64F2F" w:rsidRDefault="00CD0FAC" w:rsidP="00CD0FAC">
      <w:pPr>
        <w:rPr>
          <w:u w:val="single"/>
        </w:rPr>
      </w:pPr>
    </w:p>
    <w:p w14:paraId="3750C60A" w14:textId="77777777" w:rsidR="00CD0FAC" w:rsidRPr="00E64F2F" w:rsidRDefault="00CD0FAC" w:rsidP="00CD0FAC">
      <w:pPr>
        <w:keepNext/>
        <w:rPr>
          <w:b/>
        </w:rPr>
      </w:pPr>
      <w:r w:rsidRPr="00E64F2F">
        <w:rPr>
          <w:b/>
        </w:rPr>
        <w:t>Commencement</w:t>
      </w:r>
    </w:p>
    <w:p w14:paraId="30CA31AB" w14:textId="77777777" w:rsidR="00CD0FAC" w:rsidRPr="00E64F2F" w:rsidRDefault="00CD0FAC" w:rsidP="00CD0FAC">
      <w:pPr>
        <w:keepNext/>
        <w:rPr>
          <w:b/>
        </w:rPr>
      </w:pPr>
    </w:p>
    <w:p w14:paraId="57E04443" w14:textId="77777777" w:rsidR="00CD0FAC" w:rsidRPr="00E64F2F" w:rsidRDefault="00CD0FAC" w:rsidP="00CD0FAC">
      <w:r w:rsidRPr="00E64F2F">
        <w:t>Schedule 1 of the Instrument will commence on 3 October 2022. Schedule 2 of the Instrument will commence on 1 December 2022.</w:t>
      </w:r>
    </w:p>
    <w:p w14:paraId="51A7A1B2" w14:textId="77777777" w:rsidR="00CD0FAC" w:rsidRPr="00E64F2F" w:rsidRDefault="00CD0FAC" w:rsidP="00CD0FAC">
      <w:pPr>
        <w:rPr>
          <w:b/>
        </w:rPr>
      </w:pPr>
    </w:p>
    <w:p w14:paraId="26F2FDF6" w14:textId="77777777" w:rsidR="00CD0FAC" w:rsidRPr="00E64F2F" w:rsidRDefault="00CD0FAC" w:rsidP="00CD0FAC">
      <w:pPr>
        <w:keepNext/>
        <w:rPr>
          <w:b/>
        </w:rPr>
      </w:pPr>
      <w:r w:rsidRPr="00E64F2F">
        <w:rPr>
          <w:b/>
        </w:rPr>
        <w:t>Consultation</w:t>
      </w:r>
    </w:p>
    <w:p w14:paraId="5305871B" w14:textId="77777777" w:rsidR="00CD0FAC" w:rsidRPr="00E64F2F" w:rsidRDefault="00CD0FAC" w:rsidP="00CD0FAC">
      <w:pPr>
        <w:keepNext/>
        <w:rPr>
          <w:b/>
        </w:rPr>
      </w:pPr>
    </w:p>
    <w:p w14:paraId="161CEE41" w14:textId="77777777" w:rsidR="00CD0FAC" w:rsidRPr="00E64F2F" w:rsidRDefault="00CD0FAC" w:rsidP="00CD0FAC">
      <w:r w:rsidRPr="00E64F2F">
        <w:t xml:space="preserve">The Department of Health and Aged Care (Department) consulted with key stakeholders in relation to extending the SIRS to in-home aged care and flexible care services delivered in a home or community setting. </w:t>
      </w:r>
      <w:r w:rsidRPr="00E64F2F">
        <w:rPr>
          <w:rFonts w:cs="Calibri"/>
        </w:rPr>
        <w:t xml:space="preserve">In late 2020 the Department engaged KPMG to undertake a study on extending the SIRS to in-home aged care services. This included a </w:t>
      </w:r>
      <w:r w:rsidRPr="00E64F2F">
        <w:t xml:space="preserve">prevalence and options study, which was completed in June 2021. As part of the options component of the study several virtual workshops were conducted with different groups of stakeholders, including consumers, advocates, providers, government agencies and peak bodies. Views were sought on the role of the Commissioner at these workshops. The study informed a consultation paper that was used as a basis for public consultation through an online survey and virtual workshops from July to August 2021. </w:t>
      </w:r>
    </w:p>
    <w:p w14:paraId="6EECE61D" w14:textId="77777777" w:rsidR="00CD0FAC" w:rsidRPr="00E64F2F" w:rsidRDefault="00CD0FAC" w:rsidP="00CD0FAC">
      <w:r w:rsidRPr="00E64F2F">
        <w:lastRenderedPageBreak/>
        <w:t>The consultation paper also sought views in relation to the Commissioner’s powers. The consensus from the consultation was that the Commissioner’s powers under the SIRS arrangements in residential care settings are appropriate and that similar arrangements should be extended to in-home services.</w:t>
      </w:r>
    </w:p>
    <w:p w14:paraId="1144D0B6" w14:textId="77777777" w:rsidR="00CD0FAC" w:rsidRPr="00E64F2F" w:rsidRDefault="00CD0FAC" w:rsidP="00CD0FAC"/>
    <w:p w14:paraId="1807986E" w14:textId="77777777" w:rsidR="00CD0FAC" w:rsidRPr="00E64F2F" w:rsidRDefault="00CD0FAC" w:rsidP="00CD0FAC">
      <w:r w:rsidRPr="00E64F2F">
        <w:t>The Department consulted and worked closely with the Commission in response to sector feedback that incidents involving unlawful sexual contact or inappropriate sexual conduct should be reported to the Commission as a priority 1 incident (that is, required to be reported to the Commissioner within 24 hours). The sector raised concerns that aged care providers may inappropriately assess the level of harm caused as a result of an incident of unlawful sexual contact or inappropriate sexual conduct, and therefore incorrectly categorise the priority of the incident.</w:t>
      </w:r>
    </w:p>
    <w:p w14:paraId="766F8448" w14:textId="77777777" w:rsidR="00CD0FAC" w:rsidRPr="00E64F2F" w:rsidRDefault="00CD0FAC" w:rsidP="00CD0FAC">
      <w:r w:rsidRPr="00E64F2F">
        <w:t xml:space="preserve"> </w:t>
      </w:r>
    </w:p>
    <w:p w14:paraId="2F32B392" w14:textId="77777777" w:rsidR="00CD0FAC" w:rsidRPr="00E64F2F" w:rsidRDefault="00CD0FAC" w:rsidP="00CD0FAC">
      <w:pPr>
        <w:keepNext/>
        <w:shd w:val="clear" w:color="auto" w:fill="FFFFFF"/>
        <w:rPr>
          <w:b/>
          <w:bCs/>
          <w:color w:val="000000"/>
        </w:rPr>
      </w:pPr>
      <w:r w:rsidRPr="00E64F2F">
        <w:rPr>
          <w:b/>
          <w:bCs/>
          <w:color w:val="000000"/>
        </w:rPr>
        <w:t>Regulation Impact Statement</w:t>
      </w:r>
    </w:p>
    <w:p w14:paraId="471FB3CB" w14:textId="77777777" w:rsidR="00CD0FAC" w:rsidRPr="00E64F2F" w:rsidRDefault="00CD0FAC" w:rsidP="00CD0FAC"/>
    <w:p w14:paraId="26413EBA" w14:textId="77777777" w:rsidR="00CD0FAC" w:rsidRPr="00E64F2F" w:rsidRDefault="00CD0FAC" w:rsidP="00CD0FAC">
      <w:r w:rsidRPr="00E64F2F">
        <w:t xml:space="preserve">In relation to extending the SIRS to in-home aged care services from 1 December 2022, the Department has certified that a package of independent reviews undertook a process and analysis equivalent to a Regulatory Impact Statement (OBPR Reference 25927). The certification and list of reviews are available on the Office of Best Practice Regulation’s website: </w:t>
      </w:r>
      <w:hyperlink r:id="rId12" w:history="1">
        <w:r w:rsidRPr="00E64F2F">
          <w:rPr>
            <w:rStyle w:val="Hyperlink"/>
          </w:rPr>
          <w:t>https://obpr.pmc.gov.au/published-impact-analyses-and-reports/aged-care-reforms</w:t>
        </w:r>
      </w:hyperlink>
      <w:r w:rsidRPr="00E64F2F">
        <w:t>.</w:t>
      </w:r>
    </w:p>
    <w:p w14:paraId="30102017" w14:textId="77777777" w:rsidR="00CD0FAC" w:rsidRPr="00E64F2F" w:rsidRDefault="00CD0FAC" w:rsidP="00CD0FAC"/>
    <w:p w14:paraId="75ABE6DF" w14:textId="77777777" w:rsidR="00CD0FAC" w:rsidRPr="00E64F2F" w:rsidRDefault="00CD0FAC" w:rsidP="00CD0FAC">
      <w:r w:rsidRPr="00E64F2F">
        <w:t xml:space="preserve">The amendment requiring approved providers to report incidents involving unlawful sexual contact or inappropriate sexual conduct as priority 1 will have a minor regulatory impact for approved providers. </w:t>
      </w:r>
    </w:p>
    <w:p w14:paraId="5EC4F504" w14:textId="77777777" w:rsidR="00CD0FAC" w:rsidRPr="00E64F2F" w:rsidRDefault="00CD0FAC" w:rsidP="00CD0FAC"/>
    <w:p w14:paraId="44F88BF8" w14:textId="77777777" w:rsidR="00CD0FAC" w:rsidRPr="00E64F2F" w:rsidRDefault="00CD0FAC" w:rsidP="00CD0FAC">
      <w:pPr>
        <w:rPr>
          <w:b/>
        </w:rPr>
      </w:pPr>
      <w:r w:rsidRPr="00E64F2F">
        <w:rPr>
          <w:i/>
        </w:rPr>
        <w:br w:type="page"/>
      </w:r>
    </w:p>
    <w:p w14:paraId="0E1E8A0E" w14:textId="77777777" w:rsidR="00CD0FAC" w:rsidRPr="00E64F2F" w:rsidRDefault="00CD0FAC" w:rsidP="00CD0FAC">
      <w:pPr>
        <w:rPr>
          <w:b/>
          <w:i/>
          <w:u w:val="single"/>
        </w:rPr>
      </w:pPr>
      <w:r w:rsidRPr="00E64F2F">
        <w:rPr>
          <w:b/>
          <w:u w:val="single"/>
        </w:rPr>
        <w:lastRenderedPageBreak/>
        <w:t xml:space="preserve">Details of the </w:t>
      </w:r>
      <w:r w:rsidRPr="00E64F2F">
        <w:rPr>
          <w:b/>
          <w:i/>
          <w:u w:val="single"/>
        </w:rPr>
        <w:t>Aged Care Legislation Amendment (Reportable Incidents) Instrument 2022</w:t>
      </w:r>
    </w:p>
    <w:p w14:paraId="44A2F036" w14:textId="77777777" w:rsidR="00CD0FAC" w:rsidRPr="00E64F2F" w:rsidRDefault="00CD0FAC" w:rsidP="00CD0FAC">
      <w:pPr>
        <w:rPr>
          <w:i/>
          <w:u w:val="single"/>
        </w:rPr>
      </w:pPr>
    </w:p>
    <w:p w14:paraId="39E61924" w14:textId="77777777" w:rsidR="00CD0FAC" w:rsidRPr="00E64F2F" w:rsidRDefault="00CD0FAC" w:rsidP="00CD0FAC">
      <w:pPr>
        <w:rPr>
          <w:i/>
        </w:rPr>
      </w:pPr>
      <w:r w:rsidRPr="00E64F2F">
        <w:rPr>
          <w:b/>
        </w:rPr>
        <w:t>Section 1</w:t>
      </w:r>
      <w:r w:rsidRPr="00E64F2F">
        <w:t xml:space="preserve"> provides that the name of the instrument is the </w:t>
      </w:r>
      <w:r w:rsidRPr="00E64F2F">
        <w:rPr>
          <w:i/>
        </w:rPr>
        <w:t>Aged Care Legislation Amendment (Reportable Incidents) Instrument 2022.</w:t>
      </w:r>
    </w:p>
    <w:p w14:paraId="4B5F4588" w14:textId="77777777" w:rsidR="00CD0FAC" w:rsidRPr="00E64F2F" w:rsidRDefault="00CD0FAC" w:rsidP="00CD0FAC">
      <w:pPr>
        <w:rPr>
          <w:b/>
        </w:rPr>
      </w:pPr>
    </w:p>
    <w:p w14:paraId="20FB48E0" w14:textId="77777777" w:rsidR="00CD0FAC" w:rsidRPr="00E64F2F" w:rsidRDefault="00CD0FAC" w:rsidP="00CD0FAC">
      <w:r w:rsidRPr="00E64F2F">
        <w:rPr>
          <w:b/>
        </w:rPr>
        <w:t xml:space="preserve">Section 2 </w:t>
      </w:r>
      <w:r w:rsidRPr="00E64F2F">
        <w:rPr>
          <w:color w:val="000000"/>
          <w:shd w:val="clear" w:color="auto" w:fill="FFFFFF"/>
        </w:rPr>
        <w:t xml:space="preserve">provides that </w:t>
      </w:r>
      <w:r w:rsidRPr="00E64F2F">
        <w:t>Sections 1 to 4 and anything in the Instrument not elsewhere covered by the table in Section 2 commence the day after the Instrument is registered. Schedule</w:t>
      </w:r>
      <w:r w:rsidRPr="00E64F2F">
        <w:rPr>
          <w:color w:val="000000"/>
          <w:shd w:val="clear" w:color="auto" w:fill="FFFFFF"/>
        </w:rPr>
        <w:t xml:space="preserve"> 1 to the Instrument commences on 3 October 2022, and Schedule 2 commences on 1 December 2022.</w:t>
      </w:r>
    </w:p>
    <w:p w14:paraId="63278460" w14:textId="77777777" w:rsidR="00CD0FAC" w:rsidRPr="00E64F2F" w:rsidRDefault="00CD0FAC" w:rsidP="00CD0FAC">
      <w:pPr>
        <w:rPr>
          <w:b/>
        </w:rPr>
      </w:pPr>
    </w:p>
    <w:p w14:paraId="7E0E5041" w14:textId="77777777" w:rsidR="00CD0FAC" w:rsidRPr="00E64F2F" w:rsidRDefault="00CD0FAC" w:rsidP="00CD0FAC">
      <w:r w:rsidRPr="00E64F2F">
        <w:rPr>
          <w:b/>
        </w:rPr>
        <w:t>Section 3</w:t>
      </w:r>
      <w:r w:rsidRPr="00E64F2F">
        <w:t xml:space="preserve"> provides that the authority to make this Instrument is under the Aged Care Act and the Commission Act.</w:t>
      </w:r>
    </w:p>
    <w:p w14:paraId="0629D7B6" w14:textId="77777777" w:rsidR="00CD0FAC" w:rsidRPr="00E64F2F" w:rsidRDefault="00CD0FAC" w:rsidP="00CD0FAC"/>
    <w:p w14:paraId="0E450B9B" w14:textId="77777777" w:rsidR="00CD0FAC" w:rsidRPr="00E64F2F" w:rsidRDefault="00CD0FAC" w:rsidP="00CD0FAC">
      <w:r w:rsidRPr="00E64F2F">
        <w:rPr>
          <w:b/>
        </w:rPr>
        <w:t xml:space="preserve">Section 4 </w:t>
      </w:r>
      <w:r w:rsidRPr="00E64F2F">
        <w:t>provides that each instrument that is specified in a Schedule to this Instrument is amended or repealed as set out in the applicable items in that Schedule, and any other item in that Schedule has effect according to its terms.</w:t>
      </w:r>
    </w:p>
    <w:p w14:paraId="09DAEC6A" w14:textId="77777777" w:rsidR="00CD0FAC" w:rsidRPr="00E64F2F" w:rsidRDefault="00CD0FAC" w:rsidP="00CD0FAC">
      <w:pPr>
        <w:rPr>
          <w:b/>
        </w:rPr>
      </w:pPr>
    </w:p>
    <w:p w14:paraId="2EAC4D57" w14:textId="77777777" w:rsidR="00CD0FAC" w:rsidRPr="00E64F2F" w:rsidRDefault="00CD0FAC" w:rsidP="00CD0FAC">
      <w:pPr>
        <w:rPr>
          <w:b/>
        </w:rPr>
      </w:pPr>
      <w:r w:rsidRPr="00E64F2F">
        <w:rPr>
          <w:b/>
        </w:rPr>
        <w:t>Schedule 1 – Amendments commencing 3 October 2022</w:t>
      </w:r>
    </w:p>
    <w:p w14:paraId="231FCA3D" w14:textId="77777777" w:rsidR="00CD0FAC" w:rsidRPr="00E64F2F" w:rsidRDefault="00CD0FAC" w:rsidP="00CD0FAC">
      <w:pPr>
        <w:rPr>
          <w:b/>
        </w:rPr>
      </w:pPr>
    </w:p>
    <w:p w14:paraId="159E5284" w14:textId="77777777" w:rsidR="00CD0FAC" w:rsidRPr="00E64F2F" w:rsidRDefault="00CD0FAC" w:rsidP="00CD0FAC">
      <w:pPr>
        <w:rPr>
          <w:b/>
          <w:i/>
          <w:iCs/>
        </w:rPr>
      </w:pPr>
      <w:r w:rsidRPr="00E64F2F">
        <w:rPr>
          <w:b/>
          <w:i/>
          <w:iCs/>
        </w:rPr>
        <w:t>Quality of Care Principles 2014</w:t>
      </w:r>
    </w:p>
    <w:p w14:paraId="75D048F3" w14:textId="77777777" w:rsidR="00CD0FAC" w:rsidRPr="00E64F2F" w:rsidRDefault="00CD0FAC" w:rsidP="00CD0FAC">
      <w:pPr>
        <w:rPr>
          <w:bCs/>
        </w:rPr>
      </w:pPr>
    </w:p>
    <w:p w14:paraId="528B788E" w14:textId="77777777" w:rsidR="00CD0FAC" w:rsidRPr="00E64F2F" w:rsidRDefault="00CD0FAC" w:rsidP="00CD0FAC">
      <w:pPr>
        <w:rPr>
          <w:bCs/>
        </w:rPr>
      </w:pPr>
      <w:r w:rsidRPr="00E64F2F">
        <w:rPr>
          <w:b/>
        </w:rPr>
        <w:t>Item 1</w:t>
      </w:r>
      <w:r w:rsidRPr="00E64F2F">
        <w:rPr>
          <w:bCs/>
        </w:rPr>
        <w:t xml:space="preserve"> inserts new paragraph (</w:t>
      </w:r>
      <w:proofErr w:type="spellStart"/>
      <w:r w:rsidRPr="00E64F2F">
        <w:rPr>
          <w:bCs/>
        </w:rPr>
        <w:t>ba</w:t>
      </w:r>
      <w:proofErr w:type="spellEnd"/>
      <w:r w:rsidRPr="00E64F2F">
        <w:rPr>
          <w:bCs/>
        </w:rPr>
        <w:t xml:space="preserve">) after paragraph 15NE(2)(b) of the Quality of Care Principles. </w:t>
      </w:r>
    </w:p>
    <w:p w14:paraId="4B9CB72D" w14:textId="77777777" w:rsidR="00CD0FAC" w:rsidRPr="00E64F2F" w:rsidRDefault="00CD0FAC" w:rsidP="00CD0FAC">
      <w:pPr>
        <w:rPr>
          <w:bCs/>
        </w:rPr>
      </w:pPr>
    </w:p>
    <w:p w14:paraId="562C2026" w14:textId="77777777" w:rsidR="00CD0FAC" w:rsidRPr="00E64F2F" w:rsidRDefault="00CD0FAC" w:rsidP="00CD0FAC">
      <w:pPr>
        <w:rPr>
          <w:bCs/>
        </w:rPr>
      </w:pPr>
      <w:r w:rsidRPr="00E64F2F">
        <w:rPr>
          <w:bCs/>
        </w:rPr>
        <w:t>S</w:t>
      </w:r>
      <w:r w:rsidRPr="00E64F2F">
        <w:rPr>
          <w:color w:val="000000"/>
          <w:shd w:val="clear" w:color="auto" w:fill="FFFFFF"/>
        </w:rPr>
        <w:t xml:space="preserve">ubsection 15NE(2) defines what types of reportable incidents are ‘priority 1 reportable incidents’. </w:t>
      </w:r>
    </w:p>
    <w:p w14:paraId="75DA33BC" w14:textId="77777777" w:rsidR="00CD0FAC" w:rsidRPr="00E64F2F" w:rsidRDefault="00CD0FAC" w:rsidP="00CD0FAC">
      <w:pPr>
        <w:rPr>
          <w:color w:val="000000"/>
          <w:shd w:val="clear" w:color="auto" w:fill="FFFFFF"/>
        </w:rPr>
      </w:pPr>
    </w:p>
    <w:p w14:paraId="4EFF9CA5" w14:textId="77777777" w:rsidR="00CD0FAC" w:rsidRPr="00E64F2F" w:rsidRDefault="00CD0FAC" w:rsidP="00CD0FAC">
      <w:pPr>
        <w:rPr>
          <w:color w:val="000000"/>
          <w:shd w:val="clear" w:color="auto" w:fill="FFFFFF"/>
        </w:rPr>
      </w:pPr>
      <w:r w:rsidRPr="00E64F2F">
        <w:rPr>
          <w:color w:val="000000"/>
          <w:shd w:val="clear" w:color="auto" w:fill="FFFFFF"/>
        </w:rPr>
        <w:t>New paragraph 15NE(</w:t>
      </w:r>
      <w:proofErr w:type="gramStart"/>
      <w:r w:rsidRPr="00E64F2F">
        <w:rPr>
          <w:color w:val="000000"/>
          <w:shd w:val="clear" w:color="auto" w:fill="FFFFFF"/>
        </w:rPr>
        <w:t>2)(</w:t>
      </w:r>
      <w:proofErr w:type="spellStart"/>
      <w:proofErr w:type="gramEnd"/>
      <w:r w:rsidRPr="00E64F2F">
        <w:rPr>
          <w:color w:val="000000"/>
          <w:shd w:val="clear" w:color="auto" w:fill="FFFFFF"/>
        </w:rPr>
        <w:t>ba</w:t>
      </w:r>
      <w:proofErr w:type="spellEnd"/>
      <w:r w:rsidRPr="00E64F2F">
        <w:rPr>
          <w:color w:val="000000"/>
          <w:shd w:val="clear" w:color="auto" w:fill="FFFFFF"/>
        </w:rPr>
        <w:t>) provides that reportable incidents of the kind covered by paragraph 54</w:t>
      </w:r>
      <w:r w:rsidRPr="00E64F2F">
        <w:rPr>
          <w:color w:val="000000"/>
          <w:shd w:val="clear" w:color="auto" w:fill="FFFFFF"/>
        </w:rPr>
        <w:noBreakHyphen/>
        <w:t xml:space="preserve">3(2)(b) of the Aged Care Act (that is, those about unlawful sexual contact or inappropriate sexual conduct, inflicted on a care recipient) are priority 1 reportable incidents. </w:t>
      </w:r>
    </w:p>
    <w:p w14:paraId="3F294EC4" w14:textId="77777777" w:rsidR="00CD0FAC" w:rsidRPr="00E64F2F" w:rsidRDefault="00CD0FAC" w:rsidP="00CD0FAC">
      <w:pPr>
        <w:rPr>
          <w:color w:val="000000"/>
          <w:shd w:val="clear" w:color="auto" w:fill="FFFFFF"/>
        </w:rPr>
      </w:pPr>
    </w:p>
    <w:p w14:paraId="2EBF9377" w14:textId="60E5B5B5" w:rsidR="00CD0FAC" w:rsidRPr="00E64F2F" w:rsidRDefault="00CD0FAC" w:rsidP="00CD0FAC">
      <w:pPr>
        <w:rPr>
          <w:color w:val="000000"/>
          <w:shd w:val="clear" w:color="auto" w:fill="FFFFFF"/>
        </w:rPr>
      </w:pPr>
      <w:r w:rsidRPr="00E64F2F">
        <w:rPr>
          <w:color w:val="000000"/>
          <w:shd w:val="clear" w:color="auto" w:fill="FFFFFF"/>
        </w:rPr>
        <w:t>This amendment expands the existing definition of a ‘priority 1 reportable incident’ to include reportable incidents involving unlawful sexual contact or inappropriate sexual conduct inflicted on a care recipient. This means that if an approved provider becomes aware of a reportable incident that involves unlawful sexual contact or inappropriate sexual conduct, and the provider has reasonable grounds to believe that the incident is a priority 1 reportable incident, then the approved provider must be report the incident to the Commissioner within 24 hours of becoming aware of the incident, in accordance with subsection 15NE(1) of the Quality of Care Principles.</w:t>
      </w:r>
    </w:p>
    <w:p w14:paraId="0689030B" w14:textId="77777777" w:rsidR="00CD0FAC" w:rsidRPr="00E64F2F" w:rsidRDefault="00CD0FAC" w:rsidP="00CD0FAC">
      <w:pPr>
        <w:rPr>
          <w:color w:val="000000"/>
          <w:shd w:val="clear" w:color="auto" w:fill="FFFFFF"/>
        </w:rPr>
      </w:pPr>
    </w:p>
    <w:p w14:paraId="5146630F" w14:textId="77777777" w:rsidR="00CD0FAC" w:rsidRPr="00E64F2F" w:rsidRDefault="00CD0FAC" w:rsidP="00CD0FAC">
      <w:pPr>
        <w:rPr>
          <w:color w:val="000000"/>
          <w:shd w:val="clear" w:color="auto" w:fill="FFFFFF"/>
        </w:rPr>
      </w:pPr>
      <w:r w:rsidRPr="00E64F2F">
        <w:rPr>
          <w:b/>
          <w:bCs/>
          <w:color w:val="000000"/>
          <w:shd w:val="clear" w:color="auto" w:fill="FFFFFF"/>
        </w:rPr>
        <w:t>Item 2</w:t>
      </w:r>
      <w:r w:rsidRPr="00E64F2F">
        <w:rPr>
          <w:color w:val="000000"/>
          <w:shd w:val="clear" w:color="auto" w:fill="FFFFFF"/>
        </w:rPr>
        <w:t xml:space="preserve"> </w:t>
      </w:r>
      <w:r w:rsidRPr="00E64F2F">
        <w:rPr>
          <w:bCs/>
        </w:rPr>
        <w:t xml:space="preserve">inserts new Part 6 after Part 5 of the Quality of Care Principles. </w:t>
      </w:r>
    </w:p>
    <w:p w14:paraId="14531AC8" w14:textId="77777777" w:rsidR="00CD0FAC" w:rsidRPr="00E64F2F" w:rsidRDefault="00CD0FAC" w:rsidP="00CD0FAC">
      <w:pPr>
        <w:rPr>
          <w:bCs/>
        </w:rPr>
      </w:pPr>
    </w:p>
    <w:p w14:paraId="53372673" w14:textId="77777777" w:rsidR="00CD0FAC" w:rsidRPr="00E64F2F" w:rsidRDefault="00CD0FAC" w:rsidP="00CD0FAC">
      <w:pPr>
        <w:rPr>
          <w:bCs/>
          <w:u w:val="single"/>
        </w:rPr>
      </w:pPr>
      <w:r w:rsidRPr="00E64F2F">
        <w:rPr>
          <w:bCs/>
          <w:u w:val="single"/>
        </w:rPr>
        <w:t xml:space="preserve">Part 6 – Application, saving and transitional provisions </w:t>
      </w:r>
    </w:p>
    <w:p w14:paraId="05CAE1AC" w14:textId="77777777" w:rsidR="00CD0FAC" w:rsidRPr="00E64F2F" w:rsidRDefault="00CD0FAC" w:rsidP="00CD0FAC">
      <w:pPr>
        <w:rPr>
          <w:bCs/>
        </w:rPr>
      </w:pPr>
    </w:p>
    <w:p w14:paraId="5340396F" w14:textId="77777777" w:rsidR="00CD0FAC" w:rsidRPr="00E64F2F" w:rsidRDefault="00CD0FAC" w:rsidP="00CD0FAC">
      <w:pPr>
        <w:rPr>
          <w:bCs/>
        </w:rPr>
      </w:pPr>
      <w:r w:rsidRPr="00E64F2F">
        <w:rPr>
          <w:bCs/>
          <w:u w:val="single"/>
        </w:rPr>
        <w:t>Division 1 – Amendments made by the Aged Care Legislation Amendment (Reportable Incidents) Instrument 2022</w:t>
      </w:r>
      <w:r w:rsidRPr="00E64F2F">
        <w:rPr>
          <w:bCs/>
        </w:rPr>
        <w:t xml:space="preserve"> </w:t>
      </w:r>
    </w:p>
    <w:p w14:paraId="61E828C5" w14:textId="77777777" w:rsidR="00CD0FAC" w:rsidRPr="00E64F2F" w:rsidRDefault="00CD0FAC" w:rsidP="00CD0FAC">
      <w:pPr>
        <w:rPr>
          <w:bCs/>
        </w:rPr>
      </w:pPr>
    </w:p>
    <w:p w14:paraId="2270F86B" w14:textId="77777777" w:rsidR="00CD0FAC" w:rsidRPr="00E64F2F" w:rsidRDefault="00CD0FAC" w:rsidP="00CD0FAC">
      <w:pPr>
        <w:rPr>
          <w:bCs/>
          <w:u w:val="single"/>
        </w:rPr>
      </w:pPr>
      <w:r w:rsidRPr="00E64F2F">
        <w:rPr>
          <w:bCs/>
          <w:u w:val="single"/>
        </w:rPr>
        <w:t>Section 19</w:t>
      </w:r>
    </w:p>
    <w:p w14:paraId="62F6D518" w14:textId="77777777" w:rsidR="00CD0FAC" w:rsidRPr="00E64F2F" w:rsidRDefault="00CD0FAC" w:rsidP="00CD0FAC">
      <w:pPr>
        <w:tabs>
          <w:tab w:val="left" w:pos="0"/>
        </w:tabs>
        <w:rPr>
          <w:bCs/>
        </w:rPr>
      </w:pPr>
      <w:r w:rsidRPr="00E64F2F">
        <w:rPr>
          <w:bCs/>
        </w:rPr>
        <w:lastRenderedPageBreak/>
        <w:t>New section 19 provides that paragraph 15NE(2)(</w:t>
      </w:r>
      <w:proofErr w:type="spellStart"/>
      <w:r w:rsidRPr="00E64F2F">
        <w:rPr>
          <w:bCs/>
        </w:rPr>
        <w:t>ba</w:t>
      </w:r>
      <w:proofErr w:type="spellEnd"/>
      <w:r w:rsidRPr="00E64F2F">
        <w:rPr>
          <w:bCs/>
        </w:rPr>
        <w:t xml:space="preserve">), as inserted by the Instrument applies in relation to incidents that are alleged to have occurred or are suspected of having occurred on or after 3 October 2022. </w:t>
      </w:r>
    </w:p>
    <w:p w14:paraId="3259EAB6" w14:textId="77777777" w:rsidR="00CD0FAC" w:rsidRPr="00E64F2F" w:rsidRDefault="00CD0FAC" w:rsidP="00CD0FAC">
      <w:pPr>
        <w:tabs>
          <w:tab w:val="left" w:pos="0"/>
        </w:tabs>
        <w:rPr>
          <w:bCs/>
        </w:rPr>
      </w:pPr>
    </w:p>
    <w:p w14:paraId="3E8E1EA9" w14:textId="77777777" w:rsidR="00CD0FAC" w:rsidRPr="00E64F2F" w:rsidRDefault="00CD0FAC" w:rsidP="00CD0FAC">
      <w:pPr>
        <w:tabs>
          <w:tab w:val="left" w:pos="0"/>
        </w:tabs>
        <w:rPr>
          <w:bCs/>
        </w:rPr>
      </w:pPr>
      <w:r w:rsidRPr="00E64F2F">
        <w:rPr>
          <w:bCs/>
        </w:rPr>
        <w:t xml:space="preserve">The effect of this provision is that if an approved provider to whom Part 4B of the Quality of Care Principles applies, becomes aware of a reportable incident involving unlawful sexual contact or inappropriate sexual conduct inflicted on a care recipient, the provider will need to report this incident to the Commissioner within 24 hours if the incident is alleged to have occurred or is suspected to have occurred on or after 3 October 2022. </w:t>
      </w:r>
    </w:p>
    <w:p w14:paraId="6D3B0B5D" w14:textId="77777777" w:rsidR="00CD0FAC" w:rsidRPr="00E64F2F" w:rsidRDefault="00CD0FAC" w:rsidP="00CD0FAC">
      <w:pPr>
        <w:rPr>
          <w:bCs/>
        </w:rPr>
      </w:pPr>
    </w:p>
    <w:p w14:paraId="0D2FE40D" w14:textId="77777777" w:rsidR="00CD0FAC" w:rsidRPr="00E64F2F" w:rsidRDefault="00CD0FAC" w:rsidP="00CD0FAC">
      <w:pPr>
        <w:keepNext/>
        <w:rPr>
          <w:b/>
        </w:rPr>
      </w:pPr>
      <w:r w:rsidRPr="00E64F2F">
        <w:rPr>
          <w:b/>
        </w:rPr>
        <w:t>Schedule 2 – Amendments commencing 1 December 2022</w:t>
      </w:r>
    </w:p>
    <w:p w14:paraId="014C848B" w14:textId="77777777" w:rsidR="00CD0FAC" w:rsidRPr="00E64F2F" w:rsidRDefault="00CD0FAC" w:rsidP="00CD0FAC">
      <w:pPr>
        <w:keepNext/>
        <w:rPr>
          <w:b/>
          <w:i/>
        </w:rPr>
      </w:pPr>
    </w:p>
    <w:p w14:paraId="6F85765A" w14:textId="77777777" w:rsidR="00CD0FAC" w:rsidRPr="00E64F2F" w:rsidRDefault="00CD0FAC" w:rsidP="00CD0FAC">
      <w:pPr>
        <w:keepNext/>
        <w:rPr>
          <w:b/>
          <w:i/>
        </w:rPr>
      </w:pPr>
      <w:r w:rsidRPr="00E64F2F">
        <w:rPr>
          <w:b/>
          <w:i/>
        </w:rPr>
        <w:t>Aged Care Quality and Safety Commission Rules 2018</w:t>
      </w:r>
    </w:p>
    <w:p w14:paraId="6E1A3AD4" w14:textId="77777777" w:rsidR="00CD0FAC" w:rsidRPr="00E64F2F" w:rsidRDefault="00CD0FAC" w:rsidP="00CD0FAC">
      <w:pPr>
        <w:keepNext/>
        <w:rPr>
          <w:b/>
          <w:i/>
        </w:rPr>
      </w:pPr>
    </w:p>
    <w:p w14:paraId="7F4FBE30" w14:textId="77777777" w:rsidR="00CD0FAC" w:rsidRPr="00E64F2F" w:rsidRDefault="00CD0FAC" w:rsidP="00CD0FAC">
      <w:r w:rsidRPr="00E64F2F">
        <w:rPr>
          <w:b/>
        </w:rPr>
        <w:t>Item 1</w:t>
      </w:r>
      <w:r w:rsidRPr="00E64F2F">
        <w:t xml:space="preserve"> repeals and replaces section 95A of the Rules, which provides a simplified outline of Part 6A. This amendment specifies how the Commissioner may deal with reportable incidents notified by an approved provider as well as a CFAC service provider. This amendment is consequential to the amendments made by Item 8 of Schedule 2 to the Instrument.</w:t>
      </w:r>
    </w:p>
    <w:p w14:paraId="31403C49" w14:textId="77777777" w:rsidR="00CD0FAC" w:rsidRPr="00E64F2F" w:rsidRDefault="00CD0FAC" w:rsidP="00CD0FAC"/>
    <w:p w14:paraId="0855984F" w14:textId="77777777" w:rsidR="00CD0FAC" w:rsidRPr="00E64F2F" w:rsidRDefault="00CD0FAC" w:rsidP="00CD0FAC">
      <w:r w:rsidRPr="00E64F2F">
        <w:rPr>
          <w:b/>
          <w:bCs/>
        </w:rPr>
        <w:t>Item 2</w:t>
      </w:r>
      <w:r w:rsidRPr="00E64F2F">
        <w:t xml:space="preserve"> inserts the words “for approved providers” at the end of the heading ‘Reportable incidents’ of Division 2 of Part 6A of the Rules. This amendment clarifies that the arrangements under Division 2 of Part 6A only apply to approved providers (and not CFAC service providers). This amendment is consequential to the amendments made by Item 8 of Schedule 2 to the Instrument.</w:t>
      </w:r>
    </w:p>
    <w:p w14:paraId="56C0D5BB" w14:textId="77777777" w:rsidR="00CD0FAC" w:rsidRPr="00E64F2F" w:rsidRDefault="00CD0FAC" w:rsidP="00CD0FAC"/>
    <w:p w14:paraId="3ED44844" w14:textId="77777777" w:rsidR="00CD0FAC" w:rsidRPr="00E64F2F" w:rsidRDefault="00CD0FAC" w:rsidP="00CD0FAC">
      <w:r w:rsidRPr="00E64F2F">
        <w:rPr>
          <w:b/>
          <w:bCs/>
        </w:rPr>
        <w:t xml:space="preserve">Item 3 </w:t>
      </w:r>
      <w:r w:rsidRPr="00E64F2F">
        <w:t>inserts new subsection 95E(3) at the end of section 95E of the Rules. Currently, under section 95E, the Commissioner may require the approved provider to give the Commissioner a final report about a reportable incident notified under section 15NE or 15NF of the Quality of Care Principles. New subsection 95E(3) provides that following the receipt of a final report about a reportable incident, the Commissioner may take any action in response to the report that the Commissioner considers appropriate. The effect of this amendment is intended to cover action taken by the Commissioner under this Part of the Rules and as permitted elsewhere in the Commission Act or Rules.</w:t>
      </w:r>
    </w:p>
    <w:p w14:paraId="70E530AB" w14:textId="77777777" w:rsidR="00CD0FAC" w:rsidRPr="00E64F2F" w:rsidRDefault="00CD0FAC" w:rsidP="00CD0FAC"/>
    <w:p w14:paraId="2388F367" w14:textId="77777777" w:rsidR="00CD0FAC" w:rsidRPr="00E64F2F" w:rsidRDefault="00CD0FAC" w:rsidP="00CD0FAC">
      <w:r w:rsidRPr="00E64F2F">
        <w:t xml:space="preserve">This new subsection is included for consistency with the new arrangements for service providers </w:t>
      </w:r>
      <w:bookmarkStart w:id="3" w:name="_Hlk109742370"/>
      <w:r w:rsidRPr="00E64F2F">
        <w:t xml:space="preserve">of a Commonwealth-funded aged care service </w:t>
      </w:r>
      <w:bookmarkEnd w:id="3"/>
      <w:r w:rsidRPr="00E64F2F">
        <w:t xml:space="preserve">under new subsection 95M(5) inserted by Item 8 of Schedule 2 of this Instrument. </w:t>
      </w:r>
    </w:p>
    <w:p w14:paraId="57EE83D1" w14:textId="77777777" w:rsidR="00CD0FAC" w:rsidRPr="00E64F2F" w:rsidRDefault="00CD0FAC" w:rsidP="00CD0FAC"/>
    <w:p w14:paraId="7443DB1D" w14:textId="60C22BE6" w:rsidR="00CD0FAC" w:rsidRPr="00E64F2F" w:rsidRDefault="00CD0FAC" w:rsidP="00CD0FAC">
      <w:r w:rsidRPr="00E64F2F">
        <w:t xml:space="preserve">When deciding whether to take any actions in response to a final report, the Commissioner may consider a number of factors, including the circumstances of the case, the seriousness of the incident, whether effective remedies have been put in place and the overall quality of care provided by the approved provider. </w:t>
      </w:r>
    </w:p>
    <w:p w14:paraId="6A39E0D8" w14:textId="77777777" w:rsidR="00CD0FAC" w:rsidRPr="00E64F2F" w:rsidRDefault="00CD0FAC" w:rsidP="00CD0FAC"/>
    <w:p w14:paraId="49739B4E" w14:textId="77777777" w:rsidR="00CD0FAC" w:rsidRPr="00E64F2F" w:rsidRDefault="00CD0FAC" w:rsidP="00CD0FAC">
      <w:r w:rsidRPr="00E64F2F">
        <w:t xml:space="preserve">In addition, if the Commissioner considers that a final report may indicate that there are issues with the provision of quality care and services by the approved provider, or that the safety, health and well-being or quality of life of care recipients is at risk, the </w:t>
      </w:r>
      <w:r w:rsidRPr="00E64F2F">
        <w:lastRenderedPageBreak/>
        <w:t>Commissioner may take appropriate enforcement action against the approved provider to address the risk(s).</w:t>
      </w:r>
    </w:p>
    <w:p w14:paraId="7319DB32" w14:textId="77777777" w:rsidR="00CD0FAC" w:rsidRPr="00E64F2F" w:rsidRDefault="00CD0FAC" w:rsidP="00CD0FAC">
      <w:pPr>
        <w:rPr>
          <w:b/>
          <w:bCs/>
        </w:rPr>
      </w:pPr>
    </w:p>
    <w:p w14:paraId="41FB0187" w14:textId="77777777" w:rsidR="00CD0FAC" w:rsidRPr="00E64F2F" w:rsidRDefault="00CD0FAC" w:rsidP="00CD0FAC">
      <w:r w:rsidRPr="00E64F2F">
        <w:rPr>
          <w:b/>
          <w:bCs/>
        </w:rPr>
        <w:t xml:space="preserve">Item 4 </w:t>
      </w:r>
      <w:r w:rsidRPr="00E64F2F">
        <w:t xml:space="preserve">repeals paragraph 95G(1)(a) of the Rules and substitutes new paragraphs 95(1)(a) and (aa). </w:t>
      </w:r>
    </w:p>
    <w:p w14:paraId="55767554" w14:textId="77777777" w:rsidR="00CD0FAC" w:rsidRPr="00E64F2F" w:rsidRDefault="00CD0FAC" w:rsidP="00CD0FAC"/>
    <w:p w14:paraId="3C7FF6D3" w14:textId="77777777" w:rsidR="00CD0FAC" w:rsidRPr="00E64F2F" w:rsidRDefault="00CD0FAC" w:rsidP="00CD0FAC">
      <w:r w:rsidRPr="00E64F2F">
        <w:t xml:space="preserve">New paragraph 95G(1)(a) provides that upon receiving a notice about a reportable incident given by an approved provider, the Commissioner may refer the incident to the Australian Federal Police, or the police force or police service of a State or Territory, whichever the Commissioner considers appropriate. </w:t>
      </w:r>
    </w:p>
    <w:p w14:paraId="142CD84B" w14:textId="77777777" w:rsidR="00CD0FAC" w:rsidRPr="00E64F2F" w:rsidRDefault="00CD0FAC" w:rsidP="00CD0FAC"/>
    <w:p w14:paraId="17726E58" w14:textId="77777777" w:rsidR="00CD0FAC" w:rsidRPr="00E64F2F" w:rsidRDefault="00CD0FAC" w:rsidP="00CD0FAC">
      <w:r w:rsidRPr="00E64F2F">
        <w:t>New paragraph 95G(1)(aa) provides that the Commissioner may also refer a reportable incident notified by an approved provider to a person or body with responsibilities in relation to the incident. This may include a relevant State or Territory agency, such as the Disability Services and Aboriginal and Torres Strait Islander Partnerships or a Commonwealth agency such as the National Disability Insurance Scheme Quality and Safeguards Commission if they have responsibilities in relation to the incident.</w:t>
      </w:r>
    </w:p>
    <w:p w14:paraId="1BFFE92F" w14:textId="77777777" w:rsidR="00CD0FAC" w:rsidRPr="00E64F2F" w:rsidRDefault="00CD0FAC" w:rsidP="00CD0FAC"/>
    <w:p w14:paraId="43A160ED" w14:textId="77777777" w:rsidR="00CD0FAC" w:rsidRPr="00E64F2F" w:rsidRDefault="00CD0FAC" w:rsidP="00CD0FAC">
      <w:r w:rsidRPr="00E64F2F">
        <w:t xml:space="preserve">The amendments clarify who the Commissioner may refer a reportable incident to and improve readability. These amendments also ensure consistency with the actions the Commissioner may take in relation to a reportable incident notified by CFAC service providers under new subsections 95M(2)(a) and (b) inserted by Item 8 of Schedule 2 to the Instrument discussed below. </w:t>
      </w:r>
    </w:p>
    <w:p w14:paraId="21104E6C" w14:textId="77777777" w:rsidR="00CD0FAC" w:rsidRPr="00E64F2F" w:rsidRDefault="00CD0FAC" w:rsidP="00CD0FAC"/>
    <w:p w14:paraId="099D5569" w14:textId="77777777" w:rsidR="00CD0FAC" w:rsidRPr="00E64F2F" w:rsidRDefault="00CD0FAC" w:rsidP="00CD0FAC">
      <w:r w:rsidRPr="00E64F2F">
        <w:rPr>
          <w:b/>
          <w:bCs/>
        </w:rPr>
        <w:t>Item 5</w:t>
      </w:r>
      <w:r w:rsidRPr="00E64F2F">
        <w:t xml:space="preserve"> amends subparagraphs 95G(1)(c)(ii) and 95G(1)(d)(ii) of the Rules</w:t>
      </w:r>
    </w:p>
    <w:p w14:paraId="73E25E41" w14:textId="77777777" w:rsidR="00CD0FAC" w:rsidRPr="00E64F2F" w:rsidRDefault="00CD0FAC" w:rsidP="00CD0FAC"/>
    <w:p w14:paraId="4E46DDE5" w14:textId="77777777" w:rsidR="00CD0FAC" w:rsidRPr="00E64F2F" w:rsidRDefault="00CD0FAC" w:rsidP="00CD0FAC">
      <w:r w:rsidRPr="00E64F2F">
        <w:t xml:space="preserve">Paragraph 95G(1)(c) provides that if the Commissioner is notified of a reportable incident by an approved provider, the Commissioner may require an internal investigation into the incident be carried out by the approved provider, and a report of the investigation be given to the Commissioner. The amendments will now require the approved provider to give the Commissioner a report on the investigation in the manner and within the period specified by Commissioner. </w:t>
      </w:r>
    </w:p>
    <w:p w14:paraId="0FBB84D1" w14:textId="77777777" w:rsidR="00CD0FAC" w:rsidRPr="00E64F2F" w:rsidRDefault="00CD0FAC" w:rsidP="00CD0FAC"/>
    <w:p w14:paraId="27E30B9C" w14:textId="77777777" w:rsidR="00CD0FAC" w:rsidRPr="00E64F2F" w:rsidRDefault="00CD0FAC" w:rsidP="00CD0FAC">
      <w:r w:rsidRPr="00E64F2F">
        <w:t xml:space="preserve">Similarly, paragraph 95G(1)(d) provides that if the Commissioner is notified of a reportable incident by an approved provider, the Commissioner may require that an investigation into the incident be carried out by an appropriately qualified and independent expert, engaged by and at the expense of the approved provider. The amendments will now require the approved provider to give the Commissioner a report on the investigation in the manner and within the period specified by the Commissioner. </w:t>
      </w:r>
    </w:p>
    <w:p w14:paraId="4C4136AA" w14:textId="77777777" w:rsidR="00CD0FAC" w:rsidRPr="00E64F2F" w:rsidRDefault="00CD0FAC" w:rsidP="00CD0FAC"/>
    <w:p w14:paraId="7CDAED2C" w14:textId="77777777" w:rsidR="00CD0FAC" w:rsidRPr="00E64F2F" w:rsidRDefault="00CD0FAC" w:rsidP="00CD0FAC">
      <w:r w:rsidRPr="00E64F2F">
        <w:t xml:space="preserve">These amendments make clear that the Commissioner can specify the manner and time in which a report under paragraphs 95G(1)(c) and (d) must be given to the Commissioner and ensure consistency with the actions the Commissioner may take in relation to a reportable incident notified by CFAC service providers under new subparagraph 95M(2)(d)(ii) inserted by Item 8 of Schedule 2 to the Instrument. </w:t>
      </w:r>
    </w:p>
    <w:p w14:paraId="75C9B3E2" w14:textId="77777777" w:rsidR="00CD0FAC" w:rsidRPr="00E64F2F" w:rsidRDefault="00CD0FAC" w:rsidP="00CD0FAC"/>
    <w:p w14:paraId="5606CB87" w14:textId="77777777" w:rsidR="00CD0FAC" w:rsidRPr="00E64F2F" w:rsidRDefault="00CD0FAC" w:rsidP="00CD0FAC">
      <w:r w:rsidRPr="00E64F2F">
        <w:rPr>
          <w:b/>
          <w:bCs/>
        </w:rPr>
        <w:t xml:space="preserve">Item 6 </w:t>
      </w:r>
      <w:r w:rsidRPr="00E64F2F">
        <w:t xml:space="preserve">adds the words “for an approved provider” at the end of paragraph 95H(1)(a) of the Rules. The amendment made by this item clarifies that the Commissioner may </w:t>
      </w:r>
      <w:r w:rsidRPr="00E64F2F">
        <w:lastRenderedPageBreak/>
        <w:t>inquire into a reportable incident for approved providers. This amendment is consequential to the arrangements inserted by Item 8 of Schedule 2 to the Instrument to reflect that Division 2 relates only to approved providers.</w:t>
      </w:r>
    </w:p>
    <w:p w14:paraId="5DBADF92" w14:textId="77777777" w:rsidR="00CD0FAC" w:rsidRPr="00E64F2F" w:rsidRDefault="00CD0FAC" w:rsidP="00CD0FAC"/>
    <w:p w14:paraId="651FC299" w14:textId="77777777" w:rsidR="00CD0FAC" w:rsidRPr="00E64F2F" w:rsidRDefault="00CD0FAC" w:rsidP="00CD0FAC">
      <w:r w:rsidRPr="00E64F2F">
        <w:rPr>
          <w:b/>
          <w:bCs/>
        </w:rPr>
        <w:t>Item 7</w:t>
      </w:r>
      <w:r w:rsidRPr="00E64F2F">
        <w:t xml:space="preserve"> repeals section 95J of the Rules and substitutes a new section 95J.</w:t>
      </w:r>
    </w:p>
    <w:p w14:paraId="0E794A44" w14:textId="77777777" w:rsidR="00CD0FAC" w:rsidRPr="00E64F2F" w:rsidRDefault="00CD0FAC" w:rsidP="00CD0FAC"/>
    <w:p w14:paraId="5E22CEA5" w14:textId="77777777" w:rsidR="00CD0FAC" w:rsidRPr="00E64F2F" w:rsidRDefault="00CD0FAC" w:rsidP="00CD0FAC">
      <w:pPr>
        <w:rPr>
          <w:u w:val="single"/>
        </w:rPr>
      </w:pPr>
      <w:r w:rsidRPr="00E64F2F">
        <w:rPr>
          <w:u w:val="single"/>
        </w:rPr>
        <w:t>Section 95J – Taking of other action not prevented by this Division</w:t>
      </w:r>
    </w:p>
    <w:p w14:paraId="785E75C4" w14:textId="77777777" w:rsidR="00CD0FAC" w:rsidRPr="00E64F2F" w:rsidRDefault="00CD0FAC" w:rsidP="00CD0FAC">
      <w:r w:rsidRPr="00E64F2F">
        <w:t xml:space="preserve">New section 95J provides that nothing in Division 2 of Part 6A of the Rules prevents the Commissioner from taking action under the Commission Act in relation to a reportable incident for an approved provider, or information, or documents given to the Commissioner under Division 2 or Part 4B of the </w:t>
      </w:r>
      <w:proofErr w:type="gramStart"/>
      <w:r w:rsidRPr="00E64F2F">
        <w:t>Quality of Care</w:t>
      </w:r>
      <w:proofErr w:type="gramEnd"/>
      <w:r w:rsidRPr="00E64F2F">
        <w:t xml:space="preserve"> Principles (regarding the incident management and prevention arrangements for approved providers). </w:t>
      </w:r>
    </w:p>
    <w:p w14:paraId="5AD8DAA2" w14:textId="77777777" w:rsidR="00CD0FAC" w:rsidRPr="00E64F2F" w:rsidRDefault="00CD0FAC" w:rsidP="00CD0FAC"/>
    <w:p w14:paraId="4C487190" w14:textId="77777777" w:rsidR="00CD0FAC" w:rsidRPr="00E64F2F" w:rsidRDefault="00CD0FAC" w:rsidP="00CD0FAC">
      <w:r w:rsidRPr="00E64F2F">
        <w:t>This provision clarifies that information given to the Commissioner, such as through a reportable incident notification or a final report, may be used by the Commissioner to take other action under the Commission Act, for example, to impose sanctions where appropriate.</w:t>
      </w:r>
    </w:p>
    <w:p w14:paraId="12396CB2" w14:textId="77777777" w:rsidR="00CD0FAC" w:rsidRPr="00E64F2F" w:rsidRDefault="00CD0FAC" w:rsidP="00CD0FAC"/>
    <w:p w14:paraId="16E5349A" w14:textId="77777777" w:rsidR="00CD0FAC" w:rsidRPr="00E64F2F" w:rsidRDefault="00CD0FAC" w:rsidP="00CD0FAC">
      <w:r w:rsidRPr="00E64F2F">
        <w:rPr>
          <w:b/>
          <w:bCs/>
        </w:rPr>
        <w:t>Item 8</w:t>
      </w:r>
      <w:r w:rsidRPr="00E64F2F">
        <w:t xml:space="preserve"> inserts new Division 3 at the end of Part 6A of the Rules. </w:t>
      </w:r>
    </w:p>
    <w:p w14:paraId="721FA43A" w14:textId="77777777" w:rsidR="00CD0FAC" w:rsidRPr="00E64F2F" w:rsidRDefault="00CD0FAC" w:rsidP="00CD0FAC"/>
    <w:p w14:paraId="42EC2C52" w14:textId="77777777" w:rsidR="00CD0FAC" w:rsidRPr="00E64F2F" w:rsidRDefault="00CD0FAC" w:rsidP="00CD0FAC">
      <w:pPr>
        <w:rPr>
          <w:u w:val="single"/>
        </w:rPr>
      </w:pPr>
      <w:r w:rsidRPr="00E64F2F">
        <w:rPr>
          <w:u w:val="single"/>
        </w:rPr>
        <w:t>Division 3 – Reportable incidents for service providers of a Commonwealth-funded aged care service</w:t>
      </w:r>
    </w:p>
    <w:p w14:paraId="796D2B50" w14:textId="77777777" w:rsidR="00CD0FAC" w:rsidRPr="00E64F2F" w:rsidRDefault="00CD0FAC" w:rsidP="00CD0FAC">
      <w:pPr>
        <w:rPr>
          <w:u w:val="single"/>
        </w:rPr>
      </w:pPr>
    </w:p>
    <w:p w14:paraId="6C23A0FC" w14:textId="77777777" w:rsidR="00CD0FAC" w:rsidRPr="00E64F2F" w:rsidRDefault="00CD0FAC" w:rsidP="00CD0FAC">
      <w:r w:rsidRPr="00E64F2F">
        <w:t xml:space="preserve">New Division 3 outlines how the Commissioner may deal with reportable incidents for a CFAC service provider. </w:t>
      </w:r>
    </w:p>
    <w:p w14:paraId="2DE3C661" w14:textId="77777777" w:rsidR="00CD0FAC" w:rsidRPr="00E64F2F" w:rsidRDefault="00CD0FAC" w:rsidP="00CD0FAC"/>
    <w:p w14:paraId="163E4132" w14:textId="77777777" w:rsidR="00CD0FAC" w:rsidRPr="00E64F2F" w:rsidRDefault="00CD0FAC" w:rsidP="00CD0FAC">
      <w:pPr>
        <w:rPr>
          <w:sz w:val="22"/>
          <w:szCs w:val="22"/>
        </w:rPr>
      </w:pPr>
      <w:r w:rsidRPr="00E64F2F">
        <w:rPr>
          <w:u w:val="single"/>
        </w:rPr>
        <w:t>Subdivision A</w:t>
      </w:r>
      <w:r w:rsidRPr="00E64F2F">
        <w:t xml:space="preserve"> </w:t>
      </w:r>
    </w:p>
    <w:p w14:paraId="6D57D95A" w14:textId="77777777" w:rsidR="00CD0FAC" w:rsidRPr="00E64F2F" w:rsidRDefault="00CD0FAC" w:rsidP="00CD0FAC">
      <w:pPr>
        <w:rPr>
          <w:u w:val="single"/>
        </w:rPr>
      </w:pPr>
    </w:p>
    <w:p w14:paraId="5E3A48C1" w14:textId="77777777" w:rsidR="00CD0FAC" w:rsidRPr="00E64F2F" w:rsidRDefault="00CD0FAC" w:rsidP="00CD0FAC">
      <w:pPr>
        <w:rPr>
          <w:sz w:val="22"/>
          <w:szCs w:val="22"/>
          <w:u w:val="single"/>
        </w:rPr>
      </w:pPr>
      <w:r w:rsidRPr="00E64F2F">
        <w:rPr>
          <w:u w:val="single"/>
        </w:rPr>
        <w:t>Section 95K – Purpose of this Division</w:t>
      </w:r>
    </w:p>
    <w:p w14:paraId="7D060613" w14:textId="77777777" w:rsidR="00CD0FAC" w:rsidRPr="00E64F2F" w:rsidRDefault="00CD0FAC" w:rsidP="00CD0FAC">
      <w:r w:rsidRPr="00E64F2F">
        <w:t>New section 95K provides that new Division 3 is made for the purposes of subsections 21(1) and (8) of the Commission Act, which provide that the Rules may make provision for, or in relation to, the performance of the Commissioner’s functions and how the Commissioner deals with a reportable incident for a CFAC service provider.</w:t>
      </w:r>
    </w:p>
    <w:p w14:paraId="6B2411AB" w14:textId="77777777" w:rsidR="00CD0FAC" w:rsidRPr="00E64F2F" w:rsidRDefault="00CD0FAC" w:rsidP="00CD0FAC"/>
    <w:p w14:paraId="61C6B63E" w14:textId="77777777" w:rsidR="00CD0FAC" w:rsidRPr="00E64F2F" w:rsidRDefault="00CD0FAC" w:rsidP="00CD0FAC">
      <w:pPr>
        <w:rPr>
          <w:sz w:val="22"/>
          <w:szCs w:val="22"/>
        </w:rPr>
      </w:pPr>
      <w:r w:rsidRPr="00E64F2F">
        <w:rPr>
          <w:u w:val="single"/>
        </w:rPr>
        <w:t>Subdivision B</w:t>
      </w:r>
      <w:r w:rsidRPr="00E64F2F">
        <w:t xml:space="preserve"> </w:t>
      </w:r>
    </w:p>
    <w:p w14:paraId="1F4A62BC" w14:textId="77777777" w:rsidR="00CD0FAC" w:rsidRPr="00E64F2F" w:rsidRDefault="00CD0FAC" w:rsidP="00CD0FAC"/>
    <w:p w14:paraId="03BA8398" w14:textId="77777777" w:rsidR="00CD0FAC" w:rsidRPr="00E64F2F" w:rsidRDefault="00CD0FAC" w:rsidP="00CD0FAC">
      <w:pPr>
        <w:keepNext/>
        <w:rPr>
          <w:sz w:val="22"/>
          <w:szCs w:val="22"/>
          <w:u w:val="single"/>
        </w:rPr>
      </w:pPr>
      <w:r w:rsidRPr="00E64F2F">
        <w:rPr>
          <w:u w:val="single"/>
        </w:rPr>
        <w:t>Section 95L – Commissioner may require further information in relation to a reportable incident</w:t>
      </w:r>
    </w:p>
    <w:p w14:paraId="255701A9" w14:textId="77777777" w:rsidR="00CD0FAC" w:rsidRPr="00E64F2F" w:rsidRDefault="00CD0FAC" w:rsidP="00CD0FAC">
      <w:r w:rsidRPr="00E64F2F">
        <w:t xml:space="preserve">New section 95L provides that if, in accordance with their funding agreement, a CFAC service provider notifies the Commissioner of a reportable incident, and the Commissioner requires further information in order to deal with the incident, then the Commissioner may, by written notice, require that information to be given to them by the CFAC service provider. The written notice must specify the information requested and a period within which it is required to be provided to the Commissioner. </w:t>
      </w:r>
    </w:p>
    <w:p w14:paraId="15E78704" w14:textId="77777777" w:rsidR="00CD0FAC" w:rsidRPr="00E64F2F" w:rsidRDefault="00CD0FAC" w:rsidP="00CD0FAC"/>
    <w:p w14:paraId="6E335707" w14:textId="77777777" w:rsidR="00CD0FAC" w:rsidRPr="00E64F2F" w:rsidRDefault="00CD0FAC" w:rsidP="00CD0FAC">
      <w:r w:rsidRPr="00E64F2F">
        <w:t xml:space="preserve">When specifying the period within which this information must be provided, the Commissioner will assess what is an appropriate timeframe on a case-by-case basis, taking into consideration the impact that timing may have on those affected by the </w:t>
      </w:r>
      <w:r w:rsidRPr="00E64F2F">
        <w:lastRenderedPageBreak/>
        <w:t xml:space="preserve">incident. For example, the Commissioner may decide on a shorter timeframe if there is a high risk of harm to care recipients if this information is not received and acted upon quickly. </w:t>
      </w:r>
    </w:p>
    <w:p w14:paraId="429E98AF" w14:textId="77777777" w:rsidR="00CD0FAC" w:rsidRPr="00E64F2F" w:rsidRDefault="00CD0FAC" w:rsidP="00CD0FAC">
      <w:pPr>
        <w:rPr>
          <w:shd w:val="clear" w:color="auto" w:fill="FFFFFF"/>
        </w:rPr>
      </w:pPr>
    </w:p>
    <w:p w14:paraId="59545634" w14:textId="77777777" w:rsidR="00CD0FAC" w:rsidRPr="00E64F2F" w:rsidRDefault="00CD0FAC" w:rsidP="00CD0FAC">
      <w:r w:rsidRPr="00E64F2F">
        <w:rPr>
          <w:shd w:val="clear" w:color="auto" w:fill="FFFFFF"/>
        </w:rPr>
        <w:t xml:space="preserve">New section 95L does not displace the privilege against self-incrimination or legal professional privilege. </w:t>
      </w:r>
    </w:p>
    <w:p w14:paraId="137BE08F" w14:textId="77777777" w:rsidR="00CD0FAC" w:rsidRPr="00E64F2F" w:rsidRDefault="00CD0FAC" w:rsidP="00CD0FAC">
      <w:pPr>
        <w:rPr>
          <w:u w:val="single"/>
        </w:rPr>
      </w:pPr>
    </w:p>
    <w:p w14:paraId="1262955C" w14:textId="77777777" w:rsidR="00CD0FAC" w:rsidRPr="00E64F2F" w:rsidRDefault="00CD0FAC" w:rsidP="00CD0FAC">
      <w:pPr>
        <w:rPr>
          <w:u w:val="single"/>
        </w:rPr>
      </w:pPr>
      <w:r w:rsidRPr="00E64F2F">
        <w:rPr>
          <w:u w:val="single"/>
        </w:rPr>
        <w:t>Section 95M – Commissioner may deal with a reportable incident by taking certain action</w:t>
      </w:r>
    </w:p>
    <w:p w14:paraId="6B08A1DE" w14:textId="77777777" w:rsidR="00CD0FAC" w:rsidRPr="00E64F2F" w:rsidRDefault="00CD0FAC" w:rsidP="00CD0FAC">
      <w:r w:rsidRPr="00E64F2F">
        <w:t xml:space="preserve">New section 95M(1) specifies that section 95M applies if the Commissioner is notified of a reportable incident by a CFAC service provider in accordance with the funding agreement that relates to the service. </w:t>
      </w:r>
    </w:p>
    <w:p w14:paraId="4536AB5F" w14:textId="77777777" w:rsidR="00CD0FAC" w:rsidRPr="00E64F2F" w:rsidRDefault="00CD0FAC" w:rsidP="00CD0FAC"/>
    <w:p w14:paraId="5D5940BD" w14:textId="77777777" w:rsidR="00CD0FAC" w:rsidRPr="00E64F2F" w:rsidRDefault="00CD0FAC" w:rsidP="00CD0FAC">
      <w:r w:rsidRPr="00E64F2F">
        <w:t xml:space="preserve">Subsection 95M(2) specifies the actions the Commissioner may take in response to a reportable incident notified by a CFAC service provider. This includes but is not limited to referring a reportable incident to the Australian Federal Police, or the police force or service of a State and Territory, whichever the Commissioner considers appropriate (new paragraph 95M(2)(a)); referring the reportable incident to a person or body with responsibilities in relation to the incident, such as the Australian Health Practitioner Regulation Agency (new paragraph 95M(2)(b)); requiring or requesting the service provider undertake specified remedial action (new paragraph 95M(2)(c)) or carry out an internal investigation and provide a report of the investigation to the Commissioner in relation to the reportable incident (new paragraph 95M(2)(d)) within a specified period. </w:t>
      </w:r>
    </w:p>
    <w:p w14:paraId="44157BB6" w14:textId="77777777" w:rsidR="00CD0FAC" w:rsidRPr="00E64F2F" w:rsidRDefault="00CD0FAC" w:rsidP="00CD0FAC"/>
    <w:p w14:paraId="0737C1EC" w14:textId="77777777" w:rsidR="00CD0FAC" w:rsidRPr="00E64F2F" w:rsidRDefault="00CD0FAC" w:rsidP="00CD0FAC">
      <w:r w:rsidRPr="00E64F2F">
        <w:t>New paragraph 95M(2)(e) provides that if the Commissioner is notified of a reportable incident by a service provider of a CFAC service, the Commissioner may require the service provider to provide a final report on the reportable incident that includes information specified by the Commissioner.</w:t>
      </w:r>
    </w:p>
    <w:p w14:paraId="0117352F" w14:textId="77777777" w:rsidR="00CD0FAC" w:rsidRPr="00E64F2F" w:rsidRDefault="00CD0FAC" w:rsidP="00CD0FAC"/>
    <w:p w14:paraId="725FF342" w14:textId="77777777" w:rsidR="00CD0FAC" w:rsidRPr="00E64F2F" w:rsidRDefault="00CD0FAC" w:rsidP="00CD0FAC">
      <w:r w:rsidRPr="00E64F2F">
        <w:t>New paragraph 95M(2)(f) makes clear that the Commissioner may take any other action to deal with the reportable incident that the Commissioner considers reasonable in the circumstances. For example, this may include undertaking quality reviews and monitoring in accordance with Parts 4 and 5 of the Rules.</w:t>
      </w:r>
    </w:p>
    <w:p w14:paraId="66042B1A" w14:textId="77777777" w:rsidR="00CD0FAC" w:rsidRPr="00E64F2F" w:rsidRDefault="00CD0FAC" w:rsidP="00CD0FAC"/>
    <w:p w14:paraId="48F6810D" w14:textId="77777777" w:rsidR="00CD0FAC" w:rsidRPr="00E64F2F" w:rsidRDefault="00CD0FAC" w:rsidP="00CD0FAC">
      <w:r w:rsidRPr="00E64F2F">
        <w:t>New subsection 95M(3) provides that the period within which a CFAC service provider must provide a final report under new paragraph 95M(2)(e) is the period of 84 days starting on the day after the requirement under that paragraph is made or such other period as specified by the Commissioner.</w:t>
      </w:r>
    </w:p>
    <w:p w14:paraId="33C1AC2F" w14:textId="77777777" w:rsidR="00CD0FAC" w:rsidRPr="00E64F2F" w:rsidRDefault="00CD0FAC" w:rsidP="00CD0FAC"/>
    <w:p w14:paraId="27F76676" w14:textId="77777777" w:rsidR="00CD0FAC" w:rsidRPr="00E64F2F" w:rsidRDefault="00CD0FAC" w:rsidP="00CD0FAC">
      <w:r w:rsidRPr="00E64F2F">
        <w:t xml:space="preserve">New subsection 95M(4) specifies that if the Commissioner is given a report of an internal investigation of a reportable incident carried out by a service provider, the Commissioner may take any action to deal with the outcome of the investigation that the Commissioner considers appropriate. </w:t>
      </w:r>
    </w:p>
    <w:p w14:paraId="5922791C" w14:textId="77777777" w:rsidR="00CD0FAC" w:rsidRPr="00E64F2F" w:rsidRDefault="00CD0FAC" w:rsidP="00CD0FAC"/>
    <w:p w14:paraId="1A8D0283" w14:textId="77777777" w:rsidR="00CD0FAC" w:rsidRPr="00E64F2F" w:rsidRDefault="00CD0FAC" w:rsidP="00CD0FAC">
      <w:r w:rsidRPr="00E64F2F">
        <w:t>New subsection 95M(5) provides that if the Commissioner is given a final report about a reportable incident, the Commissioner may take any action in response to the report that the Commissioner considers appropriate.</w:t>
      </w:r>
    </w:p>
    <w:p w14:paraId="2EA61F2D" w14:textId="77777777" w:rsidR="00CD0FAC" w:rsidRPr="00E64F2F" w:rsidRDefault="00CD0FAC" w:rsidP="00CD0FAC"/>
    <w:p w14:paraId="3606D50B" w14:textId="77777777" w:rsidR="00CD0FAC" w:rsidRPr="00E64F2F" w:rsidRDefault="00CD0FAC" w:rsidP="00CD0FAC">
      <w:r w:rsidRPr="00E64F2F">
        <w:lastRenderedPageBreak/>
        <w:t>Such actions referred to in new subsections 95M(4) and (5) are not limited to action available to be taken by the Commissioner under this new Division 3 of Part 6A of the Rules. When deciding whether to take any other actions to deal with reportable incidents, or in response to a final report about a reportable incident, the Commissioner may consider factors such as the circumstances of the case, the seriousness of the incident, whether effective remedies have been put in place and the overall quality of care and safety of care recipients. The Commissioner will take a reasonable and proportionate response based on the circumstances of each individual case.</w:t>
      </w:r>
    </w:p>
    <w:p w14:paraId="3F27DCB7" w14:textId="77777777" w:rsidR="00CD0FAC" w:rsidRPr="00E64F2F" w:rsidRDefault="00CD0FAC" w:rsidP="00CD0FAC"/>
    <w:p w14:paraId="774B2A86" w14:textId="77777777" w:rsidR="00CD0FAC" w:rsidRPr="00E64F2F" w:rsidRDefault="00CD0FAC" w:rsidP="00CD0FAC">
      <w:r w:rsidRPr="00E64F2F">
        <w:t>If information is received through the process of the Commissioner dealing with reportable incidents, and it indicates that there are issues with the provision of quality care and services by the CFAC service provider or the information indicates that the safety, health and well-being and quality of life of care recipients is at risk, the Commissioner may provide a recommendation to the Secretary that action be taken under the terms of the relevant funding agreement.</w:t>
      </w:r>
    </w:p>
    <w:p w14:paraId="19AB52EA" w14:textId="77777777" w:rsidR="00CD0FAC" w:rsidRPr="00E64F2F" w:rsidRDefault="00CD0FAC" w:rsidP="00CD0FAC"/>
    <w:p w14:paraId="5C9894C7" w14:textId="77777777" w:rsidR="00CD0FAC" w:rsidRPr="00E64F2F" w:rsidRDefault="00CD0FAC" w:rsidP="00CD0FAC">
      <w:pPr>
        <w:rPr>
          <w:u w:val="single"/>
        </w:rPr>
      </w:pPr>
      <w:r w:rsidRPr="00E64F2F">
        <w:rPr>
          <w:u w:val="single"/>
        </w:rPr>
        <w:t>Section 95N – Taking of other action not prevented by this Division</w:t>
      </w:r>
    </w:p>
    <w:p w14:paraId="649071DA" w14:textId="77777777" w:rsidR="00CD0FAC" w:rsidRPr="00E64F2F" w:rsidRDefault="00CD0FAC" w:rsidP="00CD0FAC">
      <w:r w:rsidRPr="00E64F2F">
        <w:t xml:space="preserve">New section 95N provides that nothing in new Division 3 of Part 6A of the Rules prevents the Commonwealth from </w:t>
      </w:r>
      <w:proofErr w:type="gramStart"/>
      <w:r w:rsidRPr="00E64F2F">
        <w:t>taking action</w:t>
      </w:r>
      <w:proofErr w:type="gramEnd"/>
      <w:r w:rsidRPr="00E64F2F">
        <w:t xml:space="preserve"> under the funding agreement that relates to a CFAC service, or the Commissioner from taking action under the Commission Act, in relation to:</w:t>
      </w:r>
    </w:p>
    <w:p w14:paraId="146CB70D" w14:textId="77777777" w:rsidR="00CD0FAC" w:rsidRPr="00E64F2F" w:rsidRDefault="00CD0FAC" w:rsidP="00CD0FAC">
      <w:pPr>
        <w:pStyle w:val="ListParagraph"/>
        <w:numPr>
          <w:ilvl w:val="0"/>
          <w:numId w:val="54"/>
        </w:numPr>
      </w:pPr>
      <w:r w:rsidRPr="00E64F2F">
        <w:t>a reportable incident for a service provider of the service;</w:t>
      </w:r>
    </w:p>
    <w:p w14:paraId="29B7350E" w14:textId="77777777" w:rsidR="00CD0FAC" w:rsidRPr="00E64F2F" w:rsidRDefault="00CD0FAC" w:rsidP="00CD0FAC">
      <w:pPr>
        <w:pStyle w:val="ListParagraph"/>
        <w:numPr>
          <w:ilvl w:val="0"/>
          <w:numId w:val="54"/>
        </w:numPr>
      </w:pPr>
      <w:r w:rsidRPr="00E64F2F">
        <w:t>information or documents given to the Commissioner under Division 3; or</w:t>
      </w:r>
    </w:p>
    <w:p w14:paraId="747B30ED" w14:textId="77777777" w:rsidR="00CD0FAC" w:rsidRPr="00E64F2F" w:rsidRDefault="00CD0FAC" w:rsidP="00CD0FAC">
      <w:pPr>
        <w:pStyle w:val="ListParagraph"/>
        <w:numPr>
          <w:ilvl w:val="0"/>
          <w:numId w:val="54"/>
        </w:numPr>
      </w:pPr>
      <w:r w:rsidRPr="00E64F2F">
        <w:t>information or documents relating to such a reportable incident given to the Commissioner or the Commonwealth under the funding agreement.</w:t>
      </w:r>
    </w:p>
    <w:p w14:paraId="3510E1F2" w14:textId="77777777" w:rsidR="00CD0FAC" w:rsidRPr="00E64F2F" w:rsidRDefault="00CD0FAC" w:rsidP="00CD0FAC"/>
    <w:p w14:paraId="63B8BF7A" w14:textId="77777777" w:rsidR="00CD0FAC" w:rsidRPr="00E64F2F" w:rsidRDefault="00CD0FAC" w:rsidP="00CD0FAC">
      <w:r w:rsidRPr="00E64F2F">
        <w:t>This provision clarifies that information given to the Commissioner, such as through a response to an additional information request or a final report in accordance with the Rules, may be used by the Commonwealth to take other action under the funding agreement that relates to a Commonwealth-funded aged care service (for example, for a failure to comply with its SIRS obligations under the funding agreement) or the Commissioner under the Commission Act.</w:t>
      </w:r>
    </w:p>
    <w:p w14:paraId="41969EDC" w14:textId="77777777" w:rsidR="00CD0FAC" w:rsidRPr="00E64F2F" w:rsidRDefault="00CD0FAC" w:rsidP="00CD0FAC"/>
    <w:p w14:paraId="4A593B35" w14:textId="77777777" w:rsidR="00CD0FAC" w:rsidRPr="00E64F2F" w:rsidRDefault="00CD0FAC" w:rsidP="00CD0FAC">
      <w:r w:rsidRPr="00E64F2F">
        <w:rPr>
          <w:b/>
          <w:bCs/>
        </w:rPr>
        <w:t>Item 9</w:t>
      </w:r>
      <w:r w:rsidRPr="00E64F2F">
        <w:t xml:space="preserve"> inserts new Division 4 at the end of Part 9 of the Rules.</w:t>
      </w:r>
    </w:p>
    <w:p w14:paraId="5C413F90" w14:textId="77777777" w:rsidR="00CD0FAC" w:rsidRPr="00E64F2F" w:rsidRDefault="00CD0FAC" w:rsidP="00CD0FAC"/>
    <w:p w14:paraId="4E3052F3" w14:textId="77777777" w:rsidR="00CD0FAC" w:rsidRPr="00E64F2F" w:rsidRDefault="00CD0FAC" w:rsidP="00CD0FAC">
      <w:pPr>
        <w:rPr>
          <w:u w:val="single"/>
        </w:rPr>
      </w:pPr>
      <w:r w:rsidRPr="00E64F2F">
        <w:rPr>
          <w:u w:val="single"/>
        </w:rPr>
        <w:t xml:space="preserve">Division 4 – Amendments made by the Aged Care Legislation Amendment (Reportable Incidents) Instrument 2022 </w:t>
      </w:r>
    </w:p>
    <w:p w14:paraId="2EEB13BD" w14:textId="77777777" w:rsidR="00CD0FAC" w:rsidRPr="00E64F2F" w:rsidRDefault="00CD0FAC" w:rsidP="00CD0FAC">
      <w:r w:rsidRPr="00E64F2F">
        <w:t xml:space="preserve">New Division 4 includes application provisions for the arrangements introduced through the Instrument. </w:t>
      </w:r>
    </w:p>
    <w:p w14:paraId="0B60FCE0" w14:textId="77777777" w:rsidR="00CD0FAC" w:rsidRPr="00E64F2F" w:rsidRDefault="00CD0FAC" w:rsidP="00CD0FAC"/>
    <w:p w14:paraId="22D1CE3B" w14:textId="77777777" w:rsidR="00CD0FAC" w:rsidRPr="00E64F2F" w:rsidRDefault="00CD0FAC" w:rsidP="00CD0FAC">
      <w:pPr>
        <w:keepNext/>
        <w:rPr>
          <w:u w:val="single"/>
        </w:rPr>
      </w:pPr>
      <w:r w:rsidRPr="00E64F2F">
        <w:rPr>
          <w:u w:val="single"/>
        </w:rPr>
        <w:t>Section 166 – Final report about reportable incident</w:t>
      </w:r>
    </w:p>
    <w:p w14:paraId="65E17164" w14:textId="77777777" w:rsidR="00CD0FAC" w:rsidRPr="00E64F2F" w:rsidRDefault="00CD0FAC" w:rsidP="00CD0FAC">
      <w:r w:rsidRPr="00E64F2F">
        <w:t xml:space="preserve">New section 166 provides that new subsection 95E(3) inserted by Item 3 of Schedule 2 to the Instrument (explained above) applies in relation to a final report given to the Commissioner by an approved provider before, on or after 1 December 2022. </w:t>
      </w:r>
    </w:p>
    <w:p w14:paraId="14C7FFDE" w14:textId="77777777" w:rsidR="00CD0FAC" w:rsidRPr="00E64F2F" w:rsidRDefault="00CD0FAC" w:rsidP="00CD0FAC"/>
    <w:p w14:paraId="57AFA8C3" w14:textId="77777777" w:rsidR="00CD0FAC" w:rsidRPr="00E64F2F" w:rsidRDefault="00CD0FAC" w:rsidP="00CD0FAC">
      <w:r w:rsidRPr="00E64F2F">
        <w:t xml:space="preserve">The effect of this provision is that the Commissioner may take any action in relation to a final report that was given by an approved provider under section 95E before, on or after 1 December 2022. </w:t>
      </w:r>
    </w:p>
    <w:p w14:paraId="08EA14C3" w14:textId="77777777" w:rsidR="00CD0FAC" w:rsidRPr="00E64F2F" w:rsidRDefault="00CD0FAC" w:rsidP="00CD0FAC">
      <w:pPr>
        <w:rPr>
          <w:u w:val="single"/>
        </w:rPr>
      </w:pPr>
    </w:p>
    <w:p w14:paraId="172B411A" w14:textId="77777777" w:rsidR="00CD0FAC" w:rsidRPr="00E64F2F" w:rsidRDefault="00CD0FAC" w:rsidP="00CD0FAC">
      <w:pPr>
        <w:rPr>
          <w:u w:val="single"/>
        </w:rPr>
      </w:pPr>
      <w:r w:rsidRPr="00E64F2F">
        <w:rPr>
          <w:u w:val="single"/>
        </w:rPr>
        <w:lastRenderedPageBreak/>
        <w:t>Section 167 – Action by Commissioner to deal with a reportable incident</w:t>
      </w:r>
    </w:p>
    <w:p w14:paraId="716D4820" w14:textId="77777777" w:rsidR="00CD0FAC" w:rsidRPr="00E64F2F" w:rsidRDefault="00CD0FAC" w:rsidP="00CD0FAC">
      <w:r w:rsidRPr="00E64F2F">
        <w:t>New section 167 provides that new paragraphs 95G(1)(a) and (aa) inserted by Item 4 of Schedule 2 to the Instrument (explained above), apply in relation to a reportable incident notified by an approved provider before, on or after 1 December 2022.</w:t>
      </w:r>
    </w:p>
    <w:p w14:paraId="0874F0FC" w14:textId="77777777" w:rsidR="00CD0FAC" w:rsidRPr="00E64F2F" w:rsidRDefault="00CD0FAC" w:rsidP="00CD0FAC"/>
    <w:p w14:paraId="094DA2AE" w14:textId="77777777" w:rsidR="00CD0FAC" w:rsidRPr="00E64F2F" w:rsidRDefault="00CD0FAC" w:rsidP="00CD0FAC">
      <w:r w:rsidRPr="00E64F2F">
        <w:t xml:space="preserve">The effect of this provision is that the Commissioner may refer a reportable incident that was notified by an approved provider before, on or after 1 December 2022, to the Australian Federal Police, the police force or police service of State or Territory, or to a person or body with responsibilities in relation to the incident. </w:t>
      </w:r>
    </w:p>
    <w:p w14:paraId="0266AA5B" w14:textId="77777777" w:rsidR="00CD0FAC" w:rsidRPr="00E64F2F" w:rsidRDefault="00CD0FAC" w:rsidP="00CD0FAC">
      <w:pPr>
        <w:rPr>
          <w:u w:val="single"/>
        </w:rPr>
      </w:pPr>
    </w:p>
    <w:p w14:paraId="37A220ED" w14:textId="77777777" w:rsidR="00CD0FAC" w:rsidRPr="00E64F2F" w:rsidRDefault="00CD0FAC" w:rsidP="00CD0FAC">
      <w:pPr>
        <w:rPr>
          <w:u w:val="single"/>
        </w:rPr>
      </w:pPr>
      <w:r w:rsidRPr="00E64F2F">
        <w:rPr>
          <w:u w:val="single"/>
        </w:rPr>
        <w:t>Section 168 – Reportable incidents for a service provider of a Commonwealth-funded aged care service</w:t>
      </w:r>
    </w:p>
    <w:p w14:paraId="61D602F5" w14:textId="77777777" w:rsidR="00CD0FAC" w:rsidRPr="00E64F2F" w:rsidRDefault="00CD0FAC" w:rsidP="00CD0FAC">
      <w:r w:rsidRPr="00E64F2F">
        <w:t>New section 168 provides that new Division 3 of Part 6A inserted by Item 8 of Schedule 2 to the Instrument applies in relation to a reportable incident notified by a CFAC service provider on or after 1 December 2022.</w:t>
      </w:r>
    </w:p>
    <w:p w14:paraId="6A3C6032" w14:textId="77777777" w:rsidR="00CD0FAC" w:rsidRPr="00E64F2F" w:rsidRDefault="00CD0FAC" w:rsidP="00CD0FAC">
      <w:r w:rsidRPr="00E64F2F">
        <w:br w:type="page"/>
      </w:r>
    </w:p>
    <w:p w14:paraId="29434D49" w14:textId="77777777" w:rsidR="00CD0FAC" w:rsidRPr="00E64F2F" w:rsidRDefault="00CD0FAC" w:rsidP="00CD0FAC">
      <w:pPr>
        <w:jc w:val="center"/>
        <w:rPr>
          <w:b/>
        </w:rPr>
      </w:pPr>
      <w:r w:rsidRPr="00E64F2F">
        <w:rPr>
          <w:b/>
        </w:rPr>
        <w:lastRenderedPageBreak/>
        <w:t>Statement of Compatibility with Human Rights</w:t>
      </w:r>
    </w:p>
    <w:p w14:paraId="15F8AB4F" w14:textId="77777777" w:rsidR="00CD0FAC" w:rsidRPr="00E64F2F" w:rsidRDefault="00CD0FAC" w:rsidP="00CD0FAC">
      <w:pPr>
        <w:jc w:val="center"/>
        <w:rPr>
          <w:b/>
        </w:rPr>
      </w:pPr>
    </w:p>
    <w:p w14:paraId="7FD0BB9B" w14:textId="77777777" w:rsidR="00CD0FAC" w:rsidRPr="00E64F2F" w:rsidRDefault="00CD0FAC" w:rsidP="00CD0FAC">
      <w:pPr>
        <w:jc w:val="center"/>
        <w:rPr>
          <w:i/>
        </w:rPr>
      </w:pPr>
      <w:r w:rsidRPr="00E64F2F">
        <w:rPr>
          <w:i/>
        </w:rPr>
        <w:t>Prepared in accordance with Part 3 of the Human Rights (Parliamentary Scrutiny) Act 2011</w:t>
      </w:r>
    </w:p>
    <w:p w14:paraId="05BA1536" w14:textId="77777777" w:rsidR="00CD0FAC" w:rsidRPr="00E64F2F" w:rsidRDefault="00CD0FAC" w:rsidP="00CD0FAC"/>
    <w:p w14:paraId="4ECC5B4F" w14:textId="77777777" w:rsidR="00CD0FAC" w:rsidRPr="00E64F2F" w:rsidRDefault="00CD0FAC" w:rsidP="00CD0FAC">
      <w:pPr>
        <w:jc w:val="center"/>
        <w:rPr>
          <w:i/>
        </w:rPr>
      </w:pPr>
      <w:r w:rsidRPr="00E64F2F">
        <w:rPr>
          <w:b/>
          <w:i/>
        </w:rPr>
        <w:t>Aged Care Legislation Amendment (Reportable Incidents) Instrument 2022</w:t>
      </w:r>
    </w:p>
    <w:p w14:paraId="10D7C35D" w14:textId="77777777" w:rsidR="00CD0FAC" w:rsidRPr="00E64F2F" w:rsidRDefault="00CD0FAC" w:rsidP="00CD0FAC">
      <w:pPr>
        <w:jc w:val="center"/>
        <w:rPr>
          <w:b/>
        </w:rPr>
      </w:pPr>
    </w:p>
    <w:p w14:paraId="406E7C36" w14:textId="77777777" w:rsidR="00CD0FAC" w:rsidRPr="00E64F2F" w:rsidRDefault="00CD0FAC" w:rsidP="00CD0FAC">
      <w:pPr>
        <w:jc w:val="center"/>
      </w:pPr>
      <w:r w:rsidRPr="00E64F2F">
        <w:t xml:space="preserve">This legislative instrument is compatible with human rights and freedoms recognised or declared in the international instruments listed in section 3 of the </w:t>
      </w:r>
      <w:r w:rsidRPr="00E64F2F">
        <w:rPr>
          <w:i/>
        </w:rPr>
        <w:t>Human Rights (Parliamentary Scrutiny) Act 2011</w:t>
      </w:r>
      <w:r w:rsidRPr="00E64F2F">
        <w:t>.</w:t>
      </w:r>
    </w:p>
    <w:p w14:paraId="699FEAA6" w14:textId="77777777" w:rsidR="00CD0FAC" w:rsidRPr="00E64F2F" w:rsidRDefault="00CD0FAC" w:rsidP="00CD0FAC"/>
    <w:p w14:paraId="36F9C3A3" w14:textId="77777777" w:rsidR="00CD0FAC" w:rsidRPr="00E64F2F" w:rsidRDefault="00CD0FAC" w:rsidP="00CD0FAC">
      <w:pPr>
        <w:rPr>
          <w:b/>
        </w:rPr>
      </w:pPr>
      <w:r w:rsidRPr="00E64F2F">
        <w:rPr>
          <w:b/>
        </w:rPr>
        <w:t>Overview of the Instrument</w:t>
      </w:r>
    </w:p>
    <w:p w14:paraId="26D31C2F" w14:textId="77777777" w:rsidR="00CD0FAC" w:rsidRPr="00E64F2F" w:rsidRDefault="00CD0FAC" w:rsidP="00CD0FAC">
      <w:r w:rsidRPr="00E64F2F">
        <w:t xml:space="preserve">The </w:t>
      </w:r>
      <w:r w:rsidRPr="00E64F2F">
        <w:rPr>
          <w:i/>
          <w:iCs/>
        </w:rPr>
        <w:t>Aged Care Legislation Amendment (Reportable Incidents) Instrument 2022</w:t>
      </w:r>
      <w:r w:rsidRPr="00E64F2F">
        <w:t xml:space="preserve"> (Instrument) amends the </w:t>
      </w:r>
      <w:r w:rsidRPr="00E64F2F">
        <w:rPr>
          <w:i/>
          <w:iCs/>
        </w:rPr>
        <w:t>Aged Care Quality and Safety Commission Rules 2018</w:t>
      </w:r>
      <w:r w:rsidRPr="00E64F2F">
        <w:t xml:space="preserve"> (Rules) to specify how the Aged Care Quality and Safety Commissioner (Commissioner) can deal with a reportable incident notified by a service provider of a Commonwealth</w:t>
      </w:r>
      <w:r w:rsidRPr="00E64F2F">
        <w:noBreakHyphen/>
        <w:t xml:space="preserve">funded aged care service (CFAC service provider) (that is, service providers of the Commonwealth Home Support Programme (CHSP) or the National Aboriginal and Torres Strait Islander Flexible Aged Care Program (NATSIFACP)). On receipt of a notification of a reportable incident by a CFAC service provider, the Commissioner may be able to take a number of actions, including request additional information, request a final report about the reportable incident be given by the service provider, request that the service provider carry out an investigation, or undertake remedial action in relation to the incident. The Commissioner will also be able to refer the incident to police or another person or body with responsibility in relation to the incident or take any other action to deal with the incident the Commissioner considers reasonable in the circumstances. </w:t>
      </w:r>
    </w:p>
    <w:p w14:paraId="0BECF3FF" w14:textId="77777777" w:rsidR="00CD0FAC" w:rsidRPr="00E64F2F" w:rsidRDefault="00CD0FAC" w:rsidP="00CD0FAC"/>
    <w:p w14:paraId="1C59249A" w14:textId="77777777" w:rsidR="00CD0FAC" w:rsidRPr="00E64F2F" w:rsidRDefault="00CD0FAC" w:rsidP="00CD0FAC">
      <w:r w:rsidRPr="00E64F2F">
        <w:t>The Instrument makes minor consequential amendments to the existing arrangements that allow the Commissioner to deal with reportable incidents notified by approved providers. These amendments are made for consistency with the new arrangements for CFAC service providers and to improve readability and clarity of the existing provisions.</w:t>
      </w:r>
    </w:p>
    <w:p w14:paraId="22DDECCE" w14:textId="77777777" w:rsidR="00CD0FAC" w:rsidRPr="00E64F2F" w:rsidRDefault="00CD0FAC" w:rsidP="00CD0FAC"/>
    <w:p w14:paraId="36D271E7" w14:textId="77777777" w:rsidR="00CD0FAC" w:rsidRPr="00E64F2F" w:rsidRDefault="00CD0FAC" w:rsidP="00CD0FAC">
      <w:r w:rsidRPr="00E64F2F">
        <w:t xml:space="preserve">The Instrument also makes amendments to the </w:t>
      </w:r>
      <w:r w:rsidRPr="00E64F2F">
        <w:rPr>
          <w:i/>
          <w:iCs/>
        </w:rPr>
        <w:t>Quality of Care Principles 2014</w:t>
      </w:r>
      <w:r w:rsidRPr="00E64F2F">
        <w:t xml:space="preserve">, to expand the definition of a ‘priority 1 reportable incident’, so that in accordance with existing reporting obligations, approved providers will have to notify the Commissioner within 24 hours of becoming aware a reportable incident that involves unlawful sexual contact or inappropriate sexual conduct </w:t>
      </w:r>
    </w:p>
    <w:p w14:paraId="4268874E" w14:textId="77777777" w:rsidR="00CD0FAC" w:rsidRPr="00E64F2F" w:rsidRDefault="00CD0FAC" w:rsidP="00CD0FAC">
      <w:pPr>
        <w:rPr>
          <w:b/>
        </w:rPr>
      </w:pPr>
    </w:p>
    <w:p w14:paraId="3F1B93C0" w14:textId="77777777" w:rsidR="00CD0FAC" w:rsidRPr="00E64F2F" w:rsidRDefault="00CD0FAC" w:rsidP="00CD0FAC">
      <w:pPr>
        <w:rPr>
          <w:b/>
        </w:rPr>
      </w:pPr>
      <w:r w:rsidRPr="00E64F2F">
        <w:rPr>
          <w:b/>
        </w:rPr>
        <w:t>Human rights implications</w:t>
      </w:r>
    </w:p>
    <w:p w14:paraId="2000137B" w14:textId="77777777" w:rsidR="00CD0FAC" w:rsidRPr="00E64F2F" w:rsidRDefault="00CD0FAC" w:rsidP="00CD0FAC">
      <w:pPr>
        <w:pStyle w:val="legcohead3"/>
        <w:rPr>
          <w:b w:val="0"/>
          <w:color w:val="000000"/>
          <w:kern w:val="0"/>
          <w:shd w:val="clear" w:color="auto" w:fill="FFFFFF"/>
          <w:lang w:val="en-AU"/>
        </w:rPr>
      </w:pPr>
      <w:r w:rsidRPr="00E64F2F">
        <w:rPr>
          <w:b w:val="0"/>
          <w:color w:val="000000"/>
          <w:kern w:val="0"/>
          <w:shd w:val="clear" w:color="auto" w:fill="FFFFFF"/>
          <w:lang w:val="en-AU"/>
        </w:rPr>
        <w:t>The Instrument engages the following rights:</w:t>
      </w:r>
    </w:p>
    <w:p w14:paraId="3DF80A49" w14:textId="77777777" w:rsidR="00CD0FAC" w:rsidRPr="00E64F2F" w:rsidRDefault="00CD0FAC" w:rsidP="00CD0FAC">
      <w:pPr>
        <w:pStyle w:val="legcohead3"/>
        <w:keepNext w:val="0"/>
        <w:numPr>
          <w:ilvl w:val="0"/>
          <w:numId w:val="52"/>
        </w:numPr>
        <w:rPr>
          <w:b w:val="0"/>
          <w:bCs/>
          <w:color w:val="000000"/>
          <w:kern w:val="0"/>
          <w:shd w:val="clear" w:color="auto" w:fill="FFFFFF"/>
          <w:lang w:val="en-AU"/>
        </w:rPr>
      </w:pPr>
      <w:r w:rsidRPr="00E64F2F">
        <w:rPr>
          <w:b w:val="0"/>
          <w:bCs/>
          <w:color w:val="000000"/>
          <w:kern w:val="0"/>
          <w:shd w:val="clear" w:color="auto" w:fill="FFFFFF"/>
          <w:lang w:val="en-AU"/>
        </w:rPr>
        <w:t xml:space="preserve">the right to privacy – Article 17 of the </w:t>
      </w:r>
      <w:r w:rsidRPr="00E64F2F">
        <w:rPr>
          <w:b w:val="0"/>
          <w:i/>
          <w:iCs/>
          <w:color w:val="000000"/>
          <w:szCs w:val="24"/>
        </w:rPr>
        <w:t>International Covenant on Civil and Political Rights </w:t>
      </w:r>
      <w:r w:rsidRPr="00E64F2F">
        <w:rPr>
          <w:b w:val="0"/>
          <w:color w:val="000000"/>
          <w:szCs w:val="24"/>
        </w:rPr>
        <w:t xml:space="preserve">(ICCPR) and Article 22 </w:t>
      </w:r>
      <w:r w:rsidRPr="00E64F2F">
        <w:rPr>
          <w:b w:val="0"/>
          <w:bCs/>
          <w:color w:val="000000"/>
          <w:szCs w:val="24"/>
          <w:lang w:val="en-GB"/>
        </w:rPr>
        <w:t xml:space="preserve">of the </w:t>
      </w:r>
      <w:r w:rsidRPr="00E64F2F">
        <w:rPr>
          <w:b w:val="0"/>
          <w:bCs/>
          <w:i/>
          <w:iCs/>
          <w:color w:val="000000"/>
          <w:szCs w:val="24"/>
        </w:rPr>
        <w:t>Convention on the Rights of Persons with Disabilities</w:t>
      </w:r>
      <w:r w:rsidRPr="00E64F2F">
        <w:rPr>
          <w:b w:val="0"/>
          <w:bCs/>
          <w:color w:val="000000"/>
          <w:szCs w:val="24"/>
        </w:rPr>
        <w:t> (CRPD);</w:t>
      </w:r>
    </w:p>
    <w:p w14:paraId="6FAF59A0" w14:textId="77777777" w:rsidR="00CD0FAC" w:rsidRPr="00E64F2F" w:rsidRDefault="00CD0FAC" w:rsidP="00CD0FAC">
      <w:pPr>
        <w:pStyle w:val="legcohead3"/>
        <w:keepNext w:val="0"/>
        <w:numPr>
          <w:ilvl w:val="0"/>
          <w:numId w:val="52"/>
        </w:numPr>
        <w:rPr>
          <w:b w:val="0"/>
          <w:bCs/>
          <w:color w:val="000000"/>
          <w:kern w:val="0"/>
          <w:shd w:val="clear" w:color="auto" w:fill="FFFFFF"/>
          <w:lang w:val="en-AU"/>
        </w:rPr>
      </w:pPr>
      <w:r w:rsidRPr="00E64F2F">
        <w:rPr>
          <w:b w:val="0"/>
          <w:bCs/>
          <w:color w:val="000000"/>
          <w:szCs w:val="24"/>
        </w:rPr>
        <w:t>t</w:t>
      </w:r>
      <w:r w:rsidRPr="00E64F2F">
        <w:rPr>
          <w:b w:val="0"/>
          <w:bCs/>
          <w:color w:val="000000"/>
          <w:szCs w:val="24"/>
          <w:lang w:val="en-GB"/>
        </w:rPr>
        <w:t>he right to an adequate standard of living – Article 11(1) of the </w:t>
      </w:r>
      <w:r w:rsidRPr="00E64F2F">
        <w:rPr>
          <w:b w:val="0"/>
          <w:bCs/>
          <w:i/>
          <w:iCs/>
          <w:color w:val="000000"/>
          <w:szCs w:val="24"/>
          <w:lang w:val="en-GB"/>
        </w:rPr>
        <w:t>International Covenant on Economic, Social and Cultural Rights </w:t>
      </w:r>
      <w:r w:rsidRPr="00E64F2F">
        <w:rPr>
          <w:b w:val="0"/>
          <w:bCs/>
          <w:color w:val="000000"/>
          <w:szCs w:val="24"/>
          <w:lang w:val="en-GB"/>
        </w:rPr>
        <w:t xml:space="preserve">(ICESCR) and Article 28 of the </w:t>
      </w:r>
      <w:proofErr w:type="gramStart"/>
      <w:r w:rsidRPr="00E64F2F">
        <w:rPr>
          <w:b w:val="0"/>
          <w:bCs/>
          <w:color w:val="000000"/>
          <w:szCs w:val="24"/>
        </w:rPr>
        <w:t>CRPD</w:t>
      </w:r>
      <w:r w:rsidRPr="00E64F2F">
        <w:rPr>
          <w:b w:val="0"/>
          <w:bCs/>
          <w:color w:val="000000"/>
          <w:szCs w:val="24"/>
          <w:lang w:val="en-GB"/>
        </w:rPr>
        <w:t>;</w:t>
      </w:r>
      <w:proofErr w:type="gramEnd"/>
    </w:p>
    <w:p w14:paraId="350E376D" w14:textId="77777777" w:rsidR="00CD0FAC" w:rsidRPr="00E64F2F" w:rsidRDefault="00CD0FAC" w:rsidP="00CD0FAC">
      <w:pPr>
        <w:pStyle w:val="legcohead3"/>
        <w:keepNext w:val="0"/>
        <w:numPr>
          <w:ilvl w:val="0"/>
          <w:numId w:val="52"/>
        </w:numPr>
        <w:rPr>
          <w:b w:val="0"/>
          <w:color w:val="000000"/>
          <w:kern w:val="0"/>
          <w:shd w:val="clear" w:color="auto" w:fill="FFFFFF"/>
          <w:lang w:val="en-AU"/>
        </w:rPr>
      </w:pPr>
      <w:r w:rsidRPr="00E64F2F">
        <w:rPr>
          <w:b w:val="0"/>
          <w:color w:val="000000"/>
          <w:szCs w:val="24"/>
          <w:lang w:val="en-GB"/>
        </w:rPr>
        <w:t xml:space="preserve">the right to health – Article 12 of the ICESCR and Article 25 of the </w:t>
      </w:r>
      <w:proofErr w:type="gramStart"/>
      <w:r w:rsidRPr="00E64F2F">
        <w:rPr>
          <w:b w:val="0"/>
          <w:color w:val="000000"/>
          <w:szCs w:val="24"/>
          <w:lang w:val="en-GB"/>
        </w:rPr>
        <w:t>CRPD;</w:t>
      </w:r>
      <w:proofErr w:type="gramEnd"/>
      <w:r w:rsidRPr="00E64F2F">
        <w:rPr>
          <w:b w:val="0"/>
          <w:color w:val="000000"/>
          <w:szCs w:val="24"/>
          <w:lang w:val="en-GB"/>
        </w:rPr>
        <w:t xml:space="preserve"> </w:t>
      </w:r>
    </w:p>
    <w:p w14:paraId="7D712470" w14:textId="77777777" w:rsidR="00CD0FAC" w:rsidRPr="00E64F2F" w:rsidRDefault="00CD0FAC" w:rsidP="00CD0FAC">
      <w:pPr>
        <w:pStyle w:val="legcohead3"/>
        <w:keepNext w:val="0"/>
        <w:numPr>
          <w:ilvl w:val="0"/>
          <w:numId w:val="52"/>
        </w:numPr>
        <w:rPr>
          <w:b w:val="0"/>
          <w:color w:val="000000"/>
          <w:kern w:val="0"/>
          <w:shd w:val="clear" w:color="auto" w:fill="FFFFFF"/>
          <w:lang w:val="en-AU"/>
        </w:rPr>
      </w:pPr>
      <w:r w:rsidRPr="00E64F2F">
        <w:rPr>
          <w:b w:val="0"/>
          <w:color w:val="000000"/>
          <w:szCs w:val="24"/>
        </w:rPr>
        <w:lastRenderedPageBreak/>
        <w:t xml:space="preserve">the right not to be subjected to cruel, </w:t>
      </w:r>
      <w:proofErr w:type="gramStart"/>
      <w:r w:rsidRPr="00E64F2F">
        <w:rPr>
          <w:b w:val="0"/>
          <w:color w:val="000000"/>
          <w:szCs w:val="24"/>
        </w:rPr>
        <w:t>inhuman</w:t>
      </w:r>
      <w:proofErr w:type="gramEnd"/>
      <w:r w:rsidRPr="00E64F2F">
        <w:rPr>
          <w:b w:val="0"/>
          <w:color w:val="000000"/>
          <w:szCs w:val="24"/>
        </w:rPr>
        <w:t xml:space="preserve"> or degrading treatment – Article 7 of the ICCPR, Article 15 of the CRPD, and </w:t>
      </w:r>
      <w:r w:rsidRPr="00E64F2F">
        <w:rPr>
          <w:b w:val="0"/>
          <w:lang w:val="en-AU"/>
        </w:rPr>
        <w:t xml:space="preserve">Articles 1 and 2 of the </w:t>
      </w:r>
      <w:r w:rsidRPr="00E64F2F">
        <w:rPr>
          <w:b w:val="0"/>
          <w:i/>
          <w:lang w:val="en-AU"/>
        </w:rPr>
        <w:t xml:space="preserve">Convention against Torture and Other Cruel, Inhuman or Degrading Treatment or Punishment </w:t>
      </w:r>
      <w:r w:rsidRPr="00E64F2F">
        <w:rPr>
          <w:b w:val="0"/>
          <w:lang w:val="en-AU"/>
        </w:rPr>
        <w:t>(CAT)</w:t>
      </w:r>
      <w:r w:rsidRPr="00E64F2F">
        <w:rPr>
          <w:b w:val="0"/>
          <w:color w:val="000000"/>
          <w:szCs w:val="24"/>
        </w:rPr>
        <w:t xml:space="preserve">; and </w:t>
      </w:r>
    </w:p>
    <w:p w14:paraId="788FE6B4" w14:textId="77777777" w:rsidR="00CD0FAC" w:rsidRPr="00E64F2F" w:rsidRDefault="00CD0FAC" w:rsidP="00CD0FAC">
      <w:pPr>
        <w:pStyle w:val="legcohead3"/>
        <w:keepNext w:val="0"/>
        <w:numPr>
          <w:ilvl w:val="0"/>
          <w:numId w:val="52"/>
        </w:numPr>
        <w:rPr>
          <w:b w:val="0"/>
          <w:color w:val="000000"/>
          <w:kern w:val="0"/>
          <w:shd w:val="clear" w:color="auto" w:fill="FFFFFF"/>
          <w:lang w:val="en-AU"/>
        </w:rPr>
      </w:pPr>
      <w:r w:rsidRPr="00E64F2F">
        <w:rPr>
          <w:b w:val="0"/>
          <w:color w:val="000000"/>
          <w:szCs w:val="24"/>
        </w:rPr>
        <w:t xml:space="preserve">the right to protection from exploitation, </w:t>
      </w:r>
      <w:proofErr w:type="gramStart"/>
      <w:r w:rsidRPr="00E64F2F">
        <w:rPr>
          <w:b w:val="0"/>
          <w:color w:val="000000"/>
          <w:szCs w:val="24"/>
        </w:rPr>
        <w:t>violence</w:t>
      </w:r>
      <w:proofErr w:type="gramEnd"/>
      <w:r w:rsidRPr="00E64F2F">
        <w:rPr>
          <w:b w:val="0"/>
          <w:color w:val="000000"/>
          <w:szCs w:val="24"/>
        </w:rPr>
        <w:t xml:space="preserve"> and abuse in Article 20(2) of the ICCPR and Article 16(1) of the CRPD. </w:t>
      </w:r>
    </w:p>
    <w:p w14:paraId="439277B5" w14:textId="77777777" w:rsidR="00CD0FAC" w:rsidRPr="00E64F2F" w:rsidRDefault="00CD0FAC" w:rsidP="00CD0FAC">
      <w:pPr>
        <w:keepNext/>
        <w:rPr>
          <w:color w:val="000000"/>
          <w:u w:val="single"/>
        </w:rPr>
      </w:pPr>
    </w:p>
    <w:p w14:paraId="65073F61" w14:textId="77777777" w:rsidR="00CD0FAC" w:rsidRPr="00E64F2F" w:rsidRDefault="00CD0FAC" w:rsidP="00CD0FAC">
      <w:pPr>
        <w:keepNext/>
        <w:rPr>
          <w:color w:val="000000"/>
          <w:u w:val="single"/>
        </w:rPr>
      </w:pPr>
      <w:r w:rsidRPr="00E64F2F">
        <w:rPr>
          <w:color w:val="000000"/>
          <w:u w:val="single"/>
        </w:rPr>
        <w:t>Right to privacy</w:t>
      </w:r>
    </w:p>
    <w:p w14:paraId="62176A44" w14:textId="701136DB" w:rsidR="00CD0FAC" w:rsidRPr="00E64F2F" w:rsidRDefault="00CD0FAC" w:rsidP="00CD0FAC">
      <w:pPr>
        <w:rPr>
          <w:color w:val="000000"/>
        </w:rPr>
      </w:pPr>
      <w:r w:rsidRPr="00E64F2F">
        <w:rPr>
          <w:color w:val="000000"/>
        </w:rPr>
        <w:t xml:space="preserve">The Instrument engages the right to privacy under Article 17 of the ICCPR, which state that no person should be subject to interference with their privacy. Article 22 of the CRPD contains a similar provision in relation to persons with disability. From </w:t>
      </w:r>
      <w:r w:rsidR="00B1130A" w:rsidRPr="00E64F2F">
        <w:rPr>
          <w:color w:val="000000"/>
        </w:rPr>
        <w:br/>
      </w:r>
      <w:r w:rsidRPr="00E64F2F">
        <w:rPr>
          <w:color w:val="000000"/>
        </w:rPr>
        <w:t xml:space="preserve">1 December 2022, CFAC service providers will be required to provide information about reportable incidents which may include personal information, including sensitive information (e.g. health information), to the Commissioner. The Instrument amends Rules to specify how the Commissioner may deal with reportable incidents notified by a service provider. This includes the power to refer reportable incidents to other bodies where it is appropriate to their functions, for example, to the police if the incident may potentially be criminal in nature, or the Australian Health Practitioner Regulation Agency if the incident may involve a breach of registration standards for a health practitioner. As the Instrument deals with the collection, use and disclosure of personal information, the right to privacy is engaged. </w:t>
      </w:r>
    </w:p>
    <w:p w14:paraId="3754A079" w14:textId="77777777" w:rsidR="00CD0FAC" w:rsidRPr="00E64F2F" w:rsidRDefault="00CD0FAC" w:rsidP="00CD0FAC">
      <w:pPr>
        <w:rPr>
          <w:color w:val="000000"/>
        </w:rPr>
      </w:pPr>
    </w:p>
    <w:p w14:paraId="449D1FC4" w14:textId="77777777" w:rsidR="00CD0FAC" w:rsidRPr="00E64F2F" w:rsidRDefault="00CD0FAC" w:rsidP="00713F73">
      <w:pPr>
        <w:shd w:val="clear" w:color="auto" w:fill="FFFFFF"/>
        <w:rPr>
          <w:b/>
          <w:bCs/>
          <w:color w:val="000000"/>
        </w:rPr>
      </w:pPr>
      <w:r w:rsidRPr="00E64F2F">
        <w:rPr>
          <w:color w:val="000000"/>
        </w:rPr>
        <w:t>The right to privacy under Article 17 of ICCPR and Article 22 of the CRPD can be permissibly limited to achieve a legitimate objective and where the limitations are lawful and not arbitrary. The term ‘unlawful’ in Article 17 of the ICCPR means that no interference can take place except as authorised under domestic law. Additionally, the term ‘arbitrary’ in Article 17(1) of the ICCPR means that any interference with privacy must be in accordance with the provisions, aims and objectives of the ICCPR and should be reasonable in the particular circumstances.</w:t>
      </w:r>
    </w:p>
    <w:p w14:paraId="5AD88BED" w14:textId="77777777" w:rsidR="00CD0FAC" w:rsidRPr="00E64F2F" w:rsidRDefault="00CD0FAC" w:rsidP="00CD0FAC">
      <w:pPr>
        <w:rPr>
          <w:color w:val="000000"/>
        </w:rPr>
      </w:pPr>
    </w:p>
    <w:p w14:paraId="407CE840" w14:textId="77777777" w:rsidR="00CD0FAC" w:rsidRPr="00E64F2F" w:rsidRDefault="00CD0FAC" w:rsidP="00CD0FAC">
      <w:pPr>
        <w:rPr>
          <w:color w:val="000000"/>
        </w:rPr>
      </w:pPr>
      <w:r w:rsidRPr="00E64F2F">
        <w:rPr>
          <w:color w:val="000000"/>
        </w:rPr>
        <w:t>The objective of these amendments is to ensure appropriate actions are taken to address and prevent serious incidents affecting care recipients. This is a legitimate objective that falls within the permissible purposes of protecting the rights and reputations of people and protecting public health.</w:t>
      </w:r>
    </w:p>
    <w:p w14:paraId="12E6C156" w14:textId="77777777" w:rsidR="00CD0FAC" w:rsidRPr="00E64F2F" w:rsidRDefault="00CD0FAC" w:rsidP="00CD0FAC">
      <w:pPr>
        <w:rPr>
          <w:color w:val="000000"/>
        </w:rPr>
      </w:pPr>
    </w:p>
    <w:p w14:paraId="3993AACD" w14:textId="77777777" w:rsidR="00CD0FAC" w:rsidRPr="00E64F2F" w:rsidRDefault="00CD0FAC" w:rsidP="00CD0FAC">
      <w:pPr>
        <w:rPr>
          <w:color w:val="000000"/>
        </w:rPr>
      </w:pPr>
      <w:r w:rsidRPr="00E64F2F">
        <w:rPr>
          <w:color w:val="000000"/>
        </w:rPr>
        <w:t xml:space="preserve">These amendments are also reasonable, necessary and proportionate to achieving this objective since they ensure personal information acquired is protected information under Part 7 of the </w:t>
      </w:r>
      <w:r w:rsidRPr="00E64F2F">
        <w:rPr>
          <w:i/>
          <w:iCs/>
          <w:color w:val="000000"/>
        </w:rPr>
        <w:t>Aged Care Quality and Safety Commission Act 2018</w:t>
      </w:r>
      <w:r w:rsidRPr="00E64F2F">
        <w:rPr>
          <w:color w:val="000000"/>
        </w:rPr>
        <w:t xml:space="preserve">, as well as being subject to the general protections relating to personal information, including sensitive information, under the </w:t>
      </w:r>
      <w:r w:rsidRPr="00E64F2F">
        <w:rPr>
          <w:i/>
          <w:iCs/>
          <w:color w:val="000000"/>
        </w:rPr>
        <w:t>Privacy Act 1988</w:t>
      </w:r>
      <w:r w:rsidRPr="00E64F2F">
        <w:rPr>
          <w:color w:val="000000"/>
        </w:rPr>
        <w:t>. The existing penalties for misuse or unauthorised disclosure of protected information, including personal information, will protect and ensure safe handling of the information collected and, in this way, promote a person’s right to privacy.</w:t>
      </w:r>
    </w:p>
    <w:p w14:paraId="710C5AE7" w14:textId="77777777" w:rsidR="00CD0FAC" w:rsidRPr="00E64F2F" w:rsidRDefault="00CD0FAC" w:rsidP="00CD0FAC">
      <w:pPr>
        <w:rPr>
          <w:color w:val="000000"/>
        </w:rPr>
      </w:pPr>
    </w:p>
    <w:p w14:paraId="0208475C" w14:textId="77777777" w:rsidR="00CD0FAC" w:rsidRPr="00E64F2F" w:rsidRDefault="00CD0FAC" w:rsidP="00CD0FAC">
      <w:pPr>
        <w:rPr>
          <w:b/>
          <w:bCs/>
          <w:color w:val="000000"/>
          <w:u w:val="single"/>
        </w:rPr>
      </w:pPr>
      <w:r w:rsidRPr="00E64F2F">
        <w:rPr>
          <w:color w:val="000000"/>
          <w:u w:val="single"/>
        </w:rPr>
        <w:t>Right to an adequate standard of living</w:t>
      </w:r>
    </w:p>
    <w:p w14:paraId="12A63638" w14:textId="77777777" w:rsidR="00CD0FAC" w:rsidRPr="00E64F2F" w:rsidRDefault="00CD0FAC" w:rsidP="00CD0FAC">
      <w:pPr>
        <w:rPr>
          <w:b/>
          <w:bCs/>
          <w:color w:val="000000"/>
        </w:rPr>
      </w:pPr>
      <w:r w:rsidRPr="00E64F2F">
        <w:rPr>
          <w:color w:val="000000"/>
        </w:rPr>
        <w:t xml:space="preserve">The Instrument engages the right to an adequate standard of living under Article 11(1) of ICESCR and Article 28 of the CRPD. The Instrument introduces arrangements that promote the right to an adequate standard of living by taking steps to reduce the instances of abuse occurring in aged care settings. This is achieved by introducing </w:t>
      </w:r>
      <w:r w:rsidRPr="00E64F2F">
        <w:rPr>
          <w:color w:val="000000"/>
        </w:rPr>
        <w:lastRenderedPageBreak/>
        <w:t>strengthened measures to allow the Commissioner to respond to incidents notified by CFAC service providers,</w:t>
      </w:r>
      <w:r w:rsidRPr="00E64F2F">
        <w:t xml:space="preserve"> which aim to reduce the occurrence of incidents. </w:t>
      </w:r>
    </w:p>
    <w:p w14:paraId="0D7AB2C1" w14:textId="77777777" w:rsidR="00CD0FAC" w:rsidRPr="00E64F2F" w:rsidRDefault="00CD0FAC" w:rsidP="00CD0FAC">
      <w:pPr>
        <w:rPr>
          <w:b/>
          <w:bCs/>
          <w:color w:val="000000"/>
        </w:rPr>
      </w:pPr>
    </w:p>
    <w:p w14:paraId="37284744" w14:textId="77777777" w:rsidR="00CD0FAC" w:rsidRPr="00E64F2F" w:rsidRDefault="00CD0FAC" w:rsidP="00CD0FAC">
      <w:pPr>
        <w:keepNext/>
        <w:rPr>
          <w:b/>
          <w:bCs/>
          <w:color w:val="000000"/>
          <w:u w:val="single"/>
        </w:rPr>
      </w:pPr>
      <w:r w:rsidRPr="00E64F2F">
        <w:rPr>
          <w:color w:val="000000"/>
          <w:u w:val="single"/>
        </w:rPr>
        <w:t>Right to health</w:t>
      </w:r>
    </w:p>
    <w:p w14:paraId="1F42DB8A" w14:textId="5011C235" w:rsidR="00CD0FAC" w:rsidRPr="00E64F2F" w:rsidRDefault="00CD0FAC" w:rsidP="00CD0FAC">
      <w:pPr>
        <w:rPr>
          <w:b/>
          <w:bCs/>
          <w:color w:val="000000"/>
        </w:rPr>
      </w:pPr>
      <w:r w:rsidRPr="00E64F2F">
        <w:rPr>
          <w:color w:val="000000"/>
        </w:rPr>
        <w:t xml:space="preserve">The Instrument also engages the right to health under Article 12 of the ICESCR and Article 25 of the CRPD. These articles refer to the right of individuals, including persons with disability, to the highest attainable standard of physical and mental health. The Instrument promotes the right to health by providing greater protections in respect of the physical and mental health of individuals, including persons with disability, receiving aged care services from approved providers and CFAC service providers. The Instrument reinforces the requirements under the Serious Incident Response Scheme (SIRS) by introducing powers for the Commissioner to respond to reportable incident notified by </w:t>
      </w:r>
      <w:r w:rsidRPr="00E64F2F">
        <w:t>CFAC service providers</w:t>
      </w:r>
      <w:r w:rsidRPr="00E64F2F">
        <w:rPr>
          <w:color w:val="000000"/>
        </w:rPr>
        <w:t>. This is intended to ensure compliance with the SIRS requirements by service providers, which aim to improve the health, safety and well-being of aged care recipients.</w:t>
      </w:r>
    </w:p>
    <w:p w14:paraId="62ECFCD2" w14:textId="77777777" w:rsidR="00CD0FAC" w:rsidRPr="00E64F2F" w:rsidRDefault="00CD0FAC" w:rsidP="00CD0FAC">
      <w:pPr>
        <w:rPr>
          <w:i/>
          <w:iCs/>
          <w:color w:val="000000"/>
          <w:u w:val="single"/>
        </w:rPr>
      </w:pPr>
    </w:p>
    <w:p w14:paraId="38ABED44" w14:textId="77777777" w:rsidR="00CD0FAC" w:rsidRPr="00E64F2F" w:rsidRDefault="00CD0FAC" w:rsidP="00CD0FAC">
      <w:pPr>
        <w:rPr>
          <w:b/>
          <w:bCs/>
          <w:color w:val="000000"/>
          <w:u w:val="single"/>
        </w:rPr>
      </w:pPr>
      <w:r w:rsidRPr="00E64F2F">
        <w:rPr>
          <w:color w:val="000000"/>
          <w:u w:val="single"/>
        </w:rPr>
        <w:t>Right not to be subjected to cruel, inhuman or degrading treatment</w:t>
      </w:r>
    </w:p>
    <w:p w14:paraId="36BA0F8A" w14:textId="77777777" w:rsidR="00CD0FAC" w:rsidRPr="00E64F2F" w:rsidRDefault="00CD0FAC" w:rsidP="00CD0FAC">
      <w:pPr>
        <w:rPr>
          <w:b/>
          <w:bCs/>
          <w:color w:val="000000"/>
        </w:rPr>
      </w:pPr>
      <w:r w:rsidRPr="00E64F2F">
        <w:rPr>
          <w:color w:val="000000"/>
        </w:rPr>
        <w:t xml:space="preserve">The Instrument also engages the right not to be subjected to cruel. inhuman and degrading treatment in Article 15 of the CRPD, Article 7 of the ICCPR, and </w:t>
      </w:r>
      <w:r w:rsidRPr="00E64F2F">
        <w:t xml:space="preserve">Articles 1 and 2 of the </w:t>
      </w:r>
      <w:proofErr w:type="gramStart"/>
      <w:r w:rsidRPr="00E64F2F">
        <w:t>CAT</w:t>
      </w:r>
      <w:proofErr w:type="gramEnd"/>
      <w:r w:rsidRPr="00E64F2F">
        <w:rPr>
          <w:color w:val="000000"/>
        </w:rPr>
        <w:t xml:space="preserve">. The amendments made in this Instrument allow the Commissioner to take appropriate action to manage and appropriately resolve instances of abuse or neglect of aged care recipients, including care recipients with disability. Therefore, the Instrument promotes Article 15 of the CRPD, Article 7 of the ICCPR, and </w:t>
      </w:r>
      <w:r w:rsidRPr="00E64F2F">
        <w:t xml:space="preserve">Articles 1 and 2 of the </w:t>
      </w:r>
      <w:proofErr w:type="gramStart"/>
      <w:r w:rsidRPr="00E64F2F">
        <w:t>CAT</w:t>
      </w:r>
      <w:proofErr w:type="gramEnd"/>
      <w:r w:rsidRPr="00E64F2F">
        <w:rPr>
          <w:color w:val="000000"/>
        </w:rPr>
        <w:t xml:space="preserve"> by taking measures to reinforce the requirements under the SIRS that ensure care recipient are not subjected to cruel, inhuman or degrading treatment.</w:t>
      </w:r>
      <w:r w:rsidRPr="00E64F2F">
        <w:rPr>
          <w:b/>
          <w:bCs/>
          <w:color w:val="000000"/>
        </w:rPr>
        <w:t xml:space="preserve"> </w:t>
      </w:r>
    </w:p>
    <w:p w14:paraId="1AF2DFB3" w14:textId="77777777" w:rsidR="00CD0FAC" w:rsidRPr="00E64F2F" w:rsidRDefault="00CD0FAC" w:rsidP="00CD0FAC">
      <w:pPr>
        <w:rPr>
          <w:b/>
          <w:bCs/>
          <w:color w:val="000000"/>
        </w:rPr>
      </w:pPr>
    </w:p>
    <w:p w14:paraId="727CA333" w14:textId="77777777" w:rsidR="00CD0FAC" w:rsidRPr="00E64F2F" w:rsidRDefault="00CD0FAC" w:rsidP="00CD0FAC">
      <w:pPr>
        <w:rPr>
          <w:u w:val="single"/>
        </w:rPr>
      </w:pPr>
      <w:r w:rsidRPr="00E64F2F">
        <w:rPr>
          <w:u w:val="single"/>
        </w:rPr>
        <w:t>Right to protection from exploitation, violence and abuse</w:t>
      </w:r>
    </w:p>
    <w:p w14:paraId="328DDF2D" w14:textId="77777777" w:rsidR="00CD0FAC" w:rsidRPr="00E64F2F" w:rsidRDefault="00CD0FAC" w:rsidP="00CD0FAC">
      <w:r w:rsidRPr="00E64F2F">
        <w:t xml:space="preserve">The Instrument engages the right to protection from exploitation, violence and abuse, in Article 16 of the CRPD and Article 16(1) of the CRPD. The Instrument promotes this right by requiring that approved providers of residential care to notify the Commissioner about incidents of unlawful sexual contact, or inappropriate sexual conduct, within 24 hours as per the existing priority 1 reporting requirements under the SIRS, as set out in the Quality of Care Principles. This will enable the Commissioner to respond to these incidents promptly, therefore promoting the protection of aged care recipients from exploitation, violence or abuse. </w:t>
      </w:r>
    </w:p>
    <w:p w14:paraId="07B7A0BC" w14:textId="77777777" w:rsidR="00CD0FAC" w:rsidRPr="00E64F2F" w:rsidRDefault="00CD0FAC" w:rsidP="00CD0FAC">
      <w:pPr>
        <w:rPr>
          <w:b/>
        </w:rPr>
      </w:pPr>
    </w:p>
    <w:p w14:paraId="2A9E088A" w14:textId="77777777" w:rsidR="00CD0FAC" w:rsidRPr="00E64F2F" w:rsidRDefault="00CD0FAC" w:rsidP="00CD0FAC">
      <w:pPr>
        <w:rPr>
          <w:b/>
        </w:rPr>
      </w:pPr>
      <w:r w:rsidRPr="00E64F2F">
        <w:rPr>
          <w:b/>
        </w:rPr>
        <w:t>Conclusion</w:t>
      </w:r>
    </w:p>
    <w:p w14:paraId="0BBA7179" w14:textId="77777777" w:rsidR="00CD0FAC" w:rsidRPr="00E64F2F" w:rsidRDefault="00CD0FAC" w:rsidP="00CD0FAC">
      <w:pPr>
        <w:pStyle w:val="legcohead3"/>
        <w:rPr>
          <w:b w:val="0"/>
          <w:szCs w:val="24"/>
        </w:rPr>
      </w:pPr>
      <w:r w:rsidRPr="00E64F2F">
        <w:rPr>
          <w:b w:val="0"/>
          <w:szCs w:val="24"/>
        </w:rPr>
        <w:t xml:space="preserve">The Instrument is compatible with human rights because it promotes the protection of the human rights of aged care recipients. To the extent that aspects of the Instrument may limit the right to privacy, those limitations are reasonable, </w:t>
      </w:r>
      <w:r w:rsidRPr="00E64F2F">
        <w:rPr>
          <w:b w:val="0"/>
          <w:color w:val="000000"/>
        </w:rPr>
        <w:t>necessary, and proportionate.</w:t>
      </w:r>
    </w:p>
    <w:p w14:paraId="0A9FF28C" w14:textId="77777777" w:rsidR="00CD0FAC" w:rsidRPr="00E64F2F" w:rsidRDefault="00CD0FAC" w:rsidP="00CD0FAC">
      <w:pPr>
        <w:pStyle w:val="legcohead3"/>
        <w:rPr>
          <w:b w:val="0"/>
          <w:szCs w:val="24"/>
        </w:rPr>
      </w:pPr>
    </w:p>
    <w:p w14:paraId="35289231" w14:textId="77777777" w:rsidR="00CD0FAC" w:rsidRPr="00E64F2F" w:rsidRDefault="00CD0FAC" w:rsidP="00CD0FAC">
      <w:pPr>
        <w:shd w:val="clear" w:color="auto" w:fill="FFFFFF"/>
        <w:jc w:val="center"/>
        <w:rPr>
          <w:b/>
          <w:bCs/>
          <w:color w:val="000000"/>
        </w:rPr>
      </w:pPr>
    </w:p>
    <w:p w14:paraId="707D3784" w14:textId="77777777" w:rsidR="00CD0FAC" w:rsidRPr="0008021C" w:rsidRDefault="00CD0FAC" w:rsidP="00CD0FAC">
      <w:pPr>
        <w:shd w:val="clear" w:color="auto" w:fill="FFFFFF"/>
        <w:jc w:val="center"/>
        <w:rPr>
          <w:b/>
          <w:bCs/>
          <w:color w:val="000000"/>
        </w:rPr>
      </w:pPr>
      <w:r w:rsidRPr="00E64F2F">
        <w:rPr>
          <w:b/>
          <w:bCs/>
          <w:color w:val="000000"/>
        </w:rPr>
        <w:t>Circulated by the authority of the Minister for Aged Care, the Hon Anika Wells MP</w:t>
      </w:r>
    </w:p>
    <w:p w14:paraId="0EC7BB5E" w14:textId="77777777" w:rsidR="00CD0FAC" w:rsidRDefault="00CD0FAC" w:rsidP="00CD0FAC">
      <w:pPr>
        <w:rPr>
          <w:b/>
          <w:u w:val="single"/>
        </w:rPr>
      </w:pPr>
    </w:p>
    <w:p w14:paraId="1F6BB4BB" w14:textId="77777777" w:rsidR="00CD0FAC" w:rsidRPr="0008021C" w:rsidRDefault="00CD0FAC" w:rsidP="00CD0FAC">
      <w:pPr>
        <w:rPr>
          <w:b/>
          <w:bCs/>
          <w:color w:val="000000"/>
        </w:rPr>
      </w:pPr>
    </w:p>
    <w:p w14:paraId="6F622F6C" w14:textId="1735C023" w:rsidR="0008021C" w:rsidRPr="00CD0FAC" w:rsidRDefault="0008021C" w:rsidP="00CD0FAC"/>
    <w:sectPr w:rsidR="0008021C" w:rsidRPr="00CD0FAC">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CE885" w14:textId="77777777" w:rsidR="00180EF0" w:rsidRDefault="00180EF0" w:rsidP="00AE19C1">
      <w:r>
        <w:separator/>
      </w:r>
    </w:p>
  </w:endnote>
  <w:endnote w:type="continuationSeparator" w:id="0">
    <w:p w14:paraId="481CC047" w14:textId="77777777" w:rsidR="00180EF0" w:rsidRDefault="00180EF0" w:rsidP="00AE19C1">
      <w:r>
        <w:continuationSeparator/>
      </w:r>
    </w:p>
  </w:endnote>
  <w:endnote w:type="continuationNotice" w:id="1">
    <w:p w14:paraId="5A522C12" w14:textId="77777777" w:rsidR="0004289E" w:rsidRDefault="000428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F579A" w14:textId="77777777" w:rsidR="000145A2" w:rsidRDefault="000145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836F" w14:textId="74A6A8D6" w:rsidR="00BD126B" w:rsidRDefault="00BD126B">
    <w:pPr>
      <w:pStyle w:val="Footer"/>
      <w:jc w:val="center"/>
    </w:pPr>
    <w:r>
      <w:fldChar w:fldCharType="begin"/>
    </w:r>
    <w:r>
      <w:instrText xml:space="preserve"> PAGE   \* MERGEFORMAT </w:instrText>
    </w:r>
    <w:r>
      <w:fldChar w:fldCharType="separate"/>
    </w:r>
    <w:r>
      <w:rPr>
        <w:noProof/>
      </w:rPr>
      <w:t>21</w:t>
    </w:r>
    <w:r>
      <w:rPr>
        <w:noProof/>
      </w:rPr>
      <w:fldChar w:fldCharType="end"/>
    </w:r>
  </w:p>
  <w:p w14:paraId="6B4B1376" w14:textId="77777777" w:rsidR="00BD126B" w:rsidRDefault="00BD12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6D7FD" w14:textId="77777777" w:rsidR="000145A2" w:rsidRDefault="00014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6FAB4" w14:textId="77777777" w:rsidR="00180EF0" w:rsidRDefault="00180EF0" w:rsidP="00AE19C1">
      <w:r>
        <w:separator/>
      </w:r>
    </w:p>
  </w:footnote>
  <w:footnote w:type="continuationSeparator" w:id="0">
    <w:p w14:paraId="53870909" w14:textId="77777777" w:rsidR="00180EF0" w:rsidRDefault="00180EF0" w:rsidP="00AE19C1">
      <w:r>
        <w:continuationSeparator/>
      </w:r>
    </w:p>
  </w:footnote>
  <w:footnote w:type="continuationNotice" w:id="1">
    <w:p w14:paraId="2EE0B3BE" w14:textId="77777777" w:rsidR="0004289E" w:rsidRDefault="000428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3C9B1" w14:textId="77777777" w:rsidR="000145A2" w:rsidRDefault="000145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32F71" w14:textId="1CF96315" w:rsidR="000145A2" w:rsidRDefault="000145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BD1E8" w14:textId="77777777" w:rsidR="000145A2" w:rsidRDefault="000145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6566"/>
    <w:multiLevelType w:val="hybridMultilevel"/>
    <w:tmpl w:val="7E4229F0"/>
    <w:lvl w:ilvl="0" w:tplc="0C090001">
      <w:start w:val="1"/>
      <w:numFmt w:val="bullet"/>
      <w:lvlText w:val=""/>
      <w:lvlJc w:val="left"/>
      <w:pPr>
        <w:ind w:left="783" w:hanging="360"/>
      </w:pPr>
      <w:rPr>
        <w:rFonts w:ascii="Symbol" w:hAnsi="Symbol" w:hint="default"/>
      </w:rPr>
    </w:lvl>
    <w:lvl w:ilvl="1" w:tplc="0C090003">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 w15:restartNumberingAfterBreak="0">
    <w:nsid w:val="010B2FD6"/>
    <w:multiLevelType w:val="hybridMultilevel"/>
    <w:tmpl w:val="440A99E8"/>
    <w:lvl w:ilvl="0" w:tplc="3A26180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2936D7"/>
    <w:multiLevelType w:val="hybridMultilevel"/>
    <w:tmpl w:val="1A627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F52F28"/>
    <w:multiLevelType w:val="hybridMultilevel"/>
    <w:tmpl w:val="9B0820B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0C8048D1"/>
    <w:multiLevelType w:val="hybridMultilevel"/>
    <w:tmpl w:val="9AC4B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DB0930"/>
    <w:multiLevelType w:val="hybridMultilevel"/>
    <w:tmpl w:val="45E2687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0FC80EAD"/>
    <w:multiLevelType w:val="hybridMultilevel"/>
    <w:tmpl w:val="6316D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93211F"/>
    <w:multiLevelType w:val="hybridMultilevel"/>
    <w:tmpl w:val="B2D40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0C2710"/>
    <w:multiLevelType w:val="hybridMultilevel"/>
    <w:tmpl w:val="A2AC3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BA3A4C"/>
    <w:multiLevelType w:val="hybridMultilevel"/>
    <w:tmpl w:val="D9321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DF3E78"/>
    <w:multiLevelType w:val="hybridMultilevel"/>
    <w:tmpl w:val="7C2AB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7C1692"/>
    <w:multiLevelType w:val="hybridMultilevel"/>
    <w:tmpl w:val="1C7E53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1C7D2F5D"/>
    <w:multiLevelType w:val="hybridMultilevel"/>
    <w:tmpl w:val="5BBA640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1E6D612C"/>
    <w:multiLevelType w:val="hybridMultilevel"/>
    <w:tmpl w:val="61DA4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D54C42"/>
    <w:multiLevelType w:val="hybridMultilevel"/>
    <w:tmpl w:val="A98AA74E"/>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21B900B1"/>
    <w:multiLevelType w:val="hybridMultilevel"/>
    <w:tmpl w:val="7F127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747322"/>
    <w:multiLevelType w:val="hybridMultilevel"/>
    <w:tmpl w:val="58C275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3C4AA2"/>
    <w:multiLevelType w:val="hybridMultilevel"/>
    <w:tmpl w:val="D71CC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AC776F"/>
    <w:multiLevelType w:val="hybridMultilevel"/>
    <w:tmpl w:val="C038B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B377FC"/>
    <w:multiLevelType w:val="hybridMultilevel"/>
    <w:tmpl w:val="AD288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E05AB8"/>
    <w:multiLevelType w:val="hybridMultilevel"/>
    <w:tmpl w:val="F8CAF64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50C415F"/>
    <w:multiLevelType w:val="hybridMultilevel"/>
    <w:tmpl w:val="15F4A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0B4D6B"/>
    <w:multiLevelType w:val="hybridMultilevel"/>
    <w:tmpl w:val="9CB67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BC95D65"/>
    <w:multiLevelType w:val="hybridMultilevel"/>
    <w:tmpl w:val="5574B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8D13FAD"/>
    <w:multiLevelType w:val="hybridMultilevel"/>
    <w:tmpl w:val="051E9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6A4EF7"/>
    <w:multiLevelType w:val="hybridMultilevel"/>
    <w:tmpl w:val="40C07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2A1626"/>
    <w:multiLevelType w:val="hybridMultilevel"/>
    <w:tmpl w:val="E1586B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5A59DC"/>
    <w:multiLevelType w:val="hybridMultilevel"/>
    <w:tmpl w:val="1C66FF76"/>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28" w15:restartNumberingAfterBreak="0">
    <w:nsid w:val="51335C8D"/>
    <w:multiLevelType w:val="hybridMultilevel"/>
    <w:tmpl w:val="8B6AF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6C1125"/>
    <w:multiLevelType w:val="hybridMultilevel"/>
    <w:tmpl w:val="C97EA2A4"/>
    <w:lvl w:ilvl="0" w:tplc="0C090001">
      <w:start w:val="1"/>
      <w:numFmt w:val="bullet"/>
      <w:lvlText w:val=""/>
      <w:lvlJc w:val="left"/>
      <w:pPr>
        <w:ind w:left="784" w:hanging="360"/>
      </w:pPr>
      <w:rPr>
        <w:rFonts w:ascii="Symbol" w:hAnsi="Symbol" w:hint="default"/>
      </w:rPr>
    </w:lvl>
    <w:lvl w:ilvl="1" w:tplc="0C090003">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30" w15:restartNumberingAfterBreak="0">
    <w:nsid w:val="53F11122"/>
    <w:multiLevelType w:val="hybridMultilevel"/>
    <w:tmpl w:val="E4C637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56E54A60"/>
    <w:multiLevelType w:val="hybridMultilevel"/>
    <w:tmpl w:val="F3BE6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79A6CBC"/>
    <w:multiLevelType w:val="hybridMultilevel"/>
    <w:tmpl w:val="5F9C8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7EF2DCA"/>
    <w:multiLevelType w:val="hybridMultilevel"/>
    <w:tmpl w:val="936C1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9392173"/>
    <w:multiLevelType w:val="hybridMultilevel"/>
    <w:tmpl w:val="BE7E6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00B5793"/>
    <w:multiLevelType w:val="hybridMultilevel"/>
    <w:tmpl w:val="F2B6E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0EB66C9"/>
    <w:multiLevelType w:val="hybridMultilevel"/>
    <w:tmpl w:val="ECB22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22E39B9"/>
    <w:multiLevelType w:val="hybridMultilevel"/>
    <w:tmpl w:val="4E767800"/>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38" w15:restartNumberingAfterBreak="0">
    <w:nsid w:val="6488095D"/>
    <w:multiLevelType w:val="hybridMultilevel"/>
    <w:tmpl w:val="E2F0B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51B0047"/>
    <w:multiLevelType w:val="hybridMultilevel"/>
    <w:tmpl w:val="BA609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5286FC0"/>
    <w:multiLevelType w:val="hybridMultilevel"/>
    <w:tmpl w:val="D250F9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626153B"/>
    <w:multiLevelType w:val="hybridMultilevel"/>
    <w:tmpl w:val="F588F260"/>
    <w:lvl w:ilvl="0" w:tplc="992CB8C2">
      <w:start w:val="23"/>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B1427BE"/>
    <w:multiLevelType w:val="hybridMultilevel"/>
    <w:tmpl w:val="9F6A0E46"/>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43" w15:restartNumberingAfterBreak="0">
    <w:nsid w:val="6BF7265A"/>
    <w:multiLevelType w:val="hybridMultilevel"/>
    <w:tmpl w:val="08784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FA90946"/>
    <w:multiLevelType w:val="hybridMultilevel"/>
    <w:tmpl w:val="D4AC8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2349D2"/>
    <w:multiLevelType w:val="hybridMultilevel"/>
    <w:tmpl w:val="94B8D2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7" w15:restartNumberingAfterBreak="0">
    <w:nsid w:val="742041C9"/>
    <w:multiLevelType w:val="hybridMultilevel"/>
    <w:tmpl w:val="E54E8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5422F19"/>
    <w:multiLevelType w:val="hybridMultilevel"/>
    <w:tmpl w:val="1722BCA6"/>
    <w:lvl w:ilvl="0" w:tplc="0C090001">
      <w:start w:val="1"/>
      <w:numFmt w:val="bullet"/>
      <w:lvlText w:val=""/>
      <w:lvlJc w:val="left"/>
      <w:pPr>
        <w:ind w:left="784" w:hanging="360"/>
      </w:pPr>
      <w:rPr>
        <w:rFonts w:ascii="Symbol" w:hAnsi="Symbol" w:hint="default"/>
      </w:rPr>
    </w:lvl>
    <w:lvl w:ilvl="1" w:tplc="0C090003">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50" w15:restartNumberingAfterBreak="0">
    <w:nsid w:val="76EE5B72"/>
    <w:multiLevelType w:val="hybridMultilevel"/>
    <w:tmpl w:val="FED62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819238B"/>
    <w:multiLevelType w:val="hybridMultilevel"/>
    <w:tmpl w:val="9BFA3374"/>
    <w:lvl w:ilvl="0" w:tplc="0C090001">
      <w:start w:val="1"/>
      <w:numFmt w:val="bullet"/>
      <w:lvlText w:val=""/>
      <w:lvlJc w:val="left"/>
      <w:pPr>
        <w:ind w:left="783" w:hanging="360"/>
      </w:pPr>
      <w:rPr>
        <w:rFonts w:ascii="Symbol" w:hAnsi="Symbol" w:hint="default"/>
      </w:rPr>
    </w:lvl>
    <w:lvl w:ilvl="1" w:tplc="0C090003">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52" w15:restartNumberingAfterBreak="0">
    <w:nsid w:val="78F92C15"/>
    <w:multiLevelType w:val="hybridMultilevel"/>
    <w:tmpl w:val="CFF6B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9FC08A5"/>
    <w:multiLevelType w:val="hybridMultilevel"/>
    <w:tmpl w:val="86BC3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CC315B1"/>
    <w:multiLevelType w:val="hybridMultilevel"/>
    <w:tmpl w:val="A9E2E41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5" w15:restartNumberingAfterBreak="0">
    <w:nsid w:val="7E293C4F"/>
    <w:multiLevelType w:val="hybridMultilevel"/>
    <w:tmpl w:val="E3F49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5"/>
  </w:num>
  <w:num w:numId="2">
    <w:abstractNumId w:val="48"/>
  </w:num>
  <w:num w:numId="3">
    <w:abstractNumId w:val="46"/>
  </w:num>
  <w:num w:numId="4">
    <w:abstractNumId w:val="19"/>
  </w:num>
  <w:num w:numId="5">
    <w:abstractNumId w:val="8"/>
  </w:num>
  <w:num w:numId="6">
    <w:abstractNumId w:val="50"/>
  </w:num>
  <w:num w:numId="7">
    <w:abstractNumId w:val="24"/>
  </w:num>
  <w:num w:numId="8">
    <w:abstractNumId w:val="52"/>
  </w:num>
  <w:num w:numId="9">
    <w:abstractNumId w:val="3"/>
  </w:num>
  <w:num w:numId="10">
    <w:abstractNumId w:val="1"/>
  </w:num>
  <w:num w:numId="11">
    <w:abstractNumId w:val="0"/>
  </w:num>
  <w:num w:numId="12">
    <w:abstractNumId w:val="44"/>
  </w:num>
  <w:num w:numId="13">
    <w:abstractNumId w:val="6"/>
  </w:num>
  <w:num w:numId="14">
    <w:abstractNumId w:val="15"/>
  </w:num>
  <w:num w:numId="15">
    <w:abstractNumId w:val="21"/>
  </w:num>
  <w:num w:numId="16">
    <w:abstractNumId w:val="4"/>
  </w:num>
  <w:num w:numId="17">
    <w:abstractNumId w:val="7"/>
  </w:num>
  <w:num w:numId="18">
    <w:abstractNumId w:val="40"/>
  </w:num>
  <w:num w:numId="19">
    <w:abstractNumId w:val="26"/>
  </w:num>
  <w:num w:numId="20">
    <w:abstractNumId w:val="16"/>
  </w:num>
  <w:num w:numId="21">
    <w:abstractNumId w:val="35"/>
  </w:num>
  <w:num w:numId="22">
    <w:abstractNumId w:val="32"/>
  </w:num>
  <w:num w:numId="23">
    <w:abstractNumId w:val="10"/>
  </w:num>
  <w:num w:numId="24">
    <w:abstractNumId w:val="53"/>
  </w:num>
  <w:num w:numId="25">
    <w:abstractNumId w:val="28"/>
  </w:num>
  <w:num w:numId="26">
    <w:abstractNumId w:val="55"/>
  </w:num>
  <w:num w:numId="27">
    <w:abstractNumId w:val="17"/>
  </w:num>
  <w:num w:numId="28">
    <w:abstractNumId w:val="36"/>
  </w:num>
  <w:num w:numId="29">
    <w:abstractNumId w:val="18"/>
  </w:num>
  <w:num w:numId="30">
    <w:abstractNumId w:val="23"/>
  </w:num>
  <w:num w:numId="31">
    <w:abstractNumId w:val="25"/>
  </w:num>
  <w:num w:numId="32">
    <w:abstractNumId w:val="47"/>
  </w:num>
  <w:num w:numId="33">
    <w:abstractNumId w:val="13"/>
  </w:num>
  <w:num w:numId="34">
    <w:abstractNumId w:val="33"/>
  </w:num>
  <w:num w:numId="35">
    <w:abstractNumId w:val="43"/>
  </w:num>
  <w:num w:numId="36">
    <w:abstractNumId w:val="2"/>
  </w:num>
  <w:num w:numId="37">
    <w:abstractNumId w:val="5"/>
  </w:num>
  <w:num w:numId="38">
    <w:abstractNumId w:val="14"/>
  </w:num>
  <w:num w:numId="39">
    <w:abstractNumId w:val="12"/>
  </w:num>
  <w:num w:numId="40">
    <w:abstractNumId w:val="20"/>
  </w:num>
  <w:num w:numId="41">
    <w:abstractNumId w:val="9"/>
  </w:num>
  <w:num w:numId="42">
    <w:abstractNumId w:val="39"/>
  </w:num>
  <w:num w:numId="43">
    <w:abstractNumId w:val="34"/>
  </w:num>
  <w:num w:numId="44">
    <w:abstractNumId w:val="49"/>
  </w:num>
  <w:num w:numId="45">
    <w:abstractNumId w:val="31"/>
  </w:num>
  <w:num w:numId="46">
    <w:abstractNumId w:val="29"/>
  </w:num>
  <w:num w:numId="47">
    <w:abstractNumId w:val="42"/>
  </w:num>
  <w:num w:numId="48">
    <w:abstractNumId w:val="37"/>
  </w:num>
  <w:num w:numId="49">
    <w:abstractNumId w:val="51"/>
  </w:num>
  <w:num w:numId="50">
    <w:abstractNumId w:val="38"/>
  </w:num>
  <w:num w:numId="51">
    <w:abstractNumId w:val="27"/>
  </w:num>
  <w:num w:numId="52">
    <w:abstractNumId w:val="30"/>
  </w:num>
  <w:num w:numId="53">
    <w:abstractNumId w:val="11"/>
  </w:num>
  <w:num w:numId="54">
    <w:abstractNumId w:val="54"/>
  </w:num>
  <w:num w:numId="55">
    <w:abstractNumId w:val="22"/>
  </w:num>
  <w:num w:numId="56">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026"/>
    <w:rsid w:val="00000471"/>
    <w:rsid w:val="00000522"/>
    <w:rsid w:val="00000769"/>
    <w:rsid w:val="000009ED"/>
    <w:rsid w:val="000020EF"/>
    <w:rsid w:val="0000255B"/>
    <w:rsid w:val="000027A0"/>
    <w:rsid w:val="0000314E"/>
    <w:rsid w:val="000031CA"/>
    <w:rsid w:val="000039CD"/>
    <w:rsid w:val="00003B1F"/>
    <w:rsid w:val="00003B2A"/>
    <w:rsid w:val="0000408A"/>
    <w:rsid w:val="000042D0"/>
    <w:rsid w:val="000044FC"/>
    <w:rsid w:val="000046B6"/>
    <w:rsid w:val="00004892"/>
    <w:rsid w:val="00004A1D"/>
    <w:rsid w:val="00004B2C"/>
    <w:rsid w:val="00005186"/>
    <w:rsid w:val="00005226"/>
    <w:rsid w:val="00005251"/>
    <w:rsid w:val="000053E5"/>
    <w:rsid w:val="000054FC"/>
    <w:rsid w:val="00005AEF"/>
    <w:rsid w:val="00005C2B"/>
    <w:rsid w:val="000062AE"/>
    <w:rsid w:val="000069B1"/>
    <w:rsid w:val="000070B5"/>
    <w:rsid w:val="00007343"/>
    <w:rsid w:val="00007794"/>
    <w:rsid w:val="00007798"/>
    <w:rsid w:val="000077EC"/>
    <w:rsid w:val="0000795B"/>
    <w:rsid w:val="00007F44"/>
    <w:rsid w:val="00007F86"/>
    <w:rsid w:val="00010535"/>
    <w:rsid w:val="000107A5"/>
    <w:rsid w:val="00010DC3"/>
    <w:rsid w:val="00011068"/>
    <w:rsid w:val="000110D5"/>
    <w:rsid w:val="000112F0"/>
    <w:rsid w:val="000113BD"/>
    <w:rsid w:val="00011672"/>
    <w:rsid w:val="00012187"/>
    <w:rsid w:val="000126AA"/>
    <w:rsid w:val="00012DB7"/>
    <w:rsid w:val="00012DB8"/>
    <w:rsid w:val="00013000"/>
    <w:rsid w:val="000130B4"/>
    <w:rsid w:val="000132C2"/>
    <w:rsid w:val="00013542"/>
    <w:rsid w:val="00013596"/>
    <w:rsid w:val="0001375D"/>
    <w:rsid w:val="000139A3"/>
    <w:rsid w:val="00013A87"/>
    <w:rsid w:val="00014364"/>
    <w:rsid w:val="0001448D"/>
    <w:rsid w:val="000145A2"/>
    <w:rsid w:val="0001463B"/>
    <w:rsid w:val="000147EB"/>
    <w:rsid w:val="000149B3"/>
    <w:rsid w:val="000149F5"/>
    <w:rsid w:val="00014D29"/>
    <w:rsid w:val="00015026"/>
    <w:rsid w:val="000153E8"/>
    <w:rsid w:val="00015C2F"/>
    <w:rsid w:val="0001609C"/>
    <w:rsid w:val="00016730"/>
    <w:rsid w:val="000167C7"/>
    <w:rsid w:val="00016838"/>
    <w:rsid w:val="0001693B"/>
    <w:rsid w:val="00016D72"/>
    <w:rsid w:val="00016D73"/>
    <w:rsid w:val="00016D99"/>
    <w:rsid w:val="00016E94"/>
    <w:rsid w:val="0001737D"/>
    <w:rsid w:val="00017467"/>
    <w:rsid w:val="00017B0C"/>
    <w:rsid w:val="00017B41"/>
    <w:rsid w:val="00017EFE"/>
    <w:rsid w:val="00017F33"/>
    <w:rsid w:val="00020CCD"/>
    <w:rsid w:val="00020FD1"/>
    <w:rsid w:val="0002108C"/>
    <w:rsid w:val="0002159D"/>
    <w:rsid w:val="00021F76"/>
    <w:rsid w:val="0002238C"/>
    <w:rsid w:val="00022656"/>
    <w:rsid w:val="000227F0"/>
    <w:rsid w:val="00022876"/>
    <w:rsid w:val="00022A77"/>
    <w:rsid w:val="00022DD6"/>
    <w:rsid w:val="00022ED9"/>
    <w:rsid w:val="00022FB4"/>
    <w:rsid w:val="00023192"/>
    <w:rsid w:val="00023844"/>
    <w:rsid w:val="0002396D"/>
    <w:rsid w:val="00024010"/>
    <w:rsid w:val="000241F3"/>
    <w:rsid w:val="0002472D"/>
    <w:rsid w:val="0002485E"/>
    <w:rsid w:val="00024A62"/>
    <w:rsid w:val="00024DEB"/>
    <w:rsid w:val="00025162"/>
    <w:rsid w:val="0002580D"/>
    <w:rsid w:val="000259F2"/>
    <w:rsid w:val="00025A65"/>
    <w:rsid w:val="00025E99"/>
    <w:rsid w:val="0002655E"/>
    <w:rsid w:val="00026A6E"/>
    <w:rsid w:val="00026AD6"/>
    <w:rsid w:val="00027077"/>
    <w:rsid w:val="000272FA"/>
    <w:rsid w:val="00027900"/>
    <w:rsid w:val="00027EFB"/>
    <w:rsid w:val="00030896"/>
    <w:rsid w:val="00030AC1"/>
    <w:rsid w:val="00030F29"/>
    <w:rsid w:val="00031327"/>
    <w:rsid w:val="0003145F"/>
    <w:rsid w:val="00031A50"/>
    <w:rsid w:val="00031C55"/>
    <w:rsid w:val="00031DAF"/>
    <w:rsid w:val="000324E4"/>
    <w:rsid w:val="000327CB"/>
    <w:rsid w:val="0003306F"/>
    <w:rsid w:val="000337EB"/>
    <w:rsid w:val="00033892"/>
    <w:rsid w:val="00033CF2"/>
    <w:rsid w:val="00034151"/>
    <w:rsid w:val="00034758"/>
    <w:rsid w:val="00034826"/>
    <w:rsid w:val="000349A3"/>
    <w:rsid w:val="00034D01"/>
    <w:rsid w:val="00035325"/>
    <w:rsid w:val="00036095"/>
    <w:rsid w:val="00036160"/>
    <w:rsid w:val="0003619F"/>
    <w:rsid w:val="0003632D"/>
    <w:rsid w:val="000363D8"/>
    <w:rsid w:val="00036632"/>
    <w:rsid w:val="00036FB1"/>
    <w:rsid w:val="000373B0"/>
    <w:rsid w:val="00037B83"/>
    <w:rsid w:val="00037B8B"/>
    <w:rsid w:val="00037C4B"/>
    <w:rsid w:val="00037E02"/>
    <w:rsid w:val="00037E0B"/>
    <w:rsid w:val="00037E17"/>
    <w:rsid w:val="00037F0F"/>
    <w:rsid w:val="00040108"/>
    <w:rsid w:val="000401F1"/>
    <w:rsid w:val="000402A1"/>
    <w:rsid w:val="00040647"/>
    <w:rsid w:val="0004068F"/>
    <w:rsid w:val="000408EA"/>
    <w:rsid w:val="000410BA"/>
    <w:rsid w:val="000411DB"/>
    <w:rsid w:val="0004124E"/>
    <w:rsid w:val="0004138B"/>
    <w:rsid w:val="00041A12"/>
    <w:rsid w:val="00041A76"/>
    <w:rsid w:val="00041B9C"/>
    <w:rsid w:val="00041E6D"/>
    <w:rsid w:val="0004200B"/>
    <w:rsid w:val="000420A2"/>
    <w:rsid w:val="0004260D"/>
    <w:rsid w:val="0004279D"/>
    <w:rsid w:val="0004289E"/>
    <w:rsid w:val="0004293E"/>
    <w:rsid w:val="00042F0D"/>
    <w:rsid w:val="0004309F"/>
    <w:rsid w:val="000434FC"/>
    <w:rsid w:val="0004371E"/>
    <w:rsid w:val="000442CF"/>
    <w:rsid w:val="00044E75"/>
    <w:rsid w:val="00044FE3"/>
    <w:rsid w:val="00045066"/>
    <w:rsid w:val="0004518C"/>
    <w:rsid w:val="000451E7"/>
    <w:rsid w:val="0004523A"/>
    <w:rsid w:val="00045B39"/>
    <w:rsid w:val="00045C2A"/>
    <w:rsid w:val="00045C5E"/>
    <w:rsid w:val="00045E3F"/>
    <w:rsid w:val="000460A4"/>
    <w:rsid w:val="000461D0"/>
    <w:rsid w:val="000466AA"/>
    <w:rsid w:val="000469CE"/>
    <w:rsid w:val="00046E5F"/>
    <w:rsid w:val="000501F7"/>
    <w:rsid w:val="00050340"/>
    <w:rsid w:val="00050A0C"/>
    <w:rsid w:val="00050C99"/>
    <w:rsid w:val="00050F4D"/>
    <w:rsid w:val="000512B0"/>
    <w:rsid w:val="00052294"/>
    <w:rsid w:val="00052345"/>
    <w:rsid w:val="00052A8F"/>
    <w:rsid w:val="00053464"/>
    <w:rsid w:val="00053590"/>
    <w:rsid w:val="000536B8"/>
    <w:rsid w:val="00053C1E"/>
    <w:rsid w:val="00054C4E"/>
    <w:rsid w:val="00055456"/>
    <w:rsid w:val="000555F1"/>
    <w:rsid w:val="00055674"/>
    <w:rsid w:val="000556CA"/>
    <w:rsid w:val="00055719"/>
    <w:rsid w:val="00055742"/>
    <w:rsid w:val="000558B7"/>
    <w:rsid w:val="00055CE2"/>
    <w:rsid w:val="000560D4"/>
    <w:rsid w:val="00056248"/>
    <w:rsid w:val="0005688B"/>
    <w:rsid w:val="00056B2C"/>
    <w:rsid w:val="000573DA"/>
    <w:rsid w:val="00057858"/>
    <w:rsid w:val="0005794D"/>
    <w:rsid w:val="00057AB6"/>
    <w:rsid w:val="00057C97"/>
    <w:rsid w:val="00057E3D"/>
    <w:rsid w:val="0006023D"/>
    <w:rsid w:val="000606DA"/>
    <w:rsid w:val="000607B2"/>
    <w:rsid w:val="00060A86"/>
    <w:rsid w:val="00060E27"/>
    <w:rsid w:val="00060FC0"/>
    <w:rsid w:val="0006122F"/>
    <w:rsid w:val="00061513"/>
    <w:rsid w:val="00061699"/>
    <w:rsid w:val="000617ED"/>
    <w:rsid w:val="00061FFB"/>
    <w:rsid w:val="00061FFF"/>
    <w:rsid w:val="00062139"/>
    <w:rsid w:val="000621BC"/>
    <w:rsid w:val="0006288E"/>
    <w:rsid w:val="0006294E"/>
    <w:rsid w:val="00062AF8"/>
    <w:rsid w:val="0006345D"/>
    <w:rsid w:val="00063779"/>
    <w:rsid w:val="0006393B"/>
    <w:rsid w:val="00063DD6"/>
    <w:rsid w:val="00063DDA"/>
    <w:rsid w:val="000645F8"/>
    <w:rsid w:val="00064D14"/>
    <w:rsid w:val="00064F95"/>
    <w:rsid w:val="0006512D"/>
    <w:rsid w:val="00065955"/>
    <w:rsid w:val="00065981"/>
    <w:rsid w:val="00065C4B"/>
    <w:rsid w:val="00065DEC"/>
    <w:rsid w:val="00065F71"/>
    <w:rsid w:val="00066048"/>
    <w:rsid w:val="00066162"/>
    <w:rsid w:val="000661BE"/>
    <w:rsid w:val="00066207"/>
    <w:rsid w:val="000664C6"/>
    <w:rsid w:val="000667F1"/>
    <w:rsid w:val="000668B6"/>
    <w:rsid w:val="00066D70"/>
    <w:rsid w:val="00066D7C"/>
    <w:rsid w:val="00067475"/>
    <w:rsid w:val="000677F4"/>
    <w:rsid w:val="0007038A"/>
    <w:rsid w:val="00070407"/>
    <w:rsid w:val="000704EF"/>
    <w:rsid w:val="00070CCF"/>
    <w:rsid w:val="0007136A"/>
    <w:rsid w:val="000714ED"/>
    <w:rsid w:val="00071926"/>
    <w:rsid w:val="00071DA1"/>
    <w:rsid w:val="00072410"/>
    <w:rsid w:val="0007284C"/>
    <w:rsid w:val="0007296D"/>
    <w:rsid w:val="00072A7F"/>
    <w:rsid w:val="00072E28"/>
    <w:rsid w:val="00072E2C"/>
    <w:rsid w:val="000733B2"/>
    <w:rsid w:val="00073602"/>
    <w:rsid w:val="00073751"/>
    <w:rsid w:val="00073779"/>
    <w:rsid w:val="000737BF"/>
    <w:rsid w:val="0007380D"/>
    <w:rsid w:val="00073936"/>
    <w:rsid w:val="00073AD1"/>
    <w:rsid w:val="00073B4D"/>
    <w:rsid w:val="00074C8C"/>
    <w:rsid w:val="00074C9B"/>
    <w:rsid w:val="00074CF7"/>
    <w:rsid w:val="00074D41"/>
    <w:rsid w:val="00075866"/>
    <w:rsid w:val="000758A0"/>
    <w:rsid w:val="00075B99"/>
    <w:rsid w:val="00075D9B"/>
    <w:rsid w:val="00075F83"/>
    <w:rsid w:val="000763CE"/>
    <w:rsid w:val="00076EAA"/>
    <w:rsid w:val="000771D3"/>
    <w:rsid w:val="000771EA"/>
    <w:rsid w:val="00077246"/>
    <w:rsid w:val="00077586"/>
    <w:rsid w:val="000775AC"/>
    <w:rsid w:val="00077A99"/>
    <w:rsid w:val="00077C6D"/>
    <w:rsid w:val="00077E8B"/>
    <w:rsid w:val="0008021C"/>
    <w:rsid w:val="000803A9"/>
    <w:rsid w:val="000805D0"/>
    <w:rsid w:val="00080793"/>
    <w:rsid w:val="00080AC4"/>
    <w:rsid w:val="00080C5F"/>
    <w:rsid w:val="00080D9C"/>
    <w:rsid w:val="00081232"/>
    <w:rsid w:val="0008155C"/>
    <w:rsid w:val="000818B6"/>
    <w:rsid w:val="00081C14"/>
    <w:rsid w:val="00081C44"/>
    <w:rsid w:val="00082301"/>
    <w:rsid w:val="000829EC"/>
    <w:rsid w:val="00082D61"/>
    <w:rsid w:val="0008321A"/>
    <w:rsid w:val="0008342B"/>
    <w:rsid w:val="00084072"/>
    <w:rsid w:val="000840B6"/>
    <w:rsid w:val="0008415B"/>
    <w:rsid w:val="00084443"/>
    <w:rsid w:val="0008444F"/>
    <w:rsid w:val="000844E1"/>
    <w:rsid w:val="00084840"/>
    <w:rsid w:val="000848ED"/>
    <w:rsid w:val="00084DE1"/>
    <w:rsid w:val="000850B6"/>
    <w:rsid w:val="000854C6"/>
    <w:rsid w:val="00085740"/>
    <w:rsid w:val="0008618C"/>
    <w:rsid w:val="00086299"/>
    <w:rsid w:val="00086A06"/>
    <w:rsid w:val="00086C9C"/>
    <w:rsid w:val="0008716C"/>
    <w:rsid w:val="000871D3"/>
    <w:rsid w:val="00087474"/>
    <w:rsid w:val="000875CD"/>
    <w:rsid w:val="00087666"/>
    <w:rsid w:val="00090444"/>
    <w:rsid w:val="0009079B"/>
    <w:rsid w:val="0009079C"/>
    <w:rsid w:val="00090887"/>
    <w:rsid w:val="00090E5E"/>
    <w:rsid w:val="00090F0E"/>
    <w:rsid w:val="00091078"/>
    <w:rsid w:val="0009112D"/>
    <w:rsid w:val="000911FE"/>
    <w:rsid w:val="000913F2"/>
    <w:rsid w:val="00091848"/>
    <w:rsid w:val="00091993"/>
    <w:rsid w:val="00091A0A"/>
    <w:rsid w:val="00091C5D"/>
    <w:rsid w:val="00091D6D"/>
    <w:rsid w:val="000922C7"/>
    <w:rsid w:val="00092531"/>
    <w:rsid w:val="00092716"/>
    <w:rsid w:val="00092C46"/>
    <w:rsid w:val="00092DC0"/>
    <w:rsid w:val="00093268"/>
    <w:rsid w:val="00093A86"/>
    <w:rsid w:val="00093E0D"/>
    <w:rsid w:val="00093EEA"/>
    <w:rsid w:val="000947B9"/>
    <w:rsid w:val="00094828"/>
    <w:rsid w:val="00094AAC"/>
    <w:rsid w:val="00094D8B"/>
    <w:rsid w:val="00094E85"/>
    <w:rsid w:val="0009518B"/>
    <w:rsid w:val="00095203"/>
    <w:rsid w:val="00095519"/>
    <w:rsid w:val="0009592D"/>
    <w:rsid w:val="000959A4"/>
    <w:rsid w:val="0009604D"/>
    <w:rsid w:val="0009644E"/>
    <w:rsid w:val="00097230"/>
    <w:rsid w:val="00097DEB"/>
    <w:rsid w:val="000A00D9"/>
    <w:rsid w:val="000A0191"/>
    <w:rsid w:val="000A066F"/>
    <w:rsid w:val="000A072C"/>
    <w:rsid w:val="000A07D0"/>
    <w:rsid w:val="000A0831"/>
    <w:rsid w:val="000A0CF3"/>
    <w:rsid w:val="000A0D93"/>
    <w:rsid w:val="000A0E98"/>
    <w:rsid w:val="000A131C"/>
    <w:rsid w:val="000A1325"/>
    <w:rsid w:val="000A1707"/>
    <w:rsid w:val="000A1A28"/>
    <w:rsid w:val="000A1A6C"/>
    <w:rsid w:val="000A1D7A"/>
    <w:rsid w:val="000A1DFD"/>
    <w:rsid w:val="000A2082"/>
    <w:rsid w:val="000A21C1"/>
    <w:rsid w:val="000A2549"/>
    <w:rsid w:val="000A276D"/>
    <w:rsid w:val="000A30A1"/>
    <w:rsid w:val="000A3543"/>
    <w:rsid w:val="000A36DD"/>
    <w:rsid w:val="000A41C5"/>
    <w:rsid w:val="000A4323"/>
    <w:rsid w:val="000A4BBA"/>
    <w:rsid w:val="000A5021"/>
    <w:rsid w:val="000A5108"/>
    <w:rsid w:val="000A5264"/>
    <w:rsid w:val="000A5451"/>
    <w:rsid w:val="000A55BC"/>
    <w:rsid w:val="000A57D5"/>
    <w:rsid w:val="000A5B6A"/>
    <w:rsid w:val="000A65FC"/>
    <w:rsid w:val="000A6D2C"/>
    <w:rsid w:val="000A6DB5"/>
    <w:rsid w:val="000A6FA3"/>
    <w:rsid w:val="000A7419"/>
    <w:rsid w:val="000A7628"/>
    <w:rsid w:val="000A7B18"/>
    <w:rsid w:val="000A7B8C"/>
    <w:rsid w:val="000A7BD4"/>
    <w:rsid w:val="000A7FF6"/>
    <w:rsid w:val="000B06EF"/>
    <w:rsid w:val="000B1615"/>
    <w:rsid w:val="000B179F"/>
    <w:rsid w:val="000B18DD"/>
    <w:rsid w:val="000B1CB9"/>
    <w:rsid w:val="000B1FC7"/>
    <w:rsid w:val="000B2295"/>
    <w:rsid w:val="000B26FF"/>
    <w:rsid w:val="000B2729"/>
    <w:rsid w:val="000B2766"/>
    <w:rsid w:val="000B2788"/>
    <w:rsid w:val="000B2C44"/>
    <w:rsid w:val="000B31EE"/>
    <w:rsid w:val="000B3253"/>
    <w:rsid w:val="000B3572"/>
    <w:rsid w:val="000B3A68"/>
    <w:rsid w:val="000B3AC2"/>
    <w:rsid w:val="000B3CA4"/>
    <w:rsid w:val="000B3D5B"/>
    <w:rsid w:val="000B40DC"/>
    <w:rsid w:val="000B4253"/>
    <w:rsid w:val="000B43F5"/>
    <w:rsid w:val="000B45A9"/>
    <w:rsid w:val="000B479E"/>
    <w:rsid w:val="000B4CFF"/>
    <w:rsid w:val="000B4DA1"/>
    <w:rsid w:val="000B4DC7"/>
    <w:rsid w:val="000B4DF7"/>
    <w:rsid w:val="000B5571"/>
    <w:rsid w:val="000B5643"/>
    <w:rsid w:val="000B5CDE"/>
    <w:rsid w:val="000B6065"/>
    <w:rsid w:val="000B6124"/>
    <w:rsid w:val="000B687F"/>
    <w:rsid w:val="000B6A38"/>
    <w:rsid w:val="000B7E3E"/>
    <w:rsid w:val="000B7E44"/>
    <w:rsid w:val="000B7EDF"/>
    <w:rsid w:val="000C08B0"/>
    <w:rsid w:val="000C11F5"/>
    <w:rsid w:val="000C172F"/>
    <w:rsid w:val="000C1A18"/>
    <w:rsid w:val="000C1C2A"/>
    <w:rsid w:val="000C1CFD"/>
    <w:rsid w:val="000C1E38"/>
    <w:rsid w:val="000C2000"/>
    <w:rsid w:val="000C2437"/>
    <w:rsid w:val="000C2FE1"/>
    <w:rsid w:val="000C3090"/>
    <w:rsid w:val="000C3144"/>
    <w:rsid w:val="000C33C6"/>
    <w:rsid w:val="000C376F"/>
    <w:rsid w:val="000C3A44"/>
    <w:rsid w:val="000C4228"/>
    <w:rsid w:val="000C47FF"/>
    <w:rsid w:val="000C4805"/>
    <w:rsid w:val="000C4CEA"/>
    <w:rsid w:val="000C4D64"/>
    <w:rsid w:val="000C500A"/>
    <w:rsid w:val="000C500D"/>
    <w:rsid w:val="000C5393"/>
    <w:rsid w:val="000C6F17"/>
    <w:rsid w:val="000C7001"/>
    <w:rsid w:val="000C7454"/>
    <w:rsid w:val="000C750E"/>
    <w:rsid w:val="000C7ABD"/>
    <w:rsid w:val="000C7DDB"/>
    <w:rsid w:val="000C7EFB"/>
    <w:rsid w:val="000D0205"/>
    <w:rsid w:val="000D0673"/>
    <w:rsid w:val="000D090A"/>
    <w:rsid w:val="000D1511"/>
    <w:rsid w:val="000D1565"/>
    <w:rsid w:val="000D1683"/>
    <w:rsid w:val="000D1730"/>
    <w:rsid w:val="000D1ACE"/>
    <w:rsid w:val="000D1C51"/>
    <w:rsid w:val="000D1C86"/>
    <w:rsid w:val="000D2391"/>
    <w:rsid w:val="000D246F"/>
    <w:rsid w:val="000D27EE"/>
    <w:rsid w:val="000D29A9"/>
    <w:rsid w:val="000D2DFF"/>
    <w:rsid w:val="000D2F41"/>
    <w:rsid w:val="000D33A0"/>
    <w:rsid w:val="000D33AB"/>
    <w:rsid w:val="000D33C5"/>
    <w:rsid w:val="000D34BA"/>
    <w:rsid w:val="000D397F"/>
    <w:rsid w:val="000D3AFF"/>
    <w:rsid w:val="000D3BA1"/>
    <w:rsid w:val="000D4593"/>
    <w:rsid w:val="000D4708"/>
    <w:rsid w:val="000D485E"/>
    <w:rsid w:val="000D490A"/>
    <w:rsid w:val="000D4E46"/>
    <w:rsid w:val="000D54FF"/>
    <w:rsid w:val="000D5516"/>
    <w:rsid w:val="000D557B"/>
    <w:rsid w:val="000D5EB3"/>
    <w:rsid w:val="000D6317"/>
    <w:rsid w:val="000D6AC2"/>
    <w:rsid w:val="000D6CDC"/>
    <w:rsid w:val="000D6D4E"/>
    <w:rsid w:val="000D7224"/>
    <w:rsid w:val="000D74B7"/>
    <w:rsid w:val="000D7C6B"/>
    <w:rsid w:val="000E0633"/>
    <w:rsid w:val="000E06D3"/>
    <w:rsid w:val="000E0DA4"/>
    <w:rsid w:val="000E0E77"/>
    <w:rsid w:val="000E0F5F"/>
    <w:rsid w:val="000E1359"/>
    <w:rsid w:val="000E1770"/>
    <w:rsid w:val="000E1C07"/>
    <w:rsid w:val="000E1E5D"/>
    <w:rsid w:val="000E20C1"/>
    <w:rsid w:val="000E2268"/>
    <w:rsid w:val="000E2295"/>
    <w:rsid w:val="000E27D7"/>
    <w:rsid w:val="000E2875"/>
    <w:rsid w:val="000E2AB6"/>
    <w:rsid w:val="000E32D7"/>
    <w:rsid w:val="000E38DD"/>
    <w:rsid w:val="000E3F6A"/>
    <w:rsid w:val="000E407B"/>
    <w:rsid w:val="000E475B"/>
    <w:rsid w:val="000E4C37"/>
    <w:rsid w:val="000E4C72"/>
    <w:rsid w:val="000E4DDF"/>
    <w:rsid w:val="000E4E14"/>
    <w:rsid w:val="000E4FF7"/>
    <w:rsid w:val="000E5B0F"/>
    <w:rsid w:val="000E5CC0"/>
    <w:rsid w:val="000E5F62"/>
    <w:rsid w:val="000E630A"/>
    <w:rsid w:val="000E6550"/>
    <w:rsid w:val="000E6724"/>
    <w:rsid w:val="000E6883"/>
    <w:rsid w:val="000E6AFE"/>
    <w:rsid w:val="000E6E16"/>
    <w:rsid w:val="000E783B"/>
    <w:rsid w:val="000E795A"/>
    <w:rsid w:val="000F04EF"/>
    <w:rsid w:val="000F06D1"/>
    <w:rsid w:val="000F0710"/>
    <w:rsid w:val="000F0932"/>
    <w:rsid w:val="000F09BD"/>
    <w:rsid w:val="000F0AD7"/>
    <w:rsid w:val="000F0CE1"/>
    <w:rsid w:val="000F0E6C"/>
    <w:rsid w:val="000F1127"/>
    <w:rsid w:val="000F1475"/>
    <w:rsid w:val="000F162C"/>
    <w:rsid w:val="000F1880"/>
    <w:rsid w:val="000F194A"/>
    <w:rsid w:val="000F257D"/>
    <w:rsid w:val="000F2CB8"/>
    <w:rsid w:val="000F3118"/>
    <w:rsid w:val="000F328A"/>
    <w:rsid w:val="000F39A0"/>
    <w:rsid w:val="000F3BDA"/>
    <w:rsid w:val="000F3D80"/>
    <w:rsid w:val="000F418C"/>
    <w:rsid w:val="000F4DBF"/>
    <w:rsid w:val="000F4EFF"/>
    <w:rsid w:val="000F56A0"/>
    <w:rsid w:val="000F56D9"/>
    <w:rsid w:val="000F591E"/>
    <w:rsid w:val="000F5A9D"/>
    <w:rsid w:val="000F6185"/>
    <w:rsid w:val="000F6555"/>
    <w:rsid w:val="000F7C88"/>
    <w:rsid w:val="000F7E51"/>
    <w:rsid w:val="0010019C"/>
    <w:rsid w:val="0010075E"/>
    <w:rsid w:val="00100AE5"/>
    <w:rsid w:val="00100B82"/>
    <w:rsid w:val="001013F8"/>
    <w:rsid w:val="001019F1"/>
    <w:rsid w:val="00101CE3"/>
    <w:rsid w:val="00101FBC"/>
    <w:rsid w:val="0010225B"/>
    <w:rsid w:val="00102A5D"/>
    <w:rsid w:val="00102AE1"/>
    <w:rsid w:val="00103084"/>
    <w:rsid w:val="0010357E"/>
    <w:rsid w:val="00103639"/>
    <w:rsid w:val="001036C1"/>
    <w:rsid w:val="00103724"/>
    <w:rsid w:val="00103905"/>
    <w:rsid w:val="001039CF"/>
    <w:rsid w:val="00103BD6"/>
    <w:rsid w:val="001041E6"/>
    <w:rsid w:val="00104B82"/>
    <w:rsid w:val="00104E7F"/>
    <w:rsid w:val="001058E5"/>
    <w:rsid w:val="00105ACC"/>
    <w:rsid w:val="00105B28"/>
    <w:rsid w:val="0010614C"/>
    <w:rsid w:val="001062A7"/>
    <w:rsid w:val="001062C9"/>
    <w:rsid w:val="0010643B"/>
    <w:rsid w:val="00106450"/>
    <w:rsid w:val="0010650D"/>
    <w:rsid w:val="0010681D"/>
    <w:rsid w:val="00106AF3"/>
    <w:rsid w:val="00107041"/>
    <w:rsid w:val="0010755C"/>
    <w:rsid w:val="0010760E"/>
    <w:rsid w:val="0010772B"/>
    <w:rsid w:val="0010776D"/>
    <w:rsid w:val="001100B2"/>
    <w:rsid w:val="001100F9"/>
    <w:rsid w:val="00110461"/>
    <w:rsid w:val="00110CF9"/>
    <w:rsid w:val="00110ECD"/>
    <w:rsid w:val="00110FEB"/>
    <w:rsid w:val="0011108D"/>
    <w:rsid w:val="001111DF"/>
    <w:rsid w:val="0011176C"/>
    <w:rsid w:val="00111B2A"/>
    <w:rsid w:val="00111D3E"/>
    <w:rsid w:val="00111DAD"/>
    <w:rsid w:val="001123C2"/>
    <w:rsid w:val="00112466"/>
    <w:rsid w:val="00112884"/>
    <w:rsid w:val="00112E92"/>
    <w:rsid w:val="0011412F"/>
    <w:rsid w:val="0011436A"/>
    <w:rsid w:val="00115309"/>
    <w:rsid w:val="0011530B"/>
    <w:rsid w:val="0011534A"/>
    <w:rsid w:val="00116016"/>
    <w:rsid w:val="00116160"/>
    <w:rsid w:val="00116CE7"/>
    <w:rsid w:val="00116FE7"/>
    <w:rsid w:val="001178DB"/>
    <w:rsid w:val="0011797D"/>
    <w:rsid w:val="00117C34"/>
    <w:rsid w:val="00120154"/>
    <w:rsid w:val="001206D9"/>
    <w:rsid w:val="00120DF9"/>
    <w:rsid w:val="00121425"/>
    <w:rsid w:val="001215A1"/>
    <w:rsid w:val="00121A9E"/>
    <w:rsid w:val="00122287"/>
    <w:rsid w:val="00122BBF"/>
    <w:rsid w:val="00123371"/>
    <w:rsid w:val="0012409F"/>
    <w:rsid w:val="0012447E"/>
    <w:rsid w:val="001245B4"/>
    <w:rsid w:val="00124B08"/>
    <w:rsid w:val="00124F89"/>
    <w:rsid w:val="0012534A"/>
    <w:rsid w:val="0012556E"/>
    <w:rsid w:val="00125682"/>
    <w:rsid w:val="00125890"/>
    <w:rsid w:val="00125FF0"/>
    <w:rsid w:val="001261F6"/>
    <w:rsid w:val="00126478"/>
    <w:rsid w:val="00126C43"/>
    <w:rsid w:val="00126DBE"/>
    <w:rsid w:val="00127C84"/>
    <w:rsid w:val="00127D7F"/>
    <w:rsid w:val="00127D8E"/>
    <w:rsid w:val="00127E09"/>
    <w:rsid w:val="00127F8A"/>
    <w:rsid w:val="0013039E"/>
    <w:rsid w:val="001303E8"/>
    <w:rsid w:val="00130BAA"/>
    <w:rsid w:val="00130BF4"/>
    <w:rsid w:val="00130D16"/>
    <w:rsid w:val="0013124B"/>
    <w:rsid w:val="001313DB"/>
    <w:rsid w:val="0013149E"/>
    <w:rsid w:val="001318D9"/>
    <w:rsid w:val="00131C15"/>
    <w:rsid w:val="00131C7A"/>
    <w:rsid w:val="00131D5D"/>
    <w:rsid w:val="00131D65"/>
    <w:rsid w:val="00131E17"/>
    <w:rsid w:val="00131E41"/>
    <w:rsid w:val="00131E48"/>
    <w:rsid w:val="00132458"/>
    <w:rsid w:val="00132F86"/>
    <w:rsid w:val="0013351A"/>
    <w:rsid w:val="00133B2C"/>
    <w:rsid w:val="00133EF7"/>
    <w:rsid w:val="00133F3A"/>
    <w:rsid w:val="0013460B"/>
    <w:rsid w:val="001349BF"/>
    <w:rsid w:val="00134A94"/>
    <w:rsid w:val="00134F5B"/>
    <w:rsid w:val="0013501C"/>
    <w:rsid w:val="0013550D"/>
    <w:rsid w:val="00135653"/>
    <w:rsid w:val="00135B61"/>
    <w:rsid w:val="00135ED0"/>
    <w:rsid w:val="001362EC"/>
    <w:rsid w:val="00136393"/>
    <w:rsid w:val="0013641E"/>
    <w:rsid w:val="001365A2"/>
    <w:rsid w:val="0013672F"/>
    <w:rsid w:val="001368A5"/>
    <w:rsid w:val="00136AB6"/>
    <w:rsid w:val="00136BDC"/>
    <w:rsid w:val="00136E9C"/>
    <w:rsid w:val="00136F32"/>
    <w:rsid w:val="001370F4"/>
    <w:rsid w:val="0013723F"/>
    <w:rsid w:val="001372C5"/>
    <w:rsid w:val="0013753C"/>
    <w:rsid w:val="001375A9"/>
    <w:rsid w:val="00137629"/>
    <w:rsid w:val="0013777E"/>
    <w:rsid w:val="001379B8"/>
    <w:rsid w:val="00137F7D"/>
    <w:rsid w:val="001401EC"/>
    <w:rsid w:val="001404DF"/>
    <w:rsid w:val="00140BAC"/>
    <w:rsid w:val="00140BCB"/>
    <w:rsid w:val="00140F10"/>
    <w:rsid w:val="00141708"/>
    <w:rsid w:val="00141BF5"/>
    <w:rsid w:val="00141E38"/>
    <w:rsid w:val="001429C0"/>
    <w:rsid w:val="00142BE0"/>
    <w:rsid w:val="001431EE"/>
    <w:rsid w:val="001434F1"/>
    <w:rsid w:val="00143627"/>
    <w:rsid w:val="00143823"/>
    <w:rsid w:val="00143D54"/>
    <w:rsid w:val="00143E17"/>
    <w:rsid w:val="001440AB"/>
    <w:rsid w:val="00144633"/>
    <w:rsid w:val="00144865"/>
    <w:rsid w:val="00144E6F"/>
    <w:rsid w:val="001450D9"/>
    <w:rsid w:val="001450FF"/>
    <w:rsid w:val="00145751"/>
    <w:rsid w:val="0014575D"/>
    <w:rsid w:val="00145761"/>
    <w:rsid w:val="00145A67"/>
    <w:rsid w:val="00145FDE"/>
    <w:rsid w:val="00146A56"/>
    <w:rsid w:val="00147805"/>
    <w:rsid w:val="001478E8"/>
    <w:rsid w:val="00147A24"/>
    <w:rsid w:val="00147A2A"/>
    <w:rsid w:val="00147EB7"/>
    <w:rsid w:val="00150052"/>
    <w:rsid w:val="00150226"/>
    <w:rsid w:val="0015055B"/>
    <w:rsid w:val="00150AA4"/>
    <w:rsid w:val="00150C82"/>
    <w:rsid w:val="00151081"/>
    <w:rsid w:val="001513A8"/>
    <w:rsid w:val="001515F8"/>
    <w:rsid w:val="001518DD"/>
    <w:rsid w:val="001521E2"/>
    <w:rsid w:val="0015223A"/>
    <w:rsid w:val="001522F9"/>
    <w:rsid w:val="0015297A"/>
    <w:rsid w:val="00152DEA"/>
    <w:rsid w:val="00153479"/>
    <w:rsid w:val="001538E0"/>
    <w:rsid w:val="00153EE1"/>
    <w:rsid w:val="00153FD9"/>
    <w:rsid w:val="00154168"/>
    <w:rsid w:val="001543E5"/>
    <w:rsid w:val="001547A3"/>
    <w:rsid w:val="001549C5"/>
    <w:rsid w:val="00154B76"/>
    <w:rsid w:val="00154E49"/>
    <w:rsid w:val="00155A1A"/>
    <w:rsid w:val="00155C71"/>
    <w:rsid w:val="00155CFB"/>
    <w:rsid w:val="001561C3"/>
    <w:rsid w:val="001565D8"/>
    <w:rsid w:val="001565DB"/>
    <w:rsid w:val="00156922"/>
    <w:rsid w:val="001569C7"/>
    <w:rsid w:val="00156D08"/>
    <w:rsid w:val="00157224"/>
    <w:rsid w:val="00157692"/>
    <w:rsid w:val="00157832"/>
    <w:rsid w:val="00157A47"/>
    <w:rsid w:val="00157EBF"/>
    <w:rsid w:val="00157F39"/>
    <w:rsid w:val="0016017F"/>
    <w:rsid w:val="00160353"/>
    <w:rsid w:val="001608BE"/>
    <w:rsid w:val="00160E06"/>
    <w:rsid w:val="00160E82"/>
    <w:rsid w:val="00161489"/>
    <w:rsid w:val="00161729"/>
    <w:rsid w:val="00161752"/>
    <w:rsid w:val="00162173"/>
    <w:rsid w:val="00162192"/>
    <w:rsid w:val="00162607"/>
    <w:rsid w:val="00162E2E"/>
    <w:rsid w:val="00163209"/>
    <w:rsid w:val="00163377"/>
    <w:rsid w:val="00163383"/>
    <w:rsid w:val="001637F6"/>
    <w:rsid w:val="00163A84"/>
    <w:rsid w:val="00164001"/>
    <w:rsid w:val="0016412A"/>
    <w:rsid w:val="00164343"/>
    <w:rsid w:val="00164345"/>
    <w:rsid w:val="001643CD"/>
    <w:rsid w:val="001644AF"/>
    <w:rsid w:val="00164970"/>
    <w:rsid w:val="00164B90"/>
    <w:rsid w:val="0016522F"/>
    <w:rsid w:val="0016542B"/>
    <w:rsid w:val="001657DC"/>
    <w:rsid w:val="00165B01"/>
    <w:rsid w:val="00165CCE"/>
    <w:rsid w:val="00166089"/>
    <w:rsid w:val="001661DE"/>
    <w:rsid w:val="001668E0"/>
    <w:rsid w:val="00166BE3"/>
    <w:rsid w:val="00166DCD"/>
    <w:rsid w:val="00166ECE"/>
    <w:rsid w:val="00167012"/>
    <w:rsid w:val="001671CB"/>
    <w:rsid w:val="00167377"/>
    <w:rsid w:val="00167706"/>
    <w:rsid w:val="00167803"/>
    <w:rsid w:val="00167944"/>
    <w:rsid w:val="0016797F"/>
    <w:rsid w:val="00167BDA"/>
    <w:rsid w:val="00167C57"/>
    <w:rsid w:val="00170250"/>
    <w:rsid w:val="00170FA4"/>
    <w:rsid w:val="001714F4"/>
    <w:rsid w:val="0017222F"/>
    <w:rsid w:val="001723DF"/>
    <w:rsid w:val="0017291B"/>
    <w:rsid w:val="00172E0E"/>
    <w:rsid w:val="001730E1"/>
    <w:rsid w:val="00173233"/>
    <w:rsid w:val="001732E5"/>
    <w:rsid w:val="0017372D"/>
    <w:rsid w:val="00173877"/>
    <w:rsid w:val="00173D9F"/>
    <w:rsid w:val="00173E5E"/>
    <w:rsid w:val="00173F3A"/>
    <w:rsid w:val="00173FF5"/>
    <w:rsid w:val="001750CC"/>
    <w:rsid w:val="001757A9"/>
    <w:rsid w:val="00175806"/>
    <w:rsid w:val="001762A3"/>
    <w:rsid w:val="00176586"/>
    <w:rsid w:val="00176CBA"/>
    <w:rsid w:val="00177116"/>
    <w:rsid w:val="001771BF"/>
    <w:rsid w:val="00177562"/>
    <w:rsid w:val="00177653"/>
    <w:rsid w:val="00177F90"/>
    <w:rsid w:val="00177FC0"/>
    <w:rsid w:val="00180EF0"/>
    <w:rsid w:val="001816F5"/>
    <w:rsid w:val="001818D6"/>
    <w:rsid w:val="00182061"/>
    <w:rsid w:val="00182542"/>
    <w:rsid w:val="001827C4"/>
    <w:rsid w:val="00182923"/>
    <w:rsid w:val="00182CFB"/>
    <w:rsid w:val="00183115"/>
    <w:rsid w:val="0018311B"/>
    <w:rsid w:val="0018359C"/>
    <w:rsid w:val="00183E2F"/>
    <w:rsid w:val="00183EF4"/>
    <w:rsid w:val="00184164"/>
    <w:rsid w:val="001841E7"/>
    <w:rsid w:val="001845AB"/>
    <w:rsid w:val="001847C7"/>
    <w:rsid w:val="00184ACC"/>
    <w:rsid w:val="00184D8C"/>
    <w:rsid w:val="0018529A"/>
    <w:rsid w:val="00185391"/>
    <w:rsid w:val="00185985"/>
    <w:rsid w:val="00186103"/>
    <w:rsid w:val="0018619B"/>
    <w:rsid w:val="00186BFC"/>
    <w:rsid w:val="00186CCB"/>
    <w:rsid w:val="00186F50"/>
    <w:rsid w:val="00187930"/>
    <w:rsid w:val="00187E91"/>
    <w:rsid w:val="001902FD"/>
    <w:rsid w:val="00190327"/>
    <w:rsid w:val="00190355"/>
    <w:rsid w:val="001906FA"/>
    <w:rsid w:val="00190AF9"/>
    <w:rsid w:val="00190E90"/>
    <w:rsid w:val="001918ED"/>
    <w:rsid w:val="00191FCF"/>
    <w:rsid w:val="0019208F"/>
    <w:rsid w:val="0019242B"/>
    <w:rsid w:val="001928F6"/>
    <w:rsid w:val="00192C11"/>
    <w:rsid w:val="00192E83"/>
    <w:rsid w:val="0019316E"/>
    <w:rsid w:val="001934EC"/>
    <w:rsid w:val="001937CB"/>
    <w:rsid w:val="0019461F"/>
    <w:rsid w:val="001947B6"/>
    <w:rsid w:val="00194AC8"/>
    <w:rsid w:val="00194FF6"/>
    <w:rsid w:val="001954E6"/>
    <w:rsid w:val="001956D0"/>
    <w:rsid w:val="00195BBA"/>
    <w:rsid w:val="00195C5A"/>
    <w:rsid w:val="00195CC0"/>
    <w:rsid w:val="00195D23"/>
    <w:rsid w:val="00195DEB"/>
    <w:rsid w:val="00196C42"/>
    <w:rsid w:val="00197380"/>
    <w:rsid w:val="001976FA"/>
    <w:rsid w:val="001A0462"/>
    <w:rsid w:val="001A0605"/>
    <w:rsid w:val="001A14F4"/>
    <w:rsid w:val="001A15D6"/>
    <w:rsid w:val="001A1B34"/>
    <w:rsid w:val="001A1D88"/>
    <w:rsid w:val="001A1FD9"/>
    <w:rsid w:val="001A2015"/>
    <w:rsid w:val="001A2403"/>
    <w:rsid w:val="001A2504"/>
    <w:rsid w:val="001A25A3"/>
    <w:rsid w:val="001A2A32"/>
    <w:rsid w:val="001A2A45"/>
    <w:rsid w:val="001A2BD0"/>
    <w:rsid w:val="001A2E7F"/>
    <w:rsid w:val="001A2F7F"/>
    <w:rsid w:val="001A34D2"/>
    <w:rsid w:val="001A364F"/>
    <w:rsid w:val="001A396E"/>
    <w:rsid w:val="001A3B8F"/>
    <w:rsid w:val="001A3D6D"/>
    <w:rsid w:val="001A4008"/>
    <w:rsid w:val="001A4C2B"/>
    <w:rsid w:val="001A4E29"/>
    <w:rsid w:val="001A5161"/>
    <w:rsid w:val="001A5362"/>
    <w:rsid w:val="001A55DE"/>
    <w:rsid w:val="001A5F74"/>
    <w:rsid w:val="001A619E"/>
    <w:rsid w:val="001A653E"/>
    <w:rsid w:val="001A6874"/>
    <w:rsid w:val="001A7552"/>
    <w:rsid w:val="001A791C"/>
    <w:rsid w:val="001A7FAA"/>
    <w:rsid w:val="001B0875"/>
    <w:rsid w:val="001B0DFE"/>
    <w:rsid w:val="001B140A"/>
    <w:rsid w:val="001B1AD3"/>
    <w:rsid w:val="001B26F2"/>
    <w:rsid w:val="001B28CD"/>
    <w:rsid w:val="001B3017"/>
    <w:rsid w:val="001B3084"/>
    <w:rsid w:val="001B30FB"/>
    <w:rsid w:val="001B36C4"/>
    <w:rsid w:val="001B3979"/>
    <w:rsid w:val="001B3CB6"/>
    <w:rsid w:val="001B3D49"/>
    <w:rsid w:val="001B3D85"/>
    <w:rsid w:val="001B3FBE"/>
    <w:rsid w:val="001B446E"/>
    <w:rsid w:val="001B4B52"/>
    <w:rsid w:val="001B514D"/>
    <w:rsid w:val="001B55E5"/>
    <w:rsid w:val="001B5B2E"/>
    <w:rsid w:val="001B65B5"/>
    <w:rsid w:val="001B6BED"/>
    <w:rsid w:val="001B6F41"/>
    <w:rsid w:val="001B7244"/>
    <w:rsid w:val="001B7329"/>
    <w:rsid w:val="001B74FF"/>
    <w:rsid w:val="001B7876"/>
    <w:rsid w:val="001B7984"/>
    <w:rsid w:val="001C0608"/>
    <w:rsid w:val="001C0641"/>
    <w:rsid w:val="001C0E3D"/>
    <w:rsid w:val="001C1933"/>
    <w:rsid w:val="001C1942"/>
    <w:rsid w:val="001C1D36"/>
    <w:rsid w:val="001C1D38"/>
    <w:rsid w:val="001C20F8"/>
    <w:rsid w:val="001C2756"/>
    <w:rsid w:val="001C280E"/>
    <w:rsid w:val="001C2F56"/>
    <w:rsid w:val="001C32C8"/>
    <w:rsid w:val="001C34B8"/>
    <w:rsid w:val="001C38D8"/>
    <w:rsid w:val="001C3999"/>
    <w:rsid w:val="001C3DD0"/>
    <w:rsid w:val="001C4622"/>
    <w:rsid w:val="001C53E2"/>
    <w:rsid w:val="001C56C4"/>
    <w:rsid w:val="001C5B44"/>
    <w:rsid w:val="001C6550"/>
    <w:rsid w:val="001C67D6"/>
    <w:rsid w:val="001C6B29"/>
    <w:rsid w:val="001C6B7E"/>
    <w:rsid w:val="001C6E5B"/>
    <w:rsid w:val="001C71C8"/>
    <w:rsid w:val="001C799B"/>
    <w:rsid w:val="001C7E17"/>
    <w:rsid w:val="001D042E"/>
    <w:rsid w:val="001D0927"/>
    <w:rsid w:val="001D0C95"/>
    <w:rsid w:val="001D0CA4"/>
    <w:rsid w:val="001D1593"/>
    <w:rsid w:val="001D1997"/>
    <w:rsid w:val="001D1AD8"/>
    <w:rsid w:val="001D1BF2"/>
    <w:rsid w:val="001D20B0"/>
    <w:rsid w:val="001D26E6"/>
    <w:rsid w:val="001D2B63"/>
    <w:rsid w:val="001D2B9B"/>
    <w:rsid w:val="001D2BDC"/>
    <w:rsid w:val="001D3A86"/>
    <w:rsid w:val="001D3AA3"/>
    <w:rsid w:val="001D471B"/>
    <w:rsid w:val="001D48A6"/>
    <w:rsid w:val="001D514F"/>
    <w:rsid w:val="001D5205"/>
    <w:rsid w:val="001D597C"/>
    <w:rsid w:val="001D5988"/>
    <w:rsid w:val="001D5B51"/>
    <w:rsid w:val="001D5BE4"/>
    <w:rsid w:val="001D5C3A"/>
    <w:rsid w:val="001D6485"/>
    <w:rsid w:val="001D68B2"/>
    <w:rsid w:val="001D6A7C"/>
    <w:rsid w:val="001D6A93"/>
    <w:rsid w:val="001D7060"/>
    <w:rsid w:val="001D7592"/>
    <w:rsid w:val="001D7834"/>
    <w:rsid w:val="001E0133"/>
    <w:rsid w:val="001E0246"/>
    <w:rsid w:val="001E0405"/>
    <w:rsid w:val="001E0446"/>
    <w:rsid w:val="001E0B2E"/>
    <w:rsid w:val="001E12BC"/>
    <w:rsid w:val="001E1345"/>
    <w:rsid w:val="001E141A"/>
    <w:rsid w:val="001E18B5"/>
    <w:rsid w:val="001E1E1F"/>
    <w:rsid w:val="001E21FD"/>
    <w:rsid w:val="001E228C"/>
    <w:rsid w:val="001E2932"/>
    <w:rsid w:val="001E2FCC"/>
    <w:rsid w:val="001E35C2"/>
    <w:rsid w:val="001E3C62"/>
    <w:rsid w:val="001E3EE5"/>
    <w:rsid w:val="001E4367"/>
    <w:rsid w:val="001E4A66"/>
    <w:rsid w:val="001E5CC2"/>
    <w:rsid w:val="001E5CCB"/>
    <w:rsid w:val="001E6004"/>
    <w:rsid w:val="001E639D"/>
    <w:rsid w:val="001E690F"/>
    <w:rsid w:val="001E6D9C"/>
    <w:rsid w:val="001E6F4F"/>
    <w:rsid w:val="001E70DD"/>
    <w:rsid w:val="001E7158"/>
    <w:rsid w:val="001E76FE"/>
    <w:rsid w:val="001F0060"/>
    <w:rsid w:val="001F0479"/>
    <w:rsid w:val="001F0721"/>
    <w:rsid w:val="001F0BE1"/>
    <w:rsid w:val="001F0C89"/>
    <w:rsid w:val="001F119A"/>
    <w:rsid w:val="001F13A3"/>
    <w:rsid w:val="001F1477"/>
    <w:rsid w:val="001F182B"/>
    <w:rsid w:val="001F19BE"/>
    <w:rsid w:val="001F1F31"/>
    <w:rsid w:val="001F21F4"/>
    <w:rsid w:val="001F2455"/>
    <w:rsid w:val="001F24A7"/>
    <w:rsid w:val="001F2574"/>
    <w:rsid w:val="001F26A4"/>
    <w:rsid w:val="001F28F9"/>
    <w:rsid w:val="001F29AF"/>
    <w:rsid w:val="001F29DF"/>
    <w:rsid w:val="001F2DAE"/>
    <w:rsid w:val="001F2DB7"/>
    <w:rsid w:val="001F332E"/>
    <w:rsid w:val="001F3618"/>
    <w:rsid w:val="001F3DE9"/>
    <w:rsid w:val="001F4CAF"/>
    <w:rsid w:val="001F53A3"/>
    <w:rsid w:val="001F5452"/>
    <w:rsid w:val="001F550E"/>
    <w:rsid w:val="001F5712"/>
    <w:rsid w:val="001F5AF4"/>
    <w:rsid w:val="001F5CA7"/>
    <w:rsid w:val="001F5D18"/>
    <w:rsid w:val="001F6905"/>
    <w:rsid w:val="001F6AD6"/>
    <w:rsid w:val="001F6C67"/>
    <w:rsid w:val="001F6FBD"/>
    <w:rsid w:val="001F70E5"/>
    <w:rsid w:val="001F7460"/>
    <w:rsid w:val="001F7488"/>
    <w:rsid w:val="002000F9"/>
    <w:rsid w:val="00200880"/>
    <w:rsid w:val="00200F1E"/>
    <w:rsid w:val="00201004"/>
    <w:rsid w:val="00201447"/>
    <w:rsid w:val="0020168A"/>
    <w:rsid w:val="002019A6"/>
    <w:rsid w:val="00201D25"/>
    <w:rsid w:val="00201FA6"/>
    <w:rsid w:val="00202019"/>
    <w:rsid w:val="0020234D"/>
    <w:rsid w:val="00202381"/>
    <w:rsid w:val="002023B9"/>
    <w:rsid w:val="002025B6"/>
    <w:rsid w:val="002025EB"/>
    <w:rsid w:val="002036E3"/>
    <w:rsid w:val="00203950"/>
    <w:rsid w:val="00203E6E"/>
    <w:rsid w:val="00203FC4"/>
    <w:rsid w:val="00204501"/>
    <w:rsid w:val="002046FD"/>
    <w:rsid w:val="00204BA6"/>
    <w:rsid w:val="00204F43"/>
    <w:rsid w:val="00205110"/>
    <w:rsid w:val="00205942"/>
    <w:rsid w:val="00205958"/>
    <w:rsid w:val="002060E9"/>
    <w:rsid w:val="002062A0"/>
    <w:rsid w:val="002062E5"/>
    <w:rsid w:val="00206549"/>
    <w:rsid w:val="0020674B"/>
    <w:rsid w:val="00206800"/>
    <w:rsid w:val="00206A64"/>
    <w:rsid w:val="00206DA6"/>
    <w:rsid w:val="0020708A"/>
    <w:rsid w:val="002070A2"/>
    <w:rsid w:val="0020725B"/>
    <w:rsid w:val="002074AE"/>
    <w:rsid w:val="00210994"/>
    <w:rsid w:val="00211832"/>
    <w:rsid w:val="002121F8"/>
    <w:rsid w:val="00212546"/>
    <w:rsid w:val="00212610"/>
    <w:rsid w:val="00212899"/>
    <w:rsid w:val="002128E0"/>
    <w:rsid w:val="00212AE1"/>
    <w:rsid w:val="00212C97"/>
    <w:rsid w:val="00212C9B"/>
    <w:rsid w:val="00212FFD"/>
    <w:rsid w:val="00213147"/>
    <w:rsid w:val="00213B7E"/>
    <w:rsid w:val="00214467"/>
    <w:rsid w:val="00214594"/>
    <w:rsid w:val="00214E69"/>
    <w:rsid w:val="00214F4D"/>
    <w:rsid w:val="0021509E"/>
    <w:rsid w:val="0021531A"/>
    <w:rsid w:val="00215575"/>
    <w:rsid w:val="00215741"/>
    <w:rsid w:val="0021584B"/>
    <w:rsid w:val="00216043"/>
    <w:rsid w:val="0021627A"/>
    <w:rsid w:val="002166A0"/>
    <w:rsid w:val="0021692A"/>
    <w:rsid w:val="00216D66"/>
    <w:rsid w:val="002170B6"/>
    <w:rsid w:val="00217965"/>
    <w:rsid w:val="00217AC4"/>
    <w:rsid w:val="00217B97"/>
    <w:rsid w:val="00217CAA"/>
    <w:rsid w:val="00217DBF"/>
    <w:rsid w:val="0022001B"/>
    <w:rsid w:val="002206EE"/>
    <w:rsid w:val="00221655"/>
    <w:rsid w:val="00221A8C"/>
    <w:rsid w:val="00221EA1"/>
    <w:rsid w:val="00222A01"/>
    <w:rsid w:val="00222D13"/>
    <w:rsid w:val="002231B6"/>
    <w:rsid w:val="00223384"/>
    <w:rsid w:val="002237E4"/>
    <w:rsid w:val="00223A51"/>
    <w:rsid w:val="00223E9D"/>
    <w:rsid w:val="0022409E"/>
    <w:rsid w:val="0022445E"/>
    <w:rsid w:val="00225E3D"/>
    <w:rsid w:val="00225E8B"/>
    <w:rsid w:val="00226144"/>
    <w:rsid w:val="00226CCB"/>
    <w:rsid w:val="00226CD7"/>
    <w:rsid w:val="00226CDC"/>
    <w:rsid w:val="00226E43"/>
    <w:rsid w:val="00226E70"/>
    <w:rsid w:val="00226FD3"/>
    <w:rsid w:val="00227171"/>
    <w:rsid w:val="00227DB4"/>
    <w:rsid w:val="00230182"/>
    <w:rsid w:val="002301C0"/>
    <w:rsid w:val="002301F4"/>
    <w:rsid w:val="002304E8"/>
    <w:rsid w:val="00230DF1"/>
    <w:rsid w:val="00230FB5"/>
    <w:rsid w:val="002318E8"/>
    <w:rsid w:val="00231C3F"/>
    <w:rsid w:val="00232264"/>
    <w:rsid w:val="0023299C"/>
    <w:rsid w:val="00232D31"/>
    <w:rsid w:val="00232EBE"/>
    <w:rsid w:val="00233326"/>
    <w:rsid w:val="00233949"/>
    <w:rsid w:val="00233BE9"/>
    <w:rsid w:val="00233D5E"/>
    <w:rsid w:val="002340C5"/>
    <w:rsid w:val="00234485"/>
    <w:rsid w:val="00234865"/>
    <w:rsid w:val="00234DCF"/>
    <w:rsid w:val="00235304"/>
    <w:rsid w:val="0023531B"/>
    <w:rsid w:val="002353FA"/>
    <w:rsid w:val="0023564E"/>
    <w:rsid w:val="002359F9"/>
    <w:rsid w:val="00236027"/>
    <w:rsid w:val="00236A56"/>
    <w:rsid w:val="00236ABD"/>
    <w:rsid w:val="00236E2B"/>
    <w:rsid w:val="002372CE"/>
    <w:rsid w:val="00237A28"/>
    <w:rsid w:val="00237AB6"/>
    <w:rsid w:val="00237C7F"/>
    <w:rsid w:val="00237DA4"/>
    <w:rsid w:val="00240046"/>
    <w:rsid w:val="002401CF"/>
    <w:rsid w:val="002402BF"/>
    <w:rsid w:val="00240A6C"/>
    <w:rsid w:val="0024122F"/>
    <w:rsid w:val="002413DD"/>
    <w:rsid w:val="002414BC"/>
    <w:rsid w:val="002418E6"/>
    <w:rsid w:val="00241EA1"/>
    <w:rsid w:val="00241EF5"/>
    <w:rsid w:val="0024246F"/>
    <w:rsid w:val="00242689"/>
    <w:rsid w:val="00242AA8"/>
    <w:rsid w:val="00242F86"/>
    <w:rsid w:val="0024325B"/>
    <w:rsid w:val="002432E4"/>
    <w:rsid w:val="002435C8"/>
    <w:rsid w:val="00243650"/>
    <w:rsid w:val="002436C8"/>
    <w:rsid w:val="00243B24"/>
    <w:rsid w:val="002444E4"/>
    <w:rsid w:val="002444E8"/>
    <w:rsid w:val="002445A4"/>
    <w:rsid w:val="00245450"/>
    <w:rsid w:val="0024559A"/>
    <w:rsid w:val="00245611"/>
    <w:rsid w:val="002457D2"/>
    <w:rsid w:val="00245A32"/>
    <w:rsid w:val="00245C4B"/>
    <w:rsid w:val="00245E45"/>
    <w:rsid w:val="00246CDB"/>
    <w:rsid w:val="002471C1"/>
    <w:rsid w:val="0024743C"/>
    <w:rsid w:val="00247A23"/>
    <w:rsid w:val="00247D5A"/>
    <w:rsid w:val="002505E6"/>
    <w:rsid w:val="00250965"/>
    <w:rsid w:val="00252056"/>
    <w:rsid w:val="00252BFA"/>
    <w:rsid w:val="002533DA"/>
    <w:rsid w:val="0025362D"/>
    <w:rsid w:val="0025371D"/>
    <w:rsid w:val="00253872"/>
    <w:rsid w:val="00253A02"/>
    <w:rsid w:val="002544B0"/>
    <w:rsid w:val="0025453A"/>
    <w:rsid w:val="002545FA"/>
    <w:rsid w:val="002549F1"/>
    <w:rsid w:val="00254A27"/>
    <w:rsid w:val="00254A41"/>
    <w:rsid w:val="00254A7D"/>
    <w:rsid w:val="00254DF6"/>
    <w:rsid w:val="00255A08"/>
    <w:rsid w:val="00255C53"/>
    <w:rsid w:val="00255D51"/>
    <w:rsid w:val="00255EB7"/>
    <w:rsid w:val="0025602E"/>
    <w:rsid w:val="002560BC"/>
    <w:rsid w:val="00256755"/>
    <w:rsid w:val="002567B0"/>
    <w:rsid w:val="002570B1"/>
    <w:rsid w:val="0025720B"/>
    <w:rsid w:val="00257977"/>
    <w:rsid w:val="00257C12"/>
    <w:rsid w:val="00257E4C"/>
    <w:rsid w:val="00260799"/>
    <w:rsid w:val="002607F6"/>
    <w:rsid w:val="00260AF3"/>
    <w:rsid w:val="00260B57"/>
    <w:rsid w:val="002611FB"/>
    <w:rsid w:val="002614A1"/>
    <w:rsid w:val="00261516"/>
    <w:rsid w:val="002619DA"/>
    <w:rsid w:val="00261B0E"/>
    <w:rsid w:val="00261C4B"/>
    <w:rsid w:val="00261C56"/>
    <w:rsid w:val="002629F6"/>
    <w:rsid w:val="00262EC1"/>
    <w:rsid w:val="00262F49"/>
    <w:rsid w:val="00263408"/>
    <w:rsid w:val="002634AF"/>
    <w:rsid w:val="00263A75"/>
    <w:rsid w:val="00263F3F"/>
    <w:rsid w:val="00263F70"/>
    <w:rsid w:val="00264A08"/>
    <w:rsid w:val="00264B61"/>
    <w:rsid w:val="00264EFF"/>
    <w:rsid w:val="00265009"/>
    <w:rsid w:val="0026509E"/>
    <w:rsid w:val="00265846"/>
    <w:rsid w:val="00265EEA"/>
    <w:rsid w:val="0026626F"/>
    <w:rsid w:val="00266347"/>
    <w:rsid w:val="002663BF"/>
    <w:rsid w:val="00266719"/>
    <w:rsid w:val="00266750"/>
    <w:rsid w:val="00266AAF"/>
    <w:rsid w:val="00267587"/>
    <w:rsid w:val="00267596"/>
    <w:rsid w:val="0026793F"/>
    <w:rsid w:val="00267FA4"/>
    <w:rsid w:val="002700A1"/>
    <w:rsid w:val="00270759"/>
    <w:rsid w:val="00270BFC"/>
    <w:rsid w:val="00271270"/>
    <w:rsid w:val="0027153A"/>
    <w:rsid w:val="00271A18"/>
    <w:rsid w:val="00271DA7"/>
    <w:rsid w:val="0027251D"/>
    <w:rsid w:val="00272FF2"/>
    <w:rsid w:val="00273132"/>
    <w:rsid w:val="0027321D"/>
    <w:rsid w:val="002733B3"/>
    <w:rsid w:val="002736BD"/>
    <w:rsid w:val="00273CA8"/>
    <w:rsid w:val="00273DB8"/>
    <w:rsid w:val="0027415D"/>
    <w:rsid w:val="00274326"/>
    <w:rsid w:val="00274AE9"/>
    <w:rsid w:val="00276030"/>
    <w:rsid w:val="0027625E"/>
    <w:rsid w:val="0027631F"/>
    <w:rsid w:val="00276CA6"/>
    <w:rsid w:val="00277120"/>
    <w:rsid w:val="0027715A"/>
    <w:rsid w:val="0027719C"/>
    <w:rsid w:val="0027729E"/>
    <w:rsid w:val="00277707"/>
    <w:rsid w:val="00277C65"/>
    <w:rsid w:val="00277CAF"/>
    <w:rsid w:val="002807CA"/>
    <w:rsid w:val="00280822"/>
    <w:rsid w:val="002809CF"/>
    <w:rsid w:val="0028109A"/>
    <w:rsid w:val="0028118D"/>
    <w:rsid w:val="00281ADC"/>
    <w:rsid w:val="002827AD"/>
    <w:rsid w:val="002828C5"/>
    <w:rsid w:val="00282DB0"/>
    <w:rsid w:val="002833AD"/>
    <w:rsid w:val="0028487E"/>
    <w:rsid w:val="00284997"/>
    <w:rsid w:val="00284BDF"/>
    <w:rsid w:val="00285057"/>
    <w:rsid w:val="002851C6"/>
    <w:rsid w:val="00285349"/>
    <w:rsid w:val="00285E1F"/>
    <w:rsid w:val="0028609C"/>
    <w:rsid w:val="002868F1"/>
    <w:rsid w:val="00286F57"/>
    <w:rsid w:val="00286F5A"/>
    <w:rsid w:val="002872F2"/>
    <w:rsid w:val="0028736F"/>
    <w:rsid w:val="002873C7"/>
    <w:rsid w:val="0028740F"/>
    <w:rsid w:val="00287E83"/>
    <w:rsid w:val="00287E8B"/>
    <w:rsid w:val="002900F6"/>
    <w:rsid w:val="002902E6"/>
    <w:rsid w:val="00290569"/>
    <w:rsid w:val="00290808"/>
    <w:rsid w:val="00290812"/>
    <w:rsid w:val="0029118B"/>
    <w:rsid w:val="00291358"/>
    <w:rsid w:val="0029154B"/>
    <w:rsid w:val="00291795"/>
    <w:rsid w:val="00291AE4"/>
    <w:rsid w:val="00291B2A"/>
    <w:rsid w:val="00292124"/>
    <w:rsid w:val="002925F0"/>
    <w:rsid w:val="00292719"/>
    <w:rsid w:val="00292AC1"/>
    <w:rsid w:val="00292B16"/>
    <w:rsid w:val="00292EB2"/>
    <w:rsid w:val="00292F9A"/>
    <w:rsid w:val="002936BC"/>
    <w:rsid w:val="00293724"/>
    <w:rsid w:val="002937A0"/>
    <w:rsid w:val="00293EE4"/>
    <w:rsid w:val="0029425F"/>
    <w:rsid w:val="00294882"/>
    <w:rsid w:val="00294C2C"/>
    <w:rsid w:val="00294D7E"/>
    <w:rsid w:val="00294F06"/>
    <w:rsid w:val="002952C2"/>
    <w:rsid w:val="00295466"/>
    <w:rsid w:val="002954D2"/>
    <w:rsid w:val="00295521"/>
    <w:rsid w:val="002955E2"/>
    <w:rsid w:val="002958F0"/>
    <w:rsid w:val="00295B8D"/>
    <w:rsid w:val="00295FA5"/>
    <w:rsid w:val="0029607F"/>
    <w:rsid w:val="00296E4F"/>
    <w:rsid w:val="00297012"/>
    <w:rsid w:val="002972F6"/>
    <w:rsid w:val="00297C96"/>
    <w:rsid w:val="00297DF6"/>
    <w:rsid w:val="002A001F"/>
    <w:rsid w:val="002A0089"/>
    <w:rsid w:val="002A0585"/>
    <w:rsid w:val="002A070A"/>
    <w:rsid w:val="002A0BBE"/>
    <w:rsid w:val="002A0CDE"/>
    <w:rsid w:val="002A0D20"/>
    <w:rsid w:val="002A12FC"/>
    <w:rsid w:val="002A1421"/>
    <w:rsid w:val="002A1487"/>
    <w:rsid w:val="002A1B68"/>
    <w:rsid w:val="002A1BF7"/>
    <w:rsid w:val="002A1D8E"/>
    <w:rsid w:val="002A224E"/>
    <w:rsid w:val="002A25DB"/>
    <w:rsid w:val="002A2668"/>
    <w:rsid w:val="002A271B"/>
    <w:rsid w:val="002A2DD9"/>
    <w:rsid w:val="002A30D2"/>
    <w:rsid w:val="002A3416"/>
    <w:rsid w:val="002A3783"/>
    <w:rsid w:val="002A461D"/>
    <w:rsid w:val="002A465F"/>
    <w:rsid w:val="002A481B"/>
    <w:rsid w:val="002A48FA"/>
    <w:rsid w:val="002A4938"/>
    <w:rsid w:val="002A4C45"/>
    <w:rsid w:val="002A4E5C"/>
    <w:rsid w:val="002A4E83"/>
    <w:rsid w:val="002A4FC3"/>
    <w:rsid w:val="002A4FDB"/>
    <w:rsid w:val="002A557B"/>
    <w:rsid w:val="002A55E7"/>
    <w:rsid w:val="002A597D"/>
    <w:rsid w:val="002A5A76"/>
    <w:rsid w:val="002A5E2D"/>
    <w:rsid w:val="002A5E33"/>
    <w:rsid w:val="002A602B"/>
    <w:rsid w:val="002A6420"/>
    <w:rsid w:val="002A649A"/>
    <w:rsid w:val="002A6580"/>
    <w:rsid w:val="002A673F"/>
    <w:rsid w:val="002A688B"/>
    <w:rsid w:val="002A692E"/>
    <w:rsid w:val="002A734C"/>
    <w:rsid w:val="002A74FD"/>
    <w:rsid w:val="002A7639"/>
    <w:rsid w:val="002A79CB"/>
    <w:rsid w:val="002B02D9"/>
    <w:rsid w:val="002B06B7"/>
    <w:rsid w:val="002B0723"/>
    <w:rsid w:val="002B0864"/>
    <w:rsid w:val="002B0B0B"/>
    <w:rsid w:val="002B0D69"/>
    <w:rsid w:val="002B1079"/>
    <w:rsid w:val="002B109F"/>
    <w:rsid w:val="002B10EF"/>
    <w:rsid w:val="002B1650"/>
    <w:rsid w:val="002B17AD"/>
    <w:rsid w:val="002B197F"/>
    <w:rsid w:val="002B1A6D"/>
    <w:rsid w:val="002B1B2F"/>
    <w:rsid w:val="002B1C2A"/>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358"/>
    <w:rsid w:val="002B43DB"/>
    <w:rsid w:val="002B4535"/>
    <w:rsid w:val="002B49F2"/>
    <w:rsid w:val="002B4AF8"/>
    <w:rsid w:val="002B4B24"/>
    <w:rsid w:val="002B4B56"/>
    <w:rsid w:val="002B4D32"/>
    <w:rsid w:val="002B54DF"/>
    <w:rsid w:val="002B586E"/>
    <w:rsid w:val="002B5FA3"/>
    <w:rsid w:val="002B6139"/>
    <w:rsid w:val="002B6C59"/>
    <w:rsid w:val="002B6E2E"/>
    <w:rsid w:val="002B6F38"/>
    <w:rsid w:val="002B71BC"/>
    <w:rsid w:val="002B748E"/>
    <w:rsid w:val="002B74C0"/>
    <w:rsid w:val="002B74D6"/>
    <w:rsid w:val="002B7824"/>
    <w:rsid w:val="002B788B"/>
    <w:rsid w:val="002B78E3"/>
    <w:rsid w:val="002C006A"/>
    <w:rsid w:val="002C025A"/>
    <w:rsid w:val="002C0266"/>
    <w:rsid w:val="002C06FC"/>
    <w:rsid w:val="002C09B8"/>
    <w:rsid w:val="002C0F53"/>
    <w:rsid w:val="002C13BF"/>
    <w:rsid w:val="002C1577"/>
    <w:rsid w:val="002C16C2"/>
    <w:rsid w:val="002C1860"/>
    <w:rsid w:val="002C1B1C"/>
    <w:rsid w:val="002C273E"/>
    <w:rsid w:val="002C29C7"/>
    <w:rsid w:val="002C2D30"/>
    <w:rsid w:val="002C2DBA"/>
    <w:rsid w:val="002C2F65"/>
    <w:rsid w:val="002C361A"/>
    <w:rsid w:val="002C3996"/>
    <w:rsid w:val="002C3ED3"/>
    <w:rsid w:val="002C4243"/>
    <w:rsid w:val="002C49B3"/>
    <w:rsid w:val="002C49D9"/>
    <w:rsid w:val="002C4AA4"/>
    <w:rsid w:val="002C4BBB"/>
    <w:rsid w:val="002C4BD7"/>
    <w:rsid w:val="002C4D2F"/>
    <w:rsid w:val="002C4EAA"/>
    <w:rsid w:val="002C5003"/>
    <w:rsid w:val="002C5297"/>
    <w:rsid w:val="002C52AF"/>
    <w:rsid w:val="002C5588"/>
    <w:rsid w:val="002C55D7"/>
    <w:rsid w:val="002C630D"/>
    <w:rsid w:val="002C6570"/>
    <w:rsid w:val="002C69D3"/>
    <w:rsid w:val="002C6A42"/>
    <w:rsid w:val="002C6B8F"/>
    <w:rsid w:val="002C7720"/>
    <w:rsid w:val="002C79AB"/>
    <w:rsid w:val="002C7A1F"/>
    <w:rsid w:val="002C7D11"/>
    <w:rsid w:val="002C7D71"/>
    <w:rsid w:val="002D08AA"/>
    <w:rsid w:val="002D1127"/>
    <w:rsid w:val="002D1520"/>
    <w:rsid w:val="002D1639"/>
    <w:rsid w:val="002D1C8E"/>
    <w:rsid w:val="002D1E22"/>
    <w:rsid w:val="002D2135"/>
    <w:rsid w:val="002D2291"/>
    <w:rsid w:val="002D2369"/>
    <w:rsid w:val="002D2ADA"/>
    <w:rsid w:val="002D2FD2"/>
    <w:rsid w:val="002D3455"/>
    <w:rsid w:val="002D4110"/>
    <w:rsid w:val="002D45A8"/>
    <w:rsid w:val="002D48C9"/>
    <w:rsid w:val="002D4AC5"/>
    <w:rsid w:val="002D4CAB"/>
    <w:rsid w:val="002D4DB6"/>
    <w:rsid w:val="002D4F96"/>
    <w:rsid w:val="002D5542"/>
    <w:rsid w:val="002D569B"/>
    <w:rsid w:val="002D5C7C"/>
    <w:rsid w:val="002D5EA6"/>
    <w:rsid w:val="002D5EAA"/>
    <w:rsid w:val="002D5F2C"/>
    <w:rsid w:val="002D6738"/>
    <w:rsid w:val="002D675F"/>
    <w:rsid w:val="002D6BA2"/>
    <w:rsid w:val="002D7904"/>
    <w:rsid w:val="002D7C14"/>
    <w:rsid w:val="002E0319"/>
    <w:rsid w:val="002E0525"/>
    <w:rsid w:val="002E07A2"/>
    <w:rsid w:val="002E1071"/>
    <w:rsid w:val="002E122C"/>
    <w:rsid w:val="002E1429"/>
    <w:rsid w:val="002E1556"/>
    <w:rsid w:val="002E21D3"/>
    <w:rsid w:val="002E224B"/>
    <w:rsid w:val="002E2387"/>
    <w:rsid w:val="002E238E"/>
    <w:rsid w:val="002E26B0"/>
    <w:rsid w:val="002E4BDF"/>
    <w:rsid w:val="002E4D3B"/>
    <w:rsid w:val="002E59D9"/>
    <w:rsid w:val="002E5BA1"/>
    <w:rsid w:val="002E5F4C"/>
    <w:rsid w:val="002E65A1"/>
    <w:rsid w:val="002E66B7"/>
    <w:rsid w:val="002E67C4"/>
    <w:rsid w:val="002E699E"/>
    <w:rsid w:val="002E6ACD"/>
    <w:rsid w:val="002E6C41"/>
    <w:rsid w:val="002E753E"/>
    <w:rsid w:val="002E7742"/>
    <w:rsid w:val="002E7ED9"/>
    <w:rsid w:val="002E7F16"/>
    <w:rsid w:val="002F0232"/>
    <w:rsid w:val="002F0535"/>
    <w:rsid w:val="002F064A"/>
    <w:rsid w:val="002F0919"/>
    <w:rsid w:val="002F0D4B"/>
    <w:rsid w:val="002F107F"/>
    <w:rsid w:val="002F1744"/>
    <w:rsid w:val="002F1790"/>
    <w:rsid w:val="002F1D4A"/>
    <w:rsid w:val="002F2261"/>
    <w:rsid w:val="002F29A4"/>
    <w:rsid w:val="002F2A3D"/>
    <w:rsid w:val="002F2E06"/>
    <w:rsid w:val="002F2E60"/>
    <w:rsid w:val="002F3404"/>
    <w:rsid w:val="002F3FBD"/>
    <w:rsid w:val="002F4076"/>
    <w:rsid w:val="002F48AB"/>
    <w:rsid w:val="002F49C5"/>
    <w:rsid w:val="002F4B48"/>
    <w:rsid w:val="002F55CB"/>
    <w:rsid w:val="002F5CFB"/>
    <w:rsid w:val="002F5EBB"/>
    <w:rsid w:val="002F61D4"/>
    <w:rsid w:val="002F6773"/>
    <w:rsid w:val="002F67F9"/>
    <w:rsid w:val="002F6A2D"/>
    <w:rsid w:val="002F6AF2"/>
    <w:rsid w:val="002F6BCA"/>
    <w:rsid w:val="002F718E"/>
    <w:rsid w:val="002F7B1C"/>
    <w:rsid w:val="0030082F"/>
    <w:rsid w:val="00300B0A"/>
    <w:rsid w:val="00300B50"/>
    <w:rsid w:val="0030129E"/>
    <w:rsid w:val="00301967"/>
    <w:rsid w:val="00301A68"/>
    <w:rsid w:val="00301A97"/>
    <w:rsid w:val="00301FA9"/>
    <w:rsid w:val="003021D4"/>
    <w:rsid w:val="003021DF"/>
    <w:rsid w:val="0030248E"/>
    <w:rsid w:val="00302585"/>
    <w:rsid w:val="00302674"/>
    <w:rsid w:val="00302891"/>
    <w:rsid w:val="00302C7C"/>
    <w:rsid w:val="003038E9"/>
    <w:rsid w:val="00303AB3"/>
    <w:rsid w:val="00303B59"/>
    <w:rsid w:val="00303CA1"/>
    <w:rsid w:val="003042C0"/>
    <w:rsid w:val="0030451F"/>
    <w:rsid w:val="00304947"/>
    <w:rsid w:val="00304BCE"/>
    <w:rsid w:val="00304D99"/>
    <w:rsid w:val="003052E9"/>
    <w:rsid w:val="003057DE"/>
    <w:rsid w:val="0030593E"/>
    <w:rsid w:val="00305C4D"/>
    <w:rsid w:val="00306382"/>
    <w:rsid w:val="003063C0"/>
    <w:rsid w:val="0030641E"/>
    <w:rsid w:val="00306476"/>
    <w:rsid w:val="003065AB"/>
    <w:rsid w:val="00306B87"/>
    <w:rsid w:val="00306BEC"/>
    <w:rsid w:val="00306D28"/>
    <w:rsid w:val="00307112"/>
    <w:rsid w:val="003071FE"/>
    <w:rsid w:val="003073C2"/>
    <w:rsid w:val="0030795E"/>
    <w:rsid w:val="00307E6A"/>
    <w:rsid w:val="00307E95"/>
    <w:rsid w:val="00307FAA"/>
    <w:rsid w:val="00310745"/>
    <w:rsid w:val="00310826"/>
    <w:rsid w:val="00310EEF"/>
    <w:rsid w:val="00311119"/>
    <w:rsid w:val="003117CF"/>
    <w:rsid w:val="003117D1"/>
    <w:rsid w:val="003119F8"/>
    <w:rsid w:val="00311CCC"/>
    <w:rsid w:val="003120A2"/>
    <w:rsid w:val="003120C0"/>
    <w:rsid w:val="003124BE"/>
    <w:rsid w:val="003125C3"/>
    <w:rsid w:val="00312A0E"/>
    <w:rsid w:val="00312A1E"/>
    <w:rsid w:val="00312A50"/>
    <w:rsid w:val="00312FA8"/>
    <w:rsid w:val="003130D2"/>
    <w:rsid w:val="00313192"/>
    <w:rsid w:val="00313ADB"/>
    <w:rsid w:val="00313FFD"/>
    <w:rsid w:val="00314208"/>
    <w:rsid w:val="00314293"/>
    <w:rsid w:val="003144CF"/>
    <w:rsid w:val="00314645"/>
    <w:rsid w:val="0031472D"/>
    <w:rsid w:val="003147BD"/>
    <w:rsid w:val="00314A5B"/>
    <w:rsid w:val="00314F5B"/>
    <w:rsid w:val="0031514E"/>
    <w:rsid w:val="0031540F"/>
    <w:rsid w:val="00315821"/>
    <w:rsid w:val="00316162"/>
    <w:rsid w:val="003163ED"/>
    <w:rsid w:val="00316414"/>
    <w:rsid w:val="00316663"/>
    <w:rsid w:val="00316687"/>
    <w:rsid w:val="00316B9B"/>
    <w:rsid w:val="0031726F"/>
    <w:rsid w:val="003179F2"/>
    <w:rsid w:val="00317A1A"/>
    <w:rsid w:val="00317A6B"/>
    <w:rsid w:val="00317DC6"/>
    <w:rsid w:val="003204B2"/>
    <w:rsid w:val="003206B0"/>
    <w:rsid w:val="00320718"/>
    <w:rsid w:val="00320B52"/>
    <w:rsid w:val="00320E41"/>
    <w:rsid w:val="003210D7"/>
    <w:rsid w:val="0032192C"/>
    <w:rsid w:val="003219E8"/>
    <w:rsid w:val="00321E3A"/>
    <w:rsid w:val="00322C9B"/>
    <w:rsid w:val="00322C9C"/>
    <w:rsid w:val="00322CBA"/>
    <w:rsid w:val="00322E83"/>
    <w:rsid w:val="003243E4"/>
    <w:rsid w:val="00324E72"/>
    <w:rsid w:val="0032578C"/>
    <w:rsid w:val="00325B90"/>
    <w:rsid w:val="00326169"/>
    <w:rsid w:val="003263C0"/>
    <w:rsid w:val="00326467"/>
    <w:rsid w:val="00326749"/>
    <w:rsid w:val="003273EE"/>
    <w:rsid w:val="003275A9"/>
    <w:rsid w:val="00327B5D"/>
    <w:rsid w:val="00330367"/>
    <w:rsid w:val="00330886"/>
    <w:rsid w:val="00330D08"/>
    <w:rsid w:val="00330DE0"/>
    <w:rsid w:val="0033128A"/>
    <w:rsid w:val="0033151E"/>
    <w:rsid w:val="0033187D"/>
    <w:rsid w:val="00331AF8"/>
    <w:rsid w:val="00331B2D"/>
    <w:rsid w:val="00331C31"/>
    <w:rsid w:val="00331E3F"/>
    <w:rsid w:val="00331E96"/>
    <w:rsid w:val="003321F3"/>
    <w:rsid w:val="00332AAE"/>
    <w:rsid w:val="0033339D"/>
    <w:rsid w:val="003336EE"/>
    <w:rsid w:val="00333B38"/>
    <w:rsid w:val="00333B4A"/>
    <w:rsid w:val="003342D0"/>
    <w:rsid w:val="00334393"/>
    <w:rsid w:val="00334718"/>
    <w:rsid w:val="003348A9"/>
    <w:rsid w:val="003349CD"/>
    <w:rsid w:val="00334B81"/>
    <w:rsid w:val="00334D30"/>
    <w:rsid w:val="00334D88"/>
    <w:rsid w:val="00334F9F"/>
    <w:rsid w:val="0033528B"/>
    <w:rsid w:val="003355AE"/>
    <w:rsid w:val="00335A26"/>
    <w:rsid w:val="00335C3C"/>
    <w:rsid w:val="0033602E"/>
    <w:rsid w:val="00336142"/>
    <w:rsid w:val="00336239"/>
    <w:rsid w:val="0033632D"/>
    <w:rsid w:val="003365AE"/>
    <w:rsid w:val="00336895"/>
    <w:rsid w:val="00336A86"/>
    <w:rsid w:val="003373A2"/>
    <w:rsid w:val="00337624"/>
    <w:rsid w:val="00337667"/>
    <w:rsid w:val="003376B7"/>
    <w:rsid w:val="00337EFF"/>
    <w:rsid w:val="0034024A"/>
    <w:rsid w:val="003406C6"/>
    <w:rsid w:val="00340A08"/>
    <w:rsid w:val="00340E3A"/>
    <w:rsid w:val="00341034"/>
    <w:rsid w:val="00341241"/>
    <w:rsid w:val="00341570"/>
    <w:rsid w:val="003418E6"/>
    <w:rsid w:val="0034242E"/>
    <w:rsid w:val="003425A8"/>
    <w:rsid w:val="00342A17"/>
    <w:rsid w:val="00342D10"/>
    <w:rsid w:val="00343053"/>
    <w:rsid w:val="00343113"/>
    <w:rsid w:val="00343490"/>
    <w:rsid w:val="00344029"/>
    <w:rsid w:val="00344ACB"/>
    <w:rsid w:val="00344B4D"/>
    <w:rsid w:val="0034552C"/>
    <w:rsid w:val="0034561F"/>
    <w:rsid w:val="0034563B"/>
    <w:rsid w:val="00345B66"/>
    <w:rsid w:val="003462C6"/>
    <w:rsid w:val="003462F9"/>
    <w:rsid w:val="00346A76"/>
    <w:rsid w:val="00346AEB"/>
    <w:rsid w:val="00346C57"/>
    <w:rsid w:val="00346C61"/>
    <w:rsid w:val="003471D0"/>
    <w:rsid w:val="003473DB"/>
    <w:rsid w:val="003475F0"/>
    <w:rsid w:val="0035085C"/>
    <w:rsid w:val="00350A7F"/>
    <w:rsid w:val="00350BDE"/>
    <w:rsid w:val="00350D32"/>
    <w:rsid w:val="00351231"/>
    <w:rsid w:val="0035133D"/>
    <w:rsid w:val="003516CA"/>
    <w:rsid w:val="003518AF"/>
    <w:rsid w:val="00351AFD"/>
    <w:rsid w:val="00351B1C"/>
    <w:rsid w:val="003520EB"/>
    <w:rsid w:val="00352254"/>
    <w:rsid w:val="003523F4"/>
    <w:rsid w:val="003525D4"/>
    <w:rsid w:val="00352954"/>
    <w:rsid w:val="00353570"/>
    <w:rsid w:val="00353792"/>
    <w:rsid w:val="003537E5"/>
    <w:rsid w:val="00353C0F"/>
    <w:rsid w:val="00353C99"/>
    <w:rsid w:val="00353DAE"/>
    <w:rsid w:val="0035410A"/>
    <w:rsid w:val="003545F8"/>
    <w:rsid w:val="0035466C"/>
    <w:rsid w:val="00354702"/>
    <w:rsid w:val="00354A97"/>
    <w:rsid w:val="00354E4C"/>
    <w:rsid w:val="00354F2E"/>
    <w:rsid w:val="00354F8A"/>
    <w:rsid w:val="003551A3"/>
    <w:rsid w:val="0035525D"/>
    <w:rsid w:val="00355556"/>
    <w:rsid w:val="003555A9"/>
    <w:rsid w:val="00355936"/>
    <w:rsid w:val="003560FF"/>
    <w:rsid w:val="00356685"/>
    <w:rsid w:val="003566A9"/>
    <w:rsid w:val="00356ACB"/>
    <w:rsid w:val="00357333"/>
    <w:rsid w:val="0035763C"/>
    <w:rsid w:val="00357773"/>
    <w:rsid w:val="00357925"/>
    <w:rsid w:val="00357957"/>
    <w:rsid w:val="00357F21"/>
    <w:rsid w:val="00360316"/>
    <w:rsid w:val="00360363"/>
    <w:rsid w:val="0036065E"/>
    <w:rsid w:val="00360806"/>
    <w:rsid w:val="00360B71"/>
    <w:rsid w:val="00360FA2"/>
    <w:rsid w:val="00361094"/>
    <w:rsid w:val="003610EE"/>
    <w:rsid w:val="00361230"/>
    <w:rsid w:val="003612D0"/>
    <w:rsid w:val="003614D2"/>
    <w:rsid w:val="00361853"/>
    <w:rsid w:val="00361A03"/>
    <w:rsid w:val="00361F31"/>
    <w:rsid w:val="003620E2"/>
    <w:rsid w:val="0036212E"/>
    <w:rsid w:val="00362E92"/>
    <w:rsid w:val="00363029"/>
    <w:rsid w:val="0036388C"/>
    <w:rsid w:val="003638E1"/>
    <w:rsid w:val="00363CDF"/>
    <w:rsid w:val="00363E0F"/>
    <w:rsid w:val="003642BF"/>
    <w:rsid w:val="00364722"/>
    <w:rsid w:val="00364C2B"/>
    <w:rsid w:val="003650A8"/>
    <w:rsid w:val="003652BD"/>
    <w:rsid w:val="00365AEC"/>
    <w:rsid w:val="00365BB1"/>
    <w:rsid w:val="0036602B"/>
    <w:rsid w:val="00366241"/>
    <w:rsid w:val="00366A18"/>
    <w:rsid w:val="00366A84"/>
    <w:rsid w:val="00366AC9"/>
    <w:rsid w:val="00366C11"/>
    <w:rsid w:val="00366D94"/>
    <w:rsid w:val="00366DC8"/>
    <w:rsid w:val="00367815"/>
    <w:rsid w:val="00367A5A"/>
    <w:rsid w:val="00367D63"/>
    <w:rsid w:val="00367DC8"/>
    <w:rsid w:val="00367E7A"/>
    <w:rsid w:val="003703B3"/>
    <w:rsid w:val="00370A4E"/>
    <w:rsid w:val="0037114C"/>
    <w:rsid w:val="003717B5"/>
    <w:rsid w:val="00371A96"/>
    <w:rsid w:val="0037236F"/>
    <w:rsid w:val="003727D4"/>
    <w:rsid w:val="00372850"/>
    <w:rsid w:val="00372CB5"/>
    <w:rsid w:val="00372EC6"/>
    <w:rsid w:val="003730F9"/>
    <w:rsid w:val="00373763"/>
    <w:rsid w:val="0037442E"/>
    <w:rsid w:val="0037448C"/>
    <w:rsid w:val="00374C2A"/>
    <w:rsid w:val="003756E4"/>
    <w:rsid w:val="00375CE3"/>
    <w:rsid w:val="0037699F"/>
    <w:rsid w:val="00376DE2"/>
    <w:rsid w:val="003777E7"/>
    <w:rsid w:val="00377ABA"/>
    <w:rsid w:val="00377C8B"/>
    <w:rsid w:val="00380123"/>
    <w:rsid w:val="00380544"/>
    <w:rsid w:val="0038056C"/>
    <w:rsid w:val="00381ECE"/>
    <w:rsid w:val="00382719"/>
    <w:rsid w:val="00382EB2"/>
    <w:rsid w:val="003836EF"/>
    <w:rsid w:val="003839BA"/>
    <w:rsid w:val="00383A13"/>
    <w:rsid w:val="00383C33"/>
    <w:rsid w:val="00383C57"/>
    <w:rsid w:val="00383F28"/>
    <w:rsid w:val="00384281"/>
    <w:rsid w:val="00384345"/>
    <w:rsid w:val="0038473D"/>
    <w:rsid w:val="00384820"/>
    <w:rsid w:val="00384857"/>
    <w:rsid w:val="00384921"/>
    <w:rsid w:val="00384C2B"/>
    <w:rsid w:val="00384ED1"/>
    <w:rsid w:val="003853D0"/>
    <w:rsid w:val="00385ED5"/>
    <w:rsid w:val="00386417"/>
    <w:rsid w:val="00386664"/>
    <w:rsid w:val="003869DE"/>
    <w:rsid w:val="00387023"/>
    <w:rsid w:val="00387B31"/>
    <w:rsid w:val="00387F18"/>
    <w:rsid w:val="00390378"/>
    <w:rsid w:val="00390E38"/>
    <w:rsid w:val="003913A4"/>
    <w:rsid w:val="003917A1"/>
    <w:rsid w:val="00392753"/>
    <w:rsid w:val="00392E6B"/>
    <w:rsid w:val="00392EE5"/>
    <w:rsid w:val="00393129"/>
    <w:rsid w:val="003932B5"/>
    <w:rsid w:val="00393499"/>
    <w:rsid w:val="00393DBB"/>
    <w:rsid w:val="0039408C"/>
    <w:rsid w:val="00394125"/>
    <w:rsid w:val="003949EF"/>
    <w:rsid w:val="00394F85"/>
    <w:rsid w:val="00395137"/>
    <w:rsid w:val="0039538A"/>
    <w:rsid w:val="00395752"/>
    <w:rsid w:val="0039619B"/>
    <w:rsid w:val="00396EC8"/>
    <w:rsid w:val="00397CA0"/>
    <w:rsid w:val="00397D6E"/>
    <w:rsid w:val="003A01E1"/>
    <w:rsid w:val="003A0201"/>
    <w:rsid w:val="003A02E7"/>
    <w:rsid w:val="003A0781"/>
    <w:rsid w:val="003A0E66"/>
    <w:rsid w:val="003A1011"/>
    <w:rsid w:val="003A1275"/>
    <w:rsid w:val="003A158C"/>
    <w:rsid w:val="003A1619"/>
    <w:rsid w:val="003A1626"/>
    <w:rsid w:val="003A178A"/>
    <w:rsid w:val="003A18C6"/>
    <w:rsid w:val="003A19C4"/>
    <w:rsid w:val="003A1B12"/>
    <w:rsid w:val="003A1E28"/>
    <w:rsid w:val="003A2135"/>
    <w:rsid w:val="003A216A"/>
    <w:rsid w:val="003A225D"/>
    <w:rsid w:val="003A289D"/>
    <w:rsid w:val="003A2CB8"/>
    <w:rsid w:val="003A32AE"/>
    <w:rsid w:val="003A3422"/>
    <w:rsid w:val="003A35D7"/>
    <w:rsid w:val="003A3BBA"/>
    <w:rsid w:val="003A3C65"/>
    <w:rsid w:val="003A3D76"/>
    <w:rsid w:val="003A3EF5"/>
    <w:rsid w:val="003A3FDC"/>
    <w:rsid w:val="003A444C"/>
    <w:rsid w:val="003A46F4"/>
    <w:rsid w:val="003A4E0A"/>
    <w:rsid w:val="003A4F0B"/>
    <w:rsid w:val="003A548C"/>
    <w:rsid w:val="003A5699"/>
    <w:rsid w:val="003A5ACA"/>
    <w:rsid w:val="003A5B6D"/>
    <w:rsid w:val="003A5CF4"/>
    <w:rsid w:val="003A6026"/>
    <w:rsid w:val="003A60EE"/>
    <w:rsid w:val="003A6505"/>
    <w:rsid w:val="003A6746"/>
    <w:rsid w:val="003A6834"/>
    <w:rsid w:val="003A6AC8"/>
    <w:rsid w:val="003A74A7"/>
    <w:rsid w:val="003A7BB8"/>
    <w:rsid w:val="003B01EC"/>
    <w:rsid w:val="003B0418"/>
    <w:rsid w:val="003B04A7"/>
    <w:rsid w:val="003B05A4"/>
    <w:rsid w:val="003B06A0"/>
    <w:rsid w:val="003B06B8"/>
    <w:rsid w:val="003B0E3A"/>
    <w:rsid w:val="003B11E5"/>
    <w:rsid w:val="003B1320"/>
    <w:rsid w:val="003B153B"/>
    <w:rsid w:val="003B2339"/>
    <w:rsid w:val="003B2A4B"/>
    <w:rsid w:val="003B2C04"/>
    <w:rsid w:val="003B3110"/>
    <w:rsid w:val="003B3559"/>
    <w:rsid w:val="003B3E2B"/>
    <w:rsid w:val="003B59AF"/>
    <w:rsid w:val="003B5DDE"/>
    <w:rsid w:val="003B6034"/>
    <w:rsid w:val="003B6935"/>
    <w:rsid w:val="003B6DA8"/>
    <w:rsid w:val="003B6FDF"/>
    <w:rsid w:val="003B6FEC"/>
    <w:rsid w:val="003B74D8"/>
    <w:rsid w:val="003B7626"/>
    <w:rsid w:val="003B7CFD"/>
    <w:rsid w:val="003C02CA"/>
    <w:rsid w:val="003C06A9"/>
    <w:rsid w:val="003C07A5"/>
    <w:rsid w:val="003C0D6F"/>
    <w:rsid w:val="003C0D71"/>
    <w:rsid w:val="003C0D96"/>
    <w:rsid w:val="003C13B8"/>
    <w:rsid w:val="003C179A"/>
    <w:rsid w:val="003C17A7"/>
    <w:rsid w:val="003C1A9A"/>
    <w:rsid w:val="003C1BDC"/>
    <w:rsid w:val="003C1D87"/>
    <w:rsid w:val="003C2117"/>
    <w:rsid w:val="003C232A"/>
    <w:rsid w:val="003C290F"/>
    <w:rsid w:val="003C298D"/>
    <w:rsid w:val="003C2A9E"/>
    <w:rsid w:val="003C2E57"/>
    <w:rsid w:val="003C32E9"/>
    <w:rsid w:val="003C3394"/>
    <w:rsid w:val="003C3460"/>
    <w:rsid w:val="003C3AA3"/>
    <w:rsid w:val="003C3B7F"/>
    <w:rsid w:val="003C4084"/>
    <w:rsid w:val="003C45A9"/>
    <w:rsid w:val="003C465B"/>
    <w:rsid w:val="003C4BCB"/>
    <w:rsid w:val="003C54CC"/>
    <w:rsid w:val="003C559D"/>
    <w:rsid w:val="003C5A9A"/>
    <w:rsid w:val="003C5BD9"/>
    <w:rsid w:val="003C5E8E"/>
    <w:rsid w:val="003C63C7"/>
    <w:rsid w:val="003C6E56"/>
    <w:rsid w:val="003C6F14"/>
    <w:rsid w:val="003C720A"/>
    <w:rsid w:val="003C7222"/>
    <w:rsid w:val="003C731F"/>
    <w:rsid w:val="003C7460"/>
    <w:rsid w:val="003C7557"/>
    <w:rsid w:val="003C7A1A"/>
    <w:rsid w:val="003C7AB6"/>
    <w:rsid w:val="003C7BD1"/>
    <w:rsid w:val="003C7D0C"/>
    <w:rsid w:val="003D027A"/>
    <w:rsid w:val="003D06E9"/>
    <w:rsid w:val="003D076F"/>
    <w:rsid w:val="003D08D3"/>
    <w:rsid w:val="003D0950"/>
    <w:rsid w:val="003D0C22"/>
    <w:rsid w:val="003D10E9"/>
    <w:rsid w:val="003D10EF"/>
    <w:rsid w:val="003D19FA"/>
    <w:rsid w:val="003D1CB0"/>
    <w:rsid w:val="003D2625"/>
    <w:rsid w:val="003D2BB5"/>
    <w:rsid w:val="003D32F9"/>
    <w:rsid w:val="003D3C06"/>
    <w:rsid w:val="003D3EAC"/>
    <w:rsid w:val="003D3EB8"/>
    <w:rsid w:val="003D4031"/>
    <w:rsid w:val="003D40A0"/>
    <w:rsid w:val="003D422F"/>
    <w:rsid w:val="003D43F5"/>
    <w:rsid w:val="003D45F7"/>
    <w:rsid w:val="003D4765"/>
    <w:rsid w:val="003D4E74"/>
    <w:rsid w:val="003D5B61"/>
    <w:rsid w:val="003D5D1A"/>
    <w:rsid w:val="003D61EB"/>
    <w:rsid w:val="003D6C3B"/>
    <w:rsid w:val="003D7120"/>
    <w:rsid w:val="003D76BE"/>
    <w:rsid w:val="003D78AC"/>
    <w:rsid w:val="003D7C0B"/>
    <w:rsid w:val="003D7E2D"/>
    <w:rsid w:val="003D7F25"/>
    <w:rsid w:val="003D7FE1"/>
    <w:rsid w:val="003E027D"/>
    <w:rsid w:val="003E02B0"/>
    <w:rsid w:val="003E08AD"/>
    <w:rsid w:val="003E0A5F"/>
    <w:rsid w:val="003E0AA1"/>
    <w:rsid w:val="003E0BFF"/>
    <w:rsid w:val="003E0CD7"/>
    <w:rsid w:val="003E0F22"/>
    <w:rsid w:val="003E10B8"/>
    <w:rsid w:val="003E10BD"/>
    <w:rsid w:val="003E10D7"/>
    <w:rsid w:val="003E15E7"/>
    <w:rsid w:val="003E169D"/>
    <w:rsid w:val="003E1A22"/>
    <w:rsid w:val="003E20F5"/>
    <w:rsid w:val="003E24A9"/>
    <w:rsid w:val="003E2AD3"/>
    <w:rsid w:val="003E2D05"/>
    <w:rsid w:val="003E3009"/>
    <w:rsid w:val="003E30CD"/>
    <w:rsid w:val="003E3212"/>
    <w:rsid w:val="003E33A7"/>
    <w:rsid w:val="003E39CE"/>
    <w:rsid w:val="003E4235"/>
    <w:rsid w:val="003E45CC"/>
    <w:rsid w:val="003E4701"/>
    <w:rsid w:val="003E4E79"/>
    <w:rsid w:val="003E4F28"/>
    <w:rsid w:val="003E5065"/>
    <w:rsid w:val="003E598C"/>
    <w:rsid w:val="003E59BC"/>
    <w:rsid w:val="003E6742"/>
    <w:rsid w:val="003E69C1"/>
    <w:rsid w:val="003E6FA7"/>
    <w:rsid w:val="003E7CCB"/>
    <w:rsid w:val="003E7D67"/>
    <w:rsid w:val="003E7F5E"/>
    <w:rsid w:val="003E7FDB"/>
    <w:rsid w:val="003F06BF"/>
    <w:rsid w:val="003F0D34"/>
    <w:rsid w:val="003F14C2"/>
    <w:rsid w:val="003F19A5"/>
    <w:rsid w:val="003F1CD2"/>
    <w:rsid w:val="003F23D4"/>
    <w:rsid w:val="003F2489"/>
    <w:rsid w:val="003F255E"/>
    <w:rsid w:val="003F28B6"/>
    <w:rsid w:val="003F2F60"/>
    <w:rsid w:val="003F3368"/>
    <w:rsid w:val="003F3392"/>
    <w:rsid w:val="003F358C"/>
    <w:rsid w:val="003F36BD"/>
    <w:rsid w:val="003F38BC"/>
    <w:rsid w:val="003F3E48"/>
    <w:rsid w:val="003F40B7"/>
    <w:rsid w:val="003F4208"/>
    <w:rsid w:val="003F423F"/>
    <w:rsid w:val="003F42B2"/>
    <w:rsid w:val="003F46A9"/>
    <w:rsid w:val="003F477C"/>
    <w:rsid w:val="003F4785"/>
    <w:rsid w:val="003F4ACC"/>
    <w:rsid w:val="003F5A03"/>
    <w:rsid w:val="003F5C68"/>
    <w:rsid w:val="003F5DDF"/>
    <w:rsid w:val="003F64FC"/>
    <w:rsid w:val="003F701B"/>
    <w:rsid w:val="003F7583"/>
    <w:rsid w:val="003F77CC"/>
    <w:rsid w:val="003F7BCD"/>
    <w:rsid w:val="003F7CD0"/>
    <w:rsid w:val="003F7F52"/>
    <w:rsid w:val="004001FA"/>
    <w:rsid w:val="00400A39"/>
    <w:rsid w:val="00400F41"/>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4E78"/>
    <w:rsid w:val="00405478"/>
    <w:rsid w:val="0040554E"/>
    <w:rsid w:val="004059AB"/>
    <w:rsid w:val="00405F28"/>
    <w:rsid w:val="004063C0"/>
    <w:rsid w:val="00406A32"/>
    <w:rsid w:val="00406CF0"/>
    <w:rsid w:val="0040700B"/>
    <w:rsid w:val="004073F9"/>
    <w:rsid w:val="0040752C"/>
    <w:rsid w:val="0040789A"/>
    <w:rsid w:val="00407A00"/>
    <w:rsid w:val="00407AFD"/>
    <w:rsid w:val="00407FE8"/>
    <w:rsid w:val="00410130"/>
    <w:rsid w:val="00410726"/>
    <w:rsid w:val="00410D6C"/>
    <w:rsid w:val="00410E7F"/>
    <w:rsid w:val="0041109E"/>
    <w:rsid w:val="00411B20"/>
    <w:rsid w:val="00411E6A"/>
    <w:rsid w:val="004127BC"/>
    <w:rsid w:val="004138EC"/>
    <w:rsid w:val="00413928"/>
    <w:rsid w:val="004140CD"/>
    <w:rsid w:val="00414168"/>
    <w:rsid w:val="0041466F"/>
    <w:rsid w:val="0041493E"/>
    <w:rsid w:val="00414969"/>
    <w:rsid w:val="00414EC5"/>
    <w:rsid w:val="004151BC"/>
    <w:rsid w:val="00415BDF"/>
    <w:rsid w:val="00415DBC"/>
    <w:rsid w:val="00415E8C"/>
    <w:rsid w:val="00416197"/>
    <w:rsid w:val="00416375"/>
    <w:rsid w:val="004163EF"/>
    <w:rsid w:val="004164A2"/>
    <w:rsid w:val="00416E67"/>
    <w:rsid w:val="004170A1"/>
    <w:rsid w:val="00417689"/>
    <w:rsid w:val="00417761"/>
    <w:rsid w:val="00417B4B"/>
    <w:rsid w:val="00420624"/>
    <w:rsid w:val="004206A0"/>
    <w:rsid w:val="00420C8B"/>
    <w:rsid w:val="00420DD9"/>
    <w:rsid w:val="004210A6"/>
    <w:rsid w:val="00421368"/>
    <w:rsid w:val="004217B5"/>
    <w:rsid w:val="00421AFD"/>
    <w:rsid w:val="00421BBF"/>
    <w:rsid w:val="004223E9"/>
    <w:rsid w:val="0042267B"/>
    <w:rsid w:val="0042275E"/>
    <w:rsid w:val="00422C13"/>
    <w:rsid w:val="00423DDB"/>
    <w:rsid w:val="00424814"/>
    <w:rsid w:val="00424B31"/>
    <w:rsid w:val="0042567D"/>
    <w:rsid w:val="00425A3C"/>
    <w:rsid w:val="004264E5"/>
    <w:rsid w:val="00426707"/>
    <w:rsid w:val="00426FBE"/>
    <w:rsid w:val="004277B2"/>
    <w:rsid w:val="00427BF4"/>
    <w:rsid w:val="00427F5C"/>
    <w:rsid w:val="00427FA2"/>
    <w:rsid w:val="00430015"/>
    <w:rsid w:val="00430953"/>
    <w:rsid w:val="00430A8A"/>
    <w:rsid w:val="00430B55"/>
    <w:rsid w:val="004313BB"/>
    <w:rsid w:val="0043148F"/>
    <w:rsid w:val="004316EB"/>
    <w:rsid w:val="00431C9D"/>
    <w:rsid w:val="00431DB8"/>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587"/>
    <w:rsid w:val="0043473F"/>
    <w:rsid w:val="00434AEB"/>
    <w:rsid w:val="00434E60"/>
    <w:rsid w:val="00434F35"/>
    <w:rsid w:val="00435075"/>
    <w:rsid w:val="004351A1"/>
    <w:rsid w:val="0043543D"/>
    <w:rsid w:val="00435FF6"/>
    <w:rsid w:val="0043603E"/>
    <w:rsid w:val="00436B0A"/>
    <w:rsid w:val="00436B1E"/>
    <w:rsid w:val="00436C38"/>
    <w:rsid w:val="004370DF"/>
    <w:rsid w:val="00437104"/>
    <w:rsid w:val="004373AC"/>
    <w:rsid w:val="0043751E"/>
    <w:rsid w:val="00437643"/>
    <w:rsid w:val="00437772"/>
    <w:rsid w:val="00437794"/>
    <w:rsid w:val="0043783F"/>
    <w:rsid w:val="00437C34"/>
    <w:rsid w:val="00437FA6"/>
    <w:rsid w:val="004402C9"/>
    <w:rsid w:val="00440434"/>
    <w:rsid w:val="00440998"/>
    <w:rsid w:val="00440C88"/>
    <w:rsid w:val="004413E1"/>
    <w:rsid w:val="00441A38"/>
    <w:rsid w:val="00441C9A"/>
    <w:rsid w:val="00441D0D"/>
    <w:rsid w:val="0044279C"/>
    <w:rsid w:val="00442D38"/>
    <w:rsid w:val="00443705"/>
    <w:rsid w:val="004438E5"/>
    <w:rsid w:val="00443917"/>
    <w:rsid w:val="00443A25"/>
    <w:rsid w:val="00443B81"/>
    <w:rsid w:val="00443C35"/>
    <w:rsid w:val="00443C86"/>
    <w:rsid w:val="00444587"/>
    <w:rsid w:val="004445C0"/>
    <w:rsid w:val="004445C1"/>
    <w:rsid w:val="00444691"/>
    <w:rsid w:val="00444765"/>
    <w:rsid w:val="00444D96"/>
    <w:rsid w:val="00444DD8"/>
    <w:rsid w:val="00445380"/>
    <w:rsid w:val="004454F9"/>
    <w:rsid w:val="00445B9A"/>
    <w:rsid w:val="00445C17"/>
    <w:rsid w:val="00445DA2"/>
    <w:rsid w:val="00445EED"/>
    <w:rsid w:val="0044652F"/>
    <w:rsid w:val="0044688D"/>
    <w:rsid w:val="00446B61"/>
    <w:rsid w:val="00447010"/>
    <w:rsid w:val="004471D3"/>
    <w:rsid w:val="00447441"/>
    <w:rsid w:val="004474D9"/>
    <w:rsid w:val="0044750C"/>
    <w:rsid w:val="00447648"/>
    <w:rsid w:val="004478C2"/>
    <w:rsid w:val="00447C23"/>
    <w:rsid w:val="0045043A"/>
    <w:rsid w:val="00450B8F"/>
    <w:rsid w:val="00450CB0"/>
    <w:rsid w:val="00450E09"/>
    <w:rsid w:val="00450FB1"/>
    <w:rsid w:val="004513D8"/>
    <w:rsid w:val="00451433"/>
    <w:rsid w:val="004519E3"/>
    <w:rsid w:val="00451CA9"/>
    <w:rsid w:val="00451ED1"/>
    <w:rsid w:val="00452449"/>
    <w:rsid w:val="004526D2"/>
    <w:rsid w:val="00453023"/>
    <w:rsid w:val="00453170"/>
    <w:rsid w:val="00453368"/>
    <w:rsid w:val="00453443"/>
    <w:rsid w:val="00453F23"/>
    <w:rsid w:val="004540A9"/>
    <w:rsid w:val="004540D3"/>
    <w:rsid w:val="00454163"/>
    <w:rsid w:val="00454597"/>
    <w:rsid w:val="00454870"/>
    <w:rsid w:val="00454AC2"/>
    <w:rsid w:val="004550AB"/>
    <w:rsid w:val="004552A3"/>
    <w:rsid w:val="0045624C"/>
    <w:rsid w:val="004562FA"/>
    <w:rsid w:val="0045640D"/>
    <w:rsid w:val="00456D7C"/>
    <w:rsid w:val="00456DE5"/>
    <w:rsid w:val="004573A1"/>
    <w:rsid w:val="00457ACF"/>
    <w:rsid w:val="00457E75"/>
    <w:rsid w:val="00457F14"/>
    <w:rsid w:val="0046015E"/>
    <w:rsid w:val="0046016D"/>
    <w:rsid w:val="00460453"/>
    <w:rsid w:val="00460AC6"/>
    <w:rsid w:val="00460B76"/>
    <w:rsid w:val="0046122C"/>
    <w:rsid w:val="00461562"/>
    <w:rsid w:val="00461F4C"/>
    <w:rsid w:val="00462043"/>
    <w:rsid w:val="004629AF"/>
    <w:rsid w:val="00462C5B"/>
    <w:rsid w:val="00462FB8"/>
    <w:rsid w:val="00463507"/>
    <w:rsid w:val="0046361E"/>
    <w:rsid w:val="004640D8"/>
    <w:rsid w:val="00464166"/>
    <w:rsid w:val="00464174"/>
    <w:rsid w:val="0046426E"/>
    <w:rsid w:val="00464648"/>
    <w:rsid w:val="004656AC"/>
    <w:rsid w:val="00465721"/>
    <w:rsid w:val="004659A4"/>
    <w:rsid w:val="00465C7B"/>
    <w:rsid w:val="00465EAD"/>
    <w:rsid w:val="00465F34"/>
    <w:rsid w:val="00465FD0"/>
    <w:rsid w:val="004668BF"/>
    <w:rsid w:val="004668FE"/>
    <w:rsid w:val="004669A4"/>
    <w:rsid w:val="004669DB"/>
    <w:rsid w:val="00466B4C"/>
    <w:rsid w:val="004679CF"/>
    <w:rsid w:val="00467E2C"/>
    <w:rsid w:val="0047023F"/>
    <w:rsid w:val="00470335"/>
    <w:rsid w:val="0047099F"/>
    <w:rsid w:val="00470A52"/>
    <w:rsid w:val="004711E0"/>
    <w:rsid w:val="004715A0"/>
    <w:rsid w:val="00471AB0"/>
    <w:rsid w:val="00471EC7"/>
    <w:rsid w:val="00471FCA"/>
    <w:rsid w:val="004720DF"/>
    <w:rsid w:val="00472338"/>
    <w:rsid w:val="004725FE"/>
    <w:rsid w:val="004727E5"/>
    <w:rsid w:val="00472AE7"/>
    <w:rsid w:val="00473A74"/>
    <w:rsid w:val="00473CF0"/>
    <w:rsid w:val="00473E00"/>
    <w:rsid w:val="00473E18"/>
    <w:rsid w:val="0047408C"/>
    <w:rsid w:val="00474108"/>
    <w:rsid w:val="00474655"/>
    <w:rsid w:val="00474935"/>
    <w:rsid w:val="00474BA1"/>
    <w:rsid w:val="00474C88"/>
    <w:rsid w:val="00474ED9"/>
    <w:rsid w:val="00474F7B"/>
    <w:rsid w:val="004754BD"/>
    <w:rsid w:val="00475C5A"/>
    <w:rsid w:val="00475C81"/>
    <w:rsid w:val="00476718"/>
    <w:rsid w:val="00476759"/>
    <w:rsid w:val="00476C9F"/>
    <w:rsid w:val="00476FB5"/>
    <w:rsid w:val="004777BC"/>
    <w:rsid w:val="00477930"/>
    <w:rsid w:val="00477B69"/>
    <w:rsid w:val="00477F2E"/>
    <w:rsid w:val="004803A5"/>
    <w:rsid w:val="004808B7"/>
    <w:rsid w:val="00480B8D"/>
    <w:rsid w:val="00480E1F"/>
    <w:rsid w:val="00480F43"/>
    <w:rsid w:val="00481141"/>
    <w:rsid w:val="004816A6"/>
    <w:rsid w:val="00481839"/>
    <w:rsid w:val="00481B19"/>
    <w:rsid w:val="00481B91"/>
    <w:rsid w:val="00481E8E"/>
    <w:rsid w:val="0048207C"/>
    <w:rsid w:val="00482AAF"/>
    <w:rsid w:val="00482D49"/>
    <w:rsid w:val="00482DB0"/>
    <w:rsid w:val="00483C82"/>
    <w:rsid w:val="0048435E"/>
    <w:rsid w:val="00484640"/>
    <w:rsid w:val="00484764"/>
    <w:rsid w:val="00484870"/>
    <w:rsid w:val="004851BA"/>
    <w:rsid w:val="004852E2"/>
    <w:rsid w:val="004856FC"/>
    <w:rsid w:val="00485A8D"/>
    <w:rsid w:val="00485CAA"/>
    <w:rsid w:val="00486659"/>
    <w:rsid w:val="0048684C"/>
    <w:rsid w:val="004869F2"/>
    <w:rsid w:val="00486A3A"/>
    <w:rsid w:val="00486E9E"/>
    <w:rsid w:val="004870F4"/>
    <w:rsid w:val="00487167"/>
    <w:rsid w:val="0048730C"/>
    <w:rsid w:val="00487EEA"/>
    <w:rsid w:val="00490D6A"/>
    <w:rsid w:val="00490ED4"/>
    <w:rsid w:val="00490F24"/>
    <w:rsid w:val="0049116B"/>
    <w:rsid w:val="004916DD"/>
    <w:rsid w:val="00491728"/>
    <w:rsid w:val="004918F8"/>
    <w:rsid w:val="00491D51"/>
    <w:rsid w:val="00492847"/>
    <w:rsid w:val="00492B02"/>
    <w:rsid w:val="00492D9A"/>
    <w:rsid w:val="00493070"/>
    <w:rsid w:val="00493A7D"/>
    <w:rsid w:val="00493C16"/>
    <w:rsid w:val="00494933"/>
    <w:rsid w:val="00496115"/>
    <w:rsid w:val="00496377"/>
    <w:rsid w:val="00496900"/>
    <w:rsid w:val="00496936"/>
    <w:rsid w:val="00496EEB"/>
    <w:rsid w:val="004974FF"/>
    <w:rsid w:val="004A0647"/>
    <w:rsid w:val="004A0951"/>
    <w:rsid w:val="004A10C6"/>
    <w:rsid w:val="004A1168"/>
    <w:rsid w:val="004A1494"/>
    <w:rsid w:val="004A1531"/>
    <w:rsid w:val="004A162E"/>
    <w:rsid w:val="004A16F2"/>
    <w:rsid w:val="004A19AB"/>
    <w:rsid w:val="004A1A8D"/>
    <w:rsid w:val="004A1F4F"/>
    <w:rsid w:val="004A25A1"/>
    <w:rsid w:val="004A27E2"/>
    <w:rsid w:val="004A2E16"/>
    <w:rsid w:val="004A3250"/>
    <w:rsid w:val="004A34D9"/>
    <w:rsid w:val="004A3512"/>
    <w:rsid w:val="004A3C74"/>
    <w:rsid w:val="004A42F8"/>
    <w:rsid w:val="004A4739"/>
    <w:rsid w:val="004A47AF"/>
    <w:rsid w:val="004A482E"/>
    <w:rsid w:val="004A4EED"/>
    <w:rsid w:val="004A5052"/>
    <w:rsid w:val="004A587B"/>
    <w:rsid w:val="004A5FAC"/>
    <w:rsid w:val="004A6192"/>
    <w:rsid w:val="004A624C"/>
    <w:rsid w:val="004A6509"/>
    <w:rsid w:val="004A6ADA"/>
    <w:rsid w:val="004A738E"/>
    <w:rsid w:val="004A7458"/>
    <w:rsid w:val="004A74AA"/>
    <w:rsid w:val="004A74F7"/>
    <w:rsid w:val="004A76C1"/>
    <w:rsid w:val="004A7B39"/>
    <w:rsid w:val="004A7F15"/>
    <w:rsid w:val="004B0096"/>
    <w:rsid w:val="004B0879"/>
    <w:rsid w:val="004B1C19"/>
    <w:rsid w:val="004B1E0C"/>
    <w:rsid w:val="004B1E74"/>
    <w:rsid w:val="004B1FA5"/>
    <w:rsid w:val="004B202D"/>
    <w:rsid w:val="004B2207"/>
    <w:rsid w:val="004B22DA"/>
    <w:rsid w:val="004B25F2"/>
    <w:rsid w:val="004B2B25"/>
    <w:rsid w:val="004B2E5E"/>
    <w:rsid w:val="004B3122"/>
    <w:rsid w:val="004B3135"/>
    <w:rsid w:val="004B3200"/>
    <w:rsid w:val="004B32E1"/>
    <w:rsid w:val="004B3615"/>
    <w:rsid w:val="004B384A"/>
    <w:rsid w:val="004B41A9"/>
    <w:rsid w:val="004B4231"/>
    <w:rsid w:val="004B43BF"/>
    <w:rsid w:val="004B4B3B"/>
    <w:rsid w:val="004B4F1A"/>
    <w:rsid w:val="004B5137"/>
    <w:rsid w:val="004B51D6"/>
    <w:rsid w:val="004B5312"/>
    <w:rsid w:val="004B59B5"/>
    <w:rsid w:val="004B5A13"/>
    <w:rsid w:val="004B5BC7"/>
    <w:rsid w:val="004B6495"/>
    <w:rsid w:val="004B651C"/>
    <w:rsid w:val="004B659A"/>
    <w:rsid w:val="004B65C4"/>
    <w:rsid w:val="004B6735"/>
    <w:rsid w:val="004B6A01"/>
    <w:rsid w:val="004B6A88"/>
    <w:rsid w:val="004B6C10"/>
    <w:rsid w:val="004B6D42"/>
    <w:rsid w:val="004B789A"/>
    <w:rsid w:val="004B7906"/>
    <w:rsid w:val="004B7C02"/>
    <w:rsid w:val="004B7C44"/>
    <w:rsid w:val="004B7FD0"/>
    <w:rsid w:val="004C0266"/>
    <w:rsid w:val="004C0768"/>
    <w:rsid w:val="004C0AFC"/>
    <w:rsid w:val="004C113D"/>
    <w:rsid w:val="004C160D"/>
    <w:rsid w:val="004C18FA"/>
    <w:rsid w:val="004C1B8F"/>
    <w:rsid w:val="004C1DA6"/>
    <w:rsid w:val="004C2183"/>
    <w:rsid w:val="004C2268"/>
    <w:rsid w:val="004C25FD"/>
    <w:rsid w:val="004C283E"/>
    <w:rsid w:val="004C29D0"/>
    <w:rsid w:val="004C2C73"/>
    <w:rsid w:val="004C2D32"/>
    <w:rsid w:val="004C329E"/>
    <w:rsid w:val="004C338D"/>
    <w:rsid w:val="004C3749"/>
    <w:rsid w:val="004C3B96"/>
    <w:rsid w:val="004C3EC9"/>
    <w:rsid w:val="004C46DC"/>
    <w:rsid w:val="004C49E5"/>
    <w:rsid w:val="004C4A18"/>
    <w:rsid w:val="004C4D92"/>
    <w:rsid w:val="004C4DBC"/>
    <w:rsid w:val="004C5010"/>
    <w:rsid w:val="004C5095"/>
    <w:rsid w:val="004C515A"/>
    <w:rsid w:val="004C5339"/>
    <w:rsid w:val="004C5450"/>
    <w:rsid w:val="004C5E6F"/>
    <w:rsid w:val="004C5FDA"/>
    <w:rsid w:val="004C6495"/>
    <w:rsid w:val="004C64E1"/>
    <w:rsid w:val="004C6B77"/>
    <w:rsid w:val="004D06EA"/>
    <w:rsid w:val="004D0ADD"/>
    <w:rsid w:val="004D0B83"/>
    <w:rsid w:val="004D0FE3"/>
    <w:rsid w:val="004D11B2"/>
    <w:rsid w:val="004D1880"/>
    <w:rsid w:val="004D19A9"/>
    <w:rsid w:val="004D1B7B"/>
    <w:rsid w:val="004D1F68"/>
    <w:rsid w:val="004D1FDC"/>
    <w:rsid w:val="004D28BB"/>
    <w:rsid w:val="004D2967"/>
    <w:rsid w:val="004D29D7"/>
    <w:rsid w:val="004D33A4"/>
    <w:rsid w:val="004D3D8E"/>
    <w:rsid w:val="004D4811"/>
    <w:rsid w:val="004D494F"/>
    <w:rsid w:val="004D4D0D"/>
    <w:rsid w:val="004D52A4"/>
    <w:rsid w:val="004D5972"/>
    <w:rsid w:val="004D5A08"/>
    <w:rsid w:val="004D603D"/>
    <w:rsid w:val="004D682B"/>
    <w:rsid w:val="004D6BA5"/>
    <w:rsid w:val="004D6D73"/>
    <w:rsid w:val="004D7063"/>
    <w:rsid w:val="004D73F7"/>
    <w:rsid w:val="004D75BA"/>
    <w:rsid w:val="004D7633"/>
    <w:rsid w:val="004D76D5"/>
    <w:rsid w:val="004D7FBF"/>
    <w:rsid w:val="004E0732"/>
    <w:rsid w:val="004E0900"/>
    <w:rsid w:val="004E1A58"/>
    <w:rsid w:val="004E1CEC"/>
    <w:rsid w:val="004E2073"/>
    <w:rsid w:val="004E2316"/>
    <w:rsid w:val="004E251B"/>
    <w:rsid w:val="004E29CC"/>
    <w:rsid w:val="004E2CCD"/>
    <w:rsid w:val="004E2CD0"/>
    <w:rsid w:val="004E2E10"/>
    <w:rsid w:val="004E30F6"/>
    <w:rsid w:val="004E3141"/>
    <w:rsid w:val="004E31F7"/>
    <w:rsid w:val="004E377F"/>
    <w:rsid w:val="004E3A4F"/>
    <w:rsid w:val="004E3D0D"/>
    <w:rsid w:val="004E4019"/>
    <w:rsid w:val="004E42CB"/>
    <w:rsid w:val="004E4533"/>
    <w:rsid w:val="004E4579"/>
    <w:rsid w:val="004E4D10"/>
    <w:rsid w:val="004E4DF8"/>
    <w:rsid w:val="004E518D"/>
    <w:rsid w:val="004E5624"/>
    <w:rsid w:val="004E5A46"/>
    <w:rsid w:val="004E602E"/>
    <w:rsid w:val="004E65C1"/>
    <w:rsid w:val="004E6C87"/>
    <w:rsid w:val="004E7123"/>
    <w:rsid w:val="004E748E"/>
    <w:rsid w:val="004E7C9B"/>
    <w:rsid w:val="004E7FF5"/>
    <w:rsid w:val="004F0143"/>
    <w:rsid w:val="004F05EB"/>
    <w:rsid w:val="004F060E"/>
    <w:rsid w:val="004F0A21"/>
    <w:rsid w:val="004F0BBC"/>
    <w:rsid w:val="004F0C13"/>
    <w:rsid w:val="004F0DF1"/>
    <w:rsid w:val="004F0EA8"/>
    <w:rsid w:val="004F0ED6"/>
    <w:rsid w:val="004F12D0"/>
    <w:rsid w:val="004F2041"/>
    <w:rsid w:val="004F21D0"/>
    <w:rsid w:val="004F226B"/>
    <w:rsid w:val="004F2917"/>
    <w:rsid w:val="004F3AF4"/>
    <w:rsid w:val="004F3C2B"/>
    <w:rsid w:val="004F3DB0"/>
    <w:rsid w:val="004F40C6"/>
    <w:rsid w:val="004F4388"/>
    <w:rsid w:val="004F45C9"/>
    <w:rsid w:val="004F45F8"/>
    <w:rsid w:val="004F496F"/>
    <w:rsid w:val="004F4ED0"/>
    <w:rsid w:val="004F5866"/>
    <w:rsid w:val="004F58BB"/>
    <w:rsid w:val="004F5F00"/>
    <w:rsid w:val="004F6967"/>
    <w:rsid w:val="004F6CE7"/>
    <w:rsid w:val="004F705F"/>
    <w:rsid w:val="004F71A1"/>
    <w:rsid w:val="004F7363"/>
    <w:rsid w:val="004F750F"/>
    <w:rsid w:val="004F7D01"/>
    <w:rsid w:val="00500597"/>
    <w:rsid w:val="00500DD6"/>
    <w:rsid w:val="005017B2"/>
    <w:rsid w:val="00501A4B"/>
    <w:rsid w:val="0050241B"/>
    <w:rsid w:val="00502686"/>
    <w:rsid w:val="005031B4"/>
    <w:rsid w:val="00503263"/>
    <w:rsid w:val="00503A7B"/>
    <w:rsid w:val="00503B36"/>
    <w:rsid w:val="00503CB2"/>
    <w:rsid w:val="00503E3F"/>
    <w:rsid w:val="00503EB6"/>
    <w:rsid w:val="0050416B"/>
    <w:rsid w:val="005042BC"/>
    <w:rsid w:val="0050460B"/>
    <w:rsid w:val="00504793"/>
    <w:rsid w:val="00504D41"/>
    <w:rsid w:val="0050516A"/>
    <w:rsid w:val="00505BDE"/>
    <w:rsid w:val="00505E25"/>
    <w:rsid w:val="00506EA9"/>
    <w:rsid w:val="005073F1"/>
    <w:rsid w:val="00507548"/>
    <w:rsid w:val="00507923"/>
    <w:rsid w:val="00507A57"/>
    <w:rsid w:val="00510AB2"/>
    <w:rsid w:val="00510DBD"/>
    <w:rsid w:val="005114A4"/>
    <w:rsid w:val="0051184B"/>
    <w:rsid w:val="005118F6"/>
    <w:rsid w:val="00511910"/>
    <w:rsid w:val="005119BB"/>
    <w:rsid w:val="00511E7D"/>
    <w:rsid w:val="00511E8F"/>
    <w:rsid w:val="00511FFD"/>
    <w:rsid w:val="0051227D"/>
    <w:rsid w:val="005127E4"/>
    <w:rsid w:val="00512B7A"/>
    <w:rsid w:val="00512C95"/>
    <w:rsid w:val="00513011"/>
    <w:rsid w:val="00513331"/>
    <w:rsid w:val="0051438C"/>
    <w:rsid w:val="00514902"/>
    <w:rsid w:val="00515032"/>
    <w:rsid w:val="00515A00"/>
    <w:rsid w:val="0051645F"/>
    <w:rsid w:val="00516627"/>
    <w:rsid w:val="005168F7"/>
    <w:rsid w:val="005169BB"/>
    <w:rsid w:val="00516ECB"/>
    <w:rsid w:val="00517F99"/>
    <w:rsid w:val="00517FAC"/>
    <w:rsid w:val="00520154"/>
    <w:rsid w:val="0052061C"/>
    <w:rsid w:val="005207D0"/>
    <w:rsid w:val="005209C2"/>
    <w:rsid w:val="00520A20"/>
    <w:rsid w:val="00520B2C"/>
    <w:rsid w:val="00520CFF"/>
    <w:rsid w:val="00520D2F"/>
    <w:rsid w:val="0052128F"/>
    <w:rsid w:val="005217DC"/>
    <w:rsid w:val="00521998"/>
    <w:rsid w:val="005219CC"/>
    <w:rsid w:val="00521C3D"/>
    <w:rsid w:val="00521CE3"/>
    <w:rsid w:val="0052227C"/>
    <w:rsid w:val="005228DC"/>
    <w:rsid w:val="00523588"/>
    <w:rsid w:val="0052389A"/>
    <w:rsid w:val="00523B12"/>
    <w:rsid w:val="0052476E"/>
    <w:rsid w:val="00524B17"/>
    <w:rsid w:val="00525170"/>
    <w:rsid w:val="00525814"/>
    <w:rsid w:val="0052664E"/>
    <w:rsid w:val="00526763"/>
    <w:rsid w:val="00526B87"/>
    <w:rsid w:val="00526D2E"/>
    <w:rsid w:val="00526F20"/>
    <w:rsid w:val="00526F8D"/>
    <w:rsid w:val="005271B6"/>
    <w:rsid w:val="00527535"/>
    <w:rsid w:val="005276A6"/>
    <w:rsid w:val="00527CD4"/>
    <w:rsid w:val="00527FA6"/>
    <w:rsid w:val="00530184"/>
    <w:rsid w:val="005307E1"/>
    <w:rsid w:val="00530E0F"/>
    <w:rsid w:val="0053110E"/>
    <w:rsid w:val="005314B5"/>
    <w:rsid w:val="00531F89"/>
    <w:rsid w:val="005321F8"/>
    <w:rsid w:val="00532380"/>
    <w:rsid w:val="005323B9"/>
    <w:rsid w:val="00532805"/>
    <w:rsid w:val="005329CF"/>
    <w:rsid w:val="00532BF8"/>
    <w:rsid w:val="0053362D"/>
    <w:rsid w:val="005337E8"/>
    <w:rsid w:val="005339AA"/>
    <w:rsid w:val="00534245"/>
    <w:rsid w:val="005347B3"/>
    <w:rsid w:val="0053559E"/>
    <w:rsid w:val="00535763"/>
    <w:rsid w:val="00535DBB"/>
    <w:rsid w:val="00535F8B"/>
    <w:rsid w:val="005360F8"/>
    <w:rsid w:val="00536822"/>
    <w:rsid w:val="00536F18"/>
    <w:rsid w:val="00537045"/>
    <w:rsid w:val="00537053"/>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EDA"/>
    <w:rsid w:val="00541FA1"/>
    <w:rsid w:val="00541FF3"/>
    <w:rsid w:val="005421B0"/>
    <w:rsid w:val="005428A8"/>
    <w:rsid w:val="00542B6C"/>
    <w:rsid w:val="0054362D"/>
    <w:rsid w:val="005441D9"/>
    <w:rsid w:val="00544848"/>
    <w:rsid w:val="00544D8E"/>
    <w:rsid w:val="00545321"/>
    <w:rsid w:val="0054543E"/>
    <w:rsid w:val="005454D5"/>
    <w:rsid w:val="00545681"/>
    <w:rsid w:val="00545865"/>
    <w:rsid w:val="00546329"/>
    <w:rsid w:val="00546836"/>
    <w:rsid w:val="00546F4B"/>
    <w:rsid w:val="00546F7D"/>
    <w:rsid w:val="00547765"/>
    <w:rsid w:val="00550771"/>
    <w:rsid w:val="00550A16"/>
    <w:rsid w:val="00550A5C"/>
    <w:rsid w:val="00550BDA"/>
    <w:rsid w:val="00551404"/>
    <w:rsid w:val="00551474"/>
    <w:rsid w:val="005520E6"/>
    <w:rsid w:val="005523E1"/>
    <w:rsid w:val="00552432"/>
    <w:rsid w:val="00552575"/>
    <w:rsid w:val="0055345A"/>
    <w:rsid w:val="005534E1"/>
    <w:rsid w:val="005535FE"/>
    <w:rsid w:val="005536C1"/>
    <w:rsid w:val="00553AF6"/>
    <w:rsid w:val="00554122"/>
    <w:rsid w:val="005546F4"/>
    <w:rsid w:val="00554807"/>
    <w:rsid w:val="00554B60"/>
    <w:rsid w:val="005552BD"/>
    <w:rsid w:val="005556F2"/>
    <w:rsid w:val="005556FC"/>
    <w:rsid w:val="00555B45"/>
    <w:rsid w:val="00555F35"/>
    <w:rsid w:val="0055602B"/>
    <w:rsid w:val="00556616"/>
    <w:rsid w:val="005566F4"/>
    <w:rsid w:val="005567BD"/>
    <w:rsid w:val="00556D03"/>
    <w:rsid w:val="00556E3B"/>
    <w:rsid w:val="00556EA1"/>
    <w:rsid w:val="00557122"/>
    <w:rsid w:val="005573D8"/>
    <w:rsid w:val="00557E34"/>
    <w:rsid w:val="00560C21"/>
    <w:rsid w:val="005612B3"/>
    <w:rsid w:val="00561C3A"/>
    <w:rsid w:val="00562AA0"/>
    <w:rsid w:val="00562FE7"/>
    <w:rsid w:val="00563271"/>
    <w:rsid w:val="005636E0"/>
    <w:rsid w:val="00563B47"/>
    <w:rsid w:val="00563BE9"/>
    <w:rsid w:val="00563E56"/>
    <w:rsid w:val="005641BA"/>
    <w:rsid w:val="005642A3"/>
    <w:rsid w:val="00564381"/>
    <w:rsid w:val="005643C4"/>
    <w:rsid w:val="005648B0"/>
    <w:rsid w:val="00564C61"/>
    <w:rsid w:val="00564FDA"/>
    <w:rsid w:val="005651FA"/>
    <w:rsid w:val="00565283"/>
    <w:rsid w:val="005652A6"/>
    <w:rsid w:val="00565A3B"/>
    <w:rsid w:val="00565DD8"/>
    <w:rsid w:val="00565FAA"/>
    <w:rsid w:val="00566366"/>
    <w:rsid w:val="00566873"/>
    <w:rsid w:val="00566A7E"/>
    <w:rsid w:val="00566BE3"/>
    <w:rsid w:val="00566E2D"/>
    <w:rsid w:val="0056751E"/>
    <w:rsid w:val="00567555"/>
    <w:rsid w:val="00567611"/>
    <w:rsid w:val="00567DFB"/>
    <w:rsid w:val="00567E1E"/>
    <w:rsid w:val="0057043C"/>
    <w:rsid w:val="00571345"/>
    <w:rsid w:val="0057161E"/>
    <w:rsid w:val="0057306D"/>
    <w:rsid w:val="0057322E"/>
    <w:rsid w:val="00573467"/>
    <w:rsid w:val="00573E7B"/>
    <w:rsid w:val="00573F9F"/>
    <w:rsid w:val="00574450"/>
    <w:rsid w:val="00574944"/>
    <w:rsid w:val="00574C84"/>
    <w:rsid w:val="00574CC3"/>
    <w:rsid w:val="005751BE"/>
    <w:rsid w:val="0057559D"/>
    <w:rsid w:val="00575696"/>
    <w:rsid w:val="00575CBD"/>
    <w:rsid w:val="00575D48"/>
    <w:rsid w:val="0057616A"/>
    <w:rsid w:val="005763D0"/>
    <w:rsid w:val="00576431"/>
    <w:rsid w:val="005766E4"/>
    <w:rsid w:val="00577120"/>
    <w:rsid w:val="005773A0"/>
    <w:rsid w:val="005776CB"/>
    <w:rsid w:val="00577D93"/>
    <w:rsid w:val="0058008D"/>
    <w:rsid w:val="0058014B"/>
    <w:rsid w:val="005802A1"/>
    <w:rsid w:val="00580397"/>
    <w:rsid w:val="00580755"/>
    <w:rsid w:val="00580938"/>
    <w:rsid w:val="00580B9B"/>
    <w:rsid w:val="0058128A"/>
    <w:rsid w:val="005812E9"/>
    <w:rsid w:val="005813BB"/>
    <w:rsid w:val="00581426"/>
    <w:rsid w:val="00581447"/>
    <w:rsid w:val="005814F1"/>
    <w:rsid w:val="00582D61"/>
    <w:rsid w:val="0058395C"/>
    <w:rsid w:val="005845DE"/>
    <w:rsid w:val="00584862"/>
    <w:rsid w:val="00584986"/>
    <w:rsid w:val="00584BD8"/>
    <w:rsid w:val="00584F26"/>
    <w:rsid w:val="00584F74"/>
    <w:rsid w:val="00585083"/>
    <w:rsid w:val="005850BE"/>
    <w:rsid w:val="0058510B"/>
    <w:rsid w:val="00585173"/>
    <w:rsid w:val="00585D34"/>
    <w:rsid w:val="00585ECF"/>
    <w:rsid w:val="00585F97"/>
    <w:rsid w:val="00586260"/>
    <w:rsid w:val="00586BC3"/>
    <w:rsid w:val="00586DC6"/>
    <w:rsid w:val="00587313"/>
    <w:rsid w:val="00587518"/>
    <w:rsid w:val="00587B41"/>
    <w:rsid w:val="00590041"/>
    <w:rsid w:val="0059032C"/>
    <w:rsid w:val="00590488"/>
    <w:rsid w:val="00590A01"/>
    <w:rsid w:val="00590C61"/>
    <w:rsid w:val="005919F4"/>
    <w:rsid w:val="00591A13"/>
    <w:rsid w:val="005925F6"/>
    <w:rsid w:val="005928E6"/>
    <w:rsid w:val="00592923"/>
    <w:rsid w:val="00592A37"/>
    <w:rsid w:val="00592A48"/>
    <w:rsid w:val="00592C56"/>
    <w:rsid w:val="00592F24"/>
    <w:rsid w:val="0059395E"/>
    <w:rsid w:val="00593B5A"/>
    <w:rsid w:val="00593F99"/>
    <w:rsid w:val="00593FCB"/>
    <w:rsid w:val="005940B4"/>
    <w:rsid w:val="00594284"/>
    <w:rsid w:val="00594CE9"/>
    <w:rsid w:val="00595043"/>
    <w:rsid w:val="005955EB"/>
    <w:rsid w:val="005958A7"/>
    <w:rsid w:val="00595980"/>
    <w:rsid w:val="00595C12"/>
    <w:rsid w:val="00595F10"/>
    <w:rsid w:val="0059608D"/>
    <w:rsid w:val="0059622E"/>
    <w:rsid w:val="00596709"/>
    <w:rsid w:val="005967C1"/>
    <w:rsid w:val="00597372"/>
    <w:rsid w:val="005974BB"/>
    <w:rsid w:val="005978A6"/>
    <w:rsid w:val="005978D3"/>
    <w:rsid w:val="005A00A5"/>
    <w:rsid w:val="005A01DD"/>
    <w:rsid w:val="005A05A0"/>
    <w:rsid w:val="005A076E"/>
    <w:rsid w:val="005A093B"/>
    <w:rsid w:val="005A124A"/>
    <w:rsid w:val="005A13EA"/>
    <w:rsid w:val="005A1706"/>
    <w:rsid w:val="005A1997"/>
    <w:rsid w:val="005A1AAC"/>
    <w:rsid w:val="005A207B"/>
    <w:rsid w:val="005A208D"/>
    <w:rsid w:val="005A21C8"/>
    <w:rsid w:val="005A25D1"/>
    <w:rsid w:val="005A2BDD"/>
    <w:rsid w:val="005A3834"/>
    <w:rsid w:val="005A38D2"/>
    <w:rsid w:val="005A3969"/>
    <w:rsid w:val="005A465A"/>
    <w:rsid w:val="005A4AB7"/>
    <w:rsid w:val="005A4DCB"/>
    <w:rsid w:val="005A514D"/>
    <w:rsid w:val="005A538A"/>
    <w:rsid w:val="005A55C5"/>
    <w:rsid w:val="005A63A9"/>
    <w:rsid w:val="005A6982"/>
    <w:rsid w:val="005A6F4A"/>
    <w:rsid w:val="005A7738"/>
    <w:rsid w:val="005A7A89"/>
    <w:rsid w:val="005A7DA8"/>
    <w:rsid w:val="005A7E76"/>
    <w:rsid w:val="005B00A2"/>
    <w:rsid w:val="005B01D6"/>
    <w:rsid w:val="005B0A20"/>
    <w:rsid w:val="005B0AEB"/>
    <w:rsid w:val="005B1165"/>
    <w:rsid w:val="005B1186"/>
    <w:rsid w:val="005B12DF"/>
    <w:rsid w:val="005B152A"/>
    <w:rsid w:val="005B1D37"/>
    <w:rsid w:val="005B28DB"/>
    <w:rsid w:val="005B2BCB"/>
    <w:rsid w:val="005B2C5F"/>
    <w:rsid w:val="005B3287"/>
    <w:rsid w:val="005B390D"/>
    <w:rsid w:val="005B3CE5"/>
    <w:rsid w:val="005B4048"/>
    <w:rsid w:val="005B455A"/>
    <w:rsid w:val="005B46D2"/>
    <w:rsid w:val="005B4B26"/>
    <w:rsid w:val="005B4C2E"/>
    <w:rsid w:val="005B4DB4"/>
    <w:rsid w:val="005B4DEE"/>
    <w:rsid w:val="005B4F1F"/>
    <w:rsid w:val="005B5082"/>
    <w:rsid w:val="005B5E20"/>
    <w:rsid w:val="005B5E8C"/>
    <w:rsid w:val="005B601A"/>
    <w:rsid w:val="005B617F"/>
    <w:rsid w:val="005B62C8"/>
    <w:rsid w:val="005B71C3"/>
    <w:rsid w:val="005B73BE"/>
    <w:rsid w:val="005B756C"/>
    <w:rsid w:val="005B757E"/>
    <w:rsid w:val="005B76E0"/>
    <w:rsid w:val="005B7AC2"/>
    <w:rsid w:val="005B7C43"/>
    <w:rsid w:val="005C06BF"/>
    <w:rsid w:val="005C08CC"/>
    <w:rsid w:val="005C0BE2"/>
    <w:rsid w:val="005C0D62"/>
    <w:rsid w:val="005C13C9"/>
    <w:rsid w:val="005C163A"/>
    <w:rsid w:val="005C20C0"/>
    <w:rsid w:val="005C2660"/>
    <w:rsid w:val="005C2A07"/>
    <w:rsid w:val="005C2D57"/>
    <w:rsid w:val="005C2DAC"/>
    <w:rsid w:val="005C2FEF"/>
    <w:rsid w:val="005C32A4"/>
    <w:rsid w:val="005C365D"/>
    <w:rsid w:val="005C3ACE"/>
    <w:rsid w:val="005C3F74"/>
    <w:rsid w:val="005C411B"/>
    <w:rsid w:val="005C41BB"/>
    <w:rsid w:val="005C43BA"/>
    <w:rsid w:val="005C4EB4"/>
    <w:rsid w:val="005C510C"/>
    <w:rsid w:val="005C5151"/>
    <w:rsid w:val="005C5207"/>
    <w:rsid w:val="005C5BA4"/>
    <w:rsid w:val="005C5F6E"/>
    <w:rsid w:val="005C600C"/>
    <w:rsid w:val="005C63CD"/>
    <w:rsid w:val="005C65B3"/>
    <w:rsid w:val="005C6B02"/>
    <w:rsid w:val="005C72C6"/>
    <w:rsid w:val="005C7397"/>
    <w:rsid w:val="005C73AD"/>
    <w:rsid w:val="005C7894"/>
    <w:rsid w:val="005C7CEB"/>
    <w:rsid w:val="005C7D85"/>
    <w:rsid w:val="005D0661"/>
    <w:rsid w:val="005D078A"/>
    <w:rsid w:val="005D0986"/>
    <w:rsid w:val="005D0B78"/>
    <w:rsid w:val="005D0BEE"/>
    <w:rsid w:val="005D0F48"/>
    <w:rsid w:val="005D1F62"/>
    <w:rsid w:val="005D1FD8"/>
    <w:rsid w:val="005D25D7"/>
    <w:rsid w:val="005D2648"/>
    <w:rsid w:val="005D273D"/>
    <w:rsid w:val="005D2788"/>
    <w:rsid w:val="005D2C87"/>
    <w:rsid w:val="005D2E89"/>
    <w:rsid w:val="005D31FD"/>
    <w:rsid w:val="005D32FF"/>
    <w:rsid w:val="005D39E1"/>
    <w:rsid w:val="005D3BB5"/>
    <w:rsid w:val="005D3BF7"/>
    <w:rsid w:val="005D3CDE"/>
    <w:rsid w:val="005D3F59"/>
    <w:rsid w:val="005D440E"/>
    <w:rsid w:val="005D48C0"/>
    <w:rsid w:val="005D49DE"/>
    <w:rsid w:val="005D52BF"/>
    <w:rsid w:val="005D54C3"/>
    <w:rsid w:val="005D60F4"/>
    <w:rsid w:val="005D68DC"/>
    <w:rsid w:val="005D695A"/>
    <w:rsid w:val="005D6CE7"/>
    <w:rsid w:val="005D76A3"/>
    <w:rsid w:val="005D7BBF"/>
    <w:rsid w:val="005D7BF7"/>
    <w:rsid w:val="005D7D9B"/>
    <w:rsid w:val="005D7DBB"/>
    <w:rsid w:val="005D7F5A"/>
    <w:rsid w:val="005E0424"/>
    <w:rsid w:val="005E0892"/>
    <w:rsid w:val="005E1090"/>
    <w:rsid w:val="005E13FA"/>
    <w:rsid w:val="005E160B"/>
    <w:rsid w:val="005E163F"/>
    <w:rsid w:val="005E1F97"/>
    <w:rsid w:val="005E2605"/>
    <w:rsid w:val="005E28BD"/>
    <w:rsid w:val="005E2A29"/>
    <w:rsid w:val="005E2C4A"/>
    <w:rsid w:val="005E2D9B"/>
    <w:rsid w:val="005E324F"/>
    <w:rsid w:val="005E33FA"/>
    <w:rsid w:val="005E34E6"/>
    <w:rsid w:val="005E3952"/>
    <w:rsid w:val="005E39AC"/>
    <w:rsid w:val="005E3C47"/>
    <w:rsid w:val="005E4211"/>
    <w:rsid w:val="005E4270"/>
    <w:rsid w:val="005E4283"/>
    <w:rsid w:val="005E429F"/>
    <w:rsid w:val="005E45C5"/>
    <w:rsid w:val="005E488B"/>
    <w:rsid w:val="005E4BB9"/>
    <w:rsid w:val="005E513A"/>
    <w:rsid w:val="005E547D"/>
    <w:rsid w:val="005E54C6"/>
    <w:rsid w:val="005E5580"/>
    <w:rsid w:val="005E57D8"/>
    <w:rsid w:val="005E59C2"/>
    <w:rsid w:val="005E5F39"/>
    <w:rsid w:val="005E5FEF"/>
    <w:rsid w:val="005E61D3"/>
    <w:rsid w:val="005E67EE"/>
    <w:rsid w:val="005E6D93"/>
    <w:rsid w:val="005E702A"/>
    <w:rsid w:val="005E7681"/>
    <w:rsid w:val="005E7707"/>
    <w:rsid w:val="005E7882"/>
    <w:rsid w:val="005E7958"/>
    <w:rsid w:val="005E7B79"/>
    <w:rsid w:val="005E7E58"/>
    <w:rsid w:val="005E7F40"/>
    <w:rsid w:val="005F02AF"/>
    <w:rsid w:val="005F0785"/>
    <w:rsid w:val="005F0AF6"/>
    <w:rsid w:val="005F0E0A"/>
    <w:rsid w:val="005F144C"/>
    <w:rsid w:val="005F1576"/>
    <w:rsid w:val="005F1FCE"/>
    <w:rsid w:val="005F29CA"/>
    <w:rsid w:val="005F2C54"/>
    <w:rsid w:val="005F2DEC"/>
    <w:rsid w:val="005F32E8"/>
    <w:rsid w:val="005F32F7"/>
    <w:rsid w:val="005F3691"/>
    <w:rsid w:val="005F3843"/>
    <w:rsid w:val="005F39FD"/>
    <w:rsid w:val="005F3A2E"/>
    <w:rsid w:val="005F3D78"/>
    <w:rsid w:val="005F3EF4"/>
    <w:rsid w:val="005F42A0"/>
    <w:rsid w:val="005F48A6"/>
    <w:rsid w:val="005F4E4A"/>
    <w:rsid w:val="005F5142"/>
    <w:rsid w:val="005F517C"/>
    <w:rsid w:val="005F530B"/>
    <w:rsid w:val="005F5405"/>
    <w:rsid w:val="005F54CC"/>
    <w:rsid w:val="005F5830"/>
    <w:rsid w:val="005F593C"/>
    <w:rsid w:val="005F59C2"/>
    <w:rsid w:val="005F5C0B"/>
    <w:rsid w:val="005F603A"/>
    <w:rsid w:val="005F623F"/>
    <w:rsid w:val="005F70BE"/>
    <w:rsid w:val="005F7220"/>
    <w:rsid w:val="005F74A3"/>
    <w:rsid w:val="005F7641"/>
    <w:rsid w:val="005F772F"/>
    <w:rsid w:val="005F7B8F"/>
    <w:rsid w:val="005F7E17"/>
    <w:rsid w:val="0060061D"/>
    <w:rsid w:val="006015CF"/>
    <w:rsid w:val="00601B6E"/>
    <w:rsid w:val="00601D5D"/>
    <w:rsid w:val="00602366"/>
    <w:rsid w:val="006025CD"/>
    <w:rsid w:val="00602C06"/>
    <w:rsid w:val="00603338"/>
    <w:rsid w:val="00603A2A"/>
    <w:rsid w:val="00603FB6"/>
    <w:rsid w:val="00603FE2"/>
    <w:rsid w:val="00604433"/>
    <w:rsid w:val="00604785"/>
    <w:rsid w:val="00604B8E"/>
    <w:rsid w:val="0060528C"/>
    <w:rsid w:val="00605BCF"/>
    <w:rsid w:val="00606425"/>
    <w:rsid w:val="00606BF5"/>
    <w:rsid w:val="00606FF1"/>
    <w:rsid w:val="006070EA"/>
    <w:rsid w:val="0060740C"/>
    <w:rsid w:val="006075BB"/>
    <w:rsid w:val="006077A2"/>
    <w:rsid w:val="00607914"/>
    <w:rsid w:val="00607AC1"/>
    <w:rsid w:val="006104AA"/>
    <w:rsid w:val="0061064B"/>
    <w:rsid w:val="00610D9D"/>
    <w:rsid w:val="00610DA5"/>
    <w:rsid w:val="00611B5B"/>
    <w:rsid w:val="00611C40"/>
    <w:rsid w:val="00611C8D"/>
    <w:rsid w:val="00611E29"/>
    <w:rsid w:val="0061219C"/>
    <w:rsid w:val="00612AF0"/>
    <w:rsid w:val="00612BD2"/>
    <w:rsid w:val="006138A4"/>
    <w:rsid w:val="006138E0"/>
    <w:rsid w:val="00613D0B"/>
    <w:rsid w:val="00613DA4"/>
    <w:rsid w:val="00613E9F"/>
    <w:rsid w:val="00614115"/>
    <w:rsid w:val="006142B7"/>
    <w:rsid w:val="00614804"/>
    <w:rsid w:val="006148C9"/>
    <w:rsid w:val="006149D2"/>
    <w:rsid w:val="00614D91"/>
    <w:rsid w:val="00614F1C"/>
    <w:rsid w:val="00615019"/>
    <w:rsid w:val="00615034"/>
    <w:rsid w:val="00615AC1"/>
    <w:rsid w:val="00615FE1"/>
    <w:rsid w:val="006165C5"/>
    <w:rsid w:val="00616E33"/>
    <w:rsid w:val="00616F17"/>
    <w:rsid w:val="00616FC5"/>
    <w:rsid w:val="0061781E"/>
    <w:rsid w:val="006178BB"/>
    <w:rsid w:val="00617E5C"/>
    <w:rsid w:val="0062091A"/>
    <w:rsid w:val="00620987"/>
    <w:rsid w:val="00620B73"/>
    <w:rsid w:val="00620D5C"/>
    <w:rsid w:val="00621365"/>
    <w:rsid w:val="00621CD3"/>
    <w:rsid w:val="00621E2B"/>
    <w:rsid w:val="00622843"/>
    <w:rsid w:val="00622C7F"/>
    <w:rsid w:val="00622C90"/>
    <w:rsid w:val="006230C1"/>
    <w:rsid w:val="006232E4"/>
    <w:rsid w:val="0062356B"/>
    <w:rsid w:val="0062359F"/>
    <w:rsid w:val="006238F3"/>
    <w:rsid w:val="00624A2A"/>
    <w:rsid w:val="00624B10"/>
    <w:rsid w:val="00624C5D"/>
    <w:rsid w:val="00624D11"/>
    <w:rsid w:val="00624F26"/>
    <w:rsid w:val="00624FF4"/>
    <w:rsid w:val="00625300"/>
    <w:rsid w:val="00625823"/>
    <w:rsid w:val="00625DCA"/>
    <w:rsid w:val="00626519"/>
    <w:rsid w:val="00626AF9"/>
    <w:rsid w:val="00626E00"/>
    <w:rsid w:val="00627187"/>
    <w:rsid w:val="00627622"/>
    <w:rsid w:val="00627A75"/>
    <w:rsid w:val="00627AF7"/>
    <w:rsid w:val="00627E5E"/>
    <w:rsid w:val="00630022"/>
    <w:rsid w:val="0063061C"/>
    <w:rsid w:val="00630DA1"/>
    <w:rsid w:val="00630FDB"/>
    <w:rsid w:val="00631971"/>
    <w:rsid w:val="00631B23"/>
    <w:rsid w:val="00632205"/>
    <w:rsid w:val="00632352"/>
    <w:rsid w:val="00632757"/>
    <w:rsid w:val="00632E62"/>
    <w:rsid w:val="0063321F"/>
    <w:rsid w:val="00633379"/>
    <w:rsid w:val="00633527"/>
    <w:rsid w:val="00633864"/>
    <w:rsid w:val="00633BC6"/>
    <w:rsid w:val="00633D93"/>
    <w:rsid w:val="0063454F"/>
    <w:rsid w:val="00634ABD"/>
    <w:rsid w:val="00634C50"/>
    <w:rsid w:val="006351C7"/>
    <w:rsid w:val="0063556D"/>
    <w:rsid w:val="00635BB8"/>
    <w:rsid w:val="00635D0F"/>
    <w:rsid w:val="00635E18"/>
    <w:rsid w:val="00636038"/>
    <w:rsid w:val="00636273"/>
    <w:rsid w:val="0063641C"/>
    <w:rsid w:val="006367B1"/>
    <w:rsid w:val="006367C8"/>
    <w:rsid w:val="00636904"/>
    <w:rsid w:val="006369F0"/>
    <w:rsid w:val="00636B88"/>
    <w:rsid w:val="00636CD8"/>
    <w:rsid w:val="006370AA"/>
    <w:rsid w:val="00637306"/>
    <w:rsid w:val="00637EFB"/>
    <w:rsid w:val="00640143"/>
    <w:rsid w:val="00640214"/>
    <w:rsid w:val="00640994"/>
    <w:rsid w:val="00641704"/>
    <w:rsid w:val="00641805"/>
    <w:rsid w:val="00641847"/>
    <w:rsid w:val="00641913"/>
    <w:rsid w:val="00641E0C"/>
    <w:rsid w:val="00642B56"/>
    <w:rsid w:val="00642BA5"/>
    <w:rsid w:val="00642EFE"/>
    <w:rsid w:val="0064329B"/>
    <w:rsid w:val="00643314"/>
    <w:rsid w:val="006434ED"/>
    <w:rsid w:val="0064367F"/>
    <w:rsid w:val="00643CD1"/>
    <w:rsid w:val="006440C1"/>
    <w:rsid w:val="006441F9"/>
    <w:rsid w:val="00644262"/>
    <w:rsid w:val="006447F3"/>
    <w:rsid w:val="00644AD2"/>
    <w:rsid w:val="006450B4"/>
    <w:rsid w:val="006459C4"/>
    <w:rsid w:val="00645A8B"/>
    <w:rsid w:val="00645C10"/>
    <w:rsid w:val="006468B7"/>
    <w:rsid w:val="00646B97"/>
    <w:rsid w:val="00646EAB"/>
    <w:rsid w:val="006471DA"/>
    <w:rsid w:val="00647CD6"/>
    <w:rsid w:val="006502A9"/>
    <w:rsid w:val="00650464"/>
    <w:rsid w:val="006505F6"/>
    <w:rsid w:val="00650986"/>
    <w:rsid w:val="00650ABF"/>
    <w:rsid w:val="00650B0B"/>
    <w:rsid w:val="00650F75"/>
    <w:rsid w:val="006511B9"/>
    <w:rsid w:val="00651438"/>
    <w:rsid w:val="0065179B"/>
    <w:rsid w:val="00651A58"/>
    <w:rsid w:val="00651AAA"/>
    <w:rsid w:val="00651BB7"/>
    <w:rsid w:val="00652153"/>
    <w:rsid w:val="00652202"/>
    <w:rsid w:val="00652278"/>
    <w:rsid w:val="00652298"/>
    <w:rsid w:val="00652DBB"/>
    <w:rsid w:val="00652FEA"/>
    <w:rsid w:val="006531D1"/>
    <w:rsid w:val="00653559"/>
    <w:rsid w:val="006538E0"/>
    <w:rsid w:val="00653C3B"/>
    <w:rsid w:val="00653C84"/>
    <w:rsid w:val="00653FE4"/>
    <w:rsid w:val="0065415E"/>
    <w:rsid w:val="006542C2"/>
    <w:rsid w:val="0065486F"/>
    <w:rsid w:val="006548D7"/>
    <w:rsid w:val="006549A1"/>
    <w:rsid w:val="00654B18"/>
    <w:rsid w:val="00654DD6"/>
    <w:rsid w:val="00654EF1"/>
    <w:rsid w:val="00654FFF"/>
    <w:rsid w:val="00655159"/>
    <w:rsid w:val="0065517B"/>
    <w:rsid w:val="00655807"/>
    <w:rsid w:val="00656891"/>
    <w:rsid w:val="00656B7F"/>
    <w:rsid w:val="00656E83"/>
    <w:rsid w:val="00656F41"/>
    <w:rsid w:val="00657056"/>
    <w:rsid w:val="00657978"/>
    <w:rsid w:val="00657CC3"/>
    <w:rsid w:val="006601DE"/>
    <w:rsid w:val="006602CA"/>
    <w:rsid w:val="00660523"/>
    <w:rsid w:val="0066094D"/>
    <w:rsid w:val="006609C0"/>
    <w:rsid w:val="00660A41"/>
    <w:rsid w:val="006612DD"/>
    <w:rsid w:val="0066153A"/>
    <w:rsid w:val="00661AA2"/>
    <w:rsid w:val="00661D4A"/>
    <w:rsid w:val="0066223A"/>
    <w:rsid w:val="00662715"/>
    <w:rsid w:val="00663068"/>
    <w:rsid w:val="00663AE4"/>
    <w:rsid w:val="00663E67"/>
    <w:rsid w:val="006642B7"/>
    <w:rsid w:val="0066441C"/>
    <w:rsid w:val="006644F3"/>
    <w:rsid w:val="00664579"/>
    <w:rsid w:val="00664589"/>
    <w:rsid w:val="00664FF3"/>
    <w:rsid w:val="00665288"/>
    <w:rsid w:val="006653A7"/>
    <w:rsid w:val="006653DF"/>
    <w:rsid w:val="00665461"/>
    <w:rsid w:val="00665848"/>
    <w:rsid w:val="0066597E"/>
    <w:rsid w:val="00665F1F"/>
    <w:rsid w:val="0066611A"/>
    <w:rsid w:val="0066635C"/>
    <w:rsid w:val="00666AD8"/>
    <w:rsid w:val="00666AF7"/>
    <w:rsid w:val="00666C8D"/>
    <w:rsid w:val="00666E3C"/>
    <w:rsid w:val="0066739D"/>
    <w:rsid w:val="006676B1"/>
    <w:rsid w:val="00667E13"/>
    <w:rsid w:val="0067009F"/>
    <w:rsid w:val="0067015E"/>
    <w:rsid w:val="006701BD"/>
    <w:rsid w:val="006706BB"/>
    <w:rsid w:val="00670A4D"/>
    <w:rsid w:val="006710F2"/>
    <w:rsid w:val="00671270"/>
    <w:rsid w:val="006716C6"/>
    <w:rsid w:val="00671980"/>
    <w:rsid w:val="006720FD"/>
    <w:rsid w:val="00672852"/>
    <w:rsid w:val="00672A0D"/>
    <w:rsid w:val="00672DD8"/>
    <w:rsid w:val="006734AE"/>
    <w:rsid w:val="00673693"/>
    <w:rsid w:val="00673BC3"/>
    <w:rsid w:val="006740BE"/>
    <w:rsid w:val="0067416A"/>
    <w:rsid w:val="0067433F"/>
    <w:rsid w:val="00674368"/>
    <w:rsid w:val="006753AF"/>
    <w:rsid w:val="006756FF"/>
    <w:rsid w:val="0067686C"/>
    <w:rsid w:val="0067695C"/>
    <w:rsid w:val="00676BB5"/>
    <w:rsid w:val="00677126"/>
    <w:rsid w:val="00680185"/>
    <w:rsid w:val="006803F2"/>
    <w:rsid w:val="0068061A"/>
    <w:rsid w:val="006806E6"/>
    <w:rsid w:val="00680A0A"/>
    <w:rsid w:val="006813B9"/>
    <w:rsid w:val="00681419"/>
    <w:rsid w:val="00681D3A"/>
    <w:rsid w:val="00681DBF"/>
    <w:rsid w:val="00682113"/>
    <w:rsid w:val="0068225C"/>
    <w:rsid w:val="00682D91"/>
    <w:rsid w:val="00682FF4"/>
    <w:rsid w:val="00683269"/>
    <w:rsid w:val="006836B3"/>
    <w:rsid w:val="0068396F"/>
    <w:rsid w:val="00684792"/>
    <w:rsid w:val="00684A36"/>
    <w:rsid w:val="006850CB"/>
    <w:rsid w:val="00685730"/>
    <w:rsid w:val="0068586A"/>
    <w:rsid w:val="00685A27"/>
    <w:rsid w:val="00685B8D"/>
    <w:rsid w:val="00685BDB"/>
    <w:rsid w:val="0068638B"/>
    <w:rsid w:val="0068640F"/>
    <w:rsid w:val="00686A1A"/>
    <w:rsid w:val="00686DBB"/>
    <w:rsid w:val="006871AF"/>
    <w:rsid w:val="006872C5"/>
    <w:rsid w:val="00687967"/>
    <w:rsid w:val="00687AD0"/>
    <w:rsid w:val="00687EA0"/>
    <w:rsid w:val="00690620"/>
    <w:rsid w:val="0069066D"/>
    <w:rsid w:val="006908B2"/>
    <w:rsid w:val="00690FE5"/>
    <w:rsid w:val="00691855"/>
    <w:rsid w:val="00691BF7"/>
    <w:rsid w:val="00692668"/>
    <w:rsid w:val="006927AE"/>
    <w:rsid w:val="00692C93"/>
    <w:rsid w:val="00692F96"/>
    <w:rsid w:val="00693141"/>
    <w:rsid w:val="0069361D"/>
    <w:rsid w:val="006936B5"/>
    <w:rsid w:val="006938E6"/>
    <w:rsid w:val="006940DF"/>
    <w:rsid w:val="0069414E"/>
    <w:rsid w:val="006943C4"/>
    <w:rsid w:val="00694590"/>
    <w:rsid w:val="00694617"/>
    <w:rsid w:val="00694EC3"/>
    <w:rsid w:val="006950B9"/>
    <w:rsid w:val="006950D4"/>
    <w:rsid w:val="0069513E"/>
    <w:rsid w:val="00695376"/>
    <w:rsid w:val="006953D5"/>
    <w:rsid w:val="006959C3"/>
    <w:rsid w:val="00695C8D"/>
    <w:rsid w:val="0069618D"/>
    <w:rsid w:val="00696731"/>
    <w:rsid w:val="00696745"/>
    <w:rsid w:val="00696978"/>
    <w:rsid w:val="00696B3A"/>
    <w:rsid w:val="00696B75"/>
    <w:rsid w:val="00696C31"/>
    <w:rsid w:val="00697967"/>
    <w:rsid w:val="006979AB"/>
    <w:rsid w:val="006A0240"/>
    <w:rsid w:val="006A034A"/>
    <w:rsid w:val="006A03A9"/>
    <w:rsid w:val="006A049A"/>
    <w:rsid w:val="006A07F1"/>
    <w:rsid w:val="006A0A4D"/>
    <w:rsid w:val="006A0DDA"/>
    <w:rsid w:val="006A0F3D"/>
    <w:rsid w:val="006A1157"/>
    <w:rsid w:val="006A1496"/>
    <w:rsid w:val="006A170D"/>
    <w:rsid w:val="006A17AF"/>
    <w:rsid w:val="006A17E2"/>
    <w:rsid w:val="006A19B0"/>
    <w:rsid w:val="006A19B9"/>
    <w:rsid w:val="006A23C5"/>
    <w:rsid w:val="006A25FF"/>
    <w:rsid w:val="006A36BD"/>
    <w:rsid w:val="006A3BC9"/>
    <w:rsid w:val="006A44D6"/>
    <w:rsid w:val="006A4821"/>
    <w:rsid w:val="006A4D55"/>
    <w:rsid w:val="006A4E9C"/>
    <w:rsid w:val="006A542E"/>
    <w:rsid w:val="006A5727"/>
    <w:rsid w:val="006A5A0B"/>
    <w:rsid w:val="006A6226"/>
    <w:rsid w:val="006A626D"/>
    <w:rsid w:val="006A65FB"/>
    <w:rsid w:val="006A69C3"/>
    <w:rsid w:val="006A6C9F"/>
    <w:rsid w:val="006A7793"/>
    <w:rsid w:val="006A79EB"/>
    <w:rsid w:val="006B0E05"/>
    <w:rsid w:val="006B1AB4"/>
    <w:rsid w:val="006B1F65"/>
    <w:rsid w:val="006B25DD"/>
    <w:rsid w:val="006B2954"/>
    <w:rsid w:val="006B2C3E"/>
    <w:rsid w:val="006B2F1A"/>
    <w:rsid w:val="006B3B5D"/>
    <w:rsid w:val="006B3C1E"/>
    <w:rsid w:val="006B3F61"/>
    <w:rsid w:val="006B4959"/>
    <w:rsid w:val="006B5089"/>
    <w:rsid w:val="006B5147"/>
    <w:rsid w:val="006B5926"/>
    <w:rsid w:val="006B602C"/>
    <w:rsid w:val="006B6B1A"/>
    <w:rsid w:val="006B6B37"/>
    <w:rsid w:val="006B6BE6"/>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246F"/>
    <w:rsid w:val="006C3A5B"/>
    <w:rsid w:val="006C3D8B"/>
    <w:rsid w:val="006C3F56"/>
    <w:rsid w:val="006C410F"/>
    <w:rsid w:val="006C44AD"/>
    <w:rsid w:val="006C478B"/>
    <w:rsid w:val="006C4EAB"/>
    <w:rsid w:val="006C55CC"/>
    <w:rsid w:val="006C5715"/>
    <w:rsid w:val="006C6802"/>
    <w:rsid w:val="006C6D1F"/>
    <w:rsid w:val="006C7381"/>
    <w:rsid w:val="006C745C"/>
    <w:rsid w:val="006C75D1"/>
    <w:rsid w:val="006C7760"/>
    <w:rsid w:val="006C7A69"/>
    <w:rsid w:val="006D02EE"/>
    <w:rsid w:val="006D0344"/>
    <w:rsid w:val="006D06BA"/>
    <w:rsid w:val="006D0C98"/>
    <w:rsid w:val="006D0DA1"/>
    <w:rsid w:val="006D1591"/>
    <w:rsid w:val="006D19F8"/>
    <w:rsid w:val="006D1C6F"/>
    <w:rsid w:val="006D1E95"/>
    <w:rsid w:val="006D1F59"/>
    <w:rsid w:val="006D1F71"/>
    <w:rsid w:val="006D269D"/>
    <w:rsid w:val="006D27CC"/>
    <w:rsid w:val="006D2A2A"/>
    <w:rsid w:val="006D2ABD"/>
    <w:rsid w:val="006D2E86"/>
    <w:rsid w:val="006D3043"/>
    <w:rsid w:val="006D32F1"/>
    <w:rsid w:val="006D3621"/>
    <w:rsid w:val="006D38AC"/>
    <w:rsid w:val="006D3DAD"/>
    <w:rsid w:val="006D4042"/>
    <w:rsid w:val="006D4221"/>
    <w:rsid w:val="006D4408"/>
    <w:rsid w:val="006D4593"/>
    <w:rsid w:val="006D45A9"/>
    <w:rsid w:val="006D47A0"/>
    <w:rsid w:val="006D4858"/>
    <w:rsid w:val="006D4D6E"/>
    <w:rsid w:val="006D537A"/>
    <w:rsid w:val="006D556E"/>
    <w:rsid w:val="006D55B9"/>
    <w:rsid w:val="006D5664"/>
    <w:rsid w:val="006D57E7"/>
    <w:rsid w:val="006D5F69"/>
    <w:rsid w:val="006D6560"/>
    <w:rsid w:val="006D681E"/>
    <w:rsid w:val="006D6D36"/>
    <w:rsid w:val="006D7692"/>
    <w:rsid w:val="006D7742"/>
    <w:rsid w:val="006D7824"/>
    <w:rsid w:val="006D7E2D"/>
    <w:rsid w:val="006E067B"/>
    <w:rsid w:val="006E105B"/>
    <w:rsid w:val="006E135F"/>
    <w:rsid w:val="006E139A"/>
    <w:rsid w:val="006E2106"/>
    <w:rsid w:val="006E270B"/>
    <w:rsid w:val="006E2B78"/>
    <w:rsid w:val="006E2D21"/>
    <w:rsid w:val="006E2F59"/>
    <w:rsid w:val="006E32B2"/>
    <w:rsid w:val="006E35B5"/>
    <w:rsid w:val="006E36D5"/>
    <w:rsid w:val="006E3A26"/>
    <w:rsid w:val="006E4384"/>
    <w:rsid w:val="006E4687"/>
    <w:rsid w:val="006E47B4"/>
    <w:rsid w:val="006E5467"/>
    <w:rsid w:val="006E5924"/>
    <w:rsid w:val="006E5E21"/>
    <w:rsid w:val="006E5F12"/>
    <w:rsid w:val="006E639B"/>
    <w:rsid w:val="006E65EF"/>
    <w:rsid w:val="006E66B4"/>
    <w:rsid w:val="006E6752"/>
    <w:rsid w:val="006E68BB"/>
    <w:rsid w:val="006E6BC3"/>
    <w:rsid w:val="006E7168"/>
    <w:rsid w:val="006E7424"/>
    <w:rsid w:val="006E7744"/>
    <w:rsid w:val="006F03CA"/>
    <w:rsid w:val="006F0660"/>
    <w:rsid w:val="006F1015"/>
    <w:rsid w:val="006F1075"/>
    <w:rsid w:val="006F188C"/>
    <w:rsid w:val="006F25CD"/>
    <w:rsid w:val="006F29E5"/>
    <w:rsid w:val="006F2A57"/>
    <w:rsid w:val="006F33D8"/>
    <w:rsid w:val="006F3D6C"/>
    <w:rsid w:val="006F3F1E"/>
    <w:rsid w:val="006F422D"/>
    <w:rsid w:val="006F44A0"/>
    <w:rsid w:val="006F466F"/>
    <w:rsid w:val="006F487B"/>
    <w:rsid w:val="006F4A9D"/>
    <w:rsid w:val="006F4D8D"/>
    <w:rsid w:val="006F5003"/>
    <w:rsid w:val="006F551E"/>
    <w:rsid w:val="006F56C7"/>
    <w:rsid w:val="006F5812"/>
    <w:rsid w:val="006F5839"/>
    <w:rsid w:val="006F5881"/>
    <w:rsid w:val="006F5EFF"/>
    <w:rsid w:val="006F63DD"/>
    <w:rsid w:val="006F6450"/>
    <w:rsid w:val="006F664E"/>
    <w:rsid w:val="006F6F64"/>
    <w:rsid w:val="006F7F7B"/>
    <w:rsid w:val="00700023"/>
    <w:rsid w:val="00700090"/>
    <w:rsid w:val="00700281"/>
    <w:rsid w:val="007007A3"/>
    <w:rsid w:val="00700990"/>
    <w:rsid w:val="00700B47"/>
    <w:rsid w:val="00700CC0"/>
    <w:rsid w:val="00700F17"/>
    <w:rsid w:val="0070148E"/>
    <w:rsid w:val="007017D6"/>
    <w:rsid w:val="0070197D"/>
    <w:rsid w:val="00701B9F"/>
    <w:rsid w:val="00701C21"/>
    <w:rsid w:val="00701ECE"/>
    <w:rsid w:val="00702291"/>
    <w:rsid w:val="00702943"/>
    <w:rsid w:val="00702AF0"/>
    <w:rsid w:val="00702B6F"/>
    <w:rsid w:val="0070300D"/>
    <w:rsid w:val="00703538"/>
    <w:rsid w:val="00703D2F"/>
    <w:rsid w:val="007041D0"/>
    <w:rsid w:val="007043AD"/>
    <w:rsid w:val="007045FB"/>
    <w:rsid w:val="0070462C"/>
    <w:rsid w:val="00704933"/>
    <w:rsid w:val="00704C4D"/>
    <w:rsid w:val="00704E15"/>
    <w:rsid w:val="00705105"/>
    <w:rsid w:val="0070516D"/>
    <w:rsid w:val="0070522B"/>
    <w:rsid w:val="00705AAB"/>
    <w:rsid w:val="00705DBD"/>
    <w:rsid w:val="0070623E"/>
    <w:rsid w:val="00706272"/>
    <w:rsid w:val="00706E20"/>
    <w:rsid w:val="00706E3B"/>
    <w:rsid w:val="007071F1"/>
    <w:rsid w:val="007074F6"/>
    <w:rsid w:val="007074F9"/>
    <w:rsid w:val="00707583"/>
    <w:rsid w:val="007077C2"/>
    <w:rsid w:val="007078C6"/>
    <w:rsid w:val="00710478"/>
    <w:rsid w:val="0071056B"/>
    <w:rsid w:val="007105D5"/>
    <w:rsid w:val="00710956"/>
    <w:rsid w:val="00710C64"/>
    <w:rsid w:val="00711145"/>
    <w:rsid w:val="00711A5E"/>
    <w:rsid w:val="00711B6D"/>
    <w:rsid w:val="00711ECA"/>
    <w:rsid w:val="0071215C"/>
    <w:rsid w:val="0071247A"/>
    <w:rsid w:val="0071274D"/>
    <w:rsid w:val="00712B5E"/>
    <w:rsid w:val="00712BC9"/>
    <w:rsid w:val="00712CBA"/>
    <w:rsid w:val="007136E9"/>
    <w:rsid w:val="00713C26"/>
    <w:rsid w:val="00713DDF"/>
    <w:rsid w:val="00713F73"/>
    <w:rsid w:val="00714261"/>
    <w:rsid w:val="007148F3"/>
    <w:rsid w:val="00714B5B"/>
    <w:rsid w:val="00714F7C"/>
    <w:rsid w:val="007150E1"/>
    <w:rsid w:val="00715313"/>
    <w:rsid w:val="0071549A"/>
    <w:rsid w:val="0071570C"/>
    <w:rsid w:val="007159A5"/>
    <w:rsid w:val="00715D94"/>
    <w:rsid w:val="00715F80"/>
    <w:rsid w:val="00715FA8"/>
    <w:rsid w:val="007161AD"/>
    <w:rsid w:val="0071659E"/>
    <w:rsid w:val="00716A20"/>
    <w:rsid w:val="00716EA9"/>
    <w:rsid w:val="00716F85"/>
    <w:rsid w:val="0071704D"/>
    <w:rsid w:val="007174D0"/>
    <w:rsid w:val="00717600"/>
    <w:rsid w:val="0071766D"/>
    <w:rsid w:val="00717749"/>
    <w:rsid w:val="00717E6E"/>
    <w:rsid w:val="00720040"/>
    <w:rsid w:val="007201F8"/>
    <w:rsid w:val="0072056D"/>
    <w:rsid w:val="0072070C"/>
    <w:rsid w:val="00720A0D"/>
    <w:rsid w:val="00720C2E"/>
    <w:rsid w:val="00720C4F"/>
    <w:rsid w:val="00720F0A"/>
    <w:rsid w:val="007217B4"/>
    <w:rsid w:val="00722623"/>
    <w:rsid w:val="007230CE"/>
    <w:rsid w:val="00723231"/>
    <w:rsid w:val="00723D66"/>
    <w:rsid w:val="007241CF"/>
    <w:rsid w:val="0072444D"/>
    <w:rsid w:val="007244C1"/>
    <w:rsid w:val="0072462A"/>
    <w:rsid w:val="007246EC"/>
    <w:rsid w:val="00724790"/>
    <w:rsid w:val="00724907"/>
    <w:rsid w:val="0072509A"/>
    <w:rsid w:val="007250DD"/>
    <w:rsid w:val="00725160"/>
    <w:rsid w:val="007251A9"/>
    <w:rsid w:val="007251B0"/>
    <w:rsid w:val="007260BE"/>
    <w:rsid w:val="0072613F"/>
    <w:rsid w:val="00726C8A"/>
    <w:rsid w:val="00726F5D"/>
    <w:rsid w:val="00727140"/>
    <w:rsid w:val="007275CD"/>
    <w:rsid w:val="007275D7"/>
    <w:rsid w:val="00727848"/>
    <w:rsid w:val="00727A71"/>
    <w:rsid w:val="00727BDF"/>
    <w:rsid w:val="00727D4C"/>
    <w:rsid w:val="00727E8F"/>
    <w:rsid w:val="00727F5D"/>
    <w:rsid w:val="00730759"/>
    <w:rsid w:val="00730995"/>
    <w:rsid w:val="00731350"/>
    <w:rsid w:val="007313F9"/>
    <w:rsid w:val="00731A76"/>
    <w:rsid w:val="00732024"/>
    <w:rsid w:val="007321DC"/>
    <w:rsid w:val="007322CB"/>
    <w:rsid w:val="00732497"/>
    <w:rsid w:val="00732781"/>
    <w:rsid w:val="0073283B"/>
    <w:rsid w:val="0073285F"/>
    <w:rsid w:val="00732CB8"/>
    <w:rsid w:val="00732D48"/>
    <w:rsid w:val="00732EE8"/>
    <w:rsid w:val="00733132"/>
    <w:rsid w:val="007332AA"/>
    <w:rsid w:val="007338E3"/>
    <w:rsid w:val="00734068"/>
    <w:rsid w:val="007340C3"/>
    <w:rsid w:val="007349EF"/>
    <w:rsid w:val="00734DEA"/>
    <w:rsid w:val="00734E2D"/>
    <w:rsid w:val="0073598E"/>
    <w:rsid w:val="00735F7F"/>
    <w:rsid w:val="00736A76"/>
    <w:rsid w:val="00736C7A"/>
    <w:rsid w:val="00736D95"/>
    <w:rsid w:val="00736E5C"/>
    <w:rsid w:val="00737299"/>
    <w:rsid w:val="007372DC"/>
    <w:rsid w:val="00737404"/>
    <w:rsid w:val="00737489"/>
    <w:rsid w:val="007375EA"/>
    <w:rsid w:val="00737EAE"/>
    <w:rsid w:val="00740844"/>
    <w:rsid w:val="00740A44"/>
    <w:rsid w:val="00741308"/>
    <w:rsid w:val="0074172A"/>
    <w:rsid w:val="0074172B"/>
    <w:rsid w:val="0074177F"/>
    <w:rsid w:val="00741BDE"/>
    <w:rsid w:val="00741C32"/>
    <w:rsid w:val="00741C56"/>
    <w:rsid w:val="00741E47"/>
    <w:rsid w:val="00741F13"/>
    <w:rsid w:val="00742170"/>
    <w:rsid w:val="007424A8"/>
    <w:rsid w:val="007427D1"/>
    <w:rsid w:val="00742A83"/>
    <w:rsid w:val="00743305"/>
    <w:rsid w:val="00743985"/>
    <w:rsid w:val="00744053"/>
    <w:rsid w:val="007443C5"/>
    <w:rsid w:val="007454CA"/>
    <w:rsid w:val="00745C7C"/>
    <w:rsid w:val="007466E2"/>
    <w:rsid w:val="00746915"/>
    <w:rsid w:val="00746ADC"/>
    <w:rsid w:val="00746C34"/>
    <w:rsid w:val="00746E53"/>
    <w:rsid w:val="00747FE7"/>
    <w:rsid w:val="00750237"/>
    <w:rsid w:val="007502DA"/>
    <w:rsid w:val="007503AE"/>
    <w:rsid w:val="007506C5"/>
    <w:rsid w:val="007506E1"/>
    <w:rsid w:val="0075083E"/>
    <w:rsid w:val="007508B7"/>
    <w:rsid w:val="00750916"/>
    <w:rsid w:val="00750DD7"/>
    <w:rsid w:val="00750E07"/>
    <w:rsid w:val="0075113A"/>
    <w:rsid w:val="007511C7"/>
    <w:rsid w:val="0075241C"/>
    <w:rsid w:val="00752585"/>
    <w:rsid w:val="007529D4"/>
    <w:rsid w:val="00752BF3"/>
    <w:rsid w:val="00753036"/>
    <w:rsid w:val="007530AE"/>
    <w:rsid w:val="00753243"/>
    <w:rsid w:val="0075341A"/>
    <w:rsid w:val="00753768"/>
    <w:rsid w:val="00753D79"/>
    <w:rsid w:val="0075400C"/>
    <w:rsid w:val="007545DC"/>
    <w:rsid w:val="00755337"/>
    <w:rsid w:val="00755708"/>
    <w:rsid w:val="007558E5"/>
    <w:rsid w:val="00755C95"/>
    <w:rsid w:val="00755ECA"/>
    <w:rsid w:val="007562B6"/>
    <w:rsid w:val="007569F1"/>
    <w:rsid w:val="007571F9"/>
    <w:rsid w:val="00757494"/>
    <w:rsid w:val="007574D7"/>
    <w:rsid w:val="00757801"/>
    <w:rsid w:val="00757A18"/>
    <w:rsid w:val="00757D9C"/>
    <w:rsid w:val="007606B4"/>
    <w:rsid w:val="00760B37"/>
    <w:rsid w:val="00760BC5"/>
    <w:rsid w:val="00760CC3"/>
    <w:rsid w:val="00760F71"/>
    <w:rsid w:val="00761484"/>
    <w:rsid w:val="007615FE"/>
    <w:rsid w:val="0076243C"/>
    <w:rsid w:val="00762884"/>
    <w:rsid w:val="0076296F"/>
    <w:rsid w:val="0076297B"/>
    <w:rsid w:val="00762C0E"/>
    <w:rsid w:val="00762ED3"/>
    <w:rsid w:val="00763021"/>
    <w:rsid w:val="00763581"/>
    <w:rsid w:val="00763BE6"/>
    <w:rsid w:val="00763DDE"/>
    <w:rsid w:val="00763DFA"/>
    <w:rsid w:val="00764078"/>
    <w:rsid w:val="00764448"/>
    <w:rsid w:val="00764563"/>
    <w:rsid w:val="007646B1"/>
    <w:rsid w:val="00764E20"/>
    <w:rsid w:val="0076586A"/>
    <w:rsid w:val="007658BA"/>
    <w:rsid w:val="007659B1"/>
    <w:rsid w:val="00765A52"/>
    <w:rsid w:val="00765A91"/>
    <w:rsid w:val="00765DE4"/>
    <w:rsid w:val="00765F8D"/>
    <w:rsid w:val="00766414"/>
    <w:rsid w:val="0076658A"/>
    <w:rsid w:val="0076729C"/>
    <w:rsid w:val="00767303"/>
    <w:rsid w:val="00767D91"/>
    <w:rsid w:val="00770455"/>
    <w:rsid w:val="007705A6"/>
    <w:rsid w:val="0077066B"/>
    <w:rsid w:val="00770681"/>
    <w:rsid w:val="00770944"/>
    <w:rsid w:val="00770E73"/>
    <w:rsid w:val="00770FE1"/>
    <w:rsid w:val="00771007"/>
    <w:rsid w:val="00771703"/>
    <w:rsid w:val="00771BCF"/>
    <w:rsid w:val="00772EAD"/>
    <w:rsid w:val="007734A4"/>
    <w:rsid w:val="00773B08"/>
    <w:rsid w:val="00773B26"/>
    <w:rsid w:val="00773C4C"/>
    <w:rsid w:val="00773DE2"/>
    <w:rsid w:val="00773F03"/>
    <w:rsid w:val="007744E9"/>
    <w:rsid w:val="00774576"/>
    <w:rsid w:val="00774619"/>
    <w:rsid w:val="00774C36"/>
    <w:rsid w:val="007750E7"/>
    <w:rsid w:val="007757EA"/>
    <w:rsid w:val="00775831"/>
    <w:rsid w:val="00775880"/>
    <w:rsid w:val="00776132"/>
    <w:rsid w:val="00776295"/>
    <w:rsid w:val="007765C8"/>
    <w:rsid w:val="00776783"/>
    <w:rsid w:val="00776A7A"/>
    <w:rsid w:val="00777140"/>
    <w:rsid w:val="00777476"/>
    <w:rsid w:val="00777D8A"/>
    <w:rsid w:val="00777ECC"/>
    <w:rsid w:val="00777ED0"/>
    <w:rsid w:val="0078043A"/>
    <w:rsid w:val="00781E9E"/>
    <w:rsid w:val="00782231"/>
    <w:rsid w:val="00782262"/>
    <w:rsid w:val="00783218"/>
    <w:rsid w:val="00783C15"/>
    <w:rsid w:val="007846F5"/>
    <w:rsid w:val="00784848"/>
    <w:rsid w:val="007848D1"/>
    <w:rsid w:val="00784B24"/>
    <w:rsid w:val="00785507"/>
    <w:rsid w:val="007857C7"/>
    <w:rsid w:val="00785AEC"/>
    <w:rsid w:val="00785B2C"/>
    <w:rsid w:val="00785BD3"/>
    <w:rsid w:val="00785CC8"/>
    <w:rsid w:val="007861D8"/>
    <w:rsid w:val="007863CE"/>
    <w:rsid w:val="00786402"/>
    <w:rsid w:val="00786411"/>
    <w:rsid w:val="0078751B"/>
    <w:rsid w:val="00787CAA"/>
    <w:rsid w:val="00787DD9"/>
    <w:rsid w:val="00790334"/>
    <w:rsid w:val="007905F1"/>
    <w:rsid w:val="007909A5"/>
    <w:rsid w:val="00790C69"/>
    <w:rsid w:val="00790E87"/>
    <w:rsid w:val="00790FE5"/>
    <w:rsid w:val="007916D0"/>
    <w:rsid w:val="00791A2D"/>
    <w:rsid w:val="00791BB2"/>
    <w:rsid w:val="00791E7A"/>
    <w:rsid w:val="00792322"/>
    <w:rsid w:val="0079235A"/>
    <w:rsid w:val="00792C15"/>
    <w:rsid w:val="007933EB"/>
    <w:rsid w:val="007936D2"/>
    <w:rsid w:val="00793826"/>
    <w:rsid w:val="00793999"/>
    <w:rsid w:val="00793D3F"/>
    <w:rsid w:val="007940FB"/>
    <w:rsid w:val="0079436D"/>
    <w:rsid w:val="007948D2"/>
    <w:rsid w:val="00795991"/>
    <w:rsid w:val="007964BD"/>
    <w:rsid w:val="00796596"/>
    <w:rsid w:val="0079677B"/>
    <w:rsid w:val="007970EF"/>
    <w:rsid w:val="00797180"/>
    <w:rsid w:val="007971ED"/>
    <w:rsid w:val="00797858"/>
    <w:rsid w:val="00797A7E"/>
    <w:rsid w:val="00797AB3"/>
    <w:rsid w:val="007A0166"/>
    <w:rsid w:val="007A045D"/>
    <w:rsid w:val="007A079E"/>
    <w:rsid w:val="007A0DF8"/>
    <w:rsid w:val="007A1189"/>
    <w:rsid w:val="007A1A8C"/>
    <w:rsid w:val="007A20AB"/>
    <w:rsid w:val="007A2312"/>
    <w:rsid w:val="007A2666"/>
    <w:rsid w:val="007A2EBF"/>
    <w:rsid w:val="007A3508"/>
    <w:rsid w:val="007A37C0"/>
    <w:rsid w:val="007A3843"/>
    <w:rsid w:val="007A3FB8"/>
    <w:rsid w:val="007A4973"/>
    <w:rsid w:val="007A4C0F"/>
    <w:rsid w:val="007A58B7"/>
    <w:rsid w:val="007A59F8"/>
    <w:rsid w:val="007A5A3A"/>
    <w:rsid w:val="007A61E7"/>
    <w:rsid w:val="007A62DA"/>
    <w:rsid w:val="007A6BA1"/>
    <w:rsid w:val="007A6F31"/>
    <w:rsid w:val="007A7316"/>
    <w:rsid w:val="007A76E1"/>
    <w:rsid w:val="007A78ED"/>
    <w:rsid w:val="007A78F5"/>
    <w:rsid w:val="007A7F28"/>
    <w:rsid w:val="007B012C"/>
    <w:rsid w:val="007B0AC9"/>
    <w:rsid w:val="007B0B6C"/>
    <w:rsid w:val="007B111D"/>
    <w:rsid w:val="007B1491"/>
    <w:rsid w:val="007B168D"/>
    <w:rsid w:val="007B1EAA"/>
    <w:rsid w:val="007B21F4"/>
    <w:rsid w:val="007B242A"/>
    <w:rsid w:val="007B2527"/>
    <w:rsid w:val="007B29F5"/>
    <w:rsid w:val="007B2BBA"/>
    <w:rsid w:val="007B348F"/>
    <w:rsid w:val="007B36C4"/>
    <w:rsid w:val="007B3797"/>
    <w:rsid w:val="007B3BBD"/>
    <w:rsid w:val="007B4BCE"/>
    <w:rsid w:val="007B4EFE"/>
    <w:rsid w:val="007B50AC"/>
    <w:rsid w:val="007B5216"/>
    <w:rsid w:val="007B522B"/>
    <w:rsid w:val="007B55B0"/>
    <w:rsid w:val="007B5A6B"/>
    <w:rsid w:val="007B5BB9"/>
    <w:rsid w:val="007B5D4C"/>
    <w:rsid w:val="007B5DD0"/>
    <w:rsid w:val="007B5DF8"/>
    <w:rsid w:val="007B5E2B"/>
    <w:rsid w:val="007B6198"/>
    <w:rsid w:val="007B61AB"/>
    <w:rsid w:val="007B647F"/>
    <w:rsid w:val="007B6AA2"/>
    <w:rsid w:val="007B6AC7"/>
    <w:rsid w:val="007B6E3D"/>
    <w:rsid w:val="007B7516"/>
    <w:rsid w:val="007B797B"/>
    <w:rsid w:val="007B7D01"/>
    <w:rsid w:val="007C0154"/>
    <w:rsid w:val="007C020E"/>
    <w:rsid w:val="007C0D6D"/>
    <w:rsid w:val="007C1137"/>
    <w:rsid w:val="007C1819"/>
    <w:rsid w:val="007C21C3"/>
    <w:rsid w:val="007C28A3"/>
    <w:rsid w:val="007C2BDF"/>
    <w:rsid w:val="007C2C9E"/>
    <w:rsid w:val="007C2E22"/>
    <w:rsid w:val="007C3158"/>
    <w:rsid w:val="007C37A2"/>
    <w:rsid w:val="007C3FC4"/>
    <w:rsid w:val="007C42A8"/>
    <w:rsid w:val="007C4339"/>
    <w:rsid w:val="007C4533"/>
    <w:rsid w:val="007C494D"/>
    <w:rsid w:val="007C4C3A"/>
    <w:rsid w:val="007C4F59"/>
    <w:rsid w:val="007C4F6A"/>
    <w:rsid w:val="007C4FA9"/>
    <w:rsid w:val="007C50F0"/>
    <w:rsid w:val="007C54AE"/>
    <w:rsid w:val="007C5CBD"/>
    <w:rsid w:val="007C643A"/>
    <w:rsid w:val="007C6623"/>
    <w:rsid w:val="007C6910"/>
    <w:rsid w:val="007C6D15"/>
    <w:rsid w:val="007C7061"/>
    <w:rsid w:val="007C75EA"/>
    <w:rsid w:val="007C7749"/>
    <w:rsid w:val="007C7C35"/>
    <w:rsid w:val="007C7FD3"/>
    <w:rsid w:val="007D0192"/>
    <w:rsid w:val="007D0625"/>
    <w:rsid w:val="007D0E96"/>
    <w:rsid w:val="007D15D6"/>
    <w:rsid w:val="007D1932"/>
    <w:rsid w:val="007D1C6D"/>
    <w:rsid w:val="007D1DA0"/>
    <w:rsid w:val="007D2B85"/>
    <w:rsid w:val="007D2C03"/>
    <w:rsid w:val="007D3109"/>
    <w:rsid w:val="007D3448"/>
    <w:rsid w:val="007D3701"/>
    <w:rsid w:val="007D37EC"/>
    <w:rsid w:val="007D37FF"/>
    <w:rsid w:val="007D3AAC"/>
    <w:rsid w:val="007D3B66"/>
    <w:rsid w:val="007D3CCB"/>
    <w:rsid w:val="007D403E"/>
    <w:rsid w:val="007D541C"/>
    <w:rsid w:val="007D54C4"/>
    <w:rsid w:val="007D55CE"/>
    <w:rsid w:val="007D5928"/>
    <w:rsid w:val="007D59AA"/>
    <w:rsid w:val="007D5A81"/>
    <w:rsid w:val="007D5C0F"/>
    <w:rsid w:val="007D5D0C"/>
    <w:rsid w:val="007D5D9F"/>
    <w:rsid w:val="007D6189"/>
    <w:rsid w:val="007D640C"/>
    <w:rsid w:val="007D6A88"/>
    <w:rsid w:val="007D6BE8"/>
    <w:rsid w:val="007D6C4F"/>
    <w:rsid w:val="007D6D49"/>
    <w:rsid w:val="007D704C"/>
    <w:rsid w:val="007D7245"/>
    <w:rsid w:val="007D7281"/>
    <w:rsid w:val="007D72D5"/>
    <w:rsid w:val="007D7BB3"/>
    <w:rsid w:val="007E045F"/>
    <w:rsid w:val="007E06F6"/>
    <w:rsid w:val="007E0906"/>
    <w:rsid w:val="007E091F"/>
    <w:rsid w:val="007E096A"/>
    <w:rsid w:val="007E0A36"/>
    <w:rsid w:val="007E1E6D"/>
    <w:rsid w:val="007E2134"/>
    <w:rsid w:val="007E24D9"/>
    <w:rsid w:val="007E2725"/>
    <w:rsid w:val="007E2DA8"/>
    <w:rsid w:val="007E2ED9"/>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3D4"/>
    <w:rsid w:val="007E5593"/>
    <w:rsid w:val="007E561D"/>
    <w:rsid w:val="007E5622"/>
    <w:rsid w:val="007E56B4"/>
    <w:rsid w:val="007E58CE"/>
    <w:rsid w:val="007E5B50"/>
    <w:rsid w:val="007E5C45"/>
    <w:rsid w:val="007E6694"/>
    <w:rsid w:val="007E6725"/>
    <w:rsid w:val="007E6CF3"/>
    <w:rsid w:val="007E6EBA"/>
    <w:rsid w:val="007E700E"/>
    <w:rsid w:val="007E718B"/>
    <w:rsid w:val="007E7378"/>
    <w:rsid w:val="007E772D"/>
    <w:rsid w:val="007E79CB"/>
    <w:rsid w:val="007E7D6D"/>
    <w:rsid w:val="007F0019"/>
    <w:rsid w:val="007F0105"/>
    <w:rsid w:val="007F010C"/>
    <w:rsid w:val="007F0971"/>
    <w:rsid w:val="007F0BB3"/>
    <w:rsid w:val="007F0C1E"/>
    <w:rsid w:val="007F0F20"/>
    <w:rsid w:val="007F1579"/>
    <w:rsid w:val="007F17D2"/>
    <w:rsid w:val="007F1E07"/>
    <w:rsid w:val="007F201F"/>
    <w:rsid w:val="007F2147"/>
    <w:rsid w:val="007F2614"/>
    <w:rsid w:val="007F2864"/>
    <w:rsid w:val="007F2B5E"/>
    <w:rsid w:val="007F2D31"/>
    <w:rsid w:val="007F2D75"/>
    <w:rsid w:val="007F322C"/>
    <w:rsid w:val="007F3442"/>
    <w:rsid w:val="007F36E7"/>
    <w:rsid w:val="007F36EE"/>
    <w:rsid w:val="007F3CFA"/>
    <w:rsid w:val="007F473A"/>
    <w:rsid w:val="007F4991"/>
    <w:rsid w:val="007F4E08"/>
    <w:rsid w:val="007F5354"/>
    <w:rsid w:val="007F6041"/>
    <w:rsid w:val="007F63AB"/>
    <w:rsid w:val="007F672D"/>
    <w:rsid w:val="007F69B0"/>
    <w:rsid w:val="007F6F83"/>
    <w:rsid w:val="007F7AD7"/>
    <w:rsid w:val="007F7C89"/>
    <w:rsid w:val="008000EA"/>
    <w:rsid w:val="0080033B"/>
    <w:rsid w:val="00800461"/>
    <w:rsid w:val="00800793"/>
    <w:rsid w:val="00800BAE"/>
    <w:rsid w:val="0080143E"/>
    <w:rsid w:val="00801722"/>
    <w:rsid w:val="00801821"/>
    <w:rsid w:val="008018F5"/>
    <w:rsid w:val="00801D72"/>
    <w:rsid w:val="008023FE"/>
    <w:rsid w:val="00802534"/>
    <w:rsid w:val="00802C9F"/>
    <w:rsid w:val="00802D40"/>
    <w:rsid w:val="00802F18"/>
    <w:rsid w:val="0080399A"/>
    <w:rsid w:val="00803B67"/>
    <w:rsid w:val="00803C9B"/>
    <w:rsid w:val="00803CA0"/>
    <w:rsid w:val="00803CE4"/>
    <w:rsid w:val="00803EDC"/>
    <w:rsid w:val="008042A6"/>
    <w:rsid w:val="008044ED"/>
    <w:rsid w:val="00804FA0"/>
    <w:rsid w:val="008052E6"/>
    <w:rsid w:val="00805C16"/>
    <w:rsid w:val="00806093"/>
    <w:rsid w:val="00806817"/>
    <w:rsid w:val="00806A87"/>
    <w:rsid w:val="00806CEE"/>
    <w:rsid w:val="00806DE4"/>
    <w:rsid w:val="008071E5"/>
    <w:rsid w:val="00807E76"/>
    <w:rsid w:val="008101D5"/>
    <w:rsid w:val="00810266"/>
    <w:rsid w:val="0081048A"/>
    <w:rsid w:val="0081070E"/>
    <w:rsid w:val="00810D50"/>
    <w:rsid w:val="00810D6A"/>
    <w:rsid w:val="008110B1"/>
    <w:rsid w:val="0081152D"/>
    <w:rsid w:val="00811B86"/>
    <w:rsid w:val="00811C2A"/>
    <w:rsid w:val="00812300"/>
    <w:rsid w:val="008126A5"/>
    <w:rsid w:val="0081286C"/>
    <w:rsid w:val="00812AB8"/>
    <w:rsid w:val="00812B3C"/>
    <w:rsid w:val="0081326B"/>
    <w:rsid w:val="0081361C"/>
    <w:rsid w:val="008138B0"/>
    <w:rsid w:val="00813AF4"/>
    <w:rsid w:val="00813B23"/>
    <w:rsid w:val="008142B3"/>
    <w:rsid w:val="0081485C"/>
    <w:rsid w:val="00814E5C"/>
    <w:rsid w:val="00814E84"/>
    <w:rsid w:val="00815327"/>
    <w:rsid w:val="008154B4"/>
    <w:rsid w:val="00815653"/>
    <w:rsid w:val="008162BC"/>
    <w:rsid w:val="008164AC"/>
    <w:rsid w:val="00816507"/>
    <w:rsid w:val="00816559"/>
    <w:rsid w:val="00816A50"/>
    <w:rsid w:val="0081722A"/>
    <w:rsid w:val="008203E2"/>
    <w:rsid w:val="0082057C"/>
    <w:rsid w:val="008208BD"/>
    <w:rsid w:val="00821671"/>
    <w:rsid w:val="00821710"/>
    <w:rsid w:val="00821BED"/>
    <w:rsid w:val="00821C86"/>
    <w:rsid w:val="00821EA9"/>
    <w:rsid w:val="0082221A"/>
    <w:rsid w:val="008230A3"/>
    <w:rsid w:val="008232B2"/>
    <w:rsid w:val="008235B8"/>
    <w:rsid w:val="008235D9"/>
    <w:rsid w:val="00823A65"/>
    <w:rsid w:val="00823AE2"/>
    <w:rsid w:val="008240D2"/>
    <w:rsid w:val="008242F2"/>
    <w:rsid w:val="00824A03"/>
    <w:rsid w:val="00824E7E"/>
    <w:rsid w:val="00824F33"/>
    <w:rsid w:val="00824F35"/>
    <w:rsid w:val="00824FE9"/>
    <w:rsid w:val="00825075"/>
    <w:rsid w:val="0082515E"/>
    <w:rsid w:val="0082544B"/>
    <w:rsid w:val="00825616"/>
    <w:rsid w:val="0082588E"/>
    <w:rsid w:val="008259BB"/>
    <w:rsid w:val="00825AE2"/>
    <w:rsid w:val="008260A9"/>
    <w:rsid w:val="00826385"/>
    <w:rsid w:val="00826C24"/>
    <w:rsid w:val="00826E06"/>
    <w:rsid w:val="00827025"/>
    <w:rsid w:val="0082737C"/>
    <w:rsid w:val="00827A07"/>
    <w:rsid w:val="008305BF"/>
    <w:rsid w:val="0083063E"/>
    <w:rsid w:val="0083098C"/>
    <w:rsid w:val="00830A02"/>
    <w:rsid w:val="00830B03"/>
    <w:rsid w:val="00830C66"/>
    <w:rsid w:val="00830F16"/>
    <w:rsid w:val="00830FA0"/>
    <w:rsid w:val="00831724"/>
    <w:rsid w:val="00831843"/>
    <w:rsid w:val="008318C7"/>
    <w:rsid w:val="00831AA3"/>
    <w:rsid w:val="00831B13"/>
    <w:rsid w:val="00831D29"/>
    <w:rsid w:val="00831D8B"/>
    <w:rsid w:val="00832554"/>
    <w:rsid w:val="00832B88"/>
    <w:rsid w:val="00832BEF"/>
    <w:rsid w:val="00833106"/>
    <w:rsid w:val="00833878"/>
    <w:rsid w:val="00833899"/>
    <w:rsid w:val="00833D7C"/>
    <w:rsid w:val="00834271"/>
    <w:rsid w:val="008343DC"/>
    <w:rsid w:val="0083462D"/>
    <w:rsid w:val="00834B22"/>
    <w:rsid w:val="00834ECA"/>
    <w:rsid w:val="00834FBC"/>
    <w:rsid w:val="008351A1"/>
    <w:rsid w:val="00835540"/>
    <w:rsid w:val="0083557A"/>
    <w:rsid w:val="00835873"/>
    <w:rsid w:val="00836159"/>
    <w:rsid w:val="008367DD"/>
    <w:rsid w:val="00836B9F"/>
    <w:rsid w:val="00836FAD"/>
    <w:rsid w:val="0083753C"/>
    <w:rsid w:val="00837604"/>
    <w:rsid w:val="0084066C"/>
    <w:rsid w:val="00840909"/>
    <w:rsid w:val="008409DC"/>
    <w:rsid w:val="00840D16"/>
    <w:rsid w:val="00841459"/>
    <w:rsid w:val="008417CD"/>
    <w:rsid w:val="008418D2"/>
    <w:rsid w:val="008418D7"/>
    <w:rsid w:val="00841A42"/>
    <w:rsid w:val="00841F19"/>
    <w:rsid w:val="008423F8"/>
    <w:rsid w:val="00842549"/>
    <w:rsid w:val="008425BF"/>
    <w:rsid w:val="0084269A"/>
    <w:rsid w:val="00842AED"/>
    <w:rsid w:val="00842B48"/>
    <w:rsid w:val="008438E7"/>
    <w:rsid w:val="00844592"/>
    <w:rsid w:val="00844F1E"/>
    <w:rsid w:val="008457DE"/>
    <w:rsid w:val="00845801"/>
    <w:rsid w:val="00845B68"/>
    <w:rsid w:val="00845F84"/>
    <w:rsid w:val="008461A6"/>
    <w:rsid w:val="00846343"/>
    <w:rsid w:val="008469A2"/>
    <w:rsid w:val="0084709D"/>
    <w:rsid w:val="008475A2"/>
    <w:rsid w:val="00847651"/>
    <w:rsid w:val="00847A75"/>
    <w:rsid w:val="00847E08"/>
    <w:rsid w:val="00850668"/>
    <w:rsid w:val="00850829"/>
    <w:rsid w:val="008509C9"/>
    <w:rsid w:val="00850A7C"/>
    <w:rsid w:val="00850BCC"/>
    <w:rsid w:val="008510D2"/>
    <w:rsid w:val="008515B7"/>
    <w:rsid w:val="00851A09"/>
    <w:rsid w:val="00851AD1"/>
    <w:rsid w:val="008523B3"/>
    <w:rsid w:val="00852B1A"/>
    <w:rsid w:val="00852DCE"/>
    <w:rsid w:val="00852E78"/>
    <w:rsid w:val="008533AC"/>
    <w:rsid w:val="008536BA"/>
    <w:rsid w:val="00853709"/>
    <w:rsid w:val="00853800"/>
    <w:rsid w:val="00853821"/>
    <w:rsid w:val="008543B0"/>
    <w:rsid w:val="00854878"/>
    <w:rsid w:val="008549B0"/>
    <w:rsid w:val="008550EC"/>
    <w:rsid w:val="00855291"/>
    <w:rsid w:val="0085555F"/>
    <w:rsid w:val="00855708"/>
    <w:rsid w:val="00856137"/>
    <w:rsid w:val="0085666A"/>
    <w:rsid w:val="008567D0"/>
    <w:rsid w:val="00856839"/>
    <w:rsid w:val="00856BB3"/>
    <w:rsid w:val="0085759B"/>
    <w:rsid w:val="00857B44"/>
    <w:rsid w:val="00857BAE"/>
    <w:rsid w:val="00857C1D"/>
    <w:rsid w:val="00860293"/>
    <w:rsid w:val="00860972"/>
    <w:rsid w:val="00860BBA"/>
    <w:rsid w:val="00860C6D"/>
    <w:rsid w:val="008610A9"/>
    <w:rsid w:val="008613EB"/>
    <w:rsid w:val="0086158F"/>
    <w:rsid w:val="008615FF"/>
    <w:rsid w:val="00861FBB"/>
    <w:rsid w:val="008620E5"/>
    <w:rsid w:val="008621A8"/>
    <w:rsid w:val="00862237"/>
    <w:rsid w:val="008623FA"/>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D9D"/>
    <w:rsid w:val="0086507C"/>
    <w:rsid w:val="00865127"/>
    <w:rsid w:val="008652D6"/>
    <w:rsid w:val="0086532A"/>
    <w:rsid w:val="008655A2"/>
    <w:rsid w:val="008657E9"/>
    <w:rsid w:val="0086681A"/>
    <w:rsid w:val="00866EF7"/>
    <w:rsid w:val="0086717E"/>
    <w:rsid w:val="008675BB"/>
    <w:rsid w:val="0086770E"/>
    <w:rsid w:val="00867CDD"/>
    <w:rsid w:val="00870515"/>
    <w:rsid w:val="008707A8"/>
    <w:rsid w:val="00870B00"/>
    <w:rsid w:val="00870F48"/>
    <w:rsid w:val="008711D4"/>
    <w:rsid w:val="0087129C"/>
    <w:rsid w:val="00871DD9"/>
    <w:rsid w:val="00871E9C"/>
    <w:rsid w:val="00872030"/>
    <w:rsid w:val="008722FD"/>
    <w:rsid w:val="00872C0C"/>
    <w:rsid w:val="008733BF"/>
    <w:rsid w:val="008738E4"/>
    <w:rsid w:val="00873964"/>
    <w:rsid w:val="00873C02"/>
    <w:rsid w:val="00874C83"/>
    <w:rsid w:val="00874D3B"/>
    <w:rsid w:val="008755B6"/>
    <w:rsid w:val="0087561D"/>
    <w:rsid w:val="00875CA1"/>
    <w:rsid w:val="0087612D"/>
    <w:rsid w:val="00876D49"/>
    <w:rsid w:val="008774B3"/>
    <w:rsid w:val="00877B0C"/>
    <w:rsid w:val="00880226"/>
    <w:rsid w:val="0088037B"/>
    <w:rsid w:val="008806DB"/>
    <w:rsid w:val="00880D9F"/>
    <w:rsid w:val="0088102C"/>
    <w:rsid w:val="008811C7"/>
    <w:rsid w:val="0088155A"/>
    <w:rsid w:val="00881DF8"/>
    <w:rsid w:val="00881E72"/>
    <w:rsid w:val="00882455"/>
    <w:rsid w:val="00882860"/>
    <w:rsid w:val="00882B97"/>
    <w:rsid w:val="00882CF1"/>
    <w:rsid w:val="00882EFD"/>
    <w:rsid w:val="00883880"/>
    <w:rsid w:val="00883C83"/>
    <w:rsid w:val="00883D1A"/>
    <w:rsid w:val="00884599"/>
    <w:rsid w:val="00884DED"/>
    <w:rsid w:val="00884FD9"/>
    <w:rsid w:val="00885201"/>
    <w:rsid w:val="00885351"/>
    <w:rsid w:val="00885408"/>
    <w:rsid w:val="0088550C"/>
    <w:rsid w:val="00885722"/>
    <w:rsid w:val="00885E06"/>
    <w:rsid w:val="00885FB6"/>
    <w:rsid w:val="00885FEB"/>
    <w:rsid w:val="008865EE"/>
    <w:rsid w:val="00886823"/>
    <w:rsid w:val="00886A79"/>
    <w:rsid w:val="00886E1C"/>
    <w:rsid w:val="00887CA2"/>
    <w:rsid w:val="00887E7B"/>
    <w:rsid w:val="00887EAE"/>
    <w:rsid w:val="008904CD"/>
    <w:rsid w:val="00890F45"/>
    <w:rsid w:val="00891003"/>
    <w:rsid w:val="00891152"/>
    <w:rsid w:val="008917ED"/>
    <w:rsid w:val="00891A0D"/>
    <w:rsid w:val="00891B74"/>
    <w:rsid w:val="00891C03"/>
    <w:rsid w:val="008920F8"/>
    <w:rsid w:val="008924B3"/>
    <w:rsid w:val="0089365D"/>
    <w:rsid w:val="00893753"/>
    <w:rsid w:val="0089378A"/>
    <w:rsid w:val="00893E27"/>
    <w:rsid w:val="00893F02"/>
    <w:rsid w:val="0089467C"/>
    <w:rsid w:val="00894997"/>
    <w:rsid w:val="00895031"/>
    <w:rsid w:val="008954CD"/>
    <w:rsid w:val="008955C5"/>
    <w:rsid w:val="00895764"/>
    <w:rsid w:val="008959EE"/>
    <w:rsid w:val="00896030"/>
    <w:rsid w:val="008960DF"/>
    <w:rsid w:val="008965D4"/>
    <w:rsid w:val="00896D43"/>
    <w:rsid w:val="0089779D"/>
    <w:rsid w:val="00897FD9"/>
    <w:rsid w:val="008A01CC"/>
    <w:rsid w:val="008A0391"/>
    <w:rsid w:val="008A06A6"/>
    <w:rsid w:val="008A0767"/>
    <w:rsid w:val="008A1268"/>
    <w:rsid w:val="008A1402"/>
    <w:rsid w:val="008A1523"/>
    <w:rsid w:val="008A17E3"/>
    <w:rsid w:val="008A17FC"/>
    <w:rsid w:val="008A1D43"/>
    <w:rsid w:val="008A271A"/>
    <w:rsid w:val="008A2E02"/>
    <w:rsid w:val="008A2F98"/>
    <w:rsid w:val="008A310F"/>
    <w:rsid w:val="008A3A8C"/>
    <w:rsid w:val="008A3DE2"/>
    <w:rsid w:val="008A454F"/>
    <w:rsid w:val="008A47AE"/>
    <w:rsid w:val="008A4A68"/>
    <w:rsid w:val="008A4D49"/>
    <w:rsid w:val="008A5305"/>
    <w:rsid w:val="008A5638"/>
    <w:rsid w:val="008A56AF"/>
    <w:rsid w:val="008A56DC"/>
    <w:rsid w:val="008A5C00"/>
    <w:rsid w:val="008A5DC5"/>
    <w:rsid w:val="008A6195"/>
    <w:rsid w:val="008A6234"/>
    <w:rsid w:val="008A62D6"/>
    <w:rsid w:val="008A631C"/>
    <w:rsid w:val="008A639E"/>
    <w:rsid w:val="008A6D06"/>
    <w:rsid w:val="008A6F1A"/>
    <w:rsid w:val="008A7005"/>
    <w:rsid w:val="008A71DA"/>
    <w:rsid w:val="008A7523"/>
    <w:rsid w:val="008A780F"/>
    <w:rsid w:val="008A79B2"/>
    <w:rsid w:val="008A7D11"/>
    <w:rsid w:val="008A7F7A"/>
    <w:rsid w:val="008B001A"/>
    <w:rsid w:val="008B036E"/>
    <w:rsid w:val="008B05C9"/>
    <w:rsid w:val="008B0928"/>
    <w:rsid w:val="008B0D64"/>
    <w:rsid w:val="008B0FC9"/>
    <w:rsid w:val="008B127B"/>
    <w:rsid w:val="008B14F1"/>
    <w:rsid w:val="008B15FD"/>
    <w:rsid w:val="008B1865"/>
    <w:rsid w:val="008B1B15"/>
    <w:rsid w:val="008B1DBC"/>
    <w:rsid w:val="008B1DD2"/>
    <w:rsid w:val="008B1DFD"/>
    <w:rsid w:val="008B1EB1"/>
    <w:rsid w:val="008B26CF"/>
    <w:rsid w:val="008B3109"/>
    <w:rsid w:val="008B31CF"/>
    <w:rsid w:val="008B3EE4"/>
    <w:rsid w:val="008B45EF"/>
    <w:rsid w:val="008B47CD"/>
    <w:rsid w:val="008B48F4"/>
    <w:rsid w:val="008B4E0B"/>
    <w:rsid w:val="008B4E2C"/>
    <w:rsid w:val="008B52DF"/>
    <w:rsid w:val="008B6024"/>
    <w:rsid w:val="008B63DF"/>
    <w:rsid w:val="008B66CC"/>
    <w:rsid w:val="008B7852"/>
    <w:rsid w:val="008B7894"/>
    <w:rsid w:val="008B7BB3"/>
    <w:rsid w:val="008B7C3E"/>
    <w:rsid w:val="008B7D7C"/>
    <w:rsid w:val="008C00E4"/>
    <w:rsid w:val="008C00EA"/>
    <w:rsid w:val="008C0143"/>
    <w:rsid w:val="008C0636"/>
    <w:rsid w:val="008C06AC"/>
    <w:rsid w:val="008C0CAC"/>
    <w:rsid w:val="008C0ED6"/>
    <w:rsid w:val="008C13EF"/>
    <w:rsid w:val="008C166E"/>
    <w:rsid w:val="008C210D"/>
    <w:rsid w:val="008C21F1"/>
    <w:rsid w:val="008C2237"/>
    <w:rsid w:val="008C2902"/>
    <w:rsid w:val="008C3846"/>
    <w:rsid w:val="008C3E32"/>
    <w:rsid w:val="008C3F1D"/>
    <w:rsid w:val="008C45D3"/>
    <w:rsid w:val="008C47AC"/>
    <w:rsid w:val="008C4803"/>
    <w:rsid w:val="008C4A1D"/>
    <w:rsid w:val="008C4C65"/>
    <w:rsid w:val="008C4EC1"/>
    <w:rsid w:val="008C4ED5"/>
    <w:rsid w:val="008C52B9"/>
    <w:rsid w:val="008C57E8"/>
    <w:rsid w:val="008C5FFE"/>
    <w:rsid w:val="008C62F3"/>
    <w:rsid w:val="008C650B"/>
    <w:rsid w:val="008C6850"/>
    <w:rsid w:val="008C6D48"/>
    <w:rsid w:val="008C6F68"/>
    <w:rsid w:val="008C722E"/>
    <w:rsid w:val="008C73F8"/>
    <w:rsid w:val="008C784E"/>
    <w:rsid w:val="008C7CD1"/>
    <w:rsid w:val="008D0646"/>
    <w:rsid w:val="008D0A15"/>
    <w:rsid w:val="008D0D4B"/>
    <w:rsid w:val="008D0F6B"/>
    <w:rsid w:val="008D108C"/>
    <w:rsid w:val="008D150A"/>
    <w:rsid w:val="008D155E"/>
    <w:rsid w:val="008D1DF5"/>
    <w:rsid w:val="008D1E11"/>
    <w:rsid w:val="008D1FC8"/>
    <w:rsid w:val="008D2179"/>
    <w:rsid w:val="008D2396"/>
    <w:rsid w:val="008D2516"/>
    <w:rsid w:val="008D2897"/>
    <w:rsid w:val="008D2B67"/>
    <w:rsid w:val="008D2C20"/>
    <w:rsid w:val="008D2D62"/>
    <w:rsid w:val="008D2FFD"/>
    <w:rsid w:val="008D3BCB"/>
    <w:rsid w:val="008D3D87"/>
    <w:rsid w:val="008D3E2F"/>
    <w:rsid w:val="008D3EAD"/>
    <w:rsid w:val="008D4592"/>
    <w:rsid w:val="008D459C"/>
    <w:rsid w:val="008D4B9C"/>
    <w:rsid w:val="008D508A"/>
    <w:rsid w:val="008D53CC"/>
    <w:rsid w:val="008D559D"/>
    <w:rsid w:val="008D56F5"/>
    <w:rsid w:val="008D597D"/>
    <w:rsid w:val="008D5F72"/>
    <w:rsid w:val="008D6560"/>
    <w:rsid w:val="008D66D2"/>
    <w:rsid w:val="008D6F08"/>
    <w:rsid w:val="008D7769"/>
    <w:rsid w:val="008D77AA"/>
    <w:rsid w:val="008D78AB"/>
    <w:rsid w:val="008D7A15"/>
    <w:rsid w:val="008D7CBD"/>
    <w:rsid w:val="008D7EDC"/>
    <w:rsid w:val="008E00B3"/>
    <w:rsid w:val="008E00D8"/>
    <w:rsid w:val="008E00E2"/>
    <w:rsid w:val="008E10F7"/>
    <w:rsid w:val="008E1785"/>
    <w:rsid w:val="008E19D6"/>
    <w:rsid w:val="008E1E2D"/>
    <w:rsid w:val="008E1FD4"/>
    <w:rsid w:val="008E242A"/>
    <w:rsid w:val="008E257A"/>
    <w:rsid w:val="008E2C4E"/>
    <w:rsid w:val="008E2CCF"/>
    <w:rsid w:val="008E30AB"/>
    <w:rsid w:val="008E33DF"/>
    <w:rsid w:val="008E38B1"/>
    <w:rsid w:val="008E3A81"/>
    <w:rsid w:val="008E3D8F"/>
    <w:rsid w:val="008E409F"/>
    <w:rsid w:val="008E4322"/>
    <w:rsid w:val="008E4A81"/>
    <w:rsid w:val="008E4F78"/>
    <w:rsid w:val="008E5361"/>
    <w:rsid w:val="008E5707"/>
    <w:rsid w:val="008E59ED"/>
    <w:rsid w:val="008E5B03"/>
    <w:rsid w:val="008E5D3E"/>
    <w:rsid w:val="008E5E70"/>
    <w:rsid w:val="008E6CB7"/>
    <w:rsid w:val="008E6FA4"/>
    <w:rsid w:val="008E7025"/>
    <w:rsid w:val="008E72F4"/>
    <w:rsid w:val="008E747B"/>
    <w:rsid w:val="008E7BCF"/>
    <w:rsid w:val="008F00FF"/>
    <w:rsid w:val="008F0479"/>
    <w:rsid w:val="008F0568"/>
    <w:rsid w:val="008F0656"/>
    <w:rsid w:val="008F0AEB"/>
    <w:rsid w:val="008F0E88"/>
    <w:rsid w:val="008F11E1"/>
    <w:rsid w:val="008F16A0"/>
    <w:rsid w:val="008F1A26"/>
    <w:rsid w:val="008F1B3C"/>
    <w:rsid w:val="008F1BCC"/>
    <w:rsid w:val="008F1ED1"/>
    <w:rsid w:val="008F2A74"/>
    <w:rsid w:val="008F2AA8"/>
    <w:rsid w:val="008F3187"/>
    <w:rsid w:val="008F420E"/>
    <w:rsid w:val="008F4689"/>
    <w:rsid w:val="008F4A21"/>
    <w:rsid w:val="008F4B15"/>
    <w:rsid w:val="008F4B44"/>
    <w:rsid w:val="008F4E72"/>
    <w:rsid w:val="008F51B0"/>
    <w:rsid w:val="008F528A"/>
    <w:rsid w:val="008F5306"/>
    <w:rsid w:val="008F5332"/>
    <w:rsid w:val="008F5369"/>
    <w:rsid w:val="008F53A2"/>
    <w:rsid w:val="008F58D3"/>
    <w:rsid w:val="008F59EA"/>
    <w:rsid w:val="008F6095"/>
    <w:rsid w:val="008F6243"/>
    <w:rsid w:val="008F671C"/>
    <w:rsid w:val="008F6727"/>
    <w:rsid w:val="008F6729"/>
    <w:rsid w:val="008F6ADE"/>
    <w:rsid w:val="008F6E39"/>
    <w:rsid w:val="008F7224"/>
    <w:rsid w:val="008F72B1"/>
    <w:rsid w:val="008F7367"/>
    <w:rsid w:val="008F7637"/>
    <w:rsid w:val="008F7AC6"/>
    <w:rsid w:val="008F7C8F"/>
    <w:rsid w:val="008F7E27"/>
    <w:rsid w:val="009005E6"/>
    <w:rsid w:val="00900743"/>
    <w:rsid w:val="00900A9B"/>
    <w:rsid w:val="00900B0B"/>
    <w:rsid w:val="00900C20"/>
    <w:rsid w:val="00900ED4"/>
    <w:rsid w:val="00901896"/>
    <w:rsid w:val="00901C74"/>
    <w:rsid w:val="009020C9"/>
    <w:rsid w:val="00902100"/>
    <w:rsid w:val="009021A1"/>
    <w:rsid w:val="009022EA"/>
    <w:rsid w:val="00902AD1"/>
    <w:rsid w:val="00902B56"/>
    <w:rsid w:val="00902CC8"/>
    <w:rsid w:val="00902E15"/>
    <w:rsid w:val="00902EF1"/>
    <w:rsid w:val="0090336C"/>
    <w:rsid w:val="00903487"/>
    <w:rsid w:val="0090364E"/>
    <w:rsid w:val="00903C48"/>
    <w:rsid w:val="00903DC0"/>
    <w:rsid w:val="00904437"/>
    <w:rsid w:val="00904505"/>
    <w:rsid w:val="009048F0"/>
    <w:rsid w:val="00904B1A"/>
    <w:rsid w:val="00904C11"/>
    <w:rsid w:val="00904CFD"/>
    <w:rsid w:val="00905942"/>
    <w:rsid w:val="009059A7"/>
    <w:rsid w:val="00906142"/>
    <w:rsid w:val="0090674A"/>
    <w:rsid w:val="00906B09"/>
    <w:rsid w:val="00906B5F"/>
    <w:rsid w:val="00906DAA"/>
    <w:rsid w:val="0090720A"/>
    <w:rsid w:val="00907583"/>
    <w:rsid w:val="009076E2"/>
    <w:rsid w:val="0090776A"/>
    <w:rsid w:val="009079E3"/>
    <w:rsid w:val="009079FF"/>
    <w:rsid w:val="00907BAD"/>
    <w:rsid w:val="00910183"/>
    <w:rsid w:val="0091046E"/>
    <w:rsid w:val="0091048B"/>
    <w:rsid w:val="00910795"/>
    <w:rsid w:val="009111E8"/>
    <w:rsid w:val="009116FE"/>
    <w:rsid w:val="0091189A"/>
    <w:rsid w:val="009121EB"/>
    <w:rsid w:val="0091253C"/>
    <w:rsid w:val="009125A6"/>
    <w:rsid w:val="0091273F"/>
    <w:rsid w:val="00912A3C"/>
    <w:rsid w:val="00912AE7"/>
    <w:rsid w:val="00912D2F"/>
    <w:rsid w:val="00912D6F"/>
    <w:rsid w:val="00913162"/>
    <w:rsid w:val="0091319A"/>
    <w:rsid w:val="0091390D"/>
    <w:rsid w:val="0091458F"/>
    <w:rsid w:val="009147E1"/>
    <w:rsid w:val="00914F34"/>
    <w:rsid w:val="00915684"/>
    <w:rsid w:val="00915D86"/>
    <w:rsid w:val="00915D91"/>
    <w:rsid w:val="00915DAF"/>
    <w:rsid w:val="00915F11"/>
    <w:rsid w:val="00916153"/>
    <w:rsid w:val="00916162"/>
    <w:rsid w:val="00916364"/>
    <w:rsid w:val="00916791"/>
    <w:rsid w:val="0091695E"/>
    <w:rsid w:val="00916D34"/>
    <w:rsid w:val="00916E0F"/>
    <w:rsid w:val="00917231"/>
    <w:rsid w:val="00917A82"/>
    <w:rsid w:val="00917B9B"/>
    <w:rsid w:val="009206A4"/>
    <w:rsid w:val="00920914"/>
    <w:rsid w:val="009209F5"/>
    <w:rsid w:val="00920B33"/>
    <w:rsid w:val="00920C46"/>
    <w:rsid w:val="00920CE4"/>
    <w:rsid w:val="00920D1D"/>
    <w:rsid w:val="00920ED9"/>
    <w:rsid w:val="00921318"/>
    <w:rsid w:val="0092140A"/>
    <w:rsid w:val="00921677"/>
    <w:rsid w:val="0092167C"/>
    <w:rsid w:val="00921A38"/>
    <w:rsid w:val="0092224D"/>
    <w:rsid w:val="009222C3"/>
    <w:rsid w:val="00922534"/>
    <w:rsid w:val="009226AD"/>
    <w:rsid w:val="00922757"/>
    <w:rsid w:val="00923187"/>
    <w:rsid w:val="00923475"/>
    <w:rsid w:val="009236DB"/>
    <w:rsid w:val="00923C80"/>
    <w:rsid w:val="00923D45"/>
    <w:rsid w:val="00923E5D"/>
    <w:rsid w:val="0092427F"/>
    <w:rsid w:val="009244BB"/>
    <w:rsid w:val="00924808"/>
    <w:rsid w:val="0092496C"/>
    <w:rsid w:val="009249E8"/>
    <w:rsid w:val="00924BB7"/>
    <w:rsid w:val="00924BC2"/>
    <w:rsid w:val="0092500E"/>
    <w:rsid w:val="00925226"/>
    <w:rsid w:val="00925374"/>
    <w:rsid w:val="00925E90"/>
    <w:rsid w:val="00925F97"/>
    <w:rsid w:val="00926746"/>
    <w:rsid w:val="00926DC3"/>
    <w:rsid w:val="00926E06"/>
    <w:rsid w:val="009271C5"/>
    <w:rsid w:val="00927373"/>
    <w:rsid w:val="00927482"/>
    <w:rsid w:val="009275E5"/>
    <w:rsid w:val="009276F4"/>
    <w:rsid w:val="0092784A"/>
    <w:rsid w:val="00927FF4"/>
    <w:rsid w:val="00930103"/>
    <w:rsid w:val="00930364"/>
    <w:rsid w:val="009306BD"/>
    <w:rsid w:val="00930A2C"/>
    <w:rsid w:val="00930E17"/>
    <w:rsid w:val="00930F0C"/>
    <w:rsid w:val="00930FB8"/>
    <w:rsid w:val="009311BF"/>
    <w:rsid w:val="009318DC"/>
    <w:rsid w:val="0093192E"/>
    <w:rsid w:val="00932361"/>
    <w:rsid w:val="009328D8"/>
    <w:rsid w:val="00932AF6"/>
    <w:rsid w:val="00932C39"/>
    <w:rsid w:val="00932C90"/>
    <w:rsid w:val="00933000"/>
    <w:rsid w:val="00933576"/>
    <w:rsid w:val="0093398D"/>
    <w:rsid w:val="00933E65"/>
    <w:rsid w:val="009341A0"/>
    <w:rsid w:val="00934896"/>
    <w:rsid w:val="00934AFB"/>
    <w:rsid w:val="00934E47"/>
    <w:rsid w:val="00934EDD"/>
    <w:rsid w:val="00935418"/>
    <w:rsid w:val="00935AD2"/>
    <w:rsid w:val="00936A26"/>
    <w:rsid w:val="00936C0A"/>
    <w:rsid w:val="0093721A"/>
    <w:rsid w:val="009374D2"/>
    <w:rsid w:val="00937A78"/>
    <w:rsid w:val="00937CAE"/>
    <w:rsid w:val="00937D5C"/>
    <w:rsid w:val="00937DA3"/>
    <w:rsid w:val="00937E23"/>
    <w:rsid w:val="00937E27"/>
    <w:rsid w:val="00940732"/>
    <w:rsid w:val="0094079D"/>
    <w:rsid w:val="00940C0A"/>
    <w:rsid w:val="00940DDF"/>
    <w:rsid w:val="00941257"/>
    <w:rsid w:val="00941262"/>
    <w:rsid w:val="00941437"/>
    <w:rsid w:val="00941B4D"/>
    <w:rsid w:val="00942010"/>
    <w:rsid w:val="009420D4"/>
    <w:rsid w:val="0094216C"/>
    <w:rsid w:val="00942DF9"/>
    <w:rsid w:val="0094355D"/>
    <w:rsid w:val="00943D4D"/>
    <w:rsid w:val="00943DBA"/>
    <w:rsid w:val="00944814"/>
    <w:rsid w:val="009459C8"/>
    <w:rsid w:val="00946C0B"/>
    <w:rsid w:val="00946F14"/>
    <w:rsid w:val="009471C0"/>
    <w:rsid w:val="009474CC"/>
    <w:rsid w:val="009477ED"/>
    <w:rsid w:val="00947A0B"/>
    <w:rsid w:val="00947A23"/>
    <w:rsid w:val="00947CB2"/>
    <w:rsid w:val="00947E6F"/>
    <w:rsid w:val="00950194"/>
    <w:rsid w:val="00950227"/>
    <w:rsid w:val="00950D8C"/>
    <w:rsid w:val="00950DFD"/>
    <w:rsid w:val="00950E74"/>
    <w:rsid w:val="00951A89"/>
    <w:rsid w:val="00951C4D"/>
    <w:rsid w:val="00951FB0"/>
    <w:rsid w:val="00951FB7"/>
    <w:rsid w:val="00952361"/>
    <w:rsid w:val="00952585"/>
    <w:rsid w:val="00952793"/>
    <w:rsid w:val="009532C4"/>
    <w:rsid w:val="009532E9"/>
    <w:rsid w:val="00953E12"/>
    <w:rsid w:val="009541A0"/>
    <w:rsid w:val="009544E9"/>
    <w:rsid w:val="00954845"/>
    <w:rsid w:val="00954850"/>
    <w:rsid w:val="00954A39"/>
    <w:rsid w:val="00954BC7"/>
    <w:rsid w:val="00954EFF"/>
    <w:rsid w:val="00954F9A"/>
    <w:rsid w:val="009552B0"/>
    <w:rsid w:val="00955478"/>
    <w:rsid w:val="00955606"/>
    <w:rsid w:val="00955623"/>
    <w:rsid w:val="00955762"/>
    <w:rsid w:val="009558F9"/>
    <w:rsid w:val="0095598C"/>
    <w:rsid w:val="00955AAC"/>
    <w:rsid w:val="00955CFD"/>
    <w:rsid w:val="0095636E"/>
    <w:rsid w:val="009567D0"/>
    <w:rsid w:val="00956930"/>
    <w:rsid w:val="00956A68"/>
    <w:rsid w:val="00956A82"/>
    <w:rsid w:val="00956B6E"/>
    <w:rsid w:val="00956E4A"/>
    <w:rsid w:val="0095722C"/>
    <w:rsid w:val="0095759D"/>
    <w:rsid w:val="0095784D"/>
    <w:rsid w:val="00957F6E"/>
    <w:rsid w:val="009609DC"/>
    <w:rsid w:val="00961097"/>
    <w:rsid w:val="009614D0"/>
    <w:rsid w:val="009615AA"/>
    <w:rsid w:val="00962007"/>
    <w:rsid w:val="00962250"/>
    <w:rsid w:val="00962696"/>
    <w:rsid w:val="00962E57"/>
    <w:rsid w:val="00962EDB"/>
    <w:rsid w:val="00963C9A"/>
    <w:rsid w:val="00963E43"/>
    <w:rsid w:val="0096440B"/>
    <w:rsid w:val="00964572"/>
    <w:rsid w:val="0096460F"/>
    <w:rsid w:val="00964EBC"/>
    <w:rsid w:val="009653F6"/>
    <w:rsid w:val="00965C51"/>
    <w:rsid w:val="00965E39"/>
    <w:rsid w:val="009661E8"/>
    <w:rsid w:val="009663CF"/>
    <w:rsid w:val="0096679E"/>
    <w:rsid w:val="0096731C"/>
    <w:rsid w:val="00967351"/>
    <w:rsid w:val="0096783C"/>
    <w:rsid w:val="00967ABA"/>
    <w:rsid w:val="00967C13"/>
    <w:rsid w:val="00967D1B"/>
    <w:rsid w:val="009700EE"/>
    <w:rsid w:val="009705C4"/>
    <w:rsid w:val="0097078D"/>
    <w:rsid w:val="00970CD8"/>
    <w:rsid w:val="00971058"/>
    <w:rsid w:val="00971296"/>
    <w:rsid w:val="009718AE"/>
    <w:rsid w:val="00971DB6"/>
    <w:rsid w:val="0097224A"/>
    <w:rsid w:val="0097298F"/>
    <w:rsid w:val="00972990"/>
    <w:rsid w:val="00972F9D"/>
    <w:rsid w:val="009733C5"/>
    <w:rsid w:val="00973FD0"/>
    <w:rsid w:val="00974CD7"/>
    <w:rsid w:val="00975092"/>
    <w:rsid w:val="00975095"/>
    <w:rsid w:val="009757EB"/>
    <w:rsid w:val="00975ABF"/>
    <w:rsid w:val="00976053"/>
    <w:rsid w:val="009762DB"/>
    <w:rsid w:val="009762F2"/>
    <w:rsid w:val="00976393"/>
    <w:rsid w:val="00976D41"/>
    <w:rsid w:val="00976E2C"/>
    <w:rsid w:val="00977370"/>
    <w:rsid w:val="00977566"/>
    <w:rsid w:val="00977D0B"/>
    <w:rsid w:val="00977DE9"/>
    <w:rsid w:val="00980112"/>
    <w:rsid w:val="009808AE"/>
    <w:rsid w:val="00980983"/>
    <w:rsid w:val="00980ED2"/>
    <w:rsid w:val="00981D6A"/>
    <w:rsid w:val="0098200C"/>
    <w:rsid w:val="009826FD"/>
    <w:rsid w:val="009828C9"/>
    <w:rsid w:val="009828EF"/>
    <w:rsid w:val="00982909"/>
    <w:rsid w:val="00982C80"/>
    <w:rsid w:val="00982F43"/>
    <w:rsid w:val="0098317C"/>
    <w:rsid w:val="00983253"/>
    <w:rsid w:val="009833C7"/>
    <w:rsid w:val="009833E2"/>
    <w:rsid w:val="009839CA"/>
    <w:rsid w:val="00983BB4"/>
    <w:rsid w:val="00983EAE"/>
    <w:rsid w:val="00984035"/>
    <w:rsid w:val="0098442F"/>
    <w:rsid w:val="00984933"/>
    <w:rsid w:val="00984DA0"/>
    <w:rsid w:val="00985415"/>
    <w:rsid w:val="009856B4"/>
    <w:rsid w:val="00985F1E"/>
    <w:rsid w:val="009861C3"/>
    <w:rsid w:val="009865E3"/>
    <w:rsid w:val="00986A90"/>
    <w:rsid w:val="00986BC5"/>
    <w:rsid w:val="00986D47"/>
    <w:rsid w:val="00986ECB"/>
    <w:rsid w:val="00986F93"/>
    <w:rsid w:val="00986FD2"/>
    <w:rsid w:val="009875B8"/>
    <w:rsid w:val="00987716"/>
    <w:rsid w:val="00987D6B"/>
    <w:rsid w:val="00987E30"/>
    <w:rsid w:val="00987E85"/>
    <w:rsid w:val="00987FA2"/>
    <w:rsid w:val="00990127"/>
    <w:rsid w:val="00990991"/>
    <w:rsid w:val="00990B32"/>
    <w:rsid w:val="0099100B"/>
    <w:rsid w:val="009911A8"/>
    <w:rsid w:val="00991379"/>
    <w:rsid w:val="00991435"/>
    <w:rsid w:val="00991554"/>
    <w:rsid w:val="009916CE"/>
    <w:rsid w:val="00991947"/>
    <w:rsid w:val="00991BD3"/>
    <w:rsid w:val="00991EAF"/>
    <w:rsid w:val="00991F25"/>
    <w:rsid w:val="009920FA"/>
    <w:rsid w:val="009926C0"/>
    <w:rsid w:val="00992B8C"/>
    <w:rsid w:val="00992C33"/>
    <w:rsid w:val="00993024"/>
    <w:rsid w:val="009931A8"/>
    <w:rsid w:val="0099333E"/>
    <w:rsid w:val="00993A10"/>
    <w:rsid w:val="00993C6A"/>
    <w:rsid w:val="00993DF7"/>
    <w:rsid w:val="009941E5"/>
    <w:rsid w:val="00994584"/>
    <w:rsid w:val="00994B35"/>
    <w:rsid w:val="009954D4"/>
    <w:rsid w:val="00995C41"/>
    <w:rsid w:val="0099717F"/>
    <w:rsid w:val="009971D4"/>
    <w:rsid w:val="00997213"/>
    <w:rsid w:val="0099727D"/>
    <w:rsid w:val="00997434"/>
    <w:rsid w:val="009974DA"/>
    <w:rsid w:val="00997511"/>
    <w:rsid w:val="00997872"/>
    <w:rsid w:val="009978B1"/>
    <w:rsid w:val="00997B1B"/>
    <w:rsid w:val="009A038A"/>
    <w:rsid w:val="009A0C18"/>
    <w:rsid w:val="009A1C0C"/>
    <w:rsid w:val="009A1D48"/>
    <w:rsid w:val="009A1F68"/>
    <w:rsid w:val="009A2232"/>
    <w:rsid w:val="009A2505"/>
    <w:rsid w:val="009A2797"/>
    <w:rsid w:val="009A2AF0"/>
    <w:rsid w:val="009A2E12"/>
    <w:rsid w:val="009A34A2"/>
    <w:rsid w:val="009A35CA"/>
    <w:rsid w:val="009A36AD"/>
    <w:rsid w:val="009A3E54"/>
    <w:rsid w:val="009A4204"/>
    <w:rsid w:val="009A4374"/>
    <w:rsid w:val="009A4A87"/>
    <w:rsid w:val="009A4C2B"/>
    <w:rsid w:val="009A4D33"/>
    <w:rsid w:val="009A4F06"/>
    <w:rsid w:val="009A5A06"/>
    <w:rsid w:val="009A5B1E"/>
    <w:rsid w:val="009A6158"/>
    <w:rsid w:val="009A68A7"/>
    <w:rsid w:val="009A68ED"/>
    <w:rsid w:val="009A69D7"/>
    <w:rsid w:val="009A6EF5"/>
    <w:rsid w:val="009A6FAC"/>
    <w:rsid w:val="009A793E"/>
    <w:rsid w:val="009A7DA6"/>
    <w:rsid w:val="009B0217"/>
    <w:rsid w:val="009B0349"/>
    <w:rsid w:val="009B0DB0"/>
    <w:rsid w:val="009B0FC8"/>
    <w:rsid w:val="009B108A"/>
    <w:rsid w:val="009B13AB"/>
    <w:rsid w:val="009B17D8"/>
    <w:rsid w:val="009B1861"/>
    <w:rsid w:val="009B1A67"/>
    <w:rsid w:val="009B1DE8"/>
    <w:rsid w:val="009B2565"/>
    <w:rsid w:val="009B2896"/>
    <w:rsid w:val="009B31F8"/>
    <w:rsid w:val="009B363E"/>
    <w:rsid w:val="009B379C"/>
    <w:rsid w:val="009B38F1"/>
    <w:rsid w:val="009B3D53"/>
    <w:rsid w:val="009B3F58"/>
    <w:rsid w:val="009B3F70"/>
    <w:rsid w:val="009B53A3"/>
    <w:rsid w:val="009B5537"/>
    <w:rsid w:val="009B5552"/>
    <w:rsid w:val="009B584C"/>
    <w:rsid w:val="009B59C8"/>
    <w:rsid w:val="009B5E62"/>
    <w:rsid w:val="009B7310"/>
    <w:rsid w:val="009B7C3E"/>
    <w:rsid w:val="009C0273"/>
    <w:rsid w:val="009C0B24"/>
    <w:rsid w:val="009C0FDF"/>
    <w:rsid w:val="009C107C"/>
    <w:rsid w:val="009C14AD"/>
    <w:rsid w:val="009C1975"/>
    <w:rsid w:val="009C19B1"/>
    <w:rsid w:val="009C1ACD"/>
    <w:rsid w:val="009C1BE2"/>
    <w:rsid w:val="009C1DA0"/>
    <w:rsid w:val="009C2105"/>
    <w:rsid w:val="009C23C9"/>
    <w:rsid w:val="009C2BB0"/>
    <w:rsid w:val="009C2D5F"/>
    <w:rsid w:val="009C2FA8"/>
    <w:rsid w:val="009C2FD8"/>
    <w:rsid w:val="009C38DB"/>
    <w:rsid w:val="009C3940"/>
    <w:rsid w:val="009C3C45"/>
    <w:rsid w:val="009C3DD7"/>
    <w:rsid w:val="009C4152"/>
    <w:rsid w:val="009C43BC"/>
    <w:rsid w:val="009C4447"/>
    <w:rsid w:val="009C4584"/>
    <w:rsid w:val="009C47A5"/>
    <w:rsid w:val="009C47F6"/>
    <w:rsid w:val="009C4ABC"/>
    <w:rsid w:val="009C4C95"/>
    <w:rsid w:val="009C4E45"/>
    <w:rsid w:val="009C4F99"/>
    <w:rsid w:val="009C5C32"/>
    <w:rsid w:val="009C68B7"/>
    <w:rsid w:val="009C6F9B"/>
    <w:rsid w:val="009C7433"/>
    <w:rsid w:val="009C763D"/>
    <w:rsid w:val="009C79D5"/>
    <w:rsid w:val="009D009C"/>
    <w:rsid w:val="009D00E8"/>
    <w:rsid w:val="009D0730"/>
    <w:rsid w:val="009D0FDB"/>
    <w:rsid w:val="009D1AF8"/>
    <w:rsid w:val="009D1D74"/>
    <w:rsid w:val="009D2294"/>
    <w:rsid w:val="009D23CE"/>
    <w:rsid w:val="009D2EDB"/>
    <w:rsid w:val="009D2F20"/>
    <w:rsid w:val="009D325D"/>
    <w:rsid w:val="009D3854"/>
    <w:rsid w:val="009D38B5"/>
    <w:rsid w:val="009D38E8"/>
    <w:rsid w:val="009D39C0"/>
    <w:rsid w:val="009D3CF2"/>
    <w:rsid w:val="009D3FDA"/>
    <w:rsid w:val="009D406C"/>
    <w:rsid w:val="009D42C5"/>
    <w:rsid w:val="009D48FD"/>
    <w:rsid w:val="009D49C2"/>
    <w:rsid w:val="009D51ED"/>
    <w:rsid w:val="009D5227"/>
    <w:rsid w:val="009D526C"/>
    <w:rsid w:val="009D53CA"/>
    <w:rsid w:val="009D53D3"/>
    <w:rsid w:val="009D6121"/>
    <w:rsid w:val="009D638A"/>
    <w:rsid w:val="009D6762"/>
    <w:rsid w:val="009D6A4F"/>
    <w:rsid w:val="009D70D1"/>
    <w:rsid w:val="009D7222"/>
    <w:rsid w:val="009D74C6"/>
    <w:rsid w:val="009D7E0D"/>
    <w:rsid w:val="009E0068"/>
    <w:rsid w:val="009E00AC"/>
    <w:rsid w:val="009E015C"/>
    <w:rsid w:val="009E027E"/>
    <w:rsid w:val="009E0430"/>
    <w:rsid w:val="009E0737"/>
    <w:rsid w:val="009E074F"/>
    <w:rsid w:val="009E086B"/>
    <w:rsid w:val="009E0BB3"/>
    <w:rsid w:val="009E1805"/>
    <w:rsid w:val="009E19AC"/>
    <w:rsid w:val="009E1A07"/>
    <w:rsid w:val="009E1BA5"/>
    <w:rsid w:val="009E21CB"/>
    <w:rsid w:val="009E2480"/>
    <w:rsid w:val="009E24E5"/>
    <w:rsid w:val="009E25D3"/>
    <w:rsid w:val="009E30C5"/>
    <w:rsid w:val="009E3127"/>
    <w:rsid w:val="009E324A"/>
    <w:rsid w:val="009E3430"/>
    <w:rsid w:val="009E3B7A"/>
    <w:rsid w:val="009E3CC4"/>
    <w:rsid w:val="009E45E5"/>
    <w:rsid w:val="009E48F2"/>
    <w:rsid w:val="009E4A22"/>
    <w:rsid w:val="009E4A9B"/>
    <w:rsid w:val="009E5168"/>
    <w:rsid w:val="009E5484"/>
    <w:rsid w:val="009E59B3"/>
    <w:rsid w:val="009E5B54"/>
    <w:rsid w:val="009E5D65"/>
    <w:rsid w:val="009E5D8A"/>
    <w:rsid w:val="009E5FBC"/>
    <w:rsid w:val="009E615A"/>
    <w:rsid w:val="009E6346"/>
    <w:rsid w:val="009E65DE"/>
    <w:rsid w:val="009E689D"/>
    <w:rsid w:val="009E6C75"/>
    <w:rsid w:val="009E6D0B"/>
    <w:rsid w:val="009E70F6"/>
    <w:rsid w:val="009E7CAE"/>
    <w:rsid w:val="009F03F4"/>
    <w:rsid w:val="009F0572"/>
    <w:rsid w:val="009F059A"/>
    <w:rsid w:val="009F0850"/>
    <w:rsid w:val="009F087F"/>
    <w:rsid w:val="009F08BF"/>
    <w:rsid w:val="009F0951"/>
    <w:rsid w:val="009F0984"/>
    <w:rsid w:val="009F0C8E"/>
    <w:rsid w:val="009F166F"/>
    <w:rsid w:val="009F1D3D"/>
    <w:rsid w:val="009F1F26"/>
    <w:rsid w:val="009F2137"/>
    <w:rsid w:val="009F2B37"/>
    <w:rsid w:val="009F2D60"/>
    <w:rsid w:val="009F3458"/>
    <w:rsid w:val="009F36C3"/>
    <w:rsid w:val="009F3FC7"/>
    <w:rsid w:val="009F4334"/>
    <w:rsid w:val="009F4BE5"/>
    <w:rsid w:val="009F4F70"/>
    <w:rsid w:val="009F53D0"/>
    <w:rsid w:val="009F54BD"/>
    <w:rsid w:val="009F5770"/>
    <w:rsid w:val="009F5D39"/>
    <w:rsid w:val="009F5F41"/>
    <w:rsid w:val="009F60A0"/>
    <w:rsid w:val="009F60C0"/>
    <w:rsid w:val="009F66D1"/>
    <w:rsid w:val="009F7081"/>
    <w:rsid w:val="009F70BE"/>
    <w:rsid w:val="009F7197"/>
    <w:rsid w:val="009F7FF8"/>
    <w:rsid w:val="00A0021C"/>
    <w:rsid w:val="00A00393"/>
    <w:rsid w:val="00A006DB"/>
    <w:rsid w:val="00A00EB7"/>
    <w:rsid w:val="00A01965"/>
    <w:rsid w:val="00A0202A"/>
    <w:rsid w:val="00A0227B"/>
    <w:rsid w:val="00A0260F"/>
    <w:rsid w:val="00A0266D"/>
    <w:rsid w:val="00A02D6E"/>
    <w:rsid w:val="00A0309C"/>
    <w:rsid w:val="00A0316D"/>
    <w:rsid w:val="00A03259"/>
    <w:rsid w:val="00A0334A"/>
    <w:rsid w:val="00A0340C"/>
    <w:rsid w:val="00A0373F"/>
    <w:rsid w:val="00A03746"/>
    <w:rsid w:val="00A03828"/>
    <w:rsid w:val="00A0384B"/>
    <w:rsid w:val="00A03853"/>
    <w:rsid w:val="00A0459C"/>
    <w:rsid w:val="00A04681"/>
    <w:rsid w:val="00A04936"/>
    <w:rsid w:val="00A04FDC"/>
    <w:rsid w:val="00A053F1"/>
    <w:rsid w:val="00A05526"/>
    <w:rsid w:val="00A05654"/>
    <w:rsid w:val="00A057D2"/>
    <w:rsid w:val="00A05B87"/>
    <w:rsid w:val="00A05C27"/>
    <w:rsid w:val="00A05C52"/>
    <w:rsid w:val="00A05E4F"/>
    <w:rsid w:val="00A0703D"/>
    <w:rsid w:val="00A0743E"/>
    <w:rsid w:val="00A07616"/>
    <w:rsid w:val="00A076BC"/>
    <w:rsid w:val="00A078A4"/>
    <w:rsid w:val="00A07ADB"/>
    <w:rsid w:val="00A07EAB"/>
    <w:rsid w:val="00A103E4"/>
    <w:rsid w:val="00A103F3"/>
    <w:rsid w:val="00A10791"/>
    <w:rsid w:val="00A10B7D"/>
    <w:rsid w:val="00A12003"/>
    <w:rsid w:val="00A12877"/>
    <w:rsid w:val="00A1295C"/>
    <w:rsid w:val="00A13157"/>
    <w:rsid w:val="00A13B91"/>
    <w:rsid w:val="00A13D58"/>
    <w:rsid w:val="00A13DC6"/>
    <w:rsid w:val="00A13E10"/>
    <w:rsid w:val="00A147D4"/>
    <w:rsid w:val="00A14959"/>
    <w:rsid w:val="00A14DAA"/>
    <w:rsid w:val="00A15053"/>
    <w:rsid w:val="00A150AF"/>
    <w:rsid w:val="00A1518A"/>
    <w:rsid w:val="00A153BC"/>
    <w:rsid w:val="00A15AFC"/>
    <w:rsid w:val="00A1623B"/>
    <w:rsid w:val="00A16285"/>
    <w:rsid w:val="00A1647B"/>
    <w:rsid w:val="00A1673B"/>
    <w:rsid w:val="00A16753"/>
    <w:rsid w:val="00A167E8"/>
    <w:rsid w:val="00A168EA"/>
    <w:rsid w:val="00A16A86"/>
    <w:rsid w:val="00A1705F"/>
    <w:rsid w:val="00A17086"/>
    <w:rsid w:val="00A2010A"/>
    <w:rsid w:val="00A201C2"/>
    <w:rsid w:val="00A204D3"/>
    <w:rsid w:val="00A2051F"/>
    <w:rsid w:val="00A206BD"/>
    <w:rsid w:val="00A2075C"/>
    <w:rsid w:val="00A20BDC"/>
    <w:rsid w:val="00A20E98"/>
    <w:rsid w:val="00A21081"/>
    <w:rsid w:val="00A21094"/>
    <w:rsid w:val="00A210EB"/>
    <w:rsid w:val="00A21461"/>
    <w:rsid w:val="00A21900"/>
    <w:rsid w:val="00A21CE6"/>
    <w:rsid w:val="00A21DFA"/>
    <w:rsid w:val="00A21E33"/>
    <w:rsid w:val="00A21F8B"/>
    <w:rsid w:val="00A22303"/>
    <w:rsid w:val="00A22809"/>
    <w:rsid w:val="00A228E6"/>
    <w:rsid w:val="00A229D0"/>
    <w:rsid w:val="00A22B3F"/>
    <w:rsid w:val="00A22D37"/>
    <w:rsid w:val="00A22FB0"/>
    <w:rsid w:val="00A2398D"/>
    <w:rsid w:val="00A24072"/>
    <w:rsid w:val="00A243D2"/>
    <w:rsid w:val="00A24C49"/>
    <w:rsid w:val="00A24D77"/>
    <w:rsid w:val="00A25440"/>
    <w:rsid w:val="00A2551C"/>
    <w:rsid w:val="00A2610F"/>
    <w:rsid w:val="00A26577"/>
    <w:rsid w:val="00A267BA"/>
    <w:rsid w:val="00A2684C"/>
    <w:rsid w:val="00A26BE4"/>
    <w:rsid w:val="00A26FE5"/>
    <w:rsid w:val="00A2703D"/>
    <w:rsid w:val="00A2739D"/>
    <w:rsid w:val="00A27E77"/>
    <w:rsid w:val="00A30263"/>
    <w:rsid w:val="00A30487"/>
    <w:rsid w:val="00A30DFF"/>
    <w:rsid w:val="00A30EB0"/>
    <w:rsid w:val="00A30ED0"/>
    <w:rsid w:val="00A30FA2"/>
    <w:rsid w:val="00A31526"/>
    <w:rsid w:val="00A3163E"/>
    <w:rsid w:val="00A31749"/>
    <w:rsid w:val="00A32211"/>
    <w:rsid w:val="00A3264C"/>
    <w:rsid w:val="00A32E33"/>
    <w:rsid w:val="00A32F79"/>
    <w:rsid w:val="00A332A4"/>
    <w:rsid w:val="00A3343A"/>
    <w:rsid w:val="00A33A83"/>
    <w:rsid w:val="00A34040"/>
    <w:rsid w:val="00A34184"/>
    <w:rsid w:val="00A3439A"/>
    <w:rsid w:val="00A3472F"/>
    <w:rsid w:val="00A34D9E"/>
    <w:rsid w:val="00A3521F"/>
    <w:rsid w:val="00A35242"/>
    <w:rsid w:val="00A354BC"/>
    <w:rsid w:val="00A35525"/>
    <w:rsid w:val="00A35609"/>
    <w:rsid w:val="00A35FA8"/>
    <w:rsid w:val="00A363C6"/>
    <w:rsid w:val="00A365AD"/>
    <w:rsid w:val="00A3699C"/>
    <w:rsid w:val="00A36AEB"/>
    <w:rsid w:val="00A36B4E"/>
    <w:rsid w:val="00A36CB3"/>
    <w:rsid w:val="00A3726E"/>
    <w:rsid w:val="00A375D9"/>
    <w:rsid w:val="00A3779B"/>
    <w:rsid w:val="00A378EA"/>
    <w:rsid w:val="00A37D0F"/>
    <w:rsid w:val="00A4006D"/>
    <w:rsid w:val="00A404FC"/>
    <w:rsid w:val="00A405B4"/>
    <w:rsid w:val="00A40780"/>
    <w:rsid w:val="00A408D7"/>
    <w:rsid w:val="00A40C7E"/>
    <w:rsid w:val="00A40DE7"/>
    <w:rsid w:val="00A410FB"/>
    <w:rsid w:val="00A413BE"/>
    <w:rsid w:val="00A414A2"/>
    <w:rsid w:val="00A414E1"/>
    <w:rsid w:val="00A419B4"/>
    <w:rsid w:val="00A41CC1"/>
    <w:rsid w:val="00A41E14"/>
    <w:rsid w:val="00A424AF"/>
    <w:rsid w:val="00A424BC"/>
    <w:rsid w:val="00A424D6"/>
    <w:rsid w:val="00A43559"/>
    <w:rsid w:val="00A43566"/>
    <w:rsid w:val="00A43C00"/>
    <w:rsid w:val="00A43C2D"/>
    <w:rsid w:val="00A43D09"/>
    <w:rsid w:val="00A44AD3"/>
    <w:rsid w:val="00A44C54"/>
    <w:rsid w:val="00A456CE"/>
    <w:rsid w:val="00A45713"/>
    <w:rsid w:val="00A46920"/>
    <w:rsid w:val="00A46FEC"/>
    <w:rsid w:val="00A47C28"/>
    <w:rsid w:val="00A47C70"/>
    <w:rsid w:val="00A50571"/>
    <w:rsid w:val="00A50CBE"/>
    <w:rsid w:val="00A50EAC"/>
    <w:rsid w:val="00A51070"/>
    <w:rsid w:val="00A51460"/>
    <w:rsid w:val="00A5153C"/>
    <w:rsid w:val="00A51898"/>
    <w:rsid w:val="00A51C46"/>
    <w:rsid w:val="00A51FCF"/>
    <w:rsid w:val="00A52189"/>
    <w:rsid w:val="00A523C2"/>
    <w:rsid w:val="00A5283F"/>
    <w:rsid w:val="00A52897"/>
    <w:rsid w:val="00A5289E"/>
    <w:rsid w:val="00A528BB"/>
    <w:rsid w:val="00A52937"/>
    <w:rsid w:val="00A52B1C"/>
    <w:rsid w:val="00A52C82"/>
    <w:rsid w:val="00A53538"/>
    <w:rsid w:val="00A5404F"/>
    <w:rsid w:val="00A54B9A"/>
    <w:rsid w:val="00A550CF"/>
    <w:rsid w:val="00A55411"/>
    <w:rsid w:val="00A55D60"/>
    <w:rsid w:val="00A55DD7"/>
    <w:rsid w:val="00A561BC"/>
    <w:rsid w:val="00A563A4"/>
    <w:rsid w:val="00A56673"/>
    <w:rsid w:val="00A56B0D"/>
    <w:rsid w:val="00A56E89"/>
    <w:rsid w:val="00A56EE4"/>
    <w:rsid w:val="00A56F1C"/>
    <w:rsid w:val="00A5706E"/>
    <w:rsid w:val="00A570E4"/>
    <w:rsid w:val="00A57207"/>
    <w:rsid w:val="00A574E4"/>
    <w:rsid w:val="00A57517"/>
    <w:rsid w:val="00A5788A"/>
    <w:rsid w:val="00A57AEF"/>
    <w:rsid w:val="00A605AB"/>
    <w:rsid w:val="00A6084C"/>
    <w:rsid w:val="00A60927"/>
    <w:rsid w:val="00A60B73"/>
    <w:rsid w:val="00A6157A"/>
    <w:rsid w:val="00A618E5"/>
    <w:rsid w:val="00A61A57"/>
    <w:rsid w:val="00A61A63"/>
    <w:rsid w:val="00A61DCF"/>
    <w:rsid w:val="00A62310"/>
    <w:rsid w:val="00A6252B"/>
    <w:rsid w:val="00A6283F"/>
    <w:rsid w:val="00A62CB9"/>
    <w:rsid w:val="00A63A44"/>
    <w:rsid w:val="00A63AF0"/>
    <w:rsid w:val="00A63D2C"/>
    <w:rsid w:val="00A63DB1"/>
    <w:rsid w:val="00A641FB"/>
    <w:rsid w:val="00A64263"/>
    <w:rsid w:val="00A64713"/>
    <w:rsid w:val="00A647AA"/>
    <w:rsid w:val="00A64854"/>
    <w:rsid w:val="00A648A8"/>
    <w:rsid w:val="00A64913"/>
    <w:rsid w:val="00A64E90"/>
    <w:rsid w:val="00A65006"/>
    <w:rsid w:val="00A650CF"/>
    <w:rsid w:val="00A6519E"/>
    <w:rsid w:val="00A654A9"/>
    <w:rsid w:val="00A65730"/>
    <w:rsid w:val="00A661ED"/>
    <w:rsid w:val="00A66618"/>
    <w:rsid w:val="00A66C7C"/>
    <w:rsid w:val="00A67AC1"/>
    <w:rsid w:val="00A70003"/>
    <w:rsid w:val="00A7033C"/>
    <w:rsid w:val="00A70431"/>
    <w:rsid w:val="00A7079D"/>
    <w:rsid w:val="00A70A03"/>
    <w:rsid w:val="00A70A87"/>
    <w:rsid w:val="00A712CD"/>
    <w:rsid w:val="00A717D5"/>
    <w:rsid w:val="00A71A15"/>
    <w:rsid w:val="00A71BF4"/>
    <w:rsid w:val="00A71C25"/>
    <w:rsid w:val="00A71D54"/>
    <w:rsid w:val="00A72085"/>
    <w:rsid w:val="00A7268F"/>
    <w:rsid w:val="00A72917"/>
    <w:rsid w:val="00A72AE8"/>
    <w:rsid w:val="00A73220"/>
    <w:rsid w:val="00A7362D"/>
    <w:rsid w:val="00A73E04"/>
    <w:rsid w:val="00A740A9"/>
    <w:rsid w:val="00A74334"/>
    <w:rsid w:val="00A748C5"/>
    <w:rsid w:val="00A748DF"/>
    <w:rsid w:val="00A74A1C"/>
    <w:rsid w:val="00A75B81"/>
    <w:rsid w:val="00A75D45"/>
    <w:rsid w:val="00A75EBB"/>
    <w:rsid w:val="00A762B7"/>
    <w:rsid w:val="00A7690C"/>
    <w:rsid w:val="00A76B5D"/>
    <w:rsid w:val="00A77182"/>
    <w:rsid w:val="00A7795F"/>
    <w:rsid w:val="00A80BB8"/>
    <w:rsid w:val="00A816CC"/>
    <w:rsid w:val="00A818E5"/>
    <w:rsid w:val="00A81D93"/>
    <w:rsid w:val="00A81F87"/>
    <w:rsid w:val="00A82128"/>
    <w:rsid w:val="00A82AA8"/>
    <w:rsid w:val="00A82C3B"/>
    <w:rsid w:val="00A82CA2"/>
    <w:rsid w:val="00A8303F"/>
    <w:rsid w:val="00A831D6"/>
    <w:rsid w:val="00A8365E"/>
    <w:rsid w:val="00A83821"/>
    <w:rsid w:val="00A83839"/>
    <w:rsid w:val="00A84045"/>
    <w:rsid w:val="00A8405E"/>
    <w:rsid w:val="00A840A8"/>
    <w:rsid w:val="00A84573"/>
    <w:rsid w:val="00A848F9"/>
    <w:rsid w:val="00A84BF1"/>
    <w:rsid w:val="00A84D0C"/>
    <w:rsid w:val="00A84ED7"/>
    <w:rsid w:val="00A8505A"/>
    <w:rsid w:val="00A85AA6"/>
    <w:rsid w:val="00A863C2"/>
    <w:rsid w:val="00A8685A"/>
    <w:rsid w:val="00A86DBD"/>
    <w:rsid w:val="00A87108"/>
    <w:rsid w:val="00A903AB"/>
    <w:rsid w:val="00A90579"/>
    <w:rsid w:val="00A90E0B"/>
    <w:rsid w:val="00A90F12"/>
    <w:rsid w:val="00A90F30"/>
    <w:rsid w:val="00A9134B"/>
    <w:rsid w:val="00A91816"/>
    <w:rsid w:val="00A92188"/>
    <w:rsid w:val="00A922C3"/>
    <w:rsid w:val="00A924E7"/>
    <w:rsid w:val="00A92617"/>
    <w:rsid w:val="00A92AD7"/>
    <w:rsid w:val="00A92DE4"/>
    <w:rsid w:val="00A92EF9"/>
    <w:rsid w:val="00A92F4F"/>
    <w:rsid w:val="00A93683"/>
    <w:rsid w:val="00A93D3A"/>
    <w:rsid w:val="00A93DD4"/>
    <w:rsid w:val="00A9436C"/>
    <w:rsid w:val="00A94692"/>
    <w:rsid w:val="00A94D59"/>
    <w:rsid w:val="00A94F76"/>
    <w:rsid w:val="00A95050"/>
    <w:rsid w:val="00A954C1"/>
    <w:rsid w:val="00A956C4"/>
    <w:rsid w:val="00A95DB7"/>
    <w:rsid w:val="00A95F71"/>
    <w:rsid w:val="00A960CC"/>
    <w:rsid w:val="00A96162"/>
    <w:rsid w:val="00A96BF0"/>
    <w:rsid w:val="00A97376"/>
    <w:rsid w:val="00A974EF"/>
    <w:rsid w:val="00A97A42"/>
    <w:rsid w:val="00AA0196"/>
    <w:rsid w:val="00AA0435"/>
    <w:rsid w:val="00AA053D"/>
    <w:rsid w:val="00AA0E75"/>
    <w:rsid w:val="00AA119C"/>
    <w:rsid w:val="00AA11E1"/>
    <w:rsid w:val="00AA1525"/>
    <w:rsid w:val="00AA18FB"/>
    <w:rsid w:val="00AA1D8A"/>
    <w:rsid w:val="00AA1E12"/>
    <w:rsid w:val="00AA2033"/>
    <w:rsid w:val="00AA2521"/>
    <w:rsid w:val="00AA2780"/>
    <w:rsid w:val="00AA2A4A"/>
    <w:rsid w:val="00AA2B35"/>
    <w:rsid w:val="00AA2BA7"/>
    <w:rsid w:val="00AA3C42"/>
    <w:rsid w:val="00AA3C89"/>
    <w:rsid w:val="00AA3FE0"/>
    <w:rsid w:val="00AA478E"/>
    <w:rsid w:val="00AA4B10"/>
    <w:rsid w:val="00AA50FB"/>
    <w:rsid w:val="00AA6223"/>
    <w:rsid w:val="00AA68AE"/>
    <w:rsid w:val="00AA6B3D"/>
    <w:rsid w:val="00AA6DFE"/>
    <w:rsid w:val="00AA6F8A"/>
    <w:rsid w:val="00AA6FA7"/>
    <w:rsid w:val="00AA70C2"/>
    <w:rsid w:val="00AA7663"/>
    <w:rsid w:val="00AA7A61"/>
    <w:rsid w:val="00AA7F96"/>
    <w:rsid w:val="00AB0AF6"/>
    <w:rsid w:val="00AB0EAE"/>
    <w:rsid w:val="00AB0F7A"/>
    <w:rsid w:val="00AB14C2"/>
    <w:rsid w:val="00AB1D6C"/>
    <w:rsid w:val="00AB2555"/>
    <w:rsid w:val="00AB2974"/>
    <w:rsid w:val="00AB2C21"/>
    <w:rsid w:val="00AB30C3"/>
    <w:rsid w:val="00AB32CC"/>
    <w:rsid w:val="00AB3436"/>
    <w:rsid w:val="00AB3AD4"/>
    <w:rsid w:val="00AB43FA"/>
    <w:rsid w:val="00AB5CA6"/>
    <w:rsid w:val="00AB5E49"/>
    <w:rsid w:val="00AB5F59"/>
    <w:rsid w:val="00AB67BC"/>
    <w:rsid w:val="00AB6E4E"/>
    <w:rsid w:val="00AB70C1"/>
    <w:rsid w:val="00AB7550"/>
    <w:rsid w:val="00AB79C2"/>
    <w:rsid w:val="00AB7C12"/>
    <w:rsid w:val="00AB7D51"/>
    <w:rsid w:val="00AC0C20"/>
    <w:rsid w:val="00AC0CCF"/>
    <w:rsid w:val="00AC0F0D"/>
    <w:rsid w:val="00AC1586"/>
    <w:rsid w:val="00AC1625"/>
    <w:rsid w:val="00AC1638"/>
    <w:rsid w:val="00AC1739"/>
    <w:rsid w:val="00AC1D1E"/>
    <w:rsid w:val="00AC21DD"/>
    <w:rsid w:val="00AC2267"/>
    <w:rsid w:val="00AC2766"/>
    <w:rsid w:val="00AC34AD"/>
    <w:rsid w:val="00AC38A3"/>
    <w:rsid w:val="00AC41BD"/>
    <w:rsid w:val="00AC434B"/>
    <w:rsid w:val="00AC509C"/>
    <w:rsid w:val="00AC546D"/>
    <w:rsid w:val="00AC641D"/>
    <w:rsid w:val="00AC6A53"/>
    <w:rsid w:val="00AC6D4B"/>
    <w:rsid w:val="00AC7442"/>
    <w:rsid w:val="00AC74D5"/>
    <w:rsid w:val="00AC75DD"/>
    <w:rsid w:val="00AC786D"/>
    <w:rsid w:val="00AD08E4"/>
    <w:rsid w:val="00AD09CD"/>
    <w:rsid w:val="00AD0C5F"/>
    <w:rsid w:val="00AD0C67"/>
    <w:rsid w:val="00AD0E72"/>
    <w:rsid w:val="00AD1351"/>
    <w:rsid w:val="00AD14BF"/>
    <w:rsid w:val="00AD18EB"/>
    <w:rsid w:val="00AD1BD0"/>
    <w:rsid w:val="00AD1BDD"/>
    <w:rsid w:val="00AD28D8"/>
    <w:rsid w:val="00AD292C"/>
    <w:rsid w:val="00AD2C26"/>
    <w:rsid w:val="00AD2C63"/>
    <w:rsid w:val="00AD2E20"/>
    <w:rsid w:val="00AD3BA8"/>
    <w:rsid w:val="00AD3CF4"/>
    <w:rsid w:val="00AD421F"/>
    <w:rsid w:val="00AD4EE4"/>
    <w:rsid w:val="00AD5115"/>
    <w:rsid w:val="00AD5B70"/>
    <w:rsid w:val="00AD618A"/>
    <w:rsid w:val="00AD65EC"/>
    <w:rsid w:val="00AD6621"/>
    <w:rsid w:val="00AD68C5"/>
    <w:rsid w:val="00AD72A3"/>
    <w:rsid w:val="00AD74B8"/>
    <w:rsid w:val="00AD75E8"/>
    <w:rsid w:val="00AE00D3"/>
    <w:rsid w:val="00AE0413"/>
    <w:rsid w:val="00AE0965"/>
    <w:rsid w:val="00AE1103"/>
    <w:rsid w:val="00AE1640"/>
    <w:rsid w:val="00AE19C1"/>
    <w:rsid w:val="00AE1B67"/>
    <w:rsid w:val="00AE1E8A"/>
    <w:rsid w:val="00AE2083"/>
    <w:rsid w:val="00AE283E"/>
    <w:rsid w:val="00AE2892"/>
    <w:rsid w:val="00AE30CF"/>
    <w:rsid w:val="00AE3274"/>
    <w:rsid w:val="00AE34DC"/>
    <w:rsid w:val="00AE355E"/>
    <w:rsid w:val="00AE361C"/>
    <w:rsid w:val="00AE3AFE"/>
    <w:rsid w:val="00AE3BC9"/>
    <w:rsid w:val="00AE41AB"/>
    <w:rsid w:val="00AE4267"/>
    <w:rsid w:val="00AE4321"/>
    <w:rsid w:val="00AE482B"/>
    <w:rsid w:val="00AE4F40"/>
    <w:rsid w:val="00AE558D"/>
    <w:rsid w:val="00AE5F25"/>
    <w:rsid w:val="00AE61C2"/>
    <w:rsid w:val="00AE62DD"/>
    <w:rsid w:val="00AE6B2D"/>
    <w:rsid w:val="00AE6C51"/>
    <w:rsid w:val="00AE702D"/>
    <w:rsid w:val="00AE70EE"/>
    <w:rsid w:val="00AE7998"/>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420"/>
    <w:rsid w:val="00AF268E"/>
    <w:rsid w:val="00AF320D"/>
    <w:rsid w:val="00AF33B0"/>
    <w:rsid w:val="00AF38FC"/>
    <w:rsid w:val="00AF3B8D"/>
    <w:rsid w:val="00AF43BF"/>
    <w:rsid w:val="00AF47B7"/>
    <w:rsid w:val="00AF4B0A"/>
    <w:rsid w:val="00AF4C83"/>
    <w:rsid w:val="00AF5239"/>
    <w:rsid w:val="00AF54E8"/>
    <w:rsid w:val="00AF56B7"/>
    <w:rsid w:val="00AF5FDE"/>
    <w:rsid w:val="00AF61C0"/>
    <w:rsid w:val="00AF61F1"/>
    <w:rsid w:val="00AF69CB"/>
    <w:rsid w:val="00AF6B1B"/>
    <w:rsid w:val="00AF6B37"/>
    <w:rsid w:val="00AF6BC2"/>
    <w:rsid w:val="00AF6DFF"/>
    <w:rsid w:val="00AF7038"/>
    <w:rsid w:val="00AF720A"/>
    <w:rsid w:val="00AF76E1"/>
    <w:rsid w:val="00AF78A4"/>
    <w:rsid w:val="00AF7B81"/>
    <w:rsid w:val="00B00119"/>
    <w:rsid w:val="00B00493"/>
    <w:rsid w:val="00B007C0"/>
    <w:rsid w:val="00B00872"/>
    <w:rsid w:val="00B00B69"/>
    <w:rsid w:val="00B011B7"/>
    <w:rsid w:val="00B0163A"/>
    <w:rsid w:val="00B01850"/>
    <w:rsid w:val="00B01F45"/>
    <w:rsid w:val="00B021E1"/>
    <w:rsid w:val="00B02283"/>
    <w:rsid w:val="00B02C5F"/>
    <w:rsid w:val="00B02D49"/>
    <w:rsid w:val="00B02F38"/>
    <w:rsid w:val="00B0316C"/>
    <w:rsid w:val="00B0322D"/>
    <w:rsid w:val="00B0324C"/>
    <w:rsid w:val="00B03B72"/>
    <w:rsid w:val="00B03B94"/>
    <w:rsid w:val="00B03C56"/>
    <w:rsid w:val="00B03EC6"/>
    <w:rsid w:val="00B03F08"/>
    <w:rsid w:val="00B040B7"/>
    <w:rsid w:val="00B047BC"/>
    <w:rsid w:val="00B047FA"/>
    <w:rsid w:val="00B056E0"/>
    <w:rsid w:val="00B061E6"/>
    <w:rsid w:val="00B062B9"/>
    <w:rsid w:val="00B06B71"/>
    <w:rsid w:val="00B06CFF"/>
    <w:rsid w:val="00B06D5B"/>
    <w:rsid w:val="00B06DE5"/>
    <w:rsid w:val="00B0755E"/>
    <w:rsid w:val="00B07A6A"/>
    <w:rsid w:val="00B07C2F"/>
    <w:rsid w:val="00B10380"/>
    <w:rsid w:val="00B10569"/>
    <w:rsid w:val="00B109EF"/>
    <w:rsid w:val="00B10A0E"/>
    <w:rsid w:val="00B10A26"/>
    <w:rsid w:val="00B1130A"/>
    <w:rsid w:val="00B1157A"/>
    <w:rsid w:val="00B11689"/>
    <w:rsid w:val="00B1178A"/>
    <w:rsid w:val="00B11838"/>
    <w:rsid w:val="00B12028"/>
    <w:rsid w:val="00B12153"/>
    <w:rsid w:val="00B123E9"/>
    <w:rsid w:val="00B1349D"/>
    <w:rsid w:val="00B13687"/>
    <w:rsid w:val="00B136AB"/>
    <w:rsid w:val="00B13B01"/>
    <w:rsid w:val="00B13D54"/>
    <w:rsid w:val="00B13E7D"/>
    <w:rsid w:val="00B13F47"/>
    <w:rsid w:val="00B145C5"/>
    <w:rsid w:val="00B149D1"/>
    <w:rsid w:val="00B14B0F"/>
    <w:rsid w:val="00B14F44"/>
    <w:rsid w:val="00B15214"/>
    <w:rsid w:val="00B152D6"/>
    <w:rsid w:val="00B15600"/>
    <w:rsid w:val="00B15645"/>
    <w:rsid w:val="00B1595E"/>
    <w:rsid w:val="00B15DB2"/>
    <w:rsid w:val="00B15E87"/>
    <w:rsid w:val="00B167CB"/>
    <w:rsid w:val="00B16C85"/>
    <w:rsid w:val="00B1777B"/>
    <w:rsid w:val="00B17D8E"/>
    <w:rsid w:val="00B201B1"/>
    <w:rsid w:val="00B20262"/>
    <w:rsid w:val="00B20313"/>
    <w:rsid w:val="00B2051A"/>
    <w:rsid w:val="00B2094A"/>
    <w:rsid w:val="00B209EA"/>
    <w:rsid w:val="00B2101A"/>
    <w:rsid w:val="00B21085"/>
    <w:rsid w:val="00B212C8"/>
    <w:rsid w:val="00B21DA3"/>
    <w:rsid w:val="00B2264C"/>
    <w:rsid w:val="00B2337F"/>
    <w:rsid w:val="00B233E9"/>
    <w:rsid w:val="00B23B55"/>
    <w:rsid w:val="00B23F05"/>
    <w:rsid w:val="00B2410E"/>
    <w:rsid w:val="00B24438"/>
    <w:rsid w:val="00B244E2"/>
    <w:rsid w:val="00B2491C"/>
    <w:rsid w:val="00B24CA7"/>
    <w:rsid w:val="00B24DFF"/>
    <w:rsid w:val="00B24F75"/>
    <w:rsid w:val="00B25178"/>
    <w:rsid w:val="00B2522E"/>
    <w:rsid w:val="00B25233"/>
    <w:rsid w:val="00B258B2"/>
    <w:rsid w:val="00B25BFF"/>
    <w:rsid w:val="00B25D8C"/>
    <w:rsid w:val="00B25EF4"/>
    <w:rsid w:val="00B264A5"/>
    <w:rsid w:val="00B26919"/>
    <w:rsid w:val="00B26C41"/>
    <w:rsid w:val="00B26D85"/>
    <w:rsid w:val="00B26FCB"/>
    <w:rsid w:val="00B27799"/>
    <w:rsid w:val="00B27B2A"/>
    <w:rsid w:val="00B27B59"/>
    <w:rsid w:val="00B300A9"/>
    <w:rsid w:val="00B303C8"/>
    <w:rsid w:val="00B30681"/>
    <w:rsid w:val="00B307AB"/>
    <w:rsid w:val="00B30BA7"/>
    <w:rsid w:val="00B30DB6"/>
    <w:rsid w:val="00B312EA"/>
    <w:rsid w:val="00B31415"/>
    <w:rsid w:val="00B315F4"/>
    <w:rsid w:val="00B31DE1"/>
    <w:rsid w:val="00B3205F"/>
    <w:rsid w:val="00B3210C"/>
    <w:rsid w:val="00B32333"/>
    <w:rsid w:val="00B324CF"/>
    <w:rsid w:val="00B32536"/>
    <w:rsid w:val="00B33530"/>
    <w:rsid w:val="00B33701"/>
    <w:rsid w:val="00B34004"/>
    <w:rsid w:val="00B34521"/>
    <w:rsid w:val="00B34563"/>
    <w:rsid w:val="00B34780"/>
    <w:rsid w:val="00B348FD"/>
    <w:rsid w:val="00B349D7"/>
    <w:rsid w:val="00B34DB8"/>
    <w:rsid w:val="00B352CB"/>
    <w:rsid w:val="00B35489"/>
    <w:rsid w:val="00B35595"/>
    <w:rsid w:val="00B35619"/>
    <w:rsid w:val="00B35D2F"/>
    <w:rsid w:val="00B35EC3"/>
    <w:rsid w:val="00B35F1F"/>
    <w:rsid w:val="00B36153"/>
    <w:rsid w:val="00B36251"/>
    <w:rsid w:val="00B3626E"/>
    <w:rsid w:val="00B365EB"/>
    <w:rsid w:val="00B36C2B"/>
    <w:rsid w:val="00B36C34"/>
    <w:rsid w:val="00B36C6E"/>
    <w:rsid w:val="00B36E72"/>
    <w:rsid w:val="00B36EE9"/>
    <w:rsid w:val="00B36F95"/>
    <w:rsid w:val="00B372AC"/>
    <w:rsid w:val="00B373B3"/>
    <w:rsid w:val="00B3768C"/>
    <w:rsid w:val="00B3797F"/>
    <w:rsid w:val="00B37A46"/>
    <w:rsid w:val="00B37BE7"/>
    <w:rsid w:val="00B40250"/>
    <w:rsid w:val="00B40AFE"/>
    <w:rsid w:val="00B40DD6"/>
    <w:rsid w:val="00B40E7F"/>
    <w:rsid w:val="00B41AB2"/>
    <w:rsid w:val="00B41BCC"/>
    <w:rsid w:val="00B41E62"/>
    <w:rsid w:val="00B41E67"/>
    <w:rsid w:val="00B426B1"/>
    <w:rsid w:val="00B4295F"/>
    <w:rsid w:val="00B42B34"/>
    <w:rsid w:val="00B42D42"/>
    <w:rsid w:val="00B43002"/>
    <w:rsid w:val="00B4322A"/>
    <w:rsid w:val="00B43925"/>
    <w:rsid w:val="00B43B7D"/>
    <w:rsid w:val="00B43D44"/>
    <w:rsid w:val="00B444D8"/>
    <w:rsid w:val="00B44904"/>
    <w:rsid w:val="00B45079"/>
    <w:rsid w:val="00B4535F"/>
    <w:rsid w:val="00B45545"/>
    <w:rsid w:val="00B456B9"/>
    <w:rsid w:val="00B4570C"/>
    <w:rsid w:val="00B4588A"/>
    <w:rsid w:val="00B458CD"/>
    <w:rsid w:val="00B45E97"/>
    <w:rsid w:val="00B46098"/>
    <w:rsid w:val="00B46203"/>
    <w:rsid w:val="00B464C7"/>
    <w:rsid w:val="00B467F6"/>
    <w:rsid w:val="00B46863"/>
    <w:rsid w:val="00B46AFE"/>
    <w:rsid w:val="00B46DD1"/>
    <w:rsid w:val="00B47812"/>
    <w:rsid w:val="00B479C9"/>
    <w:rsid w:val="00B50AFA"/>
    <w:rsid w:val="00B5162C"/>
    <w:rsid w:val="00B516D1"/>
    <w:rsid w:val="00B51A73"/>
    <w:rsid w:val="00B51B77"/>
    <w:rsid w:val="00B52076"/>
    <w:rsid w:val="00B52809"/>
    <w:rsid w:val="00B529BE"/>
    <w:rsid w:val="00B52C04"/>
    <w:rsid w:val="00B53115"/>
    <w:rsid w:val="00B531DD"/>
    <w:rsid w:val="00B534C0"/>
    <w:rsid w:val="00B53778"/>
    <w:rsid w:val="00B53CB7"/>
    <w:rsid w:val="00B541B8"/>
    <w:rsid w:val="00B5479E"/>
    <w:rsid w:val="00B54A24"/>
    <w:rsid w:val="00B54FE5"/>
    <w:rsid w:val="00B54FF1"/>
    <w:rsid w:val="00B55A49"/>
    <w:rsid w:val="00B55B06"/>
    <w:rsid w:val="00B55B57"/>
    <w:rsid w:val="00B55D50"/>
    <w:rsid w:val="00B56242"/>
    <w:rsid w:val="00B56254"/>
    <w:rsid w:val="00B56376"/>
    <w:rsid w:val="00B56955"/>
    <w:rsid w:val="00B56B1B"/>
    <w:rsid w:val="00B56B9E"/>
    <w:rsid w:val="00B5754F"/>
    <w:rsid w:val="00B576C2"/>
    <w:rsid w:val="00B57765"/>
    <w:rsid w:val="00B5795D"/>
    <w:rsid w:val="00B57D55"/>
    <w:rsid w:val="00B57E2D"/>
    <w:rsid w:val="00B6056A"/>
    <w:rsid w:val="00B606F6"/>
    <w:rsid w:val="00B608CE"/>
    <w:rsid w:val="00B60B81"/>
    <w:rsid w:val="00B6102A"/>
    <w:rsid w:val="00B617C0"/>
    <w:rsid w:val="00B61A78"/>
    <w:rsid w:val="00B61DDB"/>
    <w:rsid w:val="00B6224C"/>
    <w:rsid w:val="00B6262B"/>
    <w:rsid w:val="00B626AC"/>
    <w:rsid w:val="00B62EE5"/>
    <w:rsid w:val="00B63140"/>
    <w:rsid w:val="00B63A1A"/>
    <w:rsid w:val="00B63E5E"/>
    <w:rsid w:val="00B63F77"/>
    <w:rsid w:val="00B64056"/>
    <w:rsid w:val="00B64435"/>
    <w:rsid w:val="00B6469A"/>
    <w:rsid w:val="00B6477B"/>
    <w:rsid w:val="00B648BA"/>
    <w:rsid w:val="00B64D93"/>
    <w:rsid w:val="00B65139"/>
    <w:rsid w:val="00B6530B"/>
    <w:rsid w:val="00B654F3"/>
    <w:rsid w:val="00B6591C"/>
    <w:rsid w:val="00B65ECE"/>
    <w:rsid w:val="00B662B9"/>
    <w:rsid w:val="00B662D9"/>
    <w:rsid w:val="00B67000"/>
    <w:rsid w:val="00B67175"/>
    <w:rsid w:val="00B67A63"/>
    <w:rsid w:val="00B67E00"/>
    <w:rsid w:val="00B67EC2"/>
    <w:rsid w:val="00B70063"/>
    <w:rsid w:val="00B7015D"/>
    <w:rsid w:val="00B701E7"/>
    <w:rsid w:val="00B708AF"/>
    <w:rsid w:val="00B71211"/>
    <w:rsid w:val="00B7146E"/>
    <w:rsid w:val="00B7206D"/>
    <w:rsid w:val="00B7206F"/>
    <w:rsid w:val="00B7258C"/>
    <w:rsid w:val="00B727F3"/>
    <w:rsid w:val="00B72C62"/>
    <w:rsid w:val="00B733A5"/>
    <w:rsid w:val="00B73771"/>
    <w:rsid w:val="00B741FA"/>
    <w:rsid w:val="00B7449F"/>
    <w:rsid w:val="00B74802"/>
    <w:rsid w:val="00B7491F"/>
    <w:rsid w:val="00B74B2B"/>
    <w:rsid w:val="00B74B6B"/>
    <w:rsid w:val="00B74C4E"/>
    <w:rsid w:val="00B74FF7"/>
    <w:rsid w:val="00B752CC"/>
    <w:rsid w:val="00B75432"/>
    <w:rsid w:val="00B759F6"/>
    <w:rsid w:val="00B75E35"/>
    <w:rsid w:val="00B7629D"/>
    <w:rsid w:val="00B762BA"/>
    <w:rsid w:val="00B763CA"/>
    <w:rsid w:val="00B766AA"/>
    <w:rsid w:val="00B76A29"/>
    <w:rsid w:val="00B76C5D"/>
    <w:rsid w:val="00B771CB"/>
    <w:rsid w:val="00B773FD"/>
    <w:rsid w:val="00B77D2C"/>
    <w:rsid w:val="00B77D2E"/>
    <w:rsid w:val="00B77E6E"/>
    <w:rsid w:val="00B80003"/>
    <w:rsid w:val="00B803DB"/>
    <w:rsid w:val="00B8078A"/>
    <w:rsid w:val="00B80D6C"/>
    <w:rsid w:val="00B80FF4"/>
    <w:rsid w:val="00B81969"/>
    <w:rsid w:val="00B81FF0"/>
    <w:rsid w:val="00B825A7"/>
    <w:rsid w:val="00B828A9"/>
    <w:rsid w:val="00B82BC2"/>
    <w:rsid w:val="00B83288"/>
    <w:rsid w:val="00B837BA"/>
    <w:rsid w:val="00B8384D"/>
    <w:rsid w:val="00B83DA3"/>
    <w:rsid w:val="00B8427D"/>
    <w:rsid w:val="00B8467F"/>
    <w:rsid w:val="00B846A2"/>
    <w:rsid w:val="00B84B08"/>
    <w:rsid w:val="00B85178"/>
    <w:rsid w:val="00B86635"/>
    <w:rsid w:val="00B86757"/>
    <w:rsid w:val="00B86F5D"/>
    <w:rsid w:val="00B87024"/>
    <w:rsid w:val="00B871BF"/>
    <w:rsid w:val="00B87683"/>
    <w:rsid w:val="00B9028A"/>
    <w:rsid w:val="00B903C1"/>
    <w:rsid w:val="00B906A9"/>
    <w:rsid w:val="00B90E9C"/>
    <w:rsid w:val="00B91067"/>
    <w:rsid w:val="00B91985"/>
    <w:rsid w:val="00B92853"/>
    <w:rsid w:val="00B9314E"/>
    <w:rsid w:val="00B932B0"/>
    <w:rsid w:val="00B93386"/>
    <w:rsid w:val="00B9357D"/>
    <w:rsid w:val="00B9386E"/>
    <w:rsid w:val="00B93904"/>
    <w:rsid w:val="00B94B26"/>
    <w:rsid w:val="00B9579E"/>
    <w:rsid w:val="00B9587B"/>
    <w:rsid w:val="00B95941"/>
    <w:rsid w:val="00B95A8F"/>
    <w:rsid w:val="00B95C75"/>
    <w:rsid w:val="00B95ED6"/>
    <w:rsid w:val="00B960DC"/>
    <w:rsid w:val="00B9627E"/>
    <w:rsid w:val="00B96589"/>
    <w:rsid w:val="00B9659A"/>
    <w:rsid w:val="00B965AB"/>
    <w:rsid w:val="00B96B44"/>
    <w:rsid w:val="00B97681"/>
    <w:rsid w:val="00B97973"/>
    <w:rsid w:val="00BA05B0"/>
    <w:rsid w:val="00BA07E0"/>
    <w:rsid w:val="00BA0A3F"/>
    <w:rsid w:val="00BA0BD6"/>
    <w:rsid w:val="00BA0DA5"/>
    <w:rsid w:val="00BA12F5"/>
    <w:rsid w:val="00BA15FC"/>
    <w:rsid w:val="00BA182B"/>
    <w:rsid w:val="00BA1B74"/>
    <w:rsid w:val="00BA1F77"/>
    <w:rsid w:val="00BA2221"/>
    <w:rsid w:val="00BA230D"/>
    <w:rsid w:val="00BA23F2"/>
    <w:rsid w:val="00BA27F5"/>
    <w:rsid w:val="00BA2E2F"/>
    <w:rsid w:val="00BA318A"/>
    <w:rsid w:val="00BA331D"/>
    <w:rsid w:val="00BA3BDC"/>
    <w:rsid w:val="00BA3F3D"/>
    <w:rsid w:val="00BA4944"/>
    <w:rsid w:val="00BA4B18"/>
    <w:rsid w:val="00BA5324"/>
    <w:rsid w:val="00BA5389"/>
    <w:rsid w:val="00BA53F5"/>
    <w:rsid w:val="00BA5580"/>
    <w:rsid w:val="00BA5CB6"/>
    <w:rsid w:val="00BA5E14"/>
    <w:rsid w:val="00BA63A5"/>
    <w:rsid w:val="00BA6578"/>
    <w:rsid w:val="00BA6C7A"/>
    <w:rsid w:val="00BA6FC0"/>
    <w:rsid w:val="00BA7333"/>
    <w:rsid w:val="00BA75D3"/>
    <w:rsid w:val="00BA77E4"/>
    <w:rsid w:val="00BA782A"/>
    <w:rsid w:val="00BA7C2A"/>
    <w:rsid w:val="00BB082C"/>
    <w:rsid w:val="00BB096F"/>
    <w:rsid w:val="00BB1284"/>
    <w:rsid w:val="00BB171B"/>
    <w:rsid w:val="00BB1E58"/>
    <w:rsid w:val="00BB2441"/>
    <w:rsid w:val="00BB261A"/>
    <w:rsid w:val="00BB2D16"/>
    <w:rsid w:val="00BB2D5C"/>
    <w:rsid w:val="00BB379E"/>
    <w:rsid w:val="00BB3BEE"/>
    <w:rsid w:val="00BB3D93"/>
    <w:rsid w:val="00BB3FEF"/>
    <w:rsid w:val="00BB4179"/>
    <w:rsid w:val="00BB4248"/>
    <w:rsid w:val="00BB42C3"/>
    <w:rsid w:val="00BB49CF"/>
    <w:rsid w:val="00BB50E6"/>
    <w:rsid w:val="00BB576B"/>
    <w:rsid w:val="00BB5CB6"/>
    <w:rsid w:val="00BB621D"/>
    <w:rsid w:val="00BB62A1"/>
    <w:rsid w:val="00BB68B8"/>
    <w:rsid w:val="00BB6BE2"/>
    <w:rsid w:val="00BB6E21"/>
    <w:rsid w:val="00BB6E40"/>
    <w:rsid w:val="00BB6E62"/>
    <w:rsid w:val="00BB7534"/>
    <w:rsid w:val="00BB791E"/>
    <w:rsid w:val="00BB7CD7"/>
    <w:rsid w:val="00BC00C0"/>
    <w:rsid w:val="00BC05D8"/>
    <w:rsid w:val="00BC067B"/>
    <w:rsid w:val="00BC06B5"/>
    <w:rsid w:val="00BC08EE"/>
    <w:rsid w:val="00BC0D08"/>
    <w:rsid w:val="00BC1536"/>
    <w:rsid w:val="00BC1572"/>
    <w:rsid w:val="00BC1720"/>
    <w:rsid w:val="00BC1820"/>
    <w:rsid w:val="00BC18EF"/>
    <w:rsid w:val="00BC18FE"/>
    <w:rsid w:val="00BC1F5A"/>
    <w:rsid w:val="00BC1FBF"/>
    <w:rsid w:val="00BC20AE"/>
    <w:rsid w:val="00BC248C"/>
    <w:rsid w:val="00BC2528"/>
    <w:rsid w:val="00BC2848"/>
    <w:rsid w:val="00BC2A35"/>
    <w:rsid w:val="00BC2A8C"/>
    <w:rsid w:val="00BC2C2E"/>
    <w:rsid w:val="00BC3319"/>
    <w:rsid w:val="00BC334A"/>
    <w:rsid w:val="00BC3394"/>
    <w:rsid w:val="00BC3D3D"/>
    <w:rsid w:val="00BC3ED7"/>
    <w:rsid w:val="00BC424E"/>
    <w:rsid w:val="00BC42F4"/>
    <w:rsid w:val="00BC4572"/>
    <w:rsid w:val="00BC45E8"/>
    <w:rsid w:val="00BC4613"/>
    <w:rsid w:val="00BC4874"/>
    <w:rsid w:val="00BC511E"/>
    <w:rsid w:val="00BC5F28"/>
    <w:rsid w:val="00BC662E"/>
    <w:rsid w:val="00BC67DA"/>
    <w:rsid w:val="00BC6903"/>
    <w:rsid w:val="00BC6CA4"/>
    <w:rsid w:val="00BC716D"/>
    <w:rsid w:val="00BC738C"/>
    <w:rsid w:val="00BC7FAF"/>
    <w:rsid w:val="00BD000D"/>
    <w:rsid w:val="00BD0454"/>
    <w:rsid w:val="00BD0B49"/>
    <w:rsid w:val="00BD1118"/>
    <w:rsid w:val="00BD11FE"/>
    <w:rsid w:val="00BD126B"/>
    <w:rsid w:val="00BD142E"/>
    <w:rsid w:val="00BD1560"/>
    <w:rsid w:val="00BD1B00"/>
    <w:rsid w:val="00BD208E"/>
    <w:rsid w:val="00BD209A"/>
    <w:rsid w:val="00BD24AC"/>
    <w:rsid w:val="00BD2526"/>
    <w:rsid w:val="00BD2F49"/>
    <w:rsid w:val="00BD2FA9"/>
    <w:rsid w:val="00BD351D"/>
    <w:rsid w:val="00BD3655"/>
    <w:rsid w:val="00BD39BF"/>
    <w:rsid w:val="00BD3BAA"/>
    <w:rsid w:val="00BD3BB2"/>
    <w:rsid w:val="00BD3C24"/>
    <w:rsid w:val="00BD403B"/>
    <w:rsid w:val="00BD47EA"/>
    <w:rsid w:val="00BD494A"/>
    <w:rsid w:val="00BD4A9D"/>
    <w:rsid w:val="00BD4ADD"/>
    <w:rsid w:val="00BD53A9"/>
    <w:rsid w:val="00BD562B"/>
    <w:rsid w:val="00BD5EC1"/>
    <w:rsid w:val="00BD6271"/>
    <w:rsid w:val="00BD6B05"/>
    <w:rsid w:val="00BD7012"/>
    <w:rsid w:val="00BD73EE"/>
    <w:rsid w:val="00BD752A"/>
    <w:rsid w:val="00BE02A8"/>
    <w:rsid w:val="00BE02AB"/>
    <w:rsid w:val="00BE09CA"/>
    <w:rsid w:val="00BE0A5D"/>
    <w:rsid w:val="00BE1022"/>
    <w:rsid w:val="00BE1301"/>
    <w:rsid w:val="00BE1EAF"/>
    <w:rsid w:val="00BE24A2"/>
    <w:rsid w:val="00BE2A2A"/>
    <w:rsid w:val="00BE2E2F"/>
    <w:rsid w:val="00BE3550"/>
    <w:rsid w:val="00BE3BB3"/>
    <w:rsid w:val="00BE4D15"/>
    <w:rsid w:val="00BE4D54"/>
    <w:rsid w:val="00BE58DB"/>
    <w:rsid w:val="00BE5CD7"/>
    <w:rsid w:val="00BE5D47"/>
    <w:rsid w:val="00BE5DCC"/>
    <w:rsid w:val="00BE5EE9"/>
    <w:rsid w:val="00BE61E3"/>
    <w:rsid w:val="00BE6241"/>
    <w:rsid w:val="00BE6669"/>
    <w:rsid w:val="00BE6A77"/>
    <w:rsid w:val="00BE7053"/>
    <w:rsid w:val="00BE71B4"/>
    <w:rsid w:val="00BE722D"/>
    <w:rsid w:val="00BE75CB"/>
    <w:rsid w:val="00BE7612"/>
    <w:rsid w:val="00BE7BF2"/>
    <w:rsid w:val="00BE7DA8"/>
    <w:rsid w:val="00BF105A"/>
    <w:rsid w:val="00BF16BA"/>
    <w:rsid w:val="00BF18F6"/>
    <w:rsid w:val="00BF1D4A"/>
    <w:rsid w:val="00BF1EC9"/>
    <w:rsid w:val="00BF2091"/>
    <w:rsid w:val="00BF3536"/>
    <w:rsid w:val="00BF4091"/>
    <w:rsid w:val="00BF4477"/>
    <w:rsid w:val="00BF491C"/>
    <w:rsid w:val="00BF4982"/>
    <w:rsid w:val="00BF4F72"/>
    <w:rsid w:val="00BF528D"/>
    <w:rsid w:val="00BF57A4"/>
    <w:rsid w:val="00BF5EFC"/>
    <w:rsid w:val="00BF5F0B"/>
    <w:rsid w:val="00BF5FC7"/>
    <w:rsid w:val="00BF6762"/>
    <w:rsid w:val="00BF7296"/>
    <w:rsid w:val="00BF7674"/>
    <w:rsid w:val="00BF7825"/>
    <w:rsid w:val="00BF7A10"/>
    <w:rsid w:val="00BF7EE5"/>
    <w:rsid w:val="00C005C8"/>
    <w:rsid w:val="00C006F6"/>
    <w:rsid w:val="00C00BE6"/>
    <w:rsid w:val="00C00F89"/>
    <w:rsid w:val="00C0121C"/>
    <w:rsid w:val="00C01343"/>
    <w:rsid w:val="00C0188E"/>
    <w:rsid w:val="00C01CC4"/>
    <w:rsid w:val="00C01DF1"/>
    <w:rsid w:val="00C01F6A"/>
    <w:rsid w:val="00C020F5"/>
    <w:rsid w:val="00C0221D"/>
    <w:rsid w:val="00C026FC"/>
    <w:rsid w:val="00C0287A"/>
    <w:rsid w:val="00C029BA"/>
    <w:rsid w:val="00C02C2F"/>
    <w:rsid w:val="00C02C7F"/>
    <w:rsid w:val="00C02ED2"/>
    <w:rsid w:val="00C031E1"/>
    <w:rsid w:val="00C03230"/>
    <w:rsid w:val="00C035C5"/>
    <w:rsid w:val="00C0385C"/>
    <w:rsid w:val="00C03C0B"/>
    <w:rsid w:val="00C04534"/>
    <w:rsid w:val="00C0490B"/>
    <w:rsid w:val="00C04AF6"/>
    <w:rsid w:val="00C04BFE"/>
    <w:rsid w:val="00C05126"/>
    <w:rsid w:val="00C05C67"/>
    <w:rsid w:val="00C06314"/>
    <w:rsid w:val="00C06648"/>
    <w:rsid w:val="00C06654"/>
    <w:rsid w:val="00C067A2"/>
    <w:rsid w:val="00C06F30"/>
    <w:rsid w:val="00C07012"/>
    <w:rsid w:val="00C0722A"/>
    <w:rsid w:val="00C07259"/>
    <w:rsid w:val="00C07287"/>
    <w:rsid w:val="00C073C4"/>
    <w:rsid w:val="00C07872"/>
    <w:rsid w:val="00C07D9C"/>
    <w:rsid w:val="00C07EEA"/>
    <w:rsid w:val="00C10111"/>
    <w:rsid w:val="00C101DB"/>
    <w:rsid w:val="00C1043E"/>
    <w:rsid w:val="00C104B7"/>
    <w:rsid w:val="00C107D4"/>
    <w:rsid w:val="00C10B5E"/>
    <w:rsid w:val="00C10B78"/>
    <w:rsid w:val="00C10BCA"/>
    <w:rsid w:val="00C10E5A"/>
    <w:rsid w:val="00C112BE"/>
    <w:rsid w:val="00C11536"/>
    <w:rsid w:val="00C115C0"/>
    <w:rsid w:val="00C1171A"/>
    <w:rsid w:val="00C11865"/>
    <w:rsid w:val="00C11B41"/>
    <w:rsid w:val="00C12018"/>
    <w:rsid w:val="00C122B8"/>
    <w:rsid w:val="00C1259A"/>
    <w:rsid w:val="00C12742"/>
    <w:rsid w:val="00C12FCA"/>
    <w:rsid w:val="00C12FCB"/>
    <w:rsid w:val="00C1352B"/>
    <w:rsid w:val="00C138AB"/>
    <w:rsid w:val="00C1480A"/>
    <w:rsid w:val="00C14AA1"/>
    <w:rsid w:val="00C153CF"/>
    <w:rsid w:val="00C1582B"/>
    <w:rsid w:val="00C15A9B"/>
    <w:rsid w:val="00C1629B"/>
    <w:rsid w:val="00C165A9"/>
    <w:rsid w:val="00C16C60"/>
    <w:rsid w:val="00C16FD9"/>
    <w:rsid w:val="00C17B43"/>
    <w:rsid w:val="00C17BF9"/>
    <w:rsid w:val="00C20159"/>
    <w:rsid w:val="00C2070D"/>
    <w:rsid w:val="00C208D9"/>
    <w:rsid w:val="00C208EC"/>
    <w:rsid w:val="00C20D84"/>
    <w:rsid w:val="00C2175E"/>
    <w:rsid w:val="00C21B3B"/>
    <w:rsid w:val="00C21D34"/>
    <w:rsid w:val="00C21EAD"/>
    <w:rsid w:val="00C21F16"/>
    <w:rsid w:val="00C223F9"/>
    <w:rsid w:val="00C22420"/>
    <w:rsid w:val="00C227C0"/>
    <w:rsid w:val="00C229BA"/>
    <w:rsid w:val="00C22DB0"/>
    <w:rsid w:val="00C22E7B"/>
    <w:rsid w:val="00C2300D"/>
    <w:rsid w:val="00C2335F"/>
    <w:rsid w:val="00C2379B"/>
    <w:rsid w:val="00C23E1C"/>
    <w:rsid w:val="00C24159"/>
    <w:rsid w:val="00C244C7"/>
    <w:rsid w:val="00C24547"/>
    <w:rsid w:val="00C24ACB"/>
    <w:rsid w:val="00C24E03"/>
    <w:rsid w:val="00C251CE"/>
    <w:rsid w:val="00C252D7"/>
    <w:rsid w:val="00C25539"/>
    <w:rsid w:val="00C2585B"/>
    <w:rsid w:val="00C2632A"/>
    <w:rsid w:val="00C267F4"/>
    <w:rsid w:val="00C2774F"/>
    <w:rsid w:val="00C27FC9"/>
    <w:rsid w:val="00C302B3"/>
    <w:rsid w:val="00C30818"/>
    <w:rsid w:val="00C30955"/>
    <w:rsid w:val="00C30F83"/>
    <w:rsid w:val="00C30FB7"/>
    <w:rsid w:val="00C30FFD"/>
    <w:rsid w:val="00C316F7"/>
    <w:rsid w:val="00C31C92"/>
    <w:rsid w:val="00C31CEB"/>
    <w:rsid w:val="00C322FE"/>
    <w:rsid w:val="00C325B1"/>
    <w:rsid w:val="00C328BA"/>
    <w:rsid w:val="00C32AEF"/>
    <w:rsid w:val="00C32E57"/>
    <w:rsid w:val="00C33194"/>
    <w:rsid w:val="00C33489"/>
    <w:rsid w:val="00C33695"/>
    <w:rsid w:val="00C33A03"/>
    <w:rsid w:val="00C33D58"/>
    <w:rsid w:val="00C33FE1"/>
    <w:rsid w:val="00C340EE"/>
    <w:rsid w:val="00C34135"/>
    <w:rsid w:val="00C34262"/>
    <w:rsid w:val="00C34680"/>
    <w:rsid w:val="00C3485B"/>
    <w:rsid w:val="00C3498D"/>
    <w:rsid w:val="00C34C1C"/>
    <w:rsid w:val="00C34F55"/>
    <w:rsid w:val="00C35000"/>
    <w:rsid w:val="00C351CB"/>
    <w:rsid w:val="00C35BE1"/>
    <w:rsid w:val="00C36084"/>
    <w:rsid w:val="00C36619"/>
    <w:rsid w:val="00C36909"/>
    <w:rsid w:val="00C37190"/>
    <w:rsid w:val="00C373D3"/>
    <w:rsid w:val="00C37538"/>
    <w:rsid w:val="00C4004F"/>
    <w:rsid w:val="00C40200"/>
    <w:rsid w:val="00C4046F"/>
    <w:rsid w:val="00C40492"/>
    <w:rsid w:val="00C409DF"/>
    <w:rsid w:val="00C40B04"/>
    <w:rsid w:val="00C40E95"/>
    <w:rsid w:val="00C41784"/>
    <w:rsid w:val="00C41BA7"/>
    <w:rsid w:val="00C41C12"/>
    <w:rsid w:val="00C41CED"/>
    <w:rsid w:val="00C4202F"/>
    <w:rsid w:val="00C42160"/>
    <w:rsid w:val="00C42207"/>
    <w:rsid w:val="00C42397"/>
    <w:rsid w:val="00C42AE0"/>
    <w:rsid w:val="00C43005"/>
    <w:rsid w:val="00C43041"/>
    <w:rsid w:val="00C436DA"/>
    <w:rsid w:val="00C43AE3"/>
    <w:rsid w:val="00C43BFF"/>
    <w:rsid w:val="00C4439D"/>
    <w:rsid w:val="00C4441A"/>
    <w:rsid w:val="00C4476B"/>
    <w:rsid w:val="00C447BE"/>
    <w:rsid w:val="00C449A4"/>
    <w:rsid w:val="00C44C53"/>
    <w:rsid w:val="00C454D5"/>
    <w:rsid w:val="00C456C6"/>
    <w:rsid w:val="00C45B40"/>
    <w:rsid w:val="00C45F6D"/>
    <w:rsid w:val="00C4699E"/>
    <w:rsid w:val="00C46B60"/>
    <w:rsid w:val="00C46E7D"/>
    <w:rsid w:val="00C46FE2"/>
    <w:rsid w:val="00C47A21"/>
    <w:rsid w:val="00C47BB4"/>
    <w:rsid w:val="00C47C9B"/>
    <w:rsid w:val="00C501DA"/>
    <w:rsid w:val="00C502FE"/>
    <w:rsid w:val="00C505D2"/>
    <w:rsid w:val="00C505F9"/>
    <w:rsid w:val="00C507E1"/>
    <w:rsid w:val="00C508A1"/>
    <w:rsid w:val="00C50BFF"/>
    <w:rsid w:val="00C50C63"/>
    <w:rsid w:val="00C50C72"/>
    <w:rsid w:val="00C5101D"/>
    <w:rsid w:val="00C511AF"/>
    <w:rsid w:val="00C52499"/>
    <w:rsid w:val="00C52FEB"/>
    <w:rsid w:val="00C53076"/>
    <w:rsid w:val="00C53263"/>
    <w:rsid w:val="00C53942"/>
    <w:rsid w:val="00C5406C"/>
    <w:rsid w:val="00C544FE"/>
    <w:rsid w:val="00C5451A"/>
    <w:rsid w:val="00C546D6"/>
    <w:rsid w:val="00C547DA"/>
    <w:rsid w:val="00C548AE"/>
    <w:rsid w:val="00C5497E"/>
    <w:rsid w:val="00C54ADC"/>
    <w:rsid w:val="00C54D30"/>
    <w:rsid w:val="00C55265"/>
    <w:rsid w:val="00C553C7"/>
    <w:rsid w:val="00C55832"/>
    <w:rsid w:val="00C55B26"/>
    <w:rsid w:val="00C55B9A"/>
    <w:rsid w:val="00C55DB9"/>
    <w:rsid w:val="00C55DC8"/>
    <w:rsid w:val="00C55EA2"/>
    <w:rsid w:val="00C561E7"/>
    <w:rsid w:val="00C56398"/>
    <w:rsid w:val="00C563B3"/>
    <w:rsid w:val="00C568D4"/>
    <w:rsid w:val="00C56DA2"/>
    <w:rsid w:val="00C56DE4"/>
    <w:rsid w:val="00C57048"/>
    <w:rsid w:val="00C570ED"/>
    <w:rsid w:val="00C575AF"/>
    <w:rsid w:val="00C57666"/>
    <w:rsid w:val="00C576AF"/>
    <w:rsid w:val="00C57ED6"/>
    <w:rsid w:val="00C600EC"/>
    <w:rsid w:val="00C601B6"/>
    <w:rsid w:val="00C602EB"/>
    <w:rsid w:val="00C6067F"/>
    <w:rsid w:val="00C6099B"/>
    <w:rsid w:val="00C60BC9"/>
    <w:rsid w:val="00C6174A"/>
    <w:rsid w:val="00C619DD"/>
    <w:rsid w:val="00C61A40"/>
    <w:rsid w:val="00C61D09"/>
    <w:rsid w:val="00C62040"/>
    <w:rsid w:val="00C621A7"/>
    <w:rsid w:val="00C62351"/>
    <w:rsid w:val="00C6249A"/>
    <w:rsid w:val="00C6272E"/>
    <w:rsid w:val="00C62B9B"/>
    <w:rsid w:val="00C631C1"/>
    <w:rsid w:val="00C63F21"/>
    <w:rsid w:val="00C63F88"/>
    <w:rsid w:val="00C64963"/>
    <w:rsid w:val="00C64A19"/>
    <w:rsid w:val="00C65075"/>
    <w:rsid w:val="00C66003"/>
    <w:rsid w:val="00C6612C"/>
    <w:rsid w:val="00C665CB"/>
    <w:rsid w:val="00C66672"/>
    <w:rsid w:val="00C667A8"/>
    <w:rsid w:val="00C66DA7"/>
    <w:rsid w:val="00C66DE4"/>
    <w:rsid w:val="00C66F63"/>
    <w:rsid w:val="00C6773F"/>
    <w:rsid w:val="00C67B33"/>
    <w:rsid w:val="00C67B8C"/>
    <w:rsid w:val="00C7045B"/>
    <w:rsid w:val="00C706E2"/>
    <w:rsid w:val="00C70DC2"/>
    <w:rsid w:val="00C710B5"/>
    <w:rsid w:val="00C71367"/>
    <w:rsid w:val="00C71805"/>
    <w:rsid w:val="00C71877"/>
    <w:rsid w:val="00C72381"/>
    <w:rsid w:val="00C72480"/>
    <w:rsid w:val="00C72504"/>
    <w:rsid w:val="00C72697"/>
    <w:rsid w:val="00C72C68"/>
    <w:rsid w:val="00C72E01"/>
    <w:rsid w:val="00C72FCD"/>
    <w:rsid w:val="00C73177"/>
    <w:rsid w:val="00C733B2"/>
    <w:rsid w:val="00C734A7"/>
    <w:rsid w:val="00C7350C"/>
    <w:rsid w:val="00C7350D"/>
    <w:rsid w:val="00C73A2A"/>
    <w:rsid w:val="00C73C3F"/>
    <w:rsid w:val="00C73CFB"/>
    <w:rsid w:val="00C73DE1"/>
    <w:rsid w:val="00C74394"/>
    <w:rsid w:val="00C74C42"/>
    <w:rsid w:val="00C74D82"/>
    <w:rsid w:val="00C751CA"/>
    <w:rsid w:val="00C75541"/>
    <w:rsid w:val="00C75635"/>
    <w:rsid w:val="00C75A27"/>
    <w:rsid w:val="00C75C32"/>
    <w:rsid w:val="00C75F73"/>
    <w:rsid w:val="00C76050"/>
    <w:rsid w:val="00C76221"/>
    <w:rsid w:val="00C764AE"/>
    <w:rsid w:val="00C77BAE"/>
    <w:rsid w:val="00C8060F"/>
    <w:rsid w:val="00C80877"/>
    <w:rsid w:val="00C80B25"/>
    <w:rsid w:val="00C810D1"/>
    <w:rsid w:val="00C8117A"/>
    <w:rsid w:val="00C8207A"/>
    <w:rsid w:val="00C82467"/>
    <w:rsid w:val="00C82C6F"/>
    <w:rsid w:val="00C833C0"/>
    <w:rsid w:val="00C8340C"/>
    <w:rsid w:val="00C83913"/>
    <w:rsid w:val="00C839D1"/>
    <w:rsid w:val="00C844AE"/>
    <w:rsid w:val="00C84C55"/>
    <w:rsid w:val="00C858A1"/>
    <w:rsid w:val="00C86034"/>
    <w:rsid w:val="00C8639C"/>
    <w:rsid w:val="00C86679"/>
    <w:rsid w:val="00C866BB"/>
    <w:rsid w:val="00C869C9"/>
    <w:rsid w:val="00C86BFA"/>
    <w:rsid w:val="00C87403"/>
    <w:rsid w:val="00C87502"/>
    <w:rsid w:val="00C875AD"/>
    <w:rsid w:val="00C87942"/>
    <w:rsid w:val="00C879F6"/>
    <w:rsid w:val="00C87B4E"/>
    <w:rsid w:val="00C90307"/>
    <w:rsid w:val="00C90536"/>
    <w:rsid w:val="00C907C3"/>
    <w:rsid w:val="00C91249"/>
    <w:rsid w:val="00C915CA"/>
    <w:rsid w:val="00C91625"/>
    <w:rsid w:val="00C92542"/>
    <w:rsid w:val="00C92941"/>
    <w:rsid w:val="00C92ACA"/>
    <w:rsid w:val="00C92DE0"/>
    <w:rsid w:val="00C933D3"/>
    <w:rsid w:val="00C936F6"/>
    <w:rsid w:val="00C93747"/>
    <w:rsid w:val="00C93E11"/>
    <w:rsid w:val="00C940A8"/>
    <w:rsid w:val="00C94901"/>
    <w:rsid w:val="00C94A2F"/>
    <w:rsid w:val="00C94A3B"/>
    <w:rsid w:val="00C94D05"/>
    <w:rsid w:val="00C952DD"/>
    <w:rsid w:val="00C95950"/>
    <w:rsid w:val="00C9640C"/>
    <w:rsid w:val="00C96865"/>
    <w:rsid w:val="00C971EC"/>
    <w:rsid w:val="00CA0420"/>
    <w:rsid w:val="00CA046C"/>
    <w:rsid w:val="00CA0D69"/>
    <w:rsid w:val="00CA0E06"/>
    <w:rsid w:val="00CA114E"/>
    <w:rsid w:val="00CA1378"/>
    <w:rsid w:val="00CA17AF"/>
    <w:rsid w:val="00CA1C7E"/>
    <w:rsid w:val="00CA1F3F"/>
    <w:rsid w:val="00CA211D"/>
    <w:rsid w:val="00CA242A"/>
    <w:rsid w:val="00CA2868"/>
    <w:rsid w:val="00CA2BD9"/>
    <w:rsid w:val="00CA31AE"/>
    <w:rsid w:val="00CA4EE6"/>
    <w:rsid w:val="00CA513B"/>
    <w:rsid w:val="00CA5E5B"/>
    <w:rsid w:val="00CA6013"/>
    <w:rsid w:val="00CA6256"/>
    <w:rsid w:val="00CA6845"/>
    <w:rsid w:val="00CA6A33"/>
    <w:rsid w:val="00CA6A49"/>
    <w:rsid w:val="00CA6C42"/>
    <w:rsid w:val="00CA6D18"/>
    <w:rsid w:val="00CA6F25"/>
    <w:rsid w:val="00CA709C"/>
    <w:rsid w:val="00CA758C"/>
    <w:rsid w:val="00CA779D"/>
    <w:rsid w:val="00CA7B74"/>
    <w:rsid w:val="00CA7CE0"/>
    <w:rsid w:val="00CB028F"/>
    <w:rsid w:val="00CB02D4"/>
    <w:rsid w:val="00CB0751"/>
    <w:rsid w:val="00CB0E84"/>
    <w:rsid w:val="00CB1131"/>
    <w:rsid w:val="00CB1679"/>
    <w:rsid w:val="00CB17A2"/>
    <w:rsid w:val="00CB1AEB"/>
    <w:rsid w:val="00CB1CA5"/>
    <w:rsid w:val="00CB1EA3"/>
    <w:rsid w:val="00CB2A0D"/>
    <w:rsid w:val="00CB2A38"/>
    <w:rsid w:val="00CB3383"/>
    <w:rsid w:val="00CB35B5"/>
    <w:rsid w:val="00CB35E5"/>
    <w:rsid w:val="00CB3732"/>
    <w:rsid w:val="00CB3839"/>
    <w:rsid w:val="00CB384E"/>
    <w:rsid w:val="00CB3C5A"/>
    <w:rsid w:val="00CB3D44"/>
    <w:rsid w:val="00CB3D65"/>
    <w:rsid w:val="00CB3EFF"/>
    <w:rsid w:val="00CB3FCC"/>
    <w:rsid w:val="00CB42AB"/>
    <w:rsid w:val="00CB430C"/>
    <w:rsid w:val="00CB49FC"/>
    <w:rsid w:val="00CB4F56"/>
    <w:rsid w:val="00CB526A"/>
    <w:rsid w:val="00CB5346"/>
    <w:rsid w:val="00CB6363"/>
    <w:rsid w:val="00CB6BC9"/>
    <w:rsid w:val="00CB74AA"/>
    <w:rsid w:val="00CB7560"/>
    <w:rsid w:val="00CB7636"/>
    <w:rsid w:val="00CB7DDA"/>
    <w:rsid w:val="00CC0591"/>
    <w:rsid w:val="00CC0B23"/>
    <w:rsid w:val="00CC0ED8"/>
    <w:rsid w:val="00CC105F"/>
    <w:rsid w:val="00CC117C"/>
    <w:rsid w:val="00CC1196"/>
    <w:rsid w:val="00CC183D"/>
    <w:rsid w:val="00CC187E"/>
    <w:rsid w:val="00CC18BA"/>
    <w:rsid w:val="00CC19F6"/>
    <w:rsid w:val="00CC260D"/>
    <w:rsid w:val="00CC2DE7"/>
    <w:rsid w:val="00CC3357"/>
    <w:rsid w:val="00CC364F"/>
    <w:rsid w:val="00CC3E5D"/>
    <w:rsid w:val="00CC4441"/>
    <w:rsid w:val="00CC44CB"/>
    <w:rsid w:val="00CC4D3B"/>
    <w:rsid w:val="00CC50F8"/>
    <w:rsid w:val="00CC52CB"/>
    <w:rsid w:val="00CC5427"/>
    <w:rsid w:val="00CC5665"/>
    <w:rsid w:val="00CC5C34"/>
    <w:rsid w:val="00CC5D81"/>
    <w:rsid w:val="00CC5ED1"/>
    <w:rsid w:val="00CC604E"/>
    <w:rsid w:val="00CC628C"/>
    <w:rsid w:val="00CC684E"/>
    <w:rsid w:val="00CC6C88"/>
    <w:rsid w:val="00CC6E38"/>
    <w:rsid w:val="00CC6E7D"/>
    <w:rsid w:val="00CC6FDC"/>
    <w:rsid w:val="00CC754F"/>
    <w:rsid w:val="00CC7AC2"/>
    <w:rsid w:val="00CC7B1F"/>
    <w:rsid w:val="00CD008B"/>
    <w:rsid w:val="00CD0267"/>
    <w:rsid w:val="00CD05DE"/>
    <w:rsid w:val="00CD08EF"/>
    <w:rsid w:val="00CD0C29"/>
    <w:rsid w:val="00CD0F3A"/>
    <w:rsid w:val="00CD0FAC"/>
    <w:rsid w:val="00CD10B0"/>
    <w:rsid w:val="00CD14EA"/>
    <w:rsid w:val="00CD1946"/>
    <w:rsid w:val="00CD1A81"/>
    <w:rsid w:val="00CD1B63"/>
    <w:rsid w:val="00CD1EE2"/>
    <w:rsid w:val="00CD23AD"/>
    <w:rsid w:val="00CD2AEC"/>
    <w:rsid w:val="00CD2E1D"/>
    <w:rsid w:val="00CD3A3D"/>
    <w:rsid w:val="00CD4784"/>
    <w:rsid w:val="00CD48DC"/>
    <w:rsid w:val="00CD4BAF"/>
    <w:rsid w:val="00CD4F0C"/>
    <w:rsid w:val="00CD508A"/>
    <w:rsid w:val="00CD51DB"/>
    <w:rsid w:val="00CD52C0"/>
    <w:rsid w:val="00CD5746"/>
    <w:rsid w:val="00CD5967"/>
    <w:rsid w:val="00CD5B45"/>
    <w:rsid w:val="00CD5B5E"/>
    <w:rsid w:val="00CD5E8A"/>
    <w:rsid w:val="00CD6A7E"/>
    <w:rsid w:val="00CD6EED"/>
    <w:rsid w:val="00CD6F5F"/>
    <w:rsid w:val="00CD7249"/>
    <w:rsid w:val="00CD741C"/>
    <w:rsid w:val="00CD78B2"/>
    <w:rsid w:val="00CD7991"/>
    <w:rsid w:val="00CD7AD6"/>
    <w:rsid w:val="00CD7D15"/>
    <w:rsid w:val="00CD7F03"/>
    <w:rsid w:val="00CE04C4"/>
    <w:rsid w:val="00CE0BEA"/>
    <w:rsid w:val="00CE0C0A"/>
    <w:rsid w:val="00CE0D14"/>
    <w:rsid w:val="00CE0D97"/>
    <w:rsid w:val="00CE108C"/>
    <w:rsid w:val="00CE1202"/>
    <w:rsid w:val="00CE13E3"/>
    <w:rsid w:val="00CE1416"/>
    <w:rsid w:val="00CE20B8"/>
    <w:rsid w:val="00CE26AC"/>
    <w:rsid w:val="00CE37AB"/>
    <w:rsid w:val="00CE3A3E"/>
    <w:rsid w:val="00CE3BD2"/>
    <w:rsid w:val="00CE3D83"/>
    <w:rsid w:val="00CE3FA7"/>
    <w:rsid w:val="00CE4152"/>
    <w:rsid w:val="00CE4363"/>
    <w:rsid w:val="00CE4D5A"/>
    <w:rsid w:val="00CE4E35"/>
    <w:rsid w:val="00CE50F2"/>
    <w:rsid w:val="00CE52A5"/>
    <w:rsid w:val="00CE544D"/>
    <w:rsid w:val="00CE5F5C"/>
    <w:rsid w:val="00CE6296"/>
    <w:rsid w:val="00CE6433"/>
    <w:rsid w:val="00CE65E4"/>
    <w:rsid w:val="00CE70DE"/>
    <w:rsid w:val="00CE7425"/>
    <w:rsid w:val="00CE793A"/>
    <w:rsid w:val="00CE7B10"/>
    <w:rsid w:val="00CF012E"/>
    <w:rsid w:val="00CF076B"/>
    <w:rsid w:val="00CF0F32"/>
    <w:rsid w:val="00CF1170"/>
    <w:rsid w:val="00CF1312"/>
    <w:rsid w:val="00CF1742"/>
    <w:rsid w:val="00CF19B0"/>
    <w:rsid w:val="00CF2982"/>
    <w:rsid w:val="00CF29AC"/>
    <w:rsid w:val="00CF331F"/>
    <w:rsid w:val="00CF33FD"/>
    <w:rsid w:val="00CF392C"/>
    <w:rsid w:val="00CF3ABA"/>
    <w:rsid w:val="00CF3CD4"/>
    <w:rsid w:val="00CF3E65"/>
    <w:rsid w:val="00CF3FC9"/>
    <w:rsid w:val="00CF41C4"/>
    <w:rsid w:val="00CF4651"/>
    <w:rsid w:val="00CF4768"/>
    <w:rsid w:val="00CF4778"/>
    <w:rsid w:val="00CF491D"/>
    <w:rsid w:val="00CF50A0"/>
    <w:rsid w:val="00CF5232"/>
    <w:rsid w:val="00CF5271"/>
    <w:rsid w:val="00CF5493"/>
    <w:rsid w:val="00CF5699"/>
    <w:rsid w:val="00CF57D9"/>
    <w:rsid w:val="00CF5A41"/>
    <w:rsid w:val="00CF5BEF"/>
    <w:rsid w:val="00CF5DD9"/>
    <w:rsid w:val="00CF5ED9"/>
    <w:rsid w:val="00CF6401"/>
    <w:rsid w:val="00CF67B4"/>
    <w:rsid w:val="00CF6AC8"/>
    <w:rsid w:val="00CF6B42"/>
    <w:rsid w:val="00CF72FA"/>
    <w:rsid w:val="00CF77EC"/>
    <w:rsid w:val="00CF79AC"/>
    <w:rsid w:val="00CF7B1E"/>
    <w:rsid w:val="00CF7DF1"/>
    <w:rsid w:val="00D00CC2"/>
    <w:rsid w:val="00D01287"/>
    <w:rsid w:val="00D02577"/>
    <w:rsid w:val="00D02AB5"/>
    <w:rsid w:val="00D02ADA"/>
    <w:rsid w:val="00D02EF5"/>
    <w:rsid w:val="00D03A23"/>
    <w:rsid w:val="00D03B0D"/>
    <w:rsid w:val="00D03C92"/>
    <w:rsid w:val="00D03F97"/>
    <w:rsid w:val="00D043DD"/>
    <w:rsid w:val="00D048B7"/>
    <w:rsid w:val="00D04C61"/>
    <w:rsid w:val="00D04D1D"/>
    <w:rsid w:val="00D05F78"/>
    <w:rsid w:val="00D06336"/>
    <w:rsid w:val="00D063C0"/>
    <w:rsid w:val="00D0656B"/>
    <w:rsid w:val="00D065A8"/>
    <w:rsid w:val="00D06693"/>
    <w:rsid w:val="00D06A65"/>
    <w:rsid w:val="00D06AAE"/>
    <w:rsid w:val="00D06EFB"/>
    <w:rsid w:val="00D0722C"/>
    <w:rsid w:val="00D07581"/>
    <w:rsid w:val="00D077E6"/>
    <w:rsid w:val="00D07B01"/>
    <w:rsid w:val="00D107C0"/>
    <w:rsid w:val="00D107F1"/>
    <w:rsid w:val="00D10C3D"/>
    <w:rsid w:val="00D11431"/>
    <w:rsid w:val="00D114C3"/>
    <w:rsid w:val="00D114FE"/>
    <w:rsid w:val="00D117A7"/>
    <w:rsid w:val="00D12728"/>
    <w:rsid w:val="00D12EE6"/>
    <w:rsid w:val="00D12FCD"/>
    <w:rsid w:val="00D13150"/>
    <w:rsid w:val="00D1316F"/>
    <w:rsid w:val="00D135BB"/>
    <w:rsid w:val="00D13798"/>
    <w:rsid w:val="00D13C24"/>
    <w:rsid w:val="00D13E34"/>
    <w:rsid w:val="00D14E0F"/>
    <w:rsid w:val="00D15361"/>
    <w:rsid w:val="00D1595E"/>
    <w:rsid w:val="00D15980"/>
    <w:rsid w:val="00D15A16"/>
    <w:rsid w:val="00D15C1D"/>
    <w:rsid w:val="00D15C7D"/>
    <w:rsid w:val="00D167AB"/>
    <w:rsid w:val="00D16A73"/>
    <w:rsid w:val="00D17198"/>
    <w:rsid w:val="00D17A02"/>
    <w:rsid w:val="00D17C8E"/>
    <w:rsid w:val="00D17CA8"/>
    <w:rsid w:val="00D17E5C"/>
    <w:rsid w:val="00D2033C"/>
    <w:rsid w:val="00D2086D"/>
    <w:rsid w:val="00D20AD8"/>
    <w:rsid w:val="00D21196"/>
    <w:rsid w:val="00D21800"/>
    <w:rsid w:val="00D21928"/>
    <w:rsid w:val="00D21CC6"/>
    <w:rsid w:val="00D22B0A"/>
    <w:rsid w:val="00D22B4B"/>
    <w:rsid w:val="00D22CC8"/>
    <w:rsid w:val="00D23902"/>
    <w:rsid w:val="00D23E7D"/>
    <w:rsid w:val="00D23F5D"/>
    <w:rsid w:val="00D241A0"/>
    <w:rsid w:val="00D241DC"/>
    <w:rsid w:val="00D2427F"/>
    <w:rsid w:val="00D24625"/>
    <w:rsid w:val="00D24A08"/>
    <w:rsid w:val="00D24CA7"/>
    <w:rsid w:val="00D25259"/>
    <w:rsid w:val="00D252F8"/>
    <w:rsid w:val="00D25ABE"/>
    <w:rsid w:val="00D25E71"/>
    <w:rsid w:val="00D25F14"/>
    <w:rsid w:val="00D264D3"/>
    <w:rsid w:val="00D27293"/>
    <w:rsid w:val="00D2739B"/>
    <w:rsid w:val="00D27471"/>
    <w:rsid w:val="00D27474"/>
    <w:rsid w:val="00D27676"/>
    <w:rsid w:val="00D27774"/>
    <w:rsid w:val="00D27EF0"/>
    <w:rsid w:val="00D304BB"/>
    <w:rsid w:val="00D30F35"/>
    <w:rsid w:val="00D311A4"/>
    <w:rsid w:val="00D31A36"/>
    <w:rsid w:val="00D31A6E"/>
    <w:rsid w:val="00D31AD7"/>
    <w:rsid w:val="00D31DCA"/>
    <w:rsid w:val="00D31E34"/>
    <w:rsid w:val="00D32184"/>
    <w:rsid w:val="00D3266F"/>
    <w:rsid w:val="00D329E0"/>
    <w:rsid w:val="00D32AFA"/>
    <w:rsid w:val="00D32C35"/>
    <w:rsid w:val="00D32F93"/>
    <w:rsid w:val="00D33135"/>
    <w:rsid w:val="00D33A76"/>
    <w:rsid w:val="00D340F1"/>
    <w:rsid w:val="00D34197"/>
    <w:rsid w:val="00D345AD"/>
    <w:rsid w:val="00D348C5"/>
    <w:rsid w:val="00D34EBD"/>
    <w:rsid w:val="00D350F9"/>
    <w:rsid w:val="00D35AEC"/>
    <w:rsid w:val="00D35EDE"/>
    <w:rsid w:val="00D360AD"/>
    <w:rsid w:val="00D36483"/>
    <w:rsid w:val="00D365B6"/>
    <w:rsid w:val="00D3683A"/>
    <w:rsid w:val="00D36947"/>
    <w:rsid w:val="00D3719F"/>
    <w:rsid w:val="00D372C6"/>
    <w:rsid w:val="00D374B4"/>
    <w:rsid w:val="00D37738"/>
    <w:rsid w:val="00D379F2"/>
    <w:rsid w:val="00D37B75"/>
    <w:rsid w:val="00D37D3E"/>
    <w:rsid w:val="00D40681"/>
    <w:rsid w:val="00D407AA"/>
    <w:rsid w:val="00D40C4B"/>
    <w:rsid w:val="00D412AC"/>
    <w:rsid w:val="00D413E2"/>
    <w:rsid w:val="00D4149F"/>
    <w:rsid w:val="00D419AA"/>
    <w:rsid w:val="00D41B37"/>
    <w:rsid w:val="00D41B6C"/>
    <w:rsid w:val="00D4200F"/>
    <w:rsid w:val="00D42892"/>
    <w:rsid w:val="00D4297B"/>
    <w:rsid w:val="00D429C7"/>
    <w:rsid w:val="00D42BDB"/>
    <w:rsid w:val="00D42E98"/>
    <w:rsid w:val="00D42F27"/>
    <w:rsid w:val="00D431BF"/>
    <w:rsid w:val="00D43AEC"/>
    <w:rsid w:val="00D442D1"/>
    <w:rsid w:val="00D4443B"/>
    <w:rsid w:val="00D446BA"/>
    <w:rsid w:val="00D448BF"/>
    <w:rsid w:val="00D44BB8"/>
    <w:rsid w:val="00D44D41"/>
    <w:rsid w:val="00D44D99"/>
    <w:rsid w:val="00D458DC"/>
    <w:rsid w:val="00D459D6"/>
    <w:rsid w:val="00D45A6C"/>
    <w:rsid w:val="00D45F2A"/>
    <w:rsid w:val="00D46120"/>
    <w:rsid w:val="00D462F5"/>
    <w:rsid w:val="00D462FA"/>
    <w:rsid w:val="00D46398"/>
    <w:rsid w:val="00D4677F"/>
    <w:rsid w:val="00D4694C"/>
    <w:rsid w:val="00D46B37"/>
    <w:rsid w:val="00D46FB2"/>
    <w:rsid w:val="00D471FC"/>
    <w:rsid w:val="00D47643"/>
    <w:rsid w:val="00D476F7"/>
    <w:rsid w:val="00D4782C"/>
    <w:rsid w:val="00D47DA1"/>
    <w:rsid w:val="00D50322"/>
    <w:rsid w:val="00D5037A"/>
    <w:rsid w:val="00D510D1"/>
    <w:rsid w:val="00D51289"/>
    <w:rsid w:val="00D51E28"/>
    <w:rsid w:val="00D5200C"/>
    <w:rsid w:val="00D52494"/>
    <w:rsid w:val="00D524AD"/>
    <w:rsid w:val="00D52958"/>
    <w:rsid w:val="00D529DD"/>
    <w:rsid w:val="00D52A27"/>
    <w:rsid w:val="00D52BB1"/>
    <w:rsid w:val="00D5314B"/>
    <w:rsid w:val="00D53E64"/>
    <w:rsid w:val="00D54027"/>
    <w:rsid w:val="00D542D7"/>
    <w:rsid w:val="00D5435B"/>
    <w:rsid w:val="00D547A3"/>
    <w:rsid w:val="00D54DE4"/>
    <w:rsid w:val="00D556B3"/>
    <w:rsid w:val="00D55971"/>
    <w:rsid w:val="00D55B50"/>
    <w:rsid w:val="00D55D06"/>
    <w:rsid w:val="00D561E0"/>
    <w:rsid w:val="00D56434"/>
    <w:rsid w:val="00D566D6"/>
    <w:rsid w:val="00D56A74"/>
    <w:rsid w:val="00D57075"/>
    <w:rsid w:val="00D5711D"/>
    <w:rsid w:val="00D571A6"/>
    <w:rsid w:val="00D57390"/>
    <w:rsid w:val="00D60270"/>
    <w:rsid w:val="00D60518"/>
    <w:rsid w:val="00D60806"/>
    <w:rsid w:val="00D60B80"/>
    <w:rsid w:val="00D60E2E"/>
    <w:rsid w:val="00D6185D"/>
    <w:rsid w:val="00D61BD5"/>
    <w:rsid w:val="00D61F4F"/>
    <w:rsid w:val="00D62771"/>
    <w:rsid w:val="00D628D2"/>
    <w:rsid w:val="00D633C6"/>
    <w:rsid w:val="00D638B8"/>
    <w:rsid w:val="00D64275"/>
    <w:rsid w:val="00D6527D"/>
    <w:rsid w:val="00D65B11"/>
    <w:rsid w:val="00D65B49"/>
    <w:rsid w:val="00D65E66"/>
    <w:rsid w:val="00D67007"/>
    <w:rsid w:val="00D673D7"/>
    <w:rsid w:val="00D6774B"/>
    <w:rsid w:val="00D6782C"/>
    <w:rsid w:val="00D67DC1"/>
    <w:rsid w:val="00D702F9"/>
    <w:rsid w:val="00D7044E"/>
    <w:rsid w:val="00D70472"/>
    <w:rsid w:val="00D70852"/>
    <w:rsid w:val="00D70D31"/>
    <w:rsid w:val="00D70D47"/>
    <w:rsid w:val="00D70D75"/>
    <w:rsid w:val="00D71148"/>
    <w:rsid w:val="00D71764"/>
    <w:rsid w:val="00D71D6E"/>
    <w:rsid w:val="00D720E6"/>
    <w:rsid w:val="00D721C5"/>
    <w:rsid w:val="00D72554"/>
    <w:rsid w:val="00D727E2"/>
    <w:rsid w:val="00D72DA2"/>
    <w:rsid w:val="00D731E1"/>
    <w:rsid w:val="00D73FE9"/>
    <w:rsid w:val="00D73FF9"/>
    <w:rsid w:val="00D7429A"/>
    <w:rsid w:val="00D749EA"/>
    <w:rsid w:val="00D74A22"/>
    <w:rsid w:val="00D750E8"/>
    <w:rsid w:val="00D752C7"/>
    <w:rsid w:val="00D75333"/>
    <w:rsid w:val="00D757E5"/>
    <w:rsid w:val="00D75CF2"/>
    <w:rsid w:val="00D75E1E"/>
    <w:rsid w:val="00D75E74"/>
    <w:rsid w:val="00D75EFA"/>
    <w:rsid w:val="00D75F10"/>
    <w:rsid w:val="00D76429"/>
    <w:rsid w:val="00D76514"/>
    <w:rsid w:val="00D76607"/>
    <w:rsid w:val="00D766D6"/>
    <w:rsid w:val="00D76A97"/>
    <w:rsid w:val="00D76BA1"/>
    <w:rsid w:val="00D77063"/>
    <w:rsid w:val="00D77184"/>
    <w:rsid w:val="00D77877"/>
    <w:rsid w:val="00D77D09"/>
    <w:rsid w:val="00D8090C"/>
    <w:rsid w:val="00D80C1C"/>
    <w:rsid w:val="00D80DAC"/>
    <w:rsid w:val="00D80E11"/>
    <w:rsid w:val="00D81212"/>
    <w:rsid w:val="00D81617"/>
    <w:rsid w:val="00D8178F"/>
    <w:rsid w:val="00D81887"/>
    <w:rsid w:val="00D81BAD"/>
    <w:rsid w:val="00D82075"/>
    <w:rsid w:val="00D820DE"/>
    <w:rsid w:val="00D82344"/>
    <w:rsid w:val="00D825FB"/>
    <w:rsid w:val="00D82697"/>
    <w:rsid w:val="00D8322A"/>
    <w:rsid w:val="00D835A3"/>
    <w:rsid w:val="00D83AFE"/>
    <w:rsid w:val="00D83F12"/>
    <w:rsid w:val="00D84049"/>
    <w:rsid w:val="00D84288"/>
    <w:rsid w:val="00D84745"/>
    <w:rsid w:val="00D847D6"/>
    <w:rsid w:val="00D84FCC"/>
    <w:rsid w:val="00D856D8"/>
    <w:rsid w:val="00D85C6C"/>
    <w:rsid w:val="00D8617D"/>
    <w:rsid w:val="00D86550"/>
    <w:rsid w:val="00D866C0"/>
    <w:rsid w:val="00D86740"/>
    <w:rsid w:val="00D8681D"/>
    <w:rsid w:val="00D86A52"/>
    <w:rsid w:val="00D86B6A"/>
    <w:rsid w:val="00D86D0B"/>
    <w:rsid w:val="00D86D3B"/>
    <w:rsid w:val="00D8753D"/>
    <w:rsid w:val="00D875EA"/>
    <w:rsid w:val="00D901BA"/>
    <w:rsid w:val="00D90384"/>
    <w:rsid w:val="00D904A3"/>
    <w:rsid w:val="00D908B7"/>
    <w:rsid w:val="00D9112A"/>
    <w:rsid w:val="00D916E2"/>
    <w:rsid w:val="00D9179D"/>
    <w:rsid w:val="00D917D1"/>
    <w:rsid w:val="00D91A57"/>
    <w:rsid w:val="00D91DA1"/>
    <w:rsid w:val="00D91F8E"/>
    <w:rsid w:val="00D924F5"/>
    <w:rsid w:val="00D92716"/>
    <w:rsid w:val="00D927B7"/>
    <w:rsid w:val="00D92A4B"/>
    <w:rsid w:val="00D92A76"/>
    <w:rsid w:val="00D9393D"/>
    <w:rsid w:val="00D93D00"/>
    <w:rsid w:val="00D9408D"/>
    <w:rsid w:val="00D943F8"/>
    <w:rsid w:val="00D947B2"/>
    <w:rsid w:val="00D94918"/>
    <w:rsid w:val="00D94D5E"/>
    <w:rsid w:val="00D94DBC"/>
    <w:rsid w:val="00D94EA4"/>
    <w:rsid w:val="00D95339"/>
    <w:rsid w:val="00D95980"/>
    <w:rsid w:val="00D95CBD"/>
    <w:rsid w:val="00D96A6B"/>
    <w:rsid w:val="00D96DCE"/>
    <w:rsid w:val="00D9737A"/>
    <w:rsid w:val="00D9745D"/>
    <w:rsid w:val="00D974CF"/>
    <w:rsid w:val="00D97AFC"/>
    <w:rsid w:val="00D97DB0"/>
    <w:rsid w:val="00D97EF8"/>
    <w:rsid w:val="00DA064A"/>
    <w:rsid w:val="00DA074B"/>
    <w:rsid w:val="00DA0D07"/>
    <w:rsid w:val="00DA16AA"/>
    <w:rsid w:val="00DA175C"/>
    <w:rsid w:val="00DA17FA"/>
    <w:rsid w:val="00DA1805"/>
    <w:rsid w:val="00DA1DD5"/>
    <w:rsid w:val="00DA1EE1"/>
    <w:rsid w:val="00DA23CA"/>
    <w:rsid w:val="00DA268C"/>
    <w:rsid w:val="00DA2B0B"/>
    <w:rsid w:val="00DA2B9E"/>
    <w:rsid w:val="00DA2C7E"/>
    <w:rsid w:val="00DA2D53"/>
    <w:rsid w:val="00DA3048"/>
    <w:rsid w:val="00DA3400"/>
    <w:rsid w:val="00DA364E"/>
    <w:rsid w:val="00DA382B"/>
    <w:rsid w:val="00DA3CE5"/>
    <w:rsid w:val="00DA3F06"/>
    <w:rsid w:val="00DA3FD0"/>
    <w:rsid w:val="00DA4881"/>
    <w:rsid w:val="00DA49C8"/>
    <w:rsid w:val="00DA4F57"/>
    <w:rsid w:val="00DA517F"/>
    <w:rsid w:val="00DA56DF"/>
    <w:rsid w:val="00DA59F4"/>
    <w:rsid w:val="00DA61EA"/>
    <w:rsid w:val="00DA674A"/>
    <w:rsid w:val="00DA6776"/>
    <w:rsid w:val="00DA6CE1"/>
    <w:rsid w:val="00DA6EDE"/>
    <w:rsid w:val="00DA71EE"/>
    <w:rsid w:val="00DA72EE"/>
    <w:rsid w:val="00DA7A12"/>
    <w:rsid w:val="00DB07B7"/>
    <w:rsid w:val="00DB0840"/>
    <w:rsid w:val="00DB092E"/>
    <w:rsid w:val="00DB098C"/>
    <w:rsid w:val="00DB09E6"/>
    <w:rsid w:val="00DB1529"/>
    <w:rsid w:val="00DB171E"/>
    <w:rsid w:val="00DB1D70"/>
    <w:rsid w:val="00DB28CB"/>
    <w:rsid w:val="00DB2DCE"/>
    <w:rsid w:val="00DB2E86"/>
    <w:rsid w:val="00DB34D0"/>
    <w:rsid w:val="00DB3A62"/>
    <w:rsid w:val="00DB3BFD"/>
    <w:rsid w:val="00DB3EF7"/>
    <w:rsid w:val="00DB3F73"/>
    <w:rsid w:val="00DB3FB6"/>
    <w:rsid w:val="00DB44AB"/>
    <w:rsid w:val="00DB45F8"/>
    <w:rsid w:val="00DB4A9C"/>
    <w:rsid w:val="00DB4DE4"/>
    <w:rsid w:val="00DB5359"/>
    <w:rsid w:val="00DB5753"/>
    <w:rsid w:val="00DB62B9"/>
    <w:rsid w:val="00DB66C7"/>
    <w:rsid w:val="00DB67B5"/>
    <w:rsid w:val="00DB68FC"/>
    <w:rsid w:val="00DB6B34"/>
    <w:rsid w:val="00DB6F8C"/>
    <w:rsid w:val="00DB70D7"/>
    <w:rsid w:val="00DB746D"/>
    <w:rsid w:val="00DB79AF"/>
    <w:rsid w:val="00DC00E5"/>
    <w:rsid w:val="00DC06D6"/>
    <w:rsid w:val="00DC0E0F"/>
    <w:rsid w:val="00DC0ED2"/>
    <w:rsid w:val="00DC1081"/>
    <w:rsid w:val="00DC18CC"/>
    <w:rsid w:val="00DC1EF0"/>
    <w:rsid w:val="00DC2020"/>
    <w:rsid w:val="00DC20A0"/>
    <w:rsid w:val="00DC2466"/>
    <w:rsid w:val="00DC2541"/>
    <w:rsid w:val="00DC294B"/>
    <w:rsid w:val="00DC2A0D"/>
    <w:rsid w:val="00DC2B65"/>
    <w:rsid w:val="00DC3382"/>
    <w:rsid w:val="00DC346F"/>
    <w:rsid w:val="00DC388A"/>
    <w:rsid w:val="00DC392B"/>
    <w:rsid w:val="00DC3D79"/>
    <w:rsid w:val="00DC433B"/>
    <w:rsid w:val="00DC507F"/>
    <w:rsid w:val="00DC51AD"/>
    <w:rsid w:val="00DC573F"/>
    <w:rsid w:val="00DC5DB1"/>
    <w:rsid w:val="00DC6261"/>
    <w:rsid w:val="00DC6401"/>
    <w:rsid w:val="00DC64E4"/>
    <w:rsid w:val="00DC68F4"/>
    <w:rsid w:val="00DC7643"/>
    <w:rsid w:val="00DC772B"/>
    <w:rsid w:val="00DD0296"/>
    <w:rsid w:val="00DD0419"/>
    <w:rsid w:val="00DD093C"/>
    <w:rsid w:val="00DD0A32"/>
    <w:rsid w:val="00DD0AE1"/>
    <w:rsid w:val="00DD0BCF"/>
    <w:rsid w:val="00DD0C20"/>
    <w:rsid w:val="00DD0CC8"/>
    <w:rsid w:val="00DD0D44"/>
    <w:rsid w:val="00DD0F7A"/>
    <w:rsid w:val="00DD212A"/>
    <w:rsid w:val="00DD2631"/>
    <w:rsid w:val="00DD264C"/>
    <w:rsid w:val="00DD28A6"/>
    <w:rsid w:val="00DD2941"/>
    <w:rsid w:val="00DD2B06"/>
    <w:rsid w:val="00DD30F8"/>
    <w:rsid w:val="00DD3570"/>
    <w:rsid w:val="00DD3651"/>
    <w:rsid w:val="00DD398E"/>
    <w:rsid w:val="00DD3B16"/>
    <w:rsid w:val="00DD3C0A"/>
    <w:rsid w:val="00DD4622"/>
    <w:rsid w:val="00DD4BCC"/>
    <w:rsid w:val="00DD4C8F"/>
    <w:rsid w:val="00DD59CE"/>
    <w:rsid w:val="00DD5B15"/>
    <w:rsid w:val="00DD5B32"/>
    <w:rsid w:val="00DD5DA9"/>
    <w:rsid w:val="00DD5FE3"/>
    <w:rsid w:val="00DD5FED"/>
    <w:rsid w:val="00DD64E4"/>
    <w:rsid w:val="00DD692D"/>
    <w:rsid w:val="00DD6BE6"/>
    <w:rsid w:val="00DD6D29"/>
    <w:rsid w:val="00DD70BD"/>
    <w:rsid w:val="00DD716E"/>
    <w:rsid w:val="00DD71C2"/>
    <w:rsid w:val="00DD741B"/>
    <w:rsid w:val="00DD7422"/>
    <w:rsid w:val="00DD766F"/>
    <w:rsid w:val="00DD7A8D"/>
    <w:rsid w:val="00DE0184"/>
    <w:rsid w:val="00DE0185"/>
    <w:rsid w:val="00DE0DB7"/>
    <w:rsid w:val="00DE172B"/>
    <w:rsid w:val="00DE17E2"/>
    <w:rsid w:val="00DE1808"/>
    <w:rsid w:val="00DE1B65"/>
    <w:rsid w:val="00DE1BB8"/>
    <w:rsid w:val="00DE1DED"/>
    <w:rsid w:val="00DE31F3"/>
    <w:rsid w:val="00DE3352"/>
    <w:rsid w:val="00DE3361"/>
    <w:rsid w:val="00DE3463"/>
    <w:rsid w:val="00DE3480"/>
    <w:rsid w:val="00DE3506"/>
    <w:rsid w:val="00DE4358"/>
    <w:rsid w:val="00DE45B2"/>
    <w:rsid w:val="00DE4D33"/>
    <w:rsid w:val="00DE4DB3"/>
    <w:rsid w:val="00DE4E7A"/>
    <w:rsid w:val="00DE4FB4"/>
    <w:rsid w:val="00DE5573"/>
    <w:rsid w:val="00DE62CE"/>
    <w:rsid w:val="00DE6538"/>
    <w:rsid w:val="00DE6A7C"/>
    <w:rsid w:val="00DE6B8B"/>
    <w:rsid w:val="00DE7BE8"/>
    <w:rsid w:val="00DE7F13"/>
    <w:rsid w:val="00DE7F94"/>
    <w:rsid w:val="00DF0548"/>
    <w:rsid w:val="00DF08CB"/>
    <w:rsid w:val="00DF1231"/>
    <w:rsid w:val="00DF1AEC"/>
    <w:rsid w:val="00DF1CF1"/>
    <w:rsid w:val="00DF21E2"/>
    <w:rsid w:val="00DF26FF"/>
    <w:rsid w:val="00DF2A6B"/>
    <w:rsid w:val="00DF3232"/>
    <w:rsid w:val="00DF37D4"/>
    <w:rsid w:val="00DF4120"/>
    <w:rsid w:val="00DF46F5"/>
    <w:rsid w:val="00DF47CC"/>
    <w:rsid w:val="00DF4D8F"/>
    <w:rsid w:val="00DF4FCC"/>
    <w:rsid w:val="00DF519F"/>
    <w:rsid w:val="00DF54A9"/>
    <w:rsid w:val="00DF554A"/>
    <w:rsid w:val="00DF571E"/>
    <w:rsid w:val="00DF585F"/>
    <w:rsid w:val="00DF5A4F"/>
    <w:rsid w:val="00DF5ADD"/>
    <w:rsid w:val="00DF5DB1"/>
    <w:rsid w:val="00DF5F2C"/>
    <w:rsid w:val="00DF5FA2"/>
    <w:rsid w:val="00DF6073"/>
    <w:rsid w:val="00DF6096"/>
    <w:rsid w:val="00DF63C2"/>
    <w:rsid w:val="00DF67ED"/>
    <w:rsid w:val="00DF688F"/>
    <w:rsid w:val="00DF689D"/>
    <w:rsid w:val="00DF6907"/>
    <w:rsid w:val="00DF7266"/>
    <w:rsid w:val="00E00371"/>
    <w:rsid w:val="00E007DB"/>
    <w:rsid w:val="00E0085E"/>
    <w:rsid w:val="00E00C45"/>
    <w:rsid w:val="00E0126D"/>
    <w:rsid w:val="00E01281"/>
    <w:rsid w:val="00E01357"/>
    <w:rsid w:val="00E015B4"/>
    <w:rsid w:val="00E015B6"/>
    <w:rsid w:val="00E01E8B"/>
    <w:rsid w:val="00E02285"/>
    <w:rsid w:val="00E02B1E"/>
    <w:rsid w:val="00E02C64"/>
    <w:rsid w:val="00E02F65"/>
    <w:rsid w:val="00E0315D"/>
    <w:rsid w:val="00E032E0"/>
    <w:rsid w:val="00E03AC3"/>
    <w:rsid w:val="00E04A1D"/>
    <w:rsid w:val="00E05322"/>
    <w:rsid w:val="00E057D8"/>
    <w:rsid w:val="00E05BCD"/>
    <w:rsid w:val="00E05D47"/>
    <w:rsid w:val="00E05DF4"/>
    <w:rsid w:val="00E05F8D"/>
    <w:rsid w:val="00E0721A"/>
    <w:rsid w:val="00E07639"/>
    <w:rsid w:val="00E076E6"/>
    <w:rsid w:val="00E07916"/>
    <w:rsid w:val="00E07E23"/>
    <w:rsid w:val="00E10670"/>
    <w:rsid w:val="00E1096F"/>
    <w:rsid w:val="00E11143"/>
    <w:rsid w:val="00E11538"/>
    <w:rsid w:val="00E11617"/>
    <w:rsid w:val="00E1187E"/>
    <w:rsid w:val="00E1200A"/>
    <w:rsid w:val="00E120DF"/>
    <w:rsid w:val="00E1270D"/>
    <w:rsid w:val="00E1327D"/>
    <w:rsid w:val="00E13933"/>
    <w:rsid w:val="00E13BD9"/>
    <w:rsid w:val="00E13CAD"/>
    <w:rsid w:val="00E14780"/>
    <w:rsid w:val="00E14A3F"/>
    <w:rsid w:val="00E14A94"/>
    <w:rsid w:val="00E14D26"/>
    <w:rsid w:val="00E14DF1"/>
    <w:rsid w:val="00E15067"/>
    <w:rsid w:val="00E15736"/>
    <w:rsid w:val="00E159B3"/>
    <w:rsid w:val="00E15F80"/>
    <w:rsid w:val="00E16099"/>
    <w:rsid w:val="00E161EA"/>
    <w:rsid w:val="00E161ED"/>
    <w:rsid w:val="00E164E1"/>
    <w:rsid w:val="00E16579"/>
    <w:rsid w:val="00E165DF"/>
    <w:rsid w:val="00E16D07"/>
    <w:rsid w:val="00E16F17"/>
    <w:rsid w:val="00E1720D"/>
    <w:rsid w:val="00E17404"/>
    <w:rsid w:val="00E174F3"/>
    <w:rsid w:val="00E174FF"/>
    <w:rsid w:val="00E17FC5"/>
    <w:rsid w:val="00E201D7"/>
    <w:rsid w:val="00E2052E"/>
    <w:rsid w:val="00E20738"/>
    <w:rsid w:val="00E2090A"/>
    <w:rsid w:val="00E21640"/>
    <w:rsid w:val="00E2166B"/>
    <w:rsid w:val="00E218BA"/>
    <w:rsid w:val="00E21E9C"/>
    <w:rsid w:val="00E21F89"/>
    <w:rsid w:val="00E22138"/>
    <w:rsid w:val="00E22679"/>
    <w:rsid w:val="00E226D1"/>
    <w:rsid w:val="00E22783"/>
    <w:rsid w:val="00E22855"/>
    <w:rsid w:val="00E228EB"/>
    <w:rsid w:val="00E22C42"/>
    <w:rsid w:val="00E22CB7"/>
    <w:rsid w:val="00E23A12"/>
    <w:rsid w:val="00E24089"/>
    <w:rsid w:val="00E24343"/>
    <w:rsid w:val="00E2468F"/>
    <w:rsid w:val="00E248A7"/>
    <w:rsid w:val="00E24A36"/>
    <w:rsid w:val="00E25003"/>
    <w:rsid w:val="00E254A8"/>
    <w:rsid w:val="00E255C1"/>
    <w:rsid w:val="00E25943"/>
    <w:rsid w:val="00E25B70"/>
    <w:rsid w:val="00E26024"/>
    <w:rsid w:val="00E26657"/>
    <w:rsid w:val="00E2670C"/>
    <w:rsid w:val="00E26760"/>
    <w:rsid w:val="00E269BF"/>
    <w:rsid w:val="00E26C94"/>
    <w:rsid w:val="00E27057"/>
    <w:rsid w:val="00E27180"/>
    <w:rsid w:val="00E27EA3"/>
    <w:rsid w:val="00E3029F"/>
    <w:rsid w:val="00E30490"/>
    <w:rsid w:val="00E30B3E"/>
    <w:rsid w:val="00E3111A"/>
    <w:rsid w:val="00E31A5E"/>
    <w:rsid w:val="00E31FEF"/>
    <w:rsid w:val="00E329CF"/>
    <w:rsid w:val="00E32B54"/>
    <w:rsid w:val="00E33261"/>
    <w:rsid w:val="00E33424"/>
    <w:rsid w:val="00E334B0"/>
    <w:rsid w:val="00E33B9D"/>
    <w:rsid w:val="00E33D62"/>
    <w:rsid w:val="00E33F85"/>
    <w:rsid w:val="00E34010"/>
    <w:rsid w:val="00E34BC4"/>
    <w:rsid w:val="00E34CD3"/>
    <w:rsid w:val="00E34D7D"/>
    <w:rsid w:val="00E34E05"/>
    <w:rsid w:val="00E35982"/>
    <w:rsid w:val="00E35B98"/>
    <w:rsid w:val="00E35BD6"/>
    <w:rsid w:val="00E3619D"/>
    <w:rsid w:val="00E366B2"/>
    <w:rsid w:val="00E369CF"/>
    <w:rsid w:val="00E36C13"/>
    <w:rsid w:val="00E36F25"/>
    <w:rsid w:val="00E36FA9"/>
    <w:rsid w:val="00E36FE9"/>
    <w:rsid w:val="00E371C8"/>
    <w:rsid w:val="00E37357"/>
    <w:rsid w:val="00E37818"/>
    <w:rsid w:val="00E37CDB"/>
    <w:rsid w:val="00E37EDC"/>
    <w:rsid w:val="00E408BF"/>
    <w:rsid w:val="00E41049"/>
    <w:rsid w:val="00E41335"/>
    <w:rsid w:val="00E41415"/>
    <w:rsid w:val="00E415A5"/>
    <w:rsid w:val="00E41BCE"/>
    <w:rsid w:val="00E41EDD"/>
    <w:rsid w:val="00E41FD8"/>
    <w:rsid w:val="00E42B5F"/>
    <w:rsid w:val="00E42C65"/>
    <w:rsid w:val="00E42FD7"/>
    <w:rsid w:val="00E43240"/>
    <w:rsid w:val="00E432A1"/>
    <w:rsid w:val="00E435A2"/>
    <w:rsid w:val="00E436F1"/>
    <w:rsid w:val="00E4397F"/>
    <w:rsid w:val="00E445ED"/>
    <w:rsid w:val="00E44ABC"/>
    <w:rsid w:val="00E44AFE"/>
    <w:rsid w:val="00E450C7"/>
    <w:rsid w:val="00E45776"/>
    <w:rsid w:val="00E45A6B"/>
    <w:rsid w:val="00E45CF0"/>
    <w:rsid w:val="00E45DF3"/>
    <w:rsid w:val="00E46613"/>
    <w:rsid w:val="00E4687F"/>
    <w:rsid w:val="00E46919"/>
    <w:rsid w:val="00E46B43"/>
    <w:rsid w:val="00E46D44"/>
    <w:rsid w:val="00E471FA"/>
    <w:rsid w:val="00E47398"/>
    <w:rsid w:val="00E47967"/>
    <w:rsid w:val="00E47F45"/>
    <w:rsid w:val="00E47FF2"/>
    <w:rsid w:val="00E5011B"/>
    <w:rsid w:val="00E504F0"/>
    <w:rsid w:val="00E509DA"/>
    <w:rsid w:val="00E50B36"/>
    <w:rsid w:val="00E50CEF"/>
    <w:rsid w:val="00E517C5"/>
    <w:rsid w:val="00E5196B"/>
    <w:rsid w:val="00E51BE1"/>
    <w:rsid w:val="00E51CD9"/>
    <w:rsid w:val="00E522C3"/>
    <w:rsid w:val="00E5283F"/>
    <w:rsid w:val="00E52CCB"/>
    <w:rsid w:val="00E533E4"/>
    <w:rsid w:val="00E53858"/>
    <w:rsid w:val="00E53902"/>
    <w:rsid w:val="00E53A59"/>
    <w:rsid w:val="00E53ADD"/>
    <w:rsid w:val="00E53DB2"/>
    <w:rsid w:val="00E540A9"/>
    <w:rsid w:val="00E5420A"/>
    <w:rsid w:val="00E5441E"/>
    <w:rsid w:val="00E54441"/>
    <w:rsid w:val="00E54CD3"/>
    <w:rsid w:val="00E5502F"/>
    <w:rsid w:val="00E56013"/>
    <w:rsid w:val="00E5605E"/>
    <w:rsid w:val="00E56CB6"/>
    <w:rsid w:val="00E56E37"/>
    <w:rsid w:val="00E57026"/>
    <w:rsid w:val="00E5702F"/>
    <w:rsid w:val="00E604FE"/>
    <w:rsid w:val="00E606E1"/>
    <w:rsid w:val="00E60A7D"/>
    <w:rsid w:val="00E60AF0"/>
    <w:rsid w:val="00E60C28"/>
    <w:rsid w:val="00E61AD1"/>
    <w:rsid w:val="00E62004"/>
    <w:rsid w:val="00E6219A"/>
    <w:rsid w:val="00E6222D"/>
    <w:rsid w:val="00E62E42"/>
    <w:rsid w:val="00E63311"/>
    <w:rsid w:val="00E63E2E"/>
    <w:rsid w:val="00E63EBF"/>
    <w:rsid w:val="00E642A5"/>
    <w:rsid w:val="00E6492C"/>
    <w:rsid w:val="00E64F2F"/>
    <w:rsid w:val="00E65129"/>
    <w:rsid w:val="00E65232"/>
    <w:rsid w:val="00E657F1"/>
    <w:rsid w:val="00E658E8"/>
    <w:rsid w:val="00E65B91"/>
    <w:rsid w:val="00E660EF"/>
    <w:rsid w:val="00E6627D"/>
    <w:rsid w:val="00E662E9"/>
    <w:rsid w:val="00E6661A"/>
    <w:rsid w:val="00E66687"/>
    <w:rsid w:val="00E66921"/>
    <w:rsid w:val="00E66A3E"/>
    <w:rsid w:val="00E66AF6"/>
    <w:rsid w:val="00E66D90"/>
    <w:rsid w:val="00E677A0"/>
    <w:rsid w:val="00E67B89"/>
    <w:rsid w:val="00E67CF0"/>
    <w:rsid w:val="00E67D5F"/>
    <w:rsid w:val="00E67D9A"/>
    <w:rsid w:val="00E702BA"/>
    <w:rsid w:val="00E70553"/>
    <w:rsid w:val="00E70AA9"/>
    <w:rsid w:val="00E70E14"/>
    <w:rsid w:val="00E70F3D"/>
    <w:rsid w:val="00E710BB"/>
    <w:rsid w:val="00E7131E"/>
    <w:rsid w:val="00E71674"/>
    <w:rsid w:val="00E71AAF"/>
    <w:rsid w:val="00E71BBF"/>
    <w:rsid w:val="00E71E39"/>
    <w:rsid w:val="00E722B9"/>
    <w:rsid w:val="00E7250A"/>
    <w:rsid w:val="00E727F6"/>
    <w:rsid w:val="00E72951"/>
    <w:rsid w:val="00E72D6B"/>
    <w:rsid w:val="00E72E88"/>
    <w:rsid w:val="00E72F68"/>
    <w:rsid w:val="00E72FE9"/>
    <w:rsid w:val="00E73453"/>
    <w:rsid w:val="00E73576"/>
    <w:rsid w:val="00E735C6"/>
    <w:rsid w:val="00E739CA"/>
    <w:rsid w:val="00E73ABB"/>
    <w:rsid w:val="00E73D19"/>
    <w:rsid w:val="00E73D3F"/>
    <w:rsid w:val="00E745DF"/>
    <w:rsid w:val="00E746B4"/>
    <w:rsid w:val="00E746CB"/>
    <w:rsid w:val="00E74B07"/>
    <w:rsid w:val="00E74DCD"/>
    <w:rsid w:val="00E74E12"/>
    <w:rsid w:val="00E75D58"/>
    <w:rsid w:val="00E75D9C"/>
    <w:rsid w:val="00E75E9F"/>
    <w:rsid w:val="00E763C9"/>
    <w:rsid w:val="00E76673"/>
    <w:rsid w:val="00E76825"/>
    <w:rsid w:val="00E76990"/>
    <w:rsid w:val="00E76A3C"/>
    <w:rsid w:val="00E76D4E"/>
    <w:rsid w:val="00E76F64"/>
    <w:rsid w:val="00E77174"/>
    <w:rsid w:val="00E77AE0"/>
    <w:rsid w:val="00E80683"/>
    <w:rsid w:val="00E80729"/>
    <w:rsid w:val="00E80AD8"/>
    <w:rsid w:val="00E80BC1"/>
    <w:rsid w:val="00E80DEA"/>
    <w:rsid w:val="00E81668"/>
    <w:rsid w:val="00E819D1"/>
    <w:rsid w:val="00E81C2C"/>
    <w:rsid w:val="00E81CBA"/>
    <w:rsid w:val="00E81F03"/>
    <w:rsid w:val="00E82017"/>
    <w:rsid w:val="00E8217B"/>
    <w:rsid w:val="00E82E89"/>
    <w:rsid w:val="00E82F86"/>
    <w:rsid w:val="00E835AF"/>
    <w:rsid w:val="00E8381D"/>
    <w:rsid w:val="00E83A11"/>
    <w:rsid w:val="00E83EE7"/>
    <w:rsid w:val="00E841E7"/>
    <w:rsid w:val="00E8471F"/>
    <w:rsid w:val="00E849E5"/>
    <w:rsid w:val="00E84B04"/>
    <w:rsid w:val="00E84B24"/>
    <w:rsid w:val="00E850DB"/>
    <w:rsid w:val="00E85109"/>
    <w:rsid w:val="00E851E6"/>
    <w:rsid w:val="00E856EB"/>
    <w:rsid w:val="00E857A8"/>
    <w:rsid w:val="00E8587B"/>
    <w:rsid w:val="00E86470"/>
    <w:rsid w:val="00E86902"/>
    <w:rsid w:val="00E86DF8"/>
    <w:rsid w:val="00E86FF1"/>
    <w:rsid w:val="00E87256"/>
    <w:rsid w:val="00E873B1"/>
    <w:rsid w:val="00E878E6"/>
    <w:rsid w:val="00E87C4C"/>
    <w:rsid w:val="00E9045A"/>
    <w:rsid w:val="00E909AA"/>
    <w:rsid w:val="00E90C2E"/>
    <w:rsid w:val="00E90CFA"/>
    <w:rsid w:val="00E91162"/>
    <w:rsid w:val="00E912DD"/>
    <w:rsid w:val="00E9178F"/>
    <w:rsid w:val="00E918CE"/>
    <w:rsid w:val="00E91FC8"/>
    <w:rsid w:val="00E92346"/>
    <w:rsid w:val="00E923C2"/>
    <w:rsid w:val="00E9241A"/>
    <w:rsid w:val="00E925C6"/>
    <w:rsid w:val="00E925F1"/>
    <w:rsid w:val="00E92714"/>
    <w:rsid w:val="00E92749"/>
    <w:rsid w:val="00E92B91"/>
    <w:rsid w:val="00E92BD4"/>
    <w:rsid w:val="00E92F29"/>
    <w:rsid w:val="00E935D5"/>
    <w:rsid w:val="00E937FC"/>
    <w:rsid w:val="00E938B4"/>
    <w:rsid w:val="00E93997"/>
    <w:rsid w:val="00E93F8D"/>
    <w:rsid w:val="00E94862"/>
    <w:rsid w:val="00E94B2A"/>
    <w:rsid w:val="00E94E6B"/>
    <w:rsid w:val="00E952AB"/>
    <w:rsid w:val="00E95729"/>
    <w:rsid w:val="00E95E93"/>
    <w:rsid w:val="00E95EB5"/>
    <w:rsid w:val="00E96A53"/>
    <w:rsid w:val="00E96BAF"/>
    <w:rsid w:val="00E96CCB"/>
    <w:rsid w:val="00E96EBA"/>
    <w:rsid w:val="00E96FAD"/>
    <w:rsid w:val="00E975D8"/>
    <w:rsid w:val="00E977D6"/>
    <w:rsid w:val="00EA009E"/>
    <w:rsid w:val="00EA0A2B"/>
    <w:rsid w:val="00EA1314"/>
    <w:rsid w:val="00EA148E"/>
    <w:rsid w:val="00EA14C6"/>
    <w:rsid w:val="00EA16F8"/>
    <w:rsid w:val="00EA17BF"/>
    <w:rsid w:val="00EA19E2"/>
    <w:rsid w:val="00EA1AE4"/>
    <w:rsid w:val="00EA1BD2"/>
    <w:rsid w:val="00EA1DF1"/>
    <w:rsid w:val="00EA1EA5"/>
    <w:rsid w:val="00EA23DF"/>
    <w:rsid w:val="00EA274D"/>
    <w:rsid w:val="00EA278D"/>
    <w:rsid w:val="00EA2882"/>
    <w:rsid w:val="00EA2C74"/>
    <w:rsid w:val="00EA2CA5"/>
    <w:rsid w:val="00EA30F7"/>
    <w:rsid w:val="00EA36F3"/>
    <w:rsid w:val="00EA3A0A"/>
    <w:rsid w:val="00EA3E4B"/>
    <w:rsid w:val="00EA401D"/>
    <w:rsid w:val="00EA4175"/>
    <w:rsid w:val="00EA4D3A"/>
    <w:rsid w:val="00EA4F0C"/>
    <w:rsid w:val="00EA53A8"/>
    <w:rsid w:val="00EA5755"/>
    <w:rsid w:val="00EA57D3"/>
    <w:rsid w:val="00EA6001"/>
    <w:rsid w:val="00EA6090"/>
    <w:rsid w:val="00EA6B6D"/>
    <w:rsid w:val="00EA7214"/>
    <w:rsid w:val="00EA78F1"/>
    <w:rsid w:val="00EA7AFB"/>
    <w:rsid w:val="00EA7C3D"/>
    <w:rsid w:val="00EA7E36"/>
    <w:rsid w:val="00EB01B5"/>
    <w:rsid w:val="00EB0A3C"/>
    <w:rsid w:val="00EB101D"/>
    <w:rsid w:val="00EB15CE"/>
    <w:rsid w:val="00EB1C61"/>
    <w:rsid w:val="00EB1E09"/>
    <w:rsid w:val="00EB1F90"/>
    <w:rsid w:val="00EB24F6"/>
    <w:rsid w:val="00EB34A4"/>
    <w:rsid w:val="00EB39A8"/>
    <w:rsid w:val="00EB3A9A"/>
    <w:rsid w:val="00EB4A0C"/>
    <w:rsid w:val="00EB54A4"/>
    <w:rsid w:val="00EB5B11"/>
    <w:rsid w:val="00EB5E5C"/>
    <w:rsid w:val="00EB5F8C"/>
    <w:rsid w:val="00EB69D3"/>
    <w:rsid w:val="00EB6A09"/>
    <w:rsid w:val="00EB6AF0"/>
    <w:rsid w:val="00EB6BB2"/>
    <w:rsid w:val="00EB6DBB"/>
    <w:rsid w:val="00EB7260"/>
    <w:rsid w:val="00EB7443"/>
    <w:rsid w:val="00EB776D"/>
    <w:rsid w:val="00EB7F9E"/>
    <w:rsid w:val="00EC011E"/>
    <w:rsid w:val="00EC0743"/>
    <w:rsid w:val="00EC09A7"/>
    <w:rsid w:val="00EC0EE0"/>
    <w:rsid w:val="00EC1355"/>
    <w:rsid w:val="00EC188E"/>
    <w:rsid w:val="00EC18B1"/>
    <w:rsid w:val="00EC18E7"/>
    <w:rsid w:val="00EC19C1"/>
    <w:rsid w:val="00EC19CE"/>
    <w:rsid w:val="00EC22EA"/>
    <w:rsid w:val="00EC2CBA"/>
    <w:rsid w:val="00EC2CDA"/>
    <w:rsid w:val="00EC317B"/>
    <w:rsid w:val="00EC31CC"/>
    <w:rsid w:val="00EC3286"/>
    <w:rsid w:val="00EC3948"/>
    <w:rsid w:val="00EC3AF8"/>
    <w:rsid w:val="00EC3F65"/>
    <w:rsid w:val="00EC41B4"/>
    <w:rsid w:val="00EC4321"/>
    <w:rsid w:val="00EC4432"/>
    <w:rsid w:val="00EC4448"/>
    <w:rsid w:val="00EC4740"/>
    <w:rsid w:val="00EC4A05"/>
    <w:rsid w:val="00EC4D5B"/>
    <w:rsid w:val="00EC5232"/>
    <w:rsid w:val="00EC583C"/>
    <w:rsid w:val="00EC5A06"/>
    <w:rsid w:val="00EC5A75"/>
    <w:rsid w:val="00EC5AA9"/>
    <w:rsid w:val="00EC6073"/>
    <w:rsid w:val="00EC66BD"/>
    <w:rsid w:val="00EC6AB3"/>
    <w:rsid w:val="00EC6AFC"/>
    <w:rsid w:val="00EC715B"/>
    <w:rsid w:val="00EC71E6"/>
    <w:rsid w:val="00EC75FD"/>
    <w:rsid w:val="00EC775F"/>
    <w:rsid w:val="00EC792A"/>
    <w:rsid w:val="00EC7A13"/>
    <w:rsid w:val="00EC7B33"/>
    <w:rsid w:val="00ED062C"/>
    <w:rsid w:val="00ED067D"/>
    <w:rsid w:val="00ED16D3"/>
    <w:rsid w:val="00ED176B"/>
    <w:rsid w:val="00ED1BE2"/>
    <w:rsid w:val="00ED1F09"/>
    <w:rsid w:val="00ED1F9C"/>
    <w:rsid w:val="00ED1FAA"/>
    <w:rsid w:val="00ED1FF4"/>
    <w:rsid w:val="00ED2094"/>
    <w:rsid w:val="00ED2142"/>
    <w:rsid w:val="00ED223D"/>
    <w:rsid w:val="00ED23F0"/>
    <w:rsid w:val="00ED2751"/>
    <w:rsid w:val="00ED2DCE"/>
    <w:rsid w:val="00ED2F85"/>
    <w:rsid w:val="00ED2FA7"/>
    <w:rsid w:val="00ED32A8"/>
    <w:rsid w:val="00ED3A66"/>
    <w:rsid w:val="00ED3F71"/>
    <w:rsid w:val="00ED43A4"/>
    <w:rsid w:val="00ED4C00"/>
    <w:rsid w:val="00ED4D57"/>
    <w:rsid w:val="00ED4DD6"/>
    <w:rsid w:val="00ED4E49"/>
    <w:rsid w:val="00ED502C"/>
    <w:rsid w:val="00ED5BF5"/>
    <w:rsid w:val="00ED5ED6"/>
    <w:rsid w:val="00ED62EF"/>
    <w:rsid w:val="00ED675F"/>
    <w:rsid w:val="00ED7955"/>
    <w:rsid w:val="00ED7CC3"/>
    <w:rsid w:val="00ED7D0B"/>
    <w:rsid w:val="00ED7D2C"/>
    <w:rsid w:val="00EE003D"/>
    <w:rsid w:val="00EE0184"/>
    <w:rsid w:val="00EE08F3"/>
    <w:rsid w:val="00EE10F7"/>
    <w:rsid w:val="00EE15D7"/>
    <w:rsid w:val="00EE18AC"/>
    <w:rsid w:val="00EE1A0B"/>
    <w:rsid w:val="00EE20CC"/>
    <w:rsid w:val="00EE2282"/>
    <w:rsid w:val="00EE2484"/>
    <w:rsid w:val="00EE24DE"/>
    <w:rsid w:val="00EE3110"/>
    <w:rsid w:val="00EE31E2"/>
    <w:rsid w:val="00EE3425"/>
    <w:rsid w:val="00EE36E6"/>
    <w:rsid w:val="00EE3CB0"/>
    <w:rsid w:val="00EE44D7"/>
    <w:rsid w:val="00EE44F9"/>
    <w:rsid w:val="00EE4C40"/>
    <w:rsid w:val="00EE5202"/>
    <w:rsid w:val="00EE5483"/>
    <w:rsid w:val="00EE5740"/>
    <w:rsid w:val="00EE63AD"/>
    <w:rsid w:val="00EE640C"/>
    <w:rsid w:val="00EE64C6"/>
    <w:rsid w:val="00EE65E3"/>
    <w:rsid w:val="00EE702C"/>
    <w:rsid w:val="00EE706D"/>
    <w:rsid w:val="00EE74A5"/>
    <w:rsid w:val="00EE7679"/>
    <w:rsid w:val="00EE77DD"/>
    <w:rsid w:val="00EE7808"/>
    <w:rsid w:val="00EF004D"/>
    <w:rsid w:val="00EF0107"/>
    <w:rsid w:val="00EF016C"/>
    <w:rsid w:val="00EF02CA"/>
    <w:rsid w:val="00EF0BD8"/>
    <w:rsid w:val="00EF0E2A"/>
    <w:rsid w:val="00EF0F03"/>
    <w:rsid w:val="00EF125A"/>
    <w:rsid w:val="00EF18E3"/>
    <w:rsid w:val="00EF2589"/>
    <w:rsid w:val="00EF297C"/>
    <w:rsid w:val="00EF30D1"/>
    <w:rsid w:val="00EF3675"/>
    <w:rsid w:val="00EF3BA9"/>
    <w:rsid w:val="00EF3C96"/>
    <w:rsid w:val="00EF3DA1"/>
    <w:rsid w:val="00EF3E9B"/>
    <w:rsid w:val="00EF4776"/>
    <w:rsid w:val="00EF4900"/>
    <w:rsid w:val="00EF4E3A"/>
    <w:rsid w:val="00EF507B"/>
    <w:rsid w:val="00EF5716"/>
    <w:rsid w:val="00EF6412"/>
    <w:rsid w:val="00EF6540"/>
    <w:rsid w:val="00EF6555"/>
    <w:rsid w:val="00EF6600"/>
    <w:rsid w:val="00EF66E8"/>
    <w:rsid w:val="00EF685D"/>
    <w:rsid w:val="00EF6913"/>
    <w:rsid w:val="00EF69C7"/>
    <w:rsid w:val="00EF6C87"/>
    <w:rsid w:val="00EF6EC4"/>
    <w:rsid w:val="00EF71D0"/>
    <w:rsid w:val="00EF7258"/>
    <w:rsid w:val="00EF738A"/>
    <w:rsid w:val="00EF7454"/>
    <w:rsid w:val="00EF75C4"/>
    <w:rsid w:val="00EF7798"/>
    <w:rsid w:val="00EF7901"/>
    <w:rsid w:val="00EF7B39"/>
    <w:rsid w:val="00EF7D6B"/>
    <w:rsid w:val="00EF7E40"/>
    <w:rsid w:val="00F000A5"/>
    <w:rsid w:val="00F000B4"/>
    <w:rsid w:val="00F00551"/>
    <w:rsid w:val="00F009C9"/>
    <w:rsid w:val="00F00C70"/>
    <w:rsid w:val="00F00E26"/>
    <w:rsid w:val="00F01357"/>
    <w:rsid w:val="00F01648"/>
    <w:rsid w:val="00F01986"/>
    <w:rsid w:val="00F01BAA"/>
    <w:rsid w:val="00F025E2"/>
    <w:rsid w:val="00F02B96"/>
    <w:rsid w:val="00F03108"/>
    <w:rsid w:val="00F032B4"/>
    <w:rsid w:val="00F03E14"/>
    <w:rsid w:val="00F03F49"/>
    <w:rsid w:val="00F04072"/>
    <w:rsid w:val="00F04AD7"/>
    <w:rsid w:val="00F04BDC"/>
    <w:rsid w:val="00F05547"/>
    <w:rsid w:val="00F05571"/>
    <w:rsid w:val="00F05828"/>
    <w:rsid w:val="00F05892"/>
    <w:rsid w:val="00F05D12"/>
    <w:rsid w:val="00F05EEB"/>
    <w:rsid w:val="00F06016"/>
    <w:rsid w:val="00F0602F"/>
    <w:rsid w:val="00F064E3"/>
    <w:rsid w:val="00F065E9"/>
    <w:rsid w:val="00F0678E"/>
    <w:rsid w:val="00F0684A"/>
    <w:rsid w:val="00F06D3D"/>
    <w:rsid w:val="00F06F8F"/>
    <w:rsid w:val="00F0700D"/>
    <w:rsid w:val="00F07068"/>
    <w:rsid w:val="00F072FF"/>
    <w:rsid w:val="00F07920"/>
    <w:rsid w:val="00F07A2F"/>
    <w:rsid w:val="00F07FE8"/>
    <w:rsid w:val="00F1024C"/>
    <w:rsid w:val="00F10779"/>
    <w:rsid w:val="00F1097C"/>
    <w:rsid w:val="00F10A66"/>
    <w:rsid w:val="00F10E0C"/>
    <w:rsid w:val="00F11408"/>
    <w:rsid w:val="00F11619"/>
    <w:rsid w:val="00F11637"/>
    <w:rsid w:val="00F116EB"/>
    <w:rsid w:val="00F11A09"/>
    <w:rsid w:val="00F11E8D"/>
    <w:rsid w:val="00F11F0B"/>
    <w:rsid w:val="00F1227A"/>
    <w:rsid w:val="00F1243A"/>
    <w:rsid w:val="00F12D0D"/>
    <w:rsid w:val="00F12FA2"/>
    <w:rsid w:val="00F13023"/>
    <w:rsid w:val="00F13465"/>
    <w:rsid w:val="00F14795"/>
    <w:rsid w:val="00F150F0"/>
    <w:rsid w:val="00F1553A"/>
    <w:rsid w:val="00F15703"/>
    <w:rsid w:val="00F158FA"/>
    <w:rsid w:val="00F15A6B"/>
    <w:rsid w:val="00F15ACC"/>
    <w:rsid w:val="00F15AE6"/>
    <w:rsid w:val="00F15B04"/>
    <w:rsid w:val="00F167B6"/>
    <w:rsid w:val="00F1690D"/>
    <w:rsid w:val="00F16D07"/>
    <w:rsid w:val="00F16D1F"/>
    <w:rsid w:val="00F16EEF"/>
    <w:rsid w:val="00F17333"/>
    <w:rsid w:val="00F1778C"/>
    <w:rsid w:val="00F20181"/>
    <w:rsid w:val="00F206F5"/>
    <w:rsid w:val="00F2082B"/>
    <w:rsid w:val="00F20E9C"/>
    <w:rsid w:val="00F21083"/>
    <w:rsid w:val="00F211A7"/>
    <w:rsid w:val="00F215BA"/>
    <w:rsid w:val="00F21812"/>
    <w:rsid w:val="00F21919"/>
    <w:rsid w:val="00F21B12"/>
    <w:rsid w:val="00F21BC2"/>
    <w:rsid w:val="00F21C25"/>
    <w:rsid w:val="00F21D24"/>
    <w:rsid w:val="00F21E1A"/>
    <w:rsid w:val="00F21EDF"/>
    <w:rsid w:val="00F22235"/>
    <w:rsid w:val="00F22673"/>
    <w:rsid w:val="00F227F7"/>
    <w:rsid w:val="00F22EB8"/>
    <w:rsid w:val="00F22F3E"/>
    <w:rsid w:val="00F2312D"/>
    <w:rsid w:val="00F23539"/>
    <w:rsid w:val="00F236B4"/>
    <w:rsid w:val="00F2398F"/>
    <w:rsid w:val="00F23F11"/>
    <w:rsid w:val="00F242BB"/>
    <w:rsid w:val="00F247AD"/>
    <w:rsid w:val="00F2481D"/>
    <w:rsid w:val="00F24831"/>
    <w:rsid w:val="00F2501C"/>
    <w:rsid w:val="00F2534B"/>
    <w:rsid w:val="00F26389"/>
    <w:rsid w:val="00F264A9"/>
    <w:rsid w:val="00F26776"/>
    <w:rsid w:val="00F269BE"/>
    <w:rsid w:val="00F26BEE"/>
    <w:rsid w:val="00F26C37"/>
    <w:rsid w:val="00F26CFF"/>
    <w:rsid w:val="00F26DC4"/>
    <w:rsid w:val="00F2702C"/>
    <w:rsid w:val="00F270D6"/>
    <w:rsid w:val="00F27A14"/>
    <w:rsid w:val="00F27C3D"/>
    <w:rsid w:val="00F301EB"/>
    <w:rsid w:val="00F30291"/>
    <w:rsid w:val="00F30822"/>
    <w:rsid w:val="00F30AF8"/>
    <w:rsid w:val="00F30F16"/>
    <w:rsid w:val="00F31440"/>
    <w:rsid w:val="00F318B6"/>
    <w:rsid w:val="00F31CDF"/>
    <w:rsid w:val="00F31DF2"/>
    <w:rsid w:val="00F31E45"/>
    <w:rsid w:val="00F31F4E"/>
    <w:rsid w:val="00F32072"/>
    <w:rsid w:val="00F3268D"/>
    <w:rsid w:val="00F329C1"/>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732"/>
    <w:rsid w:val="00F36014"/>
    <w:rsid w:val="00F36069"/>
    <w:rsid w:val="00F361B4"/>
    <w:rsid w:val="00F36311"/>
    <w:rsid w:val="00F3672E"/>
    <w:rsid w:val="00F3674B"/>
    <w:rsid w:val="00F3684C"/>
    <w:rsid w:val="00F36BF2"/>
    <w:rsid w:val="00F3715A"/>
    <w:rsid w:val="00F37356"/>
    <w:rsid w:val="00F37A11"/>
    <w:rsid w:val="00F37C47"/>
    <w:rsid w:val="00F37E18"/>
    <w:rsid w:val="00F37E8E"/>
    <w:rsid w:val="00F37F88"/>
    <w:rsid w:val="00F401AB"/>
    <w:rsid w:val="00F4035C"/>
    <w:rsid w:val="00F4064E"/>
    <w:rsid w:val="00F4172E"/>
    <w:rsid w:val="00F417E9"/>
    <w:rsid w:val="00F41C61"/>
    <w:rsid w:val="00F41DDF"/>
    <w:rsid w:val="00F42673"/>
    <w:rsid w:val="00F426F8"/>
    <w:rsid w:val="00F42D75"/>
    <w:rsid w:val="00F43395"/>
    <w:rsid w:val="00F434BD"/>
    <w:rsid w:val="00F43703"/>
    <w:rsid w:val="00F43D7E"/>
    <w:rsid w:val="00F43F80"/>
    <w:rsid w:val="00F4440A"/>
    <w:rsid w:val="00F446E4"/>
    <w:rsid w:val="00F447B0"/>
    <w:rsid w:val="00F44BA7"/>
    <w:rsid w:val="00F452D7"/>
    <w:rsid w:val="00F456EE"/>
    <w:rsid w:val="00F4575B"/>
    <w:rsid w:val="00F458AB"/>
    <w:rsid w:val="00F460FF"/>
    <w:rsid w:val="00F4692A"/>
    <w:rsid w:val="00F46D56"/>
    <w:rsid w:val="00F46E77"/>
    <w:rsid w:val="00F471D4"/>
    <w:rsid w:val="00F476D2"/>
    <w:rsid w:val="00F500D1"/>
    <w:rsid w:val="00F503FE"/>
    <w:rsid w:val="00F50532"/>
    <w:rsid w:val="00F508A6"/>
    <w:rsid w:val="00F508C0"/>
    <w:rsid w:val="00F50CA8"/>
    <w:rsid w:val="00F50FF7"/>
    <w:rsid w:val="00F512D4"/>
    <w:rsid w:val="00F5139A"/>
    <w:rsid w:val="00F515C7"/>
    <w:rsid w:val="00F515D8"/>
    <w:rsid w:val="00F51745"/>
    <w:rsid w:val="00F523B9"/>
    <w:rsid w:val="00F52B7F"/>
    <w:rsid w:val="00F530B1"/>
    <w:rsid w:val="00F53153"/>
    <w:rsid w:val="00F534BC"/>
    <w:rsid w:val="00F535A0"/>
    <w:rsid w:val="00F539F7"/>
    <w:rsid w:val="00F53FCA"/>
    <w:rsid w:val="00F5458E"/>
    <w:rsid w:val="00F54969"/>
    <w:rsid w:val="00F54A7C"/>
    <w:rsid w:val="00F54BF6"/>
    <w:rsid w:val="00F550AC"/>
    <w:rsid w:val="00F554E3"/>
    <w:rsid w:val="00F55DA8"/>
    <w:rsid w:val="00F56B62"/>
    <w:rsid w:val="00F56E26"/>
    <w:rsid w:val="00F56E55"/>
    <w:rsid w:val="00F570C5"/>
    <w:rsid w:val="00F57580"/>
    <w:rsid w:val="00F57754"/>
    <w:rsid w:val="00F57EA6"/>
    <w:rsid w:val="00F6064F"/>
    <w:rsid w:val="00F60F72"/>
    <w:rsid w:val="00F61012"/>
    <w:rsid w:val="00F61311"/>
    <w:rsid w:val="00F622B3"/>
    <w:rsid w:val="00F6236C"/>
    <w:rsid w:val="00F62BC5"/>
    <w:rsid w:val="00F62DB4"/>
    <w:rsid w:val="00F6308D"/>
    <w:rsid w:val="00F63256"/>
    <w:rsid w:val="00F63716"/>
    <w:rsid w:val="00F637C0"/>
    <w:rsid w:val="00F638C4"/>
    <w:rsid w:val="00F63B8C"/>
    <w:rsid w:val="00F63F01"/>
    <w:rsid w:val="00F644D5"/>
    <w:rsid w:val="00F6455F"/>
    <w:rsid w:val="00F64A90"/>
    <w:rsid w:val="00F64B98"/>
    <w:rsid w:val="00F64D8E"/>
    <w:rsid w:val="00F64E94"/>
    <w:rsid w:val="00F65247"/>
    <w:rsid w:val="00F65266"/>
    <w:rsid w:val="00F65FE5"/>
    <w:rsid w:val="00F660BC"/>
    <w:rsid w:val="00F664FB"/>
    <w:rsid w:val="00F669E4"/>
    <w:rsid w:val="00F670A7"/>
    <w:rsid w:val="00F6739A"/>
    <w:rsid w:val="00F676D2"/>
    <w:rsid w:val="00F67B9C"/>
    <w:rsid w:val="00F67C48"/>
    <w:rsid w:val="00F67C6F"/>
    <w:rsid w:val="00F67C95"/>
    <w:rsid w:val="00F67CA7"/>
    <w:rsid w:val="00F701CD"/>
    <w:rsid w:val="00F704E7"/>
    <w:rsid w:val="00F708E9"/>
    <w:rsid w:val="00F70AC2"/>
    <w:rsid w:val="00F71037"/>
    <w:rsid w:val="00F710AF"/>
    <w:rsid w:val="00F715F3"/>
    <w:rsid w:val="00F7184B"/>
    <w:rsid w:val="00F71C94"/>
    <w:rsid w:val="00F71CA8"/>
    <w:rsid w:val="00F71DBA"/>
    <w:rsid w:val="00F71EA7"/>
    <w:rsid w:val="00F71FEC"/>
    <w:rsid w:val="00F721C8"/>
    <w:rsid w:val="00F7273F"/>
    <w:rsid w:val="00F72A42"/>
    <w:rsid w:val="00F72BD5"/>
    <w:rsid w:val="00F72BDC"/>
    <w:rsid w:val="00F72DA0"/>
    <w:rsid w:val="00F7329F"/>
    <w:rsid w:val="00F74246"/>
    <w:rsid w:val="00F742CE"/>
    <w:rsid w:val="00F74685"/>
    <w:rsid w:val="00F74C35"/>
    <w:rsid w:val="00F74FD9"/>
    <w:rsid w:val="00F76005"/>
    <w:rsid w:val="00F767CD"/>
    <w:rsid w:val="00F76DC9"/>
    <w:rsid w:val="00F76E41"/>
    <w:rsid w:val="00F770C2"/>
    <w:rsid w:val="00F77A62"/>
    <w:rsid w:val="00F77FD4"/>
    <w:rsid w:val="00F8013C"/>
    <w:rsid w:val="00F80391"/>
    <w:rsid w:val="00F804BC"/>
    <w:rsid w:val="00F80813"/>
    <w:rsid w:val="00F80B33"/>
    <w:rsid w:val="00F80BCB"/>
    <w:rsid w:val="00F80DF1"/>
    <w:rsid w:val="00F8117C"/>
    <w:rsid w:val="00F814FE"/>
    <w:rsid w:val="00F816A8"/>
    <w:rsid w:val="00F81873"/>
    <w:rsid w:val="00F81A6F"/>
    <w:rsid w:val="00F82253"/>
    <w:rsid w:val="00F828DD"/>
    <w:rsid w:val="00F8302D"/>
    <w:rsid w:val="00F831D8"/>
    <w:rsid w:val="00F836BB"/>
    <w:rsid w:val="00F83972"/>
    <w:rsid w:val="00F83EB5"/>
    <w:rsid w:val="00F842EC"/>
    <w:rsid w:val="00F84E25"/>
    <w:rsid w:val="00F853C6"/>
    <w:rsid w:val="00F85857"/>
    <w:rsid w:val="00F85930"/>
    <w:rsid w:val="00F85DCD"/>
    <w:rsid w:val="00F86AC8"/>
    <w:rsid w:val="00F86CAE"/>
    <w:rsid w:val="00F87374"/>
    <w:rsid w:val="00F87A41"/>
    <w:rsid w:val="00F87AB1"/>
    <w:rsid w:val="00F87F7E"/>
    <w:rsid w:val="00F90174"/>
    <w:rsid w:val="00F90328"/>
    <w:rsid w:val="00F90342"/>
    <w:rsid w:val="00F903ED"/>
    <w:rsid w:val="00F904C5"/>
    <w:rsid w:val="00F909EC"/>
    <w:rsid w:val="00F90C9D"/>
    <w:rsid w:val="00F90E1F"/>
    <w:rsid w:val="00F913D5"/>
    <w:rsid w:val="00F91986"/>
    <w:rsid w:val="00F92078"/>
    <w:rsid w:val="00F92ABE"/>
    <w:rsid w:val="00F92BE9"/>
    <w:rsid w:val="00F930A5"/>
    <w:rsid w:val="00F930D5"/>
    <w:rsid w:val="00F93FF6"/>
    <w:rsid w:val="00F9473D"/>
    <w:rsid w:val="00F94AB7"/>
    <w:rsid w:val="00F94EC1"/>
    <w:rsid w:val="00F9509B"/>
    <w:rsid w:val="00F9524E"/>
    <w:rsid w:val="00F95524"/>
    <w:rsid w:val="00F9592C"/>
    <w:rsid w:val="00F95F36"/>
    <w:rsid w:val="00F9610C"/>
    <w:rsid w:val="00F964D3"/>
    <w:rsid w:val="00F96F05"/>
    <w:rsid w:val="00F96FF4"/>
    <w:rsid w:val="00F96FFE"/>
    <w:rsid w:val="00F970CF"/>
    <w:rsid w:val="00F97D9B"/>
    <w:rsid w:val="00F97EE7"/>
    <w:rsid w:val="00FA01B3"/>
    <w:rsid w:val="00FA0A64"/>
    <w:rsid w:val="00FA0CA5"/>
    <w:rsid w:val="00FA0FAD"/>
    <w:rsid w:val="00FA123A"/>
    <w:rsid w:val="00FA14B2"/>
    <w:rsid w:val="00FA1C75"/>
    <w:rsid w:val="00FA1F3A"/>
    <w:rsid w:val="00FA207C"/>
    <w:rsid w:val="00FA242F"/>
    <w:rsid w:val="00FA2680"/>
    <w:rsid w:val="00FA2A04"/>
    <w:rsid w:val="00FA2B55"/>
    <w:rsid w:val="00FA3018"/>
    <w:rsid w:val="00FA344A"/>
    <w:rsid w:val="00FA3A21"/>
    <w:rsid w:val="00FA3AA2"/>
    <w:rsid w:val="00FA3EB9"/>
    <w:rsid w:val="00FA4393"/>
    <w:rsid w:val="00FA445B"/>
    <w:rsid w:val="00FA44A7"/>
    <w:rsid w:val="00FA49B5"/>
    <w:rsid w:val="00FA4F65"/>
    <w:rsid w:val="00FA57BB"/>
    <w:rsid w:val="00FA582C"/>
    <w:rsid w:val="00FA5AB5"/>
    <w:rsid w:val="00FA5C27"/>
    <w:rsid w:val="00FA6304"/>
    <w:rsid w:val="00FA6399"/>
    <w:rsid w:val="00FA658A"/>
    <w:rsid w:val="00FA6706"/>
    <w:rsid w:val="00FA67A5"/>
    <w:rsid w:val="00FA6C02"/>
    <w:rsid w:val="00FA6C56"/>
    <w:rsid w:val="00FA7432"/>
    <w:rsid w:val="00FA794C"/>
    <w:rsid w:val="00FA7AB2"/>
    <w:rsid w:val="00FA7B7B"/>
    <w:rsid w:val="00FB03B7"/>
    <w:rsid w:val="00FB0996"/>
    <w:rsid w:val="00FB0C97"/>
    <w:rsid w:val="00FB122F"/>
    <w:rsid w:val="00FB15B1"/>
    <w:rsid w:val="00FB1F77"/>
    <w:rsid w:val="00FB2697"/>
    <w:rsid w:val="00FB2B5A"/>
    <w:rsid w:val="00FB2B91"/>
    <w:rsid w:val="00FB2BA9"/>
    <w:rsid w:val="00FB2D34"/>
    <w:rsid w:val="00FB3109"/>
    <w:rsid w:val="00FB31F1"/>
    <w:rsid w:val="00FB3272"/>
    <w:rsid w:val="00FB3297"/>
    <w:rsid w:val="00FB3871"/>
    <w:rsid w:val="00FB3DAC"/>
    <w:rsid w:val="00FB4564"/>
    <w:rsid w:val="00FB457D"/>
    <w:rsid w:val="00FB48AE"/>
    <w:rsid w:val="00FB52B8"/>
    <w:rsid w:val="00FB5498"/>
    <w:rsid w:val="00FB5562"/>
    <w:rsid w:val="00FB6154"/>
    <w:rsid w:val="00FB6180"/>
    <w:rsid w:val="00FB6D31"/>
    <w:rsid w:val="00FB7115"/>
    <w:rsid w:val="00FB7E17"/>
    <w:rsid w:val="00FB7F31"/>
    <w:rsid w:val="00FC0085"/>
    <w:rsid w:val="00FC00C1"/>
    <w:rsid w:val="00FC01F7"/>
    <w:rsid w:val="00FC0345"/>
    <w:rsid w:val="00FC07B7"/>
    <w:rsid w:val="00FC0915"/>
    <w:rsid w:val="00FC0994"/>
    <w:rsid w:val="00FC0C81"/>
    <w:rsid w:val="00FC0D95"/>
    <w:rsid w:val="00FC0F66"/>
    <w:rsid w:val="00FC118E"/>
    <w:rsid w:val="00FC1661"/>
    <w:rsid w:val="00FC1897"/>
    <w:rsid w:val="00FC1C23"/>
    <w:rsid w:val="00FC23B7"/>
    <w:rsid w:val="00FC2453"/>
    <w:rsid w:val="00FC24CE"/>
    <w:rsid w:val="00FC26BA"/>
    <w:rsid w:val="00FC27C7"/>
    <w:rsid w:val="00FC294E"/>
    <w:rsid w:val="00FC318D"/>
    <w:rsid w:val="00FC33CF"/>
    <w:rsid w:val="00FC3F6D"/>
    <w:rsid w:val="00FC44C1"/>
    <w:rsid w:val="00FC45C8"/>
    <w:rsid w:val="00FC4600"/>
    <w:rsid w:val="00FC4A86"/>
    <w:rsid w:val="00FC4B4C"/>
    <w:rsid w:val="00FC5473"/>
    <w:rsid w:val="00FC5B29"/>
    <w:rsid w:val="00FC60CD"/>
    <w:rsid w:val="00FC61F8"/>
    <w:rsid w:val="00FC631D"/>
    <w:rsid w:val="00FC6671"/>
    <w:rsid w:val="00FC68FA"/>
    <w:rsid w:val="00FC6CEE"/>
    <w:rsid w:val="00FC6D26"/>
    <w:rsid w:val="00FC6D68"/>
    <w:rsid w:val="00FC7220"/>
    <w:rsid w:val="00FC7B66"/>
    <w:rsid w:val="00FC7B9A"/>
    <w:rsid w:val="00FC7FA8"/>
    <w:rsid w:val="00FD0369"/>
    <w:rsid w:val="00FD05F9"/>
    <w:rsid w:val="00FD0B77"/>
    <w:rsid w:val="00FD0F0A"/>
    <w:rsid w:val="00FD1299"/>
    <w:rsid w:val="00FD12A0"/>
    <w:rsid w:val="00FD1621"/>
    <w:rsid w:val="00FD1625"/>
    <w:rsid w:val="00FD19B9"/>
    <w:rsid w:val="00FD1A39"/>
    <w:rsid w:val="00FD23B7"/>
    <w:rsid w:val="00FD2708"/>
    <w:rsid w:val="00FD2776"/>
    <w:rsid w:val="00FD2E9F"/>
    <w:rsid w:val="00FD3016"/>
    <w:rsid w:val="00FD321E"/>
    <w:rsid w:val="00FD3610"/>
    <w:rsid w:val="00FD3843"/>
    <w:rsid w:val="00FD3C63"/>
    <w:rsid w:val="00FD3FED"/>
    <w:rsid w:val="00FD40C8"/>
    <w:rsid w:val="00FD4393"/>
    <w:rsid w:val="00FD450D"/>
    <w:rsid w:val="00FD473C"/>
    <w:rsid w:val="00FD4740"/>
    <w:rsid w:val="00FD4760"/>
    <w:rsid w:val="00FD4B95"/>
    <w:rsid w:val="00FD4C52"/>
    <w:rsid w:val="00FD4D4C"/>
    <w:rsid w:val="00FD510A"/>
    <w:rsid w:val="00FD5611"/>
    <w:rsid w:val="00FD592F"/>
    <w:rsid w:val="00FD6AED"/>
    <w:rsid w:val="00FD746B"/>
    <w:rsid w:val="00FD7485"/>
    <w:rsid w:val="00FD7D2B"/>
    <w:rsid w:val="00FD7D9F"/>
    <w:rsid w:val="00FE031D"/>
    <w:rsid w:val="00FE04F9"/>
    <w:rsid w:val="00FE07D3"/>
    <w:rsid w:val="00FE07F7"/>
    <w:rsid w:val="00FE0B50"/>
    <w:rsid w:val="00FE1076"/>
    <w:rsid w:val="00FE10AC"/>
    <w:rsid w:val="00FE1177"/>
    <w:rsid w:val="00FE121A"/>
    <w:rsid w:val="00FE15CA"/>
    <w:rsid w:val="00FE18EE"/>
    <w:rsid w:val="00FE1AE2"/>
    <w:rsid w:val="00FE32A2"/>
    <w:rsid w:val="00FE342A"/>
    <w:rsid w:val="00FE35BF"/>
    <w:rsid w:val="00FE35EE"/>
    <w:rsid w:val="00FE38BC"/>
    <w:rsid w:val="00FE3ED6"/>
    <w:rsid w:val="00FE3F46"/>
    <w:rsid w:val="00FE3FEF"/>
    <w:rsid w:val="00FE5740"/>
    <w:rsid w:val="00FE5DAE"/>
    <w:rsid w:val="00FE5E55"/>
    <w:rsid w:val="00FE5FF8"/>
    <w:rsid w:val="00FE64CD"/>
    <w:rsid w:val="00FE66C7"/>
    <w:rsid w:val="00FE67D5"/>
    <w:rsid w:val="00FE6AAE"/>
    <w:rsid w:val="00FE6C7A"/>
    <w:rsid w:val="00FE7253"/>
    <w:rsid w:val="00FE7484"/>
    <w:rsid w:val="00FE7773"/>
    <w:rsid w:val="00FE782E"/>
    <w:rsid w:val="00FE7F5A"/>
    <w:rsid w:val="00FF0195"/>
    <w:rsid w:val="00FF01DD"/>
    <w:rsid w:val="00FF0232"/>
    <w:rsid w:val="00FF031A"/>
    <w:rsid w:val="00FF0EEB"/>
    <w:rsid w:val="00FF0EF0"/>
    <w:rsid w:val="00FF0F3F"/>
    <w:rsid w:val="00FF119F"/>
    <w:rsid w:val="00FF1373"/>
    <w:rsid w:val="00FF148E"/>
    <w:rsid w:val="00FF1642"/>
    <w:rsid w:val="00FF1E85"/>
    <w:rsid w:val="00FF1E9A"/>
    <w:rsid w:val="00FF2029"/>
    <w:rsid w:val="00FF20DD"/>
    <w:rsid w:val="00FF22A6"/>
    <w:rsid w:val="00FF2542"/>
    <w:rsid w:val="00FF2E80"/>
    <w:rsid w:val="00FF3502"/>
    <w:rsid w:val="00FF3671"/>
    <w:rsid w:val="00FF3877"/>
    <w:rsid w:val="00FF3D5C"/>
    <w:rsid w:val="00FF3F6A"/>
    <w:rsid w:val="00FF4143"/>
    <w:rsid w:val="00FF4DF7"/>
    <w:rsid w:val="00FF4F9A"/>
    <w:rsid w:val="00FF55B1"/>
    <w:rsid w:val="00FF59A8"/>
    <w:rsid w:val="00FF60BD"/>
    <w:rsid w:val="00FF62AE"/>
    <w:rsid w:val="00FF6548"/>
    <w:rsid w:val="00FF6998"/>
    <w:rsid w:val="00FF719D"/>
    <w:rsid w:val="00FF78FB"/>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9B1B314"/>
  <w15:chartTrackingRefBased/>
  <w15:docId w15:val="{ACAD9569-1515-4FD3-9858-15FFD618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character" w:styleId="Hyperlink">
    <w:name w:val="Hyperlink"/>
    <w:rsid w:val="00B201B1"/>
    <w:rPr>
      <w:color w:val="0563C1"/>
      <w:u w:val="single"/>
    </w:rPr>
  </w:style>
  <w:style w:type="paragraph" w:styleId="Title">
    <w:name w:val="Title"/>
    <w:basedOn w:val="Normal"/>
    <w:link w:val="TitleChar"/>
    <w:uiPriority w:val="10"/>
    <w:qFormat/>
    <w:rsid w:val="0008021C"/>
    <w:pPr>
      <w:spacing w:before="100" w:beforeAutospacing="1" w:after="100" w:afterAutospacing="1"/>
    </w:pPr>
  </w:style>
  <w:style w:type="character" w:customStyle="1" w:styleId="TitleChar">
    <w:name w:val="Title Char"/>
    <w:link w:val="Title"/>
    <w:uiPriority w:val="10"/>
    <w:rsid w:val="0008021C"/>
    <w:rPr>
      <w:sz w:val="24"/>
      <w:szCs w:val="24"/>
    </w:rPr>
  </w:style>
  <w:style w:type="paragraph" w:customStyle="1" w:styleId="legcohead3">
    <w:name w:val="legcohead3"/>
    <w:basedOn w:val="Normal"/>
    <w:rsid w:val="00E71674"/>
    <w:pPr>
      <w:keepNext/>
    </w:pPr>
    <w:rPr>
      <w:b/>
      <w:kern w:val="28"/>
      <w:szCs w:val="20"/>
      <w:lang w:val="en-US"/>
    </w:rPr>
  </w:style>
  <w:style w:type="paragraph" w:styleId="ListParagraph">
    <w:name w:val="List Paragraph"/>
    <w:aliases w:val="Recommendation,List Paragraph1,List Paragraph11,L,Bullet point,Bullet Level 1,#List Paragraph"/>
    <w:basedOn w:val="Normal"/>
    <w:link w:val="ListParagraphChar"/>
    <w:uiPriority w:val="34"/>
    <w:qFormat/>
    <w:rsid w:val="00E71674"/>
    <w:pPr>
      <w:ind w:left="720"/>
      <w:contextualSpacing/>
    </w:pPr>
    <w:rPr>
      <w:szCs w:val="20"/>
    </w:rPr>
  </w:style>
  <w:style w:type="character" w:customStyle="1" w:styleId="ListParagraphChar">
    <w:name w:val="List Paragraph Char"/>
    <w:aliases w:val="Recommendation Char,List Paragraph1 Char,List Paragraph11 Char,L Char,Bullet point Char,Bullet Level 1 Char,#List Paragraph Char"/>
    <w:link w:val="ListParagraph"/>
    <w:uiPriority w:val="34"/>
    <w:locked/>
    <w:rsid w:val="00E71674"/>
    <w:rPr>
      <w:sz w:val="24"/>
    </w:rPr>
  </w:style>
  <w:style w:type="paragraph" w:styleId="Header">
    <w:name w:val="header"/>
    <w:basedOn w:val="Normal"/>
    <w:link w:val="HeaderChar"/>
    <w:rsid w:val="00AE19C1"/>
    <w:pPr>
      <w:tabs>
        <w:tab w:val="center" w:pos="4513"/>
        <w:tab w:val="right" w:pos="9026"/>
      </w:tabs>
    </w:pPr>
  </w:style>
  <w:style w:type="character" w:customStyle="1" w:styleId="HeaderChar">
    <w:name w:val="Header Char"/>
    <w:link w:val="Header"/>
    <w:rsid w:val="00AE19C1"/>
    <w:rPr>
      <w:sz w:val="24"/>
      <w:szCs w:val="24"/>
    </w:rPr>
  </w:style>
  <w:style w:type="paragraph" w:styleId="Footer">
    <w:name w:val="footer"/>
    <w:basedOn w:val="Normal"/>
    <w:link w:val="FooterChar"/>
    <w:uiPriority w:val="99"/>
    <w:rsid w:val="00AE19C1"/>
    <w:pPr>
      <w:tabs>
        <w:tab w:val="center" w:pos="4513"/>
        <w:tab w:val="right" w:pos="9026"/>
      </w:tabs>
    </w:pPr>
  </w:style>
  <w:style w:type="character" w:customStyle="1" w:styleId="FooterChar">
    <w:name w:val="Footer Char"/>
    <w:link w:val="Footer"/>
    <w:uiPriority w:val="99"/>
    <w:rsid w:val="00AE19C1"/>
    <w:rPr>
      <w:sz w:val="24"/>
      <w:szCs w:val="24"/>
    </w:rPr>
  </w:style>
  <w:style w:type="character" w:styleId="CommentReference">
    <w:name w:val="annotation reference"/>
    <w:rsid w:val="0095636E"/>
    <w:rPr>
      <w:sz w:val="16"/>
      <w:szCs w:val="16"/>
    </w:rPr>
  </w:style>
  <w:style w:type="paragraph" w:styleId="CommentText">
    <w:name w:val="annotation text"/>
    <w:basedOn w:val="Normal"/>
    <w:link w:val="CommentTextChar"/>
    <w:rsid w:val="0095636E"/>
    <w:rPr>
      <w:sz w:val="20"/>
      <w:szCs w:val="20"/>
    </w:rPr>
  </w:style>
  <w:style w:type="character" w:customStyle="1" w:styleId="CommentTextChar">
    <w:name w:val="Comment Text Char"/>
    <w:basedOn w:val="DefaultParagraphFont"/>
    <w:link w:val="CommentText"/>
    <w:rsid w:val="0095636E"/>
  </w:style>
  <w:style w:type="paragraph" w:styleId="CommentSubject">
    <w:name w:val="annotation subject"/>
    <w:basedOn w:val="CommentText"/>
    <w:next w:val="CommentText"/>
    <w:link w:val="CommentSubjectChar"/>
    <w:rsid w:val="0095636E"/>
    <w:rPr>
      <w:b/>
      <w:bCs/>
    </w:rPr>
  </w:style>
  <w:style w:type="character" w:customStyle="1" w:styleId="CommentSubjectChar">
    <w:name w:val="Comment Subject Char"/>
    <w:link w:val="CommentSubject"/>
    <w:rsid w:val="0095636E"/>
    <w:rPr>
      <w:b/>
      <w:bCs/>
    </w:rPr>
  </w:style>
  <w:style w:type="paragraph" w:styleId="Revision">
    <w:name w:val="Revision"/>
    <w:hidden/>
    <w:uiPriority w:val="99"/>
    <w:semiHidden/>
    <w:rsid w:val="007E045F"/>
    <w:rPr>
      <w:sz w:val="24"/>
      <w:szCs w:val="24"/>
    </w:rPr>
  </w:style>
  <w:style w:type="paragraph" w:customStyle="1" w:styleId="paragraphsub">
    <w:name w:val="paragraph(sub)"/>
    <w:aliases w:val="aa"/>
    <w:basedOn w:val="Normal"/>
    <w:rsid w:val="0075113A"/>
    <w:pPr>
      <w:tabs>
        <w:tab w:val="right" w:pos="1985"/>
      </w:tabs>
      <w:spacing w:before="40"/>
      <w:ind w:left="2098" w:hanging="2098"/>
    </w:pPr>
    <w:rPr>
      <w:sz w:val="22"/>
      <w:szCs w:val="20"/>
    </w:rPr>
  </w:style>
  <w:style w:type="paragraph" w:customStyle="1" w:styleId="paragraph">
    <w:name w:val="paragraph"/>
    <w:aliases w:val="a"/>
    <w:basedOn w:val="Normal"/>
    <w:rsid w:val="0075113A"/>
    <w:pPr>
      <w:tabs>
        <w:tab w:val="right" w:pos="1531"/>
      </w:tabs>
      <w:spacing w:before="40"/>
      <w:ind w:left="1644" w:hanging="1644"/>
    </w:pPr>
    <w:rPr>
      <w:sz w:val="22"/>
      <w:szCs w:val="20"/>
    </w:rPr>
  </w:style>
  <w:style w:type="table" w:styleId="TableGrid">
    <w:name w:val="Table Grid"/>
    <w:basedOn w:val="TableNormal"/>
    <w:uiPriority w:val="39"/>
    <w:rsid w:val="00627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2E10"/>
    <w:pPr>
      <w:spacing w:before="100" w:beforeAutospacing="1" w:after="100" w:afterAutospacing="1"/>
    </w:pPr>
  </w:style>
  <w:style w:type="character" w:styleId="UnresolvedMention">
    <w:name w:val="Unresolved Mention"/>
    <w:basedOn w:val="DefaultParagraphFont"/>
    <w:uiPriority w:val="99"/>
    <w:semiHidden/>
    <w:unhideWhenUsed/>
    <w:rsid w:val="002F2E60"/>
    <w:rPr>
      <w:color w:val="605E5C"/>
      <w:shd w:val="clear" w:color="auto" w:fill="E1DFDD"/>
    </w:rPr>
  </w:style>
  <w:style w:type="character" w:styleId="FollowedHyperlink">
    <w:name w:val="FollowedHyperlink"/>
    <w:basedOn w:val="DefaultParagraphFont"/>
    <w:rsid w:val="00404E78"/>
    <w:rPr>
      <w:color w:val="954F72" w:themeColor="followedHyperlink"/>
      <w:u w:val="single"/>
    </w:rPr>
  </w:style>
  <w:style w:type="paragraph" w:styleId="FootnoteText">
    <w:name w:val="footnote text"/>
    <w:basedOn w:val="Normal"/>
    <w:link w:val="FootnoteTextChar"/>
    <w:rsid w:val="00666AD8"/>
    <w:rPr>
      <w:sz w:val="20"/>
      <w:szCs w:val="20"/>
    </w:rPr>
  </w:style>
  <w:style w:type="character" w:customStyle="1" w:styleId="FootnoteTextChar">
    <w:name w:val="Footnote Text Char"/>
    <w:basedOn w:val="DefaultParagraphFont"/>
    <w:link w:val="FootnoteText"/>
    <w:rsid w:val="00666AD8"/>
  </w:style>
  <w:style w:type="character" w:styleId="FootnoteReference">
    <w:name w:val="footnote reference"/>
    <w:basedOn w:val="DefaultParagraphFont"/>
    <w:rsid w:val="00666A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85332">
      <w:bodyDiv w:val="1"/>
      <w:marLeft w:val="0"/>
      <w:marRight w:val="0"/>
      <w:marTop w:val="0"/>
      <w:marBottom w:val="0"/>
      <w:divBdr>
        <w:top w:val="none" w:sz="0" w:space="0" w:color="auto"/>
        <w:left w:val="none" w:sz="0" w:space="0" w:color="auto"/>
        <w:bottom w:val="none" w:sz="0" w:space="0" w:color="auto"/>
        <w:right w:val="none" w:sz="0" w:space="0" w:color="auto"/>
      </w:divBdr>
    </w:div>
    <w:div w:id="306053543">
      <w:bodyDiv w:val="1"/>
      <w:marLeft w:val="0"/>
      <w:marRight w:val="0"/>
      <w:marTop w:val="0"/>
      <w:marBottom w:val="0"/>
      <w:divBdr>
        <w:top w:val="none" w:sz="0" w:space="0" w:color="auto"/>
        <w:left w:val="none" w:sz="0" w:space="0" w:color="auto"/>
        <w:bottom w:val="none" w:sz="0" w:space="0" w:color="auto"/>
        <w:right w:val="none" w:sz="0" w:space="0" w:color="auto"/>
      </w:divBdr>
    </w:div>
    <w:div w:id="385689423">
      <w:bodyDiv w:val="1"/>
      <w:marLeft w:val="0"/>
      <w:marRight w:val="0"/>
      <w:marTop w:val="0"/>
      <w:marBottom w:val="0"/>
      <w:divBdr>
        <w:top w:val="none" w:sz="0" w:space="0" w:color="auto"/>
        <w:left w:val="none" w:sz="0" w:space="0" w:color="auto"/>
        <w:bottom w:val="none" w:sz="0" w:space="0" w:color="auto"/>
        <w:right w:val="none" w:sz="0" w:space="0" w:color="auto"/>
      </w:divBdr>
    </w:div>
    <w:div w:id="613099400">
      <w:bodyDiv w:val="1"/>
      <w:marLeft w:val="0"/>
      <w:marRight w:val="0"/>
      <w:marTop w:val="0"/>
      <w:marBottom w:val="0"/>
      <w:divBdr>
        <w:top w:val="none" w:sz="0" w:space="0" w:color="auto"/>
        <w:left w:val="none" w:sz="0" w:space="0" w:color="auto"/>
        <w:bottom w:val="none" w:sz="0" w:space="0" w:color="auto"/>
        <w:right w:val="none" w:sz="0" w:space="0" w:color="auto"/>
      </w:divBdr>
    </w:div>
    <w:div w:id="627005620">
      <w:bodyDiv w:val="1"/>
      <w:marLeft w:val="0"/>
      <w:marRight w:val="0"/>
      <w:marTop w:val="0"/>
      <w:marBottom w:val="0"/>
      <w:divBdr>
        <w:top w:val="none" w:sz="0" w:space="0" w:color="auto"/>
        <w:left w:val="none" w:sz="0" w:space="0" w:color="auto"/>
        <w:bottom w:val="none" w:sz="0" w:space="0" w:color="auto"/>
        <w:right w:val="none" w:sz="0" w:space="0" w:color="auto"/>
      </w:divBdr>
    </w:div>
    <w:div w:id="916478132">
      <w:bodyDiv w:val="1"/>
      <w:marLeft w:val="0"/>
      <w:marRight w:val="0"/>
      <w:marTop w:val="0"/>
      <w:marBottom w:val="0"/>
      <w:divBdr>
        <w:top w:val="none" w:sz="0" w:space="0" w:color="auto"/>
        <w:left w:val="none" w:sz="0" w:space="0" w:color="auto"/>
        <w:bottom w:val="none" w:sz="0" w:space="0" w:color="auto"/>
        <w:right w:val="none" w:sz="0" w:space="0" w:color="auto"/>
      </w:divBdr>
    </w:div>
    <w:div w:id="1277907238">
      <w:bodyDiv w:val="1"/>
      <w:marLeft w:val="0"/>
      <w:marRight w:val="0"/>
      <w:marTop w:val="0"/>
      <w:marBottom w:val="0"/>
      <w:divBdr>
        <w:top w:val="none" w:sz="0" w:space="0" w:color="auto"/>
        <w:left w:val="none" w:sz="0" w:space="0" w:color="auto"/>
        <w:bottom w:val="none" w:sz="0" w:space="0" w:color="auto"/>
        <w:right w:val="none" w:sz="0" w:space="0" w:color="auto"/>
      </w:divBdr>
    </w:div>
    <w:div w:id="1318418421">
      <w:bodyDiv w:val="1"/>
      <w:marLeft w:val="0"/>
      <w:marRight w:val="0"/>
      <w:marTop w:val="0"/>
      <w:marBottom w:val="0"/>
      <w:divBdr>
        <w:top w:val="none" w:sz="0" w:space="0" w:color="auto"/>
        <w:left w:val="none" w:sz="0" w:space="0" w:color="auto"/>
        <w:bottom w:val="none" w:sz="0" w:space="0" w:color="auto"/>
        <w:right w:val="none" w:sz="0" w:space="0" w:color="auto"/>
      </w:divBdr>
    </w:div>
    <w:div w:id="1343358669">
      <w:bodyDiv w:val="1"/>
      <w:marLeft w:val="0"/>
      <w:marRight w:val="0"/>
      <w:marTop w:val="0"/>
      <w:marBottom w:val="0"/>
      <w:divBdr>
        <w:top w:val="none" w:sz="0" w:space="0" w:color="auto"/>
        <w:left w:val="none" w:sz="0" w:space="0" w:color="auto"/>
        <w:bottom w:val="none" w:sz="0" w:space="0" w:color="auto"/>
        <w:right w:val="none" w:sz="0" w:space="0" w:color="auto"/>
      </w:divBdr>
    </w:div>
    <w:div w:id="1350253427">
      <w:bodyDiv w:val="1"/>
      <w:marLeft w:val="0"/>
      <w:marRight w:val="0"/>
      <w:marTop w:val="0"/>
      <w:marBottom w:val="0"/>
      <w:divBdr>
        <w:top w:val="none" w:sz="0" w:space="0" w:color="auto"/>
        <w:left w:val="none" w:sz="0" w:space="0" w:color="auto"/>
        <w:bottom w:val="none" w:sz="0" w:space="0" w:color="auto"/>
        <w:right w:val="none" w:sz="0" w:space="0" w:color="auto"/>
      </w:divBdr>
    </w:div>
    <w:div w:id="1395352035">
      <w:bodyDiv w:val="1"/>
      <w:marLeft w:val="0"/>
      <w:marRight w:val="0"/>
      <w:marTop w:val="0"/>
      <w:marBottom w:val="0"/>
      <w:divBdr>
        <w:top w:val="none" w:sz="0" w:space="0" w:color="auto"/>
        <w:left w:val="none" w:sz="0" w:space="0" w:color="auto"/>
        <w:bottom w:val="none" w:sz="0" w:space="0" w:color="auto"/>
        <w:right w:val="none" w:sz="0" w:space="0" w:color="auto"/>
      </w:divBdr>
    </w:div>
    <w:div w:id="1416782747">
      <w:bodyDiv w:val="1"/>
      <w:marLeft w:val="0"/>
      <w:marRight w:val="0"/>
      <w:marTop w:val="0"/>
      <w:marBottom w:val="0"/>
      <w:divBdr>
        <w:top w:val="none" w:sz="0" w:space="0" w:color="auto"/>
        <w:left w:val="none" w:sz="0" w:space="0" w:color="auto"/>
        <w:bottom w:val="none" w:sz="0" w:space="0" w:color="auto"/>
        <w:right w:val="none" w:sz="0" w:space="0" w:color="auto"/>
      </w:divBdr>
    </w:div>
    <w:div w:id="1490170304">
      <w:bodyDiv w:val="1"/>
      <w:marLeft w:val="0"/>
      <w:marRight w:val="0"/>
      <w:marTop w:val="0"/>
      <w:marBottom w:val="0"/>
      <w:divBdr>
        <w:top w:val="none" w:sz="0" w:space="0" w:color="auto"/>
        <w:left w:val="none" w:sz="0" w:space="0" w:color="auto"/>
        <w:bottom w:val="none" w:sz="0" w:space="0" w:color="auto"/>
        <w:right w:val="none" w:sz="0" w:space="0" w:color="auto"/>
      </w:divBdr>
      <w:divsChild>
        <w:div w:id="2023387266">
          <w:marLeft w:val="0"/>
          <w:marRight w:val="0"/>
          <w:marTop w:val="0"/>
          <w:marBottom w:val="0"/>
          <w:divBdr>
            <w:top w:val="none" w:sz="0" w:space="0" w:color="auto"/>
            <w:left w:val="none" w:sz="0" w:space="0" w:color="auto"/>
            <w:bottom w:val="none" w:sz="0" w:space="0" w:color="auto"/>
            <w:right w:val="none" w:sz="0" w:space="0" w:color="auto"/>
          </w:divBdr>
          <w:divsChild>
            <w:div w:id="441456094">
              <w:marLeft w:val="0"/>
              <w:marRight w:val="0"/>
              <w:marTop w:val="0"/>
              <w:marBottom w:val="0"/>
              <w:divBdr>
                <w:top w:val="none" w:sz="0" w:space="0" w:color="auto"/>
                <w:left w:val="none" w:sz="0" w:space="0" w:color="auto"/>
                <w:bottom w:val="none" w:sz="0" w:space="0" w:color="auto"/>
                <w:right w:val="none" w:sz="0" w:space="0" w:color="auto"/>
              </w:divBdr>
              <w:divsChild>
                <w:div w:id="676808910">
                  <w:marLeft w:val="0"/>
                  <w:marRight w:val="0"/>
                  <w:marTop w:val="0"/>
                  <w:marBottom w:val="0"/>
                  <w:divBdr>
                    <w:top w:val="none" w:sz="0" w:space="0" w:color="auto"/>
                    <w:left w:val="none" w:sz="0" w:space="0" w:color="auto"/>
                    <w:bottom w:val="none" w:sz="0" w:space="0" w:color="auto"/>
                    <w:right w:val="none" w:sz="0" w:space="0" w:color="auto"/>
                  </w:divBdr>
                  <w:divsChild>
                    <w:div w:id="109058835">
                      <w:marLeft w:val="0"/>
                      <w:marRight w:val="0"/>
                      <w:marTop w:val="0"/>
                      <w:marBottom w:val="0"/>
                      <w:divBdr>
                        <w:top w:val="none" w:sz="0" w:space="0" w:color="auto"/>
                        <w:left w:val="none" w:sz="0" w:space="0" w:color="auto"/>
                        <w:bottom w:val="none" w:sz="0" w:space="0" w:color="auto"/>
                        <w:right w:val="none" w:sz="0" w:space="0" w:color="auto"/>
                      </w:divBdr>
                      <w:divsChild>
                        <w:div w:id="2135513738">
                          <w:marLeft w:val="0"/>
                          <w:marRight w:val="0"/>
                          <w:marTop w:val="0"/>
                          <w:marBottom w:val="0"/>
                          <w:divBdr>
                            <w:top w:val="none" w:sz="0" w:space="0" w:color="auto"/>
                            <w:left w:val="none" w:sz="0" w:space="0" w:color="auto"/>
                            <w:bottom w:val="none" w:sz="0" w:space="0" w:color="auto"/>
                            <w:right w:val="none" w:sz="0" w:space="0" w:color="auto"/>
                          </w:divBdr>
                          <w:divsChild>
                            <w:div w:id="1848984060">
                              <w:marLeft w:val="0"/>
                              <w:marRight w:val="0"/>
                              <w:marTop w:val="0"/>
                              <w:marBottom w:val="0"/>
                              <w:divBdr>
                                <w:top w:val="none" w:sz="0" w:space="0" w:color="auto"/>
                                <w:left w:val="none" w:sz="0" w:space="0" w:color="auto"/>
                                <w:bottom w:val="none" w:sz="0" w:space="0" w:color="auto"/>
                                <w:right w:val="none" w:sz="0" w:space="0" w:color="auto"/>
                              </w:divBdr>
                              <w:divsChild>
                                <w:div w:id="1749771704">
                                  <w:marLeft w:val="0"/>
                                  <w:marRight w:val="0"/>
                                  <w:marTop w:val="0"/>
                                  <w:marBottom w:val="0"/>
                                  <w:divBdr>
                                    <w:top w:val="none" w:sz="0" w:space="0" w:color="auto"/>
                                    <w:left w:val="none" w:sz="0" w:space="0" w:color="auto"/>
                                    <w:bottom w:val="none" w:sz="0" w:space="0" w:color="auto"/>
                                    <w:right w:val="none" w:sz="0" w:space="0" w:color="auto"/>
                                  </w:divBdr>
                                  <w:divsChild>
                                    <w:div w:id="1853374388">
                                      <w:marLeft w:val="0"/>
                                      <w:marRight w:val="0"/>
                                      <w:marTop w:val="0"/>
                                      <w:marBottom w:val="0"/>
                                      <w:divBdr>
                                        <w:top w:val="none" w:sz="0" w:space="0" w:color="auto"/>
                                        <w:left w:val="none" w:sz="0" w:space="0" w:color="auto"/>
                                        <w:bottom w:val="none" w:sz="0" w:space="0" w:color="auto"/>
                                        <w:right w:val="none" w:sz="0" w:space="0" w:color="auto"/>
                                      </w:divBdr>
                                      <w:divsChild>
                                        <w:div w:id="1487699649">
                                          <w:marLeft w:val="0"/>
                                          <w:marRight w:val="0"/>
                                          <w:marTop w:val="0"/>
                                          <w:marBottom w:val="0"/>
                                          <w:divBdr>
                                            <w:top w:val="none" w:sz="0" w:space="0" w:color="auto"/>
                                            <w:left w:val="none" w:sz="0" w:space="0" w:color="auto"/>
                                            <w:bottom w:val="none" w:sz="0" w:space="0" w:color="auto"/>
                                            <w:right w:val="none" w:sz="0" w:space="0" w:color="auto"/>
                                          </w:divBdr>
                                          <w:divsChild>
                                            <w:div w:id="1547795584">
                                              <w:marLeft w:val="0"/>
                                              <w:marRight w:val="0"/>
                                              <w:marTop w:val="0"/>
                                              <w:marBottom w:val="0"/>
                                              <w:divBdr>
                                                <w:top w:val="none" w:sz="0" w:space="0" w:color="auto"/>
                                                <w:left w:val="none" w:sz="0" w:space="0" w:color="auto"/>
                                                <w:bottom w:val="none" w:sz="0" w:space="0" w:color="auto"/>
                                                <w:right w:val="none" w:sz="0" w:space="0" w:color="auto"/>
                                              </w:divBdr>
                                              <w:divsChild>
                                                <w:div w:id="64893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6603808">
      <w:bodyDiv w:val="1"/>
      <w:marLeft w:val="0"/>
      <w:marRight w:val="0"/>
      <w:marTop w:val="0"/>
      <w:marBottom w:val="0"/>
      <w:divBdr>
        <w:top w:val="none" w:sz="0" w:space="0" w:color="auto"/>
        <w:left w:val="none" w:sz="0" w:space="0" w:color="auto"/>
        <w:bottom w:val="none" w:sz="0" w:space="0" w:color="auto"/>
        <w:right w:val="none" w:sz="0" w:space="0" w:color="auto"/>
      </w:divBdr>
    </w:div>
    <w:div w:id="1509560888">
      <w:bodyDiv w:val="1"/>
      <w:marLeft w:val="0"/>
      <w:marRight w:val="0"/>
      <w:marTop w:val="0"/>
      <w:marBottom w:val="0"/>
      <w:divBdr>
        <w:top w:val="none" w:sz="0" w:space="0" w:color="auto"/>
        <w:left w:val="none" w:sz="0" w:space="0" w:color="auto"/>
        <w:bottom w:val="none" w:sz="0" w:space="0" w:color="auto"/>
        <w:right w:val="none" w:sz="0" w:space="0" w:color="auto"/>
      </w:divBdr>
    </w:div>
    <w:div w:id="1512335552">
      <w:bodyDiv w:val="1"/>
      <w:marLeft w:val="0"/>
      <w:marRight w:val="0"/>
      <w:marTop w:val="0"/>
      <w:marBottom w:val="0"/>
      <w:divBdr>
        <w:top w:val="none" w:sz="0" w:space="0" w:color="auto"/>
        <w:left w:val="none" w:sz="0" w:space="0" w:color="auto"/>
        <w:bottom w:val="none" w:sz="0" w:space="0" w:color="auto"/>
        <w:right w:val="none" w:sz="0" w:space="0" w:color="auto"/>
      </w:divBdr>
    </w:div>
    <w:div w:id="1559897989">
      <w:bodyDiv w:val="1"/>
      <w:marLeft w:val="0"/>
      <w:marRight w:val="0"/>
      <w:marTop w:val="0"/>
      <w:marBottom w:val="0"/>
      <w:divBdr>
        <w:top w:val="none" w:sz="0" w:space="0" w:color="auto"/>
        <w:left w:val="none" w:sz="0" w:space="0" w:color="auto"/>
        <w:bottom w:val="none" w:sz="0" w:space="0" w:color="auto"/>
        <w:right w:val="none" w:sz="0" w:space="0" w:color="auto"/>
      </w:divBdr>
    </w:div>
    <w:div w:id="1620792397">
      <w:bodyDiv w:val="1"/>
      <w:marLeft w:val="0"/>
      <w:marRight w:val="0"/>
      <w:marTop w:val="0"/>
      <w:marBottom w:val="0"/>
      <w:divBdr>
        <w:top w:val="none" w:sz="0" w:space="0" w:color="auto"/>
        <w:left w:val="none" w:sz="0" w:space="0" w:color="auto"/>
        <w:bottom w:val="none" w:sz="0" w:space="0" w:color="auto"/>
        <w:right w:val="none" w:sz="0" w:space="0" w:color="auto"/>
      </w:divBdr>
    </w:div>
    <w:div w:id="1708674777">
      <w:bodyDiv w:val="1"/>
      <w:marLeft w:val="0"/>
      <w:marRight w:val="0"/>
      <w:marTop w:val="0"/>
      <w:marBottom w:val="0"/>
      <w:divBdr>
        <w:top w:val="none" w:sz="0" w:space="0" w:color="auto"/>
        <w:left w:val="none" w:sz="0" w:space="0" w:color="auto"/>
        <w:bottom w:val="none" w:sz="0" w:space="0" w:color="auto"/>
        <w:right w:val="none" w:sz="0" w:space="0" w:color="auto"/>
      </w:divBdr>
    </w:div>
    <w:div w:id="1742631840">
      <w:bodyDiv w:val="1"/>
      <w:marLeft w:val="0"/>
      <w:marRight w:val="0"/>
      <w:marTop w:val="0"/>
      <w:marBottom w:val="0"/>
      <w:divBdr>
        <w:top w:val="none" w:sz="0" w:space="0" w:color="auto"/>
        <w:left w:val="none" w:sz="0" w:space="0" w:color="auto"/>
        <w:bottom w:val="none" w:sz="0" w:space="0" w:color="auto"/>
        <w:right w:val="none" w:sz="0" w:space="0" w:color="auto"/>
      </w:divBdr>
    </w:div>
    <w:div w:id="1926107901">
      <w:bodyDiv w:val="1"/>
      <w:marLeft w:val="0"/>
      <w:marRight w:val="0"/>
      <w:marTop w:val="0"/>
      <w:marBottom w:val="0"/>
      <w:divBdr>
        <w:top w:val="none" w:sz="0" w:space="0" w:color="auto"/>
        <w:left w:val="none" w:sz="0" w:space="0" w:color="auto"/>
        <w:bottom w:val="none" w:sz="0" w:space="0" w:color="auto"/>
        <w:right w:val="none" w:sz="0" w:space="0" w:color="auto"/>
      </w:divBdr>
    </w:div>
    <w:div w:id="1991210011">
      <w:bodyDiv w:val="1"/>
      <w:marLeft w:val="0"/>
      <w:marRight w:val="0"/>
      <w:marTop w:val="0"/>
      <w:marBottom w:val="0"/>
      <w:divBdr>
        <w:top w:val="none" w:sz="0" w:space="0" w:color="auto"/>
        <w:left w:val="none" w:sz="0" w:space="0" w:color="auto"/>
        <w:bottom w:val="none" w:sz="0" w:space="0" w:color="auto"/>
        <w:right w:val="none" w:sz="0" w:space="0" w:color="auto"/>
      </w:divBdr>
    </w:div>
    <w:div w:id="206533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bpr.pmc.gov.au/published-impact-analyses-and-reports/aged-care-reform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9F719B23-D1DC-4D6A-A7A4-D93D33018A38"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A7750314F7B204FA4DD50E83A562493" ma:contentTypeVersion="" ma:contentTypeDescription="PDMS Document Site Content Type" ma:contentTypeScope="" ma:versionID="f3c860799217f56ca7547a746d491393">
  <xsd:schema xmlns:xsd="http://www.w3.org/2001/XMLSchema" xmlns:xs="http://www.w3.org/2001/XMLSchema" xmlns:p="http://schemas.microsoft.com/office/2006/metadata/properties" xmlns:ns2="9F719B23-D1DC-4D6A-A7A4-D93D33018A38" targetNamespace="http://schemas.microsoft.com/office/2006/metadata/properties" ma:root="true" ma:fieldsID="8da8b9625ee6b6a12d4935792b2b8b25" ns2:_="">
    <xsd:import namespace="9F719B23-D1DC-4D6A-A7A4-D93D33018A3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19B23-D1DC-4D6A-A7A4-D93D33018A3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D36BC1-9682-4A93-A6B7-3EA10D659FE9}">
  <ds:schemaRefs>
    <ds:schemaRef ds:uri="9F719B23-D1DC-4D6A-A7A4-D93D33018A38"/>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873E257-DCF8-4F34-95B9-BDF766F3D56F}">
  <ds:schemaRefs>
    <ds:schemaRef ds:uri="http://schemas.microsoft.com/office/2006/metadata/longProperties"/>
  </ds:schemaRefs>
</ds:datastoreItem>
</file>

<file path=customXml/itemProps3.xml><?xml version="1.0" encoding="utf-8"?>
<ds:datastoreItem xmlns:ds="http://schemas.openxmlformats.org/officeDocument/2006/customXml" ds:itemID="{67A3A0B7-ACF0-4156-A723-6F4DBE254AF8}">
  <ds:schemaRefs>
    <ds:schemaRef ds:uri="http://schemas.openxmlformats.org/officeDocument/2006/bibliography"/>
  </ds:schemaRefs>
</ds:datastoreItem>
</file>

<file path=customXml/itemProps4.xml><?xml version="1.0" encoding="utf-8"?>
<ds:datastoreItem xmlns:ds="http://schemas.openxmlformats.org/officeDocument/2006/customXml" ds:itemID="{39E2CC04-3E9B-4B67-8EA7-3084FF45DC6D}">
  <ds:schemaRefs>
    <ds:schemaRef ds:uri="http://schemas.microsoft.com/sharepoint/v3/contenttype/forms"/>
  </ds:schemaRefs>
</ds:datastoreItem>
</file>

<file path=customXml/itemProps5.xml><?xml version="1.0" encoding="utf-8"?>
<ds:datastoreItem xmlns:ds="http://schemas.openxmlformats.org/officeDocument/2006/customXml" ds:itemID="{D5930C54-8E6F-40DC-B277-C0590D30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19B23-D1DC-4D6A-A7A4-D93D33018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5783</Words>
  <Characters>31707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37416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subject/>
  <dc:creator>boylek</dc:creator>
  <cp:keywords/>
  <cp:lastModifiedBy>GARNHAM, Katherine</cp:lastModifiedBy>
  <cp:revision>4</cp:revision>
  <cp:lastPrinted>2021-03-01T06:54:00Z</cp:lastPrinted>
  <dcterms:created xsi:type="dcterms:W3CDTF">2022-09-29T00:10:00Z</dcterms:created>
  <dcterms:modified xsi:type="dcterms:W3CDTF">2022-09-29T00:13:00Z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Document Categoty">
    <vt:lpwstr>Planning</vt:lpwstr>
  </property>
  <property fmtid="{D5CDD505-2E9C-101B-9397-08002B2CF9AE}" pid="9" name="ContentTypeId">
    <vt:lpwstr>0x010100266966F133664895A6EE3632470D45F5006A7750314F7B204FA4DD50E83A562493</vt:lpwstr>
  </property>
</Properties>
</file>