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70050" w14:textId="6FCEC099" w:rsidR="001A1903" w:rsidRPr="00720752" w:rsidRDefault="001A1903" w:rsidP="009C1F83">
      <w:pPr>
        <w:pStyle w:val="Heading5"/>
        <w:tabs>
          <w:tab w:val="left" w:pos="2127"/>
        </w:tabs>
      </w:pPr>
      <w:bookmarkStart w:id="0" w:name="_GoBack"/>
      <w:bookmarkEnd w:id="0"/>
      <w:r w:rsidRPr="00720752">
        <w:t>EXPLANATORY STATEMENT</w:t>
      </w:r>
    </w:p>
    <w:p w14:paraId="4613DD32" w14:textId="77777777" w:rsidR="001A1903" w:rsidRPr="00720752" w:rsidRDefault="001A1903">
      <w:pPr>
        <w:rPr>
          <w:color w:val="000000"/>
          <w:sz w:val="28"/>
        </w:rPr>
      </w:pPr>
    </w:p>
    <w:p w14:paraId="696F335D" w14:textId="77777777" w:rsidR="009A3396" w:rsidRPr="00720752" w:rsidRDefault="009A3396" w:rsidP="009A3396">
      <w:pPr>
        <w:pStyle w:val="Heading1"/>
        <w:tabs>
          <w:tab w:val="left" w:pos="-142"/>
        </w:tabs>
        <w:spacing w:after="120"/>
        <w:ind w:left="0"/>
        <w:rPr>
          <w:b/>
        </w:rPr>
      </w:pPr>
      <w:bookmarkStart w:id="1" w:name="OLE_LINK2"/>
      <w:bookmarkStart w:id="2" w:name="OLE_LINK1"/>
      <w:bookmarkStart w:id="3" w:name="OLE_LINK3"/>
      <w:r w:rsidRPr="00720752">
        <w:rPr>
          <w:b/>
        </w:rPr>
        <w:t xml:space="preserve">Veterans’ Affairs (Treatment Principles – Extending Access to Allied Health and Rehabilitation Appliances for Residential Care Recipients) Amendment Determination 2022 </w:t>
      </w:r>
    </w:p>
    <w:p w14:paraId="0319A2BB" w14:textId="2739B2DA" w:rsidR="00E600A6" w:rsidRPr="00720752" w:rsidRDefault="009A3396" w:rsidP="009A3396">
      <w:pPr>
        <w:pStyle w:val="Heading1"/>
        <w:tabs>
          <w:tab w:val="left" w:pos="-142"/>
        </w:tabs>
        <w:spacing w:after="150"/>
        <w:ind w:left="0"/>
      </w:pPr>
      <w:r w:rsidRPr="00720752">
        <w:t xml:space="preserve"> </w:t>
      </w:r>
      <w:r w:rsidR="00155CD7" w:rsidRPr="00720752">
        <w:t>(</w:t>
      </w:r>
      <w:r w:rsidR="00412BF5" w:rsidRPr="00720752">
        <w:rPr>
          <w:sz w:val="24"/>
          <w:szCs w:val="24"/>
        </w:rPr>
        <w:t xml:space="preserve">Instrument </w:t>
      </w:r>
      <w:r w:rsidR="00921549" w:rsidRPr="00720752">
        <w:rPr>
          <w:sz w:val="24"/>
          <w:szCs w:val="24"/>
        </w:rPr>
        <w:t>202</w:t>
      </w:r>
      <w:r w:rsidR="00190908" w:rsidRPr="00720752">
        <w:rPr>
          <w:sz w:val="24"/>
          <w:szCs w:val="24"/>
        </w:rPr>
        <w:t>2</w:t>
      </w:r>
      <w:r w:rsidR="00921549" w:rsidRPr="00720752">
        <w:rPr>
          <w:sz w:val="24"/>
          <w:szCs w:val="24"/>
        </w:rPr>
        <w:t xml:space="preserve"> </w:t>
      </w:r>
      <w:r w:rsidR="00155CD7" w:rsidRPr="00720752">
        <w:rPr>
          <w:color w:val="000000"/>
          <w:sz w:val="24"/>
          <w:szCs w:val="24"/>
        </w:rPr>
        <w:t>No.</w:t>
      </w:r>
      <w:r w:rsidR="00155CD7" w:rsidRPr="00720752">
        <w:rPr>
          <w:sz w:val="24"/>
          <w:szCs w:val="24"/>
        </w:rPr>
        <w:t xml:space="preserve"> R</w:t>
      </w:r>
      <w:r w:rsidR="004852BF" w:rsidRPr="00720752">
        <w:rPr>
          <w:sz w:val="24"/>
          <w:szCs w:val="24"/>
        </w:rPr>
        <w:t>36</w:t>
      </w:r>
      <w:r w:rsidR="004239F6" w:rsidRPr="00720752">
        <w:rPr>
          <w:sz w:val="24"/>
          <w:szCs w:val="24"/>
        </w:rPr>
        <w:t>/MRCC</w:t>
      </w:r>
      <w:r w:rsidR="004852BF" w:rsidRPr="00720752">
        <w:rPr>
          <w:sz w:val="24"/>
          <w:szCs w:val="24"/>
        </w:rPr>
        <w:t>36</w:t>
      </w:r>
      <w:r w:rsidR="00155CD7" w:rsidRPr="00720752">
        <w:rPr>
          <w:sz w:val="24"/>
          <w:szCs w:val="24"/>
        </w:rPr>
        <w:t>)</w:t>
      </w:r>
    </w:p>
    <w:bookmarkEnd w:id="1"/>
    <w:bookmarkEnd w:id="2"/>
    <w:bookmarkEnd w:id="3"/>
    <w:p w14:paraId="3DE43726" w14:textId="77777777" w:rsidR="001A1903" w:rsidRPr="00720752" w:rsidRDefault="001A1903" w:rsidP="00F176DD">
      <w:pPr>
        <w:spacing w:after="90"/>
        <w:rPr>
          <w:b/>
          <w:color w:val="000000"/>
          <w:sz w:val="28"/>
        </w:rPr>
      </w:pPr>
      <w:r w:rsidRPr="00720752">
        <w:rPr>
          <w:b/>
          <w:color w:val="000000"/>
          <w:sz w:val="28"/>
        </w:rPr>
        <w:t>EMPOWERING PROVISION</w:t>
      </w:r>
      <w:r w:rsidR="00783E9C" w:rsidRPr="00720752">
        <w:rPr>
          <w:b/>
          <w:color w:val="000000"/>
          <w:sz w:val="28"/>
        </w:rPr>
        <w:t>S</w:t>
      </w:r>
    </w:p>
    <w:p w14:paraId="6C08EEB2" w14:textId="77777777" w:rsidR="001D4BEC" w:rsidRPr="00720752" w:rsidRDefault="004239F6" w:rsidP="001D4BEC">
      <w:pPr>
        <w:tabs>
          <w:tab w:val="left" w:pos="1134"/>
        </w:tabs>
        <w:spacing w:after="150"/>
        <w:rPr>
          <w:color w:val="000000"/>
          <w:sz w:val="24"/>
          <w:szCs w:val="24"/>
        </w:rPr>
      </w:pPr>
      <w:r w:rsidRPr="00720752">
        <w:rPr>
          <w:color w:val="000000"/>
          <w:sz w:val="24"/>
          <w:szCs w:val="24"/>
        </w:rPr>
        <w:t xml:space="preserve">For </w:t>
      </w:r>
      <w:r w:rsidR="00F93860" w:rsidRPr="00720752">
        <w:rPr>
          <w:color w:val="000000"/>
          <w:sz w:val="24"/>
          <w:szCs w:val="24"/>
        </w:rPr>
        <w:t>Part 1</w:t>
      </w:r>
      <w:r w:rsidRPr="00720752">
        <w:rPr>
          <w:color w:val="000000"/>
          <w:sz w:val="24"/>
          <w:szCs w:val="24"/>
        </w:rPr>
        <w:t xml:space="preserve"> </w:t>
      </w:r>
      <w:r w:rsidR="00F93860" w:rsidRPr="00720752">
        <w:rPr>
          <w:color w:val="000000"/>
          <w:sz w:val="24"/>
          <w:szCs w:val="24"/>
        </w:rPr>
        <w:t xml:space="preserve">of Schedule 1 </w:t>
      </w:r>
      <w:r w:rsidRPr="00720752">
        <w:rPr>
          <w:color w:val="000000"/>
          <w:sz w:val="24"/>
          <w:szCs w:val="24"/>
        </w:rPr>
        <w:t>of the attac</w:t>
      </w:r>
      <w:r w:rsidR="00FF250D" w:rsidRPr="00720752">
        <w:rPr>
          <w:color w:val="000000"/>
          <w:sz w:val="24"/>
          <w:szCs w:val="24"/>
        </w:rPr>
        <w:t xml:space="preserve">hed instrument </w:t>
      </w:r>
      <w:r w:rsidR="00CA2AAC" w:rsidRPr="00720752">
        <w:rPr>
          <w:color w:val="000000"/>
          <w:sz w:val="24"/>
          <w:szCs w:val="24"/>
        </w:rPr>
        <w:t xml:space="preserve">which varies the </w:t>
      </w:r>
      <w:r w:rsidR="001D4BEC" w:rsidRPr="00720752">
        <w:rPr>
          <w:i/>
          <w:color w:val="000000"/>
          <w:sz w:val="24"/>
          <w:szCs w:val="24"/>
        </w:rPr>
        <w:t xml:space="preserve">MRCA Treatment Principles </w:t>
      </w:r>
      <w:r w:rsidR="001D4BEC" w:rsidRPr="00720752">
        <w:rPr>
          <w:color w:val="000000"/>
          <w:sz w:val="24"/>
          <w:szCs w:val="24"/>
        </w:rPr>
        <w:t>(MRCA Treatment Principles) — subsection 286(5) of the</w:t>
      </w:r>
      <w:r w:rsidR="001D4BEC" w:rsidRPr="00720752">
        <w:rPr>
          <w:i/>
          <w:color w:val="000000"/>
          <w:sz w:val="24"/>
          <w:szCs w:val="24"/>
        </w:rPr>
        <w:t xml:space="preserve"> Military Rehabilitation and Compensation Act 2004 </w:t>
      </w:r>
      <w:r w:rsidR="001D4BEC" w:rsidRPr="00720752">
        <w:rPr>
          <w:color w:val="000000"/>
          <w:sz w:val="24"/>
          <w:szCs w:val="24"/>
        </w:rPr>
        <w:t>(the MRCA).</w:t>
      </w:r>
    </w:p>
    <w:p w14:paraId="069864E3" w14:textId="41172799" w:rsidR="009A3396" w:rsidRPr="00720752" w:rsidRDefault="004239F6" w:rsidP="00DA5C87">
      <w:pPr>
        <w:tabs>
          <w:tab w:val="left" w:pos="1134"/>
        </w:tabs>
        <w:spacing w:after="90"/>
        <w:rPr>
          <w:color w:val="000000"/>
          <w:sz w:val="24"/>
          <w:szCs w:val="24"/>
        </w:rPr>
      </w:pPr>
      <w:r w:rsidRPr="00720752">
        <w:rPr>
          <w:color w:val="000000"/>
          <w:sz w:val="24"/>
          <w:szCs w:val="24"/>
        </w:rPr>
        <w:t xml:space="preserve">For </w:t>
      </w:r>
      <w:r w:rsidR="00F93860" w:rsidRPr="00720752">
        <w:rPr>
          <w:color w:val="000000"/>
          <w:sz w:val="24"/>
          <w:szCs w:val="24"/>
        </w:rPr>
        <w:t>Part 2 of Schedule 1</w:t>
      </w:r>
      <w:r w:rsidRPr="00720752">
        <w:rPr>
          <w:color w:val="000000"/>
          <w:sz w:val="24"/>
          <w:szCs w:val="24"/>
        </w:rPr>
        <w:t xml:space="preserve"> of the attach</w:t>
      </w:r>
      <w:r w:rsidR="00FF250D" w:rsidRPr="00720752">
        <w:rPr>
          <w:color w:val="000000"/>
          <w:sz w:val="24"/>
          <w:szCs w:val="24"/>
        </w:rPr>
        <w:t xml:space="preserve">ed instrument </w:t>
      </w:r>
      <w:r w:rsidR="00CA2AAC" w:rsidRPr="00720752">
        <w:rPr>
          <w:color w:val="000000"/>
          <w:sz w:val="24"/>
          <w:szCs w:val="24"/>
        </w:rPr>
        <w:t xml:space="preserve">which varies the </w:t>
      </w:r>
      <w:r w:rsidR="001D4BEC" w:rsidRPr="00720752">
        <w:rPr>
          <w:i/>
          <w:color w:val="000000"/>
          <w:sz w:val="24"/>
          <w:szCs w:val="24"/>
        </w:rPr>
        <w:t>Treatment Principles</w:t>
      </w:r>
      <w:r w:rsidR="001D4BEC" w:rsidRPr="00720752">
        <w:rPr>
          <w:color w:val="000000"/>
          <w:sz w:val="24"/>
          <w:szCs w:val="24"/>
        </w:rPr>
        <w:t xml:space="preserve"> (VEA Treatment Principles) — subsection 90(5) of the </w:t>
      </w:r>
      <w:r w:rsidR="001D4BEC" w:rsidRPr="00720752">
        <w:rPr>
          <w:i/>
          <w:color w:val="000000"/>
          <w:sz w:val="24"/>
          <w:szCs w:val="24"/>
        </w:rPr>
        <w:t>Veterans’ Entitlements Act 1986</w:t>
      </w:r>
      <w:r w:rsidR="001D4BEC" w:rsidRPr="00720752">
        <w:rPr>
          <w:color w:val="000000"/>
          <w:sz w:val="24"/>
          <w:szCs w:val="24"/>
        </w:rPr>
        <w:t xml:space="preserve"> (the VEA)</w:t>
      </w:r>
      <w:r w:rsidR="001D4BEC" w:rsidRPr="00720752">
        <w:rPr>
          <w:i/>
          <w:color w:val="000000"/>
          <w:sz w:val="24"/>
          <w:szCs w:val="24"/>
        </w:rPr>
        <w:t>.</w:t>
      </w:r>
    </w:p>
    <w:p w14:paraId="5CBF3EED" w14:textId="77777777" w:rsidR="001A1903" w:rsidRPr="00720752" w:rsidRDefault="001A1903" w:rsidP="00F176DD">
      <w:pPr>
        <w:spacing w:after="90"/>
        <w:rPr>
          <w:b/>
          <w:color w:val="000000"/>
          <w:sz w:val="28"/>
        </w:rPr>
      </w:pPr>
      <w:r w:rsidRPr="00720752">
        <w:rPr>
          <w:b/>
          <w:color w:val="000000"/>
          <w:sz w:val="28"/>
        </w:rPr>
        <w:t>PURPOSE</w:t>
      </w:r>
    </w:p>
    <w:p w14:paraId="670996CF" w14:textId="77777777" w:rsidR="00682A2F" w:rsidRPr="00720752" w:rsidRDefault="00682A2F" w:rsidP="00682A2F">
      <w:pPr>
        <w:autoSpaceDE w:val="0"/>
        <w:autoSpaceDN w:val="0"/>
        <w:adjustRightInd w:val="0"/>
        <w:spacing w:after="150"/>
        <w:rPr>
          <w:rFonts w:cstheme="minorHAnsi"/>
          <w:snapToGrid w:val="0"/>
          <w:color w:val="000000"/>
          <w:sz w:val="24"/>
          <w:szCs w:val="24"/>
        </w:rPr>
      </w:pPr>
      <w:r w:rsidRPr="00720752">
        <w:rPr>
          <w:color w:val="000000"/>
          <w:sz w:val="24"/>
          <w:szCs w:val="24"/>
        </w:rPr>
        <w:t xml:space="preserve">The VEA and the MRCA Treatment Principles set out the circumstances in which treatment may be provided to persons who are eligible to receive treatment under the provisions of various Veterans’ Affairs portfolio Acts that provide for treatment and similar assistance to be provided to these persons.  In addition, the Treatment Principles state </w:t>
      </w:r>
      <w:r w:rsidRPr="00720752">
        <w:rPr>
          <w:rFonts w:cstheme="minorHAnsi"/>
          <w:bCs/>
          <w:sz w:val="24"/>
          <w:szCs w:val="24"/>
        </w:rPr>
        <w:t>the principles and criteria under which the</w:t>
      </w:r>
      <w:r w:rsidRPr="00720752">
        <w:rPr>
          <w:rFonts w:cstheme="minorHAnsi"/>
          <w:snapToGrid w:val="0"/>
          <w:color w:val="000000"/>
          <w:sz w:val="24"/>
          <w:szCs w:val="24"/>
        </w:rPr>
        <w:t xml:space="preserve"> Commissions </w:t>
      </w:r>
      <w:r w:rsidRPr="00720752">
        <w:rPr>
          <w:rFonts w:cstheme="minorHAnsi"/>
          <w:bCs/>
          <w:sz w:val="24"/>
          <w:szCs w:val="24"/>
        </w:rPr>
        <w:t>may arrange, or accept financial responsibility for the cost of, treatment for persons eligible for treatment under the entitling Act.</w:t>
      </w:r>
    </w:p>
    <w:p w14:paraId="24746BE8" w14:textId="77777777" w:rsidR="00682A2F" w:rsidRPr="00720752" w:rsidRDefault="006504F8" w:rsidP="00682A2F">
      <w:pPr>
        <w:autoSpaceDE w:val="0"/>
        <w:autoSpaceDN w:val="0"/>
        <w:adjustRightInd w:val="0"/>
        <w:spacing w:after="150"/>
        <w:rPr>
          <w:color w:val="000000"/>
          <w:sz w:val="24"/>
          <w:szCs w:val="24"/>
        </w:rPr>
      </w:pPr>
      <w:r w:rsidRPr="00720752">
        <w:rPr>
          <w:color w:val="000000"/>
          <w:sz w:val="24"/>
          <w:szCs w:val="24"/>
        </w:rPr>
        <w:t xml:space="preserve">The Veterans’ Affairs (Treatment Principles – Extending Access to Allied Health and Rehabilitation Appliances for Residential Care Recipients) Amendment Determination 2022 </w:t>
      </w:r>
      <w:r w:rsidR="00080FFE" w:rsidRPr="00720752">
        <w:t>(</w:t>
      </w:r>
      <w:r w:rsidR="00080FFE" w:rsidRPr="00720752">
        <w:rPr>
          <w:sz w:val="24"/>
          <w:szCs w:val="24"/>
        </w:rPr>
        <w:t xml:space="preserve">Instrument 2022 </w:t>
      </w:r>
      <w:r w:rsidR="00080FFE" w:rsidRPr="00720752">
        <w:rPr>
          <w:color w:val="000000"/>
          <w:sz w:val="24"/>
          <w:szCs w:val="24"/>
        </w:rPr>
        <w:t>No.</w:t>
      </w:r>
      <w:r w:rsidR="00080FFE" w:rsidRPr="00720752">
        <w:rPr>
          <w:sz w:val="24"/>
          <w:szCs w:val="24"/>
        </w:rPr>
        <w:t xml:space="preserve"> R</w:t>
      </w:r>
      <w:r w:rsidR="004852BF" w:rsidRPr="00720752">
        <w:rPr>
          <w:sz w:val="24"/>
          <w:szCs w:val="24"/>
        </w:rPr>
        <w:t>36</w:t>
      </w:r>
      <w:r w:rsidR="00080FFE" w:rsidRPr="00720752">
        <w:rPr>
          <w:sz w:val="24"/>
          <w:szCs w:val="24"/>
        </w:rPr>
        <w:t>/MRCC</w:t>
      </w:r>
      <w:r w:rsidR="004852BF" w:rsidRPr="00720752">
        <w:rPr>
          <w:sz w:val="24"/>
          <w:szCs w:val="24"/>
        </w:rPr>
        <w:t>36</w:t>
      </w:r>
      <w:r w:rsidR="00080FFE" w:rsidRPr="00720752">
        <w:rPr>
          <w:sz w:val="24"/>
          <w:szCs w:val="24"/>
        </w:rPr>
        <w:t>)</w:t>
      </w:r>
      <w:r w:rsidR="00080FFE" w:rsidRPr="00720752">
        <w:rPr>
          <w:color w:val="000000"/>
          <w:sz w:val="24"/>
          <w:szCs w:val="24"/>
        </w:rPr>
        <w:t xml:space="preserve"> </w:t>
      </w:r>
      <w:r w:rsidRPr="00720752">
        <w:rPr>
          <w:color w:val="000000"/>
          <w:sz w:val="24"/>
          <w:szCs w:val="24"/>
        </w:rPr>
        <w:t>(the Amendment Instrument) makes variations to the VEA Treatment Principles and the MRCA Treatment Principles – collectively known as the Treatment Principles</w:t>
      </w:r>
      <w:r w:rsidR="00682A2F" w:rsidRPr="00720752">
        <w:rPr>
          <w:color w:val="000000"/>
          <w:sz w:val="24"/>
          <w:szCs w:val="24"/>
        </w:rPr>
        <w:t xml:space="preserve"> to: </w:t>
      </w:r>
    </w:p>
    <w:p w14:paraId="50891DE1" w14:textId="009650F6" w:rsidR="00682A2F" w:rsidRPr="00720752" w:rsidRDefault="00682A2F" w:rsidP="00682A2F">
      <w:pPr>
        <w:pStyle w:val="ListParagraph"/>
        <w:numPr>
          <w:ilvl w:val="0"/>
          <w:numId w:val="20"/>
        </w:numPr>
        <w:autoSpaceDE w:val="0"/>
        <w:autoSpaceDN w:val="0"/>
        <w:adjustRightInd w:val="0"/>
        <w:spacing w:after="150"/>
        <w:rPr>
          <w:rFonts w:ascii="Times New Roman" w:hAnsi="Times New Roman"/>
          <w:color w:val="000000"/>
          <w:sz w:val="24"/>
          <w:szCs w:val="24"/>
        </w:rPr>
      </w:pPr>
      <w:r w:rsidRPr="00720752">
        <w:rPr>
          <w:rFonts w:ascii="Times New Roman" w:hAnsi="Times New Roman"/>
          <w:color w:val="000000"/>
          <w:sz w:val="24"/>
          <w:szCs w:val="24"/>
        </w:rPr>
        <w:t xml:space="preserve">Remove the current statutory restrictions based on </w:t>
      </w:r>
      <w:r w:rsidR="001D4BEC" w:rsidRPr="00720752">
        <w:rPr>
          <w:rFonts w:ascii="Times New Roman" w:hAnsi="Times New Roman"/>
          <w:color w:val="000000"/>
          <w:sz w:val="24"/>
          <w:szCs w:val="24"/>
        </w:rPr>
        <w:t xml:space="preserve">a resident’s classification level under Part 2.4 of the </w:t>
      </w:r>
      <w:r w:rsidR="001D4BEC" w:rsidRPr="00720752">
        <w:rPr>
          <w:rFonts w:ascii="Times New Roman" w:hAnsi="Times New Roman"/>
          <w:i/>
          <w:color w:val="000000"/>
          <w:sz w:val="24"/>
          <w:szCs w:val="24"/>
        </w:rPr>
        <w:t xml:space="preserve">Aged Care Act 1997 </w:t>
      </w:r>
      <w:r w:rsidR="001D4BEC" w:rsidRPr="00720752">
        <w:rPr>
          <w:rFonts w:ascii="Times New Roman" w:hAnsi="Times New Roman"/>
          <w:color w:val="000000"/>
          <w:sz w:val="24"/>
          <w:szCs w:val="24"/>
        </w:rPr>
        <w:t xml:space="preserve">(the Aged Care Act) </w:t>
      </w:r>
      <w:r w:rsidRPr="00720752">
        <w:rPr>
          <w:rFonts w:ascii="Times New Roman" w:hAnsi="Times New Roman"/>
          <w:color w:val="000000"/>
          <w:sz w:val="24"/>
          <w:szCs w:val="24"/>
        </w:rPr>
        <w:t>that statutorily prevent</w:t>
      </w:r>
      <w:r w:rsidR="001D4BEC" w:rsidRPr="00720752">
        <w:rPr>
          <w:rFonts w:ascii="Times New Roman" w:hAnsi="Times New Roman"/>
          <w:color w:val="000000"/>
          <w:sz w:val="24"/>
          <w:szCs w:val="24"/>
        </w:rPr>
        <w:t>s</w:t>
      </w:r>
      <w:r w:rsidRPr="00720752">
        <w:rPr>
          <w:rFonts w:ascii="Times New Roman" w:hAnsi="Times New Roman"/>
          <w:color w:val="000000"/>
          <w:sz w:val="24"/>
          <w:szCs w:val="24"/>
        </w:rPr>
        <w:t xml:space="preserve"> the Commissions from approving allied health care services and provision of rehabilitation aids and appliances for persons </w:t>
      </w:r>
      <w:r w:rsidR="001D4BEC" w:rsidRPr="00720752">
        <w:rPr>
          <w:rFonts w:ascii="Times New Roman" w:hAnsi="Times New Roman"/>
          <w:color w:val="000000"/>
          <w:sz w:val="24"/>
          <w:szCs w:val="24"/>
        </w:rPr>
        <w:t xml:space="preserve">with a ‘high level of </w:t>
      </w:r>
      <w:r w:rsidRPr="00720752">
        <w:rPr>
          <w:rFonts w:ascii="Times New Roman" w:hAnsi="Times New Roman"/>
          <w:color w:val="000000"/>
          <w:sz w:val="24"/>
          <w:szCs w:val="24"/>
        </w:rPr>
        <w:t>residential care</w:t>
      </w:r>
      <w:r w:rsidR="001D4BEC" w:rsidRPr="00720752">
        <w:rPr>
          <w:rFonts w:ascii="Times New Roman" w:hAnsi="Times New Roman"/>
          <w:color w:val="000000"/>
          <w:sz w:val="24"/>
          <w:szCs w:val="24"/>
        </w:rPr>
        <w:t>’ classification level</w:t>
      </w:r>
      <w:r w:rsidRPr="00720752">
        <w:rPr>
          <w:rFonts w:ascii="Times New Roman" w:hAnsi="Times New Roman"/>
          <w:color w:val="000000"/>
          <w:sz w:val="24"/>
          <w:szCs w:val="24"/>
        </w:rPr>
        <w:t xml:space="preserve">. </w:t>
      </w:r>
      <w:r w:rsidR="001D4BEC" w:rsidRPr="00720752">
        <w:rPr>
          <w:rFonts w:ascii="Times New Roman" w:hAnsi="Times New Roman"/>
          <w:color w:val="000000"/>
          <w:sz w:val="24"/>
          <w:szCs w:val="24"/>
        </w:rPr>
        <w:t xml:space="preserve">From 1 October 2022, the </w:t>
      </w:r>
      <w:r w:rsidRPr="00720752">
        <w:rPr>
          <w:rFonts w:ascii="Times New Roman" w:hAnsi="Times New Roman"/>
          <w:color w:val="000000"/>
          <w:sz w:val="24"/>
          <w:szCs w:val="24"/>
        </w:rPr>
        <w:t xml:space="preserve">funding of allied health care services, aids and appliances by the Commission for residential care recipients will no longer be restricted by the resident’s </w:t>
      </w:r>
      <w:r w:rsidR="001D4BEC" w:rsidRPr="00720752">
        <w:rPr>
          <w:rFonts w:ascii="Times New Roman" w:hAnsi="Times New Roman"/>
          <w:color w:val="000000"/>
          <w:sz w:val="24"/>
          <w:szCs w:val="24"/>
        </w:rPr>
        <w:t>classification level</w:t>
      </w:r>
      <w:r w:rsidRPr="00720752">
        <w:rPr>
          <w:rFonts w:ascii="Times New Roman" w:hAnsi="Times New Roman"/>
          <w:color w:val="000000"/>
          <w:sz w:val="24"/>
          <w:szCs w:val="24"/>
        </w:rPr>
        <w:t xml:space="preserve"> under </w:t>
      </w:r>
      <w:r w:rsidR="001D4BEC" w:rsidRPr="00720752">
        <w:rPr>
          <w:rFonts w:ascii="Times New Roman" w:hAnsi="Times New Roman"/>
          <w:color w:val="000000"/>
          <w:sz w:val="24"/>
          <w:szCs w:val="24"/>
        </w:rPr>
        <w:t>Part 2.4 of the Aged Care Act.</w:t>
      </w:r>
    </w:p>
    <w:p w14:paraId="4521F86C" w14:textId="78A0193F" w:rsidR="00682A2F" w:rsidRPr="00720752" w:rsidRDefault="00682A2F" w:rsidP="00682A2F">
      <w:pPr>
        <w:pStyle w:val="ListParagraph"/>
        <w:numPr>
          <w:ilvl w:val="0"/>
          <w:numId w:val="20"/>
        </w:numPr>
        <w:autoSpaceDE w:val="0"/>
        <w:autoSpaceDN w:val="0"/>
        <w:adjustRightInd w:val="0"/>
        <w:spacing w:after="150"/>
        <w:rPr>
          <w:rFonts w:ascii="Times New Roman" w:hAnsi="Times New Roman"/>
          <w:color w:val="000000"/>
          <w:sz w:val="24"/>
          <w:szCs w:val="24"/>
        </w:rPr>
      </w:pPr>
      <w:r w:rsidRPr="00720752">
        <w:rPr>
          <w:rFonts w:ascii="Times New Roman" w:hAnsi="Times New Roman"/>
          <w:color w:val="000000"/>
          <w:sz w:val="24"/>
          <w:szCs w:val="24"/>
        </w:rPr>
        <w:t xml:space="preserve">Amend the amount of financial support provided to eligible persons receiving residential care or residential </w:t>
      </w:r>
      <w:r w:rsidR="001D4BEC" w:rsidRPr="00720752">
        <w:rPr>
          <w:rFonts w:ascii="Times New Roman" w:hAnsi="Times New Roman"/>
          <w:color w:val="000000"/>
          <w:sz w:val="24"/>
          <w:szCs w:val="24"/>
        </w:rPr>
        <w:t xml:space="preserve">respite </w:t>
      </w:r>
      <w:r w:rsidRPr="00720752">
        <w:rPr>
          <w:rFonts w:ascii="Times New Roman" w:hAnsi="Times New Roman"/>
          <w:color w:val="000000"/>
          <w:sz w:val="24"/>
          <w:szCs w:val="24"/>
        </w:rPr>
        <w:t xml:space="preserve">care overseas to reflect the payment of an amount equal to the </w:t>
      </w:r>
      <w:r w:rsidR="001D4BEC" w:rsidRPr="00720752">
        <w:rPr>
          <w:rFonts w:ascii="Times New Roman" w:hAnsi="Times New Roman"/>
          <w:color w:val="000000"/>
          <w:sz w:val="24"/>
          <w:szCs w:val="24"/>
        </w:rPr>
        <w:t>residential care subsidy</w:t>
      </w:r>
      <w:r w:rsidRPr="00720752">
        <w:rPr>
          <w:rFonts w:ascii="Times New Roman" w:hAnsi="Times New Roman"/>
          <w:color w:val="000000"/>
          <w:sz w:val="24"/>
          <w:szCs w:val="24"/>
        </w:rPr>
        <w:t xml:space="preserve"> payable each day for the same period in Australia </w:t>
      </w:r>
      <w:r w:rsidR="001D4BEC" w:rsidRPr="00720752">
        <w:rPr>
          <w:rFonts w:ascii="Times New Roman" w:hAnsi="Times New Roman"/>
          <w:color w:val="000000"/>
          <w:sz w:val="24"/>
          <w:szCs w:val="24"/>
        </w:rPr>
        <w:t xml:space="preserve">under a new funding model known as the Australian National Aged Care Classification (the AN-ACC) that commences on 1 October 2022, </w:t>
      </w:r>
      <w:r w:rsidRPr="00720752">
        <w:rPr>
          <w:rFonts w:ascii="Times New Roman" w:hAnsi="Times New Roman"/>
          <w:color w:val="000000"/>
          <w:sz w:val="24"/>
          <w:szCs w:val="24"/>
        </w:rPr>
        <w:t>plus any daily care fee the Commission</w:t>
      </w:r>
      <w:r w:rsidR="001D4BEC" w:rsidRPr="00720752">
        <w:rPr>
          <w:rFonts w:ascii="Times New Roman" w:hAnsi="Times New Roman"/>
          <w:color w:val="000000"/>
          <w:sz w:val="24"/>
          <w:szCs w:val="24"/>
        </w:rPr>
        <w:t>s</w:t>
      </w:r>
      <w:r w:rsidRPr="00720752">
        <w:rPr>
          <w:rFonts w:ascii="Times New Roman" w:hAnsi="Times New Roman"/>
          <w:color w:val="000000"/>
          <w:sz w:val="24"/>
          <w:szCs w:val="24"/>
        </w:rPr>
        <w:t xml:space="preserve"> would have accepted for the veteran in Australia (if applicable).</w:t>
      </w:r>
    </w:p>
    <w:p w14:paraId="5653D17A" w14:textId="30F5909E" w:rsidR="006504F8" w:rsidRPr="00720752" w:rsidRDefault="00682A2F" w:rsidP="00682A2F">
      <w:pPr>
        <w:pStyle w:val="ListParagraph"/>
        <w:numPr>
          <w:ilvl w:val="0"/>
          <w:numId w:val="20"/>
        </w:numPr>
        <w:autoSpaceDE w:val="0"/>
        <w:autoSpaceDN w:val="0"/>
        <w:adjustRightInd w:val="0"/>
        <w:spacing w:after="150"/>
        <w:rPr>
          <w:rFonts w:ascii="Times New Roman" w:hAnsi="Times New Roman"/>
          <w:color w:val="000000"/>
          <w:sz w:val="24"/>
          <w:szCs w:val="24"/>
        </w:rPr>
      </w:pPr>
      <w:r w:rsidRPr="00720752">
        <w:rPr>
          <w:rFonts w:ascii="Times New Roman" w:hAnsi="Times New Roman"/>
          <w:color w:val="000000"/>
          <w:sz w:val="24"/>
          <w:szCs w:val="24"/>
        </w:rPr>
        <w:t xml:space="preserve">Make minor and other consequential changes </w:t>
      </w:r>
      <w:r w:rsidR="001D4BEC" w:rsidRPr="00720752">
        <w:rPr>
          <w:rFonts w:ascii="Times New Roman" w:hAnsi="Times New Roman"/>
          <w:color w:val="000000"/>
          <w:sz w:val="24"/>
          <w:szCs w:val="24"/>
        </w:rPr>
        <w:t xml:space="preserve">related to the above. </w:t>
      </w:r>
    </w:p>
    <w:p w14:paraId="251211CC" w14:textId="0A803BA2" w:rsidR="006504F8" w:rsidRPr="00720752" w:rsidRDefault="006504F8" w:rsidP="006504F8">
      <w:pPr>
        <w:autoSpaceDE w:val="0"/>
        <w:autoSpaceDN w:val="0"/>
        <w:adjustRightInd w:val="0"/>
        <w:spacing w:after="150"/>
        <w:rPr>
          <w:i/>
          <w:color w:val="000000"/>
          <w:sz w:val="24"/>
          <w:szCs w:val="24"/>
        </w:rPr>
      </w:pPr>
      <w:r w:rsidRPr="00720752">
        <w:rPr>
          <w:i/>
          <w:color w:val="000000"/>
          <w:sz w:val="24"/>
          <w:szCs w:val="24"/>
        </w:rPr>
        <w:t xml:space="preserve">Background </w:t>
      </w:r>
    </w:p>
    <w:p w14:paraId="18EA9E6B" w14:textId="6926E1D8" w:rsidR="00D2239A" w:rsidRPr="00720752" w:rsidRDefault="00D2239A" w:rsidP="00D2239A">
      <w:pPr>
        <w:autoSpaceDE w:val="0"/>
        <w:autoSpaceDN w:val="0"/>
        <w:adjustRightInd w:val="0"/>
        <w:spacing w:after="150"/>
        <w:rPr>
          <w:color w:val="000000"/>
          <w:sz w:val="24"/>
          <w:szCs w:val="24"/>
        </w:rPr>
      </w:pPr>
      <w:r w:rsidRPr="00720752">
        <w:rPr>
          <w:color w:val="000000"/>
          <w:sz w:val="24"/>
          <w:szCs w:val="24"/>
        </w:rPr>
        <w:lastRenderedPageBreak/>
        <w:t>The</w:t>
      </w:r>
      <w:r w:rsidR="00682A2F" w:rsidRPr="00720752">
        <w:rPr>
          <w:color w:val="000000"/>
          <w:sz w:val="24"/>
          <w:szCs w:val="24"/>
        </w:rPr>
        <w:t xml:space="preserve"> amendments to the Treatment Principles </w:t>
      </w:r>
      <w:r w:rsidRPr="00720752">
        <w:rPr>
          <w:color w:val="000000"/>
          <w:sz w:val="24"/>
          <w:szCs w:val="24"/>
        </w:rPr>
        <w:t>give effect to a 2021-22 Budget measure to permanently expand access to aids and appliances through the Rehabilitation Appliances Program (RAP) and allied health care services from 1 October 2022 for eligible DVA clients in residential aged care. This initiative is linked to the introduction</w:t>
      </w:r>
      <w:r w:rsidR="001D4BEC" w:rsidRPr="00720752">
        <w:rPr>
          <w:color w:val="000000"/>
          <w:sz w:val="24"/>
          <w:szCs w:val="24"/>
        </w:rPr>
        <w:t xml:space="preserve"> from 1 October 2022</w:t>
      </w:r>
      <w:r w:rsidRPr="00720752">
        <w:rPr>
          <w:color w:val="000000"/>
          <w:sz w:val="24"/>
          <w:szCs w:val="24"/>
        </w:rPr>
        <w:t xml:space="preserve"> of </w:t>
      </w:r>
      <w:r w:rsidR="001D4BEC" w:rsidRPr="00720752">
        <w:rPr>
          <w:color w:val="000000"/>
          <w:sz w:val="24"/>
          <w:szCs w:val="24"/>
        </w:rPr>
        <w:t>a</w:t>
      </w:r>
      <w:r w:rsidRPr="00720752">
        <w:rPr>
          <w:color w:val="000000"/>
          <w:sz w:val="24"/>
          <w:szCs w:val="24"/>
        </w:rPr>
        <w:t xml:space="preserve"> new casemix</w:t>
      </w:r>
      <w:r w:rsidR="001D4BEC" w:rsidRPr="00720752">
        <w:rPr>
          <w:color w:val="000000"/>
          <w:sz w:val="24"/>
          <w:szCs w:val="24"/>
        </w:rPr>
        <w:t>-</w:t>
      </w:r>
      <w:r w:rsidRPr="00720752">
        <w:rPr>
          <w:color w:val="000000"/>
          <w:sz w:val="24"/>
          <w:szCs w:val="24"/>
        </w:rPr>
        <w:t xml:space="preserve">based </w:t>
      </w:r>
      <w:r w:rsidR="001D4BEC" w:rsidRPr="00720752">
        <w:rPr>
          <w:color w:val="000000"/>
          <w:sz w:val="24"/>
          <w:szCs w:val="24"/>
        </w:rPr>
        <w:t xml:space="preserve">residential aged care </w:t>
      </w:r>
      <w:r w:rsidRPr="00720752">
        <w:rPr>
          <w:color w:val="000000"/>
          <w:sz w:val="24"/>
          <w:szCs w:val="24"/>
        </w:rPr>
        <w:t xml:space="preserve">funding model known as the AN-ACC.  </w:t>
      </w:r>
    </w:p>
    <w:p w14:paraId="7BCC274A" w14:textId="13B3165B" w:rsidR="00D2239A" w:rsidRPr="00720752" w:rsidRDefault="00D2239A" w:rsidP="00D2239A">
      <w:pPr>
        <w:autoSpaceDE w:val="0"/>
        <w:autoSpaceDN w:val="0"/>
        <w:adjustRightInd w:val="0"/>
        <w:spacing w:after="150"/>
        <w:rPr>
          <w:color w:val="000000"/>
          <w:sz w:val="24"/>
          <w:szCs w:val="24"/>
        </w:rPr>
      </w:pPr>
      <w:r w:rsidRPr="00720752">
        <w:rPr>
          <w:color w:val="000000"/>
          <w:sz w:val="24"/>
          <w:szCs w:val="24"/>
        </w:rPr>
        <w:t xml:space="preserve">This Budget measure is being led by the Department of Health and Aged Care and is </w:t>
      </w:r>
      <w:r w:rsidR="001D4BEC" w:rsidRPr="00720752">
        <w:rPr>
          <w:color w:val="000000"/>
          <w:sz w:val="24"/>
          <w:szCs w:val="24"/>
        </w:rPr>
        <w:t>an element of the broader</w:t>
      </w:r>
      <w:r w:rsidRPr="00720752">
        <w:rPr>
          <w:color w:val="000000"/>
          <w:sz w:val="24"/>
          <w:szCs w:val="24"/>
        </w:rPr>
        <w:t xml:space="preserve"> 2021-22 Budget measure: Aged Care — Government response to the Royal Commission into Aged Care Quality and Safety — residential aged care services and sustainability. </w:t>
      </w:r>
    </w:p>
    <w:p w14:paraId="01F16EC6" w14:textId="1AE4E791" w:rsidR="00D2239A" w:rsidRPr="00720752" w:rsidRDefault="00D2239A" w:rsidP="00D2239A">
      <w:pPr>
        <w:autoSpaceDE w:val="0"/>
        <w:autoSpaceDN w:val="0"/>
        <w:adjustRightInd w:val="0"/>
        <w:spacing w:after="150"/>
        <w:rPr>
          <w:color w:val="000000"/>
          <w:sz w:val="24"/>
          <w:szCs w:val="24"/>
        </w:rPr>
      </w:pPr>
      <w:r w:rsidRPr="00720752">
        <w:rPr>
          <w:color w:val="000000"/>
          <w:sz w:val="24"/>
          <w:szCs w:val="24"/>
        </w:rPr>
        <w:t>These changes form part of the Government’s response to the recommendations from the Royal Commission into</w:t>
      </w:r>
      <w:r w:rsidR="00D45CC8" w:rsidRPr="00720752">
        <w:rPr>
          <w:color w:val="000000"/>
          <w:sz w:val="24"/>
          <w:szCs w:val="24"/>
        </w:rPr>
        <w:t xml:space="preserve"> Aged Care Quality and Safety. </w:t>
      </w:r>
      <w:r w:rsidRPr="00720752">
        <w:rPr>
          <w:color w:val="000000"/>
          <w:sz w:val="24"/>
          <w:szCs w:val="24"/>
        </w:rPr>
        <w:t>Specifically, these changes respond to recommendation 120 that the Government should fund approved providers for delivering residential aged care through a casemix</w:t>
      </w:r>
      <w:r w:rsidR="001D4BEC" w:rsidRPr="00720752">
        <w:rPr>
          <w:color w:val="000000"/>
          <w:sz w:val="24"/>
          <w:szCs w:val="24"/>
        </w:rPr>
        <w:t>-based</w:t>
      </w:r>
      <w:r w:rsidRPr="00720752">
        <w:rPr>
          <w:color w:val="000000"/>
          <w:sz w:val="24"/>
          <w:szCs w:val="24"/>
        </w:rPr>
        <w:t xml:space="preserve"> classification system such as the AN-ACC.</w:t>
      </w:r>
    </w:p>
    <w:p w14:paraId="7506FC64" w14:textId="701ABB2C" w:rsidR="00D2239A" w:rsidRPr="00720752" w:rsidRDefault="00D2239A" w:rsidP="00BE6A37">
      <w:pPr>
        <w:autoSpaceDE w:val="0"/>
        <w:autoSpaceDN w:val="0"/>
        <w:adjustRightInd w:val="0"/>
        <w:spacing w:after="150"/>
        <w:rPr>
          <w:color w:val="000000"/>
          <w:sz w:val="24"/>
          <w:szCs w:val="24"/>
        </w:rPr>
      </w:pPr>
      <w:r w:rsidRPr="00720752">
        <w:rPr>
          <w:color w:val="000000"/>
          <w:sz w:val="24"/>
          <w:szCs w:val="24"/>
        </w:rPr>
        <w:t>The measure to expand access to DVA funded allied health services and aids and appliances is a result of the AN-ACC funding reform, and addresses long voiced concerns of the veteran community to ensure the needs of DVA clients in residential aged care are met.</w:t>
      </w:r>
    </w:p>
    <w:p w14:paraId="04F25785" w14:textId="5A945EFF" w:rsidR="00D2239A" w:rsidRPr="00720752" w:rsidRDefault="001D4BEC" w:rsidP="00BE6A37">
      <w:pPr>
        <w:autoSpaceDE w:val="0"/>
        <w:autoSpaceDN w:val="0"/>
        <w:adjustRightInd w:val="0"/>
        <w:spacing w:after="150"/>
        <w:rPr>
          <w:i/>
          <w:color w:val="000000"/>
          <w:sz w:val="24"/>
          <w:szCs w:val="24"/>
        </w:rPr>
      </w:pPr>
      <w:r w:rsidRPr="00720752">
        <w:rPr>
          <w:i/>
          <w:color w:val="000000"/>
          <w:sz w:val="24"/>
          <w:szCs w:val="24"/>
        </w:rPr>
        <w:t>Pre-1 October 2022</w:t>
      </w:r>
      <w:r w:rsidR="00D2239A" w:rsidRPr="00720752">
        <w:rPr>
          <w:i/>
          <w:color w:val="000000"/>
          <w:sz w:val="24"/>
          <w:szCs w:val="24"/>
        </w:rPr>
        <w:t xml:space="preserve"> funding model </w:t>
      </w:r>
    </w:p>
    <w:p w14:paraId="063DEE9D" w14:textId="28B16752" w:rsidR="00BE6A37" w:rsidRPr="00720752" w:rsidRDefault="00BE6A37" w:rsidP="00BE6A37">
      <w:pPr>
        <w:autoSpaceDE w:val="0"/>
        <w:autoSpaceDN w:val="0"/>
        <w:adjustRightInd w:val="0"/>
        <w:spacing w:after="150"/>
        <w:rPr>
          <w:color w:val="000000"/>
          <w:sz w:val="24"/>
          <w:szCs w:val="24"/>
        </w:rPr>
      </w:pPr>
      <w:r w:rsidRPr="00720752">
        <w:rPr>
          <w:color w:val="000000"/>
          <w:sz w:val="24"/>
          <w:szCs w:val="24"/>
        </w:rPr>
        <w:t xml:space="preserve">Under the </w:t>
      </w:r>
      <w:r w:rsidR="001D4BEC" w:rsidRPr="00720752">
        <w:rPr>
          <w:color w:val="000000"/>
          <w:sz w:val="24"/>
          <w:szCs w:val="24"/>
        </w:rPr>
        <w:t>pre-1 October 2022</w:t>
      </w:r>
      <w:r w:rsidRPr="00720752">
        <w:rPr>
          <w:color w:val="000000"/>
          <w:sz w:val="24"/>
          <w:szCs w:val="24"/>
        </w:rPr>
        <w:t xml:space="preserve"> funding model for residential aged care, generally only eligible DVA clients in residential aged care with </w:t>
      </w:r>
      <w:r w:rsidR="001D4BEC" w:rsidRPr="00720752">
        <w:rPr>
          <w:color w:val="000000"/>
          <w:sz w:val="24"/>
          <w:szCs w:val="24"/>
        </w:rPr>
        <w:t>a lower classification under Part 2.4 of the Aged Care Act could</w:t>
      </w:r>
      <w:r w:rsidRPr="00720752">
        <w:rPr>
          <w:color w:val="000000"/>
          <w:sz w:val="24"/>
          <w:szCs w:val="24"/>
        </w:rPr>
        <w:t xml:space="preserve"> access DVA-funded allied health services and aids and appliances through the Rehabilitation Appliances Program</w:t>
      </w:r>
      <w:r w:rsidR="001D4BEC" w:rsidRPr="00720752">
        <w:rPr>
          <w:color w:val="000000"/>
          <w:sz w:val="24"/>
          <w:szCs w:val="24"/>
        </w:rPr>
        <w:t xml:space="preserve">, as the cost of these services was not factored into the base funding for each resident. </w:t>
      </w:r>
    </w:p>
    <w:p w14:paraId="10F7B456" w14:textId="346CC255" w:rsidR="00BE6A37" w:rsidRPr="00720752" w:rsidRDefault="001D4BEC" w:rsidP="00BE6A37">
      <w:pPr>
        <w:autoSpaceDE w:val="0"/>
        <w:autoSpaceDN w:val="0"/>
        <w:adjustRightInd w:val="0"/>
        <w:spacing w:after="150"/>
        <w:rPr>
          <w:color w:val="000000"/>
          <w:sz w:val="24"/>
          <w:szCs w:val="24"/>
        </w:rPr>
      </w:pPr>
      <w:r w:rsidRPr="00720752">
        <w:rPr>
          <w:color w:val="000000"/>
          <w:sz w:val="24"/>
          <w:szCs w:val="24"/>
        </w:rPr>
        <w:t xml:space="preserve">Eligible </w:t>
      </w:r>
      <w:r w:rsidR="00BE6A37" w:rsidRPr="00720752">
        <w:rPr>
          <w:color w:val="000000"/>
          <w:sz w:val="24"/>
          <w:szCs w:val="24"/>
        </w:rPr>
        <w:t>DVA cl</w:t>
      </w:r>
      <w:r w:rsidR="00D2239A" w:rsidRPr="00720752">
        <w:rPr>
          <w:color w:val="000000"/>
          <w:sz w:val="24"/>
          <w:szCs w:val="24"/>
        </w:rPr>
        <w:t xml:space="preserve">ients in residential aged care </w:t>
      </w:r>
      <w:r w:rsidRPr="00720752">
        <w:rPr>
          <w:color w:val="000000"/>
          <w:sz w:val="24"/>
          <w:szCs w:val="24"/>
        </w:rPr>
        <w:t>who had higher classification levels under Part 2.4 of the Aged Care Act were able to</w:t>
      </w:r>
      <w:r w:rsidR="00BE6A37" w:rsidRPr="00720752">
        <w:rPr>
          <w:color w:val="000000"/>
          <w:sz w:val="24"/>
          <w:szCs w:val="24"/>
        </w:rPr>
        <w:t xml:space="preserve"> access </w:t>
      </w:r>
      <w:r w:rsidRPr="00720752">
        <w:rPr>
          <w:color w:val="000000"/>
          <w:sz w:val="24"/>
          <w:szCs w:val="24"/>
        </w:rPr>
        <w:t>equivalent</w:t>
      </w:r>
      <w:r w:rsidR="00BE6A37" w:rsidRPr="00720752">
        <w:rPr>
          <w:color w:val="000000"/>
          <w:sz w:val="24"/>
          <w:szCs w:val="24"/>
        </w:rPr>
        <w:t xml:space="preserve"> services through the aged care facility</w:t>
      </w:r>
      <w:r w:rsidRPr="00720752">
        <w:rPr>
          <w:color w:val="000000"/>
          <w:sz w:val="24"/>
          <w:szCs w:val="24"/>
        </w:rPr>
        <w:t>,</w:t>
      </w:r>
      <w:r w:rsidR="00BE6A37" w:rsidRPr="00720752">
        <w:rPr>
          <w:color w:val="000000"/>
          <w:sz w:val="24"/>
          <w:szCs w:val="24"/>
        </w:rPr>
        <w:t xml:space="preserve"> as the cost of these services </w:t>
      </w:r>
      <w:r w:rsidRPr="00720752">
        <w:rPr>
          <w:color w:val="000000"/>
          <w:sz w:val="24"/>
          <w:szCs w:val="24"/>
        </w:rPr>
        <w:t>was</w:t>
      </w:r>
      <w:r w:rsidR="00BE6A37" w:rsidRPr="00720752">
        <w:rPr>
          <w:color w:val="000000"/>
          <w:sz w:val="24"/>
          <w:szCs w:val="24"/>
        </w:rPr>
        <w:t xml:space="preserve"> factored into the base funding for each resident.</w:t>
      </w:r>
    </w:p>
    <w:p w14:paraId="15AA0C6E" w14:textId="7876E51C" w:rsidR="00D2239A" w:rsidRPr="00720752" w:rsidRDefault="00682A2F" w:rsidP="00BE6A37">
      <w:pPr>
        <w:autoSpaceDE w:val="0"/>
        <w:autoSpaceDN w:val="0"/>
        <w:adjustRightInd w:val="0"/>
        <w:spacing w:after="150"/>
        <w:rPr>
          <w:i/>
          <w:color w:val="000000"/>
          <w:sz w:val="24"/>
          <w:szCs w:val="24"/>
        </w:rPr>
      </w:pPr>
      <w:r w:rsidRPr="00720752">
        <w:rPr>
          <w:i/>
          <w:color w:val="000000"/>
          <w:sz w:val="24"/>
          <w:szCs w:val="24"/>
        </w:rPr>
        <w:t>Aged care l</w:t>
      </w:r>
      <w:r w:rsidR="00D2239A" w:rsidRPr="00720752">
        <w:rPr>
          <w:i/>
          <w:color w:val="000000"/>
          <w:sz w:val="24"/>
          <w:szCs w:val="24"/>
        </w:rPr>
        <w:t xml:space="preserve">egislative changes </w:t>
      </w:r>
    </w:p>
    <w:p w14:paraId="011D4FC3" w14:textId="344EC2A8" w:rsidR="001D4BEC" w:rsidRPr="00720752" w:rsidRDefault="00BE6A37" w:rsidP="00BE6A37">
      <w:pPr>
        <w:autoSpaceDE w:val="0"/>
        <w:autoSpaceDN w:val="0"/>
        <w:adjustRightInd w:val="0"/>
        <w:spacing w:after="150"/>
        <w:rPr>
          <w:color w:val="000000"/>
          <w:sz w:val="24"/>
          <w:szCs w:val="24"/>
        </w:rPr>
      </w:pPr>
      <w:r w:rsidRPr="00720752">
        <w:rPr>
          <w:color w:val="000000"/>
          <w:sz w:val="24"/>
          <w:szCs w:val="24"/>
        </w:rPr>
        <w:t xml:space="preserve">The </w:t>
      </w:r>
      <w:r w:rsidR="001D4BEC" w:rsidRPr="00720752">
        <w:rPr>
          <w:i/>
          <w:color w:val="000000"/>
          <w:sz w:val="24"/>
          <w:szCs w:val="24"/>
        </w:rPr>
        <w:t xml:space="preserve">Aged Care </w:t>
      </w:r>
      <w:r w:rsidRPr="00720752">
        <w:rPr>
          <w:i/>
          <w:color w:val="000000"/>
          <w:sz w:val="24"/>
          <w:szCs w:val="24"/>
        </w:rPr>
        <w:t xml:space="preserve">and Other Legislation Amendment (Royal Commission Response) </w:t>
      </w:r>
      <w:r w:rsidR="001D4BEC" w:rsidRPr="00720752">
        <w:rPr>
          <w:i/>
          <w:color w:val="000000"/>
          <w:sz w:val="24"/>
          <w:szCs w:val="24"/>
        </w:rPr>
        <w:t xml:space="preserve">Act </w:t>
      </w:r>
      <w:r w:rsidRPr="00720752">
        <w:rPr>
          <w:i/>
          <w:color w:val="000000"/>
          <w:sz w:val="24"/>
          <w:szCs w:val="24"/>
        </w:rPr>
        <w:t>2022</w:t>
      </w:r>
      <w:r w:rsidRPr="00720752">
        <w:rPr>
          <w:color w:val="000000"/>
          <w:sz w:val="24"/>
          <w:szCs w:val="24"/>
        </w:rPr>
        <w:t xml:space="preserve"> </w:t>
      </w:r>
      <w:r w:rsidR="001D4BEC" w:rsidRPr="00720752">
        <w:rPr>
          <w:color w:val="000000"/>
          <w:sz w:val="24"/>
          <w:szCs w:val="24"/>
        </w:rPr>
        <w:t xml:space="preserve">(the Royal Commission Response Act) amended the Aged Care Act and the </w:t>
      </w:r>
      <w:r w:rsidR="001D4BEC" w:rsidRPr="00720752">
        <w:rPr>
          <w:i/>
          <w:color w:val="000000"/>
          <w:sz w:val="24"/>
          <w:szCs w:val="24"/>
        </w:rPr>
        <w:t xml:space="preserve">Aged Care (Transitional Provisions) Act 1997 </w:t>
      </w:r>
      <w:r w:rsidR="001D4BEC" w:rsidRPr="00720752">
        <w:rPr>
          <w:color w:val="000000"/>
          <w:sz w:val="24"/>
          <w:szCs w:val="24"/>
        </w:rPr>
        <w:t xml:space="preserve">(the Transitional Provisions Act) </w:t>
      </w:r>
      <w:r w:rsidRPr="00720752">
        <w:rPr>
          <w:color w:val="000000"/>
          <w:sz w:val="24"/>
          <w:szCs w:val="24"/>
        </w:rPr>
        <w:t xml:space="preserve">to enable the introduction of the </w:t>
      </w:r>
      <w:r w:rsidR="00682A2F" w:rsidRPr="00720752">
        <w:rPr>
          <w:color w:val="000000"/>
          <w:sz w:val="24"/>
          <w:szCs w:val="24"/>
        </w:rPr>
        <w:t>AN</w:t>
      </w:r>
      <w:r w:rsidR="00D45CC8" w:rsidRPr="00720752">
        <w:rPr>
          <w:color w:val="000000"/>
          <w:sz w:val="24"/>
          <w:szCs w:val="24"/>
        </w:rPr>
        <w:t xml:space="preserve">-ACC </w:t>
      </w:r>
      <w:r w:rsidR="001D4BEC" w:rsidRPr="00720752">
        <w:rPr>
          <w:color w:val="000000"/>
          <w:sz w:val="24"/>
          <w:szCs w:val="24"/>
        </w:rPr>
        <w:t xml:space="preserve">and </w:t>
      </w:r>
      <w:r w:rsidR="00D45CC8" w:rsidRPr="00720752">
        <w:rPr>
          <w:color w:val="000000"/>
          <w:sz w:val="24"/>
          <w:szCs w:val="24"/>
        </w:rPr>
        <w:t>to</w:t>
      </w:r>
      <w:r w:rsidRPr="00720752">
        <w:rPr>
          <w:color w:val="000000"/>
          <w:sz w:val="24"/>
          <w:szCs w:val="24"/>
        </w:rPr>
        <w:t xml:space="preserve"> replace the </w:t>
      </w:r>
      <w:r w:rsidR="001D4BEC" w:rsidRPr="00720752">
        <w:rPr>
          <w:color w:val="000000"/>
          <w:sz w:val="24"/>
          <w:szCs w:val="24"/>
        </w:rPr>
        <w:t xml:space="preserve">former </w:t>
      </w:r>
      <w:r w:rsidRPr="00720752">
        <w:rPr>
          <w:color w:val="000000"/>
          <w:sz w:val="24"/>
          <w:szCs w:val="24"/>
        </w:rPr>
        <w:t xml:space="preserve">Aged Care Funding Instrument </w:t>
      </w:r>
      <w:r w:rsidR="001D4BEC" w:rsidRPr="00720752">
        <w:rPr>
          <w:color w:val="000000"/>
          <w:sz w:val="24"/>
          <w:szCs w:val="24"/>
        </w:rPr>
        <w:t xml:space="preserve">(the ACFI) </w:t>
      </w:r>
      <w:r w:rsidRPr="00720752">
        <w:rPr>
          <w:color w:val="000000"/>
          <w:sz w:val="24"/>
          <w:szCs w:val="24"/>
        </w:rPr>
        <w:t xml:space="preserve">as the residential aged care </w:t>
      </w:r>
      <w:r w:rsidR="001D4BEC" w:rsidRPr="00720752">
        <w:rPr>
          <w:color w:val="000000"/>
          <w:sz w:val="24"/>
          <w:szCs w:val="24"/>
        </w:rPr>
        <w:t>funding</w:t>
      </w:r>
      <w:r w:rsidRPr="00720752">
        <w:rPr>
          <w:color w:val="000000"/>
          <w:sz w:val="24"/>
          <w:szCs w:val="24"/>
        </w:rPr>
        <w:t xml:space="preserve"> model from 1 October 2022. </w:t>
      </w:r>
    </w:p>
    <w:p w14:paraId="1711B8E3" w14:textId="77777777" w:rsidR="001D4BEC" w:rsidRPr="00720752" w:rsidRDefault="001D4BEC" w:rsidP="00BE6A37">
      <w:pPr>
        <w:autoSpaceDE w:val="0"/>
        <w:autoSpaceDN w:val="0"/>
        <w:adjustRightInd w:val="0"/>
        <w:spacing w:after="150"/>
        <w:rPr>
          <w:color w:val="000000"/>
          <w:sz w:val="24"/>
          <w:szCs w:val="24"/>
        </w:rPr>
      </w:pPr>
      <w:r w:rsidRPr="00720752">
        <w:rPr>
          <w:color w:val="000000"/>
          <w:sz w:val="24"/>
          <w:szCs w:val="24"/>
        </w:rPr>
        <w:t xml:space="preserve">The </w:t>
      </w:r>
      <w:r w:rsidRPr="00720752">
        <w:rPr>
          <w:i/>
          <w:color w:val="000000"/>
          <w:sz w:val="24"/>
          <w:szCs w:val="24"/>
        </w:rPr>
        <w:t xml:space="preserve">Aged Care Legislation Amendment (Residential Aged Care Funding) Instrument 2022 </w:t>
      </w:r>
      <w:r w:rsidRPr="00720752">
        <w:rPr>
          <w:color w:val="000000"/>
          <w:sz w:val="24"/>
          <w:szCs w:val="24"/>
        </w:rPr>
        <w:t xml:space="preserve">amended various legislative instruments made under the Aged Care Act and the Transitional Provisions Act to give effect to the amendments made by the Royal Commission Response Act, and to establish the new AN-ACC model as the basis of age care funding from 1 October 2022. </w:t>
      </w:r>
    </w:p>
    <w:p w14:paraId="747C7E14" w14:textId="0B2CA470" w:rsidR="00BE6A37" w:rsidRPr="00720752" w:rsidRDefault="001D4BEC" w:rsidP="00BE6A37">
      <w:pPr>
        <w:autoSpaceDE w:val="0"/>
        <w:autoSpaceDN w:val="0"/>
        <w:adjustRightInd w:val="0"/>
        <w:spacing w:after="150"/>
        <w:rPr>
          <w:color w:val="000000"/>
          <w:sz w:val="24"/>
          <w:szCs w:val="24"/>
        </w:rPr>
      </w:pPr>
      <w:r w:rsidRPr="00720752">
        <w:rPr>
          <w:color w:val="000000"/>
          <w:sz w:val="24"/>
          <w:szCs w:val="24"/>
        </w:rPr>
        <w:t>The AN-ACC funding model ceases to link a component of residential care subsidy to the resident’s classification level under Part 2.4 of the Aged Care Act (that is, their ‘ACFI classification’), and instead links a component of funding to the resident’s classification level under Part 2.4A of the Aged Care Act (that is, their ‘AN-ACC classification’).</w:t>
      </w:r>
    </w:p>
    <w:p w14:paraId="1AA4F4B0" w14:textId="6D79FF9B" w:rsidR="00D2239A" w:rsidRPr="00720752" w:rsidRDefault="00D2239A" w:rsidP="00D2239A">
      <w:pPr>
        <w:autoSpaceDE w:val="0"/>
        <w:autoSpaceDN w:val="0"/>
        <w:adjustRightInd w:val="0"/>
        <w:spacing w:after="150"/>
        <w:rPr>
          <w:color w:val="000000"/>
          <w:sz w:val="24"/>
          <w:szCs w:val="24"/>
        </w:rPr>
      </w:pPr>
      <w:r w:rsidRPr="00720752">
        <w:rPr>
          <w:color w:val="000000"/>
          <w:sz w:val="24"/>
          <w:szCs w:val="24"/>
        </w:rPr>
        <w:lastRenderedPageBreak/>
        <w:t xml:space="preserve">Moving to the AN-ACC funding model means that </w:t>
      </w:r>
      <w:r w:rsidR="001D4BEC" w:rsidRPr="00720752">
        <w:rPr>
          <w:color w:val="000000"/>
          <w:sz w:val="24"/>
          <w:szCs w:val="24"/>
        </w:rPr>
        <w:t xml:space="preserve">a classification level under Part 2.4 of the Aged Care Act crease to have effect of the funding of residential aged care from 1 October 2022. </w:t>
      </w:r>
    </w:p>
    <w:p w14:paraId="4169A8D1" w14:textId="1E81A14F" w:rsidR="00D2239A" w:rsidRPr="00720752" w:rsidRDefault="00D2239A" w:rsidP="00D2239A">
      <w:pPr>
        <w:autoSpaceDE w:val="0"/>
        <w:autoSpaceDN w:val="0"/>
        <w:adjustRightInd w:val="0"/>
        <w:spacing w:after="150"/>
        <w:rPr>
          <w:color w:val="000000"/>
          <w:sz w:val="24"/>
          <w:szCs w:val="24"/>
        </w:rPr>
      </w:pPr>
      <w:r w:rsidRPr="00720752">
        <w:rPr>
          <w:color w:val="000000"/>
          <w:sz w:val="24"/>
          <w:szCs w:val="24"/>
        </w:rPr>
        <w:t>In line with this change, from 1 October 2022, access to allied health care services and aids and appliances will be available for eligible DVA clients in residential aged care regardless of their care classification</w:t>
      </w:r>
      <w:r w:rsidR="001D4BEC" w:rsidRPr="00720752">
        <w:rPr>
          <w:color w:val="000000"/>
          <w:sz w:val="24"/>
          <w:szCs w:val="24"/>
        </w:rPr>
        <w:t xml:space="preserve"> level under either Part 2.4 or 2.4A of the Aged Care Act, provided that the aged care</w:t>
      </w:r>
      <w:r w:rsidRPr="00720752">
        <w:rPr>
          <w:color w:val="000000"/>
          <w:sz w:val="24"/>
          <w:szCs w:val="24"/>
        </w:rPr>
        <w:t xml:space="preserve"> facility is not otherwise funded to provide that service</w:t>
      </w:r>
      <w:r w:rsidR="001D4BEC" w:rsidRPr="00720752">
        <w:rPr>
          <w:color w:val="000000"/>
          <w:sz w:val="24"/>
          <w:szCs w:val="24"/>
        </w:rPr>
        <w:t xml:space="preserve">, aid or appliance. </w:t>
      </w:r>
    </w:p>
    <w:p w14:paraId="7F7A5F6B" w14:textId="3E0D169E" w:rsidR="001A1903" w:rsidRPr="00720752" w:rsidRDefault="001A1903" w:rsidP="00984F55">
      <w:pPr>
        <w:autoSpaceDE w:val="0"/>
        <w:autoSpaceDN w:val="0"/>
        <w:adjustRightInd w:val="0"/>
        <w:spacing w:after="150"/>
        <w:rPr>
          <w:b/>
          <w:bCs/>
          <w:color w:val="000000"/>
          <w:sz w:val="28"/>
          <w:szCs w:val="28"/>
        </w:rPr>
      </w:pPr>
      <w:r w:rsidRPr="00720752">
        <w:rPr>
          <w:b/>
          <w:bCs/>
          <w:color w:val="000000"/>
          <w:sz w:val="28"/>
          <w:szCs w:val="28"/>
        </w:rPr>
        <w:t>CONSULTATION</w:t>
      </w:r>
    </w:p>
    <w:p w14:paraId="158DF69E" w14:textId="41EC5906" w:rsidR="00AC0824" w:rsidRPr="00720752" w:rsidRDefault="00A456EF" w:rsidP="00984F55">
      <w:pPr>
        <w:spacing w:after="90"/>
        <w:ind w:right="-540"/>
        <w:rPr>
          <w:color w:val="000000"/>
          <w:sz w:val="24"/>
          <w:szCs w:val="24"/>
        </w:rPr>
      </w:pPr>
      <w:r w:rsidRPr="00720752">
        <w:rPr>
          <w:color w:val="000000"/>
          <w:sz w:val="24"/>
          <w:szCs w:val="24"/>
        </w:rPr>
        <w:t xml:space="preserve">Section 17 of the </w:t>
      </w:r>
      <w:r w:rsidRPr="00720752">
        <w:rPr>
          <w:i/>
          <w:color w:val="000000"/>
          <w:sz w:val="24"/>
          <w:szCs w:val="24"/>
        </w:rPr>
        <w:t>Legislation Act 2003</w:t>
      </w:r>
      <w:r w:rsidR="00C351E0" w:rsidRPr="00720752">
        <w:rPr>
          <w:color w:val="000000"/>
          <w:sz w:val="24"/>
          <w:szCs w:val="24"/>
        </w:rPr>
        <w:t xml:space="preserve"> requires a rule-m</w:t>
      </w:r>
      <w:r w:rsidRPr="00720752">
        <w:rPr>
          <w:color w:val="000000"/>
          <w:sz w:val="24"/>
          <w:szCs w:val="24"/>
        </w:rPr>
        <w:t xml:space="preserve">aker to be satisfied, before making a legislative </w:t>
      </w:r>
      <w:r w:rsidR="004A3D74" w:rsidRPr="00720752">
        <w:rPr>
          <w:color w:val="000000"/>
          <w:sz w:val="24"/>
          <w:szCs w:val="24"/>
        </w:rPr>
        <w:t>instrument that</w:t>
      </w:r>
      <w:r w:rsidR="00C351E0" w:rsidRPr="00720752">
        <w:rPr>
          <w:color w:val="000000"/>
          <w:sz w:val="24"/>
          <w:szCs w:val="24"/>
        </w:rPr>
        <w:t xml:space="preserve"> any consultation the rule-m</w:t>
      </w:r>
      <w:r w:rsidRPr="00720752">
        <w:rPr>
          <w:color w:val="000000"/>
          <w:sz w:val="24"/>
          <w:szCs w:val="24"/>
        </w:rPr>
        <w:t>aker considered appropriate</w:t>
      </w:r>
      <w:r w:rsidR="00B35105" w:rsidRPr="00720752">
        <w:rPr>
          <w:color w:val="000000"/>
          <w:sz w:val="24"/>
          <w:szCs w:val="24"/>
        </w:rPr>
        <w:t xml:space="preserve"> and reasonably practicable</w:t>
      </w:r>
      <w:r w:rsidRPr="00720752">
        <w:rPr>
          <w:color w:val="000000"/>
          <w:sz w:val="24"/>
          <w:szCs w:val="24"/>
        </w:rPr>
        <w:t>, ha</w:t>
      </w:r>
      <w:r w:rsidR="00EC5834" w:rsidRPr="00720752">
        <w:rPr>
          <w:color w:val="000000"/>
          <w:sz w:val="24"/>
          <w:szCs w:val="24"/>
        </w:rPr>
        <w:t>s</w:t>
      </w:r>
      <w:r w:rsidRPr="00720752">
        <w:rPr>
          <w:color w:val="000000"/>
          <w:sz w:val="24"/>
          <w:szCs w:val="24"/>
        </w:rPr>
        <w:t xml:space="preserve"> been undertaken. </w:t>
      </w:r>
    </w:p>
    <w:p w14:paraId="023AF2C1" w14:textId="12D61DEF" w:rsidR="00954722" w:rsidRPr="00720752" w:rsidRDefault="00B76C4C" w:rsidP="00954722">
      <w:pPr>
        <w:spacing w:after="90"/>
        <w:ind w:right="-525"/>
        <w:rPr>
          <w:color w:val="000000"/>
          <w:sz w:val="24"/>
          <w:szCs w:val="24"/>
        </w:rPr>
      </w:pPr>
      <w:r w:rsidRPr="00720752">
        <w:rPr>
          <w:color w:val="000000"/>
          <w:sz w:val="24"/>
          <w:szCs w:val="24"/>
        </w:rPr>
        <w:t>The purpose of these variations to</w:t>
      </w:r>
      <w:r w:rsidR="008E030C" w:rsidRPr="00720752">
        <w:rPr>
          <w:color w:val="000000"/>
          <w:sz w:val="24"/>
          <w:szCs w:val="24"/>
        </w:rPr>
        <w:t xml:space="preserve"> the Treatment Principles is to </w:t>
      </w:r>
      <w:r w:rsidR="00954722" w:rsidRPr="00720752">
        <w:rPr>
          <w:color w:val="000000"/>
          <w:sz w:val="24"/>
          <w:szCs w:val="24"/>
        </w:rPr>
        <w:t>enable eligible persons in residential aged care to access allied health services, aids and appliances funded by the Department regardless of their care under the new funding model for residential aged care, without duplicating those provided by aged care facility funding.</w:t>
      </w:r>
      <w:r w:rsidR="001D4BEC" w:rsidRPr="00720752">
        <w:rPr>
          <w:color w:val="000000"/>
          <w:sz w:val="24"/>
          <w:szCs w:val="24"/>
        </w:rPr>
        <w:t xml:space="preserve"> The amendments to the Treatment Principles give effect to the measure to expand access to DVA funded allied health services and aids and appliances as a result of the AN-ACC funding reform, and addresses long voiced concerns of the veteran community to ensure the needs of DVA clients in residential aged care are met.</w:t>
      </w:r>
    </w:p>
    <w:p w14:paraId="7F8DB730" w14:textId="10526B2E" w:rsidR="00C60ABF" w:rsidRPr="00720752" w:rsidRDefault="00C60ABF" w:rsidP="00954722">
      <w:pPr>
        <w:spacing w:after="90"/>
        <w:ind w:right="-540"/>
        <w:rPr>
          <w:color w:val="000000"/>
          <w:sz w:val="24"/>
          <w:szCs w:val="24"/>
        </w:rPr>
      </w:pPr>
      <w:r w:rsidRPr="00720752">
        <w:rPr>
          <w:color w:val="000000"/>
          <w:sz w:val="24"/>
          <w:szCs w:val="24"/>
        </w:rPr>
        <w:t xml:space="preserve">These changes give effect to a 2021-22 Budget measure being led by the Department of Health and Aged Care. To ensure that these amendments accurately reflect the initiative and give effect to the measure, the Department undertook extensive consultation </w:t>
      </w:r>
      <w:r w:rsidR="00954722" w:rsidRPr="00720752">
        <w:rPr>
          <w:color w:val="000000"/>
          <w:sz w:val="24"/>
          <w:szCs w:val="24"/>
        </w:rPr>
        <w:t>with Department of Health and Aged Care</w:t>
      </w:r>
      <w:r w:rsidRPr="00720752">
        <w:rPr>
          <w:color w:val="000000"/>
          <w:sz w:val="24"/>
          <w:szCs w:val="24"/>
        </w:rPr>
        <w:t xml:space="preserve"> prior to and t</w:t>
      </w:r>
      <w:r w:rsidR="00954722" w:rsidRPr="00720752">
        <w:rPr>
          <w:color w:val="000000"/>
          <w:sz w:val="24"/>
          <w:szCs w:val="24"/>
        </w:rPr>
        <w:t>hroughout the drafting process</w:t>
      </w:r>
      <w:r w:rsidRPr="00720752">
        <w:rPr>
          <w:color w:val="000000"/>
          <w:sz w:val="24"/>
          <w:szCs w:val="24"/>
        </w:rPr>
        <w:t xml:space="preserve">. </w:t>
      </w:r>
    </w:p>
    <w:p w14:paraId="72A47D76" w14:textId="14D535AB" w:rsidR="00682A2F" w:rsidRPr="00720752" w:rsidRDefault="00682A2F" w:rsidP="00682A2F">
      <w:pPr>
        <w:spacing w:after="90"/>
        <w:ind w:right="-540"/>
        <w:rPr>
          <w:sz w:val="24"/>
          <w:szCs w:val="24"/>
        </w:rPr>
      </w:pPr>
      <w:r w:rsidRPr="00720752">
        <w:rPr>
          <w:sz w:val="24"/>
          <w:szCs w:val="24"/>
        </w:rPr>
        <w:t>The Department of Health and Aged Care carried out extensive consultation in relation the development of the AN-ACC</w:t>
      </w:r>
      <w:r w:rsidR="00306875">
        <w:rPr>
          <w:sz w:val="24"/>
          <w:szCs w:val="24"/>
        </w:rPr>
        <w:t xml:space="preserve"> on which the basis of the changes to the Treatment Principles were made</w:t>
      </w:r>
      <w:r w:rsidR="001D4BEC" w:rsidRPr="00720752">
        <w:rPr>
          <w:sz w:val="24"/>
          <w:szCs w:val="24"/>
        </w:rPr>
        <w:t>.</w:t>
      </w:r>
      <w:r w:rsidRPr="00720752">
        <w:rPr>
          <w:sz w:val="24"/>
          <w:szCs w:val="24"/>
        </w:rPr>
        <w:t xml:space="preserve"> The </w:t>
      </w:r>
      <w:r w:rsidR="001D4BEC" w:rsidRPr="00720752">
        <w:rPr>
          <w:sz w:val="24"/>
          <w:szCs w:val="24"/>
        </w:rPr>
        <w:t xml:space="preserve">residential </w:t>
      </w:r>
      <w:r w:rsidRPr="00720752">
        <w:rPr>
          <w:sz w:val="24"/>
          <w:szCs w:val="24"/>
        </w:rPr>
        <w:t xml:space="preserve">aged care sector (including consumers) was consulted on the development and implementation of the AN-ACC </w:t>
      </w:r>
      <w:r w:rsidR="001D4BEC" w:rsidRPr="00720752">
        <w:rPr>
          <w:sz w:val="24"/>
          <w:szCs w:val="24"/>
        </w:rPr>
        <w:t xml:space="preserve">from </w:t>
      </w:r>
      <w:r w:rsidRPr="00720752">
        <w:rPr>
          <w:sz w:val="24"/>
          <w:szCs w:val="24"/>
        </w:rPr>
        <w:t>2017</w:t>
      </w:r>
      <w:r w:rsidR="001D4BEC" w:rsidRPr="00720752">
        <w:rPr>
          <w:sz w:val="24"/>
          <w:szCs w:val="24"/>
        </w:rPr>
        <w:t xml:space="preserve"> to 2020</w:t>
      </w:r>
      <w:r w:rsidRPr="00720752">
        <w:rPr>
          <w:sz w:val="24"/>
          <w:szCs w:val="24"/>
        </w:rPr>
        <w:t xml:space="preserve">, with supporting webinars and fact sheets produced since 2021 to parallel the assignment of AN-ACC classifications to care </w:t>
      </w:r>
      <w:r w:rsidR="001D4BEC" w:rsidRPr="00720752">
        <w:rPr>
          <w:sz w:val="24"/>
          <w:szCs w:val="24"/>
        </w:rPr>
        <w:t>residents</w:t>
      </w:r>
      <w:r w:rsidRPr="00720752">
        <w:rPr>
          <w:sz w:val="24"/>
          <w:szCs w:val="24"/>
        </w:rPr>
        <w:t>. The sector is generally supportive of the model, subject to introduction of the new model not reducing existing funding to residential aged care facilities.</w:t>
      </w:r>
    </w:p>
    <w:p w14:paraId="500CE381" w14:textId="49B06AE4" w:rsidR="001D4BEC" w:rsidRPr="00720752" w:rsidRDefault="001D4BEC" w:rsidP="00682A2F">
      <w:pPr>
        <w:spacing w:after="90"/>
        <w:ind w:right="-540"/>
        <w:rPr>
          <w:color w:val="000000"/>
          <w:sz w:val="24"/>
          <w:szCs w:val="24"/>
        </w:rPr>
      </w:pPr>
      <w:r w:rsidRPr="00720752">
        <w:rPr>
          <w:sz w:val="24"/>
          <w:szCs w:val="24"/>
        </w:rPr>
        <w:t xml:space="preserve">Extensive consultation occurred within business areas within the Department, including policy, program, service delivery and legal services. </w:t>
      </w:r>
    </w:p>
    <w:p w14:paraId="35D6BD2C" w14:textId="085A3850" w:rsidR="002B583E" w:rsidRPr="00720752" w:rsidRDefault="00682A2F" w:rsidP="00984F55">
      <w:pPr>
        <w:spacing w:after="90"/>
        <w:ind w:right="-540"/>
        <w:rPr>
          <w:color w:val="000000"/>
          <w:sz w:val="24"/>
          <w:szCs w:val="24"/>
        </w:rPr>
      </w:pPr>
      <w:r w:rsidRPr="00720752">
        <w:rPr>
          <w:color w:val="000000"/>
          <w:sz w:val="24"/>
          <w:szCs w:val="24"/>
        </w:rPr>
        <w:t xml:space="preserve">In addition, the Department of Health </w:t>
      </w:r>
      <w:r w:rsidR="001D4BEC" w:rsidRPr="00720752">
        <w:rPr>
          <w:color w:val="000000"/>
          <w:sz w:val="24"/>
          <w:szCs w:val="24"/>
        </w:rPr>
        <w:t xml:space="preserve">and Aged Care </w:t>
      </w:r>
      <w:r w:rsidRPr="00720752">
        <w:rPr>
          <w:color w:val="000000"/>
          <w:sz w:val="24"/>
          <w:szCs w:val="24"/>
        </w:rPr>
        <w:t xml:space="preserve">was consulted in the </w:t>
      </w:r>
      <w:r w:rsidR="001D4BEC" w:rsidRPr="00720752">
        <w:rPr>
          <w:color w:val="000000"/>
          <w:sz w:val="24"/>
          <w:szCs w:val="24"/>
        </w:rPr>
        <w:t>development</w:t>
      </w:r>
      <w:r w:rsidRPr="00720752">
        <w:rPr>
          <w:color w:val="000000"/>
          <w:sz w:val="24"/>
          <w:szCs w:val="24"/>
        </w:rPr>
        <w:t xml:space="preserve"> of the measures in the Amending Instrument.</w:t>
      </w:r>
    </w:p>
    <w:p w14:paraId="138FD177" w14:textId="0FFA0CA4" w:rsidR="00B06A98" w:rsidRPr="00720752" w:rsidRDefault="00B06A98" w:rsidP="00D001A9">
      <w:pPr>
        <w:spacing w:after="150"/>
        <w:ind w:right="-525"/>
        <w:rPr>
          <w:color w:val="000000"/>
          <w:sz w:val="24"/>
          <w:szCs w:val="24"/>
        </w:rPr>
      </w:pPr>
      <w:r w:rsidRPr="00720752">
        <w:rPr>
          <w:color w:val="000000"/>
          <w:sz w:val="24"/>
          <w:szCs w:val="24"/>
        </w:rPr>
        <w:t>In these circumstances, it is consider</w:t>
      </w:r>
      <w:r w:rsidR="00A741FD" w:rsidRPr="00720752">
        <w:rPr>
          <w:color w:val="000000"/>
          <w:sz w:val="24"/>
          <w:szCs w:val="24"/>
        </w:rPr>
        <w:t>ed</w:t>
      </w:r>
      <w:r w:rsidRPr="00720752">
        <w:rPr>
          <w:color w:val="000000"/>
          <w:sz w:val="24"/>
          <w:szCs w:val="24"/>
        </w:rPr>
        <w:t xml:space="preserve"> the requirements of section 17 </w:t>
      </w:r>
      <w:r w:rsidR="00A741FD" w:rsidRPr="00720752">
        <w:rPr>
          <w:color w:val="000000"/>
          <w:sz w:val="24"/>
          <w:szCs w:val="24"/>
        </w:rPr>
        <w:t xml:space="preserve">of the </w:t>
      </w:r>
      <w:r w:rsidR="00A741FD" w:rsidRPr="00720752">
        <w:rPr>
          <w:i/>
          <w:color w:val="000000"/>
          <w:sz w:val="24"/>
          <w:szCs w:val="24"/>
        </w:rPr>
        <w:t xml:space="preserve">Legislation Act 2003 </w:t>
      </w:r>
      <w:r w:rsidRPr="00720752">
        <w:rPr>
          <w:color w:val="000000"/>
          <w:sz w:val="24"/>
          <w:szCs w:val="24"/>
        </w:rPr>
        <w:t xml:space="preserve">have been fulfilled. </w:t>
      </w:r>
    </w:p>
    <w:p w14:paraId="76FAA32A" w14:textId="77777777" w:rsidR="007D62DD" w:rsidRPr="00720752" w:rsidRDefault="007D62DD" w:rsidP="00984F55">
      <w:pPr>
        <w:spacing w:after="150"/>
        <w:rPr>
          <w:b/>
          <w:color w:val="000000"/>
          <w:sz w:val="28"/>
          <w:szCs w:val="28"/>
        </w:rPr>
      </w:pPr>
      <w:r w:rsidRPr="00720752">
        <w:rPr>
          <w:b/>
          <w:color w:val="000000"/>
          <w:sz w:val="28"/>
          <w:szCs w:val="28"/>
        </w:rPr>
        <w:t>RETROSPECTIVITY</w:t>
      </w:r>
    </w:p>
    <w:p w14:paraId="5C6FE823" w14:textId="65FAF013" w:rsidR="00AA1AF7" w:rsidRPr="00720752" w:rsidRDefault="00B74C2B" w:rsidP="00984F55">
      <w:pPr>
        <w:pStyle w:val="BodyTextIndent2"/>
        <w:spacing w:after="150"/>
        <w:ind w:left="0" w:firstLine="0"/>
        <w:rPr>
          <w:color w:val="000000"/>
          <w:szCs w:val="24"/>
        </w:rPr>
      </w:pPr>
      <w:r w:rsidRPr="00720752">
        <w:rPr>
          <w:color w:val="000000"/>
          <w:szCs w:val="24"/>
        </w:rPr>
        <w:t>None.</w:t>
      </w:r>
    </w:p>
    <w:p w14:paraId="6A501A6B" w14:textId="77777777" w:rsidR="003310B8" w:rsidRPr="00720752" w:rsidRDefault="00376935" w:rsidP="00984F55">
      <w:pPr>
        <w:pStyle w:val="BodyTextIndent2"/>
        <w:spacing w:after="150"/>
        <w:ind w:left="0" w:firstLine="0"/>
        <w:rPr>
          <w:b/>
          <w:color w:val="000000"/>
          <w:sz w:val="28"/>
          <w:szCs w:val="28"/>
        </w:rPr>
      </w:pPr>
      <w:r w:rsidRPr="00720752">
        <w:rPr>
          <w:b/>
          <w:color w:val="000000"/>
          <w:sz w:val="28"/>
          <w:szCs w:val="28"/>
        </w:rPr>
        <w:t>DOCUMENTS INCORPORATED BY REFERENCE</w:t>
      </w:r>
    </w:p>
    <w:p w14:paraId="74EB1637" w14:textId="0D0FE3CA" w:rsidR="00094A4D" w:rsidRPr="00720752" w:rsidRDefault="00094A4D" w:rsidP="00094A4D">
      <w:pPr>
        <w:autoSpaceDE w:val="0"/>
        <w:autoSpaceDN w:val="0"/>
        <w:adjustRightInd w:val="0"/>
        <w:rPr>
          <w:color w:val="000000"/>
          <w:sz w:val="24"/>
          <w:szCs w:val="24"/>
        </w:rPr>
      </w:pPr>
      <w:r w:rsidRPr="00720752">
        <w:rPr>
          <w:color w:val="000000"/>
          <w:sz w:val="24"/>
          <w:szCs w:val="24"/>
        </w:rPr>
        <w:t xml:space="preserve">Section 14 of the </w:t>
      </w:r>
      <w:r w:rsidRPr="00720752">
        <w:rPr>
          <w:i/>
          <w:color w:val="000000"/>
          <w:sz w:val="24"/>
          <w:szCs w:val="24"/>
        </w:rPr>
        <w:t>Legislation Act 2003</w:t>
      </w:r>
      <w:r w:rsidRPr="00720752">
        <w:rPr>
          <w:color w:val="000000"/>
          <w:sz w:val="24"/>
          <w:szCs w:val="24"/>
        </w:rPr>
        <w:t xml:space="preserve"> enables legislative instruments to make provisions for matters by applying, adopting or incorporating matters contained in any other instrument or written document which is in force at the time of incorporation. Subsection 14(2) provides that unless the contrary intention appears, the legislative </w:t>
      </w:r>
      <w:r w:rsidRPr="00720752">
        <w:rPr>
          <w:color w:val="000000"/>
          <w:sz w:val="24"/>
          <w:szCs w:val="24"/>
        </w:rPr>
        <w:lastRenderedPageBreak/>
        <w:t xml:space="preserve">instrument may not make provision in relation to a matter by applying, adapting or incorporating any matter contained in an instrument or other writing as in force or existing from time to time.  </w:t>
      </w:r>
    </w:p>
    <w:p w14:paraId="0B3DE475" w14:textId="77777777" w:rsidR="00094A4D" w:rsidRPr="00720752" w:rsidRDefault="00094A4D" w:rsidP="00094A4D">
      <w:pPr>
        <w:autoSpaceDE w:val="0"/>
        <w:autoSpaceDN w:val="0"/>
        <w:adjustRightInd w:val="0"/>
        <w:rPr>
          <w:color w:val="000000"/>
          <w:sz w:val="24"/>
          <w:szCs w:val="24"/>
        </w:rPr>
      </w:pPr>
    </w:p>
    <w:p w14:paraId="35A277BA" w14:textId="7A705666" w:rsidR="00094A4D" w:rsidRPr="00720752" w:rsidRDefault="00094A4D" w:rsidP="00094A4D">
      <w:pPr>
        <w:autoSpaceDE w:val="0"/>
        <w:autoSpaceDN w:val="0"/>
        <w:adjustRightInd w:val="0"/>
        <w:rPr>
          <w:color w:val="000000"/>
          <w:sz w:val="24"/>
          <w:szCs w:val="24"/>
        </w:rPr>
      </w:pPr>
      <w:r w:rsidRPr="00720752">
        <w:rPr>
          <w:color w:val="000000"/>
          <w:sz w:val="24"/>
          <w:szCs w:val="24"/>
        </w:rPr>
        <w:t>Subsection 90(7A) of the VEA and 286(6B) of the MRCA provide legislative support for the Treatment Principles made under these Acts to apply, adopt or incorporate, with or without modification, any matter contained in an instrument or other writing as in force or existing from time to time.</w:t>
      </w:r>
    </w:p>
    <w:p w14:paraId="42AF890E" w14:textId="2C14581B" w:rsidR="00094A4D" w:rsidRPr="00720752" w:rsidRDefault="00094A4D" w:rsidP="00094A4D">
      <w:pPr>
        <w:autoSpaceDE w:val="0"/>
        <w:autoSpaceDN w:val="0"/>
        <w:adjustRightInd w:val="0"/>
        <w:rPr>
          <w:color w:val="000000"/>
          <w:sz w:val="24"/>
          <w:szCs w:val="24"/>
        </w:rPr>
      </w:pPr>
    </w:p>
    <w:p w14:paraId="11369B90" w14:textId="15D1F9DA" w:rsidR="00094A4D" w:rsidRPr="00720752" w:rsidRDefault="00094A4D" w:rsidP="00094A4D">
      <w:pPr>
        <w:autoSpaceDE w:val="0"/>
        <w:autoSpaceDN w:val="0"/>
        <w:adjustRightInd w:val="0"/>
        <w:rPr>
          <w:color w:val="000000"/>
          <w:sz w:val="24"/>
          <w:szCs w:val="24"/>
        </w:rPr>
      </w:pPr>
      <w:r w:rsidRPr="00720752">
        <w:rPr>
          <w:color w:val="000000"/>
          <w:sz w:val="24"/>
          <w:szCs w:val="24"/>
        </w:rPr>
        <w:t xml:space="preserve">The </w:t>
      </w:r>
      <w:r w:rsidR="00682A2F" w:rsidRPr="00720752">
        <w:rPr>
          <w:color w:val="000000"/>
          <w:sz w:val="24"/>
          <w:szCs w:val="24"/>
        </w:rPr>
        <w:t>Rehabilitation Appliances Program (RAP) National Guidelines (</w:t>
      </w:r>
      <w:r w:rsidR="00682A2F" w:rsidRPr="00720752">
        <w:rPr>
          <w:i/>
          <w:color w:val="000000"/>
          <w:sz w:val="24"/>
          <w:szCs w:val="24"/>
        </w:rPr>
        <w:t xml:space="preserve">RAP National Guidelines) </w:t>
      </w:r>
      <w:r w:rsidRPr="00720752">
        <w:rPr>
          <w:color w:val="000000"/>
          <w:sz w:val="24"/>
          <w:szCs w:val="24"/>
        </w:rPr>
        <w:t xml:space="preserve">are incorporated by reference into the VEA Treatment Principles and the MRCA Treatment Principles as in force or existing from time to time. The definition of </w:t>
      </w:r>
      <w:r w:rsidRPr="00720752">
        <w:rPr>
          <w:i/>
          <w:color w:val="000000"/>
          <w:sz w:val="24"/>
          <w:szCs w:val="24"/>
        </w:rPr>
        <w:t>RAP National Guidelines</w:t>
      </w:r>
      <w:r w:rsidRPr="00720752">
        <w:rPr>
          <w:color w:val="000000"/>
          <w:sz w:val="24"/>
          <w:szCs w:val="24"/>
        </w:rPr>
        <w:t xml:space="preserve"> is provided under Principle 1.4 and is listed in Schedule 1 to these Principles. Schedule 1 provides that the listed documents are incorporated by reference into the Treatment Principles in the form in which they exist from time to time. </w:t>
      </w:r>
    </w:p>
    <w:p w14:paraId="76FA9A88" w14:textId="77777777" w:rsidR="00094A4D" w:rsidRPr="00720752" w:rsidRDefault="00094A4D" w:rsidP="00094A4D">
      <w:pPr>
        <w:autoSpaceDE w:val="0"/>
        <w:autoSpaceDN w:val="0"/>
        <w:adjustRightInd w:val="0"/>
        <w:rPr>
          <w:color w:val="000000"/>
          <w:sz w:val="24"/>
          <w:szCs w:val="24"/>
        </w:rPr>
      </w:pPr>
    </w:p>
    <w:p w14:paraId="07074E98" w14:textId="2FF6CC41" w:rsidR="00094A4D" w:rsidRPr="00720752" w:rsidRDefault="00094A4D" w:rsidP="00094A4D">
      <w:pPr>
        <w:autoSpaceDE w:val="0"/>
        <w:autoSpaceDN w:val="0"/>
        <w:adjustRightInd w:val="0"/>
        <w:spacing w:after="150"/>
        <w:rPr>
          <w:color w:val="000000"/>
          <w:sz w:val="24"/>
          <w:szCs w:val="24"/>
        </w:rPr>
      </w:pPr>
      <w:r w:rsidRPr="00720752">
        <w:rPr>
          <w:color w:val="000000"/>
          <w:sz w:val="24"/>
          <w:szCs w:val="24"/>
        </w:rPr>
        <w:t xml:space="preserve">The RAP National Guidelines are publicly available on the department’s website, and can be downloaded free of charge using the following link: </w:t>
      </w:r>
      <w:hyperlink r:id="rId8" w:history="1">
        <w:r w:rsidRPr="00720752">
          <w:rPr>
            <w:rStyle w:val="Hyperlink"/>
            <w:sz w:val="24"/>
            <w:szCs w:val="24"/>
            <w:u w:val="single"/>
          </w:rPr>
          <w:t>https://www.dva.gov.au/providers/rehabilitation-appliances-program-rap/rap-national-guidelines</w:t>
        </w:r>
      </w:hyperlink>
      <w:r w:rsidRPr="00720752">
        <w:rPr>
          <w:color w:val="000000"/>
          <w:sz w:val="24"/>
          <w:szCs w:val="24"/>
        </w:rPr>
        <w:t>.</w:t>
      </w:r>
      <w:r w:rsidR="0012366C" w:rsidRPr="00720752">
        <w:rPr>
          <w:color w:val="000000"/>
          <w:sz w:val="24"/>
          <w:szCs w:val="24"/>
        </w:rPr>
        <w:t xml:space="preserve"> This link is the same link that the Amendment Instrument substitutes. </w:t>
      </w:r>
    </w:p>
    <w:p w14:paraId="0A27B2EC" w14:textId="57BE15B6" w:rsidR="00857327" w:rsidRPr="00720752" w:rsidRDefault="00857327" w:rsidP="00857327">
      <w:pPr>
        <w:autoSpaceDE w:val="0"/>
        <w:autoSpaceDN w:val="0"/>
        <w:adjustRightInd w:val="0"/>
        <w:spacing w:after="150"/>
        <w:rPr>
          <w:b/>
          <w:bCs/>
          <w:color w:val="000000"/>
          <w:sz w:val="28"/>
          <w:szCs w:val="28"/>
        </w:rPr>
      </w:pPr>
      <w:r>
        <w:rPr>
          <w:b/>
          <w:bCs/>
          <w:color w:val="000000"/>
          <w:sz w:val="28"/>
          <w:szCs w:val="28"/>
        </w:rPr>
        <w:t>MERITS REVIEW</w:t>
      </w:r>
    </w:p>
    <w:p w14:paraId="26F305E8" w14:textId="77777777" w:rsidR="00857327" w:rsidRPr="00857327" w:rsidRDefault="00857327" w:rsidP="00857327">
      <w:pPr>
        <w:autoSpaceDE w:val="0"/>
        <w:autoSpaceDN w:val="0"/>
        <w:adjustRightInd w:val="0"/>
        <w:spacing w:after="150"/>
        <w:rPr>
          <w:color w:val="000000"/>
          <w:sz w:val="24"/>
          <w:szCs w:val="24"/>
        </w:rPr>
      </w:pPr>
      <w:r w:rsidRPr="00857327">
        <w:rPr>
          <w:color w:val="000000"/>
          <w:sz w:val="24"/>
          <w:szCs w:val="24"/>
        </w:rPr>
        <w:t xml:space="preserve">The availability of independent merits review for administrative decisions under the MRCA and the VEA, and instruments made under these Acts, is specifically provided for under these Acts. </w:t>
      </w:r>
    </w:p>
    <w:p w14:paraId="45B99C4C" w14:textId="77777777" w:rsidR="00857327" w:rsidRPr="00857327" w:rsidRDefault="00857327" w:rsidP="00857327">
      <w:pPr>
        <w:autoSpaceDE w:val="0"/>
        <w:autoSpaceDN w:val="0"/>
        <w:adjustRightInd w:val="0"/>
        <w:spacing w:after="150"/>
        <w:rPr>
          <w:i/>
          <w:color w:val="000000"/>
          <w:sz w:val="24"/>
          <w:szCs w:val="24"/>
        </w:rPr>
      </w:pPr>
      <w:r w:rsidRPr="00857327">
        <w:rPr>
          <w:i/>
          <w:color w:val="000000"/>
          <w:sz w:val="24"/>
          <w:szCs w:val="24"/>
        </w:rPr>
        <w:t>MRCA</w:t>
      </w:r>
    </w:p>
    <w:p w14:paraId="7CADF2BC" w14:textId="3D075CE2" w:rsidR="00857327" w:rsidRPr="00857327" w:rsidRDefault="00857327" w:rsidP="00857327">
      <w:pPr>
        <w:autoSpaceDE w:val="0"/>
        <w:autoSpaceDN w:val="0"/>
        <w:adjustRightInd w:val="0"/>
        <w:spacing w:after="150"/>
        <w:rPr>
          <w:color w:val="000000"/>
          <w:sz w:val="24"/>
          <w:szCs w:val="24"/>
        </w:rPr>
      </w:pPr>
      <w:r w:rsidRPr="00857327">
        <w:rPr>
          <w:color w:val="000000"/>
          <w:sz w:val="24"/>
          <w:szCs w:val="24"/>
        </w:rPr>
        <w:t>Most decisions made by the Military Rehabilitation and Compensation Commission that are “original determinations” under 345(1) of the MRCA can be reconsidered, and be subject to the review by the Veterans Review Board and the Administrative Appeals Tribunal (refer to sections 344 and 345). However, determinations listed under 345(2) of the MRCA, which includes determinations made under Part 3 of Chapter 6 of MRCA (entitlement to treatment), are not original determinations. These determinations are not subject to reconsideration or independent merits review. As such, it is arguable that to include an express merits review provision for these determinations would be beyond the scope of the empowering primary legislation.</w:t>
      </w:r>
    </w:p>
    <w:p w14:paraId="75A309C2" w14:textId="77777777" w:rsidR="00857327" w:rsidRPr="00857327" w:rsidRDefault="00857327" w:rsidP="00857327">
      <w:pPr>
        <w:autoSpaceDE w:val="0"/>
        <w:autoSpaceDN w:val="0"/>
        <w:adjustRightInd w:val="0"/>
        <w:spacing w:after="150"/>
        <w:rPr>
          <w:i/>
          <w:color w:val="000000"/>
          <w:sz w:val="24"/>
          <w:szCs w:val="24"/>
        </w:rPr>
      </w:pPr>
      <w:r w:rsidRPr="00857327">
        <w:rPr>
          <w:i/>
          <w:color w:val="000000"/>
          <w:sz w:val="24"/>
          <w:szCs w:val="24"/>
        </w:rPr>
        <w:t>VEA</w:t>
      </w:r>
    </w:p>
    <w:p w14:paraId="0ABA3BBC" w14:textId="77777777" w:rsidR="00857327" w:rsidRPr="00857327" w:rsidRDefault="00857327" w:rsidP="00857327">
      <w:pPr>
        <w:autoSpaceDE w:val="0"/>
        <w:autoSpaceDN w:val="0"/>
        <w:adjustRightInd w:val="0"/>
        <w:spacing w:after="150"/>
        <w:rPr>
          <w:color w:val="000000"/>
          <w:sz w:val="24"/>
          <w:szCs w:val="24"/>
        </w:rPr>
      </w:pPr>
      <w:r w:rsidRPr="00857327">
        <w:rPr>
          <w:color w:val="000000"/>
          <w:sz w:val="24"/>
          <w:szCs w:val="24"/>
        </w:rPr>
        <w:t xml:space="preserve">There is no independent merits review available under the VEA in respect of decisions made under the Treatment Principles. </w:t>
      </w:r>
    </w:p>
    <w:p w14:paraId="791E5103" w14:textId="77777777" w:rsidR="00857327" w:rsidRPr="00857327" w:rsidRDefault="00857327" w:rsidP="00857327">
      <w:pPr>
        <w:autoSpaceDE w:val="0"/>
        <w:autoSpaceDN w:val="0"/>
        <w:adjustRightInd w:val="0"/>
        <w:spacing w:after="150"/>
        <w:rPr>
          <w:i/>
          <w:color w:val="000000"/>
          <w:sz w:val="24"/>
          <w:szCs w:val="24"/>
        </w:rPr>
      </w:pPr>
      <w:r w:rsidRPr="00857327">
        <w:rPr>
          <w:i/>
          <w:color w:val="000000"/>
          <w:sz w:val="24"/>
          <w:szCs w:val="24"/>
        </w:rPr>
        <w:t>Amendment Instrument</w:t>
      </w:r>
    </w:p>
    <w:p w14:paraId="1B16DA27" w14:textId="77777777" w:rsidR="00857327" w:rsidRPr="00857327" w:rsidRDefault="00857327" w:rsidP="00857327">
      <w:pPr>
        <w:autoSpaceDE w:val="0"/>
        <w:autoSpaceDN w:val="0"/>
        <w:adjustRightInd w:val="0"/>
        <w:spacing w:after="150"/>
        <w:rPr>
          <w:color w:val="000000"/>
          <w:sz w:val="24"/>
          <w:szCs w:val="24"/>
        </w:rPr>
      </w:pPr>
      <w:r w:rsidRPr="00857327">
        <w:rPr>
          <w:color w:val="000000"/>
          <w:sz w:val="24"/>
          <w:szCs w:val="24"/>
        </w:rPr>
        <w:t xml:space="preserve">The amendments to both Treatment Principles made under the VEA and MRCA apply to the provision of treatment to eligible DVA clients receiving residential care or residential respite care by health providers under Part 7 and the provision of rehabilitation aids and appliances to these DVA clients under the Rehabilitation Appliances Program. </w:t>
      </w:r>
    </w:p>
    <w:p w14:paraId="56BBB999" w14:textId="77777777" w:rsidR="00857327" w:rsidRPr="00857327" w:rsidRDefault="00857327" w:rsidP="00857327">
      <w:pPr>
        <w:autoSpaceDE w:val="0"/>
        <w:autoSpaceDN w:val="0"/>
        <w:adjustRightInd w:val="0"/>
        <w:spacing w:after="150"/>
        <w:rPr>
          <w:color w:val="000000"/>
          <w:sz w:val="24"/>
          <w:szCs w:val="24"/>
        </w:rPr>
      </w:pPr>
    </w:p>
    <w:p w14:paraId="7ACBFB98" w14:textId="77777777" w:rsidR="00857327" w:rsidRPr="00857327" w:rsidRDefault="00857327" w:rsidP="00857327">
      <w:pPr>
        <w:autoSpaceDE w:val="0"/>
        <w:autoSpaceDN w:val="0"/>
        <w:adjustRightInd w:val="0"/>
        <w:spacing w:after="150"/>
        <w:rPr>
          <w:color w:val="000000"/>
          <w:sz w:val="24"/>
          <w:szCs w:val="24"/>
        </w:rPr>
      </w:pPr>
      <w:r w:rsidRPr="00857327">
        <w:rPr>
          <w:color w:val="000000"/>
          <w:sz w:val="24"/>
          <w:szCs w:val="24"/>
        </w:rPr>
        <w:lastRenderedPageBreak/>
        <w:t xml:space="preserve">Eligibility for the services and supply of aids and appliances under the RAP is based on the definition of “entitled persons” which are based on the coverage of the two Act (eg entitled veteran and entitled widow or entitled widower, for example). Once a person’s entitlement is established under the Act, the approval process and limits to the provision of treatment services by health providers under Part 7 and the supply of aids and appliances are generally based on factual information being established. For example, paragraph 7.5.3 provides that prior approval is required for physiotherapy treatment where those services are to be provided in a public hospital.  </w:t>
      </w:r>
    </w:p>
    <w:p w14:paraId="0CE6ECF4" w14:textId="599020EE" w:rsidR="00857327" w:rsidRPr="00857327" w:rsidRDefault="00857327" w:rsidP="00857327">
      <w:pPr>
        <w:autoSpaceDE w:val="0"/>
        <w:autoSpaceDN w:val="0"/>
        <w:adjustRightInd w:val="0"/>
        <w:spacing w:after="150"/>
        <w:rPr>
          <w:color w:val="000000"/>
          <w:sz w:val="24"/>
          <w:szCs w:val="24"/>
        </w:rPr>
      </w:pPr>
      <w:r w:rsidRPr="00857327">
        <w:rPr>
          <w:color w:val="000000"/>
          <w:sz w:val="24"/>
          <w:szCs w:val="24"/>
        </w:rPr>
        <w:t>As a consequence, the application of the criteria, the prior approval requirements and the limits to the provision of the treatment services by health providers under Part 7 and supply of aids and appliances under the RAP can be categorised in accordance with the Administrati</w:t>
      </w:r>
      <w:r>
        <w:rPr>
          <w:color w:val="000000"/>
          <w:sz w:val="24"/>
          <w:szCs w:val="24"/>
        </w:rPr>
        <w:t>ve Review Council’s publication ‘</w:t>
      </w:r>
      <w:r w:rsidRPr="00857327">
        <w:rPr>
          <w:i/>
          <w:color w:val="000000"/>
          <w:sz w:val="24"/>
          <w:szCs w:val="24"/>
        </w:rPr>
        <w:t>What decisions should be subject to merits review?</w:t>
      </w:r>
      <w:r>
        <w:rPr>
          <w:color w:val="000000"/>
          <w:sz w:val="24"/>
          <w:szCs w:val="24"/>
        </w:rPr>
        <w:t>’ a</w:t>
      </w:r>
      <w:r w:rsidRPr="00857327">
        <w:rPr>
          <w:color w:val="000000"/>
          <w:sz w:val="24"/>
          <w:szCs w:val="24"/>
        </w:rPr>
        <w:t>s a type of decision that is, by its nature, unsuitable for merits review or which leaves no room for merits review.</w:t>
      </w:r>
    </w:p>
    <w:p w14:paraId="7C4CDF92" w14:textId="77777777" w:rsidR="00857327" w:rsidRPr="00857327" w:rsidRDefault="00857327" w:rsidP="00857327">
      <w:pPr>
        <w:autoSpaceDE w:val="0"/>
        <w:autoSpaceDN w:val="0"/>
        <w:adjustRightInd w:val="0"/>
        <w:spacing w:after="150"/>
        <w:rPr>
          <w:color w:val="000000"/>
          <w:sz w:val="24"/>
          <w:szCs w:val="24"/>
        </w:rPr>
      </w:pPr>
      <w:r w:rsidRPr="00857327">
        <w:rPr>
          <w:color w:val="000000"/>
          <w:sz w:val="24"/>
          <w:szCs w:val="24"/>
        </w:rPr>
        <w:t>Even, if is arguably the case that any adverse decision of the Commissions should be independently reviewed, it is generally the practice that delegates of the Commission will review any adverse decisions, including where new information or evidence is provided by the applicant to support their application. In addition, decision makers provide the opportunity to applicants to provide additional evidence to address any preliminary adverse decision notified to them.</w:t>
      </w:r>
    </w:p>
    <w:p w14:paraId="5AFB54BD" w14:textId="77777777" w:rsidR="00857327" w:rsidRPr="00857327" w:rsidRDefault="00857327" w:rsidP="00857327">
      <w:pPr>
        <w:autoSpaceDE w:val="0"/>
        <w:autoSpaceDN w:val="0"/>
        <w:adjustRightInd w:val="0"/>
        <w:spacing w:after="150"/>
        <w:rPr>
          <w:color w:val="000000"/>
          <w:sz w:val="24"/>
          <w:szCs w:val="24"/>
        </w:rPr>
      </w:pPr>
      <w:r w:rsidRPr="00857327">
        <w:rPr>
          <w:color w:val="000000"/>
          <w:sz w:val="24"/>
          <w:szCs w:val="24"/>
        </w:rPr>
        <w:t>It is also noted that the review and appeals pathways are being carefully considered as part of the work currently underway on reform of veterans’ legislation.</w:t>
      </w:r>
    </w:p>
    <w:p w14:paraId="657E464E" w14:textId="1D848930" w:rsidR="00305558" w:rsidRPr="00720752" w:rsidRDefault="00305558" w:rsidP="00984F55">
      <w:pPr>
        <w:autoSpaceDE w:val="0"/>
        <w:autoSpaceDN w:val="0"/>
        <w:adjustRightInd w:val="0"/>
        <w:spacing w:after="150"/>
        <w:rPr>
          <w:b/>
          <w:bCs/>
          <w:color w:val="000000"/>
          <w:sz w:val="28"/>
          <w:szCs w:val="28"/>
        </w:rPr>
      </w:pPr>
      <w:r w:rsidRPr="00720752">
        <w:rPr>
          <w:b/>
          <w:bCs/>
          <w:color w:val="000000"/>
          <w:sz w:val="28"/>
          <w:szCs w:val="28"/>
        </w:rPr>
        <w:t>REGULATORY IMPACT</w:t>
      </w:r>
    </w:p>
    <w:p w14:paraId="13C1FFBC" w14:textId="32914EDC" w:rsidR="0012366C" w:rsidRPr="00720752" w:rsidRDefault="001D4BEC" w:rsidP="0012366C">
      <w:pPr>
        <w:pStyle w:val="NormalWeb"/>
        <w:spacing w:before="0" w:beforeAutospacing="0" w:after="150" w:afterAutospacing="0"/>
        <w:rPr>
          <w:color w:val="000000"/>
        </w:rPr>
      </w:pPr>
      <w:r w:rsidRPr="00720752">
        <w:rPr>
          <w:color w:val="000000"/>
        </w:rPr>
        <w:t xml:space="preserve">The amendments in the Amendment Instrument are consequential to amendments to the Aged Care Act made by the Royal Commission Response Act. </w:t>
      </w:r>
      <w:r w:rsidR="0012366C" w:rsidRPr="00720752">
        <w:rPr>
          <w:color w:val="000000"/>
        </w:rPr>
        <w:t>The Office of Best Practice Regulation (O</w:t>
      </w:r>
      <w:r w:rsidRPr="00720752">
        <w:rPr>
          <w:color w:val="000000"/>
        </w:rPr>
        <w:t>BPR</w:t>
      </w:r>
      <w:r w:rsidR="0012366C" w:rsidRPr="00720752">
        <w:rPr>
          <w:color w:val="000000"/>
        </w:rPr>
        <w:t xml:space="preserve">) </w:t>
      </w:r>
      <w:r w:rsidRPr="00720752">
        <w:rPr>
          <w:color w:val="000000"/>
        </w:rPr>
        <w:t xml:space="preserve">was consulted on the regulatory costs of the amendments introduced by the Royal Commission Response Act, including consequential amendments. OBPR </w:t>
      </w:r>
      <w:r w:rsidR="0012366C" w:rsidRPr="00720752">
        <w:rPr>
          <w:color w:val="000000"/>
        </w:rPr>
        <w:t>advised that a Regulatory Impact Statement was not required</w:t>
      </w:r>
      <w:r w:rsidR="005B605A" w:rsidRPr="00720752">
        <w:rPr>
          <w:color w:val="000000"/>
        </w:rPr>
        <w:t xml:space="preserve"> </w:t>
      </w:r>
      <w:r w:rsidR="0012366C" w:rsidRPr="00720752">
        <w:rPr>
          <w:color w:val="000000"/>
        </w:rPr>
        <w:t>(OBPR ID</w:t>
      </w:r>
      <w:r w:rsidR="005B605A" w:rsidRPr="00720752">
        <w:rPr>
          <w:color w:val="000000"/>
        </w:rPr>
        <w:t xml:space="preserve"> 25927</w:t>
      </w:r>
      <w:r w:rsidR="0012366C" w:rsidRPr="00720752">
        <w:rPr>
          <w:color w:val="000000"/>
        </w:rPr>
        <w:t xml:space="preserve">). </w:t>
      </w:r>
    </w:p>
    <w:p w14:paraId="75302C68" w14:textId="242DAC88" w:rsidR="00C60ABF" w:rsidRPr="00720752" w:rsidRDefault="00C60ABF" w:rsidP="00C60ABF">
      <w:pPr>
        <w:spacing w:after="150"/>
        <w:jc w:val="both"/>
        <w:rPr>
          <w:b/>
          <w:sz w:val="28"/>
          <w:szCs w:val="28"/>
        </w:rPr>
      </w:pPr>
      <w:r w:rsidRPr="00720752">
        <w:rPr>
          <w:b/>
          <w:sz w:val="28"/>
          <w:szCs w:val="28"/>
        </w:rPr>
        <w:t>DETAILS / OPERATION</w:t>
      </w:r>
    </w:p>
    <w:p w14:paraId="72E9859F" w14:textId="7B185193" w:rsidR="00C60ABF" w:rsidRPr="00720752" w:rsidRDefault="00C60ABF" w:rsidP="00C60ABF">
      <w:pPr>
        <w:jc w:val="both"/>
        <w:rPr>
          <w:sz w:val="24"/>
          <w:szCs w:val="24"/>
        </w:rPr>
      </w:pPr>
      <w:r w:rsidRPr="00720752">
        <w:rPr>
          <w:sz w:val="24"/>
          <w:szCs w:val="24"/>
        </w:rPr>
        <w:t xml:space="preserve">The Amendment Instrument is a legislative instrument for the purposes of the </w:t>
      </w:r>
      <w:r w:rsidRPr="00720752">
        <w:rPr>
          <w:i/>
          <w:sz w:val="24"/>
          <w:szCs w:val="24"/>
        </w:rPr>
        <w:t xml:space="preserve">Legislation Act </w:t>
      </w:r>
      <w:r w:rsidRPr="00720752">
        <w:rPr>
          <w:sz w:val="24"/>
          <w:szCs w:val="24"/>
        </w:rPr>
        <w:t xml:space="preserve">2003. </w:t>
      </w:r>
    </w:p>
    <w:p w14:paraId="2BEDD122" w14:textId="77777777" w:rsidR="00C60ABF" w:rsidRPr="00720752" w:rsidRDefault="00C60ABF" w:rsidP="00C60ABF">
      <w:pPr>
        <w:jc w:val="both"/>
        <w:rPr>
          <w:sz w:val="24"/>
          <w:szCs w:val="24"/>
        </w:rPr>
      </w:pPr>
    </w:p>
    <w:p w14:paraId="6EFE6DC9" w14:textId="74599674" w:rsidR="00C60ABF" w:rsidRPr="00720752" w:rsidRDefault="00C60ABF" w:rsidP="00C60ABF">
      <w:pPr>
        <w:jc w:val="both"/>
        <w:rPr>
          <w:sz w:val="24"/>
          <w:szCs w:val="24"/>
        </w:rPr>
      </w:pPr>
      <w:r w:rsidRPr="00720752">
        <w:rPr>
          <w:sz w:val="24"/>
          <w:szCs w:val="24"/>
        </w:rPr>
        <w:t xml:space="preserve">The Amendment Instrument is compatible with the human rights and freedoms recognised or declared under section 3 of the Human Rights (Parliamentary Scrutiny) Act 2011. A statement of compatibility is set out in </w:t>
      </w:r>
      <w:r w:rsidRPr="00720752">
        <w:rPr>
          <w:sz w:val="24"/>
          <w:szCs w:val="24"/>
          <w:u w:val="single"/>
        </w:rPr>
        <w:t>Attachment B</w:t>
      </w:r>
      <w:r w:rsidRPr="00720752">
        <w:rPr>
          <w:sz w:val="24"/>
          <w:szCs w:val="24"/>
        </w:rPr>
        <w:t>.</w:t>
      </w:r>
    </w:p>
    <w:p w14:paraId="093AA890" w14:textId="77777777" w:rsidR="00C60ABF" w:rsidRPr="00720752" w:rsidRDefault="00C60ABF" w:rsidP="00C60ABF">
      <w:pPr>
        <w:jc w:val="both"/>
        <w:rPr>
          <w:sz w:val="24"/>
          <w:szCs w:val="24"/>
        </w:rPr>
      </w:pPr>
    </w:p>
    <w:p w14:paraId="0E36E9E5" w14:textId="77777777" w:rsidR="00C60ABF" w:rsidRPr="00720752" w:rsidRDefault="00C60ABF" w:rsidP="00C60ABF">
      <w:pPr>
        <w:spacing w:after="150"/>
        <w:jc w:val="both"/>
        <w:rPr>
          <w:b/>
          <w:sz w:val="28"/>
          <w:szCs w:val="28"/>
        </w:rPr>
      </w:pPr>
      <w:r w:rsidRPr="00720752">
        <w:rPr>
          <w:b/>
          <w:sz w:val="28"/>
          <w:szCs w:val="28"/>
        </w:rPr>
        <w:t xml:space="preserve">FURTHER EXPLANATION OF PROVISIONS </w:t>
      </w:r>
    </w:p>
    <w:p w14:paraId="7AF2CA78" w14:textId="4ECAF087" w:rsidR="00C60ABF" w:rsidRPr="00720752" w:rsidRDefault="00C60ABF" w:rsidP="00C60ABF">
      <w:pPr>
        <w:jc w:val="both"/>
        <w:rPr>
          <w:sz w:val="24"/>
          <w:szCs w:val="24"/>
          <w:u w:val="single"/>
        </w:rPr>
      </w:pPr>
      <w:r w:rsidRPr="00720752">
        <w:rPr>
          <w:sz w:val="24"/>
          <w:szCs w:val="24"/>
        </w:rPr>
        <w:t xml:space="preserve">See </w:t>
      </w:r>
      <w:r w:rsidRPr="00720752">
        <w:rPr>
          <w:sz w:val="24"/>
          <w:szCs w:val="24"/>
          <w:u w:val="single"/>
        </w:rPr>
        <w:t>Attachment A.</w:t>
      </w:r>
    </w:p>
    <w:p w14:paraId="5A7A500C" w14:textId="77777777" w:rsidR="00C60ABF" w:rsidRPr="00720752" w:rsidRDefault="00C60ABF">
      <w:pPr>
        <w:rPr>
          <w:sz w:val="24"/>
          <w:szCs w:val="24"/>
          <w:u w:val="single"/>
        </w:rPr>
      </w:pPr>
      <w:r w:rsidRPr="00720752">
        <w:rPr>
          <w:sz w:val="24"/>
          <w:szCs w:val="24"/>
          <w:u w:val="single"/>
        </w:rPr>
        <w:br w:type="page"/>
      </w:r>
    </w:p>
    <w:p w14:paraId="59BC5F8F" w14:textId="77777777" w:rsidR="009804C1" w:rsidRPr="00720752" w:rsidRDefault="009804C1" w:rsidP="00E1483E">
      <w:pPr>
        <w:jc w:val="right"/>
        <w:rPr>
          <w:color w:val="000000"/>
          <w:sz w:val="28"/>
          <w:szCs w:val="28"/>
          <w:u w:val="single"/>
        </w:rPr>
      </w:pPr>
      <w:r w:rsidRPr="00720752">
        <w:rPr>
          <w:color w:val="000000"/>
          <w:sz w:val="28"/>
          <w:szCs w:val="28"/>
          <w:u w:val="single"/>
        </w:rPr>
        <w:lastRenderedPageBreak/>
        <w:t>Attachment A</w:t>
      </w:r>
    </w:p>
    <w:p w14:paraId="2AAAE41E" w14:textId="77777777" w:rsidR="006C2871" w:rsidRPr="00720752" w:rsidRDefault="006C2871" w:rsidP="002C18FC">
      <w:pPr>
        <w:rPr>
          <w:color w:val="000000"/>
          <w:sz w:val="24"/>
          <w:szCs w:val="24"/>
        </w:rPr>
      </w:pPr>
    </w:p>
    <w:p w14:paraId="78FE0D57" w14:textId="77777777" w:rsidR="006C2871" w:rsidRPr="00720752" w:rsidRDefault="006C2871" w:rsidP="00984F55">
      <w:pPr>
        <w:spacing w:after="150"/>
        <w:rPr>
          <w:b/>
          <w:color w:val="000000"/>
          <w:sz w:val="28"/>
          <w:szCs w:val="28"/>
        </w:rPr>
      </w:pPr>
      <w:r w:rsidRPr="00720752">
        <w:rPr>
          <w:b/>
          <w:color w:val="000000"/>
          <w:sz w:val="28"/>
          <w:szCs w:val="28"/>
        </w:rPr>
        <w:t xml:space="preserve">FURTHER EXPLANATION OF </w:t>
      </w:r>
      <w:r w:rsidR="004355A1" w:rsidRPr="00720752">
        <w:rPr>
          <w:b/>
          <w:color w:val="000000"/>
          <w:sz w:val="28"/>
          <w:szCs w:val="28"/>
        </w:rPr>
        <w:t>PROVISIONS</w:t>
      </w:r>
    </w:p>
    <w:p w14:paraId="349EB306" w14:textId="77777777" w:rsidR="0012366C" w:rsidRPr="00720752" w:rsidRDefault="0012366C" w:rsidP="0012366C">
      <w:pPr>
        <w:spacing w:after="120"/>
        <w:rPr>
          <w:b/>
          <w:sz w:val="24"/>
          <w:szCs w:val="24"/>
          <w:u w:val="single"/>
        </w:rPr>
      </w:pPr>
      <w:r w:rsidRPr="00720752">
        <w:rPr>
          <w:b/>
          <w:sz w:val="24"/>
          <w:szCs w:val="24"/>
          <w:u w:val="single"/>
        </w:rPr>
        <w:t>Section 1</w:t>
      </w:r>
    </w:p>
    <w:p w14:paraId="4746B782" w14:textId="77777777" w:rsidR="0012366C" w:rsidRPr="00720752" w:rsidRDefault="0012366C" w:rsidP="0012366C">
      <w:pPr>
        <w:spacing w:after="150"/>
        <w:rPr>
          <w:b/>
          <w:i/>
          <w:sz w:val="24"/>
          <w:szCs w:val="24"/>
        </w:rPr>
      </w:pPr>
      <w:r w:rsidRPr="00720752">
        <w:rPr>
          <w:sz w:val="24"/>
          <w:szCs w:val="24"/>
        </w:rPr>
        <w:t>This section sets out the name of the instrument,</w:t>
      </w:r>
      <w:r w:rsidRPr="00720752">
        <w:t xml:space="preserve"> </w:t>
      </w:r>
      <w:r w:rsidRPr="00720752">
        <w:rPr>
          <w:sz w:val="24"/>
          <w:szCs w:val="24"/>
        </w:rPr>
        <w:t>the</w:t>
      </w:r>
      <w:r w:rsidRPr="00720752">
        <w:rPr>
          <w:i/>
          <w:sz w:val="24"/>
          <w:szCs w:val="24"/>
        </w:rPr>
        <w:t xml:space="preserve"> Veterans’ Affairs (Treatment Principles – Extending Access to Allied Health and Rehabilitation Appliances for Residential Care Recipients) Amendment Determination 2022</w:t>
      </w:r>
      <w:r w:rsidRPr="00720752">
        <w:rPr>
          <w:b/>
          <w:i/>
          <w:sz w:val="24"/>
          <w:szCs w:val="24"/>
        </w:rPr>
        <w:t>.</w:t>
      </w:r>
    </w:p>
    <w:p w14:paraId="7EFAD741" w14:textId="77777777" w:rsidR="0012366C" w:rsidRPr="00720752" w:rsidRDefault="0012366C" w:rsidP="0012366C">
      <w:pPr>
        <w:spacing w:after="150"/>
        <w:rPr>
          <w:b/>
          <w:sz w:val="24"/>
          <w:szCs w:val="24"/>
          <w:u w:val="single"/>
        </w:rPr>
      </w:pPr>
      <w:r w:rsidRPr="00720752">
        <w:rPr>
          <w:b/>
          <w:sz w:val="24"/>
          <w:szCs w:val="24"/>
          <w:u w:val="single"/>
        </w:rPr>
        <w:t>Section 2</w:t>
      </w:r>
    </w:p>
    <w:p w14:paraId="2E2DCDC8" w14:textId="77777777" w:rsidR="006A20AA" w:rsidRPr="00720752" w:rsidRDefault="006A20AA" w:rsidP="006A20AA">
      <w:pPr>
        <w:tabs>
          <w:tab w:val="left" w:pos="709"/>
        </w:tabs>
        <w:spacing w:before="120" w:after="120"/>
        <w:rPr>
          <w:color w:val="000000"/>
          <w:sz w:val="24"/>
          <w:szCs w:val="24"/>
        </w:rPr>
      </w:pPr>
      <w:r w:rsidRPr="00720752">
        <w:rPr>
          <w:color w:val="000000"/>
          <w:sz w:val="24"/>
          <w:szCs w:val="24"/>
        </w:rPr>
        <w:t xml:space="preserve">This section sets out the date on which provisions of the instrument commence. </w:t>
      </w:r>
    </w:p>
    <w:p w14:paraId="2E3C4F78" w14:textId="434150FA" w:rsidR="006A20AA" w:rsidRPr="00720752" w:rsidRDefault="006A20AA" w:rsidP="006A20AA">
      <w:pPr>
        <w:tabs>
          <w:tab w:val="left" w:pos="709"/>
        </w:tabs>
        <w:spacing w:before="120" w:after="120"/>
        <w:rPr>
          <w:color w:val="000000"/>
          <w:sz w:val="24"/>
          <w:szCs w:val="24"/>
        </w:rPr>
      </w:pPr>
      <w:r w:rsidRPr="00720752">
        <w:rPr>
          <w:color w:val="000000"/>
          <w:sz w:val="24"/>
          <w:szCs w:val="24"/>
        </w:rPr>
        <w:t>Subsection 2(1) provides that each provision of the instrument specified in column 1 of the table commences, or is taken to have commenced, in accordance with column 2 of the table. Any other statement in column 2 has had effect according to its terms.</w:t>
      </w:r>
    </w:p>
    <w:p w14:paraId="5AC171F4" w14:textId="6A9B4A20" w:rsidR="006A20AA" w:rsidRPr="00720752" w:rsidRDefault="006A20AA" w:rsidP="006A20AA">
      <w:pPr>
        <w:tabs>
          <w:tab w:val="left" w:pos="709"/>
        </w:tabs>
        <w:spacing w:before="120" w:after="120"/>
        <w:rPr>
          <w:color w:val="000000"/>
          <w:sz w:val="24"/>
          <w:szCs w:val="24"/>
        </w:rPr>
      </w:pPr>
      <w:r w:rsidRPr="00720752">
        <w:rPr>
          <w:color w:val="000000"/>
          <w:sz w:val="24"/>
          <w:szCs w:val="24"/>
        </w:rPr>
        <w:t>Table item 1 provides that the whole of the instrument commences on 1 October</w:t>
      </w:r>
      <w:r w:rsidR="00682A2F" w:rsidRPr="00720752">
        <w:rPr>
          <w:color w:val="000000"/>
          <w:sz w:val="24"/>
          <w:szCs w:val="24"/>
        </w:rPr>
        <w:t xml:space="preserve"> 2022</w:t>
      </w:r>
      <w:r w:rsidRPr="00720752">
        <w:rPr>
          <w:color w:val="000000"/>
          <w:sz w:val="24"/>
          <w:szCs w:val="24"/>
        </w:rPr>
        <w:t xml:space="preserve">. </w:t>
      </w:r>
    </w:p>
    <w:p w14:paraId="4A3D82CB" w14:textId="77777777" w:rsidR="006A20AA" w:rsidRPr="00720752" w:rsidRDefault="006A20AA" w:rsidP="006A20AA">
      <w:pPr>
        <w:tabs>
          <w:tab w:val="left" w:pos="709"/>
        </w:tabs>
        <w:spacing w:before="120" w:after="120"/>
        <w:rPr>
          <w:color w:val="000000"/>
          <w:sz w:val="24"/>
          <w:szCs w:val="24"/>
        </w:rPr>
      </w:pPr>
      <w:r w:rsidRPr="00720752">
        <w:rPr>
          <w:color w:val="000000"/>
          <w:sz w:val="24"/>
          <w:szCs w:val="24"/>
        </w:rPr>
        <w:t xml:space="preserve">A note following this subsection provides that this table relates only to the provision of the instrument as originally made and will not be amended to deal with any later amendments of this instrument. </w:t>
      </w:r>
    </w:p>
    <w:p w14:paraId="34CF87D4" w14:textId="381C8501" w:rsidR="006A20AA" w:rsidRPr="00720752" w:rsidRDefault="006A20AA" w:rsidP="006A20AA">
      <w:pPr>
        <w:tabs>
          <w:tab w:val="left" w:pos="709"/>
        </w:tabs>
        <w:spacing w:before="120" w:after="120"/>
        <w:rPr>
          <w:color w:val="000000"/>
          <w:sz w:val="24"/>
          <w:szCs w:val="24"/>
        </w:rPr>
      </w:pPr>
      <w:r w:rsidRPr="00720752">
        <w:rPr>
          <w:color w:val="000000"/>
          <w:sz w:val="24"/>
          <w:szCs w:val="24"/>
        </w:rPr>
        <w:t>Subsection 2(2) provides that any information in column 3 of the table is not part of this Instrument. Information may be inserted in this column, or information in it may be edited, in any published version of this instrument.</w:t>
      </w:r>
    </w:p>
    <w:p w14:paraId="189AA0F1" w14:textId="63151E60" w:rsidR="006A20AA" w:rsidRPr="00720752" w:rsidRDefault="006A20AA" w:rsidP="006A20AA">
      <w:pPr>
        <w:autoSpaceDE w:val="0"/>
        <w:autoSpaceDN w:val="0"/>
        <w:adjustRightInd w:val="0"/>
        <w:spacing w:after="150"/>
        <w:rPr>
          <w:color w:val="000000"/>
          <w:sz w:val="24"/>
          <w:szCs w:val="24"/>
        </w:rPr>
      </w:pPr>
      <w:r w:rsidRPr="00720752">
        <w:rPr>
          <w:color w:val="000000"/>
          <w:sz w:val="24"/>
          <w:szCs w:val="24"/>
        </w:rPr>
        <w:t>The effect of this section is that the instrument will commence on 1 October 2022 to align with the commencement of the Australian National Aged Care Classification funding model (</w:t>
      </w:r>
      <w:r w:rsidR="005B605A" w:rsidRPr="00720752">
        <w:rPr>
          <w:color w:val="000000"/>
          <w:sz w:val="24"/>
          <w:szCs w:val="24"/>
        </w:rPr>
        <w:t xml:space="preserve">the </w:t>
      </w:r>
      <w:r w:rsidRPr="00720752">
        <w:rPr>
          <w:color w:val="000000"/>
          <w:sz w:val="24"/>
          <w:szCs w:val="24"/>
        </w:rPr>
        <w:t>AN-ACC)</w:t>
      </w:r>
      <w:r w:rsidR="00682A2F" w:rsidRPr="00720752">
        <w:rPr>
          <w:color w:val="000000"/>
          <w:sz w:val="24"/>
          <w:szCs w:val="24"/>
        </w:rPr>
        <w:t xml:space="preserve"> under Part 2.4A of the </w:t>
      </w:r>
      <w:r w:rsidR="00682A2F" w:rsidRPr="00720752">
        <w:rPr>
          <w:i/>
          <w:color w:val="000000"/>
          <w:sz w:val="24"/>
          <w:szCs w:val="24"/>
        </w:rPr>
        <w:t>Aged Care Act 1997</w:t>
      </w:r>
      <w:r w:rsidR="005B605A" w:rsidRPr="00720752">
        <w:rPr>
          <w:i/>
          <w:color w:val="000000"/>
          <w:sz w:val="24"/>
          <w:szCs w:val="24"/>
        </w:rPr>
        <w:t xml:space="preserve"> </w:t>
      </w:r>
      <w:r w:rsidR="005B605A" w:rsidRPr="00720752">
        <w:rPr>
          <w:color w:val="000000"/>
          <w:sz w:val="24"/>
          <w:szCs w:val="24"/>
        </w:rPr>
        <w:t>(the Aged Care Act)</w:t>
      </w:r>
      <w:r w:rsidRPr="00720752">
        <w:rPr>
          <w:color w:val="000000"/>
          <w:sz w:val="24"/>
          <w:szCs w:val="24"/>
        </w:rPr>
        <w:t xml:space="preserve">.  </w:t>
      </w:r>
    </w:p>
    <w:p w14:paraId="20752CE1" w14:textId="77777777" w:rsidR="0012366C" w:rsidRPr="00720752" w:rsidRDefault="0012366C" w:rsidP="0012366C">
      <w:pPr>
        <w:spacing w:after="150"/>
        <w:rPr>
          <w:b/>
          <w:sz w:val="24"/>
          <w:szCs w:val="24"/>
          <w:u w:val="single"/>
        </w:rPr>
      </w:pPr>
      <w:r w:rsidRPr="00720752">
        <w:rPr>
          <w:b/>
          <w:sz w:val="24"/>
          <w:szCs w:val="24"/>
          <w:u w:val="single"/>
        </w:rPr>
        <w:t>Section 3</w:t>
      </w:r>
    </w:p>
    <w:p w14:paraId="1BD99AF0" w14:textId="6DA46230" w:rsidR="006A20AA" w:rsidRPr="00720752" w:rsidRDefault="0012366C" w:rsidP="0012366C">
      <w:pPr>
        <w:spacing w:after="150"/>
        <w:rPr>
          <w:sz w:val="24"/>
          <w:szCs w:val="24"/>
        </w:rPr>
      </w:pPr>
      <w:r w:rsidRPr="00720752">
        <w:rPr>
          <w:sz w:val="24"/>
          <w:szCs w:val="24"/>
        </w:rPr>
        <w:t>This section sets out the legislative autho</w:t>
      </w:r>
      <w:r w:rsidR="006A20AA" w:rsidRPr="00720752">
        <w:rPr>
          <w:sz w:val="24"/>
          <w:szCs w:val="24"/>
        </w:rPr>
        <w:t xml:space="preserve">rity for the making </w:t>
      </w:r>
      <w:r w:rsidRPr="00720752">
        <w:rPr>
          <w:sz w:val="24"/>
          <w:szCs w:val="24"/>
        </w:rPr>
        <w:t xml:space="preserve">the </w:t>
      </w:r>
      <w:r w:rsidR="006A20AA" w:rsidRPr="00720752">
        <w:rPr>
          <w:sz w:val="24"/>
          <w:szCs w:val="24"/>
        </w:rPr>
        <w:t xml:space="preserve">instrument. </w:t>
      </w:r>
    </w:p>
    <w:p w14:paraId="5657B982" w14:textId="66AC7E4D" w:rsidR="006A20AA" w:rsidRPr="00720752" w:rsidRDefault="006A20AA" w:rsidP="0012366C">
      <w:pPr>
        <w:spacing w:after="150"/>
        <w:rPr>
          <w:sz w:val="24"/>
          <w:szCs w:val="24"/>
        </w:rPr>
      </w:pPr>
      <w:r w:rsidRPr="00720752">
        <w:rPr>
          <w:sz w:val="24"/>
          <w:szCs w:val="24"/>
        </w:rPr>
        <w:t xml:space="preserve">Section 286 of the </w:t>
      </w:r>
      <w:r w:rsidRPr="00720752">
        <w:rPr>
          <w:i/>
          <w:sz w:val="24"/>
          <w:szCs w:val="24"/>
        </w:rPr>
        <w:t xml:space="preserve">Military </w:t>
      </w:r>
      <w:r w:rsidR="00792444" w:rsidRPr="00720752">
        <w:rPr>
          <w:i/>
          <w:sz w:val="24"/>
          <w:szCs w:val="24"/>
        </w:rPr>
        <w:t>Rehabilitation</w:t>
      </w:r>
      <w:r w:rsidRPr="00720752">
        <w:rPr>
          <w:i/>
          <w:sz w:val="24"/>
          <w:szCs w:val="24"/>
        </w:rPr>
        <w:t xml:space="preserve"> and Compensation Act 2004 </w:t>
      </w:r>
      <w:r w:rsidRPr="00720752">
        <w:rPr>
          <w:sz w:val="24"/>
          <w:szCs w:val="24"/>
        </w:rPr>
        <w:t xml:space="preserve">provides legislative authority to make amendments to the </w:t>
      </w:r>
      <w:r w:rsidR="00792444" w:rsidRPr="00720752">
        <w:rPr>
          <w:i/>
          <w:sz w:val="24"/>
          <w:szCs w:val="24"/>
        </w:rPr>
        <w:t xml:space="preserve">MRCA </w:t>
      </w:r>
      <w:r w:rsidRPr="00720752">
        <w:rPr>
          <w:i/>
          <w:sz w:val="24"/>
          <w:szCs w:val="24"/>
        </w:rPr>
        <w:t>Treatment Principles</w:t>
      </w:r>
      <w:r w:rsidR="00792444" w:rsidRPr="00720752">
        <w:rPr>
          <w:sz w:val="24"/>
          <w:szCs w:val="24"/>
        </w:rPr>
        <w:t>.</w:t>
      </w:r>
    </w:p>
    <w:p w14:paraId="79D641C2" w14:textId="7698C377" w:rsidR="00792444" w:rsidRPr="00720752" w:rsidRDefault="00792444" w:rsidP="0012366C">
      <w:pPr>
        <w:spacing w:after="150"/>
        <w:rPr>
          <w:sz w:val="24"/>
          <w:szCs w:val="24"/>
        </w:rPr>
      </w:pPr>
      <w:r w:rsidRPr="00720752">
        <w:rPr>
          <w:sz w:val="24"/>
          <w:szCs w:val="24"/>
        </w:rPr>
        <w:t xml:space="preserve">Section 90 of the </w:t>
      </w:r>
      <w:r w:rsidRPr="00720752">
        <w:rPr>
          <w:i/>
          <w:sz w:val="24"/>
          <w:szCs w:val="24"/>
        </w:rPr>
        <w:t xml:space="preserve">Veterans’ Entitlements Act 1986 </w:t>
      </w:r>
      <w:r w:rsidRPr="00720752">
        <w:rPr>
          <w:sz w:val="24"/>
          <w:szCs w:val="24"/>
        </w:rPr>
        <w:t xml:space="preserve">provides legislative authority to make amendments to the </w:t>
      </w:r>
      <w:r w:rsidRPr="00720752">
        <w:rPr>
          <w:i/>
          <w:sz w:val="24"/>
          <w:szCs w:val="24"/>
        </w:rPr>
        <w:t>Treatment Principles (No, R52/2013)</w:t>
      </w:r>
      <w:r w:rsidRPr="00720752">
        <w:rPr>
          <w:sz w:val="24"/>
          <w:szCs w:val="24"/>
        </w:rPr>
        <w:t xml:space="preserve">. </w:t>
      </w:r>
    </w:p>
    <w:p w14:paraId="304F7AA7" w14:textId="77777777" w:rsidR="0012366C" w:rsidRPr="00720752" w:rsidRDefault="0012366C" w:rsidP="0012366C">
      <w:pPr>
        <w:spacing w:after="150"/>
        <w:rPr>
          <w:b/>
          <w:sz w:val="24"/>
          <w:szCs w:val="24"/>
          <w:u w:val="single"/>
        </w:rPr>
      </w:pPr>
      <w:r w:rsidRPr="00720752">
        <w:rPr>
          <w:b/>
          <w:sz w:val="24"/>
          <w:szCs w:val="24"/>
          <w:u w:val="single"/>
        </w:rPr>
        <w:t>Section 4</w:t>
      </w:r>
    </w:p>
    <w:p w14:paraId="6878E10C" w14:textId="5E385B00" w:rsidR="007102E2" w:rsidRPr="00720752" w:rsidRDefault="00682A2F" w:rsidP="00944203">
      <w:pPr>
        <w:rPr>
          <w:sz w:val="24"/>
          <w:szCs w:val="24"/>
        </w:rPr>
        <w:sectPr w:rsidR="007102E2" w:rsidRPr="00720752" w:rsidSect="00806BAA">
          <w:headerReference w:type="even" r:id="rId9"/>
          <w:headerReference w:type="default" r:id="rId10"/>
          <w:footerReference w:type="default" r:id="rId11"/>
          <w:footerReference w:type="first" r:id="rId12"/>
          <w:pgSz w:w="11906" w:h="16838"/>
          <w:pgMar w:top="1440" w:right="1797" w:bottom="567" w:left="1797" w:header="720" w:footer="720" w:gutter="0"/>
          <w:cols w:space="720"/>
          <w:titlePg/>
        </w:sectPr>
      </w:pPr>
      <w:r w:rsidRPr="00720752">
        <w:rPr>
          <w:sz w:val="24"/>
          <w:szCs w:val="24"/>
        </w:rPr>
        <w:t xml:space="preserve">This section provides each instrument that is specified in a Schedule to this instrument is amended as set out in each of the items set out in the Schedule concerned, and any other item in a Schedule to this instrument has effect according to its terms. Schedule 1 to this instrument makes the changes to the MRCA Treatment Principles (as set out in Part 1) and the Treatment Principles (as set out in Part 2). </w:t>
      </w:r>
    </w:p>
    <w:p w14:paraId="6333D817" w14:textId="51A53BEC" w:rsidR="00792444" w:rsidRPr="00720752" w:rsidRDefault="00153968" w:rsidP="00792444">
      <w:pPr>
        <w:pStyle w:val="Heading2"/>
        <w:pBdr>
          <w:bottom w:val="single" w:sz="6" w:space="11" w:color="EFEFEF"/>
        </w:pBdr>
        <w:spacing w:after="225" w:line="312" w:lineRule="atLeast"/>
        <w:rPr>
          <w:sz w:val="28"/>
          <w:szCs w:val="28"/>
        </w:rPr>
      </w:pPr>
      <w:r w:rsidRPr="00720752">
        <w:rPr>
          <w:sz w:val="28"/>
          <w:szCs w:val="28"/>
        </w:rPr>
        <w:lastRenderedPageBreak/>
        <w:t>Sc</w:t>
      </w:r>
      <w:r w:rsidR="007102E2" w:rsidRPr="00720752">
        <w:rPr>
          <w:sz w:val="28"/>
          <w:szCs w:val="28"/>
        </w:rPr>
        <w:t xml:space="preserve">hedule 1 – </w:t>
      </w:r>
      <w:r w:rsidR="00792444" w:rsidRPr="00720752">
        <w:rPr>
          <w:sz w:val="28"/>
          <w:szCs w:val="28"/>
        </w:rPr>
        <w:t xml:space="preserve">Amendments </w:t>
      </w:r>
    </w:p>
    <w:p w14:paraId="22CE5A71" w14:textId="3B09A95E" w:rsidR="00792444" w:rsidRPr="00720752" w:rsidRDefault="00442A65" w:rsidP="00D203B4">
      <w:pPr>
        <w:pStyle w:val="Heading2"/>
        <w:pBdr>
          <w:bottom w:val="single" w:sz="6" w:space="11" w:color="EFEFEF"/>
        </w:pBdr>
        <w:spacing w:after="225" w:line="312" w:lineRule="atLeast"/>
        <w:rPr>
          <w:rFonts w:ascii="Times New Roman" w:hAnsi="Times New Roman"/>
          <w:color w:val="000000"/>
          <w:sz w:val="28"/>
          <w:szCs w:val="28"/>
        </w:rPr>
      </w:pPr>
      <w:r w:rsidRPr="00720752">
        <w:rPr>
          <w:rFonts w:ascii="Times New Roman" w:hAnsi="Times New Roman"/>
          <w:color w:val="000000"/>
          <w:sz w:val="28"/>
          <w:szCs w:val="28"/>
        </w:rPr>
        <w:t>Part 1</w:t>
      </w:r>
      <w:r w:rsidRPr="00720752">
        <w:t>—</w:t>
      </w:r>
      <w:r w:rsidR="00792444" w:rsidRPr="00720752">
        <w:rPr>
          <w:rFonts w:ascii="Times New Roman" w:hAnsi="Times New Roman"/>
          <w:color w:val="000000"/>
          <w:sz w:val="28"/>
          <w:szCs w:val="28"/>
        </w:rPr>
        <w:t>Amendments of the MRCA Treatment Principles made under section 286 of the Military Rehabilitation and Compensation Act 2004</w:t>
      </w:r>
    </w:p>
    <w:p w14:paraId="637B0E73" w14:textId="29CEBCC1" w:rsidR="00792444" w:rsidRPr="00720752" w:rsidRDefault="00792444" w:rsidP="00D203B4">
      <w:pPr>
        <w:pStyle w:val="Heading2"/>
        <w:pBdr>
          <w:bottom w:val="single" w:sz="6" w:space="11" w:color="EFEFEF"/>
        </w:pBdr>
        <w:spacing w:after="225" w:line="312" w:lineRule="atLeast"/>
        <w:rPr>
          <w:rFonts w:ascii="Times New Roman" w:hAnsi="Times New Roman"/>
          <w:i/>
          <w:sz w:val="28"/>
          <w:szCs w:val="28"/>
        </w:rPr>
      </w:pPr>
      <w:r w:rsidRPr="00720752">
        <w:rPr>
          <w:rFonts w:ascii="Times New Roman" w:hAnsi="Times New Roman"/>
          <w:i/>
          <w:sz w:val="28"/>
          <w:szCs w:val="28"/>
        </w:rPr>
        <w:t xml:space="preserve">MRCA Treatment Principles </w:t>
      </w:r>
    </w:p>
    <w:p w14:paraId="43CE9BFF" w14:textId="28586DDA" w:rsidR="001C04C3" w:rsidRPr="00720752" w:rsidRDefault="001C04C3" w:rsidP="00D203B4">
      <w:pPr>
        <w:pStyle w:val="Heading2"/>
        <w:pBdr>
          <w:bottom w:val="single" w:sz="6" w:space="11" w:color="EFEFEF"/>
        </w:pBdr>
        <w:spacing w:after="225" w:line="312" w:lineRule="atLeast"/>
        <w:rPr>
          <w:sz w:val="24"/>
          <w:szCs w:val="24"/>
        </w:rPr>
      </w:pPr>
      <w:r w:rsidRPr="00720752">
        <w:rPr>
          <w:sz w:val="24"/>
          <w:szCs w:val="24"/>
        </w:rPr>
        <w:t>Item</w:t>
      </w:r>
      <w:r w:rsidR="00BD4859" w:rsidRPr="00720752">
        <w:rPr>
          <w:sz w:val="24"/>
          <w:szCs w:val="24"/>
        </w:rPr>
        <w:t xml:space="preserve"> 1</w:t>
      </w:r>
      <w:r w:rsidR="00C87C42" w:rsidRPr="00720752">
        <w:rPr>
          <w:sz w:val="24"/>
          <w:szCs w:val="24"/>
        </w:rPr>
        <w:t xml:space="preserve"> </w:t>
      </w:r>
      <w:r w:rsidR="0012366C" w:rsidRPr="00720752">
        <w:rPr>
          <w:sz w:val="24"/>
          <w:szCs w:val="24"/>
        </w:rPr>
        <w:tab/>
        <w:t xml:space="preserve">Paragraph 1.4.1 (definition of “high level of residential care (respite)”) </w:t>
      </w:r>
    </w:p>
    <w:p w14:paraId="1BB69DA7" w14:textId="77777777" w:rsidR="0012366C" w:rsidRPr="00720752" w:rsidRDefault="0012366C" w:rsidP="0012366C">
      <w:pPr>
        <w:spacing w:after="90"/>
        <w:rPr>
          <w:sz w:val="24"/>
          <w:szCs w:val="24"/>
        </w:rPr>
      </w:pPr>
      <w:r w:rsidRPr="00720752">
        <w:rPr>
          <w:sz w:val="24"/>
          <w:szCs w:val="24"/>
        </w:rPr>
        <w:t xml:space="preserve">Item 1 repeals the definition of “high level of residential care (respite)”. </w:t>
      </w:r>
    </w:p>
    <w:p w14:paraId="5E606C66" w14:textId="68C7FAD2" w:rsidR="0012366C" w:rsidRPr="00720752" w:rsidRDefault="0012366C" w:rsidP="00C36F7D">
      <w:pPr>
        <w:spacing w:after="90"/>
        <w:jc w:val="both"/>
        <w:rPr>
          <w:sz w:val="24"/>
          <w:szCs w:val="24"/>
        </w:rPr>
      </w:pPr>
      <w:r w:rsidRPr="00720752">
        <w:rPr>
          <w:sz w:val="24"/>
          <w:szCs w:val="24"/>
        </w:rPr>
        <w:t>Currently</w:t>
      </w:r>
      <w:r w:rsidR="00660F02" w:rsidRPr="00720752">
        <w:rPr>
          <w:sz w:val="24"/>
          <w:szCs w:val="24"/>
        </w:rPr>
        <w:t xml:space="preserve">, </w:t>
      </w:r>
      <w:r w:rsidRPr="00720752">
        <w:rPr>
          <w:sz w:val="24"/>
          <w:szCs w:val="24"/>
        </w:rPr>
        <w:t>paragraph 1.4.1</w:t>
      </w:r>
      <w:r w:rsidR="00660F02" w:rsidRPr="00720752">
        <w:rPr>
          <w:sz w:val="24"/>
          <w:szCs w:val="24"/>
        </w:rPr>
        <w:t xml:space="preserve"> provides that</w:t>
      </w:r>
      <w:r w:rsidRPr="00720752">
        <w:rPr>
          <w:sz w:val="24"/>
          <w:szCs w:val="24"/>
        </w:rPr>
        <w:t xml:space="preserve"> “high level of residential care (respite)”, means that under the </w:t>
      </w:r>
      <w:r w:rsidRPr="00DA5C87">
        <w:rPr>
          <w:i/>
          <w:sz w:val="24"/>
          <w:szCs w:val="24"/>
        </w:rPr>
        <w:t>Classification Principles 2014</w:t>
      </w:r>
      <w:r w:rsidRPr="00720752">
        <w:rPr>
          <w:sz w:val="24"/>
          <w:szCs w:val="24"/>
        </w:rPr>
        <w:t xml:space="preserve"> </w:t>
      </w:r>
      <w:r w:rsidR="00F93860" w:rsidRPr="00720752">
        <w:rPr>
          <w:sz w:val="24"/>
          <w:szCs w:val="24"/>
        </w:rPr>
        <w:t xml:space="preserve">(the Classification Principles) </w:t>
      </w:r>
      <w:r w:rsidRPr="00720752">
        <w:rPr>
          <w:sz w:val="24"/>
          <w:szCs w:val="24"/>
        </w:rPr>
        <w:t>the classification level for the person as a care recipient being provided with residential care as respite care is “high level residential respite care”.</w:t>
      </w:r>
    </w:p>
    <w:p w14:paraId="77BDD235" w14:textId="6C38268C" w:rsidR="00BE2D95" w:rsidRPr="00720752" w:rsidRDefault="00AF54E0" w:rsidP="00BE2D95">
      <w:pPr>
        <w:spacing w:after="90"/>
        <w:rPr>
          <w:sz w:val="24"/>
          <w:szCs w:val="24"/>
        </w:rPr>
      </w:pPr>
      <w:r w:rsidRPr="00720752">
        <w:rPr>
          <w:sz w:val="24"/>
          <w:szCs w:val="24"/>
        </w:rPr>
        <w:t xml:space="preserve">This repeal reflects that </w:t>
      </w:r>
      <w:r w:rsidR="00BE2D95" w:rsidRPr="00720752">
        <w:rPr>
          <w:sz w:val="24"/>
          <w:szCs w:val="24"/>
        </w:rPr>
        <w:t xml:space="preserve">from 1 October </w:t>
      </w:r>
      <w:r w:rsidR="005B605A" w:rsidRPr="00720752">
        <w:rPr>
          <w:sz w:val="24"/>
          <w:szCs w:val="24"/>
        </w:rPr>
        <w:t xml:space="preserve">2022 </w:t>
      </w:r>
      <w:r w:rsidR="00BE2D95" w:rsidRPr="00720752">
        <w:rPr>
          <w:sz w:val="24"/>
          <w:szCs w:val="24"/>
        </w:rPr>
        <w:t>a new casemix</w:t>
      </w:r>
      <w:r w:rsidR="005B605A" w:rsidRPr="00720752">
        <w:rPr>
          <w:sz w:val="24"/>
          <w:szCs w:val="24"/>
        </w:rPr>
        <w:t>-</w:t>
      </w:r>
      <w:r w:rsidR="00BE2D95" w:rsidRPr="00720752">
        <w:rPr>
          <w:sz w:val="24"/>
          <w:szCs w:val="24"/>
        </w:rPr>
        <w:t xml:space="preserve">based funding model known as the Australian National Aged Care Classification funding model (AN-ACC) will be introduced for residential aged care services. </w:t>
      </w:r>
      <w:r w:rsidR="005B605A" w:rsidRPr="00720752">
        <w:rPr>
          <w:sz w:val="24"/>
          <w:szCs w:val="24"/>
        </w:rPr>
        <w:t>T</w:t>
      </w:r>
      <w:r w:rsidR="00BE2D95" w:rsidRPr="00720752">
        <w:rPr>
          <w:sz w:val="24"/>
          <w:szCs w:val="24"/>
        </w:rPr>
        <w:t xml:space="preserve">herefore the definition of ‘high level of residential care (respite) classification will no longer be required. </w:t>
      </w:r>
    </w:p>
    <w:p w14:paraId="3ED2A59C" w14:textId="54A4E124" w:rsidR="0012366C" w:rsidRPr="00720752" w:rsidRDefault="0012366C" w:rsidP="0012366C">
      <w:pPr>
        <w:pStyle w:val="Heading2"/>
        <w:pBdr>
          <w:bottom w:val="single" w:sz="6" w:space="11" w:color="EFEFEF"/>
        </w:pBdr>
        <w:spacing w:after="225" w:line="312" w:lineRule="atLeast"/>
        <w:rPr>
          <w:sz w:val="24"/>
          <w:szCs w:val="24"/>
        </w:rPr>
      </w:pPr>
      <w:r w:rsidRPr="00720752">
        <w:rPr>
          <w:sz w:val="24"/>
          <w:szCs w:val="24"/>
        </w:rPr>
        <w:t>Item 2 Paragraph 1.4.1 (definition of “residential care (consisting of at least one high or two medium domain categories)”)</w:t>
      </w:r>
    </w:p>
    <w:p w14:paraId="431D32AB" w14:textId="77777777" w:rsidR="0012366C" w:rsidRPr="00720752" w:rsidRDefault="0012366C" w:rsidP="0012366C">
      <w:pPr>
        <w:spacing w:after="90"/>
        <w:rPr>
          <w:sz w:val="24"/>
          <w:szCs w:val="24"/>
        </w:rPr>
      </w:pPr>
      <w:r w:rsidRPr="00720752">
        <w:rPr>
          <w:sz w:val="24"/>
          <w:szCs w:val="24"/>
        </w:rPr>
        <w:t>Item 2 repeals the definition of “residential care (consisting of at least one high or two medium domain categories)”.</w:t>
      </w:r>
    </w:p>
    <w:p w14:paraId="2C63C53B" w14:textId="412BC4A4" w:rsidR="00660F02" w:rsidRPr="00720752" w:rsidRDefault="0012366C" w:rsidP="0012366C">
      <w:pPr>
        <w:spacing w:after="90"/>
        <w:rPr>
          <w:sz w:val="24"/>
          <w:szCs w:val="24"/>
        </w:rPr>
      </w:pPr>
      <w:r w:rsidRPr="00720752">
        <w:rPr>
          <w:sz w:val="24"/>
          <w:szCs w:val="24"/>
        </w:rPr>
        <w:t>Currently</w:t>
      </w:r>
      <w:r w:rsidR="00660F02" w:rsidRPr="00720752">
        <w:rPr>
          <w:sz w:val="24"/>
          <w:szCs w:val="24"/>
        </w:rPr>
        <w:t xml:space="preserve"> p</w:t>
      </w:r>
      <w:r w:rsidRPr="00720752">
        <w:rPr>
          <w:sz w:val="24"/>
          <w:szCs w:val="24"/>
        </w:rPr>
        <w:t>aragraph 1.4.1</w:t>
      </w:r>
      <w:r w:rsidR="00792444" w:rsidRPr="00720752">
        <w:rPr>
          <w:sz w:val="24"/>
          <w:szCs w:val="24"/>
        </w:rPr>
        <w:t xml:space="preserve"> </w:t>
      </w:r>
      <w:r w:rsidR="00660F02" w:rsidRPr="00720752">
        <w:rPr>
          <w:sz w:val="24"/>
          <w:szCs w:val="24"/>
        </w:rPr>
        <w:t>provides that</w:t>
      </w:r>
      <w:r w:rsidRPr="00720752">
        <w:rPr>
          <w:sz w:val="24"/>
          <w:szCs w:val="24"/>
        </w:rPr>
        <w:t xml:space="preserve"> “residential care (consisting of at least one high or two medium domain categories)” means the care or service provided to a person in residential care who is a person described in paragraph 7(6)(a) of the </w:t>
      </w:r>
      <w:r w:rsidRPr="00DA5C87">
        <w:rPr>
          <w:i/>
          <w:sz w:val="24"/>
          <w:szCs w:val="24"/>
        </w:rPr>
        <w:t>Quality of Care Principles 2014</w:t>
      </w:r>
      <w:r w:rsidR="00F93860" w:rsidRPr="00720752">
        <w:rPr>
          <w:sz w:val="24"/>
          <w:szCs w:val="24"/>
        </w:rPr>
        <w:t xml:space="preserve"> (the Quality of Care Principles)</w:t>
      </w:r>
      <w:r w:rsidRPr="00720752">
        <w:rPr>
          <w:sz w:val="24"/>
          <w:szCs w:val="24"/>
        </w:rPr>
        <w:t>.</w:t>
      </w:r>
    </w:p>
    <w:p w14:paraId="67259147" w14:textId="06B62CF4" w:rsidR="00655168" w:rsidRPr="00720752" w:rsidRDefault="00AF54E0" w:rsidP="0012366C">
      <w:pPr>
        <w:spacing w:after="90"/>
        <w:rPr>
          <w:sz w:val="24"/>
          <w:szCs w:val="24"/>
        </w:rPr>
      </w:pPr>
      <w:r w:rsidRPr="00720752">
        <w:rPr>
          <w:sz w:val="24"/>
          <w:szCs w:val="24"/>
        </w:rPr>
        <w:t xml:space="preserve">This repeal reflects that </w:t>
      </w:r>
      <w:r w:rsidR="00655168" w:rsidRPr="00720752">
        <w:rPr>
          <w:sz w:val="24"/>
          <w:szCs w:val="24"/>
        </w:rPr>
        <w:t>from 1 October</w:t>
      </w:r>
      <w:r w:rsidR="00660F02" w:rsidRPr="00720752">
        <w:rPr>
          <w:sz w:val="24"/>
          <w:szCs w:val="24"/>
        </w:rPr>
        <w:t xml:space="preserve"> </w:t>
      </w:r>
      <w:r w:rsidR="005B605A" w:rsidRPr="00720752">
        <w:rPr>
          <w:sz w:val="24"/>
          <w:szCs w:val="24"/>
        </w:rPr>
        <w:t xml:space="preserve">2022 </w:t>
      </w:r>
      <w:r w:rsidR="00655168" w:rsidRPr="00720752">
        <w:rPr>
          <w:sz w:val="24"/>
          <w:szCs w:val="24"/>
        </w:rPr>
        <w:t>a new casemix</w:t>
      </w:r>
      <w:r w:rsidR="005B605A" w:rsidRPr="00720752">
        <w:rPr>
          <w:sz w:val="24"/>
          <w:szCs w:val="24"/>
        </w:rPr>
        <w:t>-</w:t>
      </w:r>
      <w:r w:rsidR="00655168" w:rsidRPr="00720752">
        <w:rPr>
          <w:sz w:val="24"/>
          <w:szCs w:val="24"/>
        </w:rPr>
        <w:t xml:space="preserve">based funding model known as the </w:t>
      </w:r>
      <w:r w:rsidR="00D45CC8" w:rsidRPr="00720752">
        <w:rPr>
          <w:sz w:val="24"/>
          <w:szCs w:val="24"/>
        </w:rPr>
        <w:t>AN-ACC</w:t>
      </w:r>
      <w:r w:rsidR="00655168" w:rsidRPr="00720752">
        <w:rPr>
          <w:sz w:val="24"/>
          <w:szCs w:val="24"/>
        </w:rPr>
        <w:t xml:space="preserve"> will be introduced for residential aged care services. Under the AN-ACC, the current care domains of </w:t>
      </w:r>
      <w:r w:rsidR="00BE2D95" w:rsidRPr="00720752">
        <w:rPr>
          <w:sz w:val="24"/>
          <w:szCs w:val="24"/>
        </w:rPr>
        <w:t>low</w:t>
      </w:r>
      <w:r w:rsidR="00655168" w:rsidRPr="00720752">
        <w:rPr>
          <w:sz w:val="24"/>
          <w:szCs w:val="24"/>
        </w:rPr>
        <w:t xml:space="preserve">er and high level of care will cease to </w:t>
      </w:r>
      <w:r w:rsidR="005B605A" w:rsidRPr="00720752">
        <w:rPr>
          <w:sz w:val="24"/>
          <w:szCs w:val="24"/>
        </w:rPr>
        <w:t>have effect on and from 1 October 2022</w:t>
      </w:r>
      <w:r w:rsidR="00BE2D95" w:rsidRPr="00720752">
        <w:rPr>
          <w:sz w:val="24"/>
          <w:szCs w:val="24"/>
        </w:rPr>
        <w:t xml:space="preserve">, therefore the definition of ‘residential care (consisting of at least one or two medium domain categories) will no longer be required. </w:t>
      </w:r>
    </w:p>
    <w:p w14:paraId="52C13305" w14:textId="5EAC1478" w:rsidR="00660F02" w:rsidRPr="00720752" w:rsidRDefault="00660F02" w:rsidP="00660F02">
      <w:pPr>
        <w:pStyle w:val="Heading2"/>
        <w:pBdr>
          <w:bottom w:val="single" w:sz="6" w:space="11" w:color="EFEFEF"/>
        </w:pBdr>
        <w:spacing w:after="225" w:line="312" w:lineRule="atLeast"/>
        <w:rPr>
          <w:sz w:val="24"/>
          <w:szCs w:val="24"/>
        </w:rPr>
      </w:pPr>
      <w:r w:rsidRPr="00720752">
        <w:rPr>
          <w:sz w:val="24"/>
          <w:szCs w:val="24"/>
        </w:rPr>
        <w:t>Item</w:t>
      </w:r>
      <w:r w:rsidR="00442A65" w:rsidRPr="00720752">
        <w:rPr>
          <w:sz w:val="24"/>
          <w:szCs w:val="24"/>
        </w:rPr>
        <w:t xml:space="preserve"> 3</w:t>
      </w:r>
      <w:r w:rsidRPr="00720752">
        <w:rPr>
          <w:sz w:val="24"/>
          <w:szCs w:val="24"/>
        </w:rPr>
        <w:t xml:space="preserve"> Subparagraph 2.2.4(a)(ii) </w:t>
      </w:r>
    </w:p>
    <w:p w14:paraId="58CF3389" w14:textId="440763B4" w:rsidR="00660F02" w:rsidRPr="00720752" w:rsidRDefault="00442A65" w:rsidP="00660F02">
      <w:pPr>
        <w:spacing w:after="90"/>
        <w:rPr>
          <w:sz w:val="24"/>
          <w:szCs w:val="24"/>
        </w:rPr>
      </w:pPr>
      <w:r w:rsidRPr="00720752">
        <w:rPr>
          <w:sz w:val="24"/>
          <w:szCs w:val="24"/>
        </w:rPr>
        <w:t>Item 3</w:t>
      </w:r>
      <w:r w:rsidR="00660F02" w:rsidRPr="00720752">
        <w:rPr>
          <w:sz w:val="24"/>
          <w:szCs w:val="24"/>
        </w:rPr>
        <w:t xml:space="preserve"> repeals subparagraph 2.2.4(a)(ii) and substitutes a new subparagraph 2.2.4(a)(ii). </w:t>
      </w:r>
    </w:p>
    <w:p w14:paraId="3018E17B" w14:textId="51D56D77" w:rsidR="00BE2D95" w:rsidRPr="00720752" w:rsidRDefault="00BE2D95" w:rsidP="00660F02">
      <w:pPr>
        <w:spacing w:after="90"/>
        <w:rPr>
          <w:sz w:val="24"/>
          <w:szCs w:val="24"/>
        </w:rPr>
      </w:pPr>
      <w:r w:rsidRPr="00720752">
        <w:rPr>
          <w:sz w:val="24"/>
          <w:szCs w:val="24"/>
        </w:rPr>
        <w:t xml:space="preserve">New paragraph 2.2.4(a)(ii) refers to an amount equal to the amount of </w:t>
      </w:r>
      <w:r w:rsidR="00F93860" w:rsidRPr="00720752">
        <w:rPr>
          <w:sz w:val="24"/>
          <w:szCs w:val="24"/>
        </w:rPr>
        <w:t>residential care subsidy</w:t>
      </w:r>
      <w:r w:rsidRPr="00720752">
        <w:rPr>
          <w:sz w:val="24"/>
          <w:szCs w:val="24"/>
        </w:rPr>
        <w:t xml:space="preserve"> that would be payable if the </w:t>
      </w:r>
      <w:r w:rsidR="00BC3D72" w:rsidRPr="00720752">
        <w:rPr>
          <w:sz w:val="24"/>
          <w:szCs w:val="24"/>
        </w:rPr>
        <w:t>member or former member</w:t>
      </w:r>
      <w:r w:rsidRPr="00720752">
        <w:rPr>
          <w:sz w:val="24"/>
          <w:szCs w:val="24"/>
        </w:rPr>
        <w:t xml:space="preserve"> was in Australia, plus any </w:t>
      </w:r>
      <w:r w:rsidR="00F93860" w:rsidRPr="00720752">
        <w:rPr>
          <w:sz w:val="24"/>
          <w:szCs w:val="24"/>
        </w:rPr>
        <w:t>daily care fee</w:t>
      </w:r>
      <w:r w:rsidRPr="00720752">
        <w:rPr>
          <w:sz w:val="24"/>
          <w:szCs w:val="24"/>
        </w:rPr>
        <w:t xml:space="preserve"> that the </w:t>
      </w:r>
      <w:r w:rsidR="00F93860" w:rsidRPr="00720752">
        <w:rPr>
          <w:sz w:val="24"/>
          <w:szCs w:val="24"/>
        </w:rPr>
        <w:t>Commission</w:t>
      </w:r>
      <w:r w:rsidRPr="00720752">
        <w:rPr>
          <w:sz w:val="24"/>
          <w:szCs w:val="24"/>
        </w:rPr>
        <w:t xml:space="preserve"> would have accepted responsibility for if the </w:t>
      </w:r>
      <w:r w:rsidR="00F53E1E" w:rsidRPr="00720752">
        <w:rPr>
          <w:sz w:val="24"/>
          <w:szCs w:val="24"/>
        </w:rPr>
        <w:t xml:space="preserve">member or former member </w:t>
      </w:r>
      <w:r w:rsidRPr="00720752">
        <w:rPr>
          <w:sz w:val="24"/>
          <w:szCs w:val="24"/>
        </w:rPr>
        <w:t xml:space="preserve">was in Australia. </w:t>
      </w:r>
    </w:p>
    <w:p w14:paraId="1FF8FE1E" w14:textId="25885772" w:rsidR="00660F02" w:rsidRPr="00720752" w:rsidRDefault="00660F02" w:rsidP="00660F02">
      <w:pPr>
        <w:spacing w:after="90"/>
        <w:rPr>
          <w:sz w:val="24"/>
          <w:szCs w:val="24"/>
        </w:rPr>
      </w:pPr>
      <w:r w:rsidRPr="00720752">
        <w:rPr>
          <w:sz w:val="24"/>
          <w:szCs w:val="24"/>
        </w:rPr>
        <w:t xml:space="preserve">Instead of referring to the amount equal to the amount of </w:t>
      </w:r>
      <w:r w:rsidR="00F93860" w:rsidRPr="00720752">
        <w:rPr>
          <w:sz w:val="24"/>
          <w:szCs w:val="24"/>
        </w:rPr>
        <w:t>residential care subsidy</w:t>
      </w:r>
      <w:r w:rsidRPr="00720752">
        <w:rPr>
          <w:sz w:val="24"/>
          <w:szCs w:val="24"/>
        </w:rPr>
        <w:t xml:space="preserve"> payable for a person given a high level of residential care, the substituted </w:t>
      </w:r>
      <w:r w:rsidR="00F82D49" w:rsidRPr="00720752">
        <w:rPr>
          <w:sz w:val="24"/>
          <w:szCs w:val="24"/>
        </w:rPr>
        <w:t>sub</w:t>
      </w:r>
      <w:r w:rsidRPr="00720752">
        <w:rPr>
          <w:sz w:val="24"/>
          <w:szCs w:val="24"/>
        </w:rPr>
        <w:t xml:space="preserve">paragraph 2.2.4(a)(ii) refers to an amount of </w:t>
      </w:r>
      <w:r w:rsidR="00F93860" w:rsidRPr="00720752">
        <w:rPr>
          <w:sz w:val="24"/>
          <w:szCs w:val="24"/>
        </w:rPr>
        <w:t>residential care subsidy</w:t>
      </w:r>
      <w:r w:rsidRPr="00720752">
        <w:rPr>
          <w:sz w:val="24"/>
          <w:szCs w:val="24"/>
        </w:rPr>
        <w:t xml:space="preserve"> that would </w:t>
      </w:r>
      <w:r w:rsidRPr="00720752">
        <w:rPr>
          <w:sz w:val="24"/>
          <w:szCs w:val="24"/>
        </w:rPr>
        <w:lastRenderedPageBreak/>
        <w:t xml:space="preserve">have been payable if the </w:t>
      </w:r>
      <w:r w:rsidR="00BC3D72" w:rsidRPr="00720752">
        <w:rPr>
          <w:sz w:val="24"/>
          <w:szCs w:val="24"/>
        </w:rPr>
        <w:t>member or former member</w:t>
      </w:r>
      <w:r w:rsidRPr="00720752">
        <w:rPr>
          <w:sz w:val="24"/>
          <w:szCs w:val="24"/>
        </w:rPr>
        <w:t xml:space="preserve"> was in Australia for the same period. </w:t>
      </w:r>
    </w:p>
    <w:p w14:paraId="74DEF578" w14:textId="00F6C142" w:rsidR="0019449A" w:rsidRPr="00720752" w:rsidRDefault="0019449A" w:rsidP="0019449A">
      <w:pPr>
        <w:spacing w:after="90"/>
        <w:rPr>
          <w:sz w:val="24"/>
          <w:szCs w:val="24"/>
        </w:rPr>
      </w:pPr>
      <w:r w:rsidRPr="00720752">
        <w:rPr>
          <w:sz w:val="24"/>
          <w:szCs w:val="24"/>
        </w:rPr>
        <w:t xml:space="preserve">This substitution reflects that from 1 October </w:t>
      </w:r>
      <w:r w:rsidR="005B605A" w:rsidRPr="00720752">
        <w:rPr>
          <w:sz w:val="24"/>
          <w:szCs w:val="24"/>
        </w:rPr>
        <w:t xml:space="preserve">2022 </w:t>
      </w:r>
      <w:r w:rsidRPr="00720752">
        <w:rPr>
          <w:sz w:val="24"/>
          <w:szCs w:val="24"/>
        </w:rPr>
        <w:t>a new casemix</w:t>
      </w:r>
      <w:r w:rsidR="005B605A" w:rsidRPr="00720752">
        <w:rPr>
          <w:sz w:val="24"/>
          <w:szCs w:val="24"/>
        </w:rPr>
        <w:t>-</w:t>
      </w:r>
      <w:r w:rsidRPr="00720752">
        <w:rPr>
          <w:sz w:val="24"/>
          <w:szCs w:val="24"/>
        </w:rPr>
        <w:t xml:space="preserve">based funding model known as the AN-ACC will be introduced for residential aged care services. </w:t>
      </w:r>
      <w:r w:rsidR="005B605A" w:rsidRPr="00720752">
        <w:rPr>
          <w:sz w:val="24"/>
          <w:szCs w:val="24"/>
        </w:rPr>
        <w:t>T</w:t>
      </w:r>
      <w:r w:rsidRPr="00720752">
        <w:rPr>
          <w:sz w:val="24"/>
          <w:szCs w:val="24"/>
        </w:rPr>
        <w:t xml:space="preserve">herefore the reference to high level of residential care will no longer reflect the residential aged care services.  </w:t>
      </w:r>
    </w:p>
    <w:p w14:paraId="66284325" w14:textId="1240AA50" w:rsidR="00660F02" w:rsidRPr="00720752" w:rsidRDefault="00660F02" w:rsidP="00660F02">
      <w:pPr>
        <w:pStyle w:val="Heading2"/>
        <w:pBdr>
          <w:bottom w:val="single" w:sz="6" w:space="11" w:color="EFEFEF"/>
        </w:pBdr>
        <w:spacing w:after="225" w:line="312" w:lineRule="atLeast"/>
        <w:rPr>
          <w:sz w:val="24"/>
          <w:szCs w:val="24"/>
        </w:rPr>
      </w:pPr>
      <w:r w:rsidRPr="00720752">
        <w:rPr>
          <w:sz w:val="24"/>
          <w:szCs w:val="24"/>
        </w:rPr>
        <w:t xml:space="preserve">Item </w:t>
      </w:r>
      <w:r w:rsidR="00442A65" w:rsidRPr="00720752">
        <w:rPr>
          <w:sz w:val="24"/>
          <w:szCs w:val="24"/>
        </w:rPr>
        <w:t>4</w:t>
      </w:r>
      <w:r w:rsidRPr="00720752">
        <w:rPr>
          <w:sz w:val="24"/>
          <w:szCs w:val="24"/>
        </w:rPr>
        <w:t xml:space="preserve"> Subparagraph 2.2.4(b)(ii) </w:t>
      </w:r>
    </w:p>
    <w:p w14:paraId="31A4D3F5" w14:textId="38AF8751" w:rsidR="00660F02" w:rsidRPr="00720752" w:rsidRDefault="00442A65" w:rsidP="00660F02">
      <w:pPr>
        <w:spacing w:after="90"/>
        <w:rPr>
          <w:sz w:val="24"/>
          <w:szCs w:val="24"/>
        </w:rPr>
      </w:pPr>
      <w:r w:rsidRPr="00720752">
        <w:rPr>
          <w:sz w:val="24"/>
          <w:szCs w:val="24"/>
        </w:rPr>
        <w:t>Item 4</w:t>
      </w:r>
      <w:r w:rsidR="00660F02" w:rsidRPr="00720752">
        <w:rPr>
          <w:sz w:val="24"/>
          <w:szCs w:val="24"/>
        </w:rPr>
        <w:t xml:space="preserve"> repeals subparagraph 2.2.4(b)(ii) and substitutes a new subparagraph 2.2.4(b)(ii). </w:t>
      </w:r>
    </w:p>
    <w:p w14:paraId="17C692A0" w14:textId="4F8C9806" w:rsidR="00BE2D95" w:rsidRPr="00720752" w:rsidRDefault="00BE2D95" w:rsidP="00BE2D95">
      <w:pPr>
        <w:spacing w:after="90"/>
        <w:rPr>
          <w:sz w:val="24"/>
          <w:szCs w:val="24"/>
        </w:rPr>
      </w:pPr>
      <w:r w:rsidRPr="00720752">
        <w:rPr>
          <w:sz w:val="24"/>
          <w:szCs w:val="24"/>
        </w:rPr>
        <w:t xml:space="preserve">New paragraph 2.2.4(b)(ii) refers to an amount equal to the amount of </w:t>
      </w:r>
      <w:r w:rsidR="00F93860" w:rsidRPr="00720752">
        <w:rPr>
          <w:sz w:val="24"/>
          <w:szCs w:val="24"/>
        </w:rPr>
        <w:t>residential care subsidy</w:t>
      </w:r>
      <w:r w:rsidRPr="00720752">
        <w:rPr>
          <w:sz w:val="24"/>
          <w:szCs w:val="24"/>
        </w:rPr>
        <w:t xml:space="preserve"> that would b</w:t>
      </w:r>
      <w:r w:rsidR="00BC3D72" w:rsidRPr="00720752">
        <w:rPr>
          <w:sz w:val="24"/>
          <w:szCs w:val="24"/>
        </w:rPr>
        <w:t>e payable if the member or former member</w:t>
      </w:r>
      <w:r w:rsidRPr="00720752">
        <w:rPr>
          <w:sz w:val="24"/>
          <w:szCs w:val="24"/>
        </w:rPr>
        <w:t xml:space="preserve"> was in Australia, plus any </w:t>
      </w:r>
      <w:r w:rsidR="00F93860" w:rsidRPr="00720752">
        <w:rPr>
          <w:sz w:val="24"/>
          <w:szCs w:val="24"/>
        </w:rPr>
        <w:t>daily care fee</w:t>
      </w:r>
      <w:r w:rsidRPr="00720752">
        <w:rPr>
          <w:sz w:val="24"/>
          <w:szCs w:val="24"/>
        </w:rPr>
        <w:t xml:space="preserve"> that the </w:t>
      </w:r>
      <w:r w:rsidR="00F93860" w:rsidRPr="00720752">
        <w:rPr>
          <w:sz w:val="24"/>
          <w:szCs w:val="24"/>
        </w:rPr>
        <w:t>Commission</w:t>
      </w:r>
      <w:r w:rsidRPr="00720752">
        <w:rPr>
          <w:sz w:val="24"/>
          <w:szCs w:val="24"/>
        </w:rPr>
        <w:t xml:space="preserve"> would have accepted r</w:t>
      </w:r>
      <w:r w:rsidR="00BC3D72" w:rsidRPr="00720752">
        <w:rPr>
          <w:sz w:val="24"/>
          <w:szCs w:val="24"/>
        </w:rPr>
        <w:t>esponsibility for if the member or former member</w:t>
      </w:r>
      <w:r w:rsidRPr="00720752">
        <w:rPr>
          <w:sz w:val="24"/>
          <w:szCs w:val="24"/>
        </w:rPr>
        <w:t xml:space="preserve"> was in Australia. </w:t>
      </w:r>
    </w:p>
    <w:p w14:paraId="1B643EF7" w14:textId="691422F4" w:rsidR="00660F02" w:rsidRPr="00720752" w:rsidRDefault="00660F02" w:rsidP="00660F02">
      <w:pPr>
        <w:spacing w:after="90"/>
        <w:rPr>
          <w:sz w:val="24"/>
          <w:szCs w:val="24"/>
        </w:rPr>
      </w:pPr>
      <w:r w:rsidRPr="00720752">
        <w:rPr>
          <w:sz w:val="24"/>
          <w:szCs w:val="24"/>
        </w:rPr>
        <w:t xml:space="preserve">Instead of referring to the amount equal to the amount of </w:t>
      </w:r>
      <w:r w:rsidR="00F93860" w:rsidRPr="00720752">
        <w:rPr>
          <w:sz w:val="24"/>
          <w:szCs w:val="24"/>
        </w:rPr>
        <w:t>residential care subsidy</w:t>
      </w:r>
      <w:r w:rsidRPr="00720752">
        <w:rPr>
          <w:sz w:val="24"/>
          <w:szCs w:val="24"/>
        </w:rPr>
        <w:t xml:space="preserve"> payable for a person given a high level of residential care (respite), the substituted </w:t>
      </w:r>
      <w:r w:rsidR="00F82D49" w:rsidRPr="00720752">
        <w:rPr>
          <w:sz w:val="24"/>
          <w:szCs w:val="24"/>
        </w:rPr>
        <w:t>sub</w:t>
      </w:r>
      <w:r w:rsidRPr="00720752">
        <w:rPr>
          <w:sz w:val="24"/>
          <w:szCs w:val="24"/>
        </w:rPr>
        <w:t xml:space="preserve">paragraph 2.2.4(b)(ii) refers to an amount of </w:t>
      </w:r>
      <w:r w:rsidR="00F93860" w:rsidRPr="00720752">
        <w:rPr>
          <w:sz w:val="24"/>
          <w:szCs w:val="24"/>
        </w:rPr>
        <w:t>residential care subsidy</w:t>
      </w:r>
      <w:r w:rsidRPr="00720752">
        <w:rPr>
          <w:sz w:val="24"/>
          <w:szCs w:val="24"/>
        </w:rPr>
        <w:t xml:space="preserve"> that</w:t>
      </w:r>
      <w:r w:rsidR="00BC3D72" w:rsidRPr="00720752">
        <w:rPr>
          <w:sz w:val="24"/>
          <w:szCs w:val="24"/>
        </w:rPr>
        <w:t xml:space="preserve"> would be payable if the member or former member</w:t>
      </w:r>
      <w:r w:rsidRPr="00720752">
        <w:rPr>
          <w:sz w:val="24"/>
          <w:szCs w:val="24"/>
        </w:rPr>
        <w:t xml:space="preserve"> was i</w:t>
      </w:r>
      <w:r w:rsidR="00BE2D95" w:rsidRPr="00720752">
        <w:rPr>
          <w:sz w:val="24"/>
          <w:szCs w:val="24"/>
        </w:rPr>
        <w:t xml:space="preserve">n Australia for the same period (not exceeding 63 days in a financial year). </w:t>
      </w:r>
    </w:p>
    <w:p w14:paraId="551A2FF4" w14:textId="389F4140" w:rsidR="00AF54E0" w:rsidRPr="00720752" w:rsidRDefault="00AF54E0" w:rsidP="00AF54E0">
      <w:pPr>
        <w:spacing w:after="90"/>
        <w:rPr>
          <w:sz w:val="24"/>
          <w:szCs w:val="24"/>
        </w:rPr>
      </w:pPr>
      <w:r w:rsidRPr="00720752">
        <w:rPr>
          <w:sz w:val="24"/>
          <w:szCs w:val="24"/>
        </w:rPr>
        <w:t xml:space="preserve">This substitution is a consequential amendment that reflects that item 2 repeals the definition of high level of residential care (respite). Rather than specifying that the person was needed to be in receipt of a high level of residential care (respite), the </w:t>
      </w:r>
      <w:r w:rsidR="00F53E1E" w:rsidRPr="00720752">
        <w:rPr>
          <w:sz w:val="24"/>
          <w:szCs w:val="24"/>
        </w:rPr>
        <w:t xml:space="preserve">substituted </w:t>
      </w:r>
      <w:r w:rsidRPr="00720752">
        <w:rPr>
          <w:sz w:val="24"/>
          <w:szCs w:val="24"/>
        </w:rPr>
        <w:t>subparagraph refer</w:t>
      </w:r>
      <w:r w:rsidR="00BC3D72" w:rsidRPr="00720752">
        <w:rPr>
          <w:sz w:val="24"/>
          <w:szCs w:val="24"/>
        </w:rPr>
        <w:t>s to the amount payable if the member or former member</w:t>
      </w:r>
      <w:r w:rsidRPr="00720752">
        <w:rPr>
          <w:sz w:val="24"/>
          <w:szCs w:val="24"/>
        </w:rPr>
        <w:t xml:space="preserve"> was in Australia.  </w:t>
      </w:r>
    </w:p>
    <w:p w14:paraId="3EC84D2F" w14:textId="6600CBFE" w:rsidR="00660F02" w:rsidRPr="00720752" w:rsidRDefault="00660F02" w:rsidP="00660F02">
      <w:pPr>
        <w:pStyle w:val="Heading2"/>
        <w:pBdr>
          <w:bottom w:val="single" w:sz="6" w:space="11" w:color="EFEFEF"/>
        </w:pBdr>
        <w:spacing w:after="225" w:line="312" w:lineRule="atLeast"/>
        <w:rPr>
          <w:sz w:val="24"/>
          <w:szCs w:val="24"/>
        </w:rPr>
      </w:pPr>
      <w:r w:rsidRPr="00720752">
        <w:rPr>
          <w:sz w:val="24"/>
          <w:szCs w:val="24"/>
        </w:rPr>
        <w:t xml:space="preserve">Item </w:t>
      </w:r>
      <w:r w:rsidR="00442A65" w:rsidRPr="00720752">
        <w:rPr>
          <w:sz w:val="24"/>
          <w:szCs w:val="24"/>
        </w:rPr>
        <w:t>5</w:t>
      </w:r>
      <w:r w:rsidRPr="00720752">
        <w:rPr>
          <w:sz w:val="24"/>
          <w:szCs w:val="24"/>
        </w:rPr>
        <w:t xml:space="preserve"> Paragraph 7.1.3 </w:t>
      </w:r>
    </w:p>
    <w:p w14:paraId="2545D440" w14:textId="78BEAC2C" w:rsidR="00660F02" w:rsidRPr="00720752" w:rsidRDefault="00442A65" w:rsidP="00660F02">
      <w:pPr>
        <w:spacing w:after="90"/>
        <w:rPr>
          <w:sz w:val="24"/>
          <w:szCs w:val="24"/>
        </w:rPr>
      </w:pPr>
      <w:r w:rsidRPr="00720752">
        <w:rPr>
          <w:sz w:val="24"/>
          <w:szCs w:val="24"/>
        </w:rPr>
        <w:t>Item 5</w:t>
      </w:r>
      <w:r w:rsidR="00660F02" w:rsidRPr="00720752">
        <w:rPr>
          <w:sz w:val="24"/>
          <w:szCs w:val="24"/>
        </w:rPr>
        <w:t xml:space="preserve"> repeals paragraph 7.1.3 and substitutes a new paragraph 7.1.3. </w:t>
      </w:r>
    </w:p>
    <w:p w14:paraId="02EC5C5E" w14:textId="1560C17E" w:rsidR="00660F02" w:rsidRPr="00720752" w:rsidRDefault="00BC3D72" w:rsidP="00660F02">
      <w:pPr>
        <w:spacing w:after="90"/>
        <w:rPr>
          <w:sz w:val="24"/>
          <w:szCs w:val="24"/>
        </w:rPr>
      </w:pPr>
      <w:r w:rsidRPr="00720752">
        <w:rPr>
          <w:sz w:val="24"/>
          <w:szCs w:val="24"/>
        </w:rPr>
        <w:t>Currently, p</w:t>
      </w:r>
      <w:r w:rsidR="00660F02" w:rsidRPr="00720752">
        <w:rPr>
          <w:sz w:val="24"/>
          <w:szCs w:val="24"/>
        </w:rPr>
        <w:t xml:space="preserve">aragraph 7.1.3 provides that subject to paragraphs 7.1C.1, 7.5.3, 7.6.2 and 7.6A.2, the </w:t>
      </w:r>
      <w:r w:rsidR="00F93860" w:rsidRPr="00720752">
        <w:rPr>
          <w:sz w:val="24"/>
          <w:szCs w:val="24"/>
        </w:rPr>
        <w:t>Commission</w:t>
      </w:r>
      <w:r w:rsidR="00660F02" w:rsidRPr="00720752">
        <w:rPr>
          <w:sz w:val="24"/>
          <w:szCs w:val="24"/>
        </w:rPr>
        <w:t xml:space="preserve"> will not accept financial responsibility for services listed in paragraph 7.1.2 for an </w:t>
      </w:r>
      <w:r w:rsidR="00F93860" w:rsidRPr="00720752">
        <w:rPr>
          <w:sz w:val="24"/>
          <w:szCs w:val="24"/>
        </w:rPr>
        <w:t>entitled person</w:t>
      </w:r>
      <w:r w:rsidR="00660F02" w:rsidRPr="00720752">
        <w:rPr>
          <w:sz w:val="24"/>
          <w:szCs w:val="24"/>
        </w:rPr>
        <w:t xml:space="preserve"> receiving residential care if the person is a person described in paragraph 7(6)(a) of the Quality of Care Principles. </w:t>
      </w:r>
    </w:p>
    <w:p w14:paraId="652186E7" w14:textId="3BEBC150" w:rsidR="00C17F12" w:rsidRPr="00720752" w:rsidRDefault="00C17F12" w:rsidP="00660F02">
      <w:pPr>
        <w:spacing w:after="90"/>
        <w:rPr>
          <w:sz w:val="24"/>
          <w:szCs w:val="24"/>
        </w:rPr>
      </w:pPr>
      <w:r w:rsidRPr="00720752">
        <w:rPr>
          <w:sz w:val="24"/>
          <w:szCs w:val="24"/>
        </w:rPr>
        <w:t xml:space="preserve">Paragraph 7(6)(a) of the Quality of Care Principles refers to a care recipient whose classification level includes high ADL domain category, high CHC domain category, high behaviour domain category or a medium domain category in at least 2 domains. </w:t>
      </w:r>
    </w:p>
    <w:p w14:paraId="5C52F704" w14:textId="01B6B82C" w:rsidR="00660F02" w:rsidRPr="00720752" w:rsidRDefault="00660F02" w:rsidP="00660F02">
      <w:pPr>
        <w:spacing w:after="90"/>
        <w:rPr>
          <w:sz w:val="24"/>
          <w:szCs w:val="24"/>
        </w:rPr>
      </w:pPr>
      <w:r w:rsidRPr="00720752">
        <w:rPr>
          <w:sz w:val="24"/>
          <w:szCs w:val="24"/>
        </w:rPr>
        <w:t xml:space="preserve">New paragraph 7.1.3 provides that the </w:t>
      </w:r>
      <w:r w:rsidR="00F93860" w:rsidRPr="00720752">
        <w:rPr>
          <w:sz w:val="24"/>
          <w:szCs w:val="24"/>
        </w:rPr>
        <w:t>Commission</w:t>
      </w:r>
      <w:r w:rsidRPr="00720752">
        <w:rPr>
          <w:sz w:val="24"/>
          <w:szCs w:val="24"/>
        </w:rPr>
        <w:t xml:space="preserve"> will not accept financial responsibility for a service listed in paragraph 7.1.2 for an </w:t>
      </w:r>
      <w:r w:rsidR="00F93860" w:rsidRPr="00720752">
        <w:rPr>
          <w:sz w:val="24"/>
          <w:szCs w:val="24"/>
        </w:rPr>
        <w:t>entitled person</w:t>
      </w:r>
      <w:r w:rsidRPr="00720752">
        <w:rPr>
          <w:sz w:val="24"/>
          <w:szCs w:val="24"/>
        </w:rPr>
        <w:t xml:space="preserve"> receiving residential care if the </w:t>
      </w:r>
      <w:r w:rsidR="00F93860" w:rsidRPr="00720752">
        <w:rPr>
          <w:sz w:val="24"/>
          <w:szCs w:val="24"/>
        </w:rPr>
        <w:t>Commission</w:t>
      </w:r>
      <w:r w:rsidRPr="00720752">
        <w:rPr>
          <w:sz w:val="24"/>
          <w:szCs w:val="24"/>
        </w:rPr>
        <w:t xml:space="preserve"> is satisfied that it is more appropriate in the situation that the service is provided by owner or operator of the residential care facility because it is fair for the owner or operator to bear the cost of supplying the service. The appropriateness of the owner or operator providing the service would be due to the funding or subsidies received under Commonwealth, State or Territory legislation. </w:t>
      </w:r>
    </w:p>
    <w:p w14:paraId="75DB3123" w14:textId="101E2177" w:rsidR="00660F02" w:rsidRPr="00720752" w:rsidRDefault="00F82D49" w:rsidP="00660F02">
      <w:pPr>
        <w:spacing w:after="90"/>
        <w:rPr>
          <w:sz w:val="24"/>
          <w:szCs w:val="24"/>
        </w:rPr>
      </w:pPr>
      <w:r w:rsidRPr="00720752">
        <w:rPr>
          <w:sz w:val="24"/>
          <w:szCs w:val="24"/>
        </w:rPr>
        <w:t>A note is included after paragraph 7.1.3</w:t>
      </w:r>
      <w:r w:rsidR="00660F02" w:rsidRPr="00720752">
        <w:rPr>
          <w:sz w:val="24"/>
          <w:szCs w:val="24"/>
        </w:rPr>
        <w:t xml:space="preserve">. The note provides an example that if the </w:t>
      </w:r>
      <w:r w:rsidR="00F93860" w:rsidRPr="00720752">
        <w:rPr>
          <w:sz w:val="24"/>
          <w:szCs w:val="24"/>
        </w:rPr>
        <w:t>Commission</w:t>
      </w:r>
      <w:r w:rsidR="00660F02" w:rsidRPr="00720752">
        <w:rPr>
          <w:sz w:val="24"/>
          <w:szCs w:val="24"/>
        </w:rPr>
        <w:t xml:space="preserve"> is taken to have accepted financial responsibility for amounts in respect of the </w:t>
      </w:r>
      <w:r w:rsidR="00F93860" w:rsidRPr="00720752">
        <w:rPr>
          <w:sz w:val="24"/>
          <w:szCs w:val="24"/>
        </w:rPr>
        <w:t>entitled person</w:t>
      </w:r>
      <w:r w:rsidR="00660F02" w:rsidRPr="00720752">
        <w:rPr>
          <w:sz w:val="24"/>
          <w:szCs w:val="24"/>
        </w:rPr>
        <w:t xml:space="preserve">’s residential care under Part 10 on the basis that those amounts </w:t>
      </w:r>
      <w:r w:rsidR="00660F02" w:rsidRPr="00720752">
        <w:rPr>
          <w:sz w:val="24"/>
          <w:szCs w:val="24"/>
        </w:rPr>
        <w:lastRenderedPageBreak/>
        <w:t xml:space="preserve">are intended to cover services listed in paragraph 7.1.2, the </w:t>
      </w:r>
      <w:r w:rsidR="00F93860" w:rsidRPr="00720752">
        <w:rPr>
          <w:sz w:val="24"/>
          <w:szCs w:val="24"/>
        </w:rPr>
        <w:t>Commission</w:t>
      </w:r>
      <w:r w:rsidR="00660F02" w:rsidRPr="00720752">
        <w:rPr>
          <w:sz w:val="24"/>
          <w:szCs w:val="24"/>
        </w:rPr>
        <w:t xml:space="preserve"> will not also accept financial responsibility for those services under paragraph 7.1.2.</w:t>
      </w:r>
    </w:p>
    <w:p w14:paraId="3BB0FAAA" w14:textId="35227F78" w:rsidR="00682A2F" w:rsidRPr="00720752" w:rsidRDefault="00682A2F" w:rsidP="00660F02">
      <w:pPr>
        <w:spacing w:after="90"/>
        <w:rPr>
          <w:sz w:val="24"/>
          <w:szCs w:val="24"/>
        </w:rPr>
      </w:pPr>
      <w:r w:rsidRPr="00720752">
        <w:rPr>
          <w:sz w:val="24"/>
          <w:szCs w:val="24"/>
        </w:rPr>
        <w:t xml:space="preserve">For example, if an owner of a residential care facility received funding under Commonwealth legislation in relation to a specific service to be provided to a person in an aged care facility, it may be fair that the owner of the residential care facility bears the cost of supplying the service to the eligible person. This ensures that no duplication of funding in relation to a specified service such as allied health services is made available to a person in an aged care facility. </w:t>
      </w:r>
    </w:p>
    <w:p w14:paraId="0F81FC9C" w14:textId="22EEBC0D" w:rsidR="00660F02" w:rsidRPr="00720752" w:rsidRDefault="00660F02" w:rsidP="00660F02">
      <w:pPr>
        <w:spacing w:after="90"/>
        <w:rPr>
          <w:sz w:val="24"/>
          <w:szCs w:val="24"/>
        </w:rPr>
      </w:pPr>
      <w:r w:rsidRPr="00720752">
        <w:rPr>
          <w:sz w:val="24"/>
          <w:szCs w:val="24"/>
        </w:rPr>
        <w:t xml:space="preserve">The effect of the new paragraph is that the </w:t>
      </w:r>
      <w:r w:rsidR="00F93860" w:rsidRPr="00720752">
        <w:rPr>
          <w:sz w:val="24"/>
          <w:szCs w:val="24"/>
        </w:rPr>
        <w:t>Commission</w:t>
      </w:r>
      <w:r w:rsidRPr="00720752">
        <w:rPr>
          <w:sz w:val="24"/>
          <w:szCs w:val="24"/>
        </w:rPr>
        <w:t xml:space="preserve"> will not accept financial responsibility for an allied health service for an </w:t>
      </w:r>
      <w:r w:rsidR="00F93860" w:rsidRPr="00720752">
        <w:rPr>
          <w:sz w:val="24"/>
          <w:szCs w:val="24"/>
        </w:rPr>
        <w:t>entitled person</w:t>
      </w:r>
      <w:r w:rsidRPr="00720752">
        <w:rPr>
          <w:sz w:val="24"/>
          <w:szCs w:val="24"/>
        </w:rPr>
        <w:t xml:space="preserve"> receiving residential care where it is more appropriate for the service to be provided by </w:t>
      </w:r>
      <w:r w:rsidR="00AF54E0" w:rsidRPr="00720752">
        <w:rPr>
          <w:sz w:val="24"/>
          <w:szCs w:val="24"/>
        </w:rPr>
        <w:t xml:space="preserve">owner or operator of </w:t>
      </w:r>
      <w:r w:rsidRPr="00720752">
        <w:rPr>
          <w:sz w:val="24"/>
          <w:szCs w:val="24"/>
        </w:rPr>
        <w:t xml:space="preserve">the residential care facility. This is intended to remove any potential for duplication of services and to ensure that the most appropriate provider, be that the </w:t>
      </w:r>
      <w:r w:rsidR="00F93860" w:rsidRPr="00720752">
        <w:rPr>
          <w:sz w:val="24"/>
          <w:szCs w:val="24"/>
        </w:rPr>
        <w:t>Commission</w:t>
      </w:r>
      <w:r w:rsidRPr="00720752">
        <w:rPr>
          <w:sz w:val="24"/>
          <w:szCs w:val="24"/>
        </w:rPr>
        <w:t xml:space="preserve"> or the </w:t>
      </w:r>
      <w:r w:rsidR="00AF54E0" w:rsidRPr="00720752">
        <w:rPr>
          <w:sz w:val="24"/>
          <w:szCs w:val="24"/>
        </w:rPr>
        <w:t xml:space="preserve">owner or operator of the </w:t>
      </w:r>
      <w:r w:rsidRPr="00720752">
        <w:rPr>
          <w:sz w:val="24"/>
          <w:szCs w:val="24"/>
        </w:rPr>
        <w:t>residential care facility, be financially responsi</w:t>
      </w:r>
      <w:r w:rsidR="0010086E" w:rsidRPr="00720752">
        <w:rPr>
          <w:sz w:val="24"/>
          <w:szCs w:val="24"/>
        </w:rPr>
        <w:t>ble for providing that service.</w:t>
      </w:r>
      <w:r w:rsidRPr="00720752">
        <w:rPr>
          <w:sz w:val="24"/>
          <w:szCs w:val="24"/>
        </w:rPr>
        <w:t xml:space="preserve"> </w:t>
      </w:r>
    </w:p>
    <w:p w14:paraId="785AF3D8" w14:textId="17F4F13D" w:rsidR="00660F02" w:rsidRPr="00720752" w:rsidRDefault="00660F02" w:rsidP="00660F02">
      <w:pPr>
        <w:pStyle w:val="Heading2"/>
        <w:pBdr>
          <w:bottom w:val="single" w:sz="6" w:space="11" w:color="EFEFEF"/>
        </w:pBdr>
        <w:spacing w:after="225" w:line="312" w:lineRule="atLeast"/>
        <w:rPr>
          <w:sz w:val="24"/>
          <w:szCs w:val="24"/>
        </w:rPr>
      </w:pPr>
      <w:r w:rsidRPr="00720752">
        <w:rPr>
          <w:sz w:val="24"/>
          <w:szCs w:val="24"/>
        </w:rPr>
        <w:t xml:space="preserve">Item </w:t>
      </w:r>
      <w:r w:rsidR="00442A65" w:rsidRPr="00720752">
        <w:rPr>
          <w:sz w:val="24"/>
          <w:szCs w:val="24"/>
        </w:rPr>
        <w:t>6</w:t>
      </w:r>
      <w:r w:rsidR="00AF54E0" w:rsidRPr="00720752">
        <w:rPr>
          <w:sz w:val="24"/>
          <w:szCs w:val="24"/>
        </w:rPr>
        <w:t xml:space="preserve"> Principle</w:t>
      </w:r>
      <w:r w:rsidRPr="00720752">
        <w:rPr>
          <w:sz w:val="24"/>
          <w:szCs w:val="24"/>
        </w:rPr>
        <w:t xml:space="preserve"> 7.1C </w:t>
      </w:r>
    </w:p>
    <w:p w14:paraId="54498FCB" w14:textId="1B23911E" w:rsidR="00660F02" w:rsidRPr="00720752" w:rsidRDefault="00442A65" w:rsidP="00660F02">
      <w:pPr>
        <w:spacing w:after="90"/>
        <w:rPr>
          <w:sz w:val="24"/>
          <w:szCs w:val="24"/>
        </w:rPr>
      </w:pPr>
      <w:r w:rsidRPr="00720752">
        <w:rPr>
          <w:sz w:val="24"/>
          <w:szCs w:val="24"/>
        </w:rPr>
        <w:t>Item 6</w:t>
      </w:r>
      <w:r w:rsidR="00AF54E0" w:rsidRPr="00720752">
        <w:rPr>
          <w:sz w:val="24"/>
          <w:szCs w:val="24"/>
        </w:rPr>
        <w:t xml:space="preserve"> repeals Principle</w:t>
      </w:r>
      <w:r w:rsidR="00660F02" w:rsidRPr="00720752">
        <w:rPr>
          <w:sz w:val="24"/>
          <w:szCs w:val="24"/>
        </w:rPr>
        <w:t xml:space="preserve"> 7.1C.</w:t>
      </w:r>
    </w:p>
    <w:p w14:paraId="251E2EFF" w14:textId="39BC9C76" w:rsidR="00660F02" w:rsidRPr="00720752" w:rsidRDefault="00660F02" w:rsidP="00660F02">
      <w:pPr>
        <w:spacing w:after="90"/>
        <w:rPr>
          <w:sz w:val="24"/>
          <w:szCs w:val="24"/>
        </w:rPr>
      </w:pPr>
      <w:r w:rsidRPr="00720752">
        <w:rPr>
          <w:sz w:val="24"/>
          <w:szCs w:val="24"/>
        </w:rPr>
        <w:t xml:space="preserve">Paragraph 7.1C.1 </w:t>
      </w:r>
      <w:r w:rsidR="00AF54E0" w:rsidRPr="00720752">
        <w:rPr>
          <w:sz w:val="24"/>
          <w:szCs w:val="24"/>
        </w:rPr>
        <w:t xml:space="preserve">of Principle 7.1C </w:t>
      </w:r>
      <w:r w:rsidRPr="00720752">
        <w:rPr>
          <w:sz w:val="24"/>
          <w:szCs w:val="24"/>
        </w:rPr>
        <w:t xml:space="preserve">provides that for treatment provided in the period between 10 December 2020 and 30 June 2022, the </w:t>
      </w:r>
      <w:r w:rsidR="00F93860" w:rsidRPr="00720752">
        <w:rPr>
          <w:sz w:val="24"/>
          <w:szCs w:val="24"/>
        </w:rPr>
        <w:t>Commission</w:t>
      </w:r>
      <w:r w:rsidRPr="00720752">
        <w:rPr>
          <w:sz w:val="24"/>
          <w:szCs w:val="24"/>
        </w:rPr>
        <w:t xml:space="preserve"> accepts financial responsibility for services listed in paragraphs 7.1.2(a), (aa), (b), (c), (dd), (e), (h), (j), (k), (l), (m) and (n) and for treatments between 1 July 2022 and 31 December 2022, the </w:t>
      </w:r>
      <w:r w:rsidR="00F93860" w:rsidRPr="00720752">
        <w:rPr>
          <w:sz w:val="24"/>
          <w:szCs w:val="24"/>
        </w:rPr>
        <w:t>Commission</w:t>
      </w:r>
      <w:r w:rsidRPr="00720752">
        <w:rPr>
          <w:sz w:val="24"/>
          <w:szCs w:val="24"/>
        </w:rPr>
        <w:t xml:space="preserve"> will accept financial responsibility for services listed in paragraphs 7.1.2(e), (l) and (m) </w:t>
      </w:r>
      <w:r w:rsidR="00C17F12" w:rsidRPr="00720752">
        <w:rPr>
          <w:sz w:val="24"/>
          <w:szCs w:val="24"/>
        </w:rPr>
        <w:t>in the</w:t>
      </w:r>
      <w:r w:rsidRPr="00720752">
        <w:rPr>
          <w:sz w:val="24"/>
          <w:szCs w:val="24"/>
        </w:rPr>
        <w:t xml:space="preserve"> circumstances </w:t>
      </w:r>
      <w:r w:rsidR="00C17F12" w:rsidRPr="00720752">
        <w:rPr>
          <w:sz w:val="24"/>
          <w:szCs w:val="24"/>
        </w:rPr>
        <w:t>set out in paragraph (a) and (b)</w:t>
      </w:r>
      <w:r w:rsidRPr="00720752">
        <w:rPr>
          <w:sz w:val="24"/>
          <w:szCs w:val="24"/>
        </w:rPr>
        <w:t xml:space="preserve">. </w:t>
      </w:r>
    </w:p>
    <w:p w14:paraId="11FDB4B9" w14:textId="5E63E46D" w:rsidR="00660F02" w:rsidRPr="00720752" w:rsidRDefault="00660F02" w:rsidP="00660F02">
      <w:pPr>
        <w:spacing w:after="90"/>
        <w:rPr>
          <w:sz w:val="24"/>
          <w:szCs w:val="24"/>
        </w:rPr>
      </w:pPr>
      <w:r w:rsidRPr="00720752">
        <w:rPr>
          <w:sz w:val="24"/>
          <w:szCs w:val="24"/>
        </w:rPr>
        <w:t xml:space="preserve">The </w:t>
      </w:r>
      <w:r w:rsidR="00C17F12" w:rsidRPr="00720752">
        <w:rPr>
          <w:sz w:val="24"/>
          <w:szCs w:val="24"/>
        </w:rPr>
        <w:t>circumstance set out in paragraph (a) is</w:t>
      </w:r>
      <w:r w:rsidRPr="00720752">
        <w:rPr>
          <w:sz w:val="24"/>
          <w:szCs w:val="24"/>
        </w:rPr>
        <w:t xml:space="preserve"> that the </w:t>
      </w:r>
      <w:r w:rsidR="00F93860" w:rsidRPr="00720752">
        <w:rPr>
          <w:sz w:val="24"/>
          <w:szCs w:val="24"/>
        </w:rPr>
        <w:t>entitled person</w:t>
      </w:r>
      <w:r w:rsidRPr="00720752">
        <w:rPr>
          <w:sz w:val="24"/>
          <w:szCs w:val="24"/>
        </w:rPr>
        <w:t xml:space="preserve"> must be receiving residential care as described in paragraph 7(6)(a) of the Quality of Care Principles and</w:t>
      </w:r>
      <w:r w:rsidR="00C17F12" w:rsidRPr="00720752">
        <w:rPr>
          <w:sz w:val="24"/>
          <w:szCs w:val="24"/>
        </w:rPr>
        <w:t xml:space="preserve"> the circumstance set out in paragraph (b) is</w:t>
      </w:r>
      <w:r w:rsidRPr="00720752">
        <w:rPr>
          <w:sz w:val="24"/>
          <w:szCs w:val="24"/>
        </w:rPr>
        <w:t xml:space="preserve"> that the services must be provided in accordance with the limits imposed in the relevant section of the Notes for Allied Providers and in the applicable Fee Schedule.</w:t>
      </w:r>
    </w:p>
    <w:p w14:paraId="442491CB" w14:textId="393F2155" w:rsidR="00AF54E0" w:rsidRPr="00720752" w:rsidRDefault="00AF54E0" w:rsidP="00660F02">
      <w:pPr>
        <w:spacing w:after="90"/>
        <w:rPr>
          <w:sz w:val="24"/>
          <w:szCs w:val="24"/>
        </w:rPr>
      </w:pPr>
      <w:r w:rsidRPr="00720752">
        <w:rPr>
          <w:sz w:val="24"/>
          <w:szCs w:val="24"/>
        </w:rPr>
        <w:t xml:space="preserve">Paragraph 7(6)(a) of the Quality of Care Principles refers to a care recipient whose classification level includes high ADL domain category, high CHC domain category, high behaviour domain category or a medium domain category in at least 2 domains. </w:t>
      </w:r>
    </w:p>
    <w:p w14:paraId="61999559" w14:textId="31D7D971" w:rsidR="00AF54E0" w:rsidRPr="00720752" w:rsidRDefault="00AF54E0" w:rsidP="00AF54E0">
      <w:pPr>
        <w:spacing w:after="90"/>
        <w:rPr>
          <w:sz w:val="24"/>
          <w:szCs w:val="24"/>
        </w:rPr>
      </w:pPr>
      <w:r w:rsidRPr="00720752">
        <w:rPr>
          <w:sz w:val="24"/>
          <w:szCs w:val="24"/>
        </w:rPr>
        <w:t xml:space="preserve">This repeal reflects that from 1 October </w:t>
      </w:r>
      <w:r w:rsidR="005B605A" w:rsidRPr="00720752">
        <w:rPr>
          <w:sz w:val="24"/>
          <w:szCs w:val="24"/>
        </w:rPr>
        <w:t xml:space="preserve">2022 </w:t>
      </w:r>
      <w:r w:rsidRPr="00720752">
        <w:rPr>
          <w:sz w:val="24"/>
          <w:szCs w:val="24"/>
        </w:rPr>
        <w:t>a new casemix</w:t>
      </w:r>
      <w:r w:rsidR="005B605A" w:rsidRPr="00720752">
        <w:rPr>
          <w:sz w:val="24"/>
          <w:szCs w:val="24"/>
        </w:rPr>
        <w:t>-</w:t>
      </w:r>
      <w:r w:rsidRPr="00720752">
        <w:rPr>
          <w:sz w:val="24"/>
          <w:szCs w:val="24"/>
        </w:rPr>
        <w:t xml:space="preserve">based funding model known as the AN-ACC will be introduced for residential aged care services. </w:t>
      </w:r>
      <w:r w:rsidR="00682A2F" w:rsidRPr="00720752">
        <w:rPr>
          <w:sz w:val="24"/>
          <w:szCs w:val="24"/>
        </w:rPr>
        <w:t xml:space="preserve">In addition, the fixed period specified in paragraph 7.1C.1 no longer applies, and that allied health services are now available to </w:t>
      </w:r>
      <w:r w:rsidR="005B605A" w:rsidRPr="00720752">
        <w:rPr>
          <w:sz w:val="24"/>
          <w:szCs w:val="24"/>
        </w:rPr>
        <w:t xml:space="preserve">residential </w:t>
      </w:r>
      <w:r w:rsidR="00682A2F" w:rsidRPr="00720752">
        <w:rPr>
          <w:sz w:val="24"/>
          <w:szCs w:val="24"/>
        </w:rPr>
        <w:t xml:space="preserve">aged care facility patients who are eligible persons without any restriction on the level of care classification of specified patients. </w:t>
      </w:r>
      <w:r w:rsidRPr="00720752">
        <w:rPr>
          <w:sz w:val="24"/>
          <w:szCs w:val="24"/>
        </w:rPr>
        <w:t xml:space="preserve"> </w:t>
      </w:r>
    </w:p>
    <w:p w14:paraId="44B70BD9" w14:textId="1330ED24" w:rsidR="00660F02" w:rsidRPr="00720752" w:rsidRDefault="00660F02" w:rsidP="00660F02">
      <w:pPr>
        <w:spacing w:after="90"/>
        <w:rPr>
          <w:sz w:val="24"/>
          <w:szCs w:val="24"/>
        </w:rPr>
      </w:pPr>
      <w:r w:rsidRPr="00720752">
        <w:rPr>
          <w:sz w:val="24"/>
          <w:szCs w:val="24"/>
        </w:rPr>
        <w:t>As Part 7.IC only includes paragraph 7.1C.1,</w:t>
      </w:r>
      <w:r w:rsidR="00AF54E0" w:rsidRPr="00720752">
        <w:rPr>
          <w:sz w:val="24"/>
          <w:szCs w:val="24"/>
        </w:rPr>
        <w:t xml:space="preserve"> Principle 7</w:t>
      </w:r>
      <w:r w:rsidRPr="00720752">
        <w:rPr>
          <w:sz w:val="24"/>
          <w:szCs w:val="24"/>
        </w:rPr>
        <w:t>.1C in its entirety has be</w:t>
      </w:r>
      <w:r w:rsidR="00AF54E0" w:rsidRPr="00720752">
        <w:rPr>
          <w:sz w:val="24"/>
          <w:szCs w:val="24"/>
        </w:rPr>
        <w:t>en repealed.</w:t>
      </w:r>
    </w:p>
    <w:p w14:paraId="570645EF" w14:textId="26E5DA1E" w:rsidR="00AF54E0" w:rsidRPr="00720752" w:rsidRDefault="00AF54E0" w:rsidP="00660F02">
      <w:pPr>
        <w:spacing w:after="90"/>
        <w:rPr>
          <w:sz w:val="24"/>
          <w:szCs w:val="24"/>
        </w:rPr>
      </w:pPr>
      <w:r w:rsidRPr="00720752">
        <w:rPr>
          <w:sz w:val="24"/>
          <w:szCs w:val="24"/>
        </w:rPr>
        <w:t xml:space="preserve">By removing Principle 7.1C, the </w:t>
      </w:r>
      <w:r w:rsidR="00F93860" w:rsidRPr="00720752">
        <w:rPr>
          <w:sz w:val="24"/>
          <w:szCs w:val="24"/>
        </w:rPr>
        <w:t>Commission</w:t>
      </w:r>
      <w:r w:rsidRPr="00720752">
        <w:rPr>
          <w:sz w:val="24"/>
          <w:szCs w:val="24"/>
        </w:rPr>
        <w:t xml:space="preserve"> will effectively accept financial responsibility for relevant services listed in </w:t>
      </w:r>
      <w:r w:rsidR="005B605A" w:rsidRPr="00720752">
        <w:rPr>
          <w:sz w:val="24"/>
          <w:szCs w:val="24"/>
        </w:rPr>
        <w:t>paragraph</w:t>
      </w:r>
      <w:r w:rsidRPr="00720752">
        <w:rPr>
          <w:sz w:val="24"/>
          <w:szCs w:val="24"/>
        </w:rPr>
        <w:t xml:space="preserve"> 7.1.2 for eligible persons in residential care from 1 October 2022</w:t>
      </w:r>
      <w:r w:rsidR="005B605A" w:rsidRPr="00720752">
        <w:rPr>
          <w:sz w:val="24"/>
          <w:szCs w:val="24"/>
        </w:rPr>
        <w:t xml:space="preserve">, regardless of their care classification under the AN-ACC and as long as there is no duplication of supplying these services to the eligible person. </w:t>
      </w:r>
      <w:r w:rsidRPr="00720752">
        <w:rPr>
          <w:sz w:val="24"/>
          <w:szCs w:val="24"/>
        </w:rPr>
        <w:t xml:space="preserve">  </w:t>
      </w:r>
    </w:p>
    <w:p w14:paraId="68A1C413" w14:textId="678843AD" w:rsidR="007B3A8F" w:rsidRPr="00720752" w:rsidRDefault="007B3A8F" w:rsidP="007B3A8F">
      <w:pPr>
        <w:pStyle w:val="Heading2"/>
        <w:pBdr>
          <w:bottom w:val="single" w:sz="6" w:space="11" w:color="EFEFEF"/>
        </w:pBdr>
        <w:spacing w:after="225" w:line="312" w:lineRule="atLeast"/>
        <w:rPr>
          <w:sz w:val="24"/>
          <w:szCs w:val="24"/>
        </w:rPr>
      </w:pPr>
      <w:r w:rsidRPr="00720752">
        <w:rPr>
          <w:sz w:val="24"/>
          <w:szCs w:val="24"/>
        </w:rPr>
        <w:lastRenderedPageBreak/>
        <w:t xml:space="preserve">Item </w:t>
      </w:r>
      <w:r w:rsidR="00442A65" w:rsidRPr="00720752">
        <w:rPr>
          <w:sz w:val="24"/>
          <w:szCs w:val="24"/>
        </w:rPr>
        <w:t>7</w:t>
      </w:r>
      <w:r w:rsidRPr="00720752">
        <w:rPr>
          <w:sz w:val="24"/>
          <w:szCs w:val="24"/>
        </w:rPr>
        <w:t xml:space="preserve"> Paragraph 7.5.3 </w:t>
      </w:r>
    </w:p>
    <w:p w14:paraId="20EBF1FC" w14:textId="4DFADDFA" w:rsidR="007B3A8F" w:rsidRPr="00720752" w:rsidRDefault="00442A65" w:rsidP="007B3A8F">
      <w:pPr>
        <w:spacing w:after="90"/>
        <w:rPr>
          <w:sz w:val="24"/>
          <w:szCs w:val="24"/>
        </w:rPr>
      </w:pPr>
      <w:r w:rsidRPr="00720752">
        <w:rPr>
          <w:sz w:val="24"/>
          <w:szCs w:val="24"/>
        </w:rPr>
        <w:t>Item 7</w:t>
      </w:r>
      <w:r w:rsidR="007B3A8F" w:rsidRPr="00720752">
        <w:rPr>
          <w:sz w:val="24"/>
          <w:szCs w:val="24"/>
        </w:rPr>
        <w:t xml:space="preserve"> repeals paragraph 7.5.3, including the note, and substitutes a new paragraph 7.5.3.</w:t>
      </w:r>
    </w:p>
    <w:p w14:paraId="16AF054D" w14:textId="324F5989" w:rsidR="007B3A8F" w:rsidRPr="00720752" w:rsidRDefault="007B3A8F" w:rsidP="007B3A8F">
      <w:pPr>
        <w:spacing w:after="90"/>
        <w:rPr>
          <w:sz w:val="24"/>
          <w:szCs w:val="24"/>
        </w:rPr>
      </w:pPr>
      <w:r w:rsidRPr="00720752">
        <w:rPr>
          <w:sz w:val="24"/>
          <w:szCs w:val="24"/>
        </w:rPr>
        <w:t xml:space="preserve">Paragraph 7.5.3 provides that subject to paragraph 7.1C.1, prior approval is required for physiotherapy treatment where those services are to be provided to an </w:t>
      </w:r>
      <w:r w:rsidR="00F93860" w:rsidRPr="00720752">
        <w:rPr>
          <w:sz w:val="24"/>
          <w:szCs w:val="24"/>
        </w:rPr>
        <w:t>entitled person</w:t>
      </w:r>
      <w:r w:rsidRPr="00720752">
        <w:rPr>
          <w:sz w:val="24"/>
          <w:szCs w:val="24"/>
        </w:rPr>
        <w:t xml:space="preserve"> receiving residential care (consisting of at least one high or two medium domain categories) in a </w:t>
      </w:r>
      <w:r w:rsidR="00F93860" w:rsidRPr="00720752">
        <w:rPr>
          <w:sz w:val="24"/>
          <w:szCs w:val="24"/>
        </w:rPr>
        <w:t>residential care facility</w:t>
      </w:r>
      <w:r w:rsidRPr="00720752">
        <w:rPr>
          <w:sz w:val="24"/>
          <w:szCs w:val="24"/>
        </w:rPr>
        <w:t xml:space="preserve"> or where those services are to be provided in a public hospital.</w:t>
      </w:r>
    </w:p>
    <w:p w14:paraId="536B09A7" w14:textId="1AB6EDAE" w:rsidR="007B3A8F" w:rsidRPr="00720752" w:rsidRDefault="007B3A8F" w:rsidP="007B3A8F">
      <w:pPr>
        <w:spacing w:after="90"/>
        <w:rPr>
          <w:sz w:val="24"/>
          <w:szCs w:val="24"/>
        </w:rPr>
      </w:pPr>
      <w:r w:rsidRPr="00720752">
        <w:rPr>
          <w:sz w:val="24"/>
          <w:szCs w:val="24"/>
        </w:rPr>
        <w:t xml:space="preserve">New paragraph 7.5.3 provides that prior approval is required for physiotherapy treatment where those services are to be provided in a public hospital. </w:t>
      </w:r>
    </w:p>
    <w:p w14:paraId="380C7269" w14:textId="4F7813FA" w:rsidR="007C4EA4" w:rsidRPr="00720752" w:rsidRDefault="007C4EA4" w:rsidP="007C4EA4">
      <w:pPr>
        <w:spacing w:after="90"/>
        <w:rPr>
          <w:sz w:val="24"/>
          <w:szCs w:val="24"/>
        </w:rPr>
      </w:pPr>
      <w:r w:rsidRPr="00720752">
        <w:rPr>
          <w:sz w:val="24"/>
          <w:szCs w:val="24"/>
        </w:rPr>
        <w:t xml:space="preserve">This amendment firstly removes </w:t>
      </w:r>
      <w:r w:rsidR="007B3A8F" w:rsidRPr="00720752">
        <w:rPr>
          <w:sz w:val="24"/>
          <w:szCs w:val="24"/>
        </w:rPr>
        <w:t xml:space="preserve">the reference to paragraph 7.1C.1 as a consequence of item </w:t>
      </w:r>
      <w:r w:rsidR="00442A65" w:rsidRPr="00720752">
        <w:rPr>
          <w:sz w:val="24"/>
          <w:szCs w:val="24"/>
        </w:rPr>
        <w:t>6</w:t>
      </w:r>
      <w:r w:rsidRPr="00720752">
        <w:rPr>
          <w:sz w:val="24"/>
          <w:szCs w:val="24"/>
        </w:rPr>
        <w:t xml:space="preserve"> repealing Part 7.1C, and </w:t>
      </w:r>
      <w:r w:rsidR="00756D6D" w:rsidRPr="00720752">
        <w:rPr>
          <w:sz w:val="24"/>
          <w:szCs w:val="24"/>
        </w:rPr>
        <w:t>secondly reflects that the definition of residential care (consisting of at least one high or two medium domain categories) has been repealed by item 2.</w:t>
      </w:r>
    </w:p>
    <w:p w14:paraId="4E673A38" w14:textId="3108C222" w:rsidR="007C4EA4" w:rsidRPr="00720752" w:rsidRDefault="007C4EA4" w:rsidP="007C4EA4">
      <w:pPr>
        <w:spacing w:after="90"/>
        <w:rPr>
          <w:sz w:val="24"/>
          <w:szCs w:val="24"/>
        </w:rPr>
      </w:pPr>
    </w:p>
    <w:p w14:paraId="2CD47F2A" w14:textId="2AA5380F" w:rsidR="007B3A8F" w:rsidRPr="00720752" w:rsidRDefault="007B3A8F" w:rsidP="007B3A8F">
      <w:pPr>
        <w:pStyle w:val="Heading2"/>
        <w:pBdr>
          <w:bottom w:val="single" w:sz="6" w:space="11" w:color="EFEFEF"/>
        </w:pBdr>
        <w:spacing w:after="225" w:line="312" w:lineRule="atLeast"/>
        <w:rPr>
          <w:sz w:val="24"/>
          <w:szCs w:val="24"/>
        </w:rPr>
      </w:pPr>
      <w:r w:rsidRPr="00720752">
        <w:rPr>
          <w:sz w:val="24"/>
          <w:szCs w:val="24"/>
        </w:rPr>
        <w:t xml:space="preserve">Item </w:t>
      </w:r>
      <w:r w:rsidR="00442A65" w:rsidRPr="00720752">
        <w:rPr>
          <w:sz w:val="24"/>
          <w:szCs w:val="24"/>
        </w:rPr>
        <w:t>8</w:t>
      </w:r>
      <w:r w:rsidRPr="00720752">
        <w:rPr>
          <w:sz w:val="24"/>
          <w:szCs w:val="24"/>
        </w:rPr>
        <w:t xml:space="preserve"> Paragraph 7.6.2 </w:t>
      </w:r>
    </w:p>
    <w:p w14:paraId="6F1F2CD2" w14:textId="4A0D0DBC" w:rsidR="007B3A8F" w:rsidRPr="00720752" w:rsidRDefault="007B3A8F" w:rsidP="007B3A8F">
      <w:pPr>
        <w:spacing w:after="90"/>
        <w:rPr>
          <w:sz w:val="24"/>
          <w:szCs w:val="24"/>
        </w:rPr>
      </w:pPr>
      <w:r w:rsidRPr="00720752">
        <w:rPr>
          <w:sz w:val="24"/>
          <w:szCs w:val="24"/>
        </w:rPr>
        <w:t>I</w:t>
      </w:r>
      <w:r w:rsidR="00442A65" w:rsidRPr="00720752">
        <w:rPr>
          <w:sz w:val="24"/>
          <w:szCs w:val="24"/>
        </w:rPr>
        <w:t>tem 8</w:t>
      </w:r>
      <w:r w:rsidRPr="00720752">
        <w:rPr>
          <w:sz w:val="24"/>
          <w:szCs w:val="24"/>
        </w:rPr>
        <w:t xml:space="preserve"> omits ‘Subject to paragraph 7.1C.1, prior’ and substitutes ‘Prior’ in paragraph 7.6.2. </w:t>
      </w:r>
    </w:p>
    <w:p w14:paraId="1A0767D5" w14:textId="2D5D0D4F" w:rsidR="007B3A8F" w:rsidRPr="00720752" w:rsidRDefault="007B3A8F" w:rsidP="007B3A8F">
      <w:pPr>
        <w:spacing w:after="90"/>
        <w:rPr>
          <w:sz w:val="24"/>
          <w:szCs w:val="24"/>
        </w:rPr>
      </w:pPr>
      <w:r w:rsidRPr="00720752">
        <w:rPr>
          <w:sz w:val="24"/>
          <w:szCs w:val="24"/>
        </w:rPr>
        <w:t xml:space="preserve">This amendment is consequential to the amendment made by item </w:t>
      </w:r>
      <w:r w:rsidR="00442A65" w:rsidRPr="00720752">
        <w:rPr>
          <w:sz w:val="24"/>
          <w:szCs w:val="24"/>
        </w:rPr>
        <w:t>6</w:t>
      </w:r>
      <w:r w:rsidRPr="00720752">
        <w:rPr>
          <w:sz w:val="24"/>
          <w:szCs w:val="24"/>
        </w:rPr>
        <w:t xml:space="preserve"> that repeals Part 7.1C. As paragraph 7.1C.1 is repealed by item </w:t>
      </w:r>
      <w:r w:rsidR="00442A65" w:rsidRPr="00720752">
        <w:rPr>
          <w:sz w:val="24"/>
          <w:szCs w:val="24"/>
        </w:rPr>
        <w:t>6</w:t>
      </w:r>
      <w:r w:rsidRPr="00720752">
        <w:rPr>
          <w:sz w:val="24"/>
          <w:szCs w:val="24"/>
        </w:rPr>
        <w:t xml:space="preserve">, the reference to paragraph 7.6.2 being subject to paragraph 7.1C.1 has been removed. </w:t>
      </w:r>
    </w:p>
    <w:p w14:paraId="29270D74" w14:textId="77777777" w:rsidR="007B3A8F" w:rsidRPr="00720752" w:rsidRDefault="007B3A8F" w:rsidP="007B3A8F">
      <w:pPr>
        <w:autoSpaceDE w:val="0"/>
        <w:autoSpaceDN w:val="0"/>
        <w:adjustRightInd w:val="0"/>
        <w:rPr>
          <w:sz w:val="24"/>
          <w:szCs w:val="24"/>
        </w:rPr>
      </w:pPr>
    </w:p>
    <w:p w14:paraId="5A3BE206" w14:textId="3A2B2509" w:rsidR="007B3A8F" w:rsidRPr="00720752" w:rsidRDefault="00442A65" w:rsidP="007B3A8F">
      <w:pPr>
        <w:pStyle w:val="Heading2"/>
        <w:pBdr>
          <w:bottom w:val="single" w:sz="6" w:space="11" w:color="EFEFEF"/>
        </w:pBdr>
        <w:spacing w:after="225" w:line="312" w:lineRule="atLeast"/>
        <w:rPr>
          <w:sz w:val="24"/>
          <w:szCs w:val="24"/>
        </w:rPr>
      </w:pPr>
      <w:r w:rsidRPr="00720752">
        <w:rPr>
          <w:sz w:val="24"/>
          <w:szCs w:val="24"/>
        </w:rPr>
        <w:t>Item 9</w:t>
      </w:r>
      <w:r w:rsidR="007B3A8F" w:rsidRPr="00720752">
        <w:rPr>
          <w:sz w:val="24"/>
          <w:szCs w:val="24"/>
        </w:rPr>
        <w:t xml:space="preserve"> Paragraph 7.6.2(a) </w:t>
      </w:r>
    </w:p>
    <w:p w14:paraId="465AD393" w14:textId="451B1E5C" w:rsidR="007B3A8F" w:rsidRPr="00720752" w:rsidRDefault="00442A65" w:rsidP="007B3A8F">
      <w:pPr>
        <w:spacing w:after="90"/>
        <w:rPr>
          <w:sz w:val="24"/>
          <w:szCs w:val="24"/>
        </w:rPr>
      </w:pPr>
      <w:r w:rsidRPr="00720752">
        <w:rPr>
          <w:sz w:val="24"/>
          <w:szCs w:val="24"/>
        </w:rPr>
        <w:t>Item 9</w:t>
      </w:r>
      <w:r w:rsidR="007B3A8F" w:rsidRPr="00720752">
        <w:rPr>
          <w:sz w:val="24"/>
          <w:szCs w:val="24"/>
        </w:rPr>
        <w:t xml:space="preserve"> repeals paragraph 7.6.2(a). </w:t>
      </w:r>
    </w:p>
    <w:p w14:paraId="25738E9D" w14:textId="5534315E" w:rsidR="007B3A8F" w:rsidRPr="00720752" w:rsidRDefault="007B3A8F" w:rsidP="007B3A8F">
      <w:pPr>
        <w:spacing w:after="90"/>
        <w:rPr>
          <w:sz w:val="24"/>
          <w:szCs w:val="24"/>
        </w:rPr>
      </w:pPr>
      <w:r w:rsidRPr="00720752">
        <w:rPr>
          <w:sz w:val="24"/>
          <w:szCs w:val="24"/>
        </w:rPr>
        <w:t xml:space="preserve">Paragraph 7.6.2(a) provides that for podiatry treatment, prior approval is required where those services are to be provided to an </w:t>
      </w:r>
      <w:r w:rsidR="00F93860" w:rsidRPr="00720752">
        <w:rPr>
          <w:sz w:val="24"/>
          <w:szCs w:val="24"/>
        </w:rPr>
        <w:t>entitled person</w:t>
      </w:r>
      <w:r w:rsidRPr="00720752">
        <w:rPr>
          <w:sz w:val="24"/>
          <w:szCs w:val="24"/>
        </w:rPr>
        <w:t xml:space="preserve"> receiving residential care (consisting of at least one high or two medium domain categories) in a </w:t>
      </w:r>
      <w:r w:rsidR="00F93860" w:rsidRPr="00720752">
        <w:rPr>
          <w:sz w:val="24"/>
          <w:szCs w:val="24"/>
        </w:rPr>
        <w:t>residential care facility</w:t>
      </w:r>
      <w:r w:rsidRPr="00720752">
        <w:rPr>
          <w:sz w:val="24"/>
          <w:szCs w:val="24"/>
        </w:rPr>
        <w:t xml:space="preserve">. </w:t>
      </w:r>
    </w:p>
    <w:p w14:paraId="57DEB10B" w14:textId="1DB96534" w:rsidR="007C4EA4" w:rsidRPr="00720752" w:rsidRDefault="00C17F12" w:rsidP="00C17F12">
      <w:pPr>
        <w:spacing w:after="90"/>
        <w:rPr>
          <w:sz w:val="24"/>
          <w:szCs w:val="24"/>
        </w:rPr>
      </w:pPr>
      <w:r w:rsidRPr="00720752">
        <w:rPr>
          <w:sz w:val="24"/>
          <w:szCs w:val="24"/>
        </w:rPr>
        <w:t xml:space="preserve">This substitution is a consequential amendment that reflects that item 2 repeals the definition of residential care (consisting of at least one high or two medium categories)”. </w:t>
      </w:r>
    </w:p>
    <w:p w14:paraId="40A5D18C" w14:textId="2ED28B41" w:rsidR="00682A2F" w:rsidRPr="00720752" w:rsidRDefault="00682A2F" w:rsidP="00682A2F">
      <w:pPr>
        <w:spacing w:after="90"/>
        <w:rPr>
          <w:sz w:val="24"/>
          <w:szCs w:val="24"/>
        </w:rPr>
      </w:pPr>
      <w:r w:rsidRPr="00720752">
        <w:rPr>
          <w:sz w:val="24"/>
          <w:szCs w:val="24"/>
        </w:rPr>
        <w:t>As a result of the repeal of paragraph 7.6.2(a), prior approval is now only required for podiatry treatment in the following circumstances: where those services are to be provided in a public hospital, where podiatry treatment involves providing an Electrodynographic Analysis and Report and for podiatry treatment involving delivering services valued at over $60 under the Miscellaneous Items listed in the Deed of Agreement between the Commission and the podiatrist.</w:t>
      </w:r>
    </w:p>
    <w:p w14:paraId="3143632C" w14:textId="3450CAFA" w:rsidR="007B3A8F" w:rsidRPr="00720752" w:rsidRDefault="007B3A8F" w:rsidP="007B3A8F">
      <w:pPr>
        <w:pStyle w:val="Heading2"/>
        <w:pBdr>
          <w:bottom w:val="single" w:sz="6" w:space="11" w:color="EFEFEF"/>
        </w:pBdr>
        <w:spacing w:after="225" w:line="312" w:lineRule="atLeast"/>
        <w:rPr>
          <w:sz w:val="24"/>
          <w:szCs w:val="24"/>
        </w:rPr>
      </w:pPr>
      <w:r w:rsidRPr="00720752">
        <w:rPr>
          <w:sz w:val="24"/>
          <w:szCs w:val="24"/>
        </w:rPr>
        <w:t xml:space="preserve">Item </w:t>
      </w:r>
      <w:r w:rsidR="008B4A07" w:rsidRPr="00720752">
        <w:rPr>
          <w:sz w:val="24"/>
          <w:szCs w:val="24"/>
        </w:rPr>
        <w:t>1</w:t>
      </w:r>
      <w:r w:rsidR="00442A65" w:rsidRPr="00720752">
        <w:rPr>
          <w:sz w:val="24"/>
          <w:szCs w:val="24"/>
        </w:rPr>
        <w:t>0</w:t>
      </w:r>
      <w:r w:rsidRPr="00720752">
        <w:rPr>
          <w:sz w:val="24"/>
          <w:szCs w:val="24"/>
        </w:rPr>
        <w:t xml:space="preserve"> Paragraph 7.6.2 (note)</w:t>
      </w:r>
    </w:p>
    <w:p w14:paraId="01406202" w14:textId="6FEA7B24" w:rsidR="007B3A8F" w:rsidRPr="00720752" w:rsidRDefault="007B3A8F" w:rsidP="007B3A8F">
      <w:pPr>
        <w:spacing w:after="90"/>
        <w:rPr>
          <w:sz w:val="24"/>
          <w:szCs w:val="24"/>
        </w:rPr>
      </w:pPr>
      <w:r w:rsidRPr="00720752">
        <w:rPr>
          <w:sz w:val="24"/>
          <w:szCs w:val="24"/>
        </w:rPr>
        <w:t xml:space="preserve">Item </w:t>
      </w:r>
      <w:r w:rsidR="00442A65" w:rsidRPr="00720752">
        <w:rPr>
          <w:sz w:val="24"/>
          <w:szCs w:val="24"/>
        </w:rPr>
        <w:t>10</w:t>
      </w:r>
      <w:r w:rsidRPr="00720752">
        <w:rPr>
          <w:sz w:val="24"/>
          <w:szCs w:val="24"/>
        </w:rPr>
        <w:t xml:space="preserve"> repeals the note in paragraph 7.6.2.</w:t>
      </w:r>
    </w:p>
    <w:p w14:paraId="4A20512C" w14:textId="48A1737C" w:rsidR="007B3A8F" w:rsidRPr="00720752" w:rsidRDefault="001839E1" w:rsidP="007B3A8F">
      <w:pPr>
        <w:spacing w:after="90"/>
        <w:rPr>
          <w:sz w:val="24"/>
          <w:szCs w:val="24"/>
        </w:rPr>
      </w:pPr>
      <w:r w:rsidRPr="00720752">
        <w:rPr>
          <w:sz w:val="24"/>
          <w:szCs w:val="24"/>
        </w:rPr>
        <w:lastRenderedPageBreak/>
        <w:t xml:space="preserve">The note in paragraph 7.6.2 refers to paragraph 7.1C.1 providing that during 10 December 2020 and 30 June 2022 the </w:t>
      </w:r>
      <w:r w:rsidR="00F93860" w:rsidRPr="00720752">
        <w:rPr>
          <w:sz w:val="24"/>
          <w:szCs w:val="24"/>
        </w:rPr>
        <w:t>Commission</w:t>
      </w:r>
      <w:r w:rsidRPr="00720752">
        <w:rPr>
          <w:sz w:val="24"/>
          <w:szCs w:val="24"/>
        </w:rPr>
        <w:t xml:space="preserve"> will accept financial responsibility for certain services listed in paragraph 7.1.2 (including podiatry) without the requirement for prior approval. </w:t>
      </w:r>
    </w:p>
    <w:p w14:paraId="4C1CA8C5" w14:textId="6AD0171F" w:rsidR="007B3A8F" w:rsidRPr="00720752" w:rsidRDefault="007B3A8F" w:rsidP="001839E1">
      <w:pPr>
        <w:spacing w:after="90"/>
        <w:rPr>
          <w:sz w:val="24"/>
          <w:szCs w:val="24"/>
        </w:rPr>
      </w:pPr>
      <w:r w:rsidRPr="00720752">
        <w:rPr>
          <w:sz w:val="24"/>
          <w:szCs w:val="24"/>
        </w:rPr>
        <w:t>This amendment is consequential to the amendment</w:t>
      </w:r>
      <w:r w:rsidR="008B4A07" w:rsidRPr="00720752">
        <w:rPr>
          <w:sz w:val="24"/>
          <w:szCs w:val="24"/>
        </w:rPr>
        <w:t>s</w:t>
      </w:r>
      <w:r w:rsidRPr="00720752">
        <w:rPr>
          <w:sz w:val="24"/>
          <w:szCs w:val="24"/>
        </w:rPr>
        <w:t xml:space="preserve"> made by items </w:t>
      </w:r>
      <w:r w:rsidR="00442A65" w:rsidRPr="00720752">
        <w:rPr>
          <w:sz w:val="24"/>
          <w:szCs w:val="24"/>
        </w:rPr>
        <w:t>6</w:t>
      </w:r>
      <w:r w:rsidR="007C4EA4" w:rsidRPr="00720752">
        <w:rPr>
          <w:sz w:val="24"/>
          <w:szCs w:val="24"/>
        </w:rPr>
        <w:t xml:space="preserve"> and </w:t>
      </w:r>
      <w:r w:rsidR="00442A65" w:rsidRPr="00720752">
        <w:rPr>
          <w:sz w:val="24"/>
          <w:szCs w:val="24"/>
        </w:rPr>
        <w:t>9</w:t>
      </w:r>
      <w:r w:rsidR="001839E1" w:rsidRPr="00720752">
        <w:rPr>
          <w:sz w:val="24"/>
          <w:szCs w:val="24"/>
        </w:rPr>
        <w:t xml:space="preserve">. Item </w:t>
      </w:r>
      <w:r w:rsidR="00442A65" w:rsidRPr="00720752">
        <w:rPr>
          <w:sz w:val="24"/>
          <w:szCs w:val="24"/>
        </w:rPr>
        <w:t>6</w:t>
      </w:r>
      <w:r w:rsidR="001839E1" w:rsidRPr="00720752">
        <w:rPr>
          <w:sz w:val="24"/>
          <w:szCs w:val="24"/>
        </w:rPr>
        <w:t xml:space="preserve"> repeals part 7.1C and item </w:t>
      </w:r>
      <w:r w:rsidR="00442A65" w:rsidRPr="00720752">
        <w:rPr>
          <w:sz w:val="24"/>
          <w:szCs w:val="24"/>
        </w:rPr>
        <w:t>9</w:t>
      </w:r>
      <w:r w:rsidRPr="00720752">
        <w:rPr>
          <w:sz w:val="24"/>
          <w:szCs w:val="24"/>
        </w:rPr>
        <w:t xml:space="preserve"> repeals paragraph 7.6.2(a). </w:t>
      </w:r>
    </w:p>
    <w:p w14:paraId="02837589" w14:textId="38C672A5" w:rsidR="007B3A8F" w:rsidRPr="00720752" w:rsidRDefault="007B3A8F" w:rsidP="007B3A8F">
      <w:pPr>
        <w:pStyle w:val="Heading2"/>
        <w:pBdr>
          <w:bottom w:val="single" w:sz="6" w:space="11" w:color="EFEFEF"/>
        </w:pBdr>
        <w:spacing w:after="225" w:line="312" w:lineRule="atLeast"/>
        <w:rPr>
          <w:sz w:val="24"/>
          <w:szCs w:val="24"/>
        </w:rPr>
      </w:pPr>
      <w:r w:rsidRPr="00720752">
        <w:rPr>
          <w:sz w:val="24"/>
          <w:szCs w:val="24"/>
        </w:rPr>
        <w:t xml:space="preserve">Item </w:t>
      </w:r>
      <w:r w:rsidR="007C4EA4" w:rsidRPr="00720752">
        <w:rPr>
          <w:sz w:val="24"/>
          <w:szCs w:val="24"/>
        </w:rPr>
        <w:t>1</w:t>
      </w:r>
      <w:r w:rsidR="00442A65" w:rsidRPr="00720752">
        <w:rPr>
          <w:sz w:val="24"/>
          <w:szCs w:val="24"/>
        </w:rPr>
        <w:t>1</w:t>
      </w:r>
      <w:r w:rsidRPr="00720752">
        <w:rPr>
          <w:sz w:val="24"/>
          <w:szCs w:val="24"/>
        </w:rPr>
        <w:t xml:space="preserve"> Paragraph 7.6A.2</w:t>
      </w:r>
    </w:p>
    <w:p w14:paraId="0840B86D" w14:textId="0A7198E3" w:rsidR="007B3A8F" w:rsidRPr="00720752" w:rsidRDefault="00442A65" w:rsidP="007B3A8F">
      <w:pPr>
        <w:spacing w:after="90"/>
        <w:rPr>
          <w:sz w:val="24"/>
          <w:szCs w:val="24"/>
        </w:rPr>
      </w:pPr>
      <w:r w:rsidRPr="00720752">
        <w:rPr>
          <w:sz w:val="24"/>
          <w:szCs w:val="24"/>
        </w:rPr>
        <w:t>Item 11</w:t>
      </w:r>
      <w:r w:rsidR="007B3A8F" w:rsidRPr="00720752">
        <w:rPr>
          <w:sz w:val="24"/>
          <w:szCs w:val="24"/>
        </w:rPr>
        <w:t xml:space="preserve"> repeals paragraph 7.6A.2, including the note, and substitutes a new paragraph 7.6A.2. </w:t>
      </w:r>
    </w:p>
    <w:p w14:paraId="35EFF528" w14:textId="6CFD1952" w:rsidR="007B3A8F" w:rsidRPr="00720752" w:rsidRDefault="007B3A8F" w:rsidP="007B3A8F">
      <w:pPr>
        <w:spacing w:after="90"/>
        <w:rPr>
          <w:sz w:val="24"/>
          <w:szCs w:val="24"/>
        </w:rPr>
      </w:pPr>
      <w:r w:rsidRPr="00720752">
        <w:rPr>
          <w:sz w:val="24"/>
          <w:szCs w:val="24"/>
        </w:rPr>
        <w:t xml:space="preserve">Paragraph 7.6A.2 provides that subject to paragraph 7.1C.1, prior approval is required for diabetes educator services where those services are to be provided to an </w:t>
      </w:r>
      <w:r w:rsidR="00F93860" w:rsidRPr="00720752">
        <w:rPr>
          <w:sz w:val="24"/>
          <w:szCs w:val="24"/>
        </w:rPr>
        <w:t>entitled person</w:t>
      </w:r>
      <w:r w:rsidRPr="00720752">
        <w:rPr>
          <w:sz w:val="24"/>
          <w:szCs w:val="24"/>
        </w:rPr>
        <w:t xml:space="preserve"> receiving residential care (consisting of at least one high or two medium domain categories) in a </w:t>
      </w:r>
      <w:r w:rsidR="00F93860" w:rsidRPr="00720752">
        <w:rPr>
          <w:sz w:val="24"/>
          <w:szCs w:val="24"/>
        </w:rPr>
        <w:t>residential care facility</w:t>
      </w:r>
      <w:r w:rsidRPr="00720752">
        <w:rPr>
          <w:sz w:val="24"/>
          <w:szCs w:val="24"/>
        </w:rPr>
        <w:t xml:space="preserve"> or where those services are to be provided in a public hospital.</w:t>
      </w:r>
    </w:p>
    <w:p w14:paraId="519CDBE8" w14:textId="77777777" w:rsidR="007B3A8F" w:rsidRPr="00720752" w:rsidRDefault="007B3A8F" w:rsidP="007B3A8F">
      <w:pPr>
        <w:spacing w:after="90"/>
        <w:rPr>
          <w:sz w:val="24"/>
          <w:szCs w:val="24"/>
        </w:rPr>
      </w:pPr>
      <w:r w:rsidRPr="00720752">
        <w:rPr>
          <w:sz w:val="24"/>
          <w:szCs w:val="24"/>
        </w:rPr>
        <w:t xml:space="preserve">New paragraph 7.6A.2 provides that prior approval is required for diabetes educator services where those services are to be provided in a public hospital. </w:t>
      </w:r>
    </w:p>
    <w:p w14:paraId="34507023" w14:textId="72A24DDB" w:rsidR="00756D6D" w:rsidRPr="00720752" w:rsidRDefault="008B4A07" w:rsidP="007B3A8F">
      <w:pPr>
        <w:spacing w:after="90"/>
        <w:rPr>
          <w:sz w:val="24"/>
          <w:szCs w:val="24"/>
        </w:rPr>
      </w:pPr>
      <w:r w:rsidRPr="00720752">
        <w:rPr>
          <w:sz w:val="24"/>
          <w:szCs w:val="24"/>
        </w:rPr>
        <w:t xml:space="preserve">This amendment firstly removes the reference to paragraph 7.1C.1 as a consequence of item </w:t>
      </w:r>
      <w:r w:rsidR="00442A65" w:rsidRPr="00720752">
        <w:rPr>
          <w:sz w:val="24"/>
          <w:szCs w:val="24"/>
        </w:rPr>
        <w:t>6</w:t>
      </w:r>
      <w:r w:rsidRPr="00720752">
        <w:rPr>
          <w:sz w:val="24"/>
          <w:szCs w:val="24"/>
        </w:rPr>
        <w:t xml:space="preserve"> repealing Part 7.1C, and</w:t>
      </w:r>
      <w:r w:rsidR="00756D6D" w:rsidRPr="00720752">
        <w:rPr>
          <w:sz w:val="24"/>
          <w:szCs w:val="24"/>
        </w:rPr>
        <w:t xml:space="preserve"> secondly reflects that the definition of residential care (consisting of at least one high or two medium domain categories) has been repealed by item 2.</w:t>
      </w:r>
    </w:p>
    <w:p w14:paraId="08D9AA15" w14:textId="4C9EAE57" w:rsidR="001839E1" w:rsidRPr="00720752" w:rsidRDefault="001839E1" w:rsidP="001839E1">
      <w:pPr>
        <w:pStyle w:val="Heading2"/>
        <w:pBdr>
          <w:bottom w:val="single" w:sz="6" w:space="11" w:color="EFEFEF"/>
        </w:pBdr>
        <w:spacing w:after="225" w:line="312" w:lineRule="atLeast"/>
        <w:rPr>
          <w:sz w:val="24"/>
          <w:szCs w:val="24"/>
        </w:rPr>
      </w:pPr>
      <w:r w:rsidRPr="00720752">
        <w:rPr>
          <w:sz w:val="24"/>
          <w:szCs w:val="24"/>
        </w:rPr>
        <w:t>Item 1</w:t>
      </w:r>
      <w:r w:rsidR="00442A65" w:rsidRPr="00720752">
        <w:rPr>
          <w:sz w:val="24"/>
          <w:szCs w:val="24"/>
        </w:rPr>
        <w:t>2</w:t>
      </w:r>
      <w:r w:rsidRPr="00720752">
        <w:rPr>
          <w:sz w:val="24"/>
          <w:szCs w:val="24"/>
        </w:rPr>
        <w:t xml:space="preserve"> Paragraph </w:t>
      </w:r>
      <w:r w:rsidR="00A64C14" w:rsidRPr="00720752">
        <w:rPr>
          <w:sz w:val="24"/>
          <w:szCs w:val="24"/>
        </w:rPr>
        <w:t>10.3.1(b)</w:t>
      </w:r>
    </w:p>
    <w:p w14:paraId="3678410C" w14:textId="6BBFD881" w:rsidR="008B4A07" w:rsidRPr="00720752" w:rsidRDefault="00442A65" w:rsidP="001839E1">
      <w:pPr>
        <w:spacing w:after="90"/>
        <w:rPr>
          <w:sz w:val="24"/>
          <w:szCs w:val="24"/>
        </w:rPr>
      </w:pPr>
      <w:r w:rsidRPr="00720752">
        <w:rPr>
          <w:sz w:val="24"/>
          <w:szCs w:val="24"/>
        </w:rPr>
        <w:t>Item 12</w:t>
      </w:r>
      <w:r w:rsidR="001839E1" w:rsidRPr="00720752">
        <w:rPr>
          <w:sz w:val="24"/>
          <w:szCs w:val="24"/>
        </w:rPr>
        <w:t xml:space="preserve"> </w:t>
      </w:r>
      <w:r w:rsidR="00A64C14" w:rsidRPr="00720752">
        <w:rPr>
          <w:sz w:val="24"/>
          <w:szCs w:val="24"/>
        </w:rPr>
        <w:t>omits ‘residential care (consisting of at least one high or two medium domain categories)’ and substitutes ‘residential care’ in paragraph 10.</w:t>
      </w:r>
      <w:r w:rsidR="00682A2F" w:rsidRPr="00720752">
        <w:rPr>
          <w:sz w:val="24"/>
          <w:szCs w:val="24"/>
        </w:rPr>
        <w:t>3</w:t>
      </w:r>
      <w:r w:rsidR="00A64C14" w:rsidRPr="00720752">
        <w:rPr>
          <w:sz w:val="24"/>
          <w:szCs w:val="24"/>
        </w:rPr>
        <w:t xml:space="preserve">.1(b). </w:t>
      </w:r>
    </w:p>
    <w:p w14:paraId="7BCEE92E" w14:textId="77777777" w:rsidR="008B4A07" w:rsidRPr="00720752" w:rsidRDefault="008B4A07" w:rsidP="008B4A07">
      <w:pPr>
        <w:spacing w:after="90"/>
        <w:rPr>
          <w:sz w:val="24"/>
          <w:szCs w:val="24"/>
        </w:rPr>
      </w:pPr>
      <w:r w:rsidRPr="00720752">
        <w:rPr>
          <w:sz w:val="24"/>
          <w:szCs w:val="24"/>
        </w:rPr>
        <w:t xml:space="preserve">This substitution is a consequential amendment that reflects that item 2 that repeals the definition of residential care (consisting of at least one high or two medium categories)”. </w:t>
      </w:r>
    </w:p>
    <w:p w14:paraId="2EE06763" w14:textId="1DF9691D" w:rsidR="008B4A07" w:rsidRPr="00720752" w:rsidRDefault="008B4A07" w:rsidP="008B4A07">
      <w:pPr>
        <w:spacing w:after="90"/>
        <w:rPr>
          <w:sz w:val="24"/>
          <w:szCs w:val="24"/>
        </w:rPr>
      </w:pPr>
      <w:r w:rsidRPr="00720752">
        <w:rPr>
          <w:sz w:val="24"/>
          <w:szCs w:val="24"/>
        </w:rPr>
        <w:t xml:space="preserve">As a result of this substitution, the </w:t>
      </w:r>
      <w:r w:rsidR="00F93860" w:rsidRPr="00720752">
        <w:rPr>
          <w:sz w:val="24"/>
          <w:szCs w:val="24"/>
        </w:rPr>
        <w:t>Commission</w:t>
      </w:r>
      <w:r w:rsidRPr="00720752">
        <w:rPr>
          <w:sz w:val="24"/>
          <w:szCs w:val="24"/>
        </w:rPr>
        <w:t xml:space="preserve"> may, in exceptional circumstances, accept financial responsibility for the </w:t>
      </w:r>
      <w:r w:rsidR="00F93860" w:rsidRPr="00720752">
        <w:rPr>
          <w:sz w:val="24"/>
          <w:szCs w:val="24"/>
        </w:rPr>
        <w:t>daily care fee</w:t>
      </w:r>
      <w:r w:rsidRPr="00720752">
        <w:rPr>
          <w:sz w:val="24"/>
          <w:szCs w:val="24"/>
        </w:rPr>
        <w:t xml:space="preserve"> for a veteran who has a dependant and is receiving residential care in a residential care facility because of war-caused injury</w:t>
      </w:r>
      <w:r w:rsidR="00682A2F" w:rsidRPr="00720752">
        <w:rPr>
          <w:sz w:val="24"/>
          <w:szCs w:val="24"/>
        </w:rPr>
        <w:t xml:space="preserve"> or war-caused disease, or both, without the requirement or limitation that the residential care consist of at least one high or two medium domain categories.</w:t>
      </w:r>
    </w:p>
    <w:p w14:paraId="369969DF" w14:textId="5BA654DF" w:rsidR="00A64C14" w:rsidRPr="00720752" w:rsidRDefault="00A64C14" w:rsidP="00A64C14">
      <w:pPr>
        <w:pStyle w:val="Heading2"/>
        <w:pBdr>
          <w:bottom w:val="single" w:sz="6" w:space="11" w:color="EFEFEF"/>
        </w:pBdr>
        <w:spacing w:after="225" w:line="312" w:lineRule="atLeast"/>
        <w:rPr>
          <w:sz w:val="24"/>
          <w:szCs w:val="24"/>
        </w:rPr>
      </w:pPr>
      <w:r w:rsidRPr="00720752">
        <w:rPr>
          <w:sz w:val="24"/>
          <w:szCs w:val="24"/>
        </w:rPr>
        <w:t>I</w:t>
      </w:r>
      <w:r w:rsidR="00442A65" w:rsidRPr="00720752">
        <w:rPr>
          <w:sz w:val="24"/>
          <w:szCs w:val="24"/>
        </w:rPr>
        <w:t>tems 13</w:t>
      </w:r>
      <w:r w:rsidR="008B4A07" w:rsidRPr="00720752">
        <w:rPr>
          <w:sz w:val="24"/>
          <w:szCs w:val="24"/>
        </w:rPr>
        <w:t>, 1</w:t>
      </w:r>
      <w:r w:rsidR="00442A65" w:rsidRPr="00720752">
        <w:rPr>
          <w:sz w:val="24"/>
          <w:szCs w:val="24"/>
        </w:rPr>
        <w:t>4</w:t>
      </w:r>
      <w:r w:rsidR="008B4A07" w:rsidRPr="00720752">
        <w:rPr>
          <w:sz w:val="24"/>
          <w:szCs w:val="24"/>
        </w:rPr>
        <w:t>, 1</w:t>
      </w:r>
      <w:r w:rsidR="00442A65" w:rsidRPr="00720752">
        <w:rPr>
          <w:sz w:val="24"/>
          <w:szCs w:val="24"/>
        </w:rPr>
        <w:t>5, 17</w:t>
      </w:r>
      <w:r w:rsidR="008B4A07" w:rsidRPr="00720752">
        <w:rPr>
          <w:sz w:val="24"/>
          <w:szCs w:val="24"/>
        </w:rPr>
        <w:t xml:space="preserve"> Subparagraph 11.3.6(a)(i</w:t>
      </w:r>
      <w:r w:rsidRPr="00720752">
        <w:rPr>
          <w:sz w:val="24"/>
          <w:szCs w:val="24"/>
        </w:rPr>
        <w:t>i) (note)</w:t>
      </w:r>
      <w:r w:rsidR="008B4A07" w:rsidRPr="00720752">
        <w:rPr>
          <w:sz w:val="24"/>
          <w:szCs w:val="24"/>
        </w:rPr>
        <w:t>, Subparagraph 11.3.6(a)(iv) (note (2)), Subparagraph 11.3.6(b) (note (4)) and Subparagraph 11.3.6(c) (note)</w:t>
      </w:r>
      <w:r w:rsidR="008B4A07" w:rsidRPr="00720752">
        <w:rPr>
          <w:sz w:val="24"/>
          <w:szCs w:val="24"/>
        </w:rPr>
        <w:tab/>
      </w:r>
    </w:p>
    <w:p w14:paraId="0C99FC14" w14:textId="35308E50" w:rsidR="00C25C63" w:rsidRPr="00720752" w:rsidRDefault="008B4A07" w:rsidP="00C25C63">
      <w:pPr>
        <w:spacing w:after="90"/>
        <w:rPr>
          <w:sz w:val="24"/>
          <w:szCs w:val="24"/>
        </w:rPr>
      </w:pPr>
      <w:r w:rsidRPr="00720752">
        <w:rPr>
          <w:sz w:val="24"/>
          <w:szCs w:val="24"/>
        </w:rPr>
        <w:t>These items omit</w:t>
      </w:r>
      <w:r w:rsidR="001C1926" w:rsidRPr="00720752">
        <w:rPr>
          <w:sz w:val="24"/>
          <w:szCs w:val="24"/>
        </w:rPr>
        <w:t xml:space="preserve"> the </w:t>
      </w:r>
      <w:r w:rsidR="00655168" w:rsidRPr="00720752">
        <w:rPr>
          <w:sz w:val="24"/>
          <w:szCs w:val="24"/>
        </w:rPr>
        <w:t xml:space="preserve">link </w:t>
      </w:r>
      <w:r w:rsidR="001C1926" w:rsidRPr="00720752">
        <w:rPr>
          <w:sz w:val="24"/>
          <w:szCs w:val="24"/>
        </w:rPr>
        <w:t xml:space="preserve">to the </w:t>
      </w:r>
      <w:r w:rsidR="00655168" w:rsidRPr="00720752">
        <w:rPr>
          <w:sz w:val="24"/>
          <w:szCs w:val="24"/>
        </w:rPr>
        <w:t xml:space="preserve">website that contains the </w:t>
      </w:r>
      <w:r w:rsidR="001C1926" w:rsidRPr="00720752">
        <w:rPr>
          <w:sz w:val="24"/>
          <w:szCs w:val="24"/>
        </w:rPr>
        <w:t xml:space="preserve">RAP Schedule of Equipment, and substitutes a </w:t>
      </w:r>
      <w:r w:rsidR="00655168" w:rsidRPr="00720752">
        <w:rPr>
          <w:sz w:val="24"/>
          <w:szCs w:val="24"/>
        </w:rPr>
        <w:t>new</w:t>
      </w:r>
      <w:r w:rsidRPr="00720752">
        <w:rPr>
          <w:sz w:val="24"/>
          <w:szCs w:val="24"/>
        </w:rPr>
        <w:t xml:space="preserve"> link to the website that contains the RAP Schedule of Equipment.</w:t>
      </w:r>
    </w:p>
    <w:p w14:paraId="7F3BE9ED" w14:textId="010EE3C0" w:rsidR="00655168" w:rsidRPr="00720752" w:rsidRDefault="00655168" w:rsidP="00C25C63">
      <w:pPr>
        <w:spacing w:after="90"/>
        <w:rPr>
          <w:sz w:val="24"/>
          <w:szCs w:val="24"/>
        </w:rPr>
      </w:pPr>
      <w:r w:rsidRPr="00720752">
        <w:rPr>
          <w:sz w:val="24"/>
          <w:szCs w:val="24"/>
        </w:rPr>
        <w:t>This amendment is required as the website page containing the RAP Schedule of Equipment has been changed. The RAP Schedule of E</w:t>
      </w:r>
      <w:r w:rsidR="00682A2F" w:rsidRPr="00720752">
        <w:rPr>
          <w:sz w:val="24"/>
          <w:szCs w:val="24"/>
        </w:rPr>
        <w:t>quipment can be accessed</w:t>
      </w:r>
      <w:r w:rsidRPr="00720752">
        <w:rPr>
          <w:sz w:val="24"/>
          <w:szCs w:val="24"/>
        </w:rPr>
        <w:t xml:space="preserve"> on the Department’s website by using the new substituted link. </w:t>
      </w:r>
    </w:p>
    <w:p w14:paraId="136AB58E" w14:textId="1B6D2496" w:rsidR="00C25C63" w:rsidRPr="00720752" w:rsidRDefault="007C4EA4" w:rsidP="00C25C63">
      <w:pPr>
        <w:pStyle w:val="Heading2"/>
        <w:pBdr>
          <w:bottom w:val="single" w:sz="6" w:space="11" w:color="EFEFEF"/>
        </w:pBdr>
        <w:spacing w:after="225" w:line="312" w:lineRule="atLeast"/>
        <w:rPr>
          <w:sz w:val="24"/>
          <w:szCs w:val="24"/>
        </w:rPr>
      </w:pPr>
      <w:r w:rsidRPr="00720752">
        <w:rPr>
          <w:sz w:val="24"/>
          <w:szCs w:val="24"/>
        </w:rPr>
        <w:lastRenderedPageBreak/>
        <w:t>I</w:t>
      </w:r>
      <w:r w:rsidR="00EF73B9" w:rsidRPr="00720752">
        <w:rPr>
          <w:sz w:val="24"/>
          <w:szCs w:val="24"/>
        </w:rPr>
        <w:t>tem 1</w:t>
      </w:r>
      <w:r w:rsidR="00442A65" w:rsidRPr="00720752">
        <w:rPr>
          <w:sz w:val="24"/>
          <w:szCs w:val="24"/>
        </w:rPr>
        <w:t>6</w:t>
      </w:r>
      <w:r w:rsidR="00C25C63" w:rsidRPr="00720752">
        <w:rPr>
          <w:sz w:val="24"/>
          <w:szCs w:val="24"/>
        </w:rPr>
        <w:t xml:space="preserve"> Subparagraph 11.3.6(c)(iii) (second occurring)</w:t>
      </w:r>
    </w:p>
    <w:p w14:paraId="596336A9" w14:textId="24018A0F" w:rsidR="00EF73B9" w:rsidRPr="00720752" w:rsidRDefault="00442A65" w:rsidP="00DB0B55">
      <w:pPr>
        <w:spacing w:after="90"/>
        <w:rPr>
          <w:sz w:val="24"/>
          <w:szCs w:val="24"/>
        </w:rPr>
      </w:pPr>
      <w:r w:rsidRPr="00720752">
        <w:rPr>
          <w:sz w:val="24"/>
          <w:szCs w:val="24"/>
        </w:rPr>
        <w:t>Item 16</w:t>
      </w:r>
      <w:r w:rsidR="00EF73B9" w:rsidRPr="00720752">
        <w:rPr>
          <w:sz w:val="24"/>
          <w:szCs w:val="24"/>
        </w:rPr>
        <w:t xml:space="preserve"> omits “(iii) it is otherwise” and substitutes “(iv) it is otherwise”. </w:t>
      </w:r>
    </w:p>
    <w:p w14:paraId="2CDC9313" w14:textId="77777777" w:rsidR="00682A2F" w:rsidRPr="00720752" w:rsidRDefault="00EF73B9" w:rsidP="00DB0B55">
      <w:pPr>
        <w:spacing w:after="90"/>
        <w:rPr>
          <w:sz w:val="24"/>
          <w:szCs w:val="24"/>
        </w:rPr>
      </w:pPr>
      <w:r w:rsidRPr="00720752">
        <w:rPr>
          <w:sz w:val="24"/>
          <w:szCs w:val="24"/>
        </w:rPr>
        <w:t xml:space="preserve">This minor amendment corrects the subparagraph numbering to ensure that the subparagraphs in paragraph 11.3.6(c) are consecutively numbers with no duplications. </w:t>
      </w:r>
    </w:p>
    <w:p w14:paraId="7A035C81" w14:textId="46FE8261" w:rsidR="00EF73B9" w:rsidRPr="00720752" w:rsidRDefault="00682A2F" w:rsidP="00DB0B55">
      <w:pPr>
        <w:spacing w:after="90"/>
        <w:rPr>
          <w:sz w:val="24"/>
          <w:szCs w:val="24"/>
        </w:rPr>
      </w:pPr>
      <w:r w:rsidRPr="00720752">
        <w:rPr>
          <w:sz w:val="24"/>
          <w:szCs w:val="24"/>
        </w:rPr>
        <w:t>There are currently two subparagraphs (iii) in paragraph 11.3.6(c).</w:t>
      </w:r>
    </w:p>
    <w:p w14:paraId="39013202" w14:textId="77777777" w:rsidR="00C25C63" w:rsidRPr="00720752" w:rsidRDefault="00C25C63" w:rsidP="00DB0B55">
      <w:pPr>
        <w:spacing w:after="90"/>
        <w:rPr>
          <w:sz w:val="24"/>
          <w:szCs w:val="24"/>
        </w:rPr>
      </w:pPr>
    </w:p>
    <w:p w14:paraId="04E8D0AF" w14:textId="77777777" w:rsidR="00BC3D72" w:rsidRPr="00720752" w:rsidRDefault="00BC3D72" w:rsidP="00655168">
      <w:pPr>
        <w:spacing w:after="90"/>
        <w:rPr>
          <w:sz w:val="24"/>
          <w:szCs w:val="24"/>
        </w:rPr>
      </w:pPr>
    </w:p>
    <w:p w14:paraId="01A2C499" w14:textId="77777777" w:rsidR="00682A2F" w:rsidRPr="00720752" w:rsidRDefault="00682A2F">
      <w:pPr>
        <w:rPr>
          <w:b/>
          <w:color w:val="000000"/>
          <w:sz w:val="28"/>
          <w:szCs w:val="28"/>
          <w:lang w:val="en-GB"/>
        </w:rPr>
      </w:pPr>
      <w:r w:rsidRPr="00720752">
        <w:rPr>
          <w:color w:val="000000"/>
          <w:sz w:val="28"/>
          <w:szCs w:val="28"/>
        </w:rPr>
        <w:br w:type="page"/>
      </w:r>
    </w:p>
    <w:p w14:paraId="5BC03157" w14:textId="4D0CDDB8" w:rsidR="00BC3D72" w:rsidRPr="00720752" w:rsidRDefault="00442A65" w:rsidP="00BC3D72">
      <w:pPr>
        <w:pStyle w:val="Heading2"/>
        <w:pBdr>
          <w:bottom w:val="single" w:sz="6" w:space="11" w:color="EFEFEF"/>
        </w:pBdr>
        <w:spacing w:after="225" w:line="312" w:lineRule="atLeast"/>
        <w:rPr>
          <w:rFonts w:ascii="Times New Roman" w:hAnsi="Times New Roman"/>
          <w:color w:val="000000"/>
          <w:sz w:val="28"/>
          <w:szCs w:val="28"/>
        </w:rPr>
      </w:pPr>
      <w:r w:rsidRPr="00720752">
        <w:rPr>
          <w:rFonts w:ascii="Times New Roman" w:hAnsi="Times New Roman"/>
          <w:color w:val="000000"/>
          <w:sz w:val="28"/>
          <w:szCs w:val="28"/>
        </w:rPr>
        <w:lastRenderedPageBreak/>
        <w:t>Part 2</w:t>
      </w:r>
      <w:r w:rsidRPr="00720752">
        <w:t>—</w:t>
      </w:r>
      <w:r w:rsidR="00BC3D72" w:rsidRPr="00720752">
        <w:rPr>
          <w:rFonts w:ascii="Times New Roman" w:hAnsi="Times New Roman"/>
          <w:color w:val="000000"/>
          <w:sz w:val="28"/>
          <w:szCs w:val="28"/>
        </w:rPr>
        <w:t xml:space="preserve">Amendments of the Treatment Principles made under section 90 of the Veterans’ Entitlements Act 1986 </w:t>
      </w:r>
    </w:p>
    <w:p w14:paraId="7731C4AC" w14:textId="250601FC" w:rsidR="00BC3D72" w:rsidRPr="00720752" w:rsidRDefault="00BC3D72" w:rsidP="00BC3D72">
      <w:pPr>
        <w:pStyle w:val="Heading2"/>
        <w:pBdr>
          <w:bottom w:val="single" w:sz="6" w:space="11" w:color="EFEFEF"/>
        </w:pBdr>
        <w:spacing w:after="225" w:line="312" w:lineRule="atLeast"/>
        <w:rPr>
          <w:rFonts w:ascii="Times New Roman" w:hAnsi="Times New Roman"/>
          <w:sz w:val="28"/>
          <w:szCs w:val="28"/>
        </w:rPr>
      </w:pPr>
      <w:r w:rsidRPr="00720752">
        <w:rPr>
          <w:rFonts w:ascii="Times New Roman" w:hAnsi="Times New Roman"/>
          <w:sz w:val="28"/>
          <w:szCs w:val="28"/>
        </w:rPr>
        <w:t xml:space="preserve">Treatment Principles </w:t>
      </w:r>
    </w:p>
    <w:p w14:paraId="4B52F42B" w14:textId="5AED6E90" w:rsidR="00BC3D72" w:rsidRPr="00720752" w:rsidRDefault="00BC3D72" w:rsidP="00BC3D72">
      <w:pPr>
        <w:pStyle w:val="Heading2"/>
        <w:pBdr>
          <w:bottom w:val="single" w:sz="6" w:space="11" w:color="EFEFEF"/>
        </w:pBdr>
        <w:spacing w:after="225" w:line="312" w:lineRule="atLeast"/>
        <w:rPr>
          <w:sz w:val="24"/>
          <w:szCs w:val="24"/>
        </w:rPr>
      </w:pPr>
      <w:r w:rsidRPr="00720752">
        <w:rPr>
          <w:sz w:val="24"/>
          <w:szCs w:val="24"/>
        </w:rPr>
        <w:t>Item 1</w:t>
      </w:r>
      <w:r w:rsidR="00720752">
        <w:rPr>
          <w:sz w:val="24"/>
          <w:szCs w:val="24"/>
        </w:rPr>
        <w:t>8</w:t>
      </w:r>
      <w:r w:rsidR="00442A65" w:rsidRPr="00720752">
        <w:rPr>
          <w:sz w:val="24"/>
          <w:szCs w:val="24"/>
        </w:rPr>
        <w:t xml:space="preserve"> </w:t>
      </w:r>
      <w:r w:rsidRPr="00720752">
        <w:rPr>
          <w:sz w:val="24"/>
          <w:szCs w:val="24"/>
        </w:rPr>
        <w:t xml:space="preserve">Paragraph 1.4.1 (definition of “high level of residential care (respite)”) </w:t>
      </w:r>
    </w:p>
    <w:p w14:paraId="486DEEDC" w14:textId="26480BB1" w:rsidR="00BC3D72" w:rsidRPr="00720752" w:rsidRDefault="00BC3D72" w:rsidP="00BC3D72">
      <w:pPr>
        <w:spacing w:after="90"/>
        <w:rPr>
          <w:sz w:val="24"/>
          <w:szCs w:val="24"/>
        </w:rPr>
      </w:pPr>
      <w:r w:rsidRPr="00720752">
        <w:rPr>
          <w:sz w:val="24"/>
          <w:szCs w:val="24"/>
        </w:rPr>
        <w:t>Item 1</w:t>
      </w:r>
      <w:r w:rsidR="00442A65" w:rsidRPr="00720752">
        <w:rPr>
          <w:sz w:val="24"/>
          <w:szCs w:val="24"/>
        </w:rPr>
        <w:t>8</w:t>
      </w:r>
      <w:r w:rsidRPr="00720752">
        <w:rPr>
          <w:sz w:val="24"/>
          <w:szCs w:val="24"/>
        </w:rPr>
        <w:t xml:space="preserve"> repeals the definition of “</w:t>
      </w:r>
      <w:r w:rsidR="00C36F7D" w:rsidRPr="00720752">
        <w:rPr>
          <w:sz w:val="24"/>
          <w:szCs w:val="24"/>
        </w:rPr>
        <w:t>high level of residential care (respite)</w:t>
      </w:r>
      <w:r w:rsidRPr="00720752">
        <w:rPr>
          <w:sz w:val="24"/>
          <w:szCs w:val="24"/>
        </w:rPr>
        <w:t xml:space="preserve">”. </w:t>
      </w:r>
    </w:p>
    <w:p w14:paraId="3C715493" w14:textId="0EE5CD0E" w:rsidR="00BC3D72" w:rsidRPr="00720752" w:rsidRDefault="00BC3D72" w:rsidP="00BC3D72">
      <w:pPr>
        <w:spacing w:after="90"/>
        <w:rPr>
          <w:sz w:val="24"/>
          <w:szCs w:val="24"/>
        </w:rPr>
      </w:pPr>
      <w:r w:rsidRPr="00720752">
        <w:rPr>
          <w:sz w:val="24"/>
          <w:szCs w:val="24"/>
        </w:rPr>
        <w:t>Currently, paragraph 1.4.1 provides that “</w:t>
      </w:r>
      <w:r w:rsidR="00C36F7D" w:rsidRPr="00720752">
        <w:rPr>
          <w:sz w:val="24"/>
          <w:szCs w:val="24"/>
        </w:rPr>
        <w:t>high level of residential care (respite)</w:t>
      </w:r>
      <w:r w:rsidRPr="00720752">
        <w:rPr>
          <w:sz w:val="24"/>
          <w:szCs w:val="24"/>
        </w:rPr>
        <w:t>” means</w:t>
      </w:r>
      <w:r w:rsidR="005B605A" w:rsidRPr="00720752">
        <w:rPr>
          <w:sz w:val="24"/>
          <w:szCs w:val="24"/>
        </w:rPr>
        <w:t>,</w:t>
      </w:r>
      <w:r w:rsidRPr="00720752">
        <w:rPr>
          <w:sz w:val="24"/>
          <w:szCs w:val="24"/>
        </w:rPr>
        <w:t xml:space="preserve"> under the Classification Principles the classification level for the person as a care recipient being provided with residential care as respite care is “high level residential respite care”.</w:t>
      </w:r>
    </w:p>
    <w:p w14:paraId="62C65F65" w14:textId="706BED27" w:rsidR="00BC3D72" w:rsidRPr="00720752" w:rsidRDefault="00BC3D72" w:rsidP="00BC3D72">
      <w:pPr>
        <w:spacing w:after="90"/>
        <w:rPr>
          <w:sz w:val="24"/>
          <w:szCs w:val="24"/>
        </w:rPr>
      </w:pPr>
      <w:r w:rsidRPr="00720752">
        <w:rPr>
          <w:sz w:val="24"/>
          <w:szCs w:val="24"/>
        </w:rPr>
        <w:t>This repeal reflects that from 1 October a new casemix</w:t>
      </w:r>
      <w:r w:rsidR="00720752" w:rsidRPr="00720752">
        <w:rPr>
          <w:sz w:val="24"/>
          <w:szCs w:val="24"/>
        </w:rPr>
        <w:t>-</w:t>
      </w:r>
      <w:r w:rsidRPr="00720752">
        <w:rPr>
          <w:sz w:val="24"/>
          <w:szCs w:val="24"/>
        </w:rPr>
        <w:t xml:space="preserve">based funding model known as the AN-ACC will be introduced for residential aged care services. Under the AN-ACC, the current care domains of lower and high level of care will cease to exist, therefore the definition of ‘high level of residential care (respite) classification will no longer be required. </w:t>
      </w:r>
    </w:p>
    <w:p w14:paraId="6F469748" w14:textId="406AC5BF" w:rsidR="00BC3D72" w:rsidRPr="00720752" w:rsidRDefault="00BC3D72" w:rsidP="00BC3D72">
      <w:pPr>
        <w:pStyle w:val="Heading2"/>
        <w:pBdr>
          <w:bottom w:val="single" w:sz="6" w:space="11" w:color="EFEFEF"/>
        </w:pBdr>
        <w:spacing w:after="225" w:line="312" w:lineRule="atLeast"/>
        <w:rPr>
          <w:sz w:val="24"/>
          <w:szCs w:val="24"/>
        </w:rPr>
      </w:pPr>
      <w:r w:rsidRPr="00720752">
        <w:rPr>
          <w:sz w:val="24"/>
          <w:szCs w:val="24"/>
        </w:rPr>
        <w:t xml:space="preserve">Item </w:t>
      </w:r>
      <w:r w:rsidR="00442A65" w:rsidRPr="00720752">
        <w:rPr>
          <w:sz w:val="24"/>
          <w:szCs w:val="24"/>
        </w:rPr>
        <w:t>19</w:t>
      </w:r>
      <w:r w:rsidRPr="00720752">
        <w:rPr>
          <w:sz w:val="24"/>
          <w:szCs w:val="24"/>
        </w:rPr>
        <w:t xml:space="preserve"> Paragraph 1.4.1 (definition of “residential care (consisting of at least one high or two medium domain categories)”)</w:t>
      </w:r>
    </w:p>
    <w:p w14:paraId="02268D16" w14:textId="547AA097" w:rsidR="00BC3D72" w:rsidRPr="00720752" w:rsidRDefault="00442A65" w:rsidP="00BC3D72">
      <w:pPr>
        <w:spacing w:after="90"/>
        <w:rPr>
          <w:sz w:val="24"/>
          <w:szCs w:val="24"/>
        </w:rPr>
      </w:pPr>
      <w:r w:rsidRPr="00720752">
        <w:rPr>
          <w:sz w:val="24"/>
          <w:szCs w:val="24"/>
        </w:rPr>
        <w:t>Item 19</w:t>
      </w:r>
      <w:r w:rsidR="00BC3D72" w:rsidRPr="00720752">
        <w:rPr>
          <w:sz w:val="24"/>
          <w:szCs w:val="24"/>
        </w:rPr>
        <w:t xml:space="preserve"> repeals the definition of “residential care (consisting of at least one high or two medium domain categories)”.</w:t>
      </w:r>
    </w:p>
    <w:p w14:paraId="1BFF3613" w14:textId="01B6E6E7" w:rsidR="00BC3D72" w:rsidRPr="00720752" w:rsidRDefault="00BC3D72" w:rsidP="00BC3D72">
      <w:pPr>
        <w:spacing w:after="90"/>
        <w:rPr>
          <w:sz w:val="24"/>
          <w:szCs w:val="24"/>
        </w:rPr>
      </w:pPr>
      <w:r w:rsidRPr="00720752">
        <w:rPr>
          <w:sz w:val="24"/>
          <w:szCs w:val="24"/>
        </w:rPr>
        <w:t>Currently paragraph 1.4.1 provides that “residential care (consisting of at least one high or two medium domain categories)” means the care or service provided to a person in residential care who is a person described in paragraph 7(6)(a) of the Quality of Care Principles.</w:t>
      </w:r>
    </w:p>
    <w:p w14:paraId="28CA2968" w14:textId="7C22B024" w:rsidR="00BC3D72" w:rsidRPr="00720752" w:rsidRDefault="00BC3D72" w:rsidP="00BC3D72">
      <w:pPr>
        <w:spacing w:after="90"/>
        <w:rPr>
          <w:sz w:val="24"/>
          <w:szCs w:val="24"/>
        </w:rPr>
      </w:pPr>
      <w:r w:rsidRPr="00720752">
        <w:rPr>
          <w:sz w:val="24"/>
          <w:szCs w:val="24"/>
        </w:rPr>
        <w:t xml:space="preserve">This repeal reflects that from 1 October </w:t>
      </w:r>
      <w:r w:rsidR="005B605A" w:rsidRPr="00720752">
        <w:rPr>
          <w:sz w:val="24"/>
          <w:szCs w:val="24"/>
        </w:rPr>
        <w:t xml:space="preserve">2022 </w:t>
      </w:r>
      <w:r w:rsidRPr="00720752">
        <w:rPr>
          <w:sz w:val="24"/>
          <w:szCs w:val="24"/>
        </w:rPr>
        <w:t>a new casemix</w:t>
      </w:r>
      <w:r w:rsidR="005B605A" w:rsidRPr="00720752">
        <w:rPr>
          <w:sz w:val="24"/>
          <w:szCs w:val="24"/>
        </w:rPr>
        <w:t>-</w:t>
      </w:r>
      <w:r w:rsidRPr="00720752">
        <w:rPr>
          <w:sz w:val="24"/>
          <w:szCs w:val="24"/>
        </w:rPr>
        <w:t xml:space="preserve">based funding model known as the AN-ACC will be introduced for residential aged care services. Under the AN-ACC, the current care domains of lower and high level of care will cease to </w:t>
      </w:r>
      <w:r w:rsidR="005B605A" w:rsidRPr="00720752">
        <w:rPr>
          <w:sz w:val="24"/>
          <w:szCs w:val="24"/>
        </w:rPr>
        <w:t>have effect on and from 1 October 2022</w:t>
      </w:r>
      <w:r w:rsidRPr="00720752">
        <w:rPr>
          <w:sz w:val="24"/>
          <w:szCs w:val="24"/>
        </w:rPr>
        <w:t xml:space="preserve">, therefore the definition of ‘residential care (consisting of at least one or two medium domain categories) will no longer be required. </w:t>
      </w:r>
    </w:p>
    <w:p w14:paraId="6EA35598" w14:textId="2C02F725" w:rsidR="00BC3D72" w:rsidRPr="00720752" w:rsidRDefault="00BC3D72" w:rsidP="00BC3D72">
      <w:pPr>
        <w:pStyle w:val="Heading2"/>
        <w:pBdr>
          <w:bottom w:val="single" w:sz="6" w:space="11" w:color="EFEFEF"/>
        </w:pBdr>
        <w:spacing w:after="225" w:line="312" w:lineRule="atLeast"/>
        <w:rPr>
          <w:sz w:val="24"/>
          <w:szCs w:val="24"/>
        </w:rPr>
      </w:pPr>
      <w:r w:rsidRPr="00720752">
        <w:rPr>
          <w:sz w:val="24"/>
          <w:szCs w:val="24"/>
        </w:rPr>
        <w:t>Item 2</w:t>
      </w:r>
      <w:r w:rsidR="00442A65" w:rsidRPr="00720752">
        <w:rPr>
          <w:sz w:val="24"/>
          <w:szCs w:val="24"/>
        </w:rPr>
        <w:t>0</w:t>
      </w:r>
      <w:r w:rsidR="00F53E1E" w:rsidRPr="00720752">
        <w:rPr>
          <w:sz w:val="24"/>
          <w:szCs w:val="24"/>
        </w:rPr>
        <w:t xml:space="preserve"> </w:t>
      </w:r>
      <w:r w:rsidRPr="00720752">
        <w:rPr>
          <w:sz w:val="24"/>
          <w:szCs w:val="24"/>
        </w:rPr>
        <w:t xml:space="preserve">Subparagraph 2.2.4(a)(ii) </w:t>
      </w:r>
    </w:p>
    <w:p w14:paraId="0B1787C2" w14:textId="2F34471D" w:rsidR="00BC3D72" w:rsidRPr="00720752" w:rsidRDefault="0019449A" w:rsidP="00BC3D72">
      <w:pPr>
        <w:spacing w:after="90"/>
        <w:rPr>
          <w:sz w:val="24"/>
          <w:szCs w:val="24"/>
        </w:rPr>
      </w:pPr>
      <w:r w:rsidRPr="00720752">
        <w:rPr>
          <w:sz w:val="24"/>
          <w:szCs w:val="24"/>
        </w:rPr>
        <w:t>Item 20</w:t>
      </w:r>
      <w:r w:rsidR="00BC3D72" w:rsidRPr="00720752">
        <w:rPr>
          <w:sz w:val="24"/>
          <w:szCs w:val="24"/>
        </w:rPr>
        <w:t xml:space="preserve"> repeals subparagraph 2.2.4(a)(ii) and substitutes a new subparagraph 2.2.4(a)(ii). </w:t>
      </w:r>
    </w:p>
    <w:p w14:paraId="20BFC15F" w14:textId="1E811189" w:rsidR="00BC3D72" w:rsidRPr="00720752" w:rsidRDefault="00BC3D72" w:rsidP="00BC3D72">
      <w:pPr>
        <w:spacing w:after="90"/>
        <w:rPr>
          <w:sz w:val="24"/>
          <w:szCs w:val="24"/>
        </w:rPr>
      </w:pPr>
      <w:r w:rsidRPr="00720752">
        <w:rPr>
          <w:sz w:val="24"/>
          <w:szCs w:val="24"/>
        </w:rPr>
        <w:t xml:space="preserve">New paragraph 2.2.4(a)(ii) refers to an amount equal to the amount of </w:t>
      </w:r>
      <w:r w:rsidR="00F93860" w:rsidRPr="00720752">
        <w:rPr>
          <w:sz w:val="24"/>
          <w:szCs w:val="24"/>
        </w:rPr>
        <w:t>residential care subsidy</w:t>
      </w:r>
      <w:r w:rsidRPr="00720752">
        <w:rPr>
          <w:sz w:val="24"/>
          <w:szCs w:val="24"/>
        </w:rPr>
        <w:t xml:space="preserve"> that would be payable if the veteran was in Australia, plus any </w:t>
      </w:r>
      <w:r w:rsidR="00F93860" w:rsidRPr="00720752">
        <w:rPr>
          <w:sz w:val="24"/>
          <w:szCs w:val="24"/>
        </w:rPr>
        <w:t>daily care fee</w:t>
      </w:r>
      <w:r w:rsidRPr="00720752">
        <w:rPr>
          <w:sz w:val="24"/>
          <w:szCs w:val="24"/>
        </w:rPr>
        <w:t xml:space="preserve"> that the </w:t>
      </w:r>
      <w:r w:rsidR="00F93860" w:rsidRPr="00720752">
        <w:rPr>
          <w:sz w:val="24"/>
          <w:szCs w:val="24"/>
        </w:rPr>
        <w:t>Commission</w:t>
      </w:r>
      <w:r w:rsidRPr="00720752">
        <w:rPr>
          <w:sz w:val="24"/>
          <w:szCs w:val="24"/>
        </w:rPr>
        <w:t xml:space="preserve"> would have accepted responsibility for if the </w:t>
      </w:r>
      <w:r w:rsidR="00F53E1E" w:rsidRPr="00720752">
        <w:rPr>
          <w:sz w:val="24"/>
          <w:szCs w:val="24"/>
        </w:rPr>
        <w:t xml:space="preserve">veteran </w:t>
      </w:r>
      <w:r w:rsidRPr="00720752">
        <w:rPr>
          <w:sz w:val="24"/>
          <w:szCs w:val="24"/>
        </w:rPr>
        <w:t xml:space="preserve">was in Australia. </w:t>
      </w:r>
    </w:p>
    <w:p w14:paraId="776A0D36" w14:textId="3C69F826" w:rsidR="00BC3D72" w:rsidRPr="00720752" w:rsidRDefault="00BC3D72" w:rsidP="00BC3D72">
      <w:pPr>
        <w:spacing w:after="90"/>
        <w:rPr>
          <w:sz w:val="24"/>
          <w:szCs w:val="24"/>
        </w:rPr>
      </w:pPr>
      <w:r w:rsidRPr="00720752">
        <w:rPr>
          <w:sz w:val="24"/>
          <w:szCs w:val="24"/>
        </w:rPr>
        <w:t xml:space="preserve">Instead of referring to the amount equal to the amount of </w:t>
      </w:r>
      <w:r w:rsidR="00F93860" w:rsidRPr="00720752">
        <w:rPr>
          <w:sz w:val="24"/>
          <w:szCs w:val="24"/>
        </w:rPr>
        <w:t>residential care subsidy</w:t>
      </w:r>
      <w:r w:rsidRPr="00720752">
        <w:rPr>
          <w:sz w:val="24"/>
          <w:szCs w:val="24"/>
        </w:rPr>
        <w:t xml:space="preserve"> payable for a person given a high level of residential care, the substituted </w:t>
      </w:r>
      <w:r w:rsidR="00F82D49" w:rsidRPr="00720752">
        <w:rPr>
          <w:sz w:val="24"/>
          <w:szCs w:val="24"/>
        </w:rPr>
        <w:t>sub</w:t>
      </w:r>
      <w:r w:rsidRPr="00720752">
        <w:rPr>
          <w:sz w:val="24"/>
          <w:szCs w:val="24"/>
        </w:rPr>
        <w:t xml:space="preserve">paragraph 2.2.4(a)(ii) refers to an amount of </w:t>
      </w:r>
      <w:r w:rsidR="00F93860" w:rsidRPr="00720752">
        <w:rPr>
          <w:sz w:val="24"/>
          <w:szCs w:val="24"/>
        </w:rPr>
        <w:t>residential care subsidy</w:t>
      </w:r>
      <w:r w:rsidRPr="00720752">
        <w:rPr>
          <w:sz w:val="24"/>
          <w:szCs w:val="24"/>
        </w:rPr>
        <w:t xml:space="preserve"> that would have been payable if the veteran was in Australia for the same period. </w:t>
      </w:r>
    </w:p>
    <w:p w14:paraId="0541D2AF" w14:textId="23A56515" w:rsidR="00442A65" w:rsidRPr="00720752" w:rsidRDefault="00442A65" w:rsidP="00442A65">
      <w:pPr>
        <w:spacing w:after="90"/>
        <w:rPr>
          <w:sz w:val="24"/>
          <w:szCs w:val="24"/>
        </w:rPr>
      </w:pPr>
      <w:r w:rsidRPr="00720752">
        <w:rPr>
          <w:sz w:val="24"/>
          <w:szCs w:val="24"/>
        </w:rPr>
        <w:lastRenderedPageBreak/>
        <w:t xml:space="preserve">This substitution reflects that from 1 October </w:t>
      </w:r>
      <w:r w:rsidR="005B605A" w:rsidRPr="00720752">
        <w:rPr>
          <w:sz w:val="24"/>
          <w:szCs w:val="24"/>
        </w:rPr>
        <w:t xml:space="preserve">2022 </w:t>
      </w:r>
      <w:r w:rsidRPr="00720752">
        <w:rPr>
          <w:sz w:val="24"/>
          <w:szCs w:val="24"/>
        </w:rPr>
        <w:t>a new casemix</w:t>
      </w:r>
      <w:r w:rsidR="005B605A" w:rsidRPr="00720752">
        <w:rPr>
          <w:sz w:val="24"/>
          <w:szCs w:val="24"/>
        </w:rPr>
        <w:t>-</w:t>
      </w:r>
      <w:r w:rsidRPr="00720752">
        <w:rPr>
          <w:sz w:val="24"/>
          <w:szCs w:val="24"/>
        </w:rPr>
        <w:t xml:space="preserve">based funding model known as the AN-ACC will be introduced for residential aged care services. </w:t>
      </w:r>
      <w:r w:rsidR="005B605A" w:rsidRPr="00720752">
        <w:rPr>
          <w:sz w:val="24"/>
          <w:szCs w:val="24"/>
        </w:rPr>
        <w:t>T</w:t>
      </w:r>
      <w:r w:rsidRPr="00720752">
        <w:rPr>
          <w:sz w:val="24"/>
          <w:szCs w:val="24"/>
        </w:rPr>
        <w:t xml:space="preserve">herefore the reference to </w:t>
      </w:r>
      <w:r w:rsidR="0019449A" w:rsidRPr="00720752">
        <w:rPr>
          <w:sz w:val="24"/>
          <w:szCs w:val="24"/>
        </w:rPr>
        <w:t xml:space="preserve">high level of residential care will no longer reflect the residential aged care services. </w:t>
      </w:r>
      <w:r w:rsidRPr="00720752">
        <w:rPr>
          <w:sz w:val="24"/>
          <w:szCs w:val="24"/>
        </w:rPr>
        <w:t xml:space="preserve"> </w:t>
      </w:r>
    </w:p>
    <w:p w14:paraId="5045C644" w14:textId="23876BBE" w:rsidR="00BC3D72" w:rsidRPr="00720752" w:rsidRDefault="00BC3D72" w:rsidP="00BC3D72">
      <w:pPr>
        <w:pStyle w:val="Heading2"/>
        <w:pBdr>
          <w:bottom w:val="single" w:sz="6" w:space="11" w:color="EFEFEF"/>
        </w:pBdr>
        <w:spacing w:after="225" w:line="312" w:lineRule="atLeast"/>
        <w:rPr>
          <w:sz w:val="24"/>
          <w:szCs w:val="24"/>
        </w:rPr>
      </w:pPr>
      <w:r w:rsidRPr="00720752">
        <w:rPr>
          <w:sz w:val="24"/>
          <w:szCs w:val="24"/>
        </w:rPr>
        <w:t>Item 2</w:t>
      </w:r>
      <w:r w:rsidR="0019449A" w:rsidRPr="00720752">
        <w:rPr>
          <w:sz w:val="24"/>
          <w:szCs w:val="24"/>
        </w:rPr>
        <w:t>1</w:t>
      </w:r>
      <w:r w:rsidRPr="00720752">
        <w:rPr>
          <w:sz w:val="24"/>
          <w:szCs w:val="24"/>
        </w:rPr>
        <w:t xml:space="preserve"> Subparagraph 2.2.4(b)(ii) </w:t>
      </w:r>
    </w:p>
    <w:p w14:paraId="1FD3F506" w14:textId="3C3B85F3" w:rsidR="00BC3D72" w:rsidRPr="00720752" w:rsidRDefault="00F82D49" w:rsidP="00BC3D72">
      <w:pPr>
        <w:spacing w:after="90"/>
        <w:rPr>
          <w:sz w:val="24"/>
          <w:szCs w:val="24"/>
        </w:rPr>
      </w:pPr>
      <w:r w:rsidRPr="00720752">
        <w:rPr>
          <w:sz w:val="24"/>
          <w:szCs w:val="24"/>
        </w:rPr>
        <w:t>Item 2</w:t>
      </w:r>
      <w:r w:rsidR="0019449A" w:rsidRPr="00720752">
        <w:rPr>
          <w:sz w:val="24"/>
          <w:szCs w:val="24"/>
        </w:rPr>
        <w:t>1</w:t>
      </w:r>
      <w:r w:rsidR="00BC3D72" w:rsidRPr="00720752">
        <w:rPr>
          <w:sz w:val="24"/>
          <w:szCs w:val="24"/>
        </w:rPr>
        <w:t xml:space="preserve"> repeals subparagraph 2.2.4(b)(ii) and substitutes a new subparagraph 2.2.4(b)(ii). </w:t>
      </w:r>
    </w:p>
    <w:p w14:paraId="216BA440" w14:textId="7712C7CD" w:rsidR="00BC3D72" w:rsidRPr="00720752" w:rsidRDefault="00BC3D72" w:rsidP="00BC3D72">
      <w:pPr>
        <w:spacing w:after="90"/>
        <w:rPr>
          <w:sz w:val="24"/>
          <w:szCs w:val="24"/>
        </w:rPr>
      </w:pPr>
      <w:r w:rsidRPr="00720752">
        <w:rPr>
          <w:sz w:val="24"/>
          <w:szCs w:val="24"/>
        </w:rPr>
        <w:t xml:space="preserve">New paragraph 2.2.4(b)(ii) refers to an amount equal to the amount of </w:t>
      </w:r>
      <w:r w:rsidR="00F93860" w:rsidRPr="00720752">
        <w:rPr>
          <w:sz w:val="24"/>
          <w:szCs w:val="24"/>
        </w:rPr>
        <w:t>residential care subsidy</w:t>
      </w:r>
      <w:r w:rsidRPr="00720752">
        <w:rPr>
          <w:sz w:val="24"/>
          <w:szCs w:val="24"/>
        </w:rPr>
        <w:t xml:space="preserve"> that would be payable if the veteran was in Australia, plus any </w:t>
      </w:r>
      <w:r w:rsidR="00F93860" w:rsidRPr="00720752">
        <w:rPr>
          <w:sz w:val="24"/>
          <w:szCs w:val="24"/>
        </w:rPr>
        <w:t>daily care fee</w:t>
      </w:r>
      <w:r w:rsidRPr="00720752">
        <w:rPr>
          <w:sz w:val="24"/>
          <w:szCs w:val="24"/>
        </w:rPr>
        <w:t xml:space="preserve"> that the </w:t>
      </w:r>
      <w:r w:rsidR="00F93860" w:rsidRPr="00720752">
        <w:rPr>
          <w:sz w:val="24"/>
          <w:szCs w:val="24"/>
        </w:rPr>
        <w:t>Commission</w:t>
      </w:r>
      <w:r w:rsidRPr="00720752">
        <w:rPr>
          <w:sz w:val="24"/>
          <w:szCs w:val="24"/>
        </w:rPr>
        <w:t xml:space="preserve"> would have accepted responsibility for if the veteran was in Australia. </w:t>
      </w:r>
    </w:p>
    <w:p w14:paraId="3988E026" w14:textId="6EF23430" w:rsidR="00BC3D72" w:rsidRPr="00720752" w:rsidRDefault="00BC3D72" w:rsidP="00BC3D72">
      <w:pPr>
        <w:spacing w:after="90"/>
        <w:rPr>
          <w:sz w:val="24"/>
          <w:szCs w:val="24"/>
        </w:rPr>
      </w:pPr>
      <w:r w:rsidRPr="00720752">
        <w:rPr>
          <w:sz w:val="24"/>
          <w:szCs w:val="24"/>
        </w:rPr>
        <w:t xml:space="preserve">Instead of referring to the amount equal to the amount of </w:t>
      </w:r>
      <w:r w:rsidR="00F93860" w:rsidRPr="00720752">
        <w:rPr>
          <w:sz w:val="24"/>
          <w:szCs w:val="24"/>
        </w:rPr>
        <w:t>residential care subsidy</w:t>
      </w:r>
      <w:r w:rsidRPr="00720752">
        <w:rPr>
          <w:sz w:val="24"/>
          <w:szCs w:val="24"/>
        </w:rPr>
        <w:t xml:space="preserve"> payable for a person given a high level of residential care (respite), the substituted </w:t>
      </w:r>
      <w:r w:rsidR="00F82D49" w:rsidRPr="00720752">
        <w:rPr>
          <w:sz w:val="24"/>
          <w:szCs w:val="24"/>
        </w:rPr>
        <w:t>sub</w:t>
      </w:r>
      <w:r w:rsidRPr="00720752">
        <w:rPr>
          <w:sz w:val="24"/>
          <w:szCs w:val="24"/>
        </w:rPr>
        <w:t xml:space="preserve">paragraph 2.2.4(b)(ii) refers to an amount of </w:t>
      </w:r>
      <w:r w:rsidR="00F93860" w:rsidRPr="00720752">
        <w:rPr>
          <w:sz w:val="24"/>
          <w:szCs w:val="24"/>
        </w:rPr>
        <w:t>residential care subsidy</w:t>
      </w:r>
      <w:r w:rsidRPr="00720752">
        <w:rPr>
          <w:sz w:val="24"/>
          <w:szCs w:val="24"/>
        </w:rPr>
        <w:t xml:space="preserve"> that would be payable if the veteran was in Australia for the same period (not exceeding 63 days in a financial year). </w:t>
      </w:r>
    </w:p>
    <w:p w14:paraId="530BF4C9" w14:textId="1B23AD06" w:rsidR="00BC3D72" w:rsidRPr="00720752" w:rsidRDefault="00BC3D72" w:rsidP="00BC3D72">
      <w:pPr>
        <w:spacing w:after="90"/>
        <w:rPr>
          <w:sz w:val="24"/>
          <w:szCs w:val="24"/>
        </w:rPr>
      </w:pPr>
      <w:r w:rsidRPr="00720752">
        <w:rPr>
          <w:sz w:val="24"/>
          <w:szCs w:val="24"/>
        </w:rPr>
        <w:t>This substitution is a consequential ame</w:t>
      </w:r>
      <w:r w:rsidR="00442A65" w:rsidRPr="00720752">
        <w:rPr>
          <w:sz w:val="24"/>
          <w:szCs w:val="24"/>
        </w:rPr>
        <w:t>ndment that reflects that item 18</w:t>
      </w:r>
      <w:r w:rsidRPr="00720752">
        <w:rPr>
          <w:sz w:val="24"/>
          <w:szCs w:val="24"/>
        </w:rPr>
        <w:t xml:space="preserve"> repeals the definition of high level of residential care (respite). Rather than specifying that the person was needed to be in receipt of a high level of residential care (respite), the </w:t>
      </w:r>
      <w:r w:rsidR="00F53E1E" w:rsidRPr="00720752">
        <w:rPr>
          <w:sz w:val="24"/>
          <w:szCs w:val="24"/>
        </w:rPr>
        <w:t xml:space="preserve">substituted </w:t>
      </w:r>
      <w:r w:rsidRPr="00720752">
        <w:rPr>
          <w:sz w:val="24"/>
          <w:szCs w:val="24"/>
        </w:rPr>
        <w:t>subparagraph refers to the amount payable if the veteran was in Australia</w:t>
      </w:r>
      <w:r w:rsidR="005B605A" w:rsidRPr="00720752">
        <w:rPr>
          <w:sz w:val="24"/>
          <w:szCs w:val="24"/>
        </w:rPr>
        <w:t xml:space="preserve"> and receiving residential care (respite). </w:t>
      </w:r>
      <w:r w:rsidRPr="00720752">
        <w:rPr>
          <w:sz w:val="24"/>
          <w:szCs w:val="24"/>
        </w:rPr>
        <w:t xml:space="preserve">  </w:t>
      </w:r>
    </w:p>
    <w:p w14:paraId="0CBA9AD7" w14:textId="4AF84611" w:rsidR="00BC3D72" w:rsidRPr="00720752" w:rsidRDefault="00BC3D72" w:rsidP="00BC3D72">
      <w:pPr>
        <w:pStyle w:val="Heading2"/>
        <w:pBdr>
          <w:bottom w:val="single" w:sz="6" w:space="11" w:color="EFEFEF"/>
        </w:pBdr>
        <w:spacing w:after="225" w:line="312" w:lineRule="atLeast"/>
        <w:rPr>
          <w:sz w:val="24"/>
          <w:szCs w:val="24"/>
        </w:rPr>
      </w:pPr>
      <w:r w:rsidRPr="00720752">
        <w:rPr>
          <w:sz w:val="24"/>
          <w:szCs w:val="24"/>
        </w:rPr>
        <w:t xml:space="preserve">Item </w:t>
      </w:r>
      <w:r w:rsidR="00F82D49" w:rsidRPr="00720752">
        <w:rPr>
          <w:sz w:val="24"/>
          <w:szCs w:val="24"/>
        </w:rPr>
        <w:t>2</w:t>
      </w:r>
      <w:r w:rsidR="0019449A" w:rsidRPr="00720752">
        <w:rPr>
          <w:sz w:val="24"/>
          <w:szCs w:val="24"/>
        </w:rPr>
        <w:t>2</w:t>
      </w:r>
      <w:r w:rsidRPr="00720752">
        <w:rPr>
          <w:sz w:val="24"/>
          <w:szCs w:val="24"/>
        </w:rPr>
        <w:t xml:space="preserve"> Paragraph 7.1.3 </w:t>
      </w:r>
    </w:p>
    <w:p w14:paraId="6DD2D915" w14:textId="46F6100F" w:rsidR="00BC3D72" w:rsidRPr="00720752" w:rsidRDefault="0019449A" w:rsidP="00BC3D72">
      <w:pPr>
        <w:spacing w:after="90"/>
        <w:rPr>
          <w:sz w:val="24"/>
          <w:szCs w:val="24"/>
        </w:rPr>
      </w:pPr>
      <w:r w:rsidRPr="00720752">
        <w:rPr>
          <w:sz w:val="24"/>
          <w:szCs w:val="24"/>
        </w:rPr>
        <w:t>Item 22</w:t>
      </w:r>
      <w:r w:rsidR="00BC3D72" w:rsidRPr="00720752">
        <w:rPr>
          <w:sz w:val="24"/>
          <w:szCs w:val="24"/>
        </w:rPr>
        <w:t xml:space="preserve"> repeals paragraph 7.1.3 and substitutes a new paragraph 7.1.3. </w:t>
      </w:r>
    </w:p>
    <w:p w14:paraId="4CDEF68F" w14:textId="42B18337" w:rsidR="00BC3D72" w:rsidRPr="00720752" w:rsidRDefault="00F82D49" w:rsidP="00BC3D72">
      <w:pPr>
        <w:spacing w:after="90"/>
        <w:rPr>
          <w:sz w:val="24"/>
          <w:szCs w:val="24"/>
        </w:rPr>
      </w:pPr>
      <w:r w:rsidRPr="00720752">
        <w:rPr>
          <w:sz w:val="24"/>
          <w:szCs w:val="24"/>
        </w:rPr>
        <w:t>Currently, p</w:t>
      </w:r>
      <w:r w:rsidR="00BC3D72" w:rsidRPr="00720752">
        <w:rPr>
          <w:sz w:val="24"/>
          <w:szCs w:val="24"/>
        </w:rPr>
        <w:t xml:space="preserve">aragraph 7.1.3 provides that subject to paragraphs 7.1C.1, 7.5.3, 7.6.2 and 7.6A.2, the </w:t>
      </w:r>
      <w:r w:rsidR="00F93860" w:rsidRPr="00720752">
        <w:rPr>
          <w:sz w:val="24"/>
          <w:szCs w:val="24"/>
        </w:rPr>
        <w:t>Commission</w:t>
      </w:r>
      <w:r w:rsidR="00BC3D72" w:rsidRPr="00720752">
        <w:rPr>
          <w:sz w:val="24"/>
          <w:szCs w:val="24"/>
        </w:rPr>
        <w:t xml:space="preserve"> will not accept financial responsibility for services listed in paragraph 7.1.2 for an </w:t>
      </w:r>
      <w:r w:rsidR="00F93860" w:rsidRPr="00720752">
        <w:rPr>
          <w:sz w:val="24"/>
          <w:szCs w:val="24"/>
        </w:rPr>
        <w:t>entitled person</w:t>
      </w:r>
      <w:r w:rsidR="00BC3D72" w:rsidRPr="00720752">
        <w:rPr>
          <w:sz w:val="24"/>
          <w:szCs w:val="24"/>
        </w:rPr>
        <w:t xml:space="preserve"> receiving residential care if the person is a person described in paragraph 7(6)(a) of the Quality of Care Principles. </w:t>
      </w:r>
    </w:p>
    <w:p w14:paraId="6F74AF4E" w14:textId="2F03AC20" w:rsidR="00F82D49" w:rsidRPr="00720752" w:rsidRDefault="00F82D49" w:rsidP="00F82D49">
      <w:pPr>
        <w:spacing w:after="90"/>
        <w:rPr>
          <w:sz w:val="24"/>
          <w:szCs w:val="24"/>
        </w:rPr>
      </w:pPr>
      <w:r w:rsidRPr="00720752">
        <w:rPr>
          <w:sz w:val="24"/>
          <w:szCs w:val="24"/>
        </w:rPr>
        <w:t xml:space="preserve">Paragraph 7(6)(a) of the Quality of Care Principles refers to a care recipient whose classification level includes high ADL domain category, high CHC domain category, high behaviour domain category or a medium domain category in at least 2 domains. </w:t>
      </w:r>
    </w:p>
    <w:p w14:paraId="20A5B693" w14:textId="59C5D2A0" w:rsidR="00BC3D72" w:rsidRPr="00720752" w:rsidRDefault="00BC3D72" w:rsidP="00BC3D72">
      <w:pPr>
        <w:spacing w:after="90"/>
        <w:rPr>
          <w:sz w:val="24"/>
          <w:szCs w:val="24"/>
        </w:rPr>
      </w:pPr>
      <w:r w:rsidRPr="00720752">
        <w:rPr>
          <w:sz w:val="24"/>
          <w:szCs w:val="24"/>
        </w:rPr>
        <w:t xml:space="preserve">New paragraph 7.1.3 provides that the </w:t>
      </w:r>
      <w:r w:rsidR="00F93860" w:rsidRPr="00720752">
        <w:rPr>
          <w:sz w:val="24"/>
          <w:szCs w:val="24"/>
        </w:rPr>
        <w:t>Commission</w:t>
      </w:r>
      <w:r w:rsidRPr="00720752">
        <w:rPr>
          <w:sz w:val="24"/>
          <w:szCs w:val="24"/>
        </w:rPr>
        <w:t xml:space="preserve"> will not accept financial responsibility for a service listed in paragraph 7.1.2 for an </w:t>
      </w:r>
      <w:r w:rsidR="00F93860" w:rsidRPr="00720752">
        <w:rPr>
          <w:sz w:val="24"/>
          <w:szCs w:val="24"/>
        </w:rPr>
        <w:t>entitled person</w:t>
      </w:r>
      <w:r w:rsidRPr="00720752">
        <w:rPr>
          <w:sz w:val="24"/>
          <w:szCs w:val="24"/>
        </w:rPr>
        <w:t xml:space="preserve"> receiving residential care if the </w:t>
      </w:r>
      <w:r w:rsidR="00F93860" w:rsidRPr="00720752">
        <w:rPr>
          <w:sz w:val="24"/>
          <w:szCs w:val="24"/>
        </w:rPr>
        <w:t>Commission</w:t>
      </w:r>
      <w:r w:rsidRPr="00720752">
        <w:rPr>
          <w:sz w:val="24"/>
          <w:szCs w:val="24"/>
        </w:rPr>
        <w:t xml:space="preserve"> is satisfied that it is more appropriate in the situation that the service is provided by owner or operator of the </w:t>
      </w:r>
      <w:r w:rsidR="00F93860" w:rsidRPr="00720752">
        <w:rPr>
          <w:sz w:val="24"/>
          <w:szCs w:val="24"/>
        </w:rPr>
        <w:t>residential care facility</w:t>
      </w:r>
      <w:r w:rsidRPr="00720752">
        <w:rPr>
          <w:sz w:val="24"/>
          <w:szCs w:val="24"/>
        </w:rPr>
        <w:t xml:space="preserve"> because it is fair for the owner or operator to bear the cost of supplying the service. The appropriateness of the owner or operator providing the service would be due to the funding or subsidies received under Commonwealth, State or Territory legislation. </w:t>
      </w:r>
    </w:p>
    <w:p w14:paraId="1059EB17" w14:textId="3D977C1F" w:rsidR="00BC3D72" w:rsidRPr="00720752" w:rsidRDefault="00BC3D72" w:rsidP="00BC3D72">
      <w:pPr>
        <w:spacing w:after="90"/>
        <w:rPr>
          <w:sz w:val="24"/>
          <w:szCs w:val="24"/>
        </w:rPr>
      </w:pPr>
      <w:r w:rsidRPr="00720752">
        <w:rPr>
          <w:sz w:val="24"/>
          <w:szCs w:val="24"/>
        </w:rPr>
        <w:t xml:space="preserve">A note </w:t>
      </w:r>
      <w:r w:rsidR="00F82D49" w:rsidRPr="00720752">
        <w:rPr>
          <w:sz w:val="24"/>
          <w:szCs w:val="24"/>
        </w:rPr>
        <w:t>is included after</w:t>
      </w:r>
      <w:r w:rsidRPr="00720752">
        <w:rPr>
          <w:sz w:val="24"/>
          <w:szCs w:val="24"/>
        </w:rPr>
        <w:t xml:space="preserve"> paragraph 7.1.3. The note provides an example that if the </w:t>
      </w:r>
      <w:r w:rsidR="00F93860" w:rsidRPr="00720752">
        <w:rPr>
          <w:sz w:val="24"/>
          <w:szCs w:val="24"/>
        </w:rPr>
        <w:t>Commission</w:t>
      </w:r>
      <w:r w:rsidRPr="00720752">
        <w:rPr>
          <w:sz w:val="24"/>
          <w:szCs w:val="24"/>
        </w:rPr>
        <w:t xml:space="preserve"> is taken to have accepted financial responsibility for amounts in respect of the </w:t>
      </w:r>
      <w:r w:rsidR="00F93860" w:rsidRPr="00720752">
        <w:rPr>
          <w:sz w:val="24"/>
          <w:szCs w:val="24"/>
        </w:rPr>
        <w:t>entitled person</w:t>
      </w:r>
      <w:r w:rsidRPr="00720752">
        <w:rPr>
          <w:sz w:val="24"/>
          <w:szCs w:val="24"/>
        </w:rPr>
        <w:t xml:space="preserve">’s residential care under Part 10 on the basis that those amounts are intended to cover services listed in paragraph 7.1.2, the </w:t>
      </w:r>
      <w:r w:rsidR="00F93860" w:rsidRPr="00720752">
        <w:rPr>
          <w:sz w:val="24"/>
          <w:szCs w:val="24"/>
        </w:rPr>
        <w:t>Commission</w:t>
      </w:r>
      <w:r w:rsidRPr="00720752">
        <w:rPr>
          <w:sz w:val="24"/>
          <w:szCs w:val="24"/>
        </w:rPr>
        <w:t xml:space="preserve"> will not also accept financial responsibility for those services under paragraph 7.1.2.</w:t>
      </w:r>
    </w:p>
    <w:p w14:paraId="4563FC76" w14:textId="12AEC40E" w:rsidR="00682A2F" w:rsidRPr="00720752" w:rsidRDefault="00682A2F" w:rsidP="00BC3D72">
      <w:pPr>
        <w:spacing w:after="90"/>
        <w:rPr>
          <w:sz w:val="24"/>
          <w:szCs w:val="24"/>
        </w:rPr>
      </w:pPr>
      <w:r w:rsidRPr="00720752">
        <w:rPr>
          <w:sz w:val="24"/>
          <w:szCs w:val="24"/>
        </w:rPr>
        <w:lastRenderedPageBreak/>
        <w:t xml:space="preserve">For example, if an owner of a residential care facility received funding under Commonwealth legislation in relation to a specific service to be provided to a person in an aged care facility, it may be fair that the owner of the residential care facility bears the cost of supplying the service to the eligible person. This ensures that no duplication of funding in relation to a specified service such as allied health services made available to a person in an aged care facility. </w:t>
      </w:r>
    </w:p>
    <w:p w14:paraId="633375F7" w14:textId="49D682C8" w:rsidR="00BC3D72" w:rsidRPr="00720752" w:rsidRDefault="00BC3D72" w:rsidP="00BC3D72">
      <w:pPr>
        <w:spacing w:after="90"/>
        <w:rPr>
          <w:sz w:val="24"/>
          <w:szCs w:val="24"/>
        </w:rPr>
      </w:pPr>
      <w:r w:rsidRPr="00720752">
        <w:rPr>
          <w:sz w:val="24"/>
          <w:szCs w:val="24"/>
        </w:rPr>
        <w:t xml:space="preserve">The effect of the new paragraph is that the </w:t>
      </w:r>
      <w:r w:rsidR="00F93860" w:rsidRPr="00720752">
        <w:rPr>
          <w:sz w:val="24"/>
          <w:szCs w:val="24"/>
        </w:rPr>
        <w:t>Commission</w:t>
      </w:r>
      <w:r w:rsidRPr="00720752">
        <w:rPr>
          <w:sz w:val="24"/>
          <w:szCs w:val="24"/>
        </w:rPr>
        <w:t xml:space="preserve"> will not accept financial responsibility for an allied health service for an </w:t>
      </w:r>
      <w:r w:rsidR="00F93860" w:rsidRPr="00720752">
        <w:rPr>
          <w:sz w:val="24"/>
          <w:szCs w:val="24"/>
        </w:rPr>
        <w:t>entitled person</w:t>
      </w:r>
      <w:r w:rsidRPr="00720752">
        <w:rPr>
          <w:sz w:val="24"/>
          <w:szCs w:val="24"/>
        </w:rPr>
        <w:t xml:space="preserve"> receiving residential care where it is more appropriate for the service to be provided by owner or operator of the residential care facility. This is intended to remove any potential for duplication of services and to ensure that the most appropriate provider, be that the </w:t>
      </w:r>
      <w:r w:rsidR="00F93860" w:rsidRPr="00720752">
        <w:rPr>
          <w:sz w:val="24"/>
          <w:szCs w:val="24"/>
        </w:rPr>
        <w:t>Commission</w:t>
      </w:r>
      <w:r w:rsidRPr="00720752">
        <w:rPr>
          <w:sz w:val="24"/>
          <w:szCs w:val="24"/>
        </w:rPr>
        <w:t xml:space="preserve"> or the owner or operator of the residential care facility, be financially responsi</w:t>
      </w:r>
      <w:r w:rsidR="0010086E" w:rsidRPr="00720752">
        <w:rPr>
          <w:sz w:val="24"/>
          <w:szCs w:val="24"/>
        </w:rPr>
        <w:t>ble for providing that service.</w:t>
      </w:r>
      <w:r w:rsidRPr="00720752">
        <w:rPr>
          <w:sz w:val="24"/>
          <w:szCs w:val="24"/>
        </w:rPr>
        <w:t xml:space="preserve"> </w:t>
      </w:r>
    </w:p>
    <w:p w14:paraId="48416144" w14:textId="2FFCBA63" w:rsidR="00BC3D72" w:rsidRPr="00720752" w:rsidRDefault="00BC3D72" w:rsidP="00BC3D72">
      <w:pPr>
        <w:pStyle w:val="Heading2"/>
        <w:pBdr>
          <w:bottom w:val="single" w:sz="6" w:space="11" w:color="EFEFEF"/>
        </w:pBdr>
        <w:spacing w:after="225" w:line="312" w:lineRule="atLeast"/>
        <w:rPr>
          <w:sz w:val="24"/>
          <w:szCs w:val="24"/>
        </w:rPr>
      </w:pPr>
      <w:r w:rsidRPr="00720752">
        <w:rPr>
          <w:sz w:val="24"/>
          <w:szCs w:val="24"/>
        </w:rPr>
        <w:t xml:space="preserve">Item </w:t>
      </w:r>
      <w:r w:rsidR="0019449A" w:rsidRPr="00720752">
        <w:rPr>
          <w:sz w:val="24"/>
          <w:szCs w:val="24"/>
        </w:rPr>
        <w:t>23</w:t>
      </w:r>
      <w:r w:rsidRPr="00720752">
        <w:rPr>
          <w:sz w:val="24"/>
          <w:szCs w:val="24"/>
        </w:rPr>
        <w:t xml:space="preserve"> Principle 7.1C </w:t>
      </w:r>
    </w:p>
    <w:p w14:paraId="1D54C05E" w14:textId="4C6A09EA" w:rsidR="00F82D49" w:rsidRPr="00720752" w:rsidRDefault="0019449A" w:rsidP="00F82D49">
      <w:pPr>
        <w:spacing w:after="90"/>
        <w:rPr>
          <w:sz w:val="24"/>
          <w:szCs w:val="24"/>
        </w:rPr>
      </w:pPr>
      <w:r w:rsidRPr="00720752">
        <w:rPr>
          <w:sz w:val="24"/>
          <w:szCs w:val="24"/>
        </w:rPr>
        <w:t>Item 23</w:t>
      </w:r>
      <w:r w:rsidR="00F82D49" w:rsidRPr="00720752">
        <w:rPr>
          <w:sz w:val="24"/>
          <w:szCs w:val="24"/>
        </w:rPr>
        <w:t xml:space="preserve"> repeals Principle 7.1C.</w:t>
      </w:r>
    </w:p>
    <w:p w14:paraId="5764A08D" w14:textId="3916D30F" w:rsidR="00F82D49" w:rsidRPr="00720752" w:rsidRDefault="00F82D49" w:rsidP="00F82D49">
      <w:pPr>
        <w:spacing w:after="90"/>
        <w:rPr>
          <w:sz w:val="24"/>
          <w:szCs w:val="24"/>
        </w:rPr>
      </w:pPr>
      <w:r w:rsidRPr="00720752">
        <w:rPr>
          <w:sz w:val="24"/>
          <w:szCs w:val="24"/>
        </w:rPr>
        <w:t xml:space="preserve">Paragraph 7.1C.1 of Principle 7.1C provides that for treatment provided in the period between 10 December 2020 and 30 June 2022, the </w:t>
      </w:r>
      <w:r w:rsidR="00F93860" w:rsidRPr="00720752">
        <w:rPr>
          <w:sz w:val="24"/>
          <w:szCs w:val="24"/>
        </w:rPr>
        <w:t>Commission</w:t>
      </w:r>
      <w:r w:rsidRPr="00720752">
        <w:rPr>
          <w:sz w:val="24"/>
          <w:szCs w:val="24"/>
        </w:rPr>
        <w:t xml:space="preserve"> accepts financial responsibility for services listed in paragraphs 7.1.2(a), (aa), (b), (c), (dd), (e), (h), (j), (k), (l), (m) and (n) and for treatments between 1 July 2022 and 31 December 2022, the </w:t>
      </w:r>
      <w:r w:rsidR="00F93860" w:rsidRPr="00720752">
        <w:rPr>
          <w:sz w:val="24"/>
          <w:szCs w:val="24"/>
        </w:rPr>
        <w:t>Commission</w:t>
      </w:r>
      <w:r w:rsidRPr="00720752">
        <w:rPr>
          <w:sz w:val="24"/>
          <w:szCs w:val="24"/>
        </w:rPr>
        <w:t xml:space="preserve"> will accept financial responsibility for services listed in paragraphs 7.1.2(e), (l) and (m) in the circumstances set out in paragraph (a) and (b). </w:t>
      </w:r>
    </w:p>
    <w:p w14:paraId="4A702939" w14:textId="3AEF049E" w:rsidR="00F82D49" w:rsidRPr="00720752" w:rsidRDefault="00F82D49" w:rsidP="00F82D49">
      <w:pPr>
        <w:spacing w:after="90"/>
        <w:rPr>
          <w:sz w:val="24"/>
          <w:szCs w:val="24"/>
        </w:rPr>
      </w:pPr>
      <w:r w:rsidRPr="00720752">
        <w:rPr>
          <w:sz w:val="24"/>
          <w:szCs w:val="24"/>
        </w:rPr>
        <w:t xml:space="preserve">The circumstance set out in paragraph (a) is that the </w:t>
      </w:r>
      <w:r w:rsidR="00F93860" w:rsidRPr="00720752">
        <w:rPr>
          <w:sz w:val="24"/>
          <w:szCs w:val="24"/>
        </w:rPr>
        <w:t>entitled person</w:t>
      </w:r>
      <w:r w:rsidRPr="00720752">
        <w:rPr>
          <w:sz w:val="24"/>
          <w:szCs w:val="24"/>
        </w:rPr>
        <w:t xml:space="preserve"> must be receiving residential care as described in paragraph 7(6)(a) of the Quality of Care Principles and the circumstance set out in paragraph (b) is that the services must be provided in accordance with the limits imposed in the relevant section of the Notes for Allied Providers and in the applicable Fee Schedule.</w:t>
      </w:r>
    </w:p>
    <w:p w14:paraId="4BEA4E0B" w14:textId="7E90F5B0" w:rsidR="00F82D49" w:rsidRPr="00720752" w:rsidRDefault="00F82D49" w:rsidP="00F82D49">
      <w:pPr>
        <w:spacing w:after="90"/>
        <w:rPr>
          <w:sz w:val="24"/>
          <w:szCs w:val="24"/>
        </w:rPr>
      </w:pPr>
      <w:r w:rsidRPr="00720752">
        <w:rPr>
          <w:sz w:val="24"/>
          <w:szCs w:val="24"/>
        </w:rPr>
        <w:t xml:space="preserve">Paragraph 7(6)(a) of the Quality of Care Principles refers to a care recipient whose classification level includes high ADL domain category, high CHC domain category, high behaviour domain category or a medium domain category in at least 2 domains. </w:t>
      </w:r>
    </w:p>
    <w:p w14:paraId="76C0C9C5" w14:textId="1D68B533" w:rsidR="00F82D49" w:rsidRPr="00720752" w:rsidRDefault="00F82D49" w:rsidP="00F82D49">
      <w:pPr>
        <w:spacing w:after="90"/>
        <w:rPr>
          <w:sz w:val="24"/>
          <w:szCs w:val="24"/>
        </w:rPr>
      </w:pPr>
      <w:r w:rsidRPr="00720752">
        <w:rPr>
          <w:sz w:val="24"/>
          <w:szCs w:val="24"/>
        </w:rPr>
        <w:t xml:space="preserve">This repeal reflects that from 1 October </w:t>
      </w:r>
      <w:r w:rsidR="005B605A" w:rsidRPr="00720752">
        <w:rPr>
          <w:sz w:val="24"/>
          <w:szCs w:val="24"/>
        </w:rPr>
        <w:t xml:space="preserve">2022 </w:t>
      </w:r>
      <w:r w:rsidRPr="00720752">
        <w:rPr>
          <w:sz w:val="24"/>
          <w:szCs w:val="24"/>
        </w:rPr>
        <w:t>a new casemix</w:t>
      </w:r>
      <w:r w:rsidR="005B605A" w:rsidRPr="00720752">
        <w:rPr>
          <w:sz w:val="24"/>
          <w:szCs w:val="24"/>
        </w:rPr>
        <w:t>-</w:t>
      </w:r>
      <w:r w:rsidRPr="00720752">
        <w:rPr>
          <w:sz w:val="24"/>
          <w:szCs w:val="24"/>
        </w:rPr>
        <w:t xml:space="preserve">based funding model known as the AN-ACC will be introduced for residential aged care services. </w:t>
      </w:r>
      <w:r w:rsidR="00682A2F" w:rsidRPr="00720752">
        <w:rPr>
          <w:sz w:val="24"/>
          <w:szCs w:val="24"/>
        </w:rPr>
        <w:t xml:space="preserve">In addition, the fixed period specified in paragraph 7.1C.1 no longer applies, and that allied health services are now available to aged care facility patients who are eligible persons without any restriction on the level of care classification of specified patients. </w:t>
      </w:r>
      <w:r w:rsidRPr="00720752">
        <w:rPr>
          <w:sz w:val="24"/>
          <w:szCs w:val="24"/>
        </w:rPr>
        <w:t xml:space="preserve"> </w:t>
      </w:r>
    </w:p>
    <w:p w14:paraId="5D09793C" w14:textId="77777777" w:rsidR="00F82D49" w:rsidRPr="00720752" w:rsidRDefault="00F82D49" w:rsidP="00F82D49">
      <w:pPr>
        <w:spacing w:after="90"/>
        <w:rPr>
          <w:sz w:val="24"/>
          <w:szCs w:val="24"/>
        </w:rPr>
      </w:pPr>
      <w:r w:rsidRPr="00720752">
        <w:rPr>
          <w:sz w:val="24"/>
          <w:szCs w:val="24"/>
        </w:rPr>
        <w:t>As Part 7.IC only includes paragraph 7.1C.1, Principle 7.1C in its entirety has been repealed.</w:t>
      </w:r>
    </w:p>
    <w:p w14:paraId="4F7CD793" w14:textId="3DEEEF0C" w:rsidR="00F82D49" w:rsidRPr="00720752" w:rsidRDefault="00F82D49" w:rsidP="00F82D49">
      <w:pPr>
        <w:spacing w:after="90"/>
        <w:rPr>
          <w:sz w:val="24"/>
          <w:szCs w:val="24"/>
        </w:rPr>
      </w:pPr>
      <w:r w:rsidRPr="00720752">
        <w:rPr>
          <w:sz w:val="24"/>
          <w:szCs w:val="24"/>
        </w:rPr>
        <w:t xml:space="preserve">By removing Principle 7.1C, the </w:t>
      </w:r>
      <w:r w:rsidR="00F93860" w:rsidRPr="00720752">
        <w:rPr>
          <w:sz w:val="24"/>
          <w:szCs w:val="24"/>
        </w:rPr>
        <w:t>Commission</w:t>
      </w:r>
      <w:r w:rsidRPr="00720752">
        <w:rPr>
          <w:sz w:val="24"/>
          <w:szCs w:val="24"/>
        </w:rPr>
        <w:t xml:space="preserve"> will effectively accept financial responsibility for relevant services listed in Part 7.1.2 for eligible persons in residential care from 1 October 2022</w:t>
      </w:r>
      <w:r w:rsidR="005B605A" w:rsidRPr="00720752">
        <w:rPr>
          <w:sz w:val="24"/>
          <w:szCs w:val="24"/>
        </w:rPr>
        <w:t>, regardless of their care classification under the AN-ACC and as long as there is no duplication of supplying these services to the eligible person</w:t>
      </w:r>
      <w:r w:rsidRPr="00720752">
        <w:rPr>
          <w:sz w:val="24"/>
          <w:szCs w:val="24"/>
        </w:rPr>
        <w:t xml:space="preserve">.  </w:t>
      </w:r>
    </w:p>
    <w:p w14:paraId="02C4BEF8" w14:textId="43BCFD34" w:rsidR="00BC3D72" w:rsidRPr="00720752" w:rsidRDefault="00BC3D72" w:rsidP="00BC3D72">
      <w:pPr>
        <w:pStyle w:val="Heading2"/>
        <w:pBdr>
          <w:bottom w:val="single" w:sz="6" w:space="11" w:color="EFEFEF"/>
        </w:pBdr>
        <w:spacing w:after="225" w:line="312" w:lineRule="atLeast"/>
        <w:rPr>
          <w:sz w:val="24"/>
          <w:szCs w:val="24"/>
        </w:rPr>
      </w:pPr>
      <w:r w:rsidRPr="00720752">
        <w:rPr>
          <w:sz w:val="24"/>
          <w:szCs w:val="24"/>
        </w:rPr>
        <w:t xml:space="preserve">Item </w:t>
      </w:r>
      <w:r w:rsidR="0019449A" w:rsidRPr="00720752">
        <w:rPr>
          <w:sz w:val="24"/>
          <w:szCs w:val="24"/>
        </w:rPr>
        <w:t>24</w:t>
      </w:r>
      <w:r w:rsidRPr="00720752">
        <w:rPr>
          <w:sz w:val="24"/>
          <w:szCs w:val="24"/>
        </w:rPr>
        <w:t xml:space="preserve"> Paragraph 7.5.3 </w:t>
      </w:r>
    </w:p>
    <w:p w14:paraId="50DEF314" w14:textId="2E6C7347" w:rsidR="00BC3D72" w:rsidRPr="00720752" w:rsidRDefault="0019449A" w:rsidP="00BC3D72">
      <w:pPr>
        <w:spacing w:after="90"/>
        <w:rPr>
          <w:sz w:val="24"/>
          <w:szCs w:val="24"/>
        </w:rPr>
      </w:pPr>
      <w:r w:rsidRPr="00720752">
        <w:rPr>
          <w:sz w:val="24"/>
          <w:szCs w:val="24"/>
        </w:rPr>
        <w:t>Item 24</w:t>
      </w:r>
      <w:r w:rsidR="00BC3D72" w:rsidRPr="00720752">
        <w:rPr>
          <w:sz w:val="24"/>
          <w:szCs w:val="24"/>
        </w:rPr>
        <w:t xml:space="preserve"> repeals paragraph 7.5.3, including the note, and substitutes a new paragraph 7.5.3.</w:t>
      </w:r>
    </w:p>
    <w:p w14:paraId="14202EF2" w14:textId="1FCB8BF9" w:rsidR="00BC3D72" w:rsidRPr="00720752" w:rsidRDefault="00BC3D72" w:rsidP="00BC3D72">
      <w:pPr>
        <w:spacing w:after="90"/>
        <w:rPr>
          <w:sz w:val="24"/>
          <w:szCs w:val="24"/>
        </w:rPr>
      </w:pPr>
      <w:r w:rsidRPr="00720752">
        <w:rPr>
          <w:sz w:val="24"/>
          <w:szCs w:val="24"/>
        </w:rPr>
        <w:lastRenderedPageBreak/>
        <w:t xml:space="preserve">Paragraph 7.5.3 provides that subject to paragraph 7.1C.1, prior approval is required for physiotherapy treatment where those services are to be provided to an </w:t>
      </w:r>
      <w:r w:rsidR="00F93860" w:rsidRPr="00720752">
        <w:rPr>
          <w:sz w:val="24"/>
          <w:szCs w:val="24"/>
        </w:rPr>
        <w:t>entitled person</w:t>
      </w:r>
      <w:r w:rsidRPr="00720752">
        <w:rPr>
          <w:sz w:val="24"/>
          <w:szCs w:val="24"/>
        </w:rPr>
        <w:t xml:space="preserve"> receiving residential care (consisting of at least one high or two medium domain categories) in a residential care facility or where those services are to be provided in a public hospital.</w:t>
      </w:r>
    </w:p>
    <w:p w14:paraId="31B5BAE1" w14:textId="77777777" w:rsidR="00BC3D72" w:rsidRPr="00720752" w:rsidRDefault="00BC3D72" w:rsidP="00BC3D72">
      <w:pPr>
        <w:spacing w:after="90"/>
        <w:rPr>
          <w:sz w:val="24"/>
          <w:szCs w:val="24"/>
        </w:rPr>
      </w:pPr>
      <w:r w:rsidRPr="00720752">
        <w:rPr>
          <w:sz w:val="24"/>
          <w:szCs w:val="24"/>
        </w:rPr>
        <w:t xml:space="preserve">New paragraph 7.5.3 provides that prior approval is required for physiotherapy treatment where those services are to be provided in a public hospital. </w:t>
      </w:r>
    </w:p>
    <w:p w14:paraId="23CF0FB9" w14:textId="0E862BBC" w:rsidR="00BC3D72" w:rsidRPr="00720752" w:rsidRDefault="00BC3D72" w:rsidP="00BC3D72">
      <w:pPr>
        <w:spacing w:after="90"/>
        <w:rPr>
          <w:sz w:val="24"/>
          <w:szCs w:val="24"/>
        </w:rPr>
      </w:pPr>
      <w:r w:rsidRPr="00720752">
        <w:rPr>
          <w:sz w:val="24"/>
          <w:szCs w:val="24"/>
        </w:rPr>
        <w:t xml:space="preserve">This amendment firstly removes the reference to paragraph 7.1C.1 as a consequence of item </w:t>
      </w:r>
      <w:r w:rsidR="00F82D49" w:rsidRPr="00720752">
        <w:rPr>
          <w:sz w:val="24"/>
          <w:szCs w:val="24"/>
        </w:rPr>
        <w:t>2</w:t>
      </w:r>
      <w:r w:rsidR="0019449A" w:rsidRPr="00720752">
        <w:rPr>
          <w:sz w:val="24"/>
          <w:szCs w:val="24"/>
        </w:rPr>
        <w:t>3</w:t>
      </w:r>
      <w:r w:rsidRPr="00720752">
        <w:rPr>
          <w:sz w:val="24"/>
          <w:szCs w:val="24"/>
        </w:rPr>
        <w:t xml:space="preserve"> repealing Part 7.1C, and secondly reflect</w:t>
      </w:r>
      <w:r w:rsidR="00756D6D" w:rsidRPr="00720752">
        <w:rPr>
          <w:sz w:val="24"/>
          <w:szCs w:val="24"/>
        </w:rPr>
        <w:t>s</w:t>
      </w:r>
      <w:r w:rsidRPr="00720752">
        <w:rPr>
          <w:sz w:val="24"/>
          <w:szCs w:val="24"/>
        </w:rPr>
        <w:t xml:space="preserve"> that the </w:t>
      </w:r>
      <w:r w:rsidR="00756D6D" w:rsidRPr="00720752">
        <w:rPr>
          <w:sz w:val="24"/>
          <w:szCs w:val="24"/>
        </w:rPr>
        <w:t xml:space="preserve">definition of residential care (consisting of at least one high or two medium domain categories) has been repealed by </w:t>
      </w:r>
      <w:r w:rsidR="0019449A" w:rsidRPr="00720752">
        <w:rPr>
          <w:sz w:val="24"/>
          <w:szCs w:val="24"/>
        </w:rPr>
        <w:t>item 19</w:t>
      </w:r>
      <w:r w:rsidR="00756D6D" w:rsidRPr="00720752">
        <w:rPr>
          <w:sz w:val="24"/>
          <w:szCs w:val="24"/>
        </w:rPr>
        <w:t xml:space="preserve">. </w:t>
      </w:r>
    </w:p>
    <w:p w14:paraId="599AF8B5" w14:textId="77777777" w:rsidR="00BC3D72" w:rsidRPr="00720752" w:rsidRDefault="00BC3D72" w:rsidP="00BC3D72">
      <w:pPr>
        <w:spacing w:after="90"/>
        <w:rPr>
          <w:sz w:val="24"/>
          <w:szCs w:val="24"/>
        </w:rPr>
      </w:pPr>
    </w:p>
    <w:p w14:paraId="2944230E" w14:textId="19D886F3" w:rsidR="00BC3D72" w:rsidRPr="00720752" w:rsidRDefault="00BC3D72" w:rsidP="00BC3D72">
      <w:pPr>
        <w:pStyle w:val="Heading2"/>
        <w:pBdr>
          <w:bottom w:val="single" w:sz="6" w:space="11" w:color="EFEFEF"/>
        </w:pBdr>
        <w:spacing w:after="225" w:line="312" w:lineRule="atLeast"/>
        <w:rPr>
          <w:sz w:val="24"/>
          <w:szCs w:val="24"/>
        </w:rPr>
      </w:pPr>
      <w:r w:rsidRPr="00720752">
        <w:rPr>
          <w:sz w:val="24"/>
          <w:szCs w:val="24"/>
        </w:rPr>
        <w:t xml:space="preserve">Item </w:t>
      </w:r>
      <w:r w:rsidR="0019449A" w:rsidRPr="00720752">
        <w:rPr>
          <w:sz w:val="24"/>
          <w:szCs w:val="24"/>
        </w:rPr>
        <w:t>26</w:t>
      </w:r>
      <w:r w:rsidRPr="00720752">
        <w:rPr>
          <w:sz w:val="24"/>
          <w:szCs w:val="24"/>
        </w:rPr>
        <w:t xml:space="preserve"> Paragraph 7.6.2 </w:t>
      </w:r>
    </w:p>
    <w:p w14:paraId="360187C2" w14:textId="67B4A737" w:rsidR="00BC3D72" w:rsidRPr="00720752" w:rsidRDefault="00BC3D72" w:rsidP="00BC3D72">
      <w:pPr>
        <w:spacing w:after="90"/>
        <w:rPr>
          <w:sz w:val="24"/>
          <w:szCs w:val="24"/>
        </w:rPr>
      </w:pPr>
      <w:r w:rsidRPr="00720752">
        <w:rPr>
          <w:sz w:val="24"/>
          <w:szCs w:val="24"/>
        </w:rPr>
        <w:t>I</w:t>
      </w:r>
      <w:r w:rsidR="0019449A" w:rsidRPr="00720752">
        <w:rPr>
          <w:sz w:val="24"/>
          <w:szCs w:val="24"/>
        </w:rPr>
        <w:t>tem 26</w:t>
      </w:r>
      <w:r w:rsidRPr="00720752">
        <w:rPr>
          <w:sz w:val="24"/>
          <w:szCs w:val="24"/>
        </w:rPr>
        <w:t xml:space="preserve"> omits ‘Subject to paragraph 7.1C.1, prior’ and substitutes ‘Prior’ in paragraph 7.6.2. </w:t>
      </w:r>
    </w:p>
    <w:p w14:paraId="73C1F5BD" w14:textId="432CBA6E" w:rsidR="00BC3D72" w:rsidRPr="00720752" w:rsidRDefault="00BC3D72" w:rsidP="00BC3D72">
      <w:pPr>
        <w:spacing w:after="90"/>
        <w:rPr>
          <w:sz w:val="24"/>
          <w:szCs w:val="24"/>
        </w:rPr>
      </w:pPr>
      <w:r w:rsidRPr="00720752">
        <w:rPr>
          <w:sz w:val="24"/>
          <w:szCs w:val="24"/>
        </w:rPr>
        <w:t>This amendment is consequential to the amendment made by item</w:t>
      </w:r>
      <w:r w:rsidR="00F82D49" w:rsidRPr="00720752">
        <w:rPr>
          <w:sz w:val="24"/>
          <w:szCs w:val="24"/>
        </w:rPr>
        <w:t xml:space="preserve"> 2</w:t>
      </w:r>
      <w:r w:rsidR="0019449A" w:rsidRPr="00720752">
        <w:rPr>
          <w:sz w:val="24"/>
          <w:szCs w:val="24"/>
        </w:rPr>
        <w:t>3</w:t>
      </w:r>
      <w:r w:rsidRPr="00720752">
        <w:rPr>
          <w:sz w:val="24"/>
          <w:szCs w:val="24"/>
        </w:rPr>
        <w:t xml:space="preserve"> that repeals Part 7.1C. As paragraph 7.1C.1 is repealed by </w:t>
      </w:r>
      <w:r w:rsidR="0019449A" w:rsidRPr="00720752">
        <w:rPr>
          <w:sz w:val="24"/>
          <w:szCs w:val="24"/>
        </w:rPr>
        <w:t>item 23</w:t>
      </w:r>
      <w:r w:rsidRPr="00720752">
        <w:rPr>
          <w:sz w:val="24"/>
          <w:szCs w:val="24"/>
        </w:rPr>
        <w:t xml:space="preserve">, the reference to paragraph 7.6.2 being subject to paragraph 7.1C.1 has been removed. </w:t>
      </w:r>
    </w:p>
    <w:p w14:paraId="72FD52D0" w14:textId="77777777" w:rsidR="00BC3D72" w:rsidRPr="00720752" w:rsidRDefault="00BC3D72" w:rsidP="00BC3D72">
      <w:pPr>
        <w:autoSpaceDE w:val="0"/>
        <w:autoSpaceDN w:val="0"/>
        <w:adjustRightInd w:val="0"/>
        <w:rPr>
          <w:sz w:val="24"/>
          <w:szCs w:val="24"/>
        </w:rPr>
      </w:pPr>
    </w:p>
    <w:p w14:paraId="7B5ED8D7" w14:textId="3E28C0AF" w:rsidR="00BC3D72" w:rsidRPr="00720752" w:rsidRDefault="00BC3D72" w:rsidP="00BC3D72">
      <w:pPr>
        <w:pStyle w:val="Heading2"/>
        <w:pBdr>
          <w:bottom w:val="single" w:sz="6" w:space="11" w:color="EFEFEF"/>
        </w:pBdr>
        <w:spacing w:after="225" w:line="312" w:lineRule="atLeast"/>
        <w:rPr>
          <w:sz w:val="24"/>
          <w:szCs w:val="24"/>
        </w:rPr>
      </w:pPr>
      <w:r w:rsidRPr="00720752">
        <w:rPr>
          <w:sz w:val="24"/>
          <w:szCs w:val="24"/>
        </w:rPr>
        <w:t xml:space="preserve">Item </w:t>
      </w:r>
      <w:r w:rsidR="0019449A" w:rsidRPr="00720752">
        <w:rPr>
          <w:sz w:val="24"/>
          <w:szCs w:val="24"/>
        </w:rPr>
        <w:t>27</w:t>
      </w:r>
      <w:r w:rsidRPr="00720752">
        <w:rPr>
          <w:sz w:val="24"/>
          <w:szCs w:val="24"/>
        </w:rPr>
        <w:t xml:space="preserve"> Paragraph 7.6.2(a) </w:t>
      </w:r>
    </w:p>
    <w:p w14:paraId="00B1A3E0" w14:textId="0134AAC4" w:rsidR="00BC3D72" w:rsidRPr="00720752" w:rsidRDefault="00BC3D72" w:rsidP="00BC3D72">
      <w:pPr>
        <w:spacing w:after="90"/>
        <w:rPr>
          <w:sz w:val="24"/>
          <w:szCs w:val="24"/>
        </w:rPr>
      </w:pPr>
      <w:r w:rsidRPr="00720752">
        <w:rPr>
          <w:sz w:val="24"/>
          <w:szCs w:val="24"/>
        </w:rPr>
        <w:t xml:space="preserve">Item </w:t>
      </w:r>
      <w:r w:rsidR="0019449A" w:rsidRPr="00720752">
        <w:rPr>
          <w:sz w:val="24"/>
          <w:szCs w:val="24"/>
        </w:rPr>
        <w:t>27</w:t>
      </w:r>
      <w:r w:rsidRPr="00720752">
        <w:rPr>
          <w:sz w:val="24"/>
          <w:szCs w:val="24"/>
        </w:rPr>
        <w:t xml:space="preserve"> repeals paragraph 7.6.2(a). </w:t>
      </w:r>
    </w:p>
    <w:p w14:paraId="39E86DEA" w14:textId="0FF109CE" w:rsidR="00BC3D72" w:rsidRPr="00720752" w:rsidRDefault="00BC3D72" w:rsidP="00BC3D72">
      <w:pPr>
        <w:spacing w:after="90"/>
        <w:rPr>
          <w:sz w:val="24"/>
          <w:szCs w:val="24"/>
        </w:rPr>
      </w:pPr>
      <w:r w:rsidRPr="00720752">
        <w:rPr>
          <w:sz w:val="24"/>
          <w:szCs w:val="24"/>
        </w:rPr>
        <w:t xml:space="preserve">Paragraph 7.6.2(a) provides that for podiatry treatment, prior approval is required where those services are to be provided to an </w:t>
      </w:r>
      <w:r w:rsidR="00F93860" w:rsidRPr="00720752">
        <w:rPr>
          <w:sz w:val="24"/>
          <w:szCs w:val="24"/>
        </w:rPr>
        <w:t>entitled person</w:t>
      </w:r>
      <w:r w:rsidRPr="00720752">
        <w:rPr>
          <w:sz w:val="24"/>
          <w:szCs w:val="24"/>
        </w:rPr>
        <w:t xml:space="preserve"> receiving residential care (consisting of at least one high or two medium domain categories) in a residential care facility. </w:t>
      </w:r>
    </w:p>
    <w:p w14:paraId="7F1624E5" w14:textId="29E070D8" w:rsidR="00F82D49" w:rsidRPr="00720752" w:rsidRDefault="00F82D49" w:rsidP="00F82D49">
      <w:pPr>
        <w:spacing w:after="90"/>
        <w:rPr>
          <w:sz w:val="24"/>
          <w:szCs w:val="24"/>
        </w:rPr>
      </w:pPr>
      <w:r w:rsidRPr="00720752">
        <w:rPr>
          <w:sz w:val="24"/>
          <w:szCs w:val="24"/>
        </w:rPr>
        <w:t xml:space="preserve">This substitution is a consequential amendment that reflects that </w:t>
      </w:r>
      <w:r w:rsidR="0019449A" w:rsidRPr="00720752">
        <w:rPr>
          <w:sz w:val="24"/>
          <w:szCs w:val="24"/>
        </w:rPr>
        <w:t>item 19</w:t>
      </w:r>
      <w:r w:rsidRPr="00720752">
        <w:rPr>
          <w:sz w:val="24"/>
          <w:szCs w:val="24"/>
        </w:rPr>
        <w:t xml:space="preserve"> repeals the definition of residential care (consisting of at least one high or two medium categories)”. </w:t>
      </w:r>
    </w:p>
    <w:p w14:paraId="450F2BD9" w14:textId="21D6AE79" w:rsidR="00682A2F" w:rsidRPr="00720752" w:rsidRDefault="00682A2F" w:rsidP="00682A2F">
      <w:pPr>
        <w:spacing w:after="90"/>
        <w:rPr>
          <w:sz w:val="24"/>
          <w:szCs w:val="24"/>
        </w:rPr>
      </w:pPr>
      <w:r w:rsidRPr="00720752">
        <w:rPr>
          <w:sz w:val="24"/>
          <w:szCs w:val="24"/>
        </w:rPr>
        <w:t>As a result of the repeal of paragraph 7.6.2(a), prior approval is now only required for podiatry treatment in the following circumstances: where those services are to be provided in a public hospital, where podiatry treatment involves providing an Electrodynographic Analysis and Report and for podiatry treatment involving delivering services valued at over $60 under the Miscellaneous Items listed in the Deed of Agreement between the Commission and the podiatrist.</w:t>
      </w:r>
    </w:p>
    <w:p w14:paraId="016D7D5C" w14:textId="15BFD124" w:rsidR="00BC3D72" w:rsidRPr="00720752" w:rsidRDefault="00BC3D72" w:rsidP="00BC3D72">
      <w:pPr>
        <w:pStyle w:val="Heading2"/>
        <w:pBdr>
          <w:bottom w:val="single" w:sz="6" w:space="11" w:color="EFEFEF"/>
        </w:pBdr>
        <w:spacing w:after="225" w:line="312" w:lineRule="atLeast"/>
        <w:rPr>
          <w:sz w:val="24"/>
          <w:szCs w:val="24"/>
        </w:rPr>
      </w:pPr>
      <w:r w:rsidRPr="00720752">
        <w:rPr>
          <w:sz w:val="24"/>
          <w:szCs w:val="24"/>
        </w:rPr>
        <w:t xml:space="preserve">Item </w:t>
      </w:r>
      <w:r w:rsidR="00F82D49" w:rsidRPr="00720752">
        <w:rPr>
          <w:sz w:val="24"/>
          <w:szCs w:val="24"/>
        </w:rPr>
        <w:t>2</w:t>
      </w:r>
      <w:r w:rsidR="0019449A" w:rsidRPr="00720752">
        <w:rPr>
          <w:sz w:val="24"/>
          <w:szCs w:val="24"/>
        </w:rPr>
        <w:t>7</w:t>
      </w:r>
      <w:r w:rsidRPr="00720752">
        <w:rPr>
          <w:sz w:val="24"/>
          <w:szCs w:val="24"/>
        </w:rPr>
        <w:t xml:space="preserve"> Paragraph 7.6.2 (note)</w:t>
      </w:r>
    </w:p>
    <w:p w14:paraId="606EF063" w14:textId="665DC343" w:rsidR="00BC3D72" w:rsidRPr="00720752" w:rsidRDefault="00BC3D72" w:rsidP="00BC3D72">
      <w:pPr>
        <w:spacing w:after="90"/>
        <w:rPr>
          <w:sz w:val="24"/>
          <w:szCs w:val="24"/>
        </w:rPr>
      </w:pPr>
      <w:r w:rsidRPr="00720752">
        <w:rPr>
          <w:sz w:val="24"/>
          <w:szCs w:val="24"/>
        </w:rPr>
        <w:t xml:space="preserve">Item </w:t>
      </w:r>
      <w:r w:rsidR="0019449A" w:rsidRPr="00720752">
        <w:rPr>
          <w:sz w:val="24"/>
          <w:szCs w:val="24"/>
        </w:rPr>
        <w:t xml:space="preserve">27 </w:t>
      </w:r>
      <w:r w:rsidRPr="00720752">
        <w:rPr>
          <w:sz w:val="24"/>
          <w:szCs w:val="24"/>
        </w:rPr>
        <w:t>repeals the note in paragraph 7.6.2.</w:t>
      </w:r>
    </w:p>
    <w:p w14:paraId="1B08E820" w14:textId="7A929E5D" w:rsidR="00BC3D72" w:rsidRPr="00720752" w:rsidRDefault="00BC3D72" w:rsidP="00BC3D72">
      <w:pPr>
        <w:spacing w:after="90"/>
        <w:rPr>
          <w:sz w:val="24"/>
          <w:szCs w:val="24"/>
        </w:rPr>
      </w:pPr>
      <w:r w:rsidRPr="00720752">
        <w:rPr>
          <w:sz w:val="24"/>
          <w:szCs w:val="24"/>
        </w:rPr>
        <w:t xml:space="preserve">The note in paragraph 7.6.2 refers to paragraph 7.1C.1 providing that during 10 December 2020 and 30 June 2022 the </w:t>
      </w:r>
      <w:r w:rsidR="00F93860" w:rsidRPr="00720752">
        <w:rPr>
          <w:sz w:val="24"/>
          <w:szCs w:val="24"/>
        </w:rPr>
        <w:t>Commission</w:t>
      </w:r>
      <w:r w:rsidRPr="00720752">
        <w:rPr>
          <w:sz w:val="24"/>
          <w:szCs w:val="24"/>
        </w:rPr>
        <w:t xml:space="preserve"> will accept financial responsibility for certain services listed in paragraph 7.1.2 (including podiatry) without the requirement for prior approval. </w:t>
      </w:r>
    </w:p>
    <w:p w14:paraId="5B8BF3BA" w14:textId="0DC78A94" w:rsidR="00F82D49" w:rsidRPr="00720752" w:rsidRDefault="00F82D49" w:rsidP="00F82D49">
      <w:pPr>
        <w:spacing w:after="90"/>
        <w:rPr>
          <w:sz w:val="24"/>
          <w:szCs w:val="24"/>
        </w:rPr>
      </w:pPr>
      <w:r w:rsidRPr="00720752">
        <w:rPr>
          <w:sz w:val="24"/>
          <w:szCs w:val="24"/>
        </w:rPr>
        <w:t>This amendment is consequential to the amendments made by items 2</w:t>
      </w:r>
      <w:r w:rsidR="0019449A" w:rsidRPr="00720752">
        <w:rPr>
          <w:sz w:val="24"/>
          <w:szCs w:val="24"/>
        </w:rPr>
        <w:t>3</w:t>
      </w:r>
      <w:r w:rsidRPr="00720752">
        <w:rPr>
          <w:sz w:val="24"/>
          <w:szCs w:val="24"/>
        </w:rPr>
        <w:t xml:space="preserve"> and 2</w:t>
      </w:r>
      <w:r w:rsidR="0019449A" w:rsidRPr="00720752">
        <w:rPr>
          <w:sz w:val="24"/>
          <w:szCs w:val="24"/>
        </w:rPr>
        <w:t>6</w:t>
      </w:r>
      <w:r w:rsidRPr="00720752">
        <w:rPr>
          <w:sz w:val="24"/>
          <w:szCs w:val="24"/>
        </w:rPr>
        <w:t>. Item 2</w:t>
      </w:r>
      <w:r w:rsidR="0019449A" w:rsidRPr="00720752">
        <w:rPr>
          <w:sz w:val="24"/>
          <w:szCs w:val="24"/>
        </w:rPr>
        <w:t>3</w:t>
      </w:r>
      <w:r w:rsidRPr="00720752">
        <w:rPr>
          <w:sz w:val="24"/>
          <w:szCs w:val="24"/>
        </w:rPr>
        <w:t xml:space="preserve"> repeals part 7.1C and item 2</w:t>
      </w:r>
      <w:r w:rsidR="0019449A" w:rsidRPr="00720752">
        <w:rPr>
          <w:sz w:val="24"/>
          <w:szCs w:val="24"/>
        </w:rPr>
        <w:t>6</w:t>
      </w:r>
      <w:r w:rsidRPr="00720752">
        <w:rPr>
          <w:sz w:val="24"/>
          <w:szCs w:val="24"/>
        </w:rPr>
        <w:t xml:space="preserve"> repeals paragraph 7.6.2(a). </w:t>
      </w:r>
    </w:p>
    <w:p w14:paraId="41289A67" w14:textId="241C4A3D" w:rsidR="00BC3D72" w:rsidRPr="00720752" w:rsidRDefault="00BC3D72" w:rsidP="00BC3D72">
      <w:pPr>
        <w:pStyle w:val="Heading2"/>
        <w:pBdr>
          <w:bottom w:val="single" w:sz="6" w:space="11" w:color="EFEFEF"/>
        </w:pBdr>
        <w:spacing w:after="225" w:line="312" w:lineRule="atLeast"/>
        <w:rPr>
          <w:sz w:val="24"/>
          <w:szCs w:val="24"/>
        </w:rPr>
      </w:pPr>
      <w:r w:rsidRPr="00720752">
        <w:rPr>
          <w:sz w:val="24"/>
          <w:szCs w:val="24"/>
        </w:rPr>
        <w:lastRenderedPageBreak/>
        <w:t xml:space="preserve">Item </w:t>
      </w:r>
      <w:r w:rsidR="0019449A" w:rsidRPr="00720752">
        <w:rPr>
          <w:sz w:val="24"/>
          <w:szCs w:val="24"/>
        </w:rPr>
        <w:t>29</w:t>
      </w:r>
      <w:r w:rsidRPr="00720752">
        <w:rPr>
          <w:sz w:val="24"/>
          <w:szCs w:val="24"/>
        </w:rPr>
        <w:t xml:space="preserve"> Paragraph 7.6A.2</w:t>
      </w:r>
    </w:p>
    <w:p w14:paraId="4DB838DC" w14:textId="616FF48A" w:rsidR="00BC3D72" w:rsidRPr="00720752" w:rsidRDefault="0019449A" w:rsidP="00BC3D72">
      <w:pPr>
        <w:spacing w:after="90"/>
        <w:rPr>
          <w:sz w:val="24"/>
          <w:szCs w:val="24"/>
        </w:rPr>
      </w:pPr>
      <w:r w:rsidRPr="00720752">
        <w:rPr>
          <w:sz w:val="24"/>
          <w:szCs w:val="24"/>
        </w:rPr>
        <w:t>Item 29</w:t>
      </w:r>
      <w:r w:rsidR="00BC3D72" w:rsidRPr="00720752">
        <w:rPr>
          <w:sz w:val="24"/>
          <w:szCs w:val="24"/>
        </w:rPr>
        <w:t xml:space="preserve"> repeals paragraph 7.6A.2, including the note, and substitutes a new paragraph 7.6A.2. </w:t>
      </w:r>
    </w:p>
    <w:p w14:paraId="2F6A28CA" w14:textId="778D0E00" w:rsidR="00BC3D72" w:rsidRPr="00720752" w:rsidRDefault="00BC3D72" w:rsidP="00BC3D72">
      <w:pPr>
        <w:spacing w:after="90"/>
        <w:rPr>
          <w:sz w:val="24"/>
          <w:szCs w:val="24"/>
        </w:rPr>
      </w:pPr>
      <w:r w:rsidRPr="00720752">
        <w:rPr>
          <w:sz w:val="24"/>
          <w:szCs w:val="24"/>
        </w:rPr>
        <w:t xml:space="preserve">Paragraph 7.6A.2 provides that subject to paragraph 7.1C.1, prior approval is required for diabetes educator services where those services are to be provided to an </w:t>
      </w:r>
      <w:r w:rsidR="00F93860" w:rsidRPr="00720752">
        <w:rPr>
          <w:sz w:val="24"/>
          <w:szCs w:val="24"/>
        </w:rPr>
        <w:t>entitled person</w:t>
      </w:r>
      <w:r w:rsidRPr="00720752">
        <w:rPr>
          <w:sz w:val="24"/>
          <w:szCs w:val="24"/>
        </w:rPr>
        <w:t xml:space="preserve"> receiving residential care (consisting of at least one high or two medium domain categories) in a residential care facility or where those services are to be provided in a public hospital.</w:t>
      </w:r>
    </w:p>
    <w:p w14:paraId="16AB9132" w14:textId="77777777" w:rsidR="00BC3D72" w:rsidRPr="00720752" w:rsidRDefault="00BC3D72" w:rsidP="00BC3D72">
      <w:pPr>
        <w:spacing w:after="90"/>
        <w:rPr>
          <w:sz w:val="24"/>
          <w:szCs w:val="24"/>
        </w:rPr>
      </w:pPr>
      <w:r w:rsidRPr="00720752">
        <w:rPr>
          <w:sz w:val="24"/>
          <w:szCs w:val="24"/>
        </w:rPr>
        <w:t xml:space="preserve">New paragraph 7.6A.2 provides that prior approval is required for diabetes educator services where those services are to be provided in a public hospital. </w:t>
      </w:r>
    </w:p>
    <w:p w14:paraId="3C6F518D" w14:textId="7E46B4F0" w:rsidR="00756D6D" w:rsidRPr="00720752" w:rsidRDefault="00756D6D" w:rsidP="00756D6D">
      <w:pPr>
        <w:spacing w:after="90"/>
        <w:rPr>
          <w:sz w:val="24"/>
          <w:szCs w:val="24"/>
        </w:rPr>
      </w:pPr>
      <w:r w:rsidRPr="00720752">
        <w:rPr>
          <w:sz w:val="24"/>
          <w:szCs w:val="24"/>
        </w:rPr>
        <w:t>This amendment firstly removes the reference to paragraph 7.1C.1 as a consequence of item 2</w:t>
      </w:r>
      <w:r w:rsidR="0019449A" w:rsidRPr="00720752">
        <w:rPr>
          <w:sz w:val="24"/>
          <w:szCs w:val="24"/>
        </w:rPr>
        <w:t>3</w:t>
      </w:r>
      <w:r w:rsidRPr="00720752">
        <w:rPr>
          <w:sz w:val="24"/>
          <w:szCs w:val="24"/>
        </w:rPr>
        <w:t xml:space="preserve"> repealing Part 7.1C, and secondly reflects that the definition of residential care (consisting of at least one high or two medium domain categories) has been repealed by item </w:t>
      </w:r>
      <w:r w:rsidR="0019449A" w:rsidRPr="00720752">
        <w:rPr>
          <w:sz w:val="24"/>
          <w:szCs w:val="24"/>
        </w:rPr>
        <w:t>19</w:t>
      </w:r>
      <w:r w:rsidRPr="00720752">
        <w:rPr>
          <w:sz w:val="24"/>
          <w:szCs w:val="24"/>
        </w:rPr>
        <w:t xml:space="preserve">. </w:t>
      </w:r>
    </w:p>
    <w:p w14:paraId="18B951C7" w14:textId="77777777" w:rsidR="00BC3D72" w:rsidRPr="00720752" w:rsidRDefault="00BC3D72" w:rsidP="00BC3D72">
      <w:pPr>
        <w:spacing w:after="90"/>
        <w:rPr>
          <w:sz w:val="24"/>
          <w:szCs w:val="24"/>
        </w:rPr>
      </w:pPr>
    </w:p>
    <w:p w14:paraId="1882EC1A" w14:textId="1E65D1BF" w:rsidR="00BC3D72" w:rsidRPr="00720752" w:rsidRDefault="00BC3D72" w:rsidP="00BC3D72">
      <w:pPr>
        <w:pStyle w:val="Heading2"/>
        <w:pBdr>
          <w:bottom w:val="single" w:sz="6" w:space="11" w:color="EFEFEF"/>
        </w:pBdr>
        <w:spacing w:after="225" w:line="312" w:lineRule="atLeast"/>
        <w:rPr>
          <w:sz w:val="24"/>
          <w:szCs w:val="24"/>
        </w:rPr>
      </w:pPr>
      <w:r w:rsidRPr="00720752">
        <w:rPr>
          <w:sz w:val="24"/>
          <w:szCs w:val="24"/>
        </w:rPr>
        <w:t xml:space="preserve">Item </w:t>
      </w:r>
      <w:r w:rsidR="0019449A" w:rsidRPr="00720752">
        <w:rPr>
          <w:sz w:val="24"/>
          <w:szCs w:val="24"/>
        </w:rPr>
        <w:t>29</w:t>
      </w:r>
      <w:r w:rsidRPr="00720752">
        <w:rPr>
          <w:sz w:val="24"/>
          <w:szCs w:val="24"/>
        </w:rPr>
        <w:t xml:space="preserve"> Paragraph 10.3.1(b)</w:t>
      </w:r>
    </w:p>
    <w:p w14:paraId="71A86CBF" w14:textId="27774355" w:rsidR="00BC3D72" w:rsidRPr="00720752" w:rsidRDefault="0019449A" w:rsidP="00BC3D72">
      <w:pPr>
        <w:spacing w:after="90"/>
        <w:rPr>
          <w:sz w:val="24"/>
          <w:szCs w:val="24"/>
        </w:rPr>
      </w:pPr>
      <w:r w:rsidRPr="00720752">
        <w:rPr>
          <w:sz w:val="24"/>
          <w:szCs w:val="24"/>
        </w:rPr>
        <w:t>Item 29</w:t>
      </w:r>
      <w:r w:rsidR="00BC3D72" w:rsidRPr="00720752">
        <w:rPr>
          <w:sz w:val="24"/>
          <w:szCs w:val="24"/>
        </w:rPr>
        <w:t xml:space="preserve"> omits ‘residential care (consisting of at least one high or two medium domain categories)’ and substitutes ‘residential care’ in paragraph 10.3.1(b). </w:t>
      </w:r>
    </w:p>
    <w:p w14:paraId="7B80FB2C" w14:textId="048F1C29" w:rsidR="00756D6D" w:rsidRPr="00720752" w:rsidRDefault="00756D6D" w:rsidP="00756D6D">
      <w:pPr>
        <w:spacing w:after="90"/>
        <w:rPr>
          <w:sz w:val="24"/>
          <w:szCs w:val="24"/>
        </w:rPr>
      </w:pPr>
      <w:r w:rsidRPr="00720752">
        <w:rPr>
          <w:sz w:val="24"/>
          <w:szCs w:val="24"/>
        </w:rPr>
        <w:t xml:space="preserve">This substitution is a consequential amendment that reflects that item </w:t>
      </w:r>
      <w:r w:rsidR="0019449A" w:rsidRPr="00720752">
        <w:rPr>
          <w:sz w:val="24"/>
          <w:szCs w:val="24"/>
        </w:rPr>
        <w:t>19</w:t>
      </w:r>
      <w:r w:rsidRPr="00720752">
        <w:rPr>
          <w:sz w:val="24"/>
          <w:szCs w:val="24"/>
        </w:rPr>
        <w:t xml:space="preserve"> that repeals the definition of residential care (consisting of at least one high or two medium categories)”. </w:t>
      </w:r>
    </w:p>
    <w:p w14:paraId="1E30C7B5" w14:textId="2D530D47" w:rsidR="00756D6D" w:rsidRPr="00720752" w:rsidRDefault="00756D6D" w:rsidP="00756D6D">
      <w:pPr>
        <w:spacing w:after="90"/>
        <w:rPr>
          <w:sz w:val="24"/>
          <w:szCs w:val="24"/>
        </w:rPr>
      </w:pPr>
      <w:r w:rsidRPr="00720752">
        <w:rPr>
          <w:sz w:val="24"/>
          <w:szCs w:val="24"/>
        </w:rPr>
        <w:t xml:space="preserve">As a result of this substitution, the </w:t>
      </w:r>
      <w:r w:rsidR="00F93860" w:rsidRPr="00720752">
        <w:rPr>
          <w:sz w:val="24"/>
          <w:szCs w:val="24"/>
        </w:rPr>
        <w:t>Commission</w:t>
      </w:r>
      <w:r w:rsidRPr="00720752">
        <w:rPr>
          <w:sz w:val="24"/>
          <w:szCs w:val="24"/>
        </w:rPr>
        <w:t xml:space="preserve"> may, in exceptional circumstances, accept financial responsibility for the </w:t>
      </w:r>
      <w:r w:rsidR="00F93860" w:rsidRPr="00720752">
        <w:rPr>
          <w:sz w:val="24"/>
          <w:szCs w:val="24"/>
        </w:rPr>
        <w:t>daily care fee</w:t>
      </w:r>
      <w:r w:rsidRPr="00720752">
        <w:rPr>
          <w:sz w:val="24"/>
          <w:szCs w:val="24"/>
        </w:rPr>
        <w:t xml:space="preserve"> for a veteran who has a dependant and is receiving residential care in a residential care facility because of war-caused injury or war-caused disease, or both</w:t>
      </w:r>
      <w:r w:rsidR="00682A2F" w:rsidRPr="00720752">
        <w:rPr>
          <w:sz w:val="24"/>
          <w:szCs w:val="24"/>
        </w:rPr>
        <w:t>, without the requirement or limitation that the residential care consist of at least one high or two medium domain categories.</w:t>
      </w:r>
    </w:p>
    <w:p w14:paraId="381EE4B1" w14:textId="3200B938" w:rsidR="00BC3D72" w:rsidRPr="00720752" w:rsidRDefault="00BC3D72" w:rsidP="00BC3D72">
      <w:pPr>
        <w:pStyle w:val="Heading2"/>
        <w:pBdr>
          <w:bottom w:val="single" w:sz="6" w:space="11" w:color="EFEFEF"/>
        </w:pBdr>
        <w:spacing w:after="225" w:line="312" w:lineRule="atLeast"/>
        <w:rPr>
          <w:sz w:val="24"/>
          <w:szCs w:val="24"/>
        </w:rPr>
      </w:pPr>
      <w:r w:rsidRPr="00720752">
        <w:rPr>
          <w:sz w:val="24"/>
          <w:szCs w:val="24"/>
        </w:rPr>
        <w:t xml:space="preserve">Item </w:t>
      </w:r>
      <w:r w:rsidR="00756D6D" w:rsidRPr="00720752">
        <w:rPr>
          <w:sz w:val="24"/>
          <w:szCs w:val="24"/>
        </w:rPr>
        <w:t>3</w:t>
      </w:r>
      <w:r w:rsidR="0019449A" w:rsidRPr="00720752">
        <w:rPr>
          <w:sz w:val="24"/>
          <w:szCs w:val="24"/>
        </w:rPr>
        <w:t>0</w:t>
      </w:r>
      <w:r w:rsidRPr="00720752">
        <w:rPr>
          <w:sz w:val="24"/>
          <w:szCs w:val="24"/>
        </w:rPr>
        <w:t xml:space="preserve"> Paragraph 11.1.1 (note (3)) (second occurring)</w:t>
      </w:r>
    </w:p>
    <w:p w14:paraId="14381EB7" w14:textId="00582097" w:rsidR="00BC3D72" w:rsidRPr="00720752" w:rsidRDefault="00BC3D72" w:rsidP="00BC3D72">
      <w:pPr>
        <w:spacing w:after="90"/>
        <w:rPr>
          <w:sz w:val="24"/>
          <w:szCs w:val="24"/>
        </w:rPr>
      </w:pPr>
      <w:r w:rsidRPr="00720752">
        <w:rPr>
          <w:sz w:val="24"/>
          <w:szCs w:val="24"/>
        </w:rPr>
        <w:t xml:space="preserve">Item </w:t>
      </w:r>
      <w:r w:rsidR="00756D6D" w:rsidRPr="00720752">
        <w:rPr>
          <w:sz w:val="24"/>
          <w:szCs w:val="24"/>
        </w:rPr>
        <w:t>3</w:t>
      </w:r>
      <w:r w:rsidR="0019449A" w:rsidRPr="00720752">
        <w:rPr>
          <w:sz w:val="24"/>
          <w:szCs w:val="24"/>
        </w:rPr>
        <w:t>0</w:t>
      </w:r>
      <w:r w:rsidRPr="00720752">
        <w:rPr>
          <w:sz w:val="24"/>
          <w:szCs w:val="24"/>
        </w:rPr>
        <w:t xml:space="preserve"> omits the second occurring ‘Note (3)’ in paragraph 11.1.1 and substitutes ‘Note (4)’</w:t>
      </w:r>
    </w:p>
    <w:p w14:paraId="47FEFFBD" w14:textId="77777777" w:rsidR="00BC3D72" w:rsidRPr="00720752" w:rsidRDefault="00BC3D72" w:rsidP="00BC3D72">
      <w:pPr>
        <w:spacing w:after="90"/>
        <w:rPr>
          <w:sz w:val="24"/>
          <w:szCs w:val="24"/>
        </w:rPr>
      </w:pPr>
      <w:r w:rsidRPr="00720752">
        <w:rPr>
          <w:sz w:val="24"/>
          <w:szCs w:val="24"/>
        </w:rPr>
        <w:t xml:space="preserve">This amendment corrects a previous drafting error by changing a duplicated note (3) to note (4). </w:t>
      </w:r>
    </w:p>
    <w:p w14:paraId="084158AD" w14:textId="2364FD88" w:rsidR="00756D6D" w:rsidRPr="00720752" w:rsidRDefault="0010086E" w:rsidP="00756D6D">
      <w:pPr>
        <w:pStyle w:val="Heading2"/>
        <w:pBdr>
          <w:bottom w:val="single" w:sz="6" w:space="11" w:color="EFEFEF"/>
        </w:pBdr>
        <w:spacing w:after="225" w:line="312" w:lineRule="atLeast"/>
        <w:rPr>
          <w:sz w:val="24"/>
          <w:szCs w:val="24"/>
        </w:rPr>
      </w:pPr>
      <w:r w:rsidRPr="00720752">
        <w:rPr>
          <w:sz w:val="24"/>
          <w:szCs w:val="24"/>
        </w:rPr>
        <w:t>Items 3</w:t>
      </w:r>
      <w:r w:rsidR="0019449A" w:rsidRPr="00720752">
        <w:rPr>
          <w:sz w:val="24"/>
          <w:szCs w:val="24"/>
        </w:rPr>
        <w:t>1</w:t>
      </w:r>
      <w:r w:rsidR="00756D6D" w:rsidRPr="00720752">
        <w:rPr>
          <w:sz w:val="24"/>
          <w:szCs w:val="24"/>
        </w:rPr>
        <w:t xml:space="preserve">, </w:t>
      </w:r>
      <w:r w:rsidRPr="00720752">
        <w:rPr>
          <w:sz w:val="24"/>
          <w:szCs w:val="24"/>
        </w:rPr>
        <w:t>3</w:t>
      </w:r>
      <w:r w:rsidR="0019449A" w:rsidRPr="00720752">
        <w:rPr>
          <w:sz w:val="24"/>
          <w:szCs w:val="24"/>
        </w:rPr>
        <w:t>2</w:t>
      </w:r>
      <w:r w:rsidR="00756D6D" w:rsidRPr="00720752">
        <w:rPr>
          <w:sz w:val="24"/>
          <w:szCs w:val="24"/>
        </w:rPr>
        <w:t xml:space="preserve">, </w:t>
      </w:r>
      <w:r w:rsidRPr="00720752">
        <w:rPr>
          <w:sz w:val="24"/>
          <w:szCs w:val="24"/>
        </w:rPr>
        <w:t>3</w:t>
      </w:r>
      <w:r w:rsidR="0019449A" w:rsidRPr="00720752">
        <w:rPr>
          <w:sz w:val="24"/>
          <w:szCs w:val="24"/>
        </w:rPr>
        <w:t>3</w:t>
      </w:r>
      <w:r w:rsidR="00756D6D" w:rsidRPr="00720752">
        <w:rPr>
          <w:sz w:val="24"/>
          <w:szCs w:val="24"/>
        </w:rPr>
        <w:t xml:space="preserve">, </w:t>
      </w:r>
      <w:r w:rsidRPr="00720752">
        <w:rPr>
          <w:sz w:val="24"/>
          <w:szCs w:val="24"/>
        </w:rPr>
        <w:t>3</w:t>
      </w:r>
      <w:r w:rsidR="0019449A" w:rsidRPr="00720752">
        <w:rPr>
          <w:sz w:val="24"/>
          <w:szCs w:val="24"/>
        </w:rPr>
        <w:t>5</w:t>
      </w:r>
      <w:r w:rsidR="00756D6D" w:rsidRPr="00720752">
        <w:rPr>
          <w:sz w:val="24"/>
          <w:szCs w:val="24"/>
        </w:rPr>
        <w:t xml:space="preserve"> Subparagraph 11.3.6(a)(ii) (note), Subparagraph 11.3.6(a)(iv) (note (2)), Subparagraph 11.3.6(b) (note (4)) and Subparagraph 11.3.6(c) (note)</w:t>
      </w:r>
      <w:r w:rsidR="00756D6D" w:rsidRPr="00720752">
        <w:rPr>
          <w:sz w:val="24"/>
          <w:szCs w:val="24"/>
        </w:rPr>
        <w:tab/>
      </w:r>
    </w:p>
    <w:p w14:paraId="4DF3A7D5" w14:textId="77777777" w:rsidR="00756D6D" w:rsidRPr="00720752" w:rsidRDefault="00756D6D" w:rsidP="00756D6D">
      <w:pPr>
        <w:spacing w:after="90"/>
        <w:rPr>
          <w:sz w:val="24"/>
          <w:szCs w:val="24"/>
        </w:rPr>
      </w:pPr>
      <w:r w:rsidRPr="00720752">
        <w:rPr>
          <w:sz w:val="24"/>
          <w:szCs w:val="24"/>
        </w:rPr>
        <w:t>These items omit the link to the website that contains the RAP Schedule of Equipment, and substitutes a new link to the website that contains the RAP Schedule of Equipment.</w:t>
      </w:r>
    </w:p>
    <w:p w14:paraId="177A7F0E" w14:textId="56E7A12A" w:rsidR="00756D6D" w:rsidRPr="00720752" w:rsidRDefault="00756D6D" w:rsidP="00756D6D">
      <w:pPr>
        <w:spacing w:after="90"/>
        <w:rPr>
          <w:sz w:val="24"/>
          <w:szCs w:val="24"/>
        </w:rPr>
      </w:pPr>
      <w:r w:rsidRPr="00720752">
        <w:rPr>
          <w:sz w:val="24"/>
          <w:szCs w:val="24"/>
        </w:rPr>
        <w:t xml:space="preserve">This amendment is required as the website page containing the RAP Schedule of Equipment has been changed. The RAP Schedule of Equipment </w:t>
      </w:r>
      <w:r w:rsidR="00682A2F" w:rsidRPr="00720752">
        <w:rPr>
          <w:sz w:val="24"/>
          <w:szCs w:val="24"/>
        </w:rPr>
        <w:t>can</w:t>
      </w:r>
      <w:r w:rsidRPr="00720752">
        <w:rPr>
          <w:sz w:val="24"/>
          <w:szCs w:val="24"/>
        </w:rPr>
        <w:t xml:space="preserve"> be </w:t>
      </w:r>
      <w:r w:rsidR="00682A2F" w:rsidRPr="00720752">
        <w:rPr>
          <w:sz w:val="24"/>
          <w:szCs w:val="24"/>
        </w:rPr>
        <w:t>accessed</w:t>
      </w:r>
      <w:r w:rsidRPr="00720752">
        <w:rPr>
          <w:sz w:val="24"/>
          <w:szCs w:val="24"/>
        </w:rPr>
        <w:t xml:space="preserve"> on the Department’s website by using the new substituted link. </w:t>
      </w:r>
    </w:p>
    <w:p w14:paraId="51690C69" w14:textId="328187C7" w:rsidR="00756D6D" w:rsidRPr="00720752" w:rsidRDefault="0010086E" w:rsidP="00756D6D">
      <w:pPr>
        <w:pStyle w:val="Heading2"/>
        <w:pBdr>
          <w:bottom w:val="single" w:sz="6" w:space="11" w:color="EFEFEF"/>
        </w:pBdr>
        <w:spacing w:after="225" w:line="312" w:lineRule="atLeast"/>
        <w:rPr>
          <w:sz w:val="24"/>
          <w:szCs w:val="24"/>
        </w:rPr>
      </w:pPr>
      <w:r w:rsidRPr="00720752">
        <w:rPr>
          <w:sz w:val="24"/>
          <w:szCs w:val="24"/>
        </w:rPr>
        <w:lastRenderedPageBreak/>
        <w:t>Item 3</w:t>
      </w:r>
      <w:r w:rsidR="0019449A" w:rsidRPr="00720752">
        <w:rPr>
          <w:sz w:val="24"/>
          <w:szCs w:val="24"/>
        </w:rPr>
        <w:t>4</w:t>
      </w:r>
      <w:r w:rsidR="00756D6D" w:rsidRPr="00720752">
        <w:rPr>
          <w:sz w:val="24"/>
          <w:szCs w:val="24"/>
        </w:rPr>
        <w:t xml:space="preserve"> Subparagraph 11.3.6(c)(iii) (second occurring)</w:t>
      </w:r>
    </w:p>
    <w:p w14:paraId="460DE732" w14:textId="46794EEC" w:rsidR="00756D6D" w:rsidRPr="00720752" w:rsidRDefault="0010086E" w:rsidP="00756D6D">
      <w:pPr>
        <w:spacing w:after="90"/>
        <w:rPr>
          <w:sz w:val="24"/>
          <w:szCs w:val="24"/>
        </w:rPr>
      </w:pPr>
      <w:r w:rsidRPr="00720752">
        <w:rPr>
          <w:sz w:val="24"/>
          <w:szCs w:val="24"/>
        </w:rPr>
        <w:t>Item 3</w:t>
      </w:r>
      <w:r w:rsidR="0019449A" w:rsidRPr="00720752">
        <w:rPr>
          <w:sz w:val="24"/>
          <w:szCs w:val="24"/>
        </w:rPr>
        <w:t>4</w:t>
      </w:r>
      <w:r w:rsidR="00756D6D" w:rsidRPr="00720752">
        <w:rPr>
          <w:sz w:val="24"/>
          <w:szCs w:val="24"/>
        </w:rPr>
        <w:t xml:space="preserve"> omits “(iii) it is otherwise” and substitutes “(iv) it is otherwise”. </w:t>
      </w:r>
    </w:p>
    <w:p w14:paraId="50D0F638" w14:textId="77777777" w:rsidR="00682A2F" w:rsidRPr="00720752" w:rsidRDefault="00756D6D" w:rsidP="00756D6D">
      <w:pPr>
        <w:spacing w:after="90"/>
        <w:rPr>
          <w:sz w:val="24"/>
          <w:szCs w:val="24"/>
        </w:rPr>
      </w:pPr>
      <w:r w:rsidRPr="00720752">
        <w:rPr>
          <w:sz w:val="24"/>
          <w:szCs w:val="24"/>
        </w:rPr>
        <w:t>This minor amendment corrects the subparagraph numbering to ensure that the subparagraphs in paragraph 11.3.6(c) are consecutively numbers with no duplications.</w:t>
      </w:r>
    </w:p>
    <w:p w14:paraId="1E6B34D8" w14:textId="0C90B861" w:rsidR="00756D6D" w:rsidRPr="00720752" w:rsidRDefault="00682A2F" w:rsidP="00756D6D">
      <w:pPr>
        <w:spacing w:after="90"/>
        <w:rPr>
          <w:sz w:val="24"/>
          <w:szCs w:val="24"/>
        </w:rPr>
      </w:pPr>
      <w:r w:rsidRPr="00720752">
        <w:rPr>
          <w:sz w:val="24"/>
          <w:szCs w:val="24"/>
        </w:rPr>
        <w:t>There are currently two subparagraphs (iii) in paragraph 11.3.6(c).</w:t>
      </w:r>
      <w:r w:rsidR="00756D6D" w:rsidRPr="00720752">
        <w:rPr>
          <w:sz w:val="24"/>
          <w:szCs w:val="24"/>
        </w:rPr>
        <w:t xml:space="preserve"> </w:t>
      </w:r>
    </w:p>
    <w:p w14:paraId="33BF0B15" w14:textId="77777777" w:rsidR="00756D6D" w:rsidRPr="00720752" w:rsidRDefault="00756D6D" w:rsidP="00BC3D72">
      <w:pPr>
        <w:pStyle w:val="Heading2"/>
        <w:pBdr>
          <w:bottom w:val="single" w:sz="6" w:space="11" w:color="EFEFEF"/>
        </w:pBdr>
        <w:spacing w:after="225" w:line="312" w:lineRule="atLeast"/>
        <w:rPr>
          <w:sz w:val="24"/>
          <w:szCs w:val="24"/>
        </w:rPr>
      </w:pPr>
    </w:p>
    <w:p w14:paraId="428C6DF0" w14:textId="13E91B69" w:rsidR="00655168" w:rsidRPr="00720752" w:rsidRDefault="00655168" w:rsidP="00655168">
      <w:pPr>
        <w:spacing w:after="90"/>
        <w:rPr>
          <w:sz w:val="24"/>
          <w:szCs w:val="24"/>
        </w:rPr>
      </w:pPr>
    </w:p>
    <w:p w14:paraId="3C9FD058" w14:textId="233AD5D8" w:rsidR="00BC3D72" w:rsidRPr="00720752" w:rsidRDefault="00BC3D72" w:rsidP="00655168">
      <w:pPr>
        <w:spacing w:after="90"/>
        <w:rPr>
          <w:sz w:val="24"/>
          <w:szCs w:val="24"/>
        </w:rPr>
      </w:pPr>
    </w:p>
    <w:p w14:paraId="232A933E" w14:textId="7EFA6D51" w:rsidR="00BC3D72" w:rsidRPr="00720752" w:rsidRDefault="00BC3D72" w:rsidP="00655168">
      <w:pPr>
        <w:spacing w:after="90"/>
        <w:rPr>
          <w:sz w:val="24"/>
          <w:szCs w:val="24"/>
        </w:rPr>
      </w:pPr>
    </w:p>
    <w:p w14:paraId="540C6F6A" w14:textId="56C817DF" w:rsidR="00B868B6" w:rsidRPr="00720752" w:rsidRDefault="00B868B6" w:rsidP="001C04C3">
      <w:pPr>
        <w:rPr>
          <w:b/>
          <w:sz w:val="28"/>
          <w:szCs w:val="28"/>
        </w:rPr>
      </w:pPr>
    </w:p>
    <w:p w14:paraId="0FA51FE4" w14:textId="33CF8371" w:rsidR="00F72E2A" w:rsidRPr="00720752" w:rsidRDefault="00F72E2A" w:rsidP="00F72E2A">
      <w:pPr>
        <w:spacing w:after="120"/>
        <w:rPr>
          <w:b/>
          <w:bCs/>
          <w:color w:val="444444"/>
          <w:sz w:val="28"/>
          <w:szCs w:val="28"/>
        </w:rPr>
      </w:pPr>
    </w:p>
    <w:p w14:paraId="3AF24C1C" w14:textId="77777777" w:rsidR="00F72E2A" w:rsidRPr="00720752" w:rsidRDefault="00F72E2A" w:rsidP="00F72E2A">
      <w:pPr>
        <w:spacing w:after="120"/>
        <w:rPr>
          <w:b/>
          <w:bCs/>
          <w:color w:val="444444"/>
          <w:sz w:val="28"/>
          <w:szCs w:val="28"/>
        </w:rPr>
        <w:sectPr w:rsidR="00F72E2A" w:rsidRPr="00720752" w:rsidSect="00806BAA">
          <w:pgSz w:w="11906" w:h="16838"/>
          <w:pgMar w:top="1440" w:right="1797" w:bottom="567" w:left="1797" w:header="720" w:footer="720" w:gutter="0"/>
          <w:cols w:space="720"/>
          <w:titlePg/>
        </w:sectPr>
      </w:pPr>
    </w:p>
    <w:p w14:paraId="67A49EEE" w14:textId="1BEC1284" w:rsidR="0010086E" w:rsidRPr="00720752" w:rsidRDefault="0010086E" w:rsidP="0010086E">
      <w:pPr>
        <w:jc w:val="right"/>
        <w:rPr>
          <w:color w:val="000000"/>
          <w:sz w:val="28"/>
          <w:szCs w:val="28"/>
          <w:u w:val="single"/>
        </w:rPr>
      </w:pPr>
      <w:r w:rsidRPr="00720752">
        <w:rPr>
          <w:color w:val="000000"/>
          <w:sz w:val="28"/>
          <w:szCs w:val="28"/>
          <w:u w:val="single"/>
        </w:rPr>
        <w:lastRenderedPageBreak/>
        <w:t>Attachment B</w:t>
      </w:r>
    </w:p>
    <w:p w14:paraId="7985F3B2" w14:textId="77777777" w:rsidR="0010086E" w:rsidRPr="00720752" w:rsidRDefault="0010086E" w:rsidP="0005568D">
      <w:pPr>
        <w:spacing w:after="120"/>
        <w:jc w:val="center"/>
        <w:rPr>
          <w:b/>
          <w:bCs/>
          <w:sz w:val="28"/>
          <w:szCs w:val="28"/>
        </w:rPr>
      </w:pPr>
    </w:p>
    <w:p w14:paraId="575DCBBA" w14:textId="3633BA7C" w:rsidR="0005568D" w:rsidRPr="00720752" w:rsidRDefault="0005568D" w:rsidP="0005568D">
      <w:pPr>
        <w:spacing w:after="120"/>
        <w:jc w:val="center"/>
        <w:rPr>
          <w:sz w:val="28"/>
          <w:szCs w:val="28"/>
        </w:rPr>
      </w:pPr>
      <w:r w:rsidRPr="00720752">
        <w:rPr>
          <w:b/>
          <w:bCs/>
          <w:sz w:val="28"/>
          <w:szCs w:val="28"/>
        </w:rPr>
        <w:t>Statement of Compatibility with Human Rights</w:t>
      </w:r>
    </w:p>
    <w:p w14:paraId="445D7CC1" w14:textId="77777777" w:rsidR="0005568D" w:rsidRPr="00720752" w:rsidRDefault="0005568D" w:rsidP="0019449A">
      <w:pPr>
        <w:spacing w:before="120" w:after="240"/>
        <w:jc w:val="center"/>
        <w:rPr>
          <w:rFonts w:ascii="Verdana" w:hAnsi="Verdana"/>
          <w:sz w:val="24"/>
          <w:szCs w:val="24"/>
        </w:rPr>
      </w:pPr>
      <w:r w:rsidRPr="00720752">
        <w:rPr>
          <w:rFonts w:ascii="&amp;quot" w:hAnsi="&amp;quot"/>
          <w:sz w:val="24"/>
          <w:szCs w:val="24"/>
        </w:rPr>
        <w:t xml:space="preserve">Prepared in accordance with Part 3 of the </w:t>
      </w:r>
      <w:r w:rsidRPr="00720752">
        <w:rPr>
          <w:rFonts w:ascii="&amp;quot" w:hAnsi="&amp;quot"/>
          <w:i/>
          <w:iCs/>
          <w:sz w:val="24"/>
          <w:szCs w:val="24"/>
        </w:rPr>
        <w:t>Human Rights (Parliamentary Scrutiny) Act 2011</w:t>
      </w:r>
    </w:p>
    <w:p w14:paraId="09DAE3DC" w14:textId="454F0170" w:rsidR="00C60ABF" w:rsidRPr="00720752" w:rsidRDefault="00C60ABF" w:rsidP="0019449A">
      <w:pPr>
        <w:spacing w:before="120" w:after="240"/>
        <w:jc w:val="center"/>
        <w:rPr>
          <w:b/>
          <w:sz w:val="24"/>
          <w:szCs w:val="24"/>
        </w:rPr>
      </w:pPr>
      <w:r w:rsidRPr="00720752">
        <w:rPr>
          <w:b/>
          <w:sz w:val="24"/>
          <w:szCs w:val="24"/>
        </w:rPr>
        <w:t>Veterans’ Affairs (Treatment Principles – Extending Access to Allied Health and Rehabilitation Appliances for Residential Care Recipients) Amendment Determination 2022</w:t>
      </w:r>
    </w:p>
    <w:p w14:paraId="02F6F7D0" w14:textId="492A0540" w:rsidR="0019449A" w:rsidRPr="00720752" w:rsidRDefault="0019449A" w:rsidP="0019449A">
      <w:pPr>
        <w:spacing w:before="120" w:after="240"/>
        <w:jc w:val="center"/>
        <w:rPr>
          <w:i/>
          <w:sz w:val="24"/>
          <w:szCs w:val="24"/>
        </w:rPr>
      </w:pPr>
      <w:r w:rsidRPr="00720752">
        <w:rPr>
          <w:sz w:val="24"/>
          <w:szCs w:val="24"/>
        </w:rPr>
        <w:t xml:space="preserve">This Disallowable Legislative Instrument is compatible with the human rights and freedoms recognised or declared in the international instruments listed in section 3 of the </w:t>
      </w:r>
      <w:r w:rsidRPr="00720752">
        <w:rPr>
          <w:i/>
          <w:sz w:val="24"/>
          <w:szCs w:val="24"/>
        </w:rPr>
        <w:t>Human Rights (Parliamentary Scrutiny) Act 2011.</w:t>
      </w:r>
    </w:p>
    <w:p w14:paraId="56C46811" w14:textId="2BD79E26" w:rsidR="0026264F" w:rsidRPr="00720752" w:rsidRDefault="00F3751E" w:rsidP="00F3751E">
      <w:pPr>
        <w:spacing w:before="120" w:after="240"/>
        <w:rPr>
          <w:i/>
          <w:sz w:val="24"/>
          <w:szCs w:val="24"/>
        </w:rPr>
      </w:pPr>
      <w:r w:rsidRPr="00720752">
        <w:rPr>
          <w:rFonts w:ascii="&amp;quot" w:hAnsi="&amp;quot"/>
          <w:b/>
          <w:bCs/>
          <w:sz w:val="24"/>
          <w:szCs w:val="24"/>
        </w:rPr>
        <w:t>Overview of the Determination</w:t>
      </w:r>
    </w:p>
    <w:p w14:paraId="0231B78E" w14:textId="25296AD0" w:rsidR="005F121E" w:rsidRPr="00720752" w:rsidRDefault="00ED3D51" w:rsidP="005F121E">
      <w:pPr>
        <w:spacing w:after="120"/>
        <w:rPr>
          <w:rFonts w:ascii="&amp;quot" w:hAnsi="&amp;quot"/>
          <w:sz w:val="24"/>
          <w:szCs w:val="24"/>
        </w:rPr>
      </w:pPr>
      <w:r w:rsidRPr="00720752">
        <w:rPr>
          <w:rFonts w:ascii="&amp;quot" w:hAnsi="&amp;quot"/>
          <w:sz w:val="24"/>
          <w:szCs w:val="24"/>
        </w:rPr>
        <w:t xml:space="preserve">The purpose of the </w:t>
      </w:r>
      <w:r w:rsidR="00F93860" w:rsidRPr="00720752">
        <w:rPr>
          <w:sz w:val="24"/>
          <w:szCs w:val="24"/>
        </w:rPr>
        <w:t xml:space="preserve">Disallowable Legislative Instrument </w:t>
      </w:r>
      <w:r w:rsidR="005F121E" w:rsidRPr="00720752">
        <w:rPr>
          <w:rFonts w:ascii="&amp;quot" w:hAnsi="&amp;quot"/>
          <w:sz w:val="24"/>
          <w:szCs w:val="24"/>
        </w:rPr>
        <w:t>is to amend the Treatment Principles which set out the circumstances in which treatment may be provided to persons who are eligible to receive treatment under the provisions of various Veterans’ Affairs portfolio Acts.</w:t>
      </w:r>
    </w:p>
    <w:p w14:paraId="6771971E" w14:textId="2978303F" w:rsidR="001C1926" w:rsidRPr="00720752" w:rsidRDefault="001C1926" w:rsidP="005F121E">
      <w:pPr>
        <w:spacing w:after="120"/>
        <w:rPr>
          <w:rFonts w:ascii="&amp;quot" w:hAnsi="&amp;quot"/>
          <w:sz w:val="24"/>
          <w:szCs w:val="24"/>
        </w:rPr>
      </w:pPr>
      <w:r w:rsidRPr="00720752">
        <w:rPr>
          <w:rFonts w:ascii="&amp;quot" w:hAnsi="&amp;quot"/>
          <w:sz w:val="24"/>
          <w:szCs w:val="24"/>
        </w:rPr>
        <w:t xml:space="preserve">The </w:t>
      </w:r>
      <w:r w:rsidR="00F93860" w:rsidRPr="00720752">
        <w:rPr>
          <w:sz w:val="24"/>
          <w:szCs w:val="24"/>
        </w:rPr>
        <w:t xml:space="preserve">Disallowable Legislative Instrument </w:t>
      </w:r>
      <w:r w:rsidRPr="00720752">
        <w:rPr>
          <w:rFonts w:ascii="&amp;quot" w:hAnsi="&amp;quot"/>
          <w:sz w:val="24"/>
          <w:szCs w:val="24"/>
        </w:rPr>
        <w:t xml:space="preserve">gives effect to a 2021-22 Budget measure to permanently expand access to aids and appliances through the Rehabilitation Appliances Program (RAP) and allied health care services from 1 October 2022 for eligible DVA clients in residential aged care. </w:t>
      </w:r>
    </w:p>
    <w:p w14:paraId="6C9B6ECD" w14:textId="73CD648F" w:rsidR="001C1926" w:rsidRPr="00720752" w:rsidRDefault="001C1926" w:rsidP="00DA5C87">
      <w:pPr>
        <w:spacing w:before="240" w:after="120"/>
        <w:rPr>
          <w:rFonts w:ascii="&amp;quot" w:hAnsi="&amp;quot"/>
          <w:sz w:val="24"/>
          <w:szCs w:val="24"/>
        </w:rPr>
      </w:pPr>
      <w:r w:rsidRPr="00720752">
        <w:rPr>
          <w:rFonts w:ascii="&amp;quot" w:hAnsi="&amp;quot"/>
          <w:sz w:val="24"/>
          <w:szCs w:val="24"/>
        </w:rPr>
        <w:t xml:space="preserve">This initiative is linked to the introduction </w:t>
      </w:r>
      <w:r w:rsidR="00720752" w:rsidRPr="00720752">
        <w:rPr>
          <w:rFonts w:ascii="&amp;quot" w:hAnsi="&amp;quot"/>
          <w:sz w:val="24"/>
          <w:szCs w:val="24"/>
        </w:rPr>
        <w:t xml:space="preserve">on 1 October 2022 </w:t>
      </w:r>
      <w:r w:rsidRPr="00720752">
        <w:rPr>
          <w:rFonts w:ascii="&amp;quot" w:hAnsi="&amp;quot"/>
          <w:sz w:val="24"/>
          <w:szCs w:val="24"/>
        </w:rPr>
        <w:t>of the new casemix</w:t>
      </w:r>
      <w:r w:rsidR="00720752" w:rsidRPr="00720752">
        <w:rPr>
          <w:rFonts w:ascii="&amp;quot" w:hAnsi="&amp;quot"/>
          <w:sz w:val="24"/>
          <w:szCs w:val="24"/>
        </w:rPr>
        <w:t>-</w:t>
      </w:r>
      <w:r w:rsidRPr="00720752">
        <w:rPr>
          <w:rFonts w:ascii="&amp;quot" w:hAnsi="&amp;quot"/>
          <w:sz w:val="24"/>
          <w:szCs w:val="24"/>
        </w:rPr>
        <w:t>based residential aged care</w:t>
      </w:r>
      <w:r w:rsidR="00720752" w:rsidRPr="00720752">
        <w:rPr>
          <w:rFonts w:ascii="&amp;quot" w:hAnsi="&amp;quot"/>
          <w:sz w:val="24"/>
          <w:szCs w:val="24"/>
        </w:rPr>
        <w:t xml:space="preserve"> funding model </w:t>
      </w:r>
      <w:r w:rsidRPr="00720752">
        <w:rPr>
          <w:rFonts w:ascii="&amp;quot" w:hAnsi="&amp;quot"/>
          <w:sz w:val="24"/>
          <w:szCs w:val="24"/>
        </w:rPr>
        <w:t xml:space="preserve">known as the Australian National Aged Care Classification </w:t>
      </w:r>
      <w:r w:rsidR="00720752" w:rsidRPr="00720752">
        <w:rPr>
          <w:rFonts w:ascii="&amp;quot" w:hAnsi="&amp;quot"/>
          <w:sz w:val="24"/>
          <w:szCs w:val="24"/>
        </w:rPr>
        <w:t>(</w:t>
      </w:r>
      <w:r w:rsidRPr="00720752">
        <w:rPr>
          <w:rFonts w:ascii="&amp;quot" w:hAnsi="&amp;quot"/>
          <w:sz w:val="24"/>
          <w:szCs w:val="24"/>
        </w:rPr>
        <w:t xml:space="preserve">or </w:t>
      </w:r>
      <w:r w:rsidR="00720752" w:rsidRPr="00720752">
        <w:rPr>
          <w:rFonts w:ascii="&amp;quot" w:hAnsi="&amp;quot"/>
          <w:sz w:val="24"/>
          <w:szCs w:val="24"/>
        </w:rPr>
        <w:t xml:space="preserve">the </w:t>
      </w:r>
      <w:r w:rsidRPr="00720752">
        <w:rPr>
          <w:rFonts w:ascii="&amp;quot" w:hAnsi="&amp;quot"/>
          <w:sz w:val="24"/>
          <w:szCs w:val="24"/>
        </w:rPr>
        <w:t>AN-ACC</w:t>
      </w:r>
      <w:r w:rsidR="00720752" w:rsidRPr="00720752">
        <w:rPr>
          <w:rFonts w:ascii="&amp;quot" w:hAnsi="&amp;quot"/>
          <w:sz w:val="24"/>
          <w:szCs w:val="24"/>
        </w:rPr>
        <w:t xml:space="preserve">) through amendments to the </w:t>
      </w:r>
      <w:r w:rsidR="00720752" w:rsidRPr="00720752">
        <w:rPr>
          <w:rFonts w:ascii="&amp;quot" w:hAnsi="&amp;quot"/>
          <w:i/>
          <w:sz w:val="24"/>
          <w:szCs w:val="24"/>
        </w:rPr>
        <w:t>Aged Care Act 1997</w:t>
      </w:r>
      <w:r w:rsidR="00720752" w:rsidRPr="00720752">
        <w:rPr>
          <w:rFonts w:ascii="&amp;quot" w:hAnsi="&amp;quot"/>
          <w:sz w:val="24"/>
          <w:szCs w:val="24"/>
        </w:rPr>
        <w:t xml:space="preserve">, </w:t>
      </w:r>
      <w:r w:rsidR="00720752" w:rsidRPr="00720752">
        <w:rPr>
          <w:rFonts w:ascii="&amp;quot" w:hAnsi="&amp;quot"/>
          <w:i/>
          <w:sz w:val="24"/>
          <w:szCs w:val="24"/>
        </w:rPr>
        <w:t xml:space="preserve">the Aged Care (Transitional Provisions Act 1997 </w:t>
      </w:r>
      <w:r w:rsidR="00720752" w:rsidRPr="00720752">
        <w:rPr>
          <w:rFonts w:ascii="&amp;quot" w:hAnsi="&amp;quot"/>
          <w:sz w:val="24"/>
          <w:szCs w:val="24"/>
        </w:rPr>
        <w:t xml:space="preserve">and related legislative instruments by the </w:t>
      </w:r>
      <w:r w:rsidR="00720752" w:rsidRPr="00720752">
        <w:rPr>
          <w:rFonts w:ascii="&amp;quot" w:hAnsi="&amp;quot"/>
          <w:i/>
          <w:sz w:val="24"/>
          <w:szCs w:val="24"/>
        </w:rPr>
        <w:t xml:space="preserve">Aged Care and Other Legislation Amendment (Royal Commission Response Act 2022 </w:t>
      </w:r>
      <w:r w:rsidR="00720752" w:rsidRPr="00720752">
        <w:rPr>
          <w:rFonts w:ascii="&amp;quot" w:hAnsi="&amp;quot"/>
          <w:sz w:val="24"/>
          <w:szCs w:val="24"/>
        </w:rPr>
        <w:t xml:space="preserve">and the </w:t>
      </w:r>
      <w:r w:rsidR="00720752" w:rsidRPr="00720752">
        <w:rPr>
          <w:rFonts w:ascii="&amp;quot" w:hAnsi="&amp;quot"/>
          <w:i/>
          <w:sz w:val="24"/>
          <w:szCs w:val="24"/>
        </w:rPr>
        <w:t>Aged Care Legislation Amendment (Residential Aged Care Funding) Instrument 2022</w:t>
      </w:r>
      <w:r w:rsidRPr="00720752">
        <w:rPr>
          <w:rFonts w:ascii="&amp;quot" w:hAnsi="&amp;quot"/>
          <w:sz w:val="24"/>
          <w:szCs w:val="24"/>
        </w:rPr>
        <w:t xml:space="preserve">.  </w:t>
      </w:r>
    </w:p>
    <w:p w14:paraId="10AAB3CE" w14:textId="77777777" w:rsidR="00F3751E" w:rsidRPr="00720752" w:rsidRDefault="00F3751E" w:rsidP="00CC4B8F">
      <w:pPr>
        <w:spacing w:before="120" w:after="120"/>
        <w:rPr>
          <w:rFonts w:ascii="&amp;quot" w:hAnsi="&amp;quot"/>
          <w:b/>
          <w:bCs/>
          <w:sz w:val="24"/>
          <w:szCs w:val="24"/>
        </w:rPr>
      </w:pPr>
      <w:r w:rsidRPr="00720752">
        <w:rPr>
          <w:rFonts w:ascii="&amp;quot" w:hAnsi="&amp;quot"/>
          <w:b/>
          <w:bCs/>
          <w:sz w:val="24"/>
          <w:szCs w:val="24"/>
        </w:rPr>
        <w:t>Human rights implications</w:t>
      </w:r>
    </w:p>
    <w:p w14:paraId="172687AD" w14:textId="4E3A91F3" w:rsidR="00816588" w:rsidRPr="00720752" w:rsidRDefault="00F3751E" w:rsidP="0035153F">
      <w:pPr>
        <w:spacing w:before="120" w:after="120"/>
        <w:rPr>
          <w:rFonts w:ascii="&amp;quot" w:hAnsi="&amp;quot"/>
          <w:sz w:val="24"/>
          <w:szCs w:val="24"/>
        </w:rPr>
      </w:pPr>
      <w:r w:rsidRPr="00720752">
        <w:rPr>
          <w:rFonts w:ascii="&amp;quot" w:hAnsi="&amp;quot"/>
          <w:sz w:val="24"/>
          <w:szCs w:val="24"/>
        </w:rPr>
        <w:t xml:space="preserve">This </w:t>
      </w:r>
      <w:r w:rsidR="00F93860" w:rsidRPr="00720752">
        <w:rPr>
          <w:sz w:val="24"/>
          <w:szCs w:val="24"/>
        </w:rPr>
        <w:t xml:space="preserve">Disallowable Legislative Instrument </w:t>
      </w:r>
      <w:r w:rsidRPr="00720752">
        <w:rPr>
          <w:rFonts w:ascii="&amp;quot" w:hAnsi="&amp;quot"/>
          <w:sz w:val="24"/>
          <w:szCs w:val="24"/>
        </w:rPr>
        <w:t>engages Article 12 of the International Covenant on Economic Social and Cultural Rights (ICESCR), specifically the right to health.</w:t>
      </w:r>
    </w:p>
    <w:p w14:paraId="1E63FA18" w14:textId="640B0E0A" w:rsidR="00F3751E" w:rsidRPr="00720752" w:rsidRDefault="00F3751E" w:rsidP="0035153F">
      <w:pPr>
        <w:spacing w:before="120" w:after="120"/>
        <w:rPr>
          <w:rFonts w:ascii="&amp;quot" w:hAnsi="&amp;quot"/>
          <w:i/>
          <w:iCs/>
          <w:sz w:val="24"/>
          <w:szCs w:val="24"/>
        </w:rPr>
      </w:pPr>
      <w:r w:rsidRPr="00720752">
        <w:rPr>
          <w:rFonts w:ascii="&amp;quot" w:hAnsi="&amp;quot"/>
          <w:i/>
          <w:iCs/>
          <w:sz w:val="24"/>
          <w:szCs w:val="24"/>
        </w:rPr>
        <w:t>The Right to Health</w:t>
      </w:r>
    </w:p>
    <w:p w14:paraId="67F263C8" w14:textId="5BE6164F" w:rsidR="001C1926" w:rsidRPr="00720752" w:rsidRDefault="001C1926" w:rsidP="001C1926">
      <w:pPr>
        <w:spacing w:after="120"/>
        <w:rPr>
          <w:rFonts w:ascii="&amp;quot" w:hAnsi="&amp;quot"/>
          <w:sz w:val="24"/>
          <w:szCs w:val="24"/>
        </w:rPr>
      </w:pPr>
      <w:r w:rsidRPr="00720752">
        <w:rPr>
          <w:rFonts w:ascii="&amp;quot" w:hAnsi="&amp;quot"/>
          <w:sz w:val="24"/>
          <w:szCs w:val="24"/>
        </w:rPr>
        <w:t xml:space="preserve">Article 12 of the ICESCR promotes the right of all individuals to enjoy the highest attainable standards of physical and mental health. </w:t>
      </w:r>
    </w:p>
    <w:p w14:paraId="428E7B51" w14:textId="09DF86F7" w:rsidR="001C1926" w:rsidRPr="00720752" w:rsidRDefault="001C1926" w:rsidP="001C1926">
      <w:pPr>
        <w:spacing w:after="120"/>
        <w:rPr>
          <w:rFonts w:ascii="&amp;quot" w:hAnsi="&amp;quot"/>
          <w:sz w:val="24"/>
          <w:szCs w:val="24"/>
        </w:rPr>
      </w:pPr>
      <w:r w:rsidRPr="00720752">
        <w:rPr>
          <w:rFonts w:ascii="&amp;quot" w:hAnsi="&amp;quot"/>
          <w:sz w:val="24"/>
          <w:szCs w:val="24"/>
        </w:rPr>
        <w:t>The United Nations Committee on Economic, Social and Cultural Rights has stated in General Comment 14 (2000) that health is a ‘fundamental human right indispensable for the exercise of other human rights’ and that the right to health is not to be understood as the right to be healthy, but rather entails a right to a system of health protection which provides equality of opportunity for people to enjoy the highest attainable level of health.</w:t>
      </w:r>
    </w:p>
    <w:p w14:paraId="5F49594B" w14:textId="1FF22576" w:rsidR="001C1926" w:rsidRPr="00720752" w:rsidRDefault="001C1926" w:rsidP="001C1926">
      <w:pPr>
        <w:spacing w:after="120"/>
        <w:rPr>
          <w:rFonts w:ascii="&amp;quot" w:hAnsi="&amp;quot"/>
          <w:sz w:val="24"/>
          <w:szCs w:val="24"/>
        </w:rPr>
      </w:pPr>
      <w:r w:rsidRPr="00720752">
        <w:rPr>
          <w:rFonts w:ascii="&amp;quot" w:hAnsi="&amp;quot"/>
          <w:sz w:val="24"/>
          <w:szCs w:val="24"/>
        </w:rPr>
        <w:lastRenderedPageBreak/>
        <w:t xml:space="preserve">The Committee reports that the </w:t>
      </w:r>
      <w:r w:rsidRPr="00720752">
        <w:rPr>
          <w:rFonts w:ascii="&amp;quot" w:hAnsi="&amp;quot"/>
          <w:i/>
          <w:iCs/>
          <w:sz w:val="24"/>
          <w:szCs w:val="24"/>
        </w:rPr>
        <w:t xml:space="preserve">‘highest attainable standard of health’ </w:t>
      </w:r>
      <w:r w:rsidRPr="00720752">
        <w:rPr>
          <w:rFonts w:ascii="&amp;quot" w:hAnsi="&amp;quot"/>
          <w:sz w:val="24"/>
          <w:szCs w:val="24"/>
        </w:rPr>
        <w:t>takes into account the country’s available resources.  This right may be understood as a right of access to a variety of public health and health care facilities, goods, services, programs, and conditions necessary for the realisation of the highest attainable standard of health.</w:t>
      </w:r>
    </w:p>
    <w:p w14:paraId="2B5A8D1A" w14:textId="77777777" w:rsidR="001C1926" w:rsidRPr="00720752" w:rsidRDefault="001C1926" w:rsidP="0035153F">
      <w:pPr>
        <w:spacing w:after="120"/>
        <w:rPr>
          <w:rFonts w:ascii="&amp;quot" w:hAnsi="&amp;quot"/>
          <w:sz w:val="24"/>
          <w:szCs w:val="24"/>
        </w:rPr>
      </w:pPr>
      <w:r w:rsidRPr="00720752">
        <w:rPr>
          <w:rFonts w:ascii="&amp;quot" w:hAnsi="&amp;quot"/>
          <w:sz w:val="24"/>
          <w:szCs w:val="24"/>
        </w:rPr>
        <w:t>Article 4 of the ICESCR provides that countries may subject economic, social and cultural rights (such as the right to health) only to such limitations ‘as are determined by law only in so far as this may be compatible with the nature of these rights and solely for the purpose of promoting the general welfare in a democratic society.’ The United Nations Committee has stated that such limitations must be proportionate and must be the least restrictive alternative where several types of limitations are available and that even where such limitations are permitted, they should be of limited duration and be subject to review.</w:t>
      </w:r>
    </w:p>
    <w:p w14:paraId="2C5C929D" w14:textId="4F091AEB" w:rsidR="00F3751E" w:rsidRPr="00720752" w:rsidRDefault="00F3751E" w:rsidP="0035153F">
      <w:pPr>
        <w:spacing w:after="120"/>
        <w:rPr>
          <w:rFonts w:ascii="&amp;quot" w:hAnsi="&amp;quot"/>
          <w:b/>
          <w:sz w:val="24"/>
          <w:szCs w:val="24"/>
        </w:rPr>
      </w:pPr>
      <w:r w:rsidRPr="00720752">
        <w:rPr>
          <w:rFonts w:ascii="&amp;quot" w:hAnsi="&amp;quot"/>
          <w:b/>
          <w:sz w:val="24"/>
          <w:szCs w:val="24"/>
        </w:rPr>
        <w:t>Analysis</w:t>
      </w:r>
    </w:p>
    <w:p w14:paraId="2BC2C3B3" w14:textId="35DD3F65" w:rsidR="001C1926" w:rsidRPr="00720752" w:rsidRDefault="001C1926" w:rsidP="001C1926">
      <w:pPr>
        <w:spacing w:after="120"/>
        <w:rPr>
          <w:rFonts w:ascii="&amp;quot" w:hAnsi="&amp;quot"/>
          <w:sz w:val="24"/>
          <w:szCs w:val="24"/>
        </w:rPr>
      </w:pPr>
      <w:r w:rsidRPr="00720752">
        <w:rPr>
          <w:rFonts w:ascii="&amp;quot" w:hAnsi="&amp;quot"/>
          <w:sz w:val="24"/>
          <w:szCs w:val="24"/>
        </w:rPr>
        <w:t xml:space="preserve">The </w:t>
      </w:r>
      <w:r w:rsidR="00F93860" w:rsidRPr="00720752">
        <w:rPr>
          <w:sz w:val="24"/>
          <w:szCs w:val="24"/>
        </w:rPr>
        <w:t>Disallowable Legislative Instrument</w:t>
      </w:r>
      <w:r w:rsidRPr="00720752">
        <w:rPr>
          <w:rFonts w:ascii="&amp;quot" w:hAnsi="&amp;quot"/>
          <w:sz w:val="24"/>
          <w:szCs w:val="24"/>
        </w:rPr>
        <w:t xml:space="preserve"> </w:t>
      </w:r>
      <w:r w:rsidR="00F3751E" w:rsidRPr="00720752">
        <w:rPr>
          <w:rFonts w:ascii="&amp;quot" w:hAnsi="&amp;quot"/>
          <w:sz w:val="24"/>
          <w:szCs w:val="24"/>
        </w:rPr>
        <w:t xml:space="preserve">advances the right to health </w:t>
      </w:r>
      <w:r w:rsidRPr="00720752">
        <w:rPr>
          <w:rFonts w:ascii="&amp;quot" w:hAnsi="&amp;quot"/>
          <w:sz w:val="24"/>
          <w:szCs w:val="24"/>
        </w:rPr>
        <w:t>by expanding access to aids and appliances through the Rehabilitation Appliances Program (RAP) and allied health care services for eligible D</w:t>
      </w:r>
      <w:r w:rsidR="00F93860" w:rsidRPr="00720752">
        <w:rPr>
          <w:rFonts w:ascii="&amp;quot" w:hAnsi="&amp;quot"/>
          <w:sz w:val="24"/>
          <w:szCs w:val="24"/>
        </w:rPr>
        <w:t xml:space="preserve">epartment of </w:t>
      </w:r>
      <w:r w:rsidRPr="00720752">
        <w:rPr>
          <w:rFonts w:ascii="&amp;quot" w:hAnsi="&amp;quot"/>
          <w:sz w:val="24"/>
          <w:szCs w:val="24"/>
        </w:rPr>
        <w:t>V</w:t>
      </w:r>
      <w:r w:rsidR="00F93860" w:rsidRPr="00720752">
        <w:rPr>
          <w:rFonts w:ascii="&amp;quot" w:hAnsi="&amp;quot"/>
          <w:sz w:val="24"/>
          <w:szCs w:val="24"/>
        </w:rPr>
        <w:t xml:space="preserve">eterans’ </w:t>
      </w:r>
      <w:r w:rsidRPr="00720752">
        <w:rPr>
          <w:rFonts w:ascii="&amp;quot" w:hAnsi="&amp;quot"/>
          <w:sz w:val="24"/>
          <w:szCs w:val="24"/>
        </w:rPr>
        <w:t>A</w:t>
      </w:r>
      <w:r w:rsidR="00F93860" w:rsidRPr="00720752">
        <w:rPr>
          <w:rFonts w:ascii="&amp;quot" w:hAnsi="&amp;quot"/>
          <w:sz w:val="24"/>
          <w:szCs w:val="24"/>
        </w:rPr>
        <w:t>ffairs</w:t>
      </w:r>
      <w:r w:rsidRPr="00720752">
        <w:rPr>
          <w:rFonts w:ascii="&amp;quot" w:hAnsi="&amp;quot"/>
          <w:sz w:val="24"/>
          <w:szCs w:val="24"/>
        </w:rPr>
        <w:t xml:space="preserve"> clients in residential aged care. </w:t>
      </w:r>
    </w:p>
    <w:p w14:paraId="77E467A1" w14:textId="56D3ADCE" w:rsidR="00F3751E" w:rsidRPr="00720752" w:rsidRDefault="00F3751E" w:rsidP="0035153F">
      <w:pPr>
        <w:spacing w:after="120"/>
        <w:rPr>
          <w:rFonts w:ascii="&amp;quot" w:hAnsi="&amp;quot"/>
          <w:b/>
          <w:bCs/>
          <w:sz w:val="24"/>
          <w:szCs w:val="24"/>
        </w:rPr>
      </w:pPr>
      <w:r w:rsidRPr="00720752">
        <w:rPr>
          <w:rFonts w:ascii="&amp;quot" w:hAnsi="&amp;quot"/>
          <w:b/>
          <w:bCs/>
          <w:sz w:val="24"/>
          <w:szCs w:val="24"/>
        </w:rPr>
        <w:t>Conclusion</w:t>
      </w:r>
    </w:p>
    <w:p w14:paraId="10689117" w14:textId="0C19E2DD" w:rsidR="00F3751E" w:rsidRPr="00720752" w:rsidRDefault="00F3751E" w:rsidP="0035153F">
      <w:pPr>
        <w:spacing w:after="120"/>
        <w:rPr>
          <w:rFonts w:ascii="&amp;quot" w:hAnsi="&amp;quot"/>
          <w:sz w:val="24"/>
          <w:szCs w:val="24"/>
        </w:rPr>
      </w:pPr>
      <w:r w:rsidRPr="00720752">
        <w:rPr>
          <w:rFonts w:ascii="&amp;quot" w:hAnsi="&amp;quot"/>
          <w:sz w:val="24"/>
          <w:szCs w:val="24"/>
        </w:rPr>
        <w:t xml:space="preserve">This </w:t>
      </w:r>
      <w:r w:rsidR="00F93860" w:rsidRPr="00720752">
        <w:rPr>
          <w:sz w:val="24"/>
          <w:szCs w:val="24"/>
        </w:rPr>
        <w:t>Disallowable Legislative Instrument</w:t>
      </w:r>
      <w:r w:rsidRPr="00720752">
        <w:rPr>
          <w:rFonts w:ascii="&amp;quot" w:hAnsi="&amp;quot"/>
          <w:sz w:val="24"/>
          <w:szCs w:val="24"/>
        </w:rPr>
        <w:t xml:space="preserve"> is compatible with human rights </w:t>
      </w:r>
      <w:r w:rsidR="00F93860" w:rsidRPr="00720752">
        <w:rPr>
          <w:rFonts w:ascii="&amp;quot" w:hAnsi="&amp;quot"/>
          <w:sz w:val="24"/>
          <w:szCs w:val="24"/>
        </w:rPr>
        <w:t xml:space="preserve">because it promotes and advances </w:t>
      </w:r>
      <w:r w:rsidR="00816588" w:rsidRPr="00720752">
        <w:rPr>
          <w:rFonts w:ascii="&amp;quot" w:hAnsi="&amp;quot"/>
          <w:sz w:val="24"/>
          <w:szCs w:val="24"/>
        </w:rPr>
        <w:t>the right to health</w:t>
      </w:r>
      <w:r w:rsidRPr="00720752">
        <w:rPr>
          <w:rFonts w:ascii="&amp;quot" w:hAnsi="&amp;quot"/>
          <w:sz w:val="24"/>
          <w:szCs w:val="24"/>
        </w:rPr>
        <w:t>.</w:t>
      </w:r>
    </w:p>
    <w:p w14:paraId="40D88BEA" w14:textId="77777777" w:rsidR="00235F3B" w:rsidRPr="00720752" w:rsidRDefault="00235F3B" w:rsidP="0035153F">
      <w:pPr>
        <w:jc w:val="both"/>
        <w:rPr>
          <w:sz w:val="24"/>
          <w:szCs w:val="24"/>
          <w:lang w:val="en-US"/>
        </w:rPr>
      </w:pPr>
    </w:p>
    <w:p w14:paraId="15EFBBC4" w14:textId="0C22A1A4" w:rsidR="0005568D" w:rsidRPr="00720752" w:rsidRDefault="00C81DED" w:rsidP="0005568D">
      <w:pPr>
        <w:jc w:val="both"/>
        <w:rPr>
          <w:sz w:val="24"/>
          <w:szCs w:val="24"/>
        </w:rPr>
      </w:pPr>
      <w:r w:rsidRPr="00720752">
        <w:rPr>
          <w:sz w:val="24"/>
          <w:szCs w:val="24"/>
        </w:rPr>
        <w:t>Vicki Rundle</w:t>
      </w:r>
    </w:p>
    <w:p w14:paraId="1F98F5FD" w14:textId="77777777" w:rsidR="00C81DED" w:rsidRPr="00720752" w:rsidRDefault="00C81DED" w:rsidP="00C81DED">
      <w:pPr>
        <w:jc w:val="both"/>
        <w:rPr>
          <w:bCs/>
          <w:sz w:val="24"/>
          <w:szCs w:val="24"/>
        </w:rPr>
      </w:pPr>
      <w:r w:rsidRPr="00720752">
        <w:rPr>
          <w:bCs/>
          <w:sz w:val="24"/>
          <w:szCs w:val="24"/>
        </w:rPr>
        <w:t>Rule-Maker</w:t>
      </w:r>
    </w:p>
    <w:p w14:paraId="4D964FE6" w14:textId="4E1E172D" w:rsidR="00C81DED" w:rsidRPr="00720752" w:rsidRDefault="00C81DED" w:rsidP="0005568D">
      <w:pPr>
        <w:jc w:val="both"/>
        <w:rPr>
          <w:sz w:val="24"/>
          <w:szCs w:val="24"/>
        </w:rPr>
      </w:pPr>
      <w:r w:rsidRPr="00720752">
        <w:rPr>
          <w:sz w:val="24"/>
          <w:szCs w:val="24"/>
        </w:rPr>
        <w:t>Deputy Secretary, Veteran and Famil</w:t>
      </w:r>
      <w:r w:rsidR="001C04C3" w:rsidRPr="00720752">
        <w:rPr>
          <w:sz w:val="24"/>
          <w:szCs w:val="24"/>
        </w:rPr>
        <w:t>y Policy</w:t>
      </w:r>
    </w:p>
    <w:p w14:paraId="5DF6C929" w14:textId="0E0A1009" w:rsidR="00F37126" w:rsidRPr="00802DB6" w:rsidRDefault="00C81DED" w:rsidP="0035153F">
      <w:pPr>
        <w:jc w:val="both"/>
        <w:rPr>
          <w:sz w:val="24"/>
          <w:szCs w:val="24"/>
          <w:u w:val="single"/>
        </w:rPr>
      </w:pPr>
      <w:r w:rsidRPr="00720752">
        <w:rPr>
          <w:sz w:val="24"/>
          <w:szCs w:val="24"/>
        </w:rPr>
        <w:t xml:space="preserve">Department of </w:t>
      </w:r>
      <w:r w:rsidR="0005568D" w:rsidRPr="00720752">
        <w:rPr>
          <w:sz w:val="24"/>
          <w:szCs w:val="24"/>
        </w:rPr>
        <w:t>Veterans’ Affairs</w:t>
      </w:r>
    </w:p>
    <w:sectPr w:rsidR="00F37126" w:rsidRPr="00802DB6" w:rsidSect="0035153F">
      <w:pgSz w:w="11906" w:h="16838"/>
      <w:pgMar w:top="1440" w:right="1797" w:bottom="567" w:left="1797" w:header="283" w:footer="51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184CB" w14:textId="77777777" w:rsidR="00E57DE0" w:rsidRDefault="00E57DE0">
      <w:r>
        <w:separator/>
      </w:r>
    </w:p>
  </w:endnote>
  <w:endnote w:type="continuationSeparator" w:id="0">
    <w:p w14:paraId="0D1C3956" w14:textId="77777777" w:rsidR="00E57DE0" w:rsidRDefault="00E57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p;quo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AAE2F" w14:textId="47EB79F3" w:rsidR="00E57DE0" w:rsidRDefault="00E57DE0">
    <w:pPr>
      <w:pStyle w:val="Footer"/>
      <w:jc w:val="right"/>
    </w:pPr>
    <w:r>
      <w:fldChar w:fldCharType="begin"/>
    </w:r>
    <w:r>
      <w:instrText xml:space="preserve"> PAGE   \* MERGEFORMAT </w:instrText>
    </w:r>
    <w:r>
      <w:fldChar w:fldCharType="separate"/>
    </w:r>
    <w:r w:rsidR="0054639F">
      <w:rPr>
        <w:noProof/>
      </w:rPr>
      <w:t>20</w:t>
    </w:r>
    <w:r>
      <w:rPr>
        <w:noProof/>
      </w:rPr>
      <w:fldChar w:fldCharType="end"/>
    </w:r>
  </w:p>
  <w:p w14:paraId="3CB9197D" w14:textId="77777777" w:rsidR="00E57DE0" w:rsidRDefault="00E57D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579275"/>
      <w:docPartObj>
        <w:docPartGallery w:val="Page Numbers (Bottom of Page)"/>
        <w:docPartUnique/>
      </w:docPartObj>
    </w:sdtPr>
    <w:sdtEndPr>
      <w:rPr>
        <w:noProof/>
      </w:rPr>
    </w:sdtEndPr>
    <w:sdtContent>
      <w:p w14:paraId="76B9275F" w14:textId="610FBF0C" w:rsidR="00E57DE0" w:rsidRDefault="00E57DE0" w:rsidP="0035153F">
        <w:pPr>
          <w:pStyle w:val="Footer"/>
          <w:jc w:val="right"/>
        </w:pPr>
        <w:r>
          <w:fldChar w:fldCharType="begin"/>
        </w:r>
        <w:r>
          <w:instrText xml:space="preserve"> PAGE   \* MERGEFORMAT </w:instrText>
        </w:r>
        <w:r>
          <w:fldChar w:fldCharType="separate"/>
        </w:r>
        <w:r w:rsidR="0054639F">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43F99" w14:textId="77777777" w:rsidR="00E57DE0" w:rsidRDefault="00E57DE0">
      <w:r>
        <w:separator/>
      </w:r>
    </w:p>
  </w:footnote>
  <w:footnote w:type="continuationSeparator" w:id="0">
    <w:p w14:paraId="1649B576" w14:textId="77777777" w:rsidR="00E57DE0" w:rsidRDefault="00E57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155FD" w14:textId="595F24B8" w:rsidR="00E57DE0" w:rsidRDefault="00E57D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726CA51F" w14:textId="77777777" w:rsidR="00E57DE0" w:rsidRDefault="00E57DE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3B927" w14:textId="77777777" w:rsidR="00E57DE0" w:rsidRDefault="00E57DE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2B6F"/>
    <w:multiLevelType w:val="hybridMultilevel"/>
    <w:tmpl w:val="F09C1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652A3B"/>
    <w:multiLevelType w:val="hybridMultilevel"/>
    <w:tmpl w:val="BE3ED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E254AD"/>
    <w:multiLevelType w:val="hybridMultilevel"/>
    <w:tmpl w:val="8A0EBAFA"/>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593E1C"/>
    <w:multiLevelType w:val="hybridMultilevel"/>
    <w:tmpl w:val="F5BE0C9A"/>
    <w:lvl w:ilvl="0" w:tplc="0C090001">
      <w:start w:val="1"/>
      <w:numFmt w:val="bullet"/>
      <w:lvlText w:val=""/>
      <w:lvlJc w:val="left"/>
      <w:pPr>
        <w:ind w:left="900" w:hanging="360"/>
      </w:pPr>
      <w:rPr>
        <w:rFonts w:ascii="Symbol" w:hAnsi="Symbol"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4" w15:restartNumberingAfterBreak="0">
    <w:nsid w:val="22F376CE"/>
    <w:multiLevelType w:val="hybridMultilevel"/>
    <w:tmpl w:val="532C58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B645000"/>
    <w:multiLevelType w:val="hybridMultilevel"/>
    <w:tmpl w:val="A7A86F9C"/>
    <w:lvl w:ilvl="0" w:tplc="F87EC4A0">
      <w:start w:val="1"/>
      <w:numFmt w:val="lowerRoman"/>
      <w:lvlText w:val="(%1)"/>
      <w:lvlJc w:val="left"/>
      <w:pPr>
        <w:ind w:left="2804" w:hanging="720"/>
      </w:pPr>
      <w:rPr>
        <w:rFonts w:hint="default"/>
      </w:rPr>
    </w:lvl>
    <w:lvl w:ilvl="1" w:tplc="0C090019" w:tentative="1">
      <w:start w:val="1"/>
      <w:numFmt w:val="lowerLetter"/>
      <w:lvlText w:val="%2."/>
      <w:lvlJc w:val="left"/>
      <w:pPr>
        <w:ind w:left="3164" w:hanging="360"/>
      </w:pPr>
    </w:lvl>
    <w:lvl w:ilvl="2" w:tplc="0C09001B" w:tentative="1">
      <w:start w:val="1"/>
      <w:numFmt w:val="lowerRoman"/>
      <w:lvlText w:val="%3."/>
      <w:lvlJc w:val="right"/>
      <w:pPr>
        <w:ind w:left="3884" w:hanging="180"/>
      </w:pPr>
    </w:lvl>
    <w:lvl w:ilvl="3" w:tplc="0C09000F" w:tentative="1">
      <w:start w:val="1"/>
      <w:numFmt w:val="decimal"/>
      <w:lvlText w:val="%4."/>
      <w:lvlJc w:val="left"/>
      <w:pPr>
        <w:ind w:left="4604" w:hanging="360"/>
      </w:pPr>
    </w:lvl>
    <w:lvl w:ilvl="4" w:tplc="0C090019" w:tentative="1">
      <w:start w:val="1"/>
      <w:numFmt w:val="lowerLetter"/>
      <w:lvlText w:val="%5."/>
      <w:lvlJc w:val="left"/>
      <w:pPr>
        <w:ind w:left="5324" w:hanging="360"/>
      </w:pPr>
    </w:lvl>
    <w:lvl w:ilvl="5" w:tplc="0C09001B" w:tentative="1">
      <w:start w:val="1"/>
      <w:numFmt w:val="lowerRoman"/>
      <w:lvlText w:val="%6."/>
      <w:lvlJc w:val="right"/>
      <w:pPr>
        <w:ind w:left="6044" w:hanging="180"/>
      </w:pPr>
    </w:lvl>
    <w:lvl w:ilvl="6" w:tplc="0C09000F" w:tentative="1">
      <w:start w:val="1"/>
      <w:numFmt w:val="decimal"/>
      <w:lvlText w:val="%7."/>
      <w:lvlJc w:val="left"/>
      <w:pPr>
        <w:ind w:left="6764" w:hanging="360"/>
      </w:pPr>
    </w:lvl>
    <w:lvl w:ilvl="7" w:tplc="0C090019" w:tentative="1">
      <w:start w:val="1"/>
      <w:numFmt w:val="lowerLetter"/>
      <w:lvlText w:val="%8."/>
      <w:lvlJc w:val="left"/>
      <w:pPr>
        <w:ind w:left="7484" w:hanging="360"/>
      </w:pPr>
    </w:lvl>
    <w:lvl w:ilvl="8" w:tplc="0C09001B" w:tentative="1">
      <w:start w:val="1"/>
      <w:numFmt w:val="lowerRoman"/>
      <w:lvlText w:val="%9."/>
      <w:lvlJc w:val="right"/>
      <w:pPr>
        <w:ind w:left="8204" w:hanging="180"/>
      </w:pPr>
    </w:lvl>
  </w:abstractNum>
  <w:abstractNum w:abstractNumId="6" w15:restartNumberingAfterBreak="0">
    <w:nsid w:val="372F4DA5"/>
    <w:multiLevelType w:val="hybridMultilevel"/>
    <w:tmpl w:val="B9D0F326"/>
    <w:lvl w:ilvl="0" w:tplc="0C090001">
      <w:start w:val="1"/>
      <w:numFmt w:val="bullet"/>
      <w:lvlText w:val=""/>
      <w:lvlJc w:val="left"/>
      <w:pPr>
        <w:tabs>
          <w:tab w:val="num" w:pos="720"/>
        </w:tabs>
        <w:ind w:left="720" w:hanging="360"/>
      </w:pPr>
      <w:rPr>
        <w:rFonts w:ascii="Symbol" w:hAnsi="Symbol" w:hint="default"/>
        <w:color w:val="auto"/>
      </w:rPr>
    </w:lvl>
    <w:lvl w:ilvl="1" w:tplc="0C090001">
      <w:start w:val="1"/>
      <w:numFmt w:val="bullet"/>
      <w:lvlText w:val=""/>
      <w:lvlJc w:val="left"/>
      <w:pPr>
        <w:ind w:left="2160" w:hanging="720"/>
      </w:pPr>
      <w:rPr>
        <w:rFonts w:ascii="Symbol" w:hAnsi="Symbol" w:hint="default"/>
      </w:rPr>
    </w:lvl>
    <w:lvl w:ilvl="2" w:tplc="0C090005">
      <w:start w:val="1"/>
      <w:numFmt w:val="bullet"/>
      <w:lvlText w:val=""/>
      <w:lvlJc w:val="left"/>
      <w:pPr>
        <w:tabs>
          <w:tab w:val="num" w:pos="2520"/>
        </w:tabs>
        <w:ind w:left="2520" w:hanging="360"/>
      </w:pPr>
      <w:rPr>
        <w:rFonts w:ascii="Wingdings" w:hAnsi="Wingdings" w:hint="default"/>
      </w:rPr>
    </w:lvl>
    <w:lvl w:ilvl="3" w:tplc="0C090001">
      <w:start w:val="1"/>
      <w:numFmt w:val="bullet"/>
      <w:lvlText w:val=""/>
      <w:lvlJc w:val="left"/>
      <w:pPr>
        <w:tabs>
          <w:tab w:val="num" w:pos="3240"/>
        </w:tabs>
        <w:ind w:left="3240" w:hanging="360"/>
      </w:pPr>
      <w:rPr>
        <w:rFonts w:ascii="Symbol" w:hAnsi="Symbol" w:hint="default"/>
      </w:rPr>
    </w:lvl>
    <w:lvl w:ilvl="4" w:tplc="0C090003">
      <w:start w:val="1"/>
      <w:numFmt w:val="bullet"/>
      <w:lvlText w:val="o"/>
      <w:lvlJc w:val="left"/>
      <w:pPr>
        <w:tabs>
          <w:tab w:val="num" w:pos="3960"/>
        </w:tabs>
        <w:ind w:left="3960" w:hanging="360"/>
      </w:pPr>
      <w:rPr>
        <w:rFonts w:ascii="Courier New" w:hAnsi="Courier New" w:cs="Courier New" w:hint="default"/>
      </w:rPr>
    </w:lvl>
    <w:lvl w:ilvl="5" w:tplc="0C090005">
      <w:start w:val="1"/>
      <w:numFmt w:val="bullet"/>
      <w:lvlText w:val=""/>
      <w:lvlJc w:val="left"/>
      <w:pPr>
        <w:tabs>
          <w:tab w:val="num" w:pos="4680"/>
        </w:tabs>
        <w:ind w:left="4680" w:hanging="360"/>
      </w:pPr>
      <w:rPr>
        <w:rFonts w:ascii="Wingdings" w:hAnsi="Wingdings" w:hint="default"/>
      </w:rPr>
    </w:lvl>
    <w:lvl w:ilvl="6" w:tplc="0C090001">
      <w:start w:val="1"/>
      <w:numFmt w:val="bullet"/>
      <w:lvlText w:val=""/>
      <w:lvlJc w:val="left"/>
      <w:pPr>
        <w:tabs>
          <w:tab w:val="num" w:pos="5400"/>
        </w:tabs>
        <w:ind w:left="5400" w:hanging="360"/>
      </w:pPr>
      <w:rPr>
        <w:rFonts w:ascii="Symbol" w:hAnsi="Symbol" w:hint="default"/>
      </w:rPr>
    </w:lvl>
    <w:lvl w:ilvl="7" w:tplc="0C090003">
      <w:start w:val="1"/>
      <w:numFmt w:val="bullet"/>
      <w:lvlText w:val="o"/>
      <w:lvlJc w:val="left"/>
      <w:pPr>
        <w:tabs>
          <w:tab w:val="num" w:pos="6120"/>
        </w:tabs>
        <w:ind w:left="6120" w:hanging="360"/>
      </w:pPr>
      <w:rPr>
        <w:rFonts w:ascii="Courier New" w:hAnsi="Courier New" w:cs="Courier New" w:hint="default"/>
      </w:rPr>
    </w:lvl>
    <w:lvl w:ilvl="8" w:tplc="0C09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A3F46A4"/>
    <w:multiLevelType w:val="hybridMultilevel"/>
    <w:tmpl w:val="F3E2D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442DDD"/>
    <w:multiLevelType w:val="hybridMultilevel"/>
    <w:tmpl w:val="4840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92666B"/>
    <w:multiLevelType w:val="hybridMultilevel"/>
    <w:tmpl w:val="EB14E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BA83077"/>
    <w:multiLevelType w:val="hybridMultilevel"/>
    <w:tmpl w:val="57DAD8D8"/>
    <w:lvl w:ilvl="0" w:tplc="0C090001">
      <w:start w:val="1"/>
      <w:numFmt w:val="bullet"/>
      <w:pStyle w:val="BulletText1"/>
      <w:lvlText w:val=""/>
      <w:lvlJc w:val="left"/>
      <w:pPr>
        <w:tabs>
          <w:tab w:val="num" w:pos="2138"/>
        </w:tabs>
        <w:ind w:left="2138" w:hanging="360"/>
      </w:pPr>
      <w:rPr>
        <w:rFonts w:ascii="Symbol" w:hAnsi="Symbol" w:hint="default"/>
      </w:rPr>
    </w:lvl>
    <w:lvl w:ilvl="1" w:tplc="0C090003" w:tentative="1">
      <w:start w:val="1"/>
      <w:numFmt w:val="bullet"/>
      <w:lvlText w:val="o"/>
      <w:lvlJc w:val="left"/>
      <w:pPr>
        <w:tabs>
          <w:tab w:val="num" w:pos="2858"/>
        </w:tabs>
        <w:ind w:left="2858" w:hanging="360"/>
      </w:pPr>
      <w:rPr>
        <w:rFonts w:ascii="Courier New" w:hAnsi="Courier New" w:cs="Courier New" w:hint="default"/>
      </w:rPr>
    </w:lvl>
    <w:lvl w:ilvl="2" w:tplc="0C090005" w:tentative="1">
      <w:start w:val="1"/>
      <w:numFmt w:val="bullet"/>
      <w:lvlText w:val=""/>
      <w:lvlJc w:val="left"/>
      <w:pPr>
        <w:tabs>
          <w:tab w:val="num" w:pos="3578"/>
        </w:tabs>
        <w:ind w:left="3578" w:hanging="360"/>
      </w:pPr>
      <w:rPr>
        <w:rFonts w:ascii="Wingdings" w:hAnsi="Wingdings" w:hint="default"/>
      </w:rPr>
    </w:lvl>
    <w:lvl w:ilvl="3" w:tplc="0C090001" w:tentative="1">
      <w:start w:val="1"/>
      <w:numFmt w:val="bullet"/>
      <w:lvlText w:val=""/>
      <w:lvlJc w:val="left"/>
      <w:pPr>
        <w:tabs>
          <w:tab w:val="num" w:pos="4298"/>
        </w:tabs>
        <w:ind w:left="4298" w:hanging="360"/>
      </w:pPr>
      <w:rPr>
        <w:rFonts w:ascii="Symbol" w:hAnsi="Symbol" w:hint="default"/>
      </w:rPr>
    </w:lvl>
    <w:lvl w:ilvl="4" w:tplc="0C090003" w:tentative="1">
      <w:start w:val="1"/>
      <w:numFmt w:val="bullet"/>
      <w:lvlText w:val="o"/>
      <w:lvlJc w:val="left"/>
      <w:pPr>
        <w:tabs>
          <w:tab w:val="num" w:pos="5018"/>
        </w:tabs>
        <w:ind w:left="5018" w:hanging="360"/>
      </w:pPr>
      <w:rPr>
        <w:rFonts w:ascii="Courier New" w:hAnsi="Courier New" w:cs="Courier New" w:hint="default"/>
      </w:rPr>
    </w:lvl>
    <w:lvl w:ilvl="5" w:tplc="0C090005" w:tentative="1">
      <w:start w:val="1"/>
      <w:numFmt w:val="bullet"/>
      <w:lvlText w:val=""/>
      <w:lvlJc w:val="left"/>
      <w:pPr>
        <w:tabs>
          <w:tab w:val="num" w:pos="5738"/>
        </w:tabs>
        <w:ind w:left="5738" w:hanging="360"/>
      </w:pPr>
      <w:rPr>
        <w:rFonts w:ascii="Wingdings" w:hAnsi="Wingdings" w:hint="default"/>
      </w:rPr>
    </w:lvl>
    <w:lvl w:ilvl="6" w:tplc="0C090001" w:tentative="1">
      <w:start w:val="1"/>
      <w:numFmt w:val="bullet"/>
      <w:lvlText w:val=""/>
      <w:lvlJc w:val="left"/>
      <w:pPr>
        <w:tabs>
          <w:tab w:val="num" w:pos="6458"/>
        </w:tabs>
        <w:ind w:left="6458" w:hanging="360"/>
      </w:pPr>
      <w:rPr>
        <w:rFonts w:ascii="Symbol" w:hAnsi="Symbol" w:hint="default"/>
      </w:rPr>
    </w:lvl>
    <w:lvl w:ilvl="7" w:tplc="0C090003" w:tentative="1">
      <w:start w:val="1"/>
      <w:numFmt w:val="bullet"/>
      <w:lvlText w:val="o"/>
      <w:lvlJc w:val="left"/>
      <w:pPr>
        <w:tabs>
          <w:tab w:val="num" w:pos="7178"/>
        </w:tabs>
        <w:ind w:left="7178" w:hanging="360"/>
      </w:pPr>
      <w:rPr>
        <w:rFonts w:ascii="Courier New" w:hAnsi="Courier New" w:cs="Courier New" w:hint="default"/>
      </w:rPr>
    </w:lvl>
    <w:lvl w:ilvl="8" w:tplc="0C090005" w:tentative="1">
      <w:start w:val="1"/>
      <w:numFmt w:val="bullet"/>
      <w:lvlText w:val=""/>
      <w:lvlJc w:val="left"/>
      <w:pPr>
        <w:tabs>
          <w:tab w:val="num" w:pos="7898"/>
        </w:tabs>
        <w:ind w:left="7898" w:hanging="360"/>
      </w:pPr>
      <w:rPr>
        <w:rFonts w:ascii="Wingdings" w:hAnsi="Wingdings" w:hint="default"/>
      </w:rPr>
    </w:lvl>
  </w:abstractNum>
  <w:abstractNum w:abstractNumId="11" w15:restartNumberingAfterBreak="0">
    <w:nsid w:val="4C812DBA"/>
    <w:multiLevelType w:val="hybridMultilevel"/>
    <w:tmpl w:val="7BD88CC0"/>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2CA4505"/>
    <w:multiLevelType w:val="multilevel"/>
    <w:tmpl w:val="23BE7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5F490E"/>
    <w:multiLevelType w:val="hybridMultilevel"/>
    <w:tmpl w:val="D16827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561671"/>
    <w:multiLevelType w:val="hybridMultilevel"/>
    <w:tmpl w:val="693A315E"/>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2DB2814"/>
    <w:multiLevelType w:val="hybridMultilevel"/>
    <w:tmpl w:val="921E354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6F01389B"/>
    <w:multiLevelType w:val="hybridMultilevel"/>
    <w:tmpl w:val="D49CFA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5D37F11"/>
    <w:multiLevelType w:val="hybridMultilevel"/>
    <w:tmpl w:val="0C6A9C8A"/>
    <w:lvl w:ilvl="0" w:tplc="0C090001">
      <w:start w:val="1"/>
      <w:numFmt w:val="bullet"/>
      <w:lvlText w:val=""/>
      <w:lvlJc w:val="left"/>
      <w:pPr>
        <w:ind w:left="1980" w:hanging="1440"/>
      </w:pPr>
      <w:rPr>
        <w:rFonts w:ascii="Symbol" w:hAnsi="Symbol" w:hint="default"/>
      </w:rPr>
    </w:lvl>
    <w:lvl w:ilvl="1" w:tplc="0C090019">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18" w15:restartNumberingAfterBreak="0">
    <w:nsid w:val="79D770D8"/>
    <w:multiLevelType w:val="hybridMultilevel"/>
    <w:tmpl w:val="AB4C08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7EBB180A"/>
    <w:multiLevelType w:val="multilevel"/>
    <w:tmpl w:val="BF384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9"/>
  </w:num>
  <w:num w:numId="4">
    <w:abstractNumId w:val="3"/>
  </w:num>
  <w:num w:numId="5">
    <w:abstractNumId w:val="17"/>
  </w:num>
  <w:num w:numId="6">
    <w:abstractNumId w:val="12"/>
  </w:num>
  <w:num w:numId="7">
    <w:abstractNumId w:val="19"/>
  </w:num>
  <w:num w:numId="8">
    <w:abstractNumId w:val="4"/>
  </w:num>
  <w:num w:numId="9">
    <w:abstractNumId w:val="15"/>
  </w:num>
  <w:num w:numId="10">
    <w:abstractNumId w:val="6"/>
  </w:num>
  <w:num w:numId="11">
    <w:abstractNumId w:val="18"/>
  </w:num>
  <w:num w:numId="12">
    <w:abstractNumId w:val="1"/>
  </w:num>
  <w:num w:numId="13">
    <w:abstractNumId w:val="8"/>
  </w:num>
  <w:num w:numId="14">
    <w:abstractNumId w:val="16"/>
  </w:num>
  <w:num w:numId="15">
    <w:abstractNumId w:val="0"/>
  </w:num>
  <w:num w:numId="16">
    <w:abstractNumId w:val="13"/>
  </w:num>
  <w:num w:numId="17">
    <w:abstractNumId w:val="5"/>
  </w:num>
  <w:num w:numId="18">
    <w:abstractNumId w:val="2"/>
  </w:num>
  <w:num w:numId="19">
    <w:abstractNumId w:val="14"/>
  </w:num>
  <w:num w:numId="20">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6A9"/>
    <w:rsid w:val="00000E73"/>
    <w:rsid w:val="00001910"/>
    <w:rsid w:val="00003F9D"/>
    <w:rsid w:val="000044E7"/>
    <w:rsid w:val="00004A4A"/>
    <w:rsid w:val="00004FB4"/>
    <w:rsid w:val="000050C1"/>
    <w:rsid w:val="00007A5C"/>
    <w:rsid w:val="000110FD"/>
    <w:rsid w:val="00012265"/>
    <w:rsid w:val="00012F60"/>
    <w:rsid w:val="000137D0"/>
    <w:rsid w:val="0001390F"/>
    <w:rsid w:val="00013E4F"/>
    <w:rsid w:val="000142FB"/>
    <w:rsid w:val="00014939"/>
    <w:rsid w:val="0001537C"/>
    <w:rsid w:val="0001549A"/>
    <w:rsid w:val="00016EEC"/>
    <w:rsid w:val="0001710C"/>
    <w:rsid w:val="00017798"/>
    <w:rsid w:val="00017A88"/>
    <w:rsid w:val="00021AAA"/>
    <w:rsid w:val="00021BC2"/>
    <w:rsid w:val="00021C70"/>
    <w:rsid w:val="00024228"/>
    <w:rsid w:val="0002467D"/>
    <w:rsid w:val="00024D42"/>
    <w:rsid w:val="0002715B"/>
    <w:rsid w:val="00027EFA"/>
    <w:rsid w:val="000302EC"/>
    <w:rsid w:val="0003190B"/>
    <w:rsid w:val="00032C9B"/>
    <w:rsid w:val="00033168"/>
    <w:rsid w:val="0003356A"/>
    <w:rsid w:val="0003598D"/>
    <w:rsid w:val="000402A8"/>
    <w:rsid w:val="00041D91"/>
    <w:rsid w:val="0004281E"/>
    <w:rsid w:val="00042B51"/>
    <w:rsid w:val="00044436"/>
    <w:rsid w:val="0004643D"/>
    <w:rsid w:val="00046B5E"/>
    <w:rsid w:val="000510B2"/>
    <w:rsid w:val="000528C8"/>
    <w:rsid w:val="000537E5"/>
    <w:rsid w:val="00054974"/>
    <w:rsid w:val="00055175"/>
    <w:rsid w:val="0005568D"/>
    <w:rsid w:val="000557DB"/>
    <w:rsid w:val="00055868"/>
    <w:rsid w:val="00056185"/>
    <w:rsid w:val="0005628E"/>
    <w:rsid w:val="000563A0"/>
    <w:rsid w:val="00056CD5"/>
    <w:rsid w:val="000606C6"/>
    <w:rsid w:val="000606F0"/>
    <w:rsid w:val="00060BB7"/>
    <w:rsid w:val="00061C39"/>
    <w:rsid w:val="00063E45"/>
    <w:rsid w:val="00064060"/>
    <w:rsid w:val="0006687D"/>
    <w:rsid w:val="00066A2B"/>
    <w:rsid w:val="00066DF7"/>
    <w:rsid w:val="000703AF"/>
    <w:rsid w:val="00071EBB"/>
    <w:rsid w:val="0007255D"/>
    <w:rsid w:val="0007468B"/>
    <w:rsid w:val="00074AE8"/>
    <w:rsid w:val="00076BFB"/>
    <w:rsid w:val="00077BAF"/>
    <w:rsid w:val="00080127"/>
    <w:rsid w:val="00080FFE"/>
    <w:rsid w:val="000814C6"/>
    <w:rsid w:val="000815B1"/>
    <w:rsid w:val="000835A8"/>
    <w:rsid w:val="00084E76"/>
    <w:rsid w:val="00086739"/>
    <w:rsid w:val="00086C95"/>
    <w:rsid w:val="00091285"/>
    <w:rsid w:val="00094098"/>
    <w:rsid w:val="000947C7"/>
    <w:rsid w:val="000948C2"/>
    <w:rsid w:val="00094A4D"/>
    <w:rsid w:val="00094CE6"/>
    <w:rsid w:val="000951BE"/>
    <w:rsid w:val="00096170"/>
    <w:rsid w:val="0009637D"/>
    <w:rsid w:val="00096762"/>
    <w:rsid w:val="00096D6B"/>
    <w:rsid w:val="000A0CE0"/>
    <w:rsid w:val="000A19B9"/>
    <w:rsid w:val="000A1CA9"/>
    <w:rsid w:val="000A1EB6"/>
    <w:rsid w:val="000A3780"/>
    <w:rsid w:val="000A3D2F"/>
    <w:rsid w:val="000A409D"/>
    <w:rsid w:val="000A5CFA"/>
    <w:rsid w:val="000B0377"/>
    <w:rsid w:val="000B1ACD"/>
    <w:rsid w:val="000B1C8F"/>
    <w:rsid w:val="000B1DAC"/>
    <w:rsid w:val="000B23D7"/>
    <w:rsid w:val="000B787B"/>
    <w:rsid w:val="000B7C24"/>
    <w:rsid w:val="000C0835"/>
    <w:rsid w:val="000C13F9"/>
    <w:rsid w:val="000C1D5E"/>
    <w:rsid w:val="000C4D78"/>
    <w:rsid w:val="000C6684"/>
    <w:rsid w:val="000C6BC0"/>
    <w:rsid w:val="000C71B0"/>
    <w:rsid w:val="000C7487"/>
    <w:rsid w:val="000C7B90"/>
    <w:rsid w:val="000D0C73"/>
    <w:rsid w:val="000D0EF4"/>
    <w:rsid w:val="000D1349"/>
    <w:rsid w:val="000D15EC"/>
    <w:rsid w:val="000D1DBB"/>
    <w:rsid w:val="000D248E"/>
    <w:rsid w:val="000D25FE"/>
    <w:rsid w:val="000D3740"/>
    <w:rsid w:val="000D3EFA"/>
    <w:rsid w:val="000D48D4"/>
    <w:rsid w:val="000D5AD7"/>
    <w:rsid w:val="000D7DB4"/>
    <w:rsid w:val="000E056C"/>
    <w:rsid w:val="000E0DD2"/>
    <w:rsid w:val="000E1AD6"/>
    <w:rsid w:val="000E26FF"/>
    <w:rsid w:val="000E2C21"/>
    <w:rsid w:val="000E37F2"/>
    <w:rsid w:val="000E4459"/>
    <w:rsid w:val="000E6A32"/>
    <w:rsid w:val="000E7268"/>
    <w:rsid w:val="000E7CAD"/>
    <w:rsid w:val="000F04CA"/>
    <w:rsid w:val="000F04D5"/>
    <w:rsid w:val="000F1BE8"/>
    <w:rsid w:val="000F2F80"/>
    <w:rsid w:val="000F4E14"/>
    <w:rsid w:val="000F4E3B"/>
    <w:rsid w:val="000F5F91"/>
    <w:rsid w:val="000F673E"/>
    <w:rsid w:val="000F77F7"/>
    <w:rsid w:val="000F7AFE"/>
    <w:rsid w:val="0010086E"/>
    <w:rsid w:val="00101AA4"/>
    <w:rsid w:val="00101E70"/>
    <w:rsid w:val="00102793"/>
    <w:rsid w:val="00102B25"/>
    <w:rsid w:val="00103B0F"/>
    <w:rsid w:val="00104DF4"/>
    <w:rsid w:val="00105118"/>
    <w:rsid w:val="001106C7"/>
    <w:rsid w:val="00111CA0"/>
    <w:rsid w:val="00112176"/>
    <w:rsid w:val="0011312A"/>
    <w:rsid w:val="001133C3"/>
    <w:rsid w:val="00113809"/>
    <w:rsid w:val="00114273"/>
    <w:rsid w:val="00114DBE"/>
    <w:rsid w:val="0011709D"/>
    <w:rsid w:val="0011745C"/>
    <w:rsid w:val="001207E5"/>
    <w:rsid w:val="00120A32"/>
    <w:rsid w:val="001216A9"/>
    <w:rsid w:val="001219D8"/>
    <w:rsid w:val="00121A5C"/>
    <w:rsid w:val="00121E9E"/>
    <w:rsid w:val="001228F8"/>
    <w:rsid w:val="0012337E"/>
    <w:rsid w:val="0012366C"/>
    <w:rsid w:val="00123AC0"/>
    <w:rsid w:val="00123CD6"/>
    <w:rsid w:val="001246E6"/>
    <w:rsid w:val="001250EB"/>
    <w:rsid w:val="001265A9"/>
    <w:rsid w:val="00126B0A"/>
    <w:rsid w:val="00131343"/>
    <w:rsid w:val="0013400C"/>
    <w:rsid w:val="00134751"/>
    <w:rsid w:val="0013621E"/>
    <w:rsid w:val="00140A4D"/>
    <w:rsid w:val="00140D4B"/>
    <w:rsid w:val="00146922"/>
    <w:rsid w:val="00146E95"/>
    <w:rsid w:val="00146F74"/>
    <w:rsid w:val="00147294"/>
    <w:rsid w:val="0014737E"/>
    <w:rsid w:val="001473E2"/>
    <w:rsid w:val="00150200"/>
    <w:rsid w:val="00151071"/>
    <w:rsid w:val="001511D2"/>
    <w:rsid w:val="00151496"/>
    <w:rsid w:val="00151527"/>
    <w:rsid w:val="0015210E"/>
    <w:rsid w:val="00153968"/>
    <w:rsid w:val="00153CC9"/>
    <w:rsid w:val="001556C8"/>
    <w:rsid w:val="00155CD7"/>
    <w:rsid w:val="00156DE3"/>
    <w:rsid w:val="0015739C"/>
    <w:rsid w:val="001578EA"/>
    <w:rsid w:val="00157B95"/>
    <w:rsid w:val="00157BA6"/>
    <w:rsid w:val="00161A1B"/>
    <w:rsid w:val="00162012"/>
    <w:rsid w:val="001624D2"/>
    <w:rsid w:val="00164FC3"/>
    <w:rsid w:val="00166861"/>
    <w:rsid w:val="00167559"/>
    <w:rsid w:val="00167FA1"/>
    <w:rsid w:val="00171F7C"/>
    <w:rsid w:val="001720E5"/>
    <w:rsid w:val="00173BA7"/>
    <w:rsid w:val="00175758"/>
    <w:rsid w:val="00176094"/>
    <w:rsid w:val="00176979"/>
    <w:rsid w:val="0017767E"/>
    <w:rsid w:val="00177F53"/>
    <w:rsid w:val="00180AAF"/>
    <w:rsid w:val="00183778"/>
    <w:rsid w:val="001839E1"/>
    <w:rsid w:val="001847FC"/>
    <w:rsid w:val="00184A2C"/>
    <w:rsid w:val="0018571C"/>
    <w:rsid w:val="00185B5A"/>
    <w:rsid w:val="00185BFB"/>
    <w:rsid w:val="00186BE6"/>
    <w:rsid w:val="00190908"/>
    <w:rsid w:val="001919D9"/>
    <w:rsid w:val="00191DF0"/>
    <w:rsid w:val="0019238D"/>
    <w:rsid w:val="00192EAF"/>
    <w:rsid w:val="001938F7"/>
    <w:rsid w:val="0019449A"/>
    <w:rsid w:val="00194674"/>
    <w:rsid w:val="001978E6"/>
    <w:rsid w:val="001A078B"/>
    <w:rsid w:val="001A1903"/>
    <w:rsid w:val="001A2A85"/>
    <w:rsid w:val="001A4822"/>
    <w:rsid w:val="001A48D0"/>
    <w:rsid w:val="001A521C"/>
    <w:rsid w:val="001A6D43"/>
    <w:rsid w:val="001A7754"/>
    <w:rsid w:val="001A7805"/>
    <w:rsid w:val="001A7CC1"/>
    <w:rsid w:val="001B0D1B"/>
    <w:rsid w:val="001B16EA"/>
    <w:rsid w:val="001B19F9"/>
    <w:rsid w:val="001B39A1"/>
    <w:rsid w:val="001B4961"/>
    <w:rsid w:val="001B51D6"/>
    <w:rsid w:val="001B7BD6"/>
    <w:rsid w:val="001B7C72"/>
    <w:rsid w:val="001C01CC"/>
    <w:rsid w:val="001C04C3"/>
    <w:rsid w:val="001C1384"/>
    <w:rsid w:val="001C1668"/>
    <w:rsid w:val="001C1926"/>
    <w:rsid w:val="001C2A1E"/>
    <w:rsid w:val="001C31F5"/>
    <w:rsid w:val="001C33E3"/>
    <w:rsid w:val="001C35B9"/>
    <w:rsid w:val="001C387D"/>
    <w:rsid w:val="001C3FDC"/>
    <w:rsid w:val="001C43A4"/>
    <w:rsid w:val="001C5777"/>
    <w:rsid w:val="001C5F03"/>
    <w:rsid w:val="001C62C8"/>
    <w:rsid w:val="001C668E"/>
    <w:rsid w:val="001D04EB"/>
    <w:rsid w:val="001D09EE"/>
    <w:rsid w:val="001D0D18"/>
    <w:rsid w:val="001D1403"/>
    <w:rsid w:val="001D285E"/>
    <w:rsid w:val="001D4BEC"/>
    <w:rsid w:val="001D6E99"/>
    <w:rsid w:val="001D7FDF"/>
    <w:rsid w:val="001E027F"/>
    <w:rsid w:val="001E0E2F"/>
    <w:rsid w:val="001E0F30"/>
    <w:rsid w:val="001E1D3B"/>
    <w:rsid w:val="001E394A"/>
    <w:rsid w:val="001E44EB"/>
    <w:rsid w:val="001E4547"/>
    <w:rsid w:val="001E4754"/>
    <w:rsid w:val="001E51B4"/>
    <w:rsid w:val="001E54CC"/>
    <w:rsid w:val="001E6087"/>
    <w:rsid w:val="001E67F5"/>
    <w:rsid w:val="001E6D50"/>
    <w:rsid w:val="001E7485"/>
    <w:rsid w:val="001E7527"/>
    <w:rsid w:val="001E7AD0"/>
    <w:rsid w:val="001E7F64"/>
    <w:rsid w:val="001F03FD"/>
    <w:rsid w:val="001F077E"/>
    <w:rsid w:val="001F248F"/>
    <w:rsid w:val="001F4B34"/>
    <w:rsid w:val="001F6618"/>
    <w:rsid w:val="00200C8C"/>
    <w:rsid w:val="00202DB3"/>
    <w:rsid w:val="002050F6"/>
    <w:rsid w:val="0020563D"/>
    <w:rsid w:val="00205A0B"/>
    <w:rsid w:val="00207F8E"/>
    <w:rsid w:val="00210E27"/>
    <w:rsid w:val="00211363"/>
    <w:rsid w:val="0021600C"/>
    <w:rsid w:val="00217A68"/>
    <w:rsid w:val="002213AB"/>
    <w:rsid w:val="00221640"/>
    <w:rsid w:val="00221FA2"/>
    <w:rsid w:val="00223F5A"/>
    <w:rsid w:val="002259F7"/>
    <w:rsid w:val="00226159"/>
    <w:rsid w:val="002308B6"/>
    <w:rsid w:val="002332AA"/>
    <w:rsid w:val="00233E74"/>
    <w:rsid w:val="00234F04"/>
    <w:rsid w:val="00235F3B"/>
    <w:rsid w:val="002362ED"/>
    <w:rsid w:val="002365F3"/>
    <w:rsid w:val="002374FD"/>
    <w:rsid w:val="002377BE"/>
    <w:rsid w:val="00242AB4"/>
    <w:rsid w:val="00243DCA"/>
    <w:rsid w:val="00244022"/>
    <w:rsid w:val="00244DC6"/>
    <w:rsid w:val="00246DB0"/>
    <w:rsid w:val="002474E9"/>
    <w:rsid w:val="002474EC"/>
    <w:rsid w:val="00253D92"/>
    <w:rsid w:val="002562F7"/>
    <w:rsid w:val="002563AA"/>
    <w:rsid w:val="00256B0F"/>
    <w:rsid w:val="00256E1F"/>
    <w:rsid w:val="002570C9"/>
    <w:rsid w:val="0026085E"/>
    <w:rsid w:val="00261F0B"/>
    <w:rsid w:val="00261FD6"/>
    <w:rsid w:val="0026264F"/>
    <w:rsid w:val="00264CAD"/>
    <w:rsid w:val="0026632C"/>
    <w:rsid w:val="00267116"/>
    <w:rsid w:val="00267EC2"/>
    <w:rsid w:val="00271102"/>
    <w:rsid w:val="00271F56"/>
    <w:rsid w:val="002732F6"/>
    <w:rsid w:val="00273306"/>
    <w:rsid w:val="002734FE"/>
    <w:rsid w:val="0027464E"/>
    <w:rsid w:val="00275D17"/>
    <w:rsid w:val="00276A9A"/>
    <w:rsid w:val="00276EB5"/>
    <w:rsid w:val="00277ADE"/>
    <w:rsid w:val="00280E4F"/>
    <w:rsid w:val="00284AE9"/>
    <w:rsid w:val="002870EB"/>
    <w:rsid w:val="002906BB"/>
    <w:rsid w:val="00291FF1"/>
    <w:rsid w:val="00292ABF"/>
    <w:rsid w:val="00293230"/>
    <w:rsid w:val="0029545F"/>
    <w:rsid w:val="00295AF7"/>
    <w:rsid w:val="0029636B"/>
    <w:rsid w:val="0029761F"/>
    <w:rsid w:val="002A0F88"/>
    <w:rsid w:val="002A1157"/>
    <w:rsid w:val="002A2833"/>
    <w:rsid w:val="002A411C"/>
    <w:rsid w:val="002A5053"/>
    <w:rsid w:val="002A5CF1"/>
    <w:rsid w:val="002A64AB"/>
    <w:rsid w:val="002A7C1C"/>
    <w:rsid w:val="002B06A0"/>
    <w:rsid w:val="002B175F"/>
    <w:rsid w:val="002B3A1E"/>
    <w:rsid w:val="002B40F3"/>
    <w:rsid w:val="002B57BE"/>
    <w:rsid w:val="002B583E"/>
    <w:rsid w:val="002B5CD5"/>
    <w:rsid w:val="002B72BB"/>
    <w:rsid w:val="002B7B5D"/>
    <w:rsid w:val="002B7C56"/>
    <w:rsid w:val="002C06E1"/>
    <w:rsid w:val="002C087F"/>
    <w:rsid w:val="002C18FC"/>
    <w:rsid w:val="002C282B"/>
    <w:rsid w:val="002D0439"/>
    <w:rsid w:val="002D07CB"/>
    <w:rsid w:val="002D190F"/>
    <w:rsid w:val="002D59D2"/>
    <w:rsid w:val="002D5D45"/>
    <w:rsid w:val="002D7D1F"/>
    <w:rsid w:val="002E2160"/>
    <w:rsid w:val="002E2262"/>
    <w:rsid w:val="002E33EA"/>
    <w:rsid w:val="002E3C26"/>
    <w:rsid w:val="002E5919"/>
    <w:rsid w:val="002E5D8B"/>
    <w:rsid w:val="002F038D"/>
    <w:rsid w:val="002F063D"/>
    <w:rsid w:val="002F0A0C"/>
    <w:rsid w:val="002F18CE"/>
    <w:rsid w:val="002F2F0B"/>
    <w:rsid w:val="002F30DC"/>
    <w:rsid w:val="002F408B"/>
    <w:rsid w:val="002F45FE"/>
    <w:rsid w:val="002F4DC7"/>
    <w:rsid w:val="002F7998"/>
    <w:rsid w:val="003002FA"/>
    <w:rsid w:val="00302878"/>
    <w:rsid w:val="00302883"/>
    <w:rsid w:val="003029E9"/>
    <w:rsid w:val="00302CB1"/>
    <w:rsid w:val="003040F1"/>
    <w:rsid w:val="003053D2"/>
    <w:rsid w:val="00305558"/>
    <w:rsid w:val="00305BC9"/>
    <w:rsid w:val="00306875"/>
    <w:rsid w:val="003107AE"/>
    <w:rsid w:val="003114AD"/>
    <w:rsid w:val="0031204F"/>
    <w:rsid w:val="00312948"/>
    <w:rsid w:val="00313B62"/>
    <w:rsid w:val="00317BC3"/>
    <w:rsid w:val="003207E7"/>
    <w:rsid w:val="00323300"/>
    <w:rsid w:val="00325046"/>
    <w:rsid w:val="003257F9"/>
    <w:rsid w:val="003261D2"/>
    <w:rsid w:val="003267AF"/>
    <w:rsid w:val="003310B8"/>
    <w:rsid w:val="0033284A"/>
    <w:rsid w:val="00333848"/>
    <w:rsid w:val="00335592"/>
    <w:rsid w:val="003362A9"/>
    <w:rsid w:val="003375AE"/>
    <w:rsid w:val="00337A61"/>
    <w:rsid w:val="003425AA"/>
    <w:rsid w:val="00342655"/>
    <w:rsid w:val="00342A66"/>
    <w:rsid w:val="003430DF"/>
    <w:rsid w:val="00343100"/>
    <w:rsid w:val="00343232"/>
    <w:rsid w:val="00344D38"/>
    <w:rsid w:val="00346FDF"/>
    <w:rsid w:val="003471AA"/>
    <w:rsid w:val="003475AF"/>
    <w:rsid w:val="003500CC"/>
    <w:rsid w:val="00350F49"/>
    <w:rsid w:val="0035153F"/>
    <w:rsid w:val="00351B83"/>
    <w:rsid w:val="003526EE"/>
    <w:rsid w:val="00352B54"/>
    <w:rsid w:val="00352CE2"/>
    <w:rsid w:val="00356EB9"/>
    <w:rsid w:val="00357D6D"/>
    <w:rsid w:val="00360455"/>
    <w:rsid w:val="00361337"/>
    <w:rsid w:val="00361ED6"/>
    <w:rsid w:val="0036376A"/>
    <w:rsid w:val="00363A91"/>
    <w:rsid w:val="003650ED"/>
    <w:rsid w:val="00366400"/>
    <w:rsid w:val="00366EA7"/>
    <w:rsid w:val="00367246"/>
    <w:rsid w:val="00367265"/>
    <w:rsid w:val="003704B7"/>
    <w:rsid w:val="0037112E"/>
    <w:rsid w:val="00371F8C"/>
    <w:rsid w:val="0037273D"/>
    <w:rsid w:val="00373D83"/>
    <w:rsid w:val="00376935"/>
    <w:rsid w:val="003778B4"/>
    <w:rsid w:val="00377B7A"/>
    <w:rsid w:val="003812FE"/>
    <w:rsid w:val="003827F7"/>
    <w:rsid w:val="00382CCF"/>
    <w:rsid w:val="00383840"/>
    <w:rsid w:val="00387192"/>
    <w:rsid w:val="003923C9"/>
    <w:rsid w:val="0039420E"/>
    <w:rsid w:val="00394A40"/>
    <w:rsid w:val="00394EC4"/>
    <w:rsid w:val="0039530C"/>
    <w:rsid w:val="00397DE7"/>
    <w:rsid w:val="003A11FE"/>
    <w:rsid w:val="003A2CAD"/>
    <w:rsid w:val="003A31FC"/>
    <w:rsid w:val="003A383E"/>
    <w:rsid w:val="003A3BB4"/>
    <w:rsid w:val="003A3DF9"/>
    <w:rsid w:val="003A4D65"/>
    <w:rsid w:val="003A544C"/>
    <w:rsid w:val="003A619E"/>
    <w:rsid w:val="003A7A32"/>
    <w:rsid w:val="003A7E6B"/>
    <w:rsid w:val="003B09B6"/>
    <w:rsid w:val="003B0F13"/>
    <w:rsid w:val="003B1D52"/>
    <w:rsid w:val="003B2625"/>
    <w:rsid w:val="003B4DBF"/>
    <w:rsid w:val="003B68B3"/>
    <w:rsid w:val="003B721A"/>
    <w:rsid w:val="003B7A7B"/>
    <w:rsid w:val="003B7BB5"/>
    <w:rsid w:val="003B7CAB"/>
    <w:rsid w:val="003C0573"/>
    <w:rsid w:val="003C10A4"/>
    <w:rsid w:val="003C1E30"/>
    <w:rsid w:val="003C25FD"/>
    <w:rsid w:val="003C2B35"/>
    <w:rsid w:val="003C2D9A"/>
    <w:rsid w:val="003C33F8"/>
    <w:rsid w:val="003C37F0"/>
    <w:rsid w:val="003C389A"/>
    <w:rsid w:val="003C447F"/>
    <w:rsid w:val="003C5AA5"/>
    <w:rsid w:val="003C6855"/>
    <w:rsid w:val="003C6ACF"/>
    <w:rsid w:val="003D0087"/>
    <w:rsid w:val="003D16AD"/>
    <w:rsid w:val="003D1A4B"/>
    <w:rsid w:val="003D2B4A"/>
    <w:rsid w:val="003D307E"/>
    <w:rsid w:val="003D3F79"/>
    <w:rsid w:val="003D426F"/>
    <w:rsid w:val="003D453B"/>
    <w:rsid w:val="003D5EA1"/>
    <w:rsid w:val="003D65F6"/>
    <w:rsid w:val="003D6DF1"/>
    <w:rsid w:val="003D7395"/>
    <w:rsid w:val="003D7FDC"/>
    <w:rsid w:val="003E086F"/>
    <w:rsid w:val="003E08D9"/>
    <w:rsid w:val="003E0FDA"/>
    <w:rsid w:val="003E1851"/>
    <w:rsid w:val="003E2B3B"/>
    <w:rsid w:val="003E2D2D"/>
    <w:rsid w:val="003E38C6"/>
    <w:rsid w:val="003E3A3C"/>
    <w:rsid w:val="003E427A"/>
    <w:rsid w:val="003E450F"/>
    <w:rsid w:val="003E4EB2"/>
    <w:rsid w:val="003E513D"/>
    <w:rsid w:val="003E54E7"/>
    <w:rsid w:val="003E5657"/>
    <w:rsid w:val="003E676C"/>
    <w:rsid w:val="003E67CC"/>
    <w:rsid w:val="003F00E2"/>
    <w:rsid w:val="003F04DF"/>
    <w:rsid w:val="003F0BAB"/>
    <w:rsid w:val="003F2A7B"/>
    <w:rsid w:val="003F3757"/>
    <w:rsid w:val="003F39A1"/>
    <w:rsid w:val="003F4ED6"/>
    <w:rsid w:val="003F4F45"/>
    <w:rsid w:val="003F5AF6"/>
    <w:rsid w:val="003F77B3"/>
    <w:rsid w:val="004016E0"/>
    <w:rsid w:val="004025AC"/>
    <w:rsid w:val="004028C6"/>
    <w:rsid w:val="00402D0C"/>
    <w:rsid w:val="00402D98"/>
    <w:rsid w:val="004066E6"/>
    <w:rsid w:val="004074CC"/>
    <w:rsid w:val="004108BA"/>
    <w:rsid w:val="00411168"/>
    <w:rsid w:val="004113F9"/>
    <w:rsid w:val="0041169E"/>
    <w:rsid w:val="004117E6"/>
    <w:rsid w:val="00412BF5"/>
    <w:rsid w:val="00413EC7"/>
    <w:rsid w:val="004144CB"/>
    <w:rsid w:val="00416DC1"/>
    <w:rsid w:val="00416E1D"/>
    <w:rsid w:val="00420D47"/>
    <w:rsid w:val="004239F6"/>
    <w:rsid w:val="00424168"/>
    <w:rsid w:val="00424224"/>
    <w:rsid w:val="00424C59"/>
    <w:rsid w:val="00424FC7"/>
    <w:rsid w:val="00425957"/>
    <w:rsid w:val="00425EBA"/>
    <w:rsid w:val="004268EA"/>
    <w:rsid w:val="00426D9B"/>
    <w:rsid w:val="00430C4D"/>
    <w:rsid w:val="00432240"/>
    <w:rsid w:val="0043268E"/>
    <w:rsid w:val="0043277E"/>
    <w:rsid w:val="0043449F"/>
    <w:rsid w:val="0043452A"/>
    <w:rsid w:val="004355A1"/>
    <w:rsid w:val="0043587C"/>
    <w:rsid w:val="00436554"/>
    <w:rsid w:val="0044141F"/>
    <w:rsid w:val="0044168C"/>
    <w:rsid w:val="00442A65"/>
    <w:rsid w:val="00442B58"/>
    <w:rsid w:val="00442B5B"/>
    <w:rsid w:val="00443C30"/>
    <w:rsid w:val="00444BCD"/>
    <w:rsid w:val="0044586B"/>
    <w:rsid w:val="00446779"/>
    <w:rsid w:val="00451EE4"/>
    <w:rsid w:val="00453810"/>
    <w:rsid w:val="00454386"/>
    <w:rsid w:val="004553AA"/>
    <w:rsid w:val="00457AD5"/>
    <w:rsid w:val="00460677"/>
    <w:rsid w:val="0046135C"/>
    <w:rsid w:val="00461B16"/>
    <w:rsid w:val="0046353B"/>
    <w:rsid w:val="00464069"/>
    <w:rsid w:val="00464D0F"/>
    <w:rsid w:val="00466C1C"/>
    <w:rsid w:val="00466FBE"/>
    <w:rsid w:val="00472020"/>
    <w:rsid w:val="00472E17"/>
    <w:rsid w:val="00473627"/>
    <w:rsid w:val="0047599B"/>
    <w:rsid w:val="004764C9"/>
    <w:rsid w:val="00480500"/>
    <w:rsid w:val="00482666"/>
    <w:rsid w:val="004831D5"/>
    <w:rsid w:val="00483865"/>
    <w:rsid w:val="004852BF"/>
    <w:rsid w:val="00490ACF"/>
    <w:rsid w:val="00492A33"/>
    <w:rsid w:val="00493901"/>
    <w:rsid w:val="004941B2"/>
    <w:rsid w:val="00494819"/>
    <w:rsid w:val="00494CA8"/>
    <w:rsid w:val="004961D7"/>
    <w:rsid w:val="004A1A1E"/>
    <w:rsid w:val="004A2191"/>
    <w:rsid w:val="004A2459"/>
    <w:rsid w:val="004A29BC"/>
    <w:rsid w:val="004A3773"/>
    <w:rsid w:val="004A3D74"/>
    <w:rsid w:val="004A4E95"/>
    <w:rsid w:val="004A4F48"/>
    <w:rsid w:val="004A7A5E"/>
    <w:rsid w:val="004A7BFE"/>
    <w:rsid w:val="004B2673"/>
    <w:rsid w:val="004B4776"/>
    <w:rsid w:val="004B566D"/>
    <w:rsid w:val="004B5ABA"/>
    <w:rsid w:val="004B7202"/>
    <w:rsid w:val="004B7F26"/>
    <w:rsid w:val="004C0DDA"/>
    <w:rsid w:val="004C18F4"/>
    <w:rsid w:val="004C2B5D"/>
    <w:rsid w:val="004C2BCD"/>
    <w:rsid w:val="004C3129"/>
    <w:rsid w:val="004C3D00"/>
    <w:rsid w:val="004C4952"/>
    <w:rsid w:val="004C4FD6"/>
    <w:rsid w:val="004C5517"/>
    <w:rsid w:val="004C5A68"/>
    <w:rsid w:val="004C75ED"/>
    <w:rsid w:val="004D1409"/>
    <w:rsid w:val="004D2683"/>
    <w:rsid w:val="004D367D"/>
    <w:rsid w:val="004D46D6"/>
    <w:rsid w:val="004D4E7D"/>
    <w:rsid w:val="004D65EF"/>
    <w:rsid w:val="004D6861"/>
    <w:rsid w:val="004D6BF0"/>
    <w:rsid w:val="004D71E5"/>
    <w:rsid w:val="004E0708"/>
    <w:rsid w:val="004E08B4"/>
    <w:rsid w:val="004E1D1A"/>
    <w:rsid w:val="004E1EB5"/>
    <w:rsid w:val="004E4317"/>
    <w:rsid w:val="004E4A08"/>
    <w:rsid w:val="004E51CF"/>
    <w:rsid w:val="004F0604"/>
    <w:rsid w:val="004F11C8"/>
    <w:rsid w:val="004F4756"/>
    <w:rsid w:val="004F7BDC"/>
    <w:rsid w:val="005009C8"/>
    <w:rsid w:val="005011DC"/>
    <w:rsid w:val="0050143C"/>
    <w:rsid w:val="005069B4"/>
    <w:rsid w:val="00506A65"/>
    <w:rsid w:val="00507CC5"/>
    <w:rsid w:val="00510ED8"/>
    <w:rsid w:val="00512CA9"/>
    <w:rsid w:val="00512D21"/>
    <w:rsid w:val="00512F25"/>
    <w:rsid w:val="00513C9F"/>
    <w:rsid w:val="00513F7F"/>
    <w:rsid w:val="00514799"/>
    <w:rsid w:val="005151AC"/>
    <w:rsid w:val="00515B46"/>
    <w:rsid w:val="00520EE8"/>
    <w:rsid w:val="00521BF1"/>
    <w:rsid w:val="005237A5"/>
    <w:rsid w:val="00523EEA"/>
    <w:rsid w:val="005250F0"/>
    <w:rsid w:val="005264F0"/>
    <w:rsid w:val="0052739D"/>
    <w:rsid w:val="00531E15"/>
    <w:rsid w:val="0053294B"/>
    <w:rsid w:val="00533725"/>
    <w:rsid w:val="00535CAC"/>
    <w:rsid w:val="0053721D"/>
    <w:rsid w:val="00537D7E"/>
    <w:rsid w:val="00540486"/>
    <w:rsid w:val="00540A3F"/>
    <w:rsid w:val="00540C9B"/>
    <w:rsid w:val="00540CA4"/>
    <w:rsid w:val="00540D3C"/>
    <w:rsid w:val="00541806"/>
    <w:rsid w:val="0054285E"/>
    <w:rsid w:val="00542FF7"/>
    <w:rsid w:val="0054410A"/>
    <w:rsid w:val="00545904"/>
    <w:rsid w:val="00545F1E"/>
    <w:rsid w:val="0054639F"/>
    <w:rsid w:val="00546D9E"/>
    <w:rsid w:val="00550EBF"/>
    <w:rsid w:val="00552337"/>
    <w:rsid w:val="00556022"/>
    <w:rsid w:val="00556B3F"/>
    <w:rsid w:val="005612C4"/>
    <w:rsid w:val="005623EB"/>
    <w:rsid w:val="00562732"/>
    <w:rsid w:val="00562F59"/>
    <w:rsid w:val="0056390D"/>
    <w:rsid w:val="00564328"/>
    <w:rsid w:val="00564786"/>
    <w:rsid w:val="00566248"/>
    <w:rsid w:val="00567136"/>
    <w:rsid w:val="00567C00"/>
    <w:rsid w:val="005737D8"/>
    <w:rsid w:val="00574A51"/>
    <w:rsid w:val="00576A96"/>
    <w:rsid w:val="00576DB8"/>
    <w:rsid w:val="00576EEB"/>
    <w:rsid w:val="0057782C"/>
    <w:rsid w:val="005824B2"/>
    <w:rsid w:val="005827C2"/>
    <w:rsid w:val="005828B9"/>
    <w:rsid w:val="00582A01"/>
    <w:rsid w:val="005835B9"/>
    <w:rsid w:val="0058377C"/>
    <w:rsid w:val="005840E7"/>
    <w:rsid w:val="00584EF5"/>
    <w:rsid w:val="005872D0"/>
    <w:rsid w:val="00587703"/>
    <w:rsid w:val="005877D2"/>
    <w:rsid w:val="00590399"/>
    <w:rsid w:val="00592D8A"/>
    <w:rsid w:val="00594818"/>
    <w:rsid w:val="00594957"/>
    <w:rsid w:val="00594B46"/>
    <w:rsid w:val="00594ECE"/>
    <w:rsid w:val="005A09F8"/>
    <w:rsid w:val="005A109A"/>
    <w:rsid w:val="005A27F0"/>
    <w:rsid w:val="005A38E9"/>
    <w:rsid w:val="005A47C7"/>
    <w:rsid w:val="005A521B"/>
    <w:rsid w:val="005A5C54"/>
    <w:rsid w:val="005A6D5D"/>
    <w:rsid w:val="005A7CAE"/>
    <w:rsid w:val="005B0089"/>
    <w:rsid w:val="005B02E0"/>
    <w:rsid w:val="005B0997"/>
    <w:rsid w:val="005B0EA0"/>
    <w:rsid w:val="005B127B"/>
    <w:rsid w:val="005B16E3"/>
    <w:rsid w:val="005B1BF1"/>
    <w:rsid w:val="005B3592"/>
    <w:rsid w:val="005B605A"/>
    <w:rsid w:val="005B68B4"/>
    <w:rsid w:val="005C0A6D"/>
    <w:rsid w:val="005C0CB1"/>
    <w:rsid w:val="005C3163"/>
    <w:rsid w:val="005C6274"/>
    <w:rsid w:val="005C6342"/>
    <w:rsid w:val="005C6C7B"/>
    <w:rsid w:val="005D0DAA"/>
    <w:rsid w:val="005D1447"/>
    <w:rsid w:val="005D1E55"/>
    <w:rsid w:val="005D2011"/>
    <w:rsid w:val="005D3C6D"/>
    <w:rsid w:val="005D4380"/>
    <w:rsid w:val="005D4864"/>
    <w:rsid w:val="005D5865"/>
    <w:rsid w:val="005D6A01"/>
    <w:rsid w:val="005D70ED"/>
    <w:rsid w:val="005E1039"/>
    <w:rsid w:val="005E3AE8"/>
    <w:rsid w:val="005E50DA"/>
    <w:rsid w:val="005E5822"/>
    <w:rsid w:val="005E5C0A"/>
    <w:rsid w:val="005E632F"/>
    <w:rsid w:val="005E7A91"/>
    <w:rsid w:val="005F0F92"/>
    <w:rsid w:val="005F11FD"/>
    <w:rsid w:val="005F121E"/>
    <w:rsid w:val="005F2EE9"/>
    <w:rsid w:val="005F3683"/>
    <w:rsid w:val="005F48AA"/>
    <w:rsid w:val="005F5369"/>
    <w:rsid w:val="005F5EB3"/>
    <w:rsid w:val="005F7091"/>
    <w:rsid w:val="00600B92"/>
    <w:rsid w:val="00600DC0"/>
    <w:rsid w:val="00600F2D"/>
    <w:rsid w:val="00602630"/>
    <w:rsid w:val="00602E12"/>
    <w:rsid w:val="006033A9"/>
    <w:rsid w:val="0060503F"/>
    <w:rsid w:val="006064C7"/>
    <w:rsid w:val="00606FF0"/>
    <w:rsid w:val="00607ACF"/>
    <w:rsid w:val="00612035"/>
    <w:rsid w:val="00612239"/>
    <w:rsid w:val="006127FB"/>
    <w:rsid w:val="00612F79"/>
    <w:rsid w:val="00614E77"/>
    <w:rsid w:val="00616374"/>
    <w:rsid w:val="0061660E"/>
    <w:rsid w:val="00616986"/>
    <w:rsid w:val="006169C5"/>
    <w:rsid w:val="00617CAA"/>
    <w:rsid w:val="00620460"/>
    <w:rsid w:val="00621977"/>
    <w:rsid w:val="006225B9"/>
    <w:rsid w:val="00623064"/>
    <w:rsid w:val="00623150"/>
    <w:rsid w:val="00625954"/>
    <w:rsid w:val="006266FC"/>
    <w:rsid w:val="00626779"/>
    <w:rsid w:val="00626ADA"/>
    <w:rsid w:val="00626D85"/>
    <w:rsid w:val="0063022B"/>
    <w:rsid w:val="0063250B"/>
    <w:rsid w:val="0063267C"/>
    <w:rsid w:val="006338E4"/>
    <w:rsid w:val="00634211"/>
    <w:rsid w:val="00634A0E"/>
    <w:rsid w:val="006374C9"/>
    <w:rsid w:val="00640A0A"/>
    <w:rsid w:val="00641ACC"/>
    <w:rsid w:val="006425A0"/>
    <w:rsid w:val="00642732"/>
    <w:rsid w:val="006434EC"/>
    <w:rsid w:val="00643B6F"/>
    <w:rsid w:val="00644187"/>
    <w:rsid w:val="00645C86"/>
    <w:rsid w:val="00645E66"/>
    <w:rsid w:val="00646095"/>
    <w:rsid w:val="00646CA3"/>
    <w:rsid w:val="0064734B"/>
    <w:rsid w:val="006504F8"/>
    <w:rsid w:val="006512BA"/>
    <w:rsid w:val="00652805"/>
    <w:rsid w:val="006534B2"/>
    <w:rsid w:val="00653D73"/>
    <w:rsid w:val="00654C78"/>
    <w:rsid w:val="00654FFB"/>
    <w:rsid w:val="00655168"/>
    <w:rsid w:val="006568B2"/>
    <w:rsid w:val="00656940"/>
    <w:rsid w:val="00660F02"/>
    <w:rsid w:val="00661043"/>
    <w:rsid w:val="006610FA"/>
    <w:rsid w:val="006629C2"/>
    <w:rsid w:val="00663C10"/>
    <w:rsid w:val="0066444C"/>
    <w:rsid w:val="00666033"/>
    <w:rsid w:val="006668F8"/>
    <w:rsid w:val="00666928"/>
    <w:rsid w:val="00667150"/>
    <w:rsid w:val="00667941"/>
    <w:rsid w:val="00673577"/>
    <w:rsid w:val="006737BA"/>
    <w:rsid w:val="00673A9D"/>
    <w:rsid w:val="00675E59"/>
    <w:rsid w:val="00675F5D"/>
    <w:rsid w:val="00676447"/>
    <w:rsid w:val="006770C1"/>
    <w:rsid w:val="006776D0"/>
    <w:rsid w:val="00680DC0"/>
    <w:rsid w:val="0068218F"/>
    <w:rsid w:val="00682252"/>
    <w:rsid w:val="00682A2F"/>
    <w:rsid w:val="0068302E"/>
    <w:rsid w:val="00683309"/>
    <w:rsid w:val="0068362F"/>
    <w:rsid w:val="006851C1"/>
    <w:rsid w:val="00686B5C"/>
    <w:rsid w:val="00687EA2"/>
    <w:rsid w:val="0069082B"/>
    <w:rsid w:val="006917F1"/>
    <w:rsid w:val="00691E54"/>
    <w:rsid w:val="006945A4"/>
    <w:rsid w:val="0069764D"/>
    <w:rsid w:val="006A089A"/>
    <w:rsid w:val="006A20AA"/>
    <w:rsid w:val="006A2689"/>
    <w:rsid w:val="006A2C2F"/>
    <w:rsid w:val="006A5D7E"/>
    <w:rsid w:val="006B1B34"/>
    <w:rsid w:val="006B22CD"/>
    <w:rsid w:val="006B39D6"/>
    <w:rsid w:val="006B4A24"/>
    <w:rsid w:val="006B6655"/>
    <w:rsid w:val="006C1B13"/>
    <w:rsid w:val="006C1D9D"/>
    <w:rsid w:val="006C265B"/>
    <w:rsid w:val="006C2871"/>
    <w:rsid w:val="006C2ADB"/>
    <w:rsid w:val="006C2CFF"/>
    <w:rsid w:val="006C2EA2"/>
    <w:rsid w:val="006C40F2"/>
    <w:rsid w:val="006C50DF"/>
    <w:rsid w:val="006C6D5C"/>
    <w:rsid w:val="006C6ECA"/>
    <w:rsid w:val="006C79FA"/>
    <w:rsid w:val="006D14DE"/>
    <w:rsid w:val="006D1E71"/>
    <w:rsid w:val="006D2544"/>
    <w:rsid w:val="006D31BC"/>
    <w:rsid w:val="006D3E1E"/>
    <w:rsid w:val="006D4FE1"/>
    <w:rsid w:val="006D790C"/>
    <w:rsid w:val="006D7FC0"/>
    <w:rsid w:val="006E0E39"/>
    <w:rsid w:val="006E2668"/>
    <w:rsid w:val="006E2E6A"/>
    <w:rsid w:val="006E3586"/>
    <w:rsid w:val="006E48F8"/>
    <w:rsid w:val="006E5B98"/>
    <w:rsid w:val="006E651E"/>
    <w:rsid w:val="006E7E2F"/>
    <w:rsid w:val="006E7E42"/>
    <w:rsid w:val="006E7E9B"/>
    <w:rsid w:val="006F075C"/>
    <w:rsid w:val="006F1F0C"/>
    <w:rsid w:val="006F22E9"/>
    <w:rsid w:val="006F2723"/>
    <w:rsid w:val="006F45CB"/>
    <w:rsid w:val="006F4B2D"/>
    <w:rsid w:val="006F5260"/>
    <w:rsid w:val="006F5C45"/>
    <w:rsid w:val="006F636F"/>
    <w:rsid w:val="006F7FB2"/>
    <w:rsid w:val="00700110"/>
    <w:rsid w:val="00700EAB"/>
    <w:rsid w:val="0070227D"/>
    <w:rsid w:val="00702464"/>
    <w:rsid w:val="00702BAF"/>
    <w:rsid w:val="0070334D"/>
    <w:rsid w:val="00703BA8"/>
    <w:rsid w:val="00703D43"/>
    <w:rsid w:val="00704C28"/>
    <w:rsid w:val="00706FB9"/>
    <w:rsid w:val="0070718A"/>
    <w:rsid w:val="0070753E"/>
    <w:rsid w:val="007102E2"/>
    <w:rsid w:val="00714D82"/>
    <w:rsid w:val="00716509"/>
    <w:rsid w:val="00716A41"/>
    <w:rsid w:val="00716C36"/>
    <w:rsid w:val="007173FE"/>
    <w:rsid w:val="00720752"/>
    <w:rsid w:val="0072077F"/>
    <w:rsid w:val="007250ED"/>
    <w:rsid w:val="0072717E"/>
    <w:rsid w:val="00730FAE"/>
    <w:rsid w:val="00732520"/>
    <w:rsid w:val="007332A2"/>
    <w:rsid w:val="00733D03"/>
    <w:rsid w:val="00735143"/>
    <w:rsid w:val="00735933"/>
    <w:rsid w:val="00736F90"/>
    <w:rsid w:val="00737BE1"/>
    <w:rsid w:val="00740387"/>
    <w:rsid w:val="0074081F"/>
    <w:rsid w:val="0074109D"/>
    <w:rsid w:val="00742A4E"/>
    <w:rsid w:val="00742EA9"/>
    <w:rsid w:val="007448B6"/>
    <w:rsid w:val="00744DBB"/>
    <w:rsid w:val="007457FF"/>
    <w:rsid w:val="007458BD"/>
    <w:rsid w:val="0074620F"/>
    <w:rsid w:val="007466D2"/>
    <w:rsid w:val="00746852"/>
    <w:rsid w:val="00746CA8"/>
    <w:rsid w:val="00746F13"/>
    <w:rsid w:val="00747A7E"/>
    <w:rsid w:val="007508E2"/>
    <w:rsid w:val="007509D2"/>
    <w:rsid w:val="007509EC"/>
    <w:rsid w:val="00750A8B"/>
    <w:rsid w:val="00750A8C"/>
    <w:rsid w:val="00751B64"/>
    <w:rsid w:val="0075421A"/>
    <w:rsid w:val="007543EB"/>
    <w:rsid w:val="00755B66"/>
    <w:rsid w:val="00756D6D"/>
    <w:rsid w:val="0075700F"/>
    <w:rsid w:val="00757A4C"/>
    <w:rsid w:val="00757FF6"/>
    <w:rsid w:val="007627EC"/>
    <w:rsid w:val="007635E4"/>
    <w:rsid w:val="007640C1"/>
    <w:rsid w:val="0076453C"/>
    <w:rsid w:val="00765D2C"/>
    <w:rsid w:val="00766298"/>
    <w:rsid w:val="00770371"/>
    <w:rsid w:val="00770603"/>
    <w:rsid w:val="007735EA"/>
    <w:rsid w:val="007736D0"/>
    <w:rsid w:val="00773FF5"/>
    <w:rsid w:val="00774941"/>
    <w:rsid w:val="0077618B"/>
    <w:rsid w:val="007764CB"/>
    <w:rsid w:val="00777341"/>
    <w:rsid w:val="00780FA3"/>
    <w:rsid w:val="007821DF"/>
    <w:rsid w:val="00783E9C"/>
    <w:rsid w:val="00784ACC"/>
    <w:rsid w:val="0078502B"/>
    <w:rsid w:val="00785AC0"/>
    <w:rsid w:val="00786392"/>
    <w:rsid w:val="007878B1"/>
    <w:rsid w:val="00787A9D"/>
    <w:rsid w:val="00792444"/>
    <w:rsid w:val="0079504D"/>
    <w:rsid w:val="0079554F"/>
    <w:rsid w:val="00795DE4"/>
    <w:rsid w:val="00795FA0"/>
    <w:rsid w:val="00796373"/>
    <w:rsid w:val="007964C3"/>
    <w:rsid w:val="00796D8E"/>
    <w:rsid w:val="007A0CA0"/>
    <w:rsid w:val="007A1885"/>
    <w:rsid w:val="007A33C1"/>
    <w:rsid w:val="007A5D8D"/>
    <w:rsid w:val="007A620D"/>
    <w:rsid w:val="007A67E0"/>
    <w:rsid w:val="007A7E20"/>
    <w:rsid w:val="007B073D"/>
    <w:rsid w:val="007B3A8F"/>
    <w:rsid w:val="007B492E"/>
    <w:rsid w:val="007B5119"/>
    <w:rsid w:val="007B600A"/>
    <w:rsid w:val="007B65B3"/>
    <w:rsid w:val="007B77FF"/>
    <w:rsid w:val="007C09A7"/>
    <w:rsid w:val="007C20B1"/>
    <w:rsid w:val="007C30A4"/>
    <w:rsid w:val="007C4EA4"/>
    <w:rsid w:val="007C7F3C"/>
    <w:rsid w:val="007D107B"/>
    <w:rsid w:val="007D2CE1"/>
    <w:rsid w:val="007D42B0"/>
    <w:rsid w:val="007D6116"/>
    <w:rsid w:val="007D62DD"/>
    <w:rsid w:val="007D70EA"/>
    <w:rsid w:val="007D73E7"/>
    <w:rsid w:val="007D7449"/>
    <w:rsid w:val="007E05BC"/>
    <w:rsid w:val="007E0FE6"/>
    <w:rsid w:val="007E17FD"/>
    <w:rsid w:val="007E1DD3"/>
    <w:rsid w:val="007E2017"/>
    <w:rsid w:val="007E33E2"/>
    <w:rsid w:val="007E4A8A"/>
    <w:rsid w:val="007E594C"/>
    <w:rsid w:val="007E5C46"/>
    <w:rsid w:val="007F0494"/>
    <w:rsid w:val="007F1B8A"/>
    <w:rsid w:val="007F3FBA"/>
    <w:rsid w:val="007F610D"/>
    <w:rsid w:val="007F7219"/>
    <w:rsid w:val="007F748A"/>
    <w:rsid w:val="007F750B"/>
    <w:rsid w:val="00800E6E"/>
    <w:rsid w:val="00801018"/>
    <w:rsid w:val="008027FC"/>
    <w:rsid w:val="00802890"/>
    <w:rsid w:val="00802AB6"/>
    <w:rsid w:val="00802C21"/>
    <w:rsid w:val="00802DB6"/>
    <w:rsid w:val="00802F9D"/>
    <w:rsid w:val="00803086"/>
    <w:rsid w:val="00804FFE"/>
    <w:rsid w:val="00806BAA"/>
    <w:rsid w:val="008077E0"/>
    <w:rsid w:val="00807ABC"/>
    <w:rsid w:val="00810116"/>
    <w:rsid w:val="008103B7"/>
    <w:rsid w:val="00810674"/>
    <w:rsid w:val="00811DDC"/>
    <w:rsid w:val="00811E2C"/>
    <w:rsid w:val="00812726"/>
    <w:rsid w:val="00812AC9"/>
    <w:rsid w:val="00813D87"/>
    <w:rsid w:val="00813F9F"/>
    <w:rsid w:val="0081400D"/>
    <w:rsid w:val="008142FD"/>
    <w:rsid w:val="008144CB"/>
    <w:rsid w:val="00814A82"/>
    <w:rsid w:val="00815AE5"/>
    <w:rsid w:val="00816588"/>
    <w:rsid w:val="00816920"/>
    <w:rsid w:val="00817F48"/>
    <w:rsid w:val="00817F59"/>
    <w:rsid w:val="00821914"/>
    <w:rsid w:val="00822667"/>
    <w:rsid w:val="00823DF8"/>
    <w:rsid w:val="00825A83"/>
    <w:rsid w:val="008325F6"/>
    <w:rsid w:val="008357CF"/>
    <w:rsid w:val="00835B52"/>
    <w:rsid w:val="00836EAA"/>
    <w:rsid w:val="0084272C"/>
    <w:rsid w:val="00843732"/>
    <w:rsid w:val="0084615C"/>
    <w:rsid w:val="008464F2"/>
    <w:rsid w:val="008502C4"/>
    <w:rsid w:val="008503ED"/>
    <w:rsid w:val="008514B5"/>
    <w:rsid w:val="00852E8C"/>
    <w:rsid w:val="00853AB1"/>
    <w:rsid w:val="00854547"/>
    <w:rsid w:val="00854928"/>
    <w:rsid w:val="00854E0F"/>
    <w:rsid w:val="00857327"/>
    <w:rsid w:val="00860546"/>
    <w:rsid w:val="00860615"/>
    <w:rsid w:val="00861E68"/>
    <w:rsid w:val="00862130"/>
    <w:rsid w:val="0086284F"/>
    <w:rsid w:val="00864FAF"/>
    <w:rsid w:val="008663C4"/>
    <w:rsid w:val="00866979"/>
    <w:rsid w:val="008676AC"/>
    <w:rsid w:val="00867ECA"/>
    <w:rsid w:val="00870527"/>
    <w:rsid w:val="00871BB9"/>
    <w:rsid w:val="00873E9C"/>
    <w:rsid w:val="008748CB"/>
    <w:rsid w:val="008753C5"/>
    <w:rsid w:val="00875D4C"/>
    <w:rsid w:val="008801B3"/>
    <w:rsid w:val="008805D9"/>
    <w:rsid w:val="00880EFD"/>
    <w:rsid w:val="0088451B"/>
    <w:rsid w:val="0088571D"/>
    <w:rsid w:val="008859C1"/>
    <w:rsid w:val="00886542"/>
    <w:rsid w:val="00886D8D"/>
    <w:rsid w:val="00887E59"/>
    <w:rsid w:val="0089353F"/>
    <w:rsid w:val="00894476"/>
    <w:rsid w:val="00895BBC"/>
    <w:rsid w:val="00897767"/>
    <w:rsid w:val="008978DF"/>
    <w:rsid w:val="008A003D"/>
    <w:rsid w:val="008A077D"/>
    <w:rsid w:val="008A21E7"/>
    <w:rsid w:val="008A368A"/>
    <w:rsid w:val="008A39C5"/>
    <w:rsid w:val="008A3C93"/>
    <w:rsid w:val="008A4DD9"/>
    <w:rsid w:val="008A661B"/>
    <w:rsid w:val="008A79A8"/>
    <w:rsid w:val="008B41F4"/>
    <w:rsid w:val="008B4A07"/>
    <w:rsid w:val="008B4F74"/>
    <w:rsid w:val="008B5557"/>
    <w:rsid w:val="008B5FA8"/>
    <w:rsid w:val="008B66AA"/>
    <w:rsid w:val="008C115C"/>
    <w:rsid w:val="008C278B"/>
    <w:rsid w:val="008C584E"/>
    <w:rsid w:val="008C73DF"/>
    <w:rsid w:val="008C764C"/>
    <w:rsid w:val="008D0002"/>
    <w:rsid w:val="008D0AF6"/>
    <w:rsid w:val="008D0D41"/>
    <w:rsid w:val="008D1885"/>
    <w:rsid w:val="008D3AD4"/>
    <w:rsid w:val="008D46F2"/>
    <w:rsid w:val="008D5513"/>
    <w:rsid w:val="008D788A"/>
    <w:rsid w:val="008D78C1"/>
    <w:rsid w:val="008D78C9"/>
    <w:rsid w:val="008E02AB"/>
    <w:rsid w:val="008E030C"/>
    <w:rsid w:val="008E11CD"/>
    <w:rsid w:val="008E1967"/>
    <w:rsid w:val="008E1B24"/>
    <w:rsid w:val="008E242C"/>
    <w:rsid w:val="008E2504"/>
    <w:rsid w:val="008E365E"/>
    <w:rsid w:val="008E367A"/>
    <w:rsid w:val="008E4329"/>
    <w:rsid w:val="008E4440"/>
    <w:rsid w:val="008E4750"/>
    <w:rsid w:val="008E4BAA"/>
    <w:rsid w:val="008E5460"/>
    <w:rsid w:val="008E55F9"/>
    <w:rsid w:val="008E61C9"/>
    <w:rsid w:val="008F0FDD"/>
    <w:rsid w:val="008F1087"/>
    <w:rsid w:val="008F119B"/>
    <w:rsid w:val="008F13DA"/>
    <w:rsid w:val="008F2F67"/>
    <w:rsid w:val="008F43D2"/>
    <w:rsid w:val="0090043E"/>
    <w:rsid w:val="00900EFF"/>
    <w:rsid w:val="009010B3"/>
    <w:rsid w:val="00901D2B"/>
    <w:rsid w:val="00903AD7"/>
    <w:rsid w:val="0090582B"/>
    <w:rsid w:val="00905F83"/>
    <w:rsid w:val="00906E36"/>
    <w:rsid w:val="00907B13"/>
    <w:rsid w:val="00907BD8"/>
    <w:rsid w:val="0091130B"/>
    <w:rsid w:val="009117D4"/>
    <w:rsid w:val="00911874"/>
    <w:rsid w:val="0091214C"/>
    <w:rsid w:val="009129D3"/>
    <w:rsid w:val="0091310A"/>
    <w:rsid w:val="009135AF"/>
    <w:rsid w:val="009139D4"/>
    <w:rsid w:val="009139D8"/>
    <w:rsid w:val="0091544B"/>
    <w:rsid w:val="00916F6C"/>
    <w:rsid w:val="0092143A"/>
    <w:rsid w:val="00921549"/>
    <w:rsid w:val="00921A22"/>
    <w:rsid w:val="00922741"/>
    <w:rsid w:val="00923D3F"/>
    <w:rsid w:val="00923D51"/>
    <w:rsid w:val="0092464F"/>
    <w:rsid w:val="0092497C"/>
    <w:rsid w:val="00926513"/>
    <w:rsid w:val="00926A4F"/>
    <w:rsid w:val="00927408"/>
    <w:rsid w:val="00927B5A"/>
    <w:rsid w:val="00927F76"/>
    <w:rsid w:val="00930F4C"/>
    <w:rsid w:val="0093169B"/>
    <w:rsid w:val="009317C6"/>
    <w:rsid w:val="00932235"/>
    <w:rsid w:val="00932300"/>
    <w:rsid w:val="00934A10"/>
    <w:rsid w:val="0094018F"/>
    <w:rsid w:val="00941FF0"/>
    <w:rsid w:val="00942133"/>
    <w:rsid w:val="00944203"/>
    <w:rsid w:val="00944961"/>
    <w:rsid w:val="00946056"/>
    <w:rsid w:val="009460C8"/>
    <w:rsid w:val="00946AFC"/>
    <w:rsid w:val="00947676"/>
    <w:rsid w:val="00947DBD"/>
    <w:rsid w:val="009535D5"/>
    <w:rsid w:val="00954722"/>
    <w:rsid w:val="0095653A"/>
    <w:rsid w:val="00956DF0"/>
    <w:rsid w:val="00957FC6"/>
    <w:rsid w:val="00960744"/>
    <w:rsid w:val="009624F3"/>
    <w:rsid w:val="00962C52"/>
    <w:rsid w:val="009634C4"/>
    <w:rsid w:val="00964FB3"/>
    <w:rsid w:val="00965D26"/>
    <w:rsid w:val="00966AD2"/>
    <w:rsid w:val="00970880"/>
    <w:rsid w:val="0097185E"/>
    <w:rsid w:val="0097204F"/>
    <w:rsid w:val="009729A2"/>
    <w:rsid w:val="00973374"/>
    <w:rsid w:val="00973778"/>
    <w:rsid w:val="00974963"/>
    <w:rsid w:val="0097522F"/>
    <w:rsid w:val="00975298"/>
    <w:rsid w:val="00975C44"/>
    <w:rsid w:val="00975E0F"/>
    <w:rsid w:val="009767C0"/>
    <w:rsid w:val="009804C1"/>
    <w:rsid w:val="00981299"/>
    <w:rsid w:val="009821EB"/>
    <w:rsid w:val="009823C5"/>
    <w:rsid w:val="00982592"/>
    <w:rsid w:val="0098322B"/>
    <w:rsid w:val="00984AB4"/>
    <w:rsid w:val="00984F55"/>
    <w:rsid w:val="009860F0"/>
    <w:rsid w:val="00986411"/>
    <w:rsid w:val="00986CCC"/>
    <w:rsid w:val="00986E79"/>
    <w:rsid w:val="00990D19"/>
    <w:rsid w:val="00994674"/>
    <w:rsid w:val="00994A78"/>
    <w:rsid w:val="009A054E"/>
    <w:rsid w:val="009A145B"/>
    <w:rsid w:val="009A17D4"/>
    <w:rsid w:val="009A29CA"/>
    <w:rsid w:val="009A2ADF"/>
    <w:rsid w:val="009A3396"/>
    <w:rsid w:val="009A5E46"/>
    <w:rsid w:val="009A7096"/>
    <w:rsid w:val="009A7D43"/>
    <w:rsid w:val="009B31B0"/>
    <w:rsid w:val="009B461B"/>
    <w:rsid w:val="009B4EB6"/>
    <w:rsid w:val="009B5B5A"/>
    <w:rsid w:val="009B73AD"/>
    <w:rsid w:val="009C0270"/>
    <w:rsid w:val="009C151D"/>
    <w:rsid w:val="009C1F83"/>
    <w:rsid w:val="009C21F8"/>
    <w:rsid w:val="009C3799"/>
    <w:rsid w:val="009C3CA0"/>
    <w:rsid w:val="009C760B"/>
    <w:rsid w:val="009C7C24"/>
    <w:rsid w:val="009D0A75"/>
    <w:rsid w:val="009D13C9"/>
    <w:rsid w:val="009D27D5"/>
    <w:rsid w:val="009D3180"/>
    <w:rsid w:val="009D3B06"/>
    <w:rsid w:val="009D3C96"/>
    <w:rsid w:val="009D5472"/>
    <w:rsid w:val="009D5800"/>
    <w:rsid w:val="009D5F57"/>
    <w:rsid w:val="009E1054"/>
    <w:rsid w:val="009E16A8"/>
    <w:rsid w:val="009E1785"/>
    <w:rsid w:val="009E2304"/>
    <w:rsid w:val="009E3901"/>
    <w:rsid w:val="009E40F6"/>
    <w:rsid w:val="009E5405"/>
    <w:rsid w:val="009E5430"/>
    <w:rsid w:val="009E6B48"/>
    <w:rsid w:val="009F23D6"/>
    <w:rsid w:val="009F2780"/>
    <w:rsid w:val="009F3017"/>
    <w:rsid w:val="009F440E"/>
    <w:rsid w:val="009F4862"/>
    <w:rsid w:val="009F537B"/>
    <w:rsid w:val="009F56C4"/>
    <w:rsid w:val="009F6B3C"/>
    <w:rsid w:val="009F70C1"/>
    <w:rsid w:val="00A07E4E"/>
    <w:rsid w:val="00A10BC1"/>
    <w:rsid w:val="00A1187F"/>
    <w:rsid w:val="00A12A22"/>
    <w:rsid w:val="00A135ED"/>
    <w:rsid w:val="00A15AF6"/>
    <w:rsid w:val="00A163F6"/>
    <w:rsid w:val="00A17AA8"/>
    <w:rsid w:val="00A17F41"/>
    <w:rsid w:val="00A255BA"/>
    <w:rsid w:val="00A26401"/>
    <w:rsid w:val="00A265DD"/>
    <w:rsid w:val="00A272E1"/>
    <w:rsid w:val="00A3024A"/>
    <w:rsid w:val="00A32B58"/>
    <w:rsid w:val="00A344E5"/>
    <w:rsid w:val="00A34F4B"/>
    <w:rsid w:val="00A34FBB"/>
    <w:rsid w:val="00A3674D"/>
    <w:rsid w:val="00A37BAE"/>
    <w:rsid w:val="00A414F8"/>
    <w:rsid w:val="00A4178B"/>
    <w:rsid w:val="00A41DAC"/>
    <w:rsid w:val="00A44FBB"/>
    <w:rsid w:val="00A45044"/>
    <w:rsid w:val="00A45683"/>
    <w:rsid w:val="00A456EF"/>
    <w:rsid w:val="00A45985"/>
    <w:rsid w:val="00A46BB1"/>
    <w:rsid w:val="00A46C85"/>
    <w:rsid w:val="00A47C70"/>
    <w:rsid w:val="00A5083A"/>
    <w:rsid w:val="00A518F6"/>
    <w:rsid w:val="00A51F25"/>
    <w:rsid w:val="00A5246A"/>
    <w:rsid w:val="00A52606"/>
    <w:rsid w:val="00A5641F"/>
    <w:rsid w:val="00A566EB"/>
    <w:rsid w:val="00A56909"/>
    <w:rsid w:val="00A56CBE"/>
    <w:rsid w:val="00A57918"/>
    <w:rsid w:val="00A600AA"/>
    <w:rsid w:val="00A605D4"/>
    <w:rsid w:val="00A60992"/>
    <w:rsid w:val="00A62244"/>
    <w:rsid w:val="00A62D2C"/>
    <w:rsid w:val="00A639A1"/>
    <w:rsid w:val="00A63C19"/>
    <w:rsid w:val="00A63C54"/>
    <w:rsid w:val="00A644E4"/>
    <w:rsid w:val="00A64C14"/>
    <w:rsid w:val="00A64F24"/>
    <w:rsid w:val="00A66568"/>
    <w:rsid w:val="00A67085"/>
    <w:rsid w:val="00A678E9"/>
    <w:rsid w:val="00A703A2"/>
    <w:rsid w:val="00A71B98"/>
    <w:rsid w:val="00A7271E"/>
    <w:rsid w:val="00A73959"/>
    <w:rsid w:val="00A73971"/>
    <w:rsid w:val="00A73E4C"/>
    <w:rsid w:val="00A741FD"/>
    <w:rsid w:val="00A7435E"/>
    <w:rsid w:val="00A7485C"/>
    <w:rsid w:val="00A748AD"/>
    <w:rsid w:val="00A74AB4"/>
    <w:rsid w:val="00A77829"/>
    <w:rsid w:val="00A8079A"/>
    <w:rsid w:val="00A82CE0"/>
    <w:rsid w:val="00A834DE"/>
    <w:rsid w:val="00A84121"/>
    <w:rsid w:val="00A84617"/>
    <w:rsid w:val="00A8534E"/>
    <w:rsid w:val="00A85426"/>
    <w:rsid w:val="00A862B5"/>
    <w:rsid w:val="00A86938"/>
    <w:rsid w:val="00A8693A"/>
    <w:rsid w:val="00A93843"/>
    <w:rsid w:val="00A945A3"/>
    <w:rsid w:val="00A96B3D"/>
    <w:rsid w:val="00A97B39"/>
    <w:rsid w:val="00AA1AF7"/>
    <w:rsid w:val="00AA21B3"/>
    <w:rsid w:val="00AA383A"/>
    <w:rsid w:val="00AA4EE1"/>
    <w:rsid w:val="00AA5E33"/>
    <w:rsid w:val="00AA610A"/>
    <w:rsid w:val="00AA68CB"/>
    <w:rsid w:val="00AA72CA"/>
    <w:rsid w:val="00AA7338"/>
    <w:rsid w:val="00AB04CA"/>
    <w:rsid w:val="00AB051D"/>
    <w:rsid w:val="00AB1115"/>
    <w:rsid w:val="00AB1180"/>
    <w:rsid w:val="00AB1D7E"/>
    <w:rsid w:val="00AB2D12"/>
    <w:rsid w:val="00AB3A9C"/>
    <w:rsid w:val="00AB452D"/>
    <w:rsid w:val="00AB55A5"/>
    <w:rsid w:val="00AB5ED4"/>
    <w:rsid w:val="00AB6233"/>
    <w:rsid w:val="00AC0824"/>
    <w:rsid w:val="00AC0F76"/>
    <w:rsid w:val="00AC15C1"/>
    <w:rsid w:val="00AC2CCB"/>
    <w:rsid w:val="00AC4574"/>
    <w:rsid w:val="00AC47AD"/>
    <w:rsid w:val="00AC50BB"/>
    <w:rsid w:val="00AC5D11"/>
    <w:rsid w:val="00AC5F62"/>
    <w:rsid w:val="00AC7343"/>
    <w:rsid w:val="00AC7740"/>
    <w:rsid w:val="00AD0B2D"/>
    <w:rsid w:val="00AD1227"/>
    <w:rsid w:val="00AD160D"/>
    <w:rsid w:val="00AD429D"/>
    <w:rsid w:val="00AD5B04"/>
    <w:rsid w:val="00AD66AD"/>
    <w:rsid w:val="00AD7662"/>
    <w:rsid w:val="00AD785E"/>
    <w:rsid w:val="00AD7B28"/>
    <w:rsid w:val="00AE319E"/>
    <w:rsid w:val="00AE4AFB"/>
    <w:rsid w:val="00AE4B9A"/>
    <w:rsid w:val="00AE560F"/>
    <w:rsid w:val="00AE5C3E"/>
    <w:rsid w:val="00AE5FB7"/>
    <w:rsid w:val="00AE75A7"/>
    <w:rsid w:val="00AE7A17"/>
    <w:rsid w:val="00AF02C2"/>
    <w:rsid w:val="00AF1AC8"/>
    <w:rsid w:val="00AF1BD1"/>
    <w:rsid w:val="00AF54E0"/>
    <w:rsid w:val="00AF7436"/>
    <w:rsid w:val="00AF7AEE"/>
    <w:rsid w:val="00AF7B15"/>
    <w:rsid w:val="00AF7BD1"/>
    <w:rsid w:val="00B001A7"/>
    <w:rsid w:val="00B00805"/>
    <w:rsid w:val="00B0088C"/>
    <w:rsid w:val="00B02CF1"/>
    <w:rsid w:val="00B03CC8"/>
    <w:rsid w:val="00B05DB1"/>
    <w:rsid w:val="00B06A98"/>
    <w:rsid w:val="00B06FD3"/>
    <w:rsid w:val="00B07D68"/>
    <w:rsid w:val="00B10BCE"/>
    <w:rsid w:val="00B10F7D"/>
    <w:rsid w:val="00B119BE"/>
    <w:rsid w:val="00B153F5"/>
    <w:rsid w:val="00B16916"/>
    <w:rsid w:val="00B16AF9"/>
    <w:rsid w:val="00B179F5"/>
    <w:rsid w:val="00B20D59"/>
    <w:rsid w:val="00B2218E"/>
    <w:rsid w:val="00B25756"/>
    <w:rsid w:val="00B269B7"/>
    <w:rsid w:val="00B3158E"/>
    <w:rsid w:val="00B320CA"/>
    <w:rsid w:val="00B324FD"/>
    <w:rsid w:val="00B344E6"/>
    <w:rsid w:val="00B35105"/>
    <w:rsid w:val="00B356DC"/>
    <w:rsid w:val="00B365D8"/>
    <w:rsid w:val="00B373E8"/>
    <w:rsid w:val="00B37EC6"/>
    <w:rsid w:val="00B4090B"/>
    <w:rsid w:val="00B40DF7"/>
    <w:rsid w:val="00B41749"/>
    <w:rsid w:val="00B429C8"/>
    <w:rsid w:val="00B4463E"/>
    <w:rsid w:val="00B45A1F"/>
    <w:rsid w:val="00B465B0"/>
    <w:rsid w:val="00B51296"/>
    <w:rsid w:val="00B516DA"/>
    <w:rsid w:val="00B51D54"/>
    <w:rsid w:val="00B52495"/>
    <w:rsid w:val="00B52CA6"/>
    <w:rsid w:val="00B53534"/>
    <w:rsid w:val="00B54751"/>
    <w:rsid w:val="00B55CBF"/>
    <w:rsid w:val="00B5613E"/>
    <w:rsid w:val="00B563D0"/>
    <w:rsid w:val="00B5673B"/>
    <w:rsid w:val="00B56F17"/>
    <w:rsid w:val="00B5705F"/>
    <w:rsid w:val="00B57FFD"/>
    <w:rsid w:val="00B60483"/>
    <w:rsid w:val="00B6195C"/>
    <w:rsid w:val="00B61BC3"/>
    <w:rsid w:val="00B62381"/>
    <w:rsid w:val="00B62382"/>
    <w:rsid w:val="00B62AAA"/>
    <w:rsid w:val="00B65646"/>
    <w:rsid w:val="00B6576D"/>
    <w:rsid w:val="00B67290"/>
    <w:rsid w:val="00B679FE"/>
    <w:rsid w:val="00B70E20"/>
    <w:rsid w:val="00B71C0D"/>
    <w:rsid w:val="00B72707"/>
    <w:rsid w:val="00B728B7"/>
    <w:rsid w:val="00B735DF"/>
    <w:rsid w:val="00B73C81"/>
    <w:rsid w:val="00B7418E"/>
    <w:rsid w:val="00B74C2B"/>
    <w:rsid w:val="00B751DB"/>
    <w:rsid w:val="00B766C1"/>
    <w:rsid w:val="00B76C4C"/>
    <w:rsid w:val="00B76CD8"/>
    <w:rsid w:val="00B7713E"/>
    <w:rsid w:val="00B847B6"/>
    <w:rsid w:val="00B84820"/>
    <w:rsid w:val="00B84865"/>
    <w:rsid w:val="00B849FA"/>
    <w:rsid w:val="00B868B6"/>
    <w:rsid w:val="00B87E95"/>
    <w:rsid w:val="00B90760"/>
    <w:rsid w:val="00B909CF"/>
    <w:rsid w:val="00B90DD6"/>
    <w:rsid w:val="00B91D6B"/>
    <w:rsid w:val="00B9210C"/>
    <w:rsid w:val="00B92F10"/>
    <w:rsid w:val="00B943DC"/>
    <w:rsid w:val="00B9481A"/>
    <w:rsid w:val="00B95FF4"/>
    <w:rsid w:val="00B97B81"/>
    <w:rsid w:val="00BA04C8"/>
    <w:rsid w:val="00BA0FE8"/>
    <w:rsid w:val="00BA177A"/>
    <w:rsid w:val="00BA3D4B"/>
    <w:rsid w:val="00BA49B0"/>
    <w:rsid w:val="00BA5B34"/>
    <w:rsid w:val="00BA6153"/>
    <w:rsid w:val="00BA795B"/>
    <w:rsid w:val="00BA7C00"/>
    <w:rsid w:val="00BB0F38"/>
    <w:rsid w:val="00BB14C6"/>
    <w:rsid w:val="00BB22A7"/>
    <w:rsid w:val="00BB2FB9"/>
    <w:rsid w:val="00BB3179"/>
    <w:rsid w:val="00BB327A"/>
    <w:rsid w:val="00BB3BA3"/>
    <w:rsid w:val="00BB3DC5"/>
    <w:rsid w:val="00BB6C0D"/>
    <w:rsid w:val="00BB7102"/>
    <w:rsid w:val="00BB717C"/>
    <w:rsid w:val="00BB7E34"/>
    <w:rsid w:val="00BC0A3B"/>
    <w:rsid w:val="00BC281F"/>
    <w:rsid w:val="00BC3529"/>
    <w:rsid w:val="00BC37C4"/>
    <w:rsid w:val="00BC3D72"/>
    <w:rsid w:val="00BC47A1"/>
    <w:rsid w:val="00BD00DB"/>
    <w:rsid w:val="00BD05E2"/>
    <w:rsid w:val="00BD16D0"/>
    <w:rsid w:val="00BD2DAE"/>
    <w:rsid w:val="00BD3C9B"/>
    <w:rsid w:val="00BD454C"/>
    <w:rsid w:val="00BD4859"/>
    <w:rsid w:val="00BD4A97"/>
    <w:rsid w:val="00BD4DB9"/>
    <w:rsid w:val="00BD5609"/>
    <w:rsid w:val="00BD6756"/>
    <w:rsid w:val="00BE0266"/>
    <w:rsid w:val="00BE026C"/>
    <w:rsid w:val="00BE072A"/>
    <w:rsid w:val="00BE0A2B"/>
    <w:rsid w:val="00BE1C32"/>
    <w:rsid w:val="00BE2D95"/>
    <w:rsid w:val="00BE4AB9"/>
    <w:rsid w:val="00BE6A37"/>
    <w:rsid w:val="00BF13DD"/>
    <w:rsid w:val="00BF16E4"/>
    <w:rsid w:val="00BF17B4"/>
    <w:rsid w:val="00BF2137"/>
    <w:rsid w:val="00BF2A4A"/>
    <w:rsid w:val="00BF43CD"/>
    <w:rsid w:val="00BF5130"/>
    <w:rsid w:val="00BF6DD3"/>
    <w:rsid w:val="00BF7523"/>
    <w:rsid w:val="00BF77F5"/>
    <w:rsid w:val="00BF79D2"/>
    <w:rsid w:val="00C005B6"/>
    <w:rsid w:val="00C01A74"/>
    <w:rsid w:val="00C0535D"/>
    <w:rsid w:val="00C05D0D"/>
    <w:rsid w:val="00C06E65"/>
    <w:rsid w:val="00C07616"/>
    <w:rsid w:val="00C10033"/>
    <w:rsid w:val="00C11E85"/>
    <w:rsid w:val="00C13614"/>
    <w:rsid w:val="00C14A9E"/>
    <w:rsid w:val="00C15D53"/>
    <w:rsid w:val="00C166E8"/>
    <w:rsid w:val="00C16CA2"/>
    <w:rsid w:val="00C17436"/>
    <w:rsid w:val="00C17E4A"/>
    <w:rsid w:val="00C17F12"/>
    <w:rsid w:val="00C208B5"/>
    <w:rsid w:val="00C24595"/>
    <w:rsid w:val="00C24AF7"/>
    <w:rsid w:val="00C2573F"/>
    <w:rsid w:val="00C25C63"/>
    <w:rsid w:val="00C25CB0"/>
    <w:rsid w:val="00C26817"/>
    <w:rsid w:val="00C26BEE"/>
    <w:rsid w:val="00C30202"/>
    <w:rsid w:val="00C30B7D"/>
    <w:rsid w:val="00C31F00"/>
    <w:rsid w:val="00C33F24"/>
    <w:rsid w:val="00C351E0"/>
    <w:rsid w:val="00C353F4"/>
    <w:rsid w:val="00C36003"/>
    <w:rsid w:val="00C36F7D"/>
    <w:rsid w:val="00C37380"/>
    <w:rsid w:val="00C40F53"/>
    <w:rsid w:val="00C40F55"/>
    <w:rsid w:val="00C41B9B"/>
    <w:rsid w:val="00C41E9B"/>
    <w:rsid w:val="00C42818"/>
    <w:rsid w:val="00C43F94"/>
    <w:rsid w:val="00C51545"/>
    <w:rsid w:val="00C522E3"/>
    <w:rsid w:val="00C534BE"/>
    <w:rsid w:val="00C5429E"/>
    <w:rsid w:val="00C55FCB"/>
    <w:rsid w:val="00C60ABF"/>
    <w:rsid w:val="00C629A9"/>
    <w:rsid w:val="00C63B1B"/>
    <w:rsid w:val="00C652CD"/>
    <w:rsid w:val="00C6543B"/>
    <w:rsid w:val="00C66179"/>
    <w:rsid w:val="00C674F8"/>
    <w:rsid w:val="00C70A75"/>
    <w:rsid w:val="00C73061"/>
    <w:rsid w:val="00C74E98"/>
    <w:rsid w:val="00C758B1"/>
    <w:rsid w:val="00C76E19"/>
    <w:rsid w:val="00C80C85"/>
    <w:rsid w:val="00C81039"/>
    <w:rsid w:val="00C81B1F"/>
    <w:rsid w:val="00C81DED"/>
    <w:rsid w:val="00C844F1"/>
    <w:rsid w:val="00C84FC8"/>
    <w:rsid w:val="00C85E5B"/>
    <w:rsid w:val="00C86ED2"/>
    <w:rsid w:val="00C87C42"/>
    <w:rsid w:val="00C926A3"/>
    <w:rsid w:val="00C92B02"/>
    <w:rsid w:val="00C94280"/>
    <w:rsid w:val="00C95C4C"/>
    <w:rsid w:val="00C963C9"/>
    <w:rsid w:val="00C967B6"/>
    <w:rsid w:val="00CA06C4"/>
    <w:rsid w:val="00CA1663"/>
    <w:rsid w:val="00CA2AAC"/>
    <w:rsid w:val="00CA2E64"/>
    <w:rsid w:val="00CA4941"/>
    <w:rsid w:val="00CA692D"/>
    <w:rsid w:val="00CA6AA6"/>
    <w:rsid w:val="00CB1018"/>
    <w:rsid w:val="00CB1A1A"/>
    <w:rsid w:val="00CB2ACE"/>
    <w:rsid w:val="00CB3657"/>
    <w:rsid w:val="00CB466B"/>
    <w:rsid w:val="00CB5EE6"/>
    <w:rsid w:val="00CB6105"/>
    <w:rsid w:val="00CB6124"/>
    <w:rsid w:val="00CB6740"/>
    <w:rsid w:val="00CB6DA3"/>
    <w:rsid w:val="00CC0BD1"/>
    <w:rsid w:val="00CC112F"/>
    <w:rsid w:val="00CC4716"/>
    <w:rsid w:val="00CC4B8F"/>
    <w:rsid w:val="00CC5704"/>
    <w:rsid w:val="00CC5B9F"/>
    <w:rsid w:val="00CC63B2"/>
    <w:rsid w:val="00CD1C00"/>
    <w:rsid w:val="00CD2FE6"/>
    <w:rsid w:val="00CD36AF"/>
    <w:rsid w:val="00CD45DA"/>
    <w:rsid w:val="00CD5A86"/>
    <w:rsid w:val="00CD6659"/>
    <w:rsid w:val="00CE045B"/>
    <w:rsid w:val="00CE045D"/>
    <w:rsid w:val="00CE0CD0"/>
    <w:rsid w:val="00CE223F"/>
    <w:rsid w:val="00CE2330"/>
    <w:rsid w:val="00CE2D0B"/>
    <w:rsid w:val="00CE3249"/>
    <w:rsid w:val="00CE3C96"/>
    <w:rsid w:val="00CE461D"/>
    <w:rsid w:val="00CE4B34"/>
    <w:rsid w:val="00CE57AA"/>
    <w:rsid w:val="00CE66DC"/>
    <w:rsid w:val="00CF199A"/>
    <w:rsid w:val="00CF1DAC"/>
    <w:rsid w:val="00CF243E"/>
    <w:rsid w:val="00CF2B4D"/>
    <w:rsid w:val="00CF2FBB"/>
    <w:rsid w:val="00CF472B"/>
    <w:rsid w:val="00CF58C9"/>
    <w:rsid w:val="00D000A8"/>
    <w:rsid w:val="00D001A9"/>
    <w:rsid w:val="00D0171D"/>
    <w:rsid w:val="00D01A5B"/>
    <w:rsid w:val="00D01D40"/>
    <w:rsid w:val="00D0387B"/>
    <w:rsid w:val="00D056C7"/>
    <w:rsid w:val="00D05BAD"/>
    <w:rsid w:val="00D05E1D"/>
    <w:rsid w:val="00D06569"/>
    <w:rsid w:val="00D075BB"/>
    <w:rsid w:val="00D11003"/>
    <w:rsid w:val="00D15183"/>
    <w:rsid w:val="00D16240"/>
    <w:rsid w:val="00D17701"/>
    <w:rsid w:val="00D2015F"/>
    <w:rsid w:val="00D203B4"/>
    <w:rsid w:val="00D22060"/>
    <w:rsid w:val="00D2239A"/>
    <w:rsid w:val="00D22A5B"/>
    <w:rsid w:val="00D2391C"/>
    <w:rsid w:val="00D23B50"/>
    <w:rsid w:val="00D24C08"/>
    <w:rsid w:val="00D26364"/>
    <w:rsid w:val="00D26F09"/>
    <w:rsid w:val="00D27947"/>
    <w:rsid w:val="00D30292"/>
    <w:rsid w:val="00D3070B"/>
    <w:rsid w:val="00D32E74"/>
    <w:rsid w:val="00D34D38"/>
    <w:rsid w:val="00D3620E"/>
    <w:rsid w:val="00D362C6"/>
    <w:rsid w:val="00D368AC"/>
    <w:rsid w:val="00D422D5"/>
    <w:rsid w:val="00D45B2B"/>
    <w:rsid w:val="00D45CC8"/>
    <w:rsid w:val="00D46427"/>
    <w:rsid w:val="00D46921"/>
    <w:rsid w:val="00D50E76"/>
    <w:rsid w:val="00D51009"/>
    <w:rsid w:val="00D5160E"/>
    <w:rsid w:val="00D52023"/>
    <w:rsid w:val="00D5446D"/>
    <w:rsid w:val="00D56CD2"/>
    <w:rsid w:val="00D61AA8"/>
    <w:rsid w:val="00D6255A"/>
    <w:rsid w:val="00D62CF0"/>
    <w:rsid w:val="00D6329A"/>
    <w:rsid w:val="00D63328"/>
    <w:rsid w:val="00D6376A"/>
    <w:rsid w:val="00D641B2"/>
    <w:rsid w:val="00D65AA1"/>
    <w:rsid w:val="00D65C6A"/>
    <w:rsid w:val="00D670C3"/>
    <w:rsid w:val="00D677F4"/>
    <w:rsid w:val="00D67AF6"/>
    <w:rsid w:val="00D73533"/>
    <w:rsid w:val="00D75714"/>
    <w:rsid w:val="00D76CE9"/>
    <w:rsid w:val="00D80594"/>
    <w:rsid w:val="00D8113C"/>
    <w:rsid w:val="00D82C73"/>
    <w:rsid w:val="00D84538"/>
    <w:rsid w:val="00D848A0"/>
    <w:rsid w:val="00D84E69"/>
    <w:rsid w:val="00D86C1E"/>
    <w:rsid w:val="00D87099"/>
    <w:rsid w:val="00D87594"/>
    <w:rsid w:val="00D90103"/>
    <w:rsid w:val="00D90A84"/>
    <w:rsid w:val="00D90D50"/>
    <w:rsid w:val="00D91CFC"/>
    <w:rsid w:val="00D921D9"/>
    <w:rsid w:val="00D94C74"/>
    <w:rsid w:val="00D95A41"/>
    <w:rsid w:val="00D96312"/>
    <w:rsid w:val="00D97DC1"/>
    <w:rsid w:val="00DA195C"/>
    <w:rsid w:val="00DA23FB"/>
    <w:rsid w:val="00DA2A79"/>
    <w:rsid w:val="00DA3B68"/>
    <w:rsid w:val="00DA530E"/>
    <w:rsid w:val="00DA5714"/>
    <w:rsid w:val="00DA5C87"/>
    <w:rsid w:val="00DA61AB"/>
    <w:rsid w:val="00DA77F5"/>
    <w:rsid w:val="00DA7941"/>
    <w:rsid w:val="00DB03E8"/>
    <w:rsid w:val="00DB0B55"/>
    <w:rsid w:val="00DB14A0"/>
    <w:rsid w:val="00DB41AE"/>
    <w:rsid w:val="00DB453E"/>
    <w:rsid w:val="00DB51AF"/>
    <w:rsid w:val="00DB5AE2"/>
    <w:rsid w:val="00DC20A5"/>
    <w:rsid w:val="00DC2150"/>
    <w:rsid w:val="00DC260F"/>
    <w:rsid w:val="00DC39F0"/>
    <w:rsid w:val="00DC3E78"/>
    <w:rsid w:val="00DC494D"/>
    <w:rsid w:val="00DC65F2"/>
    <w:rsid w:val="00DC6C8B"/>
    <w:rsid w:val="00DC6CFE"/>
    <w:rsid w:val="00DC76EA"/>
    <w:rsid w:val="00DD040A"/>
    <w:rsid w:val="00DD1586"/>
    <w:rsid w:val="00DD1740"/>
    <w:rsid w:val="00DD33DE"/>
    <w:rsid w:val="00DD60F6"/>
    <w:rsid w:val="00DD779D"/>
    <w:rsid w:val="00DD7B0F"/>
    <w:rsid w:val="00DE0265"/>
    <w:rsid w:val="00DE1938"/>
    <w:rsid w:val="00DE35FA"/>
    <w:rsid w:val="00DE3B92"/>
    <w:rsid w:val="00DE4B98"/>
    <w:rsid w:val="00DE7409"/>
    <w:rsid w:val="00DE779C"/>
    <w:rsid w:val="00DF0445"/>
    <w:rsid w:val="00DF17D1"/>
    <w:rsid w:val="00DF5BAB"/>
    <w:rsid w:val="00DF6A8F"/>
    <w:rsid w:val="00DF6E60"/>
    <w:rsid w:val="00DF7A4A"/>
    <w:rsid w:val="00E003AE"/>
    <w:rsid w:val="00E01F36"/>
    <w:rsid w:val="00E0360E"/>
    <w:rsid w:val="00E04D49"/>
    <w:rsid w:val="00E07873"/>
    <w:rsid w:val="00E10569"/>
    <w:rsid w:val="00E10994"/>
    <w:rsid w:val="00E11F8B"/>
    <w:rsid w:val="00E123D1"/>
    <w:rsid w:val="00E1346F"/>
    <w:rsid w:val="00E1358C"/>
    <w:rsid w:val="00E1420A"/>
    <w:rsid w:val="00E1483E"/>
    <w:rsid w:val="00E16AB4"/>
    <w:rsid w:val="00E1701C"/>
    <w:rsid w:val="00E177B2"/>
    <w:rsid w:val="00E21E38"/>
    <w:rsid w:val="00E21E7C"/>
    <w:rsid w:val="00E23EEF"/>
    <w:rsid w:val="00E24950"/>
    <w:rsid w:val="00E26D4E"/>
    <w:rsid w:val="00E304C5"/>
    <w:rsid w:val="00E3096C"/>
    <w:rsid w:val="00E31482"/>
    <w:rsid w:val="00E320DC"/>
    <w:rsid w:val="00E336F3"/>
    <w:rsid w:val="00E346BB"/>
    <w:rsid w:val="00E34D5E"/>
    <w:rsid w:val="00E37B4C"/>
    <w:rsid w:val="00E37BCD"/>
    <w:rsid w:val="00E42296"/>
    <w:rsid w:val="00E42BC6"/>
    <w:rsid w:val="00E44D6B"/>
    <w:rsid w:val="00E4592A"/>
    <w:rsid w:val="00E460E0"/>
    <w:rsid w:val="00E47CDC"/>
    <w:rsid w:val="00E47E94"/>
    <w:rsid w:val="00E50B74"/>
    <w:rsid w:val="00E50BB1"/>
    <w:rsid w:val="00E5156C"/>
    <w:rsid w:val="00E51E55"/>
    <w:rsid w:val="00E53C55"/>
    <w:rsid w:val="00E541B3"/>
    <w:rsid w:val="00E54E46"/>
    <w:rsid w:val="00E554EE"/>
    <w:rsid w:val="00E57DE0"/>
    <w:rsid w:val="00E57FAC"/>
    <w:rsid w:val="00E600A6"/>
    <w:rsid w:val="00E61BA5"/>
    <w:rsid w:val="00E6284E"/>
    <w:rsid w:val="00E62D87"/>
    <w:rsid w:val="00E640AD"/>
    <w:rsid w:val="00E6457F"/>
    <w:rsid w:val="00E6680A"/>
    <w:rsid w:val="00E66A3C"/>
    <w:rsid w:val="00E702B2"/>
    <w:rsid w:val="00E70B00"/>
    <w:rsid w:val="00E71AB9"/>
    <w:rsid w:val="00E734B5"/>
    <w:rsid w:val="00E7554D"/>
    <w:rsid w:val="00E75773"/>
    <w:rsid w:val="00E758A7"/>
    <w:rsid w:val="00E75A9B"/>
    <w:rsid w:val="00E8334E"/>
    <w:rsid w:val="00E84F9D"/>
    <w:rsid w:val="00E85135"/>
    <w:rsid w:val="00E85797"/>
    <w:rsid w:val="00E87304"/>
    <w:rsid w:val="00E8732E"/>
    <w:rsid w:val="00E8741D"/>
    <w:rsid w:val="00E93955"/>
    <w:rsid w:val="00E9461B"/>
    <w:rsid w:val="00E97171"/>
    <w:rsid w:val="00E97DCD"/>
    <w:rsid w:val="00EA0246"/>
    <w:rsid w:val="00EA0C27"/>
    <w:rsid w:val="00EA0EFD"/>
    <w:rsid w:val="00EA253C"/>
    <w:rsid w:val="00EA4506"/>
    <w:rsid w:val="00EA48F6"/>
    <w:rsid w:val="00EA532E"/>
    <w:rsid w:val="00EA653D"/>
    <w:rsid w:val="00EA715D"/>
    <w:rsid w:val="00EA797D"/>
    <w:rsid w:val="00EB0989"/>
    <w:rsid w:val="00EB11E3"/>
    <w:rsid w:val="00EB1397"/>
    <w:rsid w:val="00EB2684"/>
    <w:rsid w:val="00EB3D2D"/>
    <w:rsid w:val="00EB4458"/>
    <w:rsid w:val="00EB513C"/>
    <w:rsid w:val="00EB5BEF"/>
    <w:rsid w:val="00EB5C40"/>
    <w:rsid w:val="00EB6AD4"/>
    <w:rsid w:val="00EB71AC"/>
    <w:rsid w:val="00EB72D2"/>
    <w:rsid w:val="00EB7FC0"/>
    <w:rsid w:val="00EC0B1B"/>
    <w:rsid w:val="00EC0BDA"/>
    <w:rsid w:val="00EC107C"/>
    <w:rsid w:val="00EC1152"/>
    <w:rsid w:val="00EC1E43"/>
    <w:rsid w:val="00EC3212"/>
    <w:rsid w:val="00EC4AB8"/>
    <w:rsid w:val="00EC5834"/>
    <w:rsid w:val="00EC7DC8"/>
    <w:rsid w:val="00ED0F3C"/>
    <w:rsid w:val="00ED1E70"/>
    <w:rsid w:val="00ED3D51"/>
    <w:rsid w:val="00EE091C"/>
    <w:rsid w:val="00EE1170"/>
    <w:rsid w:val="00EE257D"/>
    <w:rsid w:val="00EE279E"/>
    <w:rsid w:val="00EE2960"/>
    <w:rsid w:val="00EE4D7A"/>
    <w:rsid w:val="00EE5640"/>
    <w:rsid w:val="00EE5F85"/>
    <w:rsid w:val="00EE6C65"/>
    <w:rsid w:val="00EF0570"/>
    <w:rsid w:val="00EF094D"/>
    <w:rsid w:val="00EF1CD7"/>
    <w:rsid w:val="00EF26ED"/>
    <w:rsid w:val="00EF4B10"/>
    <w:rsid w:val="00EF5A16"/>
    <w:rsid w:val="00EF6351"/>
    <w:rsid w:val="00EF73B9"/>
    <w:rsid w:val="00EF774A"/>
    <w:rsid w:val="00F0015F"/>
    <w:rsid w:val="00F00BCB"/>
    <w:rsid w:val="00F02656"/>
    <w:rsid w:val="00F029AF"/>
    <w:rsid w:val="00F03792"/>
    <w:rsid w:val="00F0385B"/>
    <w:rsid w:val="00F048C2"/>
    <w:rsid w:val="00F04F13"/>
    <w:rsid w:val="00F05102"/>
    <w:rsid w:val="00F07C7C"/>
    <w:rsid w:val="00F107D2"/>
    <w:rsid w:val="00F10E6E"/>
    <w:rsid w:val="00F146AC"/>
    <w:rsid w:val="00F15624"/>
    <w:rsid w:val="00F158D9"/>
    <w:rsid w:val="00F170D0"/>
    <w:rsid w:val="00F176DD"/>
    <w:rsid w:val="00F20579"/>
    <w:rsid w:val="00F2099D"/>
    <w:rsid w:val="00F2100D"/>
    <w:rsid w:val="00F21338"/>
    <w:rsid w:val="00F224BC"/>
    <w:rsid w:val="00F224E3"/>
    <w:rsid w:val="00F22FAA"/>
    <w:rsid w:val="00F23370"/>
    <w:rsid w:val="00F23593"/>
    <w:rsid w:val="00F24C4F"/>
    <w:rsid w:val="00F250A4"/>
    <w:rsid w:val="00F25369"/>
    <w:rsid w:val="00F26445"/>
    <w:rsid w:val="00F26498"/>
    <w:rsid w:val="00F27162"/>
    <w:rsid w:val="00F27DE3"/>
    <w:rsid w:val="00F3026B"/>
    <w:rsid w:val="00F30C88"/>
    <w:rsid w:val="00F31CB0"/>
    <w:rsid w:val="00F32A74"/>
    <w:rsid w:val="00F32CFC"/>
    <w:rsid w:val="00F33160"/>
    <w:rsid w:val="00F33E12"/>
    <w:rsid w:val="00F35A34"/>
    <w:rsid w:val="00F37126"/>
    <w:rsid w:val="00F3751E"/>
    <w:rsid w:val="00F37D6A"/>
    <w:rsid w:val="00F4130F"/>
    <w:rsid w:val="00F42241"/>
    <w:rsid w:val="00F42CAB"/>
    <w:rsid w:val="00F4417E"/>
    <w:rsid w:val="00F447B9"/>
    <w:rsid w:val="00F4505C"/>
    <w:rsid w:val="00F45195"/>
    <w:rsid w:val="00F46159"/>
    <w:rsid w:val="00F475C7"/>
    <w:rsid w:val="00F507A0"/>
    <w:rsid w:val="00F50EDE"/>
    <w:rsid w:val="00F52291"/>
    <w:rsid w:val="00F52A23"/>
    <w:rsid w:val="00F53459"/>
    <w:rsid w:val="00F53AF4"/>
    <w:rsid w:val="00F53E1E"/>
    <w:rsid w:val="00F54277"/>
    <w:rsid w:val="00F545A2"/>
    <w:rsid w:val="00F556FE"/>
    <w:rsid w:val="00F558D1"/>
    <w:rsid w:val="00F5622E"/>
    <w:rsid w:val="00F56FE6"/>
    <w:rsid w:val="00F576F9"/>
    <w:rsid w:val="00F623F2"/>
    <w:rsid w:val="00F62478"/>
    <w:rsid w:val="00F629A5"/>
    <w:rsid w:val="00F65EFC"/>
    <w:rsid w:val="00F66421"/>
    <w:rsid w:val="00F6653C"/>
    <w:rsid w:val="00F67695"/>
    <w:rsid w:val="00F679B2"/>
    <w:rsid w:val="00F70ED8"/>
    <w:rsid w:val="00F70FEC"/>
    <w:rsid w:val="00F71FE0"/>
    <w:rsid w:val="00F71FF6"/>
    <w:rsid w:val="00F72337"/>
    <w:rsid w:val="00F72CFD"/>
    <w:rsid w:val="00F72E2A"/>
    <w:rsid w:val="00F76BCF"/>
    <w:rsid w:val="00F82A48"/>
    <w:rsid w:val="00F82BBF"/>
    <w:rsid w:val="00F82C13"/>
    <w:rsid w:val="00F82D49"/>
    <w:rsid w:val="00F83207"/>
    <w:rsid w:val="00F86960"/>
    <w:rsid w:val="00F8742B"/>
    <w:rsid w:val="00F90FA6"/>
    <w:rsid w:val="00F924EB"/>
    <w:rsid w:val="00F93185"/>
    <w:rsid w:val="00F93860"/>
    <w:rsid w:val="00F939E6"/>
    <w:rsid w:val="00F95A95"/>
    <w:rsid w:val="00FA0BF7"/>
    <w:rsid w:val="00FA0CB3"/>
    <w:rsid w:val="00FA15AF"/>
    <w:rsid w:val="00FA1783"/>
    <w:rsid w:val="00FA1AB8"/>
    <w:rsid w:val="00FA26DD"/>
    <w:rsid w:val="00FA3486"/>
    <w:rsid w:val="00FA3AB7"/>
    <w:rsid w:val="00FA4B48"/>
    <w:rsid w:val="00FA5013"/>
    <w:rsid w:val="00FA7ABE"/>
    <w:rsid w:val="00FB2897"/>
    <w:rsid w:val="00FB2DBA"/>
    <w:rsid w:val="00FB3DA2"/>
    <w:rsid w:val="00FB4472"/>
    <w:rsid w:val="00FB46BA"/>
    <w:rsid w:val="00FB4E78"/>
    <w:rsid w:val="00FB5D67"/>
    <w:rsid w:val="00FC1300"/>
    <w:rsid w:val="00FC1CE1"/>
    <w:rsid w:val="00FC2ADC"/>
    <w:rsid w:val="00FC3132"/>
    <w:rsid w:val="00FC3218"/>
    <w:rsid w:val="00FC3C0A"/>
    <w:rsid w:val="00FC3E50"/>
    <w:rsid w:val="00FC45B5"/>
    <w:rsid w:val="00FC5C3A"/>
    <w:rsid w:val="00FC5FC3"/>
    <w:rsid w:val="00FC728A"/>
    <w:rsid w:val="00FD1F58"/>
    <w:rsid w:val="00FD2143"/>
    <w:rsid w:val="00FD2340"/>
    <w:rsid w:val="00FD296F"/>
    <w:rsid w:val="00FD60E8"/>
    <w:rsid w:val="00FD67D2"/>
    <w:rsid w:val="00FD6D2A"/>
    <w:rsid w:val="00FD70CB"/>
    <w:rsid w:val="00FE10B2"/>
    <w:rsid w:val="00FE230F"/>
    <w:rsid w:val="00FE2F7C"/>
    <w:rsid w:val="00FE30D2"/>
    <w:rsid w:val="00FE3A5B"/>
    <w:rsid w:val="00FE3C0F"/>
    <w:rsid w:val="00FE4BFB"/>
    <w:rsid w:val="00FE6319"/>
    <w:rsid w:val="00FE637D"/>
    <w:rsid w:val="00FE6D1B"/>
    <w:rsid w:val="00FE7180"/>
    <w:rsid w:val="00FE7210"/>
    <w:rsid w:val="00FE72C6"/>
    <w:rsid w:val="00FF032E"/>
    <w:rsid w:val="00FF0884"/>
    <w:rsid w:val="00FF1F21"/>
    <w:rsid w:val="00FF250D"/>
    <w:rsid w:val="00FF3E8B"/>
    <w:rsid w:val="00FF41E4"/>
    <w:rsid w:val="00FF54B2"/>
    <w:rsid w:val="00FF582F"/>
    <w:rsid w:val="00FF5F30"/>
    <w:rsid w:val="00FF6041"/>
    <w:rsid w:val="00FF7B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19771B9"/>
  <w15:chartTrackingRefBased/>
  <w15:docId w15:val="{E8728B88-186D-4CBE-B7AF-ADF662B3B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ind w:left="360"/>
      <w:outlineLvl w:val="0"/>
    </w:pPr>
    <w:rPr>
      <w:sz w:val="28"/>
      <w:szCs w:val="28"/>
    </w:rPr>
  </w:style>
  <w:style w:type="paragraph" w:styleId="Heading2">
    <w:name w:val="heading 2"/>
    <w:basedOn w:val="Normal"/>
    <w:next w:val="Normal"/>
    <w:link w:val="Heading2Char"/>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rFonts w:ascii="CG Times" w:hAnsi="CG Times"/>
      <w:b/>
      <w:sz w:val="36"/>
      <w:lang w:val="en-GB"/>
    </w:rPr>
  </w:style>
  <w:style w:type="paragraph" w:styleId="Heading3">
    <w:name w:val="heading 3"/>
    <w:basedOn w:val="Normal"/>
    <w:next w:val="Normal"/>
    <w:qFormat/>
    <w:pPr>
      <w:keepNext/>
      <w:ind w:left="720" w:firstLine="349"/>
      <w:outlineLvl w:val="2"/>
    </w:pPr>
    <w:rPr>
      <w:snapToGrid w:val="0"/>
      <w:color w:val="000000"/>
      <w:sz w:val="28"/>
      <w:szCs w:val="28"/>
      <w:lang w:val="en-GB" w:eastAsia="en-US"/>
    </w:rPr>
  </w:style>
  <w:style w:type="paragraph" w:styleId="Heading4">
    <w:name w:val="heading 4"/>
    <w:basedOn w:val="Normal"/>
    <w:next w:val="Normal"/>
    <w:qFormat/>
    <w:pPr>
      <w:keepNext/>
      <w:ind w:left="1440" w:hanging="731"/>
      <w:outlineLvl w:val="3"/>
    </w:pPr>
    <w:rPr>
      <w:snapToGrid w:val="0"/>
      <w:color w:val="000000"/>
      <w:sz w:val="28"/>
      <w:szCs w:val="28"/>
      <w:lang w:val="en-GB" w:eastAsia="en-US"/>
    </w:rPr>
  </w:style>
  <w:style w:type="paragraph" w:styleId="Heading5">
    <w:name w:val="heading 5"/>
    <w:basedOn w:val="Normal"/>
    <w:next w:val="Normal"/>
    <w:qFormat/>
    <w:pPr>
      <w:keepNext/>
      <w:ind w:left="720" w:firstLine="840"/>
      <w:outlineLvl w:val="4"/>
    </w:pPr>
    <w:rPr>
      <w:b/>
      <w:color w:val="000000"/>
      <w:sz w:val="32"/>
      <w:szCs w:val="32"/>
    </w:rPr>
  </w:style>
  <w:style w:type="paragraph" w:styleId="Heading6">
    <w:name w:val="heading 6"/>
    <w:basedOn w:val="Normal"/>
    <w:next w:val="Normal"/>
    <w:qFormat/>
    <w:rsid w:val="00F4505C"/>
    <w:pPr>
      <w:keepNext/>
      <w:ind w:left="709"/>
      <w:outlineLvl w:val="5"/>
    </w:pPr>
    <w:rPr>
      <w:sz w:val="28"/>
      <w:szCs w:val="28"/>
    </w:rPr>
  </w:style>
  <w:style w:type="paragraph" w:styleId="Heading7">
    <w:name w:val="heading 7"/>
    <w:basedOn w:val="Normal"/>
    <w:next w:val="Normal"/>
    <w:qFormat/>
    <w:rsid w:val="00CF472B"/>
    <w:pPr>
      <w:keepNext/>
      <w:ind w:left="709"/>
      <w:outlineLvl w:val="6"/>
    </w:pPr>
    <w:rPr>
      <w:sz w:val="28"/>
      <w:szCs w:val="28"/>
      <w:u w:val="single"/>
    </w:rPr>
  </w:style>
  <w:style w:type="paragraph" w:styleId="Heading8">
    <w:name w:val="heading 8"/>
    <w:basedOn w:val="Normal"/>
    <w:next w:val="Normal"/>
    <w:qFormat/>
    <w:rsid w:val="00E003AE"/>
    <w:pPr>
      <w:keepNext/>
      <w:ind w:left="1069" w:hanging="360"/>
      <w:outlineLvl w:val="7"/>
    </w:pPr>
    <w:rPr>
      <w:sz w:val="28"/>
      <w:szCs w:val="28"/>
      <w:u w:val="single"/>
    </w:rPr>
  </w:style>
  <w:style w:type="paragraph" w:styleId="Heading9">
    <w:name w:val="heading 9"/>
    <w:basedOn w:val="Normal"/>
    <w:next w:val="Normal"/>
    <w:qFormat/>
    <w:rsid w:val="002B175F"/>
    <w:pPr>
      <w:keepNext/>
      <w:outlineLvl w:val="8"/>
    </w:pPr>
    <w:rPr>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link w:val="BodyTextIndent2Char"/>
    <w:uiPriority w:val="99"/>
    <w:pPr>
      <w:ind w:left="426" w:hanging="426"/>
    </w:pPr>
    <w:rPr>
      <w:color w:val="0000FF"/>
      <w:sz w:val="24"/>
    </w:rPr>
  </w:style>
  <w:style w:type="character" w:styleId="Strong">
    <w:name w:val="Strong"/>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sz w:val="24"/>
      <w:szCs w:val="24"/>
    </w:rPr>
  </w:style>
  <w:style w:type="paragraph" w:styleId="Header">
    <w:name w:val="header"/>
    <w:aliases w:val="Subheading (body)"/>
    <w:basedOn w:val="Normal"/>
    <w:link w:val="HeaderChar"/>
    <w:pPr>
      <w:tabs>
        <w:tab w:val="center" w:pos="4153"/>
        <w:tab w:val="right" w:pos="8306"/>
      </w:tabs>
    </w:pPr>
  </w:style>
  <w:style w:type="character" w:styleId="PageNumber">
    <w:name w:val="page number"/>
    <w:basedOn w:val="DefaultParagraphFont"/>
  </w:style>
  <w:style w:type="paragraph" w:styleId="NormalIndent">
    <w:name w:val="Normal Indent"/>
    <w:basedOn w:val="Normal"/>
    <w:pPr>
      <w:ind w:left="1418" w:hanging="567"/>
    </w:pPr>
    <w:rPr>
      <w:sz w:val="24"/>
    </w:rPr>
  </w:style>
  <w:style w:type="paragraph" w:styleId="BodyTextIndent">
    <w:name w:val="Body Text Indent"/>
    <w:basedOn w:val="Normal"/>
    <w:pPr>
      <w:ind w:left="709" w:hanging="709"/>
    </w:pPr>
    <w:rPr>
      <w:color w:val="000000"/>
      <w:sz w:val="28"/>
      <w:szCs w:val="28"/>
    </w:rPr>
  </w:style>
  <w:style w:type="paragraph" w:styleId="BodyTextIndent3">
    <w:name w:val="Body Text Indent 3"/>
    <w:basedOn w:val="Normal"/>
    <w:pPr>
      <w:ind w:left="709"/>
    </w:pPr>
    <w:rPr>
      <w:sz w:val="28"/>
      <w:szCs w:val="28"/>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paragraph" w:styleId="BodyText">
    <w:name w:val="Body Text"/>
    <w:basedOn w:val="Normal"/>
    <w:rsid w:val="004A29BC"/>
    <w:rPr>
      <w:color w:val="000000"/>
      <w:sz w:val="28"/>
      <w:szCs w:val="28"/>
    </w:rPr>
  </w:style>
  <w:style w:type="paragraph" w:styleId="BodyText2">
    <w:name w:val="Body Text 2"/>
    <w:basedOn w:val="Normal"/>
    <w:rsid w:val="00207F8E"/>
    <w:rPr>
      <w:sz w:val="28"/>
      <w:szCs w:val="28"/>
    </w:rPr>
  </w:style>
  <w:style w:type="paragraph" w:customStyle="1" w:styleId="BulletText1">
    <w:name w:val="Bullet Text 1"/>
    <w:basedOn w:val="Normal"/>
    <w:rsid w:val="00D05BAD"/>
    <w:pPr>
      <w:numPr>
        <w:numId w:val="1"/>
      </w:numPr>
      <w:ind w:left="187" w:hanging="187"/>
    </w:pPr>
  </w:style>
  <w:style w:type="paragraph" w:customStyle="1" w:styleId="LogoHeader">
    <w:name w:val="LogoHeader"/>
    <w:basedOn w:val="Normal"/>
    <w:rsid w:val="00BA49B0"/>
    <w:pPr>
      <w:keepLines/>
    </w:pPr>
    <w:rPr>
      <w:rFonts w:ascii="Univers" w:hAnsi="Univers"/>
      <w:sz w:val="24"/>
      <w:lang w:val="en-GB" w:eastAsia="en-US"/>
    </w:rPr>
  </w:style>
  <w:style w:type="paragraph" w:customStyle="1" w:styleId="definition">
    <w:name w:val="definition"/>
    <w:basedOn w:val="Normal"/>
    <w:rsid w:val="002E33EA"/>
    <w:pPr>
      <w:spacing w:before="100" w:beforeAutospacing="1" w:after="100" w:afterAutospacing="1"/>
    </w:pPr>
    <w:rPr>
      <w:sz w:val="24"/>
      <w:szCs w:val="24"/>
    </w:rPr>
  </w:style>
  <w:style w:type="paragraph" w:customStyle="1" w:styleId="paragraph">
    <w:name w:val="paragraph"/>
    <w:basedOn w:val="Normal"/>
    <w:rsid w:val="002E33EA"/>
    <w:pPr>
      <w:spacing w:before="100" w:beforeAutospacing="1" w:after="100" w:afterAutospacing="1"/>
    </w:pPr>
    <w:rPr>
      <w:sz w:val="24"/>
      <w:szCs w:val="24"/>
    </w:rPr>
  </w:style>
  <w:style w:type="paragraph" w:customStyle="1" w:styleId="paragraphsub">
    <w:name w:val="paragraphsub"/>
    <w:basedOn w:val="Normal"/>
    <w:rsid w:val="002E33EA"/>
    <w:pPr>
      <w:spacing w:before="100" w:beforeAutospacing="1" w:after="100" w:afterAutospacing="1"/>
    </w:pPr>
    <w:rPr>
      <w:sz w:val="24"/>
      <w:szCs w:val="24"/>
    </w:rPr>
  </w:style>
  <w:style w:type="paragraph" w:customStyle="1" w:styleId="Default">
    <w:name w:val="Default"/>
    <w:rsid w:val="008C73DF"/>
    <w:pPr>
      <w:autoSpaceDE w:val="0"/>
      <w:autoSpaceDN w:val="0"/>
      <w:adjustRightInd w:val="0"/>
    </w:pPr>
    <w:rPr>
      <w:color w:val="000000"/>
      <w:sz w:val="24"/>
      <w:szCs w:val="24"/>
    </w:rPr>
  </w:style>
  <w:style w:type="character" w:styleId="Hyperlink">
    <w:name w:val="Hyperlink"/>
    <w:rsid w:val="008C73DF"/>
    <w:rPr>
      <w:strike w:val="0"/>
      <w:dstrike w:val="0"/>
      <w:color w:val="0072BC"/>
      <w:u w:val="none"/>
      <w:effect w:val="none"/>
    </w:rPr>
  </w:style>
  <w:style w:type="paragraph" w:styleId="Footer">
    <w:name w:val="footer"/>
    <w:basedOn w:val="Normal"/>
    <w:link w:val="FooterChar"/>
    <w:uiPriority w:val="99"/>
    <w:rsid w:val="00FB2897"/>
    <w:pPr>
      <w:tabs>
        <w:tab w:val="center" w:pos="4153"/>
        <w:tab w:val="right" w:pos="8306"/>
      </w:tabs>
    </w:pPr>
  </w:style>
  <w:style w:type="paragraph" w:styleId="BodyText3">
    <w:name w:val="Body Text 3"/>
    <w:basedOn w:val="Normal"/>
    <w:rsid w:val="00E21E38"/>
    <w:pPr>
      <w:spacing w:after="200"/>
      <w:ind w:right="544"/>
    </w:pPr>
    <w:rPr>
      <w:sz w:val="28"/>
      <w:szCs w:val="28"/>
    </w:rPr>
  </w:style>
  <w:style w:type="paragraph" w:customStyle="1" w:styleId="Normal1">
    <w:name w:val="Normal1"/>
    <w:basedOn w:val="Normal"/>
    <w:link w:val="normalChar"/>
    <w:rsid w:val="001E1D3B"/>
    <w:pPr>
      <w:spacing w:before="100" w:beforeAutospacing="1" w:after="100" w:afterAutospacing="1"/>
    </w:pPr>
    <w:rPr>
      <w:sz w:val="24"/>
      <w:szCs w:val="24"/>
      <w:lang w:val="en-US" w:eastAsia="en-US"/>
    </w:rPr>
  </w:style>
  <w:style w:type="character" w:customStyle="1" w:styleId="normalChar">
    <w:name w:val="normal Char"/>
    <w:link w:val="Normal1"/>
    <w:locked/>
    <w:rsid w:val="001E1D3B"/>
    <w:rPr>
      <w:sz w:val="24"/>
      <w:szCs w:val="24"/>
      <w:lang w:val="en-US" w:eastAsia="en-US" w:bidi="ar-SA"/>
    </w:rPr>
  </w:style>
  <w:style w:type="character" w:customStyle="1" w:styleId="HeaderChar">
    <w:name w:val="Header Char"/>
    <w:aliases w:val="Subheading (body) Char"/>
    <w:link w:val="Header"/>
    <w:locked/>
    <w:rsid w:val="0054410A"/>
    <w:rPr>
      <w:lang w:val="en-AU" w:eastAsia="en-AU" w:bidi="ar-SA"/>
    </w:rPr>
  </w:style>
  <w:style w:type="paragraph" w:customStyle="1" w:styleId="acthead9">
    <w:name w:val="acthead9"/>
    <w:basedOn w:val="Normal"/>
    <w:rsid w:val="00B45A1F"/>
    <w:pPr>
      <w:spacing w:before="100" w:beforeAutospacing="1" w:after="100" w:afterAutospacing="1"/>
    </w:pPr>
    <w:rPr>
      <w:sz w:val="24"/>
      <w:szCs w:val="24"/>
    </w:rPr>
  </w:style>
  <w:style w:type="paragraph" w:customStyle="1" w:styleId="P2">
    <w:name w:val="P2"/>
    <w:aliases w:val="(i)"/>
    <w:basedOn w:val="Normal"/>
    <w:rsid w:val="007B65B3"/>
    <w:pPr>
      <w:keepLines/>
      <w:tabs>
        <w:tab w:val="right" w:pos="1758"/>
        <w:tab w:val="left" w:pos="2155"/>
      </w:tabs>
      <w:spacing w:before="60" w:line="260" w:lineRule="exact"/>
      <w:ind w:left="1985" w:hanging="1985"/>
      <w:jc w:val="both"/>
    </w:pPr>
    <w:rPr>
      <w:sz w:val="24"/>
      <w:szCs w:val="24"/>
      <w:lang w:eastAsia="en-US"/>
    </w:rPr>
  </w:style>
  <w:style w:type="paragraph" w:styleId="PlainText">
    <w:name w:val="Plain Text"/>
    <w:basedOn w:val="Normal"/>
    <w:link w:val="PlainTextChar"/>
    <w:rsid w:val="00886D8D"/>
    <w:rPr>
      <w:rFonts w:ascii="Arial" w:hAnsi="Arial" w:cs="Arial"/>
    </w:rPr>
  </w:style>
  <w:style w:type="character" w:customStyle="1" w:styleId="PlainTextChar">
    <w:name w:val="Plain Text Char"/>
    <w:link w:val="PlainText"/>
    <w:semiHidden/>
    <w:locked/>
    <w:rsid w:val="00886D8D"/>
    <w:rPr>
      <w:rFonts w:ascii="Arial" w:hAnsi="Arial" w:cs="Arial"/>
      <w:lang w:val="en-AU" w:eastAsia="en-AU" w:bidi="ar-SA"/>
    </w:rPr>
  </w:style>
  <w:style w:type="paragraph" w:customStyle="1" w:styleId="Definition0">
    <w:name w:val="Definition"/>
    <w:aliases w:val="dd"/>
    <w:basedOn w:val="Normal"/>
    <w:rsid w:val="003F00E2"/>
    <w:pPr>
      <w:spacing w:before="180"/>
      <w:ind w:left="1134"/>
    </w:pPr>
    <w:rPr>
      <w:sz w:val="22"/>
    </w:rPr>
  </w:style>
  <w:style w:type="character" w:customStyle="1" w:styleId="BodyTextIndent2Char">
    <w:name w:val="Body Text Indent 2 Char"/>
    <w:link w:val="BodyTextIndent2"/>
    <w:uiPriority w:val="99"/>
    <w:rsid w:val="009A17D4"/>
    <w:rPr>
      <w:color w:val="0000FF"/>
      <w:sz w:val="24"/>
    </w:rPr>
  </w:style>
  <w:style w:type="character" w:customStyle="1" w:styleId="FooterChar">
    <w:name w:val="Footer Char"/>
    <w:link w:val="Footer"/>
    <w:uiPriority w:val="99"/>
    <w:rsid w:val="002C18FC"/>
  </w:style>
  <w:style w:type="paragraph" w:styleId="ListParagraph">
    <w:name w:val="List Paragraph"/>
    <w:basedOn w:val="Normal"/>
    <w:uiPriority w:val="34"/>
    <w:qFormat/>
    <w:rsid w:val="00922741"/>
    <w:pPr>
      <w:ind w:left="720"/>
    </w:pPr>
    <w:rPr>
      <w:rFonts w:ascii="Calibri" w:hAnsi="Calibri"/>
      <w:sz w:val="22"/>
      <w:szCs w:val="22"/>
      <w:lang w:eastAsia="en-US"/>
    </w:rPr>
  </w:style>
  <w:style w:type="character" w:styleId="FollowedHyperlink">
    <w:name w:val="FollowedHyperlink"/>
    <w:rsid w:val="003C389A"/>
    <w:rPr>
      <w:color w:val="954F72"/>
      <w:u w:val="single"/>
    </w:rPr>
  </w:style>
  <w:style w:type="paragraph" w:customStyle="1" w:styleId="Firstpara">
    <w:name w:val="First para"/>
    <w:basedOn w:val="Normal"/>
    <w:rsid w:val="004117E6"/>
    <w:pPr>
      <w:spacing w:before="240" w:after="120"/>
    </w:pPr>
    <w:rPr>
      <w:sz w:val="24"/>
    </w:rPr>
  </w:style>
  <w:style w:type="paragraph" w:styleId="Revision">
    <w:name w:val="Revision"/>
    <w:hidden/>
    <w:uiPriority w:val="99"/>
    <w:semiHidden/>
    <w:rsid w:val="006E651E"/>
  </w:style>
  <w:style w:type="character" w:customStyle="1" w:styleId="CommentTextChar">
    <w:name w:val="Comment Text Char"/>
    <w:basedOn w:val="DefaultParagraphFont"/>
    <w:link w:val="CommentText"/>
    <w:semiHidden/>
    <w:rsid w:val="00094A4D"/>
  </w:style>
  <w:style w:type="character" w:customStyle="1" w:styleId="Heading2Char">
    <w:name w:val="Heading 2 Char"/>
    <w:basedOn w:val="DefaultParagraphFont"/>
    <w:link w:val="Heading2"/>
    <w:rsid w:val="00756D6D"/>
    <w:rPr>
      <w:rFonts w:ascii="CG Times" w:hAnsi="CG Times"/>
      <w:b/>
      <w:sz w:val="3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94557">
      <w:bodyDiv w:val="1"/>
      <w:marLeft w:val="0"/>
      <w:marRight w:val="0"/>
      <w:marTop w:val="0"/>
      <w:marBottom w:val="0"/>
      <w:divBdr>
        <w:top w:val="none" w:sz="0" w:space="0" w:color="auto"/>
        <w:left w:val="none" w:sz="0" w:space="0" w:color="auto"/>
        <w:bottom w:val="none" w:sz="0" w:space="0" w:color="auto"/>
        <w:right w:val="none" w:sz="0" w:space="0" w:color="auto"/>
      </w:divBdr>
    </w:div>
    <w:div w:id="125046557">
      <w:bodyDiv w:val="1"/>
      <w:marLeft w:val="0"/>
      <w:marRight w:val="0"/>
      <w:marTop w:val="0"/>
      <w:marBottom w:val="0"/>
      <w:divBdr>
        <w:top w:val="none" w:sz="0" w:space="0" w:color="auto"/>
        <w:left w:val="none" w:sz="0" w:space="0" w:color="auto"/>
        <w:bottom w:val="none" w:sz="0" w:space="0" w:color="auto"/>
        <w:right w:val="none" w:sz="0" w:space="0" w:color="auto"/>
      </w:divBdr>
    </w:div>
    <w:div w:id="154419388">
      <w:bodyDiv w:val="1"/>
      <w:marLeft w:val="0"/>
      <w:marRight w:val="0"/>
      <w:marTop w:val="0"/>
      <w:marBottom w:val="0"/>
      <w:divBdr>
        <w:top w:val="none" w:sz="0" w:space="0" w:color="auto"/>
        <w:left w:val="none" w:sz="0" w:space="0" w:color="auto"/>
        <w:bottom w:val="none" w:sz="0" w:space="0" w:color="auto"/>
        <w:right w:val="none" w:sz="0" w:space="0" w:color="auto"/>
      </w:divBdr>
    </w:div>
    <w:div w:id="159345927">
      <w:bodyDiv w:val="1"/>
      <w:marLeft w:val="0"/>
      <w:marRight w:val="0"/>
      <w:marTop w:val="0"/>
      <w:marBottom w:val="0"/>
      <w:divBdr>
        <w:top w:val="none" w:sz="0" w:space="0" w:color="auto"/>
        <w:left w:val="none" w:sz="0" w:space="0" w:color="auto"/>
        <w:bottom w:val="none" w:sz="0" w:space="0" w:color="auto"/>
        <w:right w:val="none" w:sz="0" w:space="0" w:color="auto"/>
      </w:divBdr>
    </w:div>
    <w:div w:id="186188020">
      <w:bodyDiv w:val="1"/>
      <w:marLeft w:val="0"/>
      <w:marRight w:val="0"/>
      <w:marTop w:val="0"/>
      <w:marBottom w:val="0"/>
      <w:divBdr>
        <w:top w:val="none" w:sz="0" w:space="0" w:color="auto"/>
        <w:left w:val="none" w:sz="0" w:space="0" w:color="auto"/>
        <w:bottom w:val="none" w:sz="0" w:space="0" w:color="auto"/>
        <w:right w:val="none" w:sz="0" w:space="0" w:color="auto"/>
      </w:divBdr>
    </w:div>
    <w:div w:id="330567551">
      <w:bodyDiv w:val="1"/>
      <w:marLeft w:val="0"/>
      <w:marRight w:val="0"/>
      <w:marTop w:val="0"/>
      <w:marBottom w:val="0"/>
      <w:divBdr>
        <w:top w:val="none" w:sz="0" w:space="0" w:color="auto"/>
        <w:left w:val="none" w:sz="0" w:space="0" w:color="auto"/>
        <w:bottom w:val="none" w:sz="0" w:space="0" w:color="auto"/>
        <w:right w:val="none" w:sz="0" w:space="0" w:color="auto"/>
      </w:divBdr>
    </w:div>
    <w:div w:id="340933915">
      <w:bodyDiv w:val="1"/>
      <w:marLeft w:val="0"/>
      <w:marRight w:val="0"/>
      <w:marTop w:val="0"/>
      <w:marBottom w:val="0"/>
      <w:divBdr>
        <w:top w:val="none" w:sz="0" w:space="0" w:color="auto"/>
        <w:left w:val="none" w:sz="0" w:space="0" w:color="auto"/>
        <w:bottom w:val="none" w:sz="0" w:space="0" w:color="auto"/>
        <w:right w:val="none" w:sz="0" w:space="0" w:color="auto"/>
      </w:divBdr>
    </w:div>
    <w:div w:id="367265998">
      <w:bodyDiv w:val="1"/>
      <w:marLeft w:val="0"/>
      <w:marRight w:val="0"/>
      <w:marTop w:val="0"/>
      <w:marBottom w:val="0"/>
      <w:divBdr>
        <w:top w:val="none" w:sz="0" w:space="0" w:color="auto"/>
        <w:left w:val="none" w:sz="0" w:space="0" w:color="auto"/>
        <w:bottom w:val="none" w:sz="0" w:space="0" w:color="auto"/>
        <w:right w:val="none" w:sz="0" w:space="0" w:color="auto"/>
      </w:divBdr>
    </w:div>
    <w:div w:id="380400669">
      <w:bodyDiv w:val="1"/>
      <w:marLeft w:val="0"/>
      <w:marRight w:val="0"/>
      <w:marTop w:val="0"/>
      <w:marBottom w:val="0"/>
      <w:divBdr>
        <w:top w:val="none" w:sz="0" w:space="0" w:color="auto"/>
        <w:left w:val="none" w:sz="0" w:space="0" w:color="auto"/>
        <w:bottom w:val="none" w:sz="0" w:space="0" w:color="auto"/>
        <w:right w:val="none" w:sz="0" w:space="0" w:color="auto"/>
      </w:divBdr>
    </w:div>
    <w:div w:id="496920036">
      <w:bodyDiv w:val="1"/>
      <w:marLeft w:val="0"/>
      <w:marRight w:val="0"/>
      <w:marTop w:val="0"/>
      <w:marBottom w:val="0"/>
      <w:divBdr>
        <w:top w:val="none" w:sz="0" w:space="0" w:color="auto"/>
        <w:left w:val="none" w:sz="0" w:space="0" w:color="auto"/>
        <w:bottom w:val="none" w:sz="0" w:space="0" w:color="auto"/>
        <w:right w:val="none" w:sz="0" w:space="0" w:color="auto"/>
      </w:divBdr>
    </w:div>
    <w:div w:id="572545712">
      <w:bodyDiv w:val="1"/>
      <w:marLeft w:val="0"/>
      <w:marRight w:val="0"/>
      <w:marTop w:val="0"/>
      <w:marBottom w:val="0"/>
      <w:divBdr>
        <w:top w:val="none" w:sz="0" w:space="0" w:color="auto"/>
        <w:left w:val="none" w:sz="0" w:space="0" w:color="auto"/>
        <w:bottom w:val="none" w:sz="0" w:space="0" w:color="auto"/>
        <w:right w:val="none" w:sz="0" w:space="0" w:color="auto"/>
      </w:divBdr>
    </w:div>
    <w:div w:id="705982545">
      <w:bodyDiv w:val="1"/>
      <w:marLeft w:val="0"/>
      <w:marRight w:val="0"/>
      <w:marTop w:val="0"/>
      <w:marBottom w:val="0"/>
      <w:divBdr>
        <w:top w:val="none" w:sz="0" w:space="0" w:color="auto"/>
        <w:left w:val="none" w:sz="0" w:space="0" w:color="auto"/>
        <w:bottom w:val="none" w:sz="0" w:space="0" w:color="auto"/>
        <w:right w:val="none" w:sz="0" w:space="0" w:color="auto"/>
      </w:divBdr>
    </w:div>
    <w:div w:id="723600016">
      <w:bodyDiv w:val="1"/>
      <w:marLeft w:val="0"/>
      <w:marRight w:val="0"/>
      <w:marTop w:val="0"/>
      <w:marBottom w:val="0"/>
      <w:divBdr>
        <w:top w:val="none" w:sz="0" w:space="0" w:color="auto"/>
        <w:left w:val="none" w:sz="0" w:space="0" w:color="auto"/>
        <w:bottom w:val="none" w:sz="0" w:space="0" w:color="auto"/>
        <w:right w:val="none" w:sz="0" w:space="0" w:color="auto"/>
      </w:divBdr>
    </w:div>
    <w:div w:id="901523285">
      <w:bodyDiv w:val="1"/>
      <w:marLeft w:val="0"/>
      <w:marRight w:val="0"/>
      <w:marTop w:val="0"/>
      <w:marBottom w:val="0"/>
      <w:divBdr>
        <w:top w:val="none" w:sz="0" w:space="0" w:color="auto"/>
        <w:left w:val="none" w:sz="0" w:space="0" w:color="auto"/>
        <w:bottom w:val="none" w:sz="0" w:space="0" w:color="auto"/>
        <w:right w:val="none" w:sz="0" w:space="0" w:color="auto"/>
      </w:divBdr>
      <w:divsChild>
        <w:div w:id="1712266830">
          <w:marLeft w:val="0"/>
          <w:marRight w:val="0"/>
          <w:marTop w:val="0"/>
          <w:marBottom w:val="0"/>
          <w:divBdr>
            <w:top w:val="none" w:sz="0" w:space="0" w:color="auto"/>
            <w:left w:val="none" w:sz="0" w:space="0" w:color="auto"/>
            <w:bottom w:val="none" w:sz="0" w:space="0" w:color="auto"/>
            <w:right w:val="none" w:sz="0" w:space="0" w:color="auto"/>
          </w:divBdr>
          <w:divsChild>
            <w:div w:id="127554208">
              <w:marLeft w:val="0"/>
              <w:marRight w:val="0"/>
              <w:marTop w:val="0"/>
              <w:marBottom w:val="0"/>
              <w:divBdr>
                <w:top w:val="none" w:sz="0" w:space="0" w:color="auto"/>
                <w:left w:val="none" w:sz="0" w:space="0" w:color="auto"/>
                <w:bottom w:val="none" w:sz="0" w:space="0" w:color="auto"/>
                <w:right w:val="none" w:sz="0" w:space="0" w:color="auto"/>
              </w:divBdr>
              <w:divsChild>
                <w:div w:id="1592547831">
                  <w:marLeft w:val="0"/>
                  <w:marRight w:val="0"/>
                  <w:marTop w:val="0"/>
                  <w:marBottom w:val="0"/>
                  <w:divBdr>
                    <w:top w:val="none" w:sz="0" w:space="0" w:color="auto"/>
                    <w:left w:val="none" w:sz="0" w:space="0" w:color="auto"/>
                    <w:bottom w:val="none" w:sz="0" w:space="0" w:color="auto"/>
                    <w:right w:val="none" w:sz="0" w:space="0" w:color="auto"/>
                  </w:divBdr>
                  <w:divsChild>
                    <w:div w:id="170534300">
                      <w:marLeft w:val="0"/>
                      <w:marRight w:val="0"/>
                      <w:marTop w:val="0"/>
                      <w:marBottom w:val="0"/>
                      <w:divBdr>
                        <w:top w:val="none" w:sz="0" w:space="0" w:color="auto"/>
                        <w:left w:val="none" w:sz="0" w:space="0" w:color="auto"/>
                        <w:bottom w:val="none" w:sz="0" w:space="0" w:color="auto"/>
                        <w:right w:val="none" w:sz="0" w:space="0" w:color="auto"/>
                      </w:divBdr>
                      <w:divsChild>
                        <w:div w:id="1678457250">
                          <w:marLeft w:val="0"/>
                          <w:marRight w:val="0"/>
                          <w:marTop w:val="0"/>
                          <w:marBottom w:val="0"/>
                          <w:divBdr>
                            <w:top w:val="single" w:sz="6" w:space="0" w:color="828282"/>
                            <w:left w:val="single" w:sz="6" w:space="0" w:color="828282"/>
                            <w:bottom w:val="single" w:sz="6" w:space="0" w:color="828282"/>
                            <w:right w:val="single" w:sz="6" w:space="0" w:color="828282"/>
                          </w:divBdr>
                          <w:divsChild>
                            <w:div w:id="1450584873">
                              <w:marLeft w:val="0"/>
                              <w:marRight w:val="0"/>
                              <w:marTop w:val="0"/>
                              <w:marBottom w:val="0"/>
                              <w:divBdr>
                                <w:top w:val="none" w:sz="0" w:space="0" w:color="auto"/>
                                <w:left w:val="none" w:sz="0" w:space="0" w:color="auto"/>
                                <w:bottom w:val="none" w:sz="0" w:space="0" w:color="auto"/>
                                <w:right w:val="none" w:sz="0" w:space="0" w:color="auto"/>
                              </w:divBdr>
                              <w:divsChild>
                                <w:div w:id="22245222">
                                  <w:marLeft w:val="0"/>
                                  <w:marRight w:val="0"/>
                                  <w:marTop w:val="0"/>
                                  <w:marBottom w:val="0"/>
                                  <w:divBdr>
                                    <w:top w:val="none" w:sz="0" w:space="0" w:color="auto"/>
                                    <w:left w:val="none" w:sz="0" w:space="0" w:color="auto"/>
                                    <w:bottom w:val="none" w:sz="0" w:space="0" w:color="auto"/>
                                    <w:right w:val="none" w:sz="0" w:space="0" w:color="auto"/>
                                  </w:divBdr>
                                  <w:divsChild>
                                    <w:div w:id="843130739">
                                      <w:marLeft w:val="0"/>
                                      <w:marRight w:val="0"/>
                                      <w:marTop w:val="0"/>
                                      <w:marBottom w:val="0"/>
                                      <w:divBdr>
                                        <w:top w:val="none" w:sz="0" w:space="0" w:color="auto"/>
                                        <w:left w:val="none" w:sz="0" w:space="0" w:color="auto"/>
                                        <w:bottom w:val="none" w:sz="0" w:space="0" w:color="auto"/>
                                        <w:right w:val="none" w:sz="0" w:space="0" w:color="auto"/>
                                      </w:divBdr>
                                      <w:divsChild>
                                        <w:div w:id="774639768">
                                          <w:marLeft w:val="0"/>
                                          <w:marRight w:val="0"/>
                                          <w:marTop w:val="0"/>
                                          <w:marBottom w:val="0"/>
                                          <w:divBdr>
                                            <w:top w:val="none" w:sz="0" w:space="0" w:color="auto"/>
                                            <w:left w:val="none" w:sz="0" w:space="0" w:color="auto"/>
                                            <w:bottom w:val="none" w:sz="0" w:space="0" w:color="auto"/>
                                            <w:right w:val="none" w:sz="0" w:space="0" w:color="auto"/>
                                          </w:divBdr>
                                          <w:divsChild>
                                            <w:div w:id="1785687946">
                                              <w:marLeft w:val="0"/>
                                              <w:marRight w:val="0"/>
                                              <w:marTop w:val="0"/>
                                              <w:marBottom w:val="0"/>
                                              <w:divBdr>
                                                <w:top w:val="none" w:sz="0" w:space="0" w:color="auto"/>
                                                <w:left w:val="none" w:sz="0" w:space="0" w:color="auto"/>
                                                <w:bottom w:val="none" w:sz="0" w:space="0" w:color="auto"/>
                                                <w:right w:val="none" w:sz="0" w:space="0" w:color="auto"/>
                                              </w:divBdr>
                                              <w:divsChild>
                                                <w:div w:id="9354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3439103">
      <w:bodyDiv w:val="1"/>
      <w:marLeft w:val="0"/>
      <w:marRight w:val="0"/>
      <w:marTop w:val="0"/>
      <w:marBottom w:val="0"/>
      <w:divBdr>
        <w:top w:val="none" w:sz="0" w:space="0" w:color="auto"/>
        <w:left w:val="none" w:sz="0" w:space="0" w:color="auto"/>
        <w:bottom w:val="none" w:sz="0" w:space="0" w:color="auto"/>
        <w:right w:val="none" w:sz="0" w:space="0" w:color="auto"/>
      </w:divBdr>
    </w:div>
    <w:div w:id="1130367518">
      <w:bodyDiv w:val="1"/>
      <w:marLeft w:val="0"/>
      <w:marRight w:val="0"/>
      <w:marTop w:val="0"/>
      <w:marBottom w:val="0"/>
      <w:divBdr>
        <w:top w:val="none" w:sz="0" w:space="0" w:color="auto"/>
        <w:left w:val="none" w:sz="0" w:space="0" w:color="auto"/>
        <w:bottom w:val="none" w:sz="0" w:space="0" w:color="auto"/>
        <w:right w:val="none" w:sz="0" w:space="0" w:color="auto"/>
      </w:divBdr>
    </w:div>
    <w:div w:id="1348289090">
      <w:bodyDiv w:val="1"/>
      <w:marLeft w:val="0"/>
      <w:marRight w:val="0"/>
      <w:marTop w:val="0"/>
      <w:marBottom w:val="0"/>
      <w:divBdr>
        <w:top w:val="none" w:sz="0" w:space="0" w:color="auto"/>
        <w:left w:val="none" w:sz="0" w:space="0" w:color="auto"/>
        <w:bottom w:val="none" w:sz="0" w:space="0" w:color="auto"/>
        <w:right w:val="none" w:sz="0" w:space="0" w:color="auto"/>
      </w:divBdr>
    </w:div>
    <w:div w:id="1358505478">
      <w:bodyDiv w:val="1"/>
      <w:marLeft w:val="0"/>
      <w:marRight w:val="0"/>
      <w:marTop w:val="0"/>
      <w:marBottom w:val="0"/>
      <w:divBdr>
        <w:top w:val="none" w:sz="0" w:space="0" w:color="auto"/>
        <w:left w:val="none" w:sz="0" w:space="0" w:color="auto"/>
        <w:bottom w:val="none" w:sz="0" w:space="0" w:color="auto"/>
        <w:right w:val="none" w:sz="0" w:space="0" w:color="auto"/>
      </w:divBdr>
    </w:div>
    <w:div w:id="1363164131">
      <w:bodyDiv w:val="1"/>
      <w:marLeft w:val="0"/>
      <w:marRight w:val="0"/>
      <w:marTop w:val="0"/>
      <w:marBottom w:val="0"/>
      <w:divBdr>
        <w:top w:val="none" w:sz="0" w:space="0" w:color="auto"/>
        <w:left w:val="none" w:sz="0" w:space="0" w:color="auto"/>
        <w:bottom w:val="none" w:sz="0" w:space="0" w:color="auto"/>
        <w:right w:val="none" w:sz="0" w:space="0" w:color="auto"/>
      </w:divBdr>
      <w:divsChild>
        <w:div w:id="182985586">
          <w:marLeft w:val="0"/>
          <w:marRight w:val="0"/>
          <w:marTop w:val="0"/>
          <w:marBottom w:val="0"/>
          <w:divBdr>
            <w:top w:val="none" w:sz="0" w:space="0" w:color="auto"/>
            <w:left w:val="none" w:sz="0" w:space="0" w:color="auto"/>
            <w:bottom w:val="none" w:sz="0" w:space="0" w:color="auto"/>
            <w:right w:val="none" w:sz="0" w:space="0" w:color="auto"/>
          </w:divBdr>
          <w:divsChild>
            <w:div w:id="1689217358">
              <w:marLeft w:val="0"/>
              <w:marRight w:val="0"/>
              <w:marTop w:val="0"/>
              <w:marBottom w:val="0"/>
              <w:divBdr>
                <w:top w:val="none" w:sz="0" w:space="0" w:color="auto"/>
                <w:left w:val="none" w:sz="0" w:space="0" w:color="auto"/>
                <w:bottom w:val="none" w:sz="0" w:space="0" w:color="auto"/>
                <w:right w:val="none" w:sz="0" w:space="0" w:color="auto"/>
              </w:divBdr>
              <w:divsChild>
                <w:div w:id="571549885">
                  <w:marLeft w:val="0"/>
                  <w:marRight w:val="0"/>
                  <w:marTop w:val="0"/>
                  <w:marBottom w:val="0"/>
                  <w:divBdr>
                    <w:top w:val="none" w:sz="0" w:space="0" w:color="auto"/>
                    <w:left w:val="none" w:sz="0" w:space="0" w:color="auto"/>
                    <w:bottom w:val="none" w:sz="0" w:space="0" w:color="auto"/>
                    <w:right w:val="none" w:sz="0" w:space="0" w:color="auto"/>
                  </w:divBdr>
                  <w:divsChild>
                    <w:div w:id="150101893">
                      <w:marLeft w:val="0"/>
                      <w:marRight w:val="0"/>
                      <w:marTop w:val="0"/>
                      <w:marBottom w:val="0"/>
                      <w:divBdr>
                        <w:top w:val="none" w:sz="0" w:space="0" w:color="auto"/>
                        <w:left w:val="none" w:sz="0" w:space="0" w:color="auto"/>
                        <w:bottom w:val="none" w:sz="0" w:space="0" w:color="auto"/>
                        <w:right w:val="none" w:sz="0" w:space="0" w:color="auto"/>
                      </w:divBdr>
                      <w:divsChild>
                        <w:div w:id="1719280663">
                          <w:marLeft w:val="0"/>
                          <w:marRight w:val="0"/>
                          <w:marTop w:val="0"/>
                          <w:marBottom w:val="0"/>
                          <w:divBdr>
                            <w:top w:val="none" w:sz="0" w:space="0" w:color="auto"/>
                            <w:left w:val="none" w:sz="0" w:space="0" w:color="auto"/>
                            <w:bottom w:val="none" w:sz="0" w:space="0" w:color="auto"/>
                            <w:right w:val="none" w:sz="0" w:space="0" w:color="auto"/>
                          </w:divBdr>
                          <w:divsChild>
                            <w:div w:id="1613711554">
                              <w:marLeft w:val="0"/>
                              <w:marRight w:val="0"/>
                              <w:marTop w:val="0"/>
                              <w:marBottom w:val="0"/>
                              <w:divBdr>
                                <w:top w:val="none" w:sz="0" w:space="0" w:color="auto"/>
                                <w:left w:val="none" w:sz="0" w:space="0" w:color="auto"/>
                                <w:bottom w:val="none" w:sz="0" w:space="0" w:color="auto"/>
                                <w:right w:val="none" w:sz="0" w:space="0" w:color="auto"/>
                              </w:divBdr>
                              <w:divsChild>
                                <w:div w:id="1149858703">
                                  <w:marLeft w:val="0"/>
                                  <w:marRight w:val="0"/>
                                  <w:marTop w:val="0"/>
                                  <w:marBottom w:val="450"/>
                                  <w:divBdr>
                                    <w:top w:val="none" w:sz="0" w:space="0" w:color="auto"/>
                                    <w:left w:val="none" w:sz="0" w:space="0" w:color="auto"/>
                                    <w:bottom w:val="none" w:sz="0" w:space="0" w:color="auto"/>
                                    <w:right w:val="none" w:sz="0" w:space="0" w:color="auto"/>
                                  </w:divBdr>
                                  <w:divsChild>
                                    <w:div w:id="1354527911">
                                      <w:marLeft w:val="0"/>
                                      <w:marRight w:val="0"/>
                                      <w:marTop w:val="0"/>
                                      <w:marBottom w:val="0"/>
                                      <w:divBdr>
                                        <w:top w:val="none" w:sz="0" w:space="0" w:color="auto"/>
                                        <w:left w:val="none" w:sz="0" w:space="0" w:color="auto"/>
                                        <w:bottom w:val="none" w:sz="0" w:space="0" w:color="auto"/>
                                        <w:right w:val="none" w:sz="0" w:space="0" w:color="auto"/>
                                      </w:divBdr>
                                      <w:divsChild>
                                        <w:div w:id="1552771368">
                                          <w:marLeft w:val="0"/>
                                          <w:marRight w:val="0"/>
                                          <w:marTop w:val="0"/>
                                          <w:marBottom w:val="0"/>
                                          <w:divBdr>
                                            <w:top w:val="none" w:sz="0" w:space="0" w:color="auto"/>
                                            <w:left w:val="none" w:sz="0" w:space="0" w:color="auto"/>
                                            <w:bottom w:val="none" w:sz="0" w:space="0" w:color="auto"/>
                                            <w:right w:val="none" w:sz="0" w:space="0" w:color="auto"/>
                                          </w:divBdr>
                                          <w:divsChild>
                                            <w:div w:id="1097023778">
                                              <w:marLeft w:val="0"/>
                                              <w:marRight w:val="0"/>
                                              <w:marTop w:val="0"/>
                                              <w:marBottom w:val="0"/>
                                              <w:divBdr>
                                                <w:top w:val="none" w:sz="0" w:space="0" w:color="auto"/>
                                                <w:left w:val="none" w:sz="0" w:space="0" w:color="auto"/>
                                                <w:bottom w:val="none" w:sz="0" w:space="0" w:color="auto"/>
                                                <w:right w:val="none" w:sz="0" w:space="0" w:color="auto"/>
                                              </w:divBdr>
                                              <w:divsChild>
                                                <w:div w:id="1769302405">
                                                  <w:marLeft w:val="0"/>
                                                  <w:marRight w:val="0"/>
                                                  <w:marTop w:val="0"/>
                                                  <w:marBottom w:val="0"/>
                                                  <w:divBdr>
                                                    <w:top w:val="none" w:sz="0" w:space="0" w:color="auto"/>
                                                    <w:left w:val="none" w:sz="0" w:space="0" w:color="auto"/>
                                                    <w:bottom w:val="none" w:sz="0" w:space="0" w:color="auto"/>
                                                    <w:right w:val="none" w:sz="0" w:space="0" w:color="auto"/>
                                                  </w:divBdr>
                                                  <w:divsChild>
                                                    <w:div w:id="164981316">
                                                      <w:marLeft w:val="0"/>
                                                      <w:marRight w:val="0"/>
                                                      <w:marTop w:val="0"/>
                                                      <w:marBottom w:val="0"/>
                                                      <w:divBdr>
                                                        <w:top w:val="none" w:sz="0" w:space="0" w:color="auto"/>
                                                        <w:left w:val="none" w:sz="0" w:space="0" w:color="auto"/>
                                                        <w:bottom w:val="none" w:sz="0" w:space="0" w:color="auto"/>
                                                        <w:right w:val="none" w:sz="0" w:space="0" w:color="auto"/>
                                                      </w:divBdr>
                                                      <w:divsChild>
                                                        <w:div w:id="1872915357">
                                                          <w:marLeft w:val="0"/>
                                                          <w:marRight w:val="0"/>
                                                          <w:marTop w:val="0"/>
                                                          <w:marBottom w:val="0"/>
                                                          <w:divBdr>
                                                            <w:top w:val="none" w:sz="0" w:space="0" w:color="auto"/>
                                                            <w:left w:val="none" w:sz="0" w:space="0" w:color="auto"/>
                                                            <w:bottom w:val="none" w:sz="0" w:space="0" w:color="auto"/>
                                                            <w:right w:val="none" w:sz="0" w:space="0" w:color="auto"/>
                                                          </w:divBdr>
                                                          <w:divsChild>
                                                            <w:div w:id="108937884">
                                                              <w:marLeft w:val="0"/>
                                                              <w:marRight w:val="0"/>
                                                              <w:marTop w:val="0"/>
                                                              <w:marBottom w:val="0"/>
                                                              <w:divBdr>
                                                                <w:top w:val="none" w:sz="0" w:space="0" w:color="auto"/>
                                                                <w:left w:val="none" w:sz="0" w:space="0" w:color="auto"/>
                                                                <w:bottom w:val="none" w:sz="0" w:space="0" w:color="auto"/>
                                                                <w:right w:val="none" w:sz="0" w:space="0" w:color="auto"/>
                                                              </w:divBdr>
                                                              <w:divsChild>
                                                                <w:div w:id="2134321095">
                                                                  <w:marLeft w:val="0"/>
                                                                  <w:marRight w:val="0"/>
                                                                  <w:marTop w:val="0"/>
                                                                  <w:marBottom w:val="0"/>
                                                                  <w:divBdr>
                                                                    <w:top w:val="none" w:sz="0" w:space="0" w:color="auto"/>
                                                                    <w:left w:val="none" w:sz="0" w:space="0" w:color="auto"/>
                                                                    <w:bottom w:val="none" w:sz="0" w:space="0" w:color="auto"/>
                                                                    <w:right w:val="none" w:sz="0" w:space="0" w:color="auto"/>
                                                                  </w:divBdr>
                                                                  <w:divsChild>
                                                                    <w:div w:id="119225185">
                                                                      <w:marLeft w:val="0"/>
                                                                      <w:marRight w:val="0"/>
                                                                      <w:marTop w:val="0"/>
                                                                      <w:marBottom w:val="0"/>
                                                                      <w:divBdr>
                                                                        <w:top w:val="none" w:sz="0" w:space="0" w:color="auto"/>
                                                                        <w:left w:val="none" w:sz="0" w:space="0" w:color="auto"/>
                                                                        <w:bottom w:val="none" w:sz="0" w:space="0" w:color="auto"/>
                                                                        <w:right w:val="none" w:sz="0" w:space="0" w:color="auto"/>
                                                                      </w:divBdr>
                                                                      <w:divsChild>
                                                                        <w:div w:id="1013653513">
                                                                          <w:marLeft w:val="0"/>
                                                                          <w:marRight w:val="0"/>
                                                                          <w:marTop w:val="0"/>
                                                                          <w:marBottom w:val="0"/>
                                                                          <w:divBdr>
                                                                            <w:top w:val="none" w:sz="0" w:space="0" w:color="auto"/>
                                                                            <w:left w:val="none" w:sz="0" w:space="0" w:color="auto"/>
                                                                            <w:bottom w:val="none" w:sz="0" w:space="0" w:color="auto"/>
                                                                            <w:right w:val="none" w:sz="0" w:space="0" w:color="auto"/>
                                                                          </w:divBdr>
                                                                          <w:divsChild>
                                                                            <w:div w:id="248390366">
                                                                              <w:marLeft w:val="0"/>
                                                                              <w:marRight w:val="0"/>
                                                                              <w:marTop w:val="0"/>
                                                                              <w:marBottom w:val="0"/>
                                                                              <w:divBdr>
                                                                                <w:top w:val="none" w:sz="0" w:space="0" w:color="auto"/>
                                                                                <w:left w:val="none" w:sz="0" w:space="0" w:color="auto"/>
                                                                                <w:bottom w:val="none" w:sz="0" w:space="0" w:color="auto"/>
                                                                                <w:right w:val="none" w:sz="0" w:space="0" w:color="auto"/>
                                                                              </w:divBdr>
                                                                              <w:divsChild>
                                                                                <w:div w:id="1129519540">
                                                                                  <w:marLeft w:val="0"/>
                                                                                  <w:marRight w:val="0"/>
                                                                                  <w:marTop w:val="0"/>
                                                                                  <w:marBottom w:val="0"/>
                                                                                  <w:divBdr>
                                                                                    <w:top w:val="none" w:sz="0" w:space="0" w:color="auto"/>
                                                                                    <w:left w:val="none" w:sz="0" w:space="0" w:color="auto"/>
                                                                                    <w:bottom w:val="none" w:sz="0" w:space="0" w:color="auto"/>
                                                                                    <w:right w:val="none" w:sz="0" w:space="0" w:color="auto"/>
                                                                                  </w:divBdr>
                                                                                  <w:divsChild>
                                                                                    <w:div w:id="121846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8482781">
      <w:bodyDiv w:val="1"/>
      <w:marLeft w:val="0"/>
      <w:marRight w:val="0"/>
      <w:marTop w:val="0"/>
      <w:marBottom w:val="0"/>
      <w:divBdr>
        <w:top w:val="none" w:sz="0" w:space="0" w:color="auto"/>
        <w:left w:val="none" w:sz="0" w:space="0" w:color="auto"/>
        <w:bottom w:val="none" w:sz="0" w:space="0" w:color="auto"/>
        <w:right w:val="none" w:sz="0" w:space="0" w:color="auto"/>
      </w:divBdr>
    </w:div>
    <w:div w:id="1428651698">
      <w:bodyDiv w:val="1"/>
      <w:marLeft w:val="0"/>
      <w:marRight w:val="0"/>
      <w:marTop w:val="0"/>
      <w:marBottom w:val="0"/>
      <w:divBdr>
        <w:top w:val="none" w:sz="0" w:space="0" w:color="auto"/>
        <w:left w:val="none" w:sz="0" w:space="0" w:color="auto"/>
        <w:bottom w:val="none" w:sz="0" w:space="0" w:color="auto"/>
        <w:right w:val="none" w:sz="0" w:space="0" w:color="auto"/>
      </w:divBdr>
      <w:divsChild>
        <w:div w:id="456798674">
          <w:marLeft w:val="0"/>
          <w:marRight w:val="0"/>
          <w:marTop w:val="0"/>
          <w:marBottom w:val="0"/>
          <w:divBdr>
            <w:top w:val="none" w:sz="0" w:space="0" w:color="auto"/>
            <w:left w:val="none" w:sz="0" w:space="0" w:color="auto"/>
            <w:bottom w:val="none" w:sz="0" w:space="0" w:color="auto"/>
            <w:right w:val="none" w:sz="0" w:space="0" w:color="auto"/>
          </w:divBdr>
          <w:divsChild>
            <w:div w:id="268201085">
              <w:marLeft w:val="0"/>
              <w:marRight w:val="0"/>
              <w:marTop w:val="0"/>
              <w:marBottom w:val="0"/>
              <w:divBdr>
                <w:top w:val="none" w:sz="0" w:space="0" w:color="auto"/>
                <w:left w:val="none" w:sz="0" w:space="0" w:color="auto"/>
                <w:bottom w:val="none" w:sz="0" w:space="0" w:color="auto"/>
                <w:right w:val="none" w:sz="0" w:space="0" w:color="auto"/>
              </w:divBdr>
              <w:divsChild>
                <w:div w:id="2011567549">
                  <w:marLeft w:val="0"/>
                  <w:marRight w:val="0"/>
                  <w:marTop w:val="0"/>
                  <w:marBottom w:val="0"/>
                  <w:divBdr>
                    <w:top w:val="none" w:sz="0" w:space="0" w:color="auto"/>
                    <w:left w:val="none" w:sz="0" w:space="0" w:color="auto"/>
                    <w:bottom w:val="none" w:sz="0" w:space="0" w:color="auto"/>
                    <w:right w:val="none" w:sz="0" w:space="0" w:color="auto"/>
                  </w:divBdr>
                  <w:divsChild>
                    <w:div w:id="444812803">
                      <w:marLeft w:val="0"/>
                      <w:marRight w:val="0"/>
                      <w:marTop w:val="0"/>
                      <w:marBottom w:val="0"/>
                      <w:divBdr>
                        <w:top w:val="none" w:sz="0" w:space="0" w:color="auto"/>
                        <w:left w:val="none" w:sz="0" w:space="0" w:color="auto"/>
                        <w:bottom w:val="none" w:sz="0" w:space="0" w:color="auto"/>
                        <w:right w:val="none" w:sz="0" w:space="0" w:color="auto"/>
                      </w:divBdr>
                      <w:divsChild>
                        <w:div w:id="1856842305">
                          <w:marLeft w:val="0"/>
                          <w:marRight w:val="0"/>
                          <w:marTop w:val="0"/>
                          <w:marBottom w:val="0"/>
                          <w:divBdr>
                            <w:top w:val="single" w:sz="6" w:space="0" w:color="828282"/>
                            <w:left w:val="single" w:sz="6" w:space="0" w:color="828282"/>
                            <w:bottom w:val="single" w:sz="6" w:space="0" w:color="828282"/>
                            <w:right w:val="single" w:sz="6" w:space="0" w:color="828282"/>
                          </w:divBdr>
                          <w:divsChild>
                            <w:div w:id="376705702">
                              <w:marLeft w:val="0"/>
                              <w:marRight w:val="0"/>
                              <w:marTop w:val="0"/>
                              <w:marBottom w:val="0"/>
                              <w:divBdr>
                                <w:top w:val="none" w:sz="0" w:space="0" w:color="auto"/>
                                <w:left w:val="none" w:sz="0" w:space="0" w:color="auto"/>
                                <w:bottom w:val="none" w:sz="0" w:space="0" w:color="auto"/>
                                <w:right w:val="none" w:sz="0" w:space="0" w:color="auto"/>
                              </w:divBdr>
                              <w:divsChild>
                                <w:div w:id="614213398">
                                  <w:marLeft w:val="0"/>
                                  <w:marRight w:val="0"/>
                                  <w:marTop w:val="0"/>
                                  <w:marBottom w:val="0"/>
                                  <w:divBdr>
                                    <w:top w:val="none" w:sz="0" w:space="0" w:color="auto"/>
                                    <w:left w:val="none" w:sz="0" w:space="0" w:color="auto"/>
                                    <w:bottom w:val="none" w:sz="0" w:space="0" w:color="auto"/>
                                    <w:right w:val="none" w:sz="0" w:space="0" w:color="auto"/>
                                  </w:divBdr>
                                  <w:divsChild>
                                    <w:div w:id="542402198">
                                      <w:marLeft w:val="0"/>
                                      <w:marRight w:val="0"/>
                                      <w:marTop w:val="0"/>
                                      <w:marBottom w:val="0"/>
                                      <w:divBdr>
                                        <w:top w:val="none" w:sz="0" w:space="0" w:color="auto"/>
                                        <w:left w:val="none" w:sz="0" w:space="0" w:color="auto"/>
                                        <w:bottom w:val="none" w:sz="0" w:space="0" w:color="auto"/>
                                        <w:right w:val="none" w:sz="0" w:space="0" w:color="auto"/>
                                      </w:divBdr>
                                      <w:divsChild>
                                        <w:div w:id="394744979">
                                          <w:marLeft w:val="0"/>
                                          <w:marRight w:val="0"/>
                                          <w:marTop w:val="0"/>
                                          <w:marBottom w:val="0"/>
                                          <w:divBdr>
                                            <w:top w:val="none" w:sz="0" w:space="0" w:color="auto"/>
                                            <w:left w:val="none" w:sz="0" w:space="0" w:color="auto"/>
                                            <w:bottom w:val="none" w:sz="0" w:space="0" w:color="auto"/>
                                            <w:right w:val="none" w:sz="0" w:space="0" w:color="auto"/>
                                          </w:divBdr>
                                          <w:divsChild>
                                            <w:div w:id="1874003178">
                                              <w:marLeft w:val="0"/>
                                              <w:marRight w:val="0"/>
                                              <w:marTop w:val="0"/>
                                              <w:marBottom w:val="0"/>
                                              <w:divBdr>
                                                <w:top w:val="none" w:sz="0" w:space="0" w:color="auto"/>
                                                <w:left w:val="none" w:sz="0" w:space="0" w:color="auto"/>
                                                <w:bottom w:val="none" w:sz="0" w:space="0" w:color="auto"/>
                                                <w:right w:val="none" w:sz="0" w:space="0" w:color="auto"/>
                                              </w:divBdr>
                                              <w:divsChild>
                                                <w:div w:id="1809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7895642">
      <w:bodyDiv w:val="1"/>
      <w:marLeft w:val="0"/>
      <w:marRight w:val="0"/>
      <w:marTop w:val="0"/>
      <w:marBottom w:val="0"/>
      <w:divBdr>
        <w:top w:val="none" w:sz="0" w:space="0" w:color="auto"/>
        <w:left w:val="none" w:sz="0" w:space="0" w:color="auto"/>
        <w:bottom w:val="none" w:sz="0" w:space="0" w:color="auto"/>
        <w:right w:val="none" w:sz="0" w:space="0" w:color="auto"/>
      </w:divBdr>
    </w:div>
    <w:div w:id="1453088344">
      <w:bodyDiv w:val="1"/>
      <w:marLeft w:val="0"/>
      <w:marRight w:val="0"/>
      <w:marTop w:val="0"/>
      <w:marBottom w:val="0"/>
      <w:divBdr>
        <w:top w:val="none" w:sz="0" w:space="0" w:color="auto"/>
        <w:left w:val="none" w:sz="0" w:space="0" w:color="auto"/>
        <w:bottom w:val="none" w:sz="0" w:space="0" w:color="auto"/>
        <w:right w:val="none" w:sz="0" w:space="0" w:color="auto"/>
      </w:divBdr>
    </w:div>
    <w:div w:id="1467704453">
      <w:bodyDiv w:val="1"/>
      <w:marLeft w:val="0"/>
      <w:marRight w:val="0"/>
      <w:marTop w:val="0"/>
      <w:marBottom w:val="0"/>
      <w:divBdr>
        <w:top w:val="none" w:sz="0" w:space="0" w:color="auto"/>
        <w:left w:val="none" w:sz="0" w:space="0" w:color="auto"/>
        <w:bottom w:val="none" w:sz="0" w:space="0" w:color="auto"/>
        <w:right w:val="none" w:sz="0" w:space="0" w:color="auto"/>
      </w:divBdr>
    </w:div>
    <w:div w:id="1476029803">
      <w:bodyDiv w:val="1"/>
      <w:marLeft w:val="0"/>
      <w:marRight w:val="0"/>
      <w:marTop w:val="0"/>
      <w:marBottom w:val="0"/>
      <w:divBdr>
        <w:top w:val="none" w:sz="0" w:space="0" w:color="auto"/>
        <w:left w:val="none" w:sz="0" w:space="0" w:color="auto"/>
        <w:bottom w:val="none" w:sz="0" w:space="0" w:color="auto"/>
        <w:right w:val="none" w:sz="0" w:space="0" w:color="auto"/>
      </w:divBdr>
    </w:div>
    <w:div w:id="1598096941">
      <w:bodyDiv w:val="1"/>
      <w:marLeft w:val="0"/>
      <w:marRight w:val="0"/>
      <w:marTop w:val="0"/>
      <w:marBottom w:val="0"/>
      <w:divBdr>
        <w:top w:val="none" w:sz="0" w:space="0" w:color="auto"/>
        <w:left w:val="none" w:sz="0" w:space="0" w:color="auto"/>
        <w:bottom w:val="none" w:sz="0" w:space="0" w:color="auto"/>
        <w:right w:val="none" w:sz="0" w:space="0" w:color="auto"/>
      </w:divBdr>
    </w:div>
    <w:div w:id="1603681181">
      <w:bodyDiv w:val="1"/>
      <w:marLeft w:val="0"/>
      <w:marRight w:val="0"/>
      <w:marTop w:val="0"/>
      <w:marBottom w:val="0"/>
      <w:divBdr>
        <w:top w:val="none" w:sz="0" w:space="0" w:color="auto"/>
        <w:left w:val="none" w:sz="0" w:space="0" w:color="auto"/>
        <w:bottom w:val="none" w:sz="0" w:space="0" w:color="auto"/>
        <w:right w:val="none" w:sz="0" w:space="0" w:color="auto"/>
      </w:divBdr>
    </w:div>
    <w:div w:id="1606378300">
      <w:bodyDiv w:val="1"/>
      <w:marLeft w:val="0"/>
      <w:marRight w:val="0"/>
      <w:marTop w:val="0"/>
      <w:marBottom w:val="0"/>
      <w:divBdr>
        <w:top w:val="none" w:sz="0" w:space="0" w:color="auto"/>
        <w:left w:val="none" w:sz="0" w:space="0" w:color="auto"/>
        <w:bottom w:val="none" w:sz="0" w:space="0" w:color="auto"/>
        <w:right w:val="none" w:sz="0" w:space="0" w:color="auto"/>
      </w:divBdr>
    </w:div>
    <w:div w:id="1609043331">
      <w:bodyDiv w:val="1"/>
      <w:marLeft w:val="0"/>
      <w:marRight w:val="0"/>
      <w:marTop w:val="0"/>
      <w:marBottom w:val="0"/>
      <w:divBdr>
        <w:top w:val="none" w:sz="0" w:space="0" w:color="auto"/>
        <w:left w:val="none" w:sz="0" w:space="0" w:color="auto"/>
        <w:bottom w:val="none" w:sz="0" w:space="0" w:color="auto"/>
        <w:right w:val="none" w:sz="0" w:space="0" w:color="auto"/>
      </w:divBdr>
      <w:divsChild>
        <w:div w:id="762066560">
          <w:marLeft w:val="0"/>
          <w:marRight w:val="0"/>
          <w:marTop w:val="0"/>
          <w:marBottom w:val="0"/>
          <w:divBdr>
            <w:top w:val="none" w:sz="0" w:space="0" w:color="auto"/>
            <w:left w:val="none" w:sz="0" w:space="0" w:color="auto"/>
            <w:bottom w:val="none" w:sz="0" w:space="0" w:color="auto"/>
            <w:right w:val="none" w:sz="0" w:space="0" w:color="auto"/>
          </w:divBdr>
          <w:divsChild>
            <w:div w:id="995885497">
              <w:marLeft w:val="0"/>
              <w:marRight w:val="0"/>
              <w:marTop w:val="0"/>
              <w:marBottom w:val="0"/>
              <w:divBdr>
                <w:top w:val="none" w:sz="0" w:space="0" w:color="auto"/>
                <w:left w:val="none" w:sz="0" w:space="0" w:color="auto"/>
                <w:bottom w:val="none" w:sz="0" w:space="0" w:color="auto"/>
                <w:right w:val="none" w:sz="0" w:space="0" w:color="auto"/>
              </w:divBdr>
              <w:divsChild>
                <w:div w:id="387801950">
                  <w:marLeft w:val="0"/>
                  <w:marRight w:val="0"/>
                  <w:marTop w:val="0"/>
                  <w:marBottom w:val="0"/>
                  <w:divBdr>
                    <w:top w:val="none" w:sz="0" w:space="0" w:color="auto"/>
                    <w:left w:val="none" w:sz="0" w:space="0" w:color="auto"/>
                    <w:bottom w:val="none" w:sz="0" w:space="0" w:color="auto"/>
                    <w:right w:val="none" w:sz="0" w:space="0" w:color="auto"/>
                  </w:divBdr>
                  <w:divsChild>
                    <w:div w:id="1280449585">
                      <w:marLeft w:val="0"/>
                      <w:marRight w:val="0"/>
                      <w:marTop w:val="0"/>
                      <w:marBottom w:val="0"/>
                      <w:divBdr>
                        <w:top w:val="none" w:sz="0" w:space="0" w:color="auto"/>
                        <w:left w:val="none" w:sz="0" w:space="0" w:color="auto"/>
                        <w:bottom w:val="none" w:sz="0" w:space="0" w:color="auto"/>
                        <w:right w:val="none" w:sz="0" w:space="0" w:color="auto"/>
                      </w:divBdr>
                      <w:divsChild>
                        <w:div w:id="870607778">
                          <w:marLeft w:val="0"/>
                          <w:marRight w:val="0"/>
                          <w:marTop w:val="0"/>
                          <w:marBottom w:val="0"/>
                          <w:divBdr>
                            <w:top w:val="single" w:sz="6" w:space="0" w:color="828282"/>
                            <w:left w:val="single" w:sz="6" w:space="0" w:color="828282"/>
                            <w:bottom w:val="single" w:sz="6" w:space="0" w:color="828282"/>
                            <w:right w:val="single" w:sz="6" w:space="0" w:color="828282"/>
                          </w:divBdr>
                          <w:divsChild>
                            <w:div w:id="598752448">
                              <w:marLeft w:val="0"/>
                              <w:marRight w:val="0"/>
                              <w:marTop w:val="0"/>
                              <w:marBottom w:val="0"/>
                              <w:divBdr>
                                <w:top w:val="none" w:sz="0" w:space="0" w:color="auto"/>
                                <w:left w:val="none" w:sz="0" w:space="0" w:color="auto"/>
                                <w:bottom w:val="none" w:sz="0" w:space="0" w:color="auto"/>
                                <w:right w:val="none" w:sz="0" w:space="0" w:color="auto"/>
                              </w:divBdr>
                              <w:divsChild>
                                <w:div w:id="1653292704">
                                  <w:marLeft w:val="0"/>
                                  <w:marRight w:val="0"/>
                                  <w:marTop w:val="0"/>
                                  <w:marBottom w:val="0"/>
                                  <w:divBdr>
                                    <w:top w:val="none" w:sz="0" w:space="0" w:color="auto"/>
                                    <w:left w:val="none" w:sz="0" w:space="0" w:color="auto"/>
                                    <w:bottom w:val="none" w:sz="0" w:space="0" w:color="auto"/>
                                    <w:right w:val="none" w:sz="0" w:space="0" w:color="auto"/>
                                  </w:divBdr>
                                  <w:divsChild>
                                    <w:div w:id="799155565">
                                      <w:marLeft w:val="0"/>
                                      <w:marRight w:val="0"/>
                                      <w:marTop w:val="0"/>
                                      <w:marBottom w:val="0"/>
                                      <w:divBdr>
                                        <w:top w:val="none" w:sz="0" w:space="0" w:color="auto"/>
                                        <w:left w:val="none" w:sz="0" w:space="0" w:color="auto"/>
                                        <w:bottom w:val="none" w:sz="0" w:space="0" w:color="auto"/>
                                        <w:right w:val="none" w:sz="0" w:space="0" w:color="auto"/>
                                      </w:divBdr>
                                      <w:divsChild>
                                        <w:div w:id="329254206">
                                          <w:marLeft w:val="0"/>
                                          <w:marRight w:val="0"/>
                                          <w:marTop w:val="0"/>
                                          <w:marBottom w:val="0"/>
                                          <w:divBdr>
                                            <w:top w:val="none" w:sz="0" w:space="0" w:color="auto"/>
                                            <w:left w:val="none" w:sz="0" w:space="0" w:color="auto"/>
                                            <w:bottom w:val="none" w:sz="0" w:space="0" w:color="auto"/>
                                            <w:right w:val="none" w:sz="0" w:space="0" w:color="auto"/>
                                          </w:divBdr>
                                          <w:divsChild>
                                            <w:div w:id="538397922">
                                              <w:marLeft w:val="0"/>
                                              <w:marRight w:val="0"/>
                                              <w:marTop w:val="0"/>
                                              <w:marBottom w:val="0"/>
                                              <w:divBdr>
                                                <w:top w:val="none" w:sz="0" w:space="0" w:color="auto"/>
                                                <w:left w:val="none" w:sz="0" w:space="0" w:color="auto"/>
                                                <w:bottom w:val="none" w:sz="0" w:space="0" w:color="auto"/>
                                                <w:right w:val="none" w:sz="0" w:space="0" w:color="auto"/>
                                              </w:divBdr>
                                              <w:divsChild>
                                                <w:div w:id="3501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8873681">
      <w:bodyDiv w:val="1"/>
      <w:marLeft w:val="0"/>
      <w:marRight w:val="0"/>
      <w:marTop w:val="0"/>
      <w:marBottom w:val="0"/>
      <w:divBdr>
        <w:top w:val="none" w:sz="0" w:space="0" w:color="auto"/>
        <w:left w:val="none" w:sz="0" w:space="0" w:color="auto"/>
        <w:bottom w:val="none" w:sz="0" w:space="0" w:color="auto"/>
        <w:right w:val="none" w:sz="0" w:space="0" w:color="auto"/>
      </w:divBdr>
    </w:div>
    <w:div w:id="1699623500">
      <w:bodyDiv w:val="1"/>
      <w:marLeft w:val="0"/>
      <w:marRight w:val="0"/>
      <w:marTop w:val="0"/>
      <w:marBottom w:val="0"/>
      <w:divBdr>
        <w:top w:val="none" w:sz="0" w:space="0" w:color="auto"/>
        <w:left w:val="none" w:sz="0" w:space="0" w:color="auto"/>
        <w:bottom w:val="none" w:sz="0" w:space="0" w:color="auto"/>
        <w:right w:val="none" w:sz="0" w:space="0" w:color="auto"/>
      </w:divBdr>
      <w:divsChild>
        <w:div w:id="1541093352">
          <w:marLeft w:val="0"/>
          <w:marRight w:val="0"/>
          <w:marTop w:val="0"/>
          <w:marBottom w:val="0"/>
          <w:divBdr>
            <w:top w:val="none" w:sz="0" w:space="0" w:color="auto"/>
            <w:left w:val="none" w:sz="0" w:space="0" w:color="auto"/>
            <w:bottom w:val="none" w:sz="0" w:space="0" w:color="auto"/>
            <w:right w:val="none" w:sz="0" w:space="0" w:color="auto"/>
          </w:divBdr>
          <w:divsChild>
            <w:div w:id="1331370225">
              <w:marLeft w:val="0"/>
              <w:marRight w:val="0"/>
              <w:marTop w:val="0"/>
              <w:marBottom w:val="0"/>
              <w:divBdr>
                <w:top w:val="none" w:sz="0" w:space="0" w:color="auto"/>
                <w:left w:val="none" w:sz="0" w:space="0" w:color="auto"/>
                <w:bottom w:val="none" w:sz="0" w:space="0" w:color="auto"/>
                <w:right w:val="none" w:sz="0" w:space="0" w:color="auto"/>
              </w:divBdr>
              <w:divsChild>
                <w:div w:id="1282683039">
                  <w:marLeft w:val="0"/>
                  <w:marRight w:val="0"/>
                  <w:marTop w:val="0"/>
                  <w:marBottom w:val="0"/>
                  <w:divBdr>
                    <w:top w:val="none" w:sz="0" w:space="0" w:color="auto"/>
                    <w:left w:val="none" w:sz="0" w:space="0" w:color="auto"/>
                    <w:bottom w:val="none" w:sz="0" w:space="0" w:color="auto"/>
                    <w:right w:val="none" w:sz="0" w:space="0" w:color="auto"/>
                  </w:divBdr>
                  <w:divsChild>
                    <w:div w:id="1608544779">
                      <w:marLeft w:val="0"/>
                      <w:marRight w:val="0"/>
                      <w:marTop w:val="0"/>
                      <w:marBottom w:val="0"/>
                      <w:divBdr>
                        <w:top w:val="none" w:sz="0" w:space="0" w:color="auto"/>
                        <w:left w:val="none" w:sz="0" w:space="0" w:color="auto"/>
                        <w:bottom w:val="none" w:sz="0" w:space="0" w:color="auto"/>
                        <w:right w:val="none" w:sz="0" w:space="0" w:color="auto"/>
                      </w:divBdr>
                      <w:divsChild>
                        <w:div w:id="457724252">
                          <w:marLeft w:val="90"/>
                          <w:marRight w:val="0"/>
                          <w:marTop w:val="0"/>
                          <w:marBottom w:val="0"/>
                          <w:divBdr>
                            <w:top w:val="none" w:sz="0" w:space="0" w:color="auto"/>
                            <w:left w:val="none" w:sz="0" w:space="0" w:color="auto"/>
                            <w:bottom w:val="none" w:sz="0" w:space="0" w:color="auto"/>
                            <w:right w:val="none" w:sz="0" w:space="0" w:color="auto"/>
                          </w:divBdr>
                          <w:divsChild>
                            <w:div w:id="1888952663">
                              <w:marLeft w:val="0"/>
                              <w:marRight w:val="0"/>
                              <w:marTop w:val="0"/>
                              <w:marBottom w:val="0"/>
                              <w:divBdr>
                                <w:top w:val="none" w:sz="0" w:space="0" w:color="auto"/>
                                <w:left w:val="none" w:sz="0" w:space="0" w:color="auto"/>
                                <w:bottom w:val="none" w:sz="0" w:space="0" w:color="auto"/>
                                <w:right w:val="none" w:sz="0" w:space="0" w:color="auto"/>
                              </w:divBdr>
                              <w:divsChild>
                                <w:div w:id="41908922">
                                  <w:marLeft w:val="0"/>
                                  <w:marRight w:val="0"/>
                                  <w:marTop w:val="0"/>
                                  <w:marBottom w:val="0"/>
                                  <w:divBdr>
                                    <w:top w:val="none" w:sz="0" w:space="0" w:color="auto"/>
                                    <w:left w:val="none" w:sz="0" w:space="0" w:color="auto"/>
                                    <w:bottom w:val="none" w:sz="0" w:space="0" w:color="auto"/>
                                    <w:right w:val="none" w:sz="0" w:space="0" w:color="auto"/>
                                  </w:divBdr>
                                  <w:divsChild>
                                    <w:div w:id="718168558">
                                      <w:marLeft w:val="0"/>
                                      <w:marRight w:val="0"/>
                                      <w:marTop w:val="0"/>
                                      <w:marBottom w:val="0"/>
                                      <w:divBdr>
                                        <w:top w:val="none" w:sz="0" w:space="0" w:color="auto"/>
                                        <w:left w:val="none" w:sz="0" w:space="0" w:color="auto"/>
                                        <w:bottom w:val="none" w:sz="0" w:space="0" w:color="auto"/>
                                        <w:right w:val="none" w:sz="0" w:space="0" w:color="auto"/>
                                      </w:divBdr>
                                      <w:divsChild>
                                        <w:div w:id="2016032349">
                                          <w:marLeft w:val="0"/>
                                          <w:marRight w:val="0"/>
                                          <w:marTop w:val="0"/>
                                          <w:marBottom w:val="0"/>
                                          <w:divBdr>
                                            <w:top w:val="none" w:sz="0" w:space="0" w:color="auto"/>
                                            <w:left w:val="none" w:sz="0" w:space="0" w:color="auto"/>
                                            <w:bottom w:val="none" w:sz="0" w:space="0" w:color="auto"/>
                                            <w:right w:val="none" w:sz="0" w:space="0" w:color="auto"/>
                                          </w:divBdr>
                                          <w:divsChild>
                                            <w:div w:id="665130259">
                                              <w:marLeft w:val="0"/>
                                              <w:marRight w:val="0"/>
                                              <w:marTop w:val="0"/>
                                              <w:marBottom w:val="0"/>
                                              <w:divBdr>
                                                <w:top w:val="none" w:sz="0" w:space="0" w:color="auto"/>
                                                <w:left w:val="none" w:sz="0" w:space="0" w:color="auto"/>
                                                <w:bottom w:val="none" w:sz="0" w:space="0" w:color="auto"/>
                                                <w:right w:val="none" w:sz="0" w:space="0" w:color="auto"/>
                                              </w:divBdr>
                                              <w:divsChild>
                                                <w:div w:id="1629970313">
                                                  <w:marLeft w:val="0"/>
                                                  <w:marRight w:val="0"/>
                                                  <w:marTop w:val="0"/>
                                                  <w:marBottom w:val="0"/>
                                                  <w:divBdr>
                                                    <w:top w:val="none" w:sz="0" w:space="0" w:color="auto"/>
                                                    <w:left w:val="none" w:sz="0" w:space="0" w:color="auto"/>
                                                    <w:bottom w:val="none" w:sz="0" w:space="0" w:color="auto"/>
                                                    <w:right w:val="none" w:sz="0" w:space="0" w:color="auto"/>
                                                  </w:divBdr>
                                                  <w:divsChild>
                                                    <w:div w:id="44200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5463755">
      <w:bodyDiv w:val="1"/>
      <w:marLeft w:val="0"/>
      <w:marRight w:val="0"/>
      <w:marTop w:val="0"/>
      <w:marBottom w:val="0"/>
      <w:divBdr>
        <w:top w:val="none" w:sz="0" w:space="0" w:color="auto"/>
        <w:left w:val="none" w:sz="0" w:space="0" w:color="auto"/>
        <w:bottom w:val="none" w:sz="0" w:space="0" w:color="auto"/>
        <w:right w:val="none" w:sz="0" w:space="0" w:color="auto"/>
      </w:divBdr>
    </w:div>
    <w:div w:id="1912160218">
      <w:bodyDiv w:val="1"/>
      <w:marLeft w:val="0"/>
      <w:marRight w:val="0"/>
      <w:marTop w:val="0"/>
      <w:marBottom w:val="0"/>
      <w:divBdr>
        <w:top w:val="none" w:sz="0" w:space="0" w:color="auto"/>
        <w:left w:val="none" w:sz="0" w:space="0" w:color="auto"/>
        <w:bottom w:val="none" w:sz="0" w:space="0" w:color="auto"/>
        <w:right w:val="none" w:sz="0" w:space="0" w:color="auto"/>
      </w:divBdr>
    </w:div>
    <w:div w:id="1958371990">
      <w:bodyDiv w:val="1"/>
      <w:marLeft w:val="0"/>
      <w:marRight w:val="0"/>
      <w:marTop w:val="0"/>
      <w:marBottom w:val="0"/>
      <w:divBdr>
        <w:top w:val="none" w:sz="0" w:space="0" w:color="auto"/>
        <w:left w:val="none" w:sz="0" w:space="0" w:color="auto"/>
        <w:bottom w:val="none" w:sz="0" w:space="0" w:color="auto"/>
        <w:right w:val="none" w:sz="0" w:space="0" w:color="auto"/>
      </w:divBdr>
    </w:div>
    <w:div w:id="2083406573">
      <w:bodyDiv w:val="1"/>
      <w:marLeft w:val="0"/>
      <w:marRight w:val="0"/>
      <w:marTop w:val="0"/>
      <w:marBottom w:val="0"/>
      <w:divBdr>
        <w:top w:val="none" w:sz="0" w:space="0" w:color="auto"/>
        <w:left w:val="none" w:sz="0" w:space="0" w:color="auto"/>
        <w:bottom w:val="none" w:sz="0" w:space="0" w:color="auto"/>
        <w:right w:val="none" w:sz="0" w:space="0" w:color="auto"/>
      </w:divBdr>
      <w:divsChild>
        <w:div w:id="1081292653">
          <w:marLeft w:val="0"/>
          <w:marRight w:val="0"/>
          <w:marTop w:val="0"/>
          <w:marBottom w:val="0"/>
          <w:divBdr>
            <w:top w:val="none" w:sz="0" w:space="0" w:color="auto"/>
            <w:left w:val="none" w:sz="0" w:space="0" w:color="auto"/>
            <w:bottom w:val="none" w:sz="0" w:space="0" w:color="auto"/>
            <w:right w:val="none" w:sz="0" w:space="0" w:color="auto"/>
          </w:divBdr>
          <w:divsChild>
            <w:div w:id="230314625">
              <w:marLeft w:val="0"/>
              <w:marRight w:val="0"/>
              <w:marTop w:val="0"/>
              <w:marBottom w:val="0"/>
              <w:divBdr>
                <w:top w:val="none" w:sz="0" w:space="0" w:color="auto"/>
                <w:left w:val="none" w:sz="0" w:space="0" w:color="auto"/>
                <w:bottom w:val="none" w:sz="0" w:space="0" w:color="auto"/>
                <w:right w:val="none" w:sz="0" w:space="0" w:color="auto"/>
              </w:divBdr>
              <w:divsChild>
                <w:div w:id="1439637526">
                  <w:marLeft w:val="0"/>
                  <w:marRight w:val="0"/>
                  <w:marTop w:val="0"/>
                  <w:marBottom w:val="0"/>
                  <w:divBdr>
                    <w:top w:val="none" w:sz="0" w:space="0" w:color="auto"/>
                    <w:left w:val="none" w:sz="0" w:space="0" w:color="auto"/>
                    <w:bottom w:val="none" w:sz="0" w:space="0" w:color="auto"/>
                    <w:right w:val="none" w:sz="0" w:space="0" w:color="auto"/>
                  </w:divBdr>
                  <w:divsChild>
                    <w:div w:id="288781399">
                      <w:marLeft w:val="0"/>
                      <w:marRight w:val="0"/>
                      <w:marTop w:val="0"/>
                      <w:marBottom w:val="0"/>
                      <w:divBdr>
                        <w:top w:val="none" w:sz="0" w:space="0" w:color="auto"/>
                        <w:left w:val="none" w:sz="0" w:space="0" w:color="auto"/>
                        <w:bottom w:val="none" w:sz="0" w:space="0" w:color="auto"/>
                        <w:right w:val="none" w:sz="0" w:space="0" w:color="auto"/>
                      </w:divBdr>
                      <w:divsChild>
                        <w:div w:id="331448129">
                          <w:marLeft w:val="0"/>
                          <w:marRight w:val="0"/>
                          <w:marTop w:val="0"/>
                          <w:marBottom w:val="0"/>
                          <w:divBdr>
                            <w:top w:val="single" w:sz="6" w:space="0" w:color="828282"/>
                            <w:left w:val="single" w:sz="6" w:space="0" w:color="828282"/>
                            <w:bottom w:val="single" w:sz="6" w:space="0" w:color="828282"/>
                            <w:right w:val="single" w:sz="6" w:space="0" w:color="828282"/>
                          </w:divBdr>
                          <w:divsChild>
                            <w:div w:id="624772782">
                              <w:marLeft w:val="0"/>
                              <w:marRight w:val="0"/>
                              <w:marTop w:val="0"/>
                              <w:marBottom w:val="0"/>
                              <w:divBdr>
                                <w:top w:val="none" w:sz="0" w:space="0" w:color="auto"/>
                                <w:left w:val="none" w:sz="0" w:space="0" w:color="auto"/>
                                <w:bottom w:val="none" w:sz="0" w:space="0" w:color="auto"/>
                                <w:right w:val="none" w:sz="0" w:space="0" w:color="auto"/>
                              </w:divBdr>
                              <w:divsChild>
                                <w:div w:id="383339086">
                                  <w:marLeft w:val="0"/>
                                  <w:marRight w:val="0"/>
                                  <w:marTop w:val="0"/>
                                  <w:marBottom w:val="0"/>
                                  <w:divBdr>
                                    <w:top w:val="none" w:sz="0" w:space="0" w:color="auto"/>
                                    <w:left w:val="none" w:sz="0" w:space="0" w:color="auto"/>
                                    <w:bottom w:val="none" w:sz="0" w:space="0" w:color="auto"/>
                                    <w:right w:val="none" w:sz="0" w:space="0" w:color="auto"/>
                                  </w:divBdr>
                                  <w:divsChild>
                                    <w:div w:id="958612949">
                                      <w:marLeft w:val="0"/>
                                      <w:marRight w:val="0"/>
                                      <w:marTop w:val="0"/>
                                      <w:marBottom w:val="0"/>
                                      <w:divBdr>
                                        <w:top w:val="none" w:sz="0" w:space="0" w:color="auto"/>
                                        <w:left w:val="none" w:sz="0" w:space="0" w:color="auto"/>
                                        <w:bottom w:val="none" w:sz="0" w:space="0" w:color="auto"/>
                                        <w:right w:val="none" w:sz="0" w:space="0" w:color="auto"/>
                                      </w:divBdr>
                                      <w:divsChild>
                                        <w:div w:id="931670344">
                                          <w:marLeft w:val="0"/>
                                          <w:marRight w:val="0"/>
                                          <w:marTop w:val="0"/>
                                          <w:marBottom w:val="0"/>
                                          <w:divBdr>
                                            <w:top w:val="none" w:sz="0" w:space="0" w:color="auto"/>
                                            <w:left w:val="none" w:sz="0" w:space="0" w:color="auto"/>
                                            <w:bottom w:val="none" w:sz="0" w:space="0" w:color="auto"/>
                                            <w:right w:val="none" w:sz="0" w:space="0" w:color="auto"/>
                                          </w:divBdr>
                                          <w:divsChild>
                                            <w:div w:id="766851371">
                                              <w:marLeft w:val="0"/>
                                              <w:marRight w:val="0"/>
                                              <w:marTop w:val="0"/>
                                              <w:marBottom w:val="0"/>
                                              <w:divBdr>
                                                <w:top w:val="none" w:sz="0" w:space="0" w:color="auto"/>
                                                <w:left w:val="none" w:sz="0" w:space="0" w:color="auto"/>
                                                <w:bottom w:val="none" w:sz="0" w:space="0" w:color="auto"/>
                                                <w:right w:val="none" w:sz="0" w:space="0" w:color="auto"/>
                                              </w:divBdr>
                                              <w:divsChild>
                                                <w:div w:id="81988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034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va.gov.au/providers/rehabilitation-appliances-program-rap/rap-national-guidelin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A73A3-0BAA-48AF-9619-6D20D124A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7625</Words>
  <Characters>41860</Characters>
  <Application>Microsoft Office Word</Application>
  <DocSecurity>4</DocSecurity>
  <Lines>348</Lines>
  <Paragraphs>98</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DVA</Company>
  <LinksUpToDate>false</LinksUpToDate>
  <CharactersWithSpaces>49387</CharactersWithSpaces>
  <SharedDoc>false</SharedDoc>
  <HLinks>
    <vt:vector size="6" baseType="variant">
      <vt:variant>
        <vt:i4>5046298</vt:i4>
      </vt:variant>
      <vt:variant>
        <vt:i4>0</vt:i4>
      </vt:variant>
      <vt:variant>
        <vt:i4>0</vt:i4>
      </vt:variant>
      <vt:variant>
        <vt:i4>5</vt:i4>
      </vt:variant>
      <vt:variant>
        <vt:lpwstr>https://www.dva.gov.au/providers/fee-schedules/dental-and-allied-health-fee-schedules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CCOLLM</dc:creator>
  <cp:keywords/>
  <cp:lastModifiedBy>De Wolfe, Paul</cp:lastModifiedBy>
  <cp:revision>2</cp:revision>
  <cp:lastPrinted>2022-06-24T01:28:00Z</cp:lastPrinted>
  <dcterms:created xsi:type="dcterms:W3CDTF">2022-09-29T02:48:00Z</dcterms:created>
  <dcterms:modified xsi:type="dcterms:W3CDTF">2022-09-29T02:48:00Z</dcterms:modified>
</cp:coreProperties>
</file>