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616D" w14:textId="77777777" w:rsidR="00B03A4B" w:rsidRPr="00A9075A" w:rsidRDefault="00B03A4B" w:rsidP="00B03A4B">
      <w:pPr>
        <w:jc w:val="center"/>
        <w:rPr>
          <w:b/>
        </w:rPr>
      </w:pPr>
      <w:r w:rsidRPr="00A9075A">
        <w:rPr>
          <w:b/>
        </w:rPr>
        <w:t>EXPLANATORY STATEMENT</w:t>
      </w:r>
    </w:p>
    <w:p w14:paraId="4DC74360" w14:textId="77777777" w:rsidR="00B03A4B" w:rsidRPr="00A9075A" w:rsidRDefault="00B03A4B" w:rsidP="00B03A4B">
      <w:pPr>
        <w:jc w:val="center"/>
        <w:rPr>
          <w:i/>
        </w:rPr>
      </w:pPr>
      <w:r w:rsidRPr="00A9075A">
        <w:rPr>
          <w:i/>
        </w:rPr>
        <w:t>National Health Act 1953</w:t>
      </w:r>
    </w:p>
    <w:p w14:paraId="70709D3A" w14:textId="49B9AC62" w:rsidR="00B03A4B" w:rsidRPr="00A9075A" w:rsidRDefault="00B03A4B" w:rsidP="00B03A4B">
      <w:pPr>
        <w:jc w:val="center"/>
        <w:rPr>
          <w:b/>
          <w:i/>
        </w:rPr>
      </w:pPr>
      <w:r w:rsidRPr="00A9075A">
        <w:rPr>
          <w:b/>
          <w:i/>
        </w:rPr>
        <w:t>National Health</w:t>
      </w:r>
      <w:bookmarkStart w:id="0" w:name="BK_S1P1L3C16"/>
      <w:bookmarkEnd w:id="0"/>
      <w:r w:rsidRPr="00A9075A">
        <w:rPr>
          <w:b/>
          <w:i/>
        </w:rPr>
        <w:t xml:space="preserve"> (Price and Special Patient Contribution) Determination </w:t>
      </w:r>
      <w:r w:rsidR="00CD1F1C" w:rsidRPr="00A9075A">
        <w:rPr>
          <w:b/>
          <w:i/>
        </w:rPr>
        <w:t>202</w:t>
      </w:r>
      <w:r w:rsidR="00CD1F1C">
        <w:rPr>
          <w:b/>
          <w:i/>
        </w:rPr>
        <w:t>2</w:t>
      </w:r>
    </w:p>
    <w:p w14:paraId="2B4CB4BB" w14:textId="1222E891" w:rsidR="00B03A4B" w:rsidRPr="00A9075A" w:rsidRDefault="00B03A4B" w:rsidP="00B03A4B">
      <w:pPr>
        <w:spacing w:before="120" w:after="0"/>
        <w:jc w:val="center"/>
        <w:rPr>
          <w:b/>
          <w:sz w:val="22"/>
          <w:szCs w:val="22"/>
        </w:rPr>
      </w:pPr>
      <w:r w:rsidRPr="00A9075A">
        <w:rPr>
          <w:b/>
          <w:sz w:val="22"/>
          <w:szCs w:val="22"/>
        </w:rPr>
        <w:t xml:space="preserve">PB </w:t>
      </w:r>
      <w:r w:rsidR="004D720F">
        <w:rPr>
          <w:b/>
          <w:sz w:val="22"/>
          <w:szCs w:val="22"/>
        </w:rPr>
        <w:t>98</w:t>
      </w:r>
      <w:r w:rsidR="00CD1F1C">
        <w:rPr>
          <w:b/>
          <w:sz w:val="22"/>
          <w:szCs w:val="22"/>
        </w:rPr>
        <w:t xml:space="preserve"> of 2022 </w:t>
      </w:r>
    </w:p>
    <w:p w14:paraId="38BE2ABF" w14:textId="77777777" w:rsidR="00B03A4B" w:rsidRPr="00A9075A" w:rsidRDefault="00B03A4B" w:rsidP="00B03A4B">
      <w:pPr>
        <w:rPr>
          <w:b/>
        </w:rPr>
      </w:pPr>
      <w:r w:rsidRPr="00A9075A">
        <w:rPr>
          <w:b/>
        </w:rPr>
        <w:t>Authority</w:t>
      </w:r>
    </w:p>
    <w:p w14:paraId="727ABFCB" w14:textId="77777777" w:rsidR="00B03A4B" w:rsidRPr="00A9075A" w:rsidRDefault="00B03A4B" w:rsidP="00B03A4B">
      <w:pPr>
        <w:pStyle w:val="subsection"/>
        <w:spacing w:before="0" w:beforeAutospacing="0" w:after="160" w:afterAutospacing="0"/>
        <w:contextualSpacing/>
      </w:pPr>
      <w:r w:rsidRPr="00A9075A">
        <w:rPr>
          <w:iCs/>
        </w:rPr>
        <w:t xml:space="preserve">This legislative instrument is made pursuant to </w:t>
      </w:r>
      <w:r w:rsidRPr="00A9075A">
        <w:t>subsections 85</w:t>
      </w:r>
      <w:proofErr w:type="gramStart"/>
      <w:r w:rsidRPr="00A9075A">
        <w:t>B(</w:t>
      </w:r>
      <w:proofErr w:type="gramEnd"/>
      <w:r w:rsidRPr="00A9075A">
        <w:t xml:space="preserve">2), (3) and (4) of </w:t>
      </w:r>
      <w:r w:rsidRPr="00A9075A">
        <w:rPr>
          <w:i/>
        </w:rPr>
        <w:t>National Health Act 1953</w:t>
      </w:r>
      <w:r w:rsidRPr="00A9075A">
        <w:t xml:space="preserve"> (the Act).</w:t>
      </w:r>
    </w:p>
    <w:p w14:paraId="6A1CC9DA" w14:textId="77777777" w:rsidR="00B03A4B" w:rsidRPr="00A9075A" w:rsidRDefault="00B03A4B" w:rsidP="00B03A4B">
      <w:pPr>
        <w:pStyle w:val="subsection"/>
        <w:spacing w:before="0" w:beforeAutospacing="0" w:after="160" w:afterAutospacing="0"/>
        <w:contextualSpacing/>
        <w:rPr>
          <w:iCs/>
        </w:rPr>
      </w:pPr>
    </w:p>
    <w:p w14:paraId="6D789AD1" w14:textId="77777777" w:rsidR="00B03A4B" w:rsidRPr="00A9075A" w:rsidRDefault="00B03A4B" w:rsidP="00B03A4B">
      <w:pPr>
        <w:contextualSpacing/>
        <w:rPr>
          <w:b/>
        </w:rPr>
      </w:pPr>
      <w:r w:rsidRPr="00A9075A">
        <w:rPr>
          <w:b/>
        </w:rPr>
        <w:t>Purpose</w:t>
      </w:r>
    </w:p>
    <w:p w14:paraId="46D82FF9" w14:textId="295C7A02" w:rsidR="00B03A4B" w:rsidRPr="00A9075A" w:rsidRDefault="00B03A4B" w:rsidP="00B03A4B">
      <w:r w:rsidRPr="00A9075A">
        <w:t xml:space="preserve">The purpose of the </w:t>
      </w:r>
      <w:r w:rsidRPr="00A9075A">
        <w:rPr>
          <w:i/>
        </w:rPr>
        <w:t xml:space="preserve">National Health (Price and Special Patient Contribution) Determination </w:t>
      </w:r>
      <w:r w:rsidR="00CD1F1C" w:rsidRPr="00A9075A">
        <w:rPr>
          <w:i/>
        </w:rPr>
        <w:t>202</w:t>
      </w:r>
      <w:r w:rsidR="00CD1F1C">
        <w:rPr>
          <w:i/>
        </w:rPr>
        <w:t>2</w:t>
      </w:r>
      <w:r w:rsidR="004D720F">
        <w:rPr>
          <w:i/>
        </w:rPr>
        <w:t xml:space="preserve"> </w:t>
      </w:r>
      <w:r w:rsidRPr="00A9075A">
        <w:t xml:space="preserve">(the Determination) is to determine prices and claimed prices by reference to the pricing and pack quantity of the listed brand of pharmaceutical item, and the circumstances in which the Commonwealth is to pay the special patient contribution for the brand of pharmaceutical item. The Determination </w:t>
      </w:r>
      <w:r w:rsidR="00CD1F1C">
        <w:t>is a remake of the</w:t>
      </w:r>
      <w:r w:rsidRPr="00A9075A">
        <w:t xml:space="preserve"> </w:t>
      </w:r>
      <w:r w:rsidR="00CD1F1C" w:rsidRPr="00CD1F1C">
        <w:rPr>
          <w:i/>
          <w:iCs/>
        </w:rPr>
        <w:t>National Health (Price and Special Patient Contribution) Determination 2021</w:t>
      </w:r>
      <w:r w:rsidR="00CD1F1C" w:rsidRPr="00CD1F1C">
        <w:t xml:space="preserve"> (PB 35 of 2021)</w:t>
      </w:r>
      <w:r w:rsidR="00403BAD">
        <w:t xml:space="preserve"> (the Old Determination)</w:t>
      </w:r>
      <w:r w:rsidR="00CD1F1C">
        <w:t xml:space="preserve"> which provides new pricing </w:t>
      </w:r>
      <w:r w:rsidR="00170558">
        <w:t xml:space="preserve">for over 200 listed brands </w:t>
      </w:r>
      <w:r w:rsidR="00CD1F1C">
        <w:t xml:space="preserve">consistent with the commencement of </w:t>
      </w:r>
      <w:r w:rsidR="00170558">
        <w:t>reforms to the Act applicable from 1 October 2022</w:t>
      </w:r>
      <w:r w:rsidR="00CD1F1C">
        <w:t>, as well as other specified changes.</w:t>
      </w:r>
      <w:r w:rsidRPr="00A9075A">
        <w:t xml:space="preserve"> </w:t>
      </w:r>
    </w:p>
    <w:p w14:paraId="6EB53A99" w14:textId="77777777" w:rsidR="00B03A4B" w:rsidRPr="00A9075A" w:rsidRDefault="00B03A4B" w:rsidP="00B03A4B">
      <w:r w:rsidRPr="00A9075A">
        <w:t xml:space="preserve">The Act provides for the Minister and the responsible person to agree to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A9075A">
        <w:rPr>
          <w:i/>
        </w:rPr>
        <w:t>pricing quantity</w:t>
      </w:r>
      <w:r w:rsidRPr="00A9075A">
        <w:t xml:space="preserve">. Whether or not an agreement is made for the </w:t>
      </w:r>
      <w:r w:rsidRPr="00A9075A">
        <w:rPr>
          <w:i/>
        </w:rPr>
        <w:t>pricing quantity</w:t>
      </w:r>
      <w:r w:rsidRPr="00A9075A">
        <w:t xml:space="preserve">, section 85B also applies if the responsible person is dissatisfied with the </w:t>
      </w:r>
      <w:r w:rsidRPr="00A9075A">
        <w:rPr>
          <w:i/>
        </w:rPr>
        <w:t>proportional ex-manufacturer prices</w:t>
      </w:r>
      <w:r w:rsidRPr="00A9075A">
        <w:t xml:space="preserve"> that will apply to other </w:t>
      </w:r>
      <w:r w:rsidRPr="00A9075A">
        <w:rPr>
          <w:i/>
        </w:rPr>
        <w:t>pack quantities</w:t>
      </w:r>
      <w:r w:rsidRPr="00A9075A">
        <w:t xml:space="preserve">.    </w:t>
      </w:r>
    </w:p>
    <w:p w14:paraId="3995E2F0" w14:textId="77777777" w:rsidR="00B03A4B" w:rsidRPr="00A9075A" w:rsidRDefault="00B03A4B" w:rsidP="00B03A4B">
      <w:r w:rsidRPr="00A9075A">
        <w:t>Subsection 85</w:t>
      </w:r>
      <w:proofErr w:type="gramStart"/>
      <w:r w:rsidRPr="00A9075A">
        <w:t>B(</w:t>
      </w:r>
      <w:proofErr w:type="gramEnd"/>
      <w:r w:rsidRPr="00A9075A">
        <w:t xml:space="preserve">2) provides that the Minister may determine, by legislative instrument and by reference to the </w:t>
      </w:r>
      <w:r w:rsidRPr="00A9075A">
        <w:rPr>
          <w:i/>
        </w:rPr>
        <w:t>pricing quantity</w:t>
      </w:r>
      <w:r w:rsidRPr="00A9075A">
        <w:t xml:space="preserve"> of a brand of a pharmaceutical item, an amount that is taken to be the appropriate maximum price of the brand for the purposes of Part VII of the Act. This is termed the ‘Determined Price’ in this Determination.</w:t>
      </w:r>
    </w:p>
    <w:p w14:paraId="462FE5A2" w14:textId="77777777" w:rsidR="00B03A4B" w:rsidRPr="00A9075A" w:rsidRDefault="00B03A4B" w:rsidP="00B03A4B">
      <w:r w:rsidRPr="00A9075A">
        <w:t>Subsection 85</w:t>
      </w:r>
      <w:proofErr w:type="gramStart"/>
      <w:r w:rsidRPr="00A9075A">
        <w:t>B(</w:t>
      </w:r>
      <w:proofErr w:type="gramEnd"/>
      <w:r w:rsidRPr="00A9075A">
        <w:t xml:space="preserve">3) provides that the Minister may determine, by legislative instrument and by reference to a </w:t>
      </w:r>
      <w:r w:rsidRPr="00A9075A">
        <w:rPr>
          <w:i/>
        </w:rPr>
        <w:t>pack quantity</w:t>
      </w:r>
      <w:r w:rsidRPr="00A9075A">
        <w:t xml:space="preserve"> of a brand of the pharmaceutical item, an amount that is taken to be the price claimed by the responsible person for the </w:t>
      </w:r>
      <w:r w:rsidRPr="00A9075A">
        <w:rPr>
          <w:i/>
        </w:rPr>
        <w:t>pack quantity</w:t>
      </w:r>
      <w:r w:rsidRPr="00A9075A">
        <w:t xml:space="preserve"> of the brand, for the purposes of Part VII of the Act. This is termed the ‘Claimed Price’ in this Determination.</w:t>
      </w:r>
    </w:p>
    <w:p w14:paraId="36894687" w14:textId="77777777" w:rsidR="00B03A4B" w:rsidRPr="00A9075A" w:rsidRDefault="00B03A4B" w:rsidP="00B03A4B">
      <w:r w:rsidRPr="00A9075A">
        <w:t xml:space="preserve">The Determined Price is the </w:t>
      </w:r>
      <w:r w:rsidRPr="00A9075A">
        <w:rPr>
          <w:i/>
        </w:rPr>
        <w:t xml:space="preserve">approved ex-manufacturer price </w:t>
      </w:r>
      <w:r w:rsidRPr="00A9075A">
        <w:t xml:space="preserve">and is used as the basis for working out the Commonwealth price for the brand of the pharmaceutical item (section 98B of the Act); for </w:t>
      </w:r>
      <w:r w:rsidRPr="00A9075A">
        <w:rPr>
          <w:i/>
        </w:rPr>
        <w:t>pack quantities</w:t>
      </w:r>
      <w:r w:rsidRPr="00A9075A">
        <w:t xml:space="preserve"> other than the </w:t>
      </w:r>
      <w:r w:rsidRPr="00A9075A">
        <w:rPr>
          <w:i/>
        </w:rPr>
        <w:t>pricing quantity</w:t>
      </w:r>
      <w:r w:rsidRPr="00A9075A">
        <w:t xml:space="preserve">, the </w:t>
      </w:r>
      <w:r w:rsidRPr="00A9075A">
        <w:rPr>
          <w:i/>
        </w:rPr>
        <w:t>proportional ex-manufacturer price</w:t>
      </w:r>
      <w:r w:rsidRPr="00A9075A">
        <w:t xml:space="preserve"> is used as the basis. Approved pharmacists are entitled to payment from the Commonwealth equal to the Commonwealth price less the applicable patient co-payment (section 99 of the Act).</w:t>
      </w:r>
    </w:p>
    <w:p w14:paraId="4B63783E" w14:textId="77777777" w:rsidR="00B03A4B" w:rsidRPr="00A9075A" w:rsidRDefault="00B03A4B" w:rsidP="00B03A4B">
      <w:r w:rsidRPr="00A9075A">
        <w:t xml:space="preserve">The difference between the responsible person’s Commonwealth price for a </w:t>
      </w:r>
      <w:r w:rsidRPr="00A9075A">
        <w:rPr>
          <w:i/>
        </w:rPr>
        <w:t>pack quantity</w:t>
      </w:r>
      <w:r w:rsidRPr="00A9075A">
        <w:t xml:space="preserve"> (i.e. the price that would be the Commonwealth price if the responsible person’s claimed price had become the </w:t>
      </w:r>
      <w:r w:rsidRPr="00A9075A">
        <w:rPr>
          <w:i/>
        </w:rPr>
        <w:t>approved ex-manufacturer price</w:t>
      </w:r>
      <w:r w:rsidRPr="00A9075A">
        <w:t xml:space="preserve"> or the </w:t>
      </w:r>
      <w:r w:rsidRPr="00A9075A">
        <w:rPr>
          <w:i/>
        </w:rPr>
        <w:t xml:space="preserve">proportional ex-manufacturer </w:t>
      </w:r>
      <w:r w:rsidRPr="00A9075A">
        <w:rPr>
          <w:i/>
        </w:rPr>
        <w:lastRenderedPageBreak/>
        <w:t>price</w:t>
      </w:r>
      <w:r w:rsidRPr="00A9075A">
        <w:t xml:space="preserve"> for that </w:t>
      </w:r>
      <w:r w:rsidRPr="00A9075A">
        <w:rPr>
          <w:i/>
        </w:rPr>
        <w:t>pack quantity</w:t>
      </w:r>
      <w:r w:rsidRPr="00A9075A">
        <w:t xml:space="preserve">) and the Commonwealth price for the </w:t>
      </w:r>
      <w:r w:rsidRPr="00A9075A">
        <w:rPr>
          <w:i/>
        </w:rPr>
        <w:t>pack quantity</w:t>
      </w:r>
      <w:r w:rsidRPr="00A9075A">
        <w:t xml:space="preserve"> is defined in subsection 85</w:t>
      </w:r>
      <w:proofErr w:type="gramStart"/>
      <w:r w:rsidRPr="00A9075A">
        <w:t>B(</w:t>
      </w:r>
      <w:proofErr w:type="gramEnd"/>
      <w:r w:rsidRPr="00A9075A">
        <w:t xml:space="preserve">5) of the Act as the </w:t>
      </w:r>
      <w:r w:rsidRPr="00A9075A">
        <w:rPr>
          <w:i/>
        </w:rPr>
        <w:t>special patient contribution</w:t>
      </w:r>
      <w:r w:rsidRPr="00A9075A">
        <w:t>. An approved pharmacist may charge a patient an amount equal to the special patient contribution, in addition to any other amount that may be charged (subsection 87(2A) of the Act).</w:t>
      </w:r>
    </w:p>
    <w:p w14:paraId="4208BC23" w14:textId="77777777" w:rsidR="00B03A4B" w:rsidRPr="00A9075A" w:rsidRDefault="00B03A4B" w:rsidP="00B03A4B">
      <w:r w:rsidRPr="00A9075A">
        <w:t>Subsection 85</w:t>
      </w:r>
      <w:proofErr w:type="gramStart"/>
      <w:r w:rsidRPr="00A9075A">
        <w:t>B(</w:t>
      </w:r>
      <w:proofErr w:type="gramEnd"/>
      <w:r w:rsidRPr="00A9075A">
        <w:t xml:space="preserve">4) of the Act provides that the Minister may determine the circumstances in which the Commonwealth is to pay the special patient contribution for a brand of a pharmaceutical item. In such cases, the Commonwealth payment to the pharmacist is increased by the amount of the special patient contribution (subsection 99(2AA) of the Act) and the pharmacist may not charge the patient this amount (subsection 87(2A) of the Act).  </w:t>
      </w:r>
    </w:p>
    <w:p w14:paraId="64266DD8" w14:textId="77777777" w:rsidR="00B03A4B" w:rsidRPr="00A9075A" w:rsidRDefault="00B03A4B" w:rsidP="00B03A4B">
      <w:pPr>
        <w:contextualSpacing/>
      </w:pPr>
      <w:r w:rsidRPr="00A9075A">
        <w:t>The purpose of making subsection 85</w:t>
      </w:r>
      <w:proofErr w:type="gramStart"/>
      <w:r w:rsidRPr="00A9075A">
        <w:t>B(</w:t>
      </w:r>
      <w:proofErr w:type="gramEnd"/>
      <w:r w:rsidRPr="00A9075A">
        <w:t>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3150DD39" w14:textId="77777777" w:rsidR="00B03A4B" w:rsidRPr="00A9075A" w:rsidRDefault="00B03A4B" w:rsidP="00B03A4B">
      <w:pPr>
        <w:contextualSpacing/>
      </w:pPr>
    </w:p>
    <w:p w14:paraId="0643A0D0" w14:textId="77777777" w:rsidR="00B03A4B" w:rsidRPr="00A9075A" w:rsidRDefault="00B03A4B" w:rsidP="00B03A4B">
      <w:pPr>
        <w:contextualSpacing/>
      </w:pPr>
      <w:r w:rsidRPr="00A9075A">
        <w:t xml:space="preserve">An example of how this operates is as follows. There are three brands of the pharmaceutical item which is made up of the drug apple, the form 100 mg </w:t>
      </w:r>
      <w:proofErr w:type="gramStart"/>
      <w:r w:rsidRPr="00A9075A">
        <w:t>sphere</w:t>
      </w:r>
      <w:proofErr w:type="gramEnd"/>
      <w:r w:rsidRPr="00A9075A">
        <w:t xml:space="preserve"> and the manner of administration oral. The three brands are Rosy Red, Red </w:t>
      </w:r>
      <w:proofErr w:type="gramStart"/>
      <w:r w:rsidRPr="00A9075A">
        <w:t>Apple</w:t>
      </w:r>
      <w:proofErr w:type="gramEnd"/>
      <w:r w:rsidRPr="00A9075A">
        <w:t xml:space="preserve"> and Apple 100 mg. All three brands of the pharmaceutical item have a pricing quantity of 30. The Determined Price for all three brands is $5.00. </w:t>
      </w:r>
    </w:p>
    <w:p w14:paraId="6B7CFB84" w14:textId="77777777" w:rsidR="00B03A4B" w:rsidRPr="00A9075A" w:rsidRDefault="00B03A4B" w:rsidP="00B03A4B">
      <w:pPr>
        <w:contextualSpacing/>
      </w:pPr>
    </w:p>
    <w:p w14:paraId="34C9DA62" w14:textId="77777777" w:rsidR="00B03A4B" w:rsidRPr="00A9075A" w:rsidRDefault="00B03A4B" w:rsidP="00B03A4B">
      <w:pPr>
        <w:contextualSpacing/>
      </w:pPr>
      <w:r w:rsidRPr="00A9075A">
        <w:t>The Minister and the responsible person for the brand Rosy Red were not able to agree on the Determined Price for Rosy Red, so the responsible person requested that the Minister determine a Claimed Price for Rosy Red. The Minister determines a claimed price of $6.00 for Rosy Red.</w:t>
      </w:r>
    </w:p>
    <w:p w14:paraId="3ECBBCF1" w14:textId="77777777" w:rsidR="00B03A4B" w:rsidRPr="00A9075A" w:rsidRDefault="00B03A4B" w:rsidP="00B03A4B">
      <w:pPr>
        <w:contextualSpacing/>
      </w:pPr>
    </w:p>
    <w:p w14:paraId="291C2D23" w14:textId="77777777" w:rsidR="00B03A4B" w:rsidRPr="00A9075A" w:rsidRDefault="00B03A4B" w:rsidP="00B03A4B">
      <w:pPr>
        <w:contextualSpacing/>
      </w:pPr>
      <w:r w:rsidRPr="00A9075A">
        <w:t xml:space="preserve">If a patient chooses to access the Rosy Red brand of apple, 100 mg sphere, oral, the patient pays a special patient contribution. The special patient contribution is calculated as the difference between the Commonwealth price for Red Apple and Apple 100 mg (which is the same for both brands) and the Commonwealth price for Rosy Red (which is higher). The Minister may determine that if </w:t>
      </w:r>
      <w:proofErr w:type="gramStart"/>
      <w:r w:rsidRPr="00A9075A">
        <w:t>particular circumstances</w:t>
      </w:r>
      <w:proofErr w:type="gramEnd"/>
      <w:r w:rsidRPr="00A9075A">
        <w:t xml:space="preserve"> are met, the Commonwealth will pay the special patient contribution for Rosy Red.</w:t>
      </w:r>
    </w:p>
    <w:p w14:paraId="38FC6B69" w14:textId="77777777" w:rsidR="00B03A4B" w:rsidRPr="00A9075A" w:rsidRDefault="00B03A4B" w:rsidP="00B03A4B">
      <w:pPr>
        <w:contextualSpacing/>
        <w:rPr>
          <w:b/>
        </w:rPr>
      </w:pPr>
    </w:p>
    <w:p w14:paraId="46B170DD" w14:textId="77777777" w:rsidR="00B03A4B" w:rsidRPr="00A9075A" w:rsidRDefault="00B03A4B" w:rsidP="00B03A4B">
      <w:pPr>
        <w:contextualSpacing/>
      </w:pPr>
      <w:r w:rsidRPr="00A9075A">
        <w:t>Subsection 85</w:t>
      </w:r>
      <w:proofErr w:type="gramStart"/>
      <w:r w:rsidRPr="00A9075A">
        <w:t>B(</w:t>
      </w:r>
      <w:proofErr w:type="gramEnd"/>
      <w:r w:rsidRPr="00A9075A">
        <w:t>4) provides that the Commonwealth may pay the special patient contribution for a brand of a pharmaceutical item if the following conditions apply:</w:t>
      </w:r>
    </w:p>
    <w:p w14:paraId="2043A055" w14:textId="77777777" w:rsidR="00B03A4B" w:rsidRPr="00A9075A" w:rsidRDefault="00B03A4B" w:rsidP="00B03A4B">
      <w:pPr>
        <w:pStyle w:val="ListParagraph"/>
        <w:numPr>
          <w:ilvl w:val="0"/>
          <w:numId w:val="2"/>
        </w:numPr>
      </w:pPr>
      <w:r w:rsidRPr="00A9075A">
        <w:t>the brand is mentioned in Schedule 2 of the Determination; and</w:t>
      </w:r>
    </w:p>
    <w:p w14:paraId="5D6AB2BF" w14:textId="77777777" w:rsidR="00B03A4B" w:rsidRPr="00A9075A" w:rsidRDefault="00B03A4B" w:rsidP="00B03A4B">
      <w:pPr>
        <w:pStyle w:val="ListParagraph"/>
        <w:numPr>
          <w:ilvl w:val="0"/>
          <w:numId w:val="2"/>
        </w:numPr>
      </w:pPr>
      <w:r w:rsidRPr="00A9075A">
        <w:t>the circumstances detailed in Schedule 2 for the specified drug are met; and</w:t>
      </w:r>
    </w:p>
    <w:p w14:paraId="6158295E" w14:textId="77777777" w:rsidR="00B03A4B" w:rsidRPr="00A9075A" w:rsidRDefault="00B03A4B" w:rsidP="00B03A4B">
      <w:pPr>
        <w:pStyle w:val="ListParagraph"/>
        <w:numPr>
          <w:ilvl w:val="0"/>
          <w:numId w:val="2"/>
        </w:numPr>
      </w:pPr>
      <w:r w:rsidRPr="00A9075A">
        <w:t>the circumstance in which the brand is prescribed is a circumstance determined under paragraph 85(7)(b) of the Act; and</w:t>
      </w:r>
    </w:p>
    <w:p w14:paraId="0E37EF24" w14:textId="3602ED70" w:rsidR="00B03A4B" w:rsidRDefault="00B03A4B" w:rsidP="00B03A4B">
      <w:pPr>
        <w:pStyle w:val="ListParagraph"/>
        <w:numPr>
          <w:ilvl w:val="0"/>
          <w:numId w:val="2"/>
        </w:numPr>
      </w:pPr>
      <w:r w:rsidRPr="00A9075A">
        <w:t xml:space="preserve">the prescription is written in compliance with authority required procedures for authorisation by the Chief Executive Medicare, explained in sections 11, 12 and 13 of the </w:t>
      </w:r>
      <w:r w:rsidRPr="00A9075A">
        <w:rPr>
          <w:i/>
          <w:iCs/>
        </w:rPr>
        <w:t>National Health (Listing of Pharmaceutical Benefits) Instrument 2012 (PB 71 of 2012)</w:t>
      </w:r>
      <w:r w:rsidRPr="00A9075A">
        <w:t>.</w:t>
      </w:r>
    </w:p>
    <w:p w14:paraId="295BC113" w14:textId="4B8BADE3" w:rsidR="009D33DF" w:rsidRDefault="009D33DF" w:rsidP="009D33DF"/>
    <w:p w14:paraId="489AC3AB" w14:textId="77777777" w:rsidR="00813B31" w:rsidRPr="00A9075A" w:rsidRDefault="00813B31" w:rsidP="009D33DF"/>
    <w:p w14:paraId="12DDF273" w14:textId="488BE59F" w:rsidR="00B03A4B" w:rsidRDefault="009D33DF" w:rsidP="00B03A4B">
      <w:pPr>
        <w:contextualSpacing/>
        <w:rPr>
          <w:b/>
        </w:rPr>
      </w:pPr>
      <w:r w:rsidRPr="009D33DF">
        <w:rPr>
          <w:b/>
        </w:rPr>
        <w:lastRenderedPageBreak/>
        <w:t>Application of section 104B National Health Act</w:t>
      </w:r>
      <w:r>
        <w:rPr>
          <w:b/>
        </w:rPr>
        <w:t xml:space="preserve"> 1953</w:t>
      </w:r>
    </w:p>
    <w:p w14:paraId="79F36AF7" w14:textId="78F9B7A7" w:rsidR="00EE4791" w:rsidRDefault="00B31AFF" w:rsidP="00B03A4B">
      <w:pPr>
        <w:contextualSpacing/>
        <w:rPr>
          <w:bCs/>
          <w:i/>
          <w:iCs/>
        </w:rPr>
      </w:pPr>
      <w:r>
        <w:rPr>
          <w:bCs/>
        </w:rPr>
        <w:t xml:space="preserve">The purpose of </w:t>
      </w:r>
      <w:r w:rsidR="009D33DF" w:rsidRPr="00B31AFF">
        <w:rPr>
          <w:bCs/>
        </w:rPr>
        <w:t xml:space="preserve">Section </w:t>
      </w:r>
      <w:r w:rsidR="009D33DF">
        <w:rPr>
          <w:bCs/>
        </w:rPr>
        <w:t xml:space="preserve">104B of the Act </w:t>
      </w:r>
      <w:r>
        <w:rPr>
          <w:bCs/>
        </w:rPr>
        <w:t xml:space="preserve">as enacted in the </w:t>
      </w:r>
      <w:r w:rsidRPr="00B31AFF">
        <w:rPr>
          <w:bCs/>
          <w:i/>
          <w:iCs/>
        </w:rPr>
        <w:t>National Health Amendment (Enhancing the Pharmaceutical Benefits Scheme) Act 2021</w:t>
      </w:r>
      <w:r>
        <w:rPr>
          <w:bCs/>
          <w:i/>
          <w:iCs/>
        </w:rPr>
        <w:t xml:space="preserve"> </w:t>
      </w:r>
      <w:r>
        <w:rPr>
          <w:bCs/>
        </w:rPr>
        <w:t>is to provide increased</w:t>
      </w:r>
      <w:r w:rsidR="00EE4791">
        <w:rPr>
          <w:bCs/>
        </w:rPr>
        <w:t xml:space="preserve"> subsidies for </w:t>
      </w:r>
      <w:proofErr w:type="gramStart"/>
      <w:r w:rsidR="00EE4791">
        <w:rPr>
          <w:bCs/>
        </w:rPr>
        <w:t>low cost</w:t>
      </w:r>
      <w:proofErr w:type="gramEnd"/>
      <w:r w:rsidR="00EE4791">
        <w:rPr>
          <w:bCs/>
        </w:rPr>
        <w:t xml:space="preserve"> medicines on the Pharmaceutical Benefits Scheme (PBS) to ensure that responsible persons are better placed to compete for supply in a global medicine market and to support investment in supply chain resilience.</w:t>
      </w:r>
      <w:r>
        <w:rPr>
          <w:bCs/>
          <w:i/>
          <w:iCs/>
        </w:rPr>
        <w:t xml:space="preserve"> </w:t>
      </w:r>
    </w:p>
    <w:p w14:paraId="3FC0C5A9" w14:textId="77777777" w:rsidR="00EE4791" w:rsidRDefault="00EE4791" w:rsidP="00B03A4B">
      <w:pPr>
        <w:contextualSpacing/>
        <w:rPr>
          <w:bCs/>
        </w:rPr>
      </w:pPr>
    </w:p>
    <w:p w14:paraId="19275CCE" w14:textId="7236EA20" w:rsidR="00B67389" w:rsidRDefault="00B31AFF" w:rsidP="00B03A4B">
      <w:pPr>
        <w:contextualSpacing/>
        <w:rPr>
          <w:bCs/>
        </w:rPr>
      </w:pPr>
      <w:r>
        <w:rPr>
          <w:bCs/>
        </w:rPr>
        <w:t xml:space="preserve">Section 104B </w:t>
      </w:r>
      <w:r w:rsidR="009D33DF">
        <w:rPr>
          <w:bCs/>
        </w:rPr>
        <w:t>commences on 1 October</w:t>
      </w:r>
      <w:r w:rsidR="00B67389">
        <w:rPr>
          <w:bCs/>
        </w:rPr>
        <w:t xml:space="preserve"> 2022</w:t>
      </w:r>
      <w:r w:rsidR="009D33DF">
        <w:rPr>
          <w:bCs/>
        </w:rPr>
        <w:t xml:space="preserve"> and has the effect of applying i</w:t>
      </w:r>
      <w:r w:rsidR="009D33DF" w:rsidRPr="009D33DF">
        <w:rPr>
          <w:bCs/>
        </w:rPr>
        <w:t xml:space="preserve">ncreases </w:t>
      </w:r>
      <w:r w:rsidR="00B67389">
        <w:rPr>
          <w:bCs/>
        </w:rPr>
        <w:t xml:space="preserve">to </w:t>
      </w:r>
      <w:r w:rsidR="009D33DF" w:rsidRPr="009D33DF">
        <w:rPr>
          <w:bCs/>
        </w:rPr>
        <w:t>the approved ex-manufacturer price</w:t>
      </w:r>
      <w:r w:rsidR="009D33DF">
        <w:rPr>
          <w:bCs/>
        </w:rPr>
        <w:t xml:space="preserve"> (</w:t>
      </w:r>
      <w:r w:rsidR="009D33DF" w:rsidRPr="009D33DF">
        <w:rPr>
          <w:bCs/>
        </w:rPr>
        <w:t>AEMP</w:t>
      </w:r>
      <w:r w:rsidR="009D33DF">
        <w:rPr>
          <w:bCs/>
        </w:rPr>
        <w:t>)</w:t>
      </w:r>
      <w:r w:rsidR="009D33DF" w:rsidRPr="009D33DF">
        <w:rPr>
          <w:bCs/>
        </w:rPr>
        <w:t xml:space="preserve"> of brands that have an AEMP of less than $3.50. Brands with an AEMP of $2.00 or less will be increased to $2.50. Brands with an AEMP of more than $2.00 but less than $3.50 will be increased by $0.50 to a maximum of $3.50.</w:t>
      </w:r>
      <w:r w:rsidR="009D33DF">
        <w:rPr>
          <w:bCs/>
        </w:rPr>
        <w:t xml:space="preserve"> </w:t>
      </w:r>
    </w:p>
    <w:p w14:paraId="67EFCC41" w14:textId="77777777" w:rsidR="00B67389" w:rsidRDefault="00B67389" w:rsidP="00B03A4B">
      <w:pPr>
        <w:contextualSpacing/>
        <w:rPr>
          <w:bCs/>
        </w:rPr>
      </w:pPr>
    </w:p>
    <w:p w14:paraId="27B9C2A1" w14:textId="5BC154D3" w:rsidR="00B67389" w:rsidRDefault="00EE4791" w:rsidP="00B03A4B">
      <w:pPr>
        <w:contextualSpacing/>
        <w:rPr>
          <w:bCs/>
        </w:rPr>
      </w:pPr>
      <w:r>
        <w:rPr>
          <w:bCs/>
        </w:rPr>
        <w:t>For brands subject to an increased AEMP under section 104B that are also subject to a price determination under section 85</w:t>
      </w:r>
      <w:proofErr w:type="gramStart"/>
      <w:r>
        <w:rPr>
          <w:bCs/>
        </w:rPr>
        <w:t>B(</w:t>
      </w:r>
      <w:proofErr w:type="gramEnd"/>
      <w:r>
        <w:rPr>
          <w:bCs/>
        </w:rPr>
        <w:t>2) of the Act</w:t>
      </w:r>
      <w:r w:rsidR="004D720F">
        <w:rPr>
          <w:bCs/>
        </w:rPr>
        <w:t>,</w:t>
      </w:r>
      <w:r w:rsidR="00403BAD">
        <w:rPr>
          <w:bCs/>
        </w:rPr>
        <w:t xml:space="preserve"> immediately prior to 1 October 2022</w:t>
      </w:r>
      <w:r>
        <w:rPr>
          <w:bCs/>
        </w:rPr>
        <w:t>, u</w:t>
      </w:r>
      <w:r w:rsidR="009D33DF">
        <w:rPr>
          <w:bCs/>
        </w:rPr>
        <w:t xml:space="preserve">nder paragraph 85BA(2)(b) of the Act, </w:t>
      </w:r>
      <w:r>
        <w:rPr>
          <w:bCs/>
        </w:rPr>
        <w:t xml:space="preserve">the appropriate maximum price for a brand </w:t>
      </w:r>
      <w:r w:rsidR="00B67389">
        <w:rPr>
          <w:bCs/>
        </w:rPr>
        <w:t>in relation to a brand of a pharmaceutical item is taken to be increased by</w:t>
      </w:r>
      <w:r>
        <w:rPr>
          <w:bCs/>
        </w:rPr>
        <w:t xml:space="preserve"> the same amount under section 104B.</w:t>
      </w:r>
    </w:p>
    <w:p w14:paraId="0727D2A8" w14:textId="77777777" w:rsidR="00B67389" w:rsidRDefault="00B67389" w:rsidP="00B03A4B">
      <w:pPr>
        <w:contextualSpacing/>
        <w:rPr>
          <w:bCs/>
        </w:rPr>
      </w:pPr>
    </w:p>
    <w:p w14:paraId="6B2B11E4" w14:textId="6B0BAA57" w:rsidR="009D33DF" w:rsidRDefault="00B67389" w:rsidP="00B03A4B">
      <w:pPr>
        <w:contextualSpacing/>
        <w:rPr>
          <w:bCs/>
        </w:rPr>
      </w:pPr>
      <w:r>
        <w:rPr>
          <w:bCs/>
        </w:rPr>
        <w:t xml:space="preserve">This </w:t>
      </w:r>
      <w:r w:rsidR="00403BAD">
        <w:rPr>
          <w:bCs/>
        </w:rPr>
        <w:t xml:space="preserve">Determination replaces the old Determination </w:t>
      </w:r>
      <w:r w:rsidR="00C555C4">
        <w:rPr>
          <w:bCs/>
        </w:rPr>
        <w:t>and will</w:t>
      </w:r>
      <w:r w:rsidR="00403BAD">
        <w:rPr>
          <w:bCs/>
        </w:rPr>
        <w:t xml:space="preserve"> ensure </w:t>
      </w:r>
      <w:r w:rsidR="00C555C4">
        <w:rPr>
          <w:bCs/>
        </w:rPr>
        <w:t xml:space="preserve">that the pricing </w:t>
      </w:r>
      <w:r w:rsidR="00B83C9F">
        <w:rPr>
          <w:bCs/>
        </w:rPr>
        <w:t>for over 140</w:t>
      </w:r>
      <w:r w:rsidR="00C555C4">
        <w:rPr>
          <w:bCs/>
        </w:rPr>
        <w:t xml:space="preserve"> </w:t>
      </w:r>
      <w:r>
        <w:rPr>
          <w:bCs/>
        </w:rPr>
        <w:t>brands</w:t>
      </w:r>
      <w:r w:rsidR="00403BAD">
        <w:rPr>
          <w:bCs/>
        </w:rPr>
        <w:t xml:space="preserve"> on the PBS on 1 October 2022</w:t>
      </w:r>
      <w:r>
        <w:rPr>
          <w:bCs/>
        </w:rPr>
        <w:t xml:space="preserve"> </w:t>
      </w:r>
      <w:r w:rsidR="00C555C4">
        <w:rPr>
          <w:bCs/>
        </w:rPr>
        <w:t>will reflect the increases applied under</w:t>
      </w:r>
      <w:r w:rsidR="00B31AFF">
        <w:rPr>
          <w:bCs/>
        </w:rPr>
        <w:t xml:space="preserve"> section 104B of the Act</w:t>
      </w:r>
      <w:r w:rsidR="00366BB8">
        <w:rPr>
          <w:bCs/>
        </w:rPr>
        <w:t>.</w:t>
      </w:r>
      <w:r w:rsidR="00F27B5E">
        <w:rPr>
          <w:bCs/>
        </w:rPr>
        <w:t xml:space="preserve"> The price increases do not increase the maximum patient contribution for PBS medicines which remains at $42.50 (general patients) and $6.80 (concessional patients).</w:t>
      </w:r>
    </w:p>
    <w:p w14:paraId="3229E657" w14:textId="77777777" w:rsidR="009D33DF" w:rsidRPr="009D33DF" w:rsidRDefault="009D33DF" w:rsidP="00B03A4B">
      <w:pPr>
        <w:contextualSpacing/>
        <w:rPr>
          <w:bCs/>
        </w:rPr>
      </w:pPr>
    </w:p>
    <w:p w14:paraId="67AAEC5C" w14:textId="77777777" w:rsidR="00B03A4B" w:rsidRPr="00A9075A" w:rsidRDefault="00B03A4B" w:rsidP="00B03A4B">
      <w:pPr>
        <w:keepNext/>
        <w:keepLines/>
        <w:contextualSpacing/>
        <w:rPr>
          <w:b/>
        </w:rPr>
      </w:pPr>
      <w:r w:rsidRPr="00A9075A">
        <w:rPr>
          <w:b/>
        </w:rPr>
        <w:t>Consultation</w:t>
      </w:r>
    </w:p>
    <w:p w14:paraId="233A634F" w14:textId="77777777" w:rsidR="00B03A4B" w:rsidRPr="00A9075A" w:rsidRDefault="00B03A4B" w:rsidP="00B03A4B">
      <w:pPr>
        <w:keepNext/>
        <w:keepLines/>
      </w:pPr>
      <w:r w:rsidRPr="00A9075A">
        <w:t>The Determination affects certain responsible persons with brands of pharmaceutical items listed on the PBS.</w:t>
      </w:r>
    </w:p>
    <w:p w14:paraId="12009808" w14:textId="77777777" w:rsidR="00B03A4B" w:rsidRPr="00A9075A" w:rsidRDefault="00B03A4B" w:rsidP="00B03A4B">
      <w:r w:rsidRPr="00A9075A">
        <w:t>Before a brand of a drug is listed on the PBS, and from time to time thereafter, price negotiations occur between the responsible person and the Minister for the purpose of reaching a price agreement for section 85AD of the Act. If the Minister and the responsible person do not agree on a price, further consultation occurs with the responsible person, and thereafter the Minister determines the price that will be the approved ex-manufacturer price for the brand. The Minister also determines the corresponding price claimed by the responsible person, which is used to calculate the special patient contribution that will apply to the brand.</w:t>
      </w:r>
    </w:p>
    <w:p w14:paraId="17B0CDD7" w14:textId="22E0020A" w:rsidR="00B83C9F" w:rsidRPr="00A9075A" w:rsidRDefault="00B03A4B" w:rsidP="00B83C9F">
      <w:proofErr w:type="gramStart"/>
      <w:r w:rsidRPr="00A9075A">
        <w:t>The majority of</w:t>
      </w:r>
      <w:proofErr w:type="gramEnd"/>
      <w:r w:rsidRPr="00A9075A">
        <w:t xml:space="preserve"> items listed in the Determination were listed in the </w:t>
      </w:r>
      <w:r w:rsidR="007A3EEE">
        <w:t xml:space="preserve">old </w:t>
      </w:r>
      <w:r w:rsidRPr="00A9075A">
        <w:t>Determination. Responsible persons were consulted about changes to their items as they occurred from time to time.</w:t>
      </w:r>
      <w:r w:rsidR="00D0125E">
        <w:t xml:space="preserve"> </w:t>
      </w:r>
      <w:r w:rsidR="00B83C9F">
        <w:t>All responsible persons with listed brands subject price disclosure reduction</w:t>
      </w:r>
      <w:r w:rsidR="004D720F">
        <w:t>s</w:t>
      </w:r>
      <w:r w:rsidR="00B83C9F">
        <w:t xml:space="preserve"> and the price increases from section 104B of the Act were informed of the changed through information published on the pbs.gov.au website in July 2022. </w:t>
      </w:r>
    </w:p>
    <w:p w14:paraId="1763BF1F" w14:textId="74D55FC8" w:rsidR="00B83C9F" w:rsidRDefault="00B83C9F" w:rsidP="00B03A4B"/>
    <w:p w14:paraId="42EEFE5C" w14:textId="2DA431B5" w:rsidR="00B83C9F" w:rsidRDefault="00B83C9F" w:rsidP="00B83C9F">
      <w:proofErr w:type="gramStart"/>
      <w:r w:rsidRPr="00A9075A">
        <w:t>All of</w:t>
      </w:r>
      <w:proofErr w:type="gramEnd"/>
      <w:r w:rsidRPr="00A9075A">
        <w:t xml:space="preserve"> the affected responsible persons were consulted about the price reductions and given an opportunity to raise any objections. No objections were raised by affected responsible persons for these brands of pharmaceutical items. No additional consultation with experts </w:t>
      </w:r>
      <w:r w:rsidRPr="00A9075A">
        <w:lastRenderedPageBreak/>
        <w:t>was undertaken, as consultation with affected responsible persons drew on the knowledge of persons with relevant expertise.</w:t>
      </w:r>
    </w:p>
    <w:p w14:paraId="7B0F5ADB" w14:textId="6040C1FD" w:rsidR="00B03A4B" w:rsidRDefault="007A3EEE" w:rsidP="00B03A4B">
      <w:r>
        <w:t xml:space="preserve">In addition </w:t>
      </w:r>
      <w:r w:rsidR="00697DF2">
        <w:t>to the changes outlined above,</w:t>
      </w:r>
      <w:r>
        <w:t xml:space="preserve"> t</w:t>
      </w:r>
      <w:r w:rsidR="00B03A4B" w:rsidRPr="00A9075A">
        <w:t>he Determination differs from the</w:t>
      </w:r>
      <w:r w:rsidR="00B03A4B" w:rsidRPr="00A9075A">
        <w:rPr>
          <w:i/>
        </w:rPr>
        <w:t xml:space="preserve"> </w:t>
      </w:r>
      <w:r w:rsidR="004D720F" w:rsidRPr="004D720F">
        <w:rPr>
          <w:iCs/>
        </w:rPr>
        <w:t>Old</w:t>
      </w:r>
      <w:r w:rsidRPr="004D720F">
        <w:rPr>
          <w:iCs/>
        </w:rPr>
        <w:t xml:space="preserve"> </w:t>
      </w:r>
      <w:r w:rsidR="00B03A4B" w:rsidRPr="00A9075A">
        <w:t>Determination, by changing determined and claimed prices for the following items</w:t>
      </w:r>
      <w:r w:rsidR="00697DF2">
        <w:t xml:space="preserve"> </w:t>
      </w:r>
      <w:r w:rsidR="00B83C9F">
        <w:t>consistent with</w:t>
      </w:r>
      <w:r w:rsidR="00697DF2">
        <w:t xml:space="preserve"> request</w:t>
      </w:r>
      <w:r w:rsidR="00B83C9F">
        <w:t>s</w:t>
      </w:r>
      <w:r w:rsidR="00697DF2">
        <w:t xml:space="preserve"> by responsible persons</w:t>
      </w:r>
      <w:r w:rsidR="00B03A4B" w:rsidRPr="00A9075A">
        <w:t>:</w:t>
      </w:r>
    </w:p>
    <w:p w14:paraId="2B3AE551" w14:textId="745147AB" w:rsidR="00B83C9F" w:rsidRDefault="00B83C9F" w:rsidP="00B83C9F">
      <w:r>
        <w:t xml:space="preserve">A determined and claimed price for </w:t>
      </w:r>
      <w:r w:rsidRPr="00C844CC">
        <w:t>amoxicillin, powder for oral suspension 250 mg (as trihydrate) per 5 mL, 100 mL, APO-Amoxycillin</w:t>
      </w:r>
      <w:r>
        <w:t xml:space="preserve"> is not included in the Determination as the responsible person requested removal of the existing brand price premium </w:t>
      </w:r>
      <w:r w:rsidR="0009425D">
        <w:t>from</w:t>
      </w:r>
      <w:r w:rsidR="0009425D">
        <w:br/>
      </w:r>
      <w:r>
        <w:t>1 October 2022.</w:t>
      </w:r>
    </w:p>
    <w:p w14:paraId="3FEA0D80" w14:textId="6D0E54F3" w:rsidR="00EE284D" w:rsidRDefault="00EE284D" w:rsidP="00B83C9F">
      <w:r>
        <w:t>A determined and claimed price for dutasteride, capsule 500 micrograms, Avodart is included in the Determination as the responsible person has agreed to the reinstatement of the brand price premium following the resolution of supply shortages.</w:t>
      </w:r>
    </w:p>
    <w:p w14:paraId="23A398BA" w14:textId="59DDEFD4" w:rsidR="00EE284D" w:rsidRDefault="00EE284D" w:rsidP="00EE284D">
      <w:r>
        <w:t xml:space="preserve">A determined and claimed price for </w:t>
      </w:r>
      <w:r w:rsidRPr="00EE284D">
        <w:t>ipratropium</w:t>
      </w:r>
      <w:r>
        <w:t xml:space="preserve"> is included in the Determination as the responsible person has agreed to the reinstatement of the brand price premium </w:t>
      </w:r>
      <w:r w:rsidRPr="00EE284D">
        <w:t xml:space="preserve">following </w:t>
      </w:r>
      <w:r>
        <w:t xml:space="preserve">the </w:t>
      </w:r>
      <w:r w:rsidRPr="00EE284D">
        <w:t>resolution of supply shortages</w:t>
      </w:r>
      <w:r>
        <w:t>, the affected brands are set out in the table below:</w:t>
      </w:r>
    </w:p>
    <w:tbl>
      <w:tblPr>
        <w:tblW w:w="5000" w:type="pct"/>
        <w:tblLayout w:type="fixed"/>
        <w:tblLook w:val="04A0" w:firstRow="1" w:lastRow="0" w:firstColumn="1" w:lastColumn="0" w:noHBand="0" w:noVBand="1"/>
      </w:tblPr>
      <w:tblGrid>
        <w:gridCol w:w="2846"/>
        <w:gridCol w:w="4150"/>
        <w:gridCol w:w="2015"/>
      </w:tblGrid>
      <w:tr w:rsidR="00EE284D" w:rsidRPr="00EE284D" w14:paraId="0C39D878" w14:textId="77777777" w:rsidTr="00EE284D">
        <w:trPr>
          <w:trHeight w:val="211"/>
        </w:trPr>
        <w:tc>
          <w:tcPr>
            <w:tcW w:w="1579" w:type="pct"/>
            <w:tcBorders>
              <w:top w:val="single" w:sz="8" w:space="0" w:color="auto"/>
              <w:left w:val="single" w:sz="4" w:space="0" w:color="auto"/>
              <w:bottom w:val="single" w:sz="8" w:space="0" w:color="auto"/>
              <w:right w:val="single" w:sz="8" w:space="0" w:color="auto"/>
            </w:tcBorders>
            <w:shd w:val="clear" w:color="000000" w:fill="D9D9D9"/>
            <w:hideMark/>
          </w:tcPr>
          <w:p w14:paraId="1436368E" w14:textId="77777777" w:rsidR="00EE284D" w:rsidRPr="00EE284D" w:rsidRDefault="00EE284D" w:rsidP="00EE284D">
            <w:pPr>
              <w:rPr>
                <w:b/>
                <w:bCs/>
              </w:rPr>
            </w:pPr>
            <w:r w:rsidRPr="00EE284D">
              <w:rPr>
                <w:b/>
                <w:bCs/>
              </w:rPr>
              <w:t>Drug</w:t>
            </w:r>
          </w:p>
        </w:tc>
        <w:tc>
          <w:tcPr>
            <w:tcW w:w="2303" w:type="pct"/>
            <w:tcBorders>
              <w:top w:val="single" w:sz="8" w:space="0" w:color="auto"/>
              <w:left w:val="nil"/>
              <w:bottom w:val="single" w:sz="8" w:space="0" w:color="auto"/>
              <w:right w:val="single" w:sz="8" w:space="0" w:color="auto"/>
            </w:tcBorders>
            <w:shd w:val="clear" w:color="000000" w:fill="D9D9D9"/>
            <w:hideMark/>
          </w:tcPr>
          <w:p w14:paraId="7ED79BD5" w14:textId="77777777" w:rsidR="00EE284D" w:rsidRPr="00EE284D" w:rsidRDefault="00EE284D" w:rsidP="00EE284D">
            <w:pPr>
              <w:rPr>
                <w:b/>
                <w:bCs/>
              </w:rPr>
            </w:pPr>
            <w:r w:rsidRPr="00EE284D">
              <w:rPr>
                <w:b/>
                <w:bCs/>
              </w:rPr>
              <w:t>Form/Strength</w:t>
            </w:r>
          </w:p>
        </w:tc>
        <w:tc>
          <w:tcPr>
            <w:tcW w:w="1118" w:type="pct"/>
            <w:tcBorders>
              <w:top w:val="single" w:sz="8" w:space="0" w:color="auto"/>
              <w:left w:val="nil"/>
              <w:bottom w:val="single" w:sz="8" w:space="0" w:color="auto"/>
              <w:right w:val="single" w:sz="8" w:space="0" w:color="auto"/>
            </w:tcBorders>
            <w:shd w:val="clear" w:color="000000" w:fill="D9D9D9"/>
            <w:hideMark/>
          </w:tcPr>
          <w:p w14:paraId="308227B3" w14:textId="77777777" w:rsidR="00EE284D" w:rsidRPr="00EE284D" w:rsidRDefault="00EE284D" w:rsidP="00EE284D">
            <w:pPr>
              <w:rPr>
                <w:b/>
                <w:bCs/>
              </w:rPr>
            </w:pPr>
            <w:r w:rsidRPr="00EE284D">
              <w:rPr>
                <w:b/>
                <w:bCs/>
              </w:rPr>
              <w:t>Brand Name</w:t>
            </w:r>
          </w:p>
        </w:tc>
      </w:tr>
      <w:tr w:rsidR="00EE284D" w:rsidRPr="00EE284D" w14:paraId="38E8CD97" w14:textId="77777777" w:rsidTr="00EE284D">
        <w:trPr>
          <w:trHeight w:val="223"/>
        </w:trPr>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5FAF56F0" w14:textId="77777777" w:rsidR="00EE284D" w:rsidRPr="00EE284D" w:rsidRDefault="00EE284D" w:rsidP="00EE284D">
            <w:r w:rsidRPr="00EE284D">
              <w:t>ipratropium</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64A72AF9" w14:textId="77777777" w:rsidR="00EE284D" w:rsidRPr="00EE284D" w:rsidRDefault="00EE284D" w:rsidP="00EE284D">
            <w:r w:rsidRPr="00EE284D">
              <w:t>nebuliser solution containing ipratropium bromide 250 micrograms (as monohydrate) in 1 mL single units, 30</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7C2880F9" w14:textId="77777777" w:rsidR="00EE284D" w:rsidRPr="00EE284D" w:rsidRDefault="00EE284D" w:rsidP="00EE284D">
            <w:r w:rsidRPr="00EE284D">
              <w:t>Atrovent</w:t>
            </w:r>
          </w:p>
        </w:tc>
      </w:tr>
      <w:tr w:rsidR="00EE284D" w:rsidRPr="00EE284D" w14:paraId="7AD0C9F2" w14:textId="77777777" w:rsidTr="00EE284D">
        <w:trPr>
          <w:trHeight w:val="223"/>
        </w:trPr>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5623DA84" w14:textId="77777777" w:rsidR="00EE284D" w:rsidRPr="00EE284D" w:rsidRDefault="00EE284D" w:rsidP="00EE284D">
            <w:r w:rsidRPr="00EE284D">
              <w:t>ipratropium</w:t>
            </w: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3882F0CA" w14:textId="77777777" w:rsidR="00EE284D" w:rsidRPr="00EE284D" w:rsidRDefault="00EE284D" w:rsidP="00EE284D">
            <w:r w:rsidRPr="00EE284D">
              <w:t>nebuliser solution containing ipratropium bromide 500 micrograms (as monohydrate) in 1 mL single units, 30</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125C525F" w14:textId="77777777" w:rsidR="00EE284D" w:rsidRPr="00EE284D" w:rsidRDefault="00EE284D" w:rsidP="00EE284D">
            <w:r w:rsidRPr="00EE284D">
              <w:t>Atrovent Adult</w:t>
            </w:r>
          </w:p>
        </w:tc>
      </w:tr>
    </w:tbl>
    <w:p w14:paraId="0AE5FF05" w14:textId="77777777" w:rsidR="00EE284D" w:rsidRPr="00A9075A" w:rsidRDefault="00EE284D" w:rsidP="00EE284D"/>
    <w:p w14:paraId="0D7C3144" w14:textId="68FED300" w:rsidR="00B83C9F" w:rsidRDefault="00B83C9F" w:rsidP="00B83C9F">
      <w:r>
        <w:t>A determined and claimed price for metronidazole</w:t>
      </w:r>
      <w:r w:rsidRPr="00A9075A">
        <w:t xml:space="preserve">, tablet </w:t>
      </w:r>
      <w:r>
        <w:t>200</w:t>
      </w:r>
      <w:r w:rsidRPr="00A9075A">
        <w:t xml:space="preserve"> mg, </w:t>
      </w:r>
      <w:r>
        <w:t>Flagyl</w:t>
      </w:r>
      <w:r w:rsidRPr="00A9075A">
        <w:t xml:space="preserve"> </w:t>
      </w:r>
      <w:r>
        <w:t xml:space="preserve">is </w:t>
      </w:r>
      <w:r w:rsidRPr="00A9075A">
        <w:t>not included in the</w:t>
      </w:r>
      <w:r>
        <w:t xml:space="preserve"> </w:t>
      </w:r>
      <w:r w:rsidRPr="00A9075A">
        <w:t xml:space="preserve">Determination </w:t>
      </w:r>
      <w:r w:rsidR="00BD3655">
        <w:t>as the brand has been discontinued and delisted from the PBS</w:t>
      </w:r>
      <w:r w:rsidRPr="00A9075A">
        <w:t xml:space="preserve">. </w:t>
      </w:r>
    </w:p>
    <w:p w14:paraId="2E399FE4" w14:textId="0DD5E741" w:rsidR="00B83C9F" w:rsidRPr="00A9075A" w:rsidRDefault="00B83C9F" w:rsidP="00B83C9F">
      <w:r w:rsidRPr="00A9075A">
        <w:t xml:space="preserve">A determined and claimed price for </w:t>
      </w:r>
      <w:r>
        <w:t xml:space="preserve">oxycodone, </w:t>
      </w:r>
      <w:r w:rsidRPr="00C844CC">
        <w:t>tablet containing oxycodone hydrochloride 5</w:t>
      </w:r>
      <w:r w:rsidR="004D720F">
        <w:t> </w:t>
      </w:r>
      <w:r w:rsidRPr="00C844CC">
        <w:t>mg</w:t>
      </w:r>
      <w:r w:rsidRPr="00A9075A">
        <w:t xml:space="preserve">, </w:t>
      </w:r>
      <w:r>
        <w:t>Endone</w:t>
      </w:r>
      <w:r w:rsidRPr="00A9075A">
        <w:t xml:space="preserve"> is included in the Determination, after the responsible person made a submission requesting that the Minister determine a claimed price for th</w:t>
      </w:r>
      <w:r>
        <w:t>e</w:t>
      </w:r>
      <w:r w:rsidRPr="00A9075A">
        <w:t xml:space="preserve"> brand. The responsible person was advised of the delegate’s intention to determine in accordance with its request. </w:t>
      </w:r>
    </w:p>
    <w:p w14:paraId="2605716A" w14:textId="77777777" w:rsidR="00192668" w:rsidRDefault="00192668" w:rsidP="00192668"/>
    <w:p w14:paraId="0E7824D8" w14:textId="2286E7F9" w:rsidR="00CD1F1C" w:rsidRDefault="00192668" w:rsidP="00192668">
      <w:r>
        <w:t>The responsible persons affected by this Determination for oxycodone and amoxicillin</w:t>
      </w:r>
      <w:r w:rsidR="00C844CC">
        <w:t xml:space="preserve"> </w:t>
      </w:r>
      <w:r>
        <w:t>each made a submission about the claimed price the Minister should determine in relation to their brands. The responsible persons were advised of the delegate’s intention to determine in accordance with their requests. No further response from the affected responsible persons were received in response to this notification.</w:t>
      </w:r>
    </w:p>
    <w:p w14:paraId="2C7E136D" w14:textId="25EDC6BE" w:rsidR="00C844CC" w:rsidRDefault="00C844CC" w:rsidP="00192668"/>
    <w:p w14:paraId="2DEE2DFB" w14:textId="4B1FD5D4" w:rsidR="00C844CC" w:rsidRDefault="00C844CC" w:rsidP="00192668">
      <w:r>
        <w:lastRenderedPageBreak/>
        <w:t xml:space="preserve">The responsible persons affected by this Determination for ipratropium and dutasteride both agreed to reinstating the claimed price for their brands </w:t>
      </w:r>
      <w:proofErr w:type="gramStart"/>
      <w:r>
        <w:t>as a result of</w:t>
      </w:r>
      <w:proofErr w:type="gramEnd"/>
      <w:r>
        <w:t xml:space="preserve"> the resolution of supply issues.</w:t>
      </w:r>
    </w:p>
    <w:p w14:paraId="745B66F2" w14:textId="77777777" w:rsidR="00C844CC" w:rsidRDefault="00C844CC" w:rsidP="00192668"/>
    <w:p w14:paraId="6C3D541D" w14:textId="3C8CAF45" w:rsidR="00B03A4B" w:rsidRPr="00A9075A" w:rsidRDefault="00D0125E" w:rsidP="00B03A4B">
      <w:r w:rsidRPr="00D0125E">
        <w:t xml:space="preserve">The </w:t>
      </w:r>
      <w:r w:rsidR="00C844CC">
        <w:t>removal of the claimed price in this Determination</w:t>
      </w:r>
      <w:r w:rsidRPr="00D0125E">
        <w:t xml:space="preserve"> for </w:t>
      </w:r>
      <w:r w:rsidR="00C844CC">
        <w:t>a</w:t>
      </w:r>
      <w:r w:rsidRPr="00D0125E">
        <w:t xml:space="preserve"> brand</w:t>
      </w:r>
      <w:r>
        <w:t xml:space="preserve"> </w:t>
      </w:r>
      <w:r w:rsidR="00C844CC">
        <w:t>of metronidazole</w:t>
      </w:r>
      <w:r w:rsidRPr="00D0125E">
        <w:t xml:space="preserve"> 20</w:t>
      </w:r>
      <w:r>
        <w:t>0</w:t>
      </w:r>
      <w:r w:rsidRPr="00D0125E">
        <w:t xml:space="preserve"> mg </w:t>
      </w:r>
      <w:r>
        <w:t>tablets</w:t>
      </w:r>
      <w:r w:rsidRPr="00D0125E">
        <w:t xml:space="preserve"> </w:t>
      </w:r>
      <w:r>
        <w:t>is</w:t>
      </w:r>
      <w:r w:rsidRPr="00D0125E">
        <w:t xml:space="preserve"> consistent with the request made by the responsible person to delist the brand from the PBS for effect from 1 </w:t>
      </w:r>
      <w:r>
        <w:t>October</w:t>
      </w:r>
      <w:r w:rsidRPr="00D0125E">
        <w:t xml:space="preserve"> 2022.</w:t>
      </w:r>
      <w:r w:rsidR="0009425D">
        <w:t xml:space="preserve"> </w:t>
      </w:r>
      <w:r w:rsidR="00B03A4B" w:rsidRPr="00A9075A">
        <w:t xml:space="preserve">No additional consultation with experts was undertaken regarding the Determination because consultation with the affected responsible persons drew on the knowledge of persons with relevant expertise. </w:t>
      </w:r>
    </w:p>
    <w:p w14:paraId="07D0C36A" w14:textId="77777777" w:rsidR="00B03A4B" w:rsidRPr="00A9075A" w:rsidRDefault="00B03A4B" w:rsidP="00B03A4B">
      <w:r w:rsidRPr="00A9075A">
        <w:t>A provision-by-provision description of the Determination is contained in the Attachment.</w:t>
      </w:r>
    </w:p>
    <w:p w14:paraId="6EE57C1E" w14:textId="22948F51" w:rsidR="00B03A4B" w:rsidRPr="00A9075A" w:rsidRDefault="00B03A4B" w:rsidP="00B03A4B">
      <w:r w:rsidRPr="00A9075A">
        <w:t>The Determination commences on</w:t>
      </w:r>
      <w:r w:rsidR="0009425D">
        <w:t xml:space="preserve"> </w:t>
      </w:r>
      <w:r>
        <w:t>1 October 2022</w:t>
      </w:r>
      <w:r w:rsidRPr="00A9075A">
        <w:t>.</w:t>
      </w:r>
    </w:p>
    <w:p w14:paraId="74D77718" w14:textId="77777777" w:rsidR="00B03A4B" w:rsidRPr="00A9075A" w:rsidRDefault="00B03A4B" w:rsidP="00B03A4B">
      <w:pPr>
        <w:rPr>
          <w:b/>
        </w:rPr>
      </w:pPr>
      <w:r w:rsidRPr="00A9075A">
        <w:t>The Determination is a legislative instrument for the purposes of the </w:t>
      </w:r>
      <w:r w:rsidRPr="00A9075A">
        <w:rPr>
          <w:i/>
        </w:rPr>
        <w:t>Legislation Act 2003</w:t>
      </w:r>
      <w:r w:rsidRPr="00A9075A">
        <w:t>.</w:t>
      </w:r>
      <w:r w:rsidRPr="00A9075A">
        <w:rPr>
          <w:b/>
        </w:rPr>
        <w:br w:type="page"/>
      </w:r>
    </w:p>
    <w:p w14:paraId="0900B8A7" w14:textId="77777777" w:rsidR="00B03A4B" w:rsidRPr="00A9075A" w:rsidRDefault="00B03A4B" w:rsidP="00B03A4B">
      <w:pPr>
        <w:jc w:val="right"/>
        <w:rPr>
          <w:b/>
        </w:rPr>
      </w:pPr>
      <w:r w:rsidRPr="00A9075A">
        <w:rPr>
          <w:b/>
        </w:rPr>
        <w:lastRenderedPageBreak/>
        <w:t>ATTACHMENT</w:t>
      </w:r>
    </w:p>
    <w:p w14:paraId="7BB8858D" w14:textId="3D60EF39" w:rsidR="00B03A4B" w:rsidRPr="00A9075A" w:rsidRDefault="00B03A4B" w:rsidP="00B03A4B">
      <w:pPr>
        <w:rPr>
          <w:b/>
        </w:rPr>
      </w:pPr>
      <w:r w:rsidRPr="00A9075A">
        <w:rPr>
          <w:b/>
        </w:rPr>
        <w:t xml:space="preserve">DETAILS OF THE </w:t>
      </w:r>
      <w:r w:rsidRPr="00A9075A">
        <w:rPr>
          <w:b/>
          <w:i/>
        </w:rPr>
        <w:t xml:space="preserve">NATIONAL HEALTH </w:t>
      </w:r>
      <w:r w:rsidR="00813B31">
        <w:rPr>
          <w:b/>
          <w:i/>
        </w:rPr>
        <w:t>(PRICE AND SPECIAL PATIENT CONTRIBUTION) DETERMINATION 2022</w:t>
      </w:r>
    </w:p>
    <w:p w14:paraId="70E87CD6" w14:textId="77777777" w:rsidR="00B03A4B" w:rsidRPr="00A9075A" w:rsidRDefault="00B03A4B" w:rsidP="00B03A4B">
      <w:pPr>
        <w:contextualSpacing/>
        <w:rPr>
          <w:b/>
        </w:rPr>
      </w:pPr>
      <w:r w:rsidRPr="00A9075A">
        <w:rPr>
          <w:b/>
        </w:rPr>
        <w:t>Section 1</w:t>
      </w:r>
      <w:r w:rsidRPr="00A9075A">
        <w:rPr>
          <w:b/>
        </w:rPr>
        <w:tab/>
        <w:t>Name</w:t>
      </w:r>
      <w:r w:rsidRPr="00A9075A">
        <w:t xml:space="preserve"> </w:t>
      </w:r>
    </w:p>
    <w:p w14:paraId="220A1F72" w14:textId="5AF482EB" w:rsidR="00B03A4B" w:rsidRPr="00A9075A" w:rsidRDefault="00B03A4B" w:rsidP="00B03A4B">
      <w:pPr>
        <w:contextualSpacing/>
        <w:rPr>
          <w:i/>
        </w:rPr>
      </w:pPr>
      <w:r w:rsidRPr="00A9075A">
        <w:t xml:space="preserve">This section provides that the name of the Determination is the </w:t>
      </w:r>
      <w:bookmarkStart w:id="1" w:name="_Hlk115336722"/>
      <w:r w:rsidRPr="00A9075A">
        <w:rPr>
          <w:i/>
        </w:rPr>
        <w:t xml:space="preserve">National Health (Price and Special Patient Contribution) Determination </w:t>
      </w:r>
      <w:r>
        <w:rPr>
          <w:i/>
        </w:rPr>
        <w:t>2022</w:t>
      </w:r>
      <w:bookmarkEnd w:id="1"/>
    </w:p>
    <w:p w14:paraId="79651C12" w14:textId="68ACB738" w:rsidR="00B03A4B" w:rsidRPr="00A9075A" w:rsidRDefault="00B03A4B" w:rsidP="00B03A4B">
      <w:pPr>
        <w:contextualSpacing/>
        <w:rPr>
          <w:b/>
        </w:rPr>
      </w:pPr>
      <w:r w:rsidRPr="00A9075A">
        <w:t xml:space="preserve">This section also provides that the instrument may be cited as PB </w:t>
      </w:r>
      <w:r w:rsidR="004D720F">
        <w:t>98</w:t>
      </w:r>
      <w:r>
        <w:t xml:space="preserve"> of 2022</w:t>
      </w:r>
      <w:r w:rsidRPr="00A9075A">
        <w:t>.</w:t>
      </w:r>
    </w:p>
    <w:p w14:paraId="36F2DF91" w14:textId="77777777" w:rsidR="00B03A4B" w:rsidRPr="00A9075A" w:rsidRDefault="00B03A4B" w:rsidP="00B03A4B">
      <w:pPr>
        <w:contextualSpacing/>
        <w:rPr>
          <w:b/>
        </w:rPr>
      </w:pPr>
    </w:p>
    <w:p w14:paraId="1E778F6D" w14:textId="77777777" w:rsidR="00B03A4B" w:rsidRPr="00A9075A" w:rsidRDefault="00B03A4B" w:rsidP="00B03A4B">
      <w:pPr>
        <w:contextualSpacing/>
        <w:rPr>
          <w:b/>
        </w:rPr>
      </w:pPr>
      <w:r w:rsidRPr="00A9075A">
        <w:rPr>
          <w:b/>
        </w:rPr>
        <w:t>Section 2</w:t>
      </w:r>
      <w:r w:rsidRPr="00A9075A">
        <w:rPr>
          <w:b/>
        </w:rPr>
        <w:tab/>
        <w:t>Commencement</w:t>
      </w:r>
    </w:p>
    <w:p w14:paraId="6BC60297" w14:textId="7494DA74" w:rsidR="00B03A4B" w:rsidRPr="00A9075A" w:rsidRDefault="00B03A4B" w:rsidP="00B03A4B">
      <w:pPr>
        <w:contextualSpacing/>
        <w:rPr>
          <w:b/>
        </w:rPr>
      </w:pPr>
      <w:r w:rsidRPr="00A9075A">
        <w:t>This section provides that the Determination commences on</w:t>
      </w:r>
      <w:r>
        <w:t xml:space="preserve"> 1 October 2022</w:t>
      </w:r>
      <w:r w:rsidRPr="00A9075A">
        <w:t>.</w:t>
      </w:r>
    </w:p>
    <w:p w14:paraId="265E4B53" w14:textId="77777777" w:rsidR="00B03A4B" w:rsidRPr="00A9075A" w:rsidRDefault="00B03A4B" w:rsidP="00B03A4B">
      <w:pPr>
        <w:contextualSpacing/>
        <w:rPr>
          <w:b/>
        </w:rPr>
      </w:pPr>
    </w:p>
    <w:p w14:paraId="0A7C7B5C" w14:textId="77777777" w:rsidR="00B03A4B" w:rsidRPr="00A9075A" w:rsidRDefault="00B03A4B" w:rsidP="00B03A4B">
      <w:pPr>
        <w:contextualSpacing/>
        <w:rPr>
          <w:b/>
        </w:rPr>
      </w:pPr>
      <w:r w:rsidRPr="00A9075A">
        <w:rPr>
          <w:b/>
        </w:rPr>
        <w:t>Section 3</w:t>
      </w:r>
      <w:r w:rsidRPr="00A9075A">
        <w:rPr>
          <w:b/>
        </w:rPr>
        <w:tab/>
        <w:t>Authority</w:t>
      </w:r>
    </w:p>
    <w:p w14:paraId="6495217B" w14:textId="77777777" w:rsidR="00B03A4B" w:rsidRPr="00A9075A" w:rsidRDefault="00B03A4B" w:rsidP="00B03A4B">
      <w:pPr>
        <w:contextualSpacing/>
      </w:pPr>
      <w:r w:rsidRPr="00A9075A">
        <w:t xml:space="preserve">This section provides that the Determination is made under section 85B of the </w:t>
      </w:r>
      <w:r w:rsidRPr="00A9075A">
        <w:rPr>
          <w:i/>
        </w:rPr>
        <w:t>National Health Act 1953</w:t>
      </w:r>
      <w:r w:rsidRPr="00A9075A">
        <w:t>.</w:t>
      </w:r>
    </w:p>
    <w:p w14:paraId="48325A34" w14:textId="77777777" w:rsidR="00B03A4B" w:rsidRPr="00A9075A" w:rsidRDefault="00B03A4B" w:rsidP="00B03A4B">
      <w:pPr>
        <w:contextualSpacing/>
        <w:rPr>
          <w:b/>
        </w:rPr>
      </w:pPr>
    </w:p>
    <w:p w14:paraId="4EBB53A8" w14:textId="77777777" w:rsidR="00B03A4B" w:rsidRPr="00A9075A" w:rsidRDefault="00B03A4B" w:rsidP="00B03A4B">
      <w:pPr>
        <w:contextualSpacing/>
        <w:rPr>
          <w:b/>
        </w:rPr>
      </w:pPr>
      <w:r w:rsidRPr="00A9075A">
        <w:rPr>
          <w:b/>
        </w:rPr>
        <w:t>Section 4            Schedule 3</w:t>
      </w:r>
    </w:p>
    <w:p w14:paraId="03853AE9" w14:textId="01A73A99" w:rsidR="00B03A4B" w:rsidRPr="00A9075A" w:rsidRDefault="00B03A4B" w:rsidP="00B03A4B">
      <w:pPr>
        <w:contextualSpacing/>
      </w:pPr>
      <w:r w:rsidRPr="00A9075A">
        <w:t xml:space="preserve">This section provides that the </w:t>
      </w:r>
      <w:r w:rsidRPr="00B03A4B">
        <w:rPr>
          <w:i/>
          <w:iCs/>
        </w:rPr>
        <w:t>National Health (Price and Special Patient Contribution) Determination 2021</w:t>
      </w:r>
      <w:r w:rsidR="0009425D">
        <w:rPr>
          <w:i/>
          <w:iCs/>
        </w:rPr>
        <w:t xml:space="preserve"> </w:t>
      </w:r>
      <w:r w:rsidRPr="00A9075A">
        <w:t>is repealed.</w:t>
      </w:r>
    </w:p>
    <w:p w14:paraId="2931BF2F" w14:textId="77777777" w:rsidR="00B03A4B" w:rsidRPr="00A9075A" w:rsidRDefault="00B03A4B" w:rsidP="00B03A4B">
      <w:pPr>
        <w:contextualSpacing/>
        <w:rPr>
          <w:b/>
        </w:rPr>
      </w:pPr>
    </w:p>
    <w:p w14:paraId="74802CF0" w14:textId="77777777" w:rsidR="00B03A4B" w:rsidRPr="00A9075A" w:rsidRDefault="00B03A4B" w:rsidP="00B03A4B">
      <w:pPr>
        <w:contextualSpacing/>
        <w:rPr>
          <w:b/>
        </w:rPr>
      </w:pPr>
      <w:r w:rsidRPr="00A9075A">
        <w:rPr>
          <w:b/>
        </w:rPr>
        <w:t>Section 5</w:t>
      </w:r>
      <w:r w:rsidRPr="00A9075A">
        <w:rPr>
          <w:b/>
        </w:rPr>
        <w:tab/>
        <w:t>Definitions</w:t>
      </w:r>
    </w:p>
    <w:p w14:paraId="7448DC3C" w14:textId="77777777" w:rsidR="00B03A4B" w:rsidRPr="00A9075A" w:rsidRDefault="00B03A4B" w:rsidP="00B03A4B">
      <w:pPr>
        <w:ind w:left="1440" w:hanging="1440"/>
        <w:contextualSpacing/>
      </w:pPr>
      <w:r w:rsidRPr="00A9075A">
        <w:t xml:space="preserve">This section provides definitions of: </w:t>
      </w:r>
    </w:p>
    <w:p w14:paraId="2A35DD1D" w14:textId="77777777" w:rsidR="00B03A4B" w:rsidRPr="00A9075A" w:rsidRDefault="00B03A4B" w:rsidP="00B03A4B">
      <w:pPr>
        <w:spacing w:after="0"/>
        <w:ind w:left="1440" w:hanging="1440"/>
        <w:contextualSpacing/>
        <w:rPr>
          <w:b/>
          <w:i/>
        </w:rPr>
      </w:pPr>
    </w:p>
    <w:p w14:paraId="6F7069FD" w14:textId="77777777" w:rsidR="00B03A4B" w:rsidRPr="00A9075A" w:rsidRDefault="00B03A4B" w:rsidP="00B03A4B">
      <w:pPr>
        <w:spacing w:after="0"/>
        <w:ind w:left="2160" w:hanging="1440"/>
        <w:contextualSpacing/>
        <w:rPr>
          <w:b/>
          <w:i/>
        </w:rPr>
      </w:pPr>
      <w:r w:rsidRPr="00A9075A">
        <w:rPr>
          <w:b/>
          <w:i/>
        </w:rPr>
        <w:t>Act</w:t>
      </w:r>
      <w:r w:rsidRPr="00A9075A">
        <w:t xml:space="preserve"> meaning the </w:t>
      </w:r>
      <w:r w:rsidRPr="00A9075A">
        <w:rPr>
          <w:i/>
        </w:rPr>
        <w:t>National Health Act 1953</w:t>
      </w:r>
      <w:r w:rsidRPr="00A9075A">
        <w:t>.</w:t>
      </w:r>
    </w:p>
    <w:p w14:paraId="469F018D" w14:textId="77777777" w:rsidR="00B03A4B" w:rsidRPr="00A9075A" w:rsidRDefault="00B03A4B" w:rsidP="00B03A4B">
      <w:pPr>
        <w:spacing w:after="0"/>
        <w:ind w:left="2160" w:hanging="1440"/>
        <w:contextualSpacing/>
      </w:pPr>
    </w:p>
    <w:p w14:paraId="5D0B54C3" w14:textId="77777777" w:rsidR="00B03A4B" w:rsidRPr="00A9075A" w:rsidRDefault="00B03A4B" w:rsidP="00B03A4B">
      <w:pPr>
        <w:spacing w:after="0"/>
        <w:ind w:left="720"/>
        <w:contextualSpacing/>
      </w:pPr>
      <w:r w:rsidRPr="00A9075A">
        <w:rPr>
          <w:b/>
          <w:i/>
        </w:rPr>
        <w:t>base‑priced drug</w:t>
      </w:r>
      <w:r w:rsidRPr="00A9075A">
        <w:t xml:space="preserve"> meaning all brands of pharmaceutical items or brands of drugs in the same therapeutic group, that are not subject to a claimed price. </w:t>
      </w:r>
    </w:p>
    <w:p w14:paraId="16BFB52D" w14:textId="77777777" w:rsidR="00B03A4B" w:rsidRPr="00A9075A" w:rsidRDefault="00B03A4B" w:rsidP="00B03A4B">
      <w:pPr>
        <w:spacing w:after="0"/>
        <w:ind w:left="2160" w:hanging="1440"/>
        <w:contextualSpacing/>
      </w:pPr>
    </w:p>
    <w:p w14:paraId="53964E3F" w14:textId="77777777" w:rsidR="00B03A4B" w:rsidRPr="00A9075A" w:rsidRDefault="00B03A4B" w:rsidP="00B03A4B">
      <w:pPr>
        <w:spacing w:after="0"/>
        <w:ind w:left="709" w:firstLine="11"/>
        <w:contextualSpacing/>
        <w:rPr>
          <w:b/>
          <w:bCs/>
        </w:rPr>
      </w:pPr>
      <w:r w:rsidRPr="00A9075A">
        <w:rPr>
          <w:b/>
          <w:i/>
        </w:rPr>
        <w:t>pack quantity</w:t>
      </w:r>
      <w:r w:rsidRPr="00A9075A">
        <w:t xml:space="preserve"> meaning the quantity or number of units the Minister has determined by legislative instrument </w:t>
      </w:r>
      <w:r w:rsidRPr="00A9075A">
        <w:rPr>
          <w:bCs/>
        </w:rPr>
        <w:t>for the brand of a pharmaceutical item</w:t>
      </w:r>
      <w:r w:rsidRPr="00A9075A">
        <w:t xml:space="preserve"> (in the </w:t>
      </w:r>
      <w:r w:rsidRPr="00A9075A">
        <w:rPr>
          <w:bCs/>
          <w:i/>
        </w:rPr>
        <w:t>National Health (Listing of Pharmaceutical Benefits) Instrument 2012 (PB 71 of 2012)</w:t>
      </w:r>
      <w:r w:rsidRPr="00A9075A">
        <w:rPr>
          <w:bCs/>
        </w:rPr>
        <w:t>).</w:t>
      </w:r>
    </w:p>
    <w:p w14:paraId="4844AAFE" w14:textId="77777777" w:rsidR="00B03A4B" w:rsidRPr="00A9075A" w:rsidRDefault="00B03A4B" w:rsidP="00B03A4B">
      <w:pPr>
        <w:spacing w:after="0"/>
        <w:ind w:left="720"/>
        <w:contextualSpacing/>
      </w:pPr>
    </w:p>
    <w:p w14:paraId="0D609F87" w14:textId="77777777" w:rsidR="00B03A4B" w:rsidRPr="00A9075A" w:rsidRDefault="00B03A4B" w:rsidP="00B03A4B">
      <w:pPr>
        <w:spacing w:after="0"/>
        <w:ind w:left="709" w:firstLine="11"/>
        <w:contextualSpacing/>
      </w:pPr>
      <w:r w:rsidRPr="00A9075A">
        <w:rPr>
          <w:b/>
          <w:i/>
        </w:rPr>
        <w:t>pricing quantity</w:t>
      </w:r>
      <w:r w:rsidRPr="00A9075A">
        <w:t xml:space="preserve"> meaning</w:t>
      </w:r>
      <w:r w:rsidRPr="00A9075A">
        <w:rPr>
          <w:color w:val="000000"/>
          <w:sz w:val="22"/>
          <w:szCs w:val="22"/>
          <w:shd w:val="clear" w:color="auto" w:fill="FFFFFF"/>
        </w:rPr>
        <w:t xml:space="preserve"> </w:t>
      </w:r>
      <w:r w:rsidRPr="00A9075A">
        <w:t xml:space="preserve">the lowest of any pack quantity of any listed brand of the pharmaceutical item. </w:t>
      </w:r>
    </w:p>
    <w:p w14:paraId="4ED4BBEF" w14:textId="77777777" w:rsidR="00B03A4B" w:rsidRPr="00A9075A" w:rsidRDefault="00B03A4B" w:rsidP="00B03A4B">
      <w:pPr>
        <w:spacing w:after="0"/>
        <w:ind w:left="709" w:firstLine="11"/>
        <w:contextualSpacing/>
      </w:pPr>
    </w:p>
    <w:p w14:paraId="523A9B03" w14:textId="77777777" w:rsidR="00B03A4B" w:rsidRPr="00A9075A" w:rsidRDefault="00B03A4B" w:rsidP="00B03A4B">
      <w:pPr>
        <w:spacing w:after="0"/>
        <w:ind w:left="1440" w:hanging="720"/>
        <w:contextualSpacing/>
        <w:rPr>
          <w:b/>
        </w:rPr>
      </w:pPr>
      <w:r w:rsidRPr="00A9075A">
        <w:rPr>
          <w:b/>
          <w:i/>
        </w:rPr>
        <w:t>special patient contribution</w:t>
      </w:r>
      <w:r w:rsidRPr="00A9075A">
        <w:t xml:space="preserve"> has the meaning given by subsection 85</w:t>
      </w:r>
      <w:proofErr w:type="gramStart"/>
      <w:r w:rsidRPr="00A9075A">
        <w:t>B(</w:t>
      </w:r>
      <w:proofErr w:type="gramEnd"/>
      <w:r w:rsidRPr="00A9075A">
        <w:t>5) of the Act.</w:t>
      </w:r>
    </w:p>
    <w:p w14:paraId="2D599E1A" w14:textId="77777777" w:rsidR="00B03A4B" w:rsidRPr="00A9075A" w:rsidRDefault="00B03A4B" w:rsidP="00B03A4B">
      <w:pPr>
        <w:pStyle w:val="acthead5"/>
        <w:keepNext/>
        <w:keepLines/>
        <w:shd w:val="clear" w:color="auto" w:fill="FFFFFF"/>
        <w:spacing w:before="0" w:beforeAutospacing="0" w:after="0" w:afterAutospacing="0"/>
        <w:contextualSpacing/>
        <w:rPr>
          <w:b/>
        </w:rPr>
      </w:pPr>
    </w:p>
    <w:p w14:paraId="62132761" w14:textId="77777777" w:rsidR="00B03A4B" w:rsidRPr="00A9075A" w:rsidRDefault="00B03A4B" w:rsidP="00B03A4B">
      <w:pPr>
        <w:pStyle w:val="acthead5"/>
        <w:keepNext/>
        <w:keepLines/>
        <w:shd w:val="clear" w:color="auto" w:fill="FFFFFF"/>
        <w:spacing w:before="0" w:beforeAutospacing="0" w:after="0" w:afterAutospacing="0"/>
        <w:contextualSpacing/>
        <w:rPr>
          <w:b/>
        </w:rPr>
      </w:pPr>
      <w:r w:rsidRPr="00A9075A">
        <w:rPr>
          <w:b/>
        </w:rPr>
        <w:t>Section 6</w:t>
      </w:r>
      <w:r w:rsidRPr="00A9075A">
        <w:rPr>
          <w:b/>
        </w:rPr>
        <w:tab/>
      </w:r>
      <w:bookmarkStart w:id="2" w:name="_Toc63930772"/>
      <w:r w:rsidRPr="00A9075A">
        <w:rPr>
          <w:b/>
        </w:rPr>
        <w:t>Determined price</w:t>
      </w:r>
      <w:bookmarkEnd w:id="2"/>
    </w:p>
    <w:p w14:paraId="13DAAF93" w14:textId="77777777" w:rsidR="00B03A4B" w:rsidRPr="00A9075A" w:rsidRDefault="00B03A4B" w:rsidP="00B03A4B">
      <w:pPr>
        <w:pStyle w:val="subsection"/>
        <w:keepNext/>
        <w:keepLines/>
        <w:shd w:val="clear" w:color="auto" w:fill="FFFFFF"/>
        <w:spacing w:before="0" w:beforeAutospacing="0" w:after="0" w:afterAutospacing="0"/>
        <w:contextualSpacing/>
      </w:pPr>
      <w:r w:rsidRPr="00A9075A">
        <w:t>This section provides for the amount that is the maximum price for the pricing quantity of all brands of a pharmaceutical item that are not subject to a claimed price. It is the amount mentioned in the column headed ‘Determined Price’ in Schedule 1.</w:t>
      </w:r>
    </w:p>
    <w:p w14:paraId="478E4D21" w14:textId="77777777" w:rsidR="00B03A4B" w:rsidRPr="00A9075A" w:rsidRDefault="00B03A4B" w:rsidP="00B03A4B">
      <w:pPr>
        <w:pStyle w:val="subsection"/>
        <w:shd w:val="clear" w:color="auto" w:fill="FFFFFF"/>
        <w:spacing w:before="0" w:beforeAutospacing="0" w:after="0" w:afterAutospacing="0"/>
        <w:contextualSpacing/>
        <w:rPr>
          <w:lang w:val="en-US"/>
        </w:rPr>
      </w:pPr>
    </w:p>
    <w:p w14:paraId="3931C3B4" w14:textId="77777777" w:rsidR="00B03A4B" w:rsidRPr="00A9075A" w:rsidRDefault="00B03A4B" w:rsidP="00B03A4B">
      <w:pPr>
        <w:pStyle w:val="acthead5"/>
        <w:keepNext/>
        <w:keepLines/>
        <w:shd w:val="clear" w:color="auto" w:fill="FFFFFF"/>
        <w:spacing w:before="0" w:beforeAutospacing="0" w:after="0" w:afterAutospacing="0"/>
        <w:contextualSpacing/>
        <w:rPr>
          <w:rFonts w:eastAsiaTheme="minorHAnsi"/>
          <w:b/>
          <w:lang w:eastAsia="en-US"/>
        </w:rPr>
      </w:pPr>
      <w:r w:rsidRPr="00A9075A">
        <w:rPr>
          <w:b/>
        </w:rPr>
        <w:lastRenderedPageBreak/>
        <w:t>Section 7</w:t>
      </w:r>
      <w:r w:rsidRPr="00A9075A">
        <w:rPr>
          <w:b/>
        </w:rPr>
        <w:tab/>
      </w:r>
      <w:bookmarkStart w:id="3" w:name="_Toc63930773"/>
      <w:r w:rsidRPr="00A9075A">
        <w:rPr>
          <w:rFonts w:eastAsiaTheme="minorHAnsi"/>
          <w:b/>
          <w:lang w:eastAsia="en-US"/>
        </w:rPr>
        <w:t>Claimed price</w:t>
      </w:r>
      <w:bookmarkEnd w:id="3"/>
    </w:p>
    <w:p w14:paraId="452DACA1" w14:textId="77777777" w:rsidR="00B03A4B" w:rsidRPr="00A9075A" w:rsidRDefault="00B03A4B" w:rsidP="00B03A4B">
      <w:pPr>
        <w:pStyle w:val="subsection"/>
        <w:keepNext/>
        <w:keepLines/>
        <w:shd w:val="clear" w:color="auto" w:fill="FFFFFF"/>
        <w:spacing w:before="0" w:beforeAutospacing="0" w:after="0" w:afterAutospacing="0"/>
        <w:contextualSpacing/>
      </w:pPr>
      <w:r w:rsidRPr="00A9075A">
        <w:t xml:space="preserve">This section provides for the amount that is the maximum price for the pricing quantity for the brand of the pharmaceutical item. It is the amount mentioned in the column headed ‘Claimed Price’ in Schedule 1, for the brand mentioned in the column headed ‘Brand’ in Schedule 1. </w:t>
      </w:r>
    </w:p>
    <w:p w14:paraId="044466F9" w14:textId="77777777" w:rsidR="00B03A4B" w:rsidRPr="00A9075A" w:rsidRDefault="00B03A4B" w:rsidP="00B03A4B">
      <w:pPr>
        <w:pStyle w:val="subsection"/>
        <w:shd w:val="clear" w:color="auto" w:fill="FFFFFF"/>
        <w:spacing w:before="0" w:beforeAutospacing="0" w:after="0" w:afterAutospacing="0"/>
        <w:contextualSpacing/>
        <w:rPr>
          <w:lang w:val="en-US"/>
        </w:rPr>
      </w:pPr>
    </w:p>
    <w:p w14:paraId="4F2F00B3" w14:textId="77777777" w:rsidR="00B03A4B" w:rsidRPr="00A9075A" w:rsidRDefault="00B03A4B" w:rsidP="00B03A4B">
      <w:pPr>
        <w:pStyle w:val="acthead5"/>
        <w:shd w:val="clear" w:color="auto" w:fill="FFFFFF"/>
        <w:spacing w:before="0" w:beforeAutospacing="0" w:after="0" w:afterAutospacing="0"/>
        <w:contextualSpacing/>
        <w:rPr>
          <w:rFonts w:ascii="Helvetica Neue" w:hAnsi="Helvetica Neue"/>
          <w:sz w:val="19"/>
          <w:szCs w:val="19"/>
          <w:lang w:val="en-US"/>
        </w:rPr>
      </w:pPr>
      <w:r w:rsidRPr="00A9075A">
        <w:rPr>
          <w:b/>
        </w:rPr>
        <w:t xml:space="preserve">Section </w:t>
      </w:r>
      <w:bookmarkStart w:id="4" w:name="_Toc63930774"/>
      <w:r w:rsidRPr="00A9075A">
        <w:rPr>
          <w:b/>
        </w:rPr>
        <w:t>8</w:t>
      </w:r>
      <w:r w:rsidRPr="00A9075A">
        <w:rPr>
          <w:b/>
        </w:rPr>
        <w:tab/>
      </w:r>
      <w:r w:rsidRPr="00A9075A">
        <w:rPr>
          <w:rFonts w:eastAsiaTheme="minorHAnsi"/>
          <w:b/>
          <w:lang w:eastAsia="en-US"/>
        </w:rPr>
        <w:t>Commonwealth payment of special patient contribution</w:t>
      </w:r>
      <w:bookmarkEnd w:id="4"/>
    </w:p>
    <w:p w14:paraId="593AAD3D" w14:textId="77777777" w:rsidR="00B03A4B" w:rsidRPr="00A9075A" w:rsidRDefault="00B03A4B" w:rsidP="00B03A4B">
      <w:pPr>
        <w:pStyle w:val="subsection"/>
        <w:shd w:val="clear" w:color="auto" w:fill="FFFFFF"/>
        <w:spacing w:before="0" w:beforeAutospacing="0" w:after="0" w:afterAutospacing="0"/>
        <w:contextualSpacing/>
      </w:pPr>
      <w:r w:rsidRPr="00A9075A">
        <w:t>This section provides that the circumstances in which the Commonwealth will pay the special patient contribution are set out in Schedule 2.</w:t>
      </w:r>
    </w:p>
    <w:p w14:paraId="3B14F1AD" w14:textId="77777777" w:rsidR="00B03A4B" w:rsidRPr="00A9075A" w:rsidRDefault="00B03A4B" w:rsidP="00B03A4B">
      <w:pPr>
        <w:pStyle w:val="subsection"/>
        <w:shd w:val="clear" w:color="auto" w:fill="FFFFFF"/>
        <w:spacing w:before="0" w:beforeAutospacing="0" w:after="0" w:afterAutospacing="0"/>
        <w:contextualSpacing/>
      </w:pPr>
    </w:p>
    <w:p w14:paraId="2D883EA2" w14:textId="77777777" w:rsidR="00B03A4B" w:rsidRPr="00A9075A" w:rsidRDefault="00B03A4B" w:rsidP="00B03A4B">
      <w:pPr>
        <w:rPr>
          <w:b/>
          <w:bCs/>
        </w:rPr>
      </w:pPr>
      <w:r w:rsidRPr="00A9075A">
        <w:rPr>
          <w:b/>
          <w:bCs/>
        </w:rPr>
        <w:t xml:space="preserve">Schedule 1 </w:t>
      </w:r>
      <w:r w:rsidRPr="00A9075A">
        <w:rPr>
          <w:b/>
          <w:bCs/>
        </w:rPr>
        <w:tab/>
        <w:t>Determined and claimed prices</w:t>
      </w:r>
    </w:p>
    <w:p w14:paraId="5ED79CF3" w14:textId="77777777" w:rsidR="00B03A4B" w:rsidRPr="00A9075A" w:rsidRDefault="00B03A4B" w:rsidP="00B03A4B">
      <w:pPr>
        <w:rPr>
          <w:bCs/>
        </w:rPr>
      </w:pPr>
      <w:r w:rsidRPr="00A9075A">
        <w:rPr>
          <w:bCs/>
        </w:rPr>
        <w:t xml:space="preserve">This schedule lists brands of pharmaceutical items for which the Minister has determined </w:t>
      </w:r>
      <w:r w:rsidRPr="00A9075A">
        <w:t>prices and claimed prices by reference to the pack quantity</w:t>
      </w:r>
      <w:r w:rsidRPr="00A9075A">
        <w:rPr>
          <w:bCs/>
        </w:rPr>
        <w:t xml:space="preserve">. </w:t>
      </w:r>
    </w:p>
    <w:p w14:paraId="10ACF6CA" w14:textId="77777777" w:rsidR="00B03A4B" w:rsidRPr="00A9075A" w:rsidRDefault="00B03A4B" w:rsidP="00B03A4B">
      <w:pPr>
        <w:rPr>
          <w:b/>
          <w:bCs/>
        </w:rPr>
      </w:pPr>
      <w:r w:rsidRPr="00A9075A">
        <w:rPr>
          <w:b/>
          <w:bCs/>
        </w:rPr>
        <w:t xml:space="preserve">Schedule 2 </w:t>
      </w:r>
      <w:r w:rsidRPr="00A9075A">
        <w:rPr>
          <w:b/>
          <w:bCs/>
        </w:rPr>
        <w:tab/>
        <w:t>Pharmaceutical benefits for which the Commonwealth will pay the special patient contribution</w:t>
      </w:r>
    </w:p>
    <w:p w14:paraId="5684550F" w14:textId="77777777" w:rsidR="00B03A4B" w:rsidRPr="00A9075A" w:rsidRDefault="00B03A4B" w:rsidP="00B03A4B">
      <w:r w:rsidRPr="00A9075A">
        <w:rPr>
          <w:bCs/>
        </w:rPr>
        <w:t xml:space="preserve">This schedule lists brands of pharmaceutical items and </w:t>
      </w:r>
      <w:r w:rsidRPr="00A9075A">
        <w:t>the circumstances for which the Commonwealth is to pay the special patient contribution.</w:t>
      </w:r>
    </w:p>
    <w:p w14:paraId="2DC00AB3" w14:textId="77777777" w:rsidR="00B03A4B" w:rsidRPr="00A9075A" w:rsidRDefault="00B03A4B" w:rsidP="00B03A4B">
      <w:pPr>
        <w:rPr>
          <w:b/>
          <w:bCs/>
        </w:rPr>
      </w:pPr>
      <w:r w:rsidRPr="00A9075A">
        <w:rPr>
          <w:b/>
          <w:bCs/>
        </w:rPr>
        <w:t xml:space="preserve">Schedule 3 </w:t>
      </w:r>
      <w:r w:rsidRPr="00A9075A">
        <w:rPr>
          <w:b/>
          <w:bCs/>
        </w:rPr>
        <w:tab/>
        <w:t>Repeals</w:t>
      </w:r>
    </w:p>
    <w:p w14:paraId="3B673E3C" w14:textId="65AC1F27" w:rsidR="00B03A4B" w:rsidRPr="00A9075A" w:rsidRDefault="00B03A4B" w:rsidP="00B03A4B">
      <w:pPr>
        <w:rPr>
          <w:b/>
          <w:bCs/>
        </w:rPr>
      </w:pPr>
      <w:r w:rsidRPr="00A9075A">
        <w:rPr>
          <w:bCs/>
        </w:rPr>
        <w:t xml:space="preserve">This schedule repeals the </w:t>
      </w:r>
      <w:r w:rsidRPr="00B03A4B">
        <w:rPr>
          <w:bCs/>
          <w:i/>
          <w:iCs/>
        </w:rPr>
        <w:t>National Health (Price and Special Patient Contribution) Determination 2021</w:t>
      </w:r>
      <w:r w:rsidRPr="00A9075A">
        <w:rPr>
          <w:bCs/>
        </w:rPr>
        <w:t>.</w:t>
      </w:r>
    </w:p>
    <w:p w14:paraId="02CB4909" w14:textId="77777777" w:rsidR="00B03A4B" w:rsidRPr="00A9075A" w:rsidRDefault="00B03A4B" w:rsidP="00B03A4B">
      <w:pPr>
        <w:rPr>
          <w:bCs/>
        </w:rPr>
      </w:pPr>
    </w:p>
    <w:p w14:paraId="4BBD8B73" w14:textId="77777777" w:rsidR="00B03A4B" w:rsidRPr="00A9075A" w:rsidRDefault="00B03A4B" w:rsidP="00B03A4B">
      <w:pPr>
        <w:rPr>
          <w:bCs/>
        </w:rPr>
      </w:pPr>
      <w:r w:rsidRPr="00A9075A">
        <w:rPr>
          <w:rFonts w:eastAsia="Times New Roman"/>
          <w:b/>
          <w:bCs/>
          <w:color w:val="000000"/>
          <w:sz w:val="28"/>
          <w:szCs w:val="28"/>
          <w:lang w:eastAsia="en-AU"/>
        </w:rPr>
        <w:br w:type="page"/>
      </w:r>
    </w:p>
    <w:p w14:paraId="419BA8ED" w14:textId="77777777" w:rsidR="00B03A4B" w:rsidRPr="00A9075A" w:rsidRDefault="00B03A4B" w:rsidP="00B03A4B">
      <w:pPr>
        <w:shd w:val="clear" w:color="auto" w:fill="FFFFFF"/>
        <w:spacing w:before="120" w:after="120" w:line="240" w:lineRule="auto"/>
        <w:jc w:val="center"/>
        <w:rPr>
          <w:rFonts w:eastAsia="Times New Roman"/>
          <w:b/>
          <w:bCs/>
          <w:color w:val="000000"/>
          <w:sz w:val="28"/>
          <w:szCs w:val="28"/>
          <w:lang w:eastAsia="en-AU"/>
        </w:rPr>
      </w:pPr>
      <w:r w:rsidRPr="00A9075A">
        <w:rPr>
          <w:rFonts w:eastAsia="Times New Roman"/>
          <w:b/>
          <w:bCs/>
          <w:color w:val="000000"/>
          <w:sz w:val="28"/>
          <w:szCs w:val="28"/>
          <w:lang w:eastAsia="en-AU"/>
        </w:rPr>
        <w:lastRenderedPageBreak/>
        <w:t>Statement of Compatibility with Human Rights</w:t>
      </w:r>
    </w:p>
    <w:p w14:paraId="0BAC5708" w14:textId="77777777" w:rsidR="00B03A4B" w:rsidRPr="00A9075A" w:rsidRDefault="00B03A4B" w:rsidP="00B03A4B">
      <w:pPr>
        <w:shd w:val="clear" w:color="auto" w:fill="FFFFFF"/>
        <w:spacing w:before="120" w:after="120" w:line="240" w:lineRule="auto"/>
        <w:rPr>
          <w:rFonts w:eastAsia="Times New Roman"/>
          <w:color w:val="000000"/>
          <w:lang w:eastAsia="en-AU"/>
        </w:rPr>
      </w:pPr>
      <w:r w:rsidRPr="00A9075A">
        <w:rPr>
          <w:rFonts w:eastAsia="Times New Roman"/>
          <w:i/>
          <w:iCs/>
          <w:color w:val="000000"/>
          <w:lang w:eastAsia="en-AU"/>
        </w:rPr>
        <w:t>Prepared in accordance with Part 3 of the Human Rights (Parliamentary Scrutiny) Act 2011</w:t>
      </w:r>
    </w:p>
    <w:p w14:paraId="6D937398" w14:textId="5617A1D7" w:rsidR="00B03A4B" w:rsidRPr="00A9075A" w:rsidRDefault="00B03A4B" w:rsidP="00B03A4B">
      <w:pPr>
        <w:contextualSpacing/>
        <w:rPr>
          <w:b/>
          <w:i/>
        </w:rPr>
      </w:pPr>
      <w:r w:rsidRPr="00A9075A">
        <w:rPr>
          <w:b/>
          <w:i/>
        </w:rPr>
        <w:t>National Health (Price and Special Patient Contribution) Determination 202</w:t>
      </w:r>
      <w:r>
        <w:rPr>
          <w:b/>
          <w:i/>
        </w:rPr>
        <w:t>2</w:t>
      </w:r>
      <w:r w:rsidRPr="00A9075A">
        <w:rPr>
          <w:b/>
          <w:i/>
        </w:rPr>
        <w:t xml:space="preserve"> (PB </w:t>
      </w:r>
      <w:r w:rsidR="004D720F">
        <w:rPr>
          <w:b/>
          <w:i/>
        </w:rPr>
        <w:t>98</w:t>
      </w:r>
      <w:r w:rsidR="004D720F" w:rsidRPr="00A9075A">
        <w:rPr>
          <w:b/>
          <w:i/>
        </w:rPr>
        <w:t> </w:t>
      </w:r>
      <w:r w:rsidRPr="00A9075A">
        <w:rPr>
          <w:b/>
          <w:i/>
        </w:rPr>
        <w:t>of 202</w:t>
      </w:r>
      <w:r>
        <w:rPr>
          <w:b/>
          <w:i/>
        </w:rPr>
        <w:t>2</w:t>
      </w:r>
      <w:r w:rsidRPr="00A9075A">
        <w:rPr>
          <w:b/>
          <w:i/>
        </w:rPr>
        <w:t>)</w:t>
      </w:r>
    </w:p>
    <w:p w14:paraId="4CC67612" w14:textId="77777777" w:rsidR="00B03A4B" w:rsidRPr="00A9075A" w:rsidRDefault="00B03A4B" w:rsidP="00B03A4B">
      <w:pPr>
        <w:contextualSpacing/>
        <w:jc w:val="center"/>
        <w:rPr>
          <w:b/>
          <w:i/>
        </w:rPr>
      </w:pPr>
    </w:p>
    <w:p w14:paraId="74AC6116" w14:textId="77777777" w:rsidR="00B03A4B" w:rsidRPr="00A9075A" w:rsidRDefault="00B03A4B" w:rsidP="00B03A4B">
      <w:pPr>
        <w:shd w:val="clear" w:color="auto" w:fill="FFFFFF"/>
        <w:spacing w:after="120" w:line="240" w:lineRule="auto"/>
        <w:contextualSpacing/>
        <w:rPr>
          <w:rFonts w:eastAsia="Times New Roman"/>
          <w:color w:val="000000"/>
          <w:lang w:eastAsia="en-AU"/>
        </w:rPr>
      </w:pPr>
      <w:r w:rsidRPr="00A9075A">
        <w:rPr>
          <w:rFonts w:eastAsia="Times New Roman"/>
          <w:color w:val="000000"/>
          <w:lang w:eastAsia="en-AU"/>
        </w:rPr>
        <w:t>This Legislative Instrument is compatible with the human rights and freedoms recognised or declared in the international instruments listed in section 3 of the </w:t>
      </w:r>
      <w:r w:rsidRPr="00A9075A">
        <w:rPr>
          <w:rFonts w:eastAsia="Times New Roman"/>
          <w:i/>
          <w:iCs/>
          <w:color w:val="000000"/>
          <w:lang w:eastAsia="en-AU"/>
        </w:rPr>
        <w:t>Human Rights (Parliamentary Scrutiny) Act 2011</w:t>
      </w:r>
      <w:r w:rsidRPr="00A9075A">
        <w:rPr>
          <w:rFonts w:eastAsia="Times New Roman"/>
          <w:color w:val="000000"/>
          <w:lang w:eastAsia="en-AU"/>
        </w:rPr>
        <w:t>.</w:t>
      </w:r>
    </w:p>
    <w:p w14:paraId="14156CF3" w14:textId="77777777" w:rsidR="00B03A4B" w:rsidRPr="00A9075A" w:rsidRDefault="00B03A4B" w:rsidP="00B03A4B">
      <w:pPr>
        <w:shd w:val="clear" w:color="auto" w:fill="FFFFFF"/>
        <w:spacing w:before="120" w:after="0" w:line="240" w:lineRule="auto"/>
        <w:contextualSpacing/>
        <w:rPr>
          <w:rFonts w:eastAsia="Times New Roman"/>
          <w:color w:val="000000"/>
          <w:lang w:eastAsia="en-AU"/>
        </w:rPr>
      </w:pPr>
      <w:r w:rsidRPr="00A9075A">
        <w:rPr>
          <w:rFonts w:eastAsia="Times New Roman"/>
          <w:color w:val="000000"/>
          <w:sz w:val="20"/>
          <w:szCs w:val="20"/>
          <w:lang w:eastAsia="en-AU"/>
        </w:rPr>
        <w:t> </w:t>
      </w:r>
    </w:p>
    <w:p w14:paraId="150165BF" w14:textId="77777777" w:rsidR="00B03A4B" w:rsidRPr="00A9075A" w:rsidRDefault="00B03A4B" w:rsidP="00B03A4B">
      <w:pPr>
        <w:shd w:val="clear" w:color="auto" w:fill="FFFFFF"/>
        <w:spacing w:after="120" w:line="240" w:lineRule="auto"/>
        <w:contextualSpacing/>
        <w:jc w:val="both"/>
        <w:rPr>
          <w:rFonts w:eastAsia="Times New Roman"/>
          <w:color w:val="000000"/>
          <w:lang w:eastAsia="en-AU"/>
        </w:rPr>
      </w:pPr>
      <w:r w:rsidRPr="00A9075A">
        <w:rPr>
          <w:rFonts w:eastAsia="Times New Roman"/>
          <w:b/>
          <w:bCs/>
          <w:color w:val="000000"/>
          <w:lang w:eastAsia="en-AU"/>
        </w:rPr>
        <w:t>Overview of the Legislative Instrument</w:t>
      </w:r>
    </w:p>
    <w:p w14:paraId="71A8FE17" w14:textId="77777777" w:rsidR="00B03A4B" w:rsidRPr="00A9075A" w:rsidRDefault="00B03A4B" w:rsidP="00B03A4B">
      <w:pPr>
        <w:keepNext/>
        <w:keepLines/>
        <w:contextualSpacing/>
      </w:pPr>
      <w:r w:rsidRPr="00A9075A">
        <w:t xml:space="preserve">This Legislative Instrument is made pursuant to subsection </w:t>
      </w:r>
      <w:r w:rsidRPr="00A9075A">
        <w:rPr>
          <w:rFonts w:eastAsia="Times New Roman"/>
          <w:color w:val="000000"/>
          <w:lang w:eastAsia="en-AU"/>
        </w:rPr>
        <w:t xml:space="preserve">85B of the </w:t>
      </w:r>
      <w:r w:rsidRPr="00A9075A">
        <w:rPr>
          <w:rFonts w:eastAsia="Times New Roman"/>
          <w:i/>
          <w:iCs/>
          <w:color w:val="000000"/>
          <w:lang w:eastAsia="en-AU"/>
        </w:rPr>
        <w:t>National Health Act 1953 </w:t>
      </w:r>
      <w:r w:rsidRPr="00A9075A">
        <w:rPr>
          <w:rFonts w:eastAsia="Times New Roman"/>
          <w:color w:val="000000"/>
          <w:lang w:eastAsia="en-AU"/>
        </w:rPr>
        <w:t xml:space="preserve">(the Act), </w:t>
      </w:r>
      <w:r w:rsidRPr="00A9075A">
        <w:t>which provides for price determinations in relation to brands of pharmaceutical items listed on the Pharmaceutical Benefits Scheme (PBS), for which the Minister and the responsible person have not been able to make a price agreement. It also provides for the circumstances in which the Commonwealth will pay the special patient contribution resulting from these price determinations.</w:t>
      </w:r>
    </w:p>
    <w:p w14:paraId="7B28B0E9" w14:textId="77777777" w:rsidR="00B03A4B" w:rsidRPr="00A9075A" w:rsidRDefault="00B03A4B" w:rsidP="00B03A4B">
      <w:pPr>
        <w:keepNext/>
        <w:keepLines/>
        <w:contextualSpacing/>
      </w:pPr>
    </w:p>
    <w:p w14:paraId="6317E4E3" w14:textId="77777777" w:rsidR="00B03A4B" w:rsidRPr="00A9075A" w:rsidRDefault="00B03A4B" w:rsidP="00B03A4B">
      <w:pPr>
        <w:keepNext/>
        <w:keepLines/>
        <w:contextualSpacing/>
        <w:rPr>
          <w:rFonts w:eastAsia="Times New Roman"/>
          <w:color w:val="000000"/>
          <w:lang w:eastAsia="en-AU"/>
        </w:rPr>
      </w:pPr>
      <w:r w:rsidRPr="00A9075A">
        <w:rPr>
          <w:rFonts w:eastAsia="Times New Roman"/>
          <w:b/>
          <w:bCs/>
          <w:color w:val="000000"/>
          <w:lang w:eastAsia="en-AU"/>
        </w:rPr>
        <w:t>Human rights implications</w:t>
      </w:r>
    </w:p>
    <w:p w14:paraId="26B4B740" w14:textId="77777777" w:rsidR="00B03A4B" w:rsidRPr="00A9075A" w:rsidRDefault="00B03A4B" w:rsidP="00B03A4B">
      <w:pPr>
        <w:shd w:val="clear" w:color="auto" w:fill="FFFFFF"/>
        <w:spacing w:before="120" w:after="180" w:line="240" w:lineRule="auto"/>
        <w:rPr>
          <w:rFonts w:eastAsia="Times New Roman"/>
          <w:color w:val="000000"/>
          <w:lang w:eastAsia="en-AU"/>
        </w:rPr>
      </w:pPr>
      <w:r w:rsidRPr="00A9075A">
        <w:rPr>
          <w:rFonts w:eastAsia="Times New Roman"/>
          <w:color w:val="000000"/>
          <w:lang w:val="en-GB" w:eastAsia="en-AU"/>
        </w:rPr>
        <w:t>The Determination engages Article 12 of the International Covenant on Economic, Social and Cultural Rights (ICESCR) by assisting with the progressive realisation by all appropriate means of the right of everyone to the enjoyment of the highest attainable standard of physical and mental health.</w:t>
      </w:r>
    </w:p>
    <w:p w14:paraId="7DE6E378" w14:textId="77777777" w:rsidR="00B03A4B" w:rsidRPr="00A9075A" w:rsidRDefault="00B03A4B" w:rsidP="00B03A4B">
      <w:pPr>
        <w:shd w:val="clear" w:color="auto" w:fill="FFFFFF"/>
        <w:spacing w:before="180" w:after="180" w:line="240" w:lineRule="auto"/>
        <w:contextualSpacing/>
        <w:rPr>
          <w:rFonts w:eastAsia="Times New Roman"/>
          <w:color w:val="000000"/>
          <w:lang w:eastAsia="en-AU"/>
        </w:rPr>
      </w:pPr>
      <w:r w:rsidRPr="00A9075A">
        <w:rPr>
          <w:rFonts w:eastAsia="Times New Roman"/>
          <w:color w:val="000000"/>
          <w:lang w:val="en-GB" w:eastAsia="en-AU"/>
        </w:rPr>
        <w:t xml:space="preserve">The PBS is a benefits scheme which assists with providing subsidised access to medicines for people. This is a positive and supportive step towards attaining the highest standard of health for all Australians. Determining prices under section 85B of the Act promotes the efficient operation of the PBS by offering an additional avenue for sponsors to appeal the viability of approved ex-manufacturer prices of pharmaceutical items. Government policy includes </w:t>
      </w:r>
      <w:proofErr w:type="gramStart"/>
      <w:r w:rsidRPr="00A9075A">
        <w:rPr>
          <w:rFonts w:eastAsia="Times New Roman"/>
          <w:color w:val="000000"/>
          <w:lang w:val="en-GB" w:eastAsia="en-AU"/>
        </w:rPr>
        <w:t>that prices</w:t>
      </w:r>
      <w:proofErr w:type="gramEnd"/>
      <w:r w:rsidRPr="00A9075A">
        <w:rPr>
          <w:rFonts w:eastAsia="Times New Roman"/>
          <w:color w:val="000000"/>
          <w:lang w:val="en-GB" w:eastAsia="en-AU"/>
        </w:rPr>
        <w:t xml:space="preserve"> may only be determined under section 85B of the Act if </w:t>
      </w:r>
      <w:r w:rsidRPr="00A9075A">
        <w:rPr>
          <w:rFonts w:eastAsia="Times New Roman"/>
          <w:color w:val="000000"/>
          <w:lang w:eastAsia="en-AU"/>
        </w:rPr>
        <w:t>at least one brand is available to consumers in sufficient quantities at the benchmark price.</w:t>
      </w:r>
    </w:p>
    <w:p w14:paraId="1DB16EE7" w14:textId="77777777" w:rsidR="00B03A4B" w:rsidRPr="00A9075A" w:rsidRDefault="00B03A4B" w:rsidP="00B03A4B">
      <w:pPr>
        <w:shd w:val="clear" w:color="auto" w:fill="FFFFFF"/>
        <w:spacing w:before="180" w:after="180" w:line="240" w:lineRule="auto"/>
        <w:contextualSpacing/>
        <w:rPr>
          <w:rFonts w:eastAsia="Times New Roman"/>
          <w:color w:val="000000"/>
          <w:lang w:eastAsia="en-AU"/>
        </w:rPr>
      </w:pPr>
    </w:p>
    <w:p w14:paraId="3AF85495" w14:textId="77777777" w:rsidR="00B03A4B" w:rsidRPr="00A9075A" w:rsidRDefault="00B03A4B" w:rsidP="00B03A4B">
      <w:pPr>
        <w:keepNext/>
        <w:keepLines/>
        <w:shd w:val="clear" w:color="auto" w:fill="FFFFFF"/>
        <w:spacing w:before="180" w:after="180" w:line="240" w:lineRule="auto"/>
        <w:contextualSpacing/>
        <w:rPr>
          <w:rFonts w:eastAsia="Times New Roman"/>
          <w:color w:val="000000"/>
          <w:lang w:eastAsia="en-AU"/>
        </w:rPr>
      </w:pPr>
      <w:r w:rsidRPr="00A9075A">
        <w:rPr>
          <w:rFonts w:eastAsia="Times New Roman"/>
          <w:b/>
          <w:bCs/>
          <w:color w:val="000000"/>
          <w:lang w:eastAsia="en-AU"/>
        </w:rPr>
        <w:t>Conclusion</w:t>
      </w:r>
    </w:p>
    <w:p w14:paraId="63D1A89A" w14:textId="77777777" w:rsidR="00B03A4B" w:rsidRPr="00A9075A" w:rsidRDefault="00B03A4B" w:rsidP="00B03A4B">
      <w:pPr>
        <w:keepNext/>
        <w:keepLines/>
        <w:shd w:val="clear" w:color="auto" w:fill="FFFFFF"/>
        <w:spacing w:before="120" w:after="240" w:line="240" w:lineRule="auto"/>
        <w:rPr>
          <w:rFonts w:eastAsia="Times New Roman"/>
          <w:color w:val="000000"/>
          <w:lang w:eastAsia="en-AU"/>
        </w:rPr>
      </w:pPr>
      <w:r w:rsidRPr="00A9075A">
        <w:rPr>
          <w:rFonts w:eastAsia="Times New Roman"/>
          <w:color w:val="000000"/>
          <w:lang w:eastAsia="en-AU"/>
        </w:rPr>
        <w:t xml:space="preserve">The </w:t>
      </w:r>
      <w:r w:rsidRPr="00A9075A">
        <w:t>Legislative Instrument</w:t>
      </w:r>
      <w:r w:rsidRPr="00A9075A">
        <w:rPr>
          <w:rFonts w:eastAsia="Times New Roman"/>
          <w:color w:val="000000"/>
          <w:lang w:eastAsia="en-AU"/>
        </w:rPr>
        <w:t xml:space="preserve"> is compatible with human rights, as it promotes the protection of human rights. </w:t>
      </w:r>
    </w:p>
    <w:p w14:paraId="7D3DF8EE" w14:textId="77777777" w:rsidR="00B03A4B" w:rsidRPr="00A9075A" w:rsidRDefault="00B03A4B" w:rsidP="00B03A4B">
      <w:pPr>
        <w:keepNext/>
        <w:keepLines/>
        <w:shd w:val="clear" w:color="auto" w:fill="FFFFFF"/>
        <w:spacing w:after="0" w:line="240" w:lineRule="auto"/>
        <w:jc w:val="center"/>
        <w:rPr>
          <w:rFonts w:eastAsia="Times New Roman"/>
          <w:b/>
          <w:bCs/>
          <w:color w:val="000000"/>
          <w:lang w:eastAsia="en-AU"/>
        </w:rPr>
      </w:pPr>
    </w:p>
    <w:p w14:paraId="4D83AC42" w14:textId="3FAD0350" w:rsidR="00B03A4B" w:rsidRPr="00A9075A" w:rsidRDefault="004D720F" w:rsidP="00B03A4B">
      <w:pPr>
        <w:keepNext/>
        <w:keepLines/>
        <w:shd w:val="clear" w:color="auto" w:fill="FFFFFF"/>
        <w:spacing w:after="0" w:line="240" w:lineRule="auto"/>
        <w:jc w:val="center"/>
        <w:rPr>
          <w:rFonts w:eastAsia="Times New Roman"/>
          <w:b/>
          <w:bCs/>
          <w:color w:val="000000"/>
          <w:lang w:eastAsia="en-AU"/>
        </w:rPr>
      </w:pPr>
      <w:r>
        <w:rPr>
          <w:rFonts w:eastAsia="Times New Roman"/>
          <w:b/>
          <w:bCs/>
          <w:color w:val="000000"/>
          <w:lang w:eastAsia="en-AU"/>
        </w:rPr>
        <w:t xml:space="preserve">Nikolai </w:t>
      </w:r>
      <w:proofErr w:type="spellStart"/>
      <w:r>
        <w:rPr>
          <w:rFonts w:eastAsia="Times New Roman"/>
          <w:b/>
          <w:bCs/>
          <w:color w:val="000000"/>
          <w:lang w:eastAsia="en-AU"/>
        </w:rPr>
        <w:t>Tsyganov</w:t>
      </w:r>
      <w:proofErr w:type="spellEnd"/>
    </w:p>
    <w:p w14:paraId="3B98390B" w14:textId="2CD54C1E" w:rsidR="00B03A4B" w:rsidRPr="00A9075A" w:rsidRDefault="00BE5257" w:rsidP="00B03A4B">
      <w:pPr>
        <w:keepNext/>
        <w:keepLines/>
        <w:shd w:val="clear" w:color="auto" w:fill="FFFFFF"/>
        <w:spacing w:after="0" w:line="240" w:lineRule="auto"/>
        <w:jc w:val="center"/>
        <w:rPr>
          <w:rFonts w:eastAsia="Times New Roman"/>
          <w:b/>
          <w:bCs/>
          <w:color w:val="000000"/>
          <w:lang w:eastAsia="en-AU"/>
        </w:rPr>
      </w:pPr>
      <w:r>
        <w:rPr>
          <w:rFonts w:eastAsia="Times New Roman"/>
          <w:b/>
          <w:bCs/>
          <w:color w:val="000000"/>
          <w:lang w:eastAsia="en-AU"/>
        </w:rPr>
        <w:t xml:space="preserve">Acting </w:t>
      </w:r>
      <w:r w:rsidR="00B03A4B" w:rsidRPr="00A9075A">
        <w:rPr>
          <w:rFonts w:eastAsia="Times New Roman"/>
          <w:b/>
          <w:bCs/>
          <w:color w:val="000000"/>
          <w:lang w:eastAsia="en-AU"/>
        </w:rPr>
        <w:t>Assistant Secretary</w:t>
      </w:r>
    </w:p>
    <w:p w14:paraId="59D12C4B" w14:textId="77777777" w:rsidR="00B03A4B" w:rsidRPr="00A9075A" w:rsidRDefault="00B03A4B" w:rsidP="00B03A4B">
      <w:pPr>
        <w:keepNext/>
        <w:keepLines/>
        <w:shd w:val="clear" w:color="auto" w:fill="FFFFFF"/>
        <w:spacing w:after="0" w:line="240" w:lineRule="auto"/>
        <w:jc w:val="center"/>
        <w:rPr>
          <w:rFonts w:eastAsia="Times New Roman"/>
          <w:b/>
          <w:color w:val="000000"/>
          <w:lang w:eastAsia="en-AU"/>
        </w:rPr>
      </w:pPr>
      <w:r w:rsidRPr="00A9075A">
        <w:rPr>
          <w:b/>
          <w:szCs w:val="22"/>
        </w:rPr>
        <w:t>Pricing and PBS Policy Branch</w:t>
      </w:r>
    </w:p>
    <w:p w14:paraId="489D1628" w14:textId="77777777" w:rsidR="00B03A4B" w:rsidRPr="00A9075A" w:rsidRDefault="00B03A4B" w:rsidP="00B03A4B">
      <w:pPr>
        <w:keepNext/>
        <w:keepLines/>
        <w:shd w:val="clear" w:color="auto" w:fill="FFFFFF"/>
        <w:spacing w:after="0" w:line="240" w:lineRule="auto"/>
        <w:jc w:val="center"/>
        <w:rPr>
          <w:rFonts w:eastAsia="Times New Roman"/>
          <w:color w:val="000000"/>
          <w:lang w:eastAsia="en-AU"/>
        </w:rPr>
      </w:pPr>
      <w:r w:rsidRPr="00A9075A">
        <w:rPr>
          <w:rFonts w:eastAsia="Times New Roman"/>
          <w:b/>
          <w:bCs/>
          <w:color w:val="000000"/>
          <w:lang w:eastAsia="en-AU"/>
        </w:rPr>
        <w:t>Health Resourcing Group</w:t>
      </w:r>
    </w:p>
    <w:p w14:paraId="4D67DF5C" w14:textId="6B64F864" w:rsidR="00B03A4B" w:rsidRPr="00E40F4A" w:rsidRDefault="00B03A4B" w:rsidP="00B03A4B">
      <w:pPr>
        <w:keepNext/>
        <w:keepLines/>
        <w:jc w:val="center"/>
        <w:rPr>
          <w:b/>
        </w:rPr>
      </w:pPr>
      <w:r w:rsidRPr="00A9075A">
        <w:rPr>
          <w:rFonts w:eastAsia="Times New Roman"/>
          <w:b/>
          <w:bCs/>
          <w:color w:val="000000"/>
          <w:lang w:eastAsia="en-AU"/>
        </w:rPr>
        <w:t>Department of Health</w:t>
      </w:r>
      <w:r>
        <w:rPr>
          <w:rFonts w:eastAsia="Times New Roman"/>
          <w:b/>
          <w:bCs/>
          <w:color w:val="000000"/>
          <w:lang w:eastAsia="en-AU"/>
        </w:rPr>
        <w:t xml:space="preserve"> and</w:t>
      </w:r>
      <w:r w:rsidR="004D720F">
        <w:rPr>
          <w:rFonts w:eastAsia="Times New Roman"/>
          <w:b/>
          <w:bCs/>
          <w:color w:val="000000"/>
          <w:lang w:eastAsia="en-AU"/>
        </w:rPr>
        <w:t xml:space="preserve"> </w:t>
      </w:r>
      <w:r>
        <w:rPr>
          <w:rFonts w:eastAsia="Times New Roman"/>
          <w:b/>
          <w:bCs/>
          <w:color w:val="000000"/>
          <w:lang w:eastAsia="en-AU"/>
        </w:rPr>
        <w:t>Aged Care</w:t>
      </w:r>
    </w:p>
    <w:p w14:paraId="0D98B90E" w14:textId="77777777" w:rsidR="00FF1482" w:rsidRDefault="00FF1482"/>
    <w:sectPr w:rsidR="00FF1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1189"/>
    <w:multiLevelType w:val="hybridMultilevel"/>
    <w:tmpl w:val="BC22E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48793F"/>
    <w:multiLevelType w:val="hybridMultilevel"/>
    <w:tmpl w:val="6052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200593"/>
    <w:multiLevelType w:val="hybridMultilevel"/>
    <w:tmpl w:val="24289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82"/>
    <w:rsid w:val="0009425D"/>
    <w:rsid w:val="00170558"/>
    <w:rsid w:val="00192668"/>
    <w:rsid w:val="001C4904"/>
    <w:rsid w:val="00366BB8"/>
    <w:rsid w:val="00403BAD"/>
    <w:rsid w:val="004D720F"/>
    <w:rsid w:val="00631637"/>
    <w:rsid w:val="00697DF2"/>
    <w:rsid w:val="007A3EEE"/>
    <w:rsid w:val="00813B31"/>
    <w:rsid w:val="009D33DF"/>
    <w:rsid w:val="00B03A4B"/>
    <w:rsid w:val="00B31AFF"/>
    <w:rsid w:val="00B67389"/>
    <w:rsid w:val="00B83C9F"/>
    <w:rsid w:val="00BD3655"/>
    <w:rsid w:val="00BE5257"/>
    <w:rsid w:val="00C555C4"/>
    <w:rsid w:val="00C844CC"/>
    <w:rsid w:val="00CD1F1C"/>
    <w:rsid w:val="00D0125E"/>
    <w:rsid w:val="00EE284D"/>
    <w:rsid w:val="00EE4791"/>
    <w:rsid w:val="00F27B5E"/>
    <w:rsid w:val="00FF1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589B"/>
  <w15:chartTrackingRefBased/>
  <w15:docId w15:val="{97C6D4BF-D53E-4F9B-B9A5-43BA6B9B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A4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B03A4B"/>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B03A4B"/>
    <w:pPr>
      <w:ind w:left="720"/>
      <w:contextualSpacing/>
    </w:pPr>
  </w:style>
  <w:style w:type="paragraph" w:customStyle="1" w:styleId="acthead5">
    <w:name w:val="acthead5"/>
    <w:basedOn w:val="Normal"/>
    <w:rsid w:val="00B03A4B"/>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7A3EEE"/>
    <w:rPr>
      <w:sz w:val="16"/>
      <w:szCs w:val="16"/>
    </w:rPr>
  </w:style>
  <w:style w:type="paragraph" w:styleId="CommentText">
    <w:name w:val="annotation text"/>
    <w:basedOn w:val="Normal"/>
    <w:link w:val="CommentTextChar"/>
    <w:uiPriority w:val="99"/>
    <w:semiHidden/>
    <w:unhideWhenUsed/>
    <w:rsid w:val="007A3EEE"/>
    <w:pPr>
      <w:spacing w:line="240" w:lineRule="auto"/>
    </w:pPr>
    <w:rPr>
      <w:sz w:val="20"/>
      <w:szCs w:val="20"/>
    </w:rPr>
  </w:style>
  <w:style w:type="character" w:customStyle="1" w:styleId="CommentTextChar">
    <w:name w:val="Comment Text Char"/>
    <w:basedOn w:val="DefaultParagraphFont"/>
    <w:link w:val="CommentText"/>
    <w:uiPriority w:val="99"/>
    <w:semiHidden/>
    <w:rsid w:val="007A3EE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3EEE"/>
    <w:rPr>
      <w:b/>
      <w:bCs/>
    </w:rPr>
  </w:style>
  <w:style w:type="character" w:customStyle="1" w:styleId="CommentSubjectChar">
    <w:name w:val="Comment Subject Char"/>
    <w:basedOn w:val="CommentTextChar"/>
    <w:link w:val="CommentSubject"/>
    <w:uiPriority w:val="99"/>
    <w:semiHidden/>
    <w:rsid w:val="007A3EE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8</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Jason</dc:creator>
  <cp:keywords/>
  <dc:description/>
  <cp:lastModifiedBy>NG, Jason</cp:lastModifiedBy>
  <cp:revision>13</cp:revision>
  <dcterms:created xsi:type="dcterms:W3CDTF">2022-09-16T05:38:00Z</dcterms:created>
  <dcterms:modified xsi:type="dcterms:W3CDTF">2022-09-28T23:39:00Z</dcterms:modified>
</cp:coreProperties>
</file>