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Pr="00BB7E9F" w:rsidRDefault="00086BF0" w:rsidP="00CC4789">
      <w:pPr>
        <w:rPr>
          <w:rFonts w:ascii="Times New Roman" w:hAnsi="Times New Roman" w:cs="Times New Roman"/>
          <w:sz w:val="28"/>
        </w:rPr>
      </w:pPr>
      <w:r w:rsidRPr="00BB7E9F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628F735C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Pr="00BB7E9F" w:rsidRDefault="00086BF0" w:rsidP="00CC4789">
      <w:pPr>
        <w:rPr>
          <w:rFonts w:ascii="Times New Roman" w:hAnsi="Times New Roman" w:cs="Times New Roman"/>
          <w:sz w:val="19"/>
        </w:rPr>
      </w:pPr>
    </w:p>
    <w:p w14:paraId="44546B6E" w14:textId="76B59FF8" w:rsidR="00086BF0" w:rsidRPr="00BB7E9F" w:rsidRDefault="00E23CEA" w:rsidP="00CC4789">
      <w:pPr>
        <w:pStyle w:val="ShortT"/>
      </w:pPr>
      <w:r w:rsidRPr="00BB7E9F">
        <w:t xml:space="preserve">Telecommunications </w:t>
      </w:r>
      <w:r w:rsidR="000F0492" w:rsidRPr="00BB7E9F">
        <w:t xml:space="preserve">Carrier Licence Charges </w:t>
      </w:r>
      <w:r w:rsidRPr="00BB7E9F">
        <w:t>(</w:t>
      </w:r>
      <w:r w:rsidR="007B2C41" w:rsidRPr="00BB7E9F">
        <w:t>Annual Charge</w:t>
      </w:r>
      <w:r w:rsidR="008041AB" w:rsidRPr="00BB7E9F">
        <w:t>s</w:t>
      </w:r>
      <w:r w:rsidRPr="00BB7E9F">
        <w:t xml:space="preserve">) Determination </w:t>
      </w:r>
      <w:r w:rsidR="000F0492" w:rsidRPr="00BB7E9F">
        <w:t xml:space="preserve">(No. 1) </w:t>
      </w:r>
      <w:r w:rsidRPr="00BB7E9F">
        <w:t>202</w:t>
      </w:r>
      <w:r w:rsidR="00FC7B86">
        <w:t>2</w:t>
      </w:r>
    </w:p>
    <w:p w14:paraId="75AA3C11" w14:textId="77777777" w:rsidR="00086BF0" w:rsidRPr="00BB7E9F" w:rsidRDefault="00086BF0" w:rsidP="00CC4789">
      <w:pPr>
        <w:pStyle w:val="SignCoverPageStart"/>
        <w:spacing w:before="0" w:line="240" w:lineRule="auto"/>
        <w:jc w:val="left"/>
        <w:rPr>
          <w:szCs w:val="22"/>
        </w:rPr>
      </w:pPr>
    </w:p>
    <w:p w14:paraId="02E0E8E7" w14:textId="4ADB7DE2" w:rsidR="000E2F81" w:rsidRPr="00BB7E9F" w:rsidRDefault="00086BF0" w:rsidP="00CC4789">
      <w:pPr>
        <w:pStyle w:val="SignCoverPageStart"/>
        <w:spacing w:before="0" w:line="240" w:lineRule="auto"/>
        <w:jc w:val="left"/>
      </w:pPr>
      <w:r w:rsidRPr="00BB7E9F">
        <w:rPr>
          <w:szCs w:val="22"/>
        </w:rPr>
        <w:t xml:space="preserve">The Australian Communications and Media Authority makes the following determination under </w:t>
      </w:r>
      <w:r w:rsidR="00DE17B4" w:rsidRPr="00BB7E9F">
        <w:t>subsection 14(1)</w:t>
      </w:r>
      <w:r w:rsidR="000E2F81" w:rsidRPr="00BB7E9F">
        <w:t xml:space="preserve"> of the </w:t>
      </w:r>
      <w:r w:rsidR="000E2F81" w:rsidRPr="00BB7E9F">
        <w:rPr>
          <w:i/>
        </w:rPr>
        <w:t>Telecommunications (Carrier Licence Charges) Act 1997</w:t>
      </w:r>
      <w:r w:rsidR="000E2F81" w:rsidRPr="00BB7E9F">
        <w:t>.</w:t>
      </w:r>
    </w:p>
    <w:p w14:paraId="6810BF47" w14:textId="77777777" w:rsidR="000E2F81" w:rsidRPr="00BB7E9F" w:rsidRDefault="000E2F81" w:rsidP="00CC4789">
      <w:pPr>
        <w:pStyle w:val="SignCoverPageStart"/>
        <w:spacing w:before="0" w:line="240" w:lineRule="auto"/>
        <w:jc w:val="left"/>
      </w:pPr>
    </w:p>
    <w:p w14:paraId="11CC4671" w14:textId="29639628" w:rsidR="00086BF0" w:rsidRPr="00BB7E9F" w:rsidRDefault="00086BF0" w:rsidP="00CC4789">
      <w:pPr>
        <w:pStyle w:val="SignCoverPageStart"/>
        <w:spacing w:before="0" w:line="240" w:lineRule="auto"/>
        <w:jc w:val="left"/>
      </w:pPr>
      <w:r w:rsidRPr="00BB7E9F">
        <w:t>Dated</w:t>
      </w:r>
      <w:bookmarkStart w:id="0" w:name="BKCheck15B_1"/>
      <w:bookmarkEnd w:id="0"/>
      <w:r w:rsidRPr="00BB7E9F">
        <w:t>:</w:t>
      </w:r>
      <w:r w:rsidR="00C60209">
        <w:t xml:space="preserve"> 30 September 2022</w:t>
      </w:r>
    </w:p>
    <w:p w14:paraId="7478172E" w14:textId="3770EB2F" w:rsidR="00C60209" w:rsidRDefault="00C60209" w:rsidP="00C6020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Jose</w:t>
      </w:r>
    </w:p>
    <w:p w14:paraId="28533385" w14:textId="5409D68C" w:rsidR="00C60209" w:rsidRDefault="00C60209" w:rsidP="00C6020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66B50B92" w:rsidR="00086BF0" w:rsidRDefault="00086BF0" w:rsidP="00C6020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BB7E9F">
        <w:rPr>
          <w:rFonts w:ascii="Times New Roman" w:hAnsi="Times New Roman" w:cs="Times New Roman"/>
        </w:rPr>
        <w:t>Member</w:t>
      </w:r>
      <w:bookmarkStart w:id="1" w:name="Minister"/>
    </w:p>
    <w:p w14:paraId="4A89C62A" w14:textId="5CCF22F6" w:rsidR="00C60209" w:rsidRDefault="00C60209" w:rsidP="00C6020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17D188D" w14:textId="2113C869" w:rsidR="00C60209" w:rsidRDefault="00C60209" w:rsidP="00C6020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Caruso</w:t>
      </w:r>
    </w:p>
    <w:p w14:paraId="7C0E2047" w14:textId="36A46961" w:rsidR="00C60209" w:rsidRPr="00BB7E9F" w:rsidRDefault="00C60209" w:rsidP="00C6020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7777777" w:rsidR="00086BF0" w:rsidRPr="00BB7E9F" w:rsidRDefault="00086BF0" w:rsidP="00C6020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C60209">
        <w:rPr>
          <w:rFonts w:ascii="Times New Roman" w:hAnsi="Times New Roman" w:cs="Times New Roman"/>
          <w:strike/>
        </w:rPr>
        <w:t>Member</w:t>
      </w:r>
      <w:r w:rsidRPr="00BB7E9F">
        <w:rPr>
          <w:rFonts w:ascii="Times New Roman" w:hAnsi="Times New Roman" w:cs="Times New Roman"/>
        </w:rPr>
        <w:t>/General Manager</w:t>
      </w:r>
      <w:bookmarkEnd w:id="1"/>
    </w:p>
    <w:p w14:paraId="1FEB742C" w14:textId="77777777" w:rsidR="00086BF0" w:rsidRPr="00BB7E9F" w:rsidRDefault="00086BF0" w:rsidP="00CC4789">
      <w:pPr>
        <w:pStyle w:val="SignCoverPageEnd"/>
        <w:ind w:right="794"/>
        <w:rPr>
          <w:szCs w:val="22"/>
        </w:rPr>
      </w:pPr>
    </w:p>
    <w:p w14:paraId="26D48BEF" w14:textId="77777777" w:rsidR="00086BF0" w:rsidRPr="00BB7E9F" w:rsidRDefault="00086BF0" w:rsidP="00CC4789">
      <w:pPr>
        <w:pStyle w:val="SignCoverPageEnd"/>
        <w:ind w:right="794"/>
        <w:rPr>
          <w:szCs w:val="22"/>
        </w:rPr>
      </w:pPr>
      <w:r w:rsidRPr="00BB7E9F">
        <w:rPr>
          <w:szCs w:val="22"/>
        </w:rPr>
        <w:t>Australian Communications and Media Authority</w:t>
      </w:r>
    </w:p>
    <w:p w14:paraId="43092265" w14:textId="77777777" w:rsidR="00086BF0" w:rsidRPr="00BB7E9F" w:rsidRDefault="00086BF0" w:rsidP="00CC4789">
      <w:pPr>
        <w:rPr>
          <w:rFonts w:ascii="Times New Roman" w:hAnsi="Times New Roman" w:cs="Times New Roman"/>
        </w:rPr>
      </w:pPr>
    </w:p>
    <w:p w14:paraId="50795CF9" w14:textId="77777777" w:rsidR="00086BF0" w:rsidRPr="00BB7E9F" w:rsidRDefault="00086BF0" w:rsidP="00CC4789">
      <w:pPr>
        <w:rPr>
          <w:rFonts w:ascii="Times New Roman" w:hAnsi="Times New Roman" w:cs="Times New Roman"/>
        </w:rPr>
      </w:pPr>
    </w:p>
    <w:p w14:paraId="5AF0A5F4" w14:textId="77777777" w:rsidR="00086BF0" w:rsidRPr="00BB7E9F" w:rsidRDefault="00086BF0" w:rsidP="00CC4789">
      <w:pPr>
        <w:rPr>
          <w:rFonts w:ascii="Times New Roman" w:hAnsi="Times New Roman" w:cs="Times New Roman"/>
        </w:rPr>
      </w:pPr>
    </w:p>
    <w:p w14:paraId="5D1B7840" w14:textId="77777777" w:rsidR="00086BF0" w:rsidRPr="00BB7E9F" w:rsidRDefault="00086BF0" w:rsidP="00CC4789">
      <w:pPr>
        <w:spacing w:after="0"/>
        <w:rPr>
          <w:rFonts w:ascii="Times New Roman" w:hAnsi="Times New Roman" w:cs="Times New Roman"/>
        </w:rPr>
        <w:sectPr w:rsidR="00086BF0" w:rsidRPr="00BB7E9F"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77777777" w:rsidR="00086BF0" w:rsidRPr="00BB7E9F" w:rsidRDefault="00086BF0" w:rsidP="00CC4789">
      <w:pPr>
        <w:pStyle w:val="ActHead5"/>
      </w:pPr>
      <w:bookmarkStart w:id="2" w:name="_Toc444596031"/>
      <w:proofErr w:type="gramStart"/>
      <w:r w:rsidRPr="00BB7E9F">
        <w:rPr>
          <w:rStyle w:val="CharSectno"/>
        </w:rPr>
        <w:lastRenderedPageBreak/>
        <w:t>1</w:t>
      </w:r>
      <w:r w:rsidRPr="00BB7E9F">
        <w:t xml:space="preserve">  Name</w:t>
      </w:r>
      <w:proofErr w:type="gramEnd"/>
    </w:p>
    <w:p w14:paraId="0BA01627" w14:textId="2C36A829" w:rsidR="00086BF0" w:rsidRPr="00BB7E9F" w:rsidRDefault="00086BF0" w:rsidP="00CC4789">
      <w:pPr>
        <w:pStyle w:val="subsection"/>
        <w:tabs>
          <w:tab w:val="clear" w:pos="1021"/>
        </w:tabs>
        <w:ind w:left="993"/>
      </w:pPr>
      <w:r w:rsidRPr="00BB7E9F">
        <w:tab/>
        <w:t xml:space="preserve">This is the </w:t>
      </w:r>
      <w:bookmarkStart w:id="3" w:name="BKCheck15B_3"/>
      <w:bookmarkEnd w:id="3"/>
      <w:r w:rsidR="0091432C" w:rsidRPr="00BB7E9F">
        <w:rPr>
          <w:i/>
          <w:iCs/>
        </w:rPr>
        <w:t xml:space="preserve">Telecommunications </w:t>
      </w:r>
      <w:r w:rsidR="008041AB" w:rsidRPr="00BB7E9F">
        <w:rPr>
          <w:i/>
          <w:iCs/>
        </w:rPr>
        <w:t>Carrier Licence Charges</w:t>
      </w:r>
      <w:r w:rsidR="00C556A3" w:rsidRPr="00BB7E9F">
        <w:rPr>
          <w:i/>
          <w:iCs/>
        </w:rPr>
        <w:t xml:space="preserve"> </w:t>
      </w:r>
      <w:r w:rsidR="0091432C" w:rsidRPr="00BB7E9F">
        <w:rPr>
          <w:i/>
          <w:iCs/>
        </w:rPr>
        <w:t>(</w:t>
      </w:r>
      <w:r w:rsidR="000D4C62" w:rsidRPr="00BB7E9F">
        <w:rPr>
          <w:i/>
          <w:iCs/>
        </w:rPr>
        <w:t>Annual Charge</w:t>
      </w:r>
      <w:r w:rsidR="00847DC9" w:rsidRPr="00BB7E9F">
        <w:rPr>
          <w:i/>
          <w:iCs/>
        </w:rPr>
        <w:t>s</w:t>
      </w:r>
      <w:r w:rsidR="0091432C" w:rsidRPr="00BB7E9F">
        <w:rPr>
          <w:i/>
          <w:iCs/>
        </w:rPr>
        <w:t xml:space="preserve">) Determination </w:t>
      </w:r>
      <w:r w:rsidR="00847DC9" w:rsidRPr="00BB7E9F">
        <w:rPr>
          <w:i/>
          <w:iCs/>
        </w:rPr>
        <w:t xml:space="preserve">(No. 1) </w:t>
      </w:r>
      <w:r w:rsidR="0091432C" w:rsidRPr="00BB7E9F">
        <w:rPr>
          <w:i/>
          <w:iCs/>
        </w:rPr>
        <w:t>202</w:t>
      </w:r>
      <w:r w:rsidR="003F76F7">
        <w:rPr>
          <w:i/>
          <w:iCs/>
        </w:rPr>
        <w:t>2</w:t>
      </w:r>
      <w:r w:rsidRPr="00BB7E9F">
        <w:t>.</w:t>
      </w:r>
    </w:p>
    <w:p w14:paraId="177E90D7" w14:textId="77777777" w:rsidR="00086BF0" w:rsidRPr="00BB7E9F" w:rsidRDefault="00086BF0" w:rsidP="00CC4789">
      <w:pPr>
        <w:pStyle w:val="ActHead5"/>
      </w:pPr>
      <w:bookmarkStart w:id="4" w:name="_Toc444596032"/>
      <w:proofErr w:type="gramStart"/>
      <w:r w:rsidRPr="00BB7E9F">
        <w:rPr>
          <w:rStyle w:val="CharSectno"/>
        </w:rPr>
        <w:t>2</w:t>
      </w:r>
      <w:r w:rsidRPr="00BB7E9F">
        <w:t xml:space="preserve">  Commencement</w:t>
      </w:r>
      <w:bookmarkEnd w:id="4"/>
      <w:proofErr w:type="gramEnd"/>
    </w:p>
    <w:p w14:paraId="2A488FB6" w14:textId="60CD8773" w:rsidR="00C250DA" w:rsidRPr="00BB7E9F" w:rsidRDefault="00032888" w:rsidP="00CC4789">
      <w:pPr>
        <w:pStyle w:val="R1"/>
        <w:tabs>
          <w:tab w:val="clear" w:pos="794"/>
        </w:tabs>
        <w:ind w:left="993" w:hanging="426"/>
        <w:jc w:val="left"/>
        <w:rPr>
          <w:sz w:val="22"/>
          <w:szCs w:val="22"/>
        </w:rPr>
      </w:pPr>
      <w:r w:rsidRPr="00D04CC0">
        <w:rPr>
          <w:sz w:val="22"/>
          <w:szCs w:val="22"/>
        </w:rPr>
        <w:t>(1)</w:t>
      </w:r>
      <w:r w:rsidRPr="00D04CC0">
        <w:rPr>
          <w:sz w:val="22"/>
          <w:szCs w:val="22"/>
        </w:rPr>
        <w:tab/>
      </w:r>
      <w:r w:rsidR="00C250DA" w:rsidRPr="00D04CC0">
        <w:rPr>
          <w:sz w:val="22"/>
          <w:szCs w:val="22"/>
        </w:rPr>
        <w:t xml:space="preserve">This </w:t>
      </w:r>
      <w:r w:rsidR="003E1636" w:rsidRPr="00D04CC0">
        <w:rPr>
          <w:sz w:val="22"/>
          <w:szCs w:val="22"/>
        </w:rPr>
        <w:t xml:space="preserve">instrument </w:t>
      </w:r>
      <w:r w:rsidR="00C250DA" w:rsidRPr="00D04CC0">
        <w:rPr>
          <w:sz w:val="22"/>
          <w:szCs w:val="22"/>
        </w:rPr>
        <w:t>commences on the later</w:t>
      </w:r>
      <w:r w:rsidR="00C250DA" w:rsidRPr="00BB7E9F">
        <w:rPr>
          <w:sz w:val="22"/>
          <w:szCs w:val="22"/>
        </w:rPr>
        <w:t xml:space="preserve"> of:</w:t>
      </w:r>
    </w:p>
    <w:p w14:paraId="3CBDFFA0" w14:textId="53C2F451" w:rsidR="00C250DA" w:rsidRPr="00BB7E9F" w:rsidRDefault="00C250DA" w:rsidP="00CC4789">
      <w:pPr>
        <w:pStyle w:val="P1"/>
        <w:tabs>
          <w:tab w:val="clear" w:pos="1191"/>
        </w:tabs>
        <w:ind w:left="1560" w:hanging="567"/>
        <w:jc w:val="left"/>
        <w:rPr>
          <w:sz w:val="22"/>
          <w:szCs w:val="22"/>
        </w:rPr>
      </w:pPr>
      <w:r w:rsidRPr="00BB7E9F">
        <w:rPr>
          <w:sz w:val="22"/>
          <w:szCs w:val="22"/>
        </w:rPr>
        <w:t>(a)</w:t>
      </w:r>
      <w:r w:rsidRPr="00BB7E9F">
        <w:rPr>
          <w:sz w:val="22"/>
          <w:szCs w:val="22"/>
        </w:rPr>
        <w:tab/>
        <w:t>the start of the day after the day it is registered on the Federal Register of Legislation; and</w:t>
      </w:r>
    </w:p>
    <w:p w14:paraId="6004740A" w14:textId="5755A454" w:rsidR="00C250DA" w:rsidRPr="00BB7E9F" w:rsidRDefault="00C250DA" w:rsidP="00CC4789">
      <w:pPr>
        <w:pStyle w:val="P1"/>
        <w:tabs>
          <w:tab w:val="clear" w:pos="1191"/>
        </w:tabs>
        <w:ind w:left="1560" w:hanging="567"/>
        <w:jc w:val="left"/>
        <w:rPr>
          <w:sz w:val="22"/>
          <w:szCs w:val="22"/>
        </w:rPr>
      </w:pPr>
      <w:r w:rsidRPr="00BB7E9F">
        <w:rPr>
          <w:sz w:val="22"/>
          <w:szCs w:val="22"/>
        </w:rPr>
        <w:t>(b)</w:t>
      </w:r>
      <w:r w:rsidRPr="00BB7E9F">
        <w:rPr>
          <w:sz w:val="22"/>
          <w:szCs w:val="22"/>
        </w:rPr>
        <w:tab/>
        <w:t xml:space="preserve">the commencement of the </w:t>
      </w:r>
      <w:r w:rsidRPr="00BB7E9F">
        <w:rPr>
          <w:i/>
          <w:sz w:val="22"/>
          <w:szCs w:val="22"/>
        </w:rPr>
        <w:t xml:space="preserve">Telecommunications </w:t>
      </w:r>
      <w:r w:rsidR="00847DC9" w:rsidRPr="00BB7E9F">
        <w:rPr>
          <w:i/>
          <w:sz w:val="22"/>
          <w:szCs w:val="22"/>
        </w:rPr>
        <w:t xml:space="preserve">Carrier Licence Charges </w:t>
      </w:r>
      <w:r w:rsidRPr="00BB7E9F">
        <w:rPr>
          <w:i/>
          <w:sz w:val="22"/>
          <w:szCs w:val="22"/>
        </w:rPr>
        <w:t xml:space="preserve">(Specification of Costs by the ACMA) Determination </w:t>
      </w:r>
      <w:r w:rsidR="00847DC9" w:rsidRPr="00BB7E9F">
        <w:rPr>
          <w:i/>
          <w:sz w:val="22"/>
          <w:szCs w:val="22"/>
        </w:rPr>
        <w:t xml:space="preserve">(No. 1) </w:t>
      </w:r>
      <w:r w:rsidRPr="00BB7E9F">
        <w:rPr>
          <w:i/>
          <w:sz w:val="22"/>
          <w:szCs w:val="22"/>
        </w:rPr>
        <w:t>202</w:t>
      </w:r>
      <w:r w:rsidR="006C437C">
        <w:rPr>
          <w:i/>
          <w:sz w:val="22"/>
          <w:szCs w:val="22"/>
        </w:rPr>
        <w:t>2</w:t>
      </w:r>
      <w:r w:rsidRPr="00BB7E9F">
        <w:rPr>
          <w:sz w:val="22"/>
          <w:szCs w:val="22"/>
        </w:rPr>
        <w:t>.</w:t>
      </w:r>
    </w:p>
    <w:p w14:paraId="795025ED" w14:textId="1124274B" w:rsidR="00086BF0" w:rsidRPr="00BB7E9F" w:rsidRDefault="00086BF0" w:rsidP="00CC4789">
      <w:pPr>
        <w:pStyle w:val="LI-BodyTextNote"/>
        <w:spacing w:before="122"/>
        <w:ind w:left="1560"/>
      </w:pPr>
      <w:r w:rsidRPr="00BB7E9F">
        <w:t>Note:</w:t>
      </w:r>
      <w:r w:rsidRPr="00BB7E9F">
        <w:tab/>
        <w:t xml:space="preserve">The Federal Register of Legislation may be accessed free of charge at </w:t>
      </w:r>
      <w:hyperlink r:id="rId15" w:history="1">
        <w:r w:rsidRPr="00BB7E9F">
          <w:rPr>
            <w:rStyle w:val="Hyperlink"/>
            <w:rFonts w:eastAsiaTheme="majorEastAsia"/>
          </w:rPr>
          <w:t>www.legislation.gov.au</w:t>
        </w:r>
      </w:hyperlink>
      <w:r w:rsidRPr="00BB7E9F">
        <w:t>.</w:t>
      </w:r>
    </w:p>
    <w:p w14:paraId="33042A8F" w14:textId="4A629688" w:rsidR="00032888" w:rsidRPr="00BB7E9F" w:rsidRDefault="00032888" w:rsidP="00CC4789">
      <w:pPr>
        <w:pStyle w:val="LI-BodyTextNote"/>
        <w:spacing w:before="122"/>
        <w:ind w:left="993" w:hanging="426"/>
        <w:rPr>
          <w:sz w:val="22"/>
          <w:szCs w:val="22"/>
        </w:rPr>
      </w:pPr>
      <w:r w:rsidRPr="00BB7E9F">
        <w:rPr>
          <w:sz w:val="22"/>
          <w:szCs w:val="22"/>
        </w:rPr>
        <w:t>(2)</w:t>
      </w:r>
      <w:r w:rsidRPr="00BB7E9F">
        <w:rPr>
          <w:sz w:val="22"/>
          <w:szCs w:val="22"/>
        </w:rPr>
        <w:tab/>
        <w:t xml:space="preserve">However, </w:t>
      </w:r>
      <w:r w:rsidR="003D1FEF" w:rsidRPr="00BB7E9F">
        <w:rPr>
          <w:sz w:val="22"/>
          <w:szCs w:val="22"/>
        </w:rPr>
        <w:t xml:space="preserve">this </w:t>
      </w:r>
      <w:r w:rsidR="003E1636" w:rsidRPr="00BB7E9F">
        <w:rPr>
          <w:sz w:val="22"/>
          <w:szCs w:val="22"/>
        </w:rPr>
        <w:t>instrument does</w:t>
      </w:r>
      <w:r w:rsidRPr="00BB7E9F">
        <w:rPr>
          <w:sz w:val="22"/>
          <w:szCs w:val="22"/>
        </w:rPr>
        <w:t xml:space="preserve"> not commence at all unless </w:t>
      </w:r>
      <w:r w:rsidR="00330BE8" w:rsidRPr="00BB7E9F">
        <w:rPr>
          <w:sz w:val="22"/>
          <w:szCs w:val="22"/>
        </w:rPr>
        <w:t xml:space="preserve">both of </w:t>
      </w:r>
      <w:r w:rsidRPr="00BB7E9F">
        <w:rPr>
          <w:sz w:val="22"/>
          <w:szCs w:val="22"/>
        </w:rPr>
        <w:t>the event</w:t>
      </w:r>
      <w:r w:rsidR="00330BE8" w:rsidRPr="00BB7E9F">
        <w:rPr>
          <w:sz w:val="22"/>
          <w:szCs w:val="22"/>
        </w:rPr>
        <w:t>s</w:t>
      </w:r>
      <w:r w:rsidRPr="00BB7E9F">
        <w:rPr>
          <w:sz w:val="22"/>
          <w:szCs w:val="22"/>
        </w:rPr>
        <w:t xml:space="preserve"> </w:t>
      </w:r>
      <w:r w:rsidR="002C289F" w:rsidRPr="00BB7E9F">
        <w:rPr>
          <w:sz w:val="22"/>
          <w:szCs w:val="22"/>
        </w:rPr>
        <w:t>mentioned in paragraph</w:t>
      </w:r>
      <w:r w:rsidR="00330BE8" w:rsidRPr="00BB7E9F">
        <w:rPr>
          <w:sz w:val="22"/>
          <w:szCs w:val="22"/>
        </w:rPr>
        <w:t>s</w:t>
      </w:r>
      <w:r w:rsidR="002C289F" w:rsidRPr="00BB7E9F">
        <w:rPr>
          <w:sz w:val="22"/>
          <w:szCs w:val="22"/>
        </w:rPr>
        <w:t xml:space="preserve"> </w:t>
      </w:r>
      <w:r w:rsidR="00A23298" w:rsidRPr="00BB7E9F">
        <w:rPr>
          <w:sz w:val="22"/>
          <w:szCs w:val="22"/>
        </w:rPr>
        <w:t>(1)(</w:t>
      </w:r>
      <w:r w:rsidR="00330BE8" w:rsidRPr="00BB7E9F">
        <w:rPr>
          <w:sz w:val="22"/>
          <w:szCs w:val="22"/>
        </w:rPr>
        <w:t>a</w:t>
      </w:r>
      <w:r w:rsidR="00A23298" w:rsidRPr="00BB7E9F">
        <w:rPr>
          <w:sz w:val="22"/>
          <w:szCs w:val="22"/>
        </w:rPr>
        <w:t>)</w:t>
      </w:r>
      <w:r w:rsidR="00330BE8" w:rsidRPr="00BB7E9F">
        <w:rPr>
          <w:sz w:val="22"/>
          <w:szCs w:val="22"/>
        </w:rPr>
        <w:t xml:space="preserve"> and (b)</w:t>
      </w:r>
      <w:r w:rsidR="00A23298" w:rsidRPr="00BB7E9F">
        <w:rPr>
          <w:sz w:val="22"/>
          <w:szCs w:val="22"/>
        </w:rPr>
        <w:t xml:space="preserve"> occur. </w:t>
      </w:r>
    </w:p>
    <w:p w14:paraId="12CBE75E" w14:textId="77777777" w:rsidR="00086BF0" w:rsidRPr="00BB7E9F" w:rsidRDefault="00086BF0" w:rsidP="00CC4789">
      <w:pPr>
        <w:pStyle w:val="ActHead5"/>
      </w:pPr>
      <w:bookmarkStart w:id="5" w:name="_Toc444596033"/>
      <w:proofErr w:type="gramStart"/>
      <w:r w:rsidRPr="00BB7E9F">
        <w:rPr>
          <w:rStyle w:val="CharSectno"/>
        </w:rPr>
        <w:t>3</w:t>
      </w:r>
      <w:r w:rsidRPr="00BB7E9F">
        <w:t xml:space="preserve">  Authority</w:t>
      </w:r>
      <w:bookmarkEnd w:id="5"/>
      <w:proofErr w:type="gramEnd"/>
    </w:p>
    <w:p w14:paraId="3377B4C6" w14:textId="12AD1C2B" w:rsidR="00086BF0" w:rsidRPr="00BB7E9F" w:rsidRDefault="00086BF0" w:rsidP="00CC4789">
      <w:pPr>
        <w:pStyle w:val="subsection"/>
        <w:tabs>
          <w:tab w:val="clear" w:pos="1021"/>
        </w:tabs>
        <w:ind w:left="993"/>
      </w:pPr>
      <w:r w:rsidRPr="00BB7E9F">
        <w:tab/>
        <w:t xml:space="preserve">This instrument is made under </w:t>
      </w:r>
      <w:r w:rsidR="000D4C62" w:rsidRPr="00BB7E9F">
        <w:t>subsection 14(1)</w:t>
      </w:r>
      <w:r w:rsidR="0048621D" w:rsidRPr="00BB7E9F">
        <w:t xml:space="preserve"> of the </w:t>
      </w:r>
      <w:r w:rsidR="0048621D" w:rsidRPr="00BB7E9F">
        <w:rPr>
          <w:i/>
          <w:iCs/>
        </w:rPr>
        <w:t>Telecommunications (</w:t>
      </w:r>
      <w:r w:rsidR="00C81BFB" w:rsidRPr="00BB7E9F">
        <w:rPr>
          <w:i/>
          <w:iCs/>
        </w:rPr>
        <w:t xml:space="preserve">Carrier Licence </w:t>
      </w:r>
      <w:r w:rsidR="0048621D" w:rsidRPr="00BB7E9F">
        <w:rPr>
          <w:i/>
          <w:iCs/>
        </w:rPr>
        <w:t>Charges) Act 1997</w:t>
      </w:r>
      <w:r w:rsidRPr="00BB7E9F">
        <w:t>.</w:t>
      </w:r>
    </w:p>
    <w:p w14:paraId="43196321" w14:textId="3D112946" w:rsidR="00086BF0" w:rsidRPr="00BB7E9F" w:rsidRDefault="00A05045" w:rsidP="00CC4789">
      <w:pPr>
        <w:pStyle w:val="ActHead5"/>
      </w:pPr>
      <w:bookmarkStart w:id="6" w:name="_Toc444596034"/>
      <w:proofErr w:type="gramStart"/>
      <w:r w:rsidRPr="00BB7E9F">
        <w:t>4</w:t>
      </w:r>
      <w:r w:rsidR="00086BF0" w:rsidRPr="00BB7E9F">
        <w:t xml:space="preserve">  Repeal</w:t>
      </w:r>
      <w:proofErr w:type="gramEnd"/>
      <w:r w:rsidR="00086BF0" w:rsidRPr="00BB7E9F">
        <w:t xml:space="preserve"> of this </w:t>
      </w:r>
      <w:r w:rsidR="007D1F8E" w:rsidRPr="00BB7E9F">
        <w:t>instrument</w:t>
      </w:r>
    </w:p>
    <w:p w14:paraId="3FFCD410" w14:textId="2A8ED70B" w:rsidR="00086BF0" w:rsidRPr="00BB7E9F" w:rsidRDefault="00086BF0" w:rsidP="00CC4789">
      <w:pPr>
        <w:pStyle w:val="ActHead5"/>
        <w:spacing w:before="180"/>
        <w:ind w:left="993"/>
        <w:rPr>
          <w:rStyle w:val="CharSectno"/>
        </w:rPr>
      </w:pPr>
      <w:r w:rsidRPr="00BB7E9F">
        <w:tab/>
      </w:r>
      <w:r w:rsidRPr="00BB7E9F">
        <w:rPr>
          <w:b w:val="0"/>
          <w:kern w:val="0"/>
          <w:sz w:val="22"/>
        </w:rPr>
        <w:t xml:space="preserve">This </w:t>
      </w:r>
      <w:r w:rsidR="007D1F8E" w:rsidRPr="00BB7E9F">
        <w:rPr>
          <w:b w:val="0"/>
          <w:kern w:val="0"/>
          <w:sz w:val="22"/>
        </w:rPr>
        <w:t>instrument</w:t>
      </w:r>
      <w:r w:rsidRPr="00BB7E9F">
        <w:rPr>
          <w:b w:val="0"/>
          <w:kern w:val="0"/>
          <w:sz w:val="22"/>
        </w:rPr>
        <w:t xml:space="preserve"> is repealed at the start of </w:t>
      </w:r>
      <w:r w:rsidR="00A05045" w:rsidRPr="00BB7E9F">
        <w:rPr>
          <w:b w:val="0"/>
          <w:kern w:val="0"/>
          <w:sz w:val="22"/>
        </w:rPr>
        <w:t>1 July 202</w:t>
      </w:r>
      <w:r w:rsidR="008F7C4B">
        <w:rPr>
          <w:b w:val="0"/>
          <w:kern w:val="0"/>
          <w:sz w:val="22"/>
        </w:rPr>
        <w:t>3</w:t>
      </w:r>
      <w:r w:rsidRPr="00BB7E9F">
        <w:rPr>
          <w:b w:val="0"/>
          <w:kern w:val="0"/>
          <w:sz w:val="22"/>
        </w:rPr>
        <w:t>.</w:t>
      </w:r>
    </w:p>
    <w:p w14:paraId="7972E6FC" w14:textId="067BEEAD" w:rsidR="00933578" w:rsidRPr="00BB7E9F" w:rsidRDefault="006D13C2" w:rsidP="00CC4789">
      <w:pPr>
        <w:pStyle w:val="ActHead5"/>
      </w:pPr>
      <w:proofErr w:type="gramStart"/>
      <w:r w:rsidRPr="00BB7E9F">
        <w:rPr>
          <w:rStyle w:val="CharSectno"/>
        </w:rPr>
        <w:t>5</w:t>
      </w:r>
      <w:r w:rsidR="00086BF0" w:rsidRPr="00BB7E9F">
        <w:t xml:space="preserve">  </w:t>
      </w:r>
      <w:r w:rsidR="00933578" w:rsidRPr="00BB7E9F">
        <w:t>Application</w:t>
      </w:r>
      <w:proofErr w:type="gramEnd"/>
    </w:p>
    <w:p w14:paraId="5B80064A" w14:textId="0482D7AD" w:rsidR="00933578" w:rsidRPr="00BB7E9F" w:rsidRDefault="00DF3975" w:rsidP="00CC4789">
      <w:pPr>
        <w:pStyle w:val="subsection"/>
        <w:tabs>
          <w:tab w:val="clear" w:pos="1021"/>
        </w:tabs>
        <w:ind w:left="993" w:hanging="141"/>
      </w:pPr>
      <w:r w:rsidRPr="00BB7E9F">
        <w:tab/>
        <w:t xml:space="preserve">This </w:t>
      </w:r>
      <w:r w:rsidR="007D1F8E" w:rsidRPr="00BB7E9F">
        <w:t>instrument</w:t>
      </w:r>
      <w:r w:rsidRPr="00BB7E9F">
        <w:t xml:space="preserve"> applies to carrier licences that were in force at the beginning of the 20</w:t>
      </w:r>
      <w:r w:rsidR="00B628BA">
        <w:t>20</w:t>
      </w:r>
      <w:r w:rsidRPr="00BB7E9F">
        <w:t>-202</w:t>
      </w:r>
      <w:r w:rsidR="00B628BA">
        <w:t>1</w:t>
      </w:r>
      <w:r w:rsidRPr="00BB7E9F">
        <w:t xml:space="preserve"> financial year.</w:t>
      </w:r>
    </w:p>
    <w:p w14:paraId="616032F1" w14:textId="5B515E82" w:rsidR="00086BF0" w:rsidRPr="00BB7E9F" w:rsidRDefault="00DF3975" w:rsidP="00CC4789">
      <w:pPr>
        <w:pStyle w:val="ActHead5"/>
      </w:pPr>
      <w:proofErr w:type="gramStart"/>
      <w:r w:rsidRPr="00BB7E9F">
        <w:rPr>
          <w:rStyle w:val="CharSectno"/>
        </w:rPr>
        <w:t>6</w:t>
      </w:r>
      <w:r w:rsidRPr="00BB7E9F">
        <w:t xml:space="preserve">  </w:t>
      </w:r>
      <w:r w:rsidR="00086BF0" w:rsidRPr="00BB7E9F">
        <w:t>Definitions</w:t>
      </w:r>
      <w:bookmarkEnd w:id="6"/>
      <w:proofErr w:type="gramEnd"/>
    </w:p>
    <w:p w14:paraId="36BDA654" w14:textId="5DADF436" w:rsidR="002F1D58" w:rsidRPr="00BB7E9F" w:rsidRDefault="00481A5B" w:rsidP="00CC4789">
      <w:pPr>
        <w:pStyle w:val="R1"/>
        <w:jc w:val="left"/>
        <w:rPr>
          <w:sz w:val="22"/>
          <w:szCs w:val="22"/>
        </w:rPr>
      </w:pPr>
      <w:bookmarkStart w:id="7" w:name="_Toc444596036"/>
      <w:bookmarkEnd w:id="2"/>
      <w:r w:rsidRPr="00BB7E9F">
        <w:tab/>
      </w:r>
      <w:r w:rsidRPr="00BB7E9F">
        <w:tab/>
      </w:r>
      <w:r w:rsidR="002F1D58" w:rsidRPr="00BB7E9F">
        <w:rPr>
          <w:sz w:val="22"/>
          <w:szCs w:val="22"/>
        </w:rPr>
        <w:t xml:space="preserve">In this </w:t>
      </w:r>
      <w:r w:rsidR="007D1F8E" w:rsidRPr="00BB7E9F">
        <w:rPr>
          <w:sz w:val="22"/>
          <w:szCs w:val="22"/>
        </w:rPr>
        <w:t>instrument</w:t>
      </w:r>
      <w:r w:rsidR="002F1D58" w:rsidRPr="00BB7E9F">
        <w:rPr>
          <w:sz w:val="22"/>
          <w:szCs w:val="22"/>
        </w:rPr>
        <w:t>:</w:t>
      </w:r>
    </w:p>
    <w:p w14:paraId="24A2C52D" w14:textId="77777777" w:rsidR="002F1D58" w:rsidRPr="00BB7E9F" w:rsidRDefault="002F1D58" w:rsidP="00CC4789">
      <w:pPr>
        <w:pStyle w:val="definition0"/>
        <w:jc w:val="left"/>
        <w:rPr>
          <w:bCs/>
          <w:iCs/>
          <w:sz w:val="22"/>
          <w:szCs w:val="22"/>
        </w:rPr>
      </w:pPr>
      <w:r w:rsidRPr="00BB7E9F">
        <w:rPr>
          <w:b/>
          <w:i/>
          <w:sz w:val="22"/>
          <w:szCs w:val="22"/>
        </w:rPr>
        <w:t xml:space="preserve">ACCC </w:t>
      </w:r>
      <w:r w:rsidRPr="00BB7E9F">
        <w:rPr>
          <w:bCs/>
          <w:iCs/>
          <w:sz w:val="22"/>
          <w:szCs w:val="22"/>
        </w:rPr>
        <w:t>means the Australian Competition and Consumer Commission.</w:t>
      </w:r>
    </w:p>
    <w:p w14:paraId="13730EF7" w14:textId="77777777" w:rsidR="002F1D58" w:rsidRPr="00BB7E9F" w:rsidRDefault="002F1D58" w:rsidP="00CC4789">
      <w:pPr>
        <w:pStyle w:val="definition0"/>
        <w:jc w:val="left"/>
        <w:rPr>
          <w:sz w:val="22"/>
          <w:szCs w:val="22"/>
        </w:rPr>
      </w:pPr>
      <w:r w:rsidRPr="00BB7E9F">
        <w:rPr>
          <w:b/>
          <w:i/>
          <w:sz w:val="22"/>
          <w:szCs w:val="22"/>
        </w:rPr>
        <w:t>Act</w:t>
      </w:r>
      <w:r w:rsidRPr="00BB7E9F">
        <w:rPr>
          <w:sz w:val="22"/>
          <w:szCs w:val="22"/>
        </w:rPr>
        <w:t xml:space="preserve"> means the </w:t>
      </w:r>
      <w:r w:rsidRPr="00BB7E9F">
        <w:rPr>
          <w:i/>
          <w:sz w:val="22"/>
          <w:szCs w:val="22"/>
        </w:rPr>
        <w:t>Telecommunications (Carrier Licence Charges) Act 1997</w:t>
      </w:r>
      <w:r w:rsidRPr="00BB7E9F">
        <w:rPr>
          <w:sz w:val="22"/>
          <w:szCs w:val="22"/>
        </w:rPr>
        <w:t>.</w:t>
      </w:r>
    </w:p>
    <w:p w14:paraId="4011D560" w14:textId="76E5F445" w:rsidR="002F1D58" w:rsidRPr="00BB7E9F" w:rsidRDefault="002F1D58" w:rsidP="00CC4789">
      <w:pPr>
        <w:pStyle w:val="definition0"/>
        <w:jc w:val="left"/>
        <w:rPr>
          <w:b/>
          <w:sz w:val="22"/>
          <w:szCs w:val="22"/>
        </w:rPr>
      </w:pPr>
      <w:r w:rsidRPr="00BB7E9F">
        <w:rPr>
          <w:b/>
          <w:i/>
          <w:sz w:val="22"/>
          <w:szCs w:val="22"/>
        </w:rPr>
        <w:t>carrier licence</w:t>
      </w:r>
      <w:r w:rsidRPr="00BB7E9F">
        <w:rPr>
          <w:b/>
          <w:sz w:val="22"/>
          <w:szCs w:val="22"/>
        </w:rPr>
        <w:t xml:space="preserve"> </w:t>
      </w:r>
      <w:r w:rsidRPr="00BB7E9F">
        <w:rPr>
          <w:sz w:val="22"/>
          <w:szCs w:val="22"/>
        </w:rPr>
        <w:t>means a carrier licence to which this Determination applies, as provided by section 5.</w:t>
      </w:r>
    </w:p>
    <w:p w14:paraId="07338DD5" w14:textId="77777777" w:rsidR="002F1D58" w:rsidRPr="00BB7E9F" w:rsidRDefault="002F1D58" w:rsidP="00CC4789">
      <w:pPr>
        <w:pStyle w:val="definition0"/>
        <w:jc w:val="left"/>
        <w:rPr>
          <w:sz w:val="22"/>
          <w:szCs w:val="22"/>
        </w:rPr>
      </w:pPr>
      <w:r w:rsidRPr="00BB7E9F">
        <w:rPr>
          <w:b/>
          <w:i/>
          <w:sz w:val="22"/>
          <w:szCs w:val="22"/>
        </w:rPr>
        <w:t>carrier licence charge</w:t>
      </w:r>
      <w:r w:rsidRPr="00BB7E9F">
        <w:rPr>
          <w:sz w:val="22"/>
          <w:szCs w:val="22"/>
        </w:rPr>
        <w:t xml:space="preserve"> means a charge within the meaning of Part 3 of the Act.</w:t>
      </w:r>
    </w:p>
    <w:p w14:paraId="0AB14E7A" w14:textId="08DD65B0" w:rsidR="00D23ACB" w:rsidRPr="00CA23AA" w:rsidRDefault="002B708F" w:rsidP="00CC4789">
      <w:pPr>
        <w:pStyle w:val="Tabletext"/>
        <w:ind w:left="964"/>
        <w:rPr>
          <w:bCs/>
          <w:iCs/>
          <w:sz w:val="22"/>
          <w:szCs w:val="22"/>
        </w:rPr>
      </w:pPr>
      <w:r w:rsidRPr="00CA23AA">
        <w:rPr>
          <w:b/>
          <w:i/>
          <w:sz w:val="22"/>
          <w:szCs w:val="22"/>
        </w:rPr>
        <w:t xml:space="preserve">CSPA </w:t>
      </w:r>
      <w:r w:rsidR="006E7192">
        <w:rPr>
          <w:bCs/>
          <w:iCs/>
          <w:sz w:val="22"/>
          <w:szCs w:val="22"/>
        </w:rPr>
        <w:t>(</w:t>
      </w:r>
      <w:r w:rsidR="007E1584" w:rsidRPr="00A57412">
        <w:rPr>
          <w:bCs/>
          <w:iCs/>
          <w:sz w:val="22"/>
          <w:szCs w:val="22"/>
        </w:rPr>
        <w:t xml:space="preserve">or </w:t>
      </w:r>
      <w:r w:rsidRPr="006E7192">
        <w:rPr>
          <w:bCs/>
          <w:iCs/>
          <w:sz w:val="22"/>
          <w:szCs w:val="22"/>
        </w:rPr>
        <w:t>Consumer Safeguards Part A</w:t>
      </w:r>
      <w:r w:rsidR="006E7192">
        <w:rPr>
          <w:bCs/>
          <w:iCs/>
          <w:sz w:val="22"/>
          <w:szCs w:val="22"/>
        </w:rPr>
        <w:t>)</w:t>
      </w:r>
      <w:r w:rsidR="007E1584" w:rsidRPr="00607E95">
        <w:rPr>
          <w:bCs/>
          <w:iCs/>
          <w:sz w:val="22"/>
          <w:szCs w:val="22"/>
        </w:rPr>
        <w:t xml:space="preserve"> means the</w:t>
      </w:r>
      <w:r w:rsidRPr="00CA23AA">
        <w:rPr>
          <w:bCs/>
          <w:iCs/>
          <w:sz w:val="22"/>
          <w:szCs w:val="22"/>
        </w:rPr>
        <w:t xml:space="preserve"> program</w:t>
      </w:r>
      <w:r w:rsidR="005603D6" w:rsidRPr="00CA23AA">
        <w:rPr>
          <w:bCs/>
          <w:iCs/>
          <w:sz w:val="22"/>
          <w:szCs w:val="22"/>
        </w:rPr>
        <w:t xml:space="preserve"> </w:t>
      </w:r>
      <w:r w:rsidR="00D23ACB" w:rsidRPr="00CA23AA">
        <w:rPr>
          <w:bCs/>
          <w:iCs/>
          <w:sz w:val="22"/>
          <w:szCs w:val="22"/>
        </w:rPr>
        <w:t>of work undertaken by the ACMA to enhance</w:t>
      </w:r>
      <w:r w:rsidR="00534784" w:rsidRPr="00921F9A">
        <w:rPr>
          <w:sz w:val="22"/>
          <w:szCs w:val="22"/>
        </w:rPr>
        <w:t xml:space="preserve"> analysis</w:t>
      </w:r>
      <w:r w:rsidR="0049683A" w:rsidRPr="00921F9A">
        <w:rPr>
          <w:sz w:val="22"/>
          <w:szCs w:val="22"/>
        </w:rPr>
        <w:t xml:space="preserve">, </w:t>
      </w:r>
      <w:proofErr w:type="gramStart"/>
      <w:r w:rsidR="00534784" w:rsidRPr="00921F9A">
        <w:rPr>
          <w:sz w:val="22"/>
          <w:szCs w:val="22"/>
        </w:rPr>
        <w:t>transparency</w:t>
      </w:r>
      <w:proofErr w:type="gramEnd"/>
      <w:r w:rsidR="0049683A" w:rsidRPr="00921F9A">
        <w:rPr>
          <w:sz w:val="22"/>
          <w:szCs w:val="22"/>
        </w:rPr>
        <w:t xml:space="preserve"> and reporting</w:t>
      </w:r>
      <w:r w:rsidR="00534784" w:rsidRPr="00921F9A">
        <w:rPr>
          <w:sz w:val="22"/>
          <w:szCs w:val="22"/>
        </w:rPr>
        <w:t xml:space="preserve"> of telecommunications complaints data</w:t>
      </w:r>
      <w:r w:rsidR="00951356" w:rsidRPr="00921F9A">
        <w:rPr>
          <w:sz w:val="22"/>
          <w:szCs w:val="22"/>
        </w:rPr>
        <w:t xml:space="preserve">. </w:t>
      </w:r>
    </w:p>
    <w:p w14:paraId="5B7C64A4" w14:textId="41A9A7F4" w:rsidR="001D7D39" w:rsidRPr="001064FD" w:rsidRDefault="003A2A85" w:rsidP="00CC4789">
      <w:pPr>
        <w:pStyle w:val="Tabletext"/>
        <w:ind w:left="964"/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>e</w:t>
      </w:r>
      <w:r w:rsidR="001D7D39">
        <w:rPr>
          <w:b/>
          <w:i/>
          <w:sz w:val="22"/>
          <w:szCs w:val="22"/>
        </w:rPr>
        <w:t xml:space="preserve">ligible revenue </w:t>
      </w:r>
      <w:r w:rsidR="001D7D39">
        <w:rPr>
          <w:bCs/>
          <w:iCs/>
          <w:sz w:val="22"/>
          <w:szCs w:val="22"/>
        </w:rPr>
        <w:t xml:space="preserve">has the same meaning as in the TCPSS Act. </w:t>
      </w:r>
    </w:p>
    <w:p w14:paraId="5FD4E291" w14:textId="480EF515" w:rsidR="002F1D58" w:rsidRPr="00BB7E9F" w:rsidRDefault="002F1D58" w:rsidP="00CC4789">
      <w:pPr>
        <w:pStyle w:val="Tabletext"/>
        <w:ind w:left="964"/>
        <w:rPr>
          <w:b/>
          <w:i/>
          <w:sz w:val="22"/>
          <w:szCs w:val="22"/>
        </w:rPr>
      </w:pPr>
      <w:r w:rsidRPr="00BB7E9F">
        <w:rPr>
          <w:b/>
          <w:i/>
          <w:sz w:val="22"/>
          <w:szCs w:val="22"/>
        </w:rPr>
        <w:t>eligible revenue period</w:t>
      </w:r>
      <w:r w:rsidRPr="00BB7E9F">
        <w:rPr>
          <w:b/>
          <w:sz w:val="22"/>
          <w:szCs w:val="22"/>
        </w:rPr>
        <w:t xml:space="preserve"> </w:t>
      </w:r>
      <w:r w:rsidRPr="00BB7E9F">
        <w:rPr>
          <w:sz w:val="22"/>
          <w:szCs w:val="22"/>
        </w:rPr>
        <w:t>has the same meaning as in the TCPSS Act</w:t>
      </w:r>
      <w:r w:rsidRPr="00BB7E9F">
        <w:rPr>
          <w:i/>
          <w:sz w:val="22"/>
          <w:szCs w:val="22"/>
        </w:rPr>
        <w:t xml:space="preserve">. </w:t>
      </w:r>
    </w:p>
    <w:p w14:paraId="0504CBBE" w14:textId="53D6F8BA" w:rsidR="002F1D58" w:rsidRPr="00BB7E9F" w:rsidRDefault="002F1D58" w:rsidP="00CC4789">
      <w:pPr>
        <w:pStyle w:val="definition0"/>
        <w:ind w:left="993"/>
        <w:jc w:val="left"/>
        <w:rPr>
          <w:sz w:val="22"/>
          <w:szCs w:val="22"/>
        </w:rPr>
      </w:pPr>
      <w:r w:rsidRPr="00BB7E9F">
        <w:rPr>
          <w:b/>
          <w:i/>
          <w:sz w:val="22"/>
          <w:szCs w:val="22"/>
        </w:rPr>
        <w:t xml:space="preserve">exempt carrier licence </w:t>
      </w:r>
      <w:r w:rsidRPr="00BB7E9F">
        <w:rPr>
          <w:sz w:val="22"/>
          <w:szCs w:val="22"/>
        </w:rPr>
        <w:t>means a carrier licence that was held by a carrier that was a non-participating person for the eligible revenue period that began on 1 July 201</w:t>
      </w:r>
      <w:r w:rsidR="00932A67">
        <w:rPr>
          <w:sz w:val="22"/>
          <w:szCs w:val="22"/>
        </w:rPr>
        <w:t>9</w:t>
      </w:r>
      <w:r w:rsidRPr="00BB7E9F">
        <w:rPr>
          <w:sz w:val="22"/>
          <w:szCs w:val="22"/>
        </w:rPr>
        <w:t xml:space="preserve"> and ended on 30 June 20</w:t>
      </w:r>
      <w:r w:rsidR="00932A67">
        <w:rPr>
          <w:sz w:val="22"/>
          <w:szCs w:val="22"/>
        </w:rPr>
        <w:t>20</w:t>
      </w:r>
      <w:r w:rsidRPr="00BB7E9F">
        <w:rPr>
          <w:sz w:val="22"/>
          <w:szCs w:val="22"/>
        </w:rPr>
        <w:t>.</w:t>
      </w:r>
    </w:p>
    <w:p w14:paraId="2408DD31" w14:textId="77777777" w:rsidR="002F1D58" w:rsidRPr="00BB7E9F" w:rsidRDefault="002F1D58" w:rsidP="00CC4789">
      <w:pPr>
        <w:pStyle w:val="definition0"/>
        <w:jc w:val="left"/>
        <w:rPr>
          <w:bCs/>
          <w:iCs/>
          <w:sz w:val="22"/>
          <w:szCs w:val="22"/>
        </w:rPr>
      </w:pPr>
      <w:r w:rsidRPr="00BB7E9F">
        <w:rPr>
          <w:b/>
          <w:i/>
          <w:sz w:val="22"/>
          <w:szCs w:val="22"/>
        </w:rPr>
        <w:t xml:space="preserve">MBA </w:t>
      </w:r>
      <w:r w:rsidRPr="00BB7E9F">
        <w:rPr>
          <w:bCs/>
          <w:iCs/>
          <w:sz w:val="22"/>
          <w:szCs w:val="22"/>
        </w:rPr>
        <w:t>means the Measuring Broadband Australia program conducted by the ACCC to monitor and report on the performance of fixed line broadband services delivered over the National Broadband Network (</w:t>
      </w:r>
      <w:r w:rsidRPr="00BB7E9F">
        <w:rPr>
          <w:b/>
          <w:i/>
          <w:sz w:val="22"/>
          <w:szCs w:val="22"/>
        </w:rPr>
        <w:t>NBN</w:t>
      </w:r>
      <w:r w:rsidRPr="00BB7E9F">
        <w:rPr>
          <w:bCs/>
          <w:iCs/>
          <w:sz w:val="22"/>
          <w:szCs w:val="22"/>
        </w:rPr>
        <w:t>).</w:t>
      </w:r>
    </w:p>
    <w:p w14:paraId="031A57E1" w14:textId="77777777" w:rsidR="002F1D58" w:rsidRPr="00BB7E9F" w:rsidRDefault="002F1D58" w:rsidP="00CC4789">
      <w:pPr>
        <w:pStyle w:val="definition0"/>
        <w:jc w:val="left"/>
        <w:rPr>
          <w:bCs/>
          <w:iCs/>
          <w:sz w:val="22"/>
          <w:szCs w:val="22"/>
        </w:rPr>
      </w:pPr>
      <w:r w:rsidRPr="00BB7E9F">
        <w:rPr>
          <w:b/>
          <w:i/>
          <w:sz w:val="22"/>
          <w:szCs w:val="22"/>
        </w:rPr>
        <w:lastRenderedPageBreak/>
        <w:t>NBN fixed line connection</w:t>
      </w:r>
      <w:r w:rsidRPr="00BB7E9F">
        <w:rPr>
          <w:bCs/>
          <w:iCs/>
          <w:sz w:val="22"/>
          <w:szCs w:val="22"/>
        </w:rPr>
        <w:t xml:space="preserve"> means a fixed line broadband service delivered over the NBN fixed line network.</w:t>
      </w:r>
    </w:p>
    <w:p w14:paraId="24A9F342" w14:textId="77777777" w:rsidR="002F1D58" w:rsidRPr="00DB43A4" w:rsidRDefault="002F1D58" w:rsidP="00CC4789">
      <w:pPr>
        <w:pStyle w:val="LI-BodyTextNote"/>
        <w:spacing w:before="122"/>
        <w:ind w:left="1560"/>
      </w:pPr>
      <w:r w:rsidRPr="00DB43A4">
        <w:t>Note:</w:t>
      </w:r>
      <w:r w:rsidRPr="00DB43A4">
        <w:tab/>
        <w:t>The NBN fixed line network is part of the NBN but does not include a fixed wireless network or satellite access network.</w:t>
      </w:r>
    </w:p>
    <w:p w14:paraId="26E5FE60" w14:textId="77777777" w:rsidR="002F1D58" w:rsidRPr="00BB7E9F" w:rsidRDefault="002F1D58" w:rsidP="00CC4789">
      <w:pPr>
        <w:pStyle w:val="definition0"/>
        <w:jc w:val="left"/>
        <w:rPr>
          <w:sz w:val="22"/>
          <w:szCs w:val="22"/>
        </w:rPr>
      </w:pPr>
      <w:r w:rsidRPr="00BB7E9F">
        <w:rPr>
          <w:b/>
          <w:i/>
          <w:sz w:val="22"/>
          <w:szCs w:val="22"/>
        </w:rPr>
        <w:t xml:space="preserve">non-participating person </w:t>
      </w:r>
      <w:r w:rsidRPr="00BB7E9F">
        <w:rPr>
          <w:sz w:val="22"/>
          <w:szCs w:val="22"/>
        </w:rPr>
        <w:t>has the same meaning as in the</w:t>
      </w:r>
      <w:r w:rsidRPr="00BB7E9F">
        <w:rPr>
          <w:i/>
          <w:sz w:val="22"/>
          <w:szCs w:val="22"/>
        </w:rPr>
        <w:t xml:space="preserve"> Telecommunications (Participating Persons) Determination 2015.</w:t>
      </w:r>
    </w:p>
    <w:p w14:paraId="2A044660" w14:textId="425DE454" w:rsidR="001051C7" w:rsidRDefault="00D44CF6" w:rsidP="00CC4789">
      <w:pPr>
        <w:pStyle w:val="definition0"/>
        <w:jc w:val="left"/>
        <w:rPr>
          <w:color w:val="000000"/>
          <w:sz w:val="22"/>
          <w:szCs w:val="22"/>
          <w:shd w:val="clear" w:color="auto" w:fill="FFFFFF"/>
        </w:rPr>
      </w:pPr>
      <w:r>
        <w:rPr>
          <w:b/>
          <w:i/>
          <w:sz w:val="22"/>
          <w:szCs w:val="22"/>
        </w:rPr>
        <w:t>q</w:t>
      </w:r>
      <w:r w:rsidR="001051C7" w:rsidRPr="00746E33">
        <w:rPr>
          <w:b/>
          <w:i/>
          <w:sz w:val="22"/>
          <w:szCs w:val="22"/>
        </w:rPr>
        <w:t xml:space="preserve">ualifying </w:t>
      </w:r>
      <w:r>
        <w:rPr>
          <w:b/>
          <w:i/>
          <w:sz w:val="22"/>
          <w:szCs w:val="22"/>
        </w:rPr>
        <w:t>r</w:t>
      </w:r>
      <w:r w:rsidR="00D21C50" w:rsidRPr="00746E33">
        <w:rPr>
          <w:b/>
          <w:i/>
          <w:sz w:val="22"/>
          <w:szCs w:val="22"/>
        </w:rPr>
        <w:t xml:space="preserve">etail </w:t>
      </w:r>
      <w:r>
        <w:rPr>
          <w:b/>
          <w:i/>
          <w:sz w:val="22"/>
          <w:szCs w:val="22"/>
        </w:rPr>
        <w:t>c</w:t>
      </w:r>
      <w:r w:rsidR="001051C7" w:rsidRPr="00CD7690">
        <w:rPr>
          <w:b/>
          <w:i/>
          <w:sz w:val="22"/>
          <w:szCs w:val="22"/>
        </w:rPr>
        <w:t xml:space="preserve">arriage </w:t>
      </w:r>
      <w:r>
        <w:rPr>
          <w:b/>
          <w:i/>
          <w:sz w:val="22"/>
          <w:szCs w:val="22"/>
        </w:rPr>
        <w:t>s</w:t>
      </w:r>
      <w:r w:rsidR="001051C7" w:rsidRPr="00CD7690">
        <w:rPr>
          <w:b/>
          <w:i/>
          <w:sz w:val="22"/>
          <w:szCs w:val="22"/>
        </w:rPr>
        <w:t xml:space="preserve">ervice </w:t>
      </w:r>
      <w:r>
        <w:rPr>
          <w:b/>
          <w:i/>
          <w:sz w:val="22"/>
          <w:szCs w:val="22"/>
        </w:rPr>
        <w:t>p</w:t>
      </w:r>
      <w:r w:rsidR="001051C7" w:rsidRPr="00CD7690">
        <w:rPr>
          <w:b/>
          <w:i/>
          <w:sz w:val="22"/>
          <w:szCs w:val="22"/>
        </w:rPr>
        <w:t xml:space="preserve">rovider </w:t>
      </w:r>
      <w:r w:rsidR="00F96FC1" w:rsidRPr="00BC33A9">
        <w:rPr>
          <w:bCs/>
          <w:iCs/>
          <w:sz w:val="22"/>
          <w:szCs w:val="22"/>
        </w:rPr>
        <w:t>or</w:t>
      </w:r>
      <w:r w:rsidR="00F96FC1">
        <w:rPr>
          <w:b/>
          <w:i/>
          <w:sz w:val="22"/>
          <w:szCs w:val="22"/>
        </w:rPr>
        <w:t xml:space="preserve"> </w:t>
      </w:r>
      <w:r w:rsidR="001051C7" w:rsidRPr="00CD7690">
        <w:rPr>
          <w:b/>
          <w:i/>
          <w:sz w:val="22"/>
          <w:szCs w:val="22"/>
        </w:rPr>
        <w:t>Q</w:t>
      </w:r>
      <w:r w:rsidR="00C168B0" w:rsidRPr="00CD7690">
        <w:rPr>
          <w:b/>
          <w:i/>
          <w:sz w:val="22"/>
          <w:szCs w:val="22"/>
        </w:rPr>
        <w:t>R</w:t>
      </w:r>
      <w:r w:rsidR="001051C7" w:rsidRPr="00CD7690">
        <w:rPr>
          <w:b/>
          <w:i/>
          <w:sz w:val="22"/>
          <w:szCs w:val="22"/>
        </w:rPr>
        <w:t>CSP</w:t>
      </w:r>
      <w:r w:rsidR="00C168B0" w:rsidRPr="00CD7690">
        <w:rPr>
          <w:b/>
          <w:i/>
          <w:sz w:val="22"/>
          <w:szCs w:val="22"/>
        </w:rPr>
        <w:t xml:space="preserve"> </w:t>
      </w:r>
      <w:r w:rsidR="00E9596D" w:rsidRPr="002228B7">
        <w:rPr>
          <w:bCs/>
          <w:iCs/>
          <w:sz w:val="22"/>
          <w:szCs w:val="22"/>
        </w:rPr>
        <w:t>has</w:t>
      </w:r>
      <w:r w:rsidR="00E9596D" w:rsidRPr="00F96FC1">
        <w:rPr>
          <w:bCs/>
          <w:iCs/>
          <w:sz w:val="22"/>
          <w:szCs w:val="22"/>
        </w:rPr>
        <w:t xml:space="preserve"> the s</w:t>
      </w:r>
      <w:r w:rsidR="00E9596D" w:rsidRPr="00637EBD">
        <w:rPr>
          <w:bCs/>
          <w:iCs/>
          <w:sz w:val="22"/>
          <w:szCs w:val="22"/>
        </w:rPr>
        <w:t>a</w:t>
      </w:r>
      <w:r w:rsidR="00E9596D" w:rsidRPr="00746E33">
        <w:rPr>
          <w:bCs/>
          <w:iCs/>
          <w:sz w:val="22"/>
          <w:szCs w:val="22"/>
        </w:rPr>
        <w:t xml:space="preserve">me meaning as in the </w:t>
      </w:r>
      <w:r w:rsidR="00E9596D" w:rsidRPr="001064FD">
        <w:rPr>
          <w:i/>
          <w:iCs/>
          <w:color w:val="000000"/>
          <w:sz w:val="22"/>
          <w:szCs w:val="22"/>
          <w:shd w:val="clear" w:color="auto" w:fill="FFFFFF"/>
        </w:rPr>
        <w:t>Telecommunications (Consumer Complaints) Record-Keeping Rules 2018</w:t>
      </w:r>
      <w:r w:rsidR="00E9596D" w:rsidRPr="001064FD">
        <w:rPr>
          <w:color w:val="000000"/>
          <w:sz w:val="22"/>
          <w:szCs w:val="22"/>
          <w:shd w:val="clear" w:color="auto" w:fill="FFFFFF"/>
        </w:rPr>
        <w:t>.</w:t>
      </w:r>
    </w:p>
    <w:p w14:paraId="30189FFA" w14:textId="36F958E2" w:rsidR="00746E33" w:rsidRPr="00DB43A4" w:rsidRDefault="00CD7690" w:rsidP="00CC4789">
      <w:pPr>
        <w:pStyle w:val="LI-BodyTextNote"/>
        <w:spacing w:before="122"/>
        <w:ind w:left="1560"/>
      </w:pPr>
      <w:r w:rsidRPr="00DB43A4">
        <w:t>Note:</w:t>
      </w:r>
      <w:r w:rsidRPr="00DB43A4">
        <w:tab/>
        <w:t xml:space="preserve">The </w:t>
      </w:r>
      <w:r w:rsidRPr="00BC33A9">
        <w:rPr>
          <w:i/>
          <w:iCs/>
        </w:rPr>
        <w:t>Telecommunications (Consumer Complaints) Record-Keeping Rules 2018</w:t>
      </w:r>
      <w:r w:rsidRPr="00DB43A4">
        <w:t xml:space="preserve"> </w:t>
      </w:r>
      <w:r w:rsidR="00BC33A9">
        <w:t>are</w:t>
      </w:r>
      <w:r w:rsidRPr="00DB43A4">
        <w:t xml:space="preserve"> available, free of charge, on the Federal Register of Legislation: www</w:t>
      </w:r>
      <w:r w:rsidR="002228B7" w:rsidRPr="00DB43A4">
        <w:t>.legislation.gov.au.</w:t>
      </w:r>
    </w:p>
    <w:p w14:paraId="605C79B9" w14:textId="731FE795" w:rsidR="002F1D58" w:rsidRPr="00BB7E9F" w:rsidRDefault="002F1D58" w:rsidP="00CC4789">
      <w:pPr>
        <w:pStyle w:val="definition0"/>
        <w:jc w:val="left"/>
        <w:rPr>
          <w:i/>
          <w:sz w:val="22"/>
          <w:szCs w:val="22"/>
        </w:rPr>
      </w:pPr>
      <w:r w:rsidRPr="00BB7E9F">
        <w:rPr>
          <w:b/>
          <w:i/>
          <w:sz w:val="22"/>
          <w:szCs w:val="22"/>
        </w:rPr>
        <w:t xml:space="preserve">TCPSS Act </w:t>
      </w:r>
      <w:r w:rsidRPr="00BB7E9F">
        <w:rPr>
          <w:sz w:val="22"/>
          <w:szCs w:val="22"/>
        </w:rPr>
        <w:t xml:space="preserve">means the </w:t>
      </w:r>
      <w:r w:rsidRPr="00BB7E9F">
        <w:rPr>
          <w:i/>
          <w:sz w:val="22"/>
          <w:szCs w:val="22"/>
        </w:rPr>
        <w:t>Telecommunications (Consumer Protection and Service Standards) Act 1999.</w:t>
      </w:r>
    </w:p>
    <w:p w14:paraId="56B687AC" w14:textId="1CAFCDE1" w:rsidR="002F1D58" w:rsidRPr="00BB7E9F" w:rsidRDefault="002F1D58" w:rsidP="00CC4789">
      <w:pPr>
        <w:pStyle w:val="definition0"/>
        <w:jc w:val="left"/>
        <w:rPr>
          <w:bCs/>
          <w:iCs/>
          <w:sz w:val="22"/>
          <w:szCs w:val="22"/>
        </w:rPr>
      </w:pPr>
      <w:r w:rsidRPr="00BB7E9F">
        <w:rPr>
          <w:b/>
          <w:i/>
          <w:sz w:val="22"/>
          <w:szCs w:val="22"/>
        </w:rPr>
        <w:t>test segment</w:t>
      </w:r>
      <w:r w:rsidRPr="00BB7E9F">
        <w:rPr>
          <w:bCs/>
          <w:iCs/>
          <w:sz w:val="22"/>
          <w:szCs w:val="22"/>
        </w:rPr>
        <w:t xml:space="preserve"> means a class of broadband service that is tested in accordance with specified conditions under the MBA.</w:t>
      </w:r>
    </w:p>
    <w:p w14:paraId="235FD634" w14:textId="007AE9B9" w:rsidR="00B2042E" w:rsidRPr="00DB43A4" w:rsidRDefault="00B2042E" w:rsidP="00CC4789">
      <w:pPr>
        <w:pStyle w:val="LI-BodyTextNote"/>
        <w:spacing w:before="122"/>
        <w:ind w:left="1560"/>
      </w:pPr>
      <w:r w:rsidRPr="00DB43A4">
        <w:t>Note:</w:t>
      </w:r>
      <w:r w:rsidRPr="00DB43A4">
        <w:tab/>
        <w:t>The following expressions used in this instrument are defined in the Act:</w:t>
      </w:r>
    </w:p>
    <w:p w14:paraId="2EA95BB0" w14:textId="77777777" w:rsidR="00B2042E" w:rsidRPr="00BB7E9F" w:rsidRDefault="00B2042E" w:rsidP="00CC4789">
      <w:pPr>
        <w:pStyle w:val="notepara"/>
        <w:ind w:left="1985"/>
      </w:pPr>
      <w:r w:rsidRPr="00BB7E9F">
        <w:t>(a)</w:t>
      </w:r>
      <w:r w:rsidRPr="00BB7E9F">
        <w:tab/>
        <w:t xml:space="preserve">ACMA’s telecommunications </w:t>
      </w:r>
      <w:proofErr w:type="gramStart"/>
      <w:r w:rsidRPr="00BB7E9F">
        <w:t>functions;</w:t>
      </w:r>
      <w:proofErr w:type="gramEnd"/>
    </w:p>
    <w:p w14:paraId="322F3DC3" w14:textId="270D33DF" w:rsidR="00B2042E" w:rsidRPr="00BB7E9F" w:rsidRDefault="00B2042E" w:rsidP="00CC4789">
      <w:pPr>
        <w:pStyle w:val="notepara"/>
        <w:ind w:left="1985"/>
      </w:pPr>
      <w:r w:rsidRPr="00BB7E9F">
        <w:t>(b)</w:t>
      </w:r>
      <w:r w:rsidRPr="00BB7E9F">
        <w:tab/>
        <w:t>ACMA’s telecommunications powers</w:t>
      </w:r>
      <w:r w:rsidR="00DC1412">
        <w:t>.</w:t>
      </w:r>
    </w:p>
    <w:p w14:paraId="14B3C661" w14:textId="24295A1C" w:rsidR="008D2D04" w:rsidRPr="00BB7E9F" w:rsidRDefault="003754CA" w:rsidP="00CC4789">
      <w:pPr>
        <w:pStyle w:val="ActHead5"/>
      </w:pPr>
      <w:proofErr w:type="gramStart"/>
      <w:r w:rsidRPr="00BB7E9F">
        <w:rPr>
          <w:rStyle w:val="CharSectno"/>
        </w:rPr>
        <w:t>7</w:t>
      </w:r>
      <w:r w:rsidR="00086BF0" w:rsidRPr="00BB7E9F">
        <w:t xml:space="preserve"> </w:t>
      </w:r>
      <w:bookmarkEnd w:id="7"/>
      <w:r w:rsidR="008D2D04" w:rsidRPr="00BB7E9F">
        <w:t xml:space="preserve"> References</w:t>
      </w:r>
      <w:proofErr w:type="gramEnd"/>
      <w:r w:rsidR="008D2D04" w:rsidRPr="00BB7E9F">
        <w:t xml:space="preserve"> to other instruments</w:t>
      </w:r>
    </w:p>
    <w:p w14:paraId="4FCE295D" w14:textId="1D1EDE0E" w:rsidR="008D2D04" w:rsidRPr="00BB7E9F" w:rsidRDefault="008D2D04" w:rsidP="00950F12">
      <w:pPr>
        <w:pStyle w:val="subsection"/>
        <w:spacing w:before="120"/>
        <w:ind w:hanging="141"/>
      </w:pPr>
      <w:r w:rsidRPr="00BB7E9F">
        <w:tab/>
        <w:t>In this instrument, unless the contrary intention appears:</w:t>
      </w:r>
    </w:p>
    <w:p w14:paraId="3315C27B" w14:textId="131D10B5" w:rsidR="008D2D04" w:rsidRPr="00CC4789" w:rsidRDefault="008D2D04" w:rsidP="00CC4789">
      <w:pPr>
        <w:pStyle w:val="P1"/>
        <w:tabs>
          <w:tab w:val="clear" w:pos="1191"/>
        </w:tabs>
        <w:ind w:left="1560" w:hanging="567"/>
        <w:jc w:val="left"/>
        <w:rPr>
          <w:sz w:val="22"/>
          <w:szCs w:val="22"/>
        </w:rPr>
      </w:pPr>
      <w:r w:rsidRPr="00CC4789">
        <w:rPr>
          <w:sz w:val="22"/>
          <w:szCs w:val="22"/>
        </w:rPr>
        <w:t>(a)</w:t>
      </w:r>
      <w:r w:rsidRPr="00CC4789">
        <w:rPr>
          <w:sz w:val="22"/>
          <w:szCs w:val="22"/>
        </w:rPr>
        <w:tab/>
        <w:t>a reference to any other legislative instrument is a reference to that other legislative instrument as in force from time to time; and</w:t>
      </w:r>
    </w:p>
    <w:p w14:paraId="64D2BF86" w14:textId="6E68D3C6" w:rsidR="008D2D04" w:rsidRPr="00CC4789" w:rsidRDefault="008D2D04" w:rsidP="00CC4789">
      <w:pPr>
        <w:pStyle w:val="P1"/>
        <w:tabs>
          <w:tab w:val="clear" w:pos="1191"/>
        </w:tabs>
        <w:ind w:left="1560" w:hanging="567"/>
        <w:jc w:val="left"/>
        <w:rPr>
          <w:sz w:val="22"/>
          <w:szCs w:val="22"/>
        </w:rPr>
      </w:pPr>
      <w:r w:rsidRPr="00CC4789">
        <w:rPr>
          <w:sz w:val="22"/>
          <w:szCs w:val="22"/>
        </w:rPr>
        <w:t>(b)</w:t>
      </w:r>
      <w:r w:rsidRPr="00CC4789">
        <w:rPr>
          <w:sz w:val="22"/>
          <w:szCs w:val="22"/>
        </w:rPr>
        <w:tab/>
        <w:t>a reference to any other kind of instrument is a reference to that other instrument as in force at the commencement of this instrument.</w:t>
      </w:r>
    </w:p>
    <w:p w14:paraId="040A6587" w14:textId="77777777" w:rsidR="008D2D04" w:rsidRPr="00BB7E9F" w:rsidRDefault="008D2D04" w:rsidP="00CC4789">
      <w:pPr>
        <w:pStyle w:val="notetext"/>
        <w:ind w:left="1701" w:hanging="708"/>
      </w:pPr>
      <w:r w:rsidRPr="00BB7E9F">
        <w:t>Note 1:</w:t>
      </w:r>
      <w:r w:rsidRPr="00BB7E9F">
        <w:tab/>
        <w:t xml:space="preserve">For references to Commonwealth Acts, see section 10 of the </w:t>
      </w:r>
      <w:r w:rsidRPr="00BB7E9F">
        <w:rPr>
          <w:i/>
        </w:rPr>
        <w:t>Acts Interpretation Act 1901</w:t>
      </w:r>
      <w:r w:rsidRPr="00BB7E9F">
        <w:t xml:space="preserve">; and see also subsection 13(1) of the </w:t>
      </w:r>
      <w:r w:rsidRPr="00BB7E9F">
        <w:rPr>
          <w:i/>
        </w:rPr>
        <w:t>Legislation Act 2003</w:t>
      </w:r>
      <w:r w:rsidRPr="00BB7E9F">
        <w:t xml:space="preserve"> for the application of the </w:t>
      </w:r>
      <w:r w:rsidRPr="00BB7E9F">
        <w:rPr>
          <w:i/>
        </w:rPr>
        <w:t>Acts Interpretation Act 1901</w:t>
      </w:r>
      <w:r w:rsidRPr="00BB7E9F">
        <w:t xml:space="preserve"> to legislative instruments.</w:t>
      </w:r>
    </w:p>
    <w:p w14:paraId="1DE5AA76" w14:textId="4A25B5AA" w:rsidR="008D2D04" w:rsidRPr="00BB7E9F" w:rsidRDefault="008D2D04" w:rsidP="00CC4789">
      <w:pPr>
        <w:pStyle w:val="notetext"/>
        <w:ind w:left="1701" w:hanging="708"/>
      </w:pPr>
      <w:r w:rsidRPr="00BB7E9F">
        <w:t>Note 2:</w:t>
      </w:r>
      <w:r w:rsidRPr="00BB7E9F">
        <w:tab/>
        <w:t xml:space="preserve">All Commonwealth Acts and legislative instruments are registered on the Federal Register of Legislation. </w:t>
      </w:r>
    </w:p>
    <w:p w14:paraId="2DAE71E4" w14:textId="4678F999" w:rsidR="007D09DA" w:rsidRPr="00BB7E9F" w:rsidRDefault="003754CA" w:rsidP="00CC4789">
      <w:pPr>
        <w:pStyle w:val="ActHead5"/>
      </w:pPr>
      <w:proofErr w:type="gramStart"/>
      <w:r w:rsidRPr="00BB7E9F">
        <w:t>8</w:t>
      </w:r>
      <w:r w:rsidR="007D09DA" w:rsidRPr="00BB7E9F">
        <w:t xml:space="preserve">  Carrier</w:t>
      </w:r>
      <w:proofErr w:type="gramEnd"/>
      <w:r w:rsidR="007D09DA" w:rsidRPr="00BB7E9F">
        <w:t xml:space="preserve"> licence charge – exempt carrier licence</w:t>
      </w:r>
    </w:p>
    <w:p w14:paraId="7241A295" w14:textId="75068E0A" w:rsidR="007D09DA" w:rsidRPr="00BB7E9F" w:rsidRDefault="007D09DA" w:rsidP="00950F12">
      <w:pPr>
        <w:pStyle w:val="definition0"/>
        <w:spacing w:before="120"/>
        <w:jc w:val="left"/>
        <w:rPr>
          <w:sz w:val="22"/>
          <w:szCs w:val="22"/>
        </w:rPr>
      </w:pPr>
      <w:r w:rsidRPr="00BB7E9F">
        <w:rPr>
          <w:sz w:val="22"/>
          <w:szCs w:val="22"/>
        </w:rPr>
        <w:t>The amount of carrier licence charge imposed on an exempt carrier licence is $0.</w:t>
      </w:r>
    </w:p>
    <w:p w14:paraId="4136B52A" w14:textId="2A0C3528" w:rsidR="00CF0185" w:rsidRPr="00BB7E9F" w:rsidRDefault="003754CA" w:rsidP="00CC4789">
      <w:pPr>
        <w:pStyle w:val="ActHead5"/>
      </w:pPr>
      <w:proofErr w:type="gramStart"/>
      <w:r w:rsidRPr="00BB7E9F">
        <w:rPr>
          <w:rStyle w:val="CharSectno"/>
        </w:rPr>
        <w:t>9</w:t>
      </w:r>
      <w:r w:rsidR="00CF0185" w:rsidRPr="00BB7E9F">
        <w:t xml:space="preserve">  Method</w:t>
      </w:r>
      <w:proofErr w:type="gramEnd"/>
      <w:r w:rsidR="00CF0185" w:rsidRPr="00BB7E9F">
        <w:t xml:space="preserve"> of ascertaining carrier licence charge – other carrier licences </w:t>
      </w:r>
    </w:p>
    <w:p w14:paraId="0E82AB8E" w14:textId="77777777" w:rsidR="002316F6" w:rsidRPr="00CC4789" w:rsidRDefault="002316F6" w:rsidP="00CC4789">
      <w:pPr>
        <w:pStyle w:val="R1"/>
        <w:numPr>
          <w:ilvl w:val="0"/>
          <w:numId w:val="15"/>
        </w:numPr>
        <w:tabs>
          <w:tab w:val="clear" w:pos="794"/>
        </w:tabs>
        <w:ind w:left="993" w:hanging="426"/>
        <w:jc w:val="left"/>
        <w:rPr>
          <w:sz w:val="22"/>
          <w:szCs w:val="22"/>
        </w:rPr>
      </w:pPr>
      <w:r w:rsidRPr="00CC4789">
        <w:rPr>
          <w:sz w:val="22"/>
          <w:szCs w:val="22"/>
        </w:rPr>
        <w:t>This section applies to a carrier licence that is not an exempt carrier licence.</w:t>
      </w:r>
    </w:p>
    <w:p w14:paraId="76E7A24C" w14:textId="1D54D759" w:rsidR="002316F6" w:rsidRPr="00CC4789" w:rsidRDefault="002316F6" w:rsidP="00CC4789">
      <w:pPr>
        <w:pStyle w:val="R1"/>
        <w:numPr>
          <w:ilvl w:val="0"/>
          <w:numId w:val="15"/>
        </w:numPr>
        <w:tabs>
          <w:tab w:val="clear" w:pos="794"/>
        </w:tabs>
        <w:ind w:left="993" w:hanging="426"/>
        <w:jc w:val="left"/>
        <w:rPr>
          <w:sz w:val="22"/>
          <w:szCs w:val="22"/>
        </w:rPr>
      </w:pPr>
      <w:bookmarkStart w:id="8" w:name="_Hlk105592699"/>
      <w:bookmarkStart w:id="9" w:name="_Hlk21620453"/>
      <w:r w:rsidRPr="00CC4789">
        <w:rPr>
          <w:sz w:val="22"/>
          <w:szCs w:val="22"/>
        </w:rPr>
        <w:t xml:space="preserve">The amount of carrier licence charge imposed on a carrier licence in relation to </w:t>
      </w:r>
      <w:bookmarkEnd w:id="8"/>
      <w:r w:rsidRPr="00CC4789">
        <w:rPr>
          <w:sz w:val="22"/>
          <w:szCs w:val="22"/>
        </w:rPr>
        <w:t>a carrier named in an item in Schedule 1 is equal to the sum of the amount</w:t>
      </w:r>
      <w:r w:rsidR="00E3749B" w:rsidRPr="00CC4789">
        <w:rPr>
          <w:sz w:val="22"/>
          <w:szCs w:val="22"/>
        </w:rPr>
        <w:t>s</w:t>
      </w:r>
      <w:r w:rsidRPr="00CC4789">
        <w:rPr>
          <w:sz w:val="22"/>
          <w:szCs w:val="22"/>
        </w:rPr>
        <w:t xml:space="preserve"> ascertained using the formula</w:t>
      </w:r>
      <w:r w:rsidR="002F2B9E" w:rsidRPr="00CC4789">
        <w:rPr>
          <w:sz w:val="22"/>
          <w:szCs w:val="22"/>
        </w:rPr>
        <w:t>s</w:t>
      </w:r>
      <w:r w:rsidRPr="00CC4789">
        <w:rPr>
          <w:sz w:val="22"/>
          <w:szCs w:val="22"/>
        </w:rPr>
        <w:t xml:space="preserve"> in subsection</w:t>
      </w:r>
      <w:r w:rsidR="002F2B9E" w:rsidRPr="00CC4789">
        <w:rPr>
          <w:sz w:val="22"/>
          <w:szCs w:val="22"/>
        </w:rPr>
        <w:t>s</w:t>
      </w:r>
      <w:r w:rsidRPr="00CC4789">
        <w:rPr>
          <w:sz w:val="22"/>
          <w:szCs w:val="22"/>
        </w:rPr>
        <w:t xml:space="preserve"> (3)</w:t>
      </w:r>
      <w:r w:rsidR="002F2B9E" w:rsidRPr="00CC4789">
        <w:rPr>
          <w:sz w:val="22"/>
          <w:szCs w:val="22"/>
        </w:rPr>
        <w:t xml:space="preserve"> to (5)</w:t>
      </w:r>
      <w:r w:rsidR="000269FA" w:rsidRPr="00CC4789">
        <w:rPr>
          <w:sz w:val="22"/>
          <w:szCs w:val="22"/>
        </w:rPr>
        <w:t>,</w:t>
      </w:r>
      <w:r w:rsidR="000C7D53" w:rsidRPr="00CC4789">
        <w:rPr>
          <w:sz w:val="22"/>
          <w:szCs w:val="22"/>
        </w:rPr>
        <w:t xml:space="preserve"> </w:t>
      </w:r>
      <w:r w:rsidR="00BF45F0" w:rsidRPr="00CC4789">
        <w:rPr>
          <w:sz w:val="22"/>
          <w:szCs w:val="22"/>
        </w:rPr>
        <w:t>as applicable</w:t>
      </w:r>
      <w:r w:rsidRPr="00CC4789">
        <w:rPr>
          <w:sz w:val="22"/>
          <w:szCs w:val="22"/>
        </w:rPr>
        <w:t>.</w:t>
      </w:r>
    </w:p>
    <w:p w14:paraId="1EA1A8AE" w14:textId="7682CF8A" w:rsidR="00926721" w:rsidRPr="009F0E3F" w:rsidRDefault="00926721" w:rsidP="00256D31">
      <w:pPr>
        <w:pStyle w:val="definition0"/>
        <w:spacing w:after="120" w:line="220" w:lineRule="exact"/>
        <w:ind w:left="1559" w:hanging="567"/>
        <w:jc w:val="left"/>
        <w:rPr>
          <w:sz w:val="18"/>
          <w:szCs w:val="18"/>
        </w:rPr>
      </w:pPr>
      <w:r w:rsidRPr="009F0E3F">
        <w:rPr>
          <w:sz w:val="18"/>
          <w:szCs w:val="18"/>
        </w:rPr>
        <w:t>Note:</w:t>
      </w:r>
      <w:r w:rsidRPr="009F0E3F">
        <w:rPr>
          <w:sz w:val="18"/>
          <w:szCs w:val="18"/>
        </w:rPr>
        <w:tab/>
      </w:r>
      <w:r w:rsidR="00276E0D" w:rsidRPr="009F0E3F">
        <w:rPr>
          <w:sz w:val="18"/>
          <w:szCs w:val="18"/>
        </w:rPr>
        <w:t>The formula in subsection (3) applies to all</w:t>
      </w:r>
      <w:r w:rsidR="00D44CF6">
        <w:rPr>
          <w:sz w:val="18"/>
          <w:szCs w:val="18"/>
        </w:rPr>
        <w:t xml:space="preserve"> the</w:t>
      </w:r>
      <w:r w:rsidR="00276E0D" w:rsidRPr="009F0E3F">
        <w:rPr>
          <w:sz w:val="18"/>
          <w:szCs w:val="18"/>
        </w:rPr>
        <w:t xml:space="preserve"> carri</w:t>
      </w:r>
      <w:r w:rsidR="00A23FF5" w:rsidRPr="009F0E3F">
        <w:rPr>
          <w:sz w:val="18"/>
          <w:szCs w:val="18"/>
        </w:rPr>
        <w:t>ers</w:t>
      </w:r>
      <w:r w:rsidR="008C7BD3">
        <w:rPr>
          <w:sz w:val="18"/>
          <w:szCs w:val="18"/>
        </w:rPr>
        <w:t xml:space="preserve"> </w:t>
      </w:r>
      <w:r w:rsidR="00A23FF5" w:rsidRPr="009F0E3F">
        <w:rPr>
          <w:sz w:val="18"/>
          <w:szCs w:val="18"/>
        </w:rPr>
        <w:t xml:space="preserve">named in Schedule 1. </w:t>
      </w:r>
      <w:r w:rsidR="003138E3" w:rsidRPr="009F0E3F">
        <w:rPr>
          <w:sz w:val="18"/>
          <w:szCs w:val="18"/>
        </w:rPr>
        <w:t>In addition, t</w:t>
      </w:r>
      <w:r w:rsidR="00A23FF5" w:rsidRPr="009F0E3F">
        <w:rPr>
          <w:sz w:val="18"/>
          <w:szCs w:val="18"/>
        </w:rPr>
        <w:t xml:space="preserve">he </w:t>
      </w:r>
      <w:r w:rsidR="000D31E0" w:rsidRPr="009F0E3F">
        <w:rPr>
          <w:sz w:val="18"/>
          <w:szCs w:val="18"/>
        </w:rPr>
        <w:t xml:space="preserve">formula in subsection </w:t>
      </w:r>
      <w:r w:rsidR="004B19B5">
        <w:rPr>
          <w:sz w:val="18"/>
          <w:szCs w:val="18"/>
        </w:rPr>
        <w:t>(4) applies to</w:t>
      </w:r>
      <w:r w:rsidR="00D44CF6">
        <w:rPr>
          <w:sz w:val="18"/>
          <w:szCs w:val="18"/>
        </w:rPr>
        <w:t xml:space="preserve"> all</w:t>
      </w:r>
      <w:r w:rsidR="004B19B5">
        <w:rPr>
          <w:sz w:val="18"/>
          <w:szCs w:val="18"/>
        </w:rPr>
        <w:t xml:space="preserve"> </w:t>
      </w:r>
      <w:r w:rsidR="008F5277">
        <w:rPr>
          <w:sz w:val="18"/>
          <w:szCs w:val="18"/>
        </w:rPr>
        <w:t xml:space="preserve">the </w:t>
      </w:r>
      <w:r w:rsidR="000D31E0" w:rsidRPr="009F0E3F">
        <w:rPr>
          <w:sz w:val="18"/>
          <w:szCs w:val="18"/>
        </w:rPr>
        <w:t>carriers named in Schedule 2</w:t>
      </w:r>
      <w:r w:rsidR="004A467D">
        <w:rPr>
          <w:sz w:val="18"/>
          <w:szCs w:val="18"/>
        </w:rPr>
        <w:t xml:space="preserve"> (carriers who were also qualifying </w:t>
      </w:r>
      <w:r w:rsidR="00D44CF6">
        <w:rPr>
          <w:sz w:val="18"/>
          <w:szCs w:val="18"/>
        </w:rPr>
        <w:t xml:space="preserve">retail </w:t>
      </w:r>
      <w:r w:rsidR="004A467D">
        <w:rPr>
          <w:sz w:val="18"/>
          <w:szCs w:val="18"/>
        </w:rPr>
        <w:t xml:space="preserve">carriage service </w:t>
      </w:r>
      <w:r w:rsidR="00151D94">
        <w:rPr>
          <w:sz w:val="18"/>
          <w:szCs w:val="18"/>
        </w:rPr>
        <w:t>providers during the 2019-2020 financial year</w:t>
      </w:r>
      <w:r w:rsidR="00B32C24">
        <w:rPr>
          <w:sz w:val="18"/>
          <w:szCs w:val="18"/>
        </w:rPr>
        <w:t>), and the formula in subsection (</w:t>
      </w:r>
      <w:r w:rsidR="00E21798">
        <w:rPr>
          <w:sz w:val="18"/>
          <w:szCs w:val="18"/>
        </w:rPr>
        <w:t>5</w:t>
      </w:r>
      <w:r w:rsidR="00D32C55">
        <w:rPr>
          <w:sz w:val="18"/>
          <w:szCs w:val="18"/>
        </w:rPr>
        <w:t>) applies to</w:t>
      </w:r>
      <w:r w:rsidR="00D44CF6">
        <w:rPr>
          <w:sz w:val="18"/>
          <w:szCs w:val="18"/>
        </w:rPr>
        <w:t xml:space="preserve"> all</w:t>
      </w:r>
      <w:r w:rsidR="008F5277">
        <w:rPr>
          <w:sz w:val="18"/>
          <w:szCs w:val="18"/>
        </w:rPr>
        <w:t xml:space="preserve"> the</w:t>
      </w:r>
      <w:r w:rsidR="00D32C55">
        <w:rPr>
          <w:sz w:val="18"/>
          <w:szCs w:val="18"/>
        </w:rPr>
        <w:t xml:space="preserve"> </w:t>
      </w:r>
      <w:r w:rsidR="004109D7">
        <w:rPr>
          <w:sz w:val="18"/>
          <w:szCs w:val="18"/>
        </w:rPr>
        <w:t xml:space="preserve">carriers named in Schedule 3. </w:t>
      </w:r>
    </w:p>
    <w:p w14:paraId="4AF92B5A" w14:textId="02DD8534" w:rsidR="002316F6" w:rsidRDefault="002316F6" w:rsidP="00E64F89">
      <w:pPr>
        <w:pStyle w:val="definition0"/>
        <w:numPr>
          <w:ilvl w:val="0"/>
          <w:numId w:val="15"/>
        </w:numPr>
        <w:spacing w:after="120"/>
        <w:ind w:left="993" w:hanging="426"/>
        <w:jc w:val="left"/>
        <w:rPr>
          <w:sz w:val="22"/>
          <w:szCs w:val="22"/>
        </w:rPr>
      </w:pPr>
      <w:bookmarkStart w:id="10" w:name="_Hlk105599515"/>
      <w:r w:rsidRPr="00BB7E9F">
        <w:rPr>
          <w:sz w:val="22"/>
          <w:szCs w:val="22"/>
        </w:rPr>
        <w:t>The amount for the purposes of this subsection is ascertained using the formula:</w:t>
      </w:r>
    </w:p>
    <w:p w14:paraId="433B22CC" w14:textId="074BC2A2" w:rsidR="00FF508C" w:rsidRPr="00BB7E9F" w:rsidRDefault="00296C3C" w:rsidP="00FF508C">
      <w:pPr>
        <w:pStyle w:val="definition0"/>
        <w:spacing w:after="120"/>
        <w:ind w:left="993"/>
        <w:jc w:val="left"/>
        <w:rPr>
          <w:sz w:val="22"/>
          <w:szCs w:val="22"/>
        </w:rPr>
      </w:pPr>
      <w:r w:rsidRPr="00DB5158">
        <w:rPr>
          <w:noProof/>
        </w:rPr>
        <w:drawing>
          <wp:anchor distT="0" distB="0" distL="114300" distR="114300" simplePos="0" relativeHeight="251658240" behindDoc="0" locked="0" layoutInCell="1" allowOverlap="1" wp14:anchorId="2AE03BA0" wp14:editId="7BF4A47E">
            <wp:simplePos x="0" y="0"/>
            <wp:positionH relativeFrom="column">
              <wp:posOffset>628650</wp:posOffset>
            </wp:positionH>
            <wp:positionV relativeFrom="paragraph">
              <wp:posOffset>24130</wp:posOffset>
            </wp:positionV>
            <wp:extent cx="2076450" cy="752475"/>
            <wp:effectExtent l="0" t="0" r="0" b="9525"/>
            <wp:wrapTopAndBottom/>
            <wp:docPr id="4" name="Picture 4" descr="Open bracket MCA minus OTC close bracket multiplied by start fraction ER over TER end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pen bracket MCA minus OTC close bracket multiplied by start fraction ER over TER end fraction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9"/>
    <w:bookmarkEnd w:id="10"/>
    <w:p w14:paraId="7A9AA6AA" w14:textId="4A9A5875" w:rsidR="002316F6" w:rsidRPr="00BB7E9F" w:rsidRDefault="002316F6" w:rsidP="00950F12">
      <w:pPr>
        <w:pStyle w:val="Rc"/>
        <w:keepNext/>
        <w:spacing w:before="240"/>
        <w:ind w:left="992"/>
        <w:jc w:val="left"/>
        <w:rPr>
          <w:sz w:val="22"/>
          <w:szCs w:val="22"/>
        </w:rPr>
      </w:pPr>
      <w:r w:rsidRPr="00BB7E9F">
        <w:rPr>
          <w:sz w:val="22"/>
          <w:szCs w:val="22"/>
        </w:rPr>
        <w:lastRenderedPageBreak/>
        <w:t>where:</w:t>
      </w:r>
    </w:p>
    <w:p w14:paraId="19F8B648" w14:textId="4AAC6091" w:rsidR="002316F6" w:rsidRPr="00BB7E9F" w:rsidRDefault="002316F6" w:rsidP="009C6A79">
      <w:pPr>
        <w:pStyle w:val="definition0"/>
        <w:spacing w:before="120"/>
        <w:ind w:left="993"/>
        <w:jc w:val="left"/>
        <w:rPr>
          <w:sz w:val="22"/>
          <w:szCs w:val="22"/>
        </w:rPr>
      </w:pPr>
      <w:r w:rsidRPr="00E1466F">
        <w:rPr>
          <w:b/>
          <w:i/>
          <w:sz w:val="22"/>
          <w:szCs w:val="22"/>
        </w:rPr>
        <w:t>MCA</w:t>
      </w:r>
      <w:r w:rsidRPr="00E1466F">
        <w:rPr>
          <w:sz w:val="22"/>
          <w:szCs w:val="22"/>
        </w:rPr>
        <w:t xml:space="preserve"> (maximum charge amount</w:t>
      </w:r>
      <w:r w:rsidR="002C1408" w:rsidRPr="00E1466F">
        <w:rPr>
          <w:sz w:val="22"/>
          <w:szCs w:val="22"/>
        </w:rPr>
        <w:t>,</w:t>
      </w:r>
      <w:r w:rsidRPr="00E1466F">
        <w:rPr>
          <w:sz w:val="22"/>
          <w:szCs w:val="22"/>
        </w:rPr>
        <w:t xml:space="preserve"> excluding</w:t>
      </w:r>
      <w:r w:rsidR="002C1408" w:rsidRPr="005149F1">
        <w:rPr>
          <w:sz w:val="22"/>
          <w:szCs w:val="22"/>
        </w:rPr>
        <w:t xml:space="preserve"> costs relating to </w:t>
      </w:r>
      <w:r w:rsidR="002B708F">
        <w:rPr>
          <w:sz w:val="22"/>
          <w:szCs w:val="22"/>
        </w:rPr>
        <w:t>the</w:t>
      </w:r>
      <w:r w:rsidR="005603D6">
        <w:rPr>
          <w:sz w:val="22"/>
          <w:szCs w:val="22"/>
        </w:rPr>
        <w:t xml:space="preserve"> CSPA and</w:t>
      </w:r>
      <w:r w:rsidR="002B708F">
        <w:rPr>
          <w:sz w:val="22"/>
          <w:szCs w:val="22"/>
        </w:rPr>
        <w:t xml:space="preserve"> </w:t>
      </w:r>
      <w:r w:rsidR="002C1408" w:rsidRPr="005149F1">
        <w:rPr>
          <w:sz w:val="22"/>
          <w:szCs w:val="22"/>
        </w:rPr>
        <w:t>the MBA</w:t>
      </w:r>
      <w:r w:rsidRPr="005149F1">
        <w:rPr>
          <w:sz w:val="22"/>
          <w:szCs w:val="22"/>
        </w:rPr>
        <w:t>) is $</w:t>
      </w:r>
      <w:r w:rsidR="005149F1">
        <w:rPr>
          <w:sz w:val="22"/>
          <w:szCs w:val="22"/>
        </w:rPr>
        <w:t>29 470 809</w:t>
      </w:r>
      <w:r w:rsidRPr="00E1466F">
        <w:rPr>
          <w:sz w:val="22"/>
          <w:szCs w:val="22"/>
        </w:rPr>
        <w:t>.</w:t>
      </w:r>
    </w:p>
    <w:p w14:paraId="2A7AA233" w14:textId="7170547E" w:rsidR="00441B2F" w:rsidRPr="00B54383" w:rsidRDefault="002316F6" w:rsidP="006C20C2">
      <w:pPr>
        <w:pStyle w:val="Note"/>
        <w:ind w:left="1560" w:hanging="567"/>
        <w:jc w:val="left"/>
        <w:rPr>
          <w:sz w:val="18"/>
          <w:szCs w:val="18"/>
        </w:rPr>
      </w:pPr>
      <w:r w:rsidRPr="00B54383">
        <w:rPr>
          <w:sz w:val="18"/>
          <w:szCs w:val="18"/>
        </w:rPr>
        <w:t>Note:</w:t>
      </w:r>
      <w:r w:rsidRPr="00B54383">
        <w:rPr>
          <w:i/>
          <w:sz w:val="18"/>
          <w:szCs w:val="18"/>
        </w:rPr>
        <w:tab/>
      </w:r>
      <w:r w:rsidRPr="00B54383">
        <w:rPr>
          <w:sz w:val="18"/>
          <w:szCs w:val="18"/>
        </w:rPr>
        <w:t>This amount is the total sum of the amounts determined under subsection 15(1) of the Act</w:t>
      </w:r>
      <w:r w:rsidR="00433236" w:rsidRPr="00B54383">
        <w:rPr>
          <w:sz w:val="18"/>
          <w:szCs w:val="18"/>
        </w:rPr>
        <w:t xml:space="preserve"> as specified in the</w:t>
      </w:r>
      <w:r w:rsidR="0067605D" w:rsidRPr="00B54383">
        <w:rPr>
          <w:sz w:val="18"/>
          <w:szCs w:val="18"/>
        </w:rPr>
        <w:t xml:space="preserve"> following instruments</w:t>
      </w:r>
      <w:r w:rsidR="00EC680B" w:rsidRPr="00B54383">
        <w:rPr>
          <w:sz w:val="18"/>
          <w:szCs w:val="18"/>
        </w:rPr>
        <w:t xml:space="preserve">, excluding </w:t>
      </w:r>
      <w:r w:rsidR="00FE2194" w:rsidRPr="00B54383">
        <w:rPr>
          <w:sz w:val="18"/>
          <w:szCs w:val="18"/>
        </w:rPr>
        <w:t>costs relating to the CSPA and the MBA</w:t>
      </w:r>
      <w:r w:rsidR="00441B2F" w:rsidRPr="00B54383">
        <w:rPr>
          <w:sz w:val="18"/>
          <w:szCs w:val="18"/>
        </w:rPr>
        <w:t>:</w:t>
      </w:r>
    </w:p>
    <w:p w14:paraId="48C3D9D0" w14:textId="7C0D0F96" w:rsidR="005149F1" w:rsidRPr="00B54383" w:rsidRDefault="00BE4744" w:rsidP="00CF5C18">
      <w:pPr>
        <w:pStyle w:val="Note"/>
        <w:numPr>
          <w:ilvl w:val="0"/>
          <w:numId w:val="12"/>
        </w:numPr>
        <w:ind w:left="1985" w:hanging="425"/>
        <w:jc w:val="left"/>
        <w:rPr>
          <w:sz w:val="18"/>
          <w:szCs w:val="18"/>
        </w:rPr>
      </w:pPr>
      <w:r w:rsidRPr="00B54383">
        <w:rPr>
          <w:iCs/>
          <w:sz w:val="18"/>
          <w:szCs w:val="18"/>
        </w:rPr>
        <w:t xml:space="preserve">the </w:t>
      </w:r>
      <w:r w:rsidR="00256D9C" w:rsidRPr="00B54383">
        <w:rPr>
          <w:i/>
          <w:sz w:val="18"/>
          <w:szCs w:val="18"/>
        </w:rPr>
        <w:t>Telecommunications Carrier Licence Charges (Specification of Costs by the ACMA)</w:t>
      </w:r>
      <w:r w:rsidR="00256D9C" w:rsidRPr="00B54383">
        <w:rPr>
          <w:sz w:val="18"/>
          <w:szCs w:val="18"/>
        </w:rPr>
        <w:t xml:space="preserve"> </w:t>
      </w:r>
      <w:r w:rsidR="00256D9C" w:rsidRPr="00B54383">
        <w:rPr>
          <w:i/>
          <w:sz w:val="18"/>
          <w:szCs w:val="18"/>
        </w:rPr>
        <w:t>Determination (No. 1) 2022</w:t>
      </w:r>
      <w:r w:rsidR="00256D9C" w:rsidRPr="00B54383">
        <w:rPr>
          <w:sz w:val="18"/>
          <w:szCs w:val="18"/>
        </w:rPr>
        <w:t xml:space="preserve">, </w:t>
      </w:r>
      <w:r w:rsidR="00883AF8" w:rsidRPr="00B54383">
        <w:rPr>
          <w:sz w:val="18"/>
          <w:szCs w:val="18"/>
        </w:rPr>
        <w:t xml:space="preserve">made by the ACMA under </w:t>
      </w:r>
      <w:r w:rsidR="007D2889" w:rsidRPr="00B54383">
        <w:rPr>
          <w:sz w:val="18"/>
          <w:szCs w:val="18"/>
        </w:rPr>
        <w:t>paragraph</w:t>
      </w:r>
      <w:r w:rsidR="00FB4ED8" w:rsidRPr="00B54383">
        <w:rPr>
          <w:sz w:val="18"/>
          <w:szCs w:val="18"/>
        </w:rPr>
        <w:t>s</w:t>
      </w:r>
      <w:r w:rsidR="007D2889" w:rsidRPr="00B54383">
        <w:rPr>
          <w:sz w:val="18"/>
          <w:szCs w:val="18"/>
        </w:rPr>
        <w:t xml:space="preserve"> 15(1)(a)</w:t>
      </w:r>
      <w:r w:rsidR="00FB4ED8" w:rsidRPr="00B54383">
        <w:rPr>
          <w:sz w:val="18"/>
          <w:szCs w:val="18"/>
        </w:rPr>
        <w:t>, (</w:t>
      </w:r>
      <w:r w:rsidR="0063320B" w:rsidRPr="00B54383">
        <w:rPr>
          <w:sz w:val="18"/>
          <w:szCs w:val="18"/>
        </w:rPr>
        <w:t>c) and (ca)</w:t>
      </w:r>
      <w:r w:rsidR="007D2889" w:rsidRPr="00B54383">
        <w:rPr>
          <w:sz w:val="18"/>
          <w:szCs w:val="18"/>
        </w:rPr>
        <w:t xml:space="preserve"> of the Act</w:t>
      </w:r>
      <w:r w:rsidR="00FE2194" w:rsidRPr="00B54383">
        <w:rPr>
          <w:sz w:val="18"/>
          <w:szCs w:val="18"/>
        </w:rPr>
        <w:t xml:space="preserve"> (</w:t>
      </w:r>
      <w:r w:rsidR="002316F6" w:rsidRPr="00B54383">
        <w:rPr>
          <w:sz w:val="18"/>
          <w:szCs w:val="18"/>
        </w:rPr>
        <w:t>excluding</w:t>
      </w:r>
      <w:bookmarkStart w:id="11" w:name="_Hlk105591528"/>
      <w:r w:rsidR="007D2889" w:rsidRPr="00B54383">
        <w:rPr>
          <w:sz w:val="18"/>
          <w:szCs w:val="18"/>
        </w:rPr>
        <w:t xml:space="preserve"> the portion of the amount</w:t>
      </w:r>
      <w:bookmarkEnd w:id="11"/>
      <w:r w:rsidR="007D2889" w:rsidRPr="00B54383">
        <w:rPr>
          <w:sz w:val="18"/>
          <w:szCs w:val="18"/>
        </w:rPr>
        <w:t xml:space="preserve"> determined by the ACMA</w:t>
      </w:r>
      <w:r w:rsidR="00FE2194" w:rsidRPr="00B54383">
        <w:rPr>
          <w:sz w:val="18"/>
          <w:szCs w:val="18"/>
        </w:rPr>
        <w:t xml:space="preserve"> under paragraph 15(1)(a)</w:t>
      </w:r>
      <w:r w:rsidR="007D2889" w:rsidRPr="00B54383">
        <w:rPr>
          <w:sz w:val="18"/>
          <w:szCs w:val="18"/>
        </w:rPr>
        <w:t xml:space="preserve"> that relates to the CSPA</w:t>
      </w:r>
      <w:proofErr w:type="gramStart"/>
      <w:r w:rsidR="00FE2194" w:rsidRPr="00B54383">
        <w:rPr>
          <w:sz w:val="18"/>
          <w:szCs w:val="18"/>
        </w:rPr>
        <w:t>)</w:t>
      </w:r>
      <w:r w:rsidR="007D2889" w:rsidRPr="00B54383">
        <w:rPr>
          <w:sz w:val="18"/>
          <w:szCs w:val="18"/>
        </w:rPr>
        <w:t>;</w:t>
      </w:r>
      <w:proofErr w:type="gramEnd"/>
    </w:p>
    <w:p w14:paraId="5289CC46" w14:textId="15414146" w:rsidR="005149F1" w:rsidRPr="00B54383" w:rsidRDefault="00BE4744" w:rsidP="00581205">
      <w:pPr>
        <w:pStyle w:val="Note"/>
        <w:numPr>
          <w:ilvl w:val="0"/>
          <w:numId w:val="12"/>
        </w:numPr>
        <w:spacing w:before="0"/>
        <w:ind w:left="1985" w:hanging="425"/>
        <w:jc w:val="left"/>
        <w:rPr>
          <w:sz w:val="18"/>
          <w:szCs w:val="18"/>
        </w:rPr>
      </w:pPr>
      <w:bookmarkStart w:id="12" w:name="_Hlk105591484"/>
      <w:r w:rsidRPr="00B54383">
        <w:rPr>
          <w:sz w:val="18"/>
          <w:szCs w:val="18"/>
        </w:rPr>
        <w:t xml:space="preserve">the </w:t>
      </w:r>
      <w:r w:rsidR="009448EB" w:rsidRPr="00B54383">
        <w:rPr>
          <w:i/>
          <w:iCs/>
          <w:sz w:val="18"/>
          <w:szCs w:val="18"/>
        </w:rPr>
        <w:t>2022 Determination under paragraph 15(1)(b)</w:t>
      </w:r>
      <w:r w:rsidR="009448EB" w:rsidRPr="00B54383">
        <w:rPr>
          <w:sz w:val="18"/>
          <w:szCs w:val="18"/>
        </w:rPr>
        <w:t>, made by the ACCC under paragraph 15(1)(b) of the Act</w:t>
      </w:r>
      <w:r w:rsidR="00FE2194" w:rsidRPr="00B54383">
        <w:rPr>
          <w:sz w:val="18"/>
          <w:szCs w:val="18"/>
        </w:rPr>
        <w:t xml:space="preserve"> (excluding the p</w:t>
      </w:r>
      <w:r w:rsidR="003128CA" w:rsidRPr="00B54383">
        <w:rPr>
          <w:sz w:val="18"/>
          <w:szCs w:val="18"/>
        </w:rPr>
        <w:t xml:space="preserve">ortion of the amount </w:t>
      </w:r>
      <w:r w:rsidR="009448EB" w:rsidRPr="00B54383">
        <w:rPr>
          <w:sz w:val="18"/>
          <w:szCs w:val="18"/>
        </w:rPr>
        <w:t>that relates to the MBA</w:t>
      </w:r>
      <w:r w:rsidR="0028218A" w:rsidRPr="00B54383">
        <w:rPr>
          <w:sz w:val="18"/>
          <w:szCs w:val="18"/>
        </w:rPr>
        <w:t>)</w:t>
      </w:r>
      <w:r w:rsidR="0044699F" w:rsidRPr="00B54383">
        <w:rPr>
          <w:sz w:val="18"/>
          <w:szCs w:val="18"/>
        </w:rPr>
        <w:t>; and</w:t>
      </w:r>
    </w:p>
    <w:p w14:paraId="1281951D" w14:textId="2CDA9DB3" w:rsidR="00555A8B" w:rsidRPr="00B54383" w:rsidRDefault="00BE4744" w:rsidP="00581205">
      <w:pPr>
        <w:pStyle w:val="Note"/>
        <w:numPr>
          <w:ilvl w:val="0"/>
          <w:numId w:val="12"/>
        </w:numPr>
        <w:spacing w:before="0"/>
        <w:ind w:left="1985" w:hanging="425"/>
        <w:jc w:val="left"/>
        <w:rPr>
          <w:sz w:val="18"/>
          <w:szCs w:val="18"/>
        </w:rPr>
      </w:pPr>
      <w:r w:rsidRPr="00B54383">
        <w:rPr>
          <w:sz w:val="18"/>
          <w:szCs w:val="18"/>
          <w:lang w:val="en-US"/>
        </w:rPr>
        <w:t xml:space="preserve">the </w:t>
      </w:r>
      <w:r w:rsidR="004D5BDF" w:rsidRPr="00B54383">
        <w:rPr>
          <w:i/>
          <w:iCs/>
          <w:sz w:val="18"/>
          <w:szCs w:val="18"/>
          <w:lang w:val="en-US"/>
        </w:rPr>
        <w:t xml:space="preserve">Telecommunications (Carrier </w:t>
      </w:r>
      <w:proofErr w:type="spellStart"/>
      <w:r w:rsidR="004D5BDF" w:rsidRPr="00B54383">
        <w:rPr>
          <w:i/>
          <w:iCs/>
          <w:sz w:val="18"/>
          <w:szCs w:val="18"/>
          <w:lang w:val="en-US"/>
        </w:rPr>
        <w:t>Licence</w:t>
      </w:r>
      <w:proofErr w:type="spellEnd"/>
      <w:r w:rsidR="004D5BDF" w:rsidRPr="00B54383">
        <w:rPr>
          <w:i/>
          <w:iCs/>
          <w:sz w:val="18"/>
          <w:szCs w:val="18"/>
          <w:lang w:val="en-US"/>
        </w:rPr>
        <w:t xml:space="preserve"> Charges) (Paragraph 15(1)(d)) Determination 2021 (No. 1)</w:t>
      </w:r>
      <w:r w:rsidR="004D5BDF" w:rsidRPr="00B54383">
        <w:rPr>
          <w:sz w:val="18"/>
          <w:szCs w:val="18"/>
          <w:lang w:val="en-US"/>
        </w:rPr>
        <w:t>, made by the Minister</w:t>
      </w:r>
      <w:r w:rsidR="00FB4ED8" w:rsidRPr="00B54383">
        <w:rPr>
          <w:sz w:val="18"/>
          <w:szCs w:val="18"/>
          <w:lang w:val="en-US"/>
        </w:rPr>
        <w:t xml:space="preserve"> under paragraph 15(1)(d) of the Act</w:t>
      </w:r>
      <w:r w:rsidR="0044699F" w:rsidRPr="00B54383">
        <w:rPr>
          <w:sz w:val="18"/>
          <w:szCs w:val="18"/>
          <w:lang w:val="en-US"/>
        </w:rPr>
        <w:t>.</w:t>
      </w:r>
    </w:p>
    <w:bookmarkEnd w:id="12"/>
    <w:p w14:paraId="3B6D6CB2" w14:textId="0AE64F50" w:rsidR="002316F6" w:rsidRPr="00BB7E9F" w:rsidRDefault="002316F6" w:rsidP="008220F2">
      <w:pPr>
        <w:pStyle w:val="Zdefinition"/>
        <w:spacing w:before="120"/>
        <w:ind w:left="993"/>
        <w:jc w:val="left"/>
        <w:rPr>
          <w:sz w:val="22"/>
          <w:szCs w:val="22"/>
        </w:rPr>
      </w:pPr>
      <w:r w:rsidRPr="00BB7E9F">
        <w:rPr>
          <w:b/>
          <w:i/>
          <w:sz w:val="22"/>
          <w:szCs w:val="22"/>
        </w:rPr>
        <w:t>OTC</w:t>
      </w:r>
      <w:r w:rsidRPr="00BB7E9F">
        <w:rPr>
          <w:sz w:val="22"/>
          <w:szCs w:val="22"/>
        </w:rPr>
        <w:t xml:space="preserve"> (other telecommunications costs) is $</w:t>
      </w:r>
      <w:r w:rsidR="008B716C">
        <w:rPr>
          <w:sz w:val="22"/>
          <w:szCs w:val="22"/>
        </w:rPr>
        <w:t>130 980</w:t>
      </w:r>
      <w:r w:rsidRPr="00BB7E9F">
        <w:rPr>
          <w:sz w:val="22"/>
          <w:szCs w:val="22"/>
        </w:rPr>
        <w:t>.</w:t>
      </w:r>
    </w:p>
    <w:p w14:paraId="6FEFCD97" w14:textId="77777777" w:rsidR="002316F6" w:rsidRPr="00BB7E9F" w:rsidRDefault="002316F6" w:rsidP="006C20C2">
      <w:pPr>
        <w:pStyle w:val="Note"/>
        <w:ind w:left="1560" w:hanging="567"/>
        <w:jc w:val="left"/>
        <w:rPr>
          <w:sz w:val="18"/>
          <w:szCs w:val="18"/>
        </w:rPr>
      </w:pPr>
      <w:r w:rsidRPr="00BB7E9F">
        <w:rPr>
          <w:sz w:val="18"/>
          <w:szCs w:val="18"/>
        </w:rPr>
        <w:t>Note:</w:t>
      </w:r>
      <w:r w:rsidRPr="00BB7E9F">
        <w:rPr>
          <w:i/>
          <w:sz w:val="18"/>
          <w:szCs w:val="18"/>
        </w:rPr>
        <w:tab/>
      </w:r>
      <w:r w:rsidRPr="00BB7E9F">
        <w:rPr>
          <w:sz w:val="18"/>
          <w:szCs w:val="18"/>
        </w:rPr>
        <w:t>This amount relates to costs that:</w:t>
      </w:r>
    </w:p>
    <w:p w14:paraId="5DAF0D65" w14:textId="58704C0A" w:rsidR="002316F6" w:rsidRPr="00BB7E9F" w:rsidRDefault="002316F6" w:rsidP="00581205">
      <w:pPr>
        <w:pStyle w:val="Notepara0"/>
        <w:spacing w:before="0"/>
        <w:ind w:left="1985" w:hanging="425"/>
        <w:jc w:val="left"/>
        <w:rPr>
          <w:sz w:val="18"/>
          <w:szCs w:val="18"/>
        </w:rPr>
      </w:pPr>
      <w:r w:rsidRPr="00BB7E9F">
        <w:rPr>
          <w:sz w:val="18"/>
          <w:szCs w:val="18"/>
        </w:rPr>
        <w:t>(a)</w:t>
      </w:r>
      <w:r w:rsidRPr="00BB7E9F">
        <w:rPr>
          <w:sz w:val="18"/>
          <w:szCs w:val="18"/>
        </w:rPr>
        <w:tab/>
        <w:t>are part of the proportion of the ACMA’s costs for the 201</w:t>
      </w:r>
      <w:r w:rsidR="002B1A82">
        <w:rPr>
          <w:sz w:val="18"/>
          <w:szCs w:val="18"/>
        </w:rPr>
        <w:t>9</w:t>
      </w:r>
      <w:r w:rsidRPr="00BB7E9F">
        <w:rPr>
          <w:sz w:val="18"/>
          <w:szCs w:val="18"/>
        </w:rPr>
        <w:t>–20</w:t>
      </w:r>
      <w:r w:rsidR="002B1A82">
        <w:rPr>
          <w:sz w:val="18"/>
          <w:szCs w:val="18"/>
        </w:rPr>
        <w:t>20</w:t>
      </w:r>
      <w:r w:rsidRPr="00BB7E9F">
        <w:rPr>
          <w:sz w:val="18"/>
          <w:szCs w:val="18"/>
        </w:rPr>
        <w:t xml:space="preserve"> financial year that is attributable to the ACMA’s telecommunications functions and</w:t>
      </w:r>
      <w:r w:rsidR="00410D22">
        <w:rPr>
          <w:sz w:val="18"/>
          <w:szCs w:val="18"/>
        </w:rPr>
        <w:t xml:space="preserve"> </w:t>
      </w:r>
      <w:r w:rsidRPr="00BB7E9F">
        <w:rPr>
          <w:sz w:val="18"/>
          <w:szCs w:val="18"/>
        </w:rPr>
        <w:t>powers; and</w:t>
      </w:r>
    </w:p>
    <w:p w14:paraId="1FA1B921" w14:textId="77777777" w:rsidR="002316F6" w:rsidRPr="00BB7E9F" w:rsidRDefault="002316F6" w:rsidP="006C20C2">
      <w:pPr>
        <w:pStyle w:val="Notepara0"/>
        <w:ind w:left="1985" w:hanging="425"/>
        <w:jc w:val="left"/>
        <w:rPr>
          <w:sz w:val="18"/>
          <w:szCs w:val="18"/>
        </w:rPr>
      </w:pPr>
      <w:r w:rsidRPr="00BB7E9F">
        <w:rPr>
          <w:sz w:val="18"/>
          <w:szCs w:val="18"/>
        </w:rPr>
        <w:t>(b)</w:t>
      </w:r>
      <w:r w:rsidRPr="00BB7E9F">
        <w:rPr>
          <w:sz w:val="18"/>
          <w:szCs w:val="18"/>
        </w:rPr>
        <w:tab/>
        <w:t>have been recovered from telecommunications charges (other than annual carrier licence charges).</w:t>
      </w:r>
    </w:p>
    <w:p w14:paraId="1A47EDE0" w14:textId="5705A87E" w:rsidR="002316F6" w:rsidRPr="00BB7E9F" w:rsidRDefault="002316F6" w:rsidP="006E7192">
      <w:pPr>
        <w:pStyle w:val="Note"/>
        <w:ind w:left="1560"/>
        <w:jc w:val="left"/>
        <w:rPr>
          <w:sz w:val="18"/>
          <w:szCs w:val="18"/>
        </w:rPr>
      </w:pPr>
      <w:r w:rsidRPr="00BB7E9F">
        <w:rPr>
          <w:sz w:val="18"/>
          <w:szCs w:val="18"/>
        </w:rPr>
        <w:t xml:space="preserve">(The </w:t>
      </w:r>
      <w:bookmarkStart w:id="13" w:name="_Hlk105592896"/>
      <w:r w:rsidRPr="00BB7E9F">
        <w:rPr>
          <w:sz w:val="18"/>
          <w:szCs w:val="18"/>
        </w:rPr>
        <w:t>amount determined to be the proportion of the ACMA’s costs for the 201</w:t>
      </w:r>
      <w:r w:rsidR="0028119E">
        <w:rPr>
          <w:sz w:val="18"/>
          <w:szCs w:val="18"/>
        </w:rPr>
        <w:t>9</w:t>
      </w:r>
      <w:r w:rsidRPr="00BB7E9F">
        <w:rPr>
          <w:sz w:val="18"/>
          <w:szCs w:val="18"/>
        </w:rPr>
        <w:t>–20</w:t>
      </w:r>
      <w:r w:rsidR="0028119E">
        <w:rPr>
          <w:sz w:val="18"/>
          <w:szCs w:val="18"/>
        </w:rPr>
        <w:t>20</w:t>
      </w:r>
      <w:r w:rsidRPr="00BB7E9F">
        <w:rPr>
          <w:sz w:val="18"/>
          <w:szCs w:val="18"/>
        </w:rPr>
        <w:t xml:space="preserve"> </w:t>
      </w:r>
      <w:bookmarkEnd w:id="13"/>
      <w:r w:rsidRPr="00BB7E9F">
        <w:rPr>
          <w:sz w:val="18"/>
          <w:szCs w:val="18"/>
        </w:rPr>
        <w:t>financial year that is attributable to the ACMA’s telecommunications functions and powers is $</w:t>
      </w:r>
      <w:r w:rsidR="00832F9A">
        <w:rPr>
          <w:sz w:val="18"/>
          <w:szCs w:val="18"/>
        </w:rPr>
        <w:t xml:space="preserve">14 521 169 </w:t>
      </w:r>
      <w:r w:rsidRPr="00BB7E9F">
        <w:rPr>
          <w:sz w:val="18"/>
          <w:szCs w:val="18"/>
        </w:rPr>
        <w:t xml:space="preserve">— see section 6 of the </w:t>
      </w:r>
      <w:r w:rsidRPr="00BB7E9F">
        <w:rPr>
          <w:i/>
          <w:sz w:val="18"/>
          <w:szCs w:val="18"/>
        </w:rPr>
        <w:t>Telecommunications</w:t>
      </w:r>
      <w:r w:rsidR="00F20D6E" w:rsidRPr="00BB7E9F">
        <w:rPr>
          <w:i/>
          <w:sz w:val="18"/>
          <w:szCs w:val="18"/>
        </w:rPr>
        <w:t xml:space="preserve"> Carrier Licence Charges</w:t>
      </w:r>
      <w:r w:rsidRPr="00BB7E9F">
        <w:rPr>
          <w:i/>
          <w:sz w:val="18"/>
          <w:szCs w:val="18"/>
        </w:rPr>
        <w:t xml:space="preserve"> (Specification of Costs by the ACMA)</w:t>
      </w:r>
      <w:r w:rsidRPr="00BB7E9F">
        <w:rPr>
          <w:sz w:val="18"/>
          <w:szCs w:val="18"/>
        </w:rPr>
        <w:t xml:space="preserve"> </w:t>
      </w:r>
      <w:r w:rsidRPr="00BB7E9F">
        <w:rPr>
          <w:i/>
          <w:sz w:val="18"/>
          <w:szCs w:val="18"/>
        </w:rPr>
        <w:t xml:space="preserve">Determination </w:t>
      </w:r>
      <w:r w:rsidR="00F20D6E" w:rsidRPr="00BB7E9F">
        <w:rPr>
          <w:i/>
          <w:sz w:val="18"/>
          <w:szCs w:val="18"/>
        </w:rPr>
        <w:t xml:space="preserve">(No. 1) </w:t>
      </w:r>
      <w:r w:rsidRPr="00BB7E9F">
        <w:rPr>
          <w:i/>
          <w:sz w:val="18"/>
          <w:szCs w:val="18"/>
        </w:rPr>
        <w:t>202</w:t>
      </w:r>
      <w:r w:rsidR="00832F9A">
        <w:rPr>
          <w:i/>
          <w:sz w:val="18"/>
          <w:szCs w:val="18"/>
        </w:rPr>
        <w:t>2</w:t>
      </w:r>
      <w:r w:rsidRPr="00BB7E9F">
        <w:rPr>
          <w:sz w:val="18"/>
          <w:szCs w:val="18"/>
        </w:rPr>
        <w:t>)</w:t>
      </w:r>
      <w:r w:rsidR="00C86114">
        <w:rPr>
          <w:sz w:val="18"/>
          <w:szCs w:val="18"/>
        </w:rPr>
        <w:t xml:space="preserve">. </w:t>
      </w:r>
      <w:r w:rsidR="00FE54B1">
        <w:rPr>
          <w:sz w:val="18"/>
          <w:szCs w:val="18"/>
        </w:rPr>
        <w:t xml:space="preserve">This figure includes the </w:t>
      </w:r>
      <w:r w:rsidR="00301FFA">
        <w:rPr>
          <w:sz w:val="18"/>
          <w:szCs w:val="18"/>
        </w:rPr>
        <w:t xml:space="preserve">CSPA costs. </w:t>
      </w:r>
    </w:p>
    <w:p w14:paraId="547D5768" w14:textId="77777777" w:rsidR="002316F6" w:rsidRPr="00BB7E9F" w:rsidRDefault="002316F6" w:rsidP="00603BAF">
      <w:pPr>
        <w:pStyle w:val="Zdefinition"/>
        <w:spacing w:before="120"/>
        <w:ind w:left="993"/>
        <w:jc w:val="left"/>
        <w:rPr>
          <w:sz w:val="22"/>
          <w:szCs w:val="22"/>
        </w:rPr>
      </w:pPr>
      <w:r w:rsidRPr="00BB7E9F">
        <w:rPr>
          <w:b/>
          <w:i/>
          <w:sz w:val="22"/>
          <w:szCs w:val="22"/>
        </w:rPr>
        <w:t>ER</w:t>
      </w:r>
      <w:r w:rsidRPr="00BB7E9F">
        <w:rPr>
          <w:sz w:val="22"/>
          <w:szCs w:val="22"/>
        </w:rPr>
        <w:t xml:space="preserve"> </w:t>
      </w:r>
      <w:bookmarkStart w:id="14" w:name="_Hlk105600398"/>
      <w:r w:rsidRPr="00BB7E9F">
        <w:rPr>
          <w:sz w:val="22"/>
          <w:szCs w:val="22"/>
        </w:rPr>
        <w:t>(eligible revenue), for the carrier, is the corresponding amount mentioned in the item in Schedule 1</w:t>
      </w:r>
      <w:bookmarkEnd w:id="14"/>
      <w:r w:rsidRPr="00BB7E9F">
        <w:rPr>
          <w:sz w:val="22"/>
          <w:szCs w:val="22"/>
        </w:rPr>
        <w:t>.</w:t>
      </w:r>
    </w:p>
    <w:p w14:paraId="678F10FD" w14:textId="66E94165" w:rsidR="002316F6" w:rsidRPr="00BB7E9F" w:rsidRDefault="002316F6" w:rsidP="00603BAF">
      <w:pPr>
        <w:pStyle w:val="Note"/>
        <w:ind w:left="1560" w:hanging="567"/>
        <w:jc w:val="left"/>
        <w:rPr>
          <w:sz w:val="18"/>
          <w:szCs w:val="18"/>
        </w:rPr>
      </w:pPr>
      <w:bookmarkStart w:id="15" w:name="_Hlk105600140"/>
      <w:r w:rsidRPr="00BB7E9F">
        <w:rPr>
          <w:sz w:val="18"/>
          <w:szCs w:val="18"/>
        </w:rPr>
        <w:t>Note:</w:t>
      </w:r>
      <w:r w:rsidRPr="00BB7E9F">
        <w:rPr>
          <w:sz w:val="18"/>
          <w:szCs w:val="18"/>
        </w:rPr>
        <w:tab/>
        <w:t>This amount is the eligible revenue of the carrier for the 201</w:t>
      </w:r>
      <w:r w:rsidR="00253637">
        <w:rPr>
          <w:sz w:val="18"/>
          <w:szCs w:val="18"/>
        </w:rPr>
        <w:t>9</w:t>
      </w:r>
      <w:r w:rsidRPr="00BB7E9F">
        <w:rPr>
          <w:sz w:val="18"/>
          <w:szCs w:val="18"/>
        </w:rPr>
        <w:t>–20</w:t>
      </w:r>
      <w:r w:rsidR="00253637">
        <w:rPr>
          <w:sz w:val="18"/>
          <w:szCs w:val="18"/>
        </w:rPr>
        <w:t>20</w:t>
      </w:r>
      <w:r w:rsidRPr="00BB7E9F">
        <w:rPr>
          <w:sz w:val="18"/>
          <w:szCs w:val="18"/>
        </w:rPr>
        <w:t xml:space="preserve"> financial year as assessed by the ACMA under subsection 47(1) of the TCPSS Act.  </w:t>
      </w:r>
    </w:p>
    <w:bookmarkEnd w:id="15"/>
    <w:p w14:paraId="768B9C70" w14:textId="0AE8BD94" w:rsidR="002316F6" w:rsidRPr="00BB7E9F" w:rsidRDefault="002316F6" w:rsidP="00603BAF">
      <w:pPr>
        <w:pStyle w:val="Zdefinition"/>
        <w:spacing w:before="120"/>
        <w:ind w:left="993"/>
        <w:jc w:val="left"/>
        <w:rPr>
          <w:sz w:val="22"/>
          <w:szCs w:val="22"/>
        </w:rPr>
      </w:pPr>
      <w:r w:rsidRPr="00BB7E9F">
        <w:rPr>
          <w:b/>
          <w:i/>
          <w:sz w:val="22"/>
          <w:szCs w:val="22"/>
        </w:rPr>
        <w:t>TER</w:t>
      </w:r>
      <w:r w:rsidRPr="00BB7E9F">
        <w:rPr>
          <w:sz w:val="22"/>
          <w:szCs w:val="22"/>
        </w:rPr>
        <w:t xml:space="preserve"> </w:t>
      </w:r>
      <w:bookmarkStart w:id="16" w:name="_Hlk105600549"/>
      <w:r w:rsidRPr="00BB7E9F">
        <w:rPr>
          <w:sz w:val="22"/>
          <w:szCs w:val="22"/>
        </w:rPr>
        <w:t xml:space="preserve">(total eligible revenue) is </w:t>
      </w:r>
      <w:bookmarkEnd w:id="16"/>
      <w:r w:rsidRPr="00264F88">
        <w:rPr>
          <w:sz w:val="22"/>
          <w:szCs w:val="22"/>
        </w:rPr>
        <w:t>$</w:t>
      </w:r>
      <w:r w:rsidR="00264F88">
        <w:rPr>
          <w:sz w:val="22"/>
          <w:szCs w:val="22"/>
        </w:rPr>
        <w:t>24 525 943 678</w:t>
      </w:r>
      <w:r w:rsidRPr="00BB7E9F">
        <w:rPr>
          <w:sz w:val="22"/>
          <w:szCs w:val="22"/>
        </w:rPr>
        <w:t>.</w:t>
      </w:r>
    </w:p>
    <w:p w14:paraId="4EF6DB56" w14:textId="552CEE8F" w:rsidR="00C26D85" w:rsidRPr="00E37BC7" w:rsidRDefault="002316F6" w:rsidP="00E37BC7">
      <w:pPr>
        <w:pStyle w:val="Note"/>
        <w:ind w:left="1560" w:hanging="567"/>
        <w:jc w:val="left"/>
        <w:rPr>
          <w:sz w:val="18"/>
          <w:szCs w:val="18"/>
        </w:rPr>
      </w:pPr>
      <w:bookmarkStart w:id="17" w:name="_Hlk105600705"/>
      <w:r w:rsidRPr="00BB7E9F">
        <w:rPr>
          <w:sz w:val="18"/>
          <w:szCs w:val="18"/>
        </w:rPr>
        <w:t>Note:</w:t>
      </w:r>
      <w:r w:rsidRPr="00BB7E9F">
        <w:rPr>
          <w:sz w:val="18"/>
          <w:szCs w:val="18"/>
        </w:rPr>
        <w:tab/>
        <w:t>This amount is the total sum of the eligible revenue of all the carriers named in Schedule 1 for the 201</w:t>
      </w:r>
      <w:r w:rsidR="001C1798">
        <w:rPr>
          <w:sz w:val="18"/>
          <w:szCs w:val="18"/>
        </w:rPr>
        <w:t>9</w:t>
      </w:r>
      <w:r w:rsidRPr="00BB7E9F">
        <w:rPr>
          <w:sz w:val="18"/>
          <w:szCs w:val="18"/>
        </w:rPr>
        <w:t>–20</w:t>
      </w:r>
      <w:r w:rsidR="001C1798">
        <w:rPr>
          <w:sz w:val="18"/>
          <w:szCs w:val="18"/>
        </w:rPr>
        <w:t>20</w:t>
      </w:r>
      <w:r w:rsidRPr="00BB7E9F">
        <w:rPr>
          <w:sz w:val="18"/>
          <w:szCs w:val="18"/>
        </w:rPr>
        <w:t xml:space="preserve"> financial year as assessed by the ACMA under subsection 47(1) of the TCPSS Act</w:t>
      </w:r>
      <w:r w:rsidRPr="00BB7E9F">
        <w:rPr>
          <w:i/>
          <w:sz w:val="18"/>
          <w:szCs w:val="18"/>
        </w:rPr>
        <w:t xml:space="preserve">.  </w:t>
      </w:r>
      <w:r w:rsidRPr="00BB7E9F">
        <w:rPr>
          <w:sz w:val="18"/>
          <w:szCs w:val="18"/>
        </w:rPr>
        <w:t xml:space="preserve">  </w:t>
      </w:r>
      <w:bookmarkEnd w:id="17"/>
    </w:p>
    <w:p w14:paraId="0D0C0F10" w14:textId="573C7AC2" w:rsidR="00C26D85" w:rsidRPr="00E37BC7" w:rsidRDefault="00C26D85" w:rsidP="00E37BC7">
      <w:pPr>
        <w:pStyle w:val="definition0"/>
        <w:numPr>
          <w:ilvl w:val="0"/>
          <w:numId w:val="15"/>
        </w:numPr>
        <w:spacing w:after="240"/>
        <w:ind w:left="993" w:hanging="426"/>
        <w:jc w:val="left"/>
        <w:rPr>
          <w:sz w:val="22"/>
          <w:szCs w:val="22"/>
        </w:rPr>
      </w:pPr>
      <w:r w:rsidRPr="00C26D85">
        <w:rPr>
          <w:sz w:val="22"/>
          <w:szCs w:val="22"/>
        </w:rPr>
        <w:t>The amount for the purposes of this subsection is ascertained using the formula:</w:t>
      </w:r>
    </w:p>
    <w:p w14:paraId="1567AD45" w14:textId="3516C89B" w:rsidR="00C26D85" w:rsidRPr="006E7192" w:rsidRDefault="00197E62" w:rsidP="00CC4789">
      <w:pPr>
        <w:ind w:left="1440"/>
        <w:rPr>
          <w:rFonts w:eastAsia="Calibri" w:cstheme="minorHAnsi"/>
          <w:b/>
          <w:bCs/>
          <w:iCs/>
        </w:rPr>
      </w:pPr>
      <w:r>
        <w:rPr>
          <w:noProof/>
        </w:rPr>
        <w:drawing>
          <wp:inline distT="0" distB="0" distL="0" distR="0" wp14:anchorId="461AACB6" wp14:editId="2946405F">
            <wp:extent cx="1419225" cy="533400"/>
            <wp:effectExtent l="0" t="0" r="9525" b="0"/>
            <wp:docPr id="5" name="Picture 5" descr="CSPA multiplied by start fraction ERQRCSP over TERQRCSP end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SPA multiplied by start fraction ERQRCSP over TERQRCSP end fraction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1B736" w14:textId="6DE01D4B" w:rsidR="00C26D85" w:rsidRPr="00C26D85" w:rsidRDefault="00C16B97" w:rsidP="00E37BC7">
      <w:pPr>
        <w:pStyle w:val="Note"/>
        <w:ind w:left="1560" w:hanging="567"/>
        <w:jc w:val="left"/>
        <w:rPr>
          <w:sz w:val="22"/>
          <w:szCs w:val="22"/>
        </w:rPr>
      </w:pPr>
      <w:r>
        <w:rPr>
          <w:sz w:val="22"/>
          <w:szCs w:val="22"/>
        </w:rPr>
        <w:t>w</w:t>
      </w:r>
      <w:r w:rsidR="00C26D85" w:rsidRPr="00C26D85">
        <w:rPr>
          <w:sz w:val="22"/>
          <w:szCs w:val="22"/>
        </w:rPr>
        <w:t>here:</w:t>
      </w:r>
    </w:p>
    <w:p w14:paraId="0B1E4B1E" w14:textId="55349C99" w:rsidR="00C26D85" w:rsidRDefault="00C26D85" w:rsidP="00E37BC7">
      <w:pPr>
        <w:pStyle w:val="Note"/>
        <w:ind w:left="1560" w:hanging="567"/>
        <w:jc w:val="left"/>
        <w:rPr>
          <w:sz w:val="22"/>
          <w:szCs w:val="22"/>
        </w:rPr>
      </w:pPr>
      <w:r w:rsidRPr="00C26D85">
        <w:rPr>
          <w:b/>
          <w:bCs/>
          <w:i/>
          <w:iCs/>
          <w:sz w:val="22"/>
          <w:szCs w:val="22"/>
        </w:rPr>
        <w:t>CSPA</w:t>
      </w:r>
      <w:r w:rsidRPr="00C26D85">
        <w:rPr>
          <w:sz w:val="22"/>
          <w:szCs w:val="22"/>
        </w:rPr>
        <w:t xml:space="preserve"> </w:t>
      </w:r>
      <w:r w:rsidR="000A0542">
        <w:rPr>
          <w:sz w:val="22"/>
          <w:szCs w:val="22"/>
        </w:rPr>
        <w:t>(</w:t>
      </w:r>
      <w:bookmarkStart w:id="18" w:name="_Hlk105600336"/>
      <w:r w:rsidRPr="00C26D85">
        <w:rPr>
          <w:sz w:val="22"/>
          <w:szCs w:val="22"/>
        </w:rPr>
        <w:t xml:space="preserve">Consumer Safeguards </w:t>
      </w:r>
      <w:r>
        <w:rPr>
          <w:sz w:val="22"/>
          <w:szCs w:val="22"/>
        </w:rPr>
        <w:t>Part A</w:t>
      </w:r>
      <w:r w:rsidR="000A054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26D85">
        <w:rPr>
          <w:sz w:val="22"/>
          <w:szCs w:val="22"/>
        </w:rPr>
        <w:t>program</w:t>
      </w:r>
      <w:bookmarkEnd w:id="18"/>
      <w:r w:rsidR="000A0542">
        <w:rPr>
          <w:sz w:val="22"/>
          <w:szCs w:val="22"/>
        </w:rPr>
        <w:t xml:space="preserve"> cost is </w:t>
      </w:r>
      <w:r w:rsidR="00765656">
        <w:rPr>
          <w:sz w:val="22"/>
          <w:szCs w:val="22"/>
        </w:rPr>
        <w:t xml:space="preserve">equal to </w:t>
      </w:r>
      <w:r w:rsidRPr="00C26D85">
        <w:rPr>
          <w:sz w:val="22"/>
          <w:szCs w:val="22"/>
        </w:rPr>
        <w:t>$886</w:t>
      </w:r>
      <w:r w:rsidR="007E7207">
        <w:rPr>
          <w:sz w:val="22"/>
          <w:szCs w:val="22"/>
        </w:rPr>
        <w:t xml:space="preserve"> </w:t>
      </w:r>
      <w:r w:rsidRPr="00C26D85">
        <w:rPr>
          <w:sz w:val="22"/>
          <w:szCs w:val="22"/>
        </w:rPr>
        <w:t>266</w:t>
      </w:r>
      <w:r w:rsidR="00DC1412">
        <w:rPr>
          <w:sz w:val="22"/>
          <w:szCs w:val="22"/>
        </w:rPr>
        <w:t>.</w:t>
      </w:r>
    </w:p>
    <w:p w14:paraId="0B48D99C" w14:textId="762DB3B3" w:rsidR="00C26D85" w:rsidRPr="00951A9E" w:rsidRDefault="00C26D85" w:rsidP="00E37BC7">
      <w:pPr>
        <w:pStyle w:val="Note"/>
        <w:ind w:left="1560" w:hanging="567"/>
        <w:jc w:val="left"/>
        <w:rPr>
          <w:sz w:val="18"/>
          <w:szCs w:val="18"/>
        </w:rPr>
      </w:pPr>
      <w:r w:rsidRPr="00951A9E">
        <w:rPr>
          <w:sz w:val="18"/>
          <w:szCs w:val="18"/>
        </w:rPr>
        <w:t>Note:</w:t>
      </w:r>
      <w:r w:rsidRPr="00951A9E">
        <w:rPr>
          <w:sz w:val="18"/>
          <w:szCs w:val="18"/>
        </w:rPr>
        <w:tab/>
        <w:t>This amount is the portion of the costs incurred by the ACMA during the 2019-2020 financial year, as determined by the ACMA under paragraph 15(1)(a)</w:t>
      </w:r>
      <w:r w:rsidR="00A44D59">
        <w:rPr>
          <w:sz w:val="18"/>
          <w:szCs w:val="18"/>
        </w:rPr>
        <w:t xml:space="preserve"> of the Act</w:t>
      </w:r>
      <w:r w:rsidR="000A0542" w:rsidRPr="00951A9E">
        <w:rPr>
          <w:sz w:val="18"/>
          <w:szCs w:val="18"/>
        </w:rPr>
        <w:t xml:space="preserve">, that relates to the </w:t>
      </w:r>
      <w:r w:rsidR="00B25DC8">
        <w:rPr>
          <w:sz w:val="18"/>
          <w:szCs w:val="18"/>
        </w:rPr>
        <w:t>CSPA.</w:t>
      </w:r>
    </w:p>
    <w:p w14:paraId="7052F353" w14:textId="4B0E7952" w:rsidR="000A0542" w:rsidRDefault="00C26D85" w:rsidP="00E37BC7">
      <w:pPr>
        <w:pStyle w:val="Note"/>
        <w:ind w:left="993"/>
        <w:jc w:val="left"/>
        <w:rPr>
          <w:sz w:val="22"/>
          <w:szCs w:val="22"/>
        </w:rPr>
      </w:pPr>
      <w:r w:rsidRPr="000A0542">
        <w:rPr>
          <w:b/>
          <w:bCs/>
          <w:i/>
          <w:iCs/>
          <w:sz w:val="22"/>
          <w:szCs w:val="22"/>
        </w:rPr>
        <w:t>ER</w:t>
      </w:r>
      <w:r w:rsidR="00C90D95">
        <w:rPr>
          <w:b/>
          <w:bCs/>
          <w:i/>
          <w:iCs/>
          <w:sz w:val="22"/>
          <w:szCs w:val="22"/>
        </w:rPr>
        <w:t>QRCSP</w:t>
      </w:r>
      <w:r w:rsidRPr="00C26D85">
        <w:rPr>
          <w:sz w:val="22"/>
          <w:szCs w:val="22"/>
        </w:rPr>
        <w:t xml:space="preserve"> </w:t>
      </w:r>
      <w:r w:rsidR="000A0542" w:rsidRPr="000A0542">
        <w:rPr>
          <w:sz w:val="22"/>
          <w:szCs w:val="22"/>
        </w:rPr>
        <w:t>(eligible revenue</w:t>
      </w:r>
      <w:r w:rsidR="00A2282C">
        <w:rPr>
          <w:sz w:val="22"/>
          <w:szCs w:val="22"/>
        </w:rPr>
        <w:t xml:space="preserve"> of</w:t>
      </w:r>
      <w:r w:rsidR="00DA13B3">
        <w:rPr>
          <w:sz w:val="22"/>
          <w:szCs w:val="22"/>
        </w:rPr>
        <w:t xml:space="preserve"> qualifying retail carriage service provider</w:t>
      </w:r>
      <w:r w:rsidR="000A0542" w:rsidRPr="000A0542">
        <w:rPr>
          <w:sz w:val="22"/>
          <w:szCs w:val="22"/>
        </w:rPr>
        <w:t xml:space="preserve">), for the </w:t>
      </w:r>
      <w:r w:rsidR="003D3BB4">
        <w:rPr>
          <w:sz w:val="22"/>
          <w:szCs w:val="22"/>
        </w:rPr>
        <w:t>QRCSP</w:t>
      </w:r>
      <w:r w:rsidR="000A0542" w:rsidRPr="000A0542">
        <w:rPr>
          <w:sz w:val="22"/>
          <w:szCs w:val="22"/>
        </w:rPr>
        <w:t xml:space="preserve">, is the corresponding amount mentioned in the item in Schedule </w:t>
      </w:r>
      <w:r w:rsidR="00746713">
        <w:rPr>
          <w:sz w:val="22"/>
          <w:szCs w:val="22"/>
        </w:rPr>
        <w:t>2</w:t>
      </w:r>
      <w:r w:rsidR="000A0542">
        <w:rPr>
          <w:sz w:val="22"/>
          <w:szCs w:val="22"/>
        </w:rPr>
        <w:t>.</w:t>
      </w:r>
    </w:p>
    <w:p w14:paraId="5E5FB9FD" w14:textId="494520A2" w:rsidR="00FC465F" w:rsidRPr="00327AB5" w:rsidRDefault="000A0542" w:rsidP="00E37BC7">
      <w:pPr>
        <w:pStyle w:val="Note"/>
        <w:ind w:left="1560" w:hanging="567"/>
        <w:jc w:val="left"/>
        <w:rPr>
          <w:sz w:val="18"/>
          <w:szCs w:val="18"/>
        </w:rPr>
      </w:pPr>
      <w:r w:rsidRPr="00951A9E">
        <w:rPr>
          <w:sz w:val="18"/>
          <w:szCs w:val="18"/>
        </w:rPr>
        <w:t>Note:</w:t>
      </w:r>
      <w:r w:rsidRPr="00951A9E">
        <w:rPr>
          <w:sz w:val="18"/>
          <w:szCs w:val="18"/>
        </w:rPr>
        <w:tab/>
      </w:r>
      <w:r w:rsidRPr="00AA740B">
        <w:rPr>
          <w:sz w:val="18"/>
          <w:szCs w:val="18"/>
        </w:rPr>
        <w:t>This amount is the eligible revenue of the carrier</w:t>
      </w:r>
      <w:r w:rsidRPr="00DA13B3">
        <w:rPr>
          <w:sz w:val="18"/>
          <w:szCs w:val="18"/>
        </w:rPr>
        <w:t xml:space="preserve">, </w:t>
      </w:r>
      <w:r w:rsidRPr="00003433">
        <w:rPr>
          <w:sz w:val="18"/>
          <w:szCs w:val="18"/>
        </w:rPr>
        <w:t>w</w:t>
      </w:r>
      <w:r w:rsidRPr="001D707D">
        <w:rPr>
          <w:sz w:val="18"/>
          <w:szCs w:val="18"/>
        </w:rPr>
        <w:t>h</w:t>
      </w:r>
      <w:r w:rsidRPr="00AA6879">
        <w:rPr>
          <w:sz w:val="18"/>
          <w:szCs w:val="18"/>
        </w:rPr>
        <w:t xml:space="preserve">o </w:t>
      </w:r>
      <w:r w:rsidR="00085E42" w:rsidRPr="00AA6879">
        <w:rPr>
          <w:sz w:val="18"/>
          <w:szCs w:val="18"/>
        </w:rPr>
        <w:t>was</w:t>
      </w:r>
      <w:r w:rsidRPr="00450384">
        <w:rPr>
          <w:sz w:val="18"/>
          <w:szCs w:val="18"/>
        </w:rPr>
        <w:t xml:space="preserve"> </w:t>
      </w:r>
      <w:r w:rsidR="00A37933" w:rsidRPr="0007104F">
        <w:rPr>
          <w:sz w:val="18"/>
          <w:szCs w:val="18"/>
        </w:rPr>
        <w:t xml:space="preserve">also </w:t>
      </w:r>
      <w:r w:rsidRPr="0007104F">
        <w:rPr>
          <w:sz w:val="18"/>
          <w:szCs w:val="18"/>
        </w:rPr>
        <w:t xml:space="preserve">a </w:t>
      </w:r>
      <w:r w:rsidR="00F96FC1" w:rsidRPr="00641F5F">
        <w:rPr>
          <w:sz w:val="18"/>
          <w:szCs w:val="18"/>
        </w:rPr>
        <w:t>QR</w:t>
      </w:r>
      <w:r w:rsidR="00F96FC1" w:rsidRPr="00003433">
        <w:rPr>
          <w:sz w:val="18"/>
          <w:szCs w:val="18"/>
        </w:rPr>
        <w:t>CSP</w:t>
      </w:r>
      <w:r w:rsidRPr="001D707D">
        <w:rPr>
          <w:sz w:val="18"/>
          <w:szCs w:val="18"/>
        </w:rPr>
        <w:t xml:space="preserve"> </w:t>
      </w:r>
      <w:r w:rsidRPr="00AA6879">
        <w:rPr>
          <w:sz w:val="18"/>
          <w:szCs w:val="18"/>
        </w:rPr>
        <w:t>for the 2019–2020 financial year</w:t>
      </w:r>
      <w:r w:rsidR="00600B71" w:rsidRPr="0092632A">
        <w:rPr>
          <w:sz w:val="18"/>
          <w:szCs w:val="18"/>
        </w:rPr>
        <w:t>,</w:t>
      </w:r>
      <w:r w:rsidRPr="00C302F8">
        <w:rPr>
          <w:sz w:val="18"/>
          <w:szCs w:val="18"/>
        </w:rPr>
        <w:t xml:space="preserve"> </w:t>
      </w:r>
      <w:r w:rsidRPr="00327AB5">
        <w:rPr>
          <w:sz w:val="18"/>
          <w:szCs w:val="18"/>
        </w:rPr>
        <w:t>as assessed by the ACMA under subsection 47(1) of the TCPSS Act</w:t>
      </w:r>
      <w:r w:rsidR="008C5D36" w:rsidRPr="00327AB5">
        <w:rPr>
          <w:sz w:val="18"/>
          <w:szCs w:val="18"/>
        </w:rPr>
        <w:t xml:space="preserve">. </w:t>
      </w:r>
      <w:r w:rsidR="003C4B77">
        <w:rPr>
          <w:sz w:val="18"/>
          <w:szCs w:val="18"/>
        </w:rPr>
        <w:t>Schedule 2 lists each carrier who was also a QRCSP in the 2019-2020 financial year and the</w:t>
      </w:r>
      <w:r w:rsidR="005C7E89">
        <w:rPr>
          <w:sz w:val="18"/>
          <w:szCs w:val="18"/>
        </w:rPr>
        <w:t>ir eligible revenue</w:t>
      </w:r>
      <w:r w:rsidR="000124E7">
        <w:rPr>
          <w:sz w:val="18"/>
          <w:szCs w:val="18"/>
        </w:rPr>
        <w:t>.</w:t>
      </w:r>
    </w:p>
    <w:p w14:paraId="40B9AF86" w14:textId="72C4B9C8" w:rsidR="000A0542" w:rsidRDefault="00C26D85" w:rsidP="00E37BC7">
      <w:pPr>
        <w:pStyle w:val="Note"/>
        <w:ind w:left="993"/>
        <w:jc w:val="left"/>
        <w:rPr>
          <w:sz w:val="22"/>
          <w:szCs w:val="22"/>
        </w:rPr>
      </w:pPr>
      <w:r w:rsidRPr="000A0542">
        <w:rPr>
          <w:b/>
          <w:bCs/>
          <w:i/>
          <w:iCs/>
          <w:sz w:val="22"/>
          <w:szCs w:val="22"/>
        </w:rPr>
        <w:t>TERQ</w:t>
      </w:r>
      <w:r w:rsidR="007A5F1F">
        <w:rPr>
          <w:b/>
          <w:bCs/>
          <w:i/>
          <w:iCs/>
          <w:sz w:val="22"/>
          <w:szCs w:val="22"/>
        </w:rPr>
        <w:t>R</w:t>
      </w:r>
      <w:r w:rsidRPr="000A0542">
        <w:rPr>
          <w:b/>
          <w:bCs/>
          <w:i/>
          <w:iCs/>
          <w:sz w:val="22"/>
          <w:szCs w:val="22"/>
        </w:rPr>
        <w:t>CSP</w:t>
      </w:r>
      <w:r w:rsidRPr="00C26D85">
        <w:rPr>
          <w:sz w:val="22"/>
          <w:szCs w:val="22"/>
        </w:rPr>
        <w:t xml:space="preserve"> </w:t>
      </w:r>
      <w:r w:rsidR="000A0542" w:rsidRPr="000A0542">
        <w:rPr>
          <w:sz w:val="22"/>
          <w:szCs w:val="22"/>
        </w:rPr>
        <w:t>(total eligible revenue</w:t>
      </w:r>
      <w:r w:rsidR="000A0542">
        <w:rPr>
          <w:sz w:val="22"/>
          <w:szCs w:val="22"/>
        </w:rPr>
        <w:t xml:space="preserve"> of</w:t>
      </w:r>
      <w:r w:rsidR="00A44D59">
        <w:rPr>
          <w:sz w:val="22"/>
          <w:szCs w:val="22"/>
        </w:rPr>
        <w:t xml:space="preserve"> </w:t>
      </w:r>
      <w:r w:rsidR="000A0542">
        <w:rPr>
          <w:sz w:val="22"/>
          <w:szCs w:val="22"/>
        </w:rPr>
        <w:t>qualifying retail carriage service providers</w:t>
      </w:r>
      <w:r w:rsidR="000A0542" w:rsidRPr="000A0542">
        <w:rPr>
          <w:sz w:val="22"/>
          <w:szCs w:val="22"/>
        </w:rPr>
        <w:t>) is $19</w:t>
      </w:r>
      <w:r w:rsidR="007C6543">
        <w:rPr>
          <w:sz w:val="22"/>
          <w:szCs w:val="22"/>
        </w:rPr>
        <w:t xml:space="preserve"> </w:t>
      </w:r>
      <w:r w:rsidR="000A0542" w:rsidRPr="000A0542">
        <w:rPr>
          <w:sz w:val="22"/>
          <w:szCs w:val="22"/>
        </w:rPr>
        <w:t>474</w:t>
      </w:r>
      <w:r w:rsidR="007C6543">
        <w:rPr>
          <w:sz w:val="22"/>
          <w:szCs w:val="22"/>
        </w:rPr>
        <w:t xml:space="preserve"> </w:t>
      </w:r>
      <w:r w:rsidR="000A0542" w:rsidRPr="000A0542">
        <w:rPr>
          <w:sz w:val="22"/>
          <w:szCs w:val="22"/>
        </w:rPr>
        <w:t>987</w:t>
      </w:r>
      <w:r w:rsidR="007C6543">
        <w:rPr>
          <w:sz w:val="22"/>
          <w:szCs w:val="22"/>
        </w:rPr>
        <w:t xml:space="preserve"> </w:t>
      </w:r>
      <w:r w:rsidR="000A0542" w:rsidRPr="000A0542">
        <w:rPr>
          <w:sz w:val="22"/>
          <w:szCs w:val="22"/>
        </w:rPr>
        <w:t>193</w:t>
      </w:r>
      <w:r w:rsidR="000A0542">
        <w:rPr>
          <w:sz w:val="22"/>
          <w:szCs w:val="22"/>
        </w:rPr>
        <w:t>.</w:t>
      </w:r>
    </w:p>
    <w:p w14:paraId="2103AF73" w14:textId="0A931AC2" w:rsidR="00C26D85" w:rsidRPr="00E37BC7" w:rsidRDefault="00C63AA4" w:rsidP="00E37BC7">
      <w:pPr>
        <w:pStyle w:val="Note"/>
        <w:ind w:left="1560" w:hanging="567"/>
        <w:jc w:val="left"/>
        <w:rPr>
          <w:sz w:val="18"/>
          <w:szCs w:val="18"/>
        </w:rPr>
      </w:pPr>
      <w:r w:rsidRPr="00E2651D">
        <w:rPr>
          <w:sz w:val="18"/>
          <w:szCs w:val="18"/>
        </w:rPr>
        <w:t>Note:</w:t>
      </w:r>
      <w:r w:rsidRPr="00E2651D">
        <w:rPr>
          <w:sz w:val="18"/>
          <w:szCs w:val="18"/>
        </w:rPr>
        <w:tab/>
      </w:r>
      <w:r w:rsidRPr="0077017A">
        <w:rPr>
          <w:sz w:val="18"/>
          <w:szCs w:val="18"/>
        </w:rPr>
        <w:t xml:space="preserve">This amount is the total sum of the eligible revenue of </w:t>
      </w:r>
      <w:r w:rsidR="00DF3DCC">
        <w:rPr>
          <w:sz w:val="18"/>
          <w:szCs w:val="18"/>
        </w:rPr>
        <w:t>all</w:t>
      </w:r>
      <w:r w:rsidR="00CF717D">
        <w:rPr>
          <w:sz w:val="18"/>
          <w:szCs w:val="18"/>
        </w:rPr>
        <w:t xml:space="preserve"> the</w:t>
      </w:r>
      <w:r w:rsidR="00DF3DCC">
        <w:rPr>
          <w:sz w:val="18"/>
          <w:szCs w:val="18"/>
        </w:rPr>
        <w:t xml:space="preserve"> </w:t>
      </w:r>
      <w:r w:rsidRPr="0077017A">
        <w:rPr>
          <w:sz w:val="18"/>
          <w:szCs w:val="18"/>
        </w:rPr>
        <w:t xml:space="preserve">carriers who </w:t>
      </w:r>
      <w:r w:rsidR="00DF3DCC">
        <w:rPr>
          <w:sz w:val="18"/>
          <w:szCs w:val="18"/>
        </w:rPr>
        <w:t>were</w:t>
      </w:r>
      <w:r w:rsidR="0077017A">
        <w:rPr>
          <w:sz w:val="18"/>
          <w:szCs w:val="18"/>
        </w:rPr>
        <w:t xml:space="preserve"> also</w:t>
      </w:r>
      <w:r w:rsidRPr="0077017A">
        <w:rPr>
          <w:sz w:val="18"/>
          <w:szCs w:val="18"/>
        </w:rPr>
        <w:t xml:space="preserve"> </w:t>
      </w:r>
      <w:r w:rsidR="00DF3DCC">
        <w:rPr>
          <w:sz w:val="18"/>
          <w:szCs w:val="18"/>
        </w:rPr>
        <w:t>QRCSPs</w:t>
      </w:r>
      <w:r w:rsidRPr="0077017A">
        <w:rPr>
          <w:sz w:val="18"/>
          <w:szCs w:val="18"/>
        </w:rPr>
        <w:t xml:space="preserve"> for the 2019–2020 financial year</w:t>
      </w:r>
      <w:r w:rsidR="0082417D">
        <w:rPr>
          <w:sz w:val="18"/>
          <w:szCs w:val="18"/>
        </w:rPr>
        <w:t>,</w:t>
      </w:r>
      <w:r w:rsidRPr="0077017A">
        <w:rPr>
          <w:sz w:val="18"/>
          <w:szCs w:val="18"/>
        </w:rPr>
        <w:t xml:space="preserve"> as assessed by the ACMA under subsection 47(1) of the TCPSS Act</w:t>
      </w:r>
      <w:r w:rsidRPr="0077017A">
        <w:rPr>
          <w:i/>
          <w:sz w:val="18"/>
          <w:szCs w:val="18"/>
        </w:rPr>
        <w:t>.</w:t>
      </w:r>
      <w:r w:rsidR="001D7D39">
        <w:rPr>
          <w:i/>
          <w:sz w:val="18"/>
          <w:szCs w:val="18"/>
        </w:rPr>
        <w:t xml:space="preserve"> </w:t>
      </w:r>
      <w:r w:rsidR="001D7D39">
        <w:rPr>
          <w:iCs/>
          <w:sz w:val="18"/>
          <w:szCs w:val="18"/>
        </w:rPr>
        <w:t xml:space="preserve">Schedule </w:t>
      </w:r>
      <w:r w:rsidR="00AE1608">
        <w:rPr>
          <w:iCs/>
          <w:sz w:val="18"/>
          <w:szCs w:val="18"/>
        </w:rPr>
        <w:t>2</w:t>
      </w:r>
      <w:r w:rsidR="001D7D39">
        <w:rPr>
          <w:iCs/>
          <w:sz w:val="18"/>
          <w:szCs w:val="18"/>
        </w:rPr>
        <w:t xml:space="preserve"> sets out the eligible revenue of all carriers</w:t>
      </w:r>
      <w:r w:rsidR="00AE1608">
        <w:rPr>
          <w:iCs/>
          <w:sz w:val="18"/>
          <w:szCs w:val="18"/>
        </w:rPr>
        <w:t xml:space="preserve"> who were also QRCSPs for the 2019-2020 financial year</w:t>
      </w:r>
      <w:r w:rsidR="001D7D39">
        <w:rPr>
          <w:iCs/>
          <w:sz w:val="18"/>
          <w:szCs w:val="18"/>
        </w:rPr>
        <w:t xml:space="preserve">. </w:t>
      </w:r>
      <w:r w:rsidRPr="0077017A">
        <w:rPr>
          <w:i/>
          <w:sz w:val="18"/>
          <w:szCs w:val="18"/>
        </w:rPr>
        <w:t xml:space="preserve">  </w:t>
      </w:r>
      <w:r w:rsidRPr="0077017A">
        <w:rPr>
          <w:sz w:val="18"/>
          <w:szCs w:val="18"/>
        </w:rPr>
        <w:t xml:space="preserve">  </w:t>
      </w:r>
    </w:p>
    <w:p w14:paraId="46289908" w14:textId="7322D221" w:rsidR="002316F6" w:rsidRPr="00E37BC7" w:rsidRDefault="002316F6" w:rsidP="00E37BC7">
      <w:pPr>
        <w:pStyle w:val="definition0"/>
        <w:keepNext/>
        <w:numPr>
          <w:ilvl w:val="0"/>
          <w:numId w:val="15"/>
        </w:numPr>
        <w:spacing w:after="240"/>
        <w:ind w:left="992" w:hanging="425"/>
        <w:jc w:val="left"/>
        <w:rPr>
          <w:sz w:val="22"/>
          <w:szCs w:val="22"/>
        </w:rPr>
      </w:pPr>
      <w:r w:rsidRPr="00BB7E9F">
        <w:rPr>
          <w:sz w:val="22"/>
          <w:szCs w:val="22"/>
        </w:rPr>
        <w:lastRenderedPageBreak/>
        <w:t>The amount for the purpose of this subsection is ascertained using the formula:</w:t>
      </w:r>
    </w:p>
    <w:p w14:paraId="1E83AF62" w14:textId="32B576E0" w:rsidR="002316F6" w:rsidRPr="00BB7E9F" w:rsidRDefault="0043105A" w:rsidP="004078CA">
      <w:pPr>
        <w:keepNext/>
        <w:ind w:left="992"/>
        <w:rPr>
          <w:rFonts w:eastAsia="Calibri"/>
          <w:b/>
          <w:bCs/>
          <w:iCs/>
        </w:rPr>
      </w:pPr>
      <w:bookmarkStart w:id="19" w:name="_Hlk105599717"/>
      <w:r>
        <w:rPr>
          <w:noProof/>
        </w:rPr>
        <w:drawing>
          <wp:inline distT="0" distB="0" distL="0" distR="0" wp14:anchorId="769E36B4" wp14:editId="5CAB91ED">
            <wp:extent cx="1057275" cy="581025"/>
            <wp:effectExtent l="0" t="0" r="9525" b="9525"/>
            <wp:docPr id="6" name="Picture 6" descr="APC multiplied by start fraction FLC over TFLC end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PC multiplied by start fraction FLC over TFLC end fraction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9"/>
    <w:p w14:paraId="4828D6F0" w14:textId="77777777" w:rsidR="002316F6" w:rsidRPr="005D3E8B" w:rsidRDefault="002316F6" w:rsidP="006C20C2">
      <w:pPr>
        <w:keepNext/>
        <w:spacing w:after="80" w:line="257" w:lineRule="auto"/>
        <w:ind w:left="992"/>
        <w:rPr>
          <w:rFonts w:ascii="Times New Roman" w:hAnsi="Times New Roman" w:cs="Times New Roman"/>
        </w:rPr>
      </w:pPr>
      <w:r w:rsidRPr="005D3E8B">
        <w:rPr>
          <w:rFonts w:ascii="Times New Roman" w:hAnsi="Times New Roman" w:cs="Times New Roman"/>
        </w:rPr>
        <w:t>where:</w:t>
      </w:r>
    </w:p>
    <w:p w14:paraId="359851CA" w14:textId="02643017" w:rsidR="002316F6" w:rsidRPr="005D3E8B" w:rsidRDefault="002316F6" w:rsidP="00E37BC7">
      <w:pPr>
        <w:pStyle w:val="ListBullet"/>
        <w:ind w:left="993"/>
        <w:jc w:val="left"/>
      </w:pPr>
      <w:r w:rsidRPr="005D3E8B">
        <w:t xml:space="preserve">APC (annual program costs) </w:t>
      </w:r>
      <w:r w:rsidRPr="008A076B">
        <w:rPr>
          <w:b w:val="0"/>
          <w:bCs w:val="0"/>
          <w:i w:val="0"/>
          <w:iCs w:val="0"/>
        </w:rPr>
        <w:t xml:space="preserve">is equal to $1 </w:t>
      </w:r>
      <w:r w:rsidR="001B3959" w:rsidRPr="008A076B">
        <w:rPr>
          <w:b w:val="0"/>
          <w:bCs w:val="0"/>
          <w:i w:val="0"/>
          <w:iCs w:val="0"/>
        </w:rPr>
        <w:t>599 297</w:t>
      </w:r>
      <w:r w:rsidRPr="005D3E8B">
        <w:t>.</w:t>
      </w:r>
    </w:p>
    <w:p w14:paraId="2F8687CD" w14:textId="240B2C5A" w:rsidR="002316F6" w:rsidRPr="00BB7E9F" w:rsidRDefault="002316F6" w:rsidP="00E37BC7">
      <w:pPr>
        <w:pStyle w:val="Note"/>
        <w:ind w:left="1560" w:hanging="567"/>
        <w:jc w:val="left"/>
        <w:rPr>
          <w:rFonts w:eastAsia="SimSun"/>
          <w:sz w:val="22"/>
          <w:szCs w:val="22"/>
        </w:rPr>
      </w:pPr>
      <w:bookmarkStart w:id="20" w:name="_Hlk105600020"/>
      <w:r w:rsidRPr="00BB7E9F">
        <w:rPr>
          <w:sz w:val="18"/>
          <w:szCs w:val="18"/>
        </w:rPr>
        <w:t>Note:</w:t>
      </w:r>
      <w:r w:rsidRPr="00BB7E9F">
        <w:rPr>
          <w:sz w:val="18"/>
          <w:szCs w:val="18"/>
        </w:rPr>
        <w:tab/>
        <w:t>This amount is the portion of the costs incurred by the ACCC during the 201</w:t>
      </w:r>
      <w:r w:rsidR="00C63AA4">
        <w:rPr>
          <w:sz w:val="18"/>
          <w:szCs w:val="18"/>
        </w:rPr>
        <w:t>9</w:t>
      </w:r>
      <w:r w:rsidRPr="00BB7E9F">
        <w:rPr>
          <w:sz w:val="18"/>
          <w:szCs w:val="18"/>
        </w:rPr>
        <w:t>-20</w:t>
      </w:r>
      <w:r w:rsidR="00C63AA4">
        <w:rPr>
          <w:sz w:val="18"/>
          <w:szCs w:val="18"/>
        </w:rPr>
        <w:t>20</w:t>
      </w:r>
      <w:r w:rsidRPr="00BB7E9F">
        <w:rPr>
          <w:sz w:val="18"/>
          <w:szCs w:val="18"/>
        </w:rPr>
        <w:t xml:space="preserve"> financial year, as determined by the ACCC under paragraph 15(1)(b)</w:t>
      </w:r>
      <w:r w:rsidR="00A44D59">
        <w:rPr>
          <w:sz w:val="18"/>
          <w:szCs w:val="18"/>
        </w:rPr>
        <w:t xml:space="preserve"> of the Act</w:t>
      </w:r>
      <w:r w:rsidRPr="00BB7E9F">
        <w:rPr>
          <w:sz w:val="18"/>
          <w:szCs w:val="18"/>
        </w:rPr>
        <w:t xml:space="preserve">, </w:t>
      </w:r>
      <w:bookmarkEnd w:id="20"/>
      <w:r w:rsidRPr="00BB7E9F">
        <w:rPr>
          <w:sz w:val="18"/>
          <w:szCs w:val="18"/>
        </w:rPr>
        <w:t>that are attributable to the MBA</w:t>
      </w:r>
      <w:r w:rsidRPr="00BB7E9F">
        <w:rPr>
          <w:sz w:val="22"/>
          <w:szCs w:val="22"/>
        </w:rPr>
        <w:t>.</w:t>
      </w:r>
    </w:p>
    <w:p w14:paraId="4D4B5314" w14:textId="4193B543" w:rsidR="002316F6" w:rsidRPr="008A076B" w:rsidRDefault="002316F6" w:rsidP="00E37BC7">
      <w:pPr>
        <w:pStyle w:val="ListBullet"/>
        <w:ind w:left="993"/>
        <w:jc w:val="left"/>
        <w:rPr>
          <w:b w:val="0"/>
          <w:bCs w:val="0"/>
          <w:i w:val="0"/>
          <w:iCs w:val="0"/>
        </w:rPr>
      </w:pPr>
      <w:r w:rsidRPr="005D3E8B">
        <w:t>FLC (fixed line connections</w:t>
      </w:r>
      <w:r w:rsidRPr="008A076B">
        <w:rPr>
          <w:b w:val="0"/>
          <w:bCs w:val="0"/>
          <w:i w:val="0"/>
          <w:iCs w:val="0"/>
        </w:rPr>
        <w:t xml:space="preserve">) is the number listed for each </w:t>
      </w:r>
      <w:r w:rsidR="00CB1BBD" w:rsidRPr="008A076B">
        <w:rPr>
          <w:b w:val="0"/>
          <w:bCs w:val="0"/>
          <w:i w:val="0"/>
          <w:iCs w:val="0"/>
        </w:rPr>
        <w:t>carrier</w:t>
      </w:r>
      <w:r w:rsidRPr="008A076B">
        <w:rPr>
          <w:b w:val="0"/>
          <w:bCs w:val="0"/>
          <w:i w:val="0"/>
          <w:iCs w:val="0"/>
        </w:rPr>
        <w:t xml:space="preserve"> in an item in Schedule </w:t>
      </w:r>
      <w:r w:rsidR="001D707D" w:rsidRPr="008A076B">
        <w:rPr>
          <w:b w:val="0"/>
          <w:bCs w:val="0"/>
          <w:i w:val="0"/>
          <w:iCs w:val="0"/>
        </w:rPr>
        <w:t>3</w:t>
      </w:r>
      <w:r w:rsidRPr="008A076B">
        <w:rPr>
          <w:b w:val="0"/>
          <w:bCs w:val="0"/>
          <w:i w:val="0"/>
          <w:iCs w:val="0"/>
        </w:rPr>
        <w:t xml:space="preserve">. </w:t>
      </w:r>
    </w:p>
    <w:p w14:paraId="5DBF04C0" w14:textId="6BEAF1FC" w:rsidR="002316F6" w:rsidRPr="00BB7E9F" w:rsidRDefault="002316F6" w:rsidP="00E37BC7">
      <w:pPr>
        <w:pStyle w:val="Note"/>
        <w:tabs>
          <w:tab w:val="left" w:pos="2127"/>
        </w:tabs>
        <w:ind w:left="1560" w:hanging="567"/>
        <w:jc w:val="left"/>
        <w:rPr>
          <w:sz w:val="18"/>
          <w:szCs w:val="18"/>
        </w:rPr>
      </w:pPr>
      <w:r w:rsidRPr="00BB7E9F">
        <w:rPr>
          <w:sz w:val="18"/>
          <w:szCs w:val="18"/>
        </w:rPr>
        <w:t>Note:</w:t>
      </w:r>
      <w:r w:rsidRPr="00BB7E9F">
        <w:rPr>
          <w:sz w:val="18"/>
          <w:szCs w:val="18"/>
        </w:rPr>
        <w:tab/>
        <w:t xml:space="preserve">The FLC figure for each </w:t>
      </w:r>
      <w:r w:rsidR="00CB1BBD">
        <w:rPr>
          <w:sz w:val="18"/>
          <w:szCs w:val="18"/>
        </w:rPr>
        <w:t>carrier</w:t>
      </w:r>
      <w:r w:rsidRPr="00BB7E9F">
        <w:rPr>
          <w:sz w:val="18"/>
          <w:szCs w:val="18"/>
        </w:rPr>
        <w:t xml:space="preserve"> is derived from information provided by the ACCC about the number of NBN fixed line connections operated in a test segment which are attributable to </w:t>
      </w:r>
      <w:r w:rsidR="00DA39E0">
        <w:rPr>
          <w:sz w:val="18"/>
          <w:szCs w:val="18"/>
        </w:rPr>
        <w:t>carriers</w:t>
      </w:r>
      <w:r w:rsidRPr="00BB7E9F">
        <w:rPr>
          <w:sz w:val="18"/>
          <w:szCs w:val="18"/>
        </w:rPr>
        <w:t xml:space="preserve"> during the 201</w:t>
      </w:r>
      <w:r w:rsidR="00253637">
        <w:rPr>
          <w:sz w:val="18"/>
          <w:szCs w:val="18"/>
        </w:rPr>
        <w:t>9</w:t>
      </w:r>
      <w:r w:rsidRPr="00BB7E9F">
        <w:rPr>
          <w:sz w:val="18"/>
          <w:szCs w:val="18"/>
        </w:rPr>
        <w:t>-20</w:t>
      </w:r>
      <w:r w:rsidR="00253637">
        <w:rPr>
          <w:sz w:val="18"/>
          <w:szCs w:val="18"/>
        </w:rPr>
        <w:t>20</w:t>
      </w:r>
      <w:r w:rsidRPr="00BB7E9F">
        <w:rPr>
          <w:sz w:val="18"/>
          <w:szCs w:val="18"/>
        </w:rPr>
        <w:t xml:space="preserve"> financial year.</w:t>
      </w:r>
    </w:p>
    <w:p w14:paraId="4412364B" w14:textId="21739F96" w:rsidR="002316F6" w:rsidRPr="005D3E8B" w:rsidRDefault="002316F6" w:rsidP="00E37BC7">
      <w:pPr>
        <w:pStyle w:val="ListBullet"/>
        <w:ind w:left="993"/>
        <w:jc w:val="left"/>
      </w:pPr>
      <w:r w:rsidRPr="005D3E8B">
        <w:t xml:space="preserve">TFLC (total fixed line connections) </w:t>
      </w:r>
      <w:r w:rsidRPr="008A076B">
        <w:rPr>
          <w:b w:val="0"/>
          <w:bCs w:val="0"/>
          <w:i w:val="0"/>
          <w:iCs w:val="0"/>
        </w:rPr>
        <w:t xml:space="preserve">is equal to </w:t>
      </w:r>
      <w:r w:rsidR="00187080" w:rsidRPr="008A076B">
        <w:rPr>
          <w:b w:val="0"/>
          <w:bCs w:val="0"/>
          <w:i w:val="0"/>
          <w:iCs w:val="0"/>
        </w:rPr>
        <w:t xml:space="preserve">6 </w:t>
      </w:r>
      <w:r w:rsidR="00C63AA4" w:rsidRPr="008A076B">
        <w:rPr>
          <w:b w:val="0"/>
          <w:bCs w:val="0"/>
          <w:i w:val="0"/>
          <w:iCs w:val="0"/>
        </w:rPr>
        <w:t>899 851</w:t>
      </w:r>
      <w:r w:rsidRPr="005D3E8B">
        <w:t>.</w:t>
      </w:r>
    </w:p>
    <w:p w14:paraId="09B9C0B4" w14:textId="032ED436" w:rsidR="002316F6" w:rsidRPr="00BB7E9F" w:rsidRDefault="002316F6" w:rsidP="00E37BC7">
      <w:pPr>
        <w:pStyle w:val="Note"/>
        <w:tabs>
          <w:tab w:val="left" w:pos="2127"/>
        </w:tabs>
        <w:ind w:left="1560" w:hanging="567"/>
        <w:jc w:val="left"/>
        <w:rPr>
          <w:sz w:val="18"/>
          <w:szCs w:val="18"/>
        </w:rPr>
      </w:pPr>
      <w:r w:rsidRPr="00BB7E9F">
        <w:rPr>
          <w:sz w:val="18"/>
          <w:szCs w:val="18"/>
        </w:rPr>
        <w:t>Note:</w:t>
      </w:r>
      <w:r w:rsidRPr="00BB7E9F">
        <w:rPr>
          <w:sz w:val="18"/>
          <w:szCs w:val="18"/>
        </w:rPr>
        <w:tab/>
        <w:t xml:space="preserve">This figure is derived from information provided by the ACCC about the total number of NBN fixed line connections operated in a test segment that are attributable to </w:t>
      </w:r>
      <w:r w:rsidR="00DA39E0">
        <w:rPr>
          <w:sz w:val="18"/>
          <w:szCs w:val="18"/>
        </w:rPr>
        <w:t>carriers</w:t>
      </w:r>
      <w:r w:rsidRPr="00BB7E9F">
        <w:rPr>
          <w:sz w:val="18"/>
          <w:szCs w:val="18"/>
        </w:rPr>
        <w:t xml:space="preserve"> during the 201</w:t>
      </w:r>
      <w:r w:rsidR="00F32BC7">
        <w:rPr>
          <w:sz w:val="18"/>
          <w:szCs w:val="18"/>
        </w:rPr>
        <w:t>9</w:t>
      </w:r>
      <w:r w:rsidRPr="00BB7E9F">
        <w:rPr>
          <w:sz w:val="18"/>
          <w:szCs w:val="18"/>
        </w:rPr>
        <w:t>-20</w:t>
      </w:r>
      <w:r w:rsidR="00F32BC7">
        <w:rPr>
          <w:sz w:val="18"/>
          <w:szCs w:val="18"/>
        </w:rPr>
        <w:t>20</w:t>
      </w:r>
      <w:r w:rsidRPr="00BB7E9F">
        <w:rPr>
          <w:sz w:val="18"/>
          <w:szCs w:val="18"/>
        </w:rPr>
        <w:t xml:space="preserve"> financial year.</w:t>
      </w:r>
    </w:p>
    <w:p w14:paraId="7F8ECAA7" w14:textId="77777777" w:rsidR="00A16A7F" w:rsidRPr="00BB7E9F" w:rsidRDefault="00A16A7F" w:rsidP="00CC4789">
      <w:pPr>
        <w:pStyle w:val="Note"/>
        <w:tabs>
          <w:tab w:val="left" w:pos="2127"/>
        </w:tabs>
        <w:ind w:left="2127" w:hanging="709"/>
        <w:jc w:val="left"/>
        <w:sectPr w:rsidR="00A16A7F" w:rsidRPr="00BB7E9F" w:rsidSect="0074753A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CBD46DF" w14:textId="77777777" w:rsidR="00D5585E" w:rsidRPr="00BB7E9F" w:rsidRDefault="00D5585E" w:rsidP="00CC4789">
      <w:pPr>
        <w:pStyle w:val="Scheduletitle"/>
        <w:pageBreakBefore/>
      </w:pPr>
      <w:bookmarkStart w:id="21" w:name="_Toc261961176"/>
      <w:bookmarkStart w:id="22" w:name="_Hlk21687364"/>
      <w:bookmarkStart w:id="23" w:name="_Hlk22029353"/>
      <w:r w:rsidRPr="000813A2">
        <w:rPr>
          <w:rStyle w:val="CharSchNo"/>
        </w:rPr>
        <w:lastRenderedPageBreak/>
        <w:t>Schedule 1</w:t>
      </w:r>
      <w:r w:rsidRPr="000813A2">
        <w:tab/>
      </w:r>
      <w:r w:rsidRPr="000813A2">
        <w:rPr>
          <w:rStyle w:val="CharSchText"/>
        </w:rPr>
        <w:t>Eligible revenue for carrier</w:t>
      </w:r>
      <w:bookmarkEnd w:id="21"/>
    </w:p>
    <w:p w14:paraId="54548585" w14:textId="3FFED5F2" w:rsidR="00D5585E" w:rsidRDefault="00D5585E" w:rsidP="00CC4789">
      <w:pPr>
        <w:pStyle w:val="Schedulereference"/>
        <w:spacing w:after="240"/>
        <w:rPr>
          <w:rFonts w:ascii="Times New Roman" w:hAnsi="Times New Roman"/>
        </w:rPr>
      </w:pPr>
      <w:bookmarkStart w:id="24" w:name="_Hlk21687437"/>
      <w:bookmarkEnd w:id="22"/>
      <w:r w:rsidRPr="00BB7E9F">
        <w:rPr>
          <w:rFonts w:ascii="Times New Roman" w:hAnsi="Times New Roman"/>
        </w:rPr>
        <w:t>(</w:t>
      </w:r>
      <w:proofErr w:type="gramStart"/>
      <w:r w:rsidRPr="00BB7E9F">
        <w:rPr>
          <w:rFonts w:ascii="Times New Roman" w:hAnsi="Times New Roman"/>
        </w:rPr>
        <w:t>section</w:t>
      </w:r>
      <w:proofErr w:type="gramEnd"/>
      <w:r w:rsidRPr="00BB7E9F">
        <w:rPr>
          <w:rFonts w:ascii="Times New Roman" w:hAnsi="Times New Roman"/>
        </w:rPr>
        <w:t xml:space="preserve"> </w:t>
      </w:r>
      <w:r w:rsidR="00C519F4" w:rsidRPr="00BB7E9F">
        <w:rPr>
          <w:rFonts w:ascii="Times New Roman" w:hAnsi="Times New Roman"/>
        </w:rPr>
        <w:t>9</w:t>
      </w:r>
      <w:r w:rsidRPr="00BB7E9F">
        <w:rPr>
          <w:rFonts w:ascii="Times New Roman" w:hAnsi="Times New Roman"/>
        </w:rPr>
        <w:t>)</w:t>
      </w:r>
    </w:p>
    <w:tbl>
      <w:tblPr>
        <w:tblW w:w="8700" w:type="dxa"/>
        <w:tblLook w:val="04A0" w:firstRow="1" w:lastRow="0" w:firstColumn="1" w:lastColumn="0" w:noHBand="0" w:noVBand="1"/>
      </w:tblPr>
      <w:tblGrid>
        <w:gridCol w:w="1020"/>
        <w:gridCol w:w="4100"/>
        <w:gridCol w:w="1700"/>
        <w:gridCol w:w="1880"/>
      </w:tblGrid>
      <w:tr w:rsidR="008448DD" w:rsidRPr="008448DD" w14:paraId="7FF19AA9" w14:textId="77777777" w:rsidTr="00EF4EAC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7C5C0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A5588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Carrier name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3002C4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ACN/ABN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E71A88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Amount</w:t>
            </w:r>
          </w:p>
        </w:tc>
      </w:tr>
      <w:tr w:rsidR="008448DD" w:rsidRPr="008448DD" w14:paraId="5CF3D5D4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3BA1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819A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proofErr w:type="spellStart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AARNet</w:t>
            </w:r>
            <w:proofErr w:type="spellEnd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E35D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084 540 518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2845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$56,449,211</w:t>
            </w:r>
          </w:p>
        </w:tc>
      </w:tr>
      <w:tr w:rsidR="008448DD" w:rsidRPr="008448DD" w14:paraId="2D4A3D0B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FC1D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8CB3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Allegro Networks Pty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704A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101 425 094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A8BD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$2,052,726</w:t>
            </w:r>
          </w:p>
        </w:tc>
      </w:tr>
      <w:tr w:rsidR="008448DD" w:rsidRPr="008448DD" w14:paraId="362C1AA8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956F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6CE8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Aussie Broadband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F937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132 090 192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936A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$41,577,351</w:t>
            </w:r>
          </w:p>
        </w:tc>
      </w:tr>
      <w:tr w:rsidR="008448DD" w:rsidRPr="008448DD" w14:paraId="3F55B941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6E01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0770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proofErr w:type="spellStart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Axicom</w:t>
            </w:r>
            <w:proofErr w:type="spellEnd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Land Pty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CD2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605 800 511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628F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$200,576,000</w:t>
            </w:r>
          </w:p>
        </w:tc>
      </w:tr>
      <w:tr w:rsidR="008448DD" w:rsidRPr="008448DD" w14:paraId="52DEF0A1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BA05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2FA0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proofErr w:type="spellStart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BigAir</w:t>
            </w:r>
            <w:proofErr w:type="spellEnd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Cloud Managed Services Pty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F6D9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118 033 051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C7FC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$807,942</w:t>
            </w:r>
          </w:p>
        </w:tc>
      </w:tr>
      <w:tr w:rsidR="008448DD" w:rsidRPr="008448DD" w14:paraId="013D63BD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217C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7973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proofErr w:type="spellStart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BigAir</w:t>
            </w:r>
            <w:proofErr w:type="spellEnd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Group Pty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FDBB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098 572 626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B750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$15,618,130</w:t>
            </w:r>
          </w:p>
        </w:tc>
      </w:tr>
      <w:tr w:rsidR="008448DD" w:rsidRPr="008448DD" w14:paraId="4B91ADE0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FDD0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D83A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Capital Fibre Networks Pty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E8E0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619 334 002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9338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$483,394</w:t>
            </w:r>
          </w:p>
        </w:tc>
      </w:tr>
      <w:tr w:rsidR="008448DD" w:rsidRPr="008448DD" w14:paraId="4BC8B6BD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3EBF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ED18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Chime Communications Pty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8509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073 119 285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A9E0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$370,860,972</w:t>
            </w:r>
          </w:p>
        </w:tc>
      </w:tr>
      <w:tr w:rsidR="008448DD" w:rsidRPr="008448DD" w14:paraId="4204A9A0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4B9F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003C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Intelligent IP Communications Pty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BFD0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115 730 526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4303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$1,480,577</w:t>
            </w:r>
          </w:p>
        </w:tc>
      </w:tr>
      <w:tr w:rsidR="008448DD" w:rsidRPr="008448DD" w14:paraId="3C2A5D3B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94E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686E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LBN Co Pty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2EAA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073 226 114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D60C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$23,289,520</w:t>
            </w:r>
          </w:p>
        </w:tc>
      </w:tr>
      <w:tr w:rsidR="008448DD" w:rsidRPr="008448DD" w14:paraId="6B5564C4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849D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4F42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Link Us Pty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50C0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604 463 710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8AF3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$513,157</w:t>
            </w:r>
          </w:p>
        </w:tc>
      </w:tr>
      <w:tr w:rsidR="008448DD" w:rsidRPr="008448DD" w14:paraId="619CD289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A0E6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6E66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Macquarie Telecom Pty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0688" w14:textId="78F36B82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082 930 916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9A8C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$83,898,977</w:t>
            </w:r>
          </w:p>
        </w:tc>
      </w:tr>
      <w:tr w:rsidR="008448DD" w:rsidRPr="008448DD" w14:paraId="0D32A804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BE44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1125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NBN Co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7522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136 533 741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7822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$2,165,896,045</w:t>
            </w:r>
          </w:p>
        </w:tc>
      </w:tr>
      <w:tr w:rsidR="008448DD" w:rsidRPr="008448DD" w14:paraId="268CBC81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5813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BAB5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New Skies Satellites Australia Pty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5126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114 962 248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FCC5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$21,542,703</w:t>
            </w:r>
          </w:p>
        </w:tc>
      </w:tr>
      <w:tr w:rsidR="008448DD" w:rsidRPr="008448DD" w14:paraId="6B7A9005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576A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39FA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Nextgen Networks Pty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F5B4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094 147 403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BFFF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$82,366,160</w:t>
            </w:r>
          </w:p>
        </w:tc>
      </w:tr>
      <w:tr w:rsidR="008448DD" w:rsidRPr="008448DD" w14:paraId="04F05883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0FB8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E215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proofErr w:type="spellStart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Nuskope</w:t>
            </w:r>
            <w:proofErr w:type="spellEnd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0A1B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125 849 149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9CC8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$7,142,376</w:t>
            </w:r>
          </w:p>
        </w:tc>
      </w:tr>
      <w:tr w:rsidR="008448DD" w:rsidRPr="008448DD" w14:paraId="63B1D303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4161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EB06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O3B Teleport Services (Australia) Pty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1548" w14:textId="1036B9DE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161 700 509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254D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$51,150,472</w:t>
            </w:r>
          </w:p>
        </w:tc>
      </w:tr>
      <w:tr w:rsidR="008448DD" w:rsidRPr="008448DD" w14:paraId="65B1FAA8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12BA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2DFA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proofErr w:type="spellStart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OPENetworks</w:t>
            </w:r>
            <w:proofErr w:type="spellEnd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C9CE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118 525 821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B295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$8,005,962</w:t>
            </w:r>
          </w:p>
        </w:tc>
      </w:tr>
      <w:tr w:rsidR="008448DD" w:rsidRPr="008448DD" w14:paraId="3AEC89CD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FB09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79B5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proofErr w:type="spellStart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Opticomm</w:t>
            </w:r>
            <w:proofErr w:type="spellEnd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1542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117 414 776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4C28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$42,078,394</w:t>
            </w:r>
          </w:p>
        </w:tc>
      </w:tr>
      <w:tr w:rsidR="008448DD" w:rsidRPr="008448DD" w14:paraId="302B0B91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4D46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3B11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Optus Fixed Infrastructure Pty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BD57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092 450 783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74FD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$13,186,621</w:t>
            </w:r>
          </w:p>
        </w:tc>
      </w:tr>
      <w:tr w:rsidR="008448DD" w:rsidRPr="008448DD" w14:paraId="71574666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84AD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DA3B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Optus Mobile Pty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ED29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054 365 696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3507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$4,259,952,863</w:t>
            </w:r>
          </w:p>
        </w:tc>
      </w:tr>
      <w:tr w:rsidR="008448DD" w:rsidRPr="008448DD" w14:paraId="11E0BDA6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B6CF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F180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Optus Networks Pty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8E38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008 570 330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E891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$441,442,906</w:t>
            </w:r>
          </w:p>
        </w:tc>
      </w:tr>
      <w:tr w:rsidR="008448DD" w:rsidRPr="008448DD" w14:paraId="5BE3C7A5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3AE7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B991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Optus Satellite Network Pty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96B6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091 789 945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B64F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$157,157,655</w:t>
            </w:r>
          </w:p>
        </w:tc>
      </w:tr>
      <w:tr w:rsidR="008448DD" w:rsidRPr="008448DD" w14:paraId="21FB775F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E1B4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8B49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Over The Wire Pty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41A5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115 387 258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0D69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$31,687,514</w:t>
            </w:r>
          </w:p>
        </w:tc>
      </w:tr>
      <w:tr w:rsidR="008448DD" w:rsidRPr="008448DD" w14:paraId="08DDB19D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45A9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4F8B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proofErr w:type="spellStart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Pivotel</w:t>
            </w:r>
            <w:proofErr w:type="spellEnd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Group Pty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5799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102 274 322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42B9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$49,596,237</w:t>
            </w:r>
          </w:p>
        </w:tc>
      </w:tr>
      <w:tr w:rsidR="008448DD" w:rsidRPr="008448DD" w14:paraId="39C4BAD4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97FF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E1D0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Primus Telecommunications Pty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A9AD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071 191 396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25C4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$204,463,382</w:t>
            </w:r>
          </w:p>
        </w:tc>
      </w:tr>
      <w:tr w:rsidR="008448DD" w:rsidRPr="008448DD" w14:paraId="03E5B77A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1CC6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B5E3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proofErr w:type="spellStart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Skiron</w:t>
            </w:r>
            <w:proofErr w:type="spellEnd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OpCo</w:t>
            </w:r>
            <w:proofErr w:type="spellEnd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Pty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BD21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166 751 784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519D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$600,691</w:t>
            </w:r>
          </w:p>
        </w:tc>
      </w:tr>
      <w:tr w:rsidR="008448DD" w:rsidRPr="008448DD" w14:paraId="7B1BE85A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62B8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E471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Soul Pattinson Telecommunications Pty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9459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001 726 192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F73F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$853,371,237</w:t>
            </w:r>
          </w:p>
        </w:tc>
      </w:tr>
      <w:tr w:rsidR="008448DD" w:rsidRPr="008448DD" w14:paraId="2136712C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B4EF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38EC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proofErr w:type="spellStart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Speedcast</w:t>
            </w:r>
            <w:proofErr w:type="spellEnd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Australia Pty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9892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159 524 553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BC8F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$33,109,604</w:t>
            </w:r>
          </w:p>
        </w:tc>
      </w:tr>
      <w:tr w:rsidR="008448DD" w:rsidRPr="008448DD" w14:paraId="462A6050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79CE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9EFD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proofErr w:type="spellStart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Superloop</w:t>
            </w:r>
            <w:proofErr w:type="spellEnd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(Australia) Pty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30DD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602 286 608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9024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$12,033,163</w:t>
            </w:r>
          </w:p>
        </w:tc>
      </w:tr>
      <w:tr w:rsidR="008448DD" w:rsidRPr="008448DD" w14:paraId="79FA48C1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AF7B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FA65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Telstra Corporation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C012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051 775 556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420A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$13,061,329,695</w:t>
            </w:r>
          </w:p>
        </w:tc>
      </w:tr>
      <w:tr w:rsidR="008448DD" w:rsidRPr="008448DD" w14:paraId="26D8C859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0D20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4596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Telstra Multimedia Pty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77D6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069 279 072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3FC2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$47,724,394</w:t>
            </w:r>
          </w:p>
        </w:tc>
      </w:tr>
      <w:tr w:rsidR="008448DD" w:rsidRPr="008448DD" w14:paraId="393B10D8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D41F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A8A4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proofErr w:type="spellStart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Uecomm</w:t>
            </w:r>
            <w:proofErr w:type="spellEnd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Operations Pty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6D52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093 504 100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E982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$46,003,992</w:t>
            </w:r>
          </w:p>
        </w:tc>
      </w:tr>
      <w:tr w:rsidR="008448DD" w:rsidRPr="008448DD" w14:paraId="6A97664C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0889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2FFC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proofErr w:type="spellStart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Uniti</w:t>
            </w:r>
            <w:proofErr w:type="spellEnd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Group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A392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158 957 889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0DC0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$14,871,993</w:t>
            </w:r>
          </w:p>
        </w:tc>
      </w:tr>
      <w:tr w:rsidR="008448DD" w:rsidRPr="008448DD" w14:paraId="7F43B0AC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72DC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486D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Victorian Rail Track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43A8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ABN 55 047 316 805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5780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$39,916,705</w:t>
            </w:r>
          </w:p>
        </w:tc>
      </w:tr>
      <w:tr w:rsidR="008448DD" w:rsidRPr="008448DD" w14:paraId="4E3055A3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BB41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A7B8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proofErr w:type="spellStart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Vocus</w:t>
            </w:r>
            <w:proofErr w:type="spellEnd"/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Fibre Pty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2865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150 260 156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698F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$176,041,054</w:t>
            </w:r>
          </w:p>
        </w:tc>
      </w:tr>
      <w:tr w:rsidR="008448DD" w:rsidRPr="008448DD" w14:paraId="27F521CB" w14:textId="77777777" w:rsidTr="00EF4EA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1B05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4942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Vodafone Australia Pty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5CE4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ACN 056 161 043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70AA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$1,907,663,902</w:t>
            </w:r>
          </w:p>
        </w:tc>
      </w:tr>
      <w:tr w:rsidR="00EF4EAC" w:rsidRPr="008448DD" w14:paraId="5D03174E" w14:textId="77777777" w:rsidTr="00EF4EAC">
        <w:trPr>
          <w:trHeight w:val="285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E4224" w14:textId="77777777" w:rsidR="00EF4EAC" w:rsidRPr="008448DD" w:rsidRDefault="00EF4EAC" w:rsidP="00203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Total Eligible Revenue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06F0" w14:textId="77777777" w:rsidR="00EF4EAC" w:rsidRPr="008448DD" w:rsidRDefault="00EF4EAC" w:rsidP="00CC4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8448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$24,525,943,678</w:t>
            </w:r>
          </w:p>
        </w:tc>
      </w:tr>
    </w:tbl>
    <w:p w14:paraId="6FFCEFFE" w14:textId="77777777" w:rsidR="00EF4EAC" w:rsidRPr="008448DD" w:rsidRDefault="00EF4EAC" w:rsidP="00CC4789">
      <w:pPr>
        <w:pStyle w:val="Schedulepart"/>
      </w:pPr>
    </w:p>
    <w:bookmarkEnd w:id="24"/>
    <w:p w14:paraId="0FFD8C9A" w14:textId="77777777" w:rsidR="001A2073" w:rsidRPr="00BB7E9F" w:rsidRDefault="001A2073" w:rsidP="00CC4789">
      <w:pPr>
        <w:rPr>
          <w:b/>
        </w:rPr>
        <w:sectPr w:rsidR="001A2073" w:rsidRPr="00BB7E9F" w:rsidSect="00957210">
          <w:headerReference w:type="default" r:id="rId2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E65766E" w14:textId="66C544A2" w:rsidR="001D707D" w:rsidRDefault="001D707D" w:rsidP="00CC4789">
      <w:pPr>
        <w:pStyle w:val="Scheduletitle"/>
        <w:pageBreakBefore/>
        <w:rPr>
          <w:rStyle w:val="CharSchNo"/>
        </w:rPr>
      </w:pPr>
      <w:r w:rsidRPr="000813A2">
        <w:rPr>
          <w:rStyle w:val="CharSchNo"/>
        </w:rPr>
        <w:lastRenderedPageBreak/>
        <w:t xml:space="preserve">Schedule </w:t>
      </w:r>
      <w:r>
        <w:rPr>
          <w:rStyle w:val="CharSchNo"/>
        </w:rPr>
        <w:t>2</w:t>
      </w:r>
      <w:r>
        <w:rPr>
          <w:rStyle w:val="CharSchNo"/>
        </w:rPr>
        <w:tab/>
      </w:r>
      <w:r w:rsidR="00B75D7F">
        <w:rPr>
          <w:rStyle w:val="CharSchNo"/>
        </w:rPr>
        <w:t xml:space="preserve">Eligible revenue for </w:t>
      </w:r>
      <w:r w:rsidR="00C302F8">
        <w:rPr>
          <w:rStyle w:val="CharSchNo"/>
        </w:rPr>
        <w:t>carrier/</w:t>
      </w:r>
      <w:r w:rsidR="00B75D7F">
        <w:rPr>
          <w:rStyle w:val="CharSchNo"/>
        </w:rPr>
        <w:t>QRCSP</w:t>
      </w:r>
    </w:p>
    <w:p w14:paraId="09869CDE" w14:textId="673B4E2D" w:rsidR="00B75D7F" w:rsidRPr="00921F9A" w:rsidRDefault="00D03807" w:rsidP="00CC4789">
      <w:pPr>
        <w:pStyle w:val="Schedulereference"/>
        <w:spacing w:after="240"/>
        <w:rPr>
          <w:rFonts w:ascii="Times New Roman" w:hAnsi="Times New Roman"/>
        </w:rPr>
      </w:pPr>
      <w:r w:rsidRPr="00921F9A">
        <w:rPr>
          <w:rFonts w:ascii="Times New Roman" w:hAnsi="Times New Roman"/>
        </w:rPr>
        <w:t>(</w:t>
      </w:r>
      <w:proofErr w:type="gramStart"/>
      <w:r w:rsidRPr="00921F9A">
        <w:rPr>
          <w:rFonts w:ascii="Times New Roman" w:hAnsi="Times New Roman"/>
        </w:rPr>
        <w:t>section</w:t>
      </w:r>
      <w:proofErr w:type="gramEnd"/>
      <w:r w:rsidRPr="00921F9A">
        <w:rPr>
          <w:rFonts w:ascii="Times New Roman" w:hAnsi="Times New Roman"/>
        </w:rPr>
        <w:t xml:space="preserve"> 9)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846"/>
        <w:gridCol w:w="3662"/>
        <w:gridCol w:w="2254"/>
        <w:gridCol w:w="2254"/>
      </w:tblGrid>
      <w:tr w:rsidR="008448DD" w:rsidRPr="008448DD" w14:paraId="0DAD9217" w14:textId="77777777" w:rsidTr="008448DD">
        <w:trPr>
          <w:trHeight w:val="285"/>
        </w:trPr>
        <w:tc>
          <w:tcPr>
            <w:tcW w:w="846" w:type="dxa"/>
            <w:shd w:val="clear" w:color="auto" w:fill="D0CECE" w:themeFill="background2" w:themeFillShade="E6"/>
            <w:noWrap/>
            <w:hideMark/>
          </w:tcPr>
          <w:p w14:paraId="4AAD7111" w14:textId="77777777" w:rsidR="0047374C" w:rsidRPr="008448DD" w:rsidRDefault="0047374C" w:rsidP="00CC4789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3662" w:type="dxa"/>
            <w:shd w:val="clear" w:color="auto" w:fill="D0CECE" w:themeFill="background2" w:themeFillShade="E6"/>
            <w:noWrap/>
            <w:hideMark/>
          </w:tcPr>
          <w:p w14:paraId="7AD7819F" w14:textId="2D20C2D2" w:rsidR="0047374C" w:rsidRPr="008448DD" w:rsidRDefault="0047374C" w:rsidP="00CC4789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>Carrier</w:t>
            </w:r>
            <w:r w:rsidR="00641F5F" w:rsidRPr="008448DD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>/QRCSP</w:t>
            </w:r>
            <w:r w:rsidRPr="008448DD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 xml:space="preserve"> name</w:t>
            </w:r>
          </w:p>
        </w:tc>
        <w:tc>
          <w:tcPr>
            <w:tcW w:w="2254" w:type="dxa"/>
            <w:shd w:val="clear" w:color="auto" w:fill="D0CECE" w:themeFill="background2" w:themeFillShade="E6"/>
            <w:noWrap/>
            <w:hideMark/>
          </w:tcPr>
          <w:p w14:paraId="3894B8E8" w14:textId="77777777" w:rsidR="0047374C" w:rsidRPr="008448DD" w:rsidRDefault="0047374C" w:rsidP="00CC4789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>ACN/ABN</w:t>
            </w:r>
          </w:p>
        </w:tc>
        <w:tc>
          <w:tcPr>
            <w:tcW w:w="2254" w:type="dxa"/>
            <w:shd w:val="clear" w:color="auto" w:fill="D0CECE" w:themeFill="background2" w:themeFillShade="E6"/>
            <w:noWrap/>
            <w:hideMark/>
          </w:tcPr>
          <w:p w14:paraId="3C8677C5" w14:textId="77777777" w:rsidR="0047374C" w:rsidRPr="008448DD" w:rsidRDefault="0047374C" w:rsidP="00CC4789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>Amount</w:t>
            </w:r>
          </w:p>
        </w:tc>
      </w:tr>
      <w:tr w:rsidR="008448DD" w:rsidRPr="008448DD" w14:paraId="7AD144AB" w14:textId="77777777" w:rsidTr="00921F9A">
        <w:trPr>
          <w:trHeight w:val="285"/>
        </w:trPr>
        <w:tc>
          <w:tcPr>
            <w:tcW w:w="846" w:type="dxa"/>
            <w:noWrap/>
            <w:hideMark/>
          </w:tcPr>
          <w:p w14:paraId="56CA47CF" w14:textId="77777777" w:rsidR="00450384" w:rsidRPr="008448DD" w:rsidRDefault="00450384" w:rsidP="00CC478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3662" w:type="dxa"/>
            <w:noWrap/>
            <w:vAlign w:val="bottom"/>
          </w:tcPr>
          <w:p w14:paraId="2931A6AB" w14:textId="79A6C18A" w:rsidR="00450384" w:rsidRPr="008448DD" w:rsidRDefault="00450384" w:rsidP="00CC478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sz w:val="20"/>
                <w:szCs w:val="20"/>
                <w:lang w:eastAsia="en-AU"/>
              </w:rPr>
              <w:t>Aussie Broadband Limited</w:t>
            </w:r>
          </w:p>
        </w:tc>
        <w:tc>
          <w:tcPr>
            <w:tcW w:w="2254" w:type="dxa"/>
            <w:noWrap/>
            <w:vAlign w:val="bottom"/>
          </w:tcPr>
          <w:p w14:paraId="70D3B91F" w14:textId="0D5BC9FD" w:rsidR="00450384" w:rsidRPr="008448DD" w:rsidRDefault="00450384" w:rsidP="00CC478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sz w:val="20"/>
                <w:szCs w:val="20"/>
                <w:lang w:eastAsia="en-AU"/>
              </w:rPr>
              <w:t>ACN 132 090 192</w:t>
            </w:r>
          </w:p>
        </w:tc>
        <w:tc>
          <w:tcPr>
            <w:tcW w:w="2254" w:type="dxa"/>
            <w:noWrap/>
            <w:vAlign w:val="bottom"/>
          </w:tcPr>
          <w:p w14:paraId="0571D3A6" w14:textId="1560B652" w:rsidR="00450384" w:rsidRPr="008448DD" w:rsidRDefault="00450384" w:rsidP="00CC478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sz w:val="20"/>
                <w:szCs w:val="20"/>
                <w:lang w:eastAsia="en-AU"/>
              </w:rPr>
              <w:t>$41,577,351</w:t>
            </w:r>
          </w:p>
        </w:tc>
      </w:tr>
      <w:tr w:rsidR="008448DD" w:rsidRPr="008448DD" w14:paraId="4F7D6037" w14:textId="77777777" w:rsidTr="00921F9A">
        <w:trPr>
          <w:trHeight w:val="285"/>
        </w:trPr>
        <w:tc>
          <w:tcPr>
            <w:tcW w:w="846" w:type="dxa"/>
            <w:noWrap/>
            <w:hideMark/>
          </w:tcPr>
          <w:p w14:paraId="49444B42" w14:textId="77777777" w:rsidR="00450384" w:rsidRPr="008448DD" w:rsidRDefault="00450384" w:rsidP="00CC478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3662" w:type="dxa"/>
            <w:noWrap/>
            <w:vAlign w:val="bottom"/>
          </w:tcPr>
          <w:p w14:paraId="5C07F59F" w14:textId="2DE15211" w:rsidR="00450384" w:rsidRPr="008448DD" w:rsidRDefault="00450384" w:rsidP="00CC478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sz w:val="20"/>
                <w:szCs w:val="20"/>
                <w:lang w:eastAsia="en-AU"/>
              </w:rPr>
              <w:t>Optus Mobile Pty Limited</w:t>
            </w:r>
          </w:p>
        </w:tc>
        <w:tc>
          <w:tcPr>
            <w:tcW w:w="2254" w:type="dxa"/>
            <w:noWrap/>
            <w:vAlign w:val="bottom"/>
          </w:tcPr>
          <w:p w14:paraId="3866BC04" w14:textId="3816174A" w:rsidR="00450384" w:rsidRPr="008448DD" w:rsidRDefault="00450384" w:rsidP="00CC478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sz w:val="20"/>
                <w:szCs w:val="20"/>
                <w:lang w:eastAsia="en-AU"/>
              </w:rPr>
              <w:t>ACN 054 365 696</w:t>
            </w:r>
          </w:p>
        </w:tc>
        <w:tc>
          <w:tcPr>
            <w:tcW w:w="2254" w:type="dxa"/>
            <w:noWrap/>
            <w:vAlign w:val="bottom"/>
          </w:tcPr>
          <w:p w14:paraId="5847A477" w14:textId="428845CD" w:rsidR="00450384" w:rsidRPr="008448DD" w:rsidRDefault="00450384" w:rsidP="00CC478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sz w:val="20"/>
                <w:szCs w:val="20"/>
                <w:lang w:eastAsia="en-AU"/>
              </w:rPr>
              <w:t>$4,259,952,863</w:t>
            </w:r>
          </w:p>
        </w:tc>
      </w:tr>
      <w:tr w:rsidR="008448DD" w:rsidRPr="008448DD" w14:paraId="1D33EF47" w14:textId="77777777" w:rsidTr="00921F9A">
        <w:trPr>
          <w:trHeight w:val="285"/>
        </w:trPr>
        <w:tc>
          <w:tcPr>
            <w:tcW w:w="846" w:type="dxa"/>
            <w:noWrap/>
            <w:hideMark/>
          </w:tcPr>
          <w:p w14:paraId="17E108E8" w14:textId="77777777" w:rsidR="00450384" w:rsidRPr="008448DD" w:rsidRDefault="00450384" w:rsidP="00CC478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662" w:type="dxa"/>
            <w:noWrap/>
            <w:vAlign w:val="bottom"/>
          </w:tcPr>
          <w:p w14:paraId="2F1F677A" w14:textId="05A90B50" w:rsidR="00450384" w:rsidRPr="008448DD" w:rsidRDefault="00450384" w:rsidP="00CC478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sz w:val="20"/>
                <w:szCs w:val="20"/>
                <w:lang w:eastAsia="en-AU"/>
              </w:rPr>
              <w:t>Primus Telecommunications Pty Limited</w:t>
            </w:r>
          </w:p>
        </w:tc>
        <w:tc>
          <w:tcPr>
            <w:tcW w:w="2254" w:type="dxa"/>
            <w:noWrap/>
            <w:vAlign w:val="bottom"/>
          </w:tcPr>
          <w:p w14:paraId="62D179D3" w14:textId="4123B4A2" w:rsidR="00450384" w:rsidRPr="008448DD" w:rsidRDefault="00450384" w:rsidP="00CC478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sz w:val="20"/>
                <w:szCs w:val="20"/>
                <w:lang w:eastAsia="en-AU"/>
              </w:rPr>
              <w:t>ACN 071 191 396</w:t>
            </w:r>
          </w:p>
        </w:tc>
        <w:tc>
          <w:tcPr>
            <w:tcW w:w="2254" w:type="dxa"/>
            <w:noWrap/>
            <w:vAlign w:val="bottom"/>
          </w:tcPr>
          <w:p w14:paraId="193B90EF" w14:textId="11D58A03" w:rsidR="00450384" w:rsidRPr="008448DD" w:rsidRDefault="00450384" w:rsidP="00CC478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sz w:val="20"/>
                <w:szCs w:val="20"/>
                <w:lang w:eastAsia="en-AU"/>
              </w:rPr>
              <w:t>$204,463,382</w:t>
            </w:r>
          </w:p>
        </w:tc>
      </w:tr>
      <w:tr w:rsidR="008448DD" w:rsidRPr="008448DD" w14:paraId="0DAA9801" w14:textId="77777777" w:rsidTr="00921F9A">
        <w:trPr>
          <w:trHeight w:val="285"/>
        </w:trPr>
        <w:tc>
          <w:tcPr>
            <w:tcW w:w="846" w:type="dxa"/>
            <w:noWrap/>
            <w:hideMark/>
          </w:tcPr>
          <w:p w14:paraId="6C6F3116" w14:textId="77777777" w:rsidR="00450384" w:rsidRPr="008448DD" w:rsidRDefault="00450384" w:rsidP="00CC478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3662" w:type="dxa"/>
            <w:noWrap/>
            <w:vAlign w:val="bottom"/>
          </w:tcPr>
          <w:p w14:paraId="00BAFEF9" w14:textId="071644BC" w:rsidR="00450384" w:rsidRPr="008448DD" w:rsidRDefault="00450384" w:rsidP="00CC478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sz w:val="20"/>
                <w:szCs w:val="20"/>
                <w:lang w:eastAsia="en-AU"/>
              </w:rPr>
              <w:t>Telstra Corporation Limited</w:t>
            </w:r>
          </w:p>
        </w:tc>
        <w:tc>
          <w:tcPr>
            <w:tcW w:w="2254" w:type="dxa"/>
            <w:noWrap/>
            <w:vAlign w:val="bottom"/>
          </w:tcPr>
          <w:p w14:paraId="20D4522D" w14:textId="7C579D36" w:rsidR="00450384" w:rsidRPr="008448DD" w:rsidRDefault="00450384" w:rsidP="00CC478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sz w:val="20"/>
                <w:szCs w:val="20"/>
                <w:lang w:eastAsia="en-AU"/>
              </w:rPr>
              <w:t>ACN 051 775 556</w:t>
            </w:r>
          </w:p>
        </w:tc>
        <w:tc>
          <w:tcPr>
            <w:tcW w:w="2254" w:type="dxa"/>
            <w:noWrap/>
            <w:vAlign w:val="bottom"/>
          </w:tcPr>
          <w:p w14:paraId="0C615946" w14:textId="4837144E" w:rsidR="00450384" w:rsidRPr="008448DD" w:rsidRDefault="00450384" w:rsidP="00CC478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sz w:val="20"/>
                <w:szCs w:val="20"/>
                <w:lang w:eastAsia="en-AU"/>
              </w:rPr>
              <w:t>$13,061,329,695</w:t>
            </w:r>
          </w:p>
        </w:tc>
      </w:tr>
      <w:tr w:rsidR="008448DD" w:rsidRPr="008448DD" w14:paraId="2DDB9FB7" w14:textId="77777777" w:rsidTr="00921F9A">
        <w:trPr>
          <w:trHeight w:val="285"/>
        </w:trPr>
        <w:tc>
          <w:tcPr>
            <w:tcW w:w="846" w:type="dxa"/>
            <w:noWrap/>
            <w:hideMark/>
          </w:tcPr>
          <w:p w14:paraId="649617B8" w14:textId="77777777" w:rsidR="00450384" w:rsidRPr="008448DD" w:rsidRDefault="00450384" w:rsidP="00CC478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3662" w:type="dxa"/>
            <w:noWrap/>
            <w:vAlign w:val="bottom"/>
          </w:tcPr>
          <w:p w14:paraId="6D18DC9F" w14:textId="3BF20763" w:rsidR="00450384" w:rsidRPr="008448DD" w:rsidRDefault="00450384" w:rsidP="00CC478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sz w:val="20"/>
                <w:szCs w:val="20"/>
                <w:lang w:eastAsia="en-AU"/>
              </w:rPr>
              <w:t>Vodafone Australia Pty Limited</w:t>
            </w:r>
          </w:p>
        </w:tc>
        <w:tc>
          <w:tcPr>
            <w:tcW w:w="2254" w:type="dxa"/>
            <w:noWrap/>
            <w:vAlign w:val="bottom"/>
          </w:tcPr>
          <w:p w14:paraId="6DD4C222" w14:textId="4F123C27" w:rsidR="00450384" w:rsidRPr="008448DD" w:rsidRDefault="00450384" w:rsidP="00CC478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sz w:val="20"/>
                <w:szCs w:val="20"/>
                <w:lang w:eastAsia="en-AU"/>
              </w:rPr>
              <w:t>ACN 056 161 043</w:t>
            </w:r>
          </w:p>
        </w:tc>
        <w:tc>
          <w:tcPr>
            <w:tcW w:w="2254" w:type="dxa"/>
            <w:noWrap/>
            <w:vAlign w:val="bottom"/>
          </w:tcPr>
          <w:p w14:paraId="162894A8" w14:textId="099A802F" w:rsidR="00450384" w:rsidRPr="008448DD" w:rsidRDefault="00450384" w:rsidP="00CC478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448DD">
              <w:rPr>
                <w:rFonts w:eastAsia="Times New Roman" w:cstheme="minorHAnsi"/>
                <w:sz w:val="20"/>
                <w:szCs w:val="20"/>
                <w:lang w:eastAsia="en-AU"/>
              </w:rPr>
              <w:t>$1,907,663,902</w:t>
            </w:r>
          </w:p>
        </w:tc>
      </w:tr>
      <w:tr w:rsidR="009A5B15" w:rsidRPr="008448DD" w14:paraId="5F5CD3FD" w14:textId="77777777" w:rsidTr="00DF54D8">
        <w:tc>
          <w:tcPr>
            <w:tcW w:w="6762" w:type="dxa"/>
            <w:gridSpan w:val="3"/>
          </w:tcPr>
          <w:p w14:paraId="6305F71A" w14:textId="500CBEF2" w:rsidR="009A5B15" w:rsidRPr="008448DD" w:rsidRDefault="009A5B15" w:rsidP="00203D48">
            <w:pPr>
              <w:pStyle w:val="Schedulereference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8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Eligible Revenue for QRCSPs</w:t>
            </w:r>
          </w:p>
        </w:tc>
        <w:tc>
          <w:tcPr>
            <w:tcW w:w="2254" w:type="dxa"/>
          </w:tcPr>
          <w:p w14:paraId="76E58CF0" w14:textId="6F4807D9" w:rsidR="009A5B15" w:rsidRPr="008448DD" w:rsidRDefault="009A5B15" w:rsidP="00CC4789">
            <w:pPr>
              <w:pStyle w:val="Schedulereference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48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$19,474,987,193</w:t>
            </w:r>
          </w:p>
        </w:tc>
      </w:tr>
    </w:tbl>
    <w:p w14:paraId="1CE69351" w14:textId="77777777" w:rsidR="001D707D" w:rsidRDefault="001D707D" w:rsidP="00CC4789">
      <w:pPr>
        <w:pStyle w:val="Schedulereference"/>
        <w:ind w:left="0"/>
      </w:pPr>
    </w:p>
    <w:p w14:paraId="36A1116D" w14:textId="77777777" w:rsidR="001D707D" w:rsidRDefault="001D707D" w:rsidP="00CC4789">
      <w:pPr>
        <w:pStyle w:val="Schedulepart"/>
      </w:pPr>
    </w:p>
    <w:p w14:paraId="0871975D" w14:textId="71DFED57" w:rsidR="00E5634E" w:rsidRPr="00921F9A" w:rsidRDefault="00E5634E" w:rsidP="00CC4789">
      <w:pPr>
        <w:pStyle w:val="Schedulepart"/>
        <w:sectPr w:rsidR="00E5634E" w:rsidRPr="00921F9A" w:rsidSect="00957210">
          <w:headerReference w:type="default" r:id="rId2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246F140" w14:textId="6BBDF40A" w:rsidR="00D5585E" w:rsidRPr="00BB7E9F" w:rsidRDefault="00D5585E" w:rsidP="00CC4789">
      <w:pPr>
        <w:pStyle w:val="Scheduletitle"/>
        <w:pageBreakBefore/>
      </w:pPr>
      <w:r w:rsidRPr="000813A2">
        <w:rPr>
          <w:rStyle w:val="CharSchNo"/>
        </w:rPr>
        <w:lastRenderedPageBreak/>
        <w:t xml:space="preserve">Schedule </w:t>
      </w:r>
      <w:r w:rsidR="001D707D">
        <w:rPr>
          <w:rStyle w:val="CharSchNo"/>
        </w:rPr>
        <w:t>3</w:t>
      </w:r>
      <w:r w:rsidRPr="000813A2">
        <w:tab/>
      </w:r>
      <w:r w:rsidRPr="000813A2">
        <w:rPr>
          <w:rStyle w:val="CharSchText"/>
        </w:rPr>
        <w:t>Fixed line connections for carrier</w:t>
      </w:r>
    </w:p>
    <w:p w14:paraId="26A20B21" w14:textId="587560D1" w:rsidR="00D5585E" w:rsidRDefault="00D5585E" w:rsidP="00CC4789">
      <w:pPr>
        <w:pStyle w:val="Schedulereference"/>
        <w:spacing w:after="240"/>
        <w:rPr>
          <w:rFonts w:ascii="Times New Roman" w:hAnsi="Times New Roman"/>
        </w:rPr>
      </w:pPr>
      <w:r w:rsidRPr="00BB7E9F">
        <w:rPr>
          <w:rFonts w:ascii="Times New Roman" w:hAnsi="Times New Roman"/>
        </w:rPr>
        <w:t>(</w:t>
      </w:r>
      <w:proofErr w:type="gramStart"/>
      <w:r w:rsidRPr="00BB7E9F">
        <w:rPr>
          <w:rFonts w:ascii="Times New Roman" w:hAnsi="Times New Roman"/>
        </w:rPr>
        <w:t>section</w:t>
      </w:r>
      <w:proofErr w:type="gramEnd"/>
      <w:r w:rsidRPr="00BB7E9F">
        <w:rPr>
          <w:rFonts w:ascii="Times New Roman" w:hAnsi="Times New Roman"/>
        </w:rPr>
        <w:t xml:space="preserve"> </w:t>
      </w:r>
      <w:r w:rsidR="00A3400C" w:rsidRPr="00BB7E9F">
        <w:rPr>
          <w:rFonts w:ascii="Times New Roman" w:hAnsi="Times New Roman"/>
        </w:rPr>
        <w:t>9</w:t>
      </w:r>
      <w:r w:rsidRPr="00BB7E9F">
        <w:rPr>
          <w:rFonts w:ascii="Times New Roman" w:hAnsi="Times New Roman"/>
        </w:rPr>
        <w:t>)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700"/>
        <w:gridCol w:w="4200"/>
        <w:gridCol w:w="2280"/>
        <w:gridCol w:w="1540"/>
      </w:tblGrid>
      <w:tr w:rsidR="000813A2" w:rsidRPr="000813A2" w14:paraId="0BDDE6B8" w14:textId="77777777" w:rsidTr="000813A2">
        <w:trPr>
          <w:trHeight w:val="28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37276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B206A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Name of carrier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74C9C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ACN/ABN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42EF29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FLC</w:t>
            </w:r>
          </w:p>
        </w:tc>
      </w:tr>
      <w:tr w:rsidR="000813A2" w:rsidRPr="000813A2" w14:paraId="3FFF3539" w14:textId="77777777" w:rsidTr="000813A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C6D5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B6BE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Aussie Broadband Limited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56F1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ACN 132 090 192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70CB5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240,855</w:t>
            </w:r>
          </w:p>
        </w:tc>
      </w:tr>
      <w:tr w:rsidR="000813A2" w:rsidRPr="000813A2" w14:paraId="3858EB24" w14:textId="77777777" w:rsidTr="000813A2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B1C3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873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Chime Communications Pty Ltd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4FFA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ACN 073 119 285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DE863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484,934</w:t>
            </w:r>
          </w:p>
        </w:tc>
      </w:tr>
      <w:tr w:rsidR="000813A2" w:rsidRPr="000813A2" w14:paraId="4E367B87" w14:textId="77777777" w:rsidTr="000813A2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A15D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4C18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Optus Mobile Pty Limited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105C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ACN 054 365 696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C5285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1,111,828</w:t>
            </w:r>
          </w:p>
        </w:tc>
      </w:tr>
      <w:tr w:rsidR="000813A2" w:rsidRPr="000813A2" w14:paraId="6FC3B65D" w14:textId="77777777" w:rsidTr="000813A2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C143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EB4D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Soul Pattinson Telecommunications Pty Ltd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B925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ACN 001 726 192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1A7EB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1,115,861</w:t>
            </w:r>
          </w:p>
        </w:tc>
      </w:tr>
      <w:tr w:rsidR="000813A2" w:rsidRPr="000813A2" w14:paraId="275A380A" w14:textId="77777777" w:rsidTr="000813A2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FF60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DCC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proofErr w:type="spellStart"/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Superloop</w:t>
            </w:r>
            <w:proofErr w:type="spellEnd"/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(Australia) Pty Ltd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A8D8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ACN 602 286 608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1227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21,464</w:t>
            </w:r>
          </w:p>
        </w:tc>
      </w:tr>
      <w:tr w:rsidR="000813A2" w:rsidRPr="000813A2" w14:paraId="5E2720F7" w14:textId="77777777" w:rsidTr="000813A2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9141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383D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Telstra Corporation Limited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5CE4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ACN 051 775 556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783C6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3,270,667</w:t>
            </w:r>
          </w:p>
        </w:tc>
      </w:tr>
      <w:tr w:rsidR="000813A2" w:rsidRPr="000813A2" w14:paraId="29F6E625" w14:textId="77777777" w:rsidTr="000813A2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7C00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BE6E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proofErr w:type="spellStart"/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Vocus</w:t>
            </w:r>
            <w:proofErr w:type="spellEnd"/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Fibre Pty Ltd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ECD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ACN 150 260 156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2B32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504,597</w:t>
            </w:r>
          </w:p>
        </w:tc>
      </w:tr>
      <w:tr w:rsidR="000813A2" w:rsidRPr="000813A2" w14:paraId="16336EDB" w14:textId="77777777" w:rsidTr="000813A2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F021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2842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Vodafone Australia Pty Limited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58FF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 ACN 056 161 043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81390" w14:textId="77777777" w:rsidR="000813A2" w:rsidRPr="00921F9A" w:rsidRDefault="000813A2" w:rsidP="00CC47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149,645</w:t>
            </w:r>
          </w:p>
        </w:tc>
      </w:tr>
      <w:tr w:rsidR="00D95594" w:rsidRPr="000813A2" w14:paraId="65F01304" w14:textId="77777777" w:rsidTr="00F66CD1">
        <w:trPr>
          <w:trHeight w:val="293"/>
        </w:trPr>
        <w:tc>
          <w:tcPr>
            <w:tcW w:w="7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D2E9" w14:textId="45F40219" w:rsidR="00D95594" w:rsidRPr="00921F9A" w:rsidRDefault="00D95594" w:rsidP="00203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Total fixed line connections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0141B" w14:textId="77777777" w:rsidR="00D95594" w:rsidRPr="00921F9A" w:rsidRDefault="00D95594" w:rsidP="00CC4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921F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6,899,851</w:t>
            </w:r>
          </w:p>
        </w:tc>
      </w:tr>
      <w:bookmarkEnd w:id="23"/>
    </w:tbl>
    <w:p w14:paraId="235E6254" w14:textId="77777777" w:rsidR="00970F0A" w:rsidRDefault="00970F0A" w:rsidP="00CC4789">
      <w:pPr>
        <w:pStyle w:val="notetext"/>
        <w:ind w:left="0" w:firstLine="0"/>
      </w:pPr>
    </w:p>
    <w:sectPr w:rsidR="00970F0A" w:rsidSect="00957210">
      <w:head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F268" w14:textId="77777777" w:rsidR="00454CAF" w:rsidRDefault="00454CAF" w:rsidP="0017734A">
      <w:pPr>
        <w:spacing w:after="0" w:line="240" w:lineRule="auto"/>
      </w:pPr>
      <w:r>
        <w:separator/>
      </w:r>
    </w:p>
  </w:endnote>
  <w:endnote w:type="continuationSeparator" w:id="0">
    <w:p w14:paraId="513D876C" w14:textId="77777777" w:rsidR="00454CAF" w:rsidRDefault="00454CAF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2333" w14:textId="77777777" w:rsidR="0074753A" w:rsidRDefault="0074753A" w:rsidP="0074753A">
    <w:pPr>
      <w:pStyle w:val="Footer"/>
      <w:pBdr>
        <w:bottom w:val="single" w:sz="6" w:space="1" w:color="auto"/>
      </w:pBdr>
      <w:jc w:val="center"/>
      <w:rPr>
        <w:rFonts w:ascii="Times New Roman" w:hAnsi="Times New Roman" w:cs="Times New Roman"/>
        <w:i/>
        <w:iCs/>
        <w:sz w:val="18"/>
        <w:szCs w:val="18"/>
      </w:rPr>
    </w:pPr>
  </w:p>
  <w:p w14:paraId="35505C54" w14:textId="77777777" w:rsidR="0074753A" w:rsidRPr="00D12AAA" w:rsidRDefault="0074753A" w:rsidP="0074753A">
    <w:pPr>
      <w:pStyle w:val="Footer"/>
      <w:jc w:val="center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>Telecommunications Carrier Licence Charges (Annual Charges) Determination (No. 1) 2021</w:t>
    </w:r>
  </w:p>
  <w:p w14:paraId="671BBE7B" w14:textId="77777777" w:rsidR="00D12AAA" w:rsidRDefault="00D12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6A04" w14:textId="63392F94" w:rsidR="001A2073" w:rsidRPr="00D12AAA" w:rsidRDefault="001A2073" w:rsidP="001A207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>Telecommunications Carrier Licence Charges (Annual Charges) Determination (No. 1) 202</w:t>
    </w:r>
    <w:r w:rsidR="005149F1">
      <w:rPr>
        <w:rFonts w:ascii="Times New Roman" w:hAnsi="Times New Roman" w:cs="Times New Roman"/>
        <w:i/>
        <w:iCs/>
        <w:sz w:val="18"/>
        <w:szCs w:val="18"/>
      </w:rPr>
      <w:t>2</w:t>
    </w:r>
  </w:p>
  <w:p w14:paraId="13770663" w14:textId="7FECB6E1" w:rsidR="001A2073" w:rsidRPr="001A2073" w:rsidRDefault="001A2073" w:rsidP="001A2073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1A2073">
      <w:rPr>
        <w:rFonts w:ascii="Times New Roman" w:hAnsi="Times New Roman" w:cs="Times New Roman"/>
        <w:sz w:val="20"/>
        <w:szCs w:val="20"/>
      </w:rPr>
      <w:fldChar w:fldCharType="begin"/>
    </w:r>
    <w:r w:rsidRPr="001A207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A207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2</w:t>
    </w:r>
    <w:r w:rsidRPr="001A2073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89A3" w14:textId="77777777" w:rsidR="001A2073" w:rsidRDefault="001A2073" w:rsidP="0074753A">
    <w:pPr>
      <w:pStyle w:val="Footer"/>
      <w:pBdr>
        <w:bottom w:val="single" w:sz="6" w:space="1" w:color="auto"/>
      </w:pBdr>
      <w:jc w:val="center"/>
      <w:rPr>
        <w:rFonts w:ascii="Times New Roman" w:hAnsi="Times New Roman" w:cs="Times New Roman"/>
        <w:i/>
        <w:iCs/>
        <w:sz w:val="18"/>
        <w:szCs w:val="18"/>
      </w:rPr>
    </w:pPr>
  </w:p>
  <w:p w14:paraId="45F30BFB" w14:textId="77777777" w:rsidR="001A2073" w:rsidRPr="00D12AAA" w:rsidRDefault="001A2073" w:rsidP="0074753A">
    <w:pPr>
      <w:pStyle w:val="Footer"/>
      <w:jc w:val="center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>Telecommunications Carrier Licence Charges (Annual Charges) Determination (No. 1) 2021</w:t>
    </w:r>
  </w:p>
  <w:p w14:paraId="181F66E4" w14:textId="6934E5BD" w:rsidR="001A2073" w:rsidRPr="001A2073" w:rsidRDefault="001A2073" w:rsidP="001A2073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1A2073">
      <w:rPr>
        <w:rFonts w:ascii="Times New Roman" w:hAnsi="Times New Roman" w:cs="Times New Roman"/>
        <w:sz w:val="20"/>
        <w:szCs w:val="20"/>
      </w:rPr>
      <w:fldChar w:fldCharType="begin"/>
    </w:r>
    <w:r w:rsidRPr="001A207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A2073">
      <w:rPr>
        <w:rFonts w:ascii="Times New Roman" w:hAnsi="Times New Roman" w:cs="Times New Roman"/>
        <w:sz w:val="20"/>
        <w:szCs w:val="20"/>
      </w:rPr>
      <w:fldChar w:fldCharType="separate"/>
    </w:r>
    <w:r w:rsidRPr="001A2073">
      <w:rPr>
        <w:rFonts w:ascii="Times New Roman" w:hAnsi="Times New Roman" w:cs="Times New Roman"/>
        <w:noProof/>
        <w:sz w:val="20"/>
        <w:szCs w:val="20"/>
      </w:rPr>
      <w:t>1</w:t>
    </w:r>
    <w:r w:rsidRPr="001A2073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C14B" w14:textId="77777777" w:rsidR="00454CAF" w:rsidRDefault="00454CAF" w:rsidP="0017734A">
      <w:pPr>
        <w:spacing w:after="0" w:line="240" w:lineRule="auto"/>
      </w:pPr>
      <w:r>
        <w:separator/>
      </w:r>
    </w:p>
  </w:footnote>
  <w:footnote w:type="continuationSeparator" w:id="0">
    <w:p w14:paraId="42523EC3" w14:textId="77777777" w:rsidR="00454CAF" w:rsidRDefault="00454CAF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657E" w14:textId="7A94EF1A" w:rsidR="001A2073" w:rsidRPr="001A2073" w:rsidRDefault="001A2073" w:rsidP="001A2073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1A2073">
      <w:rPr>
        <w:rFonts w:ascii="Times New Roman" w:hAnsi="Times New Roman" w:cs="Times New Roman"/>
        <w:sz w:val="20"/>
        <w:szCs w:val="20"/>
      </w:rPr>
      <w:t xml:space="preserve">Section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C757AA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7E72" w14:textId="47394432" w:rsidR="001A2073" w:rsidRPr="001A2073" w:rsidRDefault="001A2073" w:rsidP="001A2073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1A2073">
      <w:rPr>
        <w:rFonts w:ascii="Times New Roman" w:hAnsi="Times New Roman" w:cs="Times New Roman"/>
        <w:sz w:val="20"/>
        <w:szCs w:val="20"/>
      </w:rPr>
      <w:t xml:space="preserve">Section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5F13BF">
      <w:rPr>
        <w:rFonts w:ascii="Times New Roman" w:hAnsi="Times New Roman" w:cs="Times New Roman"/>
        <w:noProof/>
        <w:sz w:val="20"/>
        <w:szCs w:val="20"/>
      </w:rPr>
      <w:t>9</w:t>
    </w:r>
    <w:r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006F" w14:textId="43B44731" w:rsidR="001A2073" w:rsidRPr="001A2073" w:rsidRDefault="001A2073" w:rsidP="001A2073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1A2073">
      <w:rPr>
        <w:rFonts w:ascii="Times New Roman" w:hAnsi="Times New Roman" w:cs="Times New Roman"/>
        <w:sz w:val="20"/>
        <w:szCs w:val="20"/>
      </w:rPr>
      <w:t xml:space="preserve">Section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5F13BF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E510" w14:textId="2DB68B86" w:rsidR="001A2073" w:rsidRDefault="001A2073" w:rsidP="001A2073">
    <w:pPr>
      <w:pStyle w:val="Header"/>
      <w:pBdr>
        <w:bottom w:val="single" w:sz="4" w:space="1" w:color="auto"/>
      </w:pBdr>
    </w:pPr>
    <w:r>
      <w:rPr>
        <w:rFonts w:ascii="Times New Roman" w:hAnsi="Times New Roman" w:cs="Times New Roman"/>
        <w:sz w:val="20"/>
        <w:szCs w:val="20"/>
      </w:rPr>
      <w:t>Schedule 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758A" w14:textId="7ADE0821" w:rsidR="001A2073" w:rsidRDefault="001A2073" w:rsidP="001A2073">
    <w:pPr>
      <w:pStyle w:val="Header"/>
      <w:pBdr>
        <w:bottom w:val="single" w:sz="4" w:space="1" w:color="auto"/>
      </w:pBdr>
    </w:pPr>
    <w:r>
      <w:rPr>
        <w:rFonts w:ascii="Times New Roman" w:hAnsi="Times New Roman" w:cs="Times New Roman"/>
        <w:sz w:val="20"/>
        <w:szCs w:val="20"/>
      </w:rPr>
      <w:t>Schedule 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B3EA" w14:textId="1E2F9831" w:rsidR="00203D48" w:rsidRDefault="00203D48" w:rsidP="001A2073">
    <w:pPr>
      <w:pStyle w:val="Header"/>
      <w:pBdr>
        <w:bottom w:val="single" w:sz="4" w:space="1" w:color="auto"/>
      </w:pBdr>
    </w:pPr>
    <w:r>
      <w:rPr>
        <w:rFonts w:ascii="Times New Roman" w:hAnsi="Times New Roman" w:cs="Times New Roman"/>
        <w:sz w:val="20"/>
        <w:szCs w:val="20"/>
      </w:rPr>
      <w:t>Schedule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FC5"/>
    <w:multiLevelType w:val="hybridMultilevel"/>
    <w:tmpl w:val="5E9E64F2"/>
    <w:lvl w:ilvl="0" w:tplc="C19C326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24" w:hanging="360"/>
      </w:pPr>
    </w:lvl>
    <w:lvl w:ilvl="2" w:tplc="0C09001B" w:tentative="1">
      <w:start w:val="1"/>
      <w:numFmt w:val="lowerRoman"/>
      <w:lvlText w:val="%3."/>
      <w:lvlJc w:val="right"/>
      <w:pPr>
        <w:ind w:left="3944" w:hanging="180"/>
      </w:pPr>
    </w:lvl>
    <w:lvl w:ilvl="3" w:tplc="0C09000F" w:tentative="1">
      <w:start w:val="1"/>
      <w:numFmt w:val="decimal"/>
      <w:lvlText w:val="%4."/>
      <w:lvlJc w:val="left"/>
      <w:pPr>
        <w:ind w:left="4664" w:hanging="360"/>
      </w:pPr>
    </w:lvl>
    <w:lvl w:ilvl="4" w:tplc="0C090019" w:tentative="1">
      <w:start w:val="1"/>
      <w:numFmt w:val="lowerLetter"/>
      <w:lvlText w:val="%5."/>
      <w:lvlJc w:val="left"/>
      <w:pPr>
        <w:ind w:left="5384" w:hanging="360"/>
      </w:pPr>
    </w:lvl>
    <w:lvl w:ilvl="5" w:tplc="0C09001B" w:tentative="1">
      <w:start w:val="1"/>
      <w:numFmt w:val="lowerRoman"/>
      <w:lvlText w:val="%6."/>
      <w:lvlJc w:val="right"/>
      <w:pPr>
        <w:ind w:left="6104" w:hanging="180"/>
      </w:pPr>
    </w:lvl>
    <w:lvl w:ilvl="6" w:tplc="0C09000F" w:tentative="1">
      <w:start w:val="1"/>
      <w:numFmt w:val="decimal"/>
      <w:lvlText w:val="%7."/>
      <w:lvlJc w:val="left"/>
      <w:pPr>
        <w:ind w:left="6824" w:hanging="360"/>
      </w:pPr>
    </w:lvl>
    <w:lvl w:ilvl="7" w:tplc="0C090019" w:tentative="1">
      <w:start w:val="1"/>
      <w:numFmt w:val="lowerLetter"/>
      <w:lvlText w:val="%8."/>
      <w:lvlJc w:val="left"/>
      <w:pPr>
        <w:ind w:left="7544" w:hanging="360"/>
      </w:pPr>
    </w:lvl>
    <w:lvl w:ilvl="8" w:tplc="0C09001B" w:tentative="1">
      <w:start w:val="1"/>
      <w:numFmt w:val="lowerRoman"/>
      <w:lvlText w:val="%9."/>
      <w:lvlJc w:val="right"/>
      <w:pPr>
        <w:ind w:left="8264" w:hanging="180"/>
      </w:pPr>
    </w:lvl>
  </w:abstractNum>
  <w:abstractNum w:abstractNumId="1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3F7FBD"/>
    <w:multiLevelType w:val="hybridMultilevel"/>
    <w:tmpl w:val="8B5CB454"/>
    <w:lvl w:ilvl="0" w:tplc="90FA2E0E">
      <w:start w:val="1"/>
      <w:numFmt w:val="lowerLetter"/>
      <w:lvlText w:val="(%1)"/>
      <w:lvlJc w:val="left"/>
      <w:pPr>
        <w:ind w:left="3686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4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C2632"/>
    <w:multiLevelType w:val="hybridMultilevel"/>
    <w:tmpl w:val="EF7AE2D2"/>
    <w:lvl w:ilvl="0" w:tplc="0C09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8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43F67"/>
    <w:multiLevelType w:val="hybridMultilevel"/>
    <w:tmpl w:val="453C7DDA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72D818E4"/>
    <w:multiLevelType w:val="hybridMultilevel"/>
    <w:tmpl w:val="51F45740"/>
    <w:lvl w:ilvl="0" w:tplc="C19C326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59223DB"/>
    <w:multiLevelType w:val="hybridMultilevel"/>
    <w:tmpl w:val="8490EAFA"/>
    <w:lvl w:ilvl="0" w:tplc="0C090011">
      <w:start w:val="1"/>
      <w:numFmt w:val="decimal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3433"/>
    <w:rsid w:val="00006540"/>
    <w:rsid w:val="00010F63"/>
    <w:rsid w:val="000124E7"/>
    <w:rsid w:val="000269FA"/>
    <w:rsid w:val="00032888"/>
    <w:rsid w:val="000340E0"/>
    <w:rsid w:val="00044608"/>
    <w:rsid w:val="00044E44"/>
    <w:rsid w:val="000454B5"/>
    <w:rsid w:val="000473CB"/>
    <w:rsid w:val="000505C6"/>
    <w:rsid w:val="00070033"/>
    <w:rsid w:val="0007104F"/>
    <w:rsid w:val="000813A2"/>
    <w:rsid w:val="000814EC"/>
    <w:rsid w:val="00085E42"/>
    <w:rsid w:val="00086BF0"/>
    <w:rsid w:val="00087F5A"/>
    <w:rsid w:val="00093689"/>
    <w:rsid w:val="00097890"/>
    <w:rsid w:val="000A0542"/>
    <w:rsid w:val="000B1383"/>
    <w:rsid w:val="000B35B1"/>
    <w:rsid w:val="000B4071"/>
    <w:rsid w:val="000C0B09"/>
    <w:rsid w:val="000C6897"/>
    <w:rsid w:val="000C7D53"/>
    <w:rsid w:val="000D2CE6"/>
    <w:rsid w:val="000D31E0"/>
    <w:rsid w:val="000D4C62"/>
    <w:rsid w:val="000D6066"/>
    <w:rsid w:val="000D6D5F"/>
    <w:rsid w:val="000E2F81"/>
    <w:rsid w:val="000E35B9"/>
    <w:rsid w:val="000F0492"/>
    <w:rsid w:val="000F1010"/>
    <w:rsid w:val="000F1CE3"/>
    <w:rsid w:val="000F2057"/>
    <w:rsid w:val="0010216B"/>
    <w:rsid w:val="001051C7"/>
    <w:rsid w:val="001064FD"/>
    <w:rsid w:val="00135902"/>
    <w:rsid w:val="001418E3"/>
    <w:rsid w:val="00151D94"/>
    <w:rsid w:val="00152CE6"/>
    <w:rsid w:val="00160F8E"/>
    <w:rsid w:val="001739EF"/>
    <w:rsid w:val="0017734A"/>
    <w:rsid w:val="00177FB4"/>
    <w:rsid w:val="00183F81"/>
    <w:rsid w:val="00187080"/>
    <w:rsid w:val="001964DC"/>
    <w:rsid w:val="00197220"/>
    <w:rsid w:val="00197E62"/>
    <w:rsid w:val="001A2073"/>
    <w:rsid w:val="001A2B69"/>
    <w:rsid w:val="001A4B39"/>
    <w:rsid w:val="001A510D"/>
    <w:rsid w:val="001B2574"/>
    <w:rsid w:val="001B3959"/>
    <w:rsid w:val="001B781E"/>
    <w:rsid w:val="001C1798"/>
    <w:rsid w:val="001C3477"/>
    <w:rsid w:val="001D707D"/>
    <w:rsid w:val="001D7B8E"/>
    <w:rsid w:val="001D7D39"/>
    <w:rsid w:val="001E0709"/>
    <w:rsid w:val="001E167E"/>
    <w:rsid w:val="001E45EA"/>
    <w:rsid w:val="001F158D"/>
    <w:rsid w:val="00203D48"/>
    <w:rsid w:val="002228B7"/>
    <w:rsid w:val="00225237"/>
    <w:rsid w:val="002316F6"/>
    <w:rsid w:val="00232D1C"/>
    <w:rsid w:val="002332A2"/>
    <w:rsid w:val="002359DE"/>
    <w:rsid w:val="002507DB"/>
    <w:rsid w:val="00253637"/>
    <w:rsid w:val="00253A1C"/>
    <w:rsid w:val="00254745"/>
    <w:rsid w:val="002569B5"/>
    <w:rsid w:val="00256D31"/>
    <w:rsid w:val="00256D9C"/>
    <w:rsid w:val="00262F4B"/>
    <w:rsid w:val="00264F88"/>
    <w:rsid w:val="00265370"/>
    <w:rsid w:val="00276E0D"/>
    <w:rsid w:val="0028119E"/>
    <w:rsid w:val="0028218A"/>
    <w:rsid w:val="00286373"/>
    <w:rsid w:val="00291C8D"/>
    <w:rsid w:val="00296C3C"/>
    <w:rsid w:val="002B1A82"/>
    <w:rsid w:val="002B3187"/>
    <w:rsid w:val="002B3CD0"/>
    <w:rsid w:val="002B4450"/>
    <w:rsid w:val="002B708F"/>
    <w:rsid w:val="002B73D8"/>
    <w:rsid w:val="002B7BAE"/>
    <w:rsid w:val="002C1408"/>
    <w:rsid w:val="002C289F"/>
    <w:rsid w:val="002D6BA5"/>
    <w:rsid w:val="002E0358"/>
    <w:rsid w:val="002E5B01"/>
    <w:rsid w:val="002E7E20"/>
    <w:rsid w:val="002F0E3F"/>
    <w:rsid w:val="002F1D58"/>
    <w:rsid w:val="002F2B9E"/>
    <w:rsid w:val="002F4AD3"/>
    <w:rsid w:val="002F7598"/>
    <w:rsid w:val="00301FFA"/>
    <w:rsid w:val="00305502"/>
    <w:rsid w:val="003128CA"/>
    <w:rsid w:val="003138E3"/>
    <w:rsid w:val="003166CF"/>
    <w:rsid w:val="00322A2F"/>
    <w:rsid w:val="00322F2B"/>
    <w:rsid w:val="00327AB5"/>
    <w:rsid w:val="00330BE8"/>
    <w:rsid w:val="00340518"/>
    <w:rsid w:val="00341878"/>
    <w:rsid w:val="00357B86"/>
    <w:rsid w:val="00367225"/>
    <w:rsid w:val="0037029E"/>
    <w:rsid w:val="00372BE0"/>
    <w:rsid w:val="00372D68"/>
    <w:rsid w:val="003754CA"/>
    <w:rsid w:val="00385631"/>
    <w:rsid w:val="00395204"/>
    <w:rsid w:val="003973D0"/>
    <w:rsid w:val="003A2A85"/>
    <w:rsid w:val="003A3A5E"/>
    <w:rsid w:val="003B2C48"/>
    <w:rsid w:val="003B64CF"/>
    <w:rsid w:val="003C0096"/>
    <w:rsid w:val="003C3F46"/>
    <w:rsid w:val="003C4B77"/>
    <w:rsid w:val="003D1FEF"/>
    <w:rsid w:val="003D3BB4"/>
    <w:rsid w:val="003E1636"/>
    <w:rsid w:val="003E2DB2"/>
    <w:rsid w:val="003E73A1"/>
    <w:rsid w:val="003F7634"/>
    <w:rsid w:val="003F76F7"/>
    <w:rsid w:val="00400183"/>
    <w:rsid w:val="004051F4"/>
    <w:rsid w:val="00407603"/>
    <w:rsid w:val="004078CA"/>
    <w:rsid w:val="004109D7"/>
    <w:rsid w:val="00410D22"/>
    <w:rsid w:val="00416E07"/>
    <w:rsid w:val="00417B8B"/>
    <w:rsid w:val="00422924"/>
    <w:rsid w:val="004229EF"/>
    <w:rsid w:val="00424038"/>
    <w:rsid w:val="0043105A"/>
    <w:rsid w:val="00433236"/>
    <w:rsid w:val="00434B53"/>
    <w:rsid w:val="004361D9"/>
    <w:rsid w:val="00440610"/>
    <w:rsid w:val="00441B2F"/>
    <w:rsid w:val="00445E4F"/>
    <w:rsid w:val="0044699F"/>
    <w:rsid w:val="00450384"/>
    <w:rsid w:val="00454CAF"/>
    <w:rsid w:val="00457A3B"/>
    <w:rsid w:val="004611D5"/>
    <w:rsid w:val="0047374C"/>
    <w:rsid w:val="00476431"/>
    <w:rsid w:val="00481A5B"/>
    <w:rsid w:val="0048621D"/>
    <w:rsid w:val="0049683A"/>
    <w:rsid w:val="004A2FAF"/>
    <w:rsid w:val="004A467D"/>
    <w:rsid w:val="004B19B5"/>
    <w:rsid w:val="004B4796"/>
    <w:rsid w:val="004C59AC"/>
    <w:rsid w:val="004D5BDF"/>
    <w:rsid w:val="004D6B41"/>
    <w:rsid w:val="004D6B79"/>
    <w:rsid w:val="004D7E5D"/>
    <w:rsid w:val="004E3164"/>
    <w:rsid w:val="004F77D6"/>
    <w:rsid w:val="00502445"/>
    <w:rsid w:val="005025D0"/>
    <w:rsid w:val="00506276"/>
    <w:rsid w:val="00507D03"/>
    <w:rsid w:val="005149F1"/>
    <w:rsid w:val="0052262F"/>
    <w:rsid w:val="00531C4D"/>
    <w:rsid w:val="0053245E"/>
    <w:rsid w:val="005345AD"/>
    <w:rsid w:val="00534784"/>
    <w:rsid w:val="00541431"/>
    <w:rsid w:val="00555A8B"/>
    <w:rsid w:val="0055604B"/>
    <w:rsid w:val="005603D6"/>
    <w:rsid w:val="005713DC"/>
    <w:rsid w:val="0057391A"/>
    <w:rsid w:val="00581205"/>
    <w:rsid w:val="005816F9"/>
    <w:rsid w:val="00583F0E"/>
    <w:rsid w:val="00593A54"/>
    <w:rsid w:val="00593D01"/>
    <w:rsid w:val="005957A6"/>
    <w:rsid w:val="005A1577"/>
    <w:rsid w:val="005A1B9E"/>
    <w:rsid w:val="005A3582"/>
    <w:rsid w:val="005A3E10"/>
    <w:rsid w:val="005C0555"/>
    <w:rsid w:val="005C7E89"/>
    <w:rsid w:val="005D101B"/>
    <w:rsid w:val="005D3E8B"/>
    <w:rsid w:val="005D43B5"/>
    <w:rsid w:val="005D5859"/>
    <w:rsid w:val="005D742D"/>
    <w:rsid w:val="005E33A5"/>
    <w:rsid w:val="005F13BF"/>
    <w:rsid w:val="005F21B4"/>
    <w:rsid w:val="005F474D"/>
    <w:rsid w:val="005F534B"/>
    <w:rsid w:val="005F5420"/>
    <w:rsid w:val="00600B71"/>
    <w:rsid w:val="00603BAF"/>
    <w:rsid w:val="00607E95"/>
    <w:rsid w:val="00631BD2"/>
    <w:rsid w:val="0063320B"/>
    <w:rsid w:val="00634EE0"/>
    <w:rsid w:val="00635CBD"/>
    <w:rsid w:val="00637EBD"/>
    <w:rsid w:val="00640849"/>
    <w:rsid w:val="00641F5F"/>
    <w:rsid w:val="006437D6"/>
    <w:rsid w:val="006453A3"/>
    <w:rsid w:val="0064778F"/>
    <w:rsid w:val="00653A67"/>
    <w:rsid w:val="00653E8B"/>
    <w:rsid w:val="00656F3F"/>
    <w:rsid w:val="00664598"/>
    <w:rsid w:val="00670AC3"/>
    <w:rsid w:val="0067605D"/>
    <w:rsid w:val="00681361"/>
    <w:rsid w:val="00693D4F"/>
    <w:rsid w:val="0069778E"/>
    <w:rsid w:val="006B5DDB"/>
    <w:rsid w:val="006C0251"/>
    <w:rsid w:val="006C1888"/>
    <w:rsid w:val="006C20C2"/>
    <w:rsid w:val="006C3B4C"/>
    <w:rsid w:val="006C437C"/>
    <w:rsid w:val="006D13C2"/>
    <w:rsid w:val="006D36DE"/>
    <w:rsid w:val="006D7EC0"/>
    <w:rsid w:val="006E479A"/>
    <w:rsid w:val="006E5B82"/>
    <w:rsid w:val="006E7192"/>
    <w:rsid w:val="006F51E7"/>
    <w:rsid w:val="006F5CF2"/>
    <w:rsid w:val="006F662B"/>
    <w:rsid w:val="00703828"/>
    <w:rsid w:val="0071142C"/>
    <w:rsid w:val="0071758A"/>
    <w:rsid w:val="007175A6"/>
    <w:rsid w:val="007213B2"/>
    <w:rsid w:val="00721966"/>
    <w:rsid w:val="00733FB0"/>
    <w:rsid w:val="00746713"/>
    <w:rsid w:val="00746E33"/>
    <w:rsid w:val="0074753A"/>
    <w:rsid w:val="00754C68"/>
    <w:rsid w:val="007630C1"/>
    <w:rsid w:val="00763880"/>
    <w:rsid w:val="00765656"/>
    <w:rsid w:val="00765A27"/>
    <w:rsid w:val="0077017A"/>
    <w:rsid w:val="00770264"/>
    <w:rsid w:val="00770C93"/>
    <w:rsid w:val="00777F27"/>
    <w:rsid w:val="00782A39"/>
    <w:rsid w:val="00782ADA"/>
    <w:rsid w:val="00782FE7"/>
    <w:rsid w:val="00786CDD"/>
    <w:rsid w:val="007A5F1F"/>
    <w:rsid w:val="007A6691"/>
    <w:rsid w:val="007B2C41"/>
    <w:rsid w:val="007C0037"/>
    <w:rsid w:val="007C62E7"/>
    <w:rsid w:val="007C6543"/>
    <w:rsid w:val="007D093E"/>
    <w:rsid w:val="007D09DA"/>
    <w:rsid w:val="007D1F8E"/>
    <w:rsid w:val="007D2889"/>
    <w:rsid w:val="007E1584"/>
    <w:rsid w:val="007E7207"/>
    <w:rsid w:val="00800926"/>
    <w:rsid w:val="008041AB"/>
    <w:rsid w:val="00804BD0"/>
    <w:rsid w:val="0081244E"/>
    <w:rsid w:val="00812A22"/>
    <w:rsid w:val="00814838"/>
    <w:rsid w:val="008220F2"/>
    <w:rsid w:val="00823F37"/>
    <w:rsid w:val="0082417D"/>
    <w:rsid w:val="00832F9A"/>
    <w:rsid w:val="00840894"/>
    <w:rsid w:val="008448DD"/>
    <w:rsid w:val="00847DC9"/>
    <w:rsid w:val="00853184"/>
    <w:rsid w:val="00854E86"/>
    <w:rsid w:val="00860BC8"/>
    <w:rsid w:val="0086239F"/>
    <w:rsid w:val="008626E6"/>
    <w:rsid w:val="0086502C"/>
    <w:rsid w:val="008660D4"/>
    <w:rsid w:val="00872F62"/>
    <w:rsid w:val="00883AF8"/>
    <w:rsid w:val="00892659"/>
    <w:rsid w:val="0089278F"/>
    <w:rsid w:val="00895EE2"/>
    <w:rsid w:val="00896A23"/>
    <w:rsid w:val="008A076B"/>
    <w:rsid w:val="008A3407"/>
    <w:rsid w:val="008A6FB1"/>
    <w:rsid w:val="008A78DA"/>
    <w:rsid w:val="008B5D98"/>
    <w:rsid w:val="008B716C"/>
    <w:rsid w:val="008C0292"/>
    <w:rsid w:val="008C4883"/>
    <w:rsid w:val="008C58AB"/>
    <w:rsid w:val="008C5D36"/>
    <w:rsid w:val="008C7BD3"/>
    <w:rsid w:val="008D1889"/>
    <w:rsid w:val="008D2D04"/>
    <w:rsid w:val="008D642E"/>
    <w:rsid w:val="008E7364"/>
    <w:rsid w:val="008F015D"/>
    <w:rsid w:val="008F0D09"/>
    <w:rsid w:val="008F5277"/>
    <w:rsid w:val="008F7C4B"/>
    <w:rsid w:val="00903870"/>
    <w:rsid w:val="0091432C"/>
    <w:rsid w:val="00915E7B"/>
    <w:rsid w:val="0091792E"/>
    <w:rsid w:val="0092129B"/>
    <w:rsid w:val="00921F9A"/>
    <w:rsid w:val="00922142"/>
    <w:rsid w:val="0092632A"/>
    <w:rsid w:val="00926721"/>
    <w:rsid w:val="00926EE4"/>
    <w:rsid w:val="00931880"/>
    <w:rsid w:val="00932A67"/>
    <w:rsid w:val="00933578"/>
    <w:rsid w:val="00936E66"/>
    <w:rsid w:val="009448EB"/>
    <w:rsid w:val="009450CD"/>
    <w:rsid w:val="009475D5"/>
    <w:rsid w:val="00950F12"/>
    <w:rsid w:val="00951085"/>
    <w:rsid w:val="00951356"/>
    <w:rsid w:val="00951A9E"/>
    <w:rsid w:val="00954745"/>
    <w:rsid w:val="00957210"/>
    <w:rsid w:val="00960712"/>
    <w:rsid w:val="00966602"/>
    <w:rsid w:val="00966DA5"/>
    <w:rsid w:val="00970F0A"/>
    <w:rsid w:val="009818C0"/>
    <w:rsid w:val="00987A5F"/>
    <w:rsid w:val="009A426C"/>
    <w:rsid w:val="009A5B15"/>
    <w:rsid w:val="009B3A5B"/>
    <w:rsid w:val="009B3E70"/>
    <w:rsid w:val="009B6DB0"/>
    <w:rsid w:val="009C6A79"/>
    <w:rsid w:val="009D135B"/>
    <w:rsid w:val="009D2307"/>
    <w:rsid w:val="009D2B7F"/>
    <w:rsid w:val="009E2417"/>
    <w:rsid w:val="009E7D1F"/>
    <w:rsid w:val="009F0E3F"/>
    <w:rsid w:val="00A05045"/>
    <w:rsid w:val="00A16A7F"/>
    <w:rsid w:val="00A2282C"/>
    <w:rsid w:val="00A23298"/>
    <w:rsid w:val="00A23FF5"/>
    <w:rsid w:val="00A32F39"/>
    <w:rsid w:val="00A3400C"/>
    <w:rsid w:val="00A37933"/>
    <w:rsid w:val="00A4222E"/>
    <w:rsid w:val="00A44D59"/>
    <w:rsid w:val="00A47B82"/>
    <w:rsid w:val="00A533E4"/>
    <w:rsid w:val="00A56F6A"/>
    <w:rsid w:val="00A57412"/>
    <w:rsid w:val="00A61970"/>
    <w:rsid w:val="00A61FCD"/>
    <w:rsid w:val="00A64C8D"/>
    <w:rsid w:val="00A87309"/>
    <w:rsid w:val="00A928B9"/>
    <w:rsid w:val="00A93BEB"/>
    <w:rsid w:val="00A965A3"/>
    <w:rsid w:val="00AA6879"/>
    <w:rsid w:val="00AA740B"/>
    <w:rsid w:val="00AB1324"/>
    <w:rsid w:val="00AB18A1"/>
    <w:rsid w:val="00AB32C2"/>
    <w:rsid w:val="00AC5FC8"/>
    <w:rsid w:val="00AD14AA"/>
    <w:rsid w:val="00AD1EEA"/>
    <w:rsid w:val="00AE1608"/>
    <w:rsid w:val="00AE1ECA"/>
    <w:rsid w:val="00AE311C"/>
    <w:rsid w:val="00AE50D5"/>
    <w:rsid w:val="00AF0017"/>
    <w:rsid w:val="00AF343F"/>
    <w:rsid w:val="00AF4926"/>
    <w:rsid w:val="00AF7CD9"/>
    <w:rsid w:val="00B05F4C"/>
    <w:rsid w:val="00B11EB7"/>
    <w:rsid w:val="00B13B65"/>
    <w:rsid w:val="00B2042E"/>
    <w:rsid w:val="00B20F1D"/>
    <w:rsid w:val="00B22FA4"/>
    <w:rsid w:val="00B24ECE"/>
    <w:rsid w:val="00B25DC8"/>
    <w:rsid w:val="00B32C24"/>
    <w:rsid w:val="00B34A4D"/>
    <w:rsid w:val="00B539BD"/>
    <w:rsid w:val="00B54383"/>
    <w:rsid w:val="00B551DD"/>
    <w:rsid w:val="00B60044"/>
    <w:rsid w:val="00B628BA"/>
    <w:rsid w:val="00B6320D"/>
    <w:rsid w:val="00B645D7"/>
    <w:rsid w:val="00B7359B"/>
    <w:rsid w:val="00B75D7F"/>
    <w:rsid w:val="00B76584"/>
    <w:rsid w:val="00B775F6"/>
    <w:rsid w:val="00B81A18"/>
    <w:rsid w:val="00B90F17"/>
    <w:rsid w:val="00B94518"/>
    <w:rsid w:val="00B96EC6"/>
    <w:rsid w:val="00BA4326"/>
    <w:rsid w:val="00BA7DB7"/>
    <w:rsid w:val="00BB397B"/>
    <w:rsid w:val="00BB7E9F"/>
    <w:rsid w:val="00BC30F7"/>
    <w:rsid w:val="00BC33A9"/>
    <w:rsid w:val="00BC4462"/>
    <w:rsid w:val="00BC5109"/>
    <w:rsid w:val="00BC65F7"/>
    <w:rsid w:val="00BD1871"/>
    <w:rsid w:val="00BD24FC"/>
    <w:rsid w:val="00BD5354"/>
    <w:rsid w:val="00BD77C9"/>
    <w:rsid w:val="00BE095C"/>
    <w:rsid w:val="00BE4744"/>
    <w:rsid w:val="00BE4BC7"/>
    <w:rsid w:val="00BE7D8A"/>
    <w:rsid w:val="00BF45F0"/>
    <w:rsid w:val="00BF5FC7"/>
    <w:rsid w:val="00BF6CCD"/>
    <w:rsid w:val="00C04BC4"/>
    <w:rsid w:val="00C10B80"/>
    <w:rsid w:val="00C168B0"/>
    <w:rsid w:val="00C16B97"/>
    <w:rsid w:val="00C227FB"/>
    <w:rsid w:val="00C250DA"/>
    <w:rsid w:val="00C25DB4"/>
    <w:rsid w:val="00C26D85"/>
    <w:rsid w:val="00C302F8"/>
    <w:rsid w:val="00C34CDB"/>
    <w:rsid w:val="00C375C7"/>
    <w:rsid w:val="00C46F67"/>
    <w:rsid w:val="00C50AA8"/>
    <w:rsid w:val="00C519F4"/>
    <w:rsid w:val="00C5287B"/>
    <w:rsid w:val="00C544BB"/>
    <w:rsid w:val="00C556A3"/>
    <w:rsid w:val="00C60209"/>
    <w:rsid w:val="00C63AA4"/>
    <w:rsid w:val="00C73DBC"/>
    <w:rsid w:val="00C74483"/>
    <w:rsid w:val="00C757AA"/>
    <w:rsid w:val="00C76D9C"/>
    <w:rsid w:val="00C81BFB"/>
    <w:rsid w:val="00C86114"/>
    <w:rsid w:val="00C90D95"/>
    <w:rsid w:val="00C91D9B"/>
    <w:rsid w:val="00C9448D"/>
    <w:rsid w:val="00CA23AA"/>
    <w:rsid w:val="00CA366A"/>
    <w:rsid w:val="00CB03E5"/>
    <w:rsid w:val="00CB1BBD"/>
    <w:rsid w:val="00CB7288"/>
    <w:rsid w:val="00CC0387"/>
    <w:rsid w:val="00CC4789"/>
    <w:rsid w:val="00CC64DD"/>
    <w:rsid w:val="00CC6E0E"/>
    <w:rsid w:val="00CD0968"/>
    <w:rsid w:val="00CD2FCD"/>
    <w:rsid w:val="00CD47EB"/>
    <w:rsid w:val="00CD7690"/>
    <w:rsid w:val="00CF0185"/>
    <w:rsid w:val="00CF29AE"/>
    <w:rsid w:val="00CF4A41"/>
    <w:rsid w:val="00CF5C18"/>
    <w:rsid w:val="00CF717D"/>
    <w:rsid w:val="00D03468"/>
    <w:rsid w:val="00D03807"/>
    <w:rsid w:val="00D046AA"/>
    <w:rsid w:val="00D04CC0"/>
    <w:rsid w:val="00D05EBA"/>
    <w:rsid w:val="00D12AAA"/>
    <w:rsid w:val="00D15825"/>
    <w:rsid w:val="00D16B8F"/>
    <w:rsid w:val="00D21C50"/>
    <w:rsid w:val="00D23ACB"/>
    <w:rsid w:val="00D242F1"/>
    <w:rsid w:val="00D24AD1"/>
    <w:rsid w:val="00D31F3F"/>
    <w:rsid w:val="00D32C55"/>
    <w:rsid w:val="00D36B9A"/>
    <w:rsid w:val="00D41CA8"/>
    <w:rsid w:val="00D44CF6"/>
    <w:rsid w:val="00D44E8D"/>
    <w:rsid w:val="00D46BB8"/>
    <w:rsid w:val="00D47005"/>
    <w:rsid w:val="00D510ED"/>
    <w:rsid w:val="00D516DE"/>
    <w:rsid w:val="00D51D9D"/>
    <w:rsid w:val="00D5585E"/>
    <w:rsid w:val="00D55C58"/>
    <w:rsid w:val="00D56CCA"/>
    <w:rsid w:val="00D609B5"/>
    <w:rsid w:val="00D6126D"/>
    <w:rsid w:val="00D612A2"/>
    <w:rsid w:val="00D62DCD"/>
    <w:rsid w:val="00D6448A"/>
    <w:rsid w:val="00D65F59"/>
    <w:rsid w:val="00D87427"/>
    <w:rsid w:val="00D93F14"/>
    <w:rsid w:val="00D95594"/>
    <w:rsid w:val="00DA13B3"/>
    <w:rsid w:val="00DA1E46"/>
    <w:rsid w:val="00DA39E0"/>
    <w:rsid w:val="00DA3F1E"/>
    <w:rsid w:val="00DA578C"/>
    <w:rsid w:val="00DA72D0"/>
    <w:rsid w:val="00DB43A4"/>
    <w:rsid w:val="00DB5158"/>
    <w:rsid w:val="00DC0CDF"/>
    <w:rsid w:val="00DC0FD7"/>
    <w:rsid w:val="00DC1412"/>
    <w:rsid w:val="00DC31AF"/>
    <w:rsid w:val="00DC381E"/>
    <w:rsid w:val="00DE17B4"/>
    <w:rsid w:val="00DE7944"/>
    <w:rsid w:val="00DF3975"/>
    <w:rsid w:val="00DF3DCC"/>
    <w:rsid w:val="00DF736B"/>
    <w:rsid w:val="00E1191F"/>
    <w:rsid w:val="00E13491"/>
    <w:rsid w:val="00E1466F"/>
    <w:rsid w:val="00E21289"/>
    <w:rsid w:val="00E21798"/>
    <w:rsid w:val="00E23CEA"/>
    <w:rsid w:val="00E24E7B"/>
    <w:rsid w:val="00E2651D"/>
    <w:rsid w:val="00E318F7"/>
    <w:rsid w:val="00E3646D"/>
    <w:rsid w:val="00E3723B"/>
    <w:rsid w:val="00E3749B"/>
    <w:rsid w:val="00E37BC7"/>
    <w:rsid w:val="00E43CFB"/>
    <w:rsid w:val="00E443BE"/>
    <w:rsid w:val="00E458FD"/>
    <w:rsid w:val="00E469AF"/>
    <w:rsid w:val="00E506A3"/>
    <w:rsid w:val="00E5634E"/>
    <w:rsid w:val="00E618B6"/>
    <w:rsid w:val="00E64F89"/>
    <w:rsid w:val="00E7332E"/>
    <w:rsid w:val="00E75920"/>
    <w:rsid w:val="00E816DD"/>
    <w:rsid w:val="00E90B30"/>
    <w:rsid w:val="00E934DA"/>
    <w:rsid w:val="00E9596D"/>
    <w:rsid w:val="00EB7A73"/>
    <w:rsid w:val="00EC54C3"/>
    <w:rsid w:val="00EC5B45"/>
    <w:rsid w:val="00EC680B"/>
    <w:rsid w:val="00ED2E8B"/>
    <w:rsid w:val="00EE6A93"/>
    <w:rsid w:val="00EF1A74"/>
    <w:rsid w:val="00EF4EAC"/>
    <w:rsid w:val="00F03825"/>
    <w:rsid w:val="00F07A2C"/>
    <w:rsid w:val="00F07B4E"/>
    <w:rsid w:val="00F1448E"/>
    <w:rsid w:val="00F153D4"/>
    <w:rsid w:val="00F20806"/>
    <w:rsid w:val="00F20D6E"/>
    <w:rsid w:val="00F262C1"/>
    <w:rsid w:val="00F31EC9"/>
    <w:rsid w:val="00F32BC7"/>
    <w:rsid w:val="00F43D1F"/>
    <w:rsid w:val="00F457F9"/>
    <w:rsid w:val="00F5626D"/>
    <w:rsid w:val="00F56281"/>
    <w:rsid w:val="00F56730"/>
    <w:rsid w:val="00F61276"/>
    <w:rsid w:val="00F626EF"/>
    <w:rsid w:val="00F62BDA"/>
    <w:rsid w:val="00F62C1E"/>
    <w:rsid w:val="00F63280"/>
    <w:rsid w:val="00F7490D"/>
    <w:rsid w:val="00F77DB5"/>
    <w:rsid w:val="00F81CC7"/>
    <w:rsid w:val="00F856A6"/>
    <w:rsid w:val="00F85ED9"/>
    <w:rsid w:val="00F8666F"/>
    <w:rsid w:val="00F87D34"/>
    <w:rsid w:val="00F90642"/>
    <w:rsid w:val="00F96FC1"/>
    <w:rsid w:val="00FA3938"/>
    <w:rsid w:val="00FB1145"/>
    <w:rsid w:val="00FB4ED8"/>
    <w:rsid w:val="00FB592B"/>
    <w:rsid w:val="00FB59C1"/>
    <w:rsid w:val="00FB77F8"/>
    <w:rsid w:val="00FC465F"/>
    <w:rsid w:val="00FC69E6"/>
    <w:rsid w:val="00FC7B86"/>
    <w:rsid w:val="00FD065C"/>
    <w:rsid w:val="00FD0C5A"/>
    <w:rsid w:val="00FD323F"/>
    <w:rsid w:val="00FD4BB4"/>
    <w:rsid w:val="00FD5A55"/>
    <w:rsid w:val="00FE2194"/>
    <w:rsid w:val="00FE54B1"/>
    <w:rsid w:val="00FE721B"/>
    <w:rsid w:val="00FF1AC6"/>
    <w:rsid w:val="00FF4FC9"/>
    <w:rsid w:val="00FF508C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R1">
    <w:name w:val="R1"/>
    <w:aliases w:val="1. or 1.(1)"/>
    <w:basedOn w:val="Normal"/>
    <w:next w:val="Normal"/>
    <w:rsid w:val="009475D5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C250DA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2F1D58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text"/>
    <w:aliases w:val="tt"/>
    <w:basedOn w:val="Normal"/>
    <w:rsid w:val="002F1D58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Bullet">
    <w:name w:val="List Bullet"/>
    <w:basedOn w:val="Normal"/>
    <w:autoRedefine/>
    <w:qFormat/>
    <w:rsid w:val="005D3E8B"/>
    <w:pPr>
      <w:spacing w:before="120" w:after="0" w:line="240" w:lineRule="atLeast"/>
      <w:ind w:left="1310"/>
      <w:jc w:val="both"/>
    </w:pPr>
    <w:rPr>
      <w:rFonts w:ascii="Times New Roman" w:eastAsia="SimSun" w:hAnsi="Times New Roman" w:cs="Times New Roman"/>
      <w:b/>
      <w:bCs/>
      <w:i/>
      <w:iCs/>
      <w:lang w:eastAsia="en-AU"/>
    </w:rPr>
  </w:style>
  <w:style w:type="paragraph" w:customStyle="1" w:styleId="HR">
    <w:name w:val="HR"/>
    <w:aliases w:val="Regulation Heading"/>
    <w:basedOn w:val="Normal"/>
    <w:next w:val="R1"/>
    <w:rsid w:val="002316F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Note">
    <w:name w:val="Note"/>
    <w:basedOn w:val="Normal"/>
    <w:rsid w:val="002316F6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Notepara0">
    <w:name w:val="Note para"/>
    <w:basedOn w:val="Normal"/>
    <w:rsid w:val="002316F6"/>
    <w:pPr>
      <w:keepLines/>
      <w:spacing w:before="60" w:after="0" w:line="220" w:lineRule="exact"/>
      <w:ind w:left="1304" w:hanging="340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Rc">
    <w:name w:val="Rc"/>
    <w:aliases w:val="Rn continued"/>
    <w:basedOn w:val="Normal"/>
    <w:next w:val="Normal"/>
    <w:rsid w:val="002316F6"/>
    <w:pPr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2316F6"/>
    <w:pPr>
      <w:keepNext/>
    </w:pPr>
  </w:style>
  <w:style w:type="character" w:customStyle="1" w:styleId="CharSchNo">
    <w:name w:val="CharSchNo"/>
    <w:basedOn w:val="DefaultParagraphFont"/>
    <w:rsid w:val="00D5585E"/>
  </w:style>
  <w:style w:type="character" w:customStyle="1" w:styleId="CharSchText">
    <w:name w:val="CharSchText"/>
    <w:basedOn w:val="DefaultParagraphFont"/>
    <w:rsid w:val="00D5585E"/>
  </w:style>
  <w:style w:type="paragraph" w:customStyle="1" w:styleId="Schedulepart">
    <w:name w:val="Schedule part"/>
    <w:basedOn w:val="Normal"/>
    <w:rsid w:val="00D5585E"/>
    <w:pPr>
      <w:keepNext/>
      <w:keepLines/>
      <w:spacing w:before="360" w:after="0" w:line="240" w:lineRule="auto"/>
      <w:ind w:left="1559" w:hanging="1559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Schedulereference">
    <w:name w:val="Schedule reference"/>
    <w:basedOn w:val="Normal"/>
    <w:next w:val="Schedulepart"/>
    <w:rsid w:val="00D5585E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D5585E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table" w:styleId="TableGrid">
    <w:name w:val="Table Grid"/>
    <w:basedOn w:val="TableNormal"/>
    <w:uiPriority w:val="39"/>
    <w:rsid w:val="00473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3.png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gislation.gov.au" TargetMode="Externa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UQVA7MFFXVNW-2139912385-2105</_dlc_DocId>
    <_dlc_DocIdUrl xmlns="04b8ec43-391f-4ce4-8841-d6a482add564">
      <Url>http://collaboration/organisation/auth/Chair/Auth/_layouts/15/DocIdRedir.aspx?ID=UQVA7MFFXVNW-2139912385-2105</Url>
      <Description>UQVA7MFFXVNW-2139912385-2105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8FEBE29DB2A4FA4C0856B7BE6B334" ma:contentTypeVersion="2" ma:contentTypeDescription="Create a new document." ma:contentTypeScope="" ma:versionID="9374ccaf966f82c76b8986f0d348e7d1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A1459-A477-46EA-9CB4-A77073B0AF7A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customXml/itemProps2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3FCDD6-74F6-4494-9A38-1CD9972E4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BE155F-A160-43DF-BBE2-0C84A0E0812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Instrument Template</vt:lpstr>
    </vt:vector>
  </TitlesOfParts>
  <Company>Australian Communications and Media Authority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41</cp:revision>
  <cp:lastPrinted>2022-09-23T01:08:00Z</cp:lastPrinted>
  <dcterms:created xsi:type="dcterms:W3CDTF">2022-09-28T00:47:00Z</dcterms:created>
  <dcterms:modified xsi:type="dcterms:W3CDTF">2022-10-05T02:01:00Z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0x010100D9C8FEBE29DB2A4FA4C0856B7BE6B334</vt:lpwstr>
  </property>
  <property fmtid="{D5CDD505-2E9C-101B-9397-08002B2CF9AE}" pid="3" name="_dlc_DocIdItemGuid">
    <vt:lpwstr>e4c28bde-d957-4cf1-99eb-78cbcd1423f9</vt:lpwstr>
  </property>
  <property fmtid="{D5CDD505-2E9C-101B-9397-08002B2CF9AE}" pid="4" name="TitusGUID">
    <vt:lpwstr>e5dd0bd6-128b-4be9-bd15-5fc30cf35ecc</vt:lpwstr>
  </property>
</Properties>
</file>