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FDFC" w14:textId="7BD69905" w:rsidR="001A641A" w:rsidRPr="000029CC" w:rsidRDefault="0039184D" w:rsidP="001A641A">
      <w:pPr>
        <w:rPr>
          <w:color w:val="000000"/>
          <w:lang w:val="en-US"/>
        </w:rPr>
      </w:pPr>
      <w:bookmarkStart w:id="0" w:name="_Toc168113228"/>
      <w:r>
        <w:rPr>
          <w:noProof/>
          <w:color w:val="000000"/>
        </w:rPr>
        <w:drawing>
          <wp:inline distT="0" distB="0" distL="0" distR="0" wp14:anchorId="12E780F1" wp14:editId="433C5005">
            <wp:extent cx="1419225" cy="1104900"/>
            <wp:effectExtent l="0" t="0" r="0" b="0"/>
            <wp:docPr id="1"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3468F13" w14:textId="6B4EC18F" w:rsidR="001A641A" w:rsidRPr="000029CC" w:rsidRDefault="001A641A" w:rsidP="001A641A">
      <w:pPr>
        <w:spacing w:before="480"/>
        <w:rPr>
          <w:rFonts w:ascii="Arial" w:hAnsi="Arial" w:cs="Arial"/>
          <w:b/>
          <w:bCs/>
          <w:color w:val="000000"/>
          <w:sz w:val="40"/>
          <w:szCs w:val="40"/>
        </w:rPr>
      </w:pPr>
      <w:r w:rsidRPr="00F4545F">
        <w:rPr>
          <w:rFonts w:ascii="Arial" w:hAnsi="Arial" w:cs="Arial"/>
          <w:b/>
          <w:bCs/>
          <w:color w:val="000000"/>
          <w:sz w:val="40"/>
          <w:szCs w:val="40"/>
        </w:rPr>
        <w:t>Financial</w:t>
      </w:r>
      <w:r w:rsidRPr="000029CC">
        <w:rPr>
          <w:rFonts w:ascii="Arial" w:hAnsi="Arial" w:cs="Arial"/>
          <w:b/>
          <w:bCs/>
          <w:color w:val="000000"/>
          <w:sz w:val="40"/>
          <w:szCs w:val="40"/>
        </w:rPr>
        <w:t xml:space="preserve"> Sector (Collection of Data) (reporting standard) determination No. </w:t>
      </w:r>
      <w:r w:rsidR="00847298">
        <w:rPr>
          <w:rFonts w:ascii="Arial" w:hAnsi="Arial" w:cs="Arial"/>
          <w:b/>
          <w:bCs/>
          <w:color w:val="000000"/>
          <w:sz w:val="40"/>
          <w:szCs w:val="40"/>
        </w:rPr>
        <w:t>12</w:t>
      </w:r>
      <w:r w:rsidRPr="000029CC">
        <w:rPr>
          <w:rFonts w:ascii="Arial" w:hAnsi="Arial" w:cs="Arial"/>
          <w:b/>
          <w:bCs/>
          <w:color w:val="000000"/>
          <w:sz w:val="40"/>
          <w:szCs w:val="40"/>
        </w:rPr>
        <w:t xml:space="preserve"> of 2022 </w:t>
      </w:r>
    </w:p>
    <w:p w14:paraId="74EBC6A2" w14:textId="5D67E971" w:rsidR="001A641A" w:rsidRPr="000029CC" w:rsidRDefault="001A641A" w:rsidP="001A641A">
      <w:pPr>
        <w:spacing w:before="240"/>
        <w:jc w:val="both"/>
        <w:rPr>
          <w:rFonts w:ascii="Arial" w:hAnsi="Arial" w:cs="Arial"/>
          <w:b/>
          <w:bCs/>
          <w:color w:val="000000"/>
          <w:sz w:val="28"/>
          <w:szCs w:val="28"/>
        </w:rPr>
      </w:pPr>
      <w:r w:rsidRPr="000029CC">
        <w:rPr>
          <w:rFonts w:ascii="Arial" w:hAnsi="Arial" w:cs="Arial"/>
          <w:b/>
          <w:bCs/>
          <w:color w:val="000000"/>
          <w:sz w:val="28"/>
          <w:szCs w:val="28"/>
        </w:rPr>
        <w:t xml:space="preserve">Reporting Standard </w:t>
      </w:r>
      <w:r w:rsidR="00760BDD">
        <w:rPr>
          <w:rFonts w:ascii="Arial" w:hAnsi="Arial" w:cs="Arial"/>
          <w:b/>
          <w:bCs/>
          <w:color w:val="000000"/>
          <w:sz w:val="28"/>
          <w:szCs w:val="28"/>
        </w:rPr>
        <w:t>G</w:t>
      </w:r>
      <w:r w:rsidRPr="000029CC">
        <w:rPr>
          <w:rFonts w:ascii="Arial" w:hAnsi="Arial" w:cs="Arial"/>
          <w:b/>
          <w:bCs/>
          <w:color w:val="000000"/>
          <w:sz w:val="28"/>
          <w:szCs w:val="28"/>
        </w:rPr>
        <w:t xml:space="preserve">RS </w:t>
      </w:r>
      <w:r w:rsidR="00760BDD">
        <w:rPr>
          <w:rFonts w:ascii="Arial" w:hAnsi="Arial" w:cs="Arial"/>
          <w:b/>
          <w:bCs/>
          <w:color w:val="000000"/>
          <w:sz w:val="28"/>
          <w:szCs w:val="28"/>
        </w:rPr>
        <w:t>114</w:t>
      </w:r>
      <w:r w:rsidRPr="000029CC">
        <w:rPr>
          <w:rFonts w:ascii="Arial" w:hAnsi="Arial" w:cs="Arial"/>
          <w:b/>
          <w:bCs/>
          <w:color w:val="000000"/>
          <w:sz w:val="28"/>
          <w:szCs w:val="28"/>
        </w:rPr>
        <w:t>.</w:t>
      </w:r>
      <w:r w:rsidR="00760BDD">
        <w:rPr>
          <w:rFonts w:ascii="Arial" w:hAnsi="Arial" w:cs="Arial"/>
          <w:b/>
          <w:bCs/>
          <w:color w:val="000000"/>
          <w:sz w:val="28"/>
          <w:szCs w:val="28"/>
        </w:rPr>
        <w:t>1</w:t>
      </w:r>
      <w:r w:rsidRPr="000029CC">
        <w:rPr>
          <w:rFonts w:ascii="Arial" w:hAnsi="Arial" w:cs="Arial"/>
          <w:b/>
          <w:bCs/>
          <w:color w:val="000000"/>
          <w:sz w:val="28"/>
          <w:szCs w:val="28"/>
        </w:rPr>
        <w:t xml:space="preserve"> </w:t>
      </w:r>
      <w:r w:rsidR="00760BDD" w:rsidRPr="00760BDD">
        <w:rPr>
          <w:rFonts w:ascii="Arial" w:hAnsi="Arial" w:cs="Arial"/>
          <w:b/>
          <w:bCs/>
          <w:color w:val="000000"/>
          <w:sz w:val="28"/>
          <w:szCs w:val="28"/>
        </w:rPr>
        <w:t>Assets by Counterparty Grade</w:t>
      </w:r>
    </w:p>
    <w:p w14:paraId="14302313" w14:textId="77777777" w:rsidR="001A641A" w:rsidRPr="000029CC" w:rsidRDefault="001A641A" w:rsidP="001A641A">
      <w:pPr>
        <w:pBdr>
          <w:bottom w:val="single" w:sz="4" w:space="3" w:color="auto"/>
        </w:pBdr>
        <w:spacing w:before="240" w:after="240"/>
        <w:rPr>
          <w:rFonts w:ascii="Arial" w:hAnsi="Arial"/>
          <w:i/>
          <w:iCs/>
          <w:color w:val="000000"/>
          <w:sz w:val="28"/>
        </w:rPr>
      </w:pPr>
      <w:r w:rsidRPr="000029CC">
        <w:rPr>
          <w:rFonts w:ascii="Arial" w:hAnsi="Arial"/>
          <w:i/>
          <w:iCs/>
          <w:color w:val="000000"/>
          <w:sz w:val="28"/>
        </w:rPr>
        <w:t>Financial Sector (</w:t>
      </w:r>
      <w:r w:rsidRPr="000029CC">
        <w:rPr>
          <w:rFonts w:ascii="Arial" w:hAnsi="Arial"/>
          <w:iCs/>
          <w:color w:val="000000"/>
          <w:sz w:val="28"/>
        </w:rPr>
        <w:t>Collection</w:t>
      </w:r>
      <w:r w:rsidRPr="000029CC">
        <w:rPr>
          <w:rFonts w:ascii="Arial" w:hAnsi="Arial"/>
          <w:i/>
          <w:iCs/>
          <w:color w:val="000000"/>
          <w:sz w:val="28"/>
        </w:rPr>
        <w:t xml:space="preserve"> of Data) Act 2001</w:t>
      </w:r>
    </w:p>
    <w:p w14:paraId="15BE4AE0" w14:textId="77777777" w:rsidR="001A641A" w:rsidRPr="000029CC" w:rsidRDefault="001A641A" w:rsidP="001A641A">
      <w:pPr>
        <w:jc w:val="both"/>
        <w:rPr>
          <w:i/>
          <w:color w:val="000000"/>
          <w:sz w:val="24"/>
          <w:szCs w:val="24"/>
        </w:rPr>
      </w:pPr>
      <w:r w:rsidRPr="000029CC">
        <w:rPr>
          <w:sz w:val="24"/>
          <w:szCs w:val="24"/>
        </w:rPr>
        <w:t xml:space="preserve">I, Alison Bliss, delegate of APRA, </w:t>
      </w:r>
      <w:r w:rsidRPr="000029CC">
        <w:rPr>
          <w:color w:val="000000"/>
          <w:sz w:val="24"/>
          <w:szCs w:val="24"/>
        </w:rPr>
        <w:t xml:space="preserve">under paragraph 13(1)(a) of the </w:t>
      </w:r>
      <w:r w:rsidRPr="000029CC">
        <w:rPr>
          <w:i/>
          <w:color w:val="000000"/>
          <w:sz w:val="24"/>
          <w:szCs w:val="24"/>
        </w:rPr>
        <w:t>Financial Sector (Collection of Data) Act 2001</w:t>
      </w:r>
      <w:r w:rsidRPr="000029CC">
        <w:rPr>
          <w:color w:val="000000"/>
          <w:sz w:val="24"/>
          <w:szCs w:val="24"/>
        </w:rPr>
        <w:t xml:space="preserve"> (the Act) and subsection 33(3) of the </w:t>
      </w:r>
      <w:r w:rsidRPr="000029CC">
        <w:rPr>
          <w:i/>
          <w:color w:val="000000"/>
          <w:sz w:val="24"/>
          <w:szCs w:val="24"/>
        </w:rPr>
        <w:t>Acts Interpretation Act 1901</w:t>
      </w:r>
      <w:r w:rsidRPr="000029CC">
        <w:rPr>
          <w:color w:val="000000"/>
          <w:sz w:val="24"/>
          <w:szCs w:val="24"/>
        </w:rPr>
        <w:t>:</w:t>
      </w:r>
    </w:p>
    <w:p w14:paraId="404B24FA" w14:textId="77777777" w:rsidR="001A641A" w:rsidRPr="000029CC" w:rsidRDefault="001A641A" w:rsidP="001A641A">
      <w:pPr>
        <w:jc w:val="both"/>
        <w:rPr>
          <w:i/>
          <w:color w:val="000000"/>
          <w:sz w:val="24"/>
          <w:szCs w:val="24"/>
        </w:rPr>
      </w:pPr>
    </w:p>
    <w:p w14:paraId="1DD66E1A" w14:textId="729637E0" w:rsidR="001A641A" w:rsidRPr="000029CC" w:rsidRDefault="001A641A" w:rsidP="001A641A">
      <w:pPr>
        <w:numPr>
          <w:ilvl w:val="0"/>
          <w:numId w:val="28"/>
        </w:numPr>
        <w:tabs>
          <w:tab w:val="left" w:pos="567"/>
        </w:tabs>
        <w:ind w:left="567" w:hanging="567"/>
        <w:jc w:val="both"/>
        <w:rPr>
          <w:color w:val="000000"/>
          <w:sz w:val="24"/>
          <w:szCs w:val="24"/>
        </w:rPr>
      </w:pPr>
      <w:r w:rsidRPr="000029CC">
        <w:rPr>
          <w:color w:val="000000"/>
          <w:sz w:val="24"/>
          <w:szCs w:val="24"/>
        </w:rPr>
        <w:t xml:space="preserve">revoke Financial Sector (Collection of Data) (reporting standard) determination No. </w:t>
      </w:r>
      <w:r>
        <w:rPr>
          <w:color w:val="000000"/>
          <w:sz w:val="24"/>
          <w:szCs w:val="24"/>
        </w:rPr>
        <w:t>6</w:t>
      </w:r>
      <w:r w:rsidRPr="000029CC">
        <w:rPr>
          <w:color w:val="000000"/>
          <w:sz w:val="24"/>
          <w:szCs w:val="24"/>
        </w:rPr>
        <w:t xml:space="preserve"> of 20</w:t>
      </w:r>
      <w:r w:rsidR="00760BDD">
        <w:rPr>
          <w:color w:val="000000"/>
          <w:sz w:val="24"/>
          <w:szCs w:val="24"/>
        </w:rPr>
        <w:t>13</w:t>
      </w:r>
      <w:r w:rsidRPr="000029CC">
        <w:rPr>
          <w:color w:val="000000"/>
          <w:sz w:val="24"/>
          <w:szCs w:val="24"/>
        </w:rPr>
        <w:t xml:space="preserve">, including </w:t>
      </w:r>
      <w:r w:rsidR="00760BDD" w:rsidRPr="00760BDD">
        <w:rPr>
          <w:i/>
          <w:color w:val="000000"/>
          <w:sz w:val="24"/>
          <w:szCs w:val="24"/>
        </w:rPr>
        <w:t>Reporting Standard GRS 114.1 Assets by Counterparty Grade</w:t>
      </w:r>
      <w:r w:rsidR="00760BDD">
        <w:rPr>
          <w:i/>
          <w:color w:val="000000"/>
          <w:sz w:val="24"/>
          <w:szCs w:val="24"/>
        </w:rPr>
        <w:t xml:space="preserve"> </w:t>
      </w:r>
      <w:r w:rsidRPr="000029CC">
        <w:rPr>
          <w:color w:val="000000"/>
          <w:sz w:val="24"/>
          <w:szCs w:val="24"/>
        </w:rPr>
        <w:t>made under that Determination; and</w:t>
      </w:r>
    </w:p>
    <w:p w14:paraId="464AA8C5" w14:textId="77777777" w:rsidR="001A641A" w:rsidRPr="000029CC" w:rsidRDefault="001A641A" w:rsidP="001A641A">
      <w:pPr>
        <w:tabs>
          <w:tab w:val="left" w:pos="567"/>
        </w:tabs>
        <w:ind w:left="567"/>
        <w:jc w:val="both"/>
        <w:rPr>
          <w:color w:val="000000"/>
          <w:sz w:val="24"/>
          <w:szCs w:val="24"/>
        </w:rPr>
      </w:pPr>
    </w:p>
    <w:p w14:paraId="393978CA" w14:textId="1B2A9C41" w:rsidR="001A641A" w:rsidRPr="000029CC" w:rsidRDefault="001A641A" w:rsidP="001A641A">
      <w:pPr>
        <w:numPr>
          <w:ilvl w:val="0"/>
          <w:numId w:val="29"/>
        </w:numPr>
        <w:tabs>
          <w:tab w:val="left" w:pos="567"/>
        </w:tabs>
        <w:ind w:left="567" w:hanging="567"/>
        <w:jc w:val="both"/>
        <w:rPr>
          <w:color w:val="000000"/>
          <w:sz w:val="24"/>
          <w:szCs w:val="24"/>
        </w:rPr>
      </w:pPr>
      <w:r w:rsidRPr="000029CC">
        <w:rPr>
          <w:color w:val="000000"/>
          <w:sz w:val="24"/>
          <w:szCs w:val="24"/>
        </w:rPr>
        <w:t xml:space="preserve">determine </w:t>
      </w:r>
      <w:r w:rsidR="00760BDD" w:rsidRPr="00760BDD">
        <w:rPr>
          <w:i/>
          <w:color w:val="000000"/>
          <w:sz w:val="24"/>
          <w:szCs w:val="24"/>
        </w:rPr>
        <w:t>Reporting Standard GRS 114.1 Assets by Counterparty Grade</w:t>
      </w:r>
      <w:r w:rsidRPr="000029CC">
        <w:rPr>
          <w:i/>
          <w:color w:val="000000"/>
          <w:sz w:val="24"/>
          <w:szCs w:val="24"/>
        </w:rPr>
        <w:t>,</w:t>
      </w:r>
      <w:r w:rsidRPr="000029CC">
        <w:rPr>
          <w:color w:val="000000"/>
          <w:sz w:val="24"/>
          <w:szCs w:val="24"/>
        </w:rPr>
        <w:t xml:space="preserve"> in the form set out in the Schedule, which applies to the financial sector entities to the extent provided in paragraph </w:t>
      </w:r>
      <w:r w:rsidR="00FD2466">
        <w:rPr>
          <w:color w:val="000000"/>
          <w:sz w:val="24"/>
          <w:szCs w:val="24"/>
        </w:rPr>
        <w:t>3</w:t>
      </w:r>
      <w:r w:rsidRPr="000029CC">
        <w:rPr>
          <w:color w:val="000000"/>
          <w:sz w:val="24"/>
          <w:szCs w:val="24"/>
        </w:rPr>
        <w:t xml:space="preserve"> of the reporting standard. </w:t>
      </w:r>
    </w:p>
    <w:p w14:paraId="6CDBB472" w14:textId="77777777" w:rsidR="001A641A" w:rsidRPr="000029CC" w:rsidRDefault="001A641A" w:rsidP="001A641A">
      <w:pPr>
        <w:ind w:left="709" w:hanging="709"/>
        <w:jc w:val="both"/>
        <w:rPr>
          <w:color w:val="000000"/>
          <w:sz w:val="24"/>
          <w:szCs w:val="24"/>
        </w:rPr>
      </w:pPr>
    </w:p>
    <w:p w14:paraId="43A67C2A" w14:textId="77777777" w:rsidR="001A641A" w:rsidRPr="000029CC" w:rsidRDefault="001A641A" w:rsidP="001A641A">
      <w:pPr>
        <w:jc w:val="both"/>
        <w:rPr>
          <w:sz w:val="24"/>
          <w:szCs w:val="24"/>
          <w:lang w:val="en-US"/>
        </w:rPr>
      </w:pPr>
      <w:r w:rsidRPr="000029CC">
        <w:rPr>
          <w:sz w:val="24"/>
          <w:szCs w:val="24"/>
          <w:lang w:val="en-US"/>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64F62FBF" w14:textId="77777777" w:rsidR="001A641A" w:rsidRPr="000029CC" w:rsidRDefault="001A641A" w:rsidP="001A641A">
      <w:pPr>
        <w:jc w:val="both"/>
        <w:rPr>
          <w:sz w:val="24"/>
          <w:szCs w:val="24"/>
          <w:lang w:val="en-US"/>
        </w:rPr>
      </w:pPr>
    </w:p>
    <w:p w14:paraId="5392A015" w14:textId="77777777" w:rsidR="001A641A" w:rsidRPr="000029CC" w:rsidRDefault="001A641A" w:rsidP="001A641A">
      <w:pPr>
        <w:jc w:val="both"/>
        <w:rPr>
          <w:sz w:val="24"/>
          <w:szCs w:val="24"/>
          <w:lang w:val="en-US"/>
        </w:rPr>
      </w:pPr>
      <w:r w:rsidRPr="000029CC">
        <w:rPr>
          <w:sz w:val="24"/>
          <w:szCs w:val="24"/>
          <w:lang w:val="en-US"/>
        </w:rPr>
        <w:t>This instrument commences upon registration on the Federal Register of Legislation.</w:t>
      </w:r>
    </w:p>
    <w:p w14:paraId="3B141C79" w14:textId="77777777" w:rsidR="001A641A" w:rsidRPr="000029CC" w:rsidRDefault="001A641A" w:rsidP="001A641A">
      <w:pPr>
        <w:jc w:val="both"/>
        <w:rPr>
          <w:sz w:val="24"/>
          <w:szCs w:val="24"/>
          <w:lang w:val="en-US"/>
        </w:rPr>
      </w:pPr>
    </w:p>
    <w:p w14:paraId="0D951571" w14:textId="2DE67B7A" w:rsidR="001A641A" w:rsidRPr="000029CC" w:rsidRDefault="001A641A" w:rsidP="001A641A">
      <w:pPr>
        <w:jc w:val="both"/>
        <w:rPr>
          <w:sz w:val="24"/>
          <w:szCs w:val="24"/>
          <w:lang w:val="en-US"/>
        </w:rPr>
      </w:pPr>
      <w:r w:rsidRPr="000029CC">
        <w:rPr>
          <w:sz w:val="24"/>
          <w:szCs w:val="24"/>
          <w:lang w:val="en-US"/>
        </w:rPr>
        <w:t xml:space="preserve">Dated: </w:t>
      </w:r>
      <w:r w:rsidR="00362BFD">
        <w:rPr>
          <w:sz w:val="24"/>
          <w:szCs w:val="24"/>
          <w:lang w:val="en-US"/>
        </w:rPr>
        <w:t>12</w:t>
      </w:r>
      <w:r w:rsidR="00812EC7">
        <w:rPr>
          <w:sz w:val="24"/>
          <w:szCs w:val="24"/>
          <w:lang w:val="en-US"/>
        </w:rPr>
        <w:t xml:space="preserve"> October</w:t>
      </w:r>
      <w:r>
        <w:rPr>
          <w:sz w:val="24"/>
          <w:szCs w:val="24"/>
          <w:lang w:val="en-US"/>
        </w:rPr>
        <w:t xml:space="preserve"> </w:t>
      </w:r>
      <w:r w:rsidRPr="000029CC">
        <w:rPr>
          <w:sz w:val="24"/>
          <w:szCs w:val="24"/>
          <w:lang w:val="en-US"/>
        </w:rPr>
        <w:t>2022</w:t>
      </w:r>
    </w:p>
    <w:p w14:paraId="2B644E78" w14:textId="77777777" w:rsidR="001A641A" w:rsidRPr="000029CC" w:rsidRDefault="001A641A" w:rsidP="001A641A">
      <w:pPr>
        <w:jc w:val="both"/>
        <w:rPr>
          <w:i/>
          <w:sz w:val="24"/>
          <w:szCs w:val="24"/>
          <w:lang w:val="en-US"/>
        </w:rPr>
      </w:pPr>
    </w:p>
    <w:p w14:paraId="422310D5" w14:textId="77777777" w:rsidR="001A641A" w:rsidRPr="000029CC" w:rsidRDefault="001A641A" w:rsidP="001A641A">
      <w:pPr>
        <w:jc w:val="both"/>
        <w:rPr>
          <w:noProof/>
          <w:sz w:val="24"/>
          <w:szCs w:val="24"/>
        </w:rPr>
      </w:pPr>
    </w:p>
    <w:p w14:paraId="5649A0E8" w14:textId="77777777" w:rsidR="001A641A" w:rsidRPr="000029CC" w:rsidRDefault="001A641A" w:rsidP="001A641A">
      <w:pPr>
        <w:jc w:val="both"/>
        <w:rPr>
          <w:sz w:val="24"/>
          <w:szCs w:val="24"/>
          <w:lang w:val="en-US"/>
        </w:rPr>
      </w:pPr>
    </w:p>
    <w:p w14:paraId="61AEC2D7" w14:textId="77777777" w:rsidR="001A641A" w:rsidRPr="000029CC" w:rsidRDefault="001A641A" w:rsidP="001A641A">
      <w:pPr>
        <w:jc w:val="both"/>
        <w:rPr>
          <w:sz w:val="24"/>
          <w:szCs w:val="24"/>
          <w:lang w:val="en-US"/>
        </w:rPr>
      </w:pPr>
      <w:r w:rsidRPr="000029CC">
        <w:rPr>
          <w:sz w:val="24"/>
          <w:szCs w:val="24"/>
          <w:lang w:val="en-US"/>
        </w:rPr>
        <w:t>Alison Bliss</w:t>
      </w:r>
    </w:p>
    <w:p w14:paraId="087594CA" w14:textId="77777777" w:rsidR="001A641A" w:rsidRPr="000029CC" w:rsidRDefault="001A641A" w:rsidP="001A641A">
      <w:pPr>
        <w:jc w:val="both"/>
        <w:rPr>
          <w:sz w:val="24"/>
          <w:szCs w:val="24"/>
          <w:lang w:val="en-US"/>
        </w:rPr>
      </w:pPr>
      <w:r w:rsidRPr="000029CC">
        <w:rPr>
          <w:sz w:val="24"/>
          <w:szCs w:val="24"/>
          <w:lang w:val="en-US"/>
        </w:rPr>
        <w:t>General Manager</w:t>
      </w:r>
    </w:p>
    <w:p w14:paraId="21D9C554" w14:textId="77777777" w:rsidR="001A641A" w:rsidRPr="000029CC" w:rsidRDefault="001A641A" w:rsidP="001A641A">
      <w:pPr>
        <w:jc w:val="both"/>
        <w:rPr>
          <w:sz w:val="24"/>
          <w:szCs w:val="24"/>
          <w:lang w:val="en-US"/>
        </w:rPr>
      </w:pPr>
      <w:r w:rsidRPr="000029CC">
        <w:rPr>
          <w:sz w:val="24"/>
          <w:szCs w:val="24"/>
          <w:lang w:val="en-US"/>
        </w:rPr>
        <w:t>Data Analytics &amp; Insights Division</w:t>
      </w:r>
    </w:p>
    <w:p w14:paraId="3A73E6FB" w14:textId="77777777" w:rsidR="001A641A" w:rsidRPr="000029CC" w:rsidRDefault="001A641A" w:rsidP="001A641A">
      <w:pPr>
        <w:jc w:val="both"/>
        <w:rPr>
          <w:sz w:val="24"/>
          <w:szCs w:val="24"/>
          <w:lang w:val="en-US"/>
        </w:rPr>
      </w:pPr>
    </w:p>
    <w:p w14:paraId="0B70FF42" w14:textId="77777777" w:rsidR="001A641A" w:rsidRPr="000029CC" w:rsidRDefault="001A641A" w:rsidP="001A641A">
      <w:pPr>
        <w:jc w:val="both"/>
        <w:rPr>
          <w:b/>
          <w:color w:val="000000"/>
          <w:sz w:val="24"/>
          <w:szCs w:val="24"/>
          <w:lang w:val="en-US"/>
        </w:rPr>
      </w:pPr>
    </w:p>
    <w:p w14:paraId="08FD32D0" w14:textId="77777777" w:rsidR="001A641A" w:rsidRPr="000029CC" w:rsidRDefault="001A641A" w:rsidP="001A641A">
      <w:pPr>
        <w:jc w:val="both"/>
        <w:rPr>
          <w:b/>
          <w:color w:val="000000"/>
          <w:sz w:val="24"/>
          <w:szCs w:val="24"/>
          <w:lang w:val="en-US"/>
        </w:rPr>
      </w:pPr>
    </w:p>
    <w:p w14:paraId="74931300" w14:textId="77777777" w:rsidR="001A641A" w:rsidRPr="000029CC" w:rsidRDefault="001A641A" w:rsidP="001A641A">
      <w:pPr>
        <w:jc w:val="both"/>
        <w:rPr>
          <w:b/>
          <w:sz w:val="24"/>
          <w:szCs w:val="24"/>
          <w:lang w:val="en-US"/>
        </w:rPr>
      </w:pPr>
      <w:r w:rsidRPr="000029CC">
        <w:rPr>
          <w:b/>
          <w:color w:val="000000"/>
          <w:sz w:val="24"/>
          <w:szCs w:val="24"/>
          <w:lang w:val="en-US"/>
        </w:rPr>
        <w:t>Interpretation</w:t>
      </w:r>
    </w:p>
    <w:p w14:paraId="494CE51B" w14:textId="77777777" w:rsidR="001A641A" w:rsidRPr="000029CC" w:rsidRDefault="001A641A" w:rsidP="001A641A">
      <w:pPr>
        <w:keepNext/>
        <w:tabs>
          <w:tab w:val="right" w:pos="794"/>
        </w:tabs>
        <w:spacing w:before="240" w:line="260" w:lineRule="exact"/>
        <w:jc w:val="both"/>
        <w:rPr>
          <w:color w:val="000000"/>
          <w:sz w:val="24"/>
          <w:szCs w:val="24"/>
        </w:rPr>
      </w:pPr>
      <w:r w:rsidRPr="000029CC">
        <w:rPr>
          <w:color w:val="000000"/>
          <w:sz w:val="24"/>
          <w:szCs w:val="24"/>
        </w:rPr>
        <w:t>In this Determination:</w:t>
      </w:r>
    </w:p>
    <w:p w14:paraId="25FE0B43" w14:textId="77777777" w:rsidR="001A641A" w:rsidRPr="000029CC" w:rsidRDefault="001A641A" w:rsidP="001A641A">
      <w:pPr>
        <w:spacing w:before="120"/>
        <w:jc w:val="both"/>
        <w:rPr>
          <w:color w:val="000000"/>
          <w:sz w:val="24"/>
          <w:szCs w:val="24"/>
        </w:rPr>
      </w:pPr>
      <w:r w:rsidRPr="000029CC">
        <w:rPr>
          <w:b/>
          <w:i/>
          <w:color w:val="000000"/>
          <w:sz w:val="24"/>
          <w:szCs w:val="24"/>
        </w:rPr>
        <w:t>APRA</w:t>
      </w:r>
      <w:r w:rsidRPr="000029CC">
        <w:rPr>
          <w:color w:val="000000"/>
          <w:sz w:val="24"/>
          <w:szCs w:val="24"/>
        </w:rPr>
        <w:t xml:space="preserve"> means the Australian Prudential Regulation Authority.</w:t>
      </w:r>
    </w:p>
    <w:p w14:paraId="1E02C3A3" w14:textId="27C26344" w:rsidR="001A641A" w:rsidRPr="000029CC" w:rsidRDefault="001A641A" w:rsidP="001A641A">
      <w:pPr>
        <w:spacing w:before="120"/>
        <w:ind w:left="720" w:hanging="720"/>
        <w:jc w:val="both"/>
        <w:rPr>
          <w:color w:val="000000"/>
          <w:sz w:val="24"/>
          <w:szCs w:val="24"/>
        </w:rPr>
      </w:pPr>
      <w:r w:rsidRPr="000029CC">
        <w:rPr>
          <w:b/>
          <w:i/>
          <w:color w:val="000000"/>
          <w:sz w:val="24"/>
          <w:szCs w:val="24"/>
        </w:rPr>
        <w:t>financial sector entity</w:t>
      </w:r>
      <w:r w:rsidRPr="000029CC">
        <w:rPr>
          <w:color w:val="000000"/>
          <w:sz w:val="24"/>
          <w:szCs w:val="24"/>
        </w:rPr>
        <w:t xml:space="preserve"> has the meaning given by section 5 of the Act. </w:t>
      </w:r>
    </w:p>
    <w:p w14:paraId="6B1803D4" w14:textId="77777777" w:rsidR="001A641A" w:rsidRPr="000029CC" w:rsidRDefault="001A641A" w:rsidP="001A641A">
      <w:pPr>
        <w:keepNext/>
        <w:autoSpaceDE w:val="0"/>
        <w:autoSpaceDN w:val="0"/>
        <w:spacing w:before="480"/>
        <w:rPr>
          <w:rFonts w:ascii="Arial" w:hAnsi="Arial" w:cs="Arial"/>
          <w:b/>
          <w:bCs/>
          <w:color w:val="000000"/>
          <w:sz w:val="32"/>
          <w:szCs w:val="32"/>
        </w:rPr>
      </w:pPr>
      <w:r w:rsidRPr="000029CC">
        <w:rPr>
          <w:rFonts w:ascii="Arial" w:hAnsi="Arial" w:cs="Arial"/>
          <w:b/>
          <w:bCs/>
          <w:color w:val="000000"/>
          <w:sz w:val="32"/>
          <w:szCs w:val="32"/>
        </w:rPr>
        <w:lastRenderedPageBreak/>
        <w:t xml:space="preserve">Schedule </w:t>
      </w:r>
    </w:p>
    <w:p w14:paraId="1357BE06" w14:textId="77777777" w:rsidR="001A641A" w:rsidRPr="000029CC" w:rsidRDefault="001A641A" w:rsidP="001A641A">
      <w:pPr>
        <w:keepNext/>
        <w:autoSpaceDE w:val="0"/>
        <w:autoSpaceDN w:val="0"/>
        <w:spacing w:before="60" w:line="200" w:lineRule="exact"/>
        <w:ind w:left="2410"/>
        <w:rPr>
          <w:rFonts w:ascii="Arial" w:hAnsi="Arial" w:cs="Arial"/>
          <w:color w:val="000000"/>
          <w:sz w:val="18"/>
          <w:szCs w:val="18"/>
        </w:rPr>
      </w:pPr>
    </w:p>
    <w:p w14:paraId="2821B623" w14:textId="697B4ECC" w:rsidR="001A641A" w:rsidRPr="000029CC" w:rsidRDefault="00760BDD" w:rsidP="001A641A">
      <w:pPr>
        <w:tabs>
          <w:tab w:val="center" w:pos="4320"/>
          <w:tab w:val="right" w:pos="8640"/>
        </w:tabs>
        <w:jc w:val="both"/>
        <w:rPr>
          <w:bCs/>
          <w:sz w:val="24"/>
          <w:szCs w:val="24"/>
          <w:lang w:val="en-US"/>
        </w:rPr>
      </w:pPr>
      <w:r w:rsidRPr="00760BDD">
        <w:rPr>
          <w:i/>
          <w:color w:val="000000"/>
          <w:sz w:val="24"/>
          <w:szCs w:val="24"/>
          <w:lang w:val="en-US"/>
        </w:rPr>
        <w:t>Reporting Standard GRS 114.1 Assets by Counterparty Grade</w:t>
      </w:r>
      <w:r>
        <w:rPr>
          <w:i/>
          <w:color w:val="000000"/>
          <w:sz w:val="24"/>
          <w:szCs w:val="24"/>
          <w:lang w:val="en-US"/>
        </w:rPr>
        <w:t xml:space="preserve"> </w:t>
      </w:r>
      <w:r w:rsidR="001A641A" w:rsidRPr="000029CC">
        <w:rPr>
          <w:bCs/>
          <w:sz w:val="24"/>
          <w:szCs w:val="24"/>
          <w:lang w:val="en-US"/>
        </w:rPr>
        <w:t>comprises the document commencing on the following page.</w:t>
      </w:r>
      <w:bookmarkEnd w:id="0"/>
    </w:p>
    <w:p w14:paraId="51A0889F" w14:textId="77777777" w:rsidR="001A641A" w:rsidRDefault="001A641A" w:rsidP="005B7824">
      <w:pPr>
        <w:keepNext/>
        <w:jc w:val="both"/>
        <w:outlineLvl w:val="1"/>
        <w:rPr>
          <w:rFonts w:ascii="Arial" w:hAnsi="Arial"/>
          <w:b/>
          <w:sz w:val="32"/>
          <w:lang w:val="en-US"/>
        </w:rPr>
        <w:sectPr w:rsidR="001A641A" w:rsidSect="00196E31">
          <w:headerReference w:type="default" r:id="rId14"/>
          <w:headerReference w:type="first" r:id="rId15"/>
          <w:footerReference w:type="first" r:id="rId16"/>
          <w:pgSz w:w="11907" w:h="16840" w:code="9"/>
          <w:pgMar w:top="1440" w:right="1440" w:bottom="1440" w:left="1440" w:header="720" w:footer="720" w:gutter="0"/>
          <w:pgNumType w:start="1"/>
          <w:cols w:space="720"/>
          <w:docGrid w:linePitch="272"/>
        </w:sectPr>
      </w:pPr>
    </w:p>
    <w:p w14:paraId="0E611557" w14:textId="3E367554" w:rsidR="005B7824" w:rsidRPr="0053041F" w:rsidRDefault="0039184D" w:rsidP="005B7824">
      <w:pPr>
        <w:keepNext/>
        <w:jc w:val="both"/>
        <w:outlineLvl w:val="1"/>
        <w:rPr>
          <w:rFonts w:ascii="Arial" w:hAnsi="Arial" w:cs="Arial"/>
          <w:b/>
          <w:sz w:val="40"/>
          <w:szCs w:val="40"/>
          <w:lang w:val="en-US"/>
        </w:rPr>
      </w:pPr>
      <w:r>
        <w:rPr>
          <w:rFonts w:ascii="Arial" w:hAnsi="Arial"/>
          <w:b/>
          <w:noProof/>
          <w:sz w:val="32"/>
          <w:lang w:val="en-US"/>
        </w:rPr>
        <w:lastRenderedPageBreak/>
        <w:drawing>
          <wp:inline distT="0" distB="0" distL="0" distR="0" wp14:anchorId="5C600774" wp14:editId="342D0570">
            <wp:extent cx="1428750"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of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inline>
        </w:drawing>
      </w:r>
    </w:p>
    <w:p w14:paraId="3D7C5D68" w14:textId="77777777" w:rsidR="005B7824" w:rsidRPr="005B7824" w:rsidRDefault="005B7824" w:rsidP="005B7824">
      <w:pPr>
        <w:keepNext/>
        <w:jc w:val="both"/>
        <w:outlineLvl w:val="1"/>
        <w:rPr>
          <w:rFonts w:ascii="Arial" w:hAnsi="Arial" w:cs="Arial"/>
          <w:b/>
          <w:sz w:val="40"/>
          <w:szCs w:val="40"/>
          <w:lang w:val="en-US"/>
        </w:rPr>
      </w:pPr>
    </w:p>
    <w:p w14:paraId="67183E76" w14:textId="77777777"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B35D8C">
        <w:rPr>
          <w:rFonts w:ascii="Arial" w:hAnsi="Arial" w:cs="Arial"/>
          <w:b/>
          <w:sz w:val="40"/>
          <w:szCs w:val="40"/>
          <w:lang w:val="en-US"/>
        </w:rPr>
        <w:t>114.</w:t>
      </w:r>
      <w:r w:rsidR="004D6D70">
        <w:rPr>
          <w:rFonts w:ascii="Arial" w:hAnsi="Arial" w:cs="Arial"/>
          <w:b/>
          <w:sz w:val="40"/>
          <w:szCs w:val="40"/>
          <w:lang w:val="en-US"/>
        </w:rPr>
        <w:t>1</w:t>
      </w:r>
    </w:p>
    <w:p w14:paraId="28213359" w14:textId="77777777" w:rsidR="005B7824" w:rsidRPr="005B7824" w:rsidRDefault="005B7824" w:rsidP="005B7824">
      <w:pPr>
        <w:jc w:val="both"/>
        <w:rPr>
          <w:b/>
          <w:sz w:val="28"/>
          <w:lang w:val="en-US"/>
        </w:rPr>
      </w:pPr>
    </w:p>
    <w:p w14:paraId="1CBBA830" w14:textId="77777777" w:rsidR="005B7824" w:rsidRPr="005B7824" w:rsidRDefault="004D6D70" w:rsidP="005B7824">
      <w:pPr>
        <w:keepNext/>
        <w:jc w:val="both"/>
        <w:outlineLvl w:val="0"/>
        <w:rPr>
          <w:rFonts w:ascii="Arial" w:hAnsi="Arial" w:cs="Arial"/>
          <w:b/>
          <w:sz w:val="40"/>
          <w:szCs w:val="40"/>
          <w:lang w:val="en-US"/>
        </w:rPr>
      </w:pPr>
      <w:r>
        <w:rPr>
          <w:rFonts w:ascii="Arial" w:hAnsi="Arial" w:cs="Arial"/>
          <w:b/>
          <w:sz w:val="40"/>
          <w:szCs w:val="40"/>
          <w:lang w:val="en-US"/>
        </w:rPr>
        <w:t>Assets by Counterparty Grade</w:t>
      </w:r>
    </w:p>
    <w:p w14:paraId="662FFE85" w14:textId="77777777" w:rsidR="005B7824" w:rsidRPr="005B7824" w:rsidRDefault="005B7824" w:rsidP="005B7824">
      <w:pPr>
        <w:jc w:val="both"/>
        <w:rPr>
          <w:sz w:val="28"/>
          <w:lang w:val="en-US"/>
        </w:rPr>
      </w:pPr>
    </w:p>
    <w:p w14:paraId="5A442049"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029786E9"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0A1F4BD3"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This Reporting Standard sets out the requirements for the provision of in</w:t>
      </w:r>
      <w:r w:rsidR="006463B8">
        <w:rPr>
          <w:sz w:val="24"/>
          <w:lang w:val="en-US"/>
        </w:rPr>
        <w:t xml:space="preserve">formation to APRA relating to a </w:t>
      </w:r>
      <w:r w:rsidRPr="005B7824">
        <w:rPr>
          <w:sz w:val="24"/>
          <w:lang w:val="en-US"/>
        </w:rPr>
        <w:t xml:space="preserve">general insurer’s </w:t>
      </w:r>
      <w:r w:rsidR="004D6D70">
        <w:rPr>
          <w:sz w:val="24"/>
          <w:lang w:val="en-US"/>
        </w:rPr>
        <w:t>assets by counterparty grade</w:t>
      </w:r>
      <w:r w:rsidRPr="005B7824">
        <w:rPr>
          <w:sz w:val="24"/>
          <w:lang w:val="en-US"/>
        </w:rPr>
        <w:t xml:space="preserve">. </w:t>
      </w:r>
    </w:p>
    <w:p w14:paraId="10A1A3A6" w14:textId="621B9B20" w:rsidR="005B7824" w:rsidRPr="009F559C"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Pr="005B7824">
        <w:rPr>
          <w:i/>
          <w:sz w:val="24"/>
          <w:lang w:val="en-US"/>
        </w:rPr>
        <w:t xml:space="preserve">Form GRF </w:t>
      </w:r>
      <w:r w:rsidR="00BA625D">
        <w:rPr>
          <w:i/>
          <w:sz w:val="24"/>
          <w:lang w:val="en-US"/>
        </w:rPr>
        <w:t>114.</w:t>
      </w:r>
      <w:r w:rsidR="004D6D70">
        <w:rPr>
          <w:i/>
          <w:sz w:val="24"/>
          <w:lang w:val="en-US"/>
        </w:rPr>
        <w:t>1</w:t>
      </w:r>
      <w:r w:rsidRPr="005B7824">
        <w:rPr>
          <w:i/>
          <w:sz w:val="24"/>
          <w:lang w:val="en-US"/>
        </w:rPr>
        <w:t xml:space="preserve"> </w:t>
      </w:r>
      <w:r w:rsidR="00BA625D">
        <w:rPr>
          <w:i/>
          <w:sz w:val="24"/>
          <w:lang w:val="en-US"/>
        </w:rPr>
        <w:t>Asset</w:t>
      </w:r>
      <w:r w:rsidR="004D6D70">
        <w:rPr>
          <w:i/>
          <w:sz w:val="24"/>
          <w:lang w:val="en-US"/>
        </w:rPr>
        <w:t>s</w:t>
      </w:r>
      <w:r w:rsidR="00BA625D">
        <w:rPr>
          <w:i/>
          <w:sz w:val="24"/>
          <w:lang w:val="en-US"/>
        </w:rPr>
        <w:t xml:space="preserve"> </w:t>
      </w:r>
      <w:r w:rsidR="004D6D70">
        <w:rPr>
          <w:i/>
          <w:sz w:val="24"/>
          <w:lang w:val="en-US"/>
        </w:rPr>
        <w:t>by Counterparty Grade</w:t>
      </w:r>
      <w:r w:rsidRPr="005B7824">
        <w:rPr>
          <w:sz w:val="24"/>
          <w:lang w:val="en-US"/>
        </w:rPr>
        <w:t xml:space="preserve"> and associated specific instructions and must be read in conjunction with the general instruction guide.</w:t>
      </w:r>
    </w:p>
    <w:p w14:paraId="240FCBD5"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0D0B6A85" w14:textId="77777777" w:rsidR="005B7824" w:rsidRPr="005B7824" w:rsidRDefault="005B7824" w:rsidP="005B7824">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0A023661"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11ECD459"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Information collected in </w:t>
      </w:r>
      <w:r w:rsidRPr="005B7824">
        <w:rPr>
          <w:i/>
          <w:sz w:val="24"/>
          <w:lang w:val="en-US"/>
        </w:rPr>
        <w:t xml:space="preserve">Form GRF </w:t>
      </w:r>
      <w:r w:rsidR="00BA625D">
        <w:rPr>
          <w:i/>
          <w:sz w:val="24"/>
          <w:lang w:val="en-US"/>
        </w:rPr>
        <w:t>114.</w:t>
      </w:r>
      <w:r w:rsidR="004D6D70">
        <w:rPr>
          <w:i/>
          <w:sz w:val="24"/>
          <w:lang w:val="en-US"/>
        </w:rPr>
        <w:t>1</w:t>
      </w:r>
      <w:r w:rsidR="001D7833">
        <w:rPr>
          <w:i/>
          <w:sz w:val="24"/>
          <w:lang w:val="en-US"/>
        </w:rPr>
        <w:t xml:space="preserve"> </w:t>
      </w:r>
      <w:r w:rsidR="00BA625D">
        <w:rPr>
          <w:i/>
          <w:sz w:val="24"/>
          <w:lang w:val="en-US"/>
        </w:rPr>
        <w:t>Asset</w:t>
      </w:r>
      <w:r w:rsidR="004D6D70">
        <w:rPr>
          <w:i/>
          <w:sz w:val="24"/>
          <w:lang w:val="en-US"/>
        </w:rPr>
        <w:t>s by Counterparty Grade</w:t>
      </w:r>
      <w:r w:rsidRPr="005B7824">
        <w:rPr>
          <w:sz w:val="24"/>
          <w:lang w:val="en-US"/>
        </w:rPr>
        <w:t xml:space="preserve"> (GRF </w:t>
      </w:r>
      <w:r w:rsidR="00BA625D">
        <w:rPr>
          <w:sz w:val="24"/>
          <w:lang w:val="en-US"/>
        </w:rPr>
        <w:t>114.</w:t>
      </w:r>
      <w:r w:rsidR="004D6D70">
        <w:rPr>
          <w:sz w:val="24"/>
          <w:lang w:val="en-US"/>
        </w:rPr>
        <w:t>1</w:t>
      </w:r>
      <w:r w:rsidRPr="005B7824">
        <w:rPr>
          <w:sz w:val="24"/>
          <w:lang w:val="en-US"/>
        </w:rPr>
        <w:t>) is used by APRA for the purpose of prudential supervision including assessing compliance with the capital standards.</w:t>
      </w:r>
      <w:r w:rsidRPr="005B7824" w:rsidDel="007456FC">
        <w:rPr>
          <w:sz w:val="24"/>
          <w:vertAlign w:val="superscript"/>
          <w:lang w:val="en-US"/>
        </w:rPr>
        <w:t xml:space="preserve"> </w:t>
      </w:r>
    </w:p>
    <w:p w14:paraId="459B1B25"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6A6D38D9" w14:textId="158705B3" w:rsidR="005B7824" w:rsidRPr="005B7824" w:rsidRDefault="005B7824" w:rsidP="005B7824">
      <w:pPr>
        <w:numPr>
          <w:ilvl w:val="1"/>
          <w:numId w:val="23"/>
        </w:numPr>
        <w:spacing w:after="240"/>
        <w:jc w:val="both"/>
        <w:rPr>
          <w:sz w:val="24"/>
          <w:lang w:val="en-US"/>
        </w:rPr>
      </w:pPr>
      <w:r w:rsidRPr="005B7824">
        <w:rPr>
          <w:sz w:val="24"/>
          <w:szCs w:val="24"/>
          <w:lang w:val="en-US"/>
        </w:rPr>
        <w:t xml:space="preserve">This Reporting Standard applies to all general insurers authorised under the </w:t>
      </w:r>
      <w:r w:rsidRPr="005B7824">
        <w:rPr>
          <w:i/>
          <w:sz w:val="24"/>
          <w:szCs w:val="24"/>
          <w:lang w:val="en-US"/>
        </w:rPr>
        <w:t>Insurance Act 1973</w:t>
      </w:r>
      <w:r w:rsidRPr="005B7824">
        <w:rPr>
          <w:sz w:val="24"/>
          <w:szCs w:val="24"/>
          <w:lang w:val="en-US"/>
        </w:rPr>
        <w:t xml:space="preserve"> (insurers). This Reporting Standard applies for reporting periods ending on or after 1 J</w:t>
      </w:r>
      <w:r w:rsidR="009011CA">
        <w:rPr>
          <w:sz w:val="24"/>
          <w:szCs w:val="24"/>
          <w:lang w:val="en-US"/>
        </w:rPr>
        <w:t>uly</w:t>
      </w:r>
      <w:r w:rsidRPr="005B7824">
        <w:rPr>
          <w:sz w:val="24"/>
          <w:szCs w:val="24"/>
          <w:lang w:val="en-US"/>
        </w:rPr>
        <w:t xml:space="preserve"> 20</w:t>
      </w:r>
      <w:r w:rsidR="009011CA">
        <w:rPr>
          <w:sz w:val="24"/>
          <w:szCs w:val="24"/>
          <w:lang w:val="en-US"/>
        </w:rPr>
        <w:t>22</w:t>
      </w:r>
      <w:r w:rsidRPr="005B7824">
        <w:rPr>
          <w:sz w:val="24"/>
          <w:szCs w:val="24"/>
          <w:lang w:val="en-US"/>
        </w:rPr>
        <w:t xml:space="preserve">. </w:t>
      </w:r>
      <w:r w:rsidRPr="005B7824">
        <w:rPr>
          <w:sz w:val="24"/>
          <w:lang w:val="en-US"/>
        </w:rPr>
        <w:t xml:space="preserve"> </w:t>
      </w:r>
    </w:p>
    <w:p w14:paraId="7B2AD7F0" w14:textId="77777777" w:rsidR="005B7824" w:rsidRPr="005B7824" w:rsidRDefault="005B7824" w:rsidP="005B7824">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35AAFCBD" w14:textId="77777777" w:rsidR="005B7824" w:rsidRPr="005B7824" w:rsidRDefault="005B7824" w:rsidP="005B7824">
      <w:pPr>
        <w:numPr>
          <w:ilvl w:val="1"/>
          <w:numId w:val="23"/>
        </w:numPr>
        <w:spacing w:after="240"/>
        <w:jc w:val="both"/>
        <w:rPr>
          <w:sz w:val="24"/>
          <w:lang w:val="en-US"/>
        </w:rPr>
      </w:pPr>
      <w:bookmarkStart w:id="1" w:name="_Ref339262391"/>
      <w:bookmarkStart w:id="2" w:name="OLE_LINK3"/>
      <w:r w:rsidRPr="005B7824">
        <w:rPr>
          <w:sz w:val="24"/>
          <w:lang w:val="en-US"/>
        </w:rPr>
        <w:t xml:space="preserve">An insurer must provide APRA with the information required by Form GRF </w:t>
      </w:r>
      <w:r w:rsidR="006463B8">
        <w:rPr>
          <w:sz w:val="24"/>
          <w:lang w:val="en-US"/>
        </w:rPr>
        <w:t>114.</w:t>
      </w:r>
      <w:r w:rsidR="00D3599C">
        <w:rPr>
          <w:sz w:val="24"/>
          <w:lang w:val="en-US"/>
        </w:rPr>
        <w:t>1</w:t>
      </w:r>
      <w:r w:rsidR="002A1DD8">
        <w:rPr>
          <w:sz w:val="24"/>
          <w:lang w:val="en-US"/>
        </w:rPr>
        <w:t xml:space="preserve"> </w:t>
      </w:r>
      <w:r w:rsidRPr="005B7824">
        <w:rPr>
          <w:sz w:val="24"/>
          <w:lang w:val="en-US"/>
        </w:rPr>
        <w:t>for each reporting period.</w:t>
      </w:r>
      <w:bookmarkEnd w:id="1"/>
      <w:r w:rsidRPr="005B7824">
        <w:rPr>
          <w:sz w:val="24"/>
          <w:lang w:val="en-US"/>
        </w:rPr>
        <w:t xml:space="preserve"> </w:t>
      </w:r>
    </w:p>
    <w:bookmarkEnd w:id="2"/>
    <w:p w14:paraId="7BAE9D86" w14:textId="77777777" w:rsidR="005B7824" w:rsidRPr="00196E31"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Forms and method of submission</w:t>
      </w:r>
    </w:p>
    <w:p w14:paraId="74DE06BA" w14:textId="77777777" w:rsidR="005B7824" w:rsidRPr="005B7824" w:rsidRDefault="005B7824" w:rsidP="008A50E4">
      <w:pPr>
        <w:keepNext/>
        <w:numPr>
          <w:ilvl w:val="1"/>
          <w:numId w:val="23"/>
        </w:numPr>
        <w:spacing w:after="240"/>
        <w:jc w:val="both"/>
        <w:rPr>
          <w:sz w:val="24"/>
          <w:szCs w:val="24"/>
          <w:lang w:val="en-US"/>
        </w:rPr>
      </w:pPr>
      <w:bookmarkStart w:id="3" w:name="_Ref339262396"/>
      <w:r w:rsidRPr="005B7824">
        <w:rPr>
          <w:sz w:val="24"/>
          <w:szCs w:val="24"/>
          <w:lang w:val="en-US"/>
        </w:rPr>
        <w:t>The information required by this Reporting Standard must be given to APRA in electronic format using the ‘Direct to APRA’ application or, where ‘Direct to APRA’ is not available, by a method notified by APRA prior to submission.</w:t>
      </w:r>
      <w:bookmarkEnd w:id="3"/>
    </w:p>
    <w:p w14:paraId="04B500E4" w14:textId="77777777" w:rsidR="005B7824" w:rsidRPr="005B7824" w:rsidRDefault="005B7824" w:rsidP="005B7824">
      <w:pPr>
        <w:spacing w:after="240"/>
        <w:ind w:left="567"/>
        <w:jc w:val="both"/>
        <w:rPr>
          <w:sz w:val="24"/>
          <w:szCs w:val="24"/>
          <w:lang w:val="en-US"/>
        </w:rPr>
      </w:pPr>
      <w:r w:rsidRPr="005B7824">
        <w:rPr>
          <w:i/>
          <w:lang w:val="en-US"/>
        </w:rPr>
        <w:t>Note</w:t>
      </w:r>
      <w:r w:rsidRPr="005B7824">
        <w:rPr>
          <w:lang w:val="en-US"/>
        </w:rPr>
        <w:t xml:space="preserve">: The ‘Direct to APRA’ application software may be obtained from APRA. </w:t>
      </w:r>
    </w:p>
    <w:p w14:paraId="2EEFCCEC" w14:textId="77777777" w:rsidR="005B7824" w:rsidRPr="005B7824" w:rsidRDefault="005B7824" w:rsidP="005B7824">
      <w:pPr>
        <w:ind w:left="567"/>
        <w:jc w:val="both"/>
        <w:rPr>
          <w:lang w:eastAsia="en-US"/>
        </w:rPr>
      </w:pPr>
    </w:p>
    <w:p w14:paraId="40954603" w14:textId="77777777"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t>Reporting periods and due dates</w:t>
      </w:r>
    </w:p>
    <w:p w14:paraId="39ABB77C" w14:textId="77777777" w:rsidR="005B7824" w:rsidRPr="005B7824" w:rsidRDefault="005B7824" w:rsidP="005B7824">
      <w:pPr>
        <w:numPr>
          <w:ilvl w:val="1"/>
          <w:numId w:val="23"/>
        </w:numPr>
        <w:spacing w:after="240"/>
        <w:jc w:val="both"/>
        <w:rPr>
          <w:sz w:val="24"/>
          <w:lang w:val="en-US"/>
        </w:rPr>
      </w:pPr>
      <w:bookmarkStart w:id="4"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C25ABB">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4"/>
    </w:p>
    <w:p w14:paraId="0BAAD416" w14:textId="77777777" w:rsidR="005B7824" w:rsidRPr="005B7824" w:rsidRDefault="005B7824" w:rsidP="005B7824">
      <w:pPr>
        <w:numPr>
          <w:ilvl w:val="0"/>
          <w:numId w:val="21"/>
        </w:numPr>
        <w:spacing w:after="240"/>
        <w:jc w:val="both"/>
        <w:rPr>
          <w:sz w:val="24"/>
          <w:lang w:val="en-US"/>
        </w:rPr>
      </w:pPr>
      <w:bookmarkStart w:id="5" w:name="_Ref339261561"/>
      <w:r w:rsidRPr="005B7824">
        <w:rPr>
          <w:sz w:val="24"/>
          <w:szCs w:val="24"/>
          <w:lang w:val="en-US"/>
        </w:rPr>
        <w:t>in respect of each quarter based on the financial year of the insurer; and</w:t>
      </w:r>
      <w:bookmarkEnd w:id="5"/>
    </w:p>
    <w:p w14:paraId="339700C6" w14:textId="77777777" w:rsidR="005B7824" w:rsidRPr="005B7824" w:rsidRDefault="005B7824" w:rsidP="005B7824">
      <w:pPr>
        <w:numPr>
          <w:ilvl w:val="0"/>
          <w:numId w:val="21"/>
        </w:numPr>
        <w:spacing w:after="240"/>
        <w:jc w:val="both"/>
        <w:rPr>
          <w:sz w:val="24"/>
          <w:lang w:val="en-US"/>
        </w:rPr>
      </w:pPr>
      <w:bookmarkStart w:id="6" w:name="_Ref339261564"/>
      <w:r w:rsidRPr="005B7824">
        <w:rPr>
          <w:sz w:val="24"/>
          <w:szCs w:val="24"/>
          <w:lang w:val="en-US"/>
        </w:rPr>
        <w:t>in respect of each financial year of the insurer.</w:t>
      </w:r>
      <w:bookmarkEnd w:id="6"/>
    </w:p>
    <w:p w14:paraId="430568EC" w14:textId="77777777"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00C25ABB">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00C25ABB">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C25ABB">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C25ABB">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4196FA07" w14:textId="77777777" w:rsidR="005B7824" w:rsidRPr="005B7824" w:rsidRDefault="005B7824" w:rsidP="005B7824">
      <w:pPr>
        <w:numPr>
          <w:ilvl w:val="1"/>
          <w:numId w:val="23"/>
        </w:numPr>
        <w:spacing w:after="240"/>
        <w:jc w:val="both"/>
        <w:rPr>
          <w:sz w:val="24"/>
          <w:lang w:val="en-US"/>
        </w:rPr>
      </w:pPr>
      <w:bookmarkStart w:id="7"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C25ABB">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C25ABB">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C25ABB">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C25ABB">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7"/>
      <w:r w:rsidRPr="005B7824" w:rsidDel="003F74DD">
        <w:rPr>
          <w:sz w:val="24"/>
          <w:lang w:val="en-US"/>
        </w:rPr>
        <w:t xml:space="preserve"> </w:t>
      </w:r>
      <w:bookmarkStart w:id="8" w:name="_Ref339262364"/>
      <w:r w:rsidRPr="005B7824">
        <w:rPr>
          <w:sz w:val="24"/>
          <w:lang w:val="en-US"/>
        </w:rPr>
        <w:t xml:space="preserve"> </w:t>
      </w:r>
      <w:bookmarkEnd w:id="8"/>
    </w:p>
    <w:p w14:paraId="5802C5A5"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7D652261"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2BE4E278"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C25ABB">
        <w:rPr>
          <w:sz w:val="24"/>
          <w:lang w:val="en-US"/>
        </w:rPr>
        <w:t>7</w:t>
      </w:r>
      <w:r w:rsidRPr="005B7824">
        <w:rPr>
          <w:sz w:val="24"/>
          <w:lang w:val="en-US"/>
        </w:rPr>
        <w:fldChar w:fldCharType="end"/>
      </w:r>
      <w:r w:rsidRPr="005B7824">
        <w:rPr>
          <w:sz w:val="24"/>
          <w:lang w:val="en-US"/>
        </w:rPr>
        <w:t>, within the time specified by notice in writing.</w:t>
      </w:r>
    </w:p>
    <w:p w14:paraId="06D0D98F" w14:textId="77777777" w:rsidR="005B7824" w:rsidRPr="005B7824" w:rsidRDefault="005B7824" w:rsidP="005B7824">
      <w:pPr>
        <w:spacing w:after="240"/>
        <w:ind w:left="567"/>
        <w:jc w:val="both"/>
        <w:rPr>
          <w:lang w:val="en-US"/>
        </w:rPr>
      </w:pPr>
      <w:r w:rsidRPr="005B7824">
        <w:rPr>
          <w:i/>
          <w:lang w:val="en-US"/>
        </w:rPr>
        <w:t>Note</w:t>
      </w:r>
      <w:r w:rsidRPr="005B7824">
        <w:rPr>
          <w:lang w:val="en-US"/>
        </w:rPr>
        <w:t xml:space="preserve">: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C25ABB">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C25ABB">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1536ECC3"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7725B5F3"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7CC2258F"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3F27C993"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(AUASB) as may be amended from time to time, to the extent that they are not </w:t>
      </w:r>
      <w:r w:rsidRPr="005B7824">
        <w:rPr>
          <w:sz w:val="24"/>
          <w:lang w:val="en-US"/>
        </w:rPr>
        <w:lastRenderedPageBreak/>
        <w:t xml:space="preserve">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w:t>
      </w:r>
      <w:r w:rsidR="00F86541" w:rsidRPr="00DD56A6">
        <w:rPr>
          <w:i/>
          <w:sz w:val="24"/>
          <w:lang w:val="en-US"/>
        </w:rPr>
        <w:t>Audit</w:t>
      </w:r>
      <w:r w:rsidR="00F86541" w:rsidRPr="00F86541">
        <w:rPr>
          <w:i/>
          <w:sz w:val="24"/>
          <w:lang w:val="en-US"/>
        </w:rPr>
        <w:t xml:space="preserve"> and Related Matters</w:t>
      </w:r>
      <w:r w:rsidRPr="005B7824">
        <w:rPr>
          <w:sz w:val="24"/>
          <w:lang w:val="en-US"/>
        </w:rPr>
        <w:t>.</w:t>
      </w:r>
    </w:p>
    <w:p w14:paraId="746CD228"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authorisation of that information. It is the responsibility of the Board and senior management of the insurer to ensure that an appropriate set of policies and procedures for the authorisation of data submitted to APRA is in place. </w:t>
      </w:r>
    </w:p>
    <w:p w14:paraId="0DC74CDC"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Authorisation</w:t>
      </w:r>
    </w:p>
    <w:p w14:paraId="31DC3F02" w14:textId="77777777" w:rsidR="005B7824" w:rsidRPr="005B7824" w:rsidRDefault="005B7824" w:rsidP="005B7824">
      <w:pPr>
        <w:numPr>
          <w:ilvl w:val="1"/>
          <w:numId w:val="23"/>
        </w:numPr>
        <w:spacing w:after="240"/>
        <w:jc w:val="both"/>
        <w:rPr>
          <w:sz w:val="24"/>
          <w:lang w:val="en-US"/>
        </w:rPr>
      </w:pPr>
      <w:r w:rsidRPr="005B7824">
        <w:rPr>
          <w:sz w:val="24"/>
          <w:lang w:val="en-US"/>
        </w:rPr>
        <w:t>When an officer, or agent, of an insurer provides the information required by this Reporting Standard using the ‘Direct to APRA’ software it will be necessary for an officer, or agent, to digitally sign the relevant information using a digital certificate acceptable to APRA.</w:t>
      </w:r>
    </w:p>
    <w:p w14:paraId="6969F435" w14:textId="77777777" w:rsidR="005B7824" w:rsidRPr="005B7824" w:rsidRDefault="005B7824" w:rsidP="005B7824">
      <w:pPr>
        <w:numPr>
          <w:ilvl w:val="1"/>
          <w:numId w:val="23"/>
        </w:numPr>
        <w:spacing w:after="240"/>
        <w:jc w:val="both"/>
        <w:rPr>
          <w:sz w:val="24"/>
          <w:lang w:val="en-US"/>
        </w:rPr>
      </w:pPr>
      <w:r w:rsidRPr="005B7824">
        <w:rPr>
          <w:sz w:val="24"/>
          <w:lang w:val="en-US"/>
        </w:rPr>
        <w:t>If an insurer provides the information required by this Reporting Standard through an agent who submits using the ‘Direct to APRA’ software on the insurer’s behalf, the insurer must:</w:t>
      </w:r>
    </w:p>
    <w:p w14:paraId="20CA9635"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16F139E3"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retain the completed copy.</w:t>
      </w:r>
    </w:p>
    <w:p w14:paraId="3F4669A5" w14:textId="77777777" w:rsidR="005B7824" w:rsidRPr="005B7824" w:rsidRDefault="005B7824" w:rsidP="005B7824">
      <w:pPr>
        <w:numPr>
          <w:ilvl w:val="1"/>
          <w:numId w:val="23"/>
        </w:numPr>
        <w:spacing w:after="240"/>
        <w:jc w:val="both"/>
        <w:rPr>
          <w:sz w:val="24"/>
          <w:lang w:val="en-US"/>
        </w:rPr>
      </w:pPr>
      <w:r w:rsidRPr="005B7824">
        <w:rPr>
          <w:sz w:val="24"/>
          <w:lang w:val="en-US"/>
        </w:rPr>
        <w:t>An officer, or agent, of an insurer who submits the information under this Reporting Standard for, or on behalf of, the insurer must be authorised by either:</w:t>
      </w:r>
    </w:p>
    <w:p w14:paraId="0B4FB0EB"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Principal Executive Officer of the insurer; or</w:t>
      </w:r>
    </w:p>
    <w:p w14:paraId="0B42CFE9"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Chief Financial Officer of the insurer.</w:t>
      </w:r>
    </w:p>
    <w:p w14:paraId="1D2EDB63"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29A33238" w14:textId="77777777" w:rsidR="005B7824" w:rsidRPr="005B7824" w:rsidRDefault="005B7824" w:rsidP="005B7824">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Form GRF </w:t>
      </w:r>
      <w:r w:rsidR="00BA625D">
        <w:rPr>
          <w:snapToGrid w:val="0"/>
          <w:sz w:val="24"/>
          <w:lang w:eastAsia="en-US"/>
        </w:rPr>
        <w:t>114.</w:t>
      </w:r>
      <w:r w:rsidR="004D6D70">
        <w:rPr>
          <w:snapToGrid w:val="0"/>
          <w:sz w:val="24"/>
          <w:lang w:eastAsia="en-US"/>
        </w:rPr>
        <w:t>1</w:t>
      </w:r>
      <w:r w:rsidRPr="005B7824">
        <w:rPr>
          <w:i/>
          <w:snapToGrid w:val="0"/>
          <w:sz w:val="24"/>
          <w:lang w:eastAsia="en-US"/>
        </w:rPr>
        <w:t xml:space="preserve"> </w:t>
      </w:r>
      <w:r w:rsidRPr="005B7824">
        <w:rPr>
          <w:snapToGrid w:val="0"/>
          <w:sz w:val="24"/>
          <w:lang w:eastAsia="en-US"/>
        </w:rPr>
        <w:t>in relation to that insurer.</w:t>
      </w:r>
    </w:p>
    <w:p w14:paraId="74CA4C3B" w14:textId="77777777" w:rsidR="005B7824" w:rsidRPr="005B7824" w:rsidRDefault="005B7824" w:rsidP="008A50E4">
      <w:pPr>
        <w:keepNext/>
        <w:spacing w:after="240"/>
        <w:jc w:val="both"/>
        <w:rPr>
          <w:rFonts w:ascii="Arial" w:hAnsi="Arial" w:cs="Arial"/>
          <w:b/>
          <w:sz w:val="24"/>
          <w:lang w:val="en-US"/>
        </w:rPr>
      </w:pPr>
      <w:r w:rsidRPr="005B7824">
        <w:rPr>
          <w:rFonts w:ascii="Arial" w:hAnsi="Arial" w:cs="Arial"/>
          <w:b/>
          <w:sz w:val="24"/>
          <w:lang w:val="en-US"/>
        </w:rPr>
        <w:t xml:space="preserve">Interpretation </w:t>
      </w:r>
    </w:p>
    <w:p w14:paraId="0FDB74FD" w14:textId="77777777" w:rsidR="005B7824" w:rsidRPr="005B7824" w:rsidRDefault="005B7824" w:rsidP="008A50E4">
      <w:pPr>
        <w:keepNext/>
        <w:numPr>
          <w:ilvl w:val="1"/>
          <w:numId w:val="23"/>
        </w:numPr>
        <w:spacing w:after="240"/>
        <w:jc w:val="both"/>
        <w:rPr>
          <w:sz w:val="24"/>
          <w:lang w:val="en-US"/>
        </w:rPr>
      </w:pPr>
      <w:r w:rsidRPr="005B7824">
        <w:rPr>
          <w:sz w:val="24"/>
          <w:lang w:val="en-US"/>
        </w:rPr>
        <w:t>In this Reporting Standard (including the attachments):</w:t>
      </w:r>
    </w:p>
    <w:p w14:paraId="7123C3A2" w14:textId="77777777"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041500C3" w14:textId="77777777" w:rsidR="005B7824" w:rsidRPr="005B7824" w:rsidRDefault="005B7824" w:rsidP="00F86541">
      <w:pPr>
        <w:numPr>
          <w:ilvl w:val="0"/>
          <w:numId w:val="24"/>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Act;</w:t>
      </w:r>
    </w:p>
    <w:p w14:paraId="34CAE353" w14:textId="62AC8A9B"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APRA-authorised reinsurer</w:t>
      </w:r>
      <w:r w:rsidRPr="005B7824">
        <w:rPr>
          <w:sz w:val="24"/>
          <w:szCs w:val="24"/>
          <w:lang w:val="en-US"/>
        </w:rPr>
        <w:t xml:space="preserve"> means an insurer carrying on reinsurance business.  For the purposes of this definition, a Lloyd’s underwriter as defined under the Insurance Act is an APRA-authorised reinsurer if it carries on reinsurance business</w:t>
      </w:r>
      <w:r w:rsidR="00623592">
        <w:rPr>
          <w:sz w:val="24"/>
          <w:szCs w:val="24"/>
          <w:lang w:val="en-US"/>
        </w:rPr>
        <w:t xml:space="preserve">. </w:t>
      </w:r>
      <w:r w:rsidR="00623592" w:rsidRPr="00952A58">
        <w:rPr>
          <w:sz w:val="24"/>
          <w:szCs w:val="24"/>
        </w:rPr>
        <w:t>The Australian Reinsurance Pool Corporation is also an APRA-authorised reinsurer for the purposes of this definition</w:t>
      </w:r>
      <w:r w:rsidR="00952A58">
        <w:rPr>
          <w:sz w:val="24"/>
          <w:szCs w:val="24"/>
        </w:rPr>
        <w:t>;</w:t>
      </w:r>
    </w:p>
    <w:p w14:paraId="667FC09D"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lastRenderedPageBreak/>
        <w:t>capital standards</w:t>
      </w:r>
      <w:r w:rsidRPr="005B7824">
        <w:rPr>
          <w:sz w:val="24"/>
          <w:szCs w:val="24"/>
          <w:lang w:val="en-US"/>
        </w:rPr>
        <w:t xml:space="preserve"> means the prudential standards which relate to capital adequacy as defined in GPS 001;</w:t>
      </w:r>
    </w:p>
    <w:p w14:paraId="4E0D4297"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means the chief financial officer of the insurer, by whatever name called;</w:t>
      </w:r>
    </w:p>
    <w:p w14:paraId="6DC088D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of the insurer;</w:t>
      </w:r>
    </w:p>
    <w:p w14:paraId="0E4EDF8D"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Act;</w:t>
      </w:r>
      <w:r w:rsidRPr="005B7824">
        <w:rPr>
          <w:b/>
          <w:i/>
          <w:sz w:val="24"/>
          <w:szCs w:val="24"/>
          <w:lang w:val="en-US"/>
        </w:rPr>
        <w:t xml:space="preserve"> </w:t>
      </w:r>
    </w:p>
    <w:p w14:paraId="02E2DB4D"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5403B97E"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2DEFEA2C"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67F76AD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Act; </w:t>
      </w:r>
    </w:p>
    <w:p w14:paraId="19CA46D9" w14:textId="77777777"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‘authorised insurer’, ‘authorised insurance entity’ or ‘licensed insurer’ is a reference to an insurer, and a reference to an ‘authorised reinsurance entity’ is a reference to an insurer whose business consists only of undertaking liability by way of reinsurance.</w:t>
      </w:r>
    </w:p>
    <w:p w14:paraId="000CA1AB"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non-APRA-authorised reinsurer</w:t>
      </w:r>
      <w:r w:rsidRPr="005B7824">
        <w:rPr>
          <w:sz w:val="24"/>
          <w:szCs w:val="24"/>
          <w:lang w:val="en-US"/>
        </w:rPr>
        <w:t xml:space="preserve"> means any reinsurer that is not an APRA-authorised reinsurer;</w:t>
      </w:r>
    </w:p>
    <w:p w14:paraId="7FA2BE63"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means the principal executive officer of the insurer, by whatever name called, and whether or not he or she is a member of the governing board of the insurer; and</w:t>
      </w:r>
    </w:p>
    <w:p w14:paraId="216ECEAF"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C25ABB">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C25ABB">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C25ABB">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C25ABB">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C25ABB">
        <w:rPr>
          <w:sz w:val="24"/>
          <w:szCs w:val="24"/>
          <w:lang w:val="en-US"/>
        </w:rPr>
        <w:t>7</w:t>
      </w:r>
      <w:r w:rsidRPr="005B7824">
        <w:rPr>
          <w:sz w:val="24"/>
          <w:szCs w:val="24"/>
          <w:lang w:val="en-US"/>
        </w:rPr>
        <w:fldChar w:fldCharType="end"/>
      </w:r>
      <w:r w:rsidRPr="005B7824">
        <w:rPr>
          <w:sz w:val="24"/>
          <w:szCs w:val="24"/>
          <w:lang w:val="en-US"/>
        </w:rPr>
        <w:t xml:space="preserve">. </w:t>
      </w:r>
    </w:p>
    <w:p w14:paraId="32FBD449" w14:textId="77777777" w:rsidR="00726E2A" w:rsidRDefault="00726E2A" w:rsidP="00760AC5">
      <w:pPr>
        <w:pStyle w:val="Header"/>
        <w:jc w:val="both"/>
        <w:rPr>
          <w:bCs/>
        </w:rPr>
        <w:sectPr w:rsidR="00726E2A" w:rsidSect="00196E31">
          <w:headerReference w:type="default" r:id="rId17"/>
          <w:footerReference w:type="default" r:id="rId18"/>
          <w:pgSz w:w="11907" w:h="16840" w:code="9"/>
          <w:pgMar w:top="1440" w:right="1440" w:bottom="1440" w:left="1440" w:header="720" w:footer="720" w:gutter="0"/>
          <w:pgNumType w:start="1"/>
          <w:cols w:space="720"/>
          <w:docGrid w:linePitch="272"/>
        </w:sectPr>
      </w:pPr>
    </w:p>
    <w:p w14:paraId="020BBDA7" w14:textId="546DA1D1" w:rsidR="00706FC7" w:rsidRDefault="0039184D" w:rsidP="00760AC5">
      <w:pPr>
        <w:pStyle w:val="Header"/>
        <w:jc w:val="both"/>
      </w:pPr>
      <w:r>
        <w:rPr>
          <w:noProof/>
        </w:rPr>
        <w:lastRenderedPageBreak/>
        <w:drawing>
          <wp:inline distT="0" distB="0" distL="0" distR="0" wp14:anchorId="6B0ADAD5" wp14:editId="70ED233C">
            <wp:extent cx="8858250" cy="4000500"/>
            <wp:effectExtent l="0" t="0" r="0" b="0"/>
            <wp:docPr id="3" name="Picture 3" descr="Reporting Form GRF_114_1: Assets by Counterparty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orting Form GRF_114_1: Assets by Counterparty Grad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0" cy="4000500"/>
                    </a:xfrm>
                    <a:prstGeom prst="rect">
                      <a:avLst/>
                    </a:prstGeom>
                    <a:noFill/>
                    <a:ln>
                      <a:noFill/>
                    </a:ln>
                  </pic:spPr>
                </pic:pic>
              </a:graphicData>
            </a:graphic>
          </wp:inline>
        </w:drawing>
      </w:r>
    </w:p>
    <w:p w14:paraId="17776DF0" w14:textId="387A62A8" w:rsidR="00706FC7" w:rsidRDefault="00706FC7" w:rsidP="00760AC5">
      <w:pPr>
        <w:pStyle w:val="Header"/>
        <w:jc w:val="both"/>
      </w:pPr>
      <w:r>
        <w:br w:type="page"/>
      </w:r>
      <w:r w:rsidR="0039184D">
        <w:rPr>
          <w:noProof/>
        </w:rPr>
        <w:lastRenderedPageBreak/>
        <w:drawing>
          <wp:inline distT="0" distB="0" distL="0" distR="0" wp14:anchorId="1A7A1A96" wp14:editId="7DE4400E">
            <wp:extent cx="8858250" cy="2762250"/>
            <wp:effectExtent l="0" t="0" r="0" b="0"/>
            <wp:docPr id="4" name="Picture 4" descr="Reporting Form GRF_114_1: Assets by Counterparty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orting Form GRF_114_1: Assets by Counterparty Grad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58250" cy="2762250"/>
                    </a:xfrm>
                    <a:prstGeom prst="rect">
                      <a:avLst/>
                    </a:prstGeom>
                    <a:noFill/>
                    <a:ln>
                      <a:noFill/>
                    </a:ln>
                  </pic:spPr>
                </pic:pic>
              </a:graphicData>
            </a:graphic>
          </wp:inline>
        </w:drawing>
      </w:r>
    </w:p>
    <w:p w14:paraId="5BC1417E" w14:textId="77777777" w:rsidR="001A715A" w:rsidRDefault="001A715A" w:rsidP="00760AC5">
      <w:pPr>
        <w:pStyle w:val="Header"/>
        <w:jc w:val="both"/>
        <w:rPr>
          <w:bCs/>
        </w:rPr>
        <w:sectPr w:rsidR="001A715A" w:rsidSect="001A715A">
          <w:headerReference w:type="default" r:id="rId21"/>
          <w:footerReference w:type="default" r:id="rId22"/>
          <w:headerReference w:type="first" r:id="rId23"/>
          <w:footerReference w:type="first" r:id="rId24"/>
          <w:pgSz w:w="16840" w:h="11907" w:orient="landscape" w:code="9"/>
          <w:pgMar w:top="1797" w:right="1440" w:bottom="1797" w:left="1440" w:header="720" w:footer="720" w:gutter="0"/>
          <w:pgNumType w:start="1"/>
          <w:cols w:space="720"/>
          <w:docGrid w:linePitch="272"/>
        </w:sectPr>
      </w:pPr>
    </w:p>
    <w:p w14:paraId="1FFA5D2F" w14:textId="77777777" w:rsidR="00706FC7" w:rsidRPr="0053041F" w:rsidRDefault="00706FC7" w:rsidP="00706FC7">
      <w:pPr>
        <w:keepNext/>
        <w:spacing w:before="120" w:after="360"/>
        <w:jc w:val="center"/>
        <w:rPr>
          <w:rFonts w:ascii="Arial" w:hAnsi="Arial" w:cs="Arial"/>
          <w:b/>
          <w:sz w:val="32"/>
          <w:szCs w:val="32"/>
        </w:rPr>
      </w:pPr>
      <w:r w:rsidRPr="00706FC7">
        <w:rPr>
          <w:rFonts w:ascii="Arial" w:hAnsi="Arial" w:cs="Arial"/>
          <w:b/>
          <w:bCs/>
          <w:sz w:val="32"/>
          <w:szCs w:val="32"/>
        </w:rPr>
        <w:lastRenderedPageBreak/>
        <w:t>GRF_114_1: Assets by Counterparty Grade</w:t>
      </w:r>
    </w:p>
    <w:p w14:paraId="62D5A8D1" w14:textId="77777777" w:rsidR="00706FC7" w:rsidRPr="00706FC7" w:rsidRDefault="00706FC7" w:rsidP="00706FC7">
      <w:pPr>
        <w:keepNext/>
        <w:spacing w:before="120" w:after="360"/>
        <w:jc w:val="both"/>
        <w:rPr>
          <w:rFonts w:ascii="Arial" w:hAnsi="Arial" w:cs="Arial"/>
          <w:b/>
          <w:sz w:val="32"/>
          <w:szCs w:val="32"/>
        </w:rPr>
      </w:pPr>
      <w:r w:rsidRPr="00706FC7">
        <w:rPr>
          <w:sz w:val="24"/>
          <w:szCs w:val="24"/>
        </w:rPr>
        <w:t>These instructions must be read in conjunction with the general instruction guide.</w:t>
      </w:r>
    </w:p>
    <w:p w14:paraId="39BA4479" w14:textId="77777777" w:rsidR="00706FC7" w:rsidRPr="00706FC7" w:rsidRDefault="00706FC7" w:rsidP="00706FC7">
      <w:pPr>
        <w:keepNext/>
        <w:spacing w:before="120" w:after="360"/>
        <w:jc w:val="both"/>
        <w:rPr>
          <w:rFonts w:ascii="Arial" w:hAnsi="Arial" w:cs="Arial"/>
          <w:b/>
          <w:sz w:val="32"/>
          <w:szCs w:val="32"/>
        </w:rPr>
      </w:pPr>
      <w:r w:rsidRPr="00706FC7">
        <w:rPr>
          <w:rFonts w:ascii="Arial" w:hAnsi="Arial" w:cs="Arial"/>
          <w:b/>
          <w:sz w:val="32"/>
          <w:szCs w:val="32"/>
        </w:rPr>
        <w:t>Explanatory notes</w:t>
      </w:r>
    </w:p>
    <w:p w14:paraId="39E1BB09" w14:textId="77777777" w:rsidR="00706FC7" w:rsidRPr="00706FC7" w:rsidRDefault="00706FC7" w:rsidP="00706FC7">
      <w:pPr>
        <w:keepNext/>
        <w:spacing w:before="120" w:after="240"/>
        <w:jc w:val="both"/>
        <w:rPr>
          <w:rFonts w:ascii="Arial" w:hAnsi="Arial" w:cs="Arial"/>
          <w:b/>
          <w:sz w:val="24"/>
          <w:szCs w:val="24"/>
        </w:rPr>
      </w:pPr>
      <w:r w:rsidRPr="00706FC7">
        <w:rPr>
          <w:rFonts w:ascii="Arial" w:hAnsi="Arial" w:cs="Arial"/>
          <w:b/>
          <w:sz w:val="24"/>
          <w:szCs w:val="24"/>
        </w:rPr>
        <w:t>Reporting basis</w:t>
      </w:r>
    </w:p>
    <w:p w14:paraId="23D12362" w14:textId="77777777" w:rsidR="00706FC7" w:rsidRPr="00706FC7" w:rsidRDefault="00706FC7" w:rsidP="00706FC7">
      <w:pPr>
        <w:spacing w:before="120" w:after="240"/>
        <w:jc w:val="both"/>
        <w:rPr>
          <w:sz w:val="24"/>
          <w:szCs w:val="24"/>
        </w:rPr>
      </w:pPr>
      <w:r w:rsidRPr="00706FC7">
        <w:rPr>
          <w:sz w:val="24"/>
          <w:szCs w:val="24"/>
        </w:rPr>
        <w:t xml:space="preserve">The values of the items reported in this form are to correspond with those reported in: </w:t>
      </w:r>
      <w:r w:rsidRPr="00706FC7">
        <w:rPr>
          <w:i/>
          <w:sz w:val="24"/>
          <w:szCs w:val="24"/>
        </w:rPr>
        <w:t>GRF 114.4 Details of Investment Assets</w:t>
      </w:r>
      <w:r w:rsidRPr="00706FC7">
        <w:rPr>
          <w:sz w:val="24"/>
          <w:szCs w:val="24"/>
        </w:rPr>
        <w:t xml:space="preserve"> (GRF 114.4) and </w:t>
      </w:r>
      <w:r w:rsidRPr="00706FC7">
        <w:rPr>
          <w:i/>
          <w:sz w:val="24"/>
          <w:szCs w:val="24"/>
        </w:rPr>
        <w:t>GRF 300.0 Statement of Financial Position</w:t>
      </w:r>
      <w:r w:rsidRPr="00706FC7">
        <w:rPr>
          <w:sz w:val="24"/>
          <w:szCs w:val="24"/>
        </w:rPr>
        <w:t xml:space="preserve"> (GRF 300.0).</w:t>
      </w:r>
    </w:p>
    <w:p w14:paraId="29473BA6" w14:textId="77777777" w:rsidR="00706FC7" w:rsidRPr="00706FC7" w:rsidRDefault="00706FC7" w:rsidP="00706FC7">
      <w:pPr>
        <w:keepNext/>
        <w:spacing w:before="120" w:after="240"/>
        <w:jc w:val="both"/>
        <w:rPr>
          <w:rFonts w:ascii="Arial" w:hAnsi="Arial" w:cs="Arial"/>
          <w:b/>
          <w:sz w:val="24"/>
          <w:szCs w:val="24"/>
        </w:rPr>
      </w:pPr>
      <w:r w:rsidRPr="00706FC7">
        <w:rPr>
          <w:rFonts w:ascii="Arial" w:hAnsi="Arial" w:cs="Arial"/>
          <w:b/>
          <w:sz w:val="24"/>
          <w:szCs w:val="24"/>
        </w:rPr>
        <w:t>Counterparty grade</w:t>
      </w:r>
    </w:p>
    <w:p w14:paraId="2CC80900" w14:textId="77777777" w:rsidR="00706FC7" w:rsidRPr="00706FC7" w:rsidRDefault="00706FC7" w:rsidP="00706FC7">
      <w:pPr>
        <w:spacing w:before="120" w:after="240"/>
        <w:jc w:val="both"/>
        <w:rPr>
          <w:sz w:val="24"/>
          <w:szCs w:val="24"/>
        </w:rPr>
      </w:pPr>
      <w:r w:rsidRPr="00706FC7">
        <w:rPr>
          <w:sz w:val="24"/>
          <w:szCs w:val="24"/>
        </w:rPr>
        <w:t xml:space="preserve">For each asset exposure, report the amounts corresponding to each counterparty grade in Columns 1 to 8.  The counterparty grade is to be determined in accordance with </w:t>
      </w:r>
      <w:r w:rsidRPr="00706FC7">
        <w:rPr>
          <w:i/>
          <w:sz w:val="24"/>
          <w:szCs w:val="24"/>
        </w:rPr>
        <w:t>Prudential Standard GPS 001 Definitions</w:t>
      </w:r>
      <w:r w:rsidRPr="00706FC7">
        <w:rPr>
          <w:sz w:val="24"/>
          <w:szCs w:val="24"/>
        </w:rPr>
        <w:t xml:space="preserve"> and </w:t>
      </w:r>
      <w:r w:rsidRPr="00706FC7">
        <w:rPr>
          <w:i/>
          <w:sz w:val="24"/>
          <w:szCs w:val="24"/>
        </w:rPr>
        <w:t>Prudential Standard GPS 114 Capital Adequacy: Asset Risk Charge</w:t>
      </w:r>
      <w:r w:rsidRPr="00706FC7">
        <w:rPr>
          <w:sz w:val="24"/>
          <w:szCs w:val="24"/>
        </w:rPr>
        <w:t>.</w:t>
      </w:r>
    </w:p>
    <w:p w14:paraId="110E1999" w14:textId="77777777" w:rsidR="00706FC7" w:rsidRPr="00706FC7" w:rsidRDefault="00706FC7" w:rsidP="00706FC7">
      <w:pPr>
        <w:keepNext/>
        <w:spacing w:before="120" w:after="240"/>
        <w:jc w:val="both"/>
        <w:rPr>
          <w:rFonts w:ascii="Arial" w:hAnsi="Arial" w:cs="Arial"/>
          <w:b/>
          <w:sz w:val="24"/>
          <w:szCs w:val="24"/>
        </w:rPr>
      </w:pPr>
      <w:r w:rsidRPr="00706FC7">
        <w:rPr>
          <w:rFonts w:ascii="Arial" w:hAnsi="Arial" w:cs="Arial"/>
          <w:b/>
          <w:sz w:val="24"/>
          <w:szCs w:val="24"/>
        </w:rPr>
        <w:t>Fair value</w:t>
      </w:r>
    </w:p>
    <w:p w14:paraId="64F8B8D4" w14:textId="77777777" w:rsidR="00706FC7" w:rsidRPr="00706FC7" w:rsidRDefault="00706FC7" w:rsidP="00706FC7">
      <w:pPr>
        <w:spacing w:before="120" w:after="240"/>
        <w:jc w:val="both"/>
        <w:rPr>
          <w:sz w:val="24"/>
          <w:szCs w:val="24"/>
        </w:rPr>
      </w:pPr>
      <w:r w:rsidRPr="00706FC7">
        <w:rPr>
          <w:sz w:val="24"/>
          <w:szCs w:val="24"/>
        </w:rPr>
        <w:t>Assets backing insurance liabilities are to be reported at fair value.</w:t>
      </w:r>
    </w:p>
    <w:p w14:paraId="34D78A56" w14:textId="77777777" w:rsidR="00706FC7" w:rsidRPr="00706FC7" w:rsidRDefault="00706FC7" w:rsidP="00706FC7">
      <w:pPr>
        <w:keepNext/>
        <w:spacing w:before="120" w:after="360"/>
        <w:jc w:val="both"/>
        <w:rPr>
          <w:rFonts w:ascii="Arial" w:hAnsi="Arial" w:cs="Arial"/>
          <w:b/>
          <w:sz w:val="32"/>
          <w:szCs w:val="32"/>
        </w:rPr>
      </w:pPr>
      <w:r w:rsidRPr="00706FC7">
        <w:rPr>
          <w:rFonts w:ascii="Arial" w:hAnsi="Arial" w:cs="Arial"/>
          <w:b/>
          <w:sz w:val="32"/>
          <w:szCs w:val="32"/>
        </w:rPr>
        <w:t>Instructions for specific items</w:t>
      </w:r>
    </w:p>
    <w:p w14:paraId="4BE2DF9B" w14:textId="77777777" w:rsidR="00706FC7" w:rsidRPr="00706FC7" w:rsidRDefault="00706FC7" w:rsidP="00706FC7">
      <w:pPr>
        <w:keepNext/>
        <w:numPr>
          <w:ilvl w:val="0"/>
          <w:numId w:val="27"/>
        </w:numPr>
        <w:spacing w:before="120" w:after="240"/>
        <w:ind w:left="567" w:hanging="567"/>
        <w:jc w:val="both"/>
        <w:rPr>
          <w:rFonts w:ascii="Arial" w:hAnsi="Arial" w:cs="Arial"/>
          <w:b/>
          <w:sz w:val="24"/>
          <w:szCs w:val="24"/>
        </w:rPr>
      </w:pPr>
      <w:r w:rsidRPr="00706FC7">
        <w:rPr>
          <w:rFonts w:ascii="Arial" w:hAnsi="Arial" w:cs="Arial"/>
          <w:b/>
          <w:sz w:val="24"/>
          <w:szCs w:val="24"/>
        </w:rPr>
        <w:t>Direct interest rate investments</w:t>
      </w:r>
    </w:p>
    <w:p w14:paraId="59A91965" w14:textId="77777777" w:rsidR="00706FC7" w:rsidRPr="00706FC7" w:rsidRDefault="00706FC7" w:rsidP="00706FC7">
      <w:pPr>
        <w:spacing w:before="120" w:after="240"/>
        <w:jc w:val="both"/>
        <w:rPr>
          <w:sz w:val="24"/>
          <w:szCs w:val="24"/>
        </w:rPr>
      </w:pPr>
      <w:r w:rsidRPr="00706FC7">
        <w:rPr>
          <w:sz w:val="24"/>
          <w:szCs w:val="24"/>
        </w:rPr>
        <w:t>This is the value of debt securities held by the reporting insurer as at the relevant date, plus the value of deposits and placements that have been classified by the reporting insurer as assets backing insurance liabilities for statutory reporting purposes. A debt security is a transferable instrument evidencing a relationship of indebtedness. It is characterised by having a definable return that is not based on the economic performance of the issuing entity.</w:t>
      </w:r>
    </w:p>
    <w:p w14:paraId="47401A99" w14:textId="77777777" w:rsidR="00706FC7" w:rsidRPr="00706FC7" w:rsidRDefault="00706FC7" w:rsidP="00706FC7">
      <w:pPr>
        <w:spacing w:before="120" w:after="240"/>
        <w:jc w:val="both"/>
        <w:rPr>
          <w:b/>
          <w:sz w:val="24"/>
          <w:szCs w:val="24"/>
        </w:rPr>
      </w:pPr>
      <w:r w:rsidRPr="00706FC7">
        <w:rPr>
          <w:sz w:val="24"/>
          <w:szCs w:val="24"/>
        </w:rPr>
        <w:t xml:space="preserve">The total across the counterparty grades should correspond to Item 4 in Section 1 of GRF 114.4. </w:t>
      </w:r>
    </w:p>
    <w:p w14:paraId="0149306F" w14:textId="77777777" w:rsidR="00706FC7" w:rsidRPr="00706FC7" w:rsidRDefault="00706FC7" w:rsidP="00706FC7">
      <w:pPr>
        <w:keepNext/>
        <w:numPr>
          <w:ilvl w:val="0"/>
          <w:numId w:val="27"/>
        </w:numPr>
        <w:spacing w:before="120" w:after="240"/>
        <w:ind w:left="567" w:hanging="567"/>
        <w:jc w:val="both"/>
        <w:rPr>
          <w:rFonts w:ascii="Arial" w:hAnsi="Arial" w:cs="Arial"/>
          <w:b/>
          <w:sz w:val="24"/>
          <w:szCs w:val="24"/>
        </w:rPr>
      </w:pPr>
      <w:r w:rsidRPr="00706FC7">
        <w:rPr>
          <w:rFonts w:ascii="Arial" w:hAnsi="Arial" w:cs="Arial"/>
          <w:b/>
          <w:sz w:val="24"/>
          <w:szCs w:val="24"/>
        </w:rPr>
        <w:t>Net loans and advances</w:t>
      </w:r>
    </w:p>
    <w:p w14:paraId="6FD3C56C" w14:textId="77777777" w:rsidR="00706FC7" w:rsidRPr="00706FC7" w:rsidRDefault="00706FC7" w:rsidP="00706FC7">
      <w:pPr>
        <w:spacing w:before="120" w:after="240"/>
        <w:jc w:val="both"/>
        <w:rPr>
          <w:sz w:val="24"/>
          <w:szCs w:val="24"/>
        </w:rPr>
      </w:pPr>
      <w:r w:rsidRPr="00706FC7">
        <w:rPr>
          <w:sz w:val="24"/>
          <w:szCs w:val="24"/>
        </w:rPr>
        <w:t>This is, as at the relevant date, the principal amount of loans and advances provided, net of associated provisions for impairment and deferred fee income, and including any accrued interest. Loans and advances are those financial assets categorised as "Loans and receivables" in the accounting standards other than "Trade receivables" and "Cash".</w:t>
      </w:r>
    </w:p>
    <w:p w14:paraId="2A49BBCB" w14:textId="77777777" w:rsidR="00706FC7" w:rsidRPr="00706FC7" w:rsidRDefault="00706FC7" w:rsidP="00706FC7">
      <w:pPr>
        <w:spacing w:before="120" w:after="240"/>
        <w:jc w:val="both"/>
        <w:rPr>
          <w:sz w:val="24"/>
          <w:szCs w:val="24"/>
        </w:rPr>
      </w:pPr>
      <w:r w:rsidRPr="00706FC7">
        <w:rPr>
          <w:sz w:val="24"/>
          <w:szCs w:val="24"/>
        </w:rPr>
        <w:t>The total across the counterparty grades should correspond to Item 1 - Column 4 in Section 4 of GRF 114.4.</w:t>
      </w:r>
    </w:p>
    <w:p w14:paraId="69B62DFD" w14:textId="77777777" w:rsidR="00706FC7" w:rsidRPr="00706FC7" w:rsidRDefault="00706FC7" w:rsidP="00706FC7">
      <w:pPr>
        <w:keepNext/>
        <w:numPr>
          <w:ilvl w:val="0"/>
          <w:numId w:val="27"/>
        </w:numPr>
        <w:spacing w:before="120" w:after="240"/>
        <w:ind w:left="567" w:hanging="567"/>
        <w:jc w:val="both"/>
        <w:rPr>
          <w:rFonts w:ascii="Arial" w:hAnsi="Arial" w:cs="Arial"/>
          <w:b/>
          <w:sz w:val="24"/>
          <w:szCs w:val="24"/>
        </w:rPr>
      </w:pPr>
      <w:r w:rsidRPr="00706FC7">
        <w:rPr>
          <w:rFonts w:ascii="Arial" w:hAnsi="Arial" w:cs="Arial"/>
          <w:b/>
          <w:sz w:val="24"/>
          <w:szCs w:val="24"/>
        </w:rPr>
        <w:lastRenderedPageBreak/>
        <w:t>Cash management trusts</w:t>
      </w:r>
    </w:p>
    <w:p w14:paraId="0D0F3B8C" w14:textId="77777777" w:rsidR="00706FC7" w:rsidRPr="00706FC7" w:rsidRDefault="00706FC7" w:rsidP="00706FC7">
      <w:pPr>
        <w:spacing w:before="120" w:after="240"/>
        <w:jc w:val="both"/>
        <w:rPr>
          <w:sz w:val="24"/>
          <w:szCs w:val="24"/>
        </w:rPr>
      </w:pPr>
      <w:r w:rsidRPr="00706FC7">
        <w:rPr>
          <w:sz w:val="24"/>
          <w:szCs w:val="24"/>
        </w:rPr>
        <w:t>This is the aggregate value of holdings in investment vehicles which constitute cash management trusts.</w:t>
      </w:r>
    </w:p>
    <w:p w14:paraId="1C6C2E45" w14:textId="77777777" w:rsidR="00706FC7" w:rsidRPr="00706FC7" w:rsidRDefault="00706FC7" w:rsidP="00706FC7">
      <w:pPr>
        <w:spacing w:before="120" w:after="240"/>
        <w:jc w:val="both"/>
        <w:rPr>
          <w:sz w:val="24"/>
          <w:szCs w:val="24"/>
        </w:rPr>
      </w:pPr>
      <w:r w:rsidRPr="00706FC7">
        <w:rPr>
          <w:sz w:val="24"/>
          <w:szCs w:val="24"/>
        </w:rPr>
        <w:t>The total across the counterparty grades should correspond to Item 1.3 in Section 5 of GRF 114.4.</w:t>
      </w:r>
    </w:p>
    <w:p w14:paraId="7D37E0AF" w14:textId="77777777" w:rsidR="00706FC7" w:rsidRPr="00706FC7" w:rsidRDefault="00706FC7" w:rsidP="00706FC7">
      <w:pPr>
        <w:keepNext/>
        <w:numPr>
          <w:ilvl w:val="0"/>
          <w:numId w:val="27"/>
        </w:numPr>
        <w:spacing w:before="120" w:after="240"/>
        <w:ind w:left="567" w:hanging="567"/>
        <w:jc w:val="both"/>
        <w:rPr>
          <w:rFonts w:ascii="Arial" w:hAnsi="Arial" w:cs="Arial"/>
          <w:b/>
          <w:sz w:val="24"/>
          <w:szCs w:val="24"/>
        </w:rPr>
      </w:pPr>
      <w:r w:rsidRPr="00706FC7">
        <w:rPr>
          <w:rFonts w:ascii="Arial" w:hAnsi="Arial" w:cs="Arial"/>
          <w:b/>
          <w:sz w:val="24"/>
          <w:szCs w:val="24"/>
        </w:rPr>
        <w:t>Derivatives</w:t>
      </w:r>
    </w:p>
    <w:p w14:paraId="63B38EAF" w14:textId="77777777" w:rsidR="00706FC7" w:rsidRPr="00706FC7" w:rsidRDefault="00706FC7" w:rsidP="00706FC7">
      <w:pPr>
        <w:spacing w:before="120" w:after="240"/>
        <w:jc w:val="both"/>
        <w:rPr>
          <w:sz w:val="24"/>
          <w:szCs w:val="24"/>
        </w:rPr>
      </w:pPr>
      <w:r w:rsidRPr="00706FC7">
        <w:rPr>
          <w:sz w:val="24"/>
          <w:szCs w:val="24"/>
        </w:rPr>
        <w:t>This is the value of all open derivatives positions reported as assets on GRF 300.0.</w:t>
      </w:r>
    </w:p>
    <w:p w14:paraId="7A75CC2D" w14:textId="77777777" w:rsidR="00706FC7" w:rsidRPr="00706FC7" w:rsidRDefault="00706FC7" w:rsidP="00706FC7">
      <w:pPr>
        <w:spacing w:before="120" w:after="240"/>
        <w:jc w:val="both"/>
        <w:rPr>
          <w:sz w:val="24"/>
          <w:szCs w:val="24"/>
        </w:rPr>
      </w:pPr>
      <w:r w:rsidRPr="00706FC7">
        <w:rPr>
          <w:sz w:val="24"/>
          <w:szCs w:val="24"/>
        </w:rPr>
        <w:t>The total across the counterparty grades should correspond to Item 4 - 'Total Amount' Column in GRF 300.0.</w:t>
      </w:r>
    </w:p>
    <w:p w14:paraId="1426DD2D" w14:textId="77777777" w:rsidR="00706FC7" w:rsidRPr="00706FC7" w:rsidRDefault="00706FC7" w:rsidP="00706FC7">
      <w:pPr>
        <w:keepNext/>
        <w:numPr>
          <w:ilvl w:val="0"/>
          <w:numId w:val="27"/>
        </w:numPr>
        <w:spacing w:before="120" w:after="240"/>
        <w:ind w:left="567" w:hanging="567"/>
        <w:jc w:val="both"/>
        <w:rPr>
          <w:rFonts w:ascii="Arial" w:hAnsi="Arial" w:cs="Arial"/>
          <w:b/>
          <w:sz w:val="24"/>
          <w:szCs w:val="24"/>
        </w:rPr>
      </w:pPr>
      <w:r w:rsidRPr="00706FC7">
        <w:rPr>
          <w:rFonts w:ascii="Arial" w:hAnsi="Arial" w:cs="Arial"/>
          <w:b/>
          <w:sz w:val="24"/>
          <w:szCs w:val="24"/>
        </w:rPr>
        <w:t>Cash and liquid assets</w:t>
      </w:r>
    </w:p>
    <w:p w14:paraId="31FFC085" w14:textId="77777777" w:rsidR="00706FC7" w:rsidRPr="00706FC7" w:rsidRDefault="00706FC7" w:rsidP="00706FC7">
      <w:pPr>
        <w:spacing w:before="120" w:after="240"/>
        <w:jc w:val="both"/>
        <w:rPr>
          <w:sz w:val="24"/>
          <w:szCs w:val="24"/>
        </w:rPr>
      </w:pPr>
      <w:r w:rsidRPr="00706FC7">
        <w:rPr>
          <w:sz w:val="24"/>
          <w:szCs w:val="24"/>
        </w:rPr>
        <w:t>This is the value, as at the relevant date, of notes and coins; deposits withdrawable or redeemable within 24 hours; and securities purchased under agreements to resell.</w:t>
      </w:r>
    </w:p>
    <w:p w14:paraId="3B89787F" w14:textId="77777777" w:rsidR="00706FC7" w:rsidRPr="00706FC7" w:rsidRDefault="00706FC7" w:rsidP="00706FC7">
      <w:pPr>
        <w:spacing w:before="120" w:after="240"/>
        <w:jc w:val="both"/>
        <w:rPr>
          <w:sz w:val="24"/>
          <w:szCs w:val="24"/>
        </w:rPr>
      </w:pPr>
      <w:r w:rsidRPr="00706FC7">
        <w:rPr>
          <w:sz w:val="24"/>
          <w:szCs w:val="24"/>
        </w:rPr>
        <w:t>The total across the counterparty grades should correspond to Item 1 - 'Total Amount' Column in GRF 300.0.</w:t>
      </w:r>
    </w:p>
    <w:p w14:paraId="23E0733C" w14:textId="77777777" w:rsidR="00706FC7" w:rsidRPr="00706FC7" w:rsidRDefault="00706FC7" w:rsidP="00706FC7">
      <w:pPr>
        <w:keepNext/>
        <w:numPr>
          <w:ilvl w:val="0"/>
          <w:numId w:val="27"/>
        </w:numPr>
        <w:spacing w:before="120" w:after="240"/>
        <w:ind w:left="567" w:hanging="567"/>
        <w:jc w:val="both"/>
        <w:rPr>
          <w:rFonts w:ascii="Arial" w:hAnsi="Arial" w:cs="Arial"/>
          <w:b/>
          <w:sz w:val="24"/>
          <w:szCs w:val="24"/>
        </w:rPr>
      </w:pPr>
      <w:r w:rsidRPr="00706FC7">
        <w:rPr>
          <w:rFonts w:ascii="Arial" w:hAnsi="Arial" w:cs="Arial"/>
          <w:b/>
          <w:sz w:val="24"/>
          <w:szCs w:val="24"/>
        </w:rPr>
        <w:t>Investment income receivable</w:t>
      </w:r>
    </w:p>
    <w:p w14:paraId="74B18921" w14:textId="77777777" w:rsidR="00706FC7" w:rsidRPr="00706FC7" w:rsidRDefault="00706FC7" w:rsidP="00706FC7">
      <w:pPr>
        <w:spacing w:before="120" w:after="240"/>
        <w:jc w:val="both"/>
        <w:rPr>
          <w:sz w:val="24"/>
          <w:szCs w:val="24"/>
        </w:rPr>
      </w:pPr>
      <w:r w:rsidRPr="00706FC7">
        <w:rPr>
          <w:sz w:val="24"/>
          <w:szCs w:val="24"/>
        </w:rPr>
        <w:t>This is the value, as at the relevant date, of investment income that is receivable by the reporting insurer net of any related provisions for doubtful debts. For the purposes of this item, include only income from the holding of investment assets (e.g. interest, dividends, unit trust distributions, and rental income that is accrued but not yet received). Investment assets are those acquired with the intention to subsequently sell the asset at a profit and not for use within the operations of the business or as a strategic investment.</w:t>
      </w:r>
    </w:p>
    <w:p w14:paraId="59E6AA01" w14:textId="77777777" w:rsidR="00706FC7" w:rsidRPr="00706FC7" w:rsidRDefault="00706FC7" w:rsidP="00706FC7">
      <w:pPr>
        <w:spacing w:before="120" w:after="240"/>
        <w:jc w:val="both"/>
        <w:rPr>
          <w:sz w:val="24"/>
          <w:szCs w:val="24"/>
        </w:rPr>
      </w:pPr>
      <w:r w:rsidRPr="00706FC7">
        <w:rPr>
          <w:sz w:val="24"/>
          <w:szCs w:val="24"/>
        </w:rPr>
        <w:t>The total across the counterparty grades should correspond to Item 2.1 - 'Total Amount' Column in GRF 300.0.</w:t>
      </w:r>
    </w:p>
    <w:p w14:paraId="0114BB50" w14:textId="77777777" w:rsidR="00706FC7" w:rsidRPr="00706FC7" w:rsidRDefault="00706FC7" w:rsidP="00706FC7">
      <w:pPr>
        <w:keepNext/>
        <w:numPr>
          <w:ilvl w:val="0"/>
          <w:numId w:val="27"/>
        </w:numPr>
        <w:spacing w:before="120" w:after="240"/>
        <w:ind w:left="567" w:hanging="567"/>
        <w:jc w:val="both"/>
        <w:rPr>
          <w:rFonts w:ascii="Arial" w:hAnsi="Arial" w:cs="Arial"/>
          <w:b/>
          <w:sz w:val="24"/>
          <w:szCs w:val="24"/>
        </w:rPr>
      </w:pPr>
      <w:r w:rsidRPr="00706FC7">
        <w:rPr>
          <w:rFonts w:ascii="Arial" w:hAnsi="Arial" w:cs="Arial"/>
          <w:b/>
          <w:sz w:val="24"/>
          <w:szCs w:val="24"/>
        </w:rPr>
        <w:t>Net recoveries other than reinsurance receivable</w:t>
      </w:r>
    </w:p>
    <w:p w14:paraId="1362A277" w14:textId="77777777" w:rsidR="00706FC7" w:rsidRPr="00706FC7" w:rsidRDefault="00706FC7" w:rsidP="00706FC7">
      <w:pPr>
        <w:spacing w:before="120" w:after="240"/>
        <w:jc w:val="both"/>
        <w:rPr>
          <w:sz w:val="24"/>
          <w:szCs w:val="24"/>
        </w:rPr>
      </w:pPr>
      <w:r w:rsidRPr="00706FC7">
        <w:rPr>
          <w:sz w:val="24"/>
          <w:szCs w:val="24"/>
        </w:rPr>
        <w:t>This is the value, as at the relevant date, of recoveries receivable by the reporting insurer in relation to paid and unpaid insurance claims other than reinsurance recoveries, net of any provisions for depreciation or impairment.</w:t>
      </w:r>
    </w:p>
    <w:p w14:paraId="49FF5DC3" w14:textId="77777777" w:rsidR="00706FC7" w:rsidRPr="00706FC7" w:rsidRDefault="00706FC7" w:rsidP="00706FC7">
      <w:pPr>
        <w:spacing w:before="120" w:after="240"/>
        <w:jc w:val="both"/>
        <w:rPr>
          <w:sz w:val="24"/>
          <w:szCs w:val="24"/>
        </w:rPr>
      </w:pPr>
      <w:r w:rsidRPr="00706FC7">
        <w:rPr>
          <w:sz w:val="24"/>
          <w:szCs w:val="24"/>
        </w:rPr>
        <w:t>This total across the counterparty grades should correspond to Item 2.2 - 'Total Amount' column in GRF 300.0.</w:t>
      </w:r>
    </w:p>
    <w:p w14:paraId="64BCDF76" w14:textId="77777777" w:rsidR="00706FC7" w:rsidRPr="00706FC7" w:rsidRDefault="00706FC7" w:rsidP="00706FC7">
      <w:pPr>
        <w:keepNext/>
        <w:numPr>
          <w:ilvl w:val="0"/>
          <w:numId w:val="27"/>
        </w:numPr>
        <w:spacing w:before="120" w:after="240"/>
        <w:ind w:left="567" w:hanging="567"/>
        <w:jc w:val="both"/>
        <w:rPr>
          <w:rFonts w:ascii="Arial" w:hAnsi="Arial" w:cs="Arial"/>
          <w:b/>
          <w:sz w:val="24"/>
          <w:szCs w:val="24"/>
        </w:rPr>
      </w:pPr>
      <w:r w:rsidRPr="00706FC7">
        <w:rPr>
          <w:rFonts w:ascii="Arial" w:hAnsi="Arial" w:cs="Arial"/>
          <w:b/>
          <w:sz w:val="24"/>
          <w:szCs w:val="24"/>
        </w:rPr>
        <w:t>Other receivables</w:t>
      </w:r>
    </w:p>
    <w:p w14:paraId="3CD59D51" w14:textId="77777777" w:rsidR="00706FC7" w:rsidRPr="00706FC7" w:rsidRDefault="00706FC7" w:rsidP="00706FC7">
      <w:pPr>
        <w:spacing w:before="120" w:after="240"/>
        <w:jc w:val="both"/>
        <w:rPr>
          <w:sz w:val="24"/>
          <w:szCs w:val="24"/>
        </w:rPr>
      </w:pPr>
      <w:r w:rsidRPr="00706FC7">
        <w:rPr>
          <w:sz w:val="24"/>
          <w:szCs w:val="24"/>
        </w:rPr>
        <w:t>This is the value, as at the relevant date, of receivables of the reporting insurer, corresponding to those collected under Item 2.8 of GRF 300.0.</w:t>
      </w:r>
    </w:p>
    <w:p w14:paraId="6A00F208" w14:textId="77777777" w:rsidR="00706FC7" w:rsidRPr="00706FC7" w:rsidRDefault="00706FC7" w:rsidP="00706FC7">
      <w:pPr>
        <w:keepNext/>
        <w:numPr>
          <w:ilvl w:val="0"/>
          <w:numId w:val="27"/>
        </w:numPr>
        <w:spacing w:before="120" w:after="240"/>
        <w:ind w:left="567" w:hanging="567"/>
        <w:jc w:val="both"/>
        <w:rPr>
          <w:rFonts w:ascii="Arial" w:hAnsi="Arial" w:cs="Arial"/>
          <w:b/>
          <w:sz w:val="24"/>
          <w:szCs w:val="24"/>
        </w:rPr>
      </w:pPr>
      <w:r w:rsidRPr="00706FC7">
        <w:rPr>
          <w:rFonts w:ascii="Arial" w:hAnsi="Arial" w:cs="Arial"/>
          <w:b/>
          <w:sz w:val="24"/>
          <w:szCs w:val="24"/>
        </w:rPr>
        <w:lastRenderedPageBreak/>
        <w:t>Other assets</w:t>
      </w:r>
    </w:p>
    <w:p w14:paraId="4152134B" w14:textId="77777777" w:rsidR="00706FC7" w:rsidRPr="00706FC7" w:rsidRDefault="00706FC7" w:rsidP="00706FC7">
      <w:pPr>
        <w:spacing w:before="120" w:after="240"/>
        <w:jc w:val="both"/>
        <w:rPr>
          <w:sz w:val="24"/>
          <w:szCs w:val="24"/>
        </w:rPr>
      </w:pPr>
      <w:r w:rsidRPr="00706FC7">
        <w:rPr>
          <w:sz w:val="24"/>
          <w:szCs w:val="24"/>
        </w:rPr>
        <w:t>This is the value, as at the relevant date, of assets of the reporting insurer other than those specifically listed on this form.</w:t>
      </w:r>
    </w:p>
    <w:p w14:paraId="04BAFDCA" w14:textId="77777777" w:rsidR="00706FC7" w:rsidRPr="00706FC7" w:rsidRDefault="00706FC7" w:rsidP="00706FC7">
      <w:pPr>
        <w:spacing w:before="120" w:after="240"/>
        <w:jc w:val="both"/>
        <w:rPr>
          <w:sz w:val="24"/>
          <w:szCs w:val="24"/>
        </w:rPr>
      </w:pPr>
      <w:r w:rsidRPr="00706FC7">
        <w:rPr>
          <w:sz w:val="24"/>
          <w:szCs w:val="24"/>
        </w:rPr>
        <w:t>It is automatically calculated as Item 13 less the sum of Items 1 to 8, 10, 11 and 12.</w:t>
      </w:r>
    </w:p>
    <w:p w14:paraId="14A6E42F" w14:textId="77777777" w:rsidR="00706FC7" w:rsidRPr="00706FC7" w:rsidRDefault="00706FC7" w:rsidP="00F960EF">
      <w:pPr>
        <w:keepNext/>
        <w:numPr>
          <w:ilvl w:val="0"/>
          <w:numId w:val="27"/>
        </w:numPr>
        <w:tabs>
          <w:tab w:val="left" w:pos="567"/>
        </w:tabs>
        <w:spacing w:before="120" w:after="240"/>
        <w:ind w:left="567" w:hanging="567"/>
        <w:jc w:val="both"/>
        <w:rPr>
          <w:rFonts w:ascii="Arial" w:hAnsi="Arial" w:cs="Arial"/>
          <w:b/>
          <w:sz w:val="24"/>
          <w:szCs w:val="24"/>
        </w:rPr>
      </w:pPr>
      <w:r w:rsidRPr="00706FC7">
        <w:rPr>
          <w:rFonts w:ascii="Arial" w:hAnsi="Arial" w:cs="Arial"/>
          <w:b/>
          <w:sz w:val="24"/>
          <w:szCs w:val="24"/>
        </w:rPr>
        <w:t>Net amount recoverable on reinsurance contracts from both outstanding claims and paid claims</w:t>
      </w:r>
    </w:p>
    <w:p w14:paraId="618CA295" w14:textId="77777777" w:rsidR="00706FC7" w:rsidRPr="00706FC7" w:rsidRDefault="00706FC7" w:rsidP="00706FC7">
      <w:pPr>
        <w:spacing w:before="120" w:after="240"/>
        <w:jc w:val="both"/>
        <w:rPr>
          <w:sz w:val="24"/>
          <w:szCs w:val="24"/>
        </w:rPr>
      </w:pPr>
      <w:r w:rsidRPr="00706FC7">
        <w:rPr>
          <w:sz w:val="24"/>
          <w:szCs w:val="24"/>
        </w:rPr>
        <w:t xml:space="preserve">This is the value, net of provisions for doubtful debts, as at the relevant date, of reinsurance recoverables in relation to reinsurance contracts for both paid and outstanding claims against the reporting insurer. Reinsurance recoverables are any amounts due to the reporting insurer under a reinsurance arrangement that arise from the recognition of outstanding claims liabilities (OCL) in accordance with </w:t>
      </w:r>
      <w:r w:rsidRPr="00706FC7">
        <w:rPr>
          <w:i/>
          <w:sz w:val="24"/>
          <w:szCs w:val="24"/>
        </w:rPr>
        <w:t>Prudential Standard GPS 320 Actuarial and Related Matters</w:t>
      </w:r>
      <w:r w:rsidRPr="00706FC7">
        <w:rPr>
          <w:sz w:val="24"/>
          <w:szCs w:val="24"/>
        </w:rPr>
        <w:t xml:space="preserve"> (GPS 320). This item does not include amounts under reinsurance contracts that do not meet the reinsurance documentation test or governing law requirements under </w:t>
      </w:r>
      <w:r w:rsidRPr="00706FC7">
        <w:rPr>
          <w:i/>
          <w:sz w:val="24"/>
          <w:szCs w:val="24"/>
        </w:rPr>
        <w:t>Prudential Standard GPS 230 Reinsurance Management</w:t>
      </w:r>
      <w:r w:rsidRPr="00706FC7">
        <w:rPr>
          <w:sz w:val="24"/>
          <w:szCs w:val="24"/>
        </w:rPr>
        <w:t xml:space="preserve"> (GPS 230).</w:t>
      </w:r>
    </w:p>
    <w:p w14:paraId="6B462137" w14:textId="77777777" w:rsidR="00706FC7" w:rsidRPr="00706FC7" w:rsidRDefault="00706FC7" w:rsidP="00706FC7">
      <w:pPr>
        <w:spacing w:before="120" w:after="240"/>
        <w:jc w:val="both"/>
        <w:rPr>
          <w:b/>
          <w:sz w:val="24"/>
          <w:szCs w:val="24"/>
        </w:rPr>
      </w:pPr>
      <w:r w:rsidRPr="00706FC7">
        <w:rPr>
          <w:sz w:val="24"/>
          <w:szCs w:val="24"/>
        </w:rPr>
        <w:t xml:space="preserve">It is automatically calculated as the sum of Items 10.1, 10.2, 10.3 and 10.4. </w:t>
      </w:r>
    </w:p>
    <w:p w14:paraId="7C753B2E" w14:textId="77777777" w:rsidR="00706FC7" w:rsidRPr="00706FC7" w:rsidRDefault="00706FC7" w:rsidP="00706FC7">
      <w:pPr>
        <w:keepNext/>
        <w:numPr>
          <w:ilvl w:val="1"/>
          <w:numId w:val="27"/>
        </w:numPr>
        <w:spacing w:before="120" w:after="240"/>
        <w:ind w:left="851" w:hanging="851"/>
        <w:jc w:val="both"/>
        <w:rPr>
          <w:sz w:val="24"/>
          <w:szCs w:val="24"/>
        </w:rPr>
      </w:pPr>
      <w:r w:rsidRPr="00706FC7">
        <w:rPr>
          <w:rFonts w:ascii="Arial" w:hAnsi="Arial" w:cs="Arial"/>
          <w:b/>
          <w:sz w:val="24"/>
          <w:szCs w:val="24"/>
        </w:rPr>
        <w:t>From APRA-authorised reinsurers</w:t>
      </w:r>
    </w:p>
    <w:p w14:paraId="386C4BD2" w14:textId="77777777" w:rsidR="00706FC7" w:rsidRPr="00706FC7" w:rsidRDefault="00706FC7" w:rsidP="00706FC7">
      <w:pPr>
        <w:spacing w:before="120" w:after="240"/>
        <w:jc w:val="both"/>
        <w:rPr>
          <w:sz w:val="24"/>
          <w:szCs w:val="24"/>
        </w:rPr>
      </w:pPr>
      <w:r w:rsidRPr="00706FC7">
        <w:rPr>
          <w:sz w:val="24"/>
          <w:szCs w:val="24"/>
        </w:rPr>
        <w:t>This is the value, net of provisions for doubtful debts, as at the relevant date, of reinsurance recoverables in relation to reinsurance contracts for both paid and outstanding claims against the reporting insurer from APRA-authorised reinsurers. This item does not include amounts under reinsurance contracts that do not meet the reinsurance documentation test or governing law requirements under GPS 230.</w:t>
      </w:r>
    </w:p>
    <w:p w14:paraId="2DA597B9" w14:textId="77777777" w:rsidR="00706FC7" w:rsidRPr="00706FC7" w:rsidRDefault="00706FC7" w:rsidP="00F960EF">
      <w:pPr>
        <w:keepNext/>
        <w:numPr>
          <w:ilvl w:val="1"/>
          <w:numId w:val="27"/>
        </w:numPr>
        <w:spacing w:before="120" w:after="240"/>
        <w:ind w:left="567" w:hanging="567"/>
        <w:jc w:val="both"/>
        <w:rPr>
          <w:sz w:val="24"/>
          <w:szCs w:val="24"/>
        </w:rPr>
      </w:pPr>
      <w:r w:rsidRPr="00706FC7">
        <w:rPr>
          <w:rFonts w:ascii="Arial" w:hAnsi="Arial" w:cs="Arial"/>
          <w:b/>
          <w:sz w:val="24"/>
          <w:szCs w:val="24"/>
        </w:rPr>
        <w:t>From non-APRA-authorised reinsurers except for amounts outstanding on and from second annual balance date after the event giving rise to the reinsurance recoverables</w:t>
      </w:r>
    </w:p>
    <w:p w14:paraId="44BA6548" w14:textId="77777777" w:rsidR="00706FC7" w:rsidRPr="00706FC7" w:rsidRDefault="00706FC7" w:rsidP="00706FC7">
      <w:pPr>
        <w:spacing w:before="120" w:after="240"/>
        <w:jc w:val="both"/>
        <w:rPr>
          <w:sz w:val="24"/>
          <w:szCs w:val="24"/>
        </w:rPr>
      </w:pPr>
      <w:r w:rsidRPr="00706FC7">
        <w:rPr>
          <w:sz w:val="24"/>
          <w:szCs w:val="24"/>
        </w:rPr>
        <w:t>This is the value, net of provisions for doubtful debts, as at the relevant date, of reinsurance recoverables in relation to reinsurance contracts for both paid and outstanding claims against the reporting insurer from non-APRA-authorised reinsurers except for amounts outstanding on and from the second balance date after the financial year in which the event occurred. This item does not include amounts under reinsurance contracts that do not meet the reinsurance documentation test or governing law requirements under GPS 230.</w:t>
      </w:r>
    </w:p>
    <w:p w14:paraId="3DCC432A" w14:textId="77777777" w:rsidR="00706FC7" w:rsidRPr="00706FC7" w:rsidRDefault="00706FC7" w:rsidP="00F960EF">
      <w:pPr>
        <w:keepNext/>
        <w:numPr>
          <w:ilvl w:val="1"/>
          <w:numId w:val="27"/>
        </w:numPr>
        <w:spacing w:before="120" w:after="240"/>
        <w:ind w:left="567" w:hanging="567"/>
        <w:jc w:val="both"/>
        <w:rPr>
          <w:sz w:val="24"/>
          <w:szCs w:val="24"/>
        </w:rPr>
      </w:pPr>
      <w:r w:rsidRPr="00706FC7">
        <w:rPr>
          <w:rFonts w:ascii="Arial" w:hAnsi="Arial" w:cs="Arial"/>
          <w:b/>
          <w:sz w:val="24"/>
          <w:szCs w:val="24"/>
        </w:rPr>
        <w:t>From non-APRA-authorised reinsurers that are amounts outstanding on and from second annual balance date after the event giving rise to the reinsurance recoverables</w:t>
      </w:r>
    </w:p>
    <w:p w14:paraId="60396B16" w14:textId="77777777" w:rsidR="00706FC7" w:rsidRPr="00706FC7" w:rsidRDefault="00706FC7" w:rsidP="00706FC7">
      <w:pPr>
        <w:spacing w:before="120" w:after="240"/>
        <w:jc w:val="both"/>
        <w:rPr>
          <w:sz w:val="24"/>
          <w:szCs w:val="24"/>
        </w:rPr>
      </w:pPr>
      <w:r w:rsidRPr="00706FC7">
        <w:rPr>
          <w:sz w:val="24"/>
          <w:szCs w:val="24"/>
        </w:rPr>
        <w:t>This is the value, net of provisions for doubtful debts, as at the relevant date, of reinsurance recoverables in relation to reinsurance contracts for both paid and outstanding claims against the reporting insurer from non-APRA-authorised reinsurers that are amounts outstanding on and from the second balance date after the financial year in which the event occurred. This item does not include amounts under reinsurance contracts that do not meet the reinsurance documentation test or governing law requirements under GPS 230.</w:t>
      </w:r>
    </w:p>
    <w:p w14:paraId="15CE1A1D" w14:textId="77777777" w:rsidR="00706FC7" w:rsidRPr="00706FC7" w:rsidRDefault="00706FC7" w:rsidP="00706FC7">
      <w:pPr>
        <w:keepNext/>
        <w:numPr>
          <w:ilvl w:val="2"/>
          <w:numId w:val="27"/>
        </w:numPr>
        <w:spacing w:before="120" w:after="240"/>
        <w:ind w:left="1701" w:hanging="1134"/>
        <w:jc w:val="both"/>
        <w:rPr>
          <w:rFonts w:ascii="Arial" w:hAnsi="Arial" w:cs="Arial"/>
          <w:b/>
          <w:sz w:val="24"/>
          <w:szCs w:val="24"/>
        </w:rPr>
      </w:pPr>
      <w:r w:rsidRPr="00706FC7">
        <w:rPr>
          <w:rFonts w:ascii="Arial" w:hAnsi="Arial" w:cs="Arial"/>
          <w:b/>
          <w:sz w:val="24"/>
          <w:szCs w:val="24"/>
        </w:rPr>
        <w:lastRenderedPageBreak/>
        <w:t>Of which supported by security arrangements in Australia</w:t>
      </w:r>
    </w:p>
    <w:p w14:paraId="1ECC8C53" w14:textId="77777777" w:rsidR="00706FC7" w:rsidRPr="00706FC7" w:rsidRDefault="00706FC7" w:rsidP="00706FC7">
      <w:pPr>
        <w:spacing w:before="120" w:after="240"/>
        <w:ind w:left="567"/>
        <w:jc w:val="both"/>
        <w:rPr>
          <w:b/>
          <w:sz w:val="24"/>
          <w:szCs w:val="24"/>
        </w:rPr>
      </w:pPr>
      <w:r w:rsidRPr="00706FC7">
        <w:rPr>
          <w:sz w:val="24"/>
          <w:szCs w:val="24"/>
        </w:rPr>
        <w:t xml:space="preserve">This is the value, net of provisions for doubtful debts, as at the relevant date, of reinsurance recoverables in relation to reinsurance contracts for both paid and outstanding claims against the reporting insurer from non-APRA-authorised reinsurers that are amounts outstanding on and from the second balance date after the financial year in which the event occurred, where there is collateral, a guarantee or a letter of credit supporting the reinsurance recoverables. This item does not include amounts under reinsurance contracts that do not meet the reinsurance documentation test or governing law requirements under GPS 230. </w:t>
      </w:r>
    </w:p>
    <w:p w14:paraId="28301210" w14:textId="77777777" w:rsidR="00706FC7" w:rsidRPr="00706FC7" w:rsidRDefault="00706FC7" w:rsidP="00F960EF">
      <w:pPr>
        <w:keepNext/>
        <w:numPr>
          <w:ilvl w:val="1"/>
          <w:numId w:val="27"/>
        </w:numPr>
        <w:spacing w:before="120" w:after="240"/>
        <w:ind w:left="567" w:hanging="567"/>
        <w:jc w:val="both"/>
        <w:rPr>
          <w:rFonts w:ascii="Arial" w:hAnsi="Arial" w:cs="Arial"/>
          <w:b/>
          <w:sz w:val="24"/>
          <w:szCs w:val="24"/>
        </w:rPr>
      </w:pPr>
      <w:r w:rsidRPr="00706FC7">
        <w:rPr>
          <w:rFonts w:ascii="Arial" w:hAnsi="Arial" w:cs="Arial"/>
          <w:b/>
          <w:sz w:val="24"/>
          <w:szCs w:val="24"/>
        </w:rPr>
        <w:t>From non-APRA-authorised reinsurers which are overdue for more than 6 months</w:t>
      </w:r>
    </w:p>
    <w:p w14:paraId="5731B558" w14:textId="77777777" w:rsidR="00706FC7" w:rsidRPr="00706FC7" w:rsidRDefault="00706FC7" w:rsidP="00706FC7">
      <w:pPr>
        <w:spacing w:before="120" w:after="240"/>
        <w:jc w:val="both"/>
        <w:rPr>
          <w:sz w:val="24"/>
          <w:szCs w:val="24"/>
        </w:rPr>
      </w:pPr>
      <w:r w:rsidRPr="00706FC7">
        <w:rPr>
          <w:sz w:val="24"/>
          <w:szCs w:val="24"/>
        </w:rPr>
        <w:t>This is the value, net of provisions for doubtful debts, as at the relevant date, of reinsurance recoverables in relation to reinsurance contracts for both paid and outstanding claims against the reporting insurer from non-APRA-authorised reinsurers that are receivables overdue for more than six months since a request for payment was made to the reinsurer and where there is no formal dispute between the insurer and reinsurer in relation to the receivables. This item does not include amounts under reinsurance contracts that do not meet the reinsurance documentation test or governing law requirements under GPS 230.</w:t>
      </w:r>
    </w:p>
    <w:p w14:paraId="2906E064" w14:textId="77777777" w:rsidR="00706FC7" w:rsidRPr="00706FC7" w:rsidRDefault="00706FC7" w:rsidP="00F960EF">
      <w:pPr>
        <w:keepNext/>
        <w:numPr>
          <w:ilvl w:val="0"/>
          <w:numId w:val="27"/>
        </w:numPr>
        <w:tabs>
          <w:tab w:val="left" w:pos="567"/>
        </w:tabs>
        <w:spacing w:before="120" w:after="240"/>
        <w:ind w:left="567" w:hanging="567"/>
        <w:jc w:val="both"/>
        <w:rPr>
          <w:rFonts w:ascii="Arial" w:hAnsi="Arial" w:cs="Arial"/>
          <w:b/>
          <w:sz w:val="24"/>
          <w:szCs w:val="24"/>
        </w:rPr>
      </w:pPr>
      <w:r w:rsidRPr="00706FC7">
        <w:rPr>
          <w:rFonts w:ascii="Arial" w:hAnsi="Arial" w:cs="Arial"/>
          <w:b/>
          <w:sz w:val="24"/>
          <w:szCs w:val="24"/>
        </w:rPr>
        <w:t>Deferred reinsurance expense</w:t>
      </w:r>
    </w:p>
    <w:p w14:paraId="07DB13A1" w14:textId="77777777" w:rsidR="00706FC7" w:rsidRPr="00706FC7" w:rsidRDefault="00706FC7" w:rsidP="00706FC7">
      <w:pPr>
        <w:spacing w:before="120" w:after="240"/>
        <w:jc w:val="both"/>
        <w:rPr>
          <w:sz w:val="24"/>
          <w:szCs w:val="24"/>
        </w:rPr>
      </w:pPr>
      <w:r w:rsidRPr="00706FC7">
        <w:rPr>
          <w:sz w:val="24"/>
          <w:szCs w:val="24"/>
        </w:rPr>
        <w:t xml:space="preserve">This is the value of premiums ceded to reinsurers which are deferred in accordance with the pattern of reinsurance service received as per </w:t>
      </w:r>
      <w:r w:rsidRPr="00706FC7">
        <w:rPr>
          <w:i/>
          <w:sz w:val="24"/>
          <w:szCs w:val="24"/>
        </w:rPr>
        <w:t>Australian Accounting Standard AASB 1023 General Insurance Contracts</w:t>
      </w:r>
      <w:r w:rsidRPr="00706FC7">
        <w:rPr>
          <w:sz w:val="24"/>
          <w:szCs w:val="24"/>
        </w:rPr>
        <w:t xml:space="preserve"> (AASB 1023). This item does not include amounts under reinsurance contracts that do not meet the reinsurance documentation test or governing law requirements under GPS 230.</w:t>
      </w:r>
    </w:p>
    <w:p w14:paraId="7A8CBCE9" w14:textId="77777777" w:rsidR="00706FC7" w:rsidRPr="00706FC7" w:rsidRDefault="00706FC7" w:rsidP="00706FC7">
      <w:pPr>
        <w:spacing w:before="120" w:after="240"/>
        <w:jc w:val="both"/>
        <w:rPr>
          <w:b/>
          <w:sz w:val="24"/>
          <w:szCs w:val="24"/>
        </w:rPr>
      </w:pPr>
      <w:r w:rsidRPr="00706FC7">
        <w:rPr>
          <w:sz w:val="24"/>
          <w:szCs w:val="24"/>
        </w:rPr>
        <w:t xml:space="preserve">It is automatically calculated as the sum of Items 11.1 and 11.2. </w:t>
      </w:r>
    </w:p>
    <w:p w14:paraId="0438240B" w14:textId="77777777" w:rsidR="00706FC7" w:rsidRPr="00706FC7" w:rsidRDefault="00706FC7" w:rsidP="00706FC7">
      <w:pPr>
        <w:keepNext/>
        <w:numPr>
          <w:ilvl w:val="1"/>
          <w:numId w:val="27"/>
        </w:numPr>
        <w:spacing w:before="120" w:after="240"/>
        <w:ind w:left="851" w:hanging="851"/>
        <w:jc w:val="both"/>
        <w:rPr>
          <w:rFonts w:ascii="Arial" w:hAnsi="Arial" w:cs="Arial"/>
          <w:b/>
          <w:sz w:val="24"/>
          <w:szCs w:val="24"/>
        </w:rPr>
      </w:pPr>
      <w:r w:rsidRPr="00706FC7">
        <w:rPr>
          <w:rFonts w:ascii="Arial" w:hAnsi="Arial" w:cs="Arial"/>
          <w:b/>
          <w:sz w:val="24"/>
          <w:szCs w:val="24"/>
        </w:rPr>
        <w:t>Relating to APRA-authorised reinsurers</w:t>
      </w:r>
    </w:p>
    <w:p w14:paraId="78CB74F6" w14:textId="77777777" w:rsidR="00706FC7" w:rsidRPr="00706FC7" w:rsidRDefault="00706FC7" w:rsidP="00706FC7">
      <w:pPr>
        <w:spacing w:before="120" w:after="240"/>
        <w:jc w:val="both"/>
        <w:rPr>
          <w:sz w:val="24"/>
          <w:szCs w:val="24"/>
        </w:rPr>
      </w:pPr>
      <w:r w:rsidRPr="00706FC7">
        <w:rPr>
          <w:sz w:val="24"/>
          <w:szCs w:val="24"/>
        </w:rPr>
        <w:t>This is the value of premiums ceded to APRA-authorised reinsurers which are deferred in accordance with the pattern of reinsurance service received as per AASB 1023. This item does not include amounts under reinsurance contracts that do not meet the reinsurance documentation test or governing law requirements under GPS 230.</w:t>
      </w:r>
    </w:p>
    <w:p w14:paraId="3052FFB3" w14:textId="77777777" w:rsidR="00706FC7" w:rsidRPr="00706FC7" w:rsidRDefault="00706FC7" w:rsidP="00706FC7">
      <w:pPr>
        <w:keepNext/>
        <w:numPr>
          <w:ilvl w:val="1"/>
          <w:numId w:val="27"/>
        </w:numPr>
        <w:spacing w:before="120" w:after="240"/>
        <w:ind w:left="851" w:hanging="851"/>
        <w:jc w:val="both"/>
        <w:rPr>
          <w:rFonts w:ascii="Arial" w:hAnsi="Arial" w:cs="Arial"/>
          <w:b/>
          <w:sz w:val="24"/>
          <w:szCs w:val="24"/>
        </w:rPr>
      </w:pPr>
      <w:r w:rsidRPr="00706FC7">
        <w:rPr>
          <w:rFonts w:ascii="Arial" w:hAnsi="Arial" w:cs="Arial"/>
          <w:b/>
          <w:sz w:val="24"/>
          <w:szCs w:val="24"/>
        </w:rPr>
        <w:t>Relating to non-APRA-authorised reinsurers</w:t>
      </w:r>
    </w:p>
    <w:p w14:paraId="7B283317" w14:textId="77777777" w:rsidR="00706FC7" w:rsidRPr="00706FC7" w:rsidRDefault="00706FC7" w:rsidP="00706FC7">
      <w:pPr>
        <w:spacing w:before="120" w:after="240"/>
        <w:jc w:val="both"/>
        <w:rPr>
          <w:sz w:val="24"/>
          <w:szCs w:val="24"/>
        </w:rPr>
      </w:pPr>
      <w:r w:rsidRPr="00706FC7">
        <w:rPr>
          <w:sz w:val="24"/>
          <w:szCs w:val="24"/>
        </w:rPr>
        <w:t>This is the value of premiums ceded to non-APRA-authorised reinsurers which are deferred in accordance with the pattern of reinsurance service received as per AASB 1023. This item does not include amounts under reinsurance contracts that do not meet the reinsurance documentation test or governing law requirements under GPS 230.</w:t>
      </w:r>
    </w:p>
    <w:p w14:paraId="503CFAFB" w14:textId="77777777" w:rsidR="00706FC7" w:rsidRPr="00706FC7" w:rsidRDefault="00706FC7" w:rsidP="00F960EF">
      <w:pPr>
        <w:keepNext/>
        <w:numPr>
          <w:ilvl w:val="0"/>
          <w:numId w:val="27"/>
        </w:numPr>
        <w:tabs>
          <w:tab w:val="left" w:pos="567"/>
        </w:tabs>
        <w:spacing w:before="120" w:after="240"/>
        <w:ind w:left="567" w:hanging="567"/>
        <w:jc w:val="both"/>
        <w:rPr>
          <w:rFonts w:ascii="Arial" w:hAnsi="Arial" w:cs="Arial"/>
          <w:b/>
          <w:sz w:val="24"/>
          <w:szCs w:val="24"/>
        </w:rPr>
      </w:pPr>
      <w:r w:rsidRPr="00706FC7">
        <w:rPr>
          <w:rFonts w:ascii="Arial" w:hAnsi="Arial" w:cs="Arial"/>
          <w:b/>
          <w:sz w:val="24"/>
          <w:szCs w:val="24"/>
        </w:rPr>
        <w:t>Net amount of other reinsurance assets receivable</w:t>
      </w:r>
    </w:p>
    <w:p w14:paraId="4E755250" w14:textId="77777777" w:rsidR="00706FC7" w:rsidRPr="00706FC7" w:rsidRDefault="00706FC7" w:rsidP="00706FC7">
      <w:pPr>
        <w:spacing w:before="120" w:after="240"/>
        <w:jc w:val="both"/>
        <w:rPr>
          <w:sz w:val="24"/>
          <w:szCs w:val="24"/>
        </w:rPr>
      </w:pPr>
      <w:r w:rsidRPr="00706FC7">
        <w:rPr>
          <w:sz w:val="24"/>
          <w:szCs w:val="24"/>
        </w:rPr>
        <w:t xml:space="preserve">This is the value, as at the relevant date and net of any provisions for impairment, of any asset recognised by the reporting insurer that relates to reinsurance, other than those relating to: reinsurance recoverables, being any amounts due to the reporting insurer under a reinsurance arrangement that arise from the recognition of OCL in accordance with GPS 320; or deferred </w:t>
      </w:r>
      <w:r w:rsidRPr="00706FC7">
        <w:rPr>
          <w:sz w:val="24"/>
          <w:szCs w:val="24"/>
        </w:rPr>
        <w:lastRenderedPageBreak/>
        <w:t>reinsurance expense (DRE), as determined in accordance with GPS 320. This item does not include amounts under reinsurance contracts that do not meet the reinsurance documentation test or governing law requirements under GPS 230.</w:t>
      </w:r>
    </w:p>
    <w:p w14:paraId="05E3ACD2" w14:textId="77777777" w:rsidR="00706FC7" w:rsidRPr="00706FC7" w:rsidRDefault="00706FC7" w:rsidP="00706FC7">
      <w:pPr>
        <w:spacing w:before="120" w:after="240"/>
        <w:jc w:val="both"/>
        <w:rPr>
          <w:b/>
          <w:sz w:val="24"/>
          <w:szCs w:val="24"/>
        </w:rPr>
      </w:pPr>
      <w:r w:rsidRPr="00706FC7">
        <w:rPr>
          <w:sz w:val="24"/>
          <w:szCs w:val="24"/>
        </w:rPr>
        <w:t xml:space="preserve">It is automatically calculated as the sum of Items 12.1 and 12.2. </w:t>
      </w:r>
    </w:p>
    <w:p w14:paraId="0A699B08" w14:textId="77777777" w:rsidR="00706FC7" w:rsidRPr="00706FC7" w:rsidRDefault="00706FC7" w:rsidP="00706FC7">
      <w:pPr>
        <w:keepNext/>
        <w:numPr>
          <w:ilvl w:val="1"/>
          <w:numId w:val="27"/>
        </w:numPr>
        <w:spacing w:before="120" w:after="240"/>
        <w:ind w:left="851" w:hanging="851"/>
        <w:jc w:val="both"/>
        <w:rPr>
          <w:rFonts w:ascii="Arial" w:hAnsi="Arial" w:cs="Arial"/>
          <w:b/>
          <w:sz w:val="24"/>
          <w:szCs w:val="24"/>
        </w:rPr>
      </w:pPr>
      <w:r w:rsidRPr="00706FC7">
        <w:rPr>
          <w:rFonts w:ascii="Arial" w:hAnsi="Arial" w:cs="Arial"/>
          <w:b/>
          <w:sz w:val="24"/>
          <w:szCs w:val="24"/>
        </w:rPr>
        <w:t>From APRA-authorised reinsurers</w:t>
      </w:r>
    </w:p>
    <w:p w14:paraId="106D31DD" w14:textId="77777777" w:rsidR="00706FC7" w:rsidRPr="00706FC7" w:rsidRDefault="00706FC7" w:rsidP="00706FC7">
      <w:pPr>
        <w:spacing w:before="120" w:after="240"/>
        <w:jc w:val="both"/>
        <w:rPr>
          <w:sz w:val="24"/>
          <w:szCs w:val="24"/>
        </w:rPr>
      </w:pPr>
      <w:r w:rsidRPr="00706FC7">
        <w:rPr>
          <w:sz w:val="24"/>
          <w:szCs w:val="24"/>
        </w:rPr>
        <w:t>This is the value, as at the relevant date and net of any provisions for impairment, of any asset recognised by the reporting insurer that relates to reinsurance, from APRA-authorised reinsurers, other than those relating to: reinsurance recoverables, being any amounts due to the reporting insurer under a reinsurance arrangement that arise from the recognition of OCL in accordance with GPS 320; or DRE, as determined in accordance with GPS 320. This item does not include amounts under reinsurance contracts that do not meet the reinsurance documentation test or governing law requirements under GPS 230.</w:t>
      </w:r>
    </w:p>
    <w:p w14:paraId="481EA85A" w14:textId="77777777" w:rsidR="00706FC7" w:rsidRPr="00706FC7" w:rsidRDefault="00706FC7" w:rsidP="00706FC7">
      <w:pPr>
        <w:keepNext/>
        <w:numPr>
          <w:ilvl w:val="1"/>
          <w:numId w:val="27"/>
        </w:numPr>
        <w:spacing w:before="120" w:after="240"/>
        <w:ind w:left="851" w:hanging="851"/>
        <w:jc w:val="both"/>
        <w:rPr>
          <w:rFonts w:ascii="Arial" w:hAnsi="Arial" w:cs="Arial"/>
          <w:b/>
          <w:sz w:val="24"/>
          <w:szCs w:val="24"/>
        </w:rPr>
      </w:pPr>
      <w:r w:rsidRPr="00706FC7">
        <w:rPr>
          <w:rFonts w:ascii="Arial" w:hAnsi="Arial" w:cs="Arial"/>
          <w:b/>
          <w:sz w:val="24"/>
          <w:szCs w:val="24"/>
        </w:rPr>
        <w:t>From non-APRA-authorised reinsurers</w:t>
      </w:r>
    </w:p>
    <w:p w14:paraId="5B2D5FF5" w14:textId="77777777" w:rsidR="00706FC7" w:rsidRPr="00706FC7" w:rsidRDefault="00706FC7" w:rsidP="00706FC7">
      <w:pPr>
        <w:spacing w:before="120" w:after="240"/>
        <w:jc w:val="both"/>
        <w:rPr>
          <w:sz w:val="24"/>
          <w:szCs w:val="24"/>
        </w:rPr>
      </w:pPr>
      <w:r w:rsidRPr="00706FC7">
        <w:rPr>
          <w:sz w:val="24"/>
          <w:szCs w:val="24"/>
        </w:rPr>
        <w:t>This is the value, as at the relevant date and net of any provisions for impairment, of any asset recognised by the reporting insurer that relates to reinsurance, from non-APRA-authorised reinsurers, other than those relating to: reinsurance recoverables, being any amounts due to the reporting insurer under a reinsurance arrangement that arise from the recognition of OCL in accordance with GPS 320; or DRE, as determined in accordance with GPS 320. This item does not include amounts under reinsurance contracts that do not meet the reinsurance documentation test or governing law requirements under GPS 230.</w:t>
      </w:r>
    </w:p>
    <w:p w14:paraId="76C71CFB" w14:textId="77777777" w:rsidR="00706FC7" w:rsidRPr="00706FC7" w:rsidRDefault="00706FC7" w:rsidP="00F960EF">
      <w:pPr>
        <w:keepNext/>
        <w:numPr>
          <w:ilvl w:val="0"/>
          <w:numId w:val="27"/>
        </w:numPr>
        <w:tabs>
          <w:tab w:val="left" w:pos="567"/>
        </w:tabs>
        <w:spacing w:before="120" w:after="240"/>
        <w:ind w:left="567" w:hanging="567"/>
        <w:jc w:val="both"/>
        <w:rPr>
          <w:rFonts w:ascii="Arial" w:hAnsi="Arial" w:cs="Arial"/>
          <w:b/>
          <w:sz w:val="24"/>
          <w:szCs w:val="24"/>
        </w:rPr>
      </w:pPr>
      <w:r w:rsidRPr="00706FC7">
        <w:rPr>
          <w:rFonts w:ascii="Arial" w:hAnsi="Arial" w:cs="Arial"/>
          <w:b/>
          <w:sz w:val="24"/>
          <w:szCs w:val="24"/>
        </w:rPr>
        <w:t>Total</w:t>
      </w:r>
    </w:p>
    <w:p w14:paraId="4FAFC75D" w14:textId="77777777" w:rsidR="001A715A" w:rsidRDefault="00706FC7" w:rsidP="00706FC7">
      <w:pPr>
        <w:pStyle w:val="Header"/>
        <w:jc w:val="both"/>
        <w:rPr>
          <w:bCs/>
        </w:rPr>
      </w:pPr>
      <w:r w:rsidRPr="00706FC7">
        <w:rPr>
          <w:sz w:val="24"/>
          <w:szCs w:val="24"/>
        </w:rPr>
        <w:t>This is the total of the assets classified into the counterparty grades in Columns 1 to 8.</w:t>
      </w:r>
    </w:p>
    <w:sectPr w:rsidR="001A715A" w:rsidSect="00196E31">
      <w:footerReference w:type="default" r:id="rId25"/>
      <w:footerReference w:type="first" r:id="rId26"/>
      <w:pgSz w:w="11907" w:h="16840" w:code="9"/>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1F47" w14:textId="77777777" w:rsidR="003E2DB0" w:rsidRDefault="003E2DB0" w:rsidP="00CC70E3">
      <w:r>
        <w:separator/>
      </w:r>
    </w:p>
  </w:endnote>
  <w:endnote w:type="continuationSeparator" w:id="0">
    <w:p w14:paraId="38F4C8E4" w14:textId="77777777" w:rsidR="003E2DB0" w:rsidRDefault="003E2DB0" w:rsidP="00CC70E3">
      <w:r>
        <w:continuationSeparator/>
      </w:r>
    </w:p>
  </w:endnote>
  <w:endnote w:type="continuationNotice" w:id="1">
    <w:p w14:paraId="1E9D62EF" w14:textId="77777777" w:rsidR="00564C13" w:rsidRDefault="00564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1B6C" w14:textId="77777777" w:rsidR="00BA625D" w:rsidRPr="00B33BF0" w:rsidRDefault="00BA625D" w:rsidP="00BA625D">
    <w:pPr>
      <w:pStyle w:val="Footer"/>
      <w:framePr w:wrap="around" w:vAnchor="text" w:hAnchor="margin" w:xAlign="right" w:y="1"/>
      <w:jc w:val="right"/>
      <w:rPr>
        <w:sz w:val="24"/>
        <w:szCs w:val="24"/>
      </w:rPr>
    </w:pPr>
    <w:r w:rsidRPr="00B33BF0">
      <w:rPr>
        <w:sz w:val="24"/>
        <w:szCs w:val="24"/>
      </w:rPr>
      <w:t>GRS 114.</w:t>
    </w:r>
    <w:r w:rsidR="004D6D70" w:rsidRPr="00B33BF0">
      <w:rPr>
        <w:sz w:val="24"/>
        <w:szCs w:val="24"/>
      </w:rPr>
      <w:t>1</w:t>
    </w:r>
    <w:r w:rsidRPr="00B33BF0">
      <w:rPr>
        <w:sz w:val="24"/>
        <w:szCs w:val="24"/>
      </w:rPr>
      <w:t xml:space="preserve">- </w:t>
    </w:r>
    <w:r w:rsidRPr="00B33BF0">
      <w:rPr>
        <w:rStyle w:val="PageNumber"/>
        <w:sz w:val="24"/>
        <w:szCs w:val="24"/>
      </w:rPr>
      <w:fldChar w:fldCharType="begin"/>
    </w:r>
    <w:r w:rsidRPr="00B33BF0">
      <w:rPr>
        <w:rStyle w:val="PageNumber"/>
        <w:sz w:val="24"/>
        <w:szCs w:val="24"/>
      </w:rPr>
      <w:instrText xml:space="preserve"> PAGE </w:instrText>
    </w:r>
    <w:r w:rsidRPr="00B33BF0">
      <w:rPr>
        <w:rStyle w:val="PageNumber"/>
        <w:sz w:val="24"/>
        <w:szCs w:val="24"/>
      </w:rPr>
      <w:fldChar w:fldCharType="separate"/>
    </w:r>
    <w:r w:rsidR="00C25ABB" w:rsidRPr="00B33BF0">
      <w:rPr>
        <w:rStyle w:val="PageNumber"/>
        <w:noProof/>
        <w:sz w:val="24"/>
        <w:szCs w:val="24"/>
      </w:rPr>
      <w:t>1</w:t>
    </w:r>
    <w:r w:rsidRPr="00B33BF0">
      <w:rPr>
        <w:rStyle w:val="PageNumber"/>
        <w:sz w:val="24"/>
        <w:szCs w:val="24"/>
      </w:rPr>
      <w:fldChar w:fldCharType="end"/>
    </w:r>
  </w:p>
  <w:p w14:paraId="2CA3CABD" w14:textId="77777777" w:rsidR="001D7833" w:rsidRPr="00540965" w:rsidRDefault="001D7833" w:rsidP="005B7824">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2885" w14:textId="77777777" w:rsidR="00645CBE" w:rsidRPr="00B33BF0" w:rsidRDefault="00645CBE" w:rsidP="005B7824">
    <w:pPr>
      <w:pStyle w:val="Footer"/>
      <w:framePr w:wrap="around" w:vAnchor="text" w:hAnchor="margin" w:xAlign="right" w:y="1"/>
      <w:jc w:val="right"/>
      <w:rPr>
        <w:sz w:val="24"/>
        <w:szCs w:val="24"/>
      </w:rPr>
    </w:pPr>
    <w:r w:rsidRPr="00B33BF0">
      <w:rPr>
        <w:sz w:val="24"/>
        <w:szCs w:val="24"/>
      </w:rPr>
      <w:t xml:space="preserve">GRS 114.1- </w:t>
    </w:r>
    <w:r w:rsidRPr="00B33BF0">
      <w:rPr>
        <w:rStyle w:val="PageNumber"/>
        <w:sz w:val="24"/>
        <w:szCs w:val="24"/>
      </w:rPr>
      <w:fldChar w:fldCharType="begin"/>
    </w:r>
    <w:r w:rsidRPr="00B33BF0">
      <w:rPr>
        <w:rStyle w:val="PageNumber"/>
        <w:sz w:val="24"/>
        <w:szCs w:val="24"/>
      </w:rPr>
      <w:instrText xml:space="preserve"> PAGE </w:instrText>
    </w:r>
    <w:r w:rsidRPr="00B33BF0">
      <w:rPr>
        <w:rStyle w:val="PageNumber"/>
        <w:sz w:val="24"/>
        <w:szCs w:val="24"/>
      </w:rPr>
      <w:fldChar w:fldCharType="separate"/>
    </w:r>
    <w:r w:rsidRPr="00B33BF0">
      <w:rPr>
        <w:rStyle w:val="PageNumber"/>
        <w:noProof/>
        <w:sz w:val="24"/>
        <w:szCs w:val="24"/>
      </w:rPr>
      <w:t>4</w:t>
    </w:r>
    <w:r w:rsidRPr="00B33BF0">
      <w:rPr>
        <w:rStyle w:val="PageNumber"/>
        <w:sz w:val="24"/>
        <w:szCs w:val="24"/>
      </w:rPr>
      <w:fldChar w:fldCharType="end"/>
    </w:r>
  </w:p>
  <w:p w14:paraId="078A6D28" w14:textId="77777777" w:rsidR="00645CBE" w:rsidRPr="009C0CA4" w:rsidRDefault="00645CBE"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9B87" w14:textId="77777777" w:rsidR="00F960EF" w:rsidRPr="00B33BF0" w:rsidRDefault="00F960EF" w:rsidP="005B7824">
    <w:pPr>
      <w:pStyle w:val="Footer"/>
      <w:framePr w:wrap="around" w:vAnchor="text" w:hAnchor="margin" w:xAlign="right" w:y="1"/>
      <w:jc w:val="right"/>
      <w:rPr>
        <w:sz w:val="24"/>
        <w:szCs w:val="24"/>
      </w:rPr>
    </w:pPr>
    <w:r w:rsidRPr="00B33BF0">
      <w:rPr>
        <w:sz w:val="24"/>
        <w:szCs w:val="24"/>
      </w:rPr>
      <w:t xml:space="preserve">GRF 114.1 Form - </w:t>
    </w:r>
    <w:r w:rsidRPr="00B33BF0">
      <w:rPr>
        <w:rStyle w:val="PageNumber"/>
        <w:sz w:val="24"/>
        <w:szCs w:val="24"/>
      </w:rPr>
      <w:fldChar w:fldCharType="begin"/>
    </w:r>
    <w:r w:rsidRPr="00B33BF0">
      <w:rPr>
        <w:rStyle w:val="PageNumber"/>
        <w:sz w:val="24"/>
        <w:szCs w:val="24"/>
      </w:rPr>
      <w:instrText xml:space="preserve"> PAGE </w:instrText>
    </w:r>
    <w:r w:rsidRPr="00B33BF0">
      <w:rPr>
        <w:rStyle w:val="PageNumber"/>
        <w:sz w:val="24"/>
        <w:szCs w:val="24"/>
      </w:rPr>
      <w:fldChar w:fldCharType="separate"/>
    </w:r>
    <w:r w:rsidR="00C25ABB" w:rsidRPr="00B33BF0">
      <w:rPr>
        <w:rStyle w:val="PageNumber"/>
        <w:noProof/>
        <w:sz w:val="24"/>
        <w:szCs w:val="24"/>
      </w:rPr>
      <w:t>2</w:t>
    </w:r>
    <w:r w:rsidRPr="00B33BF0">
      <w:rPr>
        <w:rStyle w:val="PageNumber"/>
        <w:sz w:val="24"/>
        <w:szCs w:val="24"/>
      </w:rPr>
      <w:fldChar w:fldCharType="end"/>
    </w:r>
  </w:p>
  <w:p w14:paraId="5C886D3F" w14:textId="77777777" w:rsidR="00F960EF" w:rsidRPr="009C0CA4" w:rsidRDefault="00F960EF" w:rsidP="005B7824">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B125" w14:textId="77777777" w:rsidR="00BA625D" w:rsidRPr="00540965" w:rsidRDefault="001A715A" w:rsidP="001A715A">
    <w:pPr>
      <w:pStyle w:val="Footer"/>
      <w:jc w:val="right"/>
      <w:rPr>
        <w:b/>
        <w:sz w:val="24"/>
        <w:szCs w:val="24"/>
      </w:rPr>
    </w:pPr>
    <w:r>
      <w:rPr>
        <w:b/>
        <w:sz w:val="24"/>
        <w:szCs w:val="24"/>
      </w:rPr>
      <w:t xml:space="preserve">GRF 114.1 Form - </w:t>
    </w:r>
    <w:r>
      <w:rPr>
        <w:b/>
        <w:sz w:val="24"/>
        <w:szCs w:val="24"/>
      </w:rPr>
      <w:fldChar w:fldCharType="begin"/>
    </w:r>
    <w:r>
      <w:rPr>
        <w:b/>
        <w:sz w:val="24"/>
        <w:szCs w:val="24"/>
      </w:rPr>
      <w:instrText xml:space="preserve"> PAGE   \* MERGEFORMAT </w:instrText>
    </w:r>
    <w:r>
      <w:rPr>
        <w:b/>
        <w:sz w:val="24"/>
        <w:szCs w:val="24"/>
      </w:rPr>
      <w:fldChar w:fldCharType="separate"/>
    </w:r>
    <w:r>
      <w:rPr>
        <w:b/>
        <w:noProof/>
        <w:sz w:val="24"/>
        <w:szCs w:val="24"/>
      </w:rPr>
      <w:t>1</w:t>
    </w:r>
    <w:r>
      <w:rPr>
        <w:b/>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46EC" w14:textId="77777777" w:rsidR="00706FC7" w:rsidRPr="00B33BF0" w:rsidRDefault="00706FC7" w:rsidP="00706FC7">
    <w:pPr>
      <w:pStyle w:val="Footer"/>
      <w:jc w:val="right"/>
      <w:rPr>
        <w:szCs w:val="24"/>
      </w:rPr>
    </w:pPr>
    <w:r w:rsidRPr="00B33BF0">
      <w:rPr>
        <w:sz w:val="24"/>
        <w:szCs w:val="24"/>
      </w:rPr>
      <w:t xml:space="preserve">GRF 114.1 Instructions- </w:t>
    </w:r>
    <w:r w:rsidRPr="00B33BF0">
      <w:rPr>
        <w:sz w:val="24"/>
        <w:szCs w:val="24"/>
      </w:rPr>
      <w:fldChar w:fldCharType="begin"/>
    </w:r>
    <w:r w:rsidRPr="00B33BF0">
      <w:rPr>
        <w:sz w:val="24"/>
        <w:szCs w:val="24"/>
      </w:rPr>
      <w:instrText xml:space="preserve"> PAGE   \* MERGEFORMAT </w:instrText>
    </w:r>
    <w:r w:rsidRPr="00B33BF0">
      <w:rPr>
        <w:sz w:val="24"/>
        <w:szCs w:val="24"/>
      </w:rPr>
      <w:fldChar w:fldCharType="separate"/>
    </w:r>
    <w:r w:rsidR="00C25ABB" w:rsidRPr="00B33BF0">
      <w:rPr>
        <w:noProof/>
        <w:sz w:val="24"/>
        <w:szCs w:val="24"/>
      </w:rPr>
      <w:t>5</w:t>
    </w:r>
    <w:r w:rsidRPr="00B33BF0">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D778" w14:textId="77777777" w:rsidR="001A715A" w:rsidRPr="00B33BF0" w:rsidRDefault="001A715A" w:rsidP="001A715A">
    <w:pPr>
      <w:pStyle w:val="Footer"/>
      <w:jc w:val="right"/>
      <w:rPr>
        <w:sz w:val="24"/>
        <w:szCs w:val="24"/>
      </w:rPr>
    </w:pPr>
    <w:r w:rsidRPr="00B33BF0">
      <w:rPr>
        <w:sz w:val="24"/>
        <w:szCs w:val="24"/>
      </w:rPr>
      <w:t xml:space="preserve">GRF 114.1 Instructions- </w:t>
    </w:r>
    <w:r w:rsidRPr="00B33BF0">
      <w:rPr>
        <w:sz w:val="24"/>
        <w:szCs w:val="24"/>
      </w:rPr>
      <w:fldChar w:fldCharType="begin"/>
    </w:r>
    <w:r w:rsidRPr="00B33BF0">
      <w:rPr>
        <w:sz w:val="24"/>
        <w:szCs w:val="24"/>
      </w:rPr>
      <w:instrText xml:space="preserve"> PAGE   \* MERGEFORMAT </w:instrText>
    </w:r>
    <w:r w:rsidRPr="00B33BF0">
      <w:rPr>
        <w:sz w:val="24"/>
        <w:szCs w:val="24"/>
      </w:rPr>
      <w:fldChar w:fldCharType="separate"/>
    </w:r>
    <w:r w:rsidR="00C25ABB" w:rsidRPr="00B33BF0">
      <w:rPr>
        <w:noProof/>
        <w:sz w:val="24"/>
        <w:szCs w:val="24"/>
      </w:rPr>
      <w:t>1</w:t>
    </w:r>
    <w:r w:rsidRPr="00B33BF0">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9CBD" w14:textId="77777777" w:rsidR="003E2DB0" w:rsidRDefault="003E2DB0" w:rsidP="00CC70E3">
      <w:r>
        <w:separator/>
      </w:r>
    </w:p>
  </w:footnote>
  <w:footnote w:type="continuationSeparator" w:id="0">
    <w:p w14:paraId="4EF37965" w14:textId="77777777" w:rsidR="003E2DB0" w:rsidRDefault="003E2DB0" w:rsidP="00CC70E3">
      <w:r>
        <w:continuationSeparator/>
      </w:r>
    </w:p>
  </w:footnote>
  <w:footnote w:type="continuationNotice" w:id="1">
    <w:p w14:paraId="1FFC228A" w14:textId="77777777" w:rsidR="00564C13" w:rsidRDefault="00564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8592" w14:textId="6D648569" w:rsidR="001D7833" w:rsidRPr="000F0FEC" w:rsidRDefault="001D7833" w:rsidP="00196E31">
    <w:pPr>
      <w:pStyle w:val="Header"/>
      <w:tabs>
        <w:tab w:val="clear" w:pos="8640"/>
        <w:tab w:val="right" w:pos="8364"/>
      </w:tabs>
      <w:jc w:val="right"/>
      <w:rPr>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BA8D" w14:textId="7BE11FBD" w:rsidR="001D7833" w:rsidRPr="00D74779" w:rsidRDefault="001D7833" w:rsidP="00196E31">
    <w:pPr>
      <w:pStyle w:val="Header"/>
      <w:tabs>
        <w:tab w:val="clear" w:pos="8640"/>
        <w:tab w:val="right" w:pos="8364"/>
      </w:tabs>
      <w:jc w:val="right"/>
      <w:rPr>
        <w:sz w:val="24"/>
        <w:szCs w:val="24"/>
      </w:rPr>
    </w:pPr>
    <w:r>
      <w:tab/>
    </w:r>
    <w:r>
      <w:rPr>
        <w:sz w:val="24"/>
        <w:szCs w:val="24"/>
      </w:rPr>
      <w:tab/>
    </w:r>
    <w:r w:rsidR="00196E31">
      <w:rPr>
        <w:sz w:val="24"/>
        <w:szCs w:val="24"/>
      </w:rPr>
      <w:t>Month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28F8" w14:textId="5588F6A9" w:rsidR="001A641A" w:rsidRPr="000F0FEC" w:rsidRDefault="001A641A" w:rsidP="00196E31">
    <w:pPr>
      <w:pStyle w:val="Header"/>
      <w:tabs>
        <w:tab w:val="clear" w:pos="8640"/>
        <w:tab w:val="right" w:pos="8364"/>
      </w:tabs>
      <w:jc w:val="right"/>
      <w:rPr>
        <w:sz w:val="24"/>
        <w:szCs w:val="24"/>
      </w:rPr>
    </w:pPr>
    <w:r>
      <w:rPr>
        <w:sz w:val="24"/>
        <w:szCs w:val="24"/>
      </w:rPr>
      <w:tab/>
    </w:r>
    <w:r>
      <w:rPr>
        <w:sz w:val="24"/>
        <w:szCs w:val="24"/>
      </w:rPr>
      <w:tab/>
    </w:r>
    <w:r w:rsidR="0053041F">
      <w:rPr>
        <w:sz w:val="24"/>
        <w:szCs w:val="24"/>
      </w:rPr>
      <w:t>October</w:t>
    </w:r>
    <w:r>
      <w:rPr>
        <w:sz w:val="24"/>
        <w:szCs w:val="24"/>
      </w:rPr>
      <w:t xml:space="preserve">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9A41" w14:textId="77D09FD7" w:rsidR="001A715A" w:rsidRPr="000F0FEC" w:rsidRDefault="001A715A" w:rsidP="00196E31">
    <w:pPr>
      <w:pStyle w:val="Header"/>
      <w:tabs>
        <w:tab w:val="clear" w:pos="8640"/>
        <w:tab w:val="right" w:pos="8364"/>
      </w:tabs>
      <w:jc w:val="right"/>
      <w:rPr>
        <w:sz w:val="24"/>
        <w:szCs w:val="24"/>
      </w:rPr>
    </w:pPr>
    <w:r>
      <w:rPr>
        <w:sz w:val="24"/>
        <w:szCs w:val="24"/>
      </w:rPr>
      <w:tab/>
    </w:r>
    <w:r>
      <w:rPr>
        <w:sz w:val="24"/>
        <w:szCs w:val="24"/>
      </w:rPr>
      <w:tab/>
    </w:r>
    <w:r w:rsidR="0053041F">
      <w:rPr>
        <w:sz w:val="24"/>
        <w:szCs w:val="24"/>
      </w:rPr>
      <w:t xml:space="preserve">October </w:t>
    </w:r>
    <w:r w:rsidR="00196E31">
      <w:rPr>
        <w:sz w:val="24"/>
        <w:szCs w:val="24"/>
      </w:rPr>
      <w:t>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87A6" w14:textId="1B100CE3" w:rsidR="00BA625D" w:rsidRPr="00D74779" w:rsidRDefault="00BA625D" w:rsidP="00196E31">
    <w:pPr>
      <w:pStyle w:val="Header"/>
      <w:tabs>
        <w:tab w:val="clear" w:pos="8640"/>
        <w:tab w:val="right" w:pos="8364"/>
      </w:tabs>
      <w:jc w:val="right"/>
      <w:rPr>
        <w:sz w:val="24"/>
        <w:szCs w:val="24"/>
      </w:rPr>
    </w:pPr>
    <w:r>
      <w:tab/>
    </w:r>
    <w:r>
      <w:rPr>
        <w:sz w:val="24"/>
        <w:szCs w:val="24"/>
      </w:rPr>
      <w:tab/>
    </w:r>
    <w:r w:rsidR="0053041F">
      <w:rPr>
        <w:sz w:val="24"/>
        <w:szCs w:val="24"/>
      </w:rPr>
      <w:t>October</w:t>
    </w:r>
    <w:r w:rsidR="00DD7FCC">
      <w:rPr>
        <w:sz w:val="24"/>
        <w:szCs w:val="24"/>
      </w:rPr>
      <w:t xml:space="preserve"> </w:t>
    </w:r>
    <w:r w:rsidR="00196E31">
      <w:rPr>
        <w:sz w:val="24"/>
        <w:szCs w:val="24"/>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5"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928ED"/>
    <w:multiLevelType w:val="multilevel"/>
    <w:tmpl w:val="A1584286"/>
    <w:lvl w:ilvl="0">
      <w:start w:val="1"/>
      <w:numFmt w:val="decimal"/>
      <w:lvlText w:val="%1."/>
      <w:lvlJc w:val="left"/>
      <w:pPr>
        <w:ind w:left="360" w:hanging="360"/>
      </w:pPr>
      <w:rPr>
        <w:rFonts w:hint="default"/>
      </w:rPr>
    </w:lvl>
    <w:lvl w:ilvl="1">
      <w:start w:val="1"/>
      <w:numFmt w:val="decimal"/>
      <w:isLgl/>
      <w:lvlText w:val="%1.%2."/>
      <w:lvlJc w:val="left"/>
      <w:pPr>
        <w:ind w:left="885" w:hanging="52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080" w:hanging="72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440" w:hanging="1080"/>
      </w:pPr>
      <w:rPr>
        <w:rFonts w:ascii="Arial" w:hAnsi="Arial" w:cs="Arial" w:hint="default"/>
        <w:b/>
      </w:rPr>
    </w:lvl>
    <w:lvl w:ilvl="6">
      <w:start w:val="1"/>
      <w:numFmt w:val="decimal"/>
      <w:isLgl/>
      <w:lvlText w:val="%1.%2.%3.%4.%5.%6.%7."/>
      <w:lvlJc w:val="left"/>
      <w:pPr>
        <w:ind w:left="1800" w:hanging="1440"/>
      </w:pPr>
      <w:rPr>
        <w:rFonts w:ascii="Arial" w:hAnsi="Arial" w:cs="Arial" w:hint="default"/>
        <w:b/>
      </w:rPr>
    </w:lvl>
    <w:lvl w:ilvl="7">
      <w:start w:val="1"/>
      <w:numFmt w:val="decimal"/>
      <w:isLgl/>
      <w:lvlText w:val="%1.%2.%3.%4.%5.%6.%7.%8."/>
      <w:lvlJc w:val="left"/>
      <w:pPr>
        <w:ind w:left="1800" w:hanging="1440"/>
      </w:pPr>
      <w:rPr>
        <w:rFonts w:ascii="Arial" w:hAnsi="Arial" w:cs="Arial" w:hint="default"/>
        <w:b/>
      </w:rPr>
    </w:lvl>
    <w:lvl w:ilvl="8">
      <w:start w:val="1"/>
      <w:numFmt w:val="decimal"/>
      <w:isLgl/>
      <w:lvlText w:val="%1.%2.%3.%4.%5.%6.%7.%8.%9."/>
      <w:lvlJc w:val="left"/>
      <w:pPr>
        <w:ind w:left="2160" w:hanging="1800"/>
      </w:pPr>
      <w:rPr>
        <w:rFonts w:ascii="Arial" w:hAnsi="Arial" w:cs="Arial" w:hint="default"/>
        <w:b/>
      </w:rPr>
    </w:lvl>
  </w:abstractNum>
  <w:abstractNum w:abstractNumId="8"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00301E"/>
    <w:multiLevelType w:val="hybridMultilevel"/>
    <w:tmpl w:val="339E9D18"/>
    <w:lvl w:ilvl="0" w:tplc="4572AF98">
      <w:start w:val="1"/>
      <w:numFmt w:val="bullet"/>
      <w:lvlText w:val=""/>
      <w:lvlJc w:val="left"/>
      <w:pPr>
        <w:ind w:left="1791" w:hanging="360"/>
      </w:pPr>
      <w:rPr>
        <w:rFonts w:ascii="Symbol" w:hAnsi="Symbol" w:hint="default"/>
      </w:rPr>
    </w:lvl>
    <w:lvl w:ilvl="1" w:tplc="0A9C4C28">
      <w:start w:val="1"/>
      <w:numFmt w:val="bullet"/>
      <w:lvlText w:val="o"/>
      <w:lvlJc w:val="left"/>
      <w:pPr>
        <w:ind w:left="2511" w:hanging="360"/>
      </w:pPr>
      <w:rPr>
        <w:rFonts w:ascii="Courier New" w:hAnsi="Courier New" w:cs="Courier New" w:hint="default"/>
      </w:rPr>
    </w:lvl>
    <w:lvl w:ilvl="2" w:tplc="1760037A">
      <w:start w:val="1"/>
      <w:numFmt w:val="bullet"/>
      <w:lvlText w:val=""/>
      <w:lvlJc w:val="left"/>
      <w:pPr>
        <w:ind w:left="3231" w:hanging="360"/>
      </w:pPr>
      <w:rPr>
        <w:rFonts w:ascii="Symbol" w:hAnsi="Symbol" w:hint="default"/>
      </w:rPr>
    </w:lvl>
    <w:lvl w:ilvl="3" w:tplc="D8AA691A" w:tentative="1">
      <w:start w:val="1"/>
      <w:numFmt w:val="bullet"/>
      <w:lvlText w:val=""/>
      <w:lvlJc w:val="left"/>
      <w:pPr>
        <w:ind w:left="3951" w:hanging="360"/>
      </w:pPr>
      <w:rPr>
        <w:rFonts w:ascii="Symbol" w:hAnsi="Symbol" w:hint="default"/>
      </w:rPr>
    </w:lvl>
    <w:lvl w:ilvl="4" w:tplc="7A5A2A72" w:tentative="1">
      <w:start w:val="1"/>
      <w:numFmt w:val="bullet"/>
      <w:lvlText w:val="o"/>
      <w:lvlJc w:val="left"/>
      <w:pPr>
        <w:ind w:left="4671" w:hanging="360"/>
      </w:pPr>
      <w:rPr>
        <w:rFonts w:ascii="Courier New" w:hAnsi="Courier New" w:cs="Courier New" w:hint="default"/>
      </w:rPr>
    </w:lvl>
    <w:lvl w:ilvl="5" w:tplc="BD94601E" w:tentative="1">
      <w:start w:val="1"/>
      <w:numFmt w:val="bullet"/>
      <w:lvlText w:val=""/>
      <w:lvlJc w:val="left"/>
      <w:pPr>
        <w:ind w:left="5391" w:hanging="360"/>
      </w:pPr>
      <w:rPr>
        <w:rFonts w:ascii="Wingdings" w:hAnsi="Wingdings" w:hint="default"/>
      </w:rPr>
    </w:lvl>
    <w:lvl w:ilvl="6" w:tplc="C8283364" w:tentative="1">
      <w:start w:val="1"/>
      <w:numFmt w:val="bullet"/>
      <w:lvlText w:val=""/>
      <w:lvlJc w:val="left"/>
      <w:pPr>
        <w:ind w:left="6111" w:hanging="360"/>
      </w:pPr>
      <w:rPr>
        <w:rFonts w:ascii="Symbol" w:hAnsi="Symbol" w:hint="default"/>
      </w:rPr>
    </w:lvl>
    <w:lvl w:ilvl="7" w:tplc="FA2881AA" w:tentative="1">
      <w:start w:val="1"/>
      <w:numFmt w:val="bullet"/>
      <w:lvlText w:val="o"/>
      <w:lvlJc w:val="left"/>
      <w:pPr>
        <w:ind w:left="6831" w:hanging="360"/>
      </w:pPr>
      <w:rPr>
        <w:rFonts w:ascii="Courier New" w:hAnsi="Courier New" w:cs="Courier New" w:hint="default"/>
      </w:rPr>
    </w:lvl>
    <w:lvl w:ilvl="8" w:tplc="C464EDC6" w:tentative="1">
      <w:start w:val="1"/>
      <w:numFmt w:val="bullet"/>
      <w:lvlText w:val=""/>
      <w:lvlJc w:val="left"/>
      <w:pPr>
        <w:ind w:left="7551" w:hanging="360"/>
      </w:pPr>
      <w:rPr>
        <w:rFonts w:ascii="Wingdings" w:hAnsi="Wingdings" w:hint="default"/>
      </w:rPr>
    </w:lvl>
  </w:abstractNum>
  <w:abstractNum w:abstractNumId="10"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7"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A50A23"/>
    <w:multiLevelType w:val="hybridMultilevel"/>
    <w:tmpl w:val="019E798C"/>
    <w:lvl w:ilvl="0" w:tplc="F51CF30A">
      <w:start w:val="1"/>
      <w:numFmt w:val="bullet"/>
      <w:lvlText w:val=""/>
      <w:lvlJc w:val="left"/>
      <w:pPr>
        <w:ind w:left="720" w:hanging="360"/>
      </w:pPr>
      <w:rPr>
        <w:rFonts w:ascii="Symbol" w:hAnsi="Symbol" w:hint="default"/>
      </w:rPr>
    </w:lvl>
    <w:lvl w:ilvl="1" w:tplc="86B441D6" w:tentative="1">
      <w:start w:val="1"/>
      <w:numFmt w:val="bullet"/>
      <w:lvlText w:val="o"/>
      <w:lvlJc w:val="left"/>
      <w:pPr>
        <w:ind w:left="1440" w:hanging="360"/>
      </w:pPr>
      <w:rPr>
        <w:rFonts w:ascii="Courier New" w:hAnsi="Courier New" w:cs="Courier New" w:hint="default"/>
      </w:rPr>
    </w:lvl>
    <w:lvl w:ilvl="2" w:tplc="2092E40C" w:tentative="1">
      <w:start w:val="1"/>
      <w:numFmt w:val="bullet"/>
      <w:lvlText w:val=""/>
      <w:lvlJc w:val="left"/>
      <w:pPr>
        <w:ind w:left="2160" w:hanging="360"/>
      </w:pPr>
      <w:rPr>
        <w:rFonts w:ascii="Wingdings" w:hAnsi="Wingdings" w:hint="default"/>
      </w:rPr>
    </w:lvl>
    <w:lvl w:ilvl="3" w:tplc="22AC86B6" w:tentative="1">
      <w:start w:val="1"/>
      <w:numFmt w:val="bullet"/>
      <w:lvlText w:val=""/>
      <w:lvlJc w:val="left"/>
      <w:pPr>
        <w:ind w:left="2880" w:hanging="360"/>
      </w:pPr>
      <w:rPr>
        <w:rFonts w:ascii="Symbol" w:hAnsi="Symbol" w:hint="default"/>
      </w:rPr>
    </w:lvl>
    <w:lvl w:ilvl="4" w:tplc="6932049C" w:tentative="1">
      <w:start w:val="1"/>
      <w:numFmt w:val="bullet"/>
      <w:lvlText w:val="o"/>
      <w:lvlJc w:val="left"/>
      <w:pPr>
        <w:ind w:left="3600" w:hanging="360"/>
      </w:pPr>
      <w:rPr>
        <w:rFonts w:ascii="Courier New" w:hAnsi="Courier New" w:cs="Courier New" w:hint="default"/>
      </w:rPr>
    </w:lvl>
    <w:lvl w:ilvl="5" w:tplc="323E0312" w:tentative="1">
      <w:start w:val="1"/>
      <w:numFmt w:val="bullet"/>
      <w:lvlText w:val=""/>
      <w:lvlJc w:val="left"/>
      <w:pPr>
        <w:ind w:left="4320" w:hanging="360"/>
      </w:pPr>
      <w:rPr>
        <w:rFonts w:ascii="Wingdings" w:hAnsi="Wingdings" w:hint="default"/>
      </w:rPr>
    </w:lvl>
    <w:lvl w:ilvl="6" w:tplc="3AB45EBA" w:tentative="1">
      <w:start w:val="1"/>
      <w:numFmt w:val="bullet"/>
      <w:lvlText w:val=""/>
      <w:lvlJc w:val="left"/>
      <w:pPr>
        <w:ind w:left="5040" w:hanging="360"/>
      </w:pPr>
      <w:rPr>
        <w:rFonts w:ascii="Symbol" w:hAnsi="Symbol" w:hint="default"/>
      </w:rPr>
    </w:lvl>
    <w:lvl w:ilvl="7" w:tplc="6FE29BA8" w:tentative="1">
      <w:start w:val="1"/>
      <w:numFmt w:val="bullet"/>
      <w:lvlText w:val="o"/>
      <w:lvlJc w:val="left"/>
      <w:pPr>
        <w:ind w:left="5760" w:hanging="360"/>
      </w:pPr>
      <w:rPr>
        <w:rFonts w:ascii="Courier New" w:hAnsi="Courier New" w:cs="Courier New" w:hint="default"/>
      </w:rPr>
    </w:lvl>
    <w:lvl w:ilvl="8" w:tplc="F89ACC18" w:tentative="1">
      <w:start w:val="1"/>
      <w:numFmt w:val="bullet"/>
      <w:lvlText w:val=""/>
      <w:lvlJc w:val="left"/>
      <w:pPr>
        <w:ind w:left="6480" w:hanging="360"/>
      </w:pPr>
      <w:rPr>
        <w:rFonts w:ascii="Wingdings" w:hAnsi="Wingdings" w:hint="default"/>
      </w:rPr>
    </w:lvl>
  </w:abstractNum>
  <w:abstractNum w:abstractNumId="21"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26"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8"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abstractNumId w:val="18"/>
  </w:num>
  <w:num w:numId="2">
    <w:abstractNumId w:val="22"/>
  </w:num>
  <w:num w:numId="3">
    <w:abstractNumId w:val="27"/>
  </w:num>
  <w:num w:numId="4">
    <w:abstractNumId w:val="1"/>
  </w:num>
  <w:num w:numId="5">
    <w:abstractNumId w:val="0"/>
  </w:num>
  <w:num w:numId="6">
    <w:abstractNumId w:val="26"/>
  </w:num>
  <w:num w:numId="7">
    <w:abstractNumId w:val="20"/>
  </w:num>
  <w:num w:numId="8">
    <w:abstractNumId w:val="5"/>
  </w:num>
  <w:num w:numId="9">
    <w:abstractNumId w:val="12"/>
  </w:num>
  <w:num w:numId="10">
    <w:abstractNumId w:val="21"/>
  </w:num>
  <w:num w:numId="11">
    <w:abstractNumId w:val="28"/>
  </w:num>
  <w:num w:numId="12">
    <w:abstractNumId w:val="17"/>
  </w:num>
  <w:num w:numId="13">
    <w:abstractNumId w:val="19"/>
  </w:num>
  <w:num w:numId="14">
    <w:abstractNumId w:val="9"/>
  </w:num>
  <w:num w:numId="15">
    <w:abstractNumId w:val="4"/>
  </w:num>
  <w:num w:numId="16">
    <w:abstractNumId w:val="11"/>
  </w:num>
  <w:num w:numId="17">
    <w:abstractNumId w:val="16"/>
  </w:num>
  <w:num w:numId="18">
    <w:abstractNumId w:val="2"/>
  </w:num>
  <w:num w:numId="19">
    <w:abstractNumId w:val="10"/>
  </w:num>
  <w:num w:numId="20">
    <w:abstractNumId w:val="25"/>
  </w:num>
  <w:num w:numId="21">
    <w:abstractNumId w:val="14"/>
  </w:num>
  <w:num w:numId="22">
    <w:abstractNumId w:val="24"/>
  </w:num>
  <w:num w:numId="23">
    <w:abstractNumId w:val="6"/>
  </w:num>
  <w:num w:numId="24">
    <w:abstractNumId w:val="13"/>
  </w:num>
  <w:num w:numId="25">
    <w:abstractNumId w:val="3"/>
  </w:num>
  <w:num w:numId="26">
    <w:abstractNumId w:val="8"/>
  </w:num>
  <w:num w:numId="27">
    <w:abstractNumId w:val="7"/>
  </w:num>
  <w:num w:numId="28">
    <w:abstractNumId w:val="15"/>
  </w:num>
  <w:num w:numId="2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gutterAtTop/>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3278"/>
    <w:rsid w:val="00033E7D"/>
    <w:rsid w:val="000344C9"/>
    <w:rsid w:val="00034956"/>
    <w:rsid w:val="00035838"/>
    <w:rsid w:val="00035A24"/>
    <w:rsid w:val="000360C6"/>
    <w:rsid w:val="00036A3F"/>
    <w:rsid w:val="0003787B"/>
    <w:rsid w:val="00037970"/>
    <w:rsid w:val="000404DF"/>
    <w:rsid w:val="000412CD"/>
    <w:rsid w:val="0004149F"/>
    <w:rsid w:val="00041770"/>
    <w:rsid w:val="0004253C"/>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4B26"/>
    <w:rsid w:val="000762D3"/>
    <w:rsid w:val="000768A6"/>
    <w:rsid w:val="00077487"/>
    <w:rsid w:val="00077600"/>
    <w:rsid w:val="00082470"/>
    <w:rsid w:val="0008313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70FC"/>
    <w:rsid w:val="00097479"/>
    <w:rsid w:val="0009753A"/>
    <w:rsid w:val="000A00A4"/>
    <w:rsid w:val="000A0E53"/>
    <w:rsid w:val="000A1166"/>
    <w:rsid w:val="000A11B0"/>
    <w:rsid w:val="000A21A5"/>
    <w:rsid w:val="000A324B"/>
    <w:rsid w:val="000A3287"/>
    <w:rsid w:val="000A45B9"/>
    <w:rsid w:val="000A56A0"/>
    <w:rsid w:val="000A6D26"/>
    <w:rsid w:val="000A6DED"/>
    <w:rsid w:val="000A6DF5"/>
    <w:rsid w:val="000B00F5"/>
    <w:rsid w:val="000B087E"/>
    <w:rsid w:val="000B1A0E"/>
    <w:rsid w:val="000B2F2A"/>
    <w:rsid w:val="000B3FEA"/>
    <w:rsid w:val="000B4772"/>
    <w:rsid w:val="000B5EB3"/>
    <w:rsid w:val="000B766C"/>
    <w:rsid w:val="000B792E"/>
    <w:rsid w:val="000C071B"/>
    <w:rsid w:val="000C118D"/>
    <w:rsid w:val="000C1F66"/>
    <w:rsid w:val="000C2143"/>
    <w:rsid w:val="000C2C96"/>
    <w:rsid w:val="000C3324"/>
    <w:rsid w:val="000C3809"/>
    <w:rsid w:val="000C4C7B"/>
    <w:rsid w:val="000C53D5"/>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E2D"/>
    <w:rsid w:val="0011502C"/>
    <w:rsid w:val="00116C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6E31"/>
    <w:rsid w:val="001970E2"/>
    <w:rsid w:val="001A195F"/>
    <w:rsid w:val="001A2B5D"/>
    <w:rsid w:val="001A2DB3"/>
    <w:rsid w:val="001A3317"/>
    <w:rsid w:val="001A45AC"/>
    <w:rsid w:val="001A4800"/>
    <w:rsid w:val="001A5005"/>
    <w:rsid w:val="001A5E3C"/>
    <w:rsid w:val="001A63DD"/>
    <w:rsid w:val="001A641A"/>
    <w:rsid w:val="001A715A"/>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6A4B"/>
    <w:rsid w:val="001B7278"/>
    <w:rsid w:val="001B7E33"/>
    <w:rsid w:val="001C0326"/>
    <w:rsid w:val="001C1509"/>
    <w:rsid w:val="001C1787"/>
    <w:rsid w:val="001C1B98"/>
    <w:rsid w:val="001C20DB"/>
    <w:rsid w:val="001C27FB"/>
    <w:rsid w:val="001C3191"/>
    <w:rsid w:val="001C3A25"/>
    <w:rsid w:val="001C489C"/>
    <w:rsid w:val="001C6960"/>
    <w:rsid w:val="001C6988"/>
    <w:rsid w:val="001C7489"/>
    <w:rsid w:val="001C7ED5"/>
    <w:rsid w:val="001D0F20"/>
    <w:rsid w:val="001D18BA"/>
    <w:rsid w:val="001D2A68"/>
    <w:rsid w:val="001D4797"/>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27C"/>
    <w:rsid w:val="001E4E64"/>
    <w:rsid w:val="001E5D24"/>
    <w:rsid w:val="001E773F"/>
    <w:rsid w:val="001E7906"/>
    <w:rsid w:val="001F00FE"/>
    <w:rsid w:val="001F074C"/>
    <w:rsid w:val="001F097C"/>
    <w:rsid w:val="001F0C1F"/>
    <w:rsid w:val="001F69BE"/>
    <w:rsid w:val="00200BBB"/>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574EA"/>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6D08"/>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54E2"/>
    <w:rsid w:val="002E56A2"/>
    <w:rsid w:val="002E5968"/>
    <w:rsid w:val="002E6B9D"/>
    <w:rsid w:val="002F04D9"/>
    <w:rsid w:val="002F1766"/>
    <w:rsid w:val="002F1CC9"/>
    <w:rsid w:val="002F53FF"/>
    <w:rsid w:val="002F5C89"/>
    <w:rsid w:val="00300D7F"/>
    <w:rsid w:val="003020B3"/>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2439"/>
    <w:rsid w:val="00342D1D"/>
    <w:rsid w:val="00344522"/>
    <w:rsid w:val="00344583"/>
    <w:rsid w:val="00344BEF"/>
    <w:rsid w:val="003460F5"/>
    <w:rsid w:val="00346C39"/>
    <w:rsid w:val="00347BE1"/>
    <w:rsid w:val="003534D5"/>
    <w:rsid w:val="00353F90"/>
    <w:rsid w:val="00354036"/>
    <w:rsid w:val="003545F5"/>
    <w:rsid w:val="00355A7B"/>
    <w:rsid w:val="00355E04"/>
    <w:rsid w:val="00355EF1"/>
    <w:rsid w:val="00357111"/>
    <w:rsid w:val="00357850"/>
    <w:rsid w:val="00357CAC"/>
    <w:rsid w:val="00357D50"/>
    <w:rsid w:val="00360367"/>
    <w:rsid w:val="0036082A"/>
    <w:rsid w:val="00362BFD"/>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85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184D"/>
    <w:rsid w:val="00392344"/>
    <w:rsid w:val="0039295C"/>
    <w:rsid w:val="00392ABF"/>
    <w:rsid w:val="00393FA1"/>
    <w:rsid w:val="00395DDC"/>
    <w:rsid w:val="003970A4"/>
    <w:rsid w:val="00397AFE"/>
    <w:rsid w:val="003A2255"/>
    <w:rsid w:val="003A2922"/>
    <w:rsid w:val="003A390B"/>
    <w:rsid w:val="003A3B29"/>
    <w:rsid w:val="003A51EA"/>
    <w:rsid w:val="003A54B0"/>
    <w:rsid w:val="003A6773"/>
    <w:rsid w:val="003B025C"/>
    <w:rsid w:val="003B0ECA"/>
    <w:rsid w:val="003B1A3E"/>
    <w:rsid w:val="003B3B0F"/>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5F"/>
    <w:rsid w:val="003D1A7C"/>
    <w:rsid w:val="003D1D6A"/>
    <w:rsid w:val="003D1E5B"/>
    <w:rsid w:val="003D25E4"/>
    <w:rsid w:val="003D2E47"/>
    <w:rsid w:val="003D2FB8"/>
    <w:rsid w:val="003D3183"/>
    <w:rsid w:val="003D3A71"/>
    <w:rsid w:val="003D4DF7"/>
    <w:rsid w:val="003D5A11"/>
    <w:rsid w:val="003D5A1E"/>
    <w:rsid w:val="003D712C"/>
    <w:rsid w:val="003D7197"/>
    <w:rsid w:val="003D7348"/>
    <w:rsid w:val="003E0500"/>
    <w:rsid w:val="003E0C74"/>
    <w:rsid w:val="003E1128"/>
    <w:rsid w:val="003E2755"/>
    <w:rsid w:val="003E2948"/>
    <w:rsid w:val="003E29F7"/>
    <w:rsid w:val="003E2DB0"/>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EC1"/>
    <w:rsid w:val="0040687A"/>
    <w:rsid w:val="004072CD"/>
    <w:rsid w:val="00407628"/>
    <w:rsid w:val="00410FE4"/>
    <w:rsid w:val="0041240C"/>
    <w:rsid w:val="004166DB"/>
    <w:rsid w:val="00416957"/>
    <w:rsid w:val="00420008"/>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A1B"/>
    <w:rsid w:val="0046789D"/>
    <w:rsid w:val="00467CD9"/>
    <w:rsid w:val="004700D6"/>
    <w:rsid w:val="0047194F"/>
    <w:rsid w:val="00473898"/>
    <w:rsid w:val="00473F15"/>
    <w:rsid w:val="00474BEE"/>
    <w:rsid w:val="00475259"/>
    <w:rsid w:val="0047609A"/>
    <w:rsid w:val="00476E9F"/>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4403"/>
    <w:rsid w:val="0049525C"/>
    <w:rsid w:val="004960A9"/>
    <w:rsid w:val="004962B0"/>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1A0"/>
    <w:rsid w:val="004D185B"/>
    <w:rsid w:val="004D1A5C"/>
    <w:rsid w:val="004D27EA"/>
    <w:rsid w:val="004D4E16"/>
    <w:rsid w:val="004D4FDC"/>
    <w:rsid w:val="004D5F43"/>
    <w:rsid w:val="004D6371"/>
    <w:rsid w:val="004D65CF"/>
    <w:rsid w:val="004D65EC"/>
    <w:rsid w:val="004D6D70"/>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242A"/>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EE1"/>
    <w:rsid w:val="005258EF"/>
    <w:rsid w:val="00527756"/>
    <w:rsid w:val="00527854"/>
    <w:rsid w:val="0053041F"/>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628"/>
    <w:rsid w:val="005520B1"/>
    <w:rsid w:val="00552597"/>
    <w:rsid w:val="0055415B"/>
    <w:rsid w:val="00555316"/>
    <w:rsid w:val="0055598E"/>
    <w:rsid w:val="005568EC"/>
    <w:rsid w:val="00557B49"/>
    <w:rsid w:val="00561488"/>
    <w:rsid w:val="00561D48"/>
    <w:rsid w:val="00562F3D"/>
    <w:rsid w:val="00562F68"/>
    <w:rsid w:val="00563537"/>
    <w:rsid w:val="0056411D"/>
    <w:rsid w:val="00564C13"/>
    <w:rsid w:val="005658CD"/>
    <w:rsid w:val="005660A5"/>
    <w:rsid w:val="00566FA8"/>
    <w:rsid w:val="00567250"/>
    <w:rsid w:val="0057093F"/>
    <w:rsid w:val="00570BC6"/>
    <w:rsid w:val="005712CA"/>
    <w:rsid w:val="005718F7"/>
    <w:rsid w:val="00571D85"/>
    <w:rsid w:val="00573800"/>
    <w:rsid w:val="00573ACE"/>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E03"/>
    <w:rsid w:val="005A35B0"/>
    <w:rsid w:val="005A46C9"/>
    <w:rsid w:val="005A4996"/>
    <w:rsid w:val="005A5B78"/>
    <w:rsid w:val="005A61F4"/>
    <w:rsid w:val="005B0481"/>
    <w:rsid w:val="005B115C"/>
    <w:rsid w:val="005B194D"/>
    <w:rsid w:val="005B1CD5"/>
    <w:rsid w:val="005B1E21"/>
    <w:rsid w:val="005B1F27"/>
    <w:rsid w:val="005B241B"/>
    <w:rsid w:val="005B25B1"/>
    <w:rsid w:val="005B2665"/>
    <w:rsid w:val="005B2A5C"/>
    <w:rsid w:val="005B32A9"/>
    <w:rsid w:val="005B3527"/>
    <w:rsid w:val="005B39E9"/>
    <w:rsid w:val="005B4EC9"/>
    <w:rsid w:val="005B51BC"/>
    <w:rsid w:val="005B561C"/>
    <w:rsid w:val="005B5667"/>
    <w:rsid w:val="005B6A46"/>
    <w:rsid w:val="005B6D7F"/>
    <w:rsid w:val="005B7824"/>
    <w:rsid w:val="005C04A8"/>
    <w:rsid w:val="005C106A"/>
    <w:rsid w:val="005C1104"/>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DE3"/>
    <w:rsid w:val="005E03B6"/>
    <w:rsid w:val="005E20B6"/>
    <w:rsid w:val="005E29EB"/>
    <w:rsid w:val="005E2D8A"/>
    <w:rsid w:val="005E42FC"/>
    <w:rsid w:val="005E6BFE"/>
    <w:rsid w:val="005E6C3D"/>
    <w:rsid w:val="005E799D"/>
    <w:rsid w:val="005F11DE"/>
    <w:rsid w:val="005F218A"/>
    <w:rsid w:val="005F26E6"/>
    <w:rsid w:val="005F5A46"/>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3592"/>
    <w:rsid w:val="006242CF"/>
    <w:rsid w:val="00624A50"/>
    <w:rsid w:val="00624E33"/>
    <w:rsid w:val="00625570"/>
    <w:rsid w:val="00625575"/>
    <w:rsid w:val="006257B8"/>
    <w:rsid w:val="00625A2E"/>
    <w:rsid w:val="00625AC6"/>
    <w:rsid w:val="00625D87"/>
    <w:rsid w:val="00625FD2"/>
    <w:rsid w:val="006266DE"/>
    <w:rsid w:val="006301BF"/>
    <w:rsid w:val="00631CDD"/>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5CBE"/>
    <w:rsid w:val="006463B8"/>
    <w:rsid w:val="00647227"/>
    <w:rsid w:val="00650CA9"/>
    <w:rsid w:val="0065160B"/>
    <w:rsid w:val="0065202D"/>
    <w:rsid w:val="0065243D"/>
    <w:rsid w:val="00653450"/>
    <w:rsid w:val="0065388A"/>
    <w:rsid w:val="00653F6D"/>
    <w:rsid w:val="00654488"/>
    <w:rsid w:val="006549F8"/>
    <w:rsid w:val="00655B76"/>
    <w:rsid w:val="00655B8E"/>
    <w:rsid w:val="0065618B"/>
    <w:rsid w:val="00657A5B"/>
    <w:rsid w:val="00657AC6"/>
    <w:rsid w:val="00660D4A"/>
    <w:rsid w:val="00662ACB"/>
    <w:rsid w:val="00662E2E"/>
    <w:rsid w:val="00663354"/>
    <w:rsid w:val="00664BA7"/>
    <w:rsid w:val="00664BD3"/>
    <w:rsid w:val="0066680F"/>
    <w:rsid w:val="006678E5"/>
    <w:rsid w:val="00670259"/>
    <w:rsid w:val="00670741"/>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1051"/>
    <w:rsid w:val="006C386E"/>
    <w:rsid w:val="006C4DED"/>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4E44"/>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6FC7"/>
    <w:rsid w:val="00707170"/>
    <w:rsid w:val="00707B35"/>
    <w:rsid w:val="00707BE3"/>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2C69"/>
    <w:rsid w:val="00743D6D"/>
    <w:rsid w:val="007457CE"/>
    <w:rsid w:val="00745A42"/>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0BDD"/>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410"/>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2A8C"/>
    <w:rsid w:val="007A39CC"/>
    <w:rsid w:val="007A3DB2"/>
    <w:rsid w:val="007A420B"/>
    <w:rsid w:val="007A4374"/>
    <w:rsid w:val="007A4A84"/>
    <w:rsid w:val="007A5A32"/>
    <w:rsid w:val="007A75D4"/>
    <w:rsid w:val="007B4260"/>
    <w:rsid w:val="007B465B"/>
    <w:rsid w:val="007B4F1F"/>
    <w:rsid w:val="007B4F52"/>
    <w:rsid w:val="007B5069"/>
    <w:rsid w:val="007B5217"/>
    <w:rsid w:val="007C00CF"/>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1C5"/>
    <w:rsid w:val="008109E9"/>
    <w:rsid w:val="00810B88"/>
    <w:rsid w:val="00811DEA"/>
    <w:rsid w:val="00812C19"/>
    <w:rsid w:val="00812EC7"/>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3140"/>
    <w:rsid w:val="0083355C"/>
    <w:rsid w:val="00833846"/>
    <w:rsid w:val="00834BD7"/>
    <w:rsid w:val="00835397"/>
    <w:rsid w:val="0083594E"/>
    <w:rsid w:val="00836DAF"/>
    <w:rsid w:val="00837B6A"/>
    <w:rsid w:val="00837EC8"/>
    <w:rsid w:val="00840B37"/>
    <w:rsid w:val="00842081"/>
    <w:rsid w:val="008424ED"/>
    <w:rsid w:val="008430DF"/>
    <w:rsid w:val="00843986"/>
    <w:rsid w:val="00843FF0"/>
    <w:rsid w:val="00846283"/>
    <w:rsid w:val="00847298"/>
    <w:rsid w:val="008473BC"/>
    <w:rsid w:val="00847465"/>
    <w:rsid w:val="00851595"/>
    <w:rsid w:val="00851910"/>
    <w:rsid w:val="008559BC"/>
    <w:rsid w:val="00855C83"/>
    <w:rsid w:val="00857212"/>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49F1"/>
    <w:rsid w:val="008A4E93"/>
    <w:rsid w:val="008A50E4"/>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FB0"/>
    <w:rsid w:val="00900FF1"/>
    <w:rsid w:val="009011CA"/>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3C88"/>
    <w:rsid w:val="00914780"/>
    <w:rsid w:val="00914A81"/>
    <w:rsid w:val="00915C00"/>
    <w:rsid w:val="009165F1"/>
    <w:rsid w:val="00916E3E"/>
    <w:rsid w:val="009172E1"/>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378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1E63"/>
    <w:rsid w:val="00952A58"/>
    <w:rsid w:val="00952ADA"/>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6837"/>
    <w:rsid w:val="009773C2"/>
    <w:rsid w:val="00977A7D"/>
    <w:rsid w:val="00977EB0"/>
    <w:rsid w:val="00980F6B"/>
    <w:rsid w:val="00983EC0"/>
    <w:rsid w:val="00983F9C"/>
    <w:rsid w:val="0098498E"/>
    <w:rsid w:val="00984BFC"/>
    <w:rsid w:val="00990478"/>
    <w:rsid w:val="00992221"/>
    <w:rsid w:val="0099379B"/>
    <w:rsid w:val="00995BD5"/>
    <w:rsid w:val="00996A3E"/>
    <w:rsid w:val="00996E1F"/>
    <w:rsid w:val="00996EA5"/>
    <w:rsid w:val="00996FD0"/>
    <w:rsid w:val="00997435"/>
    <w:rsid w:val="009A335E"/>
    <w:rsid w:val="009A33DB"/>
    <w:rsid w:val="009A40A9"/>
    <w:rsid w:val="009A43DB"/>
    <w:rsid w:val="009A4429"/>
    <w:rsid w:val="009A47D6"/>
    <w:rsid w:val="009A5661"/>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559C"/>
    <w:rsid w:val="009F6A8C"/>
    <w:rsid w:val="009F6B73"/>
    <w:rsid w:val="009F6F56"/>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A24"/>
    <w:rsid w:val="00A15246"/>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7DB"/>
    <w:rsid w:val="00AC6F68"/>
    <w:rsid w:val="00AC7742"/>
    <w:rsid w:val="00AC7F8D"/>
    <w:rsid w:val="00AD11D8"/>
    <w:rsid w:val="00AD242F"/>
    <w:rsid w:val="00AD268A"/>
    <w:rsid w:val="00AD330B"/>
    <w:rsid w:val="00AD3C87"/>
    <w:rsid w:val="00AD3FA2"/>
    <w:rsid w:val="00AD48B7"/>
    <w:rsid w:val="00AD4B36"/>
    <w:rsid w:val="00AD4EEA"/>
    <w:rsid w:val="00AD64BC"/>
    <w:rsid w:val="00AD6984"/>
    <w:rsid w:val="00AD69B2"/>
    <w:rsid w:val="00AE0B59"/>
    <w:rsid w:val="00AE0F28"/>
    <w:rsid w:val="00AE1B6F"/>
    <w:rsid w:val="00AE2BFE"/>
    <w:rsid w:val="00AE315F"/>
    <w:rsid w:val="00AE4689"/>
    <w:rsid w:val="00AE4B47"/>
    <w:rsid w:val="00AE5516"/>
    <w:rsid w:val="00AE55F6"/>
    <w:rsid w:val="00AE6961"/>
    <w:rsid w:val="00AF25A5"/>
    <w:rsid w:val="00AF30CC"/>
    <w:rsid w:val="00AF382A"/>
    <w:rsid w:val="00AF3A38"/>
    <w:rsid w:val="00AF3FBB"/>
    <w:rsid w:val="00AF40AA"/>
    <w:rsid w:val="00AF6DFF"/>
    <w:rsid w:val="00B013D7"/>
    <w:rsid w:val="00B04468"/>
    <w:rsid w:val="00B04699"/>
    <w:rsid w:val="00B051F3"/>
    <w:rsid w:val="00B05964"/>
    <w:rsid w:val="00B05BD5"/>
    <w:rsid w:val="00B076B7"/>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3BF0"/>
    <w:rsid w:val="00B351D3"/>
    <w:rsid w:val="00B354E7"/>
    <w:rsid w:val="00B358B8"/>
    <w:rsid w:val="00B35A7C"/>
    <w:rsid w:val="00B35D8C"/>
    <w:rsid w:val="00B3676B"/>
    <w:rsid w:val="00B40340"/>
    <w:rsid w:val="00B410C2"/>
    <w:rsid w:val="00B42AC8"/>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0AA7"/>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4399"/>
    <w:rsid w:val="00BA48CF"/>
    <w:rsid w:val="00BA625D"/>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4049"/>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62FB"/>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5FCE"/>
    <w:rsid w:val="00C06496"/>
    <w:rsid w:val="00C064AC"/>
    <w:rsid w:val="00C10812"/>
    <w:rsid w:val="00C1111D"/>
    <w:rsid w:val="00C111A1"/>
    <w:rsid w:val="00C11988"/>
    <w:rsid w:val="00C11B70"/>
    <w:rsid w:val="00C11D6E"/>
    <w:rsid w:val="00C1233C"/>
    <w:rsid w:val="00C13751"/>
    <w:rsid w:val="00C14365"/>
    <w:rsid w:val="00C20948"/>
    <w:rsid w:val="00C20F5D"/>
    <w:rsid w:val="00C22D22"/>
    <w:rsid w:val="00C23946"/>
    <w:rsid w:val="00C24D07"/>
    <w:rsid w:val="00C24E11"/>
    <w:rsid w:val="00C2509A"/>
    <w:rsid w:val="00C25750"/>
    <w:rsid w:val="00C25ABB"/>
    <w:rsid w:val="00C26B42"/>
    <w:rsid w:val="00C26EFE"/>
    <w:rsid w:val="00C30608"/>
    <w:rsid w:val="00C337FB"/>
    <w:rsid w:val="00C33F61"/>
    <w:rsid w:val="00C34047"/>
    <w:rsid w:val="00C34773"/>
    <w:rsid w:val="00C35AB0"/>
    <w:rsid w:val="00C36FB7"/>
    <w:rsid w:val="00C37215"/>
    <w:rsid w:val="00C3731B"/>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C2E"/>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43B"/>
    <w:rsid w:val="00CC3DCB"/>
    <w:rsid w:val="00CC4DD7"/>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4C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38E"/>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99C"/>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E36"/>
    <w:rsid w:val="00DC73B2"/>
    <w:rsid w:val="00DD2D6D"/>
    <w:rsid w:val="00DD2DD8"/>
    <w:rsid w:val="00DD2FDC"/>
    <w:rsid w:val="00DD381B"/>
    <w:rsid w:val="00DD422A"/>
    <w:rsid w:val="00DD4715"/>
    <w:rsid w:val="00DD514F"/>
    <w:rsid w:val="00DD56A6"/>
    <w:rsid w:val="00DD7040"/>
    <w:rsid w:val="00DD7AFF"/>
    <w:rsid w:val="00DD7FCC"/>
    <w:rsid w:val="00DE0895"/>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A4A"/>
    <w:rsid w:val="00E24EEA"/>
    <w:rsid w:val="00E25675"/>
    <w:rsid w:val="00E27BF1"/>
    <w:rsid w:val="00E30E14"/>
    <w:rsid w:val="00E30FB4"/>
    <w:rsid w:val="00E31159"/>
    <w:rsid w:val="00E314BD"/>
    <w:rsid w:val="00E317B1"/>
    <w:rsid w:val="00E3289E"/>
    <w:rsid w:val="00E33B1C"/>
    <w:rsid w:val="00E349E1"/>
    <w:rsid w:val="00E35019"/>
    <w:rsid w:val="00E35B89"/>
    <w:rsid w:val="00E35CAD"/>
    <w:rsid w:val="00E361E2"/>
    <w:rsid w:val="00E37A21"/>
    <w:rsid w:val="00E410F3"/>
    <w:rsid w:val="00E4250B"/>
    <w:rsid w:val="00E4296A"/>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4D3C"/>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4346"/>
    <w:rsid w:val="00EE5E02"/>
    <w:rsid w:val="00EE6F94"/>
    <w:rsid w:val="00EE7114"/>
    <w:rsid w:val="00EE75C4"/>
    <w:rsid w:val="00EF133E"/>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4056"/>
    <w:rsid w:val="00F35403"/>
    <w:rsid w:val="00F36110"/>
    <w:rsid w:val="00F40CBC"/>
    <w:rsid w:val="00F415E6"/>
    <w:rsid w:val="00F42853"/>
    <w:rsid w:val="00F42F14"/>
    <w:rsid w:val="00F4381E"/>
    <w:rsid w:val="00F44BC1"/>
    <w:rsid w:val="00F4517B"/>
    <w:rsid w:val="00F4545F"/>
    <w:rsid w:val="00F45D1F"/>
    <w:rsid w:val="00F51FE2"/>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811B3"/>
    <w:rsid w:val="00F81404"/>
    <w:rsid w:val="00F81D2E"/>
    <w:rsid w:val="00F82ADB"/>
    <w:rsid w:val="00F82E3E"/>
    <w:rsid w:val="00F83161"/>
    <w:rsid w:val="00F83474"/>
    <w:rsid w:val="00F86541"/>
    <w:rsid w:val="00F865C0"/>
    <w:rsid w:val="00F87B2A"/>
    <w:rsid w:val="00F91AE7"/>
    <w:rsid w:val="00F9327B"/>
    <w:rsid w:val="00F93654"/>
    <w:rsid w:val="00F938FD"/>
    <w:rsid w:val="00F93CFF"/>
    <w:rsid w:val="00F946C0"/>
    <w:rsid w:val="00F94765"/>
    <w:rsid w:val="00F94F5C"/>
    <w:rsid w:val="00F95DCA"/>
    <w:rsid w:val="00F960EF"/>
    <w:rsid w:val="00F96297"/>
    <w:rsid w:val="00FA1048"/>
    <w:rsid w:val="00FA1138"/>
    <w:rsid w:val="00FA19FD"/>
    <w:rsid w:val="00FA2002"/>
    <w:rsid w:val="00FA210D"/>
    <w:rsid w:val="00FA27A3"/>
    <w:rsid w:val="00FA2A75"/>
    <w:rsid w:val="00FA3BDF"/>
    <w:rsid w:val="00FA5EB0"/>
    <w:rsid w:val="00FA740C"/>
    <w:rsid w:val="00FA7A68"/>
    <w:rsid w:val="00FB00DB"/>
    <w:rsid w:val="00FB074D"/>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466"/>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1745"/>
    <o:shapelayout v:ext="edit">
      <o:idmap v:ext="edit" data="1"/>
    </o:shapelayout>
  </w:shapeDefaults>
  <w:decimalSymbol w:val="."/>
  <w:listSeparator w:val=","/>
  <w14:docId w14:val="2F497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7C3C92"/>
    <w:rPr>
      <w:rFonts w:ascii="Arial" w:hAnsi="Arial"/>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1">
    <w:name w:val="EmailStyle76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35805743">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5JENXJJSCC7A-445999044-11822</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https://im/teams/LEGAL/_layouts/15/DocIdRedir.aspx?ID=5JENXJJSCC7A-445999044-11822</Url>
      <Description>5JENXJJSCC7A-445999044-11822</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114.1 Assets by Counterparty Grade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8D5C9-29F9-4E08-A370-DEE08FEB8550}">
  <ds:schemaRefs>
    <ds:schemaRef ds:uri="Microsoft.SharePoint.Taxonomy.ContentTypeSync"/>
  </ds:schemaRefs>
</ds:datastoreItem>
</file>

<file path=customXml/itemProps2.xml><?xml version="1.0" encoding="utf-8"?>
<ds:datastoreItem xmlns:ds="http://schemas.openxmlformats.org/officeDocument/2006/customXml" ds:itemID="{4B5AE40A-5F3D-49B3-8B33-6FCD0B853CAE}">
  <ds:schemaRefs>
    <ds:schemaRef ds:uri="http://schemas.openxmlformats.org/officeDocument/2006/bibliography"/>
  </ds:schemaRefs>
</ds:datastoreItem>
</file>

<file path=customXml/itemProps3.xml><?xml version="1.0" encoding="utf-8"?>
<ds:datastoreItem xmlns:ds="http://schemas.openxmlformats.org/officeDocument/2006/customXml" ds:itemID="{189B9FB4-F23A-479B-B038-62ABAE1AA8A2}">
  <ds:schemaRefs>
    <ds:schemaRef ds:uri="http://schemas.microsoft.com/sharepoint/events"/>
  </ds:schemaRefs>
</ds:datastoreItem>
</file>

<file path=customXml/itemProps4.xml><?xml version="1.0" encoding="utf-8"?>
<ds:datastoreItem xmlns:ds="http://schemas.openxmlformats.org/officeDocument/2006/customXml" ds:itemID="{540C9966-65BA-4235-9007-2BD01BE00B48}">
  <ds:schemaRefs>
    <ds:schemaRef ds:uri="http://schemas.microsoft.com/sharepoint/v3/contenttype/forms"/>
  </ds:schemaRefs>
</ds:datastoreItem>
</file>

<file path=customXml/itemProps5.xml><?xml version="1.0" encoding="utf-8"?>
<ds:datastoreItem xmlns:ds="http://schemas.openxmlformats.org/officeDocument/2006/customXml" ds:itemID="{CBE12DB1-8A7B-4726-81A0-DB7D4B5712AD}">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814d62cb-2db6-4c25-ab62-b9075facbc11"/>
    <ds:schemaRef ds:uri="http://www.w3.org/XML/1998/namespace"/>
  </ds:schemaRefs>
</ds:datastoreItem>
</file>

<file path=customXml/itemProps6.xml><?xml version="1.0" encoding="utf-8"?>
<ds:datastoreItem xmlns:ds="http://schemas.openxmlformats.org/officeDocument/2006/customXml" ds:itemID="{D5446255-FB65-45EB-88DD-4E0446A8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3332</Words>
  <Characters>18128</Characters>
  <Application>Microsoft Office Word</Application>
  <DocSecurity>4</DocSecurity>
  <Lines>355</Lines>
  <Paragraphs>168</Paragraphs>
  <ScaleCrop>false</ScaleCrop>
  <HeadingPairs>
    <vt:vector size="2" baseType="variant">
      <vt:variant>
        <vt:lpstr>Title</vt:lpstr>
      </vt:variant>
      <vt:variant>
        <vt:i4>1</vt:i4>
      </vt:variant>
    </vt:vector>
  </HeadingPairs>
  <TitlesOfParts>
    <vt:vector size="1" baseType="lpstr">
      <vt:lpstr>Data Reporting Standard</vt:lpstr>
    </vt:vector>
  </TitlesOfParts>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 RS determination No 12 of 2022</dc:title>
  <dc:subject/>
  <dc:creator/>
  <cp:keywords>[SEC=OFFICIAL]</cp:keywords>
  <cp:lastModifiedBy/>
  <cp:revision>1</cp:revision>
  <cp:lastPrinted>2008-02-01T00:08:00Z</cp:lastPrinted>
  <dcterms:created xsi:type="dcterms:W3CDTF">2022-10-12T22:15:00Z</dcterms:created>
  <dcterms:modified xsi:type="dcterms:W3CDTF">2022-10-12T22:15:00Z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C5C109E5E0184EBD948870A77A9B582F</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ABBFF5E2-9674-55C9-B08D-C9980002FD58</vt:lpwstr>
  </property>
  <property fmtid="{D5CDD505-2E9C-101B-9397-08002B2CF9AE}" pid="19" name="PMUuidVer">
    <vt:lpwstr>2022.1</vt:lpwstr>
  </property>
  <property fmtid="{D5CDD505-2E9C-101B-9397-08002B2CF9AE}" pid="20" name="PM_Hash_Version">
    <vt:lpwstr>2018.0</vt:lpwstr>
  </property>
  <property fmtid="{D5CDD505-2E9C-101B-9397-08002B2CF9AE}" pid="21" name="PM_OriginatorUserAccountName_SHA256">
    <vt:lpwstr>6E3018F28A186D2E5FF5207C041E7A82E907C3008E071057026A53705873B72E</vt:lpwstr>
  </property>
  <property fmtid="{D5CDD505-2E9C-101B-9397-08002B2CF9AE}" pid="22" name="PM_OriginatorDomainName_SHA256">
    <vt:lpwstr>ECBDE2B44A971754412B3FB70606937A119CC0D4B6C1B658A40FBD41C30BE3EC</vt:lpwstr>
  </property>
  <property fmtid="{D5CDD505-2E9C-101B-9397-08002B2CF9AE}" pid="23" name="PM_MinimumSecurityClassification">
    <vt:lpwstr/>
  </property>
  <property fmtid="{D5CDD505-2E9C-101B-9397-08002B2CF9AE}" pid="24" name="ContentTypeId">
    <vt:lpwstr>0x0101008CA7A4F8331B45C7B0D3158B4994D0CA0200577EC0F5A1FBFC498F9A8436B963F8A6</vt:lpwstr>
  </property>
  <property fmtid="{D5CDD505-2E9C-101B-9397-08002B2CF9AE}" pid="25" name="_dlc_DocIdItemGuid">
    <vt:lpwstr>d933d69d-a869-48ef-b3a0-cb072fa04a66</vt:lpwstr>
  </property>
  <property fmtid="{D5CDD505-2E9C-101B-9397-08002B2CF9AE}" pid="26" name="APRAStatus">
    <vt:lpwstr>19;#Final|84d6b2d0-8498-4d62-bf46-bab38babbe9e</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0" name="IT system type">
    <vt:lpwstr/>
  </property>
  <property fmtid="{D5CDD505-2E9C-101B-9397-08002B2CF9AE}" pid="31" name="APRACategory">
    <vt:lpwstr/>
  </property>
  <property fmtid="{D5CDD505-2E9C-101B-9397-08002B2CF9AE}" pid="32" name="APRAPRSG">
    <vt:lpwstr/>
  </property>
  <property fmtid="{D5CDD505-2E9C-101B-9397-08002B2CF9AE}" pid="33" name="APRADocumentType">
    <vt:lpwstr>297;#Reporting standard|91896cd9-c8c4-4f0d-b59e-113a28881d1d;#58;#Legal instrument|71fd6ed3-d6d6-4975-ba99-bfe45802e734</vt:lpwstr>
  </property>
  <property fmtid="{D5CDD505-2E9C-101B-9397-08002B2CF9AE}" pid="34" name="APRAActivity">
    <vt:lpwstr>10;#Registration|390476ce-d76d-4e8d-905f-28e32d2df127;#109;#Statutory instrument|fe68928c-5a9c-4caf-bc8c-6c18cedcb17f</vt:lpwstr>
  </property>
  <property fmtid="{D5CDD505-2E9C-101B-9397-08002B2CF9AE}" pid="35" name="APRAEntityAdviceSupport">
    <vt:lpwstr/>
  </property>
  <property fmtid="{D5CDD505-2E9C-101B-9397-08002B2CF9AE}" pid="36" name="APRALegislation">
    <vt:lpwstr/>
  </property>
  <property fmtid="{D5CDD505-2E9C-101B-9397-08002B2CF9AE}" pid="37" name="APRAYear">
    <vt:lpwstr/>
  </property>
  <property fmtid="{D5CDD505-2E9C-101B-9397-08002B2CF9AE}" pid="38" name="APRAIndustry">
    <vt:lpwstr/>
  </property>
  <property fmtid="{D5CDD505-2E9C-101B-9397-08002B2CF9AE}" pid="39" name="APRAExternalOrganisation">
    <vt:lpwstr/>
  </property>
  <property fmtid="{D5CDD505-2E9C-101B-9397-08002B2CF9AE}" pid="40" name="APRAIRTR">
    <vt:lpwstr/>
  </property>
  <property fmtid="{D5CDD505-2E9C-101B-9397-08002B2CF9AE}" pid="41" name="APRAPeriod">
    <vt:lpwstr/>
  </property>
  <property fmtid="{D5CDD505-2E9C-101B-9397-08002B2CF9AE}" pid="42" name="RecordPoint_WorkflowType">
    <vt:lpwstr>ActiveSubmitStub</vt:lpwstr>
  </property>
  <property fmtid="{D5CDD505-2E9C-101B-9397-08002B2CF9AE}" pid="43" name="RecordPoint_ActiveItemSiteId">
    <vt:lpwstr>{88691c01-5bbb-4215-adc0-66cb7065b0af}</vt:lpwstr>
  </property>
  <property fmtid="{D5CDD505-2E9C-101B-9397-08002B2CF9AE}" pid="44" name="RecordPoint_ActiveItemListId">
    <vt:lpwstr>{0e59e171-09d8-4401-800a-327154450cb3}</vt:lpwstr>
  </property>
  <property fmtid="{D5CDD505-2E9C-101B-9397-08002B2CF9AE}" pid="45" name="RecordPoint_ActiveItemUniqueId">
    <vt:lpwstr>{d933d69d-a869-48ef-b3a0-cb072fa04a66}</vt:lpwstr>
  </property>
  <property fmtid="{D5CDD505-2E9C-101B-9397-08002B2CF9AE}" pid="46" name="RecordPoint_ActiveItemWebId">
    <vt:lpwstr>{75a71c27-8d66-4282-ae60-1bfc22a83be1}</vt:lpwstr>
  </property>
  <property fmtid="{D5CDD505-2E9C-101B-9397-08002B2CF9AE}" pid="47" name="RecordPoint_RecordNumberSubmitted">
    <vt:lpwstr/>
  </property>
  <property fmtid="{D5CDD505-2E9C-101B-9397-08002B2CF9AE}" pid="48" name="RecordPoint_SubmissionCompleted">
    <vt:lpwstr/>
  </property>
  <property fmtid="{D5CDD505-2E9C-101B-9397-08002B2CF9AE}" pid="49" name="IsLocked">
    <vt:lpwstr>False</vt:lpwstr>
  </property>
  <property fmtid="{D5CDD505-2E9C-101B-9397-08002B2CF9AE}" pid="50" name="MSIP_Label_c0129afb-6481-4f92-bc9f-5a4a6346364d_Name">
    <vt:lpwstr>OFFICIAL</vt:lpwstr>
  </property>
  <property fmtid="{D5CDD505-2E9C-101B-9397-08002B2CF9AE}" pid="51" name="MSIP_Label_c0129afb-6481-4f92-bc9f-5a4a6346364d_SiteId">
    <vt:lpwstr>c05e3ffd-b491-4431-9809-e61d4dc78816</vt:lpwstr>
  </property>
  <property fmtid="{D5CDD505-2E9C-101B-9397-08002B2CF9AE}" pid="52" name="MSIP_Label_c0129afb-6481-4f92-bc9f-5a4a6346364d_Enabled">
    <vt:lpwstr>true</vt:lpwstr>
  </property>
  <property fmtid="{D5CDD505-2E9C-101B-9397-08002B2CF9AE}" pid="53" name="RecordPoint_SubmissionDate">
    <vt:lpwstr/>
  </property>
  <property fmtid="{D5CDD505-2E9C-101B-9397-08002B2CF9AE}" pid="54" name="RecordPoint_ActiveItemMoved">
    <vt:lpwstr/>
  </property>
  <property fmtid="{D5CDD505-2E9C-101B-9397-08002B2CF9AE}" pid="55" name="RecordPoint_RecordFormat">
    <vt:lpwstr/>
  </property>
  <property fmtid="{D5CDD505-2E9C-101B-9397-08002B2CF9AE}" pid="56" name="PM_OriginationTimeStamp">
    <vt:lpwstr>2022-10-12T22:15:17Z</vt:lpwstr>
  </property>
  <property fmtid="{D5CDD505-2E9C-101B-9397-08002B2CF9AE}" pid="57" name="PM_Hash_Salt_Prev">
    <vt:lpwstr>D9E5AF200D6B3240AE9D730E5531572C</vt:lpwstr>
  </property>
  <property fmtid="{D5CDD505-2E9C-101B-9397-08002B2CF9AE}" pid="58" name="PM_Hash_Salt">
    <vt:lpwstr>2891918B2451DE87A2B239A074B733D1</vt:lpwstr>
  </property>
  <property fmtid="{D5CDD505-2E9C-101B-9397-08002B2CF9AE}" pid="59" name="PM_Hash_SHA1">
    <vt:lpwstr>A6973FA7FB698E116A5D85E57DEAFC682DAA6CF3</vt:lpwstr>
  </property>
  <property fmtid="{D5CDD505-2E9C-101B-9397-08002B2CF9AE}" pid="60" name="MSIP_Label_c0129afb-6481-4f92-bc9f-5a4a6346364d_SetDate">
    <vt:lpwstr>2022-10-12T05:14:43Z</vt:lpwstr>
  </property>
</Properties>
</file>