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5240" w14:textId="77777777" w:rsidR="008D42D4" w:rsidRPr="00725F44" w:rsidRDefault="008D42D4" w:rsidP="008D42D4">
      <w:pPr>
        <w:pStyle w:val="Heading1"/>
        <w:spacing w:before="0"/>
        <w:jc w:val="center"/>
        <w:rPr>
          <w:rFonts w:ascii="Times New Roman" w:hAnsi="Times New Roman" w:cs="Times New Roman"/>
          <w:sz w:val="24"/>
          <w:szCs w:val="24"/>
          <w:u w:val="single"/>
        </w:rPr>
      </w:pPr>
      <w:r w:rsidRPr="00725F44">
        <w:rPr>
          <w:rFonts w:ascii="Times New Roman" w:hAnsi="Times New Roman" w:cs="Times New Roman"/>
          <w:sz w:val="24"/>
          <w:szCs w:val="24"/>
          <w:u w:val="single"/>
        </w:rPr>
        <w:t>EXPLANATORY STATEMENT</w:t>
      </w:r>
    </w:p>
    <w:p w14:paraId="577D2DFA" w14:textId="77777777" w:rsidR="008D42D4" w:rsidRPr="00725F44" w:rsidRDefault="008D42D4" w:rsidP="008D42D4">
      <w:pPr>
        <w:jc w:val="center"/>
        <w:rPr>
          <w:b/>
          <w:sz w:val="24"/>
          <w:szCs w:val="24"/>
        </w:rPr>
      </w:pPr>
    </w:p>
    <w:p w14:paraId="7859A9A8" w14:textId="77777777" w:rsidR="008D42D4" w:rsidRPr="00725F44" w:rsidRDefault="008D42D4" w:rsidP="008D42D4">
      <w:pPr>
        <w:jc w:val="center"/>
        <w:rPr>
          <w:rFonts w:ascii="Times New Roman" w:eastAsiaTheme="minorEastAsia" w:hAnsi="Times New Roman"/>
          <w:b/>
          <w:sz w:val="24"/>
          <w:szCs w:val="24"/>
          <w:lang w:eastAsia="en-US" w:bidi="en-US"/>
        </w:rPr>
      </w:pPr>
      <w:r w:rsidRPr="00725F44">
        <w:rPr>
          <w:rFonts w:ascii="Times New Roman" w:eastAsiaTheme="minorEastAsia" w:hAnsi="Times New Roman"/>
          <w:b/>
          <w:sz w:val="24"/>
          <w:szCs w:val="24"/>
          <w:lang w:eastAsia="en-US" w:bidi="en-US"/>
        </w:rPr>
        <w:t>Issued by the Authority of the Minister for Finance</w:t>
      </w:r>
    </w:p>
    <w:p w14:paraId="22CE8A12" w14:textId="77777777" w:rsidR="008D42D4" w:rsidRPr="00725F44" w:rsidRDefault="008D42D4" w:rsidP="008D42D4">
      <w:pPr>
        <w:jc w:val="center"/>
        <w:rPr>
          <w:rFonts w:ascii="Times New Roman" w:hAnsi="Times New Roman"/>
          <w:b/>
          <w:sz w:val="24"/>
          <w:szCs w:val="24"/>
        </w:rPr>
      </w:pPr>
    </w:p>
    <w:p w14:paraId="689387B7" w14:textId="77777777" w:rsidR="008D42D4" w:rsidRPr="00725F44" w:rsidRDefault="008D42D4" w:rsidP="008D42D4">
      <w:pPr>
        <w:jc w:val="center"/>
        <w:rPr>
          <w:rFonts w:ascii="Times New Roman" w:hAnsi="Times New Roman"/>
          <w:i/>
          <w:sz w:val="24"/>
          <w:szCs w:val="24"/>
        </w:rPr>
      </w:pPr>
      <w:r w:rsidRPr="00725F44">
        <w:rPr>
          <w:rFonts w:ascii="Times New Roman" w:hAnsi="Times New Roman"/>
          <w:i/>
          <w:sz w:val="24"/>
          <w:szCs w:val="24"/>
        </w:rPr>
        <w:t xml:space="preserve">Public Governance, Performance and Accountability Act 2013 </w:t>
      </w:r>
    </w:p>
    <w:p w14:paraId="7ECA53A4" w14:textId="77777777" w:rsidR="008D42D4" w:rsidRPr="00725F44" w:rsidRDefault="008D42D4" w:rsidP="008D42D4">
      <w:pPr>
        <w:jc w:val="center"/>
        <w:rPr>
          <w:rFonts w:ascii="Times New Roman" w:hAnsi="Times New Roman"/>
          <w:i/>
          <w:sz w:val="24"/>
          <w:szCs w:val="24"/>
        </w:rPr>
      </w:pPr>
    </w:p>
    <w:p w14:paraId="32F7A474" w14:textId="77777777" w:rsidR="008D42D4" w:rsidRPr="00725F44" w:rsidRDefault="008D42D4" w:rsidP="008D42D4">
      <w:pPr>
        <w:pStyle w:val="ShortT"/>
        <w:jc w:val="center"/>
        <w:rPr>
          <w:rFonts w:eastAsiaTheme="minorEastAsia"/>
          <w:b w:val="0"/>
          <w:i/>
          <w:sz w:val="24"/>
          <w:szCs w:val="24"/>
          <w:lang w:eastAsia="en-US" w:bidi="en-US"/>
        </w:rPr>
      </w:pPr>
      <w:r w:rsidRPr="00725F44">
        <w:rPr>
          <w:rFonts w:eastAsiaTheme="minorEastAsia"/>
          <w:b w:val="0"/>
          <w:i/>
          <w:sz w:val="24"/>
          <w:szCs w:val="24"/>
          <w:lang w:eastAsia="en-US" w:bidi="en-US"/>
        </w:rPr>
        <w:t>Public Governance, Performance and Accountability Rule 2014</w:t>
      </w:r>
    </w:p>
    <w:p w14:paraId="616CC2F1" w14:textId="77777777" w:rsidR="008D42D4" w:rsidRPr="00725F44" w:rsidRDefault="008D42D4" w:rsidP="008D42D4">
      <w:pPr>
        <w:jc w:val="center"/>
        <w:rPr>
          <w:lang w:eastAsia="en-US" w:bidi="en-US"/>
        </w:rPr>
      </w:pPr>
    </w:p>
    <w:p w14:paraId="247F785C" w14:textId="77777777" w:rsidR="008D42D4" w:rsidRPr="000E0E2A" w:rsidRDefault="008D42D4" w:rsidP="008D42D4">
      <w:pPr>
        <w:pStyle w:val="ShortT"/>
        <w:jc w:val="center"/>
        <w:rPr>
          <w:rFonts w:eastAsiaTheme="minorEastAsia"/>
          <w:b w:val="0"/>
          <w:i/>
          <w:sz w:val="24"/>
          <w:szCs w:val="24"/>
          <w:lang w:eastAsia="en-US" w:bidi="en-US"/>
        </w:rPr>
      </w:pPr>
      <w:r w:rsidRPr="000E0E2A">
        <w:rPr>
          <w:rFonts w:eastAsiaTheme="minorEastAsia"/>
          <w:b w:val="0"/>
          <w:i/>
          <w:sz w:val="24"/>
          <w:szCs w:val="24"/>
          <w:lang w:eastAsia="en-US" w:bidi="en-US"/>
        </w:rPr>
        <w:t>Public Governance, Performance and Accountability Amendment (</w:t>
      </w:r>
      <w:r w:rsidR="00677FDD" w:rsidRPr="000E0E2A">
        <w:rPr>
          <w:rFonts w:eastAsiaTheme="minorEastAsia"/>
          <w:b w:val="0"/>
          <w:i/>
          <w:sz w:val="24"/>
          <w:szCs w:val="24"/>
          <w:lang w:eastAsia="en-US" w:bidi="en-US"/>
        </w:rPr>
        <w:t>Domestic, Family and Sexual Violence Commission</w:t>
      </w:r>
      <w:r w:rsidR="004E72E2" w:rsidRPr="000E0E2A">
        <w:rPr>
          <w:rFonts w:eastAsiaTheme="minorEastAsia"/>
          <w:b w:val="0"/>
          <w:i/>
          <w:sz w:val="24"/>
          <w:szCs w:val="24"/>
          <w:lang w:eastAsia="en-US" w:bidi="en-US"/>
        </w:rPr>
        <w:t>) Rule</w:t>
      </w:r>
      <w:r w:rsidR="00965271" w:rsidRPr="000E0E2A">
        <w:rPr>
          <w:rFonts w:eastAsiaTheme="minorEastAsia"/>
          <w:b w:val="0"/>
          <w:i/>
          <w:sz w:val="24"/>
          <w:szCs w:val="24"/>
          <w:lang w:eastAsia="en-US" w:bidi="en-US"/>
        </w:rPr>
        <w:t>s</w:t>
      </w:r>
      <w:r w:rsidR="001B778A" w:rsidRPr="000E0E2A">
        <w:rPr>
          <w:rFonts w:eastAsiaTheme="minorEastAsia"/>
          <w:b w:val="0"/>
          <w:i/>
          <w:sz w:val="24"/>
          <w:szCs w:val="24"/>
          <w:lang w:eastAsia="en-US" w:bidi="en-US"/>
        </w:rPr>
        <w:t> 2022</w:t>
      </w:r>
    </w:p>
    <w:p w14:paraId="49392EF9" w14:textId="77777777" w:rsidR="008D42D4" w:rsidRPr="00725F44" w:rsidRDefault="008D42D4" w:rsidP="008D42D4">
      <w:pPr>
        <w:jc w:val="center"/>
        <w:rPr>
          <w:lang w:eastAsia="en-US" w:bidi="en-US"/>
        </w:rPr>
      </w:pPr>
    </w:p>
    <w:p w14:paraId="31CBE039" w14:textId="2C0CA4B4" w:rsidR="008D42D4" w:rsidRPr="00725F44" w:rsidRDefault="008D42D4" w:rsidP="008D42D4">
      <w:pPr>
        <w:rPr>
          <w:rFonts w:ascii="Times New Roman" w:hAnsi="Times New Roman"/>
          <w:sz w:val="24"/>
          <w:szCs w:val="24"/>
        </w:rPr>
      </w:pPr>
      <w:r w:rsidRPr="00725F44">
        <w:rPr>
          <w:rFonts w:ascii="Times New Roman" w:hAnsi="Times New Roman"/>
          <w:sz w:val="24"/>
          <w:szCs w:val="24"/>
        </w:rPr>
        <w:t xml:space="preserve">The </w:t>
      </w:r>
      <w:r w:rsidRPr="00725F44">
        <w:rPr>
          <w:rFonts w:ascii="Times New Roman" w:hAnsi="Times New Roman"/>
          <w:i/>
          <w:iCs/>
          <w:sz w:val="24"/>
          <w:szCs w:val="24"/>
        </w:rPr>
        <w:t>Public Governance, Performance and Accountability Act 2013</w:t>
      </w:r>
      <w:r w:rsidRPr="00725F44">
        <w:rPr>
          <w:rFonts w:ascii="Times New Roman" w:hAnsi="Times New Roman"/>
          <w:sz w:val="24"/>
          <w:szCs w:val="24"/>
        </w:rPr>
        <w:t xml:space="preserve"> (PGPA Act) and the </w:t>
      </w:r>
      <w:r w:rsidRPr="00725F44">
        <w:rPr>
          <w:rFonts w:ascii="Times New Roman" w:hAnsi="Times New Roman"/>
          <w:i/>
          <w:sz w:val="24"/>
          <w:szCs w:val="24"/>
        </w:rPr>
        <w:t xml:space="preserve">Public Governance, Performance and Accountability Rule 2014 </w:t>
      </w:r>
      <w:r w:rsidRPr="00725F44">
        <w:rPr>
          <w:rFonts w:ascii="Times New Roman" w:hAnsi="Times New Roman"/>
          <w:sz w:val="24"/>
          <w:szCs w:val="24"/>
        </w:rPr>
        <w:t xml:space="preserve">(PGPA Rule) set out a framework for regulating resource management by </w:t>
      </w:r>
      <w:r w:rsidR="00447AC3" w:rsidRPr="00725F44">
        <w:rPr>
          <w:rFonts w:ascii="Times New Roman" w:hAnsi="Times New Roman"/>
          <w:sz w:val="24"/>
          <w:szCs w:val="24"/>
        </w:rPr>
        <w:t>Commonwealth entities and companies</w:t>
      </w:r>
      <w:r w:rsidRPr="00725F44">
        <w:rPr>
          <w:rFonts w:ascii="Times New Roman" w:hAnsi="Times New Roman"/>
          <w:sz w:val="24"/>
          <w:szCs w:val="24"/>
        </w:rPr>
        <w:t xml:space="preserve">. Section 101 of the PGPA Act provides that the </w:t>
      </w:r>
      <w:r w:rsidR="00990584">
        <w:rPr>
          <w:rFonts w:ascii="Times New Roman" w:hAnsi="Times New Roman"/>
          <w:sz w:val="24"/>
          <w:szCs w:val="24"/>
        </w:rPr>
        <w:t>Minister for Finance</w:t>
      </w:r>
      <w:r w:rsidRPr="00725F44">
        <w:rPr>
          <w:rFonts w:ascii="Times New Roman" w:hAnsi="Times New Roman"/>
          <w:sz w:val="24"/>
          <w:szCs w:val="24"/>
        </w:rPr>
        <w:t xml:space="preserve"> may make rules by legislative instrument to prescribe matters necessary or convenient to be prescribed for carrying out or giving effect to the Act.</w:t>
      </w:r>
      <w:r w:rsidR="00397A04">
        <w:rPr>
          <w:rFonts w:ascii="Times New Roman" w:hAnsi="Times New Roman"/>
          <w:sz w:val="24"/>
          <w:szCs w:val="24"/>
        </w:rPr>
        <w:t xml:space="preserve"> </w:t>
      </w:r>
      <w:r w:rsidR="00B11A9F">
        <w:rPr>
          <w:rFonts w:ascii="Times New Roman" w:hAnsi="Times New Roman"/>
          <w:sz w:val="24"/>
          <w:szCs w:val="24"/>
        </w:rPr>
        <w:t>Paragraph</w:t>
      </w:r>
      <w:r w:rsidR="00397A04">
        <w:rPr>
          <w:rFonts w:ascii="Times New Roman" w:hAnsi="Times New Roman"/>
          <w:sz w:val="24"/>
          <w:szCs w:val="24"/>
        </w:rPr>
        <w:t xml:space="preserve"> 103(e) of the PGPA Act provides that the rules may make provision for the name or purposes of a </w:t>
      </w:r>
      <w:r w:rsidR="00B11A9F">
        <w:rPr>
          <w:rFonts w:ascii="Times New Roman" w:hAnsi="Times New Roman"/>
          <w:sz w:val="24"/>
          <w:szCs w:val="24"/>
        </w:rPr>
        <w:t xml:space="preserve">non-corporate </w:t>
      </w:r>
      <w:r w:rsidR="00397A04">
        <w:rPr>
          <w:rFonts w:ascii="Times New Roman" w:hAnsi="Times New Roman"/>
          <w:sz w:val="24"/>
          <w:szCs w:val="24"/>
        </w:rPr>
        <w:t xml:space="preserve">Commonwealth entity </w:t>
      </w:r>
      <w:r w:rsidR="00B11A9F">
        <w:rPr>
          <w:rFonts w:ascii="Times New Roman" w:hAnsi="Times New Roman"/>
          <w:sz w:val="24"/>
          <w:szCs w:val="24"/>
        </w:rPr>
        <w:t xml:space="preserve">that is </w:t>
      </w:r>
      <w:r w:rsidR="00397A04">
        <w:rPr>
          <w:rFonts w:ascii="Times New Roman" w:hAnsi="Times New Roman"/>
          <w:sz w:val="24"/>
          <w:szCs w:val="24"/>
        </w:rPr>
        <w:t xml:space="preserve">prescribed </w:t>
      </w:r>
      <w:r w:rsidR="00B11A9F">
        <w:rPr>
          <w:rFonts w:ascii="Times New Roman" w:hAnsi="Times New Roman"/>
          <w:sz w:val="24"/>
          <w:szCs w:val="24"/>
        </w:rPr>
        <w:t xml:space="preserve">by the rules </w:t>
      </w:r>
      <w:r w:rsidR="00397A04">
        <w:rPr>
          <w:rFonts w:ascii="Times New Roman" w:hAnsi="Times New Roman"/>
          <w:sz w:val="24"/>
          <w:szCs w:val="24"/>
        </w:rPr>
        <w:t>to be a listed entity.</w:t>
      </w:r>
    </w:p>
    <w:p w14:paraId="7565B568" w14:textId="77777777" w:rsidR="008D42D4" w:rsidRPr="00725F44" w:rsidRDefault="008D42D4" w:rsidP="008D42D4">
      <w:pPr>
        <w:rPr>
          <w:rFonts w:ascii="Times New Roman" w:hAnsi="Times New Roman"/>
          <w:i/>
        </w:rPr>
      </w:pPr>
      <w:bookmarkStart w:id="0" w:name="_GoBack"/>
      <w:bookmarkEnd w:id="0"/>
    </w:p>
    <w:p w14:paraId="59ED5AA7" w14:textId="77777777" w:rsidR="008D42D4" w:rsidRPr="00725F44" w:rsidRDefault="008D42D4" w:rsidP="008D42D4">
      <w:pPr>
        <w:rPr>
          <w:rFonts w:ascii="Times New Roman" w:hAnsi="Times New Roman"/>
          <w:sz w:val="24"/>
          <w:szCs w:val="24"/>
        </w:rPr>
      </w:pPr>
      <w:r w:rsidRPr="00725F44">
        <w:rPr>
          <w:rFonts w:ascii="Times New Roman" w:hAnsi="Times New Roman"/>
          <w:sz w:val="24"/>
          <w:szCs w:val="24"/>
          <w:lang w:val="en-US"/>
        </w:rPr>
        <w:t xml:space="preserve">Under subsection 33(3) of the </w:t>
      </w:r>
      <w:r w:rsidRPr="00725F44">
        <w:rPr>
          <w:rFonts w:ascii="Times New Roman" w:hAnsi="Times New Roman"/>
          <w:i/>
          <w:iCs/>
          <w:sz w:val="24"/>
          <w:szCs w:val="24"/>
          <w:lang w:val="en-US"/>
        </w:rPr>
        <w:t>Acts Interpretation Act 1901</w:t>
      </w:r>
      <w:r w:rsidRPr="00725F44">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1BBACE3" w14:textId="77777777" w:rsidR="008D42D4" w:rsidRPr="00725F44" w:rsidRDefault="008D42D4" w:rsidP="008D42D4">
      <w:pPr>
        <w:rPr>
          <w:rFonts w:ascii="Times New Roman" w:hAnsi="Times New Roman"/>
          <w:i/>
        </w:rPr>
      </w:pPr>
    </w:p>
    <w:p w14:paraId="17E42961" w14:textId="77777777" w:rsidR="00B76175" w:rsidRPr="00725F44" w:rsidRDefault="008D42D4" w:rsidP="00A83A97">
      <w:pPr>
        <w:pStyle w:val="ShortT"/>
        <w:rPr>
          <w:b w:val="0"/>
          <w:sz w:val="24"/>
          <w:szCs w:val="24"/>
        </w:rPr>
      </w:pPr>
      <w:r w:rsidRPr="000E0E2A">
        <w:rPr>
          <w:rFonts w:eastAsiaTheme="minorEastAsia"/>
          <w:b w:val="0"/>
          <w:sz w:val="24"/>
          <w:szCs w:val="24"/>
          <w:lang w:eastAsia="en-US" w:bidi="en-US"/>
        </w:rPr>
        <w:t>The</w:t>
      </w:r>
      <w:r w:rsidRPr="000E0E2A">
        <w:rPr>
          <w:rFonts w:eastAsiaTheme="minorEastAsia"/>
          <w:b w:val="0"/>
          <w:i/>
          <w:sz w:val="24"/>
          <w:szCs w:val="24"/>
          <w:lang w:eastAsia="en-US" w:bidi="en-US"/>
        </w:rPr>
        <w:t xml:space="preserve"> Public Governance, Performance and Accountability Amendment </w:t>
      </w:r>
      <w:r w:rsidR="00B76175" w:rsidRPr="000E0E2A">
        <w:rPr>
          <w:rFonts w:eastAsiaTheme="minorEastAsia"/>
          <w:b w:val="0"/>
          <w:i/>
          <w:sz w:val="24"/>
          <w:szCs w:val="24"/>
          <w:lang w:eastAsia="en-US" w:bidi="en-US"/>
        </w:rPr>
        <w:t>(</w:t>
      </w:r>
      <w:r w:rsidR="00677FDD" w:rsidRPr="000E0E2A">
        <w:rPr>
          <w:rFonts w:eastAsiaTheme="minorEastAsia"/>
          <w:b w:val="0"/>
          <w:i/>
          <w:sz w:val="24"/>
          <w:szCs w:val="24"/>
          <w:lang w:eastAsia="en-US" w:bidi="en-US"/>
        </w:rPr>
        <w:t>Domestic, Family and Sexual Violence Commission</w:t>
      </w:r>
      <w:r w:rsidR="00B76175" w:rsidRPr="000E0E2A">
        <w:rPr>
          <w:rFonts w:eastAsiaTheme="minorEastAsia"/>
          <w:b w:val="0"/>
          <w:i/>
          <w:sz w:val="24"/>
          <w:szCs w:val="24"/>
          <w:lang w:eastAsia="en-US" w:bidi="en-US"/>
        </w:rPr>
        <w:t>) Rules 20</w:t>
      </w:r>
      <w:r w:rsidR="004E72E2" w:rsidRPr="000E0E2A">
        <w:rPr>
          <w:rFonts w:eastAsiaTheme="minorEastAsia"/>
          <w:b w:val="0"/>
          <w:i/>
          <w:sz w:val="24"/>
          <w:szCs w:val="24"/>
          <w:lang w:eastAsia="en-US" w:bidi="en-US"/>
        </w:rPr>
        <w:t>22</w:t>
      </w:r>
      <w:r w:rsidRPr="00725F44">
        <w:rPr>
          <w:rFonts w:eastAsiaTheme="minorEastAsia"/>
          <w:b w:val="0"/>
          <w:i/>
          <w:sz w:val="24"/>
          <w:szCs w:val="24"/>
          <w:lang w:eastAsia="en-US" w:bidi="en-US"/>
        </w:rPr>
        <w:t xml:space="preserve"> </w:t>
      </w:r>
      <w:r w:rsidR="004E72E2" w:rsidRPr="00725F44">
        <w:rPr>
          <w:b w:val="0"/>
          <w:sz w:val="24"/>
          <w:szCs w:val="24"/>
        </w:rPr>
        <w:t>(Amendment Rule</w:t>
      </w:r>
      <w:r w:rsidR="00074F74" w:rsidRPr="00725F44">
        <w:rPr>
          <w:b w:val="0"/>
          <w:sz w:val="24"/>
          <w:szCs w:val="24"/>
        </w:rPr>
        <w:t>s</w:t>
      </w:r>
      <w:r w:rsidRPr="00725F44">
        <w:rPr>
          <w:b w:val="0"/>
          <w:sz w:val="24"/>
          <w:szCs w:val="24"/>
        </w:rPr>
        <w:t>) amend</w:t>
      </w:r>
      <w:r w:rsidR="00CD4171">
        <w:rPr>
          <w:b w:val="0"/>
          <w:sz w:val="24"/>
          <w:szCs w:val="24"/>
        </w:rPr>
        <w:t xml:space="preserve"> </w:t>
      </w:r>
      <w:r w:rsidR="00B76175" w:rsidRPr="00725F44">
        <w:rPr>
          <w:b w:val="0"/>
          <w:sz w:val="24"/>
          <w:szCs w:val="24"/>
        </w:rPr>
        <w:t xml:space="preserve">Schedule 1 to the PGPA Rule </w:t>
      </w:r>
      <w:r w:rsidR="00721015">
        <w:rPr>
          <w:b w:val="0"/>
          <w:sz w:val="24"/>
          <w:szCs w:val="24"/>
        </w:rPr>
        <w:t xml:space="preserve">by </w:t>
      </w:r>
      <w:r w:rsidR="000738F9">
        <w:rPr>
          <w:b w:val="0"/>
          <w:sz w:val="24"/>
          <w:szCs w:val="24"/>
        </w:rPr>
        <w:t xml:space="preserve">inserting a new clause </w:t>
      </w:r>
      <w:r w:rsidR="000738F9" w:rsidRPr="000E0E2A">
        <w:rPr>
          <w:b w:val="0"/>
          <w:sz w:val="24"/>
          <w:szCs w:val="24"/>
        </w:rPr>
        <w:t>10AA</w:t>
      </w:r>
      <w:r w:rsidR="000738F9">
        <w:rPr>
          <w:b w:val="0"/>
          <w:sz w:val="24"/>
          <w:szCs w:val="24"/>
        </w:rPr>
        <w:t xml:space="preserve"> to prescribe the Domestic, Family and Sexual Violence Commission (DFSV Commission) as a listed entity</w:t>
      </w:r>
      <w:r w:rsidR="00961B6D">
        <w:rPr>
          <w:b w:val="0"/>
          <w:sz w:val="24"/>
          <w:szCs w:val="24"/>
        </w:rPr>
        <w:t>, a type of non-corporate Commonwealth entity,</w:t>
      </w:r>
      <w:r w:rsidR="000738F9">
        <w:rPr>
          <w:b w:val="0"/>
          <w:sz w:val="24"/>
          <w:szCs w:val="24"/>
        </w:rPr>
        <w:t xml:space="preserve"> for the purposes of the finance law as defined by the PGPA Act.  </w:t>
      </w:r>
    </w:p>
    <w:p w14:paraId="27142876" w14:textId="77777777" w:rsidR="008D42D4" w:rsidRDefault="008D42D4" w:rsidP="008D42D4">
      <w:pPr>
        <w:rPr>
          <w:rFonts w:ascii="Times New Roman" w:hAnsi="Times New Roman"/>
          <w:sz w:val="24"/>
          <w:szCs w:val="24"/>
          <w:lang w:val="en-US"/>
        </w:rPr>
      </w:pPr>
    </w:p>
    <w:p w14:paraId="4B610684" w14:textId="591A5182" w:rsidR="00120A71" w:rsidRDefault="00FE650F" w:rsidP="008D42D4">
      <w:pPr>
        <w:rPr>
          <w:rFonts w:ascii="Times New Roman" w:hAnsi="Times New Roman"/>
          <w:sz w:val="24"/>
          <w:szCs w:val="24"/>
          <w:lang w:val="en-US"/>
        </w:rPr>
      </w:pPr>
      <w:r w:rsidRPr="00F81067">
        <w:rPr>
          <w:rFonts w:ascii="Times New Roman" w:hAnsi="Times New Roman"/>
          <w:sz w:val="24"/>
          <w:szCs w:val="24"/>
          <w:lang w:val="en-US"/>
        </w:rPr>
        <w:t>The Amendment R</w:t>
      </w:r>
      <w:r w:rsidR="00961B6D" w:rsidRPr="00F81067">
        <w:rPr>
          <w:rFonts w:ascii="Times New Roman" w:hAnsi="Times New Roman"/>
          <w:sz w:val="24"/>
          <w:szCs w:val="24"/>
          <w:lang w:val="en-US"/>
        </w:rPr>
        <w:t>ules reflect the Government’s decision to establish the DFSV Commission</w:t>
      </w:r>
      <w:r w:rsidR="000E0E2A" w:rsidRPr="00F81067">
        <w:rPr>
          <w:rFonts w:ascii="Times New Roman" w:hAnsi="Times New Roman"/>
          <w:sz w:val="24"/>
          <w:szCs w:val="24"/>
          <w:lang w:val="en-US"/>
        </w:rPr>
        <w:t xml:space="preserve"> </w:t>
      </w:r>
      <w:r w:rsidR="00961B6D" w:rsidRPr="00F81067">
        <w:rPr>
          <w:rFonts w:ascii="Times New Roman" w:hAnsi="Times New Roman"/>
          <w:sz w:val="24"/>
          <w:szCs w:val="24"/>
          <w:lang w:val="en-US"/>
        </w:rPr>
        <w:t xml:space="preserve">as </w:t>
      </w:r>
      <w:r w:rsidRPr="00F81067">
        <w:rPr>
          <w:rFonts w:ascii="Times New Roman" w:hAnsi="Times New Roman"/>
          <w:sz w:val="24"/>
          <w:szCs w:val="24"/>
          <w:lang w:val="en-US"/>
        </w:rPr>
        <w:t xml:space="preserve">a </w:t>
      </w:r>
      <w:r w:rsidR="00961B6D" w:rsidRPr="00F81067">
        <w:rPr>
          <w:rFonts w:ascii="Times New Roman" w:hAnsi="Times New Roman"/>
          <w:sz w:val="24"/>
          <w:szCs w:val="24"/>
          <w:lang w:val="en-US"/>
        </w:rPr>
        <w:t>non-corporate Commonwealth entity</w:t>
      </w:r>
      <w:r w:rsidR="000E0E2A" w:rsidRPr="00F81067">
        <w:rPr>
          <w:rFonts w:ascii="Times New Roman" w:hAnsi="Times New Roman"/>
          <w:sz w:val="24"/>
          <w:szCs w:val="24"/>
          <w:lang w:val="en-US"/>
        </w:rPr>
        <w:t xml:space="preserve">, separate from the Department of Social Services for the purposes of the PGPA Act. </w:t>
      </w:r>
      <w:r w:rsidR="00821005" w:rsidRPr="00AD4C67">
        <w:rPr>
          <w:rFonts w:ascii="Times New Roman" w:hAnsi="Times New Roman"/>
          <w:sz w:val="24"/>
          <w:szCs w:val="24"/>
          <w:lang w:val="en-US"/>
        </w:rPr>
        <w:t>The DFSV Commission will</w:t>
      </w:r>
      <w:r w:rsidR="00961B6D" w:rsidRPr="00AD4C67">
        <w:rPr>
          <w:rFonts w:ascii="Times New Roman" w:hAnsi="Times New Roman"/>
          <w:sz w:val="24"/>
          <w:szCs w:val="24"/>
          <w:lang w:val="en-US"/>
        </w:rPr>
        <w:t xml:space="preserve"> provide strategic a</w:t>
      </w:r>
      <w:r w:rsidR="00B34D37" w:rsidRPr="00AD4C67">
        <w:rPr>
          <w:rFonts w:ascii="Times New Roman" w:hAnsi="Times New Roman"/>
          <w:sz w:val="24"/>
          <w:szCs w:val="24"/>
          <w:lang w:val="en-US"/>
        </w:rPr>
        <w:t xml:space="preserve">dvice to the </w:t>
      </w:r>
      <w:r w:rsidR="00AD4C67">
        <w:rPr>
          <w:rFonts w:ascii="Times New Roman" w:hAnsi="Times New Roman"/>
          <w:sz w:val="24"/>
          <w:szCs w:val="24"/>
          <w:lang w:val="en-US"/>
        </w:rPr>
        <w:t xml:space="preserve">responsible Minister, develop and maintain </w:t>
      </w:r>
      <w:r w:rsidR="00AD4C67" w:rsidRPr="003D76DA">
        <w:rPr>
          <w:rFonts w:ascii="Times New Roman" w:hAnsi="Times New Roman"/>
          <w:sz w:val="24"/>
          <w:szCs w:val="24"/>
          <w:lang w:val="en-US"/>
        </w:rPr>
        <w:t>a supportive approach to engagement with victim-survivors, enhance the coordination between public, private and not-for-profit sectors,</w:t>
      </w:r>
      <w:r w:rsidR="00AD4C67" w:rsidRPr="003D76DA" w:rsidDel="006A6674">
        <w:rPr>
          <w:rFonts w:ascii="Times New Roman" w:hAnsi="Times New Roman"/>
          <w:sz w:val="24"/>
          <w:szCs w:val="24"/>
          <w:lang w:val="en-US"/>
        </w:rPr>
        <w:t xml:space="preserve"> </w:t>
      </w:r>
      <w:r w:rsidR="00AD4C67" w:rsidRPr="003D76DA">
        <w:rPr>
          <w:rFonts w:ascii="Times New Roman" w:hAnsi="Times New Roman"/>
          <w:sz w:val="24"/>
          <w:szCs w:val="24"/>
          <w:lang w:val="en-US"/>
        </w:rPr>
        <w:t>and promote consistent approaches to monitoring and evaluation of, the National Plan to End Violence against Women and Children 2022-32.</w:t>
      </w:r>
      <w:r w:rsidR="00B34D37">
        <w:rPr>
          <w:rFonts w:ascii="Times New Roman" w:hAnsi="Times New Roman"/>
          <w:sz w:val="24"/>
          <w:szCs w:val="24"/>
          <w:lang w:val="en-US"/>
        </w:rPr>
        <w:t xml:space="preserve"> </w:t>
      </w:r>
    </w:p>
    <w:p w14:paraId="6443D303" w14:textId="77777777" w:rsidR="00120A71" w:rsidRPr="00725F44" w:rsidRDefault="00120A71" w:rsidP="008D42D4">
      <w:pPr>
        <w:rPr>
          <w:rFonts w:ascii="Times New Roman" w:hAnsi="Times New Roman"/>
          <w:sz w:val="24"/>
          <w:szCs w:val="24"/>
          <w:lang w:val="en-US"/>
        </w:rPr>
      </w:pPr>
    </w:p>
    <w:p w14:paraId="19030ADC" w14:textId="77777777" w:rsidR="008D42D4" w:rsidRPr="00725F44" w:rsidRDefault="00302D70" w:rsidP="008D42D4">
      <w:pPr>
        <w:rPr>
          <w:rFonts w:ascii="Times New Roman" w:hAnsi="Times New Roman"/>
          <w:sz w:val="24"/>
          <w:szCs w:val="24"/>
          <w:lang w:val="en-US"/>
        </w:rPr>
      </w:pPr>
      <w:r w:rsidRPr="00725F44">
        <w:rPr>
          <w:rFonts w:ascii="Times New Roman" w:hAnsi="Times New Roman"/>
          <w:sz w:val="24"/>
          <w:szCs w:val="24"/>
          <w:lang w:val="en-US"/>
        </w:rPr>
        <w:t>Details of the Amendment Rule</w:t>
      </w:r>
      <w:r w:rsidR="001073F5" w:rsidRPr="00725F44">
        <w:rPr>
          <w:rFonts w:ascii="Times New Roman" w:hAnsi="Times New Roman"/>
          <w:sz w:val="24"/>
          <w:szCs w:val="24"/>
          <w:lang w:val="en-US"/>
        </w:rPr>
        <w:t>s</w:t>
      </w:r>
      <w:r w:rsidR="008D42D4" w:rsidRPr="00725F44">
        <w:rPr>
          <w:rFonts w:ascii="Times New Roman" w:hAnsi="Times New Roman"/>
          <w:sz w:val="24"/>
          <w:szCs w:val="24"/>
          <w:lang w:val="en-US"/>
        </w:rPr>
        <w:t xml:space="preserve"> are set out at </w:t>
      </w:r>
      <w:r w:rsidR="008D42D4" w:rsidRPr="00725F44">
        <w:rPr>
          <w:rFonts w:ascii="Times New Roman" w:hAnsi="Times New Roman"/>
          <w:sz w:val="24"/>
          <w:szCs w:val="24"/>
          <w:u w:val="single"/>
          <w:lang w:val="en-US"/>
        </w:rPr>
        <w:t>Attachment A</w:t>
      </w:r>
      <w:r w:rsidR="008D42D4" w:rsidRPr="00725F44">
        <w:rPr>
          <w:rFonts w:ascii="Times New Roman" w:hAnsi="Times New Roman"/>
          <w:sz w:val="24"/>
          <w:szCs w:val="24"/>
          <w:lang w:val="en-US"/>
        </w:rPr>
        <w:t xml:space="preserve">. A Statement of Compatibility with Human Rights is at </w:t>
      </w:r>
      <w:r w:rsidR="008D42D4" w:rsidRPr="00725F44">
        <w:rPr>
          <w:rFonts w:ascii="Times New Roman" w:hAnsi="Times New Roman"/>
          <w:sz w:val="24"/>
          <w:szCs w:val="24"/>
          <w:u w:val="single"/>
          <w:lang w:val="en-US"/>
        </w:rPr>
        <w:t>Attachment B</w:t>
      </w:r>
      <w:r w:rsidR="008D42D4" w:rsidRPr="00725F44">
        <w:rPr>
          <w:rFonts w:ascii="Times New Roman" w:hAnsi="Times New Roman"/>
          <w:sz w:val="24"/>
          <w:szCs w:val="24"/>
          <w:lang w:val="en-US"/>
        </w:rPr>
        <w:t>.</w:t>
      </w:r>
    </w:p>
    <w:p w14:paraId="24C45B90" w14:textId="77777777" w:rsidR="008D42D4" w:rsidRPr="00725F44" w:rsidRDefault="008D42D4" w:rsidP="008D42D4">
      <w:pPr>
        <w:rPr>
          <w:rFonts w:ascii="Times New Roman" w:hAnsi="Times New Roman"/>
          <w:sz w:val="24"/>
          <w:szCs w:val="24"/>
          <w:lang w:val="en-US"/>
        </w:rPr>
      </w:pPr>
    </w:p>
    <w:p w14:paraId="1BF95B49" w14:textId="77777777" w:rsidR="008D42D4" w:rsidRPr="00725F44" w:rsidRDefault="00302D70" w:rsidP="008D42D4">
      <w:pPr>
        <w:rPr>
          <w:rFonts w:ascii="Times New Roman" w:hAnsi="Times New Roman"/>
          <w:sz w:val="24"/>
          <w:szCs w:val="24"/>
        </w:rPr>
      </w:pPr>
      <w:r w:rsidRPr="00725F44">
        <w:rPr>
          <w:rFonts w:ascii="Times New Roman" w:hAnsi="Times New Roman"/>
          <w:sz w:val="24"/>
          <w:szCs w:val="24"/>
        </w:rPr>
        <w:t>The Amendment Rule</w:t>
      </w:r>
      <w:r w:rsidR="001073F5" w:rsidRPr="00725F44">
        <w:rPr>
          <w:rFonts w:ascii="Times New Roman" w:hAnsi="Times New Roman"/>
          <w:sz w:val="24"/>
          <w:szCs w:val="24"/>
        </w:rPr>
        <w:t>s</w:t>
      </w:r>
      <w:r w:rsidR="008D42D4" w:rsidRPr="00725F44">
        <w:rPr>
          <w:rFonts w:ascii="Times New Roman" w:hAnsi="Times New Roman"/>
          <w:sz w:val="24"/>
          <w:szCs w:val="24"/>
        </w:rPr>
        <w:t xml:space="preserve"> </w:t>
      </w:r>
      <w:r w:rsidR="001073F5" w:rsidRPr="00725F44">
        <w:rPr>
          <w:rFonts w:ascii="Times New Roman" w:hAnsi="Times New Roman"/>
          <w:sz w:val="24"/>
          <w:szCs w:val="24"/>
        </w:rPr>
        <w:t>are</w:t>
      </w:r>
      <w:r w:rsidR="008D42D4" w:rsidRPr="00725F44">
        <w:rPr>
          <w:rFonts w:ascii="Times New Roman" w:hAnsi="Times New Roman"/>
          <w:sz w:val="24"/>
          <w:szCs w:val="24"/>
        </w:rPr>
        <w:t xml:space="preserve"> a legislative instrument for the purposes of the </w:t>
      </w:r>
      <w:r w:rsidR="008D42D4" w:rsidRPr="00725F44">
        <w:rPr>
          <w:rFonts w:ascii="Times New Roman" w:hAnsi="Times New Roman"/>
          <w:i/>
          <w:sz w:val="24"/>
          <w:szCs w:val="24"/>
        </w:rPr>
        <w:t>Legislation Act 2003</w:t>
      </w:r>
      <w:r w:rsidR="008D42D4" w:rsidRPr="00725F44">
        <w:rPr>
          <w:rFonts w:ascii="Times New Roman" w:hAnsi="Times New Roman"/>
          <w:sz w:val="24"/>
          <w:szCs w:val="24"/>
        </w:rPr>
        <w:t xml:space="preserve">. </w:t>
      </w:r>
    </w:p>
    <w:p w14:paraId="482FCD4C" w14:textId="77777777" w:rsidR="00DD3D6E" w:rsidRDefault="00DD3D6E" w:rsidP="008D42D4">
      <w:pPr>
        <w:rPr>
          <w:rFonts w:ascii="Times New Roman" w:hAnsi="Times New Roman"/>
          <w:sz w:val="24"/>
          <w:szCs w:val="24"/>
        </w:rPr>
      </w:pPr>
    </w:p>
    <w:p w14:paraId="6CE3A4EA" w14:textId="77777777" w:rsidR="006D0338" w:rsidRDefault="006D0338" w:rsidP="008D42D4">
      <w:pPr>
        <w:rPr>
          <w:rFonts w:ascii="Times New Roman" w:hAnsi="Times New Roman"/>
          <w:sz w:val="24"/>
          <w:szCs w:val="24"/>
        </w:rPr>
      </w:pPr>
      <w:r w:rsidRPr="005D7DEC">
        <w:rPr>
          <w:rFonts w:ascii="Times New Roman" w:hAnsi="Times New Roman"/>
          <w:sz w:val="24"/>
          <w:szCs w:val="24"/>
        </w:rPr>
        <w:t xml:space="preserve">The Amendment </w:t>
      </w:r>
      <w:r w:rsidRPr="00A00602">
        <w:rPr>
          <w:rFonts w:ascii="Times New Roman" w:hAnsi="Times New Roman"/>
          <w:sz w:val="24"/>
          <w:szCs w:val="24"/>
        </w:rPr>
        <w:t xml:space="preserve">Rules </w:t>
      </w:r>
      <w:r w:rsidR="00BE4C97">
        <w:rPr>
          <w:rFonts w:ascii="Times New Roman" w:hAnsi="Times New Roman"/>
          <w:sz w:val="24"/>
          <w:szCs w:val="24"/>
        </w:rPr>
        <w:t>commence</w:t>
      </w:r>
      <w:r w:rsidR="00820FA5">
        <w:rPr>
          <w:rFonts w:ascii="Times New Roman" w:hAnsi="Times New Roman"/>
          <w:sz w:val="24"/>
          <w:szCs w:val="24"/>
        </w:rPr>
        <w:t xml:space="preserve"> on</w:t>
      </w:r>
      <w:r w:rsidR="00BE4C97">
        <w:rPr>
          <w:rFonts w:ascii="Times New Roman" w:hAnsi="Times New Roman"/>
          <w:sz w:val="24"/>
          <w:szCs w:val="24"/>
        </w:rPr>
        <w:t xml:space="preserve"> </w:t>
      </w:r>
      <w:r w:rsidR="000738F9" w:rsidRPr="003921A7">
        <w:rPr>
          <w:rFonts w:ascii="Times New Roman" w:hAnsi="Times New Roman"/>
          <w:sz w:val="24"/>
          <w:szCs w:val="24"/>
        </w:rPr>
        <w:t>1 November 2022</w:t>
      </w:r>
      <w:r w:rsidRPr="00D722CC">
        <w:rPr>
          <w:rFonts w:ascii="Times New Roman" w:hAnsi="Times New Roman"/>
          <w:sz w:val="24"/>
          <w:szCs w:val="24"/>
        </w:rPr>
        <w:t>.</w:t>
      </w:r>
    </w:p>
    <w:p w14:paraId="43C787B3" w14:textId="77777777" w:rsidR="00C7519A" w:rsidRDefault="00C7519A" w:rsidP="008D42D4">
      <w:pPr>
        <w:rPr>
          <w:rFonts w:ascii="Times New Roman" w:hAnsi="Times New Roman"/>
          <w:b/>
          <w:sz w:val="24"/>
          <w:szCs w:val="24"/>
        </w:rPr>
      </w:pPr>
    </w:p>
    <w:p w14:paraId="18D5CF75" w14:textId="77777777" w:rsidR="00C7519A" w:rsidRDefault="00C7519A" w:rsidP="008D42D4">
      <w:pPr>
        <w:rPr>
          <w:rFonts w:ascii="Times New Roman" w:hAnsi="Times New Roman"/>
          <w:b/>
          <w:sz w:val="24"/>
          <w:szCs w:val="24"/>
        </w:rPr>
      </w:pPr>
    </w:p>
    <w:p w14:paraId="3CBC43B1" w14:textId="77777777" w:rsidR="00C7519A" w:rsidRDefault="00C7519A" w:rsidP="008D42D4">
      <w:pPr>
        <w:rPr>
          <w:rFonts w:ascii="Times New Roman" w:hAnsi="Times New Roman"/>
          <w:b/>
          <w:sz w:val="24"/>
          <w:szCs w:val="24"/>
        </w:rPr>
      </w:pPr>
    </w:p>
    <w:p w14:paraId="5C1F9340" w14:textId="5D846FA7" w:rsidR="008D42D4" w:rsidRPr="00725F44" w:rsidRDefault="008D42D4" w:rsidP="008D42D4">
      <w:pPr>
        <w:rPr>
          <w:rFonts w:ascii="Times New Roman" w:hAnsi="Times New Roman"/>
          <w:b/>
          <w:sz w:val="24"/>
          <w:szCs w:val="24"/>
        </w:rPr>
      </w:pPr>
      <w:r w:rsidRPr="00725F44">
        <w:rPr>
          <w:rFonts w:ascii="Times New Roman" w:hAnsi="Times New Roman"/>
          <w:b/>
          <w:sz w:val="24"/>
          <w:szCs w:val="24"/>
        </w:rPr>
        <w:lastRenderedPageBreak/>
        <w:t>Consultation</w:t>
      </w:r>
    </w:p>
    <w:p w14:paraId="4260F589" w14:textId="77777777" w:rsidR="008D42D4" w:rsidRPr="00725F44" w:rsidRDefault="008D42D4" w:rsidP="007A4AAB">
      <w:pPr>
        <w:tabs>
          <w:tab w:val="left" w:pos="1796"/>
        </w:tabs>
        <w:rPr>
          <w:rFonts w:ascii="Times New Roman" w:hAnsi="Times New Roman"/>
          <w:sz w:val="24"/>
          <w:szCs w:val="24"/>
        </w:rPr>
      </w:pPr>
    </w:p>
    <w:p w14:paraId="1CB86934" w14:textId="77777777" w:rsidR="00BF6413" w:rsidRPr="00725F44" w:rsidRDefault="00302D70" w:rsidP="007374BA">
      <w:pPr>
        <w:rPr>
          <w:rFonts w:ascii="Times New Roman" w:hAnsi="Times New Roman"/>
          <w:sz w:val="24"/>
          <w:szCs w:val="24"/>
        </w:rPr>
        <w:sectPr w:rsidR="00BF6413" w:rsidRPr="00725F44" w:rsidSect="00B4415C">
          <w:headerReference w:type="even" r:id="rId13"/>
          <w:headerReference w:type="default" r:id="rId14"/>
          <w:headerReference w:type="first" r:id="rId15"/>
          <w:pgSz w:w="11906" w:h="16838"/>
          <w:pgMar w:top="1440" w:right="1440" w:bottom="1440" w:left="1440" w:header="708" w:footer="708" w:gutter="0"/>
          <w:cols w:space="708"/>
          <w:docGrid w:linePitch="360"/>
        </w:sectPr>
      </w:pPr>
      <w:r w:rsidRPr="00AD4C67">
        <w:rPr>
          <w:rFonts w:ascii="Times New Roman" w:hAnsi="Times New Roman"/>
          <w:sz w:val="24"/>
          <w:szCs w:val="24"/>
        </w:rPr>
        <w:t>The Amendment Rule</w:t>
      </w:r>
      <w:r w:rsidR="00074F74" w:rsidRPr="00AD4C67">
        <w:rPr>
          <w:rFonts w:ascii="Times New Roman" w:hAnsi="Times New Roman"/>
          <w:sz w:val="24"/>
          <w:szCs w:val="24"/>
        </w:rPr>
        <w:t>s</w:t>
      </w:r>
      <w:r w:rsidR="007374BA" w:rsidRPr="00AD4C67">
        <w:rPr>
          <w:rFonts w:ascii="Times New Roman" w:hAnsi="Times New Roman"/>
          <w:sz w:val="24"/>
          <w:szCs w:val="24"/>
        </w:rPr>
        <w:t xml:space="preserve"> </w:t>
      </w:r>
      <w:r w:rsidR="00074F74" w:rsidRPr="00AD4C67">
        <w:rPr>
          <w:rFonts w:ascii="Times New Roman" w:hAnsi="Times New Roman"/>
          <w:sz w:val="24"/>
          <w:szCs w:val="24"/>
        </w:rPr>
        <w:t>were</w:t>
      </w:r>
      <w:r w:rsidR="007374BA" w:rsidRPr="00AD4C67">
        <w:rPr>
          <w:rFonts w:ascii="Times New Roman" w:hAnsi="Times New Roman"/>
          <w:sz w:val="24"/>
          <w:szCs w:val="24"/>
        </w:rPr>
        <w:t xml:space="preserve"> developed by the Office of Parliamentary Counsel in consultation with </w:t>
      </w:r>
      <w:r w:rsidR="00D03189" w:rsidRPr="00AD4C67">
        <w:rPr>
          <w:rFonts w:ascii="Times New Roman" w:hAnsi="Times New Roman"/>
          <w:sz w:val="24"/>
          <w:szCs w:val="24"/>
        </w:rPr>
        <w:t xml:space="preserve">the </w:t>
      </w:r>
      <w:r w:rsidR="00A74C54" w:rsidRPr="00AD4C67">
        <w:rPr>
          <w:rFonts w:ascii="Times New Roman" w:hAnsi="Times New Roman"/>
          <w:sz w:val="24"/>
          <w:szCs w:val="24"/>
        </w:rPr>
        <w:t xml:space="preserve">Department of </w:t>
      </w:r>
      <w:r w:rsidR="00BE4C97" w:rsidRPr="00AD4C67">
        <w:rPr>
          <w:rFonts w:ascii="Times New Roman" w:hAnsi="Times New Roman"/>
          <w:sz w:val="24"/>
          <w:szCs w:val="24"/>
        </w:rPr>
        <w:t>Social Services and</w:t>
      </w:r>
      <w:r w:rsidR="006D0338" w:rsidRPr="00AD4C67">
        <w:rPr>
          <w:rFonts w:ascii="Times New Roman" w:hAnsi="Times New Roman"/>
          <w:sz w:val="24"/>
          <w:szCs w:val="24"/>
        </w:rPr>
        <w:t xml:space="preserve"> the Department of </w:t>
      </w:r>
      <w:r w:rsidR="00C82D10" w:rsidRPr="00AD4C67">
        <w:rPr>
          <w:rFonts w:ascii="Times New Roman" w:hAnsi="Times New Roman"/>
          <w:sz w:val="24"/>
          <w:szCs w:val="24"/>
        </w:rPr>
        <w:t xml:space="preserve">the </w:t>
      </w:r>
      <w:r w:rsidR="006D0338" w:rsidRPr="00AD4C67">
        <w:rPr>
          <w:rFonts w:ascii="Times New Roman" w:hAnsi="Times New Roman"/>
          <w:sz w:val="24"/>
          <w:szCs w:val="24"/>
        </w:rPr>
        <w:t>Prime Minister and Cabinet</w:t>
      </w:r>
      <w:r w:rsidR="00A74C54" w:rsidRPr="00AD4C67">
        <w:rPr>
          <w:rFonts w:ascii="Times New Roman" w:hAnsi="Times New Roman"/>
          <w:sz w:val="24"/>
          <w:szCs w:val="24"/>
        </w:rPr>
        <w:t>,</w:t>
      </w:r>
      <w:r w:rsidR="00044CD8" w:rsidRPr="00AD4C67">
        <w:rPr>
          <w:rFonts w:ascii="Times New Roman" w:hAnsi="Times New Roman"/>
          <w:sz w:val="24"/>
          <w:szCs w:val="24"/>
        </w:rPr>
        <w:t xml:space="preserve"> i</w:t>
      </w:r>
      <w:r w:rsidR="008D42D4" w:rsidRPr="00AD4C67">
        <w:rPr>
          <w:rFonts w:ascii="Times New Roman" w:hAnsi="Times New Roman"/>
          <w:sz w:val="24"/>
          <w:szCs w:val="24"/>
        </w:rPr>
        <w:t xml:space="preserve">n accordance with section 17 of the </w:t>
      </w:r>
      <w:r w:rsidR="00BF6413" w:rsidRPr="00AD4C67">
        <w:rPr>
          <w:rFonts w:ascii="Times New Roman" w:hAnsi="Times New Roman"/>
          <w:i/>
          <w:sz w:val="24"/>
          <w:szCs w:val="24"/>
        </w:rPr>
        <w:t>Legislation Act 2003.</w:t>
      </w:r>
    </w:p>
    <w:p w14:paraId="24470DAD" w14:textId="5BB5E39C" w:rsidR="00777029" w:rsidRDefault="00777029" w:rsidP="00777029">
      <w:pPr>
        <w:pStyle w:val="NoSpacing"/>
        <w:jc w:val="center"/>
        <w:rPr>
          <w:b/>
          <w:u w:val="single"/>
        </w:rPr>
      </w:pPr>
      <w:r w:rsidRPr="006C0E6F">
        <w:rPr>
          <w:b/>
          <w:u w:val="single"/>
        </w:rPr>
        <w:lastRenderedPageBreak/>
        <w:t xml:space="preserve">Attachment </w:t>
      </w:r>
      <w:r>
        <w:rPr>
          <w:b/>
          <w:u w:val="single"/>
        </w:rPr>
        <w:t>A</w:t>
      </w:r>
    </w:p>
    <w:p w14:paraId="6BE9C2BE" w14:textId="77777777" w:rsidR="00777029" w:rsidRDefault="00777029" w:rsidP="00777029">
      <w:pPr>
        <w:pStyle w:val="NoSpacing"/>
        <w:rPr>
          <w:b/>
          <w:u w:val="single"/>
        </w:rPr>
      </w:pPr>
    </w:p>
    <w:p w14:paraId="69A8C0F6" w14:textId="0E63C346" w:rsidR="00BF6413" w:rsidRDefault="00BF6413" w:rsidP="00BF6413">
      <w:pPr>
        <w:pStyle w:val="NoSpacing"/>
        <w:rPr>
          <w:b/>
          <w:i/>
          <w:u w:val="single"/>
        </w:rPr>
      </w:pPr>
      <w:r w:rsidRPr="00725F44">
        <w:rPr>
          <w:b/>
          <w:u w:val="single"/>
        </w:rPr>
        <w:t>Details of the</w:t>
      </w:r>
      <w:r w:rsidRPr="00725F44">
        <w:rPr>
          <w:b/>
          <w:i/>
          <w:u w:val="single"/>
        </w:rPr>
        <w:t xml:space="preserve"> </w:t>
      </w:r>
      <w:r w:rsidRPr="003921A7">
        <w:rPr>
          <w:b/>
          <w:i/>
          <w:u w:val="single"/>
        </w:rPr>
        <w:t>Public Governance, Performance and Accountability Amendment (</w:t>
      </w:r>
      <w:r w:rsidR="00820FA5" w:rsidRPr="003921A7">
        <w:rPr>
          <w:b/>
          <w:i/>
          <w:u w:val="single"/>
        </w:rPr>
        <w:t>Domestic, Family and Sexual Violence</w:t>
      </w:r>
      <w:r w:rsidR="00D10592" w:rsidRPr="003921A7">
        <w:rPr>
          <w:b/>
          <w:i/>
          <w:u w:val="single"/>
        </w:rPr>
        <w:t xml:space="preserve"> Commission</w:t>
      </w:r>
      <w:r w:rsidRPr="003921A7">
        <w:rPr>
          <w:b/>
          <w:i/>
          <w:u w:val="single"/>
        </w:rPr>
        <w:t>) Rules 2022</w:t>
      </w:r>
    </w:p>
    <w:p w14:paraId="09FF8BBD" w14:textId="77777777" w:rsidR="003921A7" w:rsidRPr="00725F44" w:rsidRDefault="003921A7" w:rsidP="00BF6413">
      <w:pPr>
        <w:pStyle w:val="NoSpacing"/>
        <w:rPr>
          <w:b/>
          <w:i/>
          <w:u w:val="single"/>
        </w:rPr>
      </w:pPr>
    </w:p>
    <w:p w14:paraId="2BA09A7E"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1 – Name    </w:t>
      </w:r>
    </w:p>
    <w:p w14:paraId="4B539C87" w14:textId="77777777" w:rsidR="00BF6413" w:rsidRPr="00725F44" w:rsidRDefault="00BF6413" w:rsidP="00BF6413">
      <w:pPr>
        <w:rPr>
          <w:rFonts w:ascii="Times New Roman" w:eastAsiaTheme="minorEastAsia" w:hAnsi="Times New Roman"/>
          <w:i/>
          <w:sz w:val="24"/>
          <w:szCs w:val="24"/>
          <w:lang w:eastAsia="en-US" w:bidi="en-US"/>
        </w:rPr>
      </w:pPr>
      <w:r w:rsidRPr="00725F44">
        <w:rPr>
          <w:rFonts w:ascii="Times New Roman" w:hAnsi="Times New Roman"/>
          <w:sz w:val="24"/>
          <w:szCs w:val="24"/>
        </w:rPr>
        <w:t xml:space="preserve">This section provides that the title of this instrument is the </w:t>
      </w:r>
      <w:r w:rsidRPr="003921A7">
        <w:rPr>
          <w:rFonts w:ascii="Times New Roman" w:eastAsiaTheme="minorEastAsia" w:hAnsi="Times New Roman"/>
          <w:i/>
          <w:sz w:val="24"/>
          <w:szCs w:val="24"/>
          <w:lang w:eastAsia="en-US" w:bidi="en-US"/>
        </w:rPr>
        <w:t xml:space="preserve">Public Governance, Performance and Accountability Amendment </w:t>
      </w:r>
      <w:r w:rsidR="0024414C" w:rsidRPr="003921A7">
        <w:rPr>
          <w:rFonts w:ascii="Times New Roman" w:eastAsiaTheme="minorEastAsia" w:hAnsi="Times New Roman"/>
          <w:i/>
          <w:sz w:val="24"/>
          <w:szCs w:val="24"/>
          <w:lang w:eastAsia="en-US" w:bidi="en-US"/>
        </w:rPr>
        <w:t>(</w:t>
      </w:r>
      <w:r w:rsidR="00820FA5" w:rsidRPr="003921A7">
        <w:rPr>
          <w:rFonts w:ascii="Times New Roman" w:eastAsiaTheme="minorEastAsia" w:hAnsi="Times New Roman"/>
          <w:i/>
          <w:sz w:val="24"/>
          <w:szCs w:val="24"/>
          <w:lang w:eastAsia="en-US" w:bidi="en-US"/>
        </w:rPr>
        <w:t>Domestic, Family and Sexual Violence</w:t>
      </w:r>
      <w:r w:rsidR="00D10592" w:rsidRPr="003921A7">
        <w:rPr>
          <w:rFonts w:ascii="Times New Roman" w:eastAsiaTheme="minorEastAsia" w:hAnsi="Times New Roman"/>
          <w:i/>
          <w:sz w:val="24"/>
          <w:szCs w:val="24"/>
          <w:lang w:eastAsia="en-US" w:bidi="en-US"/>
        </w:rPr>
        <w:t xml:space="preserve"> Commission</w:t>
      </w:r>
      <w:r w:rsidRPr="003921A7">
        <w:rPr>
          <w:rFonts w:ascii="Times New Roman" w:eastAsiaTheme="minorEastAsia" w:hAnsi="Times New Roman"/>
          <w:i/>
          <w:sz w:val="24"/>
          <w:szCs w:val="24"/>
          <w:lang w:eastAsia="en-US" w:bidi="en-US"/>
        </w:rPr>
        <w:t>) Rules 2022.</w:t>
      </w:r>
    </w:p>
    <w:p w14:paraId="61A8CF31" w14:textId="77777777" w:rsidR="00BF6413" w:rsidRPr="00725F44" w:rsidRDefault="00BF6413" w:rsidP="00BF6413">
      <w:pPr>
        <w:rPr>
          <w:rFonts w:ascii="Times New Roman" w:hAnsi="Times New Roman"/>
          <w:sz w:val="24"/>
          <w:szCs w:val="24"/>
        </w:rPr>
      </w:pPr>
    </w:p>
    <w:p w14:paraId="24217713"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2 – Commencement  </w:t>
      </w:r>
    </w:p>
    <w:p w14:paraId="32E1D970" w14:textId="77777777" w:rsidR="002B138E" w:rsidRDefault="006D0338" w:rsidP="00BF6413">
      <w:pPr>
        <w:autoSpaceDE w:val="0"/>
        <w:autoSpaceDN w:val="0"/>
        <w:adjustRightInd w:val="0"/>
        <w:rPr>
          <w:rFonts w:ascii="Times New Roman" w:hAnsi="Times New Roman"/>
          <w:sz w:val="24"/>
          <w:szCs w:val="24"/>
        </w:rPr>
      </w:pPr>
      <w:r w:rsidRPr="002F5621">
        <w:rPr>
          <w:rFonts w:ascii="Times New Roman" w:hAnsi="Times New Roman"/>
          <w:sz w:val="24"/>
          <w:szCs w:val="24"/>
        </w:rPr>
        <w:t xml:space="preserve">This section provides that </w:t>
      </w:r>
      <w:r w:rsidR="00820FA5">
        <w:rPr>
          <w:rFonts w:ascii="Times New Roman" w:hAnsi="Times New Roman"/>
          <w:sz w:val="24"/>
          <w:szCs w:val="24"/>
        </w:rPr>
        <w:t xml:space="preserve">this instrument commences </w:t>
      </w:r>
      <w:r w:rsidR="00820FA5" w:rsidRPr="00D722CC">
        <w:rPr>
          <w:rFonts w:ascii="Times New Roman" w:hAnsi="Times New Roman"/>
          <w:sz w:val="24"/>
          <w:szCs w:val="24"/>
        </w:rPr>
        <w:t xml:space="preserve">on </w:t>
      </w:r>
      <w:r w:rsidR="00144C07" w:rsidRPr="003921A7">
        <w:rPr>
          <w:rFonts w:ascii="Times New Roman" w:hAnsi="Times New Roman"/>
          <w:sz w:val="24"/>
          <w:szCs w:val="24"/>
        </w:rPr>
        <w:t>1 November 2022</w:t>
      </w:r>
      <w:r w:rsidR="00820FA5" w:rsidRPr="00D722CC">
        <w:rPr>
          <w:rFonts w:ascii="Times New Roman" w:hAnsi="Times New Roman"/>
          <w:sz w:val="24"/>
          <w:szCs w:val="24"/>
        </w:rPr>
        <w:t>.</w:t>
      </w:r>
    </w:p>
    <w:p w14:paraId="1D5F66BF" w14:textId="77777777" w:rsidR="00BF6413" w:rsidRPr="00725F44" w:rsidRDefault="00BF6413" w:rsidP="00BF6413">
      <w:pPr>
        <w:autoSpaceDE w:val="0"/>
        <w:autoSpaceDN w:val="0"/>
        <w:adjustRightInd w:val="0"/>
        <w:rPr>
          <w:rFonts w:ascii="Times New Roman" w:hAnsi="Times New Roman"/>
          <w:sz w:val="24"/>
          <w:szCs w:val="24"/>
        </w:rPr>
      </w:pPr>
    </w:p>
    <w:p w14:paraId="6FF564AE"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3 – Authority </w:t>
      </w:r>
    </w:p>
    <w:p w14:paraId="3424695D"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this instrument is made under the </w:t>
      </w:r>
      <w:r w:rsidRPr="00725F44">
        <w:rPr>
          <w:rFonts w:ascii="Times New Roman" w:hAnsi="Times New Roman"/>
          <w:i/>
          <w:sz w:val="24"/>
          <w:szCs w:val="24"/>
        </w:rPr>
        <w:t xml:space="preserve">Public Governance, Performance and Accountability Act 2013 </w:t>
      </w:r>
      <w:r w:rsidRPr="00725F44">
        <w:rPr>
          <w:rFonts w:ascii="Times New Roman" w:hAnsi="Times New Roman"/>
          <w:sz w:val="24"/>
          <w:szCs w:val="24"/>
        </w:rPr>
        <w:t>(PGPA Act).</w:t>
      </w:r>
    </w:p>
    <w:p w14:paraId="73EADBE4" w14:textId="77777777" w:rsidR="00BF6413" w:rsidRPr="00725F44" w:rsidRDefault="00BF6413" w:rsidP="00BF6413">
      <w:pPr>
        <w:rPr>
          <w:rFonts w:ascii="Times New Roman" w:hAnsi="Times New Roman"/>
          <w:sz w:val="24"/>
          <w:szCs w:val="24"/>
        </w:rPr>
      </w:pPr>
    </w:p>
    <w:p w14:paraId="1402A222"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4 – Schedules </w:t>
      </w:r>
    </w:p>
    <w:p w14:paraId="44129FD5"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the </w:t>
      </w:r>
      <w:r w:rsidRPr="00725F44">
        <w:rPr>
          <w:rFonts w:ascii="Times New Roman" w:hAnsi="Times New Roman"/>
          <w:i/>
          <w:sz w:val="24"/>
          <w:szCs w:val="24"/>
        </w:rPr>
        <w:t xml:space="preserve">Public Governance, Performance and Accountability Rule 2014 </w:t>
      </w:r>
      <w:r w:rsidRPr="00725F44">
        <w:rPr>
          <w:rFonts w:ascii="Times New Roman" w:hAnsi="Times New Roman"/>
          <w:sz w:val="24"/>
          <w:szCs w:val="24"/>
        </w:rPr>
        <w:t>(PGPA Rule) is amended as set out in Schedule 1 to this instrument.</w:t>
      </w:r>
      <w:r w:rsidRPr="00725F44">
        <w:rPr>
          <w:rFonts w:ascii="Times New Roman" w:hAnsi="Times New Roman"/>
          <w:b/>
          <w:sz w:val="24"/>
          <w:szCs w:val="24"/>
        </w:rPr>
        <w:t xml:space="preserve"> </w:t>
      </w:r>
    </w:p>
    <w:p w14:paraId="198A9209" w14:textId="77777777" w:rsidR="00BF6413" w:rsidRPr="00725F44" w:rsidRDefault="00BF6413" w:rsidP="00BF6413">
      <w:pPr>
        <w:autoSpaceDE w:val="0"/>
        <w:autoSpaceDN w:val="0"/>
        <w:adjustRightInd w:val="0"/>
        <w:rPr>
          <w:rFonts w:ascii="Times New Roman" w:hAnsi="Times New Roman"/>
          <w:sz w:val="24"/>
          <w:szCs w:val="24"/>
        </w:rPr>
      </w:pPr>
    </w:p>
    <w:p w14:paraId="74112D12" w14:textId="77777777" w:rsidR="00BF6413" w:rsidRDefault="00BF6413" w:rsidP="00BF6413">
      <w:pPr>
        <w:keepNext/>
        <w:autoSpaceDE w:val="0"/>
        <w:autoSpaceDN w:val="0"/>
        <w:adjustRightInd w:val="0"/>
        <w:rPr>
          <w:rFonts w:ascii="Times New Roman" w:hAnsi="Times New Roman"/>
          <w:b/>
          <w:sz w:val="24"/>
          <w:szCs w:val="24"/>
        </w:rPr>
      </w:pPr>
      <w:r w:rsidRPr="00725F44">
        <w:rPr>
          <w:rFonts w:ascii="Times New Roman" w:hAnsi="Times New Roman"/>
          <w:b/>
          <w:sz w:val="24"/>
          <w:szCs w:val="24"/>
        </w:rPr>
        <w:t xml:space="preserve">Schedule 1 – Amendments </w:t>
      </w:r>
    </w:p>
    <w:p w14:paraId="51FB0885" w14:textId="77777777" w:rsidR="00072B85" w:rsidRDefault="00072B85" w:rsidP="00BF6413">
      <w:pPr>
        <w:keepNext/>
        <w:autoSpaceDE w:val="0"/>
        <w:autoSpaceDN w:val="0"/>
        <w:adjustRightInd w:val="0"/>
        <w:rPr>
          <w:rFonts w:ascii="Times New Roman" w:hAnsi="Times New Roman"/>
          <w:b/>
          <w:sz w:val="24"/>
          <w:szCs w:val="24"/>
        </w:rPr>
      </w:pPr>
    </w:p>
    <w:p w14:paraId="2682AF42" w14:textId="77777777" w:rsidR="00BF6413" w:rsidRPr="00725F44" w:rsidRDefault="00BF6413" w:rsidP="00BF6413">
      <w:pPr>
        <w:keepNext/>
        <w:autoSpaceDE w:val="0"/>
        <w:autoSpaceDN w:val="0"/>
        <w:adjustRightInd w:val="0"/>
        <w:rPr>
          <w:rFonts w:ascii="Times New Roman" w:hAnsi="Times New Roman"/>
          <w:b/>
          <w:i/>
          <w:sz w:val="24"/>
          <w:szCs w:val="24"/>
        </w:rPr>
      </w:pPr>
      <w:r w:rsidRPr="00725F44">
        <w:rPr>
          <w:rFonts w:ascii="Times New Roman" w:hAnsi="Times New Roman"/>
          <w:b/>
          <w:i/>
          <w:sz w:val="24"/>
          <w:szCs w:val="24"/>
        </w:rPr>
        <w:t>Public Governance, Performance and Accountability Rule 2014</w:t>
      </w:r>
    </w:p>
    <w:p w14:paraId="7E8A41C0" w14:textId="77777777" w:rsidR="00BF6413" w:rsidRPr="006C0E6F" w:rsidRDefault="00BF6413" w:rsidP="00BF6413">
      <w:pPr>
        <w:rPr>
          <w:rFonts w:ascii="Times New Roman" w:hAnsi="Times New Roman"/>
          <w:b/>
          <w:sz w:val="24"/>
          <w:szCs w:val="24"/>
        </w:rPr>
      </w:pPr>
    </w:p>
    <w:p w14:paraId="19096D98" w14:textId="77777777" w:rsidR="00BF6413" w:rsidRPr="00D722CC" w:rsidRDefault="00BF6413" w:rsidP="00BF6413">
      <w:pPr>
        <w:rPr>
          <w:rFonts w:ascii="Times New Roman" w:hAnsi="Times New Roman"/>
          <w:b/>
          <w:sz w:val="24"/>
          <w:szCs w:val="24"/>
        </w:rPr>
      </w:pPr>
      <w:r w:rsidRPr="006C0E6F">
        <w:rPr>
          <w:rFonts w:ascii="Times New Roman" w:hAnsi="Times New Roman"/>
          <w:b/>
          <w:sz w:val="24"/>
          <w:szCs w:val="24"/>
        </w:rPr>
        <w:t>Item</w:t>
      </w:r>
      <w:r w:rsidR="00CD389D" w:rsidRPr="006C0E6F">
        <w:rPr>
          <w:rFonts w:ascii="Times New Roman" w:hAnsi="Times New Roman"/>
          <w:b/>
          <w:sz w:val="24"/>
          <w:szCs w:val="24"/>
        </w:rPr>
        <w:t xml:space="preserve"> 1</w:t>
      </w:r>
      <w:r w:rsidRPr="006C0E6F">
        <w:rPr>
          <w:rFonts w:ascii="Times New Roman" w:hAnsi="Times New Roman"/>
          <w:b/>
          <w:sz w:val="24"/>
          <w:szCs w:val="24"/>
        </w:rPr>
        <w:t xml:space="preserve"> </w:t>
      </w:r>
      <w:r w:rsidRPr="00D722CC">
        <w:rPr>
          <w:rFonts w:ascii="Times New Roman" w:hAnsi="Times New Roman"/>
          <w:b/>
          <w:sz w:val="24"/>
          <w:szCs w:val="24"/>
        </w:rPr>
        <w:t xml:space="preserve">– </w:t>
      </w:r>
      <w:r w:rsidR="00144C07" w:rsidRPr="003921A7">
        <w:rPr>
          <w:rFonts w:ascii="Times New Roman" w:hAnsi="Times New Roman"/>
          <w:b/>
          <w:sz w:val="24"/>
          <w:szCs w:val="24"/>
        </w:rPr>
        <w:t xml:space="preserve">After clause 10 </w:t>
      </w:r>
      <w:r w:rsidR="00144C07" w:rsidRPr="00D722CC">
        <w:rPr>
          <w:rFonts w:ascii="Times New Roman" w:hAnsi="Times New Roman"/>
          <w:b/>
          <w:sz w:val="24"/>
          <w:szCs w:val="24"/>
        </w:rPr>
        <w:t>of Schedule 1</w:t>
      </w:r>
    </w:p>
    <w:p w14:paraId="19BE2A07" w14:textId="77777777" w:rsidR="00BF6413" w:rsidRPr="00E50310" w:rsidRDefault="00BF6413" w:rsidP="00BF6413">
      <w:pPr>
        <w:rPr>
          <w:rFonts w:ascii="Times New Roman" w:hAnsi="Times New Roman"/>
          <w:b/>
          <w:sz w:val="24"/>
          <w:szCs w:val="24"/>
        </w:rPr>
      </w:pPr>
    </w:p>
    <w:p w14:paraId="2F5EFECC" w14:textId="77777777" w:rsidR="00807F1C" w:rsidRDefault="00BF6413" w:rsidP="00BF6413">
      <w:pPr>
        <w:rPr>
          <w:rFonts w:ascii="Times New Roman" w:hAnsi="Times New Roman"/>
          <w:sz w:val="24"/>
          <w:szCs w:val="24"/>
        </w:rPr>
      </w:pPr>
      <w:r w:rsidRPr="00E50310">
        <w:rPr>
          <w:rFonts w:ascii="Times New Roman" w:hAnsi="Times New Roman"/>
          <w:sz w:val="24"/>
          <w:szCs w:val="24"/>
        </w:rPr>
        <w:t xml:space="preserve">This item inserts a new clause </w:t>
      </w:r>
      <w:r w:rsidR="00144C07" w:rsidRPr="003921A7">
        <w:rPr>
          <w:rFonts w:ascii="Times New Roman" w:hAnsi="Times New Roman"/>
          <w:sz w:val="24"/>
          <w:szCs w:val="24"/>
        </w:rPr>
        <w:t>10AA</w:t>
      </w:r>
      <w:r w:rsidR="00820FA5" w:rsidRPr="00D722CC">
        <w:rPr>
          <w:rFonts w:ascii="Times New Roman" w:hAnsi="Times New Roman"/>
          <w:sz w:val="24"/>
          <w:szCs w:val="24"/>
        </w:rPr>
        <w:t xml:space="preserve"> </w:t>
      </w:r>
      <w:r w:rsidRPr="00D722CC">
        <w:rPr>
          <w:rFonts w:ascii="Times New Roman" w:hAnsi="Times New Roman"/>
          <w:sz w:val="24"/>
          <w:szCs w:val="24"/>
        </w:rPr>
        <w:t>in</w:t>
      </w:r>
      <w:r w:rsidRPr="00725F44">
        <w:rPr>
          <w:rFonts w:ascii="Times New Roman" w:hAnsi="Times New Roman"/>
          <w:sz w:val="24"/>
          <w:szCs w:val="24"/>
        </w:rPr>
        <w:t xml:space="preserve"> Schedule 1. </w:t>
      </w:r>
    </w:p>
    <w:p w14:paraId="6A61B10C" w14:textId="77777777" w:rsidR="00807F1C" w:rsidRDefault="00807F1C" w:rsidP="00BF6413">
      <w:pPr>
        <w:rPr>
          <w:rFonts w:ascii="Times New Roman" w:hAnsi="Times New Roman"/>
          <w:sz w:val="24"/>
          <w:szCs w:val="24"/>
        </w:rPr>
      </w:pPr>
    </w:p>
    <w:p w14:paraId="40D20A80" w14:textId="2E4AE246" w:rsidR="00BF6413" w:rsidRDefault="00807F1C" w:rsidP="00BF6413">
      <w:pPr>
        <w:rPr>
          <w:rFonts w:ascii="Times New Roman" w:hAnsi="Times New Roman"/>
          <w:sz w:val="24"/>
          <w:szCs w:val="24"/>
        </w:rPr>
      </w:pPr>
      <w:r>
        <w:rPr>
          <w:rFonts w:ascii="Times New Roman" w:hAnsi="Times New Roman"/>
          <w:sz w:val="24"/>
          <w:szCs w:val="24"/>
        </w:rPr>
        <w:t>The new clause 10AA makes the Domestic, Family and Sexual Violence Commission (</w:t>
      </w:r>
      <w:r w:rsidR="00DA248B">
        <w:rPr>
          <w:rFonts w:ascii="Times New Roman" w:hAnsi="Times New Roman"/>
          <w:sz w:val="24"/>
          <w:szCs w:val="24"/>
        </w:rPr>
        <w:t>D</w:t>
      </w:r>
      <w:r w:rsidR="00177B94">
        <w:rPr>
          <w:rFonts w:ascii="Times New Roman" w:hAnsi="Times New Roman"/>
          <w:sz w:val="24"/>
          <w:szCs w:val="24"/>
        </w:rPr>
        <w:t>F</w:t>
      </w:r>
      <w:r w:rsidR="00DA248B">
        <w:rPr>
          <w:rFonts w:ascii="Times New Roman" w:hAnsi="Times New Roman"/>
          <w:sz w:val="24"/>
          <w:szCs w:val="24"/>
        </w:rPr>
        <w:t>S</w:t>
      </w:r>
      <w:r w:rsidR="00177B94">
        <w:rPr>
          <w:rFonts w:ascii="Times New Roman" w:hAnsi="Times New Roman"/>
          <w:sz w:val="24"/>
          <w:szCs w:val="24"/>
        </w:rPr>
        <w:t>V </w:t>
      </w:r>
      <w:r>
        <w:rPr>
          <w:rFonts w:ascii="Times New Roman" w:hAnsi="Times New Roman"/>
          <w:sz w:val="24"/>
          <w:szCs w:val="24"/>
        </w:rPr>
        <w:t xml:space="preserve">Commission) a non-corporate Commonwealth entity for the purposes of the </w:t>
      </w:r>
      <w:r w:rsidR="00795D24">
        <w:rPr>
          <w:rFonts w:ascii="Times New Roman" w:hAnsi="Times New Roman"/>
          <w:sz w:val="24"/>
          <w:szCs w:val="24"/>
        </w:rPr>
        <w:t>finance law</w:t>
      </w:r>
      <w:r>
        <w:rPr>
          <w:rFonts w:ascii="Times New Roman" w:hAnsi="Times New Roman"/>
          <w:sz w:val="24"/>
          <w:szCs w:val="24"/>
        </w:rPr>
        <w:t xml:space="preserve"> by prescribing it as a listed entity in Schedule 1. </w:t>
      </w:r>
      <w:r w:rsidR="006865B6">
        <w:rPr>
          <w:rFonts w:ascii="Times New Roman" w:hAnsi="Times New Roman"/>
          <w:sz w:val="24"/>
          <w:szCs w:val="24"/>
        </w:rPr>
        <w:t xml:space="preserve">It also sets out the accountable authority, officials and purposes of the DFSV Commission for the purposes of the finance law. The DFSV Commission will comprise the Commissioner of the DFSV Commission </w:t>
      </w:r>
      <w:r w:rsidR="006865B6" w:rsidRPr="00725F44">
        <w:rPr>
          <w:rFonts w:ascii="Times New Roman" w:hAnsi="Times New Roman"/>
          <w:sz w:val="24"/>
          <w:szCs w:val="24"/>
        </w:rPr>
        <w:t xml:space="preserve">as the accountable authority, and persons engaged under the </w:t>
      </w:r>
      <w:r w:rsidR="006865B6" w:rsidRPr="00725F44">
        <w:rPr>
          <w:rFonts w:ascii="Times New Roman" w:hAnsi="Times New Roman"/>
          <w:i/>
          <w:sz w:val="24"/>
          <w:szCs w:val="24"/>
        </w:rPr>
        <w:t>Public Service Act 1999</w:t>
      </w:r>
      <w:r w:rsidR="005B6DC7">
        <w:rPr>
          <w:rFonts w:ascii="Times New Roman" w:hAnsi="Times New Roman"/>
          <w:sz w:val="24"/>
          <w:szCs w:val="24"/>
        </w:rPr>
        <w:t xml:space="preserve"> (PS Act) to</w:t>
      </w:r>
      <w:r w:rsidR="006865B6" w:rsidRPr="00725F44">
        <w:rPr>
          <w:rFonts w:ascii="Times New Roman" w:hAnsi="Times New Roman"/>
          <w:sz w:val="24"/>
          <w:szCs w:val="24"/>
        </w:rPr>
        <w:t xml:space="preserve"> </w:t>
      </w:r>
      <w:r w:rsidR="005B6DC7" w:rsidRPr="005B6DC7">
        <w:rPr>
          <w:rFonts w:ascii="Times New Roman" w:hAnsi="Times New Roman"/>
          <w:sz w:val="24"/>
          <w:szCs w:val="24"/>
        </w:rPr>
        <w:t>assist in the performance of the functions of the DFSV Commission</w:t>
      </w:r>
      <w:r w:rsidR="006865B6" w:rsidRPr="00725F44">
        <w:rPr>
          <w:rFonts w:ascii="Times New Roman" w:hAnsi="Times New Roman"/>
          <w:sz w:val="24"/>
          <w:szCs w:val="24"/>
        </w:rPr>
        <w:t>.</w:t>
      </w:r>
    </w:p>
    <w:p w14:paraId="54E9B4FA" w14:textId="77777777" w:rsidR="00807F1C" w:rsidRDefault="00807F1C" w:rsidP="00BF6413">
      <w:pPr>
        <w:rPr>
          <w:rFonts w:ascii="Times New Roman" w:hAnsi="Times New Roman"/>
          <w:sz w:val="24"/>
          <w:szCs w:val="24"/>
        </w:rPr>
      </w:pPr>
    </w:p>
    <w:p w14:paraId="24D0CAEA" w14:textId="77777777" w:rsidR="00BA0C5A" w:rsidRDefault="00B97958" w:rsidP="00A85584">
      <w:pPr>
        <w:rPr>
          <w:rFonts w:ascii="Times New Roman" w:hAnsi="Times New Roman"/>
          <w:sz w:val="24"/>
          <w:szCs w:val="24"/>
          <w:lang w:val="en-US"/>
        </w:rPr>
      </w:pPr>
      <w:r>
        <w:rPr>
          <w:rFonts w:ascii="Times New Roman" w:hAnsi="Times New Roman"/>
          <w:sz w:val="24"/>
          <w:szCs w:val="24"/>
          <w:lang w:val="en-US"/>
        </w:rPr>
        <w:t xml:space="preserve">Among </w:t>
      </w:r>
      <w:r w:rsidR="00BA0C5A">
        <w:rPr>
          <w:rFonts w:ascii="Times New Roman" w:hAnsi="Times New Roman"/>
          <w:sz w:val="24"/>
          <w:szCs w:val="24"/>
          <w:lang w:val="en-US"/>
        </w:rPr>
        <w:t xml:space="preserve">the </w:t>
      </w:r>
      <w:r w:rsidR="00272EC8">
        <w:rPr>
          <w:rFonts w:ascii="Times New Roman" w:hAnsi="Times New Roman"/>
          <w:sz w:val="24"/>
          <w:szCs w:val="24"/>
          <w:lang w:val="en-US"/>
        </w:rPr>
        <w:t xml:space="preserve">prescribed </w:t>
      </w:r>
      <w:r w:rsidR="00BA0C5A">
        <w:rPr>
          <w:rFonts w:ascii="Times New Roman" w:hAnsi="Times New Roman"/>
          <w:sz w:val="24"/>
          <w:szCs w:val="24"/>
          <w:lang w:val="en-US"/>
        </w:rPr>
        <w:t>p</w:t>
      </w:r>
      <w:r w:rsidR="00272EC8">
        <w:rPr>
          <w:rFonts w:ascii="Times New Roman" w:hAnsi="Times New Roman"/>
          <w:sz w:val="24"/>
          <w:szCs w:val="24"/>
          <w:lang w:val="en-US"/>
        </w:rPr>
        <w:t xml:space="preserve">urposes of </w:t>
      </w:r>
      <w:r w:rsidR="00F81067">
        <w:rPr>
          <w:rFonts w:ascii="Times New Roman" w:hAnsi="Times New Roman"/>
          <w:sz w:val="24"/>
          <w:szCs w:val="24"/>
          <w:lang w:val="en-US"/>
        </w:rPr>
        <w:t xml:space="preserve">the </w:t>
      </w:r>
      <w:r w:rsidR="00272EC8">
        <w:rPr>
          <w:rFonts w:ascii="Times New Roman" w:hAnsi="Times New Roman"/>
          <w:sz w:val="24"/>
          <w:szCs w:val="24"/>
          <w:lang w:val="en-US"/>
        </w:rPr>
        <w:t>listed entity</w:t>
      </w:r>
      <w:r>
        <w:rPr>
          <w:rFonts w:ascii="Times New Roman" w:hAnsi="Times New Roman"/>
          <w:sz w:val="24"/>
          <w:szCs w:val="24"/>
          <w:lang w:val="en-US"/>
        </w:rPr>
        <w:t>, the DFSV Commission will be responsible for</w:t>
      </w:r>
      <w:r w:rsidR="00BA0C5A">
        <w:rPr>
          <w:rFonts w:ascii="Times New Roman" w:hAnsi="Times New Roman"/>
          <w:sz w:val="24"/>
          <w:szCs w:val="24"/>
          <w:lang w:val="en-US"/>
        </w:rPr>
        <w:t>:</w:t>
      </w:r>
    </w:p>
    <w:p w14:paraId="790542A7" w14:textId="77777777" w:rsidR="00272EC8" w:rsidRPr="00AD4C67" w:rsidRDefault="00BA0C5A" w:rsidP="00F81067">
      <w:pPr>
        <w:pStyle w:val="ListParagraph"/>
        <w:numPr>
          <w:ilvl w:val="0"/>
          <w:numId w:val="9"/>
        </w:numPr>
        <w:rPr>
          <w:rFonts w:ascii="Times New Roman" w:hAnsi="Times New Roman"/>
          <w:sz w:val="24"/>
          <w:szCs w:val="24"/>
          <w:lang w:val="en-US"/>
        </w:rPr>
      </w:pPr>
      <w:r w:rsidRPr="00F81067">
        <w:rPr>
          <w:rFonts w:ascii="Times New Roman" w:hAnsi="Times New Roman"/>
          <w:sz w:val="24"/>
          <w:szCs w:val="24"/>
          <w:lang w:val="en-US"/>
        </w:rPr>
        <w:t xml:space="preserve">providing </w:t>
      </w:r>
      <w:r w:rsidRPr="00AD4C67">
        <w:rPr>
          <w:rFonts w:ascii="Times New Roman" w:hAnsi="Times New Roman"/>
          <w:sz w:val="24"/>
          <w:szCs w:val="24"/>
          <w:lang w:val="en-US"/>
        </w:rPr>
        <w:t>strategic policy advice to the responsible Minister</w:t>
      </w:r>
      <w:r w:rsidR="00272EC8" w:rsidRPr="00AD4C67">
        <w:rPr>
          <w:rFonts w:ascii="Times New Roman" w:hAnsi="Times New Roman"/>
          <w:sz w:val="24"/>
          <w:szCs w:val="24"/>
          <w:lang w:val="en-US"/>
        </w:rPr>
        <w:t>;</w:t>
      </w:r>
      <w:r w:rsidRPr="00AD4C67">
        <w:rPr>
          <w:rFonts w:ascii="Times New Roman" w:hAnsi="Times New Roman"/>
          <w:sz w:val="24"/>
          <w:szCs w:val="24"/>
          <w:lang w:val="en-US"/>
        </w:rPr>
        <w:t xml:space="preserve"> </w:t>
      </w:r>
    </w:p>
    <w:p w14:paraId="59DB0417" w14:textId="34D4C03D" w:rsidR="00BA0C5A" w:rsidRPr="00AD4C67" w:rsidRDefault="00AD4C67" w:rsidP="00F81067">
      <w:pPr>
        <w:pStyle w:val="ListParagraph"/>
        <w:numPr>
          <w:ilvl w:val="0"/>
          <w:numId w:val="9"/>
        </w:numPr>
        <w:rPr>
          <w:rFonts w:ascii="Times New Roman" w:hAnsi="Times New Roman"/>
          <w:sz w:val="24"/>
          <w:szCs w:val="24"/>
          <w:lang w:val="en-US"/>
        </w:rPr>
      </w:pPr>
      <w:r w:rsidRPr="00F81067">
        <w:rPr>
          <w:rFonts w:ascii="Times New Roman" w:hAnsi="Times New Roman"/>
          <w:sz w:val="24"/>
          <w:szCs w:val="24"/>
          <w:lang w:val="en-US"/>
        </w:rPr>
        <w:t xml:space="preserve">promoting and enhancing coordination of </w:t>
      </w:r>
      <w:r w:rsidRPr="00D5576C">
        <w:rPr>
          <w:rFonts w:ascii="Times New Roman" w:hAnsi="Times New Roman"/>
          <w:sz w:val="24"/>
          <w:szCs w:val="24"/>
          <w:lang w:val="en-US"/>
        </w:rPr>
        <w:t xml:space="preserve">policy and service systems relating to family, domestic and sexual violence </w:t>
      </w:r>
      <w:r w:rsidRPr="00F81067">
        <w:rPr>
          <w:rFonts w:ascii="Times New Roman" w:hAnsi="Times New Roman"/>
          <w:sz w:val="24"/>
          <w:szCs w:val="24"/>
          <w:lang w:val="en-US"/>
        </w:rPr>
        <w:t xml:space="preserve">across Commonwealth, </w:t>
      </w:r>
      <w:r>
        <w:rPr>
          <w:rFonts w:ascii="Times New Roman" w:hAnsi="Times New Roman"/>
          <w:sz w:val="24"/>
          <w:szCs w:val="24"/>
          <w:lang w:val="en-US"/>
        </w:rPr>
        <w:t>s</w:t>
      </w:r>
      <w:r w:rsidRPr="00F81067">
        <w:rPr>
          <w:rFonts w:ascii="Times New Roman" w:hAnsi="Times New Roman"/>
          <w:sz w:val="24"/>
          <w:szCs w:val="24"/>
          <w:lang w:val="en-US"/>
        </w:rPr>
        <w:t xml:space="preserve">tate and </w:t>
      </w:r>
      <w:r>
        <w:rPr>
          <w:rFonts w:ascii="Times New Roman" w:hAnsi="Times New Roman"/>
          <w:sz w:val="24"/>
          <w:szCs w:val="24"/>
          <w:lang w:val="en-US"/>
        </w:rPr>
        <w:t>t</w:t>
      </w:r>
      <w:r w:rsidRPr="00F81067">
        <w:rPr>
          <w:rFonts w:ascii="Times New Roman" w:hAnsi="Times New Roman"/>
          <w:sz w:val="24"/>
          <w:szCs w:val="24"/>
          <w:lang w:val="en-US"/>
        </w:rPr>
        <w:t>erritory governments, and the not</w:t>
      </w:r>
      <w:r w:rsidRPr="00272EC8">
        <w:rPr>
          <w:rFonts w:ascii="Times New Roman" w:hAnsi="Times New Roman"/>
          <w:sz w:val="24"/>
          <w:szCs w:val="24"/>
          <w:lang w:val="en-US"/>
        </w:rPr>
        <w:t>-for-profit and private sectors</w:t>
      </w:r>
      <w:r>
        <w:rPr>
          <w:rFonts w:ascii="Times New Roman" w:hAnsi="Times New Roman"/>
          <w:sz w:val="24"/>
          <w:szCs w:val="24"/>
          <w:lang w:val="en-US"/>
        </w:rPr>
        <w:t>;</w:t>
      </w:r>
    </w:p>
    <w:p w14:paraId="4238D746" w14:textId="7A973E69" w:rsidR="00272EC8" w:rsidRPr="00AD4C67" w:rsidRDefault="00AD4C67" w:rsidP="00F81067">
      <w:pPr>
        <w:pStyle w:val="ListParagraph"/>
        <w:numPr>
          <w:ilvl w:val="0"/>
          <w:numId w:val="9"/>
        </w:numPr>
        <w:rPr>
          <w:rFonts w:ascii="Times New Roman" w:hAnsi="Times New Roman"/>
          <w:sz w:val="24"/>
          <w:szCs w:val="24"/>
          <w:lang w:val="en-US"/>
        </w:rPr>
      </w:pPr>
      <w:r w:rsidRPr="00D5576C">
        <w:rPr>
          <w:rFonts w:ascii="Times New Roman" w:hAnsi="Times New Roman"/>
          <w:sz w:val="24"/>
          <w:szCs w:val="24"/>
          <w:lang w:val="en-US"/>
        </w:rPr>
        <w:t xml:space="preserve">promoting consistent evaluation frameworks by all governments for </w:t>
      </w:r>
      <w:r>
        <w:rPr>
          <w:rFonts w:ascii="Times New Roman" w:hAnsi="Times New Roman"/>
          <w:sz w:val="24"/>
          <w:szCs w:val="24"/>
          <w:lang w:val="en-US"/>
        </w:rPr>
        <w:t>the National Plan to End Violence against Women and Children 2022-32; and</w:t>
      </w:r>
      <w:r w:rsidR="00272EC8" w:rsidRPr="00AD4C67">
        <w:rPr>
          <w:rFonts w:ascii="Times New Roman" w:hAnsi="Times New Roman"/>
          <w:sz w:val="24"/>
          <w:szCs w:val="24"/>
          <w:lang w:val="en-US"/>
        </w:rPr>
        <w:t xml:space="preserve"> </w:t>
      </w:r>
    </w:p>
    <w:p w14:paraId="19A76802" w14:textId="0E2A8CB8" w:rsidR="00272EC8" w:rsidRPr="00F81067" w:rsidRDefault="00AD4C67" w:rsidP="00F81067">
      <w:pPr>
        <w:pStyle w:val="ListParagraph"/>
        <w:numPr>
          <w:ilvl w:val="0"/>
          <w:numId w:val="9"/>
        </w:numPr>
        <w:rPr>
          <w:rFonts w:ascii="Times New Roman" w:hAnsi="Times New Roman"/>
          <w:sz w:val="24"/>
          <w:szCs w:val="24"/>
          <w:lang w:val="en-US"/>
        </w:rPr>
      </w:pPr>
      <w:r>
        <w:rPr>
          <w:rFonts w:ascii="Times New Roman" w:hAnsi="Times New Roman"/>
          <w:sz w:val="24"/>
          <w:szCs w:val="24"/>
          <w:lang w:val="en-US"/>
        </w:rPr>
        <w:t>developing and maintaining a structured approach to victim-survivor engagement at the national level.</w:t>
      </w:r>
    </w:p>
    <w:p w14:paraId="464DC475" w14:textId="77777777" w:rsidR="00BA0C5A" w:rsidRDefault="00BA0C5A" w:rsidP="00A85584">
      <w:pPr>
        <w:rPr>
          <w:rFonts w:ascii="Times New Roman" w:hAnsi="Times New Roman"/>
          <w:sz w:val="24"/>
          <w:szCs w:val="24"/>
          <w:lang w:val="en-US"/>
        </w:rPr>
      </w:pPr>
    </w:p>
    <w:p w14:paraId="30768B08" w14:textId="77777777" w:rsidR="00821005" w:rsidRDefault="00821005" w:rsidP="00A85584">
      <w:pPr>
        <w:rPr>
          <w:rFonts w:ascii="Times New Roman" w:hAnsi="Times New Roman"/>
          <w:sz w:val="24"/>
          <w:szCs w:val="24"/>
          <w:lang w:val="en-US"/>
        </w:rPr>
      </w:pPr>
    </w:p>
    <w:p w14:paraId="4EC0732B" w14:textId="77777777" w:rsidR="00821005" w:rsidRDefault="00821005" w:rsidP="00A85584">
      <w:pPr>
        <w:rPr>
          <w:rFonts w:ascii="Times New Roman" w:hAnsi="Times New Roman"/>
          <w:sz w:val="24"/>
          <w:szCs w:val="24"/>
          <w:lang w:val="en-US"/>
        </w:rPr>
      </w:pPr>
    </w:p>
    <w:p w14:paraId="480F1A7A" w14:textId="77777777" w:rsidR="00BA0C5A" w:rsidRDefault="00BA0C5A" w:rsidP="00A85584">
      <w:pPr>
        <w:rPr>
          <w:rFonts w:ascii="Times New Roman" w:hAnsi="Times New Roman"/>
          <w:sz w:val="24"/>
          <w:szCs w:val="24"/>
          <w:lang w:val="en-US"/>
        </w:rPr>
      </w:pPr>
    </w:p>
    <w:p w14:paraId="06779CB4" w14:textId="608197A1" w:rsidR="00846C0E" w:rsidRPr="00AD4C67" w:rsidRDefault="00AD4C67" w:rsidP="00A85584">
      <w:pPr>
        <w:rPr>
          <w:rFonts w:ascii="Times New Roman" w:hAnsi="Times New Roman"/>
          <w:sz w:val="24"/>
          <w:szCs w:val="24"/>
          <w:lang w:val="en-US"/>
        </w:rPr>
      </w:pPr>
      <w:r w:rsidRPr="003D76DA">
        <w:rPr>
          <w:rFonts w:ascii="Times New Roman" w:hAnsi="Times New Roman"/>
          <w:sz w:val="24"/>
          <w:szCs w:val="24"/>
          <w:lang w:val="en-US"/>
        </w:rPr>
        <w:t xml:space="preserve">The National Plan to End Violence against Women and Children 2022-32 was launched by Commonwealth, state and territory ministers for women’s safety on </w:t>
      </w:r>
      <w:r w:rsidR="00AA49E0" w:rsidRPr="00AA49E0">
        <w:rPr>
          <w:rFonts w:ascii="Times New Roman" w:hAnsi="Times New Roman"/>
          <w:sz w:val="24"/>
          <w:szCs w:val="24"/>
          <w:lang w:val="en-US"/>
        </w:rPr>
        <w:t>17</w:t>
      </w:r>
      <w:r w:rsidRPr="00AA49E0">
        <w:rPr>
          <w:rFonts w:ascii="Times New Roman" w:hAnsi="Times New Roman"/>
          <w:sz w:val="24"/>
          <w:szCs w:val="24"/>
          <w:lang w:val="en-US"/>
        </w:rPr>
        <w:t> October 2022</w:t>
      </w:r>
      <w:r w:rsidRPr="003D76DA">
        <w:rPr>
          <w:rFonts w:ascii="Times New Roman" w:hAnsi="Times New Roman"/>
          <w:sz w:val="24"/>
          <w:szCs w:val="24"/>
          <w:lang w:val="en-US"/>
        </w:rPr>
        <w:t>. It was developed in close consultation with key stakeholders, including victim-survivors, and represents a shared commitment to coordinate efforts across Commonwealth, state and territory governments and numerous sectors to address gender-based violence in Australia. The National Plan to End Violence against Women and Children 2022-32 outlines a shared understanding of violence against women and children and highlights objectives and key areas of focus over the 10 years from 2022 to 2032</w:t>
      </w:r>
      <w:r w:rsidRPr="00AD4C67">
        <w:rPr>
          <w:rFonts w:ascii="Times New Roman" w:hAnsi="Times New Roman"/>
          <w:sz w:val="24"/>
          <w:szCs w:val="24"/>
          <w:lang w:val="en-US"/>
        </w:rPr>
        <w:t>.</w:t>
      </w:r>
    </w:p>
    <w:p w14:paraId="35C36BD3" w14:textId="77777777" w:rsidR="00846C0E" w:rsidRPr="00AD4C67" w:rsidRDefault="00846C0E" w:rsidP="00A85584">
      <w:pPr>
        <w:rPr>
          <w:rFonts w:ascii="Times New Roman" w:hAnsi="Times New Roman"/>
          <w:sz w:val="24"/>
          <w:szCs w:val="24"/>
          <w:lang w:val="en-US"/>
        </w:rPr>
      </w:pPr>
    </w:p>
    <w:p w14:paraId="250C4D9A" w14:textId="237FB274" w:rsidR="00A85584" w:rsidRPr="00AD4C67" w:rsidRDefault="00846C0E" w:rsidP="00A85584">
      <w:pPr>
        <w:rPr>
          <w:rFonts w:ascii="Times New Roman" w:hAnsi="Times New Roman"/>
          <w:sz w:val="24"/>
          <w:szCs w:val="24"/>
          <w:lang w:val="en-US"/>
        </w:rPr>
      </w:pPr>
      <w:r w:rsidRPr="00AD4C67">
        <w:rPr>
          <w:rFonts w:ascii="Times New Roman" w:hAnsi="Times New Roman"/>
          <w:sz w:val="24"/>
          <w:szCs w:val="24"/>
          <w:lang w:val="en-US"/>
        </w:rPr>
        <w:t xml:space="preserve">The National Plan to End Violence against Women and Children 2022-32 </w:t>
      </w:r>
      <w:r w:rsidR="00DC160E">
        <w:rPr>
          <w:rFonts w:ascii="Times New Roman" w:hAnsi="Times New Roman"/>
          <w:sz w:val="24"/>
          <w:szCs w:val="24"/>
          <w:lang w:val="en-US"/>
        </w:rPr>
        <w:t>is available free of charge</w:t>
      </w:r>
      <w:r w:rsidR="00E50310" w:rsidRPr="00AD4C67">
        <w:rPr>
          <w:rFonts w:ascii="Times New Roman" w:hAnsi="Times New Roman"/>
          <w:sz w:val="24"/>
          <w:szCs w:val="24"/>
          <w:lang w:val="en-US"/>
        </w:rPr>
        <w:t xml:space="preserve"> </w:t>
      </w:r>
      <w:r w:rsidR="00D722CC" w:rsidRPr="00AD4C67">
        <w:rPr>
          <w:rFonts w:ascii="Times New Roman" w:hAnsi="Times New Roman"/>
          <w:sz w:val="24"/>
          <w:szCs w:val="24"/>
          <w:lang w:val="en-US"/>
        </w:rPr>
        <w:t>on the Department of Social Services website at</w:t>
      </w:r>
      <w:r w:rsidR="00E50310" w:rsidRPr="00AD4C67">
        <w:rPr>
          <w:rFonts w:ascii="Times New Roman" w:hAnsi="Times New Roman"/>
          <w:sz w:val="24"/>
          <w:szCs w:val="24"/>
          <w:lang w:val="en-US"/>
        </w:rPr>
        <w:t xml:space="preserve"> </w:t>
      </w:r>
      <w:r w:rsidR="00AA49E0" w:rsidRPr="00AA49E0">
        <w:rPr>
          <w:rFonts w:ascii="Times New Roman" w:hAnsi="Times New Roman"/>
          <w:sz w:val="24"/>
          <w:szCs w:val="24"/>
          <w:lang w:val="en-US"/>
        </w:rPr>
        <w:t>https://www.dss.gov.au/ending-violence</w:t>
      </w:r>
      <w:r w:rsidR="00AA49E0">
        <w:rPr>
          <w:rFonts w:ascii="Times New Roman" w:hAnsi="Times New Roman"/>
          <w:sz w:val="24"/>
          <w:szCs w:val="24"/>
          <w:lang w:val="en-US"/>
        </w:rPr>
        <w:t xml:space="preserve">. </w:t>
      </w:r>
    </w:p>
    <w:p w14:paraId="6409DF84" w14:textId="77777777" w:rsidR="00821005" w:rsidRPr="00AD4C67" w:rsidRDefault="00821005" w:rsidP="00A85584">
      <w:pPr>
        <w:rPr>
          <w:rFonts w:ascii="Times New Roman" w:hAnsi="Times New Roman"/>
          <w:sz w:val="24"/>
          <w:szCs w:val="24"/>
          <w:lang w:val="en-US"/>
        </w:rPr>
      </w:pPr>
    </w:p>
    <w:p w14:paraId="7115D188" w14:textId="46BE6D0B" w:rsidR="00DC160E" w:rsidRDefault="00DC160E" w:rsidP="00DC160E">
      <w:pPr>
        <w:rPr>
          <w:rFonts w:ascii="Times New Roman" w:hAnsi="Times New Roman"/>
          <w:sz w:val="24"/>
          <w:szCs w:val="24"/>
        </w:rPr>
      </w:pPr>
      <w:r w:rsidRPr="00AD4C67">
        <w:rPr>
          <w:rFonts w:ascii="Times New Roman" w:hAnsi="Times New Roman"/>
          <w:sz w:val="24"/>
          <w:szCs w:val="24"/>
        </w:rPr>
        <w:t xml:space="preserve">The DFSV Commission was established as an Executive Agency under section 65 of the PS Act by the </w:t>
      </w:r>
      <w:r w:rsidRPr="00AD4C67">
        <w:rPr>
          <w:rFonts w:ascii="Times New Roman" w:hAnsi="Times New Roman"/>
          <w:i/>
          <w:sz w:val="24"/>
          <w:szCs w:val="24"/>
        </w:rPr>
        <w:t>Order to Establish the Domestic, Family and Sexual Violence Commission as an Executive Agency</w:t>
      </w:r>
      <w:r w:rsidRPr="00AD4C67">
        <w:rPr>
          <w:rFonts w:ascii="Times New Roman" w:hAnsi="Times New Roman"/>
          <w:sz w:val="24"/>
          <w:szCs w:val="24"/>
        </w:rPr>
        <w:t xml:space="preserve"> (Order), made on 17 March 2022 and commencing on 1 July</w:t>
      </w:r>
      <w:r w:rsidRPr="006C0E6F">
        <w:rPr>
          <w:rFonts w:ascii="Times New Roman" w:hAnsi="Times New Roman"/>
          <w:sz w:val="24"/>
          <w:szCs w:val="24"/>
        </w:rPr>
        <w:t xml:space="preserve"> 2022</w:t>
      </w:r>
      <w:r w:rsidRPr="00725F44">
        <w:rPr>
          <w:rFonts w:ascii="Times New Roman" w:hAnsi="Times New Roman"/>
          <w:sz w:val="24"/>
          <w:szCs w:val="24"/>
        </w:rPr>
        <w:t>.</w:t>
      </w:r>
    </w:p>
    <w:p w14:paraId="6D14549A" w14:textId="3309E5E1" w:rsidR="00DC160E" w:rsidRPr="00725F44" w:rsidRDefault="00216660" w:rsidP="00DC160E">
      <w:pPr>
        <w:rPr>
          <w:rFonts w:ascii="Times New Roman" w:hAnsi="Times New Roman"/>
          <w:sz w:val="24"/>
          <w:szCs w:val="24"/>
        </w:rPr>
      </w:pPr>
      <w:r>
        <w:rPr>
          <w:rFonts w:ascii="Times New Roman" w:hAnsi="Times New Roman"/>
          <w:sz w:val="24"/>
          <w:szCs w:val="24"/>
        </w:rPr>
        <w:t xml:space="preserve">From 1 July 2022 to 31 October 2022 </w:t>
      </w:r>
      <w:r w:rsidR="00DC160E">
        <w:rPr>
          <w:rFonts w:ascii="Times New Roman" w:hAnsi="Times New Roman"/>
          <w:sz w:val="24"/>
          <w:szCs w:val="24"/>
        </w:rPr>
        <w:t>the DFSV Commission</w:t>
      </w:r>
      <w:r>
        <w:rPr>
          <w:rFonts w:ascii="Times New Roman" w:hAnsi="Times New Roman"/>
          <w:sz w:val="24"/>
          <w:szCs w:val="24"/>
        </w:rPr>
        <w:t>, as an Executive Agency,</w:t>
      </w:r>
      <w:r w:rsidR="00DC160E">
        <w:rPr>
          <w:rFonts w:ascii="Times New Roman" w:hAnsi="Times New Roman"/>
          <w:sz w:val="24"/>
          <w:szCs w:val="24"/>
        </w:rPr>
        <w:t xml:space="preserve"> was part of the Department of Social Services </w:t>
      </w:r>
      <w:r>
        <w:rPr>
          <w:rFonts w:ascii="Times New Roman" w:hAnsi="Times New Roman"/>
          <w:sz w:val="24"/>
          <w:szCs w:val="24"/>
        </w:rPr>
        <w:t>for the purposes of the finance law</w:t>
      </w:r>
      <w:r w:rsidR="00FE6B75">
        <w:rPr>
          <w:rFonts w:ascii="Times New Roman" w:hAnsi="Times New Roman"/>
          <w:sz w:val="24"/>
          <w:szCs w:val="24"/>
        </w:rPr>
        <w:t xml:space="preserve">. It was not a Commonwealth entity for the </w:t>
      </w:r>
      <w:r w:rsidR="001C7AE1">
        <w:rPr>
          <w:rFonts w:ascii="Times New Roman" w:hAnsi="Times New Roman"/>
          <w:sz w:val="24"/>
          <w:szCs w:val="24"/>
        </w:rPr>
        <w:t xml:space="preserve">purposes of the </w:t>
      </w:r>
      <w:r w:rsidR="00FE6B75">
        <w:rPr>
          <w:rFonts w:ascii="Times New Roman" w:hAnsi="Times New Roman"/>
          <w:sz w:val="24"/>
          <w:szCs w:val="24"/>
        </w:rPr>
        <w:t>finance law</w:t>
      </w:r>
      <w:r w:rsidR="00C7519A">
        <w:rPr>
          <w:rFonts w:ascii="Times New Roman" w:hAnsi="Times New Roman"/>
          <w:sz w:val="24"/>
          <w:szCs w:val="24"/>
        </w:rPr>
        <w:t xml:space="preserve">. </w:t>
      </w:r>
      <w:r w:rsidR="00DC160E">
        <w:rPr>
          <w:rFonts w:ascii="Times New Roman" w:hAnsi="Times New Roman"/>
          <w:sz w:val="24"/>
          <w:szCs w:val="24"/>
        </w:rPr>
        <w:t>From 1 November 2022, the DFSV Commission will continue as an Executive Agency and</w:t>
      </w:r>
      <w:r>
        <w:rPr>
          <w:rFonts w:ascii="Times New Roman" w:hAnsi="Times New Roman"/>
          <w:sz w:val="24"/>
          <w:szCs w:val="24"/>
        </w:rPr>
        <w:t xml:space="preserve"> </w:t>
      </w:r>
      <w:r w:rsidR="00DC160E">
        <w:rPr>
          <w:rFonts w:ascii="Times New Roman" w:hAnsi="Times New Roman"/>
          <w:sz w:val="24"/>
          <w:szCs w:val="24"/>
        </w:rPr>
        <w:t>will commence as</w:t>
      </w:r>
      <w:r w:rsidR="001C7AE1">
        <w:rPr>
          <w:rFonts w:ascii="Times New Roman" w:hAnsi="Times New Roman"/>
          <w:sz w:val="24"/>
          <w:szCs w:val="24"/>
        </w:rPr>
        <w:t xml:space="preserve"> a</w:t>
      </w:r>
      <w:r w:rsidR="00DC160E">
        <w:rPr>
          <w:rFonts w:ascii="Times New Roman" w:hAnsi="Times New Roman"/>
          <w:sz w:val="24"/>
          <w:szCs w:val="24"/>
        </w:rPr>
        <w:t xml:space="preserve"> non</w:t>
      </w:r>
      <w:r w:rsidR="00E37C6A">
        <w:rPr>
          <w:rFonts w:ascii="Times New Roman" w:hAnsi="Times New Roman"/>
          <w:sz w:val="24"/>
          <w:szCs w:val="24"/>
        </w:rPr>
        <w:noBreakHyphen/>
      </w:r>
      <w:r w:rsidR="00DC160E">
        <w:rPr>
          <w:rFonts w:ascii="Times New Roman" w:hAnsi="Times New Roman"/>
          <w:sz w:val="24"/>
          <w:szCs w:val="24"/>
        </w:rPr>
        <w:t>corporate Commonwealth entity</w:t>
      </w:r>
      <w:r w:rsidR="001C7AE1">
        <w:rPr>
          <w:rFonts w:ascii="Times New Roman" w:hAnsi="Times New Roman"/>
          <w:sz w:val="24"/>
          <w:szCs w:val="24"/>
        </w:rPr>
        <w:t>,</w:t>
      </w:r>
      <w:r w:rsidR="00DC160E">
        <w:rPr>
          <w:rFonts w:ascii="Times New Roman" w:hAnsi="Times New Roman"/>
          <w:sz w:val="24"/>
          <w:szCs w:val="24"/>
        </w:rPr>
        <w:t xml:space="preserve"> </w:t>
      </w:r>
      <w:r w:rsidR="001C7AE1">
        <w:rPr>
          <w:rFonts w:ascii="Times New Roman" w:hAnsi="Times New Roman"/>
          <w:sz w:val="24"/>
          <w:szCs w:val="24"/>
        </w:rPr>
        <w:t xml:space="preserve">for the purposes of the finance law, </w:t>
      </w:r>
      <w:r w:rsidR="00DC160E">
        <w:rPr>
          <w:rFonts w:ascii="Times New Roman" w:hAnsi="Times New Roman"/>
          <w:sz w:val="24"/>
          <w:szCs w:val="24"/>
        </w:rPr>
        <w:t xml:space="preserve">separate from the Department of Social Services. </w:t>
      </w:r>
      <w:r w:rsidR="00DC160E" w:rsidRPr="00725F44">
        <w:rPr>
          <w:rFonts w:ascii="Times New Roman" w:hAnsi="Times New Roman"/>
          <w:sz w:val="24"/>
          <w:szCs w:val="24"/>
        </w:rPr>
        <w:t xml:space="preserve">The Order specifies the functions for the </w:t>
      </w:r>
      <w:r w:rsidR="00DC160E">
        <w:rPr>
          <w:rFonts w:ascii="Times New Roman" w:hAnsi="Times New Roman"/>
          <w:sz w:val="24"/>
          <w:szCs w:val="24"/>
        </w:rPr>
        <w:t>DFSV Commission</w:t>
      </w:r>
      <w:r w:rsidR="00DC160E" w:rsidRPr="00725F44">
        <w:rPr>
          <w:rFonts w:ascii="Times New Roman" w:hAnsi="Times New Roman"/>
          <w:sz w:val="24"/>
          <w:szCs w:val="24"/>
        </w:rPr>
        <w:t xml:space="preserve">, which are </w:t>
      </w:r>
      <w:r w:rsidR="00DC160E">
        <w:rPr>
          <w:rFonts w:ascii="Times New Roman" w:hAnsi="Times New Roman"/>
          <w:sz w:val="24"/>
          <w:szCs w:val="24"/>
        </w:rPr>
        <w:t>reflected</w:t>
      </w:r>
      <w:r w:rsidR="00DC160E" w:rsidRPr="00725F44">
        <w:rPr>
          <w:rFonts w:ascii="Times New Roman" w:hAnsi="Times New Roman"/>
          <w:sz w:val="24"/>
          <w:szCs w:val="24"/>
        </w:rPr>
        <w:t xml:space="preserve"> in the </w:t>
      </w:r>
      <w:r w:rsidR="00DC160E">
        <w:rPr>
          <w:rFonts w:ascii="Times New Roman" w:hAnsi="Times New Roman"/>
          <w:sz w:val="24"/>
          <w:szCs w:val="24"/>
        </w:rPr>
        <w:t xml:space="preserve">purposes of the DFSV Commission by the </w:t>
      </w:r>
      <w:r w:rsidR="00DC160E" w:rsidRPr="00725F44">
        <w:rPr>
          <w:rFonts w:ascii="Times New Roman" w:hAnsi="Times New Roman"/>
          <w:sz w:val="24"/>
          <w:szCs w:val="24"/>
        </w:rPr>
        <w:t xml:space="preserve">new clause </w:t>
      </w:r>
      <w:r w:rsidR="00DC160E" w:rsidRPr="00897BF0">
        <w:rPr>
          <w:rFonts w:ascii="Times New Roman" w:hAnsi="Times New Roman"/>
          <w:sz w:val="24"/>
          <w:szCs w:val="24"/>
        </w:rPr>
        <w:t>10AA</w:t>
      </w:r>
      <w:r w:rsidR="00DC160E" w:rsidRPr="00725F44">
        <w:rPr>
          <w:rFonts w:ascii="Times New Roman" w:hAnsi="Times New Roman"/>
          <w:sz w:val="24"/>
          <w:szCs w:val="24"/>
        </w:rPr>
        <w:t>.</w:t>
      </w:r>
    </w:p>
    <w:p w14:paraId="0546064D" w14:textId="77777777" w:rsidR="00405B90" w:rsidRDefault="00405B90" w:rsidP="00A85584">
      <w:pPr>
        <w:rPr>
          <w:rFonts w:ascii="Times New Roman" w:hAnsi="Times New Roman"/>
          <w:sz w:val="24"/>
          <w:szCs w:val="24"/>
          <w:lang w:val="en-US"/>
        </w:rPr>
      </w:pPr>
    </w:p>
    <w:p w14:paraId="6A6C61DB" w14:textId="2EA2959D" w:rsidR="00B97958" w:rsidRDefault="00B97958" w:rsidP="00A85584">
      <w:pPr>
        <w:rPr>
          <w:rFonts w:ascii="Times New Roman" w:hAnsi="Times New Roman"/>
          <w:sz w:val="24"/>
          <w:szCs w:val="24"/>
          <w:lang w:val="en-US"/>
        </w:rPr>
      </w:pPr>
      <w:r w:rsidRPr="00F81067">
        <w:rPr>
          <w:rFonts w:ascii="Times New Roman" w:hAnsi="Times New Roman"/>
          <w:sz w:val="24"/>
          <w:szCs w:val="24"/>
          <w:lang w:val="en-US"/>
        </w:rPr>
        <w:t xml:space="preserve">At the time of </w:t>
      </w:r>
      <w:r w:rsidR="00795D24">
        <w:rPr>
          <w:rFonts w:ascii="Times New Roman" w:hAnsi="Times New Roman"/>
          <w:sz w:val="24"/>
          <w:szCs w:val="24"/>
          <w:lang w:val="en-US"/>
        </w:rPr>
        <w:t xml:space="preserve">commencement as </w:t>
      </w:r>
      <w:r w:rsidR="00BB23FF">
        <w:rPr>
          <w:rFonts w:ascii="Times New Roman" w:hAnsi="Times New Roman"/>
          <w:sz w:val="24"/>
          <w:szCs w:val="24"/>
          <w:lang w:val="en-US"/>
        </w:rPr>
        <w:t>a</w:t>
      </w:r>
      <w:r w:rsidR="00795D24">
        <w:rPr>
          <w:rFonts w:ascii="Times New Roman" w:hAnsi="Times New Roman"/>
          <w:sz w:val="24"/>
          <w:szCs w:val="24"/>
          <w:lang w:val="en-US"/>
        </w:rPr>
        <w:t xml:space="preserve"> </w:t>
      </w:r>
      <w:r w:rsidR="00BB23FF">
        <w:rPr>
          <w:rFonts w:ascii="Times New Roman" w:hAnsi="Times New Roman"/>
          <w:sz w:val="24"/>
          <w:szCs w:val="24"/>
          <w:lang w:val="en-US"/>
        </w:rPr>
        <w:t>non-corporate Commonwealth entity</w:t>
      </w:r>
      <w:r w:rsidR="00795D24">
        <w:rPr>
          <w:rFonts w:ascii="Times New Roman" w:hAnsi="Times New Roman"/>
          <w:sz w:val="24"/>
          <w:szCs w:val="24"/>
          <w:lang w:val="en-US"/>
        </w:rPr>
        <w:t xml:space="preserve">, </w:t>
      </w:r>
      <w:r>
        <w:rPr>
          <w:rFonts w:ascii="Times New Roman" w:hAnsi="Times New Roman"/>
          <w:sz w:val="24"/>
          <w:szCs w:val="24"/>
          <w:lang w:val="en-US"/>
        </w:rPr>
        <w:t xml:space="preserve">the responsible Minister for the DFSV Commission is the Assistant Minister for </w:t>
      </w:r>
      <w:r w:rsidR="0080356B">
        <w:rPr>
          <w:rFonts w:ascii="Times New Roman" w:hAnsi="Times New Roman"/>
          <w:sz w:val="24"/>
          <w:szCs w:val="24"/>
          <w:lang w:val="en-US"/>
        </w:rPr>
        <w:t>the Prevention of Family Violence.</w:t>
      </w:r>
    </w:p>
    <w:p w14:paraId="5AF2FD00" w14:textId="77777777" w:rsidR="00807F1C" w:rsidRDefault="00807F1C" w:rsidP="00841563">
      <w:pPr>
        <w:jc w:val="center"/>
        <w:rPr>
          <w:rFonts w:ascii="Times New Roman" w:hAnsi="Times New Roman"/>
          <w:sz w:val="24"/>
          <w:szCs w:val="24"/>
        </w:rPr>
      </w:pPr>
    </w:p>
    <w:p w14:paraId="36E0DF2A" w14:textId="77777777" w:rsidR="00807F1C" w:rsidRDefault="00807F1C" w:rsidP="00BF6413">
      <w:pPr>
        <w:rPr>
          <w:rFonts w:ascii="Times New Roman" w:hAnsi="Times New Roman"/>
          <w:sz w:val="24"/>
          <w:szCs w:val="24"/>
        </w:rPr>
      </w:pPr>
    </w:p>
    <w:p w14:paraId="6BDE12E4" w14:textId="77777777" w:rsidR="00807F1C" w:rsidRDefault="00807F1C" w:rsidP="00BF6413">
      <w:pPr>
        <w:rPr>
          <w:rFonts w:ascii="Times New Roman" w:hAnsi="Times New Roman"/>
          <w:sz w:val="24"/>
          <w:szCs w:val="24"/>
        </w:rPr>
      </w:pPr>
    </w:p>
    <w:p w14:paraId="41879D5A" w14:textId="77777777" w:rsidR="00D722CC" w:rsidRDefault="00D722CC">
      <w:pPr>
        <w:spacing w:after="160" w:line="259" w:lineRule="auto"/>
        <w:rPr>
          <w:rFonts w:ascii="Times New Roman" w:hAnsi="Times New Roman"/>
          <w:sz w:val="24"/>
          <w:szCs w:val="24"/>
        </w:rPr>
      </w:pPr>
      <w:r>
        <w:rPr>
          <w:rFonts w:ascii="Times New Roman" w:hAnsi="Times New Roman"/>
          <w:sz w:val="24"/>
          <w:szCs w:val="24"/>
        </w:rPr>
        <w:br w:type="page"/>
      </w:r>
    </w:p>
    <w:p w14:paraId="693F5CFA" w14:textId="0DFA6630" w:rsidR="00777029" w:rsidRDefault="00777029" w:rsidP="00BF6413">
      <w:pPr>
        <w:pStyle w:val="NoSpacing"/>
        <w:jc w:val="center"/>
      </w:pPr>
      <w:r>
        <w:rPr>
          <w:b/>
          <w:u w:val="single"/>
        </w:rPr>
        <w:lastRenderedPageBreak/>
        <w:t>Attachment B</w:t>
      </w:r>
    </w:p>
    <w:p w14:paraId="5A2EECD8" w14:textId="77777777" w:rsidR="00777029" w:rsidRPr="00777029" w:rsidRDefault="00777029" w:rsidP="00BF6413">
      <w:pPr>
        <w:pStyle w:val="NoSpacing"/>
        <w:jc w:val="center"/>
      </w:pPr>
    </w:p>
    <w:p w14:paraId="0AAC6E86" w14:textId="2AF3E25A" w:rsidR="00BF6413" w:rsidRPr="00725F44" w:rsidRDefault="00BF6413" w:rsidP="00BF6413">
      <w:pPr>
        <w:pStyle w:val="NoSpacing"/>
        <w:jc w:val="center"/>
        <w:rPr>
          <w:b/>
        </w:rPr>
      </w:pPr>
      <w:r w:rsidRPr="00725F44">
        <w:rPr>
          <w:b/>
        </w:rPr>
        <w:t>Statement of Compatibility with Human Rights</w:t>
      </w:r>
    </w:p>
    <w:p w14:paraId="1418C294" w14:textId="77777777" w:rsidR="00BF6413" w:rsidRPr="00725F44" w:rsidRDefault="00BF6413" w:rsidP="00BF6413">
      <w:pPr>
        <w:pStyle w:val="NoSpacing"/>
        <w:jc w:val="center"/>
        <w:rPr>
          <w:b/>
        </w:rPr>
      </w:pPr>
    </w:p>
    <w:p w14:paraId="14ED6E93" w14:textId="77777777" w:rsidR="00BF6413" w:rsidRPr="00725F44" w:rsidRDefault="00BF6413" w:rsidP="00BF6413">
      <w:pPr>
        <w:pStyle w:val="NoSpacing"/>
        <w:rPr>
          <w:i/>
        </w:rPr>
      </w:pPr>
      <w:r w:rsidRPr="00725F44">
        <w:t xml:space="preserve">Prepared in accordance with Part 3 of the </w:t>
      </w:r>
      <w:r w:rsidRPr="00725F44">
        <w:rPr>
          <w:i/>
        </w:rPr>
        <w:t>Human Rights (Parliamentary Scrutiny) Act 2011</w:t>
      </w:r>
    </w:p>
    <w:p w14:paraId="73B7C9D4" w14:textId="77777777" w:rsidR="00BF6413" w:rsidRPr="00725F44" w:rsidRDefault="00BF6413" w:rsidP="00BF6413">
      <w:pPr>
        <w:pStyle w:val="NoSpacing"/>
        <w:jc w:val="center"/>
        <w:rPr>
          <w:b/>
        </w:rPr>
      </w:pPr>
    </w:p>
    <w:p w14:paraId="6CC6AE58" w14:textId="77777777" w:rsidR="00BF6413" w:rsidRPr="00725F44" w:rsidRDefault="00BF6413" w:rsidP="00BF6413">
      <w:pPr>
        <w:pStyle w:val="NoSpacing"/>
        <w:rPr>
          <w:b/>
          <w:i/>
        </w:rPr>
      </w:pPr>
      <w:r w:rsidRPr="00F81067">
        <w:rPr>
          <w:b/>
          <w:i/>
        </w:rPr>
        <w:t>Public Governance, Performance and Accountability Amendment (</w:t>
      </w:r>
      <w:r w:rsidR="00891B00" w:rsidRPr="00F81067">
        <w:rPr>
          <w:b/>
          <w:i/>
        </w:rPr>
        <w:t>Domestic, Family and Sexual Violence Commission</w:t>
      </w:r>
      <w:r w:rsidRPr="00F81067">
        <w:rPr>
          <w:b/>
          <w:i/>
        </w:rPr>
        <w:t>) Rules 2022</w:t>
      </w:r>
    </w:p>
    <w:p w14:paraId="1D1B4834" w14:textId="77777777" w:rsidR="00BF6413" w:rsidRPr="00725F44" w:rsidRDefault="00BF6413" w:rsidP="00BF6413">
      <w:pPr>
        <w:rPr>
          <w:rFonts w:ascii="Times New Roman" w:hAnsi="Times New Roman"/>
          <w:sz w:val="24"/>
          <w:szCs w:val="24"/>
        </w:rPr>
      </w:pPr>
    </w:p>
    <w:p w14:paraId="3AADAB76" w14:textId="77777777" w:rsidR="00BF6413" w:rsidRPr="00725F44" w:rsidRDefault="00BF6413" w:rsidP="00BF6413">
      <w:pPr>
        <w:pStyle w:val="NoSpacing"/>
        <w:rPr>
          <w:b/>
          <w:i/>
        </w:rPr>
      </w:pPr>
      <w:r w:rsidRPr="00725F44">
        <w:rPr>
          <w:rFonts w:eastAsia="Times New Roman"/>
        </w:rPr>
        <w:t xml:space="preserve">The </w:t>
      </w:r>
      <w:r w:rsidRPr="00F81067">
        <w:rPr>
          <w:i/>
        </w:rPr>
        <w:t>Public Governance, Performance and Accountability Amendment (</w:t>
      </w:r>
      <w:r w:rsidR="00891B00" w:rsidRPr="00F81067">
        <w:rPr>
          <w:i/>
        </w:rPr>
        <w:t>Domestic, Family and Sexual Violence Commission</w:t>
      </w:r>
      <w:r w:rsidRPr="00F81067">
        <w:rPr>
          <w:i/>
        </w:rPr>
        <w:t>) Rules 2022</w:t>
      </w:r>
      <w:r w:rsidRPr="00725F44">
        <w:rPr>
          <w:b/>
          <w:i/>
        </w:rPr>
        <w:t xml:space="preserve"> </w:t>
      </w:r>
      <w:r w:rsidRPr="00725F44">
        <w:rPr>
          <w:rFonts w:eastAsia="Times New Roman"/>
        </w:rPr>
        <w:t>(Amendment Rule</w:t>
      </w:r>
      <w:r w:rsidR="001E5798">
        <w:rPr>
          <w:rFonts w:eastAsia="Times New Roman"/>
        </w:rPr>
        <w:t>s</w:t>
      </w:r>
      <w:r w:rsidRPr="00725F44">
        <w:rPr>
          <w:rFonts w:eastAsia="Times New Roman"/>
        </w:rPr>
        <w:t xml:space="preserve">) is compatible with the human rights and freedoms recognised or declared in the international instruments listed in section 3 of the </w:t>
      </w:r>
      <w:r w:rsidRPr="00725F44">
        <w:rPr>
          <w:rFonts w:eastAsia="Times New Roman"/>
          <w:i/>
        </w:rPr>
        <w:t>Human Rights (Parliamentary Scrutiny) Act 2011.</w:t>
      </w:r>
    </w:p>
    <w:p w14:paraId="3397AD07" w14:textId="77777777" w:rsidR="00BF6413" w:rsidRPr="00725F44" w:rsidRDefault="00BF6413" w:rsidP="00BF6413">
      <w:pPr>
        <w:rPr>
          <w:rFonts w:ascii="Times New Roman" w:eastAsia="Times New Roman" w:hAnsi="Times New Roman"/>
          <w:b/>
          <w:sz w:val="24"/>
          <w:szCs w:val="24"/>
        </w:rPr>
      </w:pPr>
    </w:p>
    <w:p w14:paraId="5CD5B33E"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Overview of the legislative instrument</w:t>
      </w:r>
    </w:p>
    <w:p w14:paraId="0D4A393A" w14:textId="77777777" w:rsidR="00BF6413" w:rsidRPr="00725F44" w:rsidRDefault="00BF6413" w:rsidP="00BF6413">
      <w:pPr>
        <w:rPr>
          <w:rFonts w:ascii="Times New Roman" w:eastAsia="Times New Roman" w:hAnsi="Times New Roman"/>
          <w:b/>
          <w:sz w:val="24"/>
          <w:szCs w:val="24"/>
        </w:rPr>
      </w:pPr>
    </w:p>
    <w:p w14:paraId="043272FA" w14:textId="79C57FCB" w:rsidR="00990584" w:rsidRPr="00990584" w:rsidRDefault="00BF6413" w:rsidP="00990584">
      <w:pPr>
        <w:rPr>
          <w:rFonts w:ascii="Times New Roman" w:eastAsia="Times New Roman" w:hAnsi="Times New Roman"/>
          <w:sz w:val="24"/>
          <w:szCs w:val="24"/>
        </w:rPr>
      </w:pPr>
      <w:r w:rsidRPr="00725F44">
        <w:rPr>
          <w:rFonts w:ascii="Times New Roman" w:eastAsia="Times New Roman" w:hAnsi="Times New Roman"/>
          <w:sz w:val="24"/>
          <w:szCs w:val="24"/>
        </w:rPr>
        <w:t xml:space="preserve">The </w:t>
      </w:r>
      <w:r w:rsidRPr="00725F44">
        <w:rPr>
          <w:rFonts w:ascii="Times New Roman" w:eastAsia="Times New Roman" w:hAnsi="Times New Roman"/>
          <w:i/>
          <w:sz w:val="24"/>
          <w:szCs w:val="24"/>
        </w:rPr>
        <w:t>Public Governance, Performance and Accountability Act 2013</w:t>
      </w:r>
      <w:r w:rsidRPr="00725F44">
        <w:rPr>
          <w:rFonts w:ascii="Times New Roman" w:eastAsia="Times New Roman" w:hAnsi="Times New Roman"/>
          <w:sz w:val="24"/>
          <w:szCs w:val="24"/>
        </w:rPr>
        <w:t xml:space="preserve"> (PGPA Act) establishes a framework for regulating resource management by </w:t>
      </w:r>
      <w:r w:rsidRPr="00725F44">
        <w:rPr>
          <w:rFonts w:ascii="Times New Roman" w:hAnsi="Times New Roman"/>
          <w:sz w:val="24"/>
          <w:szCs w:val="24"/>
        </w:rPr>
        <w:t>Commonwealth entities and companies</w:t>
      </w:r>
      <w:r w:rsidR="00990584">
        <w:rPr>
          <w:rFonts w:ascii="Times New Roman" w:eastAsia="Times New Roman" w:hAnsi="Times New Roman"/>
          <w:sz w:val="24"/>
          <w:szCs w:val="24"/>
        </w:rPr>
        <w:t xml:space="preserve">. </w:t>
      </w:r>
      <w:r w:rsidR="00990584" w:rsidRPr="00725F44">
        <w:rPr>
          <w:rFonts w:ascii="Times New Roman" w:hAnsi="Times New Roman"/>
          <w:sz w:val="24"/>
          <w:szCs w:val="24"/>
        </w:rPr>
        <w:t xml:space="preserve">Section 101 of the PGPA Act provides that the </w:t>
      </w:r>
      <w:r w:rsidR="00990584">
        <w:rPr>
          <w:rFonts w:ascii="Times New Roman" w:hAnsi="Times New Roman"/>
          <w:sz w:val="24"/>
          <w:szCs w:val="24"/>
        </w:rPr>
        <w:t>Minister for Finance</w:t>
      </w:r>
      <w:r w:rsidR="00990584" w:rsidRPr="00725F44">
        <w:rPr>
          <w:rFonts w:ascii="Times New Roman" w:hAnsi="Times New Roman"/>
          <w:sz w:val="24"/>
          <w:szCs w:val="24"/>
        </w:rPr>
        <w:t xml:space="preserve"> may make rules by legislative instrument to prescribe matters necessary or convenient to be prescribed for carrying out or giving effect to the Act.</w:t>
      </w:r>
      <w:r w:rsidR="00990584">
        <w:rPr>
          <w:rFonts w:ascii="Times New Roman" w:hAnsi="Times New Roman"/>
          <w:sz w:val="24"/>
          <w:szCs w:val="24"/>
        </w:rPr>
        <w:t xml:space="preserve"> Paragraph 103(e) of the PGPA Act provides that the rules may make provision for the name or purposes of a non-corporate Commonwealth entity that is prescribed by the rules to be a listed entity.</w:t>
      </w:r>
    </w:p>
    <w:p w14:paraId="324B0CAF" w14:textId="77777777" w:rsidR="00990584" w:rsidRDefault="00990584" w:rsidP="00BF6413">
      <w:pPr>
        <w:rPr>
          <w:rFonts w:ascii="Times New Roman" w:eastAsia="Times New Roman" w:hAnsi="Times New Roman"/>
          <w:sz w:val="24"/>
          <w:szCs w:val="24"/>
        </w:rPr>
      </w:pPr>
    </w:p>
    <w:p w14:paraId="064DB215" w14:textId="11C0F386" w:rsidR="00BF6413" w:rsidRPr="00725F44" w:rsidRDefault="00BF6413" w:rsidP="00BF6413">
      <w:pPr>
        <w:rPr>
          <w:rFonts w:ascii="Times New Roman" w:eastAsia="Times New Roman" w:hAnsi="Times New Roman"/>
          <w:sz w:val="24"/>
          <w:szCs w:val="24"/>
        </w:rPr>
      </w:pPr>
      <w:r w:rsidRPr="00F81067">
        <w:rPr>
          <w:rFonts w:ascii="Times New Roman" w:eastAsia="Times New Roman" w:hAnsi="Times New Roman"/>
          <w:sz w:val="24"/>
          <w:szCs w:val="24"/>
        </w:rPr>
        <w:t>The Amendment Rules amend Schedule 1 to</w:t>
      </w:r>
      <w:r w:rsidRPr="00F81067">
        <w:rPr>
          <w:rFonts w:ascii="Times New Roman" w:eastAsia="Times New Roman" w:hAnsi="Times New Roman"/>
          <w:i/>
          <w:sz w:val="24"/>
          <w:szCs w:val="24"/>
        </w:rPr>
        <w:t xml:space="preserve"> </w:t>
      </w:r>
      <w:r w:rsidRPr="00F81067">
        <w:rPr>
          <w:rFonts w:ascii="Times New Roman" w:eastAsia="Times New Roman" w:hAnsi="Times New Roman"/>
          <w:sz w:val="24"/>
          <w:szCs w:val="24"/>
        </w:rPr>
        <w:t xml:space="preserve">the </w:t>
      </w:r>
      <w:r w:rsidRPr="00F81067">
        <w:rPr>
          <w:rFonts w:ascii="Times New Roman" w:eastAsia="Times New Roman" w:hAnsi="Times New Roman"/>
          <w:i/>
          <w:sz w:val="24"/>
          <w:szCs w:val="24"/>
        </w:rPr>
        <w:t>Public Governance, Performance and Accountability Rule 2014</w:t>
      </w:r>
      <w:r w:rsidR="00841563" w:rsidRPr="00F81067">
        <w:rPr>
          <w:rFonts w:ascii="Times New Roman" w:eastAsia="Times New Roman" w:hAnsi="Times New Roman"/>
          <w:sz w:val="24"/>
          <w:szCs w:val="24"/>
        </w:rPr>
        <w:t xml:space="preserve"> made under the PGPA Act by inserting a new clause 10AA to prescribe the Domestic, Family and Sexual Violence Commission as a listed entity</w:t>
      </w:r>
      <w:r w:rsidR="0080356B" w:rsidRPr="00F81067">
        <w:rPr>
          <w:rFonts w:ascii="Times New Roman" w:eastAsia="Times New Roman" w:hAnsi="Times New Roman"/>
          <w:sz w:val="24"/>
          <w:szCs w:val="24"/>
        </w:rPr>
        <w:t>, a type of non-corporate Commonwealth entity,</w:t>
      </w:r>
      <w:r w:rsidR="00841563" w:rsidRPr="00F81067">
        <w:rPr>
          <w:rFonts w:ascii="Times New Roman" w:eastAsia="Times New Roman" w:hAnsi="Times New Roman"/>
          <w:sz w:val="24"/>
          <w:szCs w:val="24"/>
        </w:rPr>
        <w:t xml:space="preserve"> for the purposes of the finance law as defined by the PGPA Act</w:t>
      </w:r>
      <w:r w:rsidR="00891B00" w:rsidRPr="00F81067">
        <w:rPr>
          <w:rFonts w:ascii="Times New Roman" w:eastAsia="Times New Roman" w:hAnsi="Times New Roman"/>
          <w:sz w:val="24"/>
          <w:szCs w:val="24"/>
        </w:rPr>
        <w:t>.</w:t>
      </w:r>
    </w:p>
    <w:p w14:paraId="6DB583A0" w14:textId="77777777" w:rsidR="00BF6413" w:rsidRPr="00725F44" w:rsidRDefault="00BF6413" w:rsidP="00BF6413">
      <w:pPr>
        <w:rPr>
          <w:rFonts w:ascii="Times New Roman" w:eastAsia="Times New Roman" w:hAnsi="Times New Roman"/>
          <w:sz w:val="24"/>
          <w:szCs w:val="24"/>
        </w:rPr>
      </w:pPr>
    </w:p>
    <w:p w14:paraId="67879393"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Human rights implications</w:t>
      </w:r>
    </w:p>
    <w:p w14:paraId="57355162" w14:textId="77777777" w:rsidR="00BF6413" w:rsidRPr="00725F44" w:rsidRDefault="00BF6413" w:rsidP="00BF6413">
      <w:pPr>
        <w:rPr>
          <w:rFonts w:ascii="Times New Roman" w:eastAsia="Times New Roman" w:hAnsi="Times New Roman"/>
          <w:b/>
          <w:sz w:val="24"/>
          <w:szCs w:val="24"/>
        </w:rPr>
      </w:pPr>
    </w:p>
    <w:p w14:paraId="337FF46B" w14:textId="77777777" w:rsidR="00BF6413" w:rsidRPr="00725F44" w:rsidRDefault="00BF6413" w:rsidP="00BF6413">
      <w:pPr>
        <w:rPr>
          <w:rFonts w:ascii="Times New Roman" w:eastAsia="Times New Roman" w:hAnsi="Times New Roman"/>
          <w:sz w:val="24"/>
          <w:szCs w:val="24"/>
        </w:rPr>
      </w:pPr>
      <w:r w:rsidRPr="00FF1F02">
        <w:rPr>
          <w:rFonts w:ascii="Times New Roman" w:eastAsia="Times New Roman" w:hAnsi="Times New Roman"/>
          <w:sz w:val="24"/>
          <w:szCs w:val="24"/>
        </w:rPr>
        <w:t>The Amendment Rules do not engage any of the applicable rights or freedoms.</w:t>
      </w:r>
    </w:p>
    <w:p w14:paraId="4ED08237" w14:textId="77777777" w:rsidR="00BF6413" w:rsidRPr="00725F44" w:rsidRDefault="00BF6413" w:rsidP="00BF6413">
      <w:pPr>
        <w:spacing w:after="160" w:line="259" w:lineRule="auto"/>
        <w:rPr>
          <w:rFonts w:ascii="Times New Roman" w:eastAsia="Times New Roman" w:hAnsi="Times New Roman"/>
          <w:b/>
          <w:sz w:val="24"/>
          <w:szCs w:val="24"/>
        </w:rPr>
      </w:pPr>
    </w:p>
    <w:p w14:paraId="30204D8D" w14:textId="77777777" w:rsidR="00BF6413" w:rsidRPr="00725F44" w:rsidRDefault="00BF6413" w:rsidP="00BF6413">
      <w:pPr>
        <w:spacing w:after="160" w:line="259" w:lineRule="auto"/>
        <w:rPr>
          <w:rFonts w:ascii="Times New Roman" w:eastAsia="Times New Roman" w:hAnsi="Times New Roman"/>
          <w:b/>
          <w:sz w:val="24"/>
          <w:szCs w:val="24"/>
        </w:rPr>
      </w:pPr>
      <w:r w:rsidRPr="00725F44">
        <w:rPr>
          <w:rFonts w:ascii="Times New Roman" w:eastAsia="Times New Roman" w:hAnsi="Times New Roman"/>
          <w:b/>
          <w:sz w:val="24"/>
          <w:szCs w:val="24"/>
        </w:rPr>
        <w:t>Conclusion</w:t>
      </w:r>
    </w:p>
    <w:p w14:paraId="624BDE55" w14:textId="77777777"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The Amendment Rules are compatible with human rights as they do not raise any human rights issues.</w:t>
      </w:r>
    </w:p>
    <w:p w14:paraId="139D40FE" w14:textId="77777777" w:rsidR="00BF6413" w:rsidRPr="00725F44" w:rsidRDefault="00BF6413" w:rsidP="00BF6413">
      <w:pPr>
        <w:rPr>
          <w:rFonts w:ascii="Times New Roman" w:eastAsia="Times New Roman" w:hAnsi="Times New Roman"/>
          <w:sz w:val="24"/>
          <w:szCs w:val="24"/>
        </w:rPr>
      </w:pPr>
    </w:p>
    <w:p w14:paraId="12D30926" w14:textId="77777777" w:rsidR="00BF6413" w:rsidRPr="00725F44" w:rsidRDefault="00BF6413" w:rsidP="00BF6413"/>
    <w:p w14:paraId="4512A51C" w14:textId="77777777" w:rsidR="00BF6413" w:rsidRPr="00725F44" w:rsidRDefault="00BF6413" w:rsidP="00BF6413">
      <w:pPr>
        <w:pStyle w:val="paranumbering"/>
        <w:spacing w:before="0" w:beforeAutospacing="0" w:after="0" w:afterAutospacing="0"/>
        <w:jc w:val="center"/>
        <w:rPr>
          <w:b/>
        </w:rPr>
      </w:pPr>
    </w:p>
    <w:p w14:paraId="775506C0" w14:textId="77777777" w:rsidR="00BF6413" w:rsidRPr="00725F44" w:rsidRDefault="00BF6413" w:rsidP="00BF6413">
      <w:pPr>
        <w:pStyle w:val="paranumbering"/>
        <w:spacing w:before="0" w:beforeAutospacing="0" w:after="0" w:afterAutospacing="0"/>
        <w:jc w:val="center"/>
        <w:rPr>
          <w:b/>
        </w:rPr>
      </w:pPr>
    </w:p>
    <w:p w14:paraId="13F0DCF4" w14:textId="77777777" w:rsidR="00BF6413" w:rsidRPr="00725F44" w:rsidRDefault="00BF6413" w:rsidP="00BF6413">
      <w:pPr>
        <w:pStyle w:val="paranumbering"/>
        <w:spacing w:before="0" w:beforeAutospacing="0" w:after="0" w:afterAutospacing="0"/>
        <w:jc w:val="center"/>
        <w:rPr>
          <w:b/>
        </w:rPr>
      </w:pPr>
    </w:p>
    <w:p w14:paraId="1A593105" w14:textId="77777777" w:rsidR="00BF6413" w:rsidRPr="00725F44" w:rsidRDefault="00BF6413" w:rsidP="00BF6413">
      <w:pPr>
        <w:pStyle w:val="paranumbering"/>
        <w:spacing w:before="0" w:beforeAutospacing="0" w:after="0" w:afterAutospacing="0"/>
        <w:jc w:val="center"/>
        <w:rPr>
          <w:b/>
        </w:rPr>
      </w:pPr>
      <w:r w:rsidRPr="00725F44">
        <w:rPr>
          <w:b/>
        </w:rPr>
        <w:t>Senator the Hon Katy Gallagher</w:t>
      </w:r>
    </w:p>
    <w:p w14:paraId="6ABA3F04" w14:textId="77777777" w:rsidR="00BF6413" w:rsidRPr="002F56F4" w:rsidRDefault="00BF6413" w:rsidP="00BF6413">
      <w:pPr>
        <w:pStyle w:val="paranumbering"/>
        <w:spacing w:before="0" w:beforeAutospacing="0" w:after="0" w:afterAutospacing="0"/>
        <w:jc w:val="center"/>
        <w:rPr>
          <w:b/>
        </w:rPr>
      </w:pPr>
      <w:r w:rsidRPr="00725F44">
        <w:rPr>
          <w:b/>
        </w:rPr>
        <w:t>Minister for Finance</w:t>
      </w:r>
      <w:r>
        <w:rPr>
          <w:b/>
        </w:rPr>
        <w:t xml:space="preserve"> </w:t>
      </w:r>
    </w:p>
    <w:p w14:paraId="0610711F" w14:textId="77777777" w:rsidR="00BF6413" w:rsidRDefault="00BF6413" w:rsidP="00BF6413">
      <w:pPr>
        <w:rPr>
          <w:rFonts w:ascii="Times New Roman" w:hAnsi="Times New Roman"/>
          <w:sz w:val="24"/>
          <w:szCs w:val="24"/>
        </w:rPr>
      </w:pPr>
    </w:p>
    <w:p w14:paraId="3FD05E9F" w14:textId="77777777" w:rsidR="00C211E1" w:rsidRDefault="00C211E1"/>
    <w:sectPr w:rsidR="00C211E1" w:rsidSect="00841563">
      <w:headerReference w:type="even" r:id="rId16"/>
      <w:headerReference w:type="default" r:id="rId17"/>
      <w:head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EC904" w14:textId="77777777" w:rsidR="0032693F" w:rsidRDefault="0032693F">
      <w:r>
        <w:separator/>
      </w:r>
    </w:p>
  </w:endnote>
  <w:endnote w:type="continuationSeparator" w:id="0">
    <w:p w14:paraId="287AF8B6" w14:textId="77777777" w:rsidR="0032693F" w:rsidRDefault="0032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7D04" w14:textId="77777777" w:rsidR="0032693F" w:rsidRDefault="0032693F">
      <w:r>
        <w:separator/>
      </w:r>
    </w:p>
  </w:footnote>
  <w:footnote w:type="continuationSeparator" w:id="0">
    <w:p w14:paraId="729AA2EB" w14:textId="77777777" w:rsidR="0032693F" w:rsidRDefault="0032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8F01" w14:textId="77777777" w:rsidR="00970CE0" w:rsidRPr="0024435A" w:rsidRDefault="001D4E65" w:rsidP="001D4E65">
    <w:pPr>
      <w:pStyle w:val="Header"/>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Pr>
        <w:rFonts w:ascii="Times New Roman" w:hAnsi="Times New Roman"/>
        <w:b/>
        <w:sz w:val="24"/>
        <w:szCs w:val="24"/>
      </w:rPr>
      <w:t xml:space="preserve"> </w:t>
    </w:r>
    <w:r w:rsidR="00970CE0" w:rsidRPr="006D5FAA">
      <w:rPr>
        <w:rFonts w:ascii="Times New Roman" w:hAnsi="Times New Roman"/>
        <w:b/>
        <w:sz w:val="24"/>
        <w:szCs w:val="24"/>
        <w:highlight w:val="yellow"/>
        <w:u w:val="single"/>
      </w:rPr>
      <w:t>Attachment A</w:t>
    </w:r>
  </w:p>
  <w:p w14:paraId="5EBACBDD" w14:textId="77777777"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D31C" w14:textId="77777777" w:rsidR="00D07955" w:rsidRPr="00D07955" w:rsidRDefault="00777029" w:rsidP="00D07955">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17DD" w14:textId="77777777"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3D84" w14:textId="77777777" w:rsidR="00521EA8" w:rsidRPr="0024435A" w:rsidRDefault="00521EA8" w:rsidP="00521EA8">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p w14:paraId="21CFC852" w14:textId="77777777" w:rsidR="0093416C" w:rsidRDefault="0093416C" w:rsidP="00521EA8">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FEDE" w14:textId="3DB02E7A" w:rsidR="00C21FE0" w:rsidRPr="0024435A" w:rsidRDefault="00777029" w:rsidP="00D07955">
    <w:pPr>
      <w:pStyle w:val="Header"/>
      <w:jc w:val="right"/>
      <w:rPr>
        <w:rFonts w:ascii="Times New Roman" w:hAnsi="Times New Roman"/>
        <w:b/>
        <w:sz w:val="24"/>
        <w:szCs w:val="24"/>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C840" w14:textId="49D869E8" w:rsidR="00841563" w:rsidRPr="0024435A" w:rsidRDefault="00841563" w:rsidP="00841563">
    <w:pPr>
      <w:pStyle w:val="Header"/>
      <w:jc w:val="right"/>
      <w:rPr>
        <w:rFonts w:ascii="Times New Roman" w:hAnsi="Times New Roman"/>
        <w:b/>
        <w:sz w:val="24"/>
        <w:szCs w:val="24"/>
        <w:u w:val="single"/>
      </w:rPr>
    </w:pPr>
    <w:r>
      <w:tab/>
    </w:r>
  </w:p>
  <w:p w14:paraId="4F732706" w14:textId="77777777" w:rsidR="0093416C" w:rsidRDefault="0093416C" w:rsidP="00841563">
    <w:pPr>
      <w:pStyle w:val="Header"/>
      <w:tabs>
        <w:tab w:val="clear" w:pos="4513"/>
        <w:tab w:val="clear" w:pos="9026"/>
        <w:tab w:val="left" w:pos="711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3E"/>
    <w:multiLevelType w:val="hybridMultilevel"/>
    <w:tmpl w:val="A900D6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8266F"/>
    <w:multiLevelType w:val="hybridMultilevel"/>
    <w:tmpl w:val="52087034"/>
    <w:lvl w:ilvl="0" w:tplc="0C090001">
      <w:start w:val="1"/>
      <w:numFmt w:val="bullet"/>
      <w:lvlText w:val=""/>
      <w:lvlJc w:val="left"/>
      <w:pPr>
        <w:ind w:left="1538" w:hanging="360"/>
      </w:pPr>
      <w:rPr>
        <w:rFonts w:ascii="Symbol" w:hAnsi="Symbol" w:hint="default"/>
      </w:rPr>
    </w:lvl>
    <w:lvl w:ilvl="1" w:tplc="0C090003" w:tentative="1">
      <w:start w:val="1"/>
      <w:numFmt w:val="bullet"/>
      <w:lvlText w:val="o"/>
      <w:lvlJc w:val="left"/>
      <w:pPr>
        <w:ind w:left="2258" w:hanging="360"/>
      </w:pPr>
      <w:rPr>
        <w:rFonts w:ascii="Courier New" w:hAnsi="Courier New" w:cs="Courier New" w:hint="default"/>
      </w:rPr>
    </w:lvl>
    <w:lvl w:ilvl="2" w:tplc="0C090005" w:tentative="1">
      <w:start w:val="1"/>
      <w:numFmt w:val="bullet"/>
      <w:lvlText w:val=""/>
      <w:lvlJc w:val="left"/>
      <w:pPr>
        <w:ind w:left="2978" w:hanging="360"/>
      </w:pPr>
      <w:rPr>
        <w:rFonts w:ascii="Wingdings" w:hAnsi="Wingdings" w:hint="default"/>
      </w:rPr>
    </w:lvl>
    <w:lvl w:ilvl="3" w:tplc="0C090001" w:tentative="1">
      <w:start w:val="1"/>
      <w:numFmt w:val="bullet"/>
      <w:lvlText w:val=""/>
      <w:lvlJc w:val="left"/>
      <w:pPr>
        <w:ind w:left="3698" w:hanging="360"/>
      </w:pPr>
      <w:rPr>
        <w:rFonts w:ascii="Symbol" w:hAnsi="Symbol" w:hint="default"/>
      </w:rPr>
    </w:lvl>
    <w:lvl w:ilvl="4" w:tplc="0C090003" w:tentative="1">
      <w:start w:val="1"/>
      <w:numFmt w:val="bullet"/>
      <w:lvlText w:val="o"/>
      <w:lvlJc w:val="left"/>
      <w:pPr>
        <w:ind w:left="4418" w:hanging="360"/>
      </w:pPr>
      <w:rPr>
        <w:rFonts w:ascii="Courier New" w:hAnsi="Courier New" w:cs="Courier New" w:hint="default"/>
      </w:rPr>
    </w:lvl>
    <w:lvl w:ilvl="5" w:tplc="0C090005" w:tentative="1">
      <w:start w:val="1"/>
      <w:numFmt w:val="bullet"/>
      <w:lvlText w:val=""/>
      <w:lvlJc w:val="left"/>
      <w:pPr>
        <w:ind w:left="5138" w:hanging="360"/>
      </w:pPr>
      <w:rPr>
        <w:rFonts w:ascii="Wingdings" w:hAnsi="Wingdings" w:hint="default"/>
      </w:rPr>
    </w:lvl>
    <w:lvl w:ilvl="6" w:tplc="0C090001" w:tentative="1">
      <w:start w:val="1"/>
      <w:numFmt w:val="bullet"/>
      <w:lvlText w:val=""/>
      <w:lvlJc w:val="left"/>
      <w:pPr>
        <w:ind w:left="5858" w:hanging="360"/>
      </w:pPr>
      <w:rPr>
        <w:rFonts w:ascii="Symbol" w:hAnsi="Symbol" w:hint="default"/>
      </w:rPr>
    </w:lvl>
    <w:lvl w:ilvl="7" w:tplc="0C090003" w:tentative="1">
      <w:start w:val="1"/>
      <w:numFmt w:val="bullet"/>
      <w:lvlText w:val="o"/>
      <w:lvlJc w:val="left"/>
      <w:pPr>
        <w:ind w:left="6578" w:hanging="360"/>
      </w:pPr>
      <w:rPr>
        <w:rFonts w:ascii="Courier New" w:hAnsi="Courier New" w:cs="Courier New" w:hint="default"/>
      </w:rPr>
    </w:lvl>
    <w:lvl w:ilvl="8" w:tplc="0C090005" w:tentative="1">
      <w:start w:val="1"/>
      <w:numFmt w:val="bullet"/>
      <w:lvlText w:val=""/>
      <w:lvlJc w:val="left"/>
      <w:pPr>
        <w:ind w:left="7298" w:hanging="360"/>
      </w:pPr>
      <w:rPr>
        <w:rFonts w:ascii="Wingdings" w:hAnsi="Wingdings" w:hint="default"/>
      </w:rPr>
    </w:lvl>
  </w:abstractNum>
  <w:abstractNum w:abstractNumId="2"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725803"/>
    <w:multiLevelType w:val="hybridMultilevel"/>
    <w:tmpl w:val="6C74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C4E5D"/>
    <w:multiLevelType w:val="hybridMultilevel"/>
    <w:tmpl w:val="2E027B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0277B2B"/>
    <w:multiLevelType w:val="hybridMultilevel"/>
    <w:tmpl w:val="932A37E6"/>
    <w:lvl w:ilvl="0" w:tplc="644E9EEE">
      <w:numFmt w:val="bullet"/>
      <w:lvlText w:val="-"/>
      <w:lvlJc w:val="left"/>
      <w:pPr>
        <w:ind w:left="1211" w:hanging="360"/>
      </w:pPr>
      <w:rPr>
        <w:rFonts w:ascii="Times New Roman" w:eastAsia="Calibri"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6E3C3454"/>
    <w:multiLevelType w:val="hybridMultilevel"/>
    <w:tmpl w:val="7CF2BD6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6F0B48B2"/>
    <w:multiLevelType w:val="hybridMultilevel"/>
    <w:tmpl w:val="4664DF9C"/>
    <w:lvl w:ilvl="0" w:tplc="612EA910">
      <w:numFmt w:val="bullet"/>
      <w:lvlText w:val="-"/>
      <w:lvlJc w:val="left"/>
      <w:pPr>
        <w:ind w:left="1931" w:hanging="360"/>
      </w:pPr>
      <w:rPr>
        <w:rFonts w:ascii="Times New Roman" w:eastAsia="Calibri" w:hAnsi="Times New Roman" w:cs="Times New Roman"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8"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326C7"/>
    <w:rsid w:val="00034695"/>
    <w:rsid w:val="00044CD8"/>
    <w:rsid w:val="00047597"/>
    <w:rsid w:val="00053633"/>
    <w:rsid w:val="000536CC"/>
    <w:rsid w:val="000570D1"/>
    <w:rsid w:val="000659EA"/>
    <w:rsid w:val="00065E21"/>
    <w:rsid w:val="0007051E"/>
    <w:rsid w:val="000725BE"/>
    <w:rsid w:val="00072B85"/>
    <w:rsid w:val="000738F9"/>
    <w:rsid w:val="00073CFC"/>
    <w:rsid w:val="00074F74"/>
    <w:rsid w:val="00076759"/>
    <w:rsid w:val="00082451"/>
    <w:rsid w:val="00082C39"/>
    <w:rsid w:val="000A7178"/>
    <w:rsid w:val="000C024D"/>
    <w:rsid w:val="000C69C5"/>
    <w:rsid w:val="000E0E2A"/>
    <w:rsid w:val="000F375C"/>
    <w:rsid w:val="000F4E8B"/>
    <w:rsid w:val="001073F5"/>
    <w:rsid w:val="00120A71"/>
    <w:rsid w:val="00130A9B"/>
    <w:rsid w:val="001349E7"/>
    <w:rsid w:val="00144C07"/>
    <w:rsid w:val="00146007"/>
    <w:rsid w:val="001607BB"/>
    <w:rsid w:val="00160E00"/>
    <w:rsid w:val="00164DE9"/>
    <w:rsid w:val="00167305"/>
    <w:rsid w:val="00170D2C"/>
    <w:rsid w:val="00177B94"/>
    <w:rsid w:val="00195990"/>
    <w:rsid w:val="001A009D"/>
    <w:rsid w:val="001B48A6"/>
    <w:rsid w:val="001B778A"/>
    <w:rsid w:val="001C7AE1"/>
    <w:rsid w:val="001D4E65"/>
    <w:rsid w:val="001E5798"/>
    <w:rsid w:val="001F1EAD"/>
    <w:rsid w:val="001F3CCA"/>
    <w:rsid w:val="002033CB"/>
    <w:rsid w:val="00214144"/>
    <w:rsid w:val="00214A7A"/>
    <w:rsid w:val="00216660"/>
    <w:rsid w:val="0023073E"/>
    <w:rsid w:val="002411AD"/>
    <w:rsid w:val="0024414C"/>
    <w:rsid w:val="002465BD"/>
    <w:rsid w:val="002468E1"/>
    <w:rsid w:val="00255361"/>
    <w:rsid w:val="0026224F"/>
    <w:rsid w:val="00270171"/>
    <w:rsid w:val="0027262A"/>
    <w:rsid w:val="00272EC8"/>
    <w:rsid w:val="00277BE7"/>
    <w:rsid w:val="00283113"/>
    <w:rsid w:val="002944CB"/>
    <w:rsid w:val="002A47D6"/>
    <w:rsid w:val="002B0B13"/>
    <w:rsid w:val="002B138E"/>
    <w:rsid w:val="002B1C69"/>
    <w:rsid w:val="002D10D8"/>
    <w:rsid w:val="002D24B7"/>
    <w:rsid w:val="002E0F9A"/>
    <w:rsid w:val="002E1492"/>
    <w:rsid w:val="002E3FF7"/>
    <w:rsid w:val="002F27D5"/>
    <w:rsid w:val="002F34C2"/>
    <w:rsid w:val="00301A84"/>
    <w:rsid w:val="003026F3"/>
    <w:rsid w:val="00302D70"/>
    <w:rsid w:val="0030394B"/>
    <w:rsid w:val="00304987"/>
    <w:rsid w:val="003106F0"/>
    <w:rsid w:val="00322C64"/>
    <w:rsid w:val="0032693F"/>
    <w:rsid w:val="003437F3"/>
    <w:rsid w:val="00362641"/>
    <w:rsid w:val="00365969"/>
    <w:rsid w:val="003826C6"/>
    <w:rsid w:val="00382AA7"/>
    <w:rsid w:val="003921A7"/>
    <w:rsid w:val="00392D0E"/>
    <w:rsid w:val="00397A04"/>
    <w:rsid w:val="003A6B95"/>
    <w:rsid w:val="003B0329"/>
    <w:rsid w:val="003B22D2"/>
    <w:rsid w:val="003C365A"/>
    <w:rsid w:val="003C36AD"/>
    <w:rsid w:val="003C50C8"/>
    <w:rsid w:val="003C6E47"/>
    <w:rsid w:val="003C7A9C"/>
    <w:rsid w:val="003D25E2"/>
    <w:rsid w:val="003D48E9"/>
    <w:rsid w:val="003D5816"/>
    <w:rsid w:val="003D76DA"/>
    <w:rsid w:val="003D7C0E"/>
    <w:rsid w:val="003E0D6E"/>
    <w:rsid w:val="003E2780"/>
    <w:rsid w:val="0040191F"/>
    <w:rsid w:val="00405B90"/>
    <w:rsid w:val="00406ACA"/>
    <w:rsid w:val="00415917"/>
    <w:rsid w:val="00437231"/>
    <w:rsid w:val="004374C4"/>
    <w:rsid w:val="00447AC3"/>
    <w:rsid w:val="00447D00"/>
    <w:rsid w:val="0045581B"/>
    <w:rsid w:val="0046079A"/>
    <w:rsid w:val="00460BDA"/>
    <w:rsid w:val="00467164"/>
    <w:rsid w:val="004740AD"/>
    <w:rsid w:val="00476C49"/>
    <w:rsid w:val="00483101"/>
    <w:rsid w:val="004964CF"/>
    <w:rsid w:val="004A0835"/>
    <w:rsid w:val="004A2D30"/>
    <w:rsid w:val="004B05C8"/>
    <w:rsid w:val="004B40F9"/>
    <w:rsid w:val="004C720C"/>
    <w:rsid w:val="004D1DF5"/>
    <w:rsid w:val="004E72E2"/>
    <w:rsid w:val="004F5E5C"/>
    <w:rsid w:val="005000F5"/>
    <w:rsid w:val="00506348"/>
    <w:rsid w:val="00506A96"/>
    <w:rsid w:val="00511279"/>
    <w:rsid w:val="00514F2F"/>
    <w:rsid w:val="00515126"/>
    <w:rsid w:val="00521EA8"/>
    <w:rsid w:val="00525967"/>
    <w:rsid w:val="005340FE"/>
    <w:rsid w:val="00536025"/>
    <w:rsid w:val="00553291"/>
    <w:rsid w:val="00560C97"/>
    <w:rsid w:val="005707B3"/>
    <w:rsid w:val="0058576A"/>
    <w:rsid w:val="00587B10"/>
    <w:rsid w:val="00594D39"/>
    <w:rsid w:val="005B2909"/>
    <w:rsid w:val="005B6DC7"/>
    <w:rsid w:val="005C7864"/>
    <w:rsid w:val="005D4D83"/>
    <w:rsid w:val="005D505A"/>
    <w:rsid w:val="005F45F7"/>
    <w:rsid w:val="00615BF5"/>
    <w:rsid w:val="00617034"/>
    <w:rsid w:val="006178F2"/>
    <w:rsid w:val="00620905"/>
    <w:rsid w:val="00622BC0"/>
    <w:rsid w:val="00642AD8"/>
    <w:rsid w:val="006468C4"/>
    <w:rsid w:val="0065418F"/>
    <w:rsid w:val="006550EA"/>
    <w:rsid w:val="00656723"/>
    <w:rsid w:val="00657920"/>
    <w:rsid w:val="00674A44"/>
    <w:rsid w:val="00677FDD"/>
    <w:rsid w:val="006865B6"/>
    <w:rsid w:val="006974B8"/>
    <w:rsid w:val="006A0C62"/>
    <w:rsid w:val="006C0E6F"/>
    <w:rsid w:val="006C1879"/>
    <w:rsid w:val="006C3476"/>
    <w:rsid w:val="006D0338"/>
    <w:rsid w:val="006D30CE"/>
    <w:rsid w:val="006D5FAA"/>
    <w:rsid w:val="006F1146"/>
    <w:rsid w:val="006F5658"/>
    <w:rsid w:val="006F5CBF"/>
    <w:rsid w:val="007019C3"/>
    <w:rsid w:val="007027F0"/>
    <w:rsid w:val="00717FB8"/>
    <w:rsid w:val="00721015"/>
    <w:rsid w:val="00725F44"/>
    <w:rsid w:val="007266D8"/>
    <w:rsid w:val="007374BA"/>
    <w:rsid w:val="0075199B"/>
    <w:rsid w:val="007662C0"/>
    <w:rsid w:val="00777029"/>
    <w:rsid w:val="00777EC3"/>
    <w:rsid w:val="00794F33"/>
    <w:rsid w:val="00795D24"/>
    <w:rsid w:val="007A4AAB"/>
    <w:rsid w:val="007B18BD"/>
    <w:rsid w:val="007B6DD0"/>
    <w:rsid w:val="007D2C89"/>
    <w:rsid w:val="007E5A2F"/>
    <w:rsid w:val="007E6579"/>
    <w:rsid w:val="007F03FC"/>
    <w:rsid w:val="0080356B"/>
    <w:rsid w:val="008079F9"/>
    <w:rsid w:val="00807F1C"/>
    <w:rsid w:val="00813945"/>
    <w:rsid w:val="00820FA5"/>
    <w:rsid w:val="00821005"/>
    <w:rsid w:val="00825116"/>
    <w:rsid w:val="00830971"/>
    <w:rsid w:val="008324D0"/>
    <w:rsid w:val="00836C31"/>
    <w:rsid w:val="00841563"/>
    <w:rsid w:val="00846C0E"/>
    <w:rsid w:val="008477C0"/>
    <w:rsid w:val="008515AC"/>
    <w:rsid w:val="00867BDF"/>
    <w:rsid w:val="00872A08"/>
    <w:rsid w:val="00882553"/>
    <w:rsid w:val="00887B3D"/>
    <w:rsid w:val="00891B00"/>
    <w:rsid w:val="008B242F"/>
    <w:rsid w:val="008D1CF3"/>
    <w:rsid w:val="008D42D4"/>
    <w:rsid w:val="008D4A43"/>
    <w:rsid w:val="008E6EBA"/>
    <w:rsid w:val="008E7004"/>
    <w:rsid w:val="008F31BC"/>
    <w:rsid w:val="008F6F2D"/>
    <w:rsid w:val="00900744"/>
    <w:rsid w:val="00914550"/>
    <w:rsid w:val="009150E2"/>
    <w:rsid w:val="00923A43"/>
    <w:rsid w:val="0092597B"/>
    <w:rsid w:val="009261E7"/>
    <w:rsid w:val="0093416C"/>
    <w:rsid w:val="009376AA"/>
    <w:rsid w:val="00946EB1"/>
    <w:rsid w:val="0095154D"/>
    <w:rsid w:val="00951569"/>
    <w:rsid w:val="00961B6D"/>
    <w:rsid w:val="00965271"/>
    <w:rsid w:val="00970CE0"/>
    <w:rsid w:val="0098765A"/>
    <w:rsid w:val="00990584"/>
    <w:rsid w:val="009A2DFF"/>
    <w:rsid w:val="009A758B"/>
    <w:rsid w:val="009B7495"/>
    <w:rsid w:val="009C038E"/>
    <w:rsid w:val="00A019C1"/>
    <w:rsid w:val="00A07A74"/>
    <w:rsid w:val="00A15368"/>
    <w:rsid w:val="00A22A63"/>
    <w:rsid w:val="00A22F17"/>
    <w:rsid w:val="00A278AD"/>
    <w:rsid w:val="00A30A65"/>
    <w:rsid w:val="00A32DE1"/>
    <w:rsid w:val="00A3323C"/>
    <w:rsid w:val="00A35E34"/>
    <w:rsid w:val="00A37A9B"/>
    <w:rsid w:val="00A37F03"/>
    <w:rsid w:val="00A52078"/>
    <w:rsid w:val="00A57432"/>
    <w:rsid w:val="00A607FD"/>
    <w:rsid w:val="00A74C54"/>
    <w:rsid w:val="00A80716"/>
    <w:rsid w:val="00A83064"/>
    <w:rsid w:val="00A83A97"/>
    <w:rsid w:val="00A85584"/>
    <w:rsid w:val="00A9192D"/>
    <w:rsid w:val="00A96216"/>
    <w:rsid w:val="00AA44A2"/>
    <w:rsid w:val="00AA49E0"/>
    <w:rsid w:val="00AC194E"/>
    <w:rsid w:val="00AC26C7"/>
    <w:rsid w:val="00AD1458"/>
    <w:rsid w:val="00AD4C67"/>
    <w:rsid w:val="00AE5638"/>
    <w:rsid w:val="00AF3B1B"/>
    <w:rsid w:val="00AF7443"/>
    <w:rsid w:val="00B04C16"/>
    <w:rsid w:val="00B11A9F"/>
    <w:rsid w:val="00B11CB1"/>
    <w:rsid w:val="00B21597"/>
    <w:rsid w:val="00B2789D"/>
    <w:rsid w:val="00B27906"/>
    <w:rsid w:val="00B34D37"/>
    <w:rsid w:val="00B36838"/>
    <w:rsid w:val="00B600F9"/>
    <w:rsid w:val="00B665E0"/>
    <w:rsid w:val="00B72576"/>
    <w:rsid w:val="00B76175"/>
    <w:rsid w:val="00B90A67"/>
    <w:rsid w:val="00B9298C"/>
    <w:rsid w:val="00B97958"/>
    <w:rsid w:val="00BA09C6"/>
    <w:rsid w:val="00BA0C5A"/>
    <w:rsid w:val="00BB0DCA"/>
    <w:rsid w:val="00BB23FF"/>
    <w:rsid w:val="00BB3E8E"/>
    <w:rsid w:val="00BB66A8"/>
    <w:rsid w:val="00BC449E"/>
    <w:rsid w:val="00BC70F5"/>
    <w:rsid w:val="00BC7765"/>
    <w:rsid w:val="00BD2FC2"/>
    <w:rsid w:val="00BE19F1"/>
    <w:rsid w:val="00BE4C97"/>
    <w:rsid w:val="00BE6488"/>
    <w:rsid w:val="00BF276A"/>
    <w:rsid w:val="00BF2EDB"/>
    <w:rsid w:val="00BF6413"/>
    <w:rsid w:val="00C12B0F"/>
    <w:rsid w:val="00C13A0F"/>
    <w:rsid w:val="00C211E1"/>
    <w:rsid w:val="00C269C9"/>
    <w:rsid w:val="00C324B8"/>
    <w:rsid w:val="00C4732E"/>
    <w:rsid w:val="00C704F1"/>
    <w:rsid w:val="00C7519A"/>
    <w:rsid w:val="00C82D10"/>
    <w:rsid w:val="00C849C2"/>
    <w:rsid w:val="00C95344"/>
    <w:rsid w:val="00C95D20"/>
    <w:rsid w:val="00CA0108"/>
    <w:rsid w:val="00CA5CFD"/>
    <w:rsid w:val="00CB08E9"/>
    <w:rsid w:val="00CB7BF6"/>
    <w:rsid w:val="00CC07C1"/>
    <w:rsid w:val="00CD389D"/>
    <w:rsid w:val="00CD4171"/>
    <w:rsid w:val="00CF2BF4"/>
    <w:rsid w:val="00D03189"/>
    <w:rsid w:val="00D10592"/>
    <w:rsid w:val="00D1358F"/>
    <w:rsid w:val="00D13820"/>
    <w:rsid w:val="00D227B5"/>
    <w:rsid w:val="00D339AC"/>
    <w:rsid w:val="00D35172"/>
    <w:rsid w:val="00D435CC"/>
    <w:rsid w:val="00D46EE5"/>
    <w:rsid w:val="00D47AD4"/>
    <w:rsid w:val="00D56179"/>
    <w:rsid w:val="00D6708F"/>
    <w:rsid w:val="00D70696"/>
    <w:rsid w:val="00D722CC"/>
    <w:rsid w:val="00D85986"/>
    <w:rsid w:val="00DA00A3"/>
    <w:rsid w:val="00DA1D5C"/>
    <w:rsid w:val="00DA248B"/>
    <w:rsid w:val="00DB3B89"/>
    <w:rsid w:val="00DC160E"/>
    <w:rsid w:val="00DD2E08"/>
    <w:rsid w:val="00DD3D6E"/>
    <w:rsid w:val="00DD422F"/>
    <w:rsid w:val="00DE0103"/>
    <w:rsid w:val="00DE0EDB"/>
    <w:rsid w:val="00DE18EA"/>
    <w:rsid w:val="00DE3B0E"/>
    <w:rsid w:val="00DE5B81"/>
    <w:rsid w:val="00DF57D2"/>
    <w:rsid w:val="00E05AC9"/>
    <w:rsid w:val="00E25FE4"/>
    <w:rsid w:val="00E37C6A"/>
    <w:rsid w:val="00E50310"/>
    <w:rsid w:val="00E525D9"/>
    <w:rsid w:val="00E63C5F"/>
    <w:rsid w:val="00E73007"/>
    <w:rsid w:val="00E75D48"/>
    <w:rsid w:val="00E7650F"/>
    <w:rsid w:val="00E8341A"/>
    <w:rsid w:val="00EA25C6"/>
    <w:rsid w:val="00EB0D6A"/>
    <w:rsid w:val="00EB68C9"/>
    <w:rsid w:val="00EC06A0"/>
    <w:rsid w:val="00EC25DD"/>
    <w:rsid w:val="00EC2C90"/>
    <w:rsid w:val="00EC3542"/>
    <w:rsid w:val="00EC37A0"/>
    <w:rsid w:val="00EE376D"/>
    <w:rsid w:val="00F01CAE"/>
    <w:rsid w:val="00F03BFB"/>
    <w:rsid w:val="00F15A6D"/>
    <w:rsid w:val="00F411B8"/>
    <w:rsid w:val="00F51A19"/>
    <w:rsid w:val="00F57DC0"/>
    <w:rsid w:val="00F65EDE"/>
    <w:rsid w:val="00F66A6A"/>
    <w:rsid w:val="00F766D2"/>
    <w:rsid w:val="00F81067"/>
    <w:rsid w:val="00F81259"/>
    <w:rsid w:val="00F81FDA"/>
    <w:rsid w:val="00F85173"/>
    <w:rsid w:val="00F9006F"/>
    <w:rsid w:val="00FA78F4"/>
    <w:rsid w:val="00FB3B31"/>
    <w:rsid w:val="00FB4AC2"/>
    <w:rsid w:val="00FB6766"/>
    <w:rsid w:val="00FC171D"/>
    <w:rsid w:val="00FE06E2"/>
    <w:rsid w:val="00FE650F"/>
    <w:rsid w:val="00FE6B75"/>
    <w:rsid w:val="00FF1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C32D2A"/>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 w:type="character" w:styleId="CommentReference">
    <w:name w:val="annotation reference"/>
    <w:basedOn w:val="DefaultParagraphFont"/>
    <w:uiPriority w:val="99"/>
    <w:semiHidden/>
    <w:unhideWhenUsed/>
    <w:rsid w:val="007662C0"/>
    <w:rPr>
      <w:sz w:val="16"/>
      <w:szCs w:val="16"/>
    </w:rPr>
  </w:style>
  <w:style w:type="paragraph" w:styleId="CommentText">
    <w:name w:val="annotation text"/>
    <w:basedOn w:val="Normal"/>
    <w:link w:val="CommentTextChar"/>
    <w:uiPriority w:val="99"/>
    <w:semiHidden/>
    <w:unhideWhenUsed/>
    <w:rsid w:val="007662C0"/>
    <w:rPr>
      <w:sz w:val="20"/>
      <w:szCs w:val="20"/>
    </w:rPr>
  </w:style>
  <w:style w:type="character" w:customStyle="1" w:styleId="CommentTextChar">
    <w:name w:val="Comment Text Char"/>
    <w:basedOn w:val="DefaultParagraphFont"/>
    <w:link w:val="CommentText"/>
    <w:uiPriority w:val="99"/>
    <w:semiHidden/>
    <w:rsid w:val="007662C0"/>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62C0"/>
    <w:rPr>
      <w:b/>
      <w:bCs/>
    </w:rPr>
  </w:style>
  <w:style w:type="character" w:customStyle="1" w:styleId="CommentSubjectChar">
    <w:name w:val="Comment Subject Char"/>
    <w:basedOn w:val="CommentTextChar"/>
    <w:link w:val="CommentSubject"/>
    <w:uiPriority w:val="99"/>
    <w:semiHidden/>
    <w:rsid w:val="007662C0"/>
    <w:rPr>
      <w:rFonts w:ascii="Calibri" w:eastAsia="Calibri" w:hAnsi="Calibri" w:cs="Times New Roman"/>
      <w:b/>
      <w:bCs/>
      <w:sz w:val="20"/>
      <w:szCs w:val="20"/>
      <w:lang w:eastAsia="en-AU"/>
    </w:rPr>
  </w:style>
  <w:style w:type="character" w:styleId="Hyperlink">
    <w:name w:val="Hyperlink"/>
    <w:basedOn w:val="DefaultParagraphFont"/>
    <w:uiPriority w:val="99"/>
    <w:unhideWhenUsed/>
    <w:rsid w:val="00AA4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DA72ADB22772D479FB21C79C451F522" ma:contentTypeVersion="25" ma:contentTypeDescription="Create a new document." ma:contentTypeScope="" ma:versionID="5f1f64fa0e1b2b91a17a0c18634f8810">
  <xsd:schema xmlns:xsd="http://www.w3.org/2001/XMLSchema" xmlns:xs="http://www.w3.org/2001/XMLSchema" xmlns:p="http://schemas.microsoft.com/office/2006/metadata/properties" xmlns:ns1="http://schemas.microsoft.com/sharepoint/v3" xmlns:ns2="82ff9d9b-d3fc-4aad-bc42-9949ee83b815" xmlns:ns3="ac951a05-8f31-493e-adfb-3daa89b400d6" targetNamespace="http://schemas.microsoft.com/office/2006/metadata/properties" ma:root="true" ma:fieldsID="e2447a5c33128252993fecad64ac0914" ns1:_="" ns2:_="" ns3:_="">
    <xsd:import namespace="http://schemas.microsoft.com/sharepoint/v3"/>
    <xsd:import namespace="82ff9d9b-d3fc-4aad-bc42-9949ee83b815"/>
    <xsd:import namespace="ac951a05-8f31-493e-adfb-3daa89b400d6"/>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b896dbef-3ecb-4de6-adf4-2dd2c4389b81}" ma:internalName="TaxCatchAll" ma:showField="CatchAllData" ma:web="ac951a05-8f31-493e-adfb-3daa89b400d6">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b896dbef-3ecb-4de6-adf4-2dd2c4389b81}" ma:internalName="TaxCatchAllLabel" ma:readOnly="true" ma:showField="CatchAllDataLabel" ma:web="ac951a05-8f31-493e-adfb-3daa89b400d6">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951a05-8f31-493e-adfb-3daa89b400d6"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Terminals Scoping Study and MIC</TermName>
          <TermId xmlns="http://schemas.microsoft.com/office/infopath/2007/PartnerControls">c476c65b-06df-472e-b8d8-299ff79d2fe0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ac951a05-8f31-493e-adfb-3daa89b400d6">FIN10156-1857715830-38622</_dlc_DocId>
    <_dlc_DocIdUrl xmlns="ac951a05-8f31-493e-adfb-3daa89b400d6">
      <Url>https://f1.prdmgd.finance.gov.au/sites/51010156/_layouts/15/DocIdRedir.aspx?ID=FIN10156-1857715830-38622</Url>
      <Description>FIN10156-1857715830-38622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AAA9-0856-4FFA-A921-ED550D04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ac951a05-8f31-493e-adfb-3daa89b4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CF66-EB90-4865-AF73-EBD826496FDB}">
  <ds:schemaRefs>
    <ds:schemaRef ds:uri="Microsoft.SharePoint.Taxonomy.ContentTypeSync"/>
  </ds:schemaRefs>
</ds:datastoreItem>
</file>

<file path=customXml/itemProps3.xml><?xml version="1.0" encoding="utf-8"?>
<ds:datastoreItem xmlns:ds="http://schemas.openxmlformats.org/officeDocument/2006/customXml" ds:itemID="{E26766E2-E87C-4497-A849-828413583348}">
  <ds:schemaRefs>
    <ds:schemaRef ds:uri="http://schemas.microsoft.com/sharepoint/events"/>
  </ds:schemaRefs>
</ds:datastoreItem>
</file>

<file path=customXml/itemProps4.xml><?xml version="1.0" encoding="utf-8"?>
<ds:datastoreItem xmlns:ds="http://schemas.openxmlformats.org/officeDocument/2006/customXml" ds:itemID="{8DF42907-BF41-45F6-9EB0-4DC014F90755}">
  <ds:schemaRefs>
    <ds:schemaRef ds:uri="http://schemas.microsoft.com/sharepoint/v3/contenttype/forms"/>
  </ds:schemaRefs>
</ds:datastoreItem>
</file>

<file path=customXml/itemProps5.xml><?xml version="1.0" encoding="utf-8"?>
<ds:datastoreItem xmlns:ds="http://schemas.openxmlformats.org/officeDocument/2006/customXml" ds:itemID="{072FAA56-02A2-497F-9637-3C41199337B9}">
  <ds:schemaRefs>
    <ds:schemaRef ds:uri="82ff9d9b-d3fc-4aad-bc42-9949ee83b815"/>
    <ds:schemaRef ds:uri="http://purl.org/dc/elements/1.1/"/>
    <ds:schemaRef ds:uri="http://schemas.microsoft.com/office/2006/metadata/properties"/>
    <ds:schemaRef ds:uri="ac951a05-8f31-493e-adfb-3daa89b400d6"/>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FFB3035-840B-4832-80CE-56FBE707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Zheng, Remona</cp:lastModifiedBy>
  <cp:revision>3</cp:revision>
  <cp:lastPrinted>2022-10-07T00:49:00Z</cp:lastPrinted>
  <dcterms:created xsi:type="dcterms:W3CDTF">2022-10-21T02:53:00Z</dcterms:created>
  <dcterms:modified xsi:type="dcterms:W3CDTF">2022-10-24T00:10:00Z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0x010100B321FEA60C5BA343A52BC94EC00ABC9E0700CDA72ADB22772D479FB21C79C451F522</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1;#Terminals Scoping Study and MIC|c476c65b-06df-472e-b8d8-299ff79d2fe0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020c76f3-34d8-4c32-8ec9-f23fc63ef2d5</vt:lpwstr>
  </property>
</Properties>
</file>