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99D6" w14:textId="77777777" w:rsidR="00715914" w:rsidRPr="000B45F3" w:rsidRDefault="00DA186E" w:rsidP="00B05CF4">
      <w:pPr>
        <w:rPr>
          <w:sz w:val="28"/>
        </w:rPr>
      </w:pPr>
      <w:r w:rsidRPr="000B45F3">
        <w:rPr>
          <w:noProof/>
          <w:lang w:eastAsia="en-AU"/>
        </w:rPr>
        <w:drawing>
          <wp:inline distT="0" distB="0" distL="0" distR="0" wp14:anchorId="27590DA6" wp14:editId="1E6D5B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7590" w14:textId="77777777" w:rsidR="00715914" w:rsidRPr="000B45F3" w:rsidRDefault="00715914" w:rsidP="00715914">
      <w:pPr>
        <w:rPr>
          <w:sz w:val="19"/>
        </w:rPr>
      </w:pPr>
    </w:p>
    <w:p w14:paraId="648A18CF" w14:textId="77777777" w:rsidR="00715914" w:rsidRPr="000B45F3" w:rsidRDefault="00032296" w:rsidP="00715914">
      <w:pPr>
        <w:pStyle w:val="ShortT"/>
      </w:pPr>
      <w:r w:rsidRPr="000B45F3">
        <w:t xml:space="preserve">Offshore Electricity Infrastructure (Regulatory Levies) </w:t>
      </w:r>
      <w:r w:rsidR="00654717" w:rsidRPr="000B45F3">
        <w:t>Regulations 2</w:t>
      </w:r>
      <w:r w:rsidRPr="000B45F3">
        <w:t>022</w:t>
      </w:r>
    </w:p>
    <w:p w14:paraId="20E6B503" w14:textId="77777777" w:rsidR="000D4CF4" w:rsidRPr="000B45F3" w:rsidRDefault="000D4CF4" w:rsidP="00B70E94">
      <w:pPr>
        <w:pStyle w:val="SignCoverPageStart"/>
        <w:spacing w:before="240"/>
        <w:rPr>
          <w:szCs w:val="22"/>
        </w:rPr>
      </w:pPr>
      <w:r w:rsidRPr="000B45F3">
        <w:rPr>
          <w:szCs w:val="22"/>
        </w:rPr>
        <w:t>I, General the Honourable David Hurley AC DSC (</w:t>
      </w:r>
      <w:proofErr w:type="spellStart"/>
      <w:r w:rsidRPr="000B45F3">
        <w:rPr>
          <w:szCs w:val="22"/>
        </w:rPr>
        <w:t>Retd</w:t>
      </w:r>
      <w:proofErr w:type="spellEnd"/>
      <w:r w:rsidRPr="000B45F3">
        <w:rPr>
          <w:szCs w:val="22"/>
        </w:rPr>
        <w:t>), Governor</w:t>
      </w:r>
      <w:r w:rsidR="000B45F3">
        <w:rPr>
          <w:szCs w:val="22"/>
        </w:rPr>
        <w:noBreakHyphen/>
      </w:r>
      <w:r w:rsidRPr="000B45F3">
        <w:rPr>
          <w:szCs w:val="22"/>
        </w:rPr>
        <w:t>General of the Commonwealth of Australia, acting with the advice of the Federal Executive Council, make the following regulations.</w:t>
      </w:r>
    </w:p>
    <w:p w14:paraId="4DBAF893" w14:textId="413F15BA" w:rsidR="000D4CF4" w:rsidRPr="000B45F3" w:rsidRDefault="00687A78" w:rsidP="00B70E94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27 October </w:t>
      </w:r>
      <w:r w:rsidR="000D4CF4" w:rsidRPr="000B45F3">
        <w:rPr>
          <w:szCs w:val="22"/>
        </w:rPr>
        <w:fldChar w:fldCharType="begin"/>
      </w:r>
      <w:r w:rsidR="000D4CF4" w:rsidRPr="000B45F3">
        <w:rPr>
          <w:szCs w:val="22"/>
        </w:rPr>
        <w:instrText xml:space="preserve"> DOCPROPERTY  DateMade </w:instrText>
      </w:r>
      <w:r w:rsidR="000D4CF4" w:rsidRPr="000B45F3">
        <w:rPr>
          <w:szCs w:val="22"/>
        </w:rPr>
        <w:fldChar w:fldCharType="separate"/>
      </w:r>
      <w:r w:rsidR="00D77A21">
        <w:rPr>
          <w:szCs w:val="22"/>
        </w:rPr>
        <w:t>2022</w:t>
      </w:r>
      <w:r w:rsidR="000D4CF4" w:rsidRPr="000B45F3">
        <w:rPr>
          <w:szCs w:val="22"/>
        </w:rPr>
        <w:fldChar w:fldCharType="end"/>
      </w:r>
    </w:p>
    <w:p w14:paraId="18DEF9FE" w14:textId="77777777" w:rsidR="000D4CF4" w:rsidRPr="000B45F3" w:rsidRDefault="000D4CF4" w:rsidP="00B70E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B45F3">
        <w:rPr>
          <w:szCs w:val="22"/>
        </w:rPr>
        <w:t>David Hurley</w:t>
      </w:r>
    </w:p>
    <w:p w14:paraId="3D294FE7" w14:textId="77777777" w:rsidR="000D4CF4" w:rsidRPr="000B45F3" w:rsidRDefault="000D4CF4" w:rsidP="00B70E9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45F3">
        <w:rPr>
          <w:szCs w:val="22"/>
        </w:rPr>
        <w:t>Governor</w:t>
      </w:r>
      <w:r w:rsidR="000B45F3">
        <w:rPr>
          <w:szCs w:val="22"/>
        </w:rPr>
        <w:noBreakHyphen/>
      </w:r>
      <w:r w:rsidRPr="000B45F3">
        <w:rPr>
          <w:szCs w:val="22"/>
        </w:rPr>
        <w:t>General</w:t>
      </w:r>
    </w:p>
    <w:p w14:paraId="74EB2775" w14:textId="77777777" w:rsidR="000D4CF4" w:rsidRPr="000B45F3" w:rsidRDefault="000D4CF4" w:rsidP="00B70E9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B45F3">
        <w:rPr>
          <w:szCs w:val="22"/>
        </w:rPr>
        <w:t>By His Excellency’s Command</w:t>
      </w:r>
    </w:p>
    <w:p w14:paraId="7C55ABD6" w14:textId="77777777" w:rsidR="000D4CF4" w:rsidRPr="000B45F3" w:rsidRDefault="000D4CF4" w:rsidP="00B70E9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B45F3">
        <w:rPr>
          <w:szCs w:val="22"/>
        </w:rPr>
        <w:t>Chris Bowen</w:t>
      </w:r>
    </w:p>
    <w:p w14:paraId="7DAE2627" w14:textId="77777777" w:rsidR="000D4CF4" w:rsidRPr="000B45F3" w:rsidRDefault="000D4CF4" w:rsidP="00B70E94">
      <w:pPr>
        <w:pStyle w:val="SignCoverPageEnd"/>
        <w:rPr>
          <w:szCs w:val="22"/>
        </w:rPr>
      </w:pPr>
      <w:r w:rsidRPr="000B45F3">
        <w:rPr>
          <w:szCs w:val="22"/>
        </w:rPr>
        <w:t>Minister for Climate Change and Energy</w:t>
      </w:r>
    </w:p>
    <w:p w14:paraId="1CFA9849" w14:textId="77777777" w:rsidR="000D4CF4" w:rsidRPr="000B45F3" w:rsidRDefault="000D4CF4" w:rsidP="00B70E94"/>
    <w:p w14:paraId="54B0F492" w14:textId="77777777" w:rsidR="000D4CF4" w:rsidRPr="000B45F3" w:rsidRDefault="000D4CF4" w:rsidP="00B70E94"/>
    <w:p w14:paraId="23A36CE4" w14:textId="77777777" w:rsidR="000D4CF4" w:rsidRPr="000B45F3" w:rsidRDefault="000D4CF4" w:rsidP="00B70E94"/>
    <w:p w14:paraId="4F95373A" w14:textId="77777777" w:rsidR="00715914" w:rsidRPr="000B45F3" w:rsidRDefault="00715914" w:rsidP="00715914">
      <w:pPr>
        <w:pStyle w:val="Header"/>
        <w:tabs>
          <w:tab w:val="clear" w:pos="4150"/>
          <w:tab w:val="clear" w:pos="8307"/>
        </w:tabs>
      </w:pPr>
      <w:r w:rsidRPr="000B45F3">
        <w:rPr>
          <w:rStyle w:val="CharChapNo"/>
        </w:rPr>
        <w:t xml:space="preserve"> </w:t>
      </w:r>
      <w:r w:rsidRPr="000B45F3">
        <w:rPr>
          <w:rStyle w:val="CharChapText"/>
        </w:rPr>
        <w:t xml:space="preserve"> </w:t>
      </w:r>
    </w:p>
    <w:p w14:paraId="2A748217" w14:textId="77777777" w:rsidR="00715914" w:rsidRPr="000B45F3" w:rsidRDefault="00715914" w:rsidP="00715914">
      <w:pPr>
        <w:pStyle w:val="Header"/>
        <w:tabs>
          <w:tab w:val="clear" w:pos="4150"/>
          <w:tab w:val="clear" w:pos="8307"/>
        </w:tabs>
      </w:pPr>
      <w:r w:rsidRPr="000B45F3">
        <w:rPr>
          <w:rStyle w:val="CharPartNo"/>
        </w:rPr>
        <w:t xml:space="preserve"> </w:t>
      </w:r>
      <w:r w:rsidRPr="000B45F3">
        <w:rPr>
          <w:rStyle w:val="CharPartText"/>
        </w:rPr>
        <w:t xml:space="preserve"> </w:t>
      </w:r>
    </w:p>
    <w:p w14:paraId="52AF73E9" w14:textId="77777777" w:rsidR="00715914" w:rsidRPr="000B45F3" w:rsidRDefault="00715914" w:rsidP="00715914">
      <w:pPr>
        <w:pStyle w:val="Header"/>
        <w:tabs>
          <w:tab w:val="clear" w:pos="4150"/>
          <w:tab w:val="clear" w:pos="8307"/>
        </w:tabs>
      </w:pPr>
      <w:r w:rsidRPr="000B45F3">
        <w:rPr>
          <w:rStyle w:val="CharDivNo"/>
        </w:rPr>
        <w:t xml:space="preserve"> </w:t>
      </w:r>
      <w:r w:rsidRPr="000B45F3">
        <w:rPr>
          <w:rStyle w:val="CharDivText"/>
        </w:rPr>
        <w:t xml:space="preserve"> </w:t>
      </w:r>
    </w:p>
    <w:p w14:paraId="2FFE9D65" w14:textId="77777777" w:rsidR="00715914" w:rsidRPr="000B45F3" w:rsidRDefault="00715914" w:rsidP="00715914">
      <w:pPr>
        <w:sectPr w:rsidR="00715914" w:rsidRPr="000B45F3" w:rsidSect="00567F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5E8E6CF" w14:textId="77777777" w:rsidR="00F67BCA" w:rsidRPr="000B45F3" w:rsidRDefault="00715914" w:rsidP="00715914">
      <w:pPr>
        <w:outlineLvl w:val="0"/>
        <w:rPr>
          <w:sz w:val="36"/>
        </w:rPr>
      </w:pPr>
      <w:r w:rsidRPr="000B45F3">
        <w:rPr>
          <w:sz w:val="36"/>
        </w:rPr>
        <w:lastRenderedPageBreak/>
        <w:t>Contents</w:t>
      </w:r>
    </w:p>
    <w:p w14:paraId="62EB791A" w14:textId="2C2394E7" w:rsidR="00264568" w:rsidRPr="000B45F3" w:rsidRDefault="002645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5F3">
        <w:fldChar w:fldCharType="begin"/>
      </w:r>
      <w:r w:rsidRPr="000B45F3">
        <w:instrText xml:space="preserve"> TOC \o "1-9" </w:instrText>
      </w:r>
      <w:r w:rsidRPr="000B45F3">
        <w:fldChar w:fldCharType="separate"/>
      </w:r>
      <w:r w:rsidRPr="000B45F3">
        <w:rPr>
          <w:noProof/>
        </w:rPr>
        <w:t>Part 1—Preliminary</w:t>
      </w:r>
      <w:r w:rsidRPr="000B45F3">
        <w:rPr>
          <w:b w:val="0"/>
          <w:noProof/>
          <w:sz w:val="18"/>
        </w:rPr>
        <w:tab/>
      </w:r>
      <w:r w:rsidRPr="000B45F3">
        <w:rPr>
          <w:b w:val="0"/>
          <w:noProof/>
          <w:sz w:val="18"/>
        </w:rPr>
        <w:fldChar w:fldCharType="begin"/>
      </w:r>
      <w:r w:rsidRPr="000B45F3">
        <w:rPr>
          <w:b w:val="0"/>
          <w:noProof/>
          <w:sz w:val="18"/>
        </w:rPr>
        <w:instrText xml:space="preserve"> PAGEREF _Toc109665130 \h </w:instrText>
      </w:r>
      <w:r w:rsidRPr="000B45F3">
        <w:rPr>
          <w:b w:val="0"/>
          <w:noProof/>
          <w:sz w:val="18"/>
        </w:rPr>
      </w:r>
      <w:r w:rsidRPr="000B45F3">
        <w:rPr>
          <w:b w:val="0"/>
          <w:noProof/>
          <w:sz w:val="18"/>
        </w:rPr>
        <w:fldChar w:fldCharType="separate"/>
      </w:r>
      <w:r w:rsidR="00D77A21">
        <w:rPr>
          <w:b w:val="0"/>
          <w:noProof/>
          <w:sz w:val="18"/>
        </w:rPr>
        <w:t>1</w:t>
      </w:r>
      <w:r w:rsidRPr="000B45F3">
        <w:rPr>
          <w:b w:val="0"/>
          <w:noProof/>
          <w:sz w:val="18"/>
        </w:rPr>
        <w:fldChar w:fldCharType="end"/>
      </w:r>
    </w:p>
    <w:p w14:paraId="7E91B57B" w14:textId="5F427347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1</w:t>
      </w:r>
      <w:r w:rsidRPr="000B45F3">
        <w:rPr>
          <w:noProof/>
        </w:rPr>
        <w:tab/>
        <w:t>Name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_Toc109665131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1</w:t>
      </w:r>
      <w:r w:rsidRPr="000B45F3">
        <w:rPr>
          <w:noProof/>
        </w:rPr>
        <w:fldChar w:fldCharType="end"/>
      </w:r>
    </w:p>
    <w:p w14:paraId="36EC2420" w14:textId="16DE860F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2</w:t>
      </w:r>
      <w:r w:rsidRPr="000B45F3">
        <w:rPr>
          <w:noProof/>
        </w:rPr>
        <w:tab/>
        <w:t>Commencement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_Toc109665132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1</w:t>
      </w:r>
      <w:r w:rsidRPr="000B45F3">
        <w:rPr>
          <w:noProof/>
        </w:rPr>
        <w:fldChar w:fldCharType="end"/>
      </w:r>
    </w:p>
    <w:p w14:paraId="1C329D98" w14:textId="62BBCCE7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3</w:t>
      </w:r>
      <w:r w:rsidRPr="000B45F3">
        <w:rPr>
          <w:noProof/>
        </w:rPr>
        <w:tab/>
        <w:t>Authority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_Toc109665133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1</w:t>
      </w:r>
      <w:r w:rsidRPr="000B45F3">
        <w:rPr>
          <w:noProof/>
        </w:rPr>
        <w:fldChar w:fldCharType="end"/>
      </w:r>
    </w:p>
    <w:p w14:paraId="5CD48C03" w14:textId="6666480B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4</w:t>
      </w:r>
      <w:r w:rsidRPr="000B45F3">
        <w:rPr>
          <w:noProof/>
        </w:rPr>
        <w:tab/>
        <w:t>Definitions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_Toc109665134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1</w:t>
      </w:r>
      <w:r w:rsidRPr="000B45F3">
        <w:rPr>
          <w:noProof/>
        </w:rPr>
        <w:fldChar w:fldCharType="end"/>
      </w:r>
    </w:p>
    <w:p w14:paraId="610C26FB" w14:textId="3A1D3342" w:rsidR="00264568" w:rsidRPr="000B45F3" w:rsidRDefault="002645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5F3">
        <w:rPr>
          <w:noProof/>
        </w:rPr>
        <w:t>Part 2—Amounts of levy</w:t>
      </w:r>
      <w:r w:rsidRPr="000B45F3">
        <w:rPr>
          <w:b w:val="0"/>
          <w:noProof/>
          <w:sz w:val="18"/>
        </w:rPr>
        <w:tab/>
      </w:r>
      <w:r w:rsidRPr="000B45F3">
        <w:rPr>
          <w:b w:val="0"/>
          <w:noProof/>
          <w:sz w:val="18"/>
        </w:rPr>
        <w:fldChar w:fldCharType="begin"/>
      </w:r>
      <w:r w:rsidRPr="000B45F3">
        <w:rPr>
          <w:b w:val="0"/>
          <w:noProof/>
          <w:sz w:val="18"/>
        </w:rPr>
        <w:instrText xml:space="preserve"> PAGEREF _Toc109665135 \h </w:instrText>
      </w:r>
      <w:r w:rsidRPr="000B45F3">
        <w:rPr>
          <w:b w:val="0"/>
          <w:noProof/>
          <w:sz w:val="18"/>
        </w:rPr>
      </w:r>
      <w:r w:rsidRPr="000B45F3">
        <w:rPr>
          <w:b w:val="0"/>
          <w:noProof/>
          <w:sz w:val="18"/>
        </w:rPr>
        <w:fldChar w:fldCharType="separate"/>
      </w:r>
      <w:r w:rsidR="00D77A21">
        <w:rPr>
          <w:b w:val="0"/>
          <w:noProof/>
          <w:sz w:val="18"/>
        </w:rPr>
        <w:t>3</w:t>
      </w:r>
      <w:r w:rsidRPr="000B45F3">
        <w:rPr>
          <w:b w:val="0"/>
          <w:noProof/>
          <w:sz w:val="18"/>
        </w:rPr>
        <w:fldChar w:fldCharType="end"/>
      </w:r>
    </w:p>
    <w:p w14:paraId="2A40477F" w14:textId="0BC97D5D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5</w:t>
      </w:r>
      <w:r w:rsidRPr="000B45F3">
        <w:rPr>
          <w:noProof/>
        </w:rPr>
        <w:tab/>
        <w:t>Levies imposed on holders of feasibility licences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_Toc109665136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3</w:t>
      </w:r>
      <w:r w:rsidRPr="000B45F3">
        <w:rPr>
          <w:noProof/>
        </w:rPr>
        <w:fldChar w:fldCharType="end"/>
      </w:r>
    </w:p>
    <w:p w14:paraId="7F03A495" w14:textId="2F7D607A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6</w:t>
      </w:r>
      <w:r w:rsidRPr="000B45F3">
        <w:rPr>
          <w:noProof/>
        </w:rPr>
        <w:tab/>
        <w:t>Levies imposed on holders of commercial licences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_Toc109665137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3</w:t>
      </w:r>
      <w:r w:rsidRPr="000B45F3">
        <w:rPr>
          <w:noProof/>
        </w:rPr>
        <w:fldChar w:fldCharType="end"/>
      </w:r>
    </w:p>
    <w:p w14:paraId="49CDD2FA" w14:textId="0A82D5D1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7</w:t>
      </w:r>
      <w:r w:rsidRPr="000B45F3">
        <w:rPr>
          <w:noProof/>
        </w:rPr>
        <w:tab/>
        <w:t>Levies imposed on holders of research and demonstration licences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_Toc109665138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4</w:t>
      </w:r>
      <w:r w:rsidRPr="000B45F3">
        <w:rPr>
          <w:noProof/>
        </w:rPr>
        <w:fldChar w:fldCharType="end"/>
      </w:r>
    </w:p>
    <w:p w14:paraId="78239B8E" w14:textId="456AD3BF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8</w:t>
      </w:r>
      <w:r w:rsidRPr="000B45F3">
        <w:rPr>
          <w:noProof/>
        </w:rPr>
        <w:tab/>
        <w:t>Levies imposed on holders of transmission and infrastructure licences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_Toc109665139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4</w:t>
      </w:r>
      <w:r w:rsidRPr="000B45F3">
        <w:rPr>
          <w:noProof/>
        </w:rPr>
        <w:fldChar w:fldCharType="end"/>
      </w:r>
    </w:p>
    <w:p w14:paraId="09139585" w14:textId="6BEE6C4F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9</w:t>
      </w:r>
      <w:r w:rsidRPr="000B45F3">
        <w:rPr>
          <w:noProof/>
        </w:rPr>
        <w:tab/>
        <w:t>Levies are imposed at start of period, and for full period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_Toc109665140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5</w:t>
      </w:r>
      <w:r w:rsidRPr="000B45F3">
        <w:rPr>
          <w:noProof/>
        </w:rPr>
        <w:fldChar w:fldCharType="end"/>
      </w:r>
    </w:p>
    <w:p w14:paraId="4F5BB767" w14:textId="7A8BFDCD" w:rsidR="00264568" w:rsidRPr="000B45F3" w:rsidRDefault="002645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B45F3">
        <w:rPr>
          <w:noProof/>
        </w:rPr>
        <w:t>Part 3—Adjusting levies</w:t>
      </w:r>
      <w:r w:rsidRPr="000B45F3">
        <w:rPr>
          <w:b w:val="0"/>
          <w:noProof/>
          <w:sz w:val="18"/>
        </w:rPr>
        <w:tab/>
      </w:r>
      <w:r w:rsidRPr="000B45F3">
        <w:rPr>
          <w:b w:val="0"/>
          <w:noProof/>
          <w:sz w:val="18"/>
        </w:rPr>
        <w:fldChar w:fldCharType="begin"/>
      </w:r>
      <w:r w:rsidRPr="000B45F3">
        <w:rPr>
          <w:b w:val="0"/>
          <w:noProof/>
          <w:sz w:val="18"/>
        </w:rPr>
        <w:instrText xml:space="preserve"> PAGEREF _Toc109665141 \h </w:instrText>
      </w:r>
      <w:r w:rsidRPr="000B45F3">
        <w:rPr>
          <w:b w:val="0"/>
          <w:noProof/>
          <w:sz w:val="18"/>
        </w:rPr>
      </w:r>
      <w:r w:rsidRPr="000B45F3">
        <w:rPr>
          <w:b w:val="0"/>
          <w:noProof/>
          <w:sz w:val="18"/>
        </w:rPr>
        <w:fldChar w:fldCharType="separate"/>
      </w:r>
      <w:r w:rsidR="00D77A21">
        <w:rPr>
          <w:b w:val="0"/>
          <w:noProof/>
          <w:sz w:val="18"/>
        </w:rPr>
        <w:t>6</w:t>
      </w:r>
      <w:r w:rsidRPr="000B45F3">
        <w:rPr>
          <w:b w:val="0"/>
          <w:noProof/>
          <w:sz w:val="18"/>
        </w:rPr>
        <w:fldChar w:fldCharType="end"/>
      </w:r>
    </w:p>
    <w:p w14:paraId="0C97CB14" w14:textId="49C975AA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10</w:t>
      </w:r>
      <w:r w:rsidRPr="000B45F3">
        <w:rPr>
          <w:noProof/>
        </w:rPr>
        <w:tab/>
        <w:t>Licences that cease to be in effect during payment periods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_Toc109665142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6</w:t>
      </w:r>
      <w:r w:rsidRPr="000B45F3">
        <w:rPr>
          <w:noProof/>
        </w:rPr>
        <w:fldChar w:fldCharType="end"/>
      </w:r>
    </w:p>
    <w:p w14:paraId="36567DE1" w14:textId="1D9C6702" w:rsidR="00264568" w:rsidRPr="000B45F3" w:rsidRDefault="002645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B45F3">
        <w:rPr>
          <w:noProof/>
        </w:rPr>
        <w:t>11</w:t>
      </w:r>
      <w:r w:rsidRPr="000B45F3">
        <w:rPr>
          <w:noProof/>
        </w:rPr>
        <w:tab/>
        <w:t>Parts of licence areas that become vacated areas during payment periods</w:t>
      </w:r>
      <w:r w:rsidRPr="000B45F3">
        <w:rPr>
          <w:noProof/>
        </w:rPr>
        <w:tab/>
      </w:r>
      <w:r w:rsidRPr="000B45F3">
        <w:rPr>
          <w:noProof/>
        </w:rPr>
        <w:fldChar w:fldCharType="begin"/>
      </w:r>
      <w:r w:rsidRPr="000B45F3">
        <w:rPr>
          <w:noProof/>
        </w:rPr>
        <w:instrText xml:space="preserve"> PAGEREF _Toc109665143 \h </w:instrText>
      </w:r>
      <w:r w:rsidRPr="000B45F3">
        <w:rPr>
          <w:noProof/>
        </w:rPr>
      </w:r>
      <w:r w:rsidRPr="000B45F3">
        <w:rPr>
          <w:noProof/>
        </w:rPr>
        <w:fldChar w:fldCharType="separate"/>
      </w:r>
      <w:r w:rsidR="00D77A21">
        <w:rPr>
          <w:noProof/>
        </w:rPr>
        <w:t>6</w:t>
      </w:r>
      <w:r w:rsidRPr="000B45F3">
        <w:rPr>
          <w:noProof/>
        </w:rPr>
        <w:fldChar w:fldCharType="end"/>
      </w:r>
    </w:p>
    <w:p w14:paraId="2F2802BF" w14:textId="77777777" w:rsidR="00670EA1" w:rsidRPr="000B45F3" w:rsidRDefault="00264568" w:rsidP="00715914">
      <w:r w:rsidRPr="000B45F3">
        <w:fldChar w:fldCharType="end"/>
      </w:r>
    </w:p>
    <w:p w14:paraId="2CFE2358" w14:textId="77777777" w:rsidR="00670EA1" w:rsidRPr="000B45F3" w:rsidRDefault="00670EA1" w:rsidP="00715914">
      <w:pPr>
        <w:sectPr w:rsidR="00670EA1" w:rsidRPr="000B45F3" w:rsidSect="00567F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9EA529" w14:textId="77777777" w:rsidR="00B8608A" w:rsidRPr="000B45F3" w:rsidRDefault="00FA06BE" w:rsidP="00B8608A">
      <w:pPr>
        <w:pStyle w:val="ActHead2"/>
        <w:pageBreakBefore/>
      </w:pPr>
      <w:bookmarkStart w:id="0" w:name="_Toc109665130"/>
      <w:r w:rsidRPr="000B45F3">
        <w:rPr>
          <w:rStyle w:val="CharPartNo"/>
        </w:rPr>
        <w:lastRenderedPageBreak/>
        <w:t>Part 1</w:t>
      </w:r>
      <w:r w:rsidR="00B8608A" w:rsidRPr="000B45F3">
        <w:t>—</w:t>
      </w:r>
      <w:r w:rsidR="00B8608A" w:rsidRPr="000B45F3">
        <w:rPr>
          <w:rStyle w:val="CharPartText"/>
        </w:rPr>
        <w:t>Preliminary</w:t>
      </w:r>
      <w:bookmarkEnd w:id="0"/>
    </w:p>
    <w:p w14:paraId="5D32E697" w14:textId="77777777" w:rsidR="00B8608A" w:rsidRPr="000B45F3" w:rsidRDefault="00B8608A" w:rsidP="00B8608A">
      <w:pPr>
        <w:pStyle w:val="Header"/>
      </w:pPr>
      <w:r w:rsidRPr="000B45F3">
        <w:rPr>
          <w:rStyle w:val="CharDivNo"/>
        </w:rPr>
        <w:t xml:space="preserve"> </w:t>
      </w:r>
      <w:r w:rsidRPr="000B45F3">
        <w:rPr>
          <w:rStyle w:val="CharDivText"/>
        </w:rPr>
        <w:t xml:space="preserve"> </w:t>
      </w:r>
    </w:p>
    <w:p w14:paraId="04C520C0" w14:textId="77777777" w:rsidR="00715914" w:rsidRPr="000B45F3" w:rsidRDefault="0009239D" w:rsidP="00715914">
      <w:pPr>
        <w:pStyle w:val="ActHead5"/>
      </w:pPr>
      <w:bookmarkStart w:id="1" w:name="_Toc109665131"/>
      <w:r w:rsidRPr="000B45F3">
        <w:rPr>
          <w:rStyle w:val="CharSectno"/>
        </w:rPr>
        <w:t>1</w:t>
      </w:r>
      <w:r w:rsidR="00715914" w:rsidRPr="000B45F3">
        <w:t xml:space="preserve">  </w:t>
      </w:r>
      <w:r w:rsidR="00CE493D" w:rsidRPr="000B45F3">
        <w:t>Name</w:t>
      </w:r>
      <w:bookmarkEnd w:id="1"/>
    </w:p>
    <w:p w14:paraId="19861CD3" w14:textId="77777777" w:rsidR="00715914" w:rsidRPr="000B45F3" w:rsidRDefault="00715914" w:rsidP="00715914">
      <w:pPr>
        <w:pStyle w:val="subsection"/>
      </w:pPr>
      <w:r w:rsidRPr="000B45F3">
        <w:tab/>
      </w:r>
      <w:r w:rsidRPr="000B45F3">
        <w:tab/>
      </w:r>
      <w:r w:rsidR="00032296" w:rsidRPr="000B45F3">
        <w:t>This instrument is</w:t>
      </w:r>
      <w:r w:rsidR="00CE493D" w:rsidRPr="000B45F3">
        <w:t xml:space="preserve"> the </w:t>
      </w:r>
      <w:bookmarkStart w:id="2" w:name="_Hlk109740744"/>
      <w:r w:rsidR="00654717" w:rsidRPr="000B45F3">
        <w:rPr>
          <w:i/>
          <w:noProof/>
        </w:rPr>
        <w:t>Offshore Electricity Infrastructure (Regulatory Levies) Regulations 2022</w:t>
      </w:r>
      <w:bookmarkEnd w:id="2"/>
      <w:r w:rsidRPr="000B45F3">
        <w:t>.</w:t>
      </w:r>
    </w:p>
    <w:p w14:paraId="490C9189" w14:textId="77777777" w:rsidR="00715914" w:rsidRPr="000B45F3" w:rsidRDefault="0009239D" w:rsidP="00715914">
      <w:pPr>
        <w:pStyle w:val="ActHead5"/>
      </w:pPr>
      <w:bookmarkStart w:id="3" w:name="_Toc109665132"/>
      <w:r w:rsidRPr="000B45F3">
        <w:rPr>
          <w:rStyle w:val="CharSectno"/>
        </w:rPr>
        <w:t>2</w:t>
      </w:r>
      <w:r w:rsidR="00715914" w:rsidRPr="000B45F3">
        <w:t xml:space="preserve">  Commencement</w:t>
      </w:r>
      <w:bookmarkEnd w:id="3"/>
    </w:p>
    <w:p w14:paraId="0238082B" w14:textId="77777777" w:rsidR="00AE3652" w:rsidRPr="000B45F3" w:rsidRDefault="00807626" w:rsidP="00AE3652">
      <w:pPr>
        <w:pStyle w:val="subsection"/>
      </w:pPr>
      <w:r w:rsidRPr="000B45F3">
        <w:tab/>
      </w:r>
      <w:r w:rsidR="00AE3652" w:rsidRPr="000B45F3">
        <w:t>(1)</w:t>
      </w:r>
      <w:r w:rsidR="00AE3652" w:rsidRPr="000B45F3">
        <w:tab/>
        <w:t xml:space="preserve">Each provision of </w:t>
      </w:r>
      <w:r w:rsidR="00032296" w:rsidRPr="000B45F3">
        <w:t>this instrument</w:t>
      </w:r>
      <w:r w:rsidR="00AE3652" w:rsidRPr="000B45F3">
        <w:t xml:space="preserve"> specified in column 1 of the table commences, or is taken to have commenced, in accordance with column 2 of the table. Any other statement in column 2 has effect according to its terms.</w:t>
      </w:r>
    </w:p>
    <w:p w14:paraId="3A9E1377" w14:textId="77777777" w:rsidR="00AE3652" w:rsidRPr="000B45F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B45F3" w14:paraId="6BA08A36" w14:textId="77777777" w:rsidTr="0053362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5D9EC3" w14:textId="77777777" w:rsidR="00AE3652" w:rsidRPr="000B45F3" w:rsidRDefault="00AE3652" w:rsidP="00533623">
            <w:pPr>
              <w:pStyle w:val="TableHeading"/>
            </w:pPr>
            <w:r w:rsidRPr="000B45F3">
              <w:t>Commencement information</w:t>
            </w:r>
          </w:p>
        </w:tc>
      </w:tr>
      <w:tr w:rsidR="00AE3652" w:rsidRPr="000B45F3" w14:paraId="5AA9B319" w14:textId="77777777" w:rsidTr="005336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E31EA0" w14:textId="77777777" w:rsidR="00AE3652" w:rsidRPr="000B45F3" w:rsidRDefault="00AE3652" w:rsidP="00533623">
            <w:pPr>
              <w:pStyle w:val="TableHeading"/>
            </w:pPr>
            <w:r w:rsidRPr="000B45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1A8DE9" w14:textId="77777777" w:rsidR="00AE3652" w:rsidRPr="000B45F3" w:rsidRDefault="00AE3652" w:rsidP="00533623">
            <w:pPr>
              <w:pStyle w:val="TableHeading"/>
            </w:pPr>
            <w:r w:rsidRPr="000B45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C2D671" w14:textId="77777777" w:rsidR="00AE3652" w:rsidRPr="000B45F3" w:rsidRDefault="00AE3652" w:rsidP="00533623">
            <w:pPr>
              <w:pStyle w:val="TableHeading"/>
            </w:pPr>
            <w:r w:rsidRPr="000B45F3">
              <w:t>Column 3</w:t>
            </w:r>
          </w:p>
        </w:tc>
      </w:tr>
      <w:tr w:rsidR="00AE3652" w:rsidRPr="000B45F3" w14:paraId="527DD6D3" w14:textId="77777777" w:rsidTr="0053362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489E46" w14:textId="77777777" w:rsidR="00AE3652" w:rsidRPr="000B45F3" w:rsidRDefault="00AE3652" w:rsidP="00533623">
            <w:pPr>
              <w:pStyle w:val="TableHeading"/>
            </w:pPr>
            <w:r w:rsidRPr="000B45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CB540" w14:textId="77777777" w:rsidR="00AE3652" w:rsidRPr="000B45F3" w:rsidRDefault="00AE3652" w:rsidP="00533623">
            <w:pPr>
              <w:pStyle w:val="TableHeading"/>
            </w:pPr>
            <w:r w:rsidRPr="000B45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F23F93" w14:textId="77777777" w:rsidR="00AE3652" w:rsidRPr="000B45F3" w:rsidRDefault="00AE3652" w:rsidP="00533623">
            <w:pPr>
              <w:pStyle w:val="TableHeading"/>
            </w:pPr>
            <w:r w:rsidRPr="000B45F3">
              <w:t>Date/Details</w:t>
            </w:r>
          </w:p>
        </w:tc>
      </w:tr>
      <w:tr w:rsidR="00AE3652" w:rsidRPr="000B45F3" w14:paraId="78D36B07" w14:textId="77777777" w:rsidTr="0053362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A73033" w14:textId="77777777" w:rsidR="00AE3652" w:rsidRPr="000B45F3" w:rsidRDefault="00AE3652" w:rsidP="00533623">
            <w:pPr>
              <w:pStyle w:val="Tabletext"/>
            </w:pPr>
            <w:r w:rsidRPr="000B45F3">
              <w:t xml:space="preserve">1.  The whole of </w:t>
            </w:r>
            <w:r w:rsidR="00032296" w:rsidRPr="000B45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F0DC4E" w14:textId="77777777" w:rsidR="00AE3652" w:rsidRPr="000B45F3" w:rsidRDefault="00160FD2" w:rsidP="00160FD2">
            <w:pPr>
              <w:pStyle w:val="Tabletext"/>
            </w:pPr>
            <w:r w:rsidRPr="000B45F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09CFC" w14:textId="656E1965" w:rsidR="00AE3652" w:rsidRPr="000B45F3" w:rsidRDefault="00657C8C" w:rsidP="00533623">
            <w:pPr>
              <w:pStyle w:val="Tabletext"/>
            </w:pPr>
            <w:r>
              <w:t>1 November 2022</w:t>
            </w:r>
          </w:p>
        </w:tc>
      </w:tr>
    </w:tbl>
    <w:p w14:paraId="61BDD291" w14:textId="77777777" w:rsidR="00AE3652" w:rsidRPr="000B45F3" w:rsidRDefault="00AE3652" w:rsidP="00AE3652">
      <w:pPr>
        <w:pStyle w:val="notetext"/>
      </w:pPr>
      <w:r w:rsidRPr="000B45F3">
        <w:rPr>
          <w:snapToGrid w:val="0"/>
          <w:lang w:eastAsia="en-US"/>
        </w:rPr>
        <w:t>Note:</w:t>
      </w:r>
      <w:r w:rsidRPr="000B45F3">
        <w:rPr>
          <w:snapToGrid w:val="0"/>
          <w:lang w:eastAsia="en-US"/>
        </w:rPr>
        <w:tab/>
        <w:t xml:space="preserve">This table relates only to the provisions of </w:t>
      </w:r>
      <w:r w:rsidR="00032296" w:rsidRPr="000B45F3">
        <w:rPr>
          <w:snapToGrid w:val="0"/>
          <w:lang w:eastAsia="en-US"/>
        </w:rPr>
        <w:t>this instrument</w:t>
      </w:r>
      <w:r w:rsidRPr="000B45F3">
        <w:t xml:space="preserve"> </w:t>
      </w:r>
      <w:r w:rsidRPr="000B45F3">
        <w:rPr>
          <w:snapToGrid w:val="0"/>
          <w:lang w:eastAsia="en-US"/>
        </w:rPr>
        <w:t>as originally made. It will not be amended to deal with any later amendme</w:t>
      </w:r>
      <w:bookmarkStart w:id="4" w:name="_GoBack"/>
      <w:bookmarkEnd w:id="4"/>
      <w:r w:rsidRPr="000B45F3">
        <w:rPr>
          <w:snapToGrid w:val="0"/>
          <w:lang w:eastAsia="en-US"/>
        </w:rPr>
        <w:t xml:space="preserve">nts of </w:t>
      </w:r>
      <w:r w:rsidR="00032296" w:rsidRPr="000B45F3">
        <w:rPr>
          <w:snapToGrid w:val="0"/>
          <w:lang w:eastAsia="en-US"/>
        </w:rPr>
        <w:t>this instrument</w:t>
      </w:r>
      <w:r w:rsidRPr="000B45F3">
        <w:rPr>
          <w:snapToGrid w:val="0"/>
          <w:lang w:eastAsia="en-US"/>
        </w:rPr>
        <w:t>.</w:t>
      </w:r>
    </w:p>
    <w:p w14:paraId="4A43FB96" w14:textId="77777777" w:rsidR="00807626" w:rsidRPr="000B45F3" w:rsidRDefault="00AE3652" w:rsidP="00AE3652">
      <w:pPr>
        <w:pStyle w:val="subsection"/>
      </w:pPr>
      <w:r w:rsidRPr="000B45F3">
        <w:tab/>
        <w:t>(2)</w:t>
      </w:r>
      <w:r w:rsidRPr="000B45F3">
        <w:tab/>
        <w:t xml:space="preserve">Any information in column 3 of the table is not part of </w:t>
      </w:r>
      <w:r w:rsidR="00032296" w:rsidRPr="000B45F3">
        <w:t>this instrument</w:t>
      </w:r>
      <w:r w:rsidRPr="000B45F3">
        <w:t xml:space="preserve">. Information may be inserted in this column, or information in it may be edited, in any published version of </w:t>
      </w:r>
      <w:r w:rsidR="00032296" w:rsidRPr="000B45F3">
        <w:t>this instrument</w:t>
      </w:r>
      <w:r w:rsidRPr="000B45F3">
        <w:t>.</w:t>
      </w:r>
    </w:p>
    <w:p w14:paraId="2D178D73" w14:textId="77777777" w:rsidR="007500C8" w:rsidRPr="000B45F3" w:rsidRDefault="0009239D" w:rsidP="007500C8">
      <w:pPr>
        <w:pStyle w:val="ActHead5"/>
      </w:pPr>
      <w:bookmarkStart w:id="5" w:name="_Toc109665133"/>
      <w:r w:rsidRPr="000B45F3">
        <w:rPr>
          <w:rStyle w:val="CharSectno"/>
        </w:rPr>
        <w:t>3</w:t>
      </w:r>
      <w:r w:rsidR="007500C8" w:rsidRPr="000B45F3">
        <w:t xml:space="preserve">  Authority</w:t>
      </w:r>
      <w:bookmarkEnd w:id="5"/>
    </w:p>
    <w:p w14:paraId="7B9A3417" w14:textId="77777777" w:rsidR="00157B8B" w:rsidRPr="000B45F3" w:rsidRDefault="007500C8" w:rsidP="007E667A">
      <w:pPr>
        <w:pStyle w:val="subsection"/>
      </w:pPr>
      <w:r w:rsidRPr="000B45F3">
        <w:tab/>
      </w:r>
      <w:r w:rsidRPr="000B45F3">
        <w:tab/>
      </w:r>
      <w:r w:rsidR="00032296" w:rsidRPr="000B45F3">
        <w:t>This instrument is</w:t>
      </w:r>
      <w:r w:rsidRPr="000B45F3">
        <w:t xml:space="preserve"> made under the </w:t>
      </w:r>
      <w:r w:rsidR="00032296" w:rsidRPr="000B45F3">
        <w:rPr>
          <w:i/>
        </w:rPr>
        <w:t>Offshore Electricity Infrastructure (Regulatory Levies) Act 2021</w:t>
      </w:r>
      <w:r w:rsidR="00F4350D" w:rsidRPr="000B45F3">
        <w:t>.</w:t>
      </w:r>
    </w:p>
    <w:p w14:paraId="65CD42DA" w14:textId="77777777" w:rsidR="00E14F99" w:rsidRPr="000B45F3" w:rsidRDefault="0009239D" w:rsidP="00032296">
      <w:pPr>
        <w:pStyle w:val="ActHead5"/>
      </w:pPr>
      <w:bookmarkStart w:id="6" w:name="_Toc109665134"/>
      <w:r w:rsidRPr="000B45F3">
        <w:rPr>
          <w:rStyle w:val="CharSectno"/>
        </w:rPr>
        <w:t>4</w:t>
      </w:r>
      <w:r w:rsidR="00032296" w:rsidRPr="000B45F3">
        <w:t xml:space="preserve">  </w:t>
      </w:r>
      <w:r w:rsidR="00E14F99" w:rsidRPr="000B45F3">
        <w:t>Definitions</w:t>
      </w:r>
      <w:bookmarkEnd w:id="6"/>
    </w:p>
    <w:p w14:paraId="0E8A7FA3" w14:textId="77777777" w:rsidR="00E14F99" w:rsidRPr="000B45F3" w:rsidRDefault="00E14F99" w:rsidP="00E14F99">
      <w:pPr>
        <w:pStyle w:val="subsection"/>
      </w:pPr>
      <w:r w:rsidRPr="000B45F3">
        <w:tab/>
      </w:r>
      <w:r w:rsidRPr="000B45F3">
        <w:tab/>
        <w:t>In this instrument:</w:t>
      </w:r>
    </w:p>
    <w:p w14:paraId="724F4CE7" w14:textId="77777777" w:rsidR="00E14F99" w:rsidRPr="000B45F3" w:rsidRDefault="00E14F99" w:rsidP="00E14F99">
      <w:pPr>
        <w:pStyle w:val="Definition"/>
      </w:pPr>
      <w:r w:rsidRPr="000B45F3">
        <w:rPr>
          <w:b/>
          <w:i/>
        </w:rPr>
        <w:t>Act</w:t>
      </w:r>
      <w:r w:rsidRPr="000B45F3">
        <w:t xml:space="preserve"> means the </w:t>
      </w:r>
      <w:r w:rsidRPr="000B45F3">
        <w:rPr>
          <w:i/>
        </w:rPr>
        <w:t>Offshore Electricity Infrastructure (Regulatory Levies) Act 2021</w:t>
      </w:r>
      <w:r w:rsidRPr="000B45F3">
        <w:t>.</w:t>
      </w:r>
    </w:p>
    <w:p w14:paraId="67463F10" w14:textId="77777777" w:rsidR="00AF4392" w:rsidRPr="000B45F3" w:rsidRDefault="00AF4392" w:rsidP="00AF4392">
      <w:pPr>
        <w:pStyle w:val="Definition"/>
      </w:pPr>
      <w:r w:rsidRPr="000B45F3">
        <w:rPr>
          <w:b/>
          <w:i/>
        </w:rPr>
        <w:t>commercial licence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0CEE407A" w14:textId="77777777" w:rsidR="00AF4392" w:rsidRPr="000B45F3" w:rsidRDefault="00AF4392" w:rsidP="00E14F99">
      <w:pPr>
        <w:pStyle w:val="Definition"/>
      </w:pPr>
      <w:r w:rsidRPr="000B45F3">
        <w:rPr>
          <w:b/>
          <w:i/>
        </w:rPr>
        <w:t>feasibility licence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2B2C3EDF" w14:textId="77777777" w:rsidR="00327427" w:rsidRPr="000B45F3" w:rsidRDefault="00327427" w:rsidP="00E14F99">
      <w:pPr>
        <w:pStyle w:val="Definition"/>
      </w:pPr>
      <w:r w:rsidRPr="000B45F3">
        <w:rPr>
          <w:b/>
          <w:i/>
        </w:rPr>
        <w:t>holder</w:t>
      </w:r>
      <w:r w:rsidRPr="000B45F3">
        <w:t xml:space="preserve">, in relation to a licence,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5B74AD7A" w14:textId="77777777" w:rsidR="00573ADE" w:rsidRPr="000B45F3" w:rsidRDefault="00573ADE" w:rsidP="00E14F99">
      <w:pPr>
        <w:pStyle w:val="Definition"/>
      </w:pPr>
      <w:r w:rsidRPr="000B45F3">
        <w:rPr>
          <w:b/>
          <w:i/>
        </w:rPr>
        <w:t>licence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26301191" w14:textId="77777777" w:rsidR="00A04CC4" w:rsidRPr="000B45F3" w:rsidRDefault="00A04CC4" w:rsidP="00E14F99">
      <w:pPr>
        <w:pStyle w:val="Definition"/>
      </w:pPr>
      <w:r w:rsidRPr="000B45F3">
        <w:rPr>
          <w:b/>
          <w:i/>
        </w:rPr>
        <w:t>licence area</w:t>
      </w:r>
      <w:r w:rsidR="00751C0A" w:rsidRPr="000B45F3">
        <w:t>, in relation to a licence,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1D1E9EE7" w14:textId="77777777" w:rsidR="00AF4392" w:rsidRPr="000B45F3" w:rsidRDefault="00D26FB9" w:rsidP="00AF4392">
      <w:pPr>
        <w:pStyle w:val="Definition"/>
      </w:pPr>
      <w:r w:rsidRPr="000B45F3">
        <w:rPr>
          <w:b/>
          <w:i/>
        </w:rPr>
        <w:lastRenderedPageBreak/>
        <w:t>r</w:t>
      </w:r>
      <w:r w:rsidR="00AF4392" w:rsidRPr="000B45F3">
        <w:rPr>
          <w:b/>
          <w:i/>
        </w:rPr>
        <w:t>esearch and demonstration licence</w:t>
      </w:r>
      <w:r w:rsidR="00AF4392" w:rsidRPr="000B45F3">
        <w:t xml:space="preserve"> has the same meaning as in the </w:t>
      </w:r>
      <w:r w:rsidR="00AF4392" w:rsidRPr="000B45F3">
        <w:rPr>
          <w:i/>
        </w:rPr>
        <w:t>Offshore Electricity Infrastructure Act 2021</w:t>
      </w:r>
      <w:r w:rsidR="00AF4392" w:rsidRPr="000B45F3">
        <w:t>.</w:t>
      </w:r>
    </w:p>
    <w:p w14:paraId="3AC2B260" w14:textId="77777777" w:rsidR="00D26FB9" w:rsidRPr="000B45F3" w:rsidRDefault="00D26FB9" w:rsidP="00D26FB9">
      <w:pPr>
        <w:pStyle w:val="Definition"/>
      </w:pPr>
      <w:r w:rsidRPr="000B45F3">
        <w:rPr>
          <w:b/>
          <w:i/>
        </w:rPr>
        <w:t>transmission and infrastructure licence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5A41D807" w14:textId="77777777" w:rsidR="00EE19CA" w:rsidRPr="000B45F3" w:rsidRDefault="00EE19CA" w:rsidP="00EE19CA">
      <w:pPr>
        <w:pStyle w:val="Definition"/>
      </w:pPr>
      <w:r w:rsidRPr="000B45F3">
        <w:rPr>
          <w:b/>
          <w:i/>
        </w:rPr>
        <w:t>vacated area</w:t>
      </w:r>
      <w:r w:rsidR="00751C0A" w:rsidRPr="000B45F3">
        <w:t>, in relation to a licence,</w:t>
      </w:r>
      <w:r w:rsidRPr="000B45F3">
        <w:t xml:space="preserve"> has the same meaning as in the </w:t>
      </w:r>
      <w:r w:rsidRPr="000B45F3">
        <w:rPr>
          <w:i/>
        </w:rPr>
        <w:t>Offshore Electricity Infrastructure Act 2021</w:t>
      </w:r>
      <w:r w:rsidRPr="000B45F3">
        <w:t>.</w:t>
      </w:r>
    </w:p>
    <w:p w14:paraId="2B096580" w14:textId="77777777" w:rsidR="00745E9F" w:rsidRPr="000B45F3" w:rsidRDefault="007A3355" w:rsidP="00745E9F">
      <w:pPr>
        <w:pStyle w:val="ActHead2"/>
        <w:pageBreakBefore/>
      </w:pPr>
      <w:bookmarkStart w:id="7" w:name="_Toc109665135"/>
      <w:r w:rsidRPr="000B45F3">
        <w:rPr>
          <w:rStyle w:val="CharPartNo"/>
        </w:rPr>
        <w:lastRenderedPageBreak/>
        <w:t>Part 2</w:t>
      </w:r>
      <w:r w:rsidR="00745E9F" w:rsidRPr="000B45F3">
        <w:t>—</w:t>
      </w:r>
      <w:r w:rsidR="00745E9F" w:rsidRPr="000B45F3">
        <w:rPr>
          <w:rStyle w:val="CharPartText"/>
        </w:rPr>
        <w:t>Amounts of levy</w:t>
      </w:r>
      <w:bookmarkEnd w:id="7"/>
    </w:p>
    <w:p w14:paraId="2287BAFD" w14:textId="77777777" w:rsidR="00745E9F" w:rsidRPr="000B45F3" w:rsidRDefault="00745E9F" w:rsidP="00745E9F">
      <w:pPr>
        <w:pStyle w:val="Header"/>
      </w:pPr>
      <w:r w:rsidRPr="000B45F3">
        <w:rPr>
          <w:rStyle w:val="CharDivNo"/>
        </w:rPr>
        <w:t xml:space="preserve"> </w:t>
      </w:r>
      <w:r w:rsidRPr="000B45F3">
        <w:rPr>
          <w:rStyle w:val="CharDivText"/>
        </w:rPr>
        <w:t xml:space="preserve"> </w:t>
      </w:r>
    </w:p>
    <w:p w14:paraId="4C1D4D6F" w14:textId="77777777" w:rsidR="00C6072C" w:rsidRPr="000B45F3" w:rsidRDefault="0009239D" w:rsidP="00A759EF">
      <w:pPr>
        <w:pStyle w:val="ActHead5"/>
      </w:pPr>
      <w:bookmarkStart w:id="8" w:name="_Toc109665136"/>
      <w:r w:rsidRPr="000B45F3">
        <w:rPr>
          <w:rStyle w:val="CharSectno"/>
        </w:rPr>
        <w:t>5</w:t>
      </w:r>
      <w:r w:rsidR="00A759EF" w:rsidRPr="000B45F3">
        <w:t xml:space="preserve">  </w:t>
      </w:r>
      <w:r w:rsidR="00EE537C" w:rsidRPr="000B45F3">
        <w:t>Levies imposed on holder</w:t>
      </w:r>
      <w:r w:rsidR="00AF4392" w:rsidRPr="000B45F3">
        <w:t>s of feasibility licences</w:t>
      </w:r>
      <w:bookmarkEnd w:id="8"/>
    </w:p>
    <w:p w14:paraId="1B3066C8" w14:textId="77777777" w:rsidR="00EE537C" w:rsidRPr="000B45F3" w:rsidRDefault="00EE537C" w:rsidP="00EE537C">
      <w:pPr>
        <w:pStyle w:val="subsection"/>
      </w:pPr>
      <w:r w:rsidRPr="000B45F3">
        <w:tab/>
      </w:r>
      <w:r w:rsidRPr="000B45F3">
        <w:tab/>
        <w:t xml:space="preserve">For the purposes of </w:t>
      </w:r>
      <w:r w:rsidR="00FA06BE" w:rsidRPr="000B45F3">
        <w:t>subsection 8</w:t>
      </w:r>
      <w:r w:rsidRPr="000B45F3">
        <w:t xml:space="preserve">(2) and </w:t>
      </w:r>
      <w:r w:rsidR="00FA06BE" w:rsidRPr="000B45F3">
        <w:t>section 9</w:t>
      </w:r>
      <w:r w:rsidRPr="000B45F3">
        <w:t xml:space="preserve"> of the Act, the following table sets out:</w:t>
      </w:r>
    </w:p>
    <w:p w14:paraId="2AE3B6C3" w14:textId="77777777" w:rsidR="00AF4392" w:rsidRPr="000B45F3" w:rsidRDefault="00EE537C" w:rsidP="00EE537C">
      <w:pPr>
        <w:pStyle w:val="paragraph"/>
      </w:pPr>
      <w:r w:rsidRPr="000B45F3">
        <w:tab/>
        <w:t>(a)</w:t>
      </w:r>
      <w:r w:rsidRPr="000B45F3">
        <w:tab/>
      </w:r>
      <w:r w:rsidR="00AF4392" w:rsidRPr="000B45F3">
        <w:t xml:space="preserve">the </w:t>
      </w:r>
      <w:r w:rsidR="00584A43" w:rsidRPr="000B45F3">
        <w:t xml:space="preserve">offshore electricity infrastructure </w:t>
      </w:r>
      <w:r w:rsidRPr="000B45F3">
        <w:t xml:space="preserve">levies </w:t>
      </w:r>
      <w:r w:rsidR="00AF4392" w:rsidRPr="000B45F3">
        <w:t>that are imposed on a person who is the holder of a feasibility licence;</w:t>
      </w:r>
      <w:r w:rsidR="0012458A" w:rsidRPr="000B45F3">
        <w:t xml:space="preserve"> and</w:t>
      </w:r>
    </w:p>
    <w:p w14:paraId="7CE721D7" w14:textId="77777777" w:rsidR="00AF4392" w:rsidRPr="000B45F3" w:rsidRDefault="00AF4392" w:rsidP="00EE537C">
      <w:pPr>
        <w:pStyle w:val="paragraph"/>
      </w:pPr>
      <w:r w:rsidRPr="000B45F3">
        <w:tab/>
        <w:t>(b)</w:t>
      </w:r>
      <w:r w:rsidRPr="000B45F3">
        <w:tab/>
        <w:t>the</w:t>
      </w:r>
      <w:r w:rsidR="00EE537C" w:rsidRPr="000B45F3">
        <w:t xml:space="preserve"> amounts of </w:t>
      </w:r>
      <w:r w:rsidRPr="000B45F3">
        <w:t xml:space="preserve">those </w:t>
      </w:r>
      <w:r w:rsidR="00EE537C" w:rsidRPr="000B45F3">
        <w:t>levies</w:t>
      </w:r>
      <w:r w:rsidRPr="000B45F3">
        <w:t>;</w:t>
      </w:r>
      <w:r w:rsidR="0012458A" w:rsidRPr="000B45F3">
        <w:t xml:space="preserve"> and</w:t>
      </w:r>
    </w:p>
    <w:p w14:paraId="4A0A2E7D" w14:textId="77777777" w:rsidR="00EE537C" w:rsidRPr="000B45F3" w:rsidRDefault="00AF4392" w:rsidP="00EE537C">
      <w:pPr>
        <w:pStyle w:val="paragraph"/>
      </w:pPr>
      <w:r w:rsidRPr="000B45F3">
        <w:tab/>
        <w:t>(c)</w:t>
      </w:r>
      <w:r w:rsidRPr="000B45F3">
        <w:tab/>
      </w:r>
      <w:r w:rsidR="00EE537C" w:rsidRPr="000B45F3">
        <w:t>the periods for which those levies must be paid</w:t>
      </w:r>
      <w:r w:rsidRPr="000B45F3">
        <w:t>.</w:t>
      </w:r>
    </w:p>
    <w:p w14:paraId="03A65525" w14:textId="77777777" w:rsidR="00AF4392" w:rsidRPr="000B45F3" w:rsidRDefault="00AF4392" w:rsidP="00AF439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AF4392" w:rsidRPr="000B45F3" w14:paraId="3A027BB1" w14:textId="77777777" w:rsidTr="006B14C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1D16DA" w14:textId="77777777" w:rsidR="00AF4392" w:rsidRPr="000B45F3" w:rsidRDefault="00D26FB9" w:rsidP="00AF4392">
            <w:pPr>
              <w:pStyle w:val="TableHeading"/>
            </w:pPr>
            <w:r w:rsidRPr="000B45F3">
              <w:t>Levies imposed on holders of feasibility licences</w:t>
            </w:r>
          </w:p>
        </w:tc>
      </w:tr>
      <w:tr w:rsidR="00AF4392" w:rsidRPr="000B45F3" w14:paraId="0BE80340" w14:textId="77777777" w:rsidTr="006B14C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500E9E" w14:textId="77777777" w:rsidR="00AF4392" w:rsidRPr="000B45F3" w:rsidRDefault="00AF4392" w:rsidP="00AF4392">
            <w:pPr>
              <w:pStyle w:val="TableHeading"/>
            </w:pPr>
            <w:r w:rsidRPr="000B45F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4D8AA7" w14:textId="77777777" w:rsidR="00AF4392" w:rsidRPr="000B45F3" w:rsidRDefault="00AF4392" w:rsidP="00AF4392">
            <w:pPr>
              <w:pStyle w:val="TableHeading"/>
            </w:pPr>
            <w:r w:rsidRPr="000B45F3">
              <w:t>Kind of levy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CD1EE8" w14:textId="77777777" w:rsidR="00AF4392" w:rsidRPr="000B45F3" w:rsidRDefault="00D26FB9" w:rsidP="00AF4392">
            <w:pPr>
              <w:pStyle w:val="TableHeading"/>
            </w:pPr>
            <w:r w:rsidRPr="000B45F3">
              <w:t>Period for which levy must be paid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277609" w14:textId="77777777" w:rsidR="00AF4392" w:rsidRPr="000B45F3" w:rsidRDefault="00D26FB9" w:rsidP="00AF4392">
            <w:pPr>
              <w:pStyle w:val="TableHeading"/>
            </w:pPr>
            <w:r w:rsidRPr="000B45F3">
              <w:t>Amount of levy</w:t>
            </w:r>
          </w:p>
        </w:tc>
      </w:tr>
      <w:tr w:rsidR="00AF4392" w:rsidRPr="000B45F3" w14:paraId="3AE6023C" w14:textId="77777777" w:rsidTr="006B14C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ED168C4" w14:textId="77777777" w:rsidR="00AF4392" w:rsidRPr="000B45F3" w:rsidRDefault="00AF4392" w:rsidP="00AF4392">
            <w:pPr>
              <w:pStyle w:val="Tabletext"/>
            </w:pPr>
            <w:r w:rsidRPr="000B45F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2AD2216" w14:textId="77777777" w:rsidR="00AF4392" w:rsidRPr="000B45F3" w:rsidRDefault="00D26FB9" w:rsidP="00AF4392">
            <w:pPr>
              <w:pStyle w:val="Tabletext"/>
            </w:pPr>
            <w:r w:rsidRPr="000B45F3">
              <w:t>Annual licence levy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67017BA2" w14:textId="77777777" w:rsidR="00AF4392" w:rsidRPr="000B45F3" w:rsidRDefault="001320FB" w:rsidP="00AF4392">
            <w:pPr>
              <w:pStyle w:val="Tabletext"/>
            </w:pPr>
            <w:r w:rsidRPr="000B45F3">
              <w:t>Each period of 12 months</w:t>
            </w:r>
            <w:r w:rsidR="00121890" w:rsidRPr="000B45F3">
              <w:t xml:space="preserve">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3EF0E74B" w14:textId="77777777" w:rsidR="00AF4392" w:rsidRPr="000B45F3" w:rsidRDefault="00D26FB9" w:rsidP="00AF4392">
            <w:pPr>
              <w:pStyle w:val="Tabletext"/>
            </w:pPr>
            <w:r w:rsidRPr="000B45F3">
              <w:t>$</w:t>
            </w:r>
            <w:r w:rsidR="006A6189" w:rsidRPr="000B45F3">
              <w:t>120,000</w:t>
            </w:r>
            <w:r w:rsidRPr="000B45F3">
              <w:t xml:space="preserve"> plus $</w:t>
            </w:r>
            <w:r w:rsidR="006A6189" w:rsidRPr="000B45F3">
              <w:t>1,000</w:t>
            </w:r>
            <w:r w:rsidRPr="000B45F3">
              <w:t xml:space="preserve"> for each </w:t>
            </w:r>
            <w:r w:rsidR="006B14C0" w:rsidRPr="000B45F3">
              <w:t>10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  <w:r w:rsidR="006B14C0" w:rsidRPr="000B45F3">
              <w:t xml:space="preserve"> (or part thereof) of licence area over 100</w:t>
            </w:r>
            <w:r w:rsidR="00193928" w:rsidRPr="000B45F3">
              <w:t xml:space="preserve"> </w:t>
            </w:r>
            <w:r w:rsidR="006B14C0" w:rsidRPr="000B45F3">
              <w:t>km</w:t>
            </w:r>
            <w:r w:rsidR="006B14C0" w:rsidRPr="000B45F3">
              <w:rPr>
                <w:vertAlign w:val="superscript"/>
              </w:rPr>
              <w:t>2</w:t>
            </w:r>
          </w:p>
        </w:tc>
      </w:tr>
      <w:tr w:rsidR="00AF4392" w:rsidRPr="000B45F3" w14:paraId="5F949142" w14:textId="77777777" w:rsidTr="006B14C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4F09768" w14:textId="77777777" w:rsidR="00AF4392" w:rsidRPr="000B45F3" w:rsidRDefault="00AF4392" w:rsidP="00AF4392">
            <w:pPr>
              <w:pStyle w:val="Tabletext"/>
            </w:pPr>
            <w:r w:rsidRPr="000B45F3">
              <w:t>2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3CED41EE" w14:textId="77777777" w:rsidR="00AF4392" w:rsidRPr="000B45F3" w:rsidRDefault="006B14C0" w:rsidP="00AF4392">
            <w:pPr>
              <w:pStyle w:val="Tabletext"/>
            </w:pPr>
            <w:r w:rsidRPr="000B45F3">
              <w:t>Annual compliance levy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7507166F" w14:textId="77777777" w:rsidR="00AF4392" w:rsidRPr="000B45F3" w:rsidRDefault="00121890" w:rsidP="00AF4392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2BF48B66" w14:textId="77777777" w:rsidR="00AF4392" w:rsidRPr="000B45F3" w:rsidRDefault="006023FF" w:rsidP="00AF4392">
            <w:pPr>
              <w:pStyle w:val="Tabletext"/>
            </w:pPr>
            <w:r w:rsidRPr="000B45F3">
              <w:t>$</w:t>
            </w:r>
            <w:r w:rsidR="006A6189" w:rsidRPr="000B45F3">
              <w:t>100,000</w:t>
            </w:r>
            <w:r w:rsidRPr="000B45F3">
              <w:t xml:space="preserve"> plus $</w:t>
            </w:r>
            <w:r w:rsidR="006A6189" w:rsidRPr="000B45F3">
              <w:t>5,000</w:t>
            </w:r>
            <w:r w:rsidRPr="000B45F3">
              <w:t xml:space="preserve"> for each 10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  <w:r w:rsidRPr="000B45F3">
              <w:t xml:space="preserve"> (or part thereof) of licence area over 100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</w:p>
        </w:tc>
      </w:tr>
      <w:tr w:rsidR="006B14C0" w:rsidRPr="000B45F3" w14:paraId="66D1FCC7" w14:textId="77777777" w:rsidTr="006B14C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957C92" w14:textId="77777777" w:rsidR="006B14C0" w:rsidRPr="000B45F3" w:rsidRDefault="006B14C0" w:rsidP="006B14C0">
            <w:pPr>
              <w:pStyle w:val="Tabletext"/>
            </w:pPr>
            <w:r w:rsidRPr="000B45F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D8E6F3" w14:textId="77777777" w:rsidR="006B14C0" w:rsidRPr="000B45F3" w:rsidRDefault="006B14C0" w:rsidP="006B14C0">
            <w:pPr>
              <w:pStyle w:val="Tabletext"/>
            </w:pPr>
            <w:r w:rsidRPr="000B45F3">
              <w:t>Annual Commonwealth levy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220C010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74D9BD" w14:textId="77777777" w:rsidR="006B14C0" w:rsidRPr="000B45F3" w:rsidRDefault="00D15CEC" w:rsidP="006B14C0">
            <w:pPr>
              <w:pStyle w:val="Tabletext"/>
            </w:pPr>
            <w:r w:rsidRPr="000B45F3">
              <w:t>$</w:t>
            </w:r>
            <w:r w:rsidR="00CB2E91" w:rsidRPr="000B45F3">
              <w:t>5</w:t>
            </w:r>
            <w:r w:rsidR="00A40043" w:rsidRPr="000B45F3">
              <w:t>13</w:t>
            </w:r>
            <w:r w:rsidR="006A6189" w:rsidRPr="000B45F3">
              <w:t>,</w:t>
            </w:r>
            <w:r w:rsidR="00A40043" w:rsidRPr="000B45F3">
              <w:t>342</w:t>
            </w:r>
          </w:p>
        </w:tc>
      </w:tr>
    </w:tbl>
    <w:p w14:paraId="20DB4552" w14:textId="77777777" w:rsidR="00AF4392" w:rsidRPr="000B45F3" w:rsidRDefault="00AF4392" w:rsidP="00AF4392">
      <w:pPr>
        <w:pStyle w:val="Tabletext"/>
      </w:pPr>
    </w:p>
    <w:p w14:paraId="16FF2B44" w14:textId="77777777" w:rsidR="003C191C" w:rsidRPr="000B45F3" w:rsidRDefault="003C191C" w:rsidP="003C191C">
      <w:pPr>
        <w:pStyle w:val="notetext"/>
      </w:pPr>
      <w:r w:rsidRPr="000B45F3">
        <w:t>Note:</w:t>
      </w:r>
      <w:r w:rsidRPr="000B45F3">
        <w:tab/>
        <w:t>A period of 12 months for which the licence is held begins on the day the licence is granted or on an anniversary of that day.</w:t>
      </w:r>
    </w:p>
    <w:p w14:paraId="562B8653" w14:textId="77777777" w:rsidR="006B14C0" w:rsidRPr="000B45F3" w:rsidRDefault="0009239D" w:rsidP="006B14C0">
      <w:pPr>
        <w:pStyle w:val="ActHead5"/>
      </w:pPr>
      <w:bookmarkStart w:id="9" w:name="_Toc109665137"/>
      <w:r w:rsidRPr="000B45F3">
        <w:rPr>
          <w:rStyle w:val="CharSectno"/>
        </w:rPr>
        <w:t>6</w:t>
      </w:r>
      <w:r w:rsidR="006B14C0" w:rsidRPr="000B45F3">
        <w:t xml:space="preserve">  Levies imposed on holders of commercial licences</w:t>
      </w:r>
      <w:bookmarkEnd w:id="9"/>
    </w:p>
    <w:p w14:paraId="5ECD07F3" w14:textId="77777777" w:rsidR="006B14C0" w:rsidRPr="000B45F3" w:rsidRDefault="006B14C0" w:rsidP="006B14C0">
      <w:pPr>
        <w:pStyle w:val="subsection"/>
      </w:pPr>
      <w:r w:rsidRPr="000B45F3">
        <w:tab/>
      </w:r>
      <w:r w:rsidRPr="000B45F3">
        <w:tab/>
        <w:t xml:space="preserve">For the purposes of </w:t>
      </w:r>
      <w:r w:rsidR="00FA06BE" w:rsidRPr="000B45F3">
        <w:t>subsection 8</w:t>
      </w:r>
      <w:r w:rsidRPr="000B45F3">
        <w:t xml:space="preserve">(2) and </w:t>
      </w:r>
      <w:r w:rsidR="00FA06BE" w:rsidRPr="000B45F3">
        <w:t>section 9</w:t>
      </w:r>
      <w:r w:rsidRPr="000B45F3">
        <w:t xml:space="preserve"> of the Act, the following table sets out:</w:t>
      </w:r>
    </w:p>
    <w:p w14:paraId="7AB6E165" w14:textId="77777777" w:rsidR="006B14C0" w:rsidRPr="000B45F3" w:rsidRDefault="006B14C0" w:rsidP="006B14C0">
      <w:pPr>
        <w:pStyle w:val="paragraph"/>
      </w:pPr>
      <w:r w:rsidRPr="000B45F3">
        <w:tab/>
        <w:t>(a)</w:t>
      </w:r>
      <w:r w:rsidRPr="000B45F3">
        <w:tab/>
        <w:t xml:space="preserve">the </w:t>
      </w:r>
      <w:r w:rsidR="004059F2" w:rsidRPr="000B45F3">
        <w:t xml:space="preserve">offshore electricity infrastructure </w:t>
      </w:r>
      <w:r w:rsidRPr="000B45F3">
        <w:t>levies</w:t>
      </w:r>
      <w:r w:rsidR="004059F2" w:rsidRPr="000B45F3">
        <w:t xml:space="preserve"> </w:t>
      </w:r>
      <w:r w:rsidRPr="000B45F3">
        <w:t>that are imposed on a person who is the holder of a commercial licence;</w:t>
      </w:r>
      <w:r w:rsidR="0012458A" w:rsidRPr="000B45F3">
        <w:t xml:space="preserve"> and</w:t>
      </w:r>
    </w:p>
    <w:p w14:paraId="54F1E404" w14:textId="77777777" w:rsidR="006B14C0" w:rsidRPr="000B45F3" w:rsidRDefault="006B14C0" w:rsidP="006B14C0">
      <w:pPr>
        <w:pStyle w:val="paragraph"/>
      </w:pPr>
      <w:r w:rsidRPr="000B45F3">
        <w:tab/>
        <w:t>(b)</w:t>
      </w:r>
      <w:r w:rsidRPr="000B45F3">
        <w:tab/>
        <w:t>the amounts of those levies;</w:t>
      </w:r>
      <w:r w:rsidR="0012458A" w:rsidRPr="000B45F3">
        <w:t xml:space="preserve"> and</w:t>
      </w:r>
    </w:p>
    <w:p w14:paraId="5EC53EE6" w14:textId="77777777" w:rsidR="006B14C0" w:rsidRPr="000B45F3" w:rsidRDefault="006B14C0" w:rsidP="006B14C0">
      <w:pPr>
        <w:pStyle w:val="paragraph"/>
      </w:pPr>
      <w:r w:rsidRPr="000B45F3">
        <w:tab/>
        <w:t>(c)</w:t>
      </w:r>
      <w:r w:rsidRPr="000B45F3">
        <w:tab/>
        <w:t>the periods for which those levies must be paid.</w:t>
      </w:r>
    </w:p>
    <w:p w14:paraId="500AE867" w14:textId="77777777" w:rsidR="006B14C0" w:rsidRPr="000B45F3" w:rsidRDefault="006B14C0" w:rsidP="006B14C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6B14C0" w:rsidRPr="000B45F3" w14:paraId="2528215B" w14:textId="77777777" w:rsidTr="00AC65D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829201" w14:textId="77777777" w:rsidR="006B14C0" w:rsidRPr="000B45F3" w:rsidRDefault="006B14C0" w:rsidP="006B14C0">
            <w:pPr>
              <w:pStyle w:val="TableHeading"/>
            </w:pPr>
            <w:r w:rsidRPr="000B45F3">
              <w:t xml:space="preserve">Levies imposed on holders of </w:t>
            </w:r>
            <w:r w:rsidR="006023FF" w:rsidRPr="000B45F3">
              <w:t xml:space="preserve">commercial </w:t>
            </w:r>
            <w:r w:rsidRPr="000B45F3">
              <w:t>licences</w:t>
            </w:r>
          </w:p>
        </w:tc>
      </w:tr>
      <w:tr w:rsidR="006B14C0" w:rsidRPr="000B45F3" w14:paraId="31B2593D" w14:textId="77777777" w:rsidTr="00AC65D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94769B" w14:textId="77777777" w:rsidR="006B14C0" w:rsidRPr="000B45F3" w:rsidRDefault="006B14C0" w:rsidP="006B14C0">
            <w:pPr>
              <w:pStyle w:val="TableHeading"/>
            </w:pPr>
            <w:r w:rsidRPr="000B45F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96C3EB" w14:textId="77777777" w:rsidR="006B14C0" w:rsidRPr="000B45F3" w:rsidRDefault="006B14C0" w:rsidP="006B14C0">
            <w:pPr>
              <w:pStyle w:val="TableHeading"/>
            </w:pPr>
            <w:r w:rsidRPr="000B45F3">
              <w:t>Kind of levy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E6DD46" w14:textId="77777777" w:rsidR="006B14C0" w:rsidRPr="000B45F3" w:rsidRDefault="006B14C0" w:rsidP="006B14C0">
            <w:pPr>
              <w:pStyle w:val="TableHeading"/>
            </w:pPr>
            <w:r w:rsidRPr="000B45F3">
              <w:t>Period for which levy must be paid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C3842B" w14:textId="77777777" w:rsidR="006B14C0" w:rsidRPr="000B45F3" w:rsidRDefault="006B14C0" w:rsidP="006B14C0">
            <w:pPr>
              <w:pStyle w:val="TableHeading"/>
            </w:pPr>
            <w:r w:rsidRPr="000B45F3">
              <w:t>Amount of levy</w:t>
            </w:r>
          </w:p>
        </w:tc>
      </w:tr>
      <w:tr w:rsidR="006B14C0" w:rsidRPr="000B45F3" w14:paraId="27994510" w14:textId="77777777" w:rsidTr="00AC65D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216370E" w14:textId="77777777" w:rsidR="006B14C0" w:rsidRPr="000B45F3" w:rsidRDefault="006B14C0" w:rsidP="006B14C0">
            <w:pPr>
              <w:pStyle w:val="Tabletext"/>
            </w:pPr>
            <w:r w:rsidRPr="000B45F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494AC8E9" w14:textId="77777777" w:rsidR="006B14C0" w:rsidRPr="000B45F3" w:rsidRDefault="006B14C0" w:rsidP="006B14C0">
            <w:pPr>
              <w:pStyle w:val="Tabletext"/>
            </w:pPr>
            <w:r w:rsidRPr="000B45F3">
              <w:t>Annual licence levy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550A6EA8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C43FEF9" w14:textId="77777777" w:rsidR="006B14C0" w:rsidRPr="000B45F3" w:rsidRDefault="00193928" w:rsidP="006B14C0">
            <w:pPr>
              <w:pStyle w:val="Tabletext"/>
            </w:pPr>
            <w:r w:rsidRPr="000B45F3">
              <w:t>$150,000 plus $2,000 for each 10 km</w:t>
            </w:r>
            <w:r w:rsidRPr="000B45F3">
              <w:rPr>
                <w:vertAlign w:val="superscript"/>
              </w:rPr>
              <w:t>2</w:t>
            </w:r>
            <w:r w:rsidRPr="000B45F3">
              <w:t xml:space="preserve"> (or part thereof) of licence area over 100 km</w:t>
            </w:r>
            <w:r w:rsidRPr="000B45F3">
              <w:rPr>
                <w:vertAlign w:val="superscript"/>
              </w:rPr>
              <w:t>2</w:t>
            </w:r>
          </w:p>
        </w:tc>
      </w:tr>
      <w:tr w:rsidR="006B14C0" w:rsidRPr="000B45F3" w14:paraId="260ECE38" w14:textId="77777777" w:rsidTr="00AC65D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DFB4FE7" w14:textId="77777777" w:rsidR="006B14C0" w:rsidRPr="000B45F3" w:rsidRDefault="006B14C0" w:rsidP="006B14C0">
            <w:pPr>
              <w:pStyle w:val="Tabletext"/>
            </w:pPr>
            <w:r w:rsidRPr="000B45F3">
              <w:t>2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6D3529A1" w14:textId="77777777" w:rsidR="006B14C0" w:rsidRPr="000B45F3" w:rsidRDefault="006B14C0" w:rsidP="006B14C0">
            <w:pPr>
              <w:pStyle w:val="Tabletext"/>
            </w:pPr>
            <w:r w:rsidRPr="000B45F3">
              <w:t>Annual compliance levy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2B8B0817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0FC224EA" w14:textId="77777777" w:rsidR="006B14C0" w:rsidRPr="000B45F3" w:rsidRDefault="006023FF" w:rsidP="006B14C0">
            <w:pPr>
              <w:pStyle w:val="Tabletext"/>
            </w:pPr>
            <w:r w:rsidRPr="000B45F3">
              <w:t>$</w:t>
            </w:r>
            <w:r w:rsidR="006A6189" w:rsidRPr="000B45F3">
              <w:t>300,000</w:t>
            </w:r>
            <w:r w:rsidRPr="000B45F3">
              <w:t xml:space="preserve"> plus $</w:t>
            </w:r>
            <w:r w:rsidR="006A6189" w:rsidRPr="000B45F3">
              <w:t>10,000</w:t>
            </w:r>
            <w:r w:rsidRPr="000B45F3">
              <w:t xml:space="preserve"> for each 10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  <w:r w:rsidRPr="000B45F3">
              <w:t xml:space="preserve"> (or part thereof) of licence area over 100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</w:p>
        </w:tc>
      </w:tr>
      <w:tr w:rsidR="006B14C0" w:rsidRPr="000B45F3" w14:paraId="61A3A19E" w14:textId="77777777" w:rsidTr="00AC65D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0A1070" w14:textId="77777777" w:rsidR="006B14C0" w:rsidRPr="000B45F3" w:rsidRDefault="006B14C0" w:rsidP="006B14C0">
            <w:pPr>
              <w:pStyle w:val="Tabletext"/>
            </w:pPr>
            <w:r w:rsidRPr="000B45F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256737" w14:textId="77777777" w:rsidR="006B14C0" w:rsidRPr="000B45F3" w:rsidRDefault="006B14C0" w:rsidP="006B14C0">
            <w:pPr>
              <w:pStyle w:val="Tabletext"/>
            </w:pPr>
            <w:r w:rsidRPr="000B45F3">
              <w:t>Annual Commonwealth levy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F56A3F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</w:t>
            </w:r>
            <w:r w:rsidRPr="000B45F3">
              <w:lastRenderedPageBreak/>
              <w:t xml:space="preserve">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F9AE62" w14:textId="77777777" w:rsidR="006B14C0" w:rsidRPr="000B45F3" w:rsidRDefault="00D15CEC" w:rsidP="006B14C0">
            <w:pPr>
              <w:pStyle w:val="Tabletext"/>
            </w:pPr>
            <w:r w:rsidRPr="000B45F3">
              <w:lastRenderedPageBreak/>
              <w:t>$</w:t>
            </w:r>
            <w:r w:rsidR="00A40043" w:rsidRPr="000B45F3">
              <w:t>295</w:t>
            </w:r>
            <w:r w:rsidR="006A6189" w:rsidRPr="000B45F3">
              <w:t>,</w:t>
            </w:r>
            <w:r w:rsidR="00A40043" w:rsidRPr="000B45F3">
              <w:t>186</w:t>
            </w:r>
          </w:p>
        </w:tc>
      </w:tr>
    </w:tbl>
    <w:p w14:paraId="5D7C1731" w14:textId="77777777" w:rsidR="006B14C0" w:rsidRPr="000B45F3" w:rsidRDefault="006B14C0" w:rsidP="006B14C0">
      <w:pPr>
        <w:pStyle w:val="Tabletext"/>
      </w:pPr>
    </w:p>
    <w:p w14:paraId="7C92A91C" w14:textId="77777777" w:rsidR="003C191C" w:rsidRPr="000B45F3" w:rsidRDefault="003C191C" w:rsidP="003C191C">
      <w:pPr>
        <w:pStyle w:val="notetext"/>
      </w:pPr>
      <w:r w:rsidRPr="000B45F3">
        <w:t>Note:</w:t>
      </w:r>
      <w:r w:rsidRPr="000B45F3">
        <w:tab/>
        <w:t>A period of 12 months for which the licence is held begins on the day the licence is granted or on an anniversary of that day.</w:t>
      </w:r>
    </w:p>
    <w:p w14:paraId="216E901C" w14:textId="77777777" w:rsidR="006B14C0" w:rsidRPr="000B45F3" w:rsidRDefault="0009239D" w:rsidP="006B14C0">
      <w:pPr>
        <w:pStyle w:val="ActHead5"/>
      </w:pPr>
      <w:bookmarkStart w:id="10" w:name="_Toc109665138"/>
      <w:r w:rsidRPr="000B45F3">
        <w:rPr>
          <w:rStyle w:val="CharSectno"/>
        </w:rPr>
        <w:t>7</w:t>
      </w:r>
      <w:r w:rsidR="006B14C0" w:rsidRPr="000B45F3">
        <w:t xml:space="preserve">  Levies imposed on holders of research and demonstration licences</w:t>
      </w:r>
      <w:bookmarkEnd w:id="10"/>
    </w:p>
    <w:p w14:paraId="299B3C3E" w14:textId="77777777" w:rsidR="006B14C0" w:rsidRPr="000B45F3" w:rsidRDefault="006B14C0" w:rsidP="006B14C0">
      <w:pPr>
        <w:pStyle w:val="subsection"/>
      </w:pPr>
      <w:r w:rsidRPr="000B45F3">
        <w:tab/>
      </w:r>
      <w:r w:rsidRPr="000B45F3">
        <w:tab/>
        <w:t xml:space="preserve">For the purposes of </w:t>
      </w:r>
      <w:r w:rsidR="00FA06BE" w:rsidRPr="000B45F3">
        <w:t>subsection 8</w:t>
      </w:r>
      <w:r w:rsidRPr="000B45F3">
        <w:t xml:space="preserve">(2) and </w:t>
      </w:r>
      <w:r w:rsidR="00FA06BE" w:rsidRPr="000B45F3">
        <w:t>section 9</w:t>
      </w:r>
      <w:r w:rsidRPr="000B45F3">
        <w:t xml:space="preserve"> of the Act, the following table sets out:</w:t>
      </w:r>
    </w:p>
    <w:p w14:paraId="4362E799" w14:textId="77777777" w:rsidR="006B14C0" w:rsidRPr="000B45F3" w:rsidRDefault="006B14C0" w:rsidP="006B14C0">
      <w:pPr>
        <w:pStyle w:val="paragraph"/>
      </w:pPr>
      <w:r w:rsidRPr="000B45F3">
        <w:tab/>
        <w:t>(a)</w:t>
      </w:r>
      <w:r w:rsidRPr="000B45F3">
        <w:tab/>
        <w:t xml:space="preserve">the </w:t>
      </w:r>
      <w:r w:rsidR="004059F2" w:rsidRPr="000B45F3">
        <w:t xml:space="preserve">offshore electricity infrastructure </w:t>
      </w:r>
      <w:r w:rsidRPr="000B45F3">
        <w:t>levies that are imposed on a person who is the holder of a research and demonstration licence;</w:t>
      </w:r>
      <w:r w:rsidR="0012458A" w:rsidRPr="000B45F3">
        <w:t xml:space="preserve"> and</w:t>
      </w:r>
    </w:p>
    <w:p w14:paraId="445BA097" w14:textId="77777777" w:rsidR="006B14C0" w:rsidRPr="000B45F3" w:rsidRDefault="006B14C0" w:rsidP="006B14C0">
      <w:pPr>
        <w:pStyle w:val="paragraph"/>
      </w:pPr>
      <w:r w:rsidRPr="000B45F3">
        <w:tab/>
        <w:t>(b)</w:t>
      </w:r>
      <w:r w:rsidRPr="000B45F3">
        <w:tab/>
        <w:t>the amounts of those levies;</w:t>
      </w:r>
      <w:r w:rsidR="0012458A" w:rsidRPr="000B45F3">
        <w:t xml:space="preserve"> and</w:t>
      </w:r>
    </w:p>
    <w:p w14:paraId="0A2C89B0" w14:textId="77777777" w:rsidR="006B14C0" w:rsidRPr="000B45F3" w:rsidRDefault="006B14C0" w:rsidP="006B14C0">
      <w:pPr>
        <w:pStyle w:val="paragraph"/>
      </w:pPr>
      <w:r w:rsidRPr="000B45F3">
        <w:tab/>
        <w:t>(c)</w:t>
      </w:r>
      <w:r w:rsidRPr="000B45F3">
        <w:tab/>
        <w:t>the periods for which those levies must be paid.</w:t>
      </w:r>
    </w:p>
    <w:p w14:paraId="69AAEDB1" w14:textId="77777777" w:rsidR="006B14C0" w:rsidRPr="000B45F3" w:rsidRDefault="006B14C0" w:rsidP="006B14C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6B14C0" w:rsidRPr="000B45F3" w14:paraId="4DF2330C" w14:textId="77777777" w:rsidTr="006B14C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6D8773" w14:textId="77777777" w:rsidR="006B14C0" w:rsidRPr="000B45F3" w:rsidRDefault="006B14C0" w:rsidP="006B14C0">
            <w:pPr>
              <w:pStyle w:val="TableHeading"/>
            </w:pPr>
            <w:r w:rsidRPr="000B45F3">
              <w:t xml:space="preserve">Levies imposed on holders of </w:t>
            </w:r>
            <w:r w:rsidR="006023FF" w:rsidRPr="000B45F3">
              <w:t xml:space="preserve">research and demonstration </w:t>
            </w:r>
            <w:r w:rsidRPr="000B45F3">
              <w:t>licences</w:t>
            </w:r>
          </w:p>
        </w:tc>
      </w:tr>
      <w:tr w:rsidR="006B14C0" w:rsidRPr="000B45F3" w14:paraId="32207A57" w14:textId="77777777" w:rsidTr="006B14C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9D3F41" w14:textId="77777777" w:rsidR="006B14C0" w:rsidRPr="000B45F3" w:rsidRDefault="006B14C0" w:rsidP="006B14C0">
            <w:pPr>
              <w:pStyle w:val="TableHeading"/>
            </w:pPr>
            <w:r w:rsidRPr="000B45F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909008" w14:textId="77777777" w:rsidR="006B14C0" w:rsidRPr="000B45F3" w:rsidRDefault="006B14C0" w:rsidP="006B14C0">
            <w:pPr>
              <w:pStyle w:val="TableHeading"/>
            </w:pPr>
            <w:r w:rsidRPr="000B45F3">
              <w:t>Kind of levy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F26090" w14:textId="77777777" w:rsidR="006B14C0" w:rsidRPr="000B45F3" w:rsidRDefault="006B14C0" w:rsidP="006B14C0">
            <w:pPr>
              <w:pStyle w:val="TableHeading"/>
            </w:pPr>
            <w:r w:rsidRPr="000B45F3">
              <w:t>Period for which levy must be paid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6F7677" w14:textId="77777777" w:rsidR="006B14C0" w:rsidRPr="000B45F3" w:rsidRDefault="006B14C0" w:rsidP="006B14C0">
            <w:pPr>
              <w:pStyle w:val="TableHeading"/>
            </w:pPr>
            <w:r w:rsidRPr="000B45F3">
              <w:t>Amount of levy</w:t>
            </w:r>
          </w:p>
        </w:tc>
      </w:tr>
      <w:tr w:rsidR="006B14C0" w:rsidRPr="000B45F3" w14:paraId="6D76700E" w14:textId="77777777" w:rsidTr="006B14C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3021D8B" w14:textId="77777777" w:rsidR="006B14C0" w:rsidRPr="000B45F3" w:rsidRDefault="006B14C0" w:rsidP="006B14C0">
            <w:pPr>
              <w:pStyle w:val="Tabletext"/>
            </w:pPr>
            <w:r w:rsidRPr="000B45F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3343158" w14:textId="77777777" w:rsidR="006B14C0" w:rsidRPr="000B45F3" w:rsidRDefault="006B14C0" w:rsidP="006B14C0">
            <w:pPr>
              <w:pStyle w:val="Tabletext"/>
            </w:pPr>
            <w:r w:rsidRPr="000B45F3">
              <w:t>Annual licence levy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2455BA43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07D76626" w14:textId="77777777" w:rsidR="006B14C0" w:rsidRPr="000B45F3" w:rsidRDefault="006B14C0" w:rsidP="006B14C0">
            <w:pPr>
              <w:pStyle w:val="Tabletext"/>
            </w:pPr>
            <w:r w:rsidRPr="000B45F3">
              <w:t>$</w:t>
            </w:r>
            <w:r w:rsidR="006A6189" w:rsidRPr="000B45F3">
              <w:t>120,000</w:t>
            </w:r>
            <w:r w:rsidRPr="000B45F3">
              <w:t xml:space="preserve"> plus $</w:t>
            </w:r>
            <w:r w:rsidR="006A6189" w:rsidRPr="000B45F3">
              <w:t>1,000</w:t>
            </w:r>
            <w:r w:rsidRPr="000B45F3">
              <w:t xml:space="preserve"> for each 10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  <w:r w:rsidRPr="000B45F3">
              <w:t xml:space="preserve"> (or part thereof) of licence area over 100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</w:p>
        </w:tc>
      </w:tr>
      <w:tr w:rsidR="006B14C0" w:rsidRPr="000B45F3" w14:paraId="1C030BC8" w14:textId="77777777" w:rsidTr="006B14C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3B5C863" w14:textId="77777777" w:rsidR="006B14C0" w:rsidRPr="000B45F3" w:rsidRDefault="006B14C0" w:rsidP="006B14C0">
            <w:pPr>
              <w:pStyle w:val="Tabletext"/>
            </w:pPr>
            <w:r w:rsidRPr="000B45F3">
              <w:t>2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1FD56F2F" w14:textId="77777777" w:rsidR="006B14C0" w:rsidRPr="000B45F3" w:rsidRDefault="006B14C0" w:rsidP="006B14C0">
            <w:pPr>
              <w:pStyle w:val="Tabletext"/>
            </w:pPr>
            <w:r w:rsidRPr="000B45F3">
              <w:t>Annual compliance levy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5A17233B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44AF8160" w14:textId="77777777" w:rsidR="006B14C0" w:rsidRPr="000B45F3" w:rsidRDefault="006023FF" w:rsidP="006B14C0">
            <w:pPr>
              <w:pStyle w:val="Tabletext"/>
            </w:pPr>
            <w:r w:rsidRPr="000B45F3">
              <w:t>$</w:t>
            </w:r>
            <w:r w:rsidR="006A6189" w:rsidRPr="000B45F3">
              <w:t>100,000</w:t>
            </w:r>
            <w:r w:rsidRPr="000B45F3">
              <w:t xml:space="preserve"> plus $</w:t>
            </w:r>
            <w:r w:rsidR="006A6189" w:rsidRPr="000B45F3">
              <w:t>5,000</w:t>
            </w:r>
            <w:r w:rsidRPr="000B45F3">
              <w:t xml:space="preserve"> for each 10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  <w:r w:rsidRPr="000B45F3">
              <w:t xml:space="preserve"> (or part thereof) of licence area over 100</w:t>
            </w:r>
            <w:r w:rsidR="00193928" w:rsidRPr="000B45F3">
              <w:t xml:space="preserve"> </w:t>
            </w:r>
            <w:r w:rsidRPr="000B45F3">
              <w:t>km</w:t>
            </w:r>
            <w:r w:rsidRPr="000B45F3">
              <w:rPr>
                <w:vertAlign w:val="superscript"/>
              </w:rPr>
              <w:t>2</w:t>
            </w:r>
          </w:p>
        </w:tc>
      </w:tr>
      <w:tr w:rsidR="006B14C0" w:rsidRPr="000B45F3" w14:paraId="6A328AD3" w14:textId="77777777" w:rsidTr="006B14C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E7AB35" w14:textId="77777777" w:rsidR="006B14C0" w:rsidRPr="000B45F3" w:rsidRDefault="006B14C0" w:rsidP="006B14C0">
            <w:pPr>
              <w:pStyle w:val="Tabletext"/>
            </w:pPr>
            <w:r w:rsidRPr="000B45F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9FE8E5" w14:textId="77777777" w:rsidR="006B14C0" w:rsidRPr="000B45F3" w:rsidRDefault="006B14C0" w:rsidP="006B14C0">
            <w:pPr>
              <w:pStyle w:val="Tabletext"/>
            </w:pPr>
            <w:r w:rsidRPr="000B45F3">
              <w:t>Annual Commonwealth levy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B66E76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B87378" w14:textId="77777777" w:rsidR="006B14C0" w:rsidRPr="000B45F3" w:rsidRDefault="00D15CEC" w:rsidP="006B14C0">
            <w:pPr>
              <w:pStyle w:val="Tabletext"/>
            </w:pPr>
            <w:r w:rsidRPr="000B45F3">
              <w:t>$</w:t>
            </w:r>
            <w:r w:rsidR="00A40043" w:rsidRPr="000B45F3">
              <w:t>295,186</w:t>
            </w:r>
          </w:p>
        </w:tc>
      </w:tr>
    </w:tbl>
    <w:p w14:paraId="30049E64" w14:textId="77777777" w:rsidR="006B14C0" w:rsidRPr="000B45F3" w:rsidRDefault="006B14C0" w:rsidP="006B14C0">
      <w:pPr>
        <w:pStyle w:val="Tabletext"/>
      </w:pPr>
    </w:p>
    <w:p w14:paraId="3C3D1EB9" w14:textId="77777777" w:rsidR="003C191C" w:rsidRPr="000B45F3" w:rsidRDefault="003C191C" w:rsidP="003C191C">
      <w:pPr>
        <w:pStyle w:val="notetext"/>
      </w:pPr>
      <w:r w:rsidRPr="000B45F3">
        <w:t>Note:</w:t>
      </w:r>
      <w:r w:rsidRPr="000B45F3">
        <w:tab/>
        <w:t>A period of 12 months for which the licence is held begins on the day the licence is granted or on an anniversary of that day.</w:t>
      </w:r>
    </w:p>
    <w:p w14:paraId="0FD0621F" w14:textId="77777777" w:rsidR="006B14C0" w:rsidRPr="000B45F3" w:rsidRDefault="0009239D" w:rsidP="006B14C0">
      <w:pPr>
        <w:pStyle w:val="ActHead5"/>
      </w:pPr>
      <w:bookmarkStart w:id="11" w:name="_Toc109665139"/>
      <w:r w:rsidRPr="000B45F3">
        <w:rPr>
          <w:rStyle w:val="CharSectno"/>
        </w:rPr>
        <w:t>8</w:t>
      </w:r>
      <w:r w:rsidR="006B14C0" w:rsidRPr="000B45F3">
        <w:t xml:space="preserve">  Levies imposed on holders of transmission and infrastructure licences</w:t>
      </w:r>
      <w:bookmarkEnd w:id="11"/>
    </w:p>
    <w:p w14:paraId="4850FA9B" w14:textId="77777777" w:rsidR="006B14C0" w:rsidRPr="000B45F3" w:rsidRDefault="006B14C0" w:rsidP="006B14C0">
      <w:pPr>
        <w:pStyle w:val="subsection"/>
      </w:pPr>
      <w:r w:rsidRPr="000B45F3">
        <w:tab/>
      </w:r>
      <w:r w:rsidRPr="000B45F3">
        <w:tab/>
        <w:t xml:space="preserve">For the purposes of </w:t>
      </w:r>
      <w:r w:rsidR="00FA06BE" w:rsidRPr="000B45F3">
        <w:t>subsection 8</w:t>
      </w:r>
      <w:r w:rsidRPr="000B45F3">
        <w:t xml:space="preserve">(2) and </w:t>
      </w:r>
      <w:r w:rsidR="00FA06BE" w:rsidRPr="000B45F3">
        <w:t>section 9</w:t>
      </w:r>
      <w:r w:rsidRPr="000B45F3">
        <w:t xml:space="preserve"> of the Act, the following table sets out:</w:t>
      </w:r>
    </w:p>
    <w:p w14:paraId="65AAE0C0" w14:textId="77777777" w:rsidR="006B14C0" w:rsidRPr="000B45F3" w:rsidRDefault="006B14C0" w:rsidP="006B14C0">
      <w:pPr>
        <w:pStyle w:val="paragraph"/>
      </w:pPr>
      <w:r w:rsidRPr="000B45F3">
        <w:tab/>
        <w:t>(a)</w:t>
      </w:r>
      <w:r w:rsidRPr="000B45F3">
        <w:tab/>
        <w:t xml:space="preserve">the </w:t>
      </w:r>
      <w:r w:rsidR="004059F2" w:rsidRPr="000B45F3">
        <w:t xml:space="preserve">offshore electricity infrastructure levies </w:t>
      </w:r>
      <w:r w:rsidRPr="000B45F3">
        <w:t>that are imposed on a person who is the holder of a transmission and infrastructure licence;</w:t>
      </w:r>
      <w:r w:rsidR="0012458A" w:rsidRPr="000B45F3">
        <w:t xml:space="preserve"> and</w:t>
      </w:r>
    </w:p>
    <w:p w14:paraId="677D1AC9" w14:textId="77777777" w:rsidR="006B14C0" w:rsidRPr="000B45F3" w:rsidRDefault="006B14C0" w:rsidP="006B14C0">
      <w:pPr>
        <w:pStyle w:val="paragraph"/>
      </w:pPr>
      <w:r w:rsidRPr="000B45F3">
        <w:tab/>
        <w:t>(b)</w:t>
      </w:r>
      <w:r w:rsidRPr="000B45F3">
        <w:tab/>
        <w:t>the amounts of those levies;</w:t>
      </w:r>
      <w:r w:rsidR="0012458A" w:rsidRPr="000B45F3">
        <w:t xml:space="preserve"> and</w:t>
      </w:r>
    </w:p>
    <w:p w14:paraId="45798695" w14:textId="77777777" w:rsidR="006B14C0" w:rsidRPr="000B45F3" w:rsidRDefault="006B14C0" w:rsidP="006B14C0">
      <w:pPr>
        <w:pStyle w:val="paragraph"/>
      </w:pPr>
      <w:r w:rsidRPr="000B45F3">
        <w:tab/>
        <w:t>(c)</w:t>
      </w:r>
      <w:r w:rsidRPr="000B45F3">
        <w:tab/>
        <w:t>the periods for which those levies must be paid.</w:t>
      </w:r>
    </w:p>
    <w:p w14:paraId="622CDBBE" w14:textId="77777777" w:rsidR="006B14C0" w:rsidRPr="000B45F3" w:rsidRDefault="006B14C0" w:rsidP="006B14C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6B14C0" w:rsidRPr="000B45F3" w14:paraId="34A81CEC" w14:textId="77777777" w:rsidTr="006B14C0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DF6EB27" w14:textId="77777777" w:rsidR="006B14C0" w:rsidRPr="000B45F3" w:rsidRDefault="006B14C0" w:rsidP="006B14C0">
            <w:pPr>
              <w:pStyle w:val="TableHeading"/>
            </w:pPr>
            <w:r w:rsidRPr="000B45F3">
              <w:t xml:space="preserve">Levies imposed on holders of </w:t>
            </w:r>
            <w:r w:rsidR="006023FF" w:rsidRPr="000B45F3">
              <w:t xml:space="preserve">transmission and infrastructure </w:t>
            </w:r>
            <w:r w:rsidRPr="000B45F3">
              <w:t>licences</w:t>
            </w:r>
          </w:p>
        </w:tc>
      </w:tr>
      <w:tr w:rsidR="006B14C0" w:rsidRPr="000B45F3" w14:paraId="1F954897" w14:textId="77777777" w:rsidTr="006B14C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6A56FD" w14:textId="77777777" w:rsidR="006B14C0" w:rsidRPr="000B45F3" w:rsidRDefault="006B14C0" w:rsidP="006B14C0">
            <w:pPr>
              <w:pStyle w:val="TableHeading"/>
            </w:pPr>
            <w:r w:rsidRPr="000B45F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97E5CC" w14:textId="77777777" w:rsidR="006B14C0" w:rsidRPr="000B45F3" w:rsidRDefault="006B14C0" w:rsidP="006B14C0">
            <w:pPr>
              <w:pStyle w:val="TableHeading"/>
            </w:pPr>
            <w:r w:rsidRPr="000B45F3">
              <w:t>Kind of levy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057C4A9" w14:textId="77777777" w:rsidR="006B14C0" w:rsidRPr="000B45F3" w:rsidRDefault="006B14C0" w:rsidP="006B14C0">
            <w:pPr>
              <w:pStyle w:val="TableHeading"/>
            </w:pPr>
            <w:r w:rsidRPr="000B45F3">
              <w:t>Period for which levy must be paid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20637C" w14:textId="77777777" w:rsidR="006B14C0" w:rsidRPr="000B45F3" w:rsidRDefault="006B14C0" w:rsidP="006B14C0">
            <w:pPr>
              <w:pStyle w:val="TableHeading"/>
            </w:pPr>
            <w:r w:rsidRPr="000B45F3">
              <w:t>Amount of levy</w:t>
            </w:r>
          </w:p>
        </w:tc>
      </w:tr>
      <w:tr w:rsidR="006B14C0" w:rsidRPr="000B45F3" w14:paraId="209AAB9D" w14:textId="77777777" w:rsidTr="006B14C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D0E99B4" w14:textId="77777777" w:rsidR="006B14C0" w:rsidRPr="000B45F3" w:rsidRDefault="006B14C0" w:rsidP="006B14C0">
            <w:pPr>
              <w:pStyle w:val="Tabletext"/>
            </w:pPr>
            <w:r w:rsidRPr="000B45F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742B67DA" w14:textId="77777777" w:rsidR="006B14C0" w:rsidRPr="000B45F3" w:rsidRDefault="006B14C0" w:rsidP="006B14C0">
            <w:pPr>
              <w:pStyle w:val="Tabletext"/>
            </w:pPr>
            <w:r w:rsidRPr="000B45F3">
              <w:t>Annual licence levy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403C11C1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14:paraId="5B81E0D1" w14:textId="77777777" w:rsidR="006B14C0" w:rsidRPr="000B45F3" w:rsidRDefault="006B14C0" w:rsidP="006B14C0">
            <w:pPr>
              <w:pStyle w:val="Tabletext"/>
            </w:pPr>
            <w:r w:rsidRPr="000B45F3">
              <w:t>$</w:t>
            </w:r>
            <w:r w:rsidR="006A6189" w:rsidRPr="000B45F3">
              <w:t>120,000</w:t>
            </w:r>
          </w:p>
        </w:tc>
      </w:tr>
      <w:tr w:rsidR="006B14C0" w:rsidRPr="000B45F3" w14:paraId="00105CB3" w14:textId="77777777" w:rsidTr="006B14C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8B658E9" w14:textId="77777777" w:rsidR="006B14C0" w:rsidRPr="000B45F3" w:rsidRDefault="006B14C0" w:rsidP="006B14C0">
            <w:pPr>
              <w:pStyle w:val="Tabletext"/>
            </w:pPr>
            <w:r w:rsidRPr="000B45F3">
              <w:t>2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367DC94C" w14:textId="77777777" w:rsidR="006B14C0" w:rsidRPr="000B45F3" w:rsidRDefault="006B14C0" w:rsidP="006B14C0">
            <w:pPr>
              <w:pStyle w:val="Tabletext"/>
            </w:pPr>
            <w:r w:rsidRPr="000B45F3">
              <w:t>Annual compliance levy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12A03C9B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</w:t>
            </w:r>
            <w:r w:rsidRPr="000B45F3">
              <w:lastRenderedPageBreak/>
              <w:t xml:space="preserve">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14:paraId="2841D18A" w14:textId="77777777" w:rsidR="006B14C0" w:rsidRPr="000B45F3" w:rsidRDefault="006028D1" w:rsidP="006B14C0">
            <w:pPr>
              <w:pStyle w:val="Tabletext"/>
            </w:pPr>
            <w:r w:rsidRPr="000B45F3">
              <w:lastRenderedPageBreak/>
              <w:t>$</w:t>
            </w:r>
            <w:r w:rsidR="006A6189" w:rsidRPr="000B45F3">
              <w:t>100,000</w:t>
            </w:r>
          </w:p>
        </w:tc>
      </w:tr>
      <w:tr w:rsidR="006B14C0" w:rsidRPr="000B45F3" w14:paraId="1CF09872" w14:textId="77777777" w:rsidTr="006B14C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C0F009" w14:textId="77777777" w:rsidR="006B14C0" w:rsidRPr="000B45F3" w:rsidRDefault="006B14C0" w:rsidP="006B14C0">
            <w:pPr>
              <w:pStyle w:val="Tabletext"/>
            </w:pPr>
            <w:r w:rsidRPr="000B45F3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C534CF" w14:textId="77777777" w:rsidR="006B14C0" w:rsidRPr="000B45F3" w:rsidRDefault="006B14C0" w:rsidP="006B14C0">
            <w:pPr>
              <w:pStyle w:val="Tabletext"/>
            </w:pPr>
            <w:r w:rsidRPr="000B45F3">
              <w:t>Annual Commonwealth levy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87986D" w14:textId="77777777" w:rsidR="006B14C0" w:rsidRPr="000B45F3" w:rsidRDefault="00121890" w:rsidP="006B14C0">
            <w:pPr>
              <w:pStyle w:val="Tabletext"/>
            </w:pPr>
            <w:r w:rsidRPr="000B45F3">
              <w:t xml:space="preserve">Each period of 12 months for which the licence is </w:t>
            </w:r>
            <w:r w:rsidR="003C191C" w:rsidRPr="000B45F3">
              <w:t>held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EF49D7" w14:textId="77777777" w:rsidR="006B14C0" w:rsidRPr="000B45F3" w:rsidRDefault="00D15CEC" w:rsidP="006B14C0">
            <w:pPr>
              <w:pStyle w:val="Tabletext"/>
            </w:pPr>
            <w:r w:rsidRPr="000B45F3">
              <w:t>$</w:t>
            </w:r>
            <w:r w:rsidR="00A40043" w:rsidRPr="000B45F3">
              <w:t>295</w:t>
            </w:r>
            <w:r w:rsidR="006A6189" w:rsidRPr="000B45F3">
              <w:t>,</w:t>
            </w:r>
            <w:r w:rsidR="00A40043" w:rsidRPr="000B45F3">
              <w:t>186</w:t>
            </w:r>
          </w:p>
        </w:tc>
      </w:tr>
    </w:tbl>
    <w:p w14:paraId="55151100" w14:textId="77777777" w:rsidR="006B14C0" w:rsidRPr="000B45F3" w:rsidRDefault="006B14C0" w:rsidP="006B14C0">
      <w:pPr>
        <w:pStyle w:val="Tabletext"/>
      </w:pPr>
    </w:p>
    <w:p w14:paraId="243A00B2" w14:textId="77777777" w:rsidR="003C191C" w:rsidRPr="000B45F3" w:rsidRDefault="003C191C" w:rsidP="003C191C">
      <w:pPr>
        <w:pStyle w:val="notetext"/>
      </w:pPr>
      <w:r w:rsidRPr="000B45F3">
        <w:t>Note:</w:t>
      </w:r>
      <w:r w:rsidRPr="000B45F3">
        <w:tab/>
        <w:t>A period of 12 months for which the licence is held begins on the day the licence is granted or on an anniversary of that day.</w:t>
      </w:r>
    </w:p>
    <w:p w14:paraId="60398261" w14:textId="77777777" w:rsidR="00E66ABA" w:rsidRPr="000B45F3" w:rsidRDefault="0009239D" w:rsidP="00E66ABA">
      <w:pPr>
        <w:pStyle w:val="ActHead5"/>
      </w:pPr>
      <w:bookmarkStart w:id="12" w:name="_Toc109665140"/>
      <w:r w:rsidRPr="000B45F3">
        <w:rPr>
          <w:rStyle w:val="CharSectno"/>
        </w:rPr>
        <w:t>9</w:t>
      </w:r>
      <w:r w:rsidR="00E66ABA" w:rsidRPr="000B45F3">
        <w:t xml:space="preserve">  Levies are imposed at start of period</w:t>
      </w:r>
      <w:r w:rsidR="00A04CC4" w:rsidRPr="000B45F3">
        <w:t>, and for full period</w:t>
      </w:r>
      <w:bookmarkEnd w:id="12"/>
    </w:p>
    <w:p w14:paraId="194BBBA7" w14:textId="77777777" w:rsidR="00E66ABA" w:rsidRPr="000B45F3" w:rsidRDefault="00E66ABA" w:rsidP="00E66ABA">
      <w:pPr>
        <w:pStyle w:val="subsection"/>
      </w:pPr>
      <w:r w:rsidRPr="000B45F3">
        <w:tab/>
      </w:r>
      <w:r w:rsidRPr="000B45F3">
        <w:tab/>
        <w:t>To avoid doubt:</w:t>
      </w:r>
    </w:p>
    <w:p w14:paraId="096AA52D" w14:textId="77777777" w:rsidR="00E66ABA" w:rsidRPr="000B45F3" w:rsidRDefault="00E66ABA" w:rsidP="00E66ABA">
      <w:pPr>
        <w:pStyle w:val="paragraph"/>
      </w:pPr>
      <w:r w:rsidRPr="000B45F3">
        <w:tab/>
        <w:t>(a)</w:t>
      </w:r>
      <w:r w:rsidRPr="000B45F3">
        <w:tab/>
        <w:t xml:space="preserve">a levy that relates to a period for which a licence is held is imposed on the person </w:t>
      </w:r>
      <w:r w:rsidR="00A74872" w:rsidRPr="000B45F3">
        <w:t>who</w:t>
      </w:r>
      <w:r w:rsidRPr="000B45F3">
        <w:t xml:space="preserve"> holds the licence at the start of that period; and</w:t>
      </w:r>
    </w:p>
    <w:p w14:paraId="5B4F68F7" w14:textId="77777777" w:rsidR="004012C3" w:rsidRPr="000B45F3" w:rsidRDefault="004012C3" w:rsidP="004012C3">
      <w:pPr>
        <w:pStyle w:val="paragraph"/>
      </w:pPr>
      <w:r w:rsidRPr="000B45F3">
        <w:tab/>
        <w:t>(b)</w:t>
      </w:r>
      <w:r w:rsidRPr="000B45F3">
        <w:tab/>
        <w:t xml:space="preserve">subject to sections </w:t>
      </w:r>
      <w:r w:rsidR="0009239D" w:rsidRPr="000B45F3">
        <w:t>10</w:t>
      </w:r>
      <w:r w:rsidRPr="000B45F3">
        <w:t xml:space="preserve"> (licences that cease to be in effect during payment periods) and </w:t>
      </w:r>
      <w:r w:rsidR="0009239D" w:rsidRPr="000B45F3">
        <w:t>11</w:t>
      </w:r>
      <w:r w:rsidRPr="000B45F3">
        <w:t xml:space="preserve"> (</w:t>
      </w:r>
      <w:r w:rsidR="00751C0A" w:rsidRPr="000B45F3">
        <w:t>parts of licence areas that become vacated areas during payment periods</w:t>
      </w:r>
      <w:r w:rsidRPr="000B45F3">
        <w:t>), the full amount of the levy is imposed even if the person does not intend to hold the licence for the whole period.</w:t>
      </w:r>
    </w:p>
    <w:p w14:paraId="107ABFB9" w14:textId="77777777" w:rsidR="004012C3" w:rsidRPr="000B45F3" w:rsidRDefault="004012C3" w:rsidP="004012C3">
      <w:pPr>
        <w:pStyle w:val="notetext"/>
      </w:pPr>
      <w:r w:rsidRPr="000B45F3">
        <w:t>Note:</w:t>
      </w:r>
      <w:r w:rsidRPr="000B45F3">
        <w:tab/>
        <w:t xml:space="preserve">However, if the licence ceases to be in effect, or if a part of the licence area becomes a vacated area, an amount of levy may be refunded (see section </w:t>
      </w:r>
      <w:r w:rsidR="003F41CA" w:rsidRPr="000B45F3">
        <w:t>48</w:t>
      </w:r>
      <w:r w:rsidRPr="000B45F3">
        <w:t xml:space="preserve"> of the </w:t>
      </w:r>
      <w:r w:rsidRPr="000B45F3">
        <w:rPr>
          <w:i/>
        </w:rPr>
        <w:t xml:space="preserve">Offshore Electricity Infrastructure </w:t>
      </w:r>
      <w:r w:rsidR="00654717" w:rsidRPr="000B45F3">
        <w:rPr>
          <w:i/>
        </w:rPr>
        <w:t>Regulations 2</w:t>
      </w:r>
      <w:r w:rsidRPr="000B45F3">
        <w:rPr>
          <w:i/>
        </w:rPr>
        <w:t>022</w:t>
      </w:r>
      <w:r w:rsidRPr="000B45F3">
        <w:t>).</w:t>
      </w:r>
    </w:p>
    <w:p w14:paraId="5019D693" w14:textId="77777777" w:rsidR="00B8608A" w:rsidRPr="000B45F3" w:rsidRDefault="00FA06BE" w:rsidP="00B8608A">
      <w:pPr>
        <w:pStyle w:val="ActHead2"/>
        <w:pageBreakBefore/>
      </w:pPr>
      <w:bookmarkStart w:id="13" w:name="_Toc109665141"/>
      <w:r w:rsidRPr="000B45F3">
        <w:rPr>
          <w:rStyle w:val="CharPartNo"/>
        </w:rPr>
        <w:lastRenderedPageBreak/>
        <w:t>Part </w:t>
      </w:r>
      <w:r w:rsidR="00300F09" w:rsidRPr="000B45F3">
        <w:rPr>
          <w:rStyle w:val="CharPartNo"/>
        </w:rPr>
        <w:t>3</w:t>
      </w:r>
      <w:r w:rsidR="00B8608A" w:rsidRPr="000B45F3">
        <w:t>—</w:t>
      </w:r>
      <w:r w:rsidR="00B8608A" w:rsidRPr="000B45F3">
        <w:rPr>
          <w:rStyle w:val="CharPartText"/>
        </w:rPr>
        <w:t>Adjusting levies</w:t>
      </w:r>
      <w:bookmarkEnd w:id="13"/>
    </w:p>
    <w:p w14:paraId="0A49B25A" w14:textId="77777777" w:rsidR="00B8608A" w:rsidRPr="000B45F3" w:rsidRDefault="00B8608A" w:rsidP="00B8608A">
      <w:pPr>
        <w:pStyle w:val="Header"/>
      </w:pPr>
      <w:r w:rsidRPr="000B45F3">
        <w:rPr>
          <w:rStyle w:val="CharDivNo"/>
        </w:rPr>
        <w:t xml:space="preserve"> </w:t>
      </w:r>
      <w:r w:rsidRPr="000B45F3">
        <w:rPr>
          <w:rStyle w:val="CharDivText"/>
        </w:rPr>
        <w:t xml:space="preserve"> </w:t>
      </w:r>
    </w:p>
    <w:p w14:paraId="484BDE38" w14:textId="77777777" w:rsidR="006B14C0" w:rsidRPr="000B45F3" w:rsidRDefault="0009239D" w:rsidP="00D15CEC">
      <w:pPr>
        <w:pStyle w:val="ActHead5"/>
      </w:pPr>
      <w:bookmarkStart w:id="14" w:name="_Toc109665142"/>
      <w:r w:rsidRPr="000B45F3">
        <w:rPr>
          <w:rStyle w:val="CharSectno"/>
        </w:rPr>
        <w:t>10</w:t>
      </w:r>
      <w:r w:rsidR="00D15CEC" w:rsidRPr="000B45F3">
        <w:t xml:space="preserve">  Licences </w:t>
      </w:r>
      <w:r w:rsidR="00327427" w:rsidRPr="000B45F3">
        <w:t xml:space="preserve">that cease to be in effect during </w:t>
      </w:r>
      <w:r w:rsidR="00584A43" w:rsidRPr="000B45F3">
        <w:t xml:space="preserve">payment </w:t>
      </w:r>
      <w:r w:rsidR="00D15CEC" w:rsidRPr="000B45F3">
        <w:t>periods</w:t>
      </w:r>
      <w:bookmarkEnd w:id="14"/>
    </w:p>
    <w:p w14:paraId="2198D4AD" w14:textId="77777777" w:rsidR="00327427" w:rsidRPr="000B45F3" w:rsidRDefault="00327427" w:rsidP="00327427">
      <w:pPr>
        <w:pStyle w:val="subsection"/>
      </w:pPr>
      <w:r w:rsidRPr="000B45F3">
        <w:tab/>
        <w:t>(1)</w:t>
      </w:r>
      <w:r w:rsidRPr="000B45F3">
        <w:tab/>
        <w:t>This section applies if, during a period mentioned in Part 2 (amounts of levy), a licence:</w:t>
      </w:r>
    </w:p>
    <w:p w14:paraId="7F23AB83" w14:textId="77777777" w:rsidR="00327427" w:rsidRPr="000B45F3" w:rsidRDefault="00327427" w:rsidP="00327427">
      <w:pPr>
        <w:pStyle w:val="paragraph"/>
      </w:pPr>
      <w:r w:rsidRPr="000B45F3">
        <w:tab/>
        <w:t>(a)</w:t>
      </w:r>
      <w:r w:rsidRPr="000B45F3">
        <w:tab/>
        <w:t>is cancelled; or</w:t>
      </w:r>
    </w:p>
    <w:p w14:paraId="1677C969" w14:textId="77777777" w:rsidR="00030327" w:rsidRPr="000B45F3" w:rsidRDefault="00030327" w:rsidP="00030327">
      <w:pPr>
        <w:pStyle w:val="paragraph"/>
      </w:pPr>
      <w:r w:rsidRPr="000B45F3">
        <w:tab/>
        <w:t>(b)</w:t>
      </w:r>
      <w:r w:rsidRPr="000B45F3">
        <w:tab/>
        <w:t xml:space="preserve">ceases to be in force under </w:t>
      </w:r>
      <w:r w:rsidR="00654717" w:rsidRPr="000B45F3">
        <w:t>paragraph 7</w:t>
      </w:r>
      <w:r w:rsidRPr="000B45F3">
        <w:t xml:space="preserve">4(6)(a) (licence surrender) of the </w:t>
      </w:r>
      <w:r w:rsidR="00751C0A" w:rsidRPr="000B45F3">
        <w:rPr>
          <w:i/>
        </w:rPr>
        <w:t>Offshore Electricity Infrastructure Act 2021</w:t>
      </w:r>
      <w:r w:rsidRPr="000B45F3">
        <w:t>; or</w:t>
      </w:r>
    </w:p>
    <w:p w14:paraId="0C768EB3" w14:textId="77777777" w:rsidR="00327427" w:rsidRPr="000B45F3" w:rsidRDefault="00327427" w:rsidP="00327427">
      <w:pPr>
        <w:pStyle w:val="paragraph"/>
      </w:pPr>
      <w:r w:rsidRPr="000B45F3">
        <w:tab/>
        <w:t>(</w:t>
      </w:r>
      <w:r w:rsidR="00030327" w:rsidRPr="000B45F3">
        <w:t>c</w:t>
      </w:r>
      <w:r w:rsidRPr="000B45F3">
        <w:t>)</w:t>
      </w:r>
      <w:r w:rsidRPr="000B45F3">
        <w:tab/>
      </w:r>
      <w:r w:rsidR="00030327" w:rsidRPr="000B45F3">
        <w:t xml:space="preserve">in the case of a feasibility licence—ceases to have effect under </w:t>
      </w:r>
      <w:r w:rsidR="00654717" w:rsidRPr="000B45F3">
        <w:t>paragraph 3</w:t>
      </w:r>
      <w:r w:rsidR="00030327" w:rsidRPr="000B45F3">
        <w:t>6(4)(a) of th</w:t>
      </w:r>
      <w:r w:rsidR="00237372" w:rsidRPr="000B45F3">
        <w:t>at Act</w:t>
      </w:r>
      <w:r w:rsidRPr="000B45F3">
        <w:t>; or</w:t>
      </w:r>
    </w:p>
    <w:p w14:paraId="3B4D1C6E" w14:textId="77777777" w:rsidR="00327427" w:rsidRPr="000B45F3" w:rsidRDefault="00327427" w:rsidP="00327427">
      <w:pPr>
        <w:pStyle w:val="paragraph"/>
      </w:pPr>
      <w:r w:rsidRPr="000B45F3">
        <w:tab/>
        <w:t>(</w:t>
      </w:r>
      <w:r w:rsidR="00030327" w:rsidRPr="000B45F3">
        <w:t>d</w:t>
      </w:r>
      <w:r w:rsidRPr="000B45F3">
        <w:t>)</w:t>
      </w:r>
      <w:r w:rsidRPr="000B45F3">
        <w:tab/>
        <w:t>otherwise ceases to be in effect.</w:t>
      </w:r>
    </w:p>
    <w:p w14:paraId="184872AB" w14:textId="77777777" w:rsidR="00030327" w:rsidRPr="000B45F3" w:rsidRDefault="00030327" w:rsidP="00030327">
      <w:pPr>
        <w:pStyle w:val="notetext"/>
      </w:pPr>
      <w:r w:rsidRPr="000B45F3">
        <w:t>Note:</w:t>
      </w:r>
      <w:r w:rsidRPr="000B45F3">
        <w:tab/>
      </w:r>
      <w:r w:rsidR="00873024" w:rsidRPr="000B45F3">
        <w:t xml:space="preserve">This section does not apply merely because a licence reaches its end day (within the meaning of the </w:t>
      </w:r>
      <w:r w:rsidR="00873024" w:rsidRPr="000B45F3">
        <w:rPr>
          <w:i/>
        </w:rPr>
        <w:t>Offshore Electricity Infrastructure Act 2021</w:t>
      </w:r>
      <w:r w:rsidR="00873024" w:rsidRPr="000B45F3">
        <w:t>).</w:t>
      </w:r>
    </w:p>
    <w:p w14:paraId="2E63C145" w14:textId="77777777" w:rsidR="00327427" w:rsidRPr="000B45F3" w:rsidRDefault="00327427" w:rsidP="00327427">
      <w:pPr>
        <w:pStyle w:val="subsection"/>
      </w:pPr>
      <w:r w:rsidRPr="000B45F3">
        <w:tab/>
        <w:t>(2)</w:t>
      </w:r>
      <w:r w:rsidRPr="000B45F3">
        <w:tab/>
        <w:t xml:space="preserve">Part 2 applies as if the licence were held for the whole of the period, but the amount of levy is to be worked out on a pro rata basis by reference to the number of days in the period before the licence </w:t>
      </w:r>
      <w:r w:rsidR="00030327" w:rsidRPr="000B45F3">
        <w:t>ceased to be in effect</w:t>
      </w:r>
      <w:r w:rsidRPr="000B45F3">
        <w:t>.</w:t>
      </w:r>
    </w:p>
    <w:p w14:paraId="43FA41EB" w14:textId="77777777" w:rsidR="004012C3" w:rsidRPr="000B45F3" w:rsidRDefault="0009239D" w:rsidP="004012C3">
      <w:pPr>
        <w:pStyle w:val="ActHead5"/>
      </w:pPr>
      <w:bookmarkStart w:id="15" w:name="_Toc109665143"/>
      <w:r w:rsidRPr="000B45F3">
        <w:rPr>
          <w:rStyle w:val="CharSectno"/>
        </w:rPr>
        <w:t>11</w:t>
      </w:r>
      <w:r w:rsidR="004012C3" w:rsidRPr="000B45F3">
        <w:t xml:space="preserve">  </w:t>
      </w:r>
      <w:r w:rsidR="007122E8" w:rsidRPr="000B45F3">
        <w:t>Parts of l</w:t>
      </w:r>
      <w:r w:rsidR="004012C3" w:rsidRPr="000B45F3">
        <w:t xml:space="preserve">icence areas </w:t>
      </w:r>
      <w:r w:rsidR="007122E8" w:rsidRPr="000B45F3">
        <w:t xml:space="preserve">that become vacated areas </w:t>
      </w:r>
      <w:r w:rsidR="004012C3" w:rsidRPr="000B45F3">
        <w:t>during payment periods</w:t>
      </w:r>
      <w:bookmarkEnd w:id="15"/>
    </w:p>
    <w:p w14:paraId="72BFA3A4" w14:textId="77777777" w:rsidR="004012C3" w:rsidRPr="000B45F3" w:rsidRDefault="004012C3" w:rsidP="004012C3">
      <w:pPr>
        <w:pStyle w:val="subsection"/>
      </w:pPr>
      <w:r w:rsidRPr="000B45F3">
        <w:tab/>
        <w:t>(1)</w:t>
      </w:r>
      <w:r w:rsidRPr="000B45F3">
        <w:tab/>
        <w:t>This section applies if:</w:t>
      </w:r>
    </w:p>
    <w:p w14:paraId="3CF5D186" w14:textId="77777777" w:rsidR="004012C3" w:rsidRPr="000B45F3" w:rsidRDefault="004012C3" w:rsidP="004012C3">
      <w:pPr>
        <w:pStyle w:val="paragraph"/>
      </w:pPr>
      <w:r w:rsidRPr="000B45F3">
        <w:tab/>
        <w:t>(a)</w:t>
      </w:r>
      <w:r w:rsidRPr="000B45F3">
        <w:tab/>
        <w:t>during a period mentioned in Part 2 (amounts of levy)</w:t>
      </w:r>
      <w:r w:rsidR="00110F79" w:rsidRPr="000B45F3">
        <w:t>,</w:t>
      </w:r>
      <w:r w:rsidR="007122E8" w:rsidRPr="000B45F3">
        <w:t xml:space="preserve"> part of a licence’s licence area becomes a vacated area in relation to the licence (otherwise than because the licence has ceased to be in effect)</w:t>
      </w:r>
      <w:r w:rsidRPr="000B45F3">
        <w:t>; and</w:t>
      </w:r>
    </w:p>
    <w:p w14:paraId="3D73E0C4" w14:textId="77777777" w:rsidR="004012C3" w:rsidRPr="000B45F3" w:rsidRDefault="004012C3" w:rsidP="004012C3">
      <w:pPr>
        <w:pStyle w:val="paragraph"/>
      </w:pPr>
      <w:r w:rsidRPr="000B45F3">
        <w:tab/>
        <w:t>(b)</w:t>
      </w:r>
      <w:r w:rsidRPr="000B45F3">
        <w:tab/>
        <w:t>an amount of offshore electricity infrastructure levy payable for the licence is worked out by reference to the licence area.</w:t>
      </w:r>
    </w:p>
    <w:p w14:paraId="218285F0" w14:textId="77777777" w:rsidR="004012C3" w:rsidRPr="000B45F3" w:rsidRDefault="004012C3" w:rsidP="004012C3">
      <w:pPr>
        <w:pStyle w:val="subsection"/>
      </w:pPr>
      <w:r w:rsidRPr="000B45F3">
        <w:tab/>
        <w:t>(2)</w:t>
      </w:r>
      <w:r w:rsidRPr="000B45F3">
        <w:tab/>
        <w:t xml:space="preserve">The amount payable by reference to the licence area is to be worked out on a pro rata basis by reference to the number of days in the period before and after the </w:t>
      </w:r>
      <w:r w:rsidR="007122E8" w:rsidRPr="000B45F3">
        <w:t>area becomes a vacated area</w:t>
      </w:r>
      <w:r w:rsidRPr="000B45F3">
        <w:t>.</w:t>
      </w:r>
    </w:p>
    <w:sectPr w:rsidR="004012C3" w:rsidRPr="000B45F3" w:rsidSect="00567F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D4B3" w14:textId="77777777" w:rsidR="007F03EB" w:rsidRDefault="007F03EB" w:rsidP="00715914">
      <w:pPr>
        <w:spacing w:line="240" w:lineRule="auto"/>
      </w:pPr>
      <w:r>
        <w:separator/>
      </w:r>
    </w:p>
  </w:endnote>
  <w:endnote w:type="continuationSeparator" w:id="0">
    <w:p w14:paraId="2188205B" w14:textId="77777777" w:rsidR="007F03EB" w:rsidRDefault="007F03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8454" w14:textId="77777777" w:rsidR="000B45F3" w:rsidRPr="00567F8C" w:rsidRDefault="00567F8C" w:rsidP="00567F8C">
    <w:pPr>
      <w:pStyle w:val="Footer"/>
      <w:rPr>
        <w:i/>
        <w:sz w:val="18"/>
      </w:rPr>
    </w:pPr>
    <w:r w:rsidRPr="00567F8C">
      <w:rPr>
        <w:i/>
        <w:sz w:val="18"/>
      </w:rPr>
      <w:t>OPC65433 -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D101" w14:textId="77777777" w:rsidR="007F03EB" w:rsidRDefault="007F03EB" w:rsidP="007500C8">
    <w:pPr>
      <w:pStyle w:val="Footer"/>
    </w:pPr>
  </w:p>
  <w:p w14:paraId="0A730E53" w14:textId="77777777" w:rsidR="007F03EB" w:rsidRPr="00567F8C" w:rsidRDefault="00567F8C" w:rsidP="00567F8C">
    <w:pPr>
      <w:pStyle w:val="Footer"/>
      <w:rPr>
        <w:i/>
        <w:sz w:val="18"/>
      </w:rPr>
    </w:pPr>
    <w:r w:rsidRPr="00567F8C">
      <w:rPr>
        <w:i/>
        <w:sz w:val="18"/>
      </w:rPr>
      <w:t>OPC65433 -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9B1D" w14:textId="77777777" w:rsidR="007F03EB" w:rsidRPr="00567F8C" w:rsidRDefault="00567F8C" w:rsidP="00567F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7F8C">
      <w:rPr>
        <w:i/>
        <w:sz w:val="18"/>
      </w:rPr>
      <w:t>OPC65433 -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A7FC" w14:textId="77777777" w:rsidR="007D324A" w:rsidRPr="00E33C1C" w:rsidRDefault="007D32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324A" w14:paraId="0CC3AA17" w14:textId="77777777" w:rsidTr="000B4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0471D" w14:textId="77777777" w:rsidR="007D324A" w:rsidRDefault="007D324A" w:rsidP="005336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4F1D7" w14:textId="0319950F" w:rsidR="007D324A" w:rsidRDefault="007D324A" w:rsidP="005336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A21">
            <w:rPr>
              <w:i/>
              <w:sz w:val="18"/>
            </w:rPr>
            <w:t>Offshore Electricity Infrastructure (Regulatory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2E7177" w14:textId="77777777" w:rsidR="007D324A" w:rsidRDefault="007D324A" w:rsidP="00533623">
          <w:pPr>
            <w:spacing w:line="0" w:lineRule="atLeast"/>
            <w:jc w:val="right"/>
            <w:rPr>
              <w:sz w:val="18"/>
            </w:rPr>
          </w:pPr>
        </w:p>
      </w:tc>
    </w:tr>
  </w:tbl>
  <w:p w14:paraId="4960EF40" w14:textId="77777777" w:rsidR="007D324A" w:rsidRPr="00567F8C" w:rsidRDefault="00567F8C" w:rsidP="00567F8C">
    <w:pPr>
      <w:rPr>
        <w:rFonts w:cs="Times New Roman"/>
        <w:i/>
        <w:sz w:val="18"/>
      </w:rPr>
    </w:pPr>
    <w:r w:rsidRPr="00567F8C">
      <w:rPr>
        <w:rFonts w:cs="Times New Roman"/>
        <w:i/>
        <w:sz w:val="18"/>
      </w:rPr>
      <w:t>OPC65433 -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C74A" w14:textId="77777777" w:rsidR="007D324A" w:rsidRPr="00E33C1C" w:rsidRDefault="007D324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D324A" w14:paraId="59560B6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422ED5" w14:textId="77777777" w:rsidR="007D324A" w:rsidRDefault="007D324A" w:rsidP="0053362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30B901F" w14:textId="240EA35F" w:rsidR="007D324A" w:rsidRDefault="007D324A" w:rsidP="005336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A21">
            <w:rPr>
              <w:i/>
              <w:sz w:val="18"/>
            </w:rPr>
            <w:t>Offshore Electricity Infrastructure (Regulatory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A4E0F0" w14:textId="77777777" w:rsidR="007D324A" w:rsidRDefault="007D324A" w:rsidP="005336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A7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00AC23" w14:textId="77777777" w:rsidR="007D324A" w:rsidRPr="00567F8C" w:rsidRDefault="00567F8C" w:rsidP="00567F8C">
    <w:pPr>
      <w:rPr>
        <w:rFonts w:cs="Times New Roman"/>
        <w:i/>
        <w:sz w:val="18"/>
      </w:rPr>
    </w:pPr>
    <w:r w:rsidRPr="00567F8C">
      <w:rPr>
        <w:rFonts w:cs="Times New Roman"/>
        <w:i/>
        <w:sz w:val="18"/>
      </w:rPr>
      <w:t>OPC65433 -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5142" w14:textId="77777777" w:rsidR="007F03EB" w:rsidRPr="00E33C1C" w:rsidRDefault="007F03E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03EB" w14:paraId="1C578D85" w14:textId="77777777" w:rsidTr="000B45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DE2651" w14:textId="77777777" w:rsidR="007F03EB" w:rsidRDefault="007F03EB" w:rsidP="0053362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A78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70ED5B" w14:textId="6282C20C" w:rsidR="007F03EB" w:rsidRDefault="007F03EB" w:rsidP="005336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A21">
            <w:rPr>
              <w:i/>
              <w:sz w:val="18"/>
            </w:rPr>
            <w:t>Offshore Electricity Infrastructure (Regulatory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4EA689" w14:textId="77777777" w:rsidR="007F03EB" w:rsidRDefault="007F03EB" w:rsidP="00533623">
          <w:pPr>
            <w:spacing w:line="0" w:lineRule="atLeast"/>
            <w:jc w:val="right"/>
            <w:rPr>
              <w:sz w:val="18"/>
            </w:rPr>
          </w:pPr>
        </w:p>
      </w:tc>
    </w:tr>
  </w:tbl>
  <w:p w14:paraId="65DCE02F" w14:textId="77777777" w:rsidR="007F03EB" w:rsidRPr="00567F8C" w:rsidRDefault="00567F8C" w:rsidP="00567F8C">
    <w:pPr>
      <w:rPr>
        <w:rFonts w:cs="Times New Roman"/>
        <w:i/>
        <w:sz w:val="18"/>
      </w:rPr>
    </w:pPr>
    <w:r w:rsidRPr="00567F8C">
      <w:rPr>
        <w:rFonts w:cs="Times New Roman"/>
        <w:i/>
        <w:sz w:val="18"/>
      </w:rPr>
      <w:t>OPC65433 -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FD64" w14:textId="77777777" w:rsidR="007F03EB" w:rsidRPr="00E33C1C" w:rsidRDefault="007F03E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03EB" w14:paraId="1D766131" w14:textId="77777777" w:rsidTr="005336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33A82B" w14:textId="77777777" w:rsidR="007F03EB" w:rsidRDefault="007F03EB" w:rsidP="005336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C72DFF" w14:textId="414758A4" w:rsidR="007F03EB" w:rsidRDefault="007F03EB" w:rsidP="005336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A21">
            <w:rPr>
              <w:i/>
              <w:sz w:val="18"/>
            </w:rPr>
            <w:t>Offshore Electricity Infrastructure (Regulatory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3C6833" w14:textId="77777777" w:rsidR="007F03EB" w:rsidRDefault="007F03EB" w:rsidP="005336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A7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7B6798" w14:textId="77777777" w:rsidR="007F03EB" w:rsidRPr="00567F8C" w:rsidRDefault="00567F8C" w:rsidP="00567F8C">
    <w:pPr>
      <w:rPr>
        <w:rFonts w:cs="Times New Roman"/>
        <w:i/>
        <w:sz w:val="18"/>
      </w:rPr>
    </w:pPr>
    <w:r w:rsidRPr="00567F8C">
      <w:rPr>
        <w:rFonts w:cs="Times New Roman"/>
        <w:i/>
        <w:sz w:val="18"/>
      </w:rPr>
      <w:t>OPC65433 -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E89E6" w14:textId="77777777" w:rsidR="007F03EB" w:rsidRPr="00E33C1C" w:rsidRDefault="007F03E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03EB" w14:paraId="42ED58B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CD41A2" w14:textId="77777777" w:rsidR="007F03EB" w:rsidRDefault="007F03EB" w:rsidP="0053362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B87BD" w14:textId="1A0AD51E" w:rsidR="007F03EB" w:rsidRDefault="007F03EB" w:rsidP="0053362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77A21">
            <w:rPr>
              <w:i/>
              <w:sz w:val="18"/>
            </w:rPr>
            <w:t>Offshore Electricity Infrastructure (Regulatory Levies)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735E16" w14:textId="77777777" w:rsidR="007F03EB" w:rsidRDefault="007F03EB" w:rsidP="0053362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7165E2" w14:textId="77777777" w:rsidR="007F03EB" w:rsidRPr="00567F8C" w:rsidRDefault="00567F8C" w:rsidP="00567F8C">
    <w:pPr>
      <w:rPr>
        <w:rFonts w:cs="Times New Roman"/>
        <w:i/>
        <w:sz w:val="18"/>
      </w:rPr>
    </w:pPr>
    <w:r w:rsidRPr="00567F8C">
      <w:rPr>
        <w:rFonts w:cs="Times New Roman"/>
        <w:i/>
        <w:sz w:val="18"/>
      </w:rPr>
      <w:t>OPC65433 -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46930" w14:textId="77777777" w:rsidR="007F03EB" w:rsidRDefault="007F03EB" w:rsidP="00715914">
      <w:pPr>
        <w:spacing w:line="240" w:lineRule="auto"/>
      </w:pPr>
      <w:r>
        <w:separator/>
      </w:r>
    </w:p>
  </w:footnote>
  <w:footnote w:type="continuationSeparator" w:id="0">
    <w:p w14:paraId="19761030" w14:textId="77777777" w:rsidR="007F03EB" w:rsidRDefault="007F03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7D82" w14:textId="77777777" w:rsidR="007F03EB" w:rsidRPr="005F1388" w:rsidRDefault="007F03E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B2EDC" w14:textId="77777777" w:rsidR="007F03EB" w:rsidRPr="005F1388" w:rsidRDefault="007F03E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0260" w14:textId="77777777" w:rsidR="007F03EB" w:rsidRPr="005F1388" w:rsidRDefault="007F03E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469D" w14:textId="77777777" w:rsidR="007D324A" w:rsidRPr="00ED79B6" w:rsidRDefault="007D324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E1F9" w14:textId="77777777" w:rsidR="007D324A" w:rsidRPr="00ED79B6" w:rsidRDefault="007D324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62F3" w14:textId="77777777" w:rsidR="007D324A" w:rsidRPr="00ED79B6" w:rsidRDefault="007D324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4973" w14:textId="1B69B074" w:rsidR="007D324A" w:rsidRDefault="007D32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F05B465" w14:textId="2702895E" w:rsidR="007D324A" w:rsidRDefault="007D324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57C8C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57C8C">
      <w:rPr>
        <w:noProof/>
        <w:sz w:val="20"/>
      </w:rPr>
      <w:t>Preliminary</w:t>
    </w:r>
    <w:r>
      <w:rPr>
        <w:sz w:val="20"/>
      </w:rPr>
      <w:fldChar w:fldCharType="end"/>
    </w:r>
  </w:p>
  <w:p w14:paraId="38E644A8" w14:textId="690BE386" w:rsidR="007D324A" w:rsidRPr="007A1328" w:rsidRDefault="007D324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4E4C32F" w14:textId="77777777" w:rsidR="007D324A" w:rsidRPr="007A1328" w:rsidRDefault="007D324A" w:rsidP="00715914">
    <w:pPr>
      <w:rPr>
        <w:b/>
        <w:sz w:val="24"/>
      </w:rPr>
    </w:pPr>
  </w:p>
  <w:p w14:paraId="0720E055" w14:textId="7CB2934C" w:rsidR="007D324A" w:rsidRPr="007A1328" w:rsidRDefault="007D324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7A2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7C8C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C056" w14:textId="2D661477" w:rsidR="007F03EB" w:rsidRPr="007A1328" w:rsidRDefault="007F03E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7A4639C" w14:textId="08FB29D0" w:rsidR="007F03EB" w:rsidRPr="007A1328" w:rsidRDefault="007F03E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57C8C">
      <w:rPr>
        <w:sz w:val="20"/>
      </w:rPr>
      <w:fldChar w:fldCharType="separate"/>
    </w:r>
    <w:r w:rsidR="00657C8C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57C8C">
      <w:rPr>
        <w:b/>
        <w:sz w:val="20"/>
      </w:rPr>
      <w:fldChar w:fldCharType="separate"/>
    </w:r>
    <w:r w:rsidR="00657C8C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88E0C46" w14:textId="5CD075B6" w:rsidR="007F03EB" w:rsidRPr="007A1328" w:rsidRDefault="007F03E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79A08A" w14:textId="77777777" w:rsidR="007F03EB" w:rsidRPr="007A1328" w:rsidRDefault="007F03EB" w:rsidP="00715914">
    <w:pPr>
      <w:jc w:val="right"/>
      <w:rPr>
        <w:b/>
        <w:sz w:val="24"/>
      </w:rPr>
    </w:pPr>
  </w:p>
  <w:p w14:paraId="01109013" w14:textId="011AA9C5" w:rsidR="007F03EB" w:rsidRPr="007A1328" w:rsidRDefault="007F03E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77A2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7C8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9DEB" w14:textId="77777777" w:rsidR="007F03EB" w:rsidRPr="007A1328" w:rsidRDefault="007F03E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296"/>
    <w:rsid w:val="00004470"/>
    <w:rsid w:val="000136AF"/>
    <w:rsid w:val="00030327"/>
    <w:rsid w:val="00032296"/>
    <w:rsid w:val="00037F11"/>
    <w:rsid w:val="000437C1"/>
    <w:rsid w:val="00043E1E"/>
    <w:rsid w:val="000502E9"/>
    <w:rsid w:val="00051E44"/>
    <w:rsid w:val="0005365D"/>
    <w:rsid w:val="000614BF"/>
    <w:rsid w:val="00062F89"/>
    <w:rsid w:val="000645F7"/>
    <w:rsid w:val="000757C6"/>
    <w:rsid w:val="000921C5"/>
    <w:rsid w:val="0009239D"/>
    <w:rsid w:val="000B0476"/>
    <w:rsid w:val="000B45F3"/>
    <w:rsid w:val="000B58FA"/>
    <w:rsid w:val="000B6071"/>
    <w:rsid w:val="000B6E07"/>
    <w:rsid w:val="000B7E30"/>
    <w:rsid w:val="000D05EF"/>
    <w:rsid w:val="000D4CF4"/>
    <w:rsid w:val="000E2261"/>
    <w:rsid w:val="000F21C1"/>
    <w:rsid w:val="000F45EE"/>
    <w:rsid w:val="00101571"/>
    <w:rsid w:val="0010745C"/>
    <w:rsid w:val="00110F79"/>
    <w:rsid w:val="00121890"/>
    <w:rsid w:val="0012458A"/>
    <w:rsid w:val="001320FB"/>
    <w:rsid w:val="00132A59"/>
    <w:rsid w:val="00132CEB"/>
    <w:rsid w:val="00142B62"/>
    <w:rsid w:val="00142FC6"/>
    <w:rsid w:val="00143963"/>
    <w:rsid w:val="0014539C"/>
    <w:rsid w:val="00153893"/>
    <w:rsid w:val="00157B8B"/>
    <w:rsid w:val="00160FD2"/>
    <w:rsid w:val="00166C2F"/>
    <w:rsid w:val="001721AC"/>
    <w:rsid w:val="00177858"/>
    <w:rsid w:val="001809D7"/>
    <w:rsid w:val="00193928"/>
    <w:rsid w:val="001939E1"/>
    <w:rsid w:val="00194C3E"/>
    <w:rsid w:val="00195382"/>
    <w:rsid w:val="0019683A"/>
    <w:rsid w:val="001A413D"/>
    <w:rsid w:val="001B1D14"/>
    <w:rsid w:val="001B5D26"/>
    <w:rsid w:val="001C1F6D"/>
    <w:rsid w:val="001C61C5"/>
    <w:rsid w:val="001C69C4"/>
    <w:rsid w:val="001D37EF"/>
    <w:rsid w:val="001E3590"/>
    <w:rsid w:val="001E6ADA"/>
    <w:rsid w:val="001E7407"/>
    <w:rsid w:val="001F5D5E"/>
    <w:rsid w:val="001F6219"/>
    <w:rsid w:val="001F699F"/>
    <w:rsid w:val="001F6CD4"/>
    <w:rsid w:val="002045BF"/>
    <w:rsid w:val="00206C4D"/>
    <w:rsid w:val="0021053C"/>
    <w:rsid w:val="0021136D"/>
    <w:rsid w:val="002150FD"/>
    <w:rsid w:val="00215AF1"/>
    <w:rsid w:val="002170F4"/>
    <w:rsid w:val="002207FC"/>
    <w:rsid w:val="00226562"/>
    <w:rsid w:val="002321E8"/>
    <w:rsid w:val="00236EEC"/>
    <w:rsid w:val="00237372"/>
    <w:rsid w:val="0024010F"/>
    <w:rsid w:val="00240749"/>
    <w:rsid w:val="002420D7"/>
    <w:rsid w:val="00243018"/>
    <w:rsid w:val="002479C8"/>
    <w:rsid w:val="002543F3"/>
    <w:rsid w:val="002564A4"/>
    <w:rsid w:val="00257C0B"/>
    <w:rsid w:val="00264568"/>
    <w:rsid w:val="0026736C"/>
    <w:rsid w:val="00277BC6"/>
    <w:rsid w:val="00281308"/>
    <w:rsid w:val="00284719"/>
    <w:rsid w:val="00297ECB"/>
    <w:rsid w:val="002A7BCF"/>
    <w:rsid w:val="002B257B"/>
    <w:rsid w:val="002C4A40"/>
    <w:rsid w:val="002D043A"/>
    <w:rsid w:val="002D395B"/>
    <w:rsid w:val="002D6224"/>
    <w:rsid w:val="002E3F4B"/>
    <w:rsid w:val="00300F09"/>
    <w:rsid w:val="00304F8B"/>
    <w:rsid w:val="0032490D"/>
    <w:rsid w:val="00327427"/>
    <w:rsid w:val="00333ACF"/>
    <w:rsid w:val="003354D2"/>
    <w:rsid w:val="00335BC6"/>
    <w:rsid w:val="003415D3"/>
    <w:rsid w:val="00344701"/>
    <w:rsid w:val="00346EAB"/>
    <w:rsid w:val="00351D50"/>
    <w:rsid w:val="00352B0F"/>
    <w:rsid w:val="003533F8"/>
    <w:rsid w:val="00356690"/>
    <w:rsid w:val="00360459"/>
    <w:rsid w:val="0038293C"/>
    <w:rsid w:val="003B77A7"/>
    <w:rsid w:val="003C0524"/>
    <w:rsid w:val="003C191C"/>
    <w:rsid w:val="003C6231"/>
    <w:rsid w:val="003D0BFE"/>
    <w:rsid w:val="003D5700"/>
    <w:rsid w:val="003E341B"/>
    <w:rsid w:val="003E6442"/>
    <w:rsid w:val="003F41CA"/>
    <w:rsid w:val="004012C3"/>
    <w:rsid w:val="004059F2"/>
    <w:rsid w:val="004116CD"/>
    <w:rsid w:val="004144EC"/>
    <w:rsid w:val="00417284"/>
    <w:rsid w:val="00417EB9"/>
    <w:rsid w:val="00424CA9"/>
    <w:rsid w:val="00431E9B"/>
    <w:rsid w:val="004379E3"/>
    <w:rsid w:val="00437E5C"/>
    <w:rsid w:val="0044015E"/>
    <w:rsid w:val="0044291A"/>
    <w:rsid w:val="00444ABD"/>
    <w:rsid w:val="00461A85"/>
    <w:rsid w:val="00461C81"/>
    <w:rsid w:val="00467661"/>
    <w:rsid w:val="00470383"/>
    <w:rsid w:val="004705B7"/>
    <w:rsid w:val="00472DBE"/>
    <w:rsid w:val="00474A19"/>
    <w:rsid w:val="0048520B"/>
    <w:rsid w:val="004873E8"/>
    <w:rsid w:val="00496F97"/>
    <w:rsid w:val="004C6AE8"/>
    <w:rsid w:val="004D3593"/>
    <w:rsid w:val="004E063A"/>
    <w:rsid w:val="004E0FAE"/>
    <w:rsid w:val="004E4695"/>
    <w:rsid w:val="004E7BEC"/>
    <w:rsid w:val="004F53FA"/>
    <w:rsid w:val="005003EF"/>
    <w:rsid w:val="00505D3D"/>
    <w:rsid w:val="00506AF6"/>
    <w:rsid w:val="005167CF"/>
    <w:rsid w:val="00516B8D"/>
    <w:rsid w:val="005229F5"/>
    <w:rsid w:val="00533623"/>
    <w:rsid w:val="00537FBC"/>
    <w:rsid w:val="00554954"/>
    <w:rsid w:val="005574D1"/>
    <w:rsid w:val="00567612"/>
    <w:rsid w:val="00567F8C"/>
    <w:rsid w:val="00573ADE"/>
    <w:rsid w:val="00584811"/>
    <w:rsid w:val="00584A43"/>
    <w:rsid w:val="00585784"/>
    <w:rsid w:val="00590A0B"/>
    <w:rsid w:val="00593AA6"/>
    <w:rsid w:val="00594161"/>
    <w:rsid w:val="00594749"/>
    <w:rsid w:val="005B3369"/>
    <w:rsid w:val="005B4067"/>
    <w:rsid w:val="005C3F41"/>
    <w:rsid w:val="005D2D09"/>
    <w:rsid w:val="00600219"/>
    <w:rsid w:val="006023FF"/>
    <w:rsid w:val="006028D1"/>
    <w:rsid w:val="00603DC4"/>
    <w:rsid w:val="006047AE"/>
    <w:rsid w:val="00617738"/>
    <w:rsid w:val="00620076"/>
    <w:rsid w:val="00654717"/>
    <w:rsid w:val="00655CEF"/>
    <w:rsid w:val="00657C8C"/>
    <w:rsid w:val="00670EA1"/>
    <w:rsid w:val="00677CC2"/>
    <w:rsid w:val="00680ACA"/>
    <w:rsid w:val="00687A78"/>
    <w:rsid w:val="006905DE"/>
    <w:rsid w:val="0069207B"/>
    <w:rsid w:val="006944A8"/>
    <w:rsid w:val="006A24BE"/>
    <w:rsid w:val="006A6189"/>
    <w:rsid w:val="006B14C0"/>
    <w:rsid w:val="006B5789"/>
    <w:rsid w:val="006C30C5"/>
    <w:rsid w:val="006C7F8C"/>
    <w:rsid w:val="006D43F4"/>
    <w:rsid w:val="006D7E17"/>
    <w:rsid w:val="006E6246"/>
    <w:rsid w:val="006F318F"/>
    <w:rsid w:val="006F4226"/>
    <w:rsid w:val="006F6695"/>
    <w:rsid w:val="0070017E"/>
    <w:rsid w:val="00700B2C"/>
    <w:rsid w:val="007050A2"/>
    <w:rsid w:val="007122E8"/>
    <w:rsid w:val="00713084"/>
    <w:rsid w:val="00714F20"/>
    <w:rsid w:val="0071590F"/>
    <w:rsid w:val="00715914"/>
    <w:rsid w:val="00731E00"/>
    <w:rsid w:val="007440B7"/>
    <w:rsid w:val="00745E9F"/>
    <w:rsid w:val="007500C8"/>
    <w:rsid w:val="00751C0A"/>
    <w:rsid w:val="007528F7"/>
    <w:rsid w:val="00756272"/>
    <w:rsid w:val="0076681A"/>
    <w:rsid w:val="007715C9"/>
    <w:rsid w:val="00771613"/>
    <w:rsid w:val="00774EDD"/>
    <w:rsid w:val="007757EC"/>
    <w:rsid w:val="00783E89"/>
    <w:rsid w:val="00793915"/>
    <w:rsid w:val="007A3355"/>
    <w:rsid w:val="007A6EE3"/>
    <w:rsid w:val="007C2253"/>
    <w:rsid w:val="007D324A"/>
    <w:rsid w:val="007D5A63"/>
    <w:rsid w:val="007D7B81"/>
    <w:rsid w:val="007E163D"/>
    <w:rsid w:val="007E667A"/>
    <w:rsid w:val="007F03EB"/>
    <w:rsid w:val="007F28C9"/>
    <w:rsid w:val="00803587"/>
    <w:rsid w:val="00807626"/>
    <w:rsid w:val="008117E9"/>
    <w:rsid w:val="00824498"/>
    <w:rsid w:val="00856A31"/>
    <w:rsid w:val="00864491"/>
    <w:rsid w:val="00864B24"/>
    <w:rsid w:val="00867B37"/>
    <w:rsid w:val="00873024"/>
    <w:rsid w:val="008754D0"/>
    <w:rsid w:val="00875CD1"/>
    <w:rsid w:val="008855C9"/>
    <w:rsid w:val="00886456"/>
    <w:rsid w:val="00891A28"/>
    <w:rsid w:val="008A46E1"/>
    <w:rsid w:val="008A4F43"/>
    <w:rsid w:val="008B2706"/>
    <w:rsid w:val="008B4D2C"/>
    <w:rsid w:val="008C7FF0"/>
    <w:rsid w:val="008D0EE0"/>
    <w:rsid w:val="008D3419"/>
    <w:rsid w:val="008E6067"/>
    <w:rsid w:val="008F319D"/>
    <w:rsid w:val="008F54E7"/>
    <w:rsid w:val="009017C5"/>
    <w:rsid w:val="00903422"/>
    <w:rsid w:val="00915DF9"/>
    <w:rsid w:val="009254C3"/>
    <w:rsid w:val="00932359"/>
    <w:rsid w:val="00932377"/>
    <w:rsid w:val="009357B0"/>
    <w:rsid w:val="00936B4C"/>
    <w:rsid w:val="00947D5A"/>
    <w:rsid w:val="009532A5"/>
    <w:rsid w:val="00954708"/>
    <w:rsid w:val="00982242"/>
    <w:rsid w:val="009868E9"/>
    <w:rsid w:val="00987247"/>
    <w:rsid w:val="009B5AB3"/>
    <w:rsid w:val="009C7029"/>
    <w:rsid w:val="009E1604"/>
    <w:rsid w:val="009E5CFC"/>
    <w:rsid w:val="009F1E07"/>
    <w:rsid w:val="00A04CC4"/>
    <w:rsid w:val="00A079CB"/>
    <w:rsid w:val="00A12128"/>
    <w:rsid w:val="00A22C98"/>
    <w:rsid w:val="00A231E2"/>
    <w:rsid w:val="00A263F7"/>
    <w:rsid w:val="00A27409"/>
    <w:rsid w:val="00A40043"/>
    <w:rsid w:val="00A54F67"/>
    <w:rsid w:val="00A60440"/>
    <w:rsid w:val="00A609F7"/>
    <w:rsid w:val="00A64912"/>
    <w:rsid w:val="00A70A74"/>
    <w:rsid w:val="00A71502"/>
    <w:rsid w:val="00A74872"/>
    <w:rsid w:val="00A759EF"/>
    <w:rsid w:val="00A90B1E"/>
    <w:rsid w:val="00AC65DC"/>
    <w:rsid w:val="00AC6E0F"/>
    <w:rsid w:val="00AD5641"/>
    <w:rsid w:val="00AD7889"/>
    <w:rsid w:val="00AE3652"/>
    <w:rsid w:val="00AF021B"/>
    <w:rsid w:val="00AF06CF"/>
    <w:rsid w:val="00AF4392"/>
    <w:rsid w:val="00B05CF4"/>
    <w:rsid w:val="00B07CDB"/>
    <w:rsid w:val="00B103DC"/>
    <w:rsid w:val="00B11EB5"/>
    <w:rsid w:val="00B16A31"/>
    <w:rsid w:val="00B17DFD"/>
    <w:rsid w:val="00B308FE"/>
    <w:rsid w:val="00B33709"/>
    <w:rsid w:val="00B33B3C"/>
    <w:rsid w:val="00B342C3"/>
    <w:rsid w:val="00B50ADC"/>
    <w:rsid w:val="00B53C33"/>
    <w:rsid w:val="00B566B1"/>
    <w:rsid w:val="00B63834"/>
    <w:rsid w:val="00B65F8A"/>
    <w:rsid w:val="00B66E08"/>
    <w:rsid w:val="00B70E94"/>
    <w:rsid w:val="00B72734"/>
    <w:rsid w:val="00B80199"/>
    <w:rsid w:val="00B83204"/>
    <w:rsid w:val="00B8608A"/>
    <w:rsid w:val="00BA0C87"/>
    <w:rsid w:val="00BA220B"/>
    <w:rsid w:val="00BA3A57"/>
    <w:rsid w:val="00BA691F"/>
    <w:rsid w:val="00BB2D2E"/>
    <w:rsid w:val="00BB3414"/>
    <w:rsid w:val="00BB4E1A"/>
    <w:rsid w:val="00BB670B"/>
    <w:rsid w:val="00BC015E"/>
    <w:rsid w:val="00BC6716"/>
    <w:rsid w:val="00BC76AC"/>
    <w:rsid w:val="00BD0ECB"/>
    <w:rsid w:val="00BE2155"/>
    <w:rsid w:val="00BE2213"/>
    <w:rsid w:val="00BE719A"/>
    <w:rsid w:val="00BE720A"/>
    <w:rsid w:val="00BF0D73"/>
    <w:rsid w:val="00BF2465"/>
    <w:rsid w:val="00BF576E"/>
    <w:rsid w:val="00C04E8E"/>
    <w:rsid w:val="00C11BC8"/>
    <w:rsid w:val="00C17F42"/>
    <w:rsid w:val="00C25E7F"/>
    <w:rsid w:val="00C2746F"/>
    <w:rsid w:val="00C324A0"/>
    <w:rsid w:val="00C3300F"/>
    <w:rsid w:val="00C33CF9"/>
    <w:rsid w:val="00C42BF8"/>
    <w:rsid w:val="00C4618A"/>
    <w:rsid w:val="00C50043"/>
    <w:rsid w:val="00C6072C"/>
    <w:rsid w:val="00C7573B"/>
    <w:rsid w:val="00C84C79"/>
    <w:rsid w:val="00C93A09"/>
    <w:rsid w:val="00C93C03"/>
    <w:rsid w:val="00C969D4"/>
    <w:rsid w:val="00CB2C8E"/>
    <w:rsid w:val="00CB2E91"/>
    <w:rsid w:val="00CB334F"/>
    <w:rsid w:val="00CB602E"/>
    <w:rsid w:val="00CE051D"/>
    <w:rsid w:val="00CE1335"/>
    <w:rsid w:val="00CE493D"/>
    <w:rsid w:val="00CF0438"/>
    <w:rsid w:val="00CF07FA"/>
    <w:rsid w:val="00CF0BB2"/>
    <w:rsid w:val="00CF3EE8"/>
    <w:rsid w:val="00D050E6"/>
    <w:rsid w:val="00D13441"/>
    <w:rsid w:val="00D150E7"/>
    <w:rsid w:val="00D15CEC"/>
    <w:rsid w:val="00D26FB9"/>
    <w:rsid w:val="00D32F65"/>
    <w:rsid w:val="00D43C66"/>
    <w:rsid w:val="00D462BE"/>
    <w:rsid w:val="00D51448"/>
    <w:rsid w:val="00D52DC2"/>
    <w:rsid w:val="00D53BCC"/>
    <w:rsid w:val="00D567DB"/>
    <w:rsid w:val="00D67E8A"/>
    <w:rsid w:val="00D70DFB"/>
    <w:rsid w:val="00D766DF"/>
    <w:rsid w:val="00D76D61"/>
    <w:rsid w:val="00D77A21"/>
    <w:rsid w:val="00D95CA1"/>
    <w:rsid w:val="00DA186E"/>
    <w:rsid w:val="00DA4116"/>
    <w:rsid w:val="00DB251C"/>
    <w:rsid w:val="00DB4630"/>
    <w:rsid w:val="00DC4F88"/>
    <w:rsid w:val="00DD4C1D"/>
    <w:rsid w:val="00E05704"/>
    <w:rsid w:val="00E11E44"/>
    <w:rsid w:val="00E14F99"/>
    <w:rsid w:val="00E20B50"/>
    <w:rsid w:val="00E3270E"/>
    <w:rsid w:val="00E338EF"/>
    <w:rsid w:val="00E544BB"/>
    <w:rsid w:val="00E64D83"/>
    <w:rsid w:val="00E662CB"/>
    <w:rsid w:val="00E66ABA"/>
    <w:rsid w:val="00E74DC7"/>
    <w:rsid w:val="00E76806"/>
    <w:rsid w:val="00E7696C"/>
    <w:rsid w:val="00E8075A"/>
    <w:rsid w:val="00E907F9"/>
    <w:rsid w:val="00E94285"/>
    <w:rsid w:val="00E94D5E"/>
    <w:rsid w:val="00E97AC4"/>
    <w:rsid w:val="00EA7100"/>
    <w:rsid w:val="00EA7F9F"/>
    <w:rsid w:val="00EB1274"/>
    <w:rsid w:val="00EB6AD0"/>
    <w:rsid w:val="00ED2BB6"/>
    <w:rsid w:val="00ED34E1"/>
    <w:rsid w:val="00ED3B8D"/>
    <w:rsid w:val="00ED659C"/>
    <w:rsid w:val="00EE19CA"/>
    <w:rsid w:val="00EE537C"/>
    <w:rsid w:val="00EF2E3A"/>
    <w:rsid w:val="00F072A7"/>
    <w:rsid w:val="00F078DC"/>
    <w:rsid w:val="00F14D85"/>
    <w:rsid w:val="00F23E54"/>
    <w:rsid w:val="00F32BA8"/>
    <w:rsid w:val="00F349F1"/>
    <w:rsid w:val="00F36737"/>
    <w:rsid w:val="00F42713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06BE"/>
    <w:rsid w:val="00FA1E52"/>
    <w:rsid w:val="00FB1409"/>
    <w:rsid w:val="00FD4A3F"/>
    <w:rsid w:val="00FD4A57"/>
    <w:rsid w:val="00FE1CE2"/>
    <w:rsid w:val="00FE4688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ADEB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547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7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7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7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7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47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47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47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47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47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4717"/>
  </w:style>
  <w:style w:type="paragraph" w:customStyle="1" w:styleId="OPCParaBase">
    <w:name w:val="OPCParaBase"/>
    <w:qFormat/>
    <w:rsid w:val="006547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47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47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47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47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47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47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47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47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47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47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4717"/>
  </w:style>
  <w:style w:type="paragraph" w:customStyle="1" w:styleId="Blocks">
    <w:name w:val="Blocks"/>
    <w:aliases w:val="bb"/>
    <w:basedOn w:val="OPCParaBase"/>
    <w:qFormat/>
    <w:rsid w:val="006547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4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47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4717"/>
    <w:rPr>
      <w:i/>
    </w:rPr>
  </w:style>
  <w:style w:type="paragraph" w:customStyle="1" w:styleId="BoxList">
    <w:name w:val="BoxList"/>
    <w:aliases w:val="bl"/>
    <w:basedOn w:val="BoxText"/>
    <w:qFormat/>
    <w:rsid w:val="006547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47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47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4717"/>
    <w:pPr>
      <w:ind w:left="1985" w:hanging="851"/>
    </w:pPr>
  </w:style>
  <w:style w:type="character" w:customStyle="1" w:styleId="CharAmPartNo">
    <w:name w:val="CharAmPartNo"/>
    <w:basedOn w:val="OPCCharBase"/>
    <w:qFormat/>
    <w:rsid w:val="00654717"/>
  </w:style>
  <w:style w:type="character" w:customStyle="1" w:styleId="CharAmPartText">
    <w:name w:val="CharAmPartText"/>
    <w:basedOn w:val="OPCCharBase"/>
    <w:qFormat/>
    <w:rsid w:val="00654717"/>
  </w:style>
  <w:style w:type="character" w:customStyle="1" w:styleId="CharAmSchNo">
    <w:name w:val="CharAmSchNo"/>
    <w:basedOn w:val="OPCCharBase"/>
    <w:qFormat/>
    <w:rsid w:val="00654717"/>
  </w:style>
  <w:style w:type="character" w:customStyle="1" w:styleId="CharAmSchText">
    <w:name w:val="CharAmSchText"/>
    <w:basedOn w:val="OPCCharBase"/>
    <w:qFormat/>
    <w:rsid w:val="00654717"/>
  </w:style>
  <w:style w:type="character" w:customStyle="1" w:styleId="CharBoldItalic">
    <w:name w:val="CharBoldItalic"/>
    <w:basedOn w:val="OPCCharBase"/>
    <w:uiPriority w:val="1"/>
    <w:qFormat/>
    <w:rsid w:val="006547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4717"/>
  </w:style>
  <w:style w:type="character" w:customStyle="1" w:styleId="CharChapText">
    <w:name w:val="CharChapText"/>
    <w:basedOn w:val="OPCCharBase"/>
    <w:uiPriority w:val="1"/>
    <w:qFormat/>
    <w:rsid w:val="00654717"/>
  </w:style>
  <w:style w:type="character" w:customStyle="1" w:styleId="CharDivNo">
    <w:name w:val="CharDivNo"/>
    <w:basedOn w:val="OPCCharBase"/>
    <w:uiPriority w:val="1"/>
    <w:qFormat/>
    <w:rsid w:val="00654717"/>
  </w:style>
  <w:style w:type="character" w:customStyle="1" w:styleId="CharDivText">
    <w:name w:val="CharDivText"/>
    <w:basedOn w:val="OPCCharBase"/>
    <w:uiPriority w:val="1"/>
    <w:qFormat/>
    <w:rsid w:val="00654717"/>
  </w:style>
  <w:style w:type="character" w:customStyle="1" w:styleId="CharItalic">
    <w:name w:val="CharItalic"/>
    <w:basedOn w:val="OPCCharBase"/>
    <w:uiPriority w:val="1"/>
    <w:qFormat/>
    <w:rsid w:val="00654717"/>
    <w:rPr>
      <w:i/>
    </w:rPr>
  </w:style>
  <w:style w:type="character" w:customStyle="1" w:styleId="CharPartNo">
    <w:name w:val="CharPartNo"/>
    <w:basedOn w:val="OPCCharBase"/>
    <w:uiPriority w:val="1"/>
    <w:qFormat/>
    <w:rsid w:val="00654717"/>
  </w:style>
  <w:style w:type="character" w:customStyle="1" w:styleId="CharPartText">
    <w:name w:val="CharPartText"/>
    <w:basedOn w:val="OPCCharBase"/>
    <w:uiPriority w:val="1"/>
    <w:qFormat/>
    <w:rsid w:val="00654717"/>
  </w:style>
  <w:style w:type="character" w:customStyle="1" w:styleId="CharSectno">
    <w:name w:val="CharSectno"/>
    <w:basedOn w:val="OPCCharBase"/>
    <w:qFormat/>
    <w:rsid w:val="00654717"/>
  </w:style>
  <w:style w:type="character" w:customStyle="1" w:styleId="CharSubdNo">
    <w:name w:val="CharSubdNo"/>
    <w:basedOn w:val="OPCCharBase"/>
    <w:uiPriority w:val="1"/>
    <w:qFormat/>
    <w:rsid w:val="00654717"/>
  </w:style>
  <w:style w:type="character" w:customStyle="1" w:styleId="CharSubdText">
    <w:name w:val="CharSubdText"/>
    <w:basedOn w:val="OPCCharBase"/>
    <w:uiPriority w:val="1"/>
    <w:qFormat/>
    <w:rsid w:val="00654717"/>
  </w:style>
  <w:style w:type="paragraph" w:customStyle="1" w:styleId="CTA--">
    <w:name w:val="CTA --"/>
    <w:basedOn w:val="OPCParaBase"/>
    <w:next w:val="Normal"/>
    <w:rsid w:val="006547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47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47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47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47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47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47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47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47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47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47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47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47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47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47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47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47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4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4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4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47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47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47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47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47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47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47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47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47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47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47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47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47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47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47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47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47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47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47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47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47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47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47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47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47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47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47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47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47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47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47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4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47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47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47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47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47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47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47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47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47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47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47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47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47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47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47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47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47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47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47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47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4717"/>
    <w:rPr>
      <w:sz w:val="16"/>
    </w:rPr>
  </w:style>
  <w:style w:type="table" w:customStyle="1" w:styleId="CFlag">
    <w:name w:val="CFlag"/>
    <w:basedOn w:val="TableNormal"/>
    <w:uiPriority w:val="99"/>
    <w:rsid w:val="006547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4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4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47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47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47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47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47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471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47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47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47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47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47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47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47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47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47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47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47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47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47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47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4717"/>
  </w:style>
  <w:style w:type="character" w:customStyle="1" w:styleId="CharSubPartNoCASA">
    <w:name w:val="CharSubPartNo(CASA)"/>
    <w:basedOn w:val="OPCCharBase"/>
    <w:uiPriority w:val="1"/>
    <w:rsid w:val="00654717"/>
  </w:style>
  <w:style w:type="paragraph" w:customStyle="1" w:styleId="ENoteTTIndentHeadingSub">
    <w:name w:val="ENoteTTIndentHeadingSub"/>
    <w:aliases w:val="enTTHis"/>
    <w:basedOn w:val="OPCParaBase"/>
    <w:rsid w:val="006547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47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47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47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47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47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4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4717"/>
    <w:rPr>
      <w:sz w:val="22"/>
    </w:rPr>
  </w:style>
  <w:style w:type="paragraph" w:customStyle="1" w:styleId="SOTextNote">
    <w:name w:val="SO TextNote"/>
    <w:aliases w:val="sont"/>
    <w:basedOn w:val="SOText"/>
    <w:qFormat/>
    <w:rsid w:val="006547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47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4717"/>
    <w:rPr>
      <w:sz w:val="22"/>
    </w:rPr>
  </w:style>
  <w:style w:type="paragraph" w:customStyle="1" w:styleId="FileName">
    <w:name w:val="FileName"/>
    <w:basedOn w:val="Normal"/>
    <w:rsid w:val="00654717"/>
  </w:style>
  <w:style w:type="paragraph" w:customStyle="1" w:styleId="TableHeading">
    <w:name w:val="TableHeading"/>
    <w:aliases w:val="th"/>
    <w:basedOn w:val="OPCParaBase"/>
    <w:next w:val="Tabletext"/>
    <w:rsid w:val="006547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47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47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47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47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47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47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47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47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47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47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47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47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47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4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47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47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47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47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47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47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4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47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4717"/>
    <w:pPr>
      <w:ind w:left="240" w:hanging="240"/>
    </w:pPr>
  </w:style>
  <w:style w:type="paragraph" w:styleId="Index2">
    <w:name w:val="index 2"/>
    <w:basedOn w:val="Normal"/>
    <w:next w:val="Normal"/>
    <w:autoRedefine/>
    <w:rsid w:val="00654717"/>
    <w:pPr>
      <w:ind w:left="480" w:hanging="240"/>
    </w:pPr>
  </w:style>
  <w:style w:type="paragraph" w:styleId="Index3">
    <w:name w:val="index 3"/>
    <w:basedOn w:val="Normal"/>
    <w:next w:val="Normal"/>
    <w:autoRedefine/>
    <w:rsid w:val="00654717"/>
    <w:pPr>
      <w:ind w:left="720" w:hanging="240"/>
    </w:pPr>
  </w:style>
  <w:style w:type="paragraph" w:styleId="Index4">
    <w:name w:val="index 4"/>
    <w:basedOn w:val="Normal"/>
    <w:next w:val="Normal"/>
    <w:autoRedefine/>
    <w:rsid w:val="00654717"/>
    <w:pPr>
      <w:ind w:left="960" w:hanging="240"/>
    </w:pPr>
  </w:style>
  <w:style w:type="paragraph" w:styleId="Index5">
    <w:name w:val="index 5"/>
    <w:basedOn w:val="Normal"/>
    <w:next w:val="Normal"/>
    <w:autoRedefine/>
    <w:rsid w:val="00654717"/>
    <w:pPr>
      <w:ind w:left="1200" w:hanging="240"/>
    </w:pPr>
  </w:style>
  <w:style w:type="paragraph" w:styleId="Index6">
    <w:name w:val="index 6"/>
    <w:basedOn w:val="Normal"/>
    <w:next w:val="Normal"/>
    <w:autoRedefine/>
    <w:rsid w:val="00654717"/>
    <w:pPr>
      <w:ind w:left="1440" w:hanging="240"/>
    </w:pPr>
  </w:style>
  <w:style w:type="paragraph" w:styleId="Index7">
    <w:name w:val="index 7"/>
    <w:basedOn w:val="Normal"/>
    <w:next w:val="Normal"/>
    <w:autoRedefine/>
    <w:rsid w:val="00654717"/>
    <w:pPr>
      <w:ind w:left="1680" w:hanging="240"/>
    </w:pPr>
  </w:style>
  <w:style w:type="paragraph" w:styleId="Index8">
    <w:name w:val="index 8"/>
    <w:basedOn w:val="Normal"/>
    <w:next w:val="Normal"/>
    <w:autoRedefine/>
    <w:rsid w:val="00654717"/>
    <w:pPr>
      <w:ind w:left="1920" w:hanging="240"/>
    </w:pPr>
  </w:style>
  <w:style w:type="paragraph" w:styleId="Index9">
    <w:name w:val="index 9"/>
    <w:basedOn w:val="Normal"/>
    <w:next w:val="Normal"/>
    <w:autoRedefine/>
    <w:rsid w:val="00654717"/>
    <w:pPr>
      <w:ind w:left="2160" w:hanging="240"/>
    </w:pPr>
  </w:style>
  <w:style w:type="paragraph" w:styleId="NormalIndent">
    <w:name w:val="Normal Indent"/>
    <w:basedOn w:val="Normal"/>
    <w:rsid w:val="00654717"/>
    <w:pPr>
      <w:ind w:left="720"/>
    </w:pPr>
  </w:style>
  <w:style w:type="paragraph" w:styleId="FootnoteText">
    <w:name w:val="footnote text"/>
    <w:basedOn w:val="Normal"/>
    <w:link w:val="FootnoteTextChar"/>
    <w:rsid w:val="006547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4717"/>
  </w:style>
  <w:style w:type="paragraph" w:styleId="CommentText">
    <w:name w:val="annotation text"/>
    <w:basedOn w:val="Normal"/>
    <w:link w:val="CommentTextChar"/>
    <w:rsid w:val="0065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4717"/>
  </w:style>
  <w:style w:type="paragraph" w:styleId="IndexHeading">
    <w:name w:val="index heading"/>
    <w:basedOn w:val="Normal"/>
    <w:next w:val="Index1"/>
    <w:rsid w:val="006547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47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4717"/>
    <w:pPr>
      <w:ind w:left="480" w:hanging="480"/>
    </w:pPr>
  </w:style>
  <w:style w:type="paragraph" w:styleId="EnvelopeAddress">
    <w:name w:val="envelope address"/>
    <w:basedOn w:val="Normal"/>
    <w:rsid w:val="006547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47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47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4717"/>
    <w:rPr>
      <w:sz w:val="16"/>
      <w:szCs w:val="16"/>
    </w:rPr>
  </w:style>
  <w:style w:type="character" w:styleId="PageNumber">
    <w:name w:val="page number"/>
    <w:basedOn w:val="DefaultParagraphFont"/>
    <w:rsid w:val="00654717"/>
  </w:style>
  <w:style w:type="character" w:styleId="EndnoteReference">
    <w:name w:val="endnote reference"/>
    <w:basedOn w:val="DefaultParagraphFont"/>
    <w:rsid w:val="00654717"/>
    <w:rPr>
      <w:vertAlign w:val="superscript"/>
    </w:rPr>
  </w:style>
  <w:style w:type="paragraph" w:styleId="EndnoteText">
    <w:name w:val="endnote text"/>
    <w:basedOn w:val="Normal"/>
    <w:link w:val="EndnoteTextChar"/>
    <w:rsid w:val="006547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4717"/>
  </w:style>
  <w:style w:type="paragraph" w:styleId="TableofAuthorities">
    <w:name w:val="table of authorities"/>
    <w:basedOn w:val="Normal"/>
    <w:next w:val="Normal"/>
    <w:rsid w:val="00654717"/>
    <w:pPr>
      <w:ind w:left="240" w:hanging="240"/>
    </w:pPr>
  </w:style>
  <w:style w:type="paragraph" w:styleId="MacroText">
    <w:name w:val="macro"/>
    <w:link w:val="MacroTextChar"/>
    <w:rsid w:val="00654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47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47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4717"/>
    <w:pPr>
      <w:ind w:left="283" w:hanging="283"/>
    </w:pPr>
  </w:style>
  <w:style w:type="paragraph" w:styleId="ListBullet">
    <w:name w:val="List Bullet"/>
    <w:basedOn w:val="Normal"/>
    <w:autoRedefine/>
    <w:rsid w:val="006547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47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4717"/>
    <w:pPr>
      <w:ind w:left="566" w:hanging="283"/>
    </w:pPr>
  </w:style>
  <w:style w:type="paragraph" w:styleId="List3">
    <w:name w:val="List 3"/>
    <w:basedOn w:val="Normal"/>
    <w:rsid w:val="00654717"/>
    <w:pPr>
      <w:ind w:left="849" w:hanging="283"/>
    </w:pPr>
  </w:style>
  <w:style w:type="paragraph" w:styleId="List4">
    <w:name w:val="List 4"/>
    <w:basedOn w:val="Normal"/>
    <w:rsid w:val="00654717"/>
    <w:pPr>
      <w:ind w:left="1132" w:hanging="283"/>
    </w:pPr>
  </w:style>
  <w:style w:type="paragraph" w:styleId="List5">
    <w:name w:val="List 5"/>
    <w:basedOn w:val="Normal"/>
    <w:rsid w:val="00654717"/>
    <w:pPr>
      <w:ind w:left="1415" w:hanging="283"/>
    </w:pPr>
  </w:style>
  <w:style w:type="paragraph" w:styleId="ListBullet2">
    <w:name w:val="List Bullet 2"/>
    <w:basedOn w:val="Normal"/>
    <w:autoRedefine/>
    <w:rsid w:val="006547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47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47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47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47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47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47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47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47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47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4717"/>
    <w:pPr>
      <w:ind w:left="4252"/>
    </w:pPr>
  </w:style>
  <w:style w:type="character" w:customStyle="1" w:styleId="ClosingChar">
    <w:name w:val="Closing Char"/>
    <w:basedOn w:val="DefaultParagraphFont"/>
    <w:link w:val="Closing"/>
    <w:rsid w:val="00654717"/>
    <w:rPr>
      <w:sz w:val="22"/>
    </w:rPr>
  </w:style>
  <w:style w:type="paragraph" w:styleId="Signature">
    <w:name w:val="Signature"/>
    <w:basedOn w:val="Normal"/>
    <w:link w:val="SignatureChar"/>
    <w:rsid w:val="006547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4717"/>
    <w:rPr>
      <w:sz w:val="22"/>
    </w:rPr>
  </w:style>
  <w:style w:type="paragraph" w:styleId="BodyText">
    <w:name w:val="Body Text"/>
    <w:basedOn w:val="Normal"/>
    <w:link w:val="BodyTextChar"/>
    <w:rsid w:val="006547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4717"/>
    <w:rPr>
      <w:sz w:val="22"/>
    </w:rPr>
  </w:style>
  <w:style w:type="paragraph" w:styleId="BodyTextIndent">
    <w:name w:val="Body Text Indent"/>
    <w:basedOn w:val="Normal"/>
    <w:link w:val="BodyTextIndentChar"/>
    <w:rsid w:val="006547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4717"/>
    <w:rPr>
      <w:sz w:val="22"/>
    </w:rPr>
  </w:style>
  <w:style w:type="paragraph" w:styleId="ListContinue">
    <w:name w:val="List Continue"/>
    <w:basedOn w:val="Normal"/>
    <w:rsid w:val="00654717"/>
    <w:pPr>
      <w:spacing w:after="120"/>
      <w:ind w:left="283"/>
    </w:pPr>
  </w:style>
  <w:style w:type="paragraph" w:styleId="ListContinue2">
    <w:name w:val="List Continue 2"/>
    <w:basedOn w:val="Normal"/>
    <w:rsid w:val="00654717"/>
    <w:pPr>
      <w:spacing w:after="120"/>
      <w:ind w:left="566"/>
    </w:pPr>
  </w:style>
  <w:style w:type="paragraph" w:styleId="ListContinue3">
    <w:name w:val="List Continue 3"/>
    <w:basedOn w:val="Normal"/>
    <w:rsid w:val="00654717"/>
    <w:pPr>
      <w:spacing w:after="120"/>
      <w:ind w:left="849"/>
    </w:pPr>
  </w:style>
  <w:style w:type="paragraph" w:styleId="ListContinue4">
    <w:name w:val="List Continue 4"/>
    <w:basedOn w:val="Normal"/>
    <w:rsid w:val="00654717"/>
    <w:pPr>
      <w:spacing w:after="120"/>
      <w:ind w:left="1132"/>
    </w:pPr>
  </w:style>
  <w:style w:type="paragraph" w:styleId="ListContinue5">
    <w:name w:val="List Continue 5"/>
    <w:basedOn w:val="Normal"/>
    <w:rsid w:val="006547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4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47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47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47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4717"/>
  </w:style>
  <w:style w:type="character" w:customStyle="1" w:styleId="SalutationChar">
    <w:name w:val="Salutation Char"/>
    <w:basedOn w:val="DefaultParagraphFont"/>
    <w:link w:val="Salutation"/>
    <w:rsid w:val="00654717"/>
    <w:rPr>
      <w:sz w:val="22"/>
    </w:rPr>
  </w:style>
  <w:style w:type="paragraph" w:styleId="Date">
    <w:name w:val="Date"/>
    <w:basedOn w:val="Normal"/>
    <w:next w:val="Normal"/>
    <w:link w:val="DateChar"/>
    <w:rsid w:val="00654717"/>
  </w:style>
  <w:style w:type="character" w:customStyle="1" w:styleId="DateChar">
    <w:name w:val="Date Char"/>
    <w:basedOn w:val="DefaultParagraphFont"/>
    <w:link w:val="Date"/>
    <w:rsid w:val="00654717"/>
    <w:rPr>
      <w:sz w:val="22"/>
    </w:rPr>
  </w:style>
  <w:style w:type="paragraph" w:styleId="BodyTextFirstIndent">
    <w:name w:val="Body Text First Indent"/>
    <w:basedOn w:val="BodyText"/>
    <w:link w:val="BodyTextFirstIndentChar"/>
    <w:rsid w:val="006547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47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47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4717"/>
    <w:rPr>
      <w:sz w:val="22"/>
    </w:rPr>
  </w:style>
  <w:style w:type="paragraph" w:styleId="BodyText2">
    <w:name w:val="Body Text 2"/>
    <w:basedOn w:val="Normal"/>
    <w:link w:val="BodyText2Char"/>
    <w:rsid w:val="006547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4717"/>
    <w:rPr>
      <w:sz w:val="22"/>
    </w:rPr>
  </w:style>
  <w:style w:type="paragraph" w:styleId="BodyText3">
    <w:name w:val="Body Text 3"/>
    <w:basedOn w:val="Normal"/>
    <w:link w:val="BodyText3Char"/>
    <w:rsid w:val="006547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47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47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4717"/>
    <w:rPr>
      <w:sz w:val="22"/>
    </w:rPr>
  </w:style>
  <w:style w:type="paragraph" w:styleId="BodyTextIndent3">
    <w:name w:val="Body Text Indent 3"/>
    <w:basedOn w:val="Normal"/>
    <w:link w:val="BodyTextIndent3Char"/>
    <w:rsid w:val="006547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4717"/>
    <w:rPr>
      <w:sz w:val="16"/>
      <w:szCs w:val="16"/>
    </w:rPr>
  </w:style>
  <w:style w:type="paragraph" w:styleId="BlockText">
    <w:name w:val="Block Text"/>
    <w:basedOn w:val="Normal"/>
    <w:rsid w:val="00654717"/>
    <w:pPr>
      <w:spacing w:after="120"/>
      <w:ind w:left="1440" w:right="1440"/>
    </w:pPr>
  </w:style>
  <w:style w:type="character" w:styleId="Hyperlink">
    <w:name w:val="Hyperlink"/>
    <w:basedOn w:val="DefaultParagraphFont"/>
    <w:rsid w:val="00654717"/>
    <w:rPr>
      <w:color w:val="0000FF"/>
      <w:u w:val="single"/>
    </w:rPr>
  </w:style>
  <w:style w:type="character" w:styleId="FollowedHyperlink">
    <w:name w:val="FollowedHyperlink"/>
    <w:basedOn w:val="DefaultParagraphFont"/>
    <w:rsid w:val="00654717"/>
    <w:rPr>
      <w:color w:val="800080"/>
      <w:u w:val="single"/>
    </w:rPr>
  </w:style>
  <w:style w:type="character" w:styleId="Strong">
    <w:name w:val="Strong"/>
    <w:basedOn w:val="DefaultParagraphFont"/>
    <w:qFormat/>
    <w:rsid w:val="00654717"/>
    <w:rPr>
      <w:b/>
      <w:bCs/>
    </w:rPr>
  </w:style>
  <w:style w:type="character" w:styleId="Emphasis">
    <w:name w:val="Emphasis"/>
    <w:basedOn w:val="DefaultParagraphFont"/>
    <w:qFormat/>
    <w:rsid w:val="00654717"/>
    <w:rPr>
      <w:i/>
      <w:iCs/>
    </w:rPr>
  </w:style>
  <w:style w:type="paragraph" w:styleId="DocumentMap">
    <w:name w:val="Document Map"/>
    <w:basedOn w:val="Normal"/>
    <w:link w:val="DocumentMapChar"/>
    <w:rsid w:val="006547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47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47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47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4717"/>
  </w:style>
  <w:style w:type="character" w:customStyle="1" w:styleId="E-mailSignatureChar">
    <w:name w:val="E-mail Signature Char"/>
    <w:basedOn w:val="DefaultParagraphFont"/>
    <w:link w:val="E-mailSignature"/>
    <w:rsid w:val="00654717"/>
    <w:rPr>
      <w:sz w:val="22"/>
    </w:rPr>
  </w:style>
  <w:style w:type="paragraph" w:styleId="NormalWeb">
    <w:name w:val="Normal (Web)"/>
    <w:basedOn w:val="Normal"/>
    <w:rsid w:val="00654717"/>
  </w:style>
  <w:style w:type="character" w:styleId="HTMLAcronym">
    <w:name w:val="HTML Acronym"/>
    <w:basedOn w:val="DefaultParagraphFont"/>
    <w:rsid w:val="00654717"/>
  </w:style>
  <w:style w:type="paragraph" w:styleId="HTMLAddress">
    <w:name w:val="HTML Address"/>
    <w:basedOn w:val="Normal"/>
    <w:link w:val="HTMLAddressChar"/>
    <w:rsid w:val="006547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4717"/>
    <w:rPr>
      <w:i/>
      <w:iCs/>
      <w:sz w:val="22"/>
    </w:rPr>
  </w:style>
  <w:style w:type="character" w:styleId="HTMLCite">
    <w:name w:val="HTML Cite"/>
    <w:basedOn w:val="DefaultParagraphFont"/>
    <w:rsid w:val="00654717"/>
    <w:rPr>
      <w:i/>
      <w:iCs/>
    </w:rPr>
  </w:style>
  <w:style w:type="character" w:styleId="HTMLCode">
    <w:name w:val="HTML Code"/>
    <w:basedOn w:val="DefaultParagraphFont"/>
    <w:rsid w:val="006547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4717"/>
    <w:rPr>
      <w:i/>
      <w:iCs/>
    </w:rPr>
  </w:style>
  <w:style w:type="character" w:styleId="HTMLKeyboard">
    <w:name w:val="HTML Keyboard"/>
    <w:basedOn w:val="DefaultParagraphFont"/>
    <w:rsid w:val="006547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47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47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47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47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47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717"/>
    <w:rPr>
      <w:b/>
      <w:bCs/>
    </w:rPr>
  </w:style>
  <w:style w:type="numbering" w:styleId="1ai">
    <w:name w:val="Outline List 1"/>
    <w:basedOn w:val="NoList"/>
    <w:rsid w:val="00654717"/>
    <w:pPr>
      <w:numPr>
        <w:numId w:val="14"/>
      </w:numPr>
    </w:pPr>
  </w:style>
  <w:style w:type="numbering" w:styleId="111111">
    <w:name w:val="Outline List 2"/>
    <w:basedOn w:val="NoList"/>
    <w:rsid w:val="00654717"/>
    <w:pPr>
      <w:numPr>
        <w:numId w:val="15"/>
      </w:numPr>
    </w:pPr>
  </w:style>
  <w:style w:type="numbering" w:styleId="ArticleSection">
    <w:name w:val="Outline List 3"/>
    <w:basedOn w:val="NoList"/>
    <w:rsid w:val="00654717"/>
    <w:pPr>
      <w:numPr>
        <w:numId w:val="17"/>
      </w:numPr>
    </w:pPr>
  </w:style>
  <w:style w:type="table" w:styleId="TableSimple1">
    <w:name w:val="Table Simple 1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47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47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47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47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47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47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47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47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47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47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4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47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47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47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47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47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47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47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47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4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47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47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47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47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47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47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47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47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47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47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47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47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47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47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47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471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47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47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47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47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3075-AD93-4DC1-95AC-3A8E2C79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1664</Words>
  <Characters>8208</Characters>
  <Application>Microsoft Office Word</Application>
  <DocSecurity>0</DocSecurity>
  <PresentationFormat/>
  <Lines>684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2022-10-31T00:02:00Z</dcterms:created>
  <dcterms:modified xsi:type="dcterms:W3CDTF">2022-10-31T00:02:00Z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Offshore Electricity Infrastructure (Regulatory Levies)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OPC65433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</Properties>
</file>