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4714096E"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22</w:t>
      </w:r>
      <w:r w:rsidRPr="00011DF0">
        <w:rPr>
          <w:i/>
          <w:sz w:val="24"/>
        </w:rPr>
        <w:noBreakHyphen/>
      </w:r>
      <w:r w:rsidR="00A931D6" w:rsidRPr="00011DF0">
        <w:rPr>
          <w:i/>
          <w:sz w:val="24"/>
        </w:rPr>
        <w:t>202</w:t>
      </w:r>
      <w:r w:rsidR="0030713E" w:rsidRPr="00011DF0">
        <w:rPr>
          <w:i/>
          <w:sz w:val="24"/>
        </w:rPr>
        <w:t>3</w:t>
      </w:r>
      <w:r w:rsidR="00D96E55" w:rsidRPr="00011DF0">
        <w:rPr>
          <w:i/>
          <w:sz w:val="24"/>
        </w:rPr>
        <w:t xml:space="preserve"> (No. </w:t>
      </w:r>
      <w:r w:rsidR="00793DE0">
        <w:rPr>
          <w:i/>
          <w:sz w:val="24"/>
        </w:rPr>
        <w:t>4</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41C570C8" w14:textId="1C0E9A02" w:rsidR="002B33AC" w:rsidRDefault="001E65EC" w:rsidP="00436F90">
      <w:pPr>
        <w:rPr>
          <w:sz w:val="24"/>
        </w:rPr>
      </w:pPr>
      <w:r w:rsidRPr="0067455D"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p>
    <w:p w14:paraId="4242C2A4" w14:textId="47455827" w:rsidR="0002614A" w:rsidRDefault="0002614A" w:rsidP="0026703C">
      <w:pPr>
        <w:rPr>
          <w:sz w:val="24"/>
        </w:rPr>
      </w:pPr>
      <w:r>
        <w:rPr>
          <w:sz w:val="24"/>
        </w:rPr>
        <w:t>T</w:t>
      </w:r>
      <w:r w:rsidRPr="0002614A">
        <w:rPr>
          <w:sz w:val="24"/>
        </w:rPr>
        <w:t xml:space="preserve">he Domestic, Family and Sexual Violence Commission (DFSV Commission) was established as an Executive Agency commencing on 1 </w:t>
      </w:r>
      <w:r>
        <w:rPr>
          <w:sz w:val="24"/>
        </w:rPr>
        <w:t xml:space="preserve">July 2022. From 1 July 2022 to         </w:t>
      </w:r>
      <w:r w:rsidRPr="0002614A">
        <w:rPr>
          <w:sz w:val="24"/>
        </w:rPr>
        <w:t>31 October 2022 the DFSV Commission, as an Executive Agency, was part of the Department of Social Services (DSS) for the purposes of the finance law</w:t>
      </w:r>
      <w:r w:rsidR="00B75404">
        <w:rPr>
          <w:sz w:val="24"/>
        </w:rPr>
        <w:t xml:space="preserve"> as defined by the PGPA Act</w:t>
      </w:r>
      <w:r>
        <w:rPr>
          <w:sz w:val="24"/>
        </w:rPr>
        <w:t>.</w:t>
      </w:r>
    </w:p>
    <w:p w14:paraId="794FE714" w14:textId="21E172D2" w:rsidR="0026703C" w:rsidRDefault="0026703C" w:rsidP="0026703C">
      <w:pPr>
        <w:rPr>
          <w:sz w:val="24"/>
        </w:rPr>
      </w:pPr>
      <w:r w:rsidRPr="00187987">
        <w:rPr>
          <w:sz w:val="24"/>
        </w:rPr>
        <w:t>From 1 November 2022, the DFSV</w:t>
      </w:r>
      <w:r>
        <w:rPr>
          <w:sz w:val="24"/>
        </w:rPr>
        <w:t xml:space="preserve"> Commission will </w:t>
      </w:r>
      <w:r w:rsidR="00B75404">
        <w:rPr>
          <w:sz w:val="24"/>
        </w:rPr>
        <w:t xml:space="preserve">continue as an Executive Agency and will </w:t>
      </w:r>
      <w:r>
        <w:rPr>
          <w:sz w:val="24"/>
        </w:rPr>
        <w:t xml:space="preserve">commence as a non-corporate Commonwealth entity, </w:t>
      </w:r>
      <w:r w:rsidR="00B75404">
        <w:rPr>
          <w:sz w:val="24"/>
        </w:rPr>
        <w:t xml:space="preserve">for the purposes of the finance law, separate from DSS. </w:t>
      </w:r>
    </w:p>
    <w:p w14:paraId="6A450CF9" w14:textId="74D06BCB" w:rsidR="00310E5A" w:rsidRDefault="005A2E61" w:rsidP="00EC5837">
      <w:pPr>
        <w:rPr>
          <w:sz w:val="24"/>
        </w:rPr>
      </w:pPr>
      <w:r>
        <w:rPr>
          <w:sz w:val="24"/>
        </w:rPr>
        <w:t>T</w:t>
      </w:r>
      <w:r w:rsidR="00A44729" w:rsidRPr="00011DF0">
        <w:rPr>
          <w:sz w:val="24"/>
        </w:rPr>
        <w:t xml:space="preserve">he </w:t>
      </w:r>
      <w:r w:rsidR="00D96E55" w:rsidRPr="00011DF0">
        <w:rPr>
          <w:i/>
          <w:sz w:val="24"/>
          <w:szCs w:val="24"/>
        </w:rPr>
        <w:t>Public Governance, Performance and Accountability (Section 75 Transfers) Amendment Determination 2022</w:t>
      </w:r>
      <w:r w:rsidR="00D96E55" w:rsidRPr="00011DF0">
        <w:rPr>
          <w:i/>
          <w:sz w:val="24"/>
          <w:szCs w:val="24"/>
        </w:rPr>
        <w:noBreakHyphen/>
        <w:t xml:space="preserve">2023 (No. </w:t>
      </w:r>
      <w:r w:rsidR="00793DE0">
        <w:rPr>
          <w:i/>
          <w:sz w:val="24"/>
          <w:szCs w:val="24"/>
        </w:rPr>
        <w:t>4</w:t>
      </w:r>
      <w:r w:rsidR="00D96E55" w:rsidRPr="00011DF0">
        <w:rPr>
          <w:i/>
          <w:sz w:val="24"/>
          <w:szCs w:val="24"/>
        </w:rPr>
        <w:t>)</w:t>
      </w:r>
      <w:r w:rsidR="00D96E55" w:rsidRPr="00011DF0">
        <w:rPr>
          <w:sz w:val="24"/>
          <w:szCs w:val="24"/>
        </w:rPr>
        <w:t xml:space="preserve"> (the amendment determination) </w:t>
      </w:r>
      <w:r w:rsidR="00011DF0">
        <w:rPr>
          <w:sz w:val="24"/>
          <w:szCs w:val="24"/>
        </w:rPr>
        <w:t xml:space="preserve">amends the </w:t>
      </w:r>
      <w:r w:rsidR="00011DF0" w:rsidRPr="005A2E61">
        <w:rPr>
          <w:i/>
          <w:sz w:val="24"/>
          <w:szCs w:val="24"/>
        </w:rPr>
        <w:t>Public Governance, Performance and Accountability</w:t>
      </w:r>
      <w:r w:rsidRPr="005A2E61">
        <w:rPr>
          <w:i/>
          <w:sz w:val="24"/>
          <w:szCs w:val="24"/>
        </w:rPr>
        <w:t xml:space="preserve"> (Section 75 T</w:t>
      </w:r>
      <w:r>
        <w:rPr>
          <w:i/>
          <w:sz w:val="24"/>
          <w:szCs w:val="24"/>
        </w:rPr>
        <w:t>ransfers) Determination 2022</w:t>
      </w:r>
      <w:r>
        <w:rPr>
          <w:i/>
          <w:sz w:val="24"/>
          <w:szCs w:val="24"/>
        </w:rPr>
        <w:noBreakHyphen/>
      </w:r>
      <w:r w:rsidRPr="005A2E61">
        <w:rPr>
          <w:i/>
          <w:sz w:val="24"/>
          <w:szCs w:val="24"/>
        </w:rPr>
        <w:t>2023</w:t>
      </w:r>
      <w:r>
        <w:rPr>
          <w:sz w:val="24"/>
          <w:szCs w:val="24"/>
        </w:rPr>
        <w:t xml:space="preserve"> (the principal determination) </w:t>
      </w:r>
      <w:r w:rsidR="00310E5A" w:rsidRPr="0026703C">
        <w:rPr>
          <w:sz w:val="24"/>
          <w:szCs w:val="24"/>
        </w:rPr>
        <w:t xml:space="preserve">to transfer appropriation </w:t>
      </w:r>
      <w:r w:rsidR="0026703C" w:rsidRPr="0026703C">
        <w:rPr>
          <w:sz w:val="24"/>
          <w:szCs w:val="24"/>
        </w:rPr>
        <w:t xml:space="preserve">from </w:t>
      </w:r>
      <w:r w:rsidR="00EF74BA">
        <w:rPr>
          <w:sz w:val="24"/>
          <w:szCs w:val="24"/>
        </w:rPr>
        <w:t>DSS</w:t>
      </w:r>
      <w:r w:rsidR="00F502F6" w:rsidRPr="0026703C">
        <w:rPr>
          <w:sz w:val="24"/>
          <w:szCs w:val="24"/>
        </w:rPr>
        <w:t xml:space="preserve"> </w:t>
      </w:r>
      <w:r w:rsidR="0026703C" w:rsidRPr="0026703C">
        <w:rPr>
          <w:sz w:val="24"/>
          <w:szCs w:val="24"/>
        </w:rPr>
        <w:t>to</w:t>
      </w:r>
      <w:r w:rsidR="00F502F6" w:rsidRPr="0026703C">
        <w:rPr>
          <w:sz w:val="24"/>
          <w:szCs w:val="24"/>
        </w:rPr>
        <w:t xml:space="preserve"> the </w:t>
      </w:r>
      <w:r w:rsidR="0026703C">
        <w:rPr>
          <w:sz w:val="24"/>
          <w:szCs w:val="24"/>
        </w:rPr>
        <w:t>DFSV Commission</w:t>
      </w:r>
      <w:r w:rsidR="00EF74BA">
        <w:rPr>
          <w:sz w:val="24"/>
          <w:szCs w:val="24"/>
        </w:rPr>
        <w:t xml:space="preserve"> and</w:t>
      </w:r>
      <w:r w:rsidR="00310E5A" w:rsidRPr="0026703C">
        <w:rPr>
          <w:sz w:val="24"/>
          <w:szCs w:val="24"/>
        </w:rPr>
        <w:t xml:space="preserve"> </w:t>
      </w:r>
      <w:r w:rsidR="00F502F6" w:rsidRPr="0026703C">
        <w:rPr>
          <w:sz w:val="24"/>
        </w:rPr>
        <w:t>add the</w:t>
      </w:r>
      <w:r w:rsidR="00310E5A" w:rsidRPr="0026703C">
        <w:rPr>
          <w:sz w:val="24"/>
        </w:rPr>
        <w:t xml:space="preserve"> outcome statement </w:t>
      </w:r>
      <w:r w:rsidR="00F502F6" w:rsidRPr="0026703C">
        <w:rPr>
          <w:sz w:val="24"/>
        </w:rPr>
        <w:t>f</w:t>
      </w:r>
      <w:r w:rsidR="00EF74BA">
        <w:rPr>
          <w:sz w:val="24"/>
        </w:rPr>
        <w:t>or</w:t>
      </w:r>
      <w:r w:rsidR="00F502F6" w:rsidRPr="0026703C">
        <w:rPr>
          <w:sz w:val="24"/>
        </w:rPr>
        <w:t xml:space="preserve"> the </w:t>
      </w:r>
      <w:r w:rsidR="0026703C">
        <w:rPr>
          <w:sz w:val="24"/>
        </w:rPr>
        <w:t>DFSV</w:t>
      </w:r>
      <w:r w:rsidR="00F502F6" w:rsidRPr="0026703C">
        <w:rPr>
          <w:sz w:val="24"/>
        </w:rPr>
        <w:t xml:space="preserve"> Commission</w:t>
      </w:r>
      <w:r w:rsidR="00310E5A" w:rsidRPr="0026703C">
        <w:rPr>
          <w:sz w:val="24"/>
        </w:rPr>
        <w:t>.</w:t>
      </w:r>
      <w:r w:rsidR="00310E5A">
        <w:rPr>
          <w:sz w:val="24"/>
          <w:szCs w:val="24"/>
        </w:rPr>
        <w:t xml:space="preserve"> </w:t>
      </w:r>
      <w:r w:rsidR="00310E5A" w:rsidRPr="00EC5837">
        <w:rPr>
          <w:color w:val="000000"/>
          <w:sz w:val="24"/>
          <w:szCs w:val="24"/>
          <w:lang w:eastAsia="en-AU"/>
        </w:rPr>
        <w:t xml:space="preserve">The </w:t>
      </w:r>
      <w:r w:rsidR="00310E5A">
        <w:rPr>
          <w:color w:val="000000"/>
          <w:sz w:val="24"/>
          <w:szCs w:val="24"/>
          <w:lang w:eastAsia="en-AU"/>
        </w:rPr>
        <w:t xml:space="preserve">amendment </w:t>
      </w:r>
      <w:r w:rsidR="00310E5A" w:rsidRPr="00EC5837">
        <w:rPr>
          <w:sz w:val="24"/>
        </w:rPr>
        <w:t>determination does not change the total amount appropriated by the Parliament.</w:t>
      </w:r>
      <w:r w:rsidR="00310E5A">
        <w:rPr>
          <w:sz w:val="24"/>
        </w:rPr>
        <w:t xml:space="preserve"> </w:t>
      </w:r>
    </w:p>
    <w:p w14:paraId="53842E2B" w14:textId="4B37093F" w:rsidR="00EC5837" w:rsidRDefault="005A2E61" w:rsidP="00EC5837">
      <w:pPr>
        <w:rPr>
          <w:sz w:val="24"/>
        </w:rPr>
      </w:pPr>
      <w:r>
        <w:rPr>
          <w:sz w:val="24"/>
          <w:szCs w:val="24"/>
        </w:rPr>
        <w:t>The principal determination</w:t>
      </w:r>
      <w:r w:rsidR="00011DF0">
        <w:rPr>
          <w:sz w:val="24"/>
          <w:szCs w:val="24"/>
        </w:rPr>
        <w:t xml:space="preserve"> </w:t>
      </w:r>
      <w:r w:rsidR="00D96E55" w:rsidRPr="00011DF0">
        <w:rPr>
          <w:sz w:val="24"/>
          <w:szCs w:val="24"/>
        </w:rPr>
        <w:t xml:space="preserve">modifies </w:t>
      </w:r>
      <w:r w:rsidR="00A44729" w:rsidRPr="00011DF0">
        <w:rPr>
          <w:sz w:val="24"/>
        </w:rPr>
        <w:t>the</w:t>
      </w:r>
      <w:r w:rsidR="00A44729" w:rsidRPr="00011DF0">
        <w:t xml:space="preserve"> </w:t>
      </w:r>
      <w:r w:rsidR="00A44729" w:rsidRPr="00011DF0">
        <w:rPr>
          <w:i/>
          <w:sz w:val="24"/>
          <w:szCs w:val="24"/>
        </w:rPr>
        <w:t>Supply Act (No. 1) 2022-2023</w:t>
      </w:r>
      <w:r w:rsidR="00A44729" w:rsidRPr="00011DF0">
        <w:rPr>
          <w:sz w:val="24"/>
          <w:szCs w:val="24"/>
        </w:rPr>
        <w:t xml:space="preserve"> </w:t>
      </w:r>
      <w:r>
        <w:rPr>
          <w:sz w:val="24"/>
          <w:szCs w:val="24"/>
        </w:rPr>
        <w:t xml:space="preserve">and the </w:t>
      </w:r>
      <w:r w:rsidRPr="00011DF0">
        <w:rPr>
          <w:i/>
          <w:sz w:val="24"/>
          <w:szCs w:val="24"/>
        </w:rPr>
        <w:t xml:space="preserve">Supply Act (No. </w:t>
      </w:r>
      <w:r>
        <w:rPr>
          <w:i/>
          <w:sz w:val="24"/>
          <w:szCs w:val="24"/>
        </w:rPr>
        <w:t>2</w:t>
      </w:r>
      <w:r w:rsidRPr="00011DF0">
        <w:rPr>
          <w:i/>
          <w:sz w:val="24"/>
          <w:szCs w:val="24"/>
        </w:rPr>
        <w:t>) 2022-2023</w:t>
      </w:r>
      <w:r w:rsidRPr="00011DF0">
        <w:rPr>
          <w:sz w:val="24"/>
          <w:szCs w:val="24"/>
        </w:rPr>
        <w:t xml:space="preserve"> </w:t>
      </w:r>
      <w:r w:rsidR="00D96E55" w:rsidRPr="00011DF0">
        <w:rPr>
          <w:sz w:val="24"/>
          <w:szCs w:val="24"/>
        </w:rPr>
        <w:t>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F564DC" w:rsidRPr="00F564DC">
        <w:rPr>
          <w:sz w:val="24"/>
          <w:szCs w:val="24"/>
        </w:rPr>
        <w:t xml:space="preserve"> </w:t>
      </w:r>
      <w:r w:rsidR="00310E5A">
        <w:rPr>
          <w:sz w:val="24"/>
          <w:szCs w:val="24"/>
        </w:rPr>
        <w:t>t</w:t>
      </w:r>
      <w:r w:rsidR="00310E5A" w:rsidRPr="00011DF0">
        <w:rPr>
          <w:sz w:val="24"/>
        </w:rPr>
        <w:t xml:space="preserve">o support the </w:t>
      </w:r>
      <w:r w:rsidR="00310E5A">
        <w:rPr>
          <w:sz w:val="24"/>
        </w:rPr>
        <w:t xml:space="preserve">implementation of the </w:t>
      </w:r>
      <w:r w:rsidR="00310E5A" w:rsidRPr="0026703C">
        <w:rPr>
          <w:sz w:val="24"/>
        </w:rPr>
        <w:t>new A</w:t>
      </w:r>
      <w:r w:rsidR="0026703C" w:rsidRPr="0026703C">
        <w:rPr>
          <w:sz w:val="24"/>
        </w:rPr>
        <w:t xml:space="preserve">dministrative </w:t>
      </w:r>
      <w:r w:rsidR="00310E5A" w:rsidRPr="0026703C">
        <w:rPr>
          <w:sz w:val="24"/>
        </w:rPr>
        <w:t>A</w:t>
      </w:r>
      <w:r w:rsidR="0026703C" w:rsidRPr="0026703C">
        <w:rPr>
          <w:sz w:val="24"/>
        </w:rPr>
        <w:t xml:space="preserve">rrangements </w:t>
      </w:r>
      <w:r w:rsidR="00310E5A" w:rsidRPr="0026703C">
        <w:rPr>
          <w:sz w:val="24"/>
        </w:rPr>
        <w:t>O</w:t>
      </w:r>
      <w:r w:rsidR="0026703C" w:rsidRPr="0026703C">
        <w:rPr>
          <w:sz w:val="24"/>
        </w:rPr>
        <w:t>rder commencing on 1 July 2022</w:t>
      </w:r>
      <w:r w:rsidR="00310E5A" w:rsidRPr="0026703C">
        <w:rPr>
          <w:sz w:val="24"/>
        </w:rPr>
        <w:t xml:space="preserve"> and other smaller </w:t>
      </w:r>
      <w:r w:rsidR="003A5D1D" w:rsidRPr="0026703C">
        <w:rPr>
          <w:sz w:val="24"/>
        </w:rPr>
        <w:t>M</w:t>
      </w:r>
      <w:r w:rsidR="0026703C" w:rsidRPr="0026703C">
        <w:rPr>
          <w:sz w:val="24"/>
        </w:rPr>
        <w:t xml:space="preserve">achinery </w:t>
      </w:r>
      <w:r w:rsidR="003A5D1D" w:rsidRPr="0026703C">
        <w:rPr>
          <w:sz w:val="24"/>
        </w:rPr>
        <w:t>o</w:t>
      </w:r>
      <w:r w:rsidR="0026703C" w:rsidRPr="0026703C">
        <w:rPr>
          <w:sz w:val="24"/>
        </w:rPr>
        <w:t xml:space="preserve">f </w:t>
      </w:r>
      <w:r w:rsidR="003A5D1D" w:rsidRPr="0026703C">
        <w:rPr>
          <w:sz w:val="24"/>
        </w:rPr>
        <w:t>G</w:t>
      </w:r>
      <w:r w:rsidR="0026703C" w:rsidRPr="0026703C">
        <w:rPr>
          <w:sz w:val="24"/>
        </w:rPr>
        <w:t>overnment</w:t>
      </w:r>
      <w:r w:rsidR="00310E5A" w:rsidRPr="0026703C">
        <w:rPr>
          <w:sz w:val="24"/>
        </w:rPr>
        <w:t xml:space="preserve"> changes that did not require consideration by the Federal Executive Council</w:t>
      </w:r>
      <w:r w:rsidR="00310E5A" w:rsidRPr="0026703C">
        <w:rPr>
          <w:sz w:val="24"/>
          <w:szCs w:val="24"/>
        </w:rPr>
        <w:t>.</w:t>
      </w:r>
      <w:r w:rsidR="00310E5A">
        <w:rPr>
          <w:sz w:val="24"/>
          <w:szCs w:val="24"/>
        </w:rPr>
        <w:t xml:space="preserve"> </w:t>
      </w:r>
    </w:p>
    <w:p w14:paraId="10EC0A9B" w14:textId="0C263771" w:rsidR="00EC5837" w:rsidRDefault="00EC5837" w:rsidP="00EC5837">
      <w:pPr>
        <w:rPr>
          <w:sz w:val="24"/>
        </w:rPr>
      </w:pPr>
      <w:r w:rsidRPr="00EC5837">
        <w:rPr>
          <w:sz w:val="24"/>
        </w:rPr>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3129A745" w14:textId="77777777" w:rsidR="003020D9" w:rsidRPr="00EC5837" w:rsidRDefault="003020D9" w:rsidP="00EC5837">
      <w:pPr>
        <w:rPr>
          <w:sz w:val="24"/>
        </w:rPr>
      </w:pPr>
    </w:p>
    <w:p w14:paraId="09136A95" w14:textId="77777777" w:rsidR="00EC5837" w:rsidRPr="0067455D" w:rsidRDefault="00EC5837" w:rsidP="00EC5837">
      <w:pPr>
        <w:pStyle w:val="Heading3"/>
        <w:keepNext w:val="0"/>
        <w:keepLines/>
        <w:spacing w:after="0"/>
        <w:rPr>
          <w:iCs/>
          <w:szCs w:val="22"/>
        </w:rPr>
      </w:pPr>
      <w:r w:rsidRPr="0067455D">
        <w:rPr>
          <w:iCs/>
          <w:szCs w:val="22"/>
        </w:rPr>
        <w:lastRenderedPageBreak/>
        <w:t>Commencement</w:t>
      </w:r>
    </w:p>
    <w:p w14:paraId="48EC88EE" w14:textId="30238F45" w:rsidR="00EC5837" w:rsidRPr="0067455D" w:rsidRDefault="00EC5837" w:rsidP="00EC5837">
      <w:pPr>
        <w:rPr>
          <w:b/>
          <w:sz w:val="24"/>
        </w:rPr>
      </w:pPr>
      <w:r w:rsidRPr="0067455D">
        <w:rPr>
          <w:sz w:val="24"/>
        </w:rPr>
        <w:t xml:space="preserve">The </w:t>
      </w:r>
      <w:r w:rsidR="005B2D19">
        <w:rPr>
          <w:sz w:val="24"/>
        </w:rPr>
        <w:t xml:space="preserve">amendment </w:t>
      </w:r>
      <w:r w:rsidRPr="0067455D">
        <w:rPr>
          <w:sz w:val="24"/>
        </w:rPr>
        <w:t xml:space="preserve">determination commences </w:t>
      </w:r>
      <w:r w:rsidR="00124EAF">
        <w:rPr>
          <w:sz w:val="24"/>
        </w:rPr>
        <w:t>immediately</w:t>
      </w:r>
      <w:r w:rsidR="005B2D19">
        <w:rPr>
          <w:sz w:val="24"/>
        </w:rPr>
        <w:t xml:space="preserve"> after it is registered on the Federal Register of Legislation</w:t>
      </w:r>
      <w:r w:rsidRPr="0067455D">
        <w:rPr>
          <w:sz w:val="24"/>
        </w:rPr>
        <w:t>.</w:t>
      </w:r>
    </w:p>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4BB3E0DC" w14:textId="35614895" w:rsidR="00E76D95" w:rsidRPr="0026703C" w:rsidRDefault="001C2D30" w:rsidP="0026703C">
      <w:pPr>
        <w:pStyle w:val="ItemHead"/>
        <w:numPr>
          <w:ilvl w:val="0"/>
          <w:numId w:val="33"/>
        </w:numPr>
        <w:spacing w:after="220"/>
        <w:rPr>
          <w:szCs w:val="24"/>
        </w:rPr>
      </w:pPr>
      <w:r w:rsidRPr="00A073C0">
        <w:rPr>
          <w:rFonts w:ascii="Times New Roman" w:hAnsi="Times New Roman"/>
          <w:b w:val="0"/>
          <w:szCs w:val="24"/>
        </w:rPr>
        <w:t>Item 1 of Schedule 1 to the a</w:t>
      </w:r>
      <w:r w:rsidR="00E76D95" w:rsidRPr="00A073C0">
        <w:rPr>
          <w:rFonts w:ascii="Times New Roman" w:hAnsi="Times New Roman"/>
          <w:b w:val="0"/>
          <w:szCs w:val="24"/>
        </w:rPr>
        <w:t xml:space="preserve">mendment determination has effect </w:t>
      </w:r>
      <w:r w:rsidR="00B03109" w:rsidRPr="00A073C0">
        <w:rPr>
          <w:rFonts w:ascii="Times New Roman" w:hAnsi="Times New Roman"/>
          <w:b w:val="0"/>
          <w:szCs w:val="24"/>
        </w:rPr>
        <w:t xml:space="preserve">as if Schedule 1 of the </w:t>
      </w:r>
      <w:r w:rsidR="00B03109" w:rsidRPr="0026703C">
        <w:rPr>
          <w:rFonts w:ascii="Times New Roman" w:hAnsi="Times New Roman"/>
          <w:b w:val="0"/>
          <w:i/>
          <w:szCs w:val="24"/>
        </w:rPr>
        <w:t>Supply Act (No. 1) 2022-2023</w:t>
      </w:r>
      <w:r w:rsidR="00B03109" w:rsidRPr="0026703C">
        <w:rPr>
          <w:rFonts w:ascii="Times New Roman" w:hAnsi="Times New Roman"/>
          <w:b w:val="0"/>
          <w:szCs w:val="24"/>
        </w:rPr>
        <w:t xml:space="preserve"> </w:t>
      </w:r>
      <w:r w:rsidR="00EF621F" w:rsidRPr="0026703C">
        <w:rPr>
          <w:rFonts w:ascii="Times New Roman" w:hAnsi="Times New Roman"/>
          <w:b w:val="0"/>
          <w:szCs w:val="24"/>
        </w:rPr>
        <w:t>includ</w:t>
      </w:r>
      <w:r w:rsidR="00B03109" w:rsidRPr="0026703C">
        <w:rPr>
          <w:rFonts w:ascii="Times New Roman" w:hAnsi="Times New Roman"/>
          <w:b w:val="0"/>
          <w:szCs w:val="24"/>
        </w:rPr>
        <w:t>ed</w:t>
      </w:r>
      <w:r w:rsidR="00EF621F" w:rsidRPr="0026703C">
        <w:rPr>
          <w:rFonts w:ascii="Times New Roman" w:hAnsi="Times New Roman"/>
          <w:b w:val="0"/>
          <w:szCs w:val="24"/>
        </w:rPr>
        <w:t xml:space="preserve"> a departmental item for the D</w:t>
      </w:r>
      <w:r w:rsidR="00EF74BA">
        <w:rPr>
          <w:rFonts w:ascii="Times New Roman" w:hAnsi="Times New Roman"/>
          <w:b w:val="0"/>
          <w:szCs w:val="24"/>
        </w:rPr>
        <w:t xml:space="preserve">FSV </w:t>
      </w:r>
      <w:r w:rsidR="00EF621F" w:rsidRPr="0026703C">
        <w:rPr>
          <w:rFonts w:ascii="Times New Roman" w:hAnsi="Times New Roman"/>
          <w:b w:val="0"/>
          <w:szCs w:val="24"/>
        </w:rPr>
        <w:t>Commission and</w:t>
      </w:r>
      <w:r w:rsidR="00B03109" w:rsidRPr="0026703C">
        <w:rPr>
          <w:rFonts w:ascii="Times New Roman" w:hAnsi="Times New Roman"/>
          <w:b w:val="0"/>
          <w:szCs w:val="24"/>
        </w:rPr>
        <w:t xml:space="preserve"> the outcome for that Commission as set out in paragraph 6(3H)(b)</w:t>
      </w:r>
      <w:r w:rsidR="00EF621F" w:rsidRPr="0026703C">
        <w:rPr>
          <w:rFonts w:ascii="Times New Roman" w:hAnsi="Times New Roman"/>
          <w:b w:val="0"/>
          <w:szCs w:val="24"/>
        </w:rPr>
        <w:t>.</w:t>
      </w:r>
    </w:p>
    <w:p w14:paraId="7AECEAC0" w14:textId="2D4CFD38" w:rsidR="00B57F90" w:rsidRPr="0026703C" w:rsidRDefault="00775AFD" w:rsidP="0026703C">
      <w:pPr>
        <w:pStyle w:val="ListParagraph"/>
        <w:numPr>
          <w:ilvl w:val="0"/>
          <w:numId w:val="33"/>
        </w:numPr>
        <w:rPr>
          <w:szCs w:val="24"/>
        </w:rPr>
      </w:pPr>
      <w:r w:rsidRPr="0026703C">
        <w:rPr>
          <w:sz w:val="24"/>
          <w:szCs w:val="24"/>
        </w:rPr>
        <w:t xml:space="preserve">Item </w:t>
      </w:r>
      <w:r w:rsidR="004D6D14" w:rsidRPr="0026703C">
        <w:rPr>
          <w:sz w:val="24"/>
          <w:szCs w:val="24"/>
        </w:rPr>
        <w:t>2</w:t>
      </w:r>
      <w:r w:rsidRPr="0026703C">
        <w:rPr>
          <w:sz w:val="24"/>
          <w:szCs w:val="24"/>
        </w:rPr>
        <w:t xml:space="preserve"> of Schedule 1 to the amendment determinatio</w:t>
      </w:r>
      <w:r w:rsidR="00CF7410" w:rsidRPr="0026703C">
        <w:rPr>
          <w:sz w:val="24"/>
          <w:szCs w:val="24"/>
        </w:rPr>
        <w:t>n adds items 5</w:t>
      </w:r>
      <w:r w:rsidR="004D6D14" w:rsidRPr="0026703C">
        <w:rPr>
          <w:sz w:val="24"/>
          <w:szCs w:val="24"/>
        </w:rPr>
        <w:t>3</w:t>
      </w:r>
      <w:r w:rsidR="00CF7410" w:rsidRPr="0026703C">
        <w:rPr>
          <w:sz w:val="24"/>
          <w:szCs w:val="24"/>
        </w:rPr>
        <w:t xml:space="preserve"> and 5</w:t>
      </w:r>
      <w:r w:rsidR="004D6D14" w:rsidRPr="0026703C">
        <w:rPr>
          <w:sz w:val="24"/>
          <w:szCs w:val="24"/>
        </w:rPr>
        <w:t>4</w:t>
      </w:r>
      <w:r w:rsidR="00CF7410" w:rsidRPr="0026703C">
        <w:rPr>
          <w:sz w:val="24"/>
          <w:szCs w:val="24"/>
        </w:rPr>
        <w:t xml:space="preserve"> </w:t>
      </w:r>
      <w:r w:rsidR="005D7B7C" w:rsidRPr="0026703C">
        <w:rPr>
          <w:sz w:val="24"/>
          <w:szCs w:val="24"/>
        </w:rPr>
        <w:t>at the end of</w:t>
      </w:r>
      <w:r w:rsidRPr="0026703C">
        <w:rPr>
          <w:sz w:val="24"/>
          <w:szCs w:val="24"/>
        </w:rPr>
        <w:t xml:space="preserve"> the table in subsection 6(4) of the </w:t>
      </w:r>
      <w:r w:rsidR="003B631F" w:rsidRPr="0026703C">
        <w:rPr>
          <w:sz w:val="24"/>
          <w:szCs w:val="24"/>
        </w:rPr>
        <w:t xml:space="preserve">principal </w:t>
      </w:r>
      <w:r w:rsidRPr="0026703C">
        <w:rPr>
          <w:sz w:val="24"/>
          <w:szCs w:val="24"/>
        </w:rPr>
        <w:t>determination</w:t>
      </w:r>
      <w:r w:rsidR="003407D9" w:rsidRPr="0026703C">
        <w:rPr>
          <w:sz w:val="24"/>
          <w:szCs w:val="24"/>
        </w:rPr>
        <w:t xml:space="preserve"> and has effect as if appropriation items in Schedul</w:t>
      </w:r>
      <w:bookmarkStart w:id="2" w:name="_GoBack"/>
      <w:bookmarkEnd w:id="2"/>
      <w:r w:rsidR="003407D9" w:rsidRPr="0026703C">
        <w:rPr>
          <w:sz w:val="24"/>
          <w:szCs w:val="24"/>
        </w:rPr>
        <w:t xml:space="preserve">e 1 </w:t>
      </w:r>
      <w:r w:rsidR="00EF74BA">
        <w:rPr>
          <w:sz w:val="24"/>
          <w:szCs w:val="24"/>
        </w:rPr>
        <w:t xml:space="preserve">to </w:t>
      </w:r>
      <w:r w:rsidR="003407D9" w:rsidRPr="0026703C">
        <w:rPr>
          <w:sz w:val="24"/>
          <w:szCs w:val="24"/>
        </w:rPr>
        <w:t xml:space="preserve">the </w:t>
      </w:r>
      <w:r w:rsidR="003407D9" w:rsidRPr="0026703C">
        <w:rPr>
          <w:i/>
          <w:sz w:val="24"/>
          <w:szCs w:val="24"/>
        </w:rPr>
        <w:t xml:space="preserve">Supply Act (No. 1) 2022-2023 </w:t>
      </w:r>
      <w:r w:rsidR="003407D9" w:rsidRPr="0026703C">
        <w:rPr>
          <w:sz w:val="24"/>
          <w:szCs w:val="24"/>
        </w:rPr>
        <w:t xml:space="preserve">were increased or decreased in accordance with the table included in the subsection. </w:t>
      </w:r>
      <w:r w:rsidR="003407D9" w:rsidRPr="0026703C">
        <w:rPr>
          <w:kern w:val="28"/>
          <w:sz w:val="24"/>
          <w:szCs w:val="24"/>
          <w:lang w:eastAsia="en-AU"/>
        </w:rPr>
        <w:t>If an appropriation item exists only because of the determination, the increase is from a nil amount.</w:t>
      </w:r>
      <w:r w:rsidR="001D0307">
        <w:rPr>
          <w:kern w:val="28"/>
          <w:sz w:val="24"/>
          <w:szCs w:val="24"/>
          <w:lang w:eastAsia="en-AU"/>
        </w:rPr>
        <w:t xml:space="preserve"> </w:t>
      </w:r>
      <w:r w:rsidR="001D0307" w:rsidRPr="00EC5837">
        <w:rPr>
          <w:color w:val="000000"/>
          <w:sz w:val="24"/>
          <w:szCs w:val="24"/>
          <w:lang w:eastAsia="en-AU"/>
        </w:rPr>
        <w:t xml:space="preserve">The </w:t>
      </w:r>
      <w:r w:rsidR="001D0307">
        <w:rPr>
          <w:color w:val="000000"/>
          <w:sz w:val="24"/>
          <w:szCs w:val="24"/>
          <w:lang w:eastAsia="en-AU"/>
        </w:rPr>
        <w:t xml:space="preserve">amendment </w:t>
      </w:r>
      <w:r w:rsidR="001D0307" w:rsidRPr="00EC5837">
        <w:rPr>
          <w:sz w:val="24"/>
        </w:rPr>
        <w:t>determination does not change the total amount appropriated by the Parliament.</w:t>
      </w:r>
    </w:p>
    <w:p w14:paraId="535D7504" w14:textId="3F9860A9" w:rsidR="00A70AEB" w:rsidRPr="0026703C" w:rsidRDefault="00A70AEB" w:rsidP="0026703C">
      <w:pPr>
        <w:pStyle w:val="ListParagraph"/>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1843"/>
        <w:gridCol w:w="1842"/>
        <w:gridCol w:w="1843"/>
        <w:gridCol w:w="1843"/>
      </w:tblGrid>
      <w:tr w:rsidR="00A70AEB" w:rsidRPr="00541E7A" w14:paraId="5615F4E5" w14:textId="77777777" w:rsidTr="00CF7410">
        <w:trPr>
          <w:trHeight w:val="765"/>
        </w:trPr>
        <w:tc>
          <w:tcPr>
            <w:tcW w:w="568" w:type="dxa"/>
            <w:tcBorders>
              <w:bottom w:val="single" w:sz="4" w:space="0" w:color="auto"/>
            </w:tcBorders>
            <w:shd w:val="clear" w:color="auto" w:fill="auto"/>
            <w:tcMar>
              <w:top w:w="57" w:type="dxa"/>
              <w:left w:w="57" w:type="dxa"/>
              <w:right w:w="57" w:type="dxa"/>
            </w:tcMar>
            <w:hideMark/>
          </w:tcPr>
          <w:p w14:paraId="50CB8D3A" w14:textId="77777777" w:rsidR="00A70AEB" w:rsidRPr="000D38EC" w:rsidRDefault="00A70AEB" w:rsidP="0004039B">
            <w:pPr>
              <w:spacing w:before="0" w:after="0"/>
              <w:rPr>
                <w:b/>
                <w:bCs/>
                <w:color w:val="000000"/>
                <w:sz w:val="20"/>
                <w:lang w:eastAsia="en-AU"/>
              </w:rPr>
            </w:pPr>
            <w:r w:rsidRPr="000D38EC">
              <w:rPr>
                <w:b/>
                <w:bCs/>
                <w:color w:val="000000"/>
                <w:sz w:val="20"/>
                <w:lang w:eastAsia="en-AU"/>
              </w:rPr>
              <w:t>Item</w:t>
            </w:r>
          </w:p>
        </w:tc>
        <w:tc>
          <w:tcPr>
            <w:tcW w:w="1695" w:type="dxa"/>
            <w:tcBorders>
              <w:bottom w:val="single" w:sz="4" w:space="0" w:color="auto"/>
            </w:tcBorders>
            <w:shd w:val="clear" w:color="auto" w:fill="auto"/>
            <w:tcMar>
              <w:top w:w="57" w:type="dxa"/>
              <w:left w:w="57" w:type="dxa"/>
              <w:right w:w="57" w:type="dxa"/>
            </w:tcMar>
            <w:hideMark/>
          </w:tcPr>
          <w:p w14:paraId="2BF5C45C" w14:textId="77777777" w:rsidR="00A70AEB" w:rsidRPr="000D38EC" w:rsidRDefault="00A70AEB" w:rsidP="0004039B">
            <w:pPr>
              <w:spacing w:before="0" w:after="0"/>
              <w:rPr>
                <w:color w:val="000000"/>
                <w:sz w:val="20"/>
                <w:lang w:eastAsia="en-AU"/>
              </w:rPr>
            </w:pPr>
            <w:r w:rsidRPr="000D38EC">
              <w:rPr>
                <w:b/>
                <w:bCs/>
                <w:color w:val="000000"/>
                <w:sz w:val="20"/>
                <w:lang w:eastAsia="en-AU"/>
              </w:rPr>
              <w:t>Entity</w:t>
            </w:r>
          </w:p>
        </w:tc>
        <w:tc>
          <w:tcPr>
            <w:tcW w:w="1843" w:type="dxa"/>
            <w:tcBorders>
              <w:bottom w:val="single" w:sz="4" w:space="0" w:color="auto"/>
            </w:tcBorders>
            <w:shd w:val="clear" w:color="auto" w:fill="auto"/>
            <w:tcMar>
              <w:top w:w="57" w:type="dxa"/>
              <w:left w:w="57" w:type="dxa"/>
              <w:right w:w="57" w:type="dxa"/>
            </w:tcMar>
            <w:hideMark/>
          </w:tcPr>
          <w:p w14:paraId="0E7AD28B" w14:textId="77777777" w:rsidR="00A70AEB" w:rsidRPr="000D38EC" w:rsidRDefault="00A70AEB" w:rsidP="0004039B">
            <w:pPr>
              <w:spacing w:before="0" w:after="0"/>
              <w:rPr>
                <w:b/>
                <w:bCs/>
                <w:color w:val="000000"/>
                <w:sz w:val="20"/>
                <w:lang w:eastAsia="en-AU"/>
              </w:rPr>
            </w:pPr>
            <w:r w:rsidRPr="000D38EC">
              <w:rPr>
                <w:b/>
                <w:bCs/>
                <w:color w:val="000000"/>
                <w:sz w:val="20"/>
                <w:lang w:eastAsia="en-AU"/>
              </w:rPr>
              <w:t>Appropriation item</w:t>
            </w:r>
          </w:p>
        </w:tc>
        <w:tc>
          <w:tcPr>
            <w:tcW w:w="1842" w:type="dxa"/>
            <w:tcBorders>
              <w:bottom w:val="single" w:sz="4" w:space="0" w:color="auto"/>
            </w:tcBorders>
            <w:shd w:val="clear" w:color="auto" w:fill="auto"/>
            <w:tcMar>
              <w:top w:w="57" w:type="dxa"/>
              <w:left w:w="57" w:type="dxa"/>
              <w:right w:w="57" w:type="dxa"/>
            </w:tcMar>
            <w:hideMark/>
          </w:tcPr>
          <w:p w14:paraId="18EBDF29" w14:textId="6911CB15" w:rsidR="00A70AEB" w:rsidRPr="000D38EC" w:rsidRDefault="00A70AEB" w:rsidP="0004039B">
            <w:pPr>
              <w:spacing w:before="0" w:after="0"/>
              <w:jc w:val="right"/>
              <w:rPr>
                <w:b/>
                <w:bCs/>
                <w:color w:val="000000"/>
                <w:sz w:val="20"/>
                <w:lang w:eastAsia="en-AU"/>
              </w:rPr>
            </w:pPr>
            <w:r w:rsidRPr="000D38EC">
              <w:rPr>
                <w:b/>
                <w:bCs/>
                <w:color w:val="000000"/>
                <w:sz w:val="20"/>
                <w:lang w:eastAsia="en-AU"/>
              </w:rPr>
              <w:t xml:space="preserve">Previous increase/ decrease by the </w:t>
            </w:r>
            <w:r w:rsidR="003B631F">
              <w:rPr>
                <w:b/>
                <w:bCs/>
                <w:color w:val="000000"/>
                <w:sz w:val="20"/>
                <w:lang w:eastAsia="en-AU"/>
              </w:rPr>
              <w:t xml:space="preserve">principal </w:t>
            </w:r>
            <w:r w:rsidRPr="000D38EC">
              <w:rPr>
                <w:b/>
                <w:bCs/>
                <w:color w:val="000000"/>
                <w:sz w:val="20"/>
                <w:lang w:eastAsia="en-AU"/>
              </w:rPr>
              <w:t xml:space="preserve">determination </w:t>
            </w:r>
          </w:p>
          <w:p w14:paraId="2BDCF85E" w14:textId="77777777" w:rsidR="00A70AEB" w:rsidRPr="000D38EC" w:rsidRDefault="00A70AEB" w:rsidP="0004039B">
            <w:pPr>
              <w:spacing w:before="0" w:after="0"/>
              <w:jc w:val="right"/>
              <w:rPr>
                <w:b/>
                <w:bCs/>
                <w:color w:val="000000"/>
                <w:sz w:val="20"/>
                <w:lang w:eastAsia="en-AU"/>
              </w:rPr>
            </w:pPr>
            <w:r w:rsidRPr="000D38EC">
              <w:rPr>
                <w:b/>
                <w:bCs/>
                <w:color w:val="000000"/>
                <w:sz w:val="20"/>
                <w:lang w:eastAsia="en-AU"/>
              </w:rPr>
              <w:t>($)</w:t>
            </w:r>
          </w:p>
        </w:tc>
        <w:tc>
          <w:tcPr>
            <w:tcW w:w="1843" w:type="dxa"/>
            <w:tcBorders>
              <w:bottom w:val="single" w:sz="4" w:space="0" w:color="auto"/>
            </w:tcBorders>
            <w:shd w:val="clear" w:color="auto" w:fill="auto"/>
            <w:tcMar>
              <w:top w:w="57" w:type="dxa"/>
              <w:left w:w="57" w:type="dxa"/>
              <w:right w:w="57" w:type="dxa"/>
            </w:tcMar>
            <w:hideMark/>
          </w:tcPr>
          <w:p w14:paraId="57310B22" w14:textId="79E74590" w:rsidR="00A70AEB" w:rsidRPr="000D38EC" w:rsidRDefault="00A70AEB" w:rsidP="0004039B">
            <w:pPr>
              <w:spacing w:before="0" w:after="0"/>
              <w:jc w:val="right"/>
              <w:rPr>
                <w:b/>
                <w:bCs/>
                <w:color w:val="000000"/>
                <w:sz w:val="20"/>
                <w:lang w:eastAsia="en-AU"/>
              </w:rPr>
            </w:pPr>
            <w:r w:rsidRPr="000D38EC">
              <w:rPr>
                <w:b/>
                <w:bCs/>
                <w:color w:val="000000"/>
                <w:sz w:val="20"/>
                <w:lang w:eastAsia="en-AU"/>
              </w:rPr>
              <w:t>Current increase/ decrease by the amendment determination</w:t>
            </w:r>
          </w:p>
          <w:p w14:paraId="0F850127" w14:textId="77777777" w:rsidR="00A70AEB" w:rsidRPr="000D38EC" w:rsidRDefault="00A70AEB" w:rsidP="0004039B">
            <w:pPr>
              <w:spacing w:before="0" w:after="0"/>
              <w:jc w:val="right"/>
              <w:rPr>
                <w:b/>
                <w:bCs/>
                <w:color w:val="000000"/>
                <w:sz w:val="20"/>
                <w:lang w:eastAsia="en-AU"/>
              </w:rPr>
            </w:pPr>
            <w:r w:rsidRPr="000D38EC">
              <w:rPr>
                <w:b/>
                <w:bCs/>
                <w:color w:val="000000"/>
                <w:sz w:val="20"/>
                <w:lang w:eastAsia="en-AU"/>
              </w:rPr>
              <w:t xml:space="preserve"> ($)</w:t>
            </w:r>
          </w:p>
        </w:tc>
        <w:tc>
          <w:tcPr>
            <w:tcW w:w="1843" w:type="dxa"/>
            <w:tcBorders>
              <w:bottom w:val="single" w:sz="4" w:space="0" w:color="auto"/>
            </w:tcBorders>
            <w:shd w:val="clear" w:color="auto" w:fill="auto"/>
            <w:tcMar>
              <w:top w:w="57" w:type="dxa"/>
              <w:left w:w="57" w:type="dxa"/>
              <w:right w:w="57" w:type="dxa"/>
            </w:tcMar>
            <w:hideMark/>
          </w:tcPr>
          <w:p w14:paraId="7C89FAEC" w14:textId="128A3FC1" w:rsidR="00A70AEB" w:rsidRPr="000D38EC" w:rsidRDefault="00A70AEB" w:rsidP="0004039B">
            <w:pPr>
              <w:spacing w:before="0" w:after="0"/>
              <w:jc w:val="right"/>
              <w:rPr>
                <w:b/>
                <w:bCs/>
                <w:color w:val="000000"/>
                <w:sz w:val="20"/>
                <w:lang w:eastAsia="en-AU"/>
              </w:rPr>
            </w:pPr>
            <w:r w:rsidRPr="000D38EC">
              <w:rPr>
                <w:b/>
                <w:bCs/>
                <w:color w:val="000000"/>
                <w:sz w:val="20"/>
                <w:lang w:eastAsia="en-AU"/>
              </w:rPr>
              <w:t xml:space="preserve">Total increase/ decrease by the </w:t>
            </w:r>
            <w:r w:rsidR="003B631F">
              <w:rPr>
                <w:b/>
                <w:bCs/>
                <w:color w:val="000000"/>
                <w:sz w:val="20"/>
                <w:lang w:eastAsia="en-AU"/>
              </w:rPr>
              <w:t xml:space="preserve">principal </w:t>
            </w:r>
            <w:r w:rsidRPr="000D38EC">
              <w:rPr>
                <w:b/>
                <w:bCs/>
                <w:color w:val="000000"/>
                <w:sz w:val="20"/>
                <w:lang w:eastAsia="en-AU"/>
              </w:rPr>
              <w:t xml:space="preserve">determination </w:t>
            </w:r>
          </w:p>
          <w:p w14:paraId="546C340F" w14:textId="77777777" w:rsidR="00A70AEB" w:rsidRPr="000D38EC" w:rsidRDefault="00A70AEB" w:rsidP="0004039B">
            <w:pPr>
              <w:spacing w:before="0" w:after="0"/>
              <w:jc w:val="right"/>
              <w:rPr>
                <w:b/>
                <w:bCs/>
                <w:color w:val="000000"/>
                <w:sz w:val="20"/>
                <w:lang w:eastAsia="en-AU"/>
              </w:rPr>
            </w:pPr>
            <w:r w:rsidRPr="000D38EC">
              <w:rPr>
                <w:b/>
                <w:bCs/>
                <w:color w:val="000000"/>
                <w:sz w:val="20"/>
                <w:lang w:eastAsia="en-AU"/>
              </w:rPr>
              <w:t>($)</w:t>
            </w:r>
          </w:p>
        </w:tc>
      </w:tr>
      <w:tr w:rsidR="00CF7410" w:rsidRPr="00541E7A" w14:paraId="49528D21" w14:textId="77777777" w:rsidTr="00CF7410">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2360E00B" w14:textId="53C0F807" w:rsidR="00CF7410" w:rsidRPr="000D38EC" w:rsidRDefault="00CF7410" w:rsidP="00CF7410">
            <w:pPr>
              <w:spacing w:before="0" w:after="0"/>
              <w:rPr>
                <w:color w:val="000000"/>
                <w:sz w:val="20"/>
              </w:rPr>
            </w:pPr>
            <w:r>
              <w:rPr>
                <w:color w:val="000000"/>
                <w:sz w:val="20"/>
              </w:rPr>
              <w:t>5</w:t>
            </w:r>
            <w:r w:rsidR="004D6D14">
              <w:rPr>
                <w:color w:val="000000"/>
                <w:sz w:val="20"/>
              </w:rPr>
              <w:t>3</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67FBA38" w14:textId="2CF80D12" w:rsidR="00CF7410" w:rsidRPr="000D38EC" w:rsidRDefault="00CF7410" w:rsidP="00B03109">
            <w:pPr>
              <w:spacing w:before="0" w:after="0"/>
              <w:rPr>
                <w:color w:val="000000"/>
                <w:sz w:val="20"/>
              </w:rPr>
            </w:pPr>
            <w:r>
              <w:rPr>
                <w:color w:val="000000"/>
                <w:sz w:val="20"/>
              </w:rPr>
              <w:t xml:space="preserve">Department of </w:t>
            </w:r>
            <w:r w:rsidR="004D6D14">
              <w:rPr>
                <w:color w:val="000000"/>
                <w:sz w:val="20"/>
              </w:rPr>
              <w:t>Social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D17E755" w14:textId="5E60B463" w:rsidR="00CF7410" w:rsidRPr="000D38EC" w:rsidRDefault="004D6D14" w:rsidP="00CF7410">
            <w:pPr>
              <w:spacing w:before="0" w:after="0"/>
              <w:rPr>
                <w:sz w:val="20"/>
              </w:rPr>
            </w:pPr>
            <w:r>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1912A4C9" w14:textId="13407903" w:rsidR="00CF7410" w:rsidRPr="000D38EC" w:rsidRDefault="00CF7410" w:rsidP="00CF7410">
            <w:pPr>
              <w:spacing w:before="0" w:after="0"/>
              <w:jc w:val="right"/>
              <w:rPr>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B488510" w14:textId="5E894F07" w:rsidR="00CF7410" w:rsidRPr="000D38EC" w:rsidRDefault="00CF7410" w:rsidP="00B03109">
            <w:pPr>
              <w:spacing w:before="0" w:after="0"/>
              <w:jc w:val="right"/>
              <w:rPr>
                <w:color w:val="000000"/>
                <w:sz w:val="20"/>
              </w:rPr>
            </w:pPr>
            <w:r>
              <w:rPr>
                <w:sz w:val="20"/>
              </w:rPr>
              <w:t>-</w:t>
            </w:r>
            <w:r w:rsidR="004D6D14">
              <w:rPr>
                <w:sz w:val="20"/>
              </w:rPr>
              <w:t>2,486</w:t>
            </w:r>
            <w:r>
              <w:rPr>
                <w:sz w:val="20"/>
              </w:rPr>
              <w:t>,</w:t>
            </w:r>
            <w:r w:rsidR="004D6D14">
              <w:rPr>
                <w:sz w:val="20"/>
              </w:rPr>
              <w:t>350</w:t>
            </w:r>
            <w:r>
              <w:rPr>
                <w:sz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2825B30C" w14:textId="54A9A765" w:rsidR="00CF7410" w:rsidRPr="000D38EC" w:rsidRDefault="004D6D14" w:rsidP="00CF7410">
            <w:pPr>
              <w:spacing w:before="0" w:after="0"/>
              <w:jc w:val="right"/>
              <w:rPr>
                <w:color w:val="000000"/>
                <w:sz w:val="20"/>
              </w:rPr>
            </w:pPr>
            <w:r>
              <w:rPr>
                <w:sz w:val="20"/>
              </w:rPr>
              <w:t>-2,486,350.00</w:t>
            </w:r>
          </w:p>
        </w:tc>
      </w:tr>
      <w:tr w:rsidR="00CF7410" w:rsidRPr="00541E7A" w14:paraId="2E16DBDF" w14:textId="77777777" w:rsidTr="00CF7410">
        <w:trPr>
          <w:trHeight w:val="315"/>
        </w:trPr>
        <w:tc>
          <w:tcPr>
            <w:tcW w:w="568" w:type="dxa"/>
            <w:tcBorders>
              <w:top w:val="single" w:sz="4" w:space="0" w:color="auto"/>
              <w:right w:val="single" w:sz="4" w:space="0" w:color="auto"/>
            </w:tcBorders>
            <w:shd w:val="clear" w:color="auto" w:fill="auto"/>
            <w:tcMar>
              <w:top w:w="57" w:type="dxa"/>
              <w:left w:w="57" w:type="dxa"/>
              <w:right w:w="57" w:type="dxa"/>
            </w:tcMar>
          </w:tcPr>
          <w:p w14:paraId="7EFD068C" w14:textId="0B879E18" w:rsidR="00CF7410" w:rsidRPr="000D38EC" w:rsidRDefault="00CF7410" w:rsidP="00CF7410">
            <w:pPr>
              <w:spacing w:before="0" w:after="0"/>
              <w:rPr>
                <w:color w:val="000000"/>
                <w:sz w:val="20"/>
              </w:rPr>
            </w:pPr>
            <w:r>
              <w:rPr>
                <w:color w:val="000000"/>
                <w:sz w:val="20"/>
              </w:rPr>
              <w:t>5</w:t>
            </w:r>
            <w:r w:rsidR="004D6D14">
              <w:rPr>
                <w:color w:val="000000"/>
                <w:sz w:val="20"/>
              </w:rPr>
              <w:t>4</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4BF127B6" w14:textId="6CC8AE5F" w:rsidR="00CF7410" w:rsidRPr="000D38EC" w:rsidRDefault="004D6D14" w:rsidP="00CF7410">
            <w:pPr>
              <w:spacing w:before="0" w:after="0"/>
              <w:rPr>
                <w:color w:val="000000"/>
                <w:sz w:val="20"/>
              </w:rPr>
            </w:pPr>
            <w:r w:rsidRPr="004D6D14">
              <w:rPr>
                <w:color w:val="000000"/>
                <w:sz w:val="20"/>
              </w:rPr>
              <w:t>Domestic, Family and Sexual Violence Commission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7D8D5EE2" w14:textId="69D6606E" w:rsidR="00CF7410" w:rsidRPr="000D38EC" w:rsidRDefault="004D6D14" w:rsidP="00CF7410">
            <w:pPr>
              <w:spacing w:before="0" w:after="0"/>
              <w:rPr>
                <w:color w:val="000000"/>
                <w:sz w:val="20"/>
              </w:rPr>
            </w:pPr>
            <w:r>
              <w:rPr>
                <w:color w:val="000000"/>
                <w:sz w:val="20"/>
              </w:rPr>
              <w:t>Departmental item</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337E0847" w14:textId="5DB9EA26" w:rsidR="00CF7410" w:rsidRPr="000D38EC" w:rsidRDefault="00CF7410" w:rsidP="00CF7410">
            <w:pPr>
              <w:spacing w:before="0" w:after="0"/>
              <w:jc w:val="right"/>
              <w:rPr>
                <w:color w:val="000000"/>
                <w:sz w:val="20"/>
              </w:rPr>
            </w:pPr>
            <w:r>
              <w:rPr>
                <w:color w:val="000000"/>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05104F28" w14:textId="603E47C8" w:rsidR="00CF7410" w:rsidRPr="000D38EC" w:rsidRDefault="0083448F" w:rsidP="00CF7410">
            <w:pPr>
              <w:spacing w:before="0" w:after="0"/>
              <w:jc w:val="right"/>
              <w:rPr>
                <w:color w:val="000000"/>
                <w:sz w:val="20"/>
              </w:rPr>
            </w:pPr>
            <w:r>
              <w:rPr>
                <w:sz w:val="20"/>
              </w:rPr>
              <w:t>+</w:t>
            </w:r>
            <w:r w:rsidR="004D6D14">
              <w:rPr>
                <w:sz w:val="20"/>
              </w:rPr>
              <w:t>2,486,350.00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right w:w="57" w:type="dxa"/>
            </w:tcMar>
            <w:vAlign w:val="center"/>
          </w:tcPr>
          <w:p w14:paraId="5DB97052" w14:textId="5B5B6997" w:rsidR="00CF7410" w:rsidRPr="000D38EC" w:rsidRDefault="004D6D14" w:rsidP="00CF7410">
            <w:pPr>
              <w:spacing w:before="0" w:after="0"/>
              <w:jc w:val="right"/>
              <w:rPr>
                <w:color w:val="000000"/>
                <w:sz w:val="20"/>
              </w:rPr>
            </w:pPr>
            <w:r>
              <w:rPr>
                <w:sz w:val="20"/>
              </w:rPr>
              <w:t>+2,486,350.00</w:t>
            </w:r>
          </w:p>
        </w:tc>
      </w:tr>
    </w:tbl>
    <w:p w14:paraId="5EDDDDE8" w14:textId="7DB6201D" w:rsidR="00A70AEB" w:rsidRPr="00A70AEB" w:rsidRDefault="000D38EC" w:rsidP="0026703C">
      <w:pPr>
        <w:keepNext/>
        <w:keepLines/>
        <w:spacing w:before="220" w:after="220"/>
        <w:rPr>
          <w:lang w:eastAsia="en-AU"/>
        </w:rPr>
      </w:pPr>
      <w:r w:rsidRPr="00B1682C">
        <w:rPr>
          <w:sz w:val="18"/>
          <w:szCs w:val="24"/>
        </w:rPr>
        <w:t>Note: A positive amount reflects an increase in an appropriation item and a negative amount reflects a decrease in an appropriation item.</w:t>
      </w:r>
    </w:p>
    <w:sectPr w:rsidR="00A70AEB" w:rsidRPr="00A70AEB"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54D" w14:textId="77777777" w:rsidR="00931749" w:rsidRDefault="00931749" w:rsidP="007B6D49">
      <w:pPr>
        <w:spacing w:before="0" w:after="0"/>
      </w:pPr>
      <w:r>
        <w:separator/>
      </w:r>
    </w:p>
  </w:endnote>
  <w:endnote w:type="continuationSeparator" w:id="0">
    <w:p w14:paraId="52ACA0EC" w14:textId="77777777" w:rsidR="00931749" w:rsidRDefault="00931749"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17095"/>
      <w:docPartObj>
        <w:docPartGallery w:val="Page Numbers (Bottom of Page)"/>
        <w:docPartUnique/>
      </w:docPartObj>
    </w:sdtPr>
    <w:sdtEndPr>
      <w:rPr>
        <w:noProof/>
      </w:rPr>
    </w:sdtEndPr>
    <w:sdtContent>
      <w:p w14:paraId="783E1A65" w14:textId="11E5095E" w:rsidR="007B6D49" w:rsidRDefault="007B6D49">
        <w:pPr>
          <w:pStyle w:val="Footer"/>
          <w:jc w:val="center"/>
        </w:pPr>
        <w:r>
          <w:fldChar w:fldCharType="begin"/>
        </w:r>
        <w:r>
          <w:instrText xml:space="preserve"> PAGE   \* MERGEFORMAT </w:instrText>
        </w:r>
        <w:r>
          <w:fldChar w:fldCharType="separate"/>
        </w:r>
        <w:r w:rsidR="00EF74BA">
          <w:rPr>
            <w:noProof/>
          </w:rPr>
          <w:t>2</w:t>
        </w:r>
        <w:r>
          <w:rPr>
            <w:noProof/>
          </w:rPr>
          <w:fldChar w:fldCharType="end"/>
        </w:r>
      </w:p>
    </w:sdtContent>
  </w:sdt>
  <w:p w14:paraId="5FAF6A0B" w14:textId="404C3DC0" w:rsidR="0077107D" w:rsidRPr="005855BB" w:rsidRDefault="0077107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64B" w14:textId="77777777" w:rsidR="00931749" w:rsidRDefault="00931749" w:rsidP="007B6D49">
      <w:pPr>
        <w:spacing w:before="0" w:after="0"/>
      </w:pPr>
      <w:r>
        <w:separator/>
      </w:r>
    </w:p>
  </w:footnote>
  <w:footnote w:type="continuationSeparator" w:id="0">
    <w:p w14:paraId="493CE5EC" w14:textId="77777777" w:rsidR="00931749" w:rsidRDefault="00931749"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84511A"/>
    <w:multiLevelType w:val="multilevel"/>
    <w:tmpl w:val="EA5E96EA"/>
    <w:numStyleLink w:val="KeyPoints"/>
  </w:abstractNum>
  <w:abstractNum w:abstractNumId="5"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7"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2"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4A6C00"/>
    <w:multiLevelType w:val="hybridMultilevel"/>
    <w:tmpl w:val="6AC812D4"/>
    <w:lvl w:ilvl="0" w:tplc="B8D0AF16">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080AD2"/>
    <w:multiLevelType w:val="hybridMultilevel"/>
    <w:tmpl w:val="3B5EE1CA"/>
    <w:lvl w:ilvl="0" w:tplc="C8CA702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987ACF"/>
    <w:multiLevelType w:val="hybridMultilevel"/>
    <w:tmpl w:val="1ADCCB86"/>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E42618"/>
    <w:multiLevelType w:val="hybridMultilevel"/>
    <w:tmpl w:val="1268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CD6BA3"/>
    <w:multiLevelType w:val="hybridMultilevel"/>
    <w:tmpl w:val="36EC591C"/>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2"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8"/>
  </w:num>
  <w:num w:numId="3">
    <w:abstractNumId w:val="16"/>
  </w:num>
  <w:num w:numId="4">
    <w:abstractNumId w:val="6"/>
  </w:num>
  <w:num w:numId="5">
    <w:abstractNumId w:val="24"/>
  </w:num>
  <w:num w:numId="6">
    <w:abstractNumId w:val="25"/>
  </w:num>
  <w:num w:numId="7">
    <w:abstractNumId w:val="0"/>
  </w:num>
  <w:num w:numId="8">
    <w:abstractNumId w:val="10"/>
  </w:num>
  <w:num w:numId="9">
    <w:abstractNumId w:val="17"/>
  </w:num>
  <w:num w:numId="10">
    <w:abstractNumId w:val="7"/>
  </w:num>
  <w:num w:numId="11">
    <w:abstractNumId w:val="28"/>
  </w:num>
  <w:num w:numId="12">
    <w:abstractNumId w:val="29"/>
  </w:num>
  <w:num w:numId="13">
    <w:abstractNumId w:val="3"/>
  </w:num>
  <w:num w:numId="14">
    <w:abstractNumId w:val="20"/>
  </w:num>
  <w:num w:numId="15">
    <w:abstractNumId w:val="13"/>
  </w:num>
  <w:num w:numId="16">
    <w:abstractNumId w:val="12"/>
  </w:num>
  <w:num w:numId="17">
    <w:abstractNumId w:val="23"/>
  </w:num>
  <w:num w:numId="18">
    <w:abstractNumId w:val="5"/>
  </w:num>
  <w:num w:numId="19">
    <w:abstractNumId w:val="32"/>
  </w:num>
  <w:num w:numId="20">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9"/>
  </w:num>
  <w:num w:numId="22">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1"/>
  </w:num>
  <w:num w:numId="26">
    <w:abstractNumId w:val="1"/>
  </w:num>
  <w:num w:numId="27">
    <w:abstractNumId w:val="30"/>
  </w:num>
  <w:num w:numId="28">
    <w:abstractNumId w:val="14"/>
  </w:num>
  <w:num w:numId="29">
    <w:abstractNumId w:val="2"/>
  </w:num>
  <w:num w:numId="30">
    <w:abstractNumId w:val="22"/>
  </w:num>
  <w:num w:numId="31">
    <w:abstractNumId w:val="18"/>
  </w:num>
  <w:num w:numId="32">
    <w:abstractNumId w:val="27"/>
  </w:num>
  <w:num w:numId="33">
    <w:abstractNumId w:val="15"/>
  </w:num>
  <w:num w:numId="34">
    <w:abstractNumId w:val="21"/>
  </w:num>
  <w:num w:numId="35">
    <w:abstractNumId w:val="3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3E5F"/>
    <w:rsid w:val="000242E6"/>
    <w:rsid w:val="00024316"/>
    <w:rsid w:val="00024D74"/>
    <w:rsid w:val="00025C1D"/>
    <w:rsid w:val="0002614A"/>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3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22B"/>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07E67"/>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A46"/>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902"/>
    <w:rsid w:val="001B4ABF"/>
    <w:rsid w:val="001B4C6C"/>
    <w:rsid w:val="001B4D86"/>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0"/>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307"/>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E4E"/>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6B0"/>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AF0"/>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369"/>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8D1"/>
    <w:rsid w:val="002359F8"/>
    <w:rsid w:val="00235C7C"/>
    <w:rsid w:val="0023680D"/>
    <w:rsid w:val="002375ED"/>
    <w:rsid w:val="00237613"/>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747"/>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955"/>
    <w:rsid w:val="00260A8F"/>
    <w:rsid w:val="00260C1A"/>
    <w:rsid w:val="002611C8"/>
    <w:rsid w:val="0026131E"/>
    <w:rsid w:val="00261558"/>
    <w:rsid w:val="0026170E"/>
    <w:rsid w:val="00261883"/>
    <w:rsid w:val="002618F5"/>
    <w:rsid w:val="00261B3C"/>
    <w:rsid w:val="00261C81"/>
    <w:rsid w:val="00261FC6"/>
    <w:rsid w:val="002627EC"/>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03C"/>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2F38"/>
    <w:rsid w:val="002D3647"/>
    <w:rsid w:val="002D3A66"/>
    <w:rsid w:val="002D42A7"/>
    <w:rsid w:val="002D4915"/>
    <w:rsid w:val="002D49BD"/>
    <w:rsid w:val="002D4BFA"/>
    <w:rsid w:val="002D512B"/>
    <w:rsid w:val="002D6A47"/>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0D9"/>
    <w:rsid w:val="00302627"/>
    <w:rsid w:val="00302643"/>
    <w:rsid w:val="0030274D"/>
    <w:rsid w:val="00302896"/>
    <w:rsid w:val="00302A9A"/>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0E5A"/>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7D9"/>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16"/>
    <w:rsid w:val="00365C8C"/>
    <w:rsid w:val="00366189"/>
    <w:rsid w:val="00366334"/>
    <w:rsid w:val="003664E5"/>
    <w:rsid w:val="0036660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5D1D"/>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31F"/>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C3F"/>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CEC"/>
    <w:rsid w:val="003E7F07"/>
    <w:rsid w:val="003F0153"/>
    <w:rsid w:val="003F061A"/>
    <w:rsid w:val="003F0785"/>
    <w:rsid w:val="003F18A3"/>
    <w:rsid w:val="003F1DCA"/>
    <w:rsid w:val="003F22FD"/>
    <w:rsid w:val="003F2654"/>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5BC"/>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14"/>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88D"/>
    <w:rsid w:val="004E2EBF"/>
    <w:rsid w:val="004E2EE4"/>
    <w:rsid w:val="004E3F6B"/>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7AC"/>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276"/>
    <w:rsid w:val="005A258B"/>
    <w:rsid w:val="005A2646"/>
    <w:rsid w:val="005A2E61"/>
    <w:rsid w:val="005A376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CC1"/>
    <w:rsid w:val="005D4E93"/>
    <w:rsid w:val="005D56A3"/>
    <w:rsid w:val="005D5BAB"/>
    <w:rsid w:val="005D635B"/>
    <w:rsid w:val="005D670E"/>
    <w:rsid w:val="005D6CB4"/>
    <w:rsid w:val="005D7B7C"/>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35F"/>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279"/>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6C9"/>
    <w:rsid w:val="00681379"/>
    <w:rsid w:val="006815AE"/>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2C3"/>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D89"/>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DF9"/>
    <w:rsid w:val="00720F68"/>
    <w:rsid w:val="0072109F"/>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101"/>
    <w:rsid w:val="007677C9"/>
    <w:rsid w:val="00767AB8"/>
    <w:rsid w:val="00770555"/>
    <w:rsid w:val="0077107D"/>
    <w:rsid w:val="00771144"/>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DE0"/>
    <w:rsid w:val="00793EC9"/>
    <w:rsid w:val="00794184"/>
    <w:rsid w:val="007942C3"/>
    <w:rsid w:val="007943C5"/>
    <w:rsid w:val="0079448E"/>
    <w:rsid w:val="0079461C"/>
    <w:rsid w:val="00794762"/>
    <w:rsid w:val="00794BC1"/>
    <w:rsid w:val="0079509F"/>
    <w:rsid w:val="0079516C"/>
    <w:rsid w:val="00795593"/>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6171"/>
    <w:rsid w:val="007A632C"/>
    <w:rsid w:val="007A64B6"/>
    <w:rsid w:val="007A66A6"/>
    <w:rsid w:val="007A6B7A"/>
    <w:rsid w:val="007A6E96"/>
    <w:rsid w:val="007A7375"/>
    <w:rsid w:val="007A7416"/>
    <w:rsid w:val="007A7474"/>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2C"/>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791"/>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AFE"/>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48F"/>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315"/>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A7D"/>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05B"/>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5B1"/>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6C4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247"/>
    <w:rsid w:val="0098392B"/>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039"/>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3C0"/>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109"/>
    <w:rsid w:val="00B035E6"/>
    <w:rsid w:val="00B03944"/>
    <w:rsid w:val="00B03CF4"/>
    <w:rsid w:val="00B0401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57F90"/>
    <w:rsid w:val="00B60B62"/>
    <w:rsid w:val="00B60BE2"/>
    <w:rsid w:val="00B61424"/>
    <w:rsid w:val="00B61436"/>
    <w:rsid w:val="00B615F4"/>
    <w:rsid w:val="00B61E52"/>
    <w:rsid w:val="00B6238A"/>
    <w:rsid w:val="00B623AC"/>
    <w:rsid w:val="00B627BF"/>
    <w:rsid w:val="00B62CCA"/>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6F49"/>
    <w:rsid w:val="00B6764A"/>
    <w:rsid w:val="00B67C87"/>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435"/>
    <w:rsid w:val="00B746D5"/>
    <w:rsid w:val="00B74B72"/>
    <w:rsid w:val="00B75404"/>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A25"/>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26"/>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154"/>
    <w:rsid w:val="00BF6207"/>
    <w:rsid w:val="00BF6759"/>
    <w:rsid w:val="00BF69A3"/>
    <w:rsid w:val="00BF6A89"/>
    <w:rsid w:val="00BF6DF2"/>
    <w:rsid w:val="00BF746E"/>
    <w:rsid w:val="00BF79A3"/>
    <w:rsid w:val="00BF79A8"/>
    <w:rsid w:val="00BF7CA2"/>
    <w:rsid w:val="00BF7CFB"/>
    <w:rsid w:val="00C007AF"/>
    <w:rsid w:val="00C007CD"/>
    <w:rsid w:val="00C00F04"/>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AAE"/>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1746"/>
    <w:rsid w:val="00C629FE"/>
    <w:rsid w:val="00C62AB5"/>
    <w:rsid w:val="00C63585"/>
    <w:rsid w:val="00C637B4"/>
    <w:rsid w:val="00C637C3"/>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DF8"/>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1FF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83D"/>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2D72"/>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10"/>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3C"/>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83"/>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0C3"/>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315"/>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21"/>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1FB"/>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FB6"/>
    <w:rsid w:val="00E76324"/>
    <w:rsid w:val="00E76B17"/>
    <w:rsid w:val="00E76D95"/>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77"/>
    <w:rsid w:val="00EC3481"/>
    <w:rsid w:val="00EC352A"/>
    <w:rsid w:val="00EC360E"/>
    <w:rsid w:val="00EC3C08"/>
    <w:rsid w:val="00EC3E26"/>
    <w:rsid w:val="00EC4193"/>
    <w:rsid w:val="00EC421A"/>
    <w:rsid w:val="00EC47CD"/>
    <w:rsid w:val="00EC4884"/>
    <w:rsid w:val="00EC493D"/>
    <w:rsid w:val="00EC4DAA"/>
    <w:rsid w:val="00EC5289"/>
    <w:rsid w:val="00EC56B9"/>
    <w:rsid w:val="00EC5837"/>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21F"/>
    <w:rsid w:val="00EF6D79"/>
    <w:rsid w:val="00EF710E"/>
    <w:rsid w:val="00EF719E"/>
    <w:rsid w:val="00EF73E5"/>
    <w:rsid w:val="00EF74BA"/>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4E08"/>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6FCC"/>
    <w:rsid w:val="00F4743A"/>
    <w:rsid w:val="00F4746B"/>
    <w:rsid w:val="00F47CAC"/>
    <w:rsid w:val="00F502F6"/>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4DC"/>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17B"/>
    <w:rsid w:val="00FC520C"/>
    <w:rsid w:val="00FC522A"/>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2096"/>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FF8"/>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127166217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b571406c-93ed-4746-b62b-c2071c187f04">FIN33509-653295579-7044</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b571406c-93ed-4746-b62b-c2071c187f04">
      <Url>https://f1.prdmgd.finance.gov.au/sites/50033509/_layouts/15/DocIdRedir.aspx?ID=FIN33509-653295579-7044</Url>
      <Description>FIN33509-653295579-7044</Description>
    </_dlc_DocIdUr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87949-3256-4B36-A5D9-6F2891F1743B}">
  <ds:schemaRefs>
    <ds:schemaRef ds:uri="Microsoft.SharePoint.Taxonomy.ContentTypeSync"/>
  </ds:schemaRefs>
</ds:datastoreItem>
</file>

<file path=customXml/itemProps2.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3.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4.xml><?xml version="1.0" encoding="utf-8"?>
<ds:datastoreItem xmlns:ds="http://schemas.openxmlformats.org/officeDocument/2006/customXml" ds:itemID="{C85F6164-F509-4972-A453-D0CD5B0FA574}">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71406c-93ed-4746-b62b-c2071c187f04"/>
    <ds:schemaRef ds:uri="http://www.w3.org/XML/1998/namespace"/>
    <ds:schemaRef ds:uri="http://purl.org/dc/dcmitype/"/>
  </ds:schemaRefs>
</ds:datastoreItem>
</file>

<file path=customXml/itemProps5.xml><?xml version="1.0" encoding="utf-8"?>
<ds:datastoreItem xmlns:ds="http://schemas.openxmlformats.org/officeDocument/2006/customXml" ds:itemID="{452A52FC-6BE8-4A29-A83C-F1EFD262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222B5D-9D86-4315-BE19-EE42E761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Adrian</dc:creator>
  <cp:lastModifiedBy>Kim, Marina</cp:lastModifiedBy>
  <cp:revision>82</cp:revision>
  <cp:lastPrinted>2019-06-26T01:42:00Z</cp:lastPrinted>
  <dcterms:created xsi:type="dcterms:W3CDTF">2022-09-08T13:40:00Z</dcterms:created>
  <dcterms:modified xsi:type="dcterms:W3CDTF">2022-10-28T05:49:00Z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
  </property>
  <property fmtid="{D5CDD505-2E9C-101B-9397-08002B2CF9AE}" pid="9" name="AbtEntity">
    <vt:lpwstr>2;#Department of Finance|fd660e8f-8f31-49bd-92a3-d31d4da31afe</vt:lpwstr>
  </property>
  <property fmtid="{D5CDD505-2E9C-101B-9397-08002B2CF9AE}" pid="10" name="ContentTypeId">
    <vt:lpwstr>0x010100B321FEA60C5BA343A52BC94EC00ABC9E07002FC7A55776FD494EA87BB2F51956BADD</vt:lpwstr>
  </property>
  <property fmtid="{D5CDD505-2E9C-101B-9397-08002B2CF9AE}" pid="11" name="OrgUnit">
    <vt:lpwstr>1;#Annual Appropriations|ebaccee2-17d0-4140-b272-ef935f9ee95f</vt:lpwstr>
  </property>
  <property fmtid="{D5CDD505-2E9C-101B-9397-08002B2CF9AE}" pid="12" name="_dlc_DocIdItemGuid">
    <vt:lpwstr>c9dc7474-99cd-44a6-b467-de85d16d3768</vt:lpwstr>
  </property>
  <property fmtid="{D5CDD505-2E9C-101B-9397-08002B2CF9AE}" pid="13" name="InitiatingEntity">
    <vt:lpwstr>2;#Department of Finance|fd660e8f-8f31-49bd-92a3-d31d4da31afe</vt:lpwstr>
  </property>
  <property fmtid="{D5CDD505-2E9C-101B-9397-08002B2CF9AE}" pid="14" name="Function and Activity">
    <vt:lpwstr/>
  </property>
</Properties>
</file>