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58D6" w14:textId="77777777" w:rsidR="000611C3" w:rsidRPr="00206628" w:rsidRDefault="000611C3" w:rsidP="000611C3">
      <w:pPr>
        <w:spacing w:after="200" w:line="276" w:lineRule="auto"/>
        <w:jc w:val="center"/>
        <w:rPr>
          <w:rFonts w:ascii="Times New Roman" w:eastAsia="Calibri" w:hAnsi="Times New Roman" w:cs="Times New Roman"/>
          <w:b/>
          <w:sz w:val="24"/>
          <w:szCs w:val="24"/>
          <w:u w:val="single"/>
        </w:rPr>
      </w:pPr>
      <w:r w:rsidRPr="00206628">
        <w:rPr>
          <w:rFonts w:ascii="Times New Roman" w:eastAsia="Calibri" w:hAnsi="Times New Roman" w:cs="Times New Roman"/>
          <w:b/>
          <w:sz w:val="24"/>
          <w:szCs w:val="24"/>
          <w:u w:val="single"/>
        </w:rPr>
        <w:t>EXPLANATORY STATEMENT</w:t>
      </w:r>
    </w:p>
    <w:p w14:paraId="23BDDAF7" w14:textId="74FCC503" w:rsidR="000611C3" w:rsidRPr="00206628" w:rsidRDefault="000611C3" w:rsidP="000611C3">
      <w:pPr>
        <w:spacing w:before="240" w:after="240" w:line="276" w:lineRule="auto"/>
        <w:jc w:val="center"/>
        <w:rPr>
          <w:rFonts w:ascii="Times New Roman" w:eastAsia="Calibri" w:hAnsi="Times New Roman" w:cs="Times New Roman"/>
          <w:sz w:val="24"/>
          <w:szCs w:val="24"/>
          <w:u w:val="single"/>
        </w:rPr>
      </w:pPr>
      <w:r w:rsidRPr="00206628">
        <w:rPr>
          <w:rFonts w:ascii="Times New Roman" w:eastAsia="Calibri" w:hAnsi="Times New Roman" w:cs="Times New Roman"/>
          <w:sz w:val="24"/>
          <w:szCs w:val="24"/>
          <w:u w:val="single"/>
        </w:rPr>
        <w:t xml:space="preserve">Issued by the authority of the Minister for </w:t>
      </w:r>
      <w:r w:rsidR="00D52B22" w:rsidRPr="00206628">
        <w:rPr>
          <w:rFonts w:ascii="Times New Roman" w:eastAsia="Calibri" w:hAnsi="Times New Roman" w:cs="Times New Roman"/>
          <w:sz w:val="24"/>
          <w:szCs w:val="24"/>
          <w:u w:val="single"/>
        </w:rPr>
        <w:t>Climate Change and Energy</w:t>
      </w:r>
    </w:p>
    <w:p w14:paraId="45860BAC" w14:textId="77777777" w:rsidR="000611C3" w:rsidRPr="00206628" w:rsidRDefault="00D51D7C" w:rsidP="000611C3">
      <w:pPr>
        <w:spacing w:before="240" w:after="240" w:line="276" w:lineRule="auto"/>
        <w:jc w:val="center"/>
        <w:rPr>
          <w:rFonts w:ascii="Times New Roman" w:eastAsia="Calibri" w:hAnsi="Times New Roman" w:cs="Times New Roman"/>
          <w:i/>
          <w:sz w:val="24"/>
          <w:szCs w:val="24"/>
        </w:rPr>
      </w:pPr>
      <w:r w:rsidRPr="00206628">
        <w:rPr>
          <w:rFonts w:ascii="Times New Roman" w:eastAsia="Calibri" w:hAnsi="Times New Roman" w:cs="Times New Roman"/>
          <w:i/>
          <w:sz w:val="24"/>
          <w:szCs w:val="24"/>
        </w:rPr>
        <w:t>Fuel Security</w:t>
      </w:r>
      <w:r w:rsidR="000611C3" w:rsidRPr="00206628">
        <w:rPr>
          <w:rFonts w:ascii="Times New Roman" w:eastAsia="Calibri" w:hAnsi="Times New Roman" w:cs="Times New Roman"/>
          <w:i/>
          <w:sz w:val="24"/>
          <w:szCs w:val="24"/>
        </w:rPr>
        <w:t xml:space="preserve"> Act 20</w:t>
      </w:r>
      <w:r w:rsidRPr="00206628">
        <w:rPr>
          <w:rFonts w:ascii="Times New Roman" w:eastAsia="Calibri" w:hAnsi="Times New Roman" w:cs="Times New Roman"/>
          <w:i/>
          <w:sz w:val="24"/>
          <w:szCs w:val="24"/>
        </w:rPr>
        <w:t>21</w:t>
      </w:r>
    </w:p>
    <w:p w14:paraId="427AAC70" w14:textId="77777777" w:rsidR="000611C3" w:rsidRPr="00206628" w:rsidRDefault="00D51D7C" w:rsidP="000611C3">
      <w:pPr>
        <w:spacing w:before="240" w:after="240" w:line="276" w:lineRule="auto"/>
        <w:jc w:val="center"/>
        <w:rPr>
          <w:rFonts w:ascii="Times New Roman" w:eastAsia="Calibri" w:hAnsi="Times New Roman" w:cs="Times New Roman"/>
          <w:i/>
          <w:sz w:val="24"/>
          <w:szCs w:val="24"/>
        </w:rPr>
      </w:pPr>
      <w:r w:rsidRPr="00206628">
        <w:rPr>
          <w:rFonts w:ascii="Times New Roman" w:eastAsia="Calibri" w:hAnsi="Times New Roman" w:cs="Times New Roman"/>
          <w:i/>
          <w:sz w:val="24"/>
          <w:szCs w:val="24"/>
        </w:rPr>
        <w:t>Fuel Security</w:t>
      </w:r>
      <w:r w:rsidR="000611C3" w:rsidRPr="00206628">
        <w:rPr>
          <w:rFonts w:ascii="Times New Roman" w:eastAsia="Calibri" w:hAnsi="Times New Roman" w:cs="Times New Roman"/>
          <w:i/>
          <w:sz w:val="24"/>
          <w:szCs w:val="24"/>
        </w:rPr>
        <w:t xml:space="preserve"> (</w:t>
      </w:r>
      <w:r w:rsidR="00A9111C" w:rsidRPr="00206628">
        <w:rPr>
          <w:rFonts w:ascii="Times New Roman" w:eastAsia="Calibri" w:hAnsi="Times New Roman" w:cs="Times New Roman"/>
          <w:i/>
          <w:sz w:val="24"/>
          <w:szCs w:val="24"/>
        </w:rPr>
        <w:t>Minimum Stockholding Obligation) Rule</w:t>
      </w:r>
      <w:r w:rsidR="0000564E" w:rsidRPr="00206628">
        <w:rPr>
          <w:rFonts w:ascii="Times New Roman" w:eastAsia="Calibri" w:hAnsi="Times New Roman" w:cs="Times New Roman"/>
          <w:i/>
          <w:sz w:val="24"/>
          <w:szCs w:val="24"/>
        </w:rPr>
        <w:t>s</w:t>
      </w:r>
      <w:r w:rsidR="00A9111C" w:rsidRPr="00206628">
        <w:rPr>
          <w:rFonts w:ascii="Times New Roman" w:eastAsia="Calibri" w:hAnsi="Times New Roman" w:cs="Times New Roman"/>
          <w:i/>
          <w:sz w:val="24"/>
          <w:szCs w:val="24"/>
        </w:rPr>
        <w:t xml:space="preserve"> 2022</w:t>
      </w:r>
    </w:p>
    <w:p w14:paraId="77360E30" w14:textId="77777777" w:rsidR="000611C3" w:rsidRPr="00206628" w:rsidRDefault="000611C3" w:rsidP="000611C3">
      <w:pPr>
        <w:spacing w:before="240" w:after="240" w:line="276" w:lineRule="auto"/>
        <w:rPr>
          <w:rFonts w:ascii="Times New Roman" w:eastAsia="Calibri" w:hAnsi="Times New Roman" w:cs="Times New Roman"/>
          <w:b/>
          <w:sz w:val="24"/>
          <w:szCs w:val="24"/>
          <w:u w:val="single"/>
        </w:rPr>
      </w:pPr>
      <w:r w:rsidRPr="00206628">
        <w:rPr>
          <w:rFonts w:ascii="Times New Roman" w:eastAsia="Calibri" w:hAnsi="Times New Roman" w:cs="Times New Roman"/>
          <w:b/>
          <w:sz w:val="24"/>
          <w:szCs w:val="24"/>
          <w:u w:val="single"/>
        </w:rPr>
        <w:t>Purpose and Operation</w:t>
      </w:r>
    </w:p>
    <w:p w14:paraId="6FCB4EE8" w14:textId="77777777" w:rsidR="00366DEE" w:rsidRPr="00206628" w:rsidRDefault="000611C3" w:rsidP="000611C3">
      <w:pPr>
        <w:spacing w:before="120" w:after="12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The </w:t>
      </w:r>
      <w:r w:rsidR="003E73AA" w:rsidRPr="00206628">
        <w:rPr>
          <w:rFonts w:ascii="Times New Roman" w:eastAsia="Calibri" w:hAnsi="Times New Roman" w:cs="Times New Roman"/>
          <w:i/>
          <w:sz w:val="24"/>
          <w:szCs w:val="24"/>
        </w:rPr>
        <w:t>Fuel Security</w:t>
      </w:r>
      <w:r w:rsidRPr="00206628">
        <w:rPr>
          <w:rFonts w:ascii="Times New Roman" w:eastAsia="Calibri" w:hAnsi="Times New Roman" w:cs="Times New Roman"/>
          <w:i/>
          <w:sz w:val="24"/>
          <w:szCs w:val="24"/>
        </w:rPr>
        <w:t xml:space="preserve"> (</w:t>
      </w:r>
      <w:r w:rsidR="00A9111C" w:rsidRPr="00206628">
        <w:rPr>
          <w:rFonts w:ascii="Times New Roman" w:eastAsia="Calibri" w:hAnsi="Times New Roman" w:cs="Times New Roman"/>
          <w:i/>
          <w:sz w:val="24"/>
          <w:szCs w:val="24"/>
        </w:rPr>
        <w:t>Minimum Stockholding Obligation</w:t>
      </w:r>
      <w:r w:rsidRPr="00206628">
        <w:rPr>
          <w:rFonts w:ascii="Times New Roman" w:eastAsia="Calibri" w:hAnsi="Times New Roman" w:cs="Times New Roman"/>
          <w:i/>
          <w:sz w:val="24"/>
          <w:szCs w:val="24"/>
        </w:rPr>
        <w:t>) Rule</w:t>
      </w:r>
      <w:r w:rsidR="0000564E" w:rsidRPr="00206628">
        <w:rPr>
          <w:rFonts w:ascii="Times New Roman" w:eastAsia="Calibri" w:hAnsi="Times New Roman" w:cs="Times New Roman"/>
          <w:i/>
          <w:sz w:val="24"/>
          <w:szCs w:val="24"/>
        </w:rPr>
        <w:t>s</w:t>
      </w:r>
      <w:r w:rsidRPr="00206628">
        <w:rPr>
          <w:rFonts w:ascii="Times New Roman" w:eastAsia="Calibri" w:hAnsi="Times New Roman" w:cs="Times New Roman"/>
          <w:i/>
          <w:sz w:val="24"/>
          <w:szCs w:val="24"/>
        </w:rPr>
        <w:t xml:space="preserve"> </w:t>
      </w:r>
      <w:r w:rsidR="00BA5696" w:rsidRPr="00206628">
        <w:rPr>
          <w:rFonts w:ascii="Times New Roman" w:eastAsia="Calibri" w:hAnsi="Times New Roman" w:cs="Times New Roman"/>
          <w:i/>
          <w:sz w:val="24"/>
          <w:szCs w:val="24"/>
        </w:rPr>
        <w:t>2022</w:t>
      </w:r>
      <w:r w:rsidR="00BA5696" w:rsidRPr="00206628">
        <w:rPr>
          <w:rFonts w:ascii="Times New Roman" w:eastAsia="Calibri" w:hAnsi="Times New Roman" w:cs="Times New Roman"/>
          <w:sz w:val="24"/>
          <w:szCs w:val="24"/>
        </w:rPr>
        <w:t xml:space="preserve"> </w:t>
      </w:r>
      <w:r w:rsidRPr="00206628">
        <w:rPr>
          <w:rFonts w:ascii="Times New Roman" w:eastAsia="Calibri" w:hAnsi="Times New Roman" w:cs="Times New Roman"/>
          <w:sz w:val="24"/>
          <w:szCs w:val="24"/>
        </w:rPr>
        <w:t>(the Rule</w:t>
      </w:r>
      <w:r w:rsidR="0000564E" w:rsidRPr="00206628">
        <w:rPr>
          <w:rFonts w:ascii="Times New Roman" w:eastAsia="Calibri" w:hAnsi="Times New Roman" w:cs="Times New Roman"/>
          <w:sz w:val="24"/>
          <w:szCs w:val="24"/>
        </w:rPr>
        <w:t>s</w:t>
      </w:r>
      <w:r w:rsidRPr="00206628">
        <w:rPr>
          <w:rFonts w:ascii="Times New Roman" w:eastAsia="Calibri" w:hAnsi="Times New Roman" w:cs="Times New Roman"/>
          <w:sz w:val="24"/>
          <w:szCs w:val="24"/>
        </w:rPr>
        <w:t xml:space="preserve">) </w:t>
      </w:r>
      <w:r w:rsidR="003E73AA" w:rsidRPr="00206628">
        <w:rPr>
          <w:rFonts w:ascii="Times New Roman" w:eastAsia="Calibri" w:hAnsi="Times New Roman" w:cs="Times New Roman"/>
          <w:sz w:val="24"/>
          <w:szCs w:val="24"/>
        </w:rPr>
        <w:t xml:space="preserve">prescribe </w:t>
      </w:r>
      <w:r w:rsidRPr="00206628">
        <w:rPr>
          <w:rFonts w:ascii="Times New Roman" w:eastAsia="Calibri" w:hAnsi="Times New Roman" w:cs="Times New Roman"/>
          <w:sz w:val="24"/>
          <w:szCs w:val="24"/>
        </w:rPr>
        <w:t>various</w:t>
      </w:r>
      <w:r w:rsidR="003E73AA" w:rsidRPr="00206628">
        <w:rPr>
          <w:rFonts w:ascii="Times New Roman" w:eastAsia="Calibri" w:hAnsi="Times New Roman" w:cs="Times New Roman"/>
          <w:sz w:val="24"/>
          <w:szCs w:val="24"/>
        </w:rPr>
        <w:t xml:space="preserve"> technical and administrative matters </w:t>
      </w:r>
      <w:r w:rsidRPr="00206628">
        <w:rPr>
          <w:rFonts w:ascii="Times New Roman" w:eastAsia="Calibri" w:hAnsi="Times New Roman" w:cs="Times New Roman"/>
          <w:sz w:val="24"/>
          <w:szCs w:val="24"/>
        </w:rPr>
        <w:t xml:space="preserve">for the purposes of the </w:t>
      </w:r>
      <w:r w:rsidR="00A9111C" w:rsidRPr="00206628">
        <w:rPr>
          <w:rFonts w:ascii="Times New Roman" w:eastAsia="Calibri" w:hAnsi="Times New Roman" w:cs="Times New Roman"/>
          <w:sz w:val="24"/>
          <w:szCs w:val="24"/>
        </w:rPr>
        <w:t>minimum stockholding obligation</w:t>
      </w:r>
      <w:r w:rsidRPr="00206628">
        <w:rPr>
          <w:rFonts w:ascii="Times New Roman" w:eastAsia="Calibri" w:hAnsi="Times New Roman" w:cs="Times New Roman"/>
          <w:sz w:val="24"/>
          <w:szCs w:val="24"/>
        </w:rPr>
        <w:t xml:space="preserve"> </w:t>
      </w:r>
      <w:r w:rsidR="0037380B" w:rsidRPr="00206628">
        <w:rPr>
          <w:rFonts w:ascii="Times New Roman" w:eastAsia="Calibri" w:hAnsi="Times New Roman" w:cs="Times New Roman"/>
          <w:sz w:val="24"/>
          <w:szCs w:val="24"/>
        </w:rPr>
        <w:t>(</w:t>
      </w:r>
      <w:r w:rsidR="00A9111C" w:rsidRPr="00206628">
        <w:rPr>
          <w:rFonts w:ascii="Times New Roman" w:eastAsia="Calibri" w:hAnsi="Times New Roman" w:cs="Times New Roman"/>
          <w:sz w:val="24"/>
          <w:szCs w:val="24"/>
        </w:rPr>
        <w:t>MSO</w:t>
      </w:r>
      <w:r w:rsidR="0037380B" w:rsidRPr="00206628">
        <w:rPr>
          <w:rFonts w:ascii="Times New Roman" w:eastAsia="Calibri" w:hAnsi="Times New Roman" w:cs="Times New Roman"/>
          <w:sz w:val="24"/>
          <w:szCs w:val="24"/>
        </w:rPr>
        <w:t>)</w:t>
      </w:r>
      <w:r w:rsidR="00DD1E68" w:rsidRPr="00206628">
        <w:rPr>
          <w:rFonts w:ascii="Times New Roman" w:eastAsia="Calibri" w:hAnsi="Times New Roman" w:cs="Times New Roman"/>
          <w:sz w:val="24"/>
          <w:szCs w:val="24"/>
        </w:rPr>
        <w:t xml:space="preserve"> </w:t>
      </w:r>
      <w:r w:rsidRPr="00206628">
        <w:rPr>
          <w:rFonts w:ascii="Times New Roman" w:eastAsia="Calibri" w:hAnsi="Times New Roman" w:cs="Times New Roman"/>
          <w:sz w:val="24"/>
          <w:szCs w:val="24"/>
        </w:rPr>
        <w:t xml:space="preserve">aspects </w:t>
      </w:r>
      <w:r w:rsidR="003E73AA" w:rsidRPr="00206628">
        <w:rPr>
          <w:rFonts w:ascii="Times New Roman" w:eastAsia="Calibri" w:hAnsi="Times New Roman" w:cs="Times New Roman"/>
          <w:sz w:val="24"/>
          <w:szCs w:val="24"/>
        </w:rPr>
        <w:t xml:space="preserve">(primarily under Part 2) </w:t>
      </w:r>
      <w:r w:rsidRPr="00206628">
        <w:rPr>
          <w:rFonts w:ascii="Times New Roman" w:eastAsia="Calibri" w:hAnsi="Times New Roman" w:cs="Times New Roman"/>
          <w:sz w:val="24"/>
          <w:szCs w:val="24"/>
        </w:rPr>
        <w:t xml:space="preserve">of the </w:t>
      </w:r>
      <w:r w:rsidR="003E73AA" w:rsidRPr="00206628">
        <w:rPr>
          <w:rFonts w:ascii="Times New Roman" w:eastAsia="Calibri" w:hAnsi="Times New Roman" w:cs="Times New Roman"/>
          <w:i/>
          <w:sz w:val="24"/>
          <w:szCs w:val="24"/>
        </w:rPr>
        <w:t xml:space="preserve">Fuel Security Act 2021 </w:t>
      </w:r>
      <w:r w:rsidR="003E73AA" w:rsidRPr="00206628">
        <w:rPr>
          <w:rFonts w:ascii="Times New Roman" w:eastAsia="Calibri" w:hAnsi="Times New Roman" w:cs="Times New Roman"/>
          <w:sz w:val="24"/>
          <w:szCs w:val="24"/>
        </w:rPr>
        <w:t xml:space="preserve">(the Act). </w:t>
      </w:r>
    </w:p>
    <w:p w14:paraId="659F03B4" w14:textId="77777777" w:rsidR="000611C3" w:rsidRPr="00206628" w:rsidRDefault="002317BA" w:rsidP="000611C3">
      <w:pPr>
        <w:spacing w:before="120" w:after="12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In particular, the</w:t>
      </w:r>
      <w:r w:rsidR="003E73AA" w:rsidRPr="00206628">
        <w:rPr>
          <w:rFonts w:ascii="Times New Roman" w:eastAsia="Calibri" w:hAnsi="Times New Roman" w:cs="Times New Roman"/>
          <w:sz w:val="24"/>
          <w:szCs w:val="24"/>
        </w:rPr>
        <w:t>se</w:t>
      </w:r>
      <w:r w:rsidR="000611C3" w:rsidRPr="00206628">
        <w:rPr>
          <w:rFonts w:ascii="Times New Roman" w:eastAsia="Calibri" w:hAnsi="Times New Roman" w:cs="Times New Roman"/>
          <w:sz w:val="24"/>
          <w:szCs w:val="24"/>
        </w:rPr>
        <w:t xml:space="preserve"> Rule</w:t>
      </w:r>
      <w:r w:rsidR="00962201" w:rsidRPr="00206628">
        <w:rPr>
          <w:rFonts w:ascii="Times New Roman" w:eastAsia="Calibri" w:hAnsi="Times New Roman" w:cs="Times New Roman"/>
          <w:sz w:val="24"/>
          <w:szCs w:val="24"/>
        </w:rPr>
        <w:t>s</w:t>
      </w:r>
      <w:r w:rsidR="000611C3" w:rsidRPr="00206628">
        <w:rPr>
          <w:rFonts w:ascii="Times New Roman" w:eastAsia="Calibri" w:hAnsi="Times New Roman" w:cs="Times New Roman"/>
          <w:sz w:val="24"/>
          <w:szCs w:val="24"/>
        </w:rPr>
        <w:t xml:space="preserve"> </w:t>
      </w:r>
      <w:r w:rsidR="003E73AA" w:rsidRPr="00206628">
        <w:rPr>
          <w:rFonts w:ascii="Times New Roman" w:eastAsia="Calibri" w:hAnsi="Times New Roman" w:cs="Times New Roman"/>
          <w:sz w:val="24"/>
          <w:szCs w:val="24"/>
        </w:rPr>
        <w:t>prescribe requirements for</w:t>
      </w:r>
      <w:r w:rsidR="000611C3" w:rsidRPr="00206628">
        <w:rPr>
          <w:rFonts w:ascii="Times New Roman" w:eastAsia="Calibri" w:hAnsi="Times New Roman" w:cs="Times New Roman"/>
          <w:sz w:val="24"/>
          <w:szCs w:val="24"/>
        </w:rPr>
        <w:t>:</w:t>
      </w:r>
    </w:p>
    <w:p w14:paraId="205E001C" w14:textId="77777777" w:rsidR="008C36CC" w:rsidRPr="00206628" w:rsidRDefault="008C36CC" w:rsidP="0022266B">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the start date of the </w:t>
      </w:r>
      <w:r w:rsidR="00CF0A8B" w:rsidRPr="00206628">
        <w:rPr>
          <w:rFonts w:ascii="Times New Roman" w:eastAsia="Calibri" w:hAnsi="Times New Roman" w:cs="Times New Roman"/>
          <w:sz w:val="24"/>
          <w:szCs w:val="24"/>
        </w:rPr>
        <w:t xml:space="preserve">MSO </w:t>
      </w:r>
      <w:r w:rsidRPr="00206628">
        <w:rPr>
          <w:rFonts w:ascii="Times New Roman" w:eastAsia="Calibri" w:hAnsi="Times New Roman" w:cs="Times New Roman"/>
          <w:sz w:val="24"/>
          <w:szCs w:val="24"/>
        </w:rPr>
        <w:t>scheme;</w:t>
      </w:r>
    </w:p>
    <w:p w14:paraId="51370557" w14:textId="77777777" w:rsidR="00344134" w:rsidRPr="00206628" w:rsidRDefault="003E73AA" w:rsidP="0022266B">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triggering the MSO</w:t>
      </w:r>
      <w:r w:rsidR="00344134" w:rsidRPr="00206628">
        <w:rPr>
          <w:rFonts w:ascii="Times New Roman" w:eastAsia="Calibri" w:hAnsi="Times New Roman" w:cs="Times New Roman"/>
          <w:sz w:val="24"/>
          <w:szCs w:val="24"/>
        </w:rPr>
        <w:t>, including:</w:t>
      </w:r>
    </w:p>
    <w:p w14:paraId="46D4CC46" w14:textId="77777777" w:rsidR="00344134" w:rsidRPr="00206628" w:rsidRDefault="00CF0A8B" w:rsidP="0022266B">
      <w:pPr>
        <w:numPr>
          <w:ilvl w:val="1"/>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344134" w:rsidRPr="00206628">
        <w:rPr>
          <w:rFonts w:ascii="Times New Roman" w:eastAsia="Calibri" w:hAnsi="Times New Roman" w:cs="Times New Roman"/>
          <w:sz w:val="24"/>
          <w:szCs w:val="24"/>
        </w:rPr>
        <w:t>hresholds to trigger the MSO; and</w:t>
      </w:r>
    </w:p>
    <w:p w14:paraId="6CAD61F5" w14:textId="77777777" w:rsidR="003E73AA" w:rsidRPr="00206628" w:rsidRDefault="00CF0A8B" w:rsidP="0022266B">
      <w:pPr>
        <w:numPr>
          <w:ilvl w:val="1"/>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344134" w:rsidRPr="00206628">
        <w:rPr>
          <w:rFonts w:ascii="Times New Roman" w:eastAsia="Calibri" w:hAnsi="Times New Roman" w:cs="Times New Roman"/>
          <w:sz w:val="24"/>
          <w:szCs w:val="24"/>
        </w:rPr>
        <w:t>rigger assessment periods;</w:t>
      </w:r>
    </w:p>
    <w:p w14:paraId="5293ED9D" w14:textId="77777777" w:rsidR="00344134" w:rsidRPr="00206628" w:rsidRDefault="00344134" w:rsidP="0022266B">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calculating designated quantities of MSO products;</w:t>
      </w:r>
    </w:p>
    <w:p w14:paraId="100F7262" w14:textId="77777777" w:rsidR="00E034AD" w:rsidRPr="00206628" w:rsidRDefault="00E034AD" w:rsidP="0022266B">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“obligation days” on which designated quantities of MSO products must be held;</w:t>
      </w:r>
    </w:p>
    <w:p w14:paraId="3BA3E4FB" w14:textId="77777777" w:rsidR="00344134" w:rsidRPr="00206628" w:rsidRDefault="00344134" w:rsidP="0022266B">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making an application to temporarily reduce or suspend the MSO; </w:t>
      </w:r>
    </w:p>
    <w:p w14:paraId="199440AF" w14:textId="77777777" w:rsidR="00344134" w:rsidRPr="00206628" w:rsidRDefault="00344134" w:rsidP="0022266B">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meeting the definition of an “MSO product” and stock holding under the Act;</w:t>
      </w:r>
    </w:p>
    <w:p w14:paraId="678248B2" w14:textId="77777777" w:rsidR="00344134" w:rsidRPr="00206628" w:rsidRDefault="00344134" w:rsidP="0022266B">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reporting by regulated entities of the MSO; and</w:t>
      </w:r>
    </w:p>
    <w:p w14:paraId="0C2BCDAD" w14:textId="77777777" w:rsidR="00344134" w:rsidRPr="00206628" w:rsidRDefault="00344134" w:rsidP="0022266B">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information in an entity’s MSO compliance plan. </w:t>
      </w:r>
    </w:p>
    <w:p w14:paraId="077E26BD" w14:textId="77777777" w:rsidR="008C36CC" w:rsidRPr="00206628" w:rsidRDefault="008C36CC" w:rsidP="00344134">
      <w:pPr>
        <w:spacing w:before="120" w:after="120" w:line="276" w:lineRule="auto"/>
        <w:contextualSpacing/>
        <w:rPr>
          <w:rFonts w:ascii="Times New Roman" w:hAnsi="Times New Roman" w:cs="Times New Roman"/>
          <w:sz w:val="24"/>
          <w:szCs w:val="24"/>
        </w:rPr>
      </w:pPr>
    </w:p>
    <w:p w14:paraId="0DA0DFAE" w14:textId="7C035E46" w:rsidR="008C36CC" w:rsidRPr="00206628" w:rsidRDefault="008C36CC" w:rsidP="008C36CC">
      <w:pPr>
        <w:spacing w:before="2" w:line="317" w:lineRule="exact"/>
        <w:textAlignment w:val="baseline"/>
        <w:rPr>
          <w:rFonts w:ascii="Times New Roman" w:hAnsi="Times New Roman" w:cs="Times New Roman"/>
          <w:sz w:val="24"/>
          <w:szCs w:val="24"/>
        </w:rPr>
      </w:pPr>
      <w:r w:rsidRPr="00206628">
        <w:rPr>
          <w:rFonts w:ascii="Times New Roman" w:hAnsi="Times New Roman" w:cs="Times New Roman"/>
          <w:sz w:val="24"/>
          <w:szCs w:val="24"/>
        </w:rPr>
        <w:t xml:space="preserve">As set out in the explanatory memorandum to the Fuel Security Bill 2021 which became the Act, Part 2 of the Act establishes a national level obligation for corporate entities that undertake certain activities (generally, importing and refining) in relation to certain transport fuels to hold a minimum quantity of those fuels nationally. The Minister </w:t>
      </w:r>
      <w:r w:rsidR="00AC2DBC" w:rsidRPr="00206628">
        <w:rPr>
          <w:rFonts w:ascii="Times New Roman" w:hAnsi="Times New Roman" w:cs="Times New Roman"/>
          <w:sz w:val="24"/>
          <w:szCs w:val="24"/>
        </w:rPr>
        <w:t xml:space="preserve">for </w:t>
      </w:r>
      <w:r w:rsidR="00D52B22" w:rsidRPr="00206628">
        <w:rPr>
          <w:rFonts w:ascii="Times New Roman" w:hAnsi="Times New Roman" w:cs="Times New Roman"/>
          <w:sz w:val="24"/>
          <w:szCs w:val="24"/>
        </w:rPr>
        <w:t>Climate Change and Energy</w:t>
      </w:r>
      <w:r w:rsidR="00AC2DBC" w:rsidRPr="00206628">
        <w:rPr>
          <w:rFonts w:ascii="Times New Roman" w:hAnsi="Times New Roman" w:cs="Times New Roman"/>
          <w:sz w:val="24"/>
          <w:szCs w:val="24"/>
        </w:rPr>
        <w:t xml:space="preserve"> (the Minister) </w:t>
      </w:r>
      <w:r w:rsidR="005F6572" w:rsidRPr="00206628">
        <w:rPr>
          <w:rFonts w:ascii="Times New Roman" w:hAnsi="Times New Roman" w:cs="Times New Roman"/>
          <w:sz w:val="24"/>
          <w:szCs w:val="24"/>
        </w:rPr>
        <w:t>has</w:t>
      </w:r>
      <w:r w:rsidRPr="00206628">
        <w:rPr>
          <w:rFonts w:ascii="Times New Roman" w:hAnsi="Times New Roman" w:cs="Times New Roman"/>
          <w:sz w:val="24"/>
          <w:szCs w:val="24"/>
        </w:rPr>
        <w:t xml:space="preserve"> set a national consumption day target</w:t>
      </w:r>
      <w:r w:rsidR="00605645" w:rsidRPr="00206628">
        <w:t xml:space="preserve"> </w:t>
      </w:r>
      <w:r w:rsidR="00605645" w:rsidRPr="00206628">
        <w:rPr>
          <w:rFonts w:ascii="Times New Roman" w:hAnsi="Times New Roman" w:cs="Times New Roman"/>
          <w:sz w:val="24"/>
          <w:szCs w:val="24"/>
        </w:rPr>
        <w:t xml:space="preserve">under the </w:t>
      </w:r>
      <w:r w:rsidR="00605645" w:rsidRPr="00206628">
        <w:rPr>
          <w:rFonts w:ascii="Times New Roman" w:hAnsi="Times New Roman" w:cs="Times New Roman"/>
          <w:i/>
          <w:sz w:val="24"/>
          <w:szCs w:val="24"/>
        </w:rPr>
        <w:t xml:space="preserve">Fuel Security (Target </w:t>
      </w:r>
      <w:r w:rsidR="00533E21" w:rsidRPr="00206628">
        <w:rPr>
          <w:rFonts w:ascii="Times New Roman" w:hAnsi="Times New Roman" w:cs="Times New Roman"/>
          <w:i/>
          <w:sz w:val="24"/>
          <w:szCs w:val="24"/>
        </w:rPr>
        <w:t xml:space="preserve">Number of </w:t>
      </w:r>
      <w:r w:rsidR="00605645" w:rsidRPr="00206628">
        <w:rPr>
          <w:rFonts w:ascii="Times New Roman" w:hAnsi="Times New Roman" w:cs="Times New Roman"/>
          <w:i/>
          <w:sz w:val="24"/>
          <w:szCs w:val="24"/>
        </w:rPr>
        <w:t>Days) Declaration 2022</w:t>
      </w:r>
      <w:r w:rsidR="00605645" w:rsidRPr="00206628">
        <w:rPr>
          <w:rFonts w:ascii="Times New Roman" w:hAnsi="Times New Roman" w:cs="Times New Roman"/>
          <w:sz w:val="24"/>
          <w:szCs w:val="24"/>
        </w:rPr>
        <w:t>.</w:t>
      </w:r>
      <w:r w:rsidR="00817E9D" w:rsidRPr="00206628">
        <w:rPr>
          <w:rFonts w:ascii="Times New Roman" w:hAnsi="Times New Roman" w:cs="Times New Roman"/>
          <w:sz w:val="24"/>
          <w:szCs w:val="24"/>
        </w:rPr>
        <w:t xml:space="preserve"> </w:t>
      </w:r>
      <w:r w:rsidR="00605645" w:rsidRPr="00206628">
        <w:rPr>
          <w:rFonts w:ascii="Times New Roman" w:hAnsi="Times New Roman" w:cs="Times New Roman"/>
          <w:sz w:val="24"/>
          <w:szCs w:val="24"/>
        </w:rPr>
        <w:t>E</w:t>
      </w:r>
      <w:r w:rsidRPr="00206628">
        <w:rPr>
          <w:rFonts w:ascii="Times New Roman" w:hAnsi="Times New Roman" w:cs="Times New Roman"/>
          <w:sz w:val="24"/>
          <w:szCs w:val="24"/>
        </w:rPr>
        <w:t xml:space="preserve">ach entity will have a specific </w:t>
      </w:r>
      <w:r w:rsidR="00D812A9" w:rsidRPr="00206628">
        <w:rPr>
          <w:rFonts w:ascii="Times New Roman" w:hAnsi="Times New Roman" w:cs="Times New Roman"/>
          <w:sz w:val="24"/>
          <w:szCs w:val="24"/>
        </w:rPr>
        <w:t xml:space="preserve">MSO </w:t>
      </w:r>
      <w:r w:rsidRPr="00206628">
        <w:rPr>
          <w:rFonts w:ascii="Times New Roman" w:hAnsi="Times New Roman" w:cs="Times New Roman"/>
          <w:sz w:val="24"/>
          <w:szCs w:val="24"/>
        </w:rPr>
        <w:t xml:space="preserve">determined by reference to the national target and their historical operations. The major transport fuels are gasoline, diesel and kerosene. Gasoline and kerosene MSOs </w:t>
      </w:r>
      <w:r w:rsidR="005F6572" w:rsidRPr="00206628">
        <w:rPr>
          <w:rFonts w:ascii="Times New Roman" w:hAnsi="Times New Roman" w:cs="Times New Roman"/>
          <w:sz w:val="24"/>
          <w:szCs w:val="24"/>
        </w:rPr>
        <w:t>have been</w:t>
      </w:r>
      <w:r w:rsidRPr="00206628">
        <w:rPr>
          <w:rFonts w:ascii="Times New Roman" w:hAnsi="Times New Roman" w:cs="Times New Roman"/>
          <w:sz w:val="24"/>
          <w:szCs w:val="24"/>
        </w:rPr>
        <w:t xml:space="preserve"> set at the average of the 2018 and 2019 calendar years (pre-COVID-19) levels, and the diesel MSO </w:t>
      </w:r>
      <w:r w:rsidR="005F6572" w:rsidRPr="00206628">
        <w:rPr>
          <w:rFonts w:ascii="Times New Roman" w:hAnsi="Times New Roman" w:cs="Times New Roman"/>
          <w:sz w:val="24"/>
          <w:szCs w:val="24"/>
        </w:rPr>
        <w:t xml:space="preserve">has been </w:t>
      </w:r>
      <w:r w:rsidRPr="00206628">
        <w:rPr>
          <w:rFonts w:ascii="Times New Roman" w:hAnsi="Times New Roman" w:cs="Times New Roman"/>
          <w:sz w:val="24"/>
          <w:szCs w:val="24"/>
        </w:rPr>
        <w:t xml:space="preserve">increased by 40% on pre-COVID-19 levels from mid-2024. </w:t>
      </w:r>
      <w:r w:rsidR="005F6572" w:rsidRPr="00206628">
        <w:rPr>
          <w:rFonts w:ascii="Times New Roman" w:hAnsi="Times New Roman" w:cs="Times New Roman"/>
          <w:sz w:val="24"/>
          <w:szCs w:val="24"/>
        </w:rPr>
        <w:t xml:space="preserve">Consistent with subsection 14(4) of the Act, Part 4 of the Rules takes into account the </w:t>
      </w:r>
      <w:r w:rsidR="005F6572" w:rsidRPr="00206628">
        <w:rPr>
          <w:rFonts w:ascii="Times New Roman" w:hAnsi="Times New Roman" w:cs="Times New Roman"/>
          <w:i/>
          <w:sz w:val="24"/>
          <w:szCs w:val="24"/>
        </w:rPr>
        <w:t xml:space="preserve">Fuel Security (Target </w:t>
      </w:r>
      <w:r w:rsidR="00533E21" w:rsidRPr="00206628">
        <w:rPr>
          <w:rFonts w:ascii="Times New Roman" w:hAnsi="Times New Roman" w:cs="Times New Roman"/>
          <w:i/>
          <w:sz w:val="24"/>
          <w:szCs w:val="24"/>
        </w:rPr>
        <w:t xml:space="preserve">Number of </w:t>
      </w:r>
      <w:r w:rsidR="005F6572" w:rsidRPr="00206628">
        <w:rPr>
          <w:rFonts w:ascii="Times New Roman" w:hAnsi="Times New Roman" w:cs="Times New Roman"/>
          <w:i/>
          <w:sz w:val="24"/>
          <w:szCs w:val="24"/>
        </w:rPr>
        <w:t>Days) Declaration 2022</w:t>
      </w:r>
      <w:r w:rsidR="005F6572" w:rsidRPr="00206628">
        <w:rPr>
          <w:rFonts w:ascii="Times New Roman" w:hAnsi="Times New Roman" w:cs="Times New Roman"/>
          <w:sz w:val="24"/>
          <w:szCs w:val="24"/>
        </w:rPr>
        <w:t xml:space="preserve"> by using the relevant target </w:t>
      </w:r>
      <w:r w:rsidR="00533E21" w:rsidRPr="00206628">
        <w:rPr>
          <w:rFonts w:ascii="Times New Roman" w:hAnsi="Times New Roman" w:cs="Times New Roman"/>
          <w:sz w:val="24"/>
          <w:szCs w:val="24"/>
        </w:rPr>
        <w:t xml:space="preserve">number of </w:t>
      </w:r>
      <w:r w:rsidR="005F6572" w:rsidRPr="00206628">
        <w:rPr>
          <w:rFonts w:ascii="Times New Roman" w:hAnsi="Times New Roman" w:cs="Times New Roman"/>
          <w:sz w:val="24"/>
          <w:szCs w:val="24"/>
        </w:rPr>
        <w:t>days in the calculation of the designated quantities for subsections 10(3), 15(3) and 16(3) of the Act.</w:t>
      </w:r>
    </w:p>
    <w:p w14:paraId="6FB1C078" w14:textId="77777777" w:rsidR="00AC2DBC" w:rsidRPr="00206628" w:rsidRDefault="00AC2DBC" w:rsidP="008C36CC">
      <w:pPr>
        <w:spacing w:before="2" w:line="317" w:lineRule="exact"/>
        <w:textAlignment w:val="baseline"/>
        <w:rPr>
          <w:rFonts w:ascii="Times New Roman" w:hAnsi="Times New Roman" w:cs="Times New Roman"/>
          <w:sz w:val="24"/>
          <w:szCs w:val="24"/>
        </w:rPr>
      </w:pPr>
      <w:r w:rsidRPr="00206628">
        <w:rPr>
          <w:rFonts w:ascii="Times New Roman" w:hAnsi="Times New Roman" w:cs="Times New Roman"/>
          <w:color w:val="000000"/>
          <w:sz w:val="24"/>
          <w:szCs w:val="24"/>
          <w:shd w:val="clear" w:color="auto" w:fill="FFFFFF"/>
        </w:rPr>
        <w:t xml:space="preserve">Further details of the Rules are set out at </w:t>
      </w:r>
      <w:r w:rsidRPr="00206628">
        <w:rPr>
          <w:rFonts w:ascii="Times New Roman" w:hAnsi="Times New Roman" w:cs="Times New Roman"/>
          <w:b/>
          <w:color w:val="000000"/>
          <w:sz w:val="24"/>
          <w:szCs w:val="24"/>
          <w:u w:val="single"/>
          <w:shd w:val="clear" w:color="auto" w:fill="FFFFFF"/>
        </w:rPr>
        <w:t xml:space="preserve">Attachment </w:t>
      </w:r>
      <w:r w:rsidR="008F6ECB" w:rsidRPr="00206628">
        <w:rPr>
          <w:rFonts w:ascii="Times New Roman" w:hAnsi="Times New Roman" w:cs="Times New Roman"/>
          <w:b/>
          <w:color w:val="000000"/>
          <w:sz w:val="24"/>
          <w:szCs w:val="24"/>
          <w:u w:val="single"/>
          <w:shd w:val="clear" w:color="auto" w:fill="FFFFFF"/>
        </w:rPr>
        <w:t>A</w:t>
      </w:r>
      <w:r w:rsidRPr="00206628">
        <w:rPr>
          <w:rFonts w:ascii="Times New Roman" w:hAnsi="Times New Roman" w:cs="Times New Roman"/>
          <w:b/>
          <w:color w:val="000000"/>
          <w:sz w:val="24"/>
          <w:szCs w:val="24"/>
          <w:shd w:val="clear" w:color="auto" w:fill="FFFFFF"/>
        </w:rPr>
        <w:t>.</w:t>
      </w:r>
    </w:p>
    <w:p w14:paraId="1131A685" w14:textId="77777777" w:rsidR="000611C3" w:rsidRPr="00206628" w:rsidRDefault="000611C3" w:rsidP="008C36CC">
      <w:pPr>
        <w:spacing w:before="120" w:after="120" w:line="276" w:lineRule="auto"/>
        <w:contextualSpacing/>
        <w:rPr>
          <w:rFonts w:ascii="Times New Roman" w:eastAsia="Calibri" w:hAnsi="Times New Roman" w:cs="Times New Roman"/>
          <w:b/>
          <w:sz w:val="24"/>
          <w:szCs w:val="24"/>
          <w:u w:val="single"/>
        </w:rPr>
      </w:pPr>
      <w:r w:rsidRPr="00206628">
        <w:rPr>
          <w:rFonts w:ascii="Times New Roman" w:eastAsia="Calibri" w:hAnsi="Times New Roman" w:cs="Times New Roman"/>
          <w:b/>
          <w:sz w:val="24"/>
          <w:szCs w:val="24"/>
          <w:u w:val="single"/>
        </w:rPr>
        <w:t>Authority</w:t>
      </w:r>
    </w:p>
    <w:p w14:paraId="38CDF796" w14:textId="77777777" w:rsidR="005F4814" w:rsidRPr="00206628" w:rsidRDefault="008C36CC" w:rsidP="007D27D0">
      <w:pPr>
        <w:spacing w:before="120" w:after="120" w:line="276" w:lineRule="auto"/>
        <w:rPr>
          <w:rFonts w:ascii="Times New Roman" w:eastAsia="Calibri" w:hAnsi="Times New Roman" w:cs="Times New Roman"/>
          <w:b/>
          <w:sz w:val="24"/>
          <w:szCs w:val="24"/>
          <w:u w:val="single"/>
        </w:rPr>
      </w:pPr>
      <w:r w:rsidRPr="00206628">
        <w:rPr>
          <w:rFonts w:ascii="Times New Roman" w:hAnsi="Times New Roman" w:cs="Times New Roman"/>
          <w:sz w:val="24"/>
          <w:szCs w:val="24"/>
        </w:rPr>
        <w:t>The Rule</w:t>
      </w:r>
      <w:r w:rsidR="00B80369" w:rsidRPr="00206628">
        <w:rPr>
          <w:rFonts w:ascii="Times New Roman" w:hAnsi="Times New Roman" w:cs="Times New Roman"/>
          <w:sz w:val="24"/>
          <w:szCs w:val="24"/>
        </w:rPr>
        <w:t>s</w:t>
      </w:r>
      <w:r w:rsidRPr="00206628">
        <w:rPr>
          <w:rFonts w:ascii="Times New Roman" w:hAnsi="Times New Roman" w:cs="Times New Roman"/>
          <w:sz w:val="24"/>
          <w:szCs w:val="24"/>
        </w:rPr>
        <w:t xml:space="preserve"> </w:t>
      </w:r>
      <w:r w:rsidR="00B80369" w:rsidRPr="00206628">
        <w:rPr>
          <w:rFonts w:ascii="Times New Roman" w:hAnsi="Times New Roman" w:cs="Times New Roman"/>
          <w:sz w:val="24"/>
          <w:szCs w:val="24"/>
        </w:rPr>
        <w:t xml:space="preserve">are </w:t>
      </w:r>
      <w:r w:rsidRPr="00206628">
        <w:rPr>
          <w:rFonts w:ascii="Times New Roman" w:hAnsi="Times New Roman" w:cs="Times New Roman"/>
          <w:sz w:val="24"/>
          <w:szCs w:val="24"/>
        </w:rPr>
        <w:t>made pursuant to the Act</w:t>
      </w:r>
      <w:r w:rsidR="00310D46" w:rsidRPr="00206628">
        <w:rPr>
          <w:rFonts w:ascii="Times New Roman" w:hAnsi="Times New Roman" w:cs="Times New Roman"/>
          <w:sz w:val="24"/>
          <w:szCs w:val="24"/>
        </w:rPr>
        <w:t>. I</w:t>
      </w:r>
      <w:r w:rsidRPr="00206628">
        <w:rPr>
          <w:rFonts w:ascii="Times New Roman" w:hAnsi="Times New Roman" w:cs="Times New Roman"/>
          <w:sz w:val="24"/>
          <w:szCs w:val="24"/>
        </w:rPr>
        <w:t>n particular</w:t>
      </w:r>
      <w:r w:rsidR="00310D46" w:rsidRPr="00206628">
        <w:rPr>
          <w:rFonts w:ascii="Times New Roman" w:hAnsi="Times New Roman" w:cs="Times New Roman"/>
          <w:sz w:val="24"/>
          <w:szCs w:val="24"/>
        </w:rPr>
        <w:t>,</w:t>
      </w:r>
      <w:r w:rsidRPr="00206628">
        <w:rPr>
          <w:rFonts w:ascii="Times New Roman" w:hAnsi="Times New Roman" w:cs="Times New Roman"/>
          <w:sz w:val="24"/>
          <w:szCs w:val="24"/>
        </w:rPr>
        <w:t xml:space="preserve"> section 84 includes the power for the Minister to make legislative rules.</w:t>
      </w:r>
    </w:p>
    <w:p w14:paraId="50A002F8" w14:textId="77777777" w:rsidR="0073681E" w:rsidRPr="00206628" w:rsidRDefault="0073681E" w:rsidP="007D27D0">
      <w:pPr>
        <w:spacing w:before="120" w:after="120" w:line="276" w:lineRule="auto"/>
        <w:rPr>
          <w:rFonts w:ascii="Times New Roman" w:eastAsia="Calibri" w:hAnsi="Times New Roman" w:cs="Times New Roman"/>
          <w:b/>
          <w:sz w:val="24"/>
          <w:szCs w:val="24"/>
          <w:u w:val="single"/>
        </w:rPr>
      </w:pPr>
    </w:p>
    <w:p w14:paraId="259EB6E4" w14:textId="77777777" w:rsidR="000611C3" w:rsidRPr="00206628" w:rsidRDefault="000611C3" w:rsidP="007D27D0">
      <w:pPr>
        <w:spacing w:before="120" w:after="120" w:line="276" w:lineRule="auto"/>
        <w:rPr>
          <w:rFonts w:ascii="Times New Roman" w:eastAsia="Calibri" w:hAnsi="Times New Roman" w:cs="Times New Roman"/>
          <w:b/>
          <w:sz w:val="24"/>
          <w:szCs w:val="24"/>
          <w:u w:val="single"/>
        </w:rPr>
      </w:pPr>
      <w:r w:rsidRPr="00206628">
        <w:rPr>
          <w:rFonts w:ascii="Times New Roman" w:eastAsia="Calibri" w:hAnsi="Times New Roman" w:cs="Times New Roman"/>
          <w:b/>
          <w:sz w:val="24"/>
          <w:szCs w:val="24"/>
          <w:u w:val="single"/>
        </w:rPr>
        <w:t>Consultation</w:t>
      </w:r>
    </w:p>
    <w:p w14:paraId="54DB17A7" w14:textId="2844A4AF" w:rsidR="000611C3" w:rsidRPr="00206628" w:rsidRDefault="000611C3" w:rsidP="000611C3">
      <w:pPr>
        <w:spacing w:before="120" w:after="12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Targeted consultation with stakeholders including </w:t>
      </w:r>
      <w:r w:rsidR="00A95253" w:rsidRPr="00206628">
        <w:rPr>
          <w:rFonts w:ascii="Times New Roman" w:eastAsia="Calibri" w:hAnsi="Times New Roman" w:cs="Times New Roman"/>
          <w:sz w:val="24"/>
          <w:szCs w:val="24"/>
        </w:rPr>
        <w:t xml:space="preserve">importers, </w:t>
      </w:r>
      <w:r w:rsidR="00042053" w:rsidRPr="00206628">
        <w:rPr>
          <w:rFonts w:ascii="Times New Roman" w:eastAsia="Calibri" w:hAnsi="Times New Roman" w:cs="Times New Roman"/>
          <w:sz w:val="24"/>
          <w:szCs w:val="24"/>
        </w:rPr>
        <w:t>refiners</w:t>
      </w:r>
      <w:r w:rsidRPr="00206628">
        <w:rPr>
          <w:rFonts w:ascii="Times New Roman" w:eastAsia="Calibri" w:hAnsi="Times New Roman" w:cs="Times New Roman"/>
          <w:sz w:val="24"/>
          <w:szCs w:val="24"/>
        </w:rPr>
        <w:t>,</w:t>
      </w:r>
      <w:r w:rsidR="00A95253" w:rsidRPr="00206628">
        <w:rPr>
          <w:rFonts w:ascii="Times New Roman" w:eastAsia="Calibri" w:hAnsi="Times New Roman" w:cs="Times New Roman"/>
          <w:sz w:val="24"/>
          <w:szCs w:val="24"/>
        </w:rPr>
        <w:t xml:space="preserve"> and </w:t>
      </w:r>
      <w:r w:rsidR="003B0D57" w:rsidRPr="00206628">
        <w:rPr>
          <w:rFonts w:ascii="Times New Roman" w:eastAsia="Calibri" w:hAnsi="Times New Roman" w:cs="Times New Roman"/>
          <w:sz w:val="24"/>
          <w:szCs w:val="24"/>
        </w:rPr>
        <w:t xml:space="preserve">liquid fuel </w:t>
      </w:r>
      <w:r w:rsidR="00A95253" w:rsidRPr="00206628">
        <w:rPr>
          <w:rFonts w:ascii="Times New Roman" w:eastAsia="Calibri" w:hAnsi="Times New Roman" w:cs="Times New Roman"/>
          <w:sz w:val="24"/>
          <w:szCs w:val="24"/>
        </w:rPr>
        <w:t>industry representative groups</w:t>
      </w:r>
      <w:r w:rsidRPr="00206628">
        <w:rPr>
          <w:rFonts w:ascii="Times New Roman" w:eastAsia="Calibri" w:hAnsi="Times New Roman" w:cs="Times New Roman"/>
          <w:sz w:val="24"/>
          <w:szCs w:val="24"/>
        </w:rPr>
        <w:t xml:space="preserve"> was undertaken during drafting the</w:t>
      </w:r>
      <w:r w:rsidR="008C36CC" w:rsidRPr="00206628">
        <w:rPr>
          <w:rFonts w:ascii="Times New Roman" w:eastAsia="Calibri" w:hAnsi="Times New Roman" w:cs="Times New Roman"/>
          <w:sz w:val="24"/>
          <w:szCs w:val="24"/>
        </w:rPr>
        <w:t xml:space="preserve"> Act,</w:t>
      </w:r>
      <w:r w:rsidR="00DF6373" w:rsidRPr="00206628">
        <w:rPr>
          <w:rFonts w:ascii="Times New Roman" w:eastAsia="Calibri" w:hAnsi="Times New Roman" w:cs="Times New Roman"/>
          <w:sz w:val="24"/>
          <w:szCs w:val="24"/>
        </w:rPr>
        <w:t xml:space="preserve"> and on the policy settings and draft Rules, to ensure they would operate as intended. A range of </w:t>
      </w:r>
      <w:r w:rsidR="000C0FE7" w:rsidRPr="00206628">
        <w:rPr>
          <w:rFonts w:ascii="Times New Roman" w:eastAsia="Calibri" w:hAnsi="Times New Roman" w:cs="Times New Roman"/>
          <w:sz w:val="24"/>
          <w:szCs w:val="24"/>
        </w:rPr>
        <w:t xml:space="preserve">measures </w:t>
      </w:r>
      <w:r w:rsidR="00DF6373" w:rsidRPr="00206628">
        <w:rPr>
          <w:rFonts w:ascii="Times New Roman" w:eastAsia="Calibri" w:hAnsi="Times New Roman" w:cs="Times New Roman"/>
          <w:sz w:val="24"/>
          <w:szCs w:val="24"/>
        </w:rPr>
        <w:t xml:space="preserve">were included in the Rules </w:t>
      </w:r>
      <w:r w:rsidR="000C0FE7" w:rsidRPr="00206628">
        <w:rPr>
          <w:rFonts w:ascii="Times New Roman" w:eastAsia="Calibri" w:hAnsi="Times New Roman" w:cs="Times New Roman"/>
          <w:sz w:val="24"/>
          <w:szCs w:val="24"/>
        </w:rPr>
        <w:t xml:space="preserve">as a result of this </w:t>
      </w:r>
      <w:r w:rsidR="00DF6373" w:rsidRPr="00206628">
        <w:rPr>
          <w:rFonts w:ascii="Times New Roman" w:eastAsia="Calibri" w:hAnsi="Times New Roman" w:cs="Times New Roman"/>
          <w:sz w:val="24"/>
          <w:szCs w:val="24"/>
        </w:rPr>
        <w:t xml:space="preserve">consultation, particularly regarding stockholding </w:t>
      </w:r>
      <w:r w:rsidR="006A4043" w:rsidRPr="00206628">
        <w:rPr>
          <w:rFonts w:ascii="Times New Roman" w:eastAsia="Calibri" w:hAnsi="Times New Roman" w:cs="Times New Roman"/>
          <w:sz w:val="24"/>
          <w:szCs w:val="24"/>
        </w:rPr>
        <w:t>requirements</w:t>
      </w:r>
      <w:r w:rsidR="00DF6373" w:rsidRPr="00206628">
        <w:rPr>
          <w:rFonts w:ascii="Times New Roman" w:eastAsia="Calibri" w:hAnsi="Times New Roman" w:cs="Times New Roman"/>
          <w:sz w:val="24"/>
          <w:szCs w:val="24"/>
        </w:rPr>
        <w:t xml:space="preserve"> and transitional arrangements for the commencement of the scheme. </w:t>
      </w:r>
    </w:p>
    <w:p w14:paraId="74273ECD" w14:textId="7E2D6835" w:rsidR="000C0FE7" w:rsidRPr="00206628" w:rsidRDefault="000C0FE7" w:rsidP="000611C3">
      <w:pPr>
        <w:spacing w:before="120" w:after="12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An exposure draft of the rules was released for public consultation from 31 January 2022 to 28 February 2022. Stakeholders</w:t>
      </w:r>
      <w:r w:rsidR="00E751F5" w:rsidRPr="00206628">
        <w:rPr>
          <w:rFonts w:ascii="Times New Roman" w:eastAsia="Calibri" w:hAnsi="Times New Roman" w:cs="Times New Roman"/>
          <w:sz w:val="24"/>
          <w:szCs w:val="24"/>
        </w:rPr>
        <w:t xml:space="preserve"> acknowledged the intent of the MSO and </w:t>
      </w:r>
      <w:r w:rsidRPr="00206628">
        <w:rPr>
          <w:rFonts w:ascii="Times New Roman" w:eastAsia="Calibri" w:hAnsi="Times New Roman" w:cs="Times New Roman"/>
          <w:sz w:val="24"/>
          <w:szCs w:val="24"/>
        </w:rPr>
        <w:t xml:space="preserve">were </w:t>
      </w:r>
      <w:r w:rsidR="00E751F5" w:rsidRPr="00206628">
        <w:rPr>
          <w:rFonts w:ascii="Times New Roman" w:eastAsia="Calibri" w:hAnsi="Times New Roman" w:cs="Times New Roman"/>
          <w:sz w:val="24"/>
          <w:szCs w:val="24"/>
        </w:rPr>
        <w:t xml:space="preserve">largely </w:t>
      </w:r>
      <w:r w:rsidRPr="00206628">
        <w:rPr>
          <w:rFonts w:ascii="Times New Roman" w:eastAsia="Calibri" w:hAnsi="Times New Roman" w:cs="Times New Roman"/>
          <w:sz w:val="24"/>
          <w:szCs w:val="24"/>
        </w:rPr>
        <w:t>supportive of the draft rules</w:t>
      </w:r>
      <w:r w:rsidR="00E751F5" w:rsidRPr="00206628">
        <w:rPr>
          <w:rFonts w:ascii="Times New Roman" w:eastAsia="Calibri" w:hAnsi="Times New Roman" w:cs="Times New Roman"/>
          <w:sz w:val="24"/>
          <w:szCs w:val="24"/>
        </w:rPr>
        <w:t xml:space="preserve"> and the flexibility they provide. Stakeholders also supported the</w:t>
      </w:r>
      <w:r w:rsidRPr="00206628">
        <w:rPr>
          <w:rFonts w:ascii="Times New Roman" w:eastAsia="Calibri" w:hAnsi="Times New Roman" w:cs="Times New Roman"/>
          <w:sz w:val="24"/>
          <w:szCs w:val="24"/>
        </w:rPr>
        <w:t xml:space="preserve"> </w:t>
      </w:r>
      <w:r w:rsidR="00E751F5" w:rsidRPr="00206628">
        <w:rPr>
          <w:rFonts w:ascii="Times New Roman" w:eastAsia="Calibri" w:hAnsi="Times New Roman" w:cs="Times New Roman"/>
          <w:sz w:val="24"/>
          <w:szCs w:val="24"/>
        </w:rPr>
        <w:t>d</w:t>
      </w:r>
      <w:r w:rsidRPr="00206628">
        <w:rPr>
          <w:rFonts w:ascii="Times New Roman" w:eastAsia="Calibri" w:hAnsi="Times New Roman" w:cs="Times New Roman"/>
          <w:sz w:val="24"/>
          <w:szCs w:val="24"/>
        </w:rPr>
        <w:t xml:space="preserve">rafting changes made to clarify the intent or operation of some provisions. </w:t>
      </w:r>
      <w:r w:rsidR="009A4239" w:rsidRPr="00206628">
        <w:rPr>
          <w:rFonts w:ascii="Times New Roman" w:eastAsia="Calibri" w:hAnsi="Times New Roman" w:cs="Times New Roman"/>
          <w:sz w:val="24"/>
          <w:szCs w:val="24"/>
        </w:rPr>
        <w:t>In particular, a new import definition was included to pick up commercial arrangements in the sector</w:t>
      </w:r>
      <w:r w:rsidR="0028391D" w:rsidRPr="00206628">
        <w:rPr>
          <w:rFonts w:ascii="Times New Roman" w:eastAsia="Calibri" w:hAnsi="Times New Roman" w:cs="Times New Roman"/>
          <w:sz w:val="24"/>
          <w:szCs w:val="24"/>
        </w:rPr>
        <w:t xml:space="preserve">, </w:t>
      </w:r>
      <w:r w:rsidR="00533E21" w:rsidRPr="00206628">
        <w:rPr>
          <w:rFonts w:ascii="Times New Roman" w:eastAsia="Calibri" w:hAnsi="Times New Roman" w:cs="Times New Roman"/>
          <w:sz w:val="24"/>
          <w:szCs w:val="24"/>
        </w:rPr>
        <w:t>new arrangements were added to recognise that circumstances involving the loss of a major customer for MSO products may justify a reduction of an entity’s MSO for the following period,</w:t>
      </w:r>
      <w:r w:rsidR="009A4239" w:rsidRPr="00206628">
        <w:rPr>
          <w:rFonts w:ascii="Times New Roman" w:eastAsia="Calibri" w:hAnsi="Times New Roman" w:cs="Times New Roman"/>
          <w:sz w:val="24"/>
          <w:szCs w:val="24"/>
        </w:rPr>
        <w:t xml:space="preserve"> and general publication of scheme information has been added to assist scheme transparency.</w:t>
      </w:r>
    </w:p>
    <w:p w14:paraId="20A13636" w14:textId="77777777" w:rsidR="0073681E" w:rsidRPr="00206628" w:rsidRDefault="0073681E" w:rsidP="000611C3">
      <w:pPr>
        <w:spacing w:before="120" w:after="120" w:line="276" w:lineRule="auto"/>
        <w:rPr>
          <w:rFonts w:ascii="Times New Roman" w:eastAsia="Calibri" w:hAnsi="Times New Roman" w:cs="Times New Roman"/>
          <w:sz w:val="24"/>
          <w:szCs w:val="24"/>
        </w:rPr>
      </w:pPr>
      <w:r w:rsidRPr="00206628">
        <w:rPr>
          <w:rFonts w:ascii="Times New Roman" w:eastAsia="Calibri" w:hAnsi="Times New Roman" w:cs="Times New Roman"/>
          <w:b/>
          <w:sz w:val="24"/>
          <w:szCs w:val="24"/>
          <w:u w:val="single"/>
        </w:rPr>
        <w:t>Review</w:t>
      </w:r>
    </w:p>
    <w:p w14:paraId="63A97348" w14:textId="3904C550" w:rsidR="0073681E" w:rsidRPr="00206628" w:rsidRDefault="001F328D" w:rsidP="000611C3">
      <w:pPr>
        <w:spacing w:before="120" w:after="12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Department will conduct o</w:t>
      </w:r>
      <w:r w:rsidR="00120CC2" w:rsidRPr="00206628">
        <w:rPr>
          <w:rFonts w:ascii="Times New Roman" w:eastAsia="Calibri" w:hAnsi="Times New Roman" w:cs="Times New Roman"/>
          <w:sz w:val="24"/>
          <w:szCs w:val="24"/>
        </w:rPr>
        <w:t xml:space="preserve">ngoing monitoring </w:t>
      </w:r>
      <w:r w:rsidR="0073681E" w:rsidRPr="00206628">
        <w:rPr>
          <w:rFonts w:ascii="Times New Roman" w:eastAsia="Calibri" w:hAnsi="Times New Roman" w:cs="Times New Roman"/>
          <w:sz w:val="24"/>
          <w:szCs w:val="24"/>
        </w:rPr>
        <w:t>a</w:t>
      </w:r>
      <w:r w:rsidR="00120CC2" w:rsidRPr="00206628">
        <w:rPr>
          <w:rFonts w:ascii="Times New Roman" w:eastAsia="Calibri" w:hAnsi="Times New Roman" w:cs="Times New Roman"/>
          <w:sz w:val="24"/>
          <w:szCs w:val="24"/>
        </w:rPr>
        <w:t>nd</w:t>
      </w:r>
      <w:r w:rsidR="0073681E" w:rsidRPr="00206628">
        <w:rPr>
          <w:rFonts w:ascii="Times New Roman" w:eastAsia="Calibri" w:hAnsi="Times New Roman" w:cs="Times New Roman"/>
          <w:sz w:val="24"/>
          <w:szCs w:val="24"/>
        </w:rPr>
        <w:t xml:space="preserve"> review of the MSO s</w:t>
      </w:r>
      <w:r w:rsidR="00120CC2" w:rsidRPr="00206628">
        <w:rPr>
          <w:rFonts w:ascii="Times New Roman" w:eastAsia="Calibri" w:hAnsi="Times New Roman" w:cs="Times New Roman"/>
          <w:sz w:val="24"/>
          <w:szCs w:val="24"/>
        </w:rPr>
        <w:t xml:space="preserve">ettings </w:t>
      </w:r>
      <w:r w:rsidR="0073681E" w:rsidRPr="00206628">
        <w:rPr>
          <w:rFonts w:ascii="Times New Roman" w:eastAsia="Calibri" w:hAnsi="Times New Roman" w:cs="Times New Roman"/>
          <w:sz w:val="24"/>
          <w:szCs w:val="24"/>
        </w:rPr>
        <w:t xml:space="preserve">to ensure the settings </w:t>
      </w:r>
      <w:r w:rsidR="00120CC2" w:rsidRPr="00206628">
        <w:rPr>
          <w:rFonts w:ascii="Times New Roman" w:eastAsia="Calibri" w:hAnsi="Times New Roman" w:cs="Times New Roman"/>
          <w:sz w:val="24"/>
          <w:szCs w:val="24"/>
        </w:rPr>
        <w:t>remain</w:t>
      </w:r>
      <w:r w:rsidR="0073681E" w:rsidRPr="00206628">
        <w:rPr>
          <w:rFonts w:ascii="Times New Roman" w:eastAsia="Calibri" w:hAnsi="Times New Roman" w:cs="Times New Roman"/>
          <w:sz w:val="24"/>
          <w:szCs w:val="24"/>
        </w:rPr>
        <w:t xml:space="preserve"> appropriate. This </w:t>
      </w:r>
      <w:r w:rsidR="00DE2C1B" w:rsidRPr="00206628">
        <w:rPr>
          <w:rFonts w:ascii="Times New Roman" w:eastAsia="Calibri" w:hAnsi="Times New Roman" w:cs="Times New Roman"/>
          <w:sz w:val="24"/>
          <w:szCs w:val="24"/>
        </w:rPr>
        <w:t>will</w:t>
      </w:r>
      <w:r w:rsidR="0073681E" w:rsidRPr="00206628">
        <w:rPr>
          <w:rFonts w:ascii="Times New Roman" w:eastAsia="Calibri" w:hAnsi="Times New Roman" w:cs="Times New Roman"/>
          <w:sz w:val="24"/>
          <w:szCs w:val="24"/>
        </w:rPr>
        <w:t xml:space="preserve"> </w:t>
      </w:r>
      <w:r w:rsidR="00120CC2" w:rsidRPr="00206628">
        <w:rPr>
          <w:rFonts w:ascii="Times New Roman" w:eastAsia="Calibri" w:hAnsi="Times New Roman" w:cs="Times New Roman"/>
          <w:sz w:val="24"/>
          <w:szCs w:val="24"/>
        </w:rPr>
        <w:t xml:space="preserve">occur as the scheme matures and </w:t>
      </w:r>
      <w:r w:rsidR="0073681E" w:rsidRPr="00206628">
        <w:rPr>
          <w:rFonts w:ascii="Times New Roman" w:eastAsia="Calibri" w:hAnsi="Times New Roman" w:cs="Times New Roman"/>
          <w:sz w:val="24"/>
          <w:szCs w:val="24"/>
        </w:rPr>
        <w:t xml:space="preserve">include, but not be limited to: </w:t>
      </w:r>
      <w:r w:rsidR="00120CC2" w:rsidRPr="00206628">
        <w:rPr>
          <w:rFonts w:ascii="Times New Roman" w:eastAsia="Calibri" w:hAnsi="Times New Roman" w:cs="Times New Roman"/>
          <w:sz w:val="24"/>
          <w:szCs w:val="24"/>
        </w:rPr>
        <w:t xml:space="preserve">the </w:t>
      </w:r>
      <w:r w:rsidR="0073681E" w:rsidRPr="00206628">
        <w:rPr>
          <w:rFonts w:ascii="Times New Roman" w:eastAsia="Calibri" w:hAnsi="Times New Roman" w:cs="Times New Roman"/>
          <w:sz w:val="24"/>
          <w:szCs w:val="24"/>
        </w:rPr>
        <w:t xml:space="preserve">threshold </w:t>
      </w:r>
      <w:r w:rsidR="00120CC2" w:rsidRPr="00206628">
        <w:rPr>
          <w:rFonts w:ascii="Times New Roman" w:eastAsia="Calibri" w:hAnsi="Times New Roman" w:cs="Times New Roman"/>
          <w:sz w:val="24"/>
          <w:szCs w:val="24"/>
        </w:rPr>
        <w:t>levels</w:t>
      </w:r>
      <w:r w:rsidR="0073681E" w:rsidRPr="00206628">
        <w:rPr>
          <w:rFonts w:ascii="Times New Roman" w:eastAsia="Calibri" w:hAnsi="Times New Roman" w:cs="Times New Roman"/>
          <w:sz w:val="24"/>
          <w:szCs w:val="24"/>
        </w:rPr>
        <w:t>, the effectiveness and adequacy of the intermediary market</w:t>
      </w:r>
      <w:r w:rsidR="00120CC2" w:rsidRPr="00206628">
        <w:rPr>
          <w:rFonts w:ascii="Times New Roman" w:eastAsia="Calibri" w:hAnsi="Times New Roman" w:cs="Times New Roman"/>
          <w:sz w:val="24"/>
          <w:szCs w:val="24"/>
        </w:rPr>
        <w:t>, and unintended consequences where they arise</w:t>
      </w:r>
      <w:r w:rsidR="0073681E" w:rsidRPr="00206628">
        <w:rPr>
          <w:rFonts w:ascii="Times New Roman" w:eastAsia="Calibri" w:hAnsi="Times New Roman" w:cs="Times New Roman"/>
          <w:sz w:val="24"/>
          <w:szCs w:val="24"/>
        </w:rPr>
        <w:t xml:space="preserve">. </w:t>
      </w:r>
    </w:p>
    <w:p w14:paraId="76B87DCD" w14:textId="77777777" w:rsidR="000611C3" w:rsidRPr="00206628" w:rsidRDefault="000611C3" w:rsidP="000611C3">
      <w:pPr>
        <w:spacing w:before="240" w:after="240" w:line="276" w:lineRule="auto"/>
        <w:rPr>
          <w:rFonts w:ascii="Times New Roman" w:eastAsia="Calibri" w:hAnsi="Times New Roman" w:cs="Times New Roman"/>
          <w:b/>
          <w:sz w:val="24"/>
          <w:szCs w:val="24"/>
          <w:u w:val="single"/>
        </w:rPr>
      </w:pPr>
      <w:r w:rsidRPr="00206628">
        <w:rPr>
          <w:rFonts w:ascii="Times New Roman" w:eastAsia="Calibri" w:hAnsi="Times New Roman" w:cs="Times New Roman"/>
          <w:b/>
          <w:sz w:val="24"/>
          <w:szCs w:val="24"/>
          <w:u w:val="single"/>
        </w:rPr>
        <w:t>Regulatory Impact</w:t>
      </w:r>
    </w:p>
    <w:p w14:paraId="1EBF09DA" w14:textId="77777777" w:rsidR="000611C3" w:rsidRPr="00206628" w:rsidRDefault="000611C3" w:rsidP="009111CC">
      <w:pPr>
        <w:spacing w:before="120" w:after="120" w:line="276" w:lineRule="auto"/>
        <w:rPr>
          <w:rFonts w:ascii="Times New Roman" w:eastAsia="Calibri" w:hAnsi="Times New Roman" w:cs="Times New Roman"/>
          <w:b/>
          <w:sz w:val="24"/>
          <w:szCs w:val="24"/>
          <w:u w:val="single"/>
        </w:rPr>
      </w:pPr>
      <w:r w:rsidRPr="00206628">
        <w:rPr>
          <w:rFonts w:ascii="Times New Roman" w:eastAsia="Calibri" w:hAnsi="Times New Roman" w:cs="Times New Roman"/>
          <w:sz w:val="24"/>
          <w:szCs w:val="24"/>
        </w:rPr>
        <w:t>An addendum to the Regulation Impact Statement (RIS) previously prepared in relation to the Act (reference numbers: 42904 and 20489) has been prepared for the purpose of this instrument in accordance with the Australian Government Guide to Regulation</w:t>
      </w:r>
      <w:r w:rsidR="008C36CC" w:rsidRPr="00206628">
        <w:rPr>
          <w:rFonts w:ascii="Times New Roman" w:hAnsi="Times New Roman" w:cs="Times New Roman"/>
          <w:sz w:val="24"/>
          <w:szCs w:val="24"/>
        </w:rPr>
        <w:t>, which is available at pmc.gov.au. A copy of the Addendum to the RIS is included at the end of this Explanatory Statement</w:t>
      </w:r>
      <w:r w:rsidR="00B03FF1" w:rsidRPr="00206628">
        <w:rPr>
          <w:rFonts w:ascii="Times New Roman" w:hAnsi="Times New Roman" w:cs="Times New Roman"/>
          <w:sz w:val="24"/>
          <w:szCs w:val="24"/>
        </w:rPr>
        <w:t xml:space="preserve"> at </w:t>
      </w:r>
      <w:r w:rsidR="00B03FF1" w:rsidRPr="00206628">
        <w:rPr>
          <w:rFonts w:ascii="Times New Roman" w:hAnsi="Times New Roman" w:cs="Times New Roman"/>
          <w:b/>
          <w:sz w:val="24"/>
          <w:szCs w:val="24"/>
          <w:u w:val="single"/>
        </w:rPr>
        <w:t>Attachment C</w:t>
      </w:r>
      <w:r w:rsidR="008C36CC" w:rsidRPr="00206628">
        <w:rPr>
          <w:rFonts w:ascii="Times New Roman" w:hAnsi="Times New Roman" w:cs="Times New Roman"/>
          <w:b/>
          <w:sz w:val="24"/>
          <w:szCs w:val="24"/>
          <w:u w:val="single"/>
        </w:rPr>
        <w:t>.</w:t>
      </w:r>
      <w:r w:rsidR="008C36CC" w:rsidRPr="00206628">
        <w:rPr>
          <w:rFonts w:ascii="Times New Roman" w:hAnsi="Times New Roman" w:cs="Times New Roman"/>
          <w:sz w:val="24"/>
          <w:szCs w:val="24"/>
        </w:rPr>
        <w:t xml:space="preserve"> </w:t>
      </w:r>
      <w:r w:rsidRPr="00206628">
        <w:rPr>
          <w:rFonts w:ascii="Times New Roman" w:eastAsia="Calibri" w:hAnsi="Times New Roman" w:cs="Times New Roman"/>
          <w:sz w:val="24"/>
          <w:szCs w:val="24"/>
        </w:rPr>
        <w:t xml:space="preserve"> </w:t>
      </w:r>
    </w:p>
    <w:p w14:paraId="21E9A4B9" w14:textId="77777777" w:rsidR="00AC2DBC" w:rsidRPr="00206628" w:rsidRDefault="00AC2DBC" w:rsidP="00AC2DBC">
      <w:pPr>
        <w:spacing w:before="200"/>
        <w:rPr>
          <w:rFonts w:ascii="Times New Roman" w:hAnsi="Times New Roman" w:cs="Times New Roman"/>
          <w:b/>
          <w:sz w:val="24"/>
          <w:szCs w:val="24"/>
          <w:u w:val="single"/>
        </w:rPr>
      </w:pPr>
      <w:r w:rsidRPr="00206628">
        <w:rPr>
          <w:rFonts w:ascii="Times New Roman" w:hAnsi="Times New Roman" w:cs="Times New Roman"/>
          <w:b/>
          <w:sz w:val="24"/>
          <w:szCs w:val="24"/>
          <w:u w:val="single"/>
        </w:rPr>
        <w:t>Statement of Compatibility with Human Rights</w:t>
      </w:r>
    </w:p>
    <w:p w14:paraId="1B610D59" w14:textId="77777777" w:rsidR="00AC2DBC" w:rsidRPr="00206628" w:rsidRDefault="00AC2DBC" w:rsidP="00AC2DBC">
      <w:pPr>
        <w:spacing w:before="120" w:after="120" w:line="276" w:lineRule="auto"/>
        <w:rPr>
          <w:rFonts w:ascii="Times New Roman" w:eastAsia="Times New Roman" w:hAnsi="Times New Roman" w:cs="Times New Roman"/>
          <w:b/>
          <w:color w:val="000000"/>
          <w:sz w:val="24"/>
          <w:szCs w:val="24"/>
          <w:u w:val="single"/>
          <w:lang w:val="en-GB" w:eastAsia="en-AU"/>
        </w:rPr>
      </w:pPr>
      <w:r w:rsidRPr="00206628">
        <w:rPr>
          <w:rFonts w:ascii="Times New Roman" w:eastAsia="Times New Roman" w:hAnsi="Times New Roman" w:cs="Times New Roman"/>
          <w:color w:val="000000"/>
          <w:sz w:val="24"/>
          <w:szCs w:val="24"/>
          <w:lang w:val="en-GB" w:eastAsia="en-AU"/>
        </w:rPr>
        <w:t>A Statement of Compatibility with Human Rights for the purposes of Part 3 of the </w:t>
      </w:r>
      <w:r w:rsidRPr="00206628">
        <w:rPr>
          <w:rFonts w:ascii="Times New Roman" w:eastAsia="Times New Roman" w:hAnsi="Times New Roman" w:cs="Times New Roman"/>
          <w:i/>
          <w:iCs/>
          <w:color w:val="000000"/>
          <w:sz w:val="24"/>
          <w:szCs w:val="24"/>
          <w:lang w:val="en-GB" w:eastAsia="en-AU"/>
        </w:rPr>
        <w:t>Human Rights (Parliamentary Scrutiny) Act 2011</w:t>
      </w:r>
      <w:r w:rsidRPr="00206628">
        <w:rPr>
          <w:rFonts w:ascii="Times New Roman" w:eastAsia="Times New Roman" w:hAnsi="Times New Roman" w:cs="Times New Roman"/>
          <w:color w:val="000000"/>
          <w:sz w:val="24"/>
          <w:szCs w:val="24"/>
          <w:lang w:val="en-GB" w:eastAsia="en-AU"/>
        </w:rPr>
        <w:t xml:space="preserve"> is set out at </w:t>
      </w:r>
      <w:r w:rsidRPr="00206628">
        <w:rPr>
          <w:rFonts w:ascii="Times New Roman" w:eastAsia="Times New Roman" w:hAnsi="Times New Roman" w:cs="Times New Roman"/>
          <w:b/>
          <w:color w:val="000000"/>
          <w:sz w:val="24"/>
          <w:szCs w:val="24"/>
          <w:u w:val="single"/>
          <w:lang w:val="en-GB" w:eastAsia="en-AU"/>
        </w:rPr>
        <w:t>Attachment</w:t>
      </w:r>
      <w:r w:rsidR="008F6ECB" w:rsidRPr="00206628">
        <w:rPr>
          <w:rFonts w:ascii="Times New Roman" w:eastAsia="Times New Roman" w:hAnsi="Times New Roman" w:cs="Times New Roman"/>
          <w:b/>
          <w:color w:val="000000"/>
          <w:sz w:val="24"/>
          <w:szCs w:val="24"/>
          <w:u w:val="single"/>
          <w:lang w:val="en-GB" w:eastAsia="en-AU"/>
        </w:rPr>
        <w:t xml:space="preserve"> B</w:t>
      </w:r>
      <w:r w:rsidRPr="00206628">
        <w:rPr>
          <w:rFonts w:ascii="Times New Roman" w:eastAsia="Times New Roman" w:hAnsi="Times New Roman" w:cs="Times New Roman"/>
          <w:b/>
          <w:color w:val="000000"/>
          <w:sz w:val="24"/>
          <w:szCs w:val="24"/>
          <w:u w:val="single"/>
          <w:lang w:val="en-GB" w:eastAsia="en-AU"/>
        </w:rPr>
        <w:t>.</w:t>
      </w:r>
    </w:p>
    <w:p w14:paraId="7549D563" w14:textId="77777777" w:rsidR="00AC2DBC" w:rsidRPr="00206628" w:rsidRDefault="00AC2DBC" w:rsidP="00AC2DBC">
      <w:pPr>
        <w:spacing w:before="200"/>
        <w:rPr>
          <w:rFonts w:ascii="Times New Roman" w:hAnsi="Times New Roman" w:cs="Times New Roman"/>
          <w:b/>
          <w:sz w:val="24"/>
          <w:szCs w:val="24"/>
          <w:u w:val="single"/>
        </w:rPr>
      </w:pPr>
      <w:r w:rsidRPr="00206628">
        <w:rPr>
          <w:rFonts w:ascii="Times New Roman" w:hAnsi="Times New Roman" w:cs="Times New Roman"/>
          <w:b/>
          <w:sz w:val="24"/>
          <w:szCs w:val="24"/>
          <w:u w:val="single"/>
        </w:rPr>
        <w:t>Glossary of Terms</w:t>
      </w:r>
    </w:p>
    <w:p w14:paraId="1938E970" w14:textId="30DB32B6" w:rsidR="00AC2DBC" w:rsidRPr="00C1742F" w:rsidRDefault="00AC2DBC" w:rsidP="00C1742F">
      <w:pPr>
        <w:spacing w:before="120" w:after="120" w:line="276" w:lineRule="auto"/>
        <w:rPr>
          <w:rFonts w:ascii="Times New Roman" w:eastAsia="Calibri" w:hAnsi="Times New Roman" w:cs="Times New Roman"/>
          <w:sz w:val="24"/>
          <w:szCs w:val="24"/>
        </w:rPr>
      </w:pPr>
      <w:r w:rsidRPr="00206628">
        <w:rPr>
          <w:rFonts w:ascii="Times New Roman" w:eastAsia="Times New Roman" w:hAnsi="Times New Roman" w:cs="Times New Roman"/>
          <w:color w:val="000000"/>
          <w:sz w:val="24"/>
          <w:szCs w:val="24"/>
          <w:lang w:val="en-GB" w:eastAsia="en-AU"/>
        </w:rPr>
        <w:t xml:space="preserve">A Glossary of Terms is </w:t>
      </w:r>
      <w:r w:rsidR="008F6ECB" w:rsidRPr="00206628">
        <w:rPr>
          <w:rFonts w:ascii="Times New Roman" w:eastAsia="Times New Roman" w:hAnsi="Times New Roman" w:cs="Times New Roman"/>
          <w:color w:val="000000"/>
          <w:sz w:val="24"/>
          <w:szCs w:val="24"/>
          <w:lang w:val="en-GB" w:eastAsia="en-AU"/>
        </w:rPr>
        <w:t xml:space="preserve">included in </w:t>
      </w:r>
      <w:r w:rsidRPr="00206628">
        <w:rPr>
          <w:rFonts w:ascii="Times New Roman" w:eastAsia="Times New Roman" w:hAnsi="Times New Roman" w:cs="Times New Roman"/>
          <w:b/>
          <w:color w:val="000000"/>
          <w:sz w:val="24"/>
          <w:szCs w:val="24"/>
          <w:u w:val="single"/>
          <w:lang w:val="en-GB" w:eastAsia="en-AU"/>
        </w:rPr>
        <w:t xml:space="preserve">Attachment </w:t>
      </w:r>
      <w:r w:rsidR="008F6ECB" w:rsidRPr="00206628">
        <w:rPr>
          <w:rFonts w:ascii="Times New Roman" w:eastAsia="Times New Roman" w:hAnsi="Times New Roman" w:cs="Times New Roman"/>
          <w:b/>
          <w:color w:val="000000"/>
          <w:sz w:val="24"/>
          <w:szCs w:val="24"/>
          <w:u w:val="single"/>
          <w:lang w:val="en-GB" w:eastAsia="en-AU"/>
        </w:rPr>
        <w:t>A</w:t>
      </w:r>
      <w:r w:rsidRPr="00206628">
        <w:rPr>
          <w:rFonts w:ascii="Times New Roman" w:eastAsia="Times New Roman" w:hAnsi="Times New Roman" w:cs="Times New Roman"/>
          <w:color w:val="000000"/>
          <w:sz w:val="24"/>
          <w:szCs w:val="24"/>
          <w:lang w:val="en-GB" w:eastAsia="en-AU"/>
        </w:rPr>
        <w:t>.</w:t>
      </w:r>
    </w:p>
    <w:p w14:paraId="67B9C23F" w14:textId="77777777" w:rsidR="00C1742F" w:rsidRPr="00206628" w:rsidRDefault="00C1742F" w:rsidP="000611C3">
      <w:pPr>
        <w:spacing w:before="240" w:after="240" w:line="276" w:lineRule="auto"/>
        <w:rPr>
          <w:rFonts w:ascii="Times New Roman" w:eastAsia="Calibri" w:hAnsi="Times New Roman" w:cs="Times New Roman"/>
          <w:b/>
          <w:sz w:val="24"/>
          <w:szCs w:val="24"/>
          <w:u w:val="single"/>
        </w:rPr>
        <w:sectPr w:rsidR="00C1742F" w:rsidRPr="00206628">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376033AC" w14:textId="77777777" w:rsidR="00AC2DBC" w:rsidRPr="00206628" w:rsidRDefault="00AC2DBC" w:rsidP="009111CC">
      <w:pPr>
        <w:jc w:val="right"/>
        <w:rPr>
          <w:rFonts w:ascii="Times New Roman" w:eastAsia="Calibri" w:hAnsi="Times New Roman" w:cs="Times New Roman"/>
          <w:b/>
          <w:sz w:val="24"/>
          <w:szCs w:val="24"/>
        </w:rPr>
      </w:pPr>
      <w:r w:rsidRPr="00206628">
        <w:rPr>
          <w:rFonts w:ascii="Times New Roman" w:eastAsia="Calibri" w:hAnsi="Times New Roman" w:cs="Times New Roman"/>
          <w:b/>
          <w:sz w:val="24"/>
          <w:szCs w:val="24"/>
        </w:rPr>
        <w:lastRenderedPageBreak/>
        <w:t>Attachment A</w:t>
      </w:r>
    </w:p>
    <w:p w14:paraId="00AB19FE" w14:textId="77777777" w:rsidR="008F6ECB" w:rsidRPr="00206628" w:rsidRDefault="008F6ECB" w:rsidP="008F6ECB">
      <w:pPr>
        <w:spacing w:before="240" w:after="240"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u w:val="single"/>
        </w:rPr>
        <w:t xml:space="preserve">Details of the </w:t>
      </w:r>
      <w:r w:rsidRPr="00206628">
        <w:rPr>
          <w:rFonts w:ascii="Times New Roman" w:eastAsia="Calibri" w:hAnsi="Times New Roman" w:cs="Times New Roman"/>
          <w:b/>
          <w:i/>
          <w:sz w:val="24"/>
          <w:szCs w:val="24"/>
          <w:u w:val="single"/>
        </w:rPr>
        <w:t>Fuel Security (Minimum Stockholding Obligation) Rules 2022</w:t>
      </w:r>
    </w:p>
    <w:p w14:paraId="3F10C3D8" w14:textId="77777777" w:rsidR="7A37929F" w:rsidRPr="00206628" w:rsidRDefault="05A6DE22">
      <w:pPr>
        <w:rPr>
          <w:rFonts w:ascii="Times New Roman" w:eastAsia="Calibri" w:hAnsi="Times New Roman" w:cs="Times New Roman"/>
          <w:b/>
          <w:sz w:val="24"/>
          <w:szCs w:val="24"/>
        </w:rPr>
      </w:pPr>
      <w:r w:rsidRPr="00206628">
        <w:rPr>
          <w:rFonts w:ascii="Times New Roman" w:eastAsia="Calibri" w:hAnsi="Times New Roman" w:cs="Times New Roman"/>
          <w:b/>
          <w:sz w:val="24"/>
          <w:szCs w:val="24"/>
        </w:rPr>
        <w:t>GLOSSARY</w:t>
      </w:r>
      <w:r w:rsidR="00AC2DBC" w:rsidRPr="00206628">
        <w:rPr>
          <w:rFonts w:ascii="Times New Roman" w:eastAsia="Calibri" w:hAnsi="Times New Roman" w:cs="Times New Roman"/>
          <w:b/>
          <w:sz w:val="24"/>
          <w:szCs w:val="24"/>
        </w:rPr>
        <w:t xml:space="preserve"> OF TERMS</w:t>
      </w:r>
    </w:p>
    <w:p w14:paraId="01361382" w14:textId="77777777" w:rsidR="7D6A7118" w:rsidRPr="00206628" w:rsidRDefault="7D6A7118">
      <w:pPr>
        <w:rPr>
          <w:rFonts w:ascii="Times New Roman" w:eastAsia="Calibri" w:hAnsi="Times New Roman" w:cs="Times New Roman"/>
          <w:sz w:val="24"/>
          <w:szCs w:val="24"/>
        </w:rPr>
      </w:pPr>
    </w:p>
    <w:tbl>
      <w:tblPr>
        <w:tblStyle w:val="GridTable1Light"/>
        <w:tblW w:w="0" w:type="auto"/>
        <w:tblLook w:val="04A0" w:firstRow="1" w:lastRow="0" w:firstColumn="1" w:lastColumn="0" w:noHBand="0" w:noVBand="1"/>
      </w:tblPr>
      <w:tblGrid>
        <w:gridCol w:w="4508"/>
        <w:gridCol w:w="4508"/>
      </w:tblGrid>
      <w:tr w:rsidR="0315B737" w:rsidRPr="00206628" w14:paraId="0B152046" w14:textId="77777777" w:rsidTr="00876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2971F99" w14:textId="77777777" w:rsidR="0315B737" w:rsidRPr="00206628" w:rsidRDefault="0315B737" w:rsidP="0315B737">
            <w:pPr>
              <w:rPr>
                <w:rFonts w:ascii="Times New Roman" w:eastAsia="Calibri" w:hAnsi="Times New Roman" w:cs="Times New Roman"/>
                <w:bCs w:val="0"/>
                <w:sz w:val="24"/>
                <w:szCs w:val="24"/>
              </w:rPr>
            </w:pPr>
            <w:r w:rsidRPr="00206628">
              <w:rPr>
                <w:rFonts w:ascii="Times New Roman" w:eastAsia="Calibri" w:hAnsi="Times New Roman" w:cs="Times New Roman"/>
                <w:sz w:val="24"/>
                <w:szCs w:val="24"/>
              </w:rPr>
              <w:t>Abbreviation</w:t>
            </w:r>
          </w:p>
        </w:tc>
        <w:tc>
          <w:tcPr>
            <w:tcW w:w="4508" w:type="dxa"/>
          </w:tcPr>
          <w:p w14:paraId="4AA3DAFE" w14:textId="77777777" w:rsidR="0315B737" w:rsidRPr="00206628" w:rsidRDefault="0315B737" w:rsidP="0315B73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206628">
              <w:rPr>
                <w:rFonts w:ascii="Times New Roman" w:eastAsia="Calibri" w:hAnsi="Times New Roman" w:cs="Times New Roman"/>
                <w:sz w:val="24"/>
                <w:szCs w:val="24"/>
              </w:rPr>
              <w:t>Definition</w:t>
            </w:r>
          </w:p>
        </w:tc>
      </w:tr>
      <w:tr w:rsidR="05A6DE22" w:rsidRPr="00206628" w14:paraId="41A3085E"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4483DF11" w14:textId="77777777" w:rsidR="05A6DE22" w:rsidRPr="00206628" w:rsidRDefault="05A6DE22">
            <w:pPr>
              <w:rPr>
                <w:rFonts w:ascii="Times New Roman" w:eastAsia="Calibri" w:hAnsi="Times New Roman" w:cs="Times New Roman"/>
                <w:b w:val="0"/>
                <w:bCs w:val="0"/>
                <w:sz w:val="24"/>
                <w:szCs w:val="24"/>
              </w:rPr>
            </w:pPr>
            <w:r w:rsidRPr="00206628">
              <w:rPr>
                <w:rFonts w:ascii="Times New Roman" w:eastAsia="Calibri" w:hAnsi="Times New Roman" w:cs="Times New Roman"/>
                <w:sz w:val="24"/>
                <w:szCs w:val="24"/>
              </w:rPr>
              <w:t xml:space="preserve">Act </w:t>
            </w:r>
          </w:p>
        </w:tc>
        <w:tc>
          <w:tcPr>
            <w:tcW w:w="4508" w:type="dxa"/>
          </w:tcPr>
          <w:p w14:paraId="12116D83" w14:textId="77777777" w:rsidR="05A6DE22" w:rsidRPr="00206628"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206628">
              <w:rPr>
                <w:rFonts w:ascii="Times New Roman" w:eastAsia="Calibri" w:hAnsi="Times New Roman" w:cs="Times New Roman"/>
                <w:i/>
                <w:sz w:val="24"/>
                <w:szCs w:val="24"/>
              </w:rPr>
              <w:t>Fuel Security Act 2021</w:t>
            </w:r>
          </w:p>
        </w:tc>
      </w:tr>
      <w:tr w:rsidR="00D21A96" w:rsidRPr="00206628" w14:paraId="71FE211A"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2684C675" w14:textId="77777777" w:rsidR="00D21A96" w:rsidRPr="00206628" w:rsidRDefault="00D21A96">
            <w:pPr>
              <w:rPr>
                <w:rFonts w:ascii="Times New Roman" w:eastAsia="Calibri" w:hAnsi="Times New Roman" w:cs="Times New Roman"/>
                <w:b w:val="0"/>
                <w:sz w:val="24"/>
                <w:szCs w:val="24"/>
              </w:rPr>
            </w:pPr>
            <w:r w:rsidRPr="00206628">
              <w:rPr>
                <w:rFonts w:ascii="Times New Roman" w:eastAsia="Calibri" w:hAnsi="Times New Roman" w:cs="Times New Roman"/>
                <w:sz w:val="24"/>
                <w:szCs w:val="24"/>
              </w:rPr>
              <w:t>EEZ</w:t>
            </w:r>
          </w:p>
        </w:tc>
        <w:tc>
          <w:tcPr>
            <w:tcW w:w="4508" w:type="dxa"/>
          </w:tcPr>
          <w:p w14:paraId="4EBE34D8" w14:textId="77777777" w:rsidR="00D21A96" w:rsidRPr="00206628" w:rsidRDefault="00D21A9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206628">
              <w:rPr>
                <w:rFonts w:ascii="Times New Roman" w:eastAsia="Calibri" w:hAnsi="Times New Roman" w:cs="Times New Roman"/>
                <w:sz w:val="24"/>
                <w:szCs w:val="24"/>
              </w:rPr>
              <w:t xml:space="preserve">Exclusive Economic Zone has the meaning given by the </w:t>
            </w:r>
            <w:r w:rsidRPr="00206628">
              <w:rPr>
                <w:rFonts w:ascii="Times New Roman" w:eastAsia="Calibri" w:hAnsi="Times New Roman" w:cs="Times New Roman"/>
                <w:i/>
                <w:sz w:val="24"/>
                <w:szCs w:val="24"/>
              </w:rPr>
              <w:t xml:space="preserve">Seas and Submerged Lands Act 1973 </w:t>
            </w:r>
            <w:r w:rsidRPr="00206628">
              <w:rPr>
                <w:rFonts w:ascii="Times New Roman" w:eastAsia="Calibri" w:hAnsi="Times New Roman" w:cs="Times New Roman"/>
                <w:sz w:val="24"/>
                <w:szCs w:val="24"/>
              </w:rPr>
              <w:t xml:space="preserve">through the application of section 2B of the </w:t>
            </w:r>
            <w:r w:rsidRPr="00206628">
              <w:rPr>
                <w:rFonts w:ascii="Times New Roman" w:eastAsia="Calibri" w:hAnsi="Times New Roman" w:cs="Times New Roman"/>
                <w:i/>
                <w:sz w:val="24"/>
                <w:szCs w:val="24"/>
              </w:rPr>
              <w:t>Acts Interpretation Act 1901</w:t>
            </w:r>
          </w:p>
        </w:tc>
      </w:tr>
      <w:tr w:rsidR="00044A22" w:rsidRPr="00206628" w14:paraId="72784DDC"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3D48CC18" w14:textId="77777777" w:rsidR="00044A22" w:rsidRPr="00206628" w:rsidRDefault="00044A22">
            <w:pPr>
              <w:rPr>
                <w:rFonts w:ascii="Times New Roman" w:eastAsia="Calibri" w:hAnsi="Times New Roman" w:cs="Times New Roman"/>
                <w:b w:val="0"/>
                <w:sz w:val="24"/>
                <w:szCs w:val="24"/>
              </w:rPr>
            </w:pPr>
            <w:r w:rsidRPr="00206628">
              <w:rPr>
                <w:rFonts w:ascii="Times New Roman" w:eastAsia="Calibri" w:hAnsi="Times New Roman" w:cs="Times New Roman"/>
                <w:sz w:val="24"/>
                <w:szCs w:val="24"/>
              </w:rPr>
              <w:t>FQS Act</w:t>
            </w:r>
          </w:p>
        </w:tc>
        <w:tc>
          <w:tcPr>
            <w:tcW w:w="4508" w:type="dxa"/>
          </w:tcPr>
          <w:p w14:paraId="2CCA930E" w14:textId="77777777" w:rsidR="00044A22" w:rsidRPr="00206628" w:rsidRDefault="00044A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206628">
              <w:rPr>
                <w:rFonts w:ascii="Times New Roman" w:eastAsia="Calibri" w:hAnsi="Times New Roman" w:cs="Times New Roman"/>
                <w:i/>
                <w:sz w:val="24"/>
                <w:szCs w:val="24"/>
              </w:rPr>
              <w:t>Fuel Quality Standards Act 2000</w:t>
            </w:r>
          </w:p>
        </w:tc>
      </w:tr>
      <w:tr w:rsidR="007D379D" w:rsidRPr="00206628" w14:paraId="40239474"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0C4FDF98" w14:textId="77777777" w:rsidR="007D379D" w:rsidRPr="00206628" w:rsidRDefault="007D379D">
            <w:pPr>
              <w:rPr>
                <w:rFonts w:ascii="Times New Roman" w:eastAsia="Calibri" w:hAnsi="Times New Roman" w:cs="Times New Roman"/>
                <w:b w:val="0"/>
                <w:sz w:val="24"/>
                <w:szCs w:val="24"/>
              </w:rPr>
            </w:pPr>
            <w:r w:rsidRPr="00206628">
              <w:rPr>
                <w:rFonts w:ascii="Times New Roman" w:eastAsia="Calibri" w:hAnsi="Times New Roman" w:cs="Times New Roman"/>
                <w:sz w:val="24"/>
                <w:szCs w:val="24"/>
              </w:rPr>
              <w:t>FSSP Guidelines</w:t>
            </w:r>
          </w:p>
        </w:tc>
        <w:tc>
          <w:tcPr>
            <w:tcW w:w="4508" w:type="dxa"/>
          </w:tcPr>
          <w:p w14:paraId="6F4188A2" w14:textId="77777777" w:rsidR="007D379D" w:rsidRPr="00206628" w:rsidRDefault="007D379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206628">
              <w:rPr>
                <w:rFonts w:ascii="Times New Roman" w:eastAsia="Calibri" w:hAnsi="Times New Roman" w:cs="Times New Roman"/>
                <w:i/>
                <w:sz w:val="24"/>
                <w:szCs w:val="24"/>
              </w:rPr>
              <w:t>Fuel Security (Fuel Security Services Payment) Guidelines 2021</w:t>
            </w:r>
          </w:p>
        </w:tc>
      </w:tr>
      <w:tr w:rsidR="00044A22" w:rsidRPr="00206628" w14:paraId="55595EE4"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30030BAB" w14:textId="77777777" w:rsidR="00044A22" w:rsidRPr="00206628" w:rsidRDefault="00044A22">
            <w:pPr>
              <w:rPr>
                <w:rFonts w:ascii="Times New Roman" w:eastAsia="Calibri" w:hAnsi="Times New Roman" w:cs="Times New Roman"/>
                <w:b w:val="0"/>
                <w:sz w:val="24"/>
                <w:szCs w:val="24"/>
              </w:rPr>
            </w:pPr>
            <w:r w:rsidRPr="00206628">
              <w:rPr>
                <w:rFonts w:ascii="Times New Roman" w:eastAsia="Calibri" w:hAnsi="Times New Roman" w:cs="Times New Roman"/>
                <w:sz w:val="24"/>
                <w:szCs w:val="24"/>
              </w:rPr>
              <w:t>FSSP Rule</w:t>
            </w:r>
          </w:p>
        </w:tc>
        <w:tc>
          <w:tcPr>
            <w:tcW w:w="4508" w:type="dxa"/>
          </w:tcPr>
          <w:p w14:paraId="7FE37DAD" w14:textId="77777777" w:rsidR="00044A22" w:rsidRPr="00206628" w:rsidRDefault="00044A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206628">
              <w:rPr>
                <w:rFonts w:ascii="Times New Roman" w:eastAsia="Calibri" w:hAnsi="Times New Roman" w:cs="Times New Roman"/>
                <w:i/>
                <w:sz w:val="24"/>
                <w:szCs w:val="24"/>
              </w:rPr>
              <w:t xml:space="preserve">Fuel Security (Fuel </w:t>
            </w:r>
            <w:r w:rsidR="00331A45" w:rsidRPr="00206628">
              <w:rPr>
                <w:rFonts w:ascii="Times New Roman" w:eastAsia="Calibri" w:hAnsi="Times New Roman" w:cs="Times New Roman"/>
                <w:i/>
                <w:sz w:val="24"/>
                <w:szCs w:val="24"/>
              </w:rPr>
              <w:t>Security Services Payment) Rule</w:t>
            </w:r>
            <w:r w:rsidRPr="00206628">
              <w:rPr>
                <w:rFonts w:ascii="Times New Roman" w:eastAsia="Calibri" w:hAnsi="Times New Roman" w:cs="Times New Roman"/>
                <w:i/>
                <w:sz w:val="24"/>
                <w:szCs w:val="24"/>
              </w:rPr>
              <w:t xml:space="preserve"> 2021</w:t>
            </w:r>
          </w:p>
        </w:tc>
      </w:tr>
      <w:tr w:rsidR="009F7B1D" w:rsidRPr="00206628" w14:paraId="485073AC"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609A3335" w14:textId="77777777" w:rsidR="009F7B1D" w:rsidRPr="00206628" w:rsidRDefault="009F7B1D">
            <w:pPr>
              <w:rPr>
                <w:rFonts w:ascii="Times New Roman" w:eastAsia="Calibri" w:hAnsi="Times New Roman" w:cs="Times New Roman"/>
                <w:b w:val="0"/>
                <w:sz w:val="24"/>
                <w:szCs w:val="24"/>
              </w:rPr>
            </w:pPr>
            <w:r w:rsidRPr="00206628">
              <w:rPr>
                <w:rFonts w:ascii="Times New Roman" w:eastAsia="Calibri" w:hAnsi="Times New Roman" w:cs="Times New Roman"/>
                <w:sz w:val="24"/>
                <w:szCs w:val="24"/>
              </w:rPr>
              <w:t>Minister</w:t>
            </w:r>
          </w:p>
        </w:tc>
        <w:tc>
          <w:tcPr>
            <w:tcW w:w="4508" w:type="dxa"/>
          </w:tcPr>
          <w:p w14:paraId="16AB650D" w14:textId="7DEECF6E" w:rsidR="009F7B1D" w:rsidRPr="00206628" w:rsidRDefault="009F7B1D" w:rsidP="00044A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06628">
              <w:rPr>
                <w:rFonts w:ascii="Times New Roman" w:eastAsia="Calibri" w:hAnsi="Times New Roman" w:cs="Times New Roman"/>
                <w:sz w:val="24"/>
                <w:szCs w:val="24"/>
              </w:rPr>
              <w:t>The Minister that is re</w:t>
            </w:r>
            <w:r w:rsidR="00DF6373" w:rsidRPr="00206628">
              <w:rPr>
                <w:rFonts w:ascii="Times New Roman" w:eastAsia="Calibri" w:hAnsi="Times New Roman" w:cs="Times New Roman"/>
                <w:sz w:val="24"/>
                <w:szCs w:val="24"/>
              </w:rPr>
              <w:t>sponsible for administering the</w:t>
            </w:r>
            <w:r w:rsidRPr="00206628">
              <w:rPr>
                <w:rFonts w:ascii="Times New Roman" w:eastAsia="Calibri" w:hAnsi="Times New Roman" w:cs="Times New Roman"/>
                <w:sz w:val="24"/>
                <w:szCs w:val="24"/>
              </w:rPr>
              <w:t xml:space="preserve"> Act (presently, the Minister for </w:t>
            </w:r>
            <w:r w:rsidR="003C4FC8" w:rsidRPr="00206628">
              <w:rPr>
                <w:rFonts w:ascii="Times New Roman" w:eastAsia="Calibri" w:hAnsi="Times New Roman" w:cs="Times New Roman"/>
                <w:sz w:val="24"/>
                <w:szCs w:val="24"/>
              </w:rPr>
              <w:t>Climate Change and Energy</w:t>
            </w:r>
            <w:r w:rsidRPr="00206628">
              <w:rPr>
                <w:rFonts w:ascii="Times New Roman" w:eastAsia="Calibri" w:hAnsi="Times New Roman" w:cs="Times New Roman"/>
                <w:sz w:val="24"/>
                <w:szCs w:val="24"/>
              </w:rPr>
              <w:t>)</w:t>
            </w:r>
          </w:p>
        </w:tc>
      </w:tr>
      <w:tr w:rsidR="008763A1" w:rsidRPr="00206628" w14:paraId="2C2ED4A6"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5172600E" w14:textId="77777777" w:rsidR="008763A1" w:rsidRPr="00206628" w:rsidRDefault="008763A1">
            <w:pPr>
              <w:rPr>
                <w:rFonts w:ascii="Times New Roman" w:eastAsia="Calibri" w:hAnsi="Times New Roman" w:cs="Times New Roman"/>
                <w:b w:val="0"/>
                <w:sz w:val="24"/>
                <w:szCs w:val="24"/>
              </w:rPr>
            </w:pPr>
            <w:r w:rsidRPr="00206628">
              <w:rPr>
                <w:rFonts w:ascii="Times New Roman" w:eastAsia="Calibri" w:hAnsi="Times New Roman" w:cs="Times New Roman"/>
                <w:sz w:val="24"/>
                <w:szCs w:val="24"/>
              </w:rPr>
              <w:t xml:space="preserve">MSO </w:t>
            </w:r>
          </w:p>
        </w:tc>
        <w:tc>
          <w:tcPr>
            <w:tcW w:w="4508" w:type="dxa"/>
          </w:tcPr>
          <w:p w14:paraId="2BDBD95F" w14:textId="77777777" w:rsidR="008763A1" w:rsidRPr="00206628" w:rsidRDefault="008763A1" w:rsidP="009F7B1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06628">
              <w:rPr>
                <w:rFonts w:ascii="Times New Roman" w:eastAsia="Calibri" w:hAnsi="Times New Roman" w:cs="Times New Roman"/>
                <w:sz w:val="24"/>
                <w:szCs w:val="24"/>
              </w:rPr>
              <w:t>Minimum stockholding obligation</w:t>
            </w:r>
          </w:p>
        </w:tc>
      </w:tr>
      <w:tr w:rsidR="05A6DE22" w:rsidRPr="00206628" w14:paraId="26D136EC"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1BA0B48E" w14:textId="77777777" w:rsidR="05A6DE22" w:rsidRPr="00206628" w:rsidRDefault="05A6DE22">
            <w:pPr>
              <w:rPr>
                <w:rFonts w:ascii="Times New Roman" w:eastAsia="Calibri" w:hAnsi="Times New Roman" w:cs="Times New Roman"/>
                <w:b w:val="0"/>
                <w:bCs w:val="0"/>
                <w:sz w:val="24"/>
                <w:szCs w:val="24"/>
              </w:rPr>
            </w:pPr>
            <w:r w:rsidRPr="00206628">
              <w:rPr>
                <w:rFonts w:ascii="Times New Roman" w:eastAsia="Calibri" w:hAnsi="Times New Roman" w:cs="Times New Roman"/>
                <w:sz w:val="24"/>
                <w:szCs w:val="24"/>
              </w:rPr>
              <w:t>NGER (Audit) Determination</w:t>
            </w:r>
          </w:p>
        </w:tc>
        <w:tc>
          <w:tcPr>
            <w:tcW w:w="4508" w:type="dxa"/>
          </w:tcPr>
          <w:p w14:paraId="7F3B73AA" w14:textId="77777777" w:rsidR="05A6DE22" w:rsidRPr="00206628"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206628">
              <w:rPr>
                <w:rFonts w:ascii="Times New Roman" w:eastAsia="Calibri" w:hAnsi="Times New Roman" w:cs="Times New Roman"/>
                <w:i/>
                <w:sz w:val="24"/>
                <w:szCs w:val="24"/>
              </w:rPr>
              <w:t>National Greenhouse and Energy Reporting (Audit) Determination 2009</w:t>
            </w:r>
          </w:p>
        </w:tc>
      </w:tr>
      <w:tr w:rsidR="05A6DE22" w:rsidRPr="00206628" w14:paraId="5A1A1F20"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4334C072" w14:textId="77777777" w:rsidR="05A6DE22" w:rsidRPr="00206628" w:rsidRDefault="05A6DE22">
            <w:pPr>
              <w:rPr>
                <w:rFonts w:ascii="Times New Roman" w:eastAsia="Calibri" w:hAnsi="Times New Roman" w:cs="Times New Roman"/>
                <w:b w:val="0"/>
                <w:bCs w:val="0"/>
                <w:sz w:val="24"/>
                <w:szCs w:val="24"/>
              </w:rPr>
            </w:pPr>
            <w:r w:rsidRPr="00206628">
              <w:rPr>
                <w:rFonts w:ascii="Times New Roman" w:eastAsia="Calibri" w:hAnsi="Times New Roman" w:cs="Times New Roman"/>
                <w:sz w:val="24"/>
                <w:szCs w:val="24"/>
              </w:rPr>
              <w:t>POFR Act</w:t>
            </w:r>
          </w:p>
        </w:tc>
        <w:tc>
          <w:tcPr>
            <w:tcW w:w="4508" w:type="dxa"/>
          </w:tcPr>
          <w:p w14:paraId="59C79E8B" w14:textId="77777777" w:rsidR="05A6DE22" w:rsidRPr="00206628" w:rsidRDefault="05A6DE22" w:rsidP="00EA171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06628">
              <w:rPr>
                <w:rFonts w:ascii="Times New Roman" w:eastAsia="Calibri" w:hAnsi="Times New Roman" w:cs="Times New Roman"/>
                <w:i/>
                <w:sz w:val="24"/>
                <w:szCs w:val="24"/>
              </w:rPr>
              <w:t>Petroleum and Other Fuels Reporting Act 2017</w:t>
            </w:r>
            <w:r w:rsidR="002F1BE4" w:rsidRPr="00206628" w:rsidDel="002F1BE4">
              <w:rPr>
                <w:rFonts w:ascii="Times New Roman" w:eastAsia="Calibri" w:hAnsi="Times New Roman" w:cs="Times New Roman"/>
                <w:sz w:val="24"/>
                <w:szCs w:val="24"/>
              </w:rPr>
              <w:t xml:space="preserve"> </w:t>
            </w:r>
          </w:p>
        </w:tc>
      </w:tr>
      <w:tr w:rsidR="05A6DE22" w:rsidRPr="00206628" w14:paraId="1E61EE7B"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3728E64B" w14:textId="77777777" w:rsidR="05A6DE22" w:rsidRPr="00206628" w:rsidRDefault="05A6DE22" w:rsidP="00E83971">
            <w:pPr>
              <w:rPr>
                <w:rFonts w:ascii="Times New Roman" w:eastAsia="Calibri" w:hAnsi="Times New Roman" w:cs="Times New Roman"/>
                <w:b w:val="0"/>
                <w:bCs w:val="0"/>
                <w:sz w:val="24"/>
                <w:szCs w:val="24"/>
              </w:rPr>
            </w:pPr>
            <w:r w:rsidRPr="00206628">
              <w:rPr>
                <w:rFonts w:ascii="Times New Roman" w:eastAsia="Calibri" w:hAnsi="Times New Roman" w:cs="Times New Roman"/>
                <w:sz w:val="24"/>
                <w:szCs w:val="24"/>
              </w:rPr>
              <w:t xml:space="preserve">POFR </w:t>
            </w:r>
            <w:r w:rsidR="00F81951" w:rsidRPr="00206628">
              <w:rPr>
                <w:rFonts w:ascii="Times New Roman" w:eastAsia="Calibri" w:hAnsi="Times New Roman" w:cs="Times New Roman"/>
                <w:sz w:val="24"/>
                <w:szCs w:val="24"/>
              </w:rPr>
              <w:t>R</w:t>
            </w:r>
            <w:r w:rsidR="00E83971" w:rsidRPr="00206628">
              <w:rPr>
                <w:rFonts w:ascii="Times New Roman" w:eastAsia="Calibri" w:hAnsi="Times New Roman" w:cs="Times New Roman"/>
                <w:sz w:val="24"/>
                <w:szCs w:val="24"/>
              </w:rPr>
              <w:t>ules</w:t>
            </w:r>
          </w:p>
        </w:tc>
        <w:tc>
          <w:tcPr>
            <w:tcW w:w="4508" w:type="dxa"/>
          </w:tcPr>
          <w:p w14:paraId="371792A7" w14:textId="77777777" w:rsidR="05A6DE22" w:rsidRPr="00206628" w:rsidRDefault="05A6DE22" w:rsidP="00044A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06628">
              <w:rPr>
                <w:rFonts w:ascii="Times New Roman" w:eastAsia="Calibri" w:hAnsi="Times New Roman" w:cs="Times New Roman"/>
                <w:i/>
                <w:sz w:val="24"/>
                <w:szCs w:val="24"/>
              </w:rPr>
              <w:t>Petroleum and Other Fuels Reporting Rules 2017</w:t>
            </w:r>
          </w:p>
        </w:tc>
      </w:tr>
      <w:tr w:rsidR="05A6DE22" w:rsidRPr="00206628" w14:paraId="7D3EFAE2"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2E06A80C" w14:textId="77777777" w:rsidR="05A6DE22" w:rsidRPr="00206628" w:rsidRDefault="05A6DE22">
            <w:pPr>
              <w:rPr>
                <w:rFonts w:ascii="Times New Roman" w:eastAsia="Calibri" w:hAnsi="Times New Roman" w:cs="Times New Roman"/>
                <w:b w:val="0"/>
                <w:bCs w:val="0"/>
                <w:sz w:val="24"/>
                <w:szCs w:val="24"/>
              </w:rPr>
            </w:pPr>
            <w:r w:rsidRPr="00206628" w:rsidDel="00F606B0">
              <w:rPr>
                <w:rFonts w:ascii="Times New Roman" w:eastAsia="Calibri" w:hAnsi="Times New Roman" w:cs="Times New Roman"/>
                <w:sz w:val="24"/>
                <w:szCs w:val="24"/>
              </w:rPr>
              <w:t>the/</w:t>
            </w:r>
            <w:r w:rsidR="00F606B0" w:rsidRPr="00206628">
              <w:rPr>
                <w:rFonts w:ascii="Times New Roman" w:eastAsia="Calibri" w:hAnsi="Times New Roman" w:cs="Times New Roman"/>
                <w:sz w:val="24"/>
                <w:szCs w:val="24"/>
              </w:rPr>
              <w:t>these</w:t>
            </w:r>
            <w:r w:rsidRPr="00206628">
              <w:rPr>
                <w:rFonts w:ascii="Times New Roman" w:eastAsia="Calibri" w:hAnsi="Times New Roman" w:cs="Times New Roman"/>
                <w:sz w:val="24"/>
                <w:szCs w:val="24"/>
              </w:rPr>
              <w:t xml:space="preserve"> Rule</w:t>
            </w:r>
            <w:r w:rsidR="00F606B0" w:rsidRPr="00206628">
              <w:rPr>
                <w:rFonts w:ascii="Times New Roman" w:eastAsia="Calibri" w:hAnsi="Times New Roman" w:cs="Times New Roman"/>
                <w:sz w:val="24"/>
                <w:szCs w:val="24"/>
              </w:rPr>
              <w:t>s</w:t>
            </w:r>
          </w:p>
        </w:tc>
        <w:tc>
          <w:tcPr>
            <w:tcW w:w="4508" w:type="dxa"/>
          </w:tcPr>
          <w:p w14:paraId="50699326" w14:textId="77777777" w:rsidR="05A6DE22" w:rsidRPr="00206628" w:rsidRDefault="00044A22" w:rsidP="008763A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206628">
              <w:rPr>
                <w:rFonts w:ascii="Times New Roman" w:eastAsia="Calibri" w:hAnsi="Times New Roman" w:cs="Times New Roman"/>
                <w:i/>
                <w:sz w:val="24"/>
                <w:szCs w:val="24"/>
              </w:rPr>
              <w:t>Fuel Security (Minimum Stockholding Obligation) Rules 2022</w:t>
            </w:r>
          </w:p>
        </w:tc>
      </w:tr>
      <w:tr w:rsidR="009F7B1D" w:rsidRPr="00206628" w14:paraId="1AC25734"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742BA762" w14:textId="77777777" w:rsidR="009F7B1D" w:rsidRPr="00206628" w:rsidRDefault="009F7B1D">
            <w:pPr>
              <w:rPr>
                <w:rFonts w:ascii="Times New Roman" w:eastAsia="Calibri" w:hAnsi="Times New Roman" w:cs="Times New Roman"/>
                <w:b w:val="0"/>
                <w:sz w:val="24"/>
                <w:szCs w:val="24"/>
              </w:rPr>
            </w:pPr>
            <w:r w:rsidRPr="00206628">
              <w:rPr>
                <w:rFonts w:ascii="Times New Roman" w:eastAsia="Calibri" w:hAnsi="Times New Roman" w:cs="Times New Roman"/>
                <w:sz w:val="24"/>
                <w:szCs w:val="24"/>
              </w:rPr>
              <w:t>Secretary</w:t>
            </w:r>
          </w:p>
        </w:tc>
        <w:tc>
          <w:tcPr>
            <w:tcW w:w="4508" w:type="dxa"/>
          </w:tcPr>
          <w:p w14:paraId="49C16166" w14:textId="4D98B036" w:rsidR="009F7B1D" w:rsidRPr="00206628" w:rsidRDefault="009F7B1D" w:rsidP="003C4FC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06628">
              <w:rPr>
                <w:rFonts w:ascii="Times New Roman" w:eastAsia="Calibri" w:hAnsi="Times New Roman" w:cs="Times New Roman"/>
                <w:sz w:val="24"/>
                <w:szCs w:val="24"/>
              </w:rPr>
              <w:t>The Secretary of the Department that is re</w:t>
            </w:r>
            <w:r w:rsidR="00DF6373" w:rsidRPr="00206628">
              <w:rPr>
                <w:rFonts w:ascii="Times New Roman" w:eastAsia="Calibri" w:hAnsi="Times New Roman" w:cs="Times New Roman"/>
                <w:sz w:val="24"/>
                <w:szCs w:val="24"/>
              </w:rPr>
              <w:t>sponsible for administering the</w:t>
            </w:r>
            <w:r w:rsidR="00044A22" w:rsidRPr="00206628">
              <w:rPr>
                <w:rFonts w:ascii="Times New Roman" w:eastAsia="Calibri" w:hAnsi="Times New Roman" w:cs="Times New Roman"/>
                <w:sz w:val="24"/>
                <w:szCs w:val="24"/>
              </w:rPr>
              <w:t xml:space="preserve"> Act </w:t>
            </w:r>
            <w:r w:rsidRPr="00206628">
              <w:rPr>
                <w:rFonts w:ascii="Times New Roman" w:eastAsia="Calibri" w:hAnsi="Times New Roman" w:cs="Times New Roman"/>
                <w:sz w:val="24"/>
                <w:szCs w:val="24"/>
              </w:rPr>
              <w:t xml:space="preserve">and POFR </w:t>
            </w:r>
            <w:r w:rsidR="00044A22" w:rsidRPr="00206628">
              <w:rPr>
                <w:rFonts w:ascii="Times New Roman" w:eastAsia="Calibri" w:hAnsi="Times New Roman" w:cs="Times New Roman"/>
                <w:sz w:val="24"/>
                <w:szCs w:val="24"/>
              </w:rPr>
              <w:t xml:space="preserve">Act </w:t>
            </w:r>
            <w:r w:rsidRPr="00206628">
              <w:rPr>
                <w:rFonts w:ascii="Times New Roman" w:eastAsia="Calibri" w:hAnsi="Times New Roman" w:cs="Times New Roman"/>
                <w:sz w:val="24"/>
                <w:szCs w:val="24"/>
              </w:rPr>
              <w:t xml:space="preserve">(presently, the Department of </w:t>
            </w:r>
            <w:r w:rsidR="003C4FC8" w:rsidRPr="00206628">
              <w:rPr>
                <w:rFonts w:ascii="Times New Roman" w:eastAsia="Calibri" w:hAnsi="Times New Roman" w:cs="Times New Roman"/>
                <w:sz w:val="24"/>
                <w:szCs w:val="24"/>
              </w:rPr>
              <w:t>Climate Change, Energy, the Environment and Water</w:t>
            </w:r>
            <w:r w:rsidRPr="00206628">
              <w:rPr>
                <w:rFonts w:ascii="Times New Roman" w:eastAsia="Calibri" w:hAnsi="Times New Roman" w:cs="Times New Roman"/>
                <w:sz w:val="24"/>
                <w:szCs w:val="24"/>
              </w:rPr>
              <w:t>).</w:t>
            </w:r>
            <w:r w:rsidR="009A4239" w:rsidRPr="00206628">
              <w:rPr>
                <w:rFonts w:ascii="Times New Roman" w:eastAsia="Calibri" w:hAnsi="Times New Roman" w:cs="Times New Roman"/>
                <w:sz w:val="24"/>
                <w:szCs w:val="24"/>
              </w:rPr>
              <w:t xml:space="preserve"> Note that the Secretary can delegate functions under section 83 of the Act.</w:t>
            </w:r>
          </w:p>
        </w:tc>
      </w:tr>
    </w:tbl>
    <w:p w14:paraId="2C9834DE" w14:textId="2EDCC0FB" w:rsidR="00C1742F" w:rsidRDefault="00C1742F"/>
    <w:p w14:paraId="364FCF9E" w14:textId="24229CDC" w:rsidR="6C21EC60" w:rsidRPr="00206628" w:rsidRDefault="00C1742F">
      <w:r>
        <w:br w:type="page"/>
      </w:r>
    </w:p>
    <w:p w14:paraId="7E0EAB8C" w14:textId="77777777" w:rsidR="000611C3" w:rsidRPr="00206628" w:rsidRDefault="007517D8" w:rsidP="000611C3">
      <w:pPr>
        <w:spacing w:before="240" w:after="240"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rPr>
        <w:lastRenderedPageBreak/>
        <w:t>PART 1</w:t>
      </w:r>
      <w:r w:rsidRPr="00206628">
        <w:rPr>
          <w:rFonts w:ascii="Times New Roman" w:hAnsi="Times New Roman" w:cs="Times New Roman"/>
          <w:i/>
          <w:sz w:val="24"/>
          <w:szCs w:val="24"/>
        </w:rPr>
        <w:t>—</w:t>
      </w:r>
      <w:r w:rsidR="000611C3" w:rsidRPr="00206628">
        <w:rPr>
          <w:rFonts w:ascii="Times New Roman" w:eastAsia="Calibri" w:hAnsi="Times New Roman" w:cs="Times New Roman"/>
          <w:b/>
          <w:sz w:val="24"/>
          <w:szCs w:val="24"/>
        </w:rPr>
        <w:t>PRELIMINARY</w:t>
      </w:r>
    </w:p>
    <w:p w14:paraId="13D824DB" w14:textId="77777777" w:rsidR="000611C3" w:rsidRPr="00206628" w:rsidRDefault="000611C3" w:rsidP="000611C3">
      <w:pPr>
        <w:spacing w:before="360" w:after="200"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rPr>
        <w:t>Section 1 – Name</w:t>
      </w:r>
    </w:p>
    <w:p w14:paraId="660A96EF" w14:textId="77777777" w:rsidR="000611C3" w:rsidRPr="00206628" w:rsidRDefault="000611C3" w:rsidP="000611C3">
      <w:pPr>
        <w:spacing w:before="240" w:after="20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section specifies the name of this instrument made under the Act as the </w:t>
      </w:r>
      <w:r w:rsidR="0071663A" w:rsidRPr="00206628">
        <w:rPr>
          <w:rFonts w:ascii="Times New Roman" w:eastAsia="Calibri" w:hAnsi="Times New Roman" w:cs="Times New Roman"/>
          <w:i/>
          <w:sz w:val="24"/>
          <w:szCs w:val="24"/>
        </w:rPr>
        <w:t>Fuel Security</w:t>
      </w:r>
      <w:r w:rsidR="00BC0018" w:rsidRPr="00206628">
        <w:rPr>
          <w:rFonts w:ascii="Times New Roman" w:eastAsia="Calibri" w:hAnsi="Times New Roman" w:cs="Times New Roman"/>
          <w:i/>
          <w:sz w:val="24"/>
          <w:szCs w:val="24"/>
        </w:rPr>
        <w:t xml:space="preserve"> (</w:t>
      </w:r>
      <w:r w:rsidR="00A71E46" w:rsidRPr="00206628">
        <w:rPr>
          <w:rFonts w:ascii="Times New Roman" w:eastAsia="Calibri" w:hAnsi="Times New Roman" w:cs="Times New Roman"/>
          <w:i/>
          <w:sz w:val="24"/>
          <w:szCs w:val="24"/>
        </w:rPr>
        <w:t>Minimum Stockholding Obligation</w:t>
      </w:r>
      <w:r w:rsidR="00BC0018" w:rsidRPr="00206628">
        <w:rPr>
          <w:rFonts w:ascii="Times New Roman" w:eastAsia="Calibri" w:hAnsi="Times New Roman" w:cs="Times New Roman"/>
          <w:i/>
          <w:sz w:val="24"/>
          <w:szCs w:val="24"/>
        </w:rPr>
        <w:t>) Rule</w:t>
      </w:r>
      <w:r w:rsidR="00A71E46" w:rsidRPr="00206628">
        <w:rPr>
          <w:rFonts w:ascii="Times New Roman" w:eastAsia="Calibri" w:hAnsi="Times New Roman" w:cs="Times New Roman"/>
          <w:i/>
          <w:sz w:val="24"/>
          <w:szCs w:val="24"/>
        </w:rPr>
        <w:t>s</w:t>
      </w:r>
      <w:r w:rsidR="00BC0018" w:rsidRPr="00206628">
        <w:rPr>
          <w:rFonts w:ascii="Times New Roman" w:eastAsia="Calibri" w:hAnsi="Times New Roman" w:cs="Times New Roman"/>
          <w:i/>
          <w:sz w:val="24"/>
          <w:szCs w:val="24"/>
        </w:rPr>
        <w:t xml:space="preserve"> 202</w:t>
      </w:r>
      <w:r w:rsidR="00A71E46" w:rsidRPr="00206628">
        <w:rPr>
          <w:rFonts w:ascii="Times New Roman" w:eastAsia="Calibri" w:hAnsi="Times New Roman" w:cs="Times New Roman"/>
          <w:i/>
          <w:sz w:val="24"/>
          <w:szCs w:val="24"/>
        </w:rPr>
        <w:t>2</w:t>
      </w:r>
      <w:r w:rsidR="00BC0018" w:rsidRPr="00206628">
        <w:rPr>
          <w:rFonts w:ascii="Times New Roman" w:eastAsia="Calibri" w:hAnsi="Times New Roman" w:cs="Times New Roman"/>
          <w:i/>
          <w:sz w:val="24"/>
          <w:szCs w:val="24"/>
        </w:rPr>
        <w:t xml:space="preserve"> </w:t>
      </w:r>
      <w:r w:rsidRPr="00206628">
        <w:rPr>
          <w:rFonts w:ascii="Times New Roman" w:eastAsia="Calibri" w:hAnsi="Times New Roman" w:cs="Times New Roman"/>
          <w:sz w:val="24"/>
          <w:szCs w:val="24"/>
        </w:rPr>
        <w:t>(the Rule</w:t>
      </w:r>
      <w:r w:rsidR="00F606B0" w:rsidRPr="00206628">
        <w:rPr>
          <w:rFonts w:ascii="Times New Roman" w:eastAsia="Calibri" w:hAnsi="Times New Roman" w:cs="Times New Roman"/>
          <w:sz w:val="24"/>
          <w:szCs w:val="24"/>
        </w:rPr>
        <w:t>s</w:t>
      </w:r>
      <w:r w:rsidRPr="00206628">
        <w:rPr>
          <w:rFonts w:ascii="Times New Roman" w:eastAsia="Calibri" w:hAnsi="Times New Roman" w:cs="Times New Roman"/>
          <w:sz w:val="24"/>
          <w:szCs w:val="24"/>
        </w:rPr>
        <w:t>)</w:t>
      </w:r>
      <w:r w:rsidRPr="00206628">
        <w:rPr>
          <w:rFonts w:ascii="Times New Roman" w:eastAsia="Calibri" w:hAnsi="Times New Roman" w:cs="Times New Roman"/>
          <w:i/>
          <w:sz w:val="24"/>
          <w:szCs w:val="24"/>
        </w:rPr>
        <w:t>.</w:t>
      </w:r>
    </w:p>
    <w:p w14:paraId="3F4D4390" w14:textId="77777777" w:rsidR="000611C3" w:rsidRPr="00206628" w:rsidRDefault="000611C3" w:rsidP="000611C3">
      <w:pPr>
        <w:tabs>
          <w:tab w:val="left" w:pos="5220"/>
        </w:tabs>
        <w:spacing w:before="240" w:after="200"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rPr>
        <w:t>Section 2 – Commencement</w:t>
      </w:r>
    </w:p>
    <w:p w14:paraId="1225C501" w14:textId="77777777" w:rsidR="000611C3" w:rsidRPr="00206628" w:rsidRDefault="000611C3" w:rsidP="000611C3">
      <w:pPr>
        <w:spacing w:before="240" w:after="100" w:afterAutospacing="1"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provides that the Rule</w:t>
      </w:r>
      <w:r w:rsidR="00F606B0" w:rsidRPr="00206628">
        <w:rPr>
          <w:rFonts w:ascii="Times New Roman" w:eastAsia="Calibri" w:hAnsi="Times New Roman" w:cs="Times New Roman"/>
          <w:sz w:val="24"/>
          <w:szCs w:val="24"/>
        </w:rPr>
        <w:t>s</w:t>
      </w:r>
      <w:r w:rsidRPr="00206628">
        <w:rPr>
          <w:rFonts w:ascii="Times New Roman" w:eastAsia="Calibri" w:hAnsi="Times New Roman" w:cs="Times New Roman"/>
          <w:sz w:val="24"/>
          <w:szCs w:val="24"/>
        </w:rPr>
        <w:t xml:space="preserve"> commenced on </w:t>
      </w:r>
      <w:r w:rsidRPr="00206628">
        <w:rPr>
          <w:rFonts w:ascii="Times New Roman" w:eastAsia="Calibri" w:hAnsi="Times New Roman" w:cs="Times New Roman"/>
          <w:color w:val="000000"/>
          <w:sz w:val="24"/>
          <w:szCs w:val="24"/>
        </w:rPr>
        <w:t xml:space="preserve">the day after </w:t>
      </w:r>
      <w:r w:rsidR="00F606B0" w:rsidRPr="00206628">
        <w:rPr>
          <w:rFonts w:ascii="Times New Roman" w:eastAsia="Calibri" w:hAnsi="Times New Roman" w:cs="Times New Roman"/>
          <w:color w:val="000000"/>
          <w:sz w:val="24"/>
          <w:szCs w:val="24"/>
        </w:rPr>
        <w:t xml:space="preserve">they </w:t>
      </w:r>
      <w:r w:rsidR="006C7B0E" w:rsidRPr="00206628">
        <w:rPr>
          <w:rFonts w:ascii="Times New Roman" w:eastAsia="Calibri" w:hAnsi="Times New Roman" w:cs="Times New Roman"/>
          <w:color w:val="000000"/>
          <w:sz w:val="24"/>
          <w:szCs w:val="24"/>
        </w:rPr>
        <w:t>were</w:t>
      </w:r>
      <w:r w:rsidRPr="00206628">
        <w:rPr>
          <w:rFonts w:ascii="Times New Roman" w:eastAsia="Calibri" w:hAnsi="Times New Roman" w:cs="Times New Roman"/>
          <w:color w:val="000000"/>
          <w:sz w:val="24"/>
          <w:szCs w:val="24"/>
        </w:rPr>
        <w:t xml:space="preserve"> registered on the Federal Register of Legislation</w:t>
      </w:r>
      <w:r w:rsidRPr="00206628">
        <w:rPr>
          <w:rFonts w:ascii="Times New Roman" w:eastAsia="Calibri" w:hAnsi="Times New Roman" w:cs="Times New Roman"/>
          <w:sz w:val="24"/>
          <w:szCs w:val="24"/>
        </w:rPr>
        <w:t>.</w:t>
      </w:r>
    </w:p>
    <w:p w14:paraId="4E037B19" w14:textId="77777777" w:rsidR="000611C3" w:rsidRPr="00206628" w:rsidRDefault="000611C3" w:rsidP="000611C3">
      <w:pPr>
        <w:tabs>
          <w:tab w:val="left" w:pos="2610"/>
        </w:tabs>
        <w:spacing w:before="240" w:after="200"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rPr>
        <w:t>Section 3 – Authority</w:t>
      </w:r>
    </w:p>
    <w:p w14:paraId="76964FB6" w14:textId="77777777" w:rsidR="008A6A42" w:rsidRPr="00206628" w:rsidRDefault="008A6A42" w:rsidP="000611C3">
      <w:pPr>
        <w:spacing w:before="240" w:after="200" w:line="276" w:lineRule="auto"/>
        <w:rPr>
          <w:rFonts w:ascii="Times New Roman" w:hAnsi="Times New Roman" w:cs="Times New Roman"/>
          <w:sz w:val="24"/>
          <w:szCs w:val="24"/>
        </w:rPr>
      </w:pPr>
      <w:r w:rsidRPr="00206628">
        <w:rPr>
          <w:rFonts w:ascii="Times New Roman" w:hAnsi="Times New Roman" w:cs="Times New Roman"/>
          <w:sz w:val="24"/>
          <w:szCs w:val="24"/>
        </w:rPr>
        <w:t>Section 3 provides that the Rule</w:t>
      </w:r>
      <w:r w:rsidR="00B80369" w:rsidRPr="00206628">
        <w:rPr>
          <w:rFonts w:ascii="Times New Roman" w:hAnsi="Times New Roman" w:cs="Times New Roman"/>
          <w:sz w:val="24"/>
          <w:szCs w:val="24"/>
        </w:rPr>
        <w:t>s</w:t>
      </w:r>
      <w:r w:rsidRPr="00206628">
        <w:rPr>
          <w:rFonts w:ascii="Times New Roman" w:hAnsi="Times New Roman" w:cs="Times New Roman"/>
          <w:sz w:val="24"/>
          <w:szCs w:val="24"/>
        </w:rPr>
        <w:t xml:space="preserve"> </w:t>
      </w:r>
      <w:r w:rsidR="00B80369" w:rsidRPr="00206628">
        <w:rPr>
          <w:rFonts w:ascii="Times New Roman" w:hAnsi="Times New Roman" w:cs="Times New Roman"/>
          <w:sz w:val="24"/>
          <w:szCs w:val="24"/>
        </w:rPr>
        <w:t xml:space="preserve">are </w:t>
      </w:r>
      <w:r w:rsidRPr="00206628">
        <w:rPr>
          <w:rFonts w:ascii="Times New Roman" w:hAnsi="Times New Roman" w:cs="Times New Roman"/>
          <w:sz w:val="24"/>
          <w:szCs w:val="24"/>
        </w:rPr>
        <w:t xml:space="preserve">made under the Act. In particular, section 84 of the Act confers power on the Minister to make legislative rules. Subsection 84(3) of the Act includes the power for rules to prescribe matters by reference to other instruments or writing as in force from time to time. </w:t>
      </w:r>
    </w:p>
    <w:p w14:paraId="7F7CECF4" w14:textId="77777777" w:rsidR="000611C3" w:rsidRPr="00206628" w:rsidRDefault="000611C3" w:rsidP="000611C3">
      <w:pPr>
        <w:spacing w:before="240" w:after="200"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rPr>
        <w:t xml:space="preserve">Section 4 – </w:t>
      </w:r>
      <w:r w:rsidR="008A6A42" w:rsidRPr="00206628">
        <w:rPr>
          <w:rFonts w:ascii="Times New Roman" w:eastAsia="Calibri" w:hAnsi="Times New Roman" w:cs="Times New Roman"/>
          <w:b/>
          <w:sz w:val="24"/>
          <w:szCs w:val="24"/>
        </w:rPr>
        <w:t>Definitions</w:t>
      </w:r>
    </w:p>
    <w:p w14:paraId="769B45F2" w14:textId="77777777" w:rsidR="008A6A42" w:rsidRPr="00206628" w:rsidRDefault="008A6A42" w:rsidP="008A6A42">
      <w:pPr>
        <w:spacing w:before="240"/>
        <w:rPr>
          <w:rFonts w:ascii="Times New Roman" w:hAnsi="Times New Roman" w:cs="Times New Roman"/>
          <w:sz w:val="24"/>
          <w:szCs w:val="24"/>
        </w:rPr>
      </w:pPr>
      <w:r w:rsidRPr="00206628">
        <w:rPr>
          <w:rFonts w:ascii="Times New Roman" w:hAnsi="Times New Roman" w:cs="Times New Roman"/>
          <w:sz w:val="24"/>
          <w:szCs w:val="24"/>
        </w:rPr>
        <w:t>This section provides for definitions of terms used in the Rule</w:t>
      </w:r>
      <w:r w:rsidR="00934C01" w:rsidRPr="00206628">
        <w:rPr>
          <w:rFonts w:ascii="Times New Roman" w:hAnsi="Times New Roman" w:cs="Times New Roman"/>
          <w:sz w:val="24"/>
          <w:szCs w:val="24"/>
        </w:rPr>
        <w:t>s</w:t>
      </w:r>
      <w:r w:rsidRPr="00206628">
        <w:rPr>
          <w:rFonts w:ascii="Times New Roman" w:hAnsi="Times New Roman" w:cs="Times New Roman"/>
          <w:sz w:val="24"/>
          <w:szCs w:val="24"/>
        </w:rPr>
        <w:t xml:space="preserve"> that are not otherwise defined in the Act or are intended to have a different meaning to a term defined under the Act. Key definitions include the following:</w:t>
      </w:r>
    </w:p>
    <w:p w14:paraId="3DD7581D" w14:textId="77777777" w:rsidR="00B30518" w:rsidRPr="00206628" w:rsidRDefault="00B30518" w:rsidP="0048368A">
      <w:pPr>
        <w:pStyle w:val="ListParagraph"/>
        <w:numPr>
          <w:ilvl w:val="0"/>
          <w:numId w:val="3"/>
        </w:numPr>
        <w:spacing w:before="240"/>
        <w:rPr>
          <w:rFonts w:ascii="Times New Roman" w:hAnsi="Times New Roman" w:cs="Times New Roman"/>
          <w:sz w:val="24"/>
          <w:szCs w:val="24"/>
        </w:rPr>
      </w:pPr>
      <w:r w:rsidRPr="00206628">
        <w:rPr>
          <w:rFonts w:ascii="Times New Roman" w:hAnsi="Times New Roman" w:cs="Times New Roman"/>
          <w:b/>
          <w:i/>
          <w:sz w:val="24"/>
          <w:szCs w:val="24"/>
        </w:rPr>
        <w:t>MSO compliance plan</w:t>
      </w:r>
      <w:r w:rsidR="009A4239" w:rsidRPr="00206628">
        <w:rPr>
          <w:rFonts w:ascii="Times New Roman" w:hAnsi="Times New Roman" w:cs="Times New Roman"/>
          <w:sz w:val="24"/>
          <w:szCs w:val="24"/>
        </w:rPr>
        <w:t xml:space="preserve"> is defined to mean the plan required by section 36 of the Act. This is a central document to assist scheme compliance and the Rules detail key contents for the plan in Part 9.</w:t>
      </w:r>
    </w:p>
    <w:p w14:paraId="095C2C7A" w14:textId="77777777" w:rsidR="009A4239" w:rsidRPr="00206628" w:rsidRDefault="009A4239" w:rsidP="0048368A">
      <w:pPr>
        <w:pStyle w:val="ListParagraph"/>
        <w:numPr>
          <w:ilvl w:val="0"/>
          <w:numId w:val="3"/>
        </w:numPr>
        <w:spacing w:before="240"/>
        <w:rPr>
          <w:rFonts w:ascii="Times New Roman" w:hAnsi="Times New Roman" w:cs="Times New Roman"/>
          <w:b/>
          <w:i/>
          <w:sz w:val="24"/>
          <w:szCs w:val="24"/>
        </w:rPr>
      </w:pPr>
      <w:r w:rsidRPr="00206628">
        <w:rPr>
          <w:rFonts w:ascii="Times New Roman" w:hAnsi="Times New Roman" w:cs="Times New Roman"/>
          <w:b/>
          <w:i/>
          <w:sz w:val="24"/>
          <w:szCs w:val="24"/>
        </w:rPr>
        <w:t xml:space="preserve">section 24 arrangement </w:t>
      </w:r>
      <w:r w:rsidRPr="00206628">
        <w:rPr>
          <w:rFonts w:ascii="Times New Roman" w:hAnsi="Times New Roman" w:cs="Times New Roman"/>
          <w:sz w:val="24"/>
          <w:szCs w:val="24"/>
        </w:rPr>
        <w:t xml:space="preserve">is defined to capture the arrangements under section 24 of the Act where fuel is held for another entity to assist compliance with the MSO. These are the key secondary market instruments that will allow entities to comply when their own fuel volumes fall below the level of the MSO. </w:t>
      </w:r>
    </w:p>
    <w:p w14:paraId="3022F2ED" w14:textId="75ACEE31" w:rsidR="009A4239" w:rsidRPr="00206628" w:rsidRDefault="009A4239" w:rsidP="0048368A">
      <w:pPr>
        <w:pStyle w:val="ListParagraph"/>
        <w:numPr>
          <w:ilvl w:val="0"/>
          <w:numId w:val="3"/>
        </w:numPr>
        <w:spacing w:before="240"/>
        <w:rPr>
          <w:rFonts w:ascii="Times New Roman" w:hAnsi="Times New Roman" w:cs="Times New Roman"/>
          <w:b/>
          <w:i/>
          <w:sz w:val="24"/>
          <w:szCs w:val="24"/>
        </w:rPr>
      </w:pPr>
      <w:r w:rsidRPr="00206628">
        <w:rPr>
          <w:rFonts w:ascii="Times New Roman" w:hAnsi="Times New Roman" w:cs="Times New Roman"/>
          <w:b/>
          <w:i/>
          <w:sz w:val="24"/>
          <w:szCs w:val="24"/>
        </w:rPr>
        <w:t xml:space="preserve">trigger assessment period </w:t>
      </w:r>
      <w:r w:rsidRPr="00206628">
        <w:rPr>
          <w:rFonts w:ascii="Times New Roman" w:hAnsi="Times New Roman" w:cs="Times New Roman"/>
          <w:sz w:val="24"/>
          <w:szCs w:val="24"/>
        </w:rPr>
        <w:t xml:space="preserve">is defined in section 16 of the Rules to be the 2019 calendar year, </w:t>
      </w:r>
      <w:r w:rsidR="00AF5B3E" w:rsidRPr="00206628">
        <w:rPr>
          <w:rFonts w:ascii="Times New Roman" w:hAnsi="Times New Roman" w:cs="Times New Roman"/>
          <w:sz w:val="24"/>
          <w:szCs w:val="24"/>
        </w:rPr>
        <w:t xml:space="preserve">2022 </w:t>
      </w:r>
      <w:r w:rsidRPr="00206628">
        <w:rPr>
          <w:rFonts w:ascii="Times New Roman" w:hAnsi="Times New Roman" w:cs="Times New Roman"/>
          <w:sz w:val="24"/>
          <w:szCs w:val="24"/>
        </w:rPr>
        <w:t xml:space="preserve">calendar year and subsequent calendar years. It is relevant to both triggering the MSO and the calculation of the designated quantity. </w:t>
      </w:r>
    </w:p>
    <w:p w14:paraId="47CE4730" w14:textId="77777777" w:rsidR="00F15491" w:rsidRPr="00206628" w:rsidRDefault="00F15491" w:rsidP="00677ADC">
      <w:pPr>
        <w:spacing w:before="240" w:after="200" w:line="276" w:lineRule="auto"/>
        <w:rPr>
          <w:rFonts w:ascii="Times New Roman" w:hAnsi="Times New Roman" w:cs="Times New Roman"/>
          <w:sz w:val="24"/>
          <w:szCs w:val="24"/>
        </w:rPr>
      </w:pPr>
      <w:r w:rsidRPr="00206628">
        <w:rPr>
          <w:rFonts w:ascii="Times New Roman" w:hAnsi="Times New Roman" w:cs="Times New Roman"/>
          <w:sz w:val="24"/>
          <w:szCs w:val="24"/>
        </w:rPr>
        <w:t xml:space="preserve">The </w:t>
      </w:r>
      <w:r w:rsidRPr="00206628">
        <w:rPr>
          <w:rFonts w:ascii="Times New Roman" w:hAnsi="Times New Roman" w:cs="Times New Roman"/>
          <w:b/>
          <w:i/>
          <w:sz w:val="24"/>
          <w:szCs w:val="24"/>
        </w:rPr>
        <w:t xml:space="preserve">N10 form </w:t>
      </w:r>
      <w:r w:rsidRPr="00206628">
        <w:rPr>
          <w:rFonts w:ascii="Times New Roman" w:hAnsi="Times New Roman" w:cs="Times New Roman"/>
          <w:sz w:val="24"/>
          <w:szCs w:val="24"/>
        </w:rPr>
        <w:t xml:space="preserve">and </w:t>
      </w:r>
      <w:r w:rsidRPr="00206628">
        <w:rPr>
          <w:rFonts w:ascii="Times New Roman" w:hAnsi="Times New Roman" w:cs="Times New Roman"/>
          <w:b/>
          <w:i/>
          <w:sz w:val="24"/>
          <w:szCs w:val="24"/>
        </w:rPr>
        <w:t>N30 form</w:t>
      </w:r>
      <w:r w:rsidRPr="00206628">
        <w:rPr>
          <w:rFonts w:ascii="Times New Roman" w:hAnsi="Times New Roman" w:cs="Times New Roman"/>
          <w:sz w:val="24"/>
          <w:szCs w:val="24"/>
        </w:rPr>
        <w:t xml:space="preserve"> are defined by reference to the relevant forms approved under section 71K of the </w:t>
      </w:r>
      <w:r w:rsidRPr="00206628">
        <w:rPr>
          <w:rFonts w:ascii="Times New Roman" w:hAnsi="Times New Roman" w:cs="Times New Roman"/>
          <w:i/>
          <w:sz w:val="24"/>
          <w:szCs w:val="24"/>
        </w:rPr>
        <w:t>Customs Act 1901</w:t>
      </w:r>
      <w:r w:rsidRPr="00206628">
        <w:rPr>
          <w:rFonts w:ascii="Times New Roman" w:hAnsi="Times New Roman" w:cs="Times New Roman"/>
          <w:sz w:val="24"/>
          <w:szCs w:val="24"/>
        </w:rPr>
        <w:t xml:space="preserve"> as in force from time to time</w:t>
      </w:r>
      <w:r w:rsidRPr="00206628">
        <w:rPr>
          <w:rFonts w:ascii="Times New Roman" w:hAnsi="Times New Roman" w:cs="Times New Roman"/>
          <w:i/>
          <w:sz w:val="24"/>
          <w:szCs w:val="24"/>
        </w:rPr>
        <w:t xml:space="preserve">. </w:t>
      </w:r>
      <w:r w:rsidRPr="00206628">
        <w:rPr>
          <w:rFonts w:ascii="Times New Roman" w:hAnsi="Times New Roman" w:cs="Times New Roman"/>
          <w:sz w:val="24"/>
          <w:szCs w:val="24"/>
        </w:rPr>
        <w:t xml:space="preserve">These are the relevant forms that signify the import of products into Australia for home consumption and referenced in paragraph (a) of the definition of import in the Act. The forms are freely available from: </w:t>
      </w:r>
      <w:hyperlink r:id="rId14" w:history="1">
        <w:r w:rsidRPr="00206628">
          <w:rPr>
            <w:rStyle w:val="Hyperlink"/>
            <w:rFonts w:ascii="Times New Roman" w:hAnsi="Times New Roman" w:cs="Times New Roman"/>
            <w:sz w:val="24"/>
            <w:szCs w:val="24"/>
          </w:rPr>
          <w:t>https://www.abf.gov.au/imports/Pages/How-to-import/Import-declarations.aspx</w:t>
        </w:r>
      </w:hyperlink>
      <w:r w:rsidR="007208BC" w:rsidRPr="00206628">
        <w:rPr>
          <w:rFonts w:ascii="Times New Roman" w:hAnsi="Times New Roman" w:cs="Times New Roman"/>
          <w:sz w:val="24"/>
          <w:szCs w:val="24"/>
        </w:rPr>
        <w:t xml:space="preserve"> and can be freely used.</w:t>
      </w:r>
      <w:r w:rsidRPr="00206628">
        <w:rPr>
          <w:rFonts w:ascii="Times New Roman" w:hAnsi="Times New Roman" w:cs="Times New Roman"/>
          <w:sz w:val="24"/>
          <w:szCs w:val="24"/>
        </w:rPr>
        <w:t xml:space="preserve"> </w:t>
      </w:r>
      <w:r w:rsidR="007208BC" w:rsidRPr="00206628">
        <w:rPr>
          <w:rFonts w:ascii="Times New Roman" w:hAnsi="Times New Roman" w:cs="Times New Roman"/>
          <w:sz w:val="24"/>
          <w:szCs w:val="24"/>
        </w:rPr>
        <w:t xml:space="preserve">They are used to provide an evidentiary basis for determining matters under the Rules, and the Rules do not incorporate any provisions of the N10 form or N30 form as requirements under the Rules and are therefore not incorporated by reference for the purpose of section 14 of the </w:t>
      </w:r>
      <w:r w:rsidR="007208BC" w:rsidRPr="00206628">
        <w:rPr>
          <w:rFonts w:ascii="Times New Roman" w:hAnsi="Times New Roman" w:cs="Times New Roman"/>
          <w:i/>
          <w:sz w:val="24"/>
          <w:szCs w:val="24"/>
        </w:rPr>
        <w:t xml:space="preserve">Legislation Act 2003 </w:t>
      </w:r>
      <w:r w:rsidR="007208BC" w:rsidRPr="00206628">
        <w:rPr>
          <w:rFonts w:ascii="Times New Roman" w:hAnsi="Times New Roman" w:cs="Times New Roman"/>
          <w:sz w:val="24"/>
          <w:szCs w:val="24"/>
        </w:rPr>
        <w:t>or subsection 84(3) of the Act.</w:t>
      </w:r>
    </w:p>
    <w:p w14:paraId="4F8DD527" w14:textId="77777777" w:rsidR="00677ADC" w:rsidRPr="00206628" w:rsidRDefault="00677ADC" w:rsidP="00677ADC">
      <w:pPr>
        <w:spacing w:before="240" w:after="200" w:line="276" w:lineRule="auto"/>
        <w:rPr>
          <w:rFonts w:ascii="Times New Roman" w:hAnsi="Times New Roman" w:cs="Times New Roman"/>
          <w:sz w:val="24"/>
          <w:szCs w:val="24"/>
        </w:rPr>
      </w:pPr>
      <w:r w:rsidRPr="00206628">
        <w:rPr>
          <w:rFonts w:ascii="Times New Roman" w:hAnsi="Times New Roman" w:cs="Times New Roman"/>
          <w:sz w:val="24"/>
          <w:szCs w:val="24"/>
        </w:rPr>
        <w:lastRenderedPageBreak/>
        <w:t xml:space="preserve">The </w:t>
      </w:r>
      <w:r w:rsidR="00AC2DBC" w:rsidRPr="00206628">
        <w:rPr>
          <w:rFonts w:ascii="Times New Roman" w:hAnsi="Times New Roman" w:cs="Times New Roman"/>
          <w:sz w:val="24"/>
          <w:szCs w:val="24"/>
        </w:rPr>
        <w:t>FQS Act</w:t>
      </w:r>
      <w:r w:rsidRPr="00206628">
        <w:rPr>
          <w:rFonts w:ascii="Times New Roman" w:hAnsi="Times New Roman" w:cs="Times New Roman"/>
          <w:sz w:val="24"/>
          <w:szCs w:val="24"/>
        </w:rPr>
        <w:t xml:space="preserve">, </w:t>
      </w:r>
      <w:r w:rsidR="00AC2DBC" w:rsidRPr="00206628">
        <w:rPr>
          <w:rFonts w:ascii="Times New Roman" w:hAnsi="Times New Roman" w:cs="Times New Roman"/>
          <w:sz w:val="24"/>
          <w:szCs w:val="24"/>
        </w:rPr>
        <w:t>FSSP Rule</w:t>
      </w:r>
      <w:r w:rsidR="00B30518" w:rsidRPr="00206628">
        <w:rPr>
          <w:rFonts w:ascii="Times New Roman" w:hAnsi="Times New Roman" w:cs="Times New Roman"/>
          <w:sz w:val="24"/>
          <w:szCs w:val="24"/>
        </w:rPr>
        <w:t>,</w:t>
      </w:r>
      <w:r w:rsidR="009F37DD" w:rsidRPr="00206628">
        <w:rPr>
          <w:rFonts w:ascii="Times New Roman" w:hAnsi="Times New Roman" w:cs="Times New Roman"/>
          <w:sz w:val="24"/>
          <w:szCs w:val="24"/>
        </w:rPr>
        <w:t xml:space="preserve"> </w:t>
      </w:r>
      <w:r w:rsidR="009F37DD" w:rsidRPr="00206628">
        <w:rPr>
          <w:rFonts w:ascii="Times New Roman" w:hAnsi="Times New Roman" w:cs="Times New Roman"/>
          <w:i/>
          <w:sz w:val="24"/>
          <w:szCs w:val="24"/>
        </w:rPr>
        <w:t>Industry Research and Development (Refinery Upgrades Program) Instrument 2021</w:t>
      </w:r>
      <w:r w:rsidR="009F37DD" w:rsidRPr="00206628">
        <w:rPr>
          <w:rFonts w:ascii="Times New Roman" w:hAnsi="Times New Roman" w:cs="Times New Roman"/>
          <w:sz w:val="24"/>
          <w:szCs w:val="24"/>
        </w:rPr>
        <w:t xml:space="preserve">, </w:t>
      </w:r>
      <w:r w:rsidR="00AC2DBC" w:rsidRPr="00206628">
        <w:rPr>
          <w:rFonts w:ascii="Times New Roman" w:hAnsi="Times New Roman" w:cs="Times New Roman"/>
          <w:sz w:val="24"/>
          <w:szCs w:val="24"/>
        </w:rPr>
        <w:t>NGER (Audit) Determination 2009</w:t>
      </w:r>
      <w:r w:rsidR="009F37DD" w:rsidRPr="00206628">
        <w:rPr>
          <w:rFonts w:ascii="Times New Roman" w:hAnsi="Times New Roman" w:cs="Times New Roman"/>
          <w:sz w:val="24"/>
          <w:szCs w:val="24"/>
        </w:rPr>
        <w:t>,</w:t>
      </w:r>
      <w:r w:rsidR="00B30518" w:rsidRPr="00206628">
        <w:rPr>
          <w:rFonts w:ascii="Times New Roman" w:hAnsi="Times New Roman" w:cs="Times New Roman"/>
          <w:sz w:val="24"/>
          <w:szCs w:val="24"/>
        </w:rPr>
        <w:t xml:space="preserve"> </w:t>
      </w:r>
      <w:r w:rsidR="00AC2DBC" w:rsidRPr="00206628">
        <w:rPr>
          <w:rFonts w:ascii="Times New Roman" w:hAnsi="Times New Roman" w:cs="Times New Roman"/>
          <w:sz w:val="24"/>
          <w:szCs w:val="24"/>
        </w:rPr>
        <w:t>POFR Act</w:t>
      </w:r>
      <w:r w:rsidRPr="00206628">
        <w:rPr>
          <w:rFonts w:ascii="Times New Roman" w:hAnsi="Times New Roman" w:cs="Times New Roman"/>
          <w:sz w:val="24"/>
          <w:szCs w:val="24"/>
        </w:rPr>
        <w:t>,</w:t>
      </w:r>
      <w:r w:rsidR="00B30518" w:rsidRPr="00206628">
        <w:rPr>
          <w:rFonts w:ascii="Times New Roman" w:hAnsi="Times New Roman" w:cs="Times New Roman"/>
          <w:sz w:val="24"/>
          <w:szCs w:val="24"/>
        </w:rPr>
        <w:t xml:space="preserve"> and</w:t>
      </w:r>
      <w:r w:rsidRPr="00206628">
        <w:rPr>
          <w:rFonts w:ascii="Times New Roman" w:hAnsi="Times New Roman" w:cs="Times New Roman"/>
          <w:sz w:val="24"/>
          <w:szCs w:val="24"/>
        </w:rPr>
        <w:t xml:space="preserve"> </w:t>
      </w:r>
      <w:r w:rsidR="00AC2DBC" w:rsidRPr="00206628">
        <w:rPr>
          <w:rFonts w:ascii="Times New Roman" w:hAnsi="Times New Roman" w:cs="Times New Roman"/>
          <w:sz w:val="24"/>
          <w:szCs w:val="24"/>
        </w:rPr>
        <w:t>POFR Rules</w:t>
      </w:r>
      <w:r w:rsidRPr="00206628">
        <w:rPr>
          <w:rFonts w:ascii="Times New Roman" w:hAnsi="Times New Roman" w:cs="Times New Roman"/>
          <w:sz w:val="24"/>
          <w:szCs w:val="24"/>
        </w:rPr>
        <w:t xml:space="preserve"> are also incorporated as in force from time to time, consistent with the usual reference to Acts and legislative instruments. They are </w:t>
      </w:r>
      <w:r w:rsidR="00F15491" w:rsidRPr="00206628">
        <w:rPr>
          <w:rFonts w:ascii="Times New Roman" w:hAnsi="Times New Roman" w:cs="Times New Roman"/>
          <w:sz w:val="24"/>
          <w:szCs w:val="24"/>
        </w:rPr>
        <w:t xml:space="preserve">freely </w:t>
      </w:r>
      <w:r w:rsidRPr="00206628">
        <w:rPr>
          <w:rFonts w:ascii="Times New Roman" w:hAnsi="Times New Roman" w:cs="Times New Roman"/>
          <w:sz w:val="24"/>
          <w:szCs w:val="24"/>
        </w:rPr>
        <w:t>available from the Federal Register of Legislation (www.legislation.gov.au).</w:t>
      </w:r>
    </w:p>
    <w:p w14:paraId="0F371568" w14:textId="77777777" w:rsidR="007517D8" w:rsidRPr="00206628" w:rsidRDefault="00677ADC" w:rsidP="00677ADC">
      <w:pPr>
        <w:spacing w:before="240" w:after="200" w:line="276" w:lineRule="auto"/>
        <w:rPr>
          <w:rFonts w:ascii="Times New Roman" w:hAnsi="Times New Roman" w:cs="Times New Roman"/>
          <w:sz w:val="24"/>
          <w:szCs w:val="24"/>
        </w:rPr>
      </w:pPr>
      <w:r w:rsidRPr="00206628">
        <w:rPr>
          <w:rFonts w:ascii="Times New Roman" w:hAnsi="Times New Roman" w:cs="Times New Roman"/>
          <w:sz w:val="24"/>
          <w:szCs w:val="24"/>
        </w:rPr>
        <w:t>Unless specified in the Rule</w:t>
      </w:r>
      <w:r w:rsidR="00B30518" w:rsidRPr="00206628">
        <w:rPr>
          <w:rFonts w:ascii="Times New Roman" w:hAnsi="Times New Roman" w:cs="Times New Roman"/>
          <w:sz w:val="24"/>
          <w:szCs w:val="24"/>
        </w:rPr>
        <w:t>s</w:t>
      </w:r>
      <w:r w:rsidRPr="00206628">
        <w:rPr>
          <w:rFonts w:ascii="Times New Roman" w:hAnsi="Times New Roman" w:cs="Times New Roman"/>
          <w:sz w:val="24"/>
          <w:szCs w:val="24"/>
        </w:rPr>
        <w:t>, where a term is defined in the Act the definition of that term will also apply to the Rule</w:t>
      </w:r>
      <w:r w:rsidR="00B30518" w:rsidRPr="00206628">
        <w:rPr>
          <w:rFonts w:ascii="Times New Roman" w:hAnsi="Times New Roman" w:cs="Times New Roman"/>
          <w:sz w:val="24"/>
          <w:szCs w:val="24"/>
        </w:rPr>
        <w:t>s</w:t>
      </w:r>
      <w:r w:rsidRPr="00206628">
        <w:rPr>
          <w:rFonts w:ascii="Times New Roman" w:hAnsi="Times New Roman" w:cs="Times New Roman"/>
          <w:sz w:val="24"/>
          <w:szCs w:val="24"/>
        </w:rPr>
        <w:t xml:space="preserve"> – e.g. “Australian controlling corporation” (defined in paragraph 8(2)(a) of the Act).</w:t>
      </w:r>
    </w:p>
    <w:p w14:paraId="4F3D0142" w14:textId="77777777" w:rsidR="007517D8" w:rsidRPr="00206628" w:rsidRDefault="007517D8">
      <w:pPr>
        <w:rPr>
          <w:rFonts w:ascii="Times New Roman" w:eastAsia="Calibri" w:hAnsi="Times New Roman" w:cs="Times New Roman"/>
          <w:b/>
          <w:sz w:val="24"/>
          <w:szCs w:val="24"/>
        </w:rPr>
      </w:pPr>
      <w:r w:rsidRPr="00206628">
        <w:rPr>
          <w:rFonts w:ascii="Times New Roman" w:eastAsia="Calibri" w:hAnsi="Times New Roman" w:cs="Times New Roman"/>
          <w:b/>
          <w:sz w:val="24"/>
          <w:szCs w:val="24"/>
        </w:rPr>
        <w:br w:type="page"/>
      </w:r>
    </w:p>
    <w:p w14:paraId="72662FF1" w14:textId="77777777" w:rsidR="008A6A42" w:rsidRPr="00206628" w:rsidRDefault="008A6A42" w:rsidP="008A6A42">
      <w:pPr>
        <w:spacing w:before="240" w:after="240"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rPr>
        <w:lastRenderedPageBreak/>
        <w:t>PART 2</w:t>
      </w:r>
      <w:r w:rsidR="007517D8" w:rsidRPr="00206628">
        <w:rPr>
          <w:rFonts w:ascii="Times New Roman" w:hAnsi="Times New Roman" w:cs="Times New Roman"/>
          <w:i/>
          <w:sz w:val="24"/>
          <w:szCs w:val="24"/>
        </w:rPr>
        <w:t>—</w:t>
      </w:r>
      <w:r w:rsidR="009F37DD" w:rsidRPr="00206628">
        <w:rPr>
          <w:rFonts w:ascii="Times New Roman" w:hAnsi="Times New Roman" w:cs="Times New Roman"/>
          <w:b/>
          <w:sz w:val="24"/>
          <w:szCs w:val="24"/>
        </w:rPr>
        <w:t xml:space="preserve">Importing, </w:t>
      </w:r>
      <w:r w:rsidRPr="00206628">
        <w:rPr>
          <w:rFonts w:ascii="Times New Roman" w:eastAsia="Calibri" w:hAnsi="Times New Roman" w:cs="Times New Roman"/>
          <w:b/>
          <w:sz w:val="24"/>
          <w:szCs w:val="24"/>
        </w:rPr>
        <w:t>MSO products and stock holding</w:t>
      </w:r>
    </w:p>
    <w:p w14:paraId="554A3120" w14:textId="77777777" w:rsidR="009F37DD" w:rsidRPr="00206628" w:rsidRDefault="009F37DD" w:rsidP="009F37DD">
      <w:pPr>
        <w:spacing w:before="240" w:after="240"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rPr>
        <w:t>Section 5 – Importing</w:t>
      </w:r>
    </w:p>
    <w:p w14:paraId="1A4B8D24" w14:textId="77777777" w:rsidR="009F37DD" w:rsidRPr="00206628" w:rsidRDefault="009F37DD" w:rsidP="009F37DD">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section prescribes </w:t>
      </w:r>
      <w:r w:rsidR="00D908B0" w:rsidRPr="00206628">
        <w:rPr>
          <w:rFonts w:ascii="Times New Roman" w:eastAsia="Calibri" w:hAnsi="Times New Roman" w:cs="Times New Roman"/>
          <w:sz w:val="24"/>
          <w:szCs w:val="24"/>
        </w:rPr>
        <w:t>when additional acts relating to the import of an MSO product meet the</w:t>
      </w:r>
      <w:r w:rsidRPr="00206628">
        <w:rPr>
          <w:rFonts w:ascii="Times New Roman" w:eastAsia="Calibri" w:hAnsi="Times New Roman" w:cs="Times New Roman"/>
          <w:sz w:val="24"/>
          <w:szCs w:val="24"/>
        </w:rPr>
        <w:t xml:space="preserve"> definition of “</w:t>
      </w:r>
      <w:r w:rsidR="00D908B0" w:rsidRPr="00206628">
        <w:rPr>
          <w:rFonts w:ascii="Times New Roman" w:eastAsia="Calibri" w:hAnsi="Times New Roman" w:cs="Times New Roman"/>
          <w:sz w:val="24"/>
          <w:szCs w:val="24"/>
        </w:rPr>
        <w:t>import</w:t>
      </w:r>
      <w:r w:rsidRPr="00206628">
        <w:rPr>
          <w:rFonts w:ascii="Times New Roman" w:eastAsia="Calibri" w:hAnsi="Times New Roman" w:cs="Times New Roman"/>
          <w:sz w:val="24"/>
          <w:szCs w:val="24"/>
        </w:rPr>
        <w:t xml:space="preserve">” in section 5 of the Act. </w:t>
      </w:r>
    </w:p>
    <w:p w14:paraId="5F7262DC" w14:textId="17124427" w:rsidR="00D908B0" w:rsidRPr="00206628" w:rsidRDefault="008D4F05" w:rsidP="009F37DD">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Paragraph (a) of the definition of “import” in section 5 of the Act is the primary mechanism for triggering the MSO and the volume of such imports is the key input into the calculation of the designated quantity under Part 4 of the Rules. In particular, an entity will </w:t>
      </w:r>
      <w:r w:rsidR="00A6055B" w:rsidRPr="00206628">
        <w:rPr>
          <w:rFonts w:ascii="Times New Roman" w:eastAsia="Calibri" w:hAnsi="Times New Roman" w:cs="Times New Roman"/>
          <w:sz w:val="24"/>
          <w:szCs w:val="24"/>
        </w:rPr>
        <w:t>“</w:t>
      </w:r>
      <w:r w:rsidRPr="00206628">
        <w:rPr>
          <w:rFonts w:ascii="Times New Roman" w:eastAsia="Calibri" w:hAnsi="Times New Roman" w:cs="Times New Roman"/>
          <w:sz w:val="24"/>
          <w:szCs w:val="24"/>
        </w:rPr>
        <w:t>import</w:t>
      </w:r>
      <w:r w:rsidR="00A6055B" w:rsidRPr="00206628">
        <w:rPr>
          <w:rFonts w:ascii="Times New Roman" w:eastAsia="Calibri" w:hAnsi="Times New Roman" w:cs="Times New Roman"/>
          <w:sz w:val="24"/>
          <w:szCs w:val="24"/>
        </w:rPr>
        <w:t>”</w:t>
      </w:r>
      <w:r w:rsidRPr="00206628">
        <w:rPr>
          <w:rFonts w:ascii="Times New Roman" w:eastAsia="Calibri" w:hAnsi="Times New Roman" w:cs="Times New Roman"/>
          <w:sz w:val="24"/>
          <w:szCs w:val="24"/>
        </w:rPr>
        <w:t xml:space="preserve"> an MSO product produced overseas if the entity does the act that constitutes the importation of the product into Australia for home consumption. The Act is designed to work consistently with the </w:t>
      </w:r>
      <w:r w:rsidRPr="00206628">
        <w:rPr>
          <w:rFonts w:ascii="Times New Roman" w:eastAsia="Calibri" w:hAnsi="Times New Roman" w:cs="Times New Roman"/>
          <w:i/>
          <w:sz w:val="24"/>
          <w:szCs w:val="24"/>
        </w:rPr>
        <w:t>Customs Act 1901</w:t>
      </w:r>
      <w:r w:rsidRPr="00206628">
        <w:rPr>
          <w:rFonts w:ascii="Times New Roman" w:eastAsia="Calibri" w:hAnsi="Times New Roman" w:cs="Times New Roman"/>
          <w:sz w:val="24"/>
          <w:szCs w:val="24"/>
        </w:rPr>
        <w:t xml:space="preserve">, which also regulates the importation of products for home consumption. Accordingly, the focus of paragraph (a) of the definition of import is the legal entity that imports for home consumption. This is generally evidenced by the use of N10 and N30 forms under the </w:t>
      </w:r>
      <w:r w:rsidRPr="00206628">
        <w:rPr>
          <w:rFonts w:ascii="Times New Roman" w:eastAsia="Calibri" w:hAnsi="Times New Roman" w:cs="Times New Roman"/>
          <w:i/>
          <w:sz w:val="24"/>
          <w:szCs w:val="24"/>
        </w:rPr>
        <w:t>Customs Act 1901</w:t>
      </w:r>
      <w:r w:rsidRPr="00206628">
        <w:rPr>
          <w:rFonts w:ascii="Times New Roman" w:eastAsia="Calibri" w:hAnsi="Times New Roman" w:cs="Times New Roman"/>
          <w:sz w:val="24"/>
          <w:szCs w:val="24"/>
        </w:rPr>
        <w:t xml:space="preserve">. The N10 form relates to a direct import for home consumption and the N30 form relates to the release from a warehouse into home consumption. The entry into the warehouse and N20 form is not the step of importation for home consumption and not included within paragraph (a) of the definition of import. </w:t>
      </w:r>
      <w:r w:rsidR="00D65CDA" w:rsidRPr="00206628">
        <w:rPr>
          <w:rFonts w:ascii="Times New Roman" w:eastAsia="Calibri" w:hAnsi="Times New Roman" w:cs="Times New Roman"/>
          <w:sz w:val="24"/>
          <w:szCs w:val="24"/>
        </w:rPr>
        <w:t xml:space="preserve">Accordingly, the volume of all such imports are relevant to the thresholds in section 17 of </w:t>
      </w:r>
      <w:r w:rsidR="00153A15" w:rsidRPr="00206628">
        <w:rPr>
          <w:rFonts w:ascii="Times New Roman" w:eastAsia="Calibri" w:hAnsi="Times New Roman" w:cs="Times New Roman"/>
          <w:sz w:val="24"/>
          <w:szCs w:val="24"/>
        </w:rPr>
        <w:br/>
      </w:r>
      <w:r w:rsidR="00D65CDA" w:rsidRPr="00206628">
        <w:rPr>
          <w:rFonts w:ascii="Times New Roman" w:eastAsia="Calibri" w:hAnsi="Times New Roman" w:cs="Times New Roman"/>
          <w:sz w:val="24"/>
          <w:szCs w:val="24"/>
        </w:rPr>
        <w:t>the Rules.</w:t>
      </w:r>
    </w:p>
    <w:p w14:paraId="42478862" w14:textId="32CD4D5B" w:rsidR="008D4F05" w:rsidRPr="00206628" w:rsidRDefault="002C52C3" w:rsidP="009F37DD">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Section 5 of the Rules </w:t>
      </w:r>
      <w:r w:rsidR="00DE2C1B" w:rsidRPr="00206628">
        <w:rPr>
          <w:rFonts w:ascii="Times New Roman" w:eastAsia="Calibri" w:hAnsi="Times New Roman" w:cs="Times New Roman"/>
          <w:sz w:val="24"/>
          <w:szCs w:val="24"/>
        </w:rPr>
        <w:t xml:space="preserve">is designed to provide flexibility to recognise commercial arrangements in the sector. </w:t>
      </w:r>
      <w:r w:rsidR="00D65CDA" w:rsidRPr="00206628">
        <w:rPr>
          <w:rFonts w:ascii="Times New Roman" w:eastAsia="Calibri" w:hAnsi="Times New Roman" w:cs="Times New Roman"/>
          <w:sz w:val="24"/>
          <w:szCs w:val="24"/>
        </w:rPr>
        <w:t>The purpose of this section is to recognise that where an MSO product is imported under paragraph (a) of the definition of “import”</w:t>
      </w:r>
      <w:r w:rsidR="00DE2C1B" w:rsidRPr="00206628">
        <w:rPr>
          <w:rFonts w:ascii="Times New Roman" w:eastAsia="Calibri" w:hAnsi="Times New Roman" w:cs="Times New Roman"/>
          <w:sz w:val="24"/>
          <w:szCs w:val="24"/>
        </w:rPr>
        <w:t xml:space="preserve"> by an entity</w:t>
      </w:r>
      <w:r w:rsidR="00D65CDA" w:rsidRPr="00206628">
        <w:rPr>
          <w:rFonts w:ascii="Times New Roman" w:eastAsia="Calibri" w:hAnsi="Times New Roman" w:cs="Times New Roman"/>
          <w:sz w:val="24"/>
          <w:szCs w:val="24"/>
        </w:rPr>
        <w:t xml:space="preserve">, there may </w:t>
      </w:r>
      <w:r w:rsidR="00C86FCC" w:rsidRPr="00206628">
        <w:rPr>
          <w:rFonts w:ascii="Times New Roman" w:eastAsia="Calibri" w:hAnsi="Times New Roman" w:cs="Times New Roman"/>
          <w:sz w:val="24"/>
          <w:szCs w:val="24"/>
        </w:rPr>
        <w:t>also</w:t>
      </w:r>
      <w:r w:rsidR="00D65CDA" w:rsidRPr="00206628">
        <w:rPr>
          <w:rFonts w:ascii="Times New Roman" w:eastAsia="Calibri" w:hAnsi="Times New Roman" w:cs="Times New Roman"/>
          <w:sz w:val="24"/>
          <w:szCs w:val="24"/>
        </w:rPr>
        <w:t xml:space="preserve"> be an import by a second entity because the </w:t>
      </w:r>
      <w:r w:rsidR="00DE2C1B" w:rsidRPr="00206628">
        <w:rPr>
          <w:rFonts w:ascii="Times New Roman" w:eastAsia="Calibri" w:hAnsi="Times New Roman" w:cs="Times New Roman"/>
          <w:sz w:val="24"/>
          <w:szCs w:val="24"/>
        </w:rPr>
        <w:t xml:space="preserve">first </w:t>
      </w:r>
      <w:r w:rsidR="00D65CDA" w:rsidRPr="00206628">
        <w:rPr>
          <w:rFonts w:ascii="Times New Roman" w:eastAsia="Calibri" w:hAnsi="Times New Roman" w:cs="Times New Roman"/>
          <w:sz w:val="24"/>
          <w:szCs w:val="24"/>
        </w:rPr>
        <w:t xml:space="preserve">entity captured by paragraph (a) was in fact importing the product on behalf of another entity. </w:t>
      </w:r>
      <w:r w:rsidR="00DE2C1B" w:rsidRPr="00206628">
        <w:rPr>
          <w:rFonts w:ascii="Times New Roman" w:eastAsia="Calibri" w:hAnsi="Times New Roman" w:cs="Times New Roman"/>
          <w:sz w:val="24"/>
          <w:szCs w:val="24"/>
        </w:rPr>
        <w:t>T</w:t>
      </w:r>
      <w:r w:rsidR="00D65CDA" w:rsidRPr="00206628">
        <w:rPr>
          <w:rFonts w:ascii="Times New Roman" w:eastAsia="Calibri" w:hAnsi="Times New Roman" w:cs="Times New Roman"/>
          <w:sz w:val="24"/>
          <w:szCs w:val="24"/>
        </w:rPr>
        <w:t>he result of this import being recognised is that the importation of the product under paragraph (a) of the definition of import</w:t>
      </w:r>
      <w:r w:rsidR="00540AF7" w:rsidRPr="00206628">
        <w:rPr>
          <w:rFonts w:ascii="Times New Roman" w:eastAsia="Calibri" w:hAnsi="Times New Roman" w:cs="Times New Roman"/>
          <w:sz w:val="24"/>
          <w:szCs w:val="24"/>
        </w:rPr>
        <w:t xml:space="preserve"> in the Act</w:t>
      </w:r>
      <w:r w:rsidR="00D65CDA" w:rsidRPr="00206628">
        <w:rPr>
          <w:rFonts w:ascii="Times New Roman" w:eastAsia="Calibri" w:hAnsi="Times New Roman" w:cs="Times New Roman"/>
          <w:sz w:val="24"/>
          <w:szCs w:val="24"/>
        </w:rPr>
        <w:t xml:space="preserve"> will no longer be relevant to the calculation of the designated quantity for that person</w:t>
      </w:r>
      <w:r w:rsidR="00DE2C1B" w:rsidRPr="00206628">
        <w:rPr>
          <w:rFonts w:ascii="Times New Roman" w:eastAsia="Calibri" w:hAnsi="Times New Roman" w:cs="Times New Roman"/>
          <w:sz w:val="24"/>
          <w:szCs w:val="24"/>
        </w:rPr>
        <w:t xml:space="preserve"> (the first entity)</w:t>
      </w:r>
      <w:r w:rsidR="00D65CDA" w:rsidRPr="00206628">
        <w:rPr>
          <w:rFonts w:ascii="Times New Roman" w:eastAsia="Calibri" w:hAnsi="Times New Roman" w:cs="Times New Roman"/>
          <w:sz w:val="24"/>
          <w:szCs w:val="24"/>
        </w:rPr>
        <w:t xml:space="preserve">, but will only be counted to the designated quantity of the person covered by </w:t>
      </w:r>
      <w:r w:rsidR="00540AF7" w:rsidRPr="00206628">
        <w:rPr>
          <w:rFonts w:ascii="Times New Roman" w:eastAsia="Calibri" w:hAnsi="Times New Roman" w:cs="Times New Roman"/>
          <w:sz w:val="24"/>
          <w:szCs w:val="24"/>
        </w:rPr>
        <w:t>this section</w:t>
      </w:r>
      <w:r w:rsidR="00DE2C1B" w:rsidRPr="00206628">
        <w:rPr>
          <w:rFonts w:ascii="Times New Roman" w:eastAsia="Calibri" w:hAnsi="Times New Roman" w:cs="Times New Roman"/>
          <w:sz w:val="24"/>
          <w:szCs w:val="24"/>
        </w:rPr>
        <w:t xml:space="preserve"> (the second entity)</w:t>
      </w:r>
      <w:r w:rsidR="00D65CDA" w:rsidRPr="00206628">
        <w:rPr>
          <w:rFonts w:ascii="Times New Roman" w:eastAsia="Calibri" w:hAnsi="Times New Roman" w:cs="Times New Roman"/>
          <w:sz w:val="24"/>
          <w:szCs w:val="24"/>
        </w:rPr>
        <w:t xml:space="preserve">. </w:t>
      </w:r>
    </w:p>
    <w:p w14:paraId="4D47F81C" w14:textId="77777777" w:rsidR="00DE2C1B" w:rsidRPr="00206628" w:rsidRDefault="00C86FCC" w:rsidP="00ED20C1">
      <w:pPr>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To ensure that import volumes are not transferred to another entity for the purpose of avoiding a higher MSO, there are specific circumstances that must be met before a transfer of stocks will be considered. </w:t>
      </w:r>
    </w:p>
    <w:p w14:paraId="5D062236" w14:textId="091D76F3" w:rsidR="00DE2C1B" w:rsidRPr="00206628" w:rsidRDefault="00D65CDA" w:rsidP="0037564F">
      <w:pPr>
        <w:pStyle w:val="ListParagraph"/>
        <w:numPr>
          <w:ilvl w:val="0"/>
          <w:numId w:val="30"/>
        </w:numPr>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It is important that any such arrangements are mutually agreed by both the importer for paragraph (a) of the definition of “import” and the person for whom the products are imported. Paragraph 5(3)(a) </w:t>
      </w:r>
      <w:r w:rsidR="00C71A77" w:rsidRPr="00206628">
        <w:rPr>
          <w:rFonts w:ascii="Times New Roman" w:eastAsia="Calibri" w:hAnsi="Times New Roman" w:cs="Times New Roman"/>
          <w:sz w:val="24"/>
          <w:szCs w:val="24"/>
        </w:rPr>
        <w:t xml:space="preserve">of the Rules </w:t>
      </w:r>
      <w:r w:rsidRPr="00206628">
        <w:rPr>
          <w:rFonts w:ascii="Times New Roman" w:eastAsia="Calibri" w:hAnsi="Times New Roman" w:cs="Times New Roman"/>
          <w:sz w:val="24"/>
          <w:szCs w:val="24"/>
        </w:rPr>
        <w:t xml:space="preserve">ensures that there is a relevant arrangement in place, which could be a one-off agreement or a standing arrangement for multiple imports. </w:t>
      </w:r>
    </w:p>
    <w:p w14:paraId="4F5B5BDD" w14:textId="3A74B6EE" w:rsidR="00DE2C1B" w:rsidRPr="00206628" w:rsidRDefault="00D65CDA" w:rsidP="0037564F">
      <w:pPr>
        <w:pStyle w:val="ListParagraph"/>
        <w:numPr>
          <w:ilvl w:val="0"/>
          <w:numId w:val="30"/>
        </w:numPr>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Paragraph 5(3)(b) </w:t>
      </w:r>
      <w:r w:rsidR="00ED20C1" w:rsidRPr="00206628">
        <w:rPr>
          <w:rFonts w:ascii="Times New Roman" w:eastAsia="Calibri" w:hAnsi="Times New Roman" w:cs="Times New Roman"/>
          <w:sz w:val="24"/>
          <w:szCs w:val="24"/>
        </w:rPr>
        <w:t xml:space="preserve">provides that the second entity </w:t>
      </w:r>
      <w:r w:rsidR="00A6055B" w:rsidRPr="00206628">
        <w:rPr>
          <w:rFonts w:ascii="Times New Roman" w:eastAsia="Calibri" w:hAnsi="Times New Roman" w:cs="Times New Roman"/>
          <w:sz w:val="24"/>
          <w:szCs w:val="24"/>
        </w:rPr>
        <w:t xml:space="preserve">must </w:t>
      </w:r>
      <w:r w:rsidR="00ED20C1" w:rsidRPr="00206628">
        <w:rPr>
          <w:rFonts w:ascii="Times New Roman" w:eastAsia="Calibri" w:hAnsi="Times New Roman" w:cs="Times New Roman"/>
          <w:sz w:val="24"/>
          <w:szCs w:val="24"/>
        </w:rPr>
        <w:t xml:space="preserve">own the MSO product and also </w:t>
      </w:r>
      <w:r w:rsidR="00A6055B" w:rsidRPr="00206628">
        <w:rPr>
          <w:rFonts w:ascii="Times New Roman" w:eastAsia="Calibri" w:hAnsi="Times New Roman" w:cs="Times New Roman"/>
          <w:sz w:val="24"/>
          <w:szCs w:val="24"/>
        </w:rPr>
        <w:t xml:space="preserve">be </w:t>
      </w:r>
      <w:r w:rsidR="00ED20C1" w:rsidRPr="00206628">
        <w:rPr>
          <w:rFonts w:ascii="Times New Roman" w:eastAsia="Calibri" w:hAnsi="Times New Roman" w:cs="Times New Roman"/>
          <w:sz w:val="24"/>
          <w:szCs w:val="24"/>
        </w:rPr>
        <w:t xml:space="preserve">the entity responsible for paying the relevant fees and charges for the imports of that MSO product. </w:t>
      </w:r>
    </w:p>
    <w:p w14:paraId="7EE01CDA" w14:textId="77777777" w:rsidR="00DE2C1B" w:rsidRPr="00206628" w:rsidRDefault="00ED20C1" w:rsidP="0037564F">
      <w:pPr>
        <w:pStyle w:val="ListParagraph"/>
        <w:numPr>
          <w:ilvl w:val="0"/>
          <w:numId w:val="30"/>
        </w:numPr>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Paragraph 5(3)(c) </w:t>
      </w:r>
      <w:r w:rsidR="00D65CDA" w:rsidRPr="00206628">
        <w:rPr>
          <w:rFonts w:ascii="Times New Roman" w:eastAsia="Calibri" w:hAnsi="Times New Roman" w:cs="Times New Roman"/>
          <w:sz w:val="24"/>
          <w:szCs w:val="24"/>
        </w:rPr>
        <w:t>ensures that both entities notify the arrangement in writing to the Secretary</w:t>
      </w:r>
      <w:r w:rsidR="00DE2C1B" w:rsidRPr="00206628">
        <w:rPr>
          <w:rFonts w:ascii="Times New Roman" w:eastAsia="Calibri" w:hAnsi="Times New Roman" w:cs="Times New Roman"/>
          <w:sz w:val="24"/>
          <w:szCs w:val="24"/>
        </w:rPr>
        <w:softHyphen/>
        <w:t xml:space="preserve"> – </w:t>
      </w:r>
      <w:r w:rsidR="00D65CDA" w:rsidRPr="00206628">
        <w:rPr>
          <w:rFonts w:ascii="Times New Roman" w:eastAsia="Calibri" w:hAnsi="Times New Roman" w:cs="Times New Roman"/>
          <w:sz w:val="24"/>
          <w:szCs w:val="24"/>
        </w:rPr>
        <w:t>this would be through usual information</w:t>
      </w:r>
      <w:r w:rsidRPr="00206628">
        <w:rPr>
          <w:rFonts w:ascii="Times New Roman" w:eastAsia="Calibri" w:hAnsi="Times New Roman" w:cs="Times New Roman"/>
          <w:sz w:val="24"/>
          <w:szCs w:val="24"/>
        </w:rPr>
        <w:t>-sharing</w:t>
      </w:r>
      <w:r w:rsidR="00D65CDA" w:rsidRPr="00206628">
        <w:rPr>
          <w:rFonts w:ascii="Times New Roman" w:eastAsia="Calibri" w:hAnsi="Times New Roman" w:cs="Times New Roman"/>
          <w:sz w:val="24"/>
          <w:szCs w:val="24"/>
        </w:rPr>
        <w:t xml:space="preserve"> arrangements for the MSO. </w:t>
      </w:r>
    </w:p>
    <w:p w14:paraId="76BFC2CA" w14:textId="2A9A9BEF" w:rsidR="0016559A" w:rsidRPr="00206628" w:rsidRDefault="0029193C" w:rsidP="0037564F">
      <w:pPr>
        <w:pStyle w:val="ListParagraph"/>
        <w:numPr>
          <w:ilvl w:val="0"/>
          <w:numId w:val="30"/>
        </w:numPr>
        <w:rPr>
          <w:rFonts w:ascii="Times New Roman" w:eastAsia="Calibri" w:hAnsi="Times New Roman" w:cs="Times New Roman"/>
          <w:sz w:val="24"/>
          <w:szCs w:val="24"/>
        </w:rPr>
      </w:pPr>
      <w:r w:rsidRPr="00206628">
        <w:rPr>
          <w:rFonts w:ascii="Times New Roman" w:eastAsia="Calibri" w:hAnsi="Times New Roman" w:cs="Times New Roman"/>
          <w:sz w:val="24"/>
          <w:szCs w:val="24"/>
        </w:rPr>
        <w:lastRenderedPageBreak/>
        <w:t xml:space="preserve">Paragraph 5(3)(d) allows the Secretary to determine whether importing arrangements have been made to avoid the application of the threshold levels that have been set by </w:t>
      </w:r>
      <w:r w:rsidR="0077462E" w:rsidRPr="00206628">
        <w:rPr>
          <w:rFonts w:ascii="Times New Roman" w:eastAsia="Calibri" w:hAnsi="Times New Roman" w:cs="Times New Roman"/>
          <w:sz w:val="24"/>
          <w:szCs w:val="24"/>
        </w:rPr>
        <w:br/>
      </w:r>
      <w:r w:rsidRPr="00206628">
        <w:rPr>
          <w:rFonts w:ascii="Times New Roman" w:eastAsia="Calibri" w:hAnsi="Times New Roman" w:cs="Times New Roman"/>
          <w:sz w:val="24"/>
          <w:szCs w:val="24"/>
        </w:rPr>
        <w:t>section 17 of the Rules</w:t>
      </w:r>
      <w:r w:rsidR="0016559A" w:rsidRPr="00206628">
        <w:rPr>
          <w:rFonts w:ascii="Times New Roman" w:eastAsia="Calibri" w:hAnsi="Times New Roman" w:cs="Times New Roman"/>
          <w:sz w:val="24"/>
          <w:szCs w:val="24"/>
        </w:rPr>
        <w:t>.</w:t>
      </w:r>
      <w:r w:rsidRPr="00206628">
        <w:rPr>
          <w:rFonts w:ascii="Times New Roman" w:eastAsia="Calibri" w:hAnsi="Times New Roman" w:cs="Times New Roman"/>
          <w:sz w:val="24"/>
          <w:szCs w:val="24"/>
        </w:rPr>
        <w:t xml:space="preserve"> </w:t>
      </w:r>
      <w:r w:rsidR="0016559A" w:rsidRPr="00206628">
        <w:rPr>
          <w:rFonts w:ascii="Times New Roman" w:eastAsia="Calibri" w:hAnsi="Times New Roman" w:cs="Times New Roman"/>
          <w:sz w:val="24"/>
          <w:szCs w:val="24"/>
        </w:rPr>
        <w:t xml:space="preserve">The Secretary </w:t>
      </w:r>
      <w:r w:rsidRPr="00206628">
        <w:rPr>
          <w:rFonts w:ascii="Times New Roman" w:eastAsia="Calibri" w:hAnsi="Times New Roman" w:cs="Times New Roman"/>
          <w:sz w:val="24"/>
          <w:szCs w:val="24"/>
        </w:rPr>
        <w:t xml:space="preserve">will advise entities if they believe the mechanism has been set up for this purpose. </w:t>
      </w:r>
    </w:p>
    <w:p w14:paraId="35A0B94B" w14:textId="77777777" w:rsidR="00D65CDA" w:rsidRPr="00206628" w:rsidRDefault="009C6C76" w:rsidP="0037564F">
      <w:pPr>
        <w:pStyle w:val="ListParagraph"/>
        <w:numPr>
          <w:ilvl w:val="0"/>
          <w:numId w:val="30"/>
        </w:numPr>
        <w:rPr>
          <w:rFonts w:ascii="Times New Roman" w:eastAsia="Calibri" w:hAnsi="Times New Roman" w:cs="Times New Roman"/>
          <w:sz w:val="24"/>
          <w:szCs w:val="24"/>
        </w:rPr>
      </w:pPr>
      <w:r w:rsidRPr="00206628">
        <w:rPr>
          <w:rFonts w:ascii="Times New Roman" w:eastAsia="Calibri" w:hAnsi="Times New Roman" w:cs="Times New Roman"/>
          <w:sz w:val="24"/>
          <w:szCs w:val="24"/>
        </w:rPr>
        <w:t>Paragraph 5(3)(</w:t>
      </w:r>
      <w:r w:rsidR="0029193C" w:rsidRPr="00206628">
        <w:rPr>
          <w:rFonts w:ascii="Times New Roman" w:eastAsia="Calibri" w:hAnsi="Times New Roman" w:cs="Times New Roman"/>
          <w:sz w:val="24"/>
          <w:szCs w:val="24"/>
        </w:rPr>
        <w:t>e</w:t>
      </w:r>
      <w:r w:rsidR="00D65CDA" w:rsidRPr="00206628">
        <w:rPr>
          <w:rFonts w:ascii="Times New Roman" w:eastAsia="Calibri" w:hAnsi="Times New Roman" w:cs="Times New Roman"/>
          <w:sz w:val="24"/>
          <w:szCs w:val="24"/>
        </w:rPr>
        <w:t>) captures the relevant importations that are subject to the agreement</w:t>
      </w:r>
      <w:r w:rsidR="0029193C" w:rsidRPr="00206628">
        <w:rPr>
          <w:rFonts w:ascii="Times New Roman" w:eastAsia="Calibri" w:hAnsi="Times New Roman" w:cs="Times New Roman"/>
          <w:sz w:val="24"/>
          <w:szCs w:val="24"/>
        </w:rPr>
        <w:t>. A</w:t>
      </w:r>
      <w:r w:rsidR="00D65CDA" w:rsidRPr="00206628">
        <w:rPr>
          <w:rFonts w:ascii="Times New Roman" w:eastAsia="Calibri" w:hAnsi="Times New Roman" w:cs="Times New Roman"/>
          <w:sz w:val="24"/>
          <w:szCs w:val="24"/>
        </w:rPr>
        <w:t>ll of paragraphs (3)(a) to (</w:t>
      </w:r>
      <w:r w:rsidR="0029193C" w:rsidRPr="00206628">
        <w:rPr>
          <w:rFonts w:ascii="Times New Roman" w:eastAsia="Calibri" w:hAnsi="Times New Roman" w:cs="Times New Roman"/>
          <w:sz w:val="24"/>
          <w:szCs w:val="24"/>
        </w:rPr>
        <w:t>e</w:t>
      </w:r>
      <w:r w:rsidR="00D65CDA" w:rsidRPr="00206628">
        <w:rPr>
          <w:rFonts w:ascii="Times New Roman" w:eastAsia="Calibri" w:hAnsi="Times New Roman" w:cs="Times New Roman"/>
          <w:sz w:val="24"/>
          <w:szCs w:val="24"/>
        </w:rPr>
        <w:t xml:space="preserve">) must be satisfied for </w:t>
      </w:r>
      <w:r w:rsidR="0029193C" w:rsidRPr="00206628">
        <w:rPr>
          <w:rFonts w:ascii="Times New Roman" w:eastAsia="Calibri" w:hAnsi="Times New Roman" w:cs="Times New Roman"/>
          <w:sz w:val="24"/>
          <w:szCs w:val="24"/>
        </w:rPr>
        <w:t>any amendment to MSO</w:t>
      </w:r>
      <w:r w:rsidR="00D65CDA" w:rsidRPr="00206628">
        <w:rPr>
          <w:rFonts w:ascii="Times New Roman" w:eastAsia="Calibri" w:hAnsi="Times New Roman" w:cs="Times New Roman"/>
          <w:sz w:val="24"/>
          <w:szCs w:val="24"/>
        </w:rPr>
        <w:t xml:space="preserve"> import </w:t>
      </w:r>
      <w:r w:rsidR="0029193C" w:rsidRPr="00206628">
        <w:rPr>
          <w:rFonts w:ascii="Times New Roman" w:eastAsia="Calibri" w:hAnsi="Times New Roman" w:cs="Times New Roman"/>
          <w:sz w:val="24"/>
          <w:szCs w:val="24"/>
        </w:rPr>
        <w:t xml:space="preserve">values </w:t>
      </w:r>
      <w:r w:rsidR="00D65CDA" w:rsidRPr="00206628">
        <w:rPr>
          <w:rFonts w:ascii="Times New Roman" w:eastAsia="Calibri" w:hAnsi="Times New Roman" w:cs="Times New Roman"/>
          <w:sz w:val="24"/>
          <w:szCs w:val="24"/>
        </w:rPr>
        <w:t xml:space="preserve">to occur. </w:t>
      </w:r>
    </w:p>
    <w:p w14:paraId="71F13A19" w14:textId="77777777" w:rsidR="009F37DD" w:rsidRPr="00206628" w:rsidRDefault="0016559A" w:rsidP="008A6A42">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W</w:t>
      </w:r>
      <w:r w:rsidR="00075B8E" w:rsidRPr="00206628">
        <w:rPr>
          <w:rFonts w:ascii="Times New Roman" w:eastAsia="Calibri" w:hAnsi="Times New Roman" w:cs="Times New Roman"/>
          <w:sz w:val="24"/>
          <w:szCs w:val="24"/>
        </w:rPr>
        <w:t xml:space="preserve">here imports are covered by this section, the volume of imports by the importer for paragraph (a) of the definition of “import” are still relevant to whether the thresholds in section 17 of the Rules are met and so allocating imports to other entities is not a mechanism to avoid being subject to the MSO. </w:t>
      </w:r>
      <w:r w:rsidR="00540AF7" w:rsidRPr="00206628">
        <w:rPr>
          <w:rFonts w:ascii="Times New Roman" w:eastAsia="Calibri" w:hAnsi="Times New Roman" w:cs="Times New Roman"/>
          <w:sz w:val="24"/>
          <w:szCs w:val="24"/>
        </w:rPr>
        <w:t>The reason why a primary importer would want the second entity to also import the product is that the primary importer would then no longer count the import under</w:t>
      </w:r>
      <w:r w:rsidR="00310D46" w:rsidRPr="00206628">
        <w:rPr>
          <w:rFonts w:ascii="Times New Roman" w:eastAsia="Calibri" w:hAnsi="Times New Roman" w:cs="Times New Roman"/>
          <w:sz w:val="24"/>
          <w:szCs w:val="24"/>
        </w:rPr>
        <w:t xml:space="preserve"> subsection 21(6) </w:t>
      </w:r>
      <w:r w:rsidR="007B33C5" w:rsidRPr="00206628">
        <w:rPr>
          <w:rFonts w:ascii="Times New Roman" w:eastAsia="Calibri" w:hAnsi="Times New Roman" w:cs="Times New Roman"/>
          <w:sz w:val="24"/>
          <w:szCs w:val="24"/>
        </w:rPr>
        <w:t xml:space="preserve">of the Rules </w:t>
      </w:r>
      <w:r w:rsidR="00310D46" w:rsidRPr="00206628">
        <w:rPr>
          <w:rFonts w:ascii="Times New Roman" w:eastAsia="Calibri" w:hAnsi="Times New Roman" w:cs="Times New Roman"/>
          <w:sz w:val="24"/>
          <w:szCs w:val="24"/>
        </w:rPr>
        <w:t>in the calculation of the designated quantity for a subsequent period.</w:t>
      </w:r>
    </w:p>
    <w:p w14:paraId="4E4ED8B4" w14:textId="77777777" w:rsidR="008A6A42" w:rsidRPr="00206628" w:rsidRDefault="0009094A" w:rsidP="008A6A42">
      <w:pPr>
        <w:spacing w:before="240" w:after="240"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rPr>
        <w:t>Section 6</w:t>
      </w:r>
      <w:r w:rsidR="008A6A42" w:rsidRPr="00206628">
        <w:rPr>
          <w:rFonts w:ascii="Times New Roman" w:eastAsia="Calibri" w:hAnsi="Times New Roman" w:cs="Times New Roman"/>
          <w:b/>
          <w:sz w:val="24"/>
          <w:szCs w:val="24"/>
        </w:rPr>
        <w:t xml:space="preserve"> – MSO products</w:t>
      </w:r>
    </w:p>
    <w:p w14:paraId="41DC428A" w14:textId="77777777" w:rsidR="000B3685" w:rsidRPr="00206628" w:rsidRDefault="008A6A42" w:rsidP="000611C3">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prescribes</w:t>
      </w:r>
      <w:r w:rsidR="009B34B2" w:rsidRPr="00206628">
        <w:rPr>
          <w:rFonts w:ascii="Times New Roman" w:eastAsia="Calibri" w:hAnsi="Times New Roman" w:cs="Times New Roman"/>
          <w:sz w:val="24"/>
          <w:szCs w:val="24"/>
        </w:rPr>
        <w:t xml:space="preserve"> </w:t>
      </w:r>
      <w:r w:rsidR="00FA79BF" w:rsidRPr="00206628">
        <w:rPr>
          <w:rFonts w:ascii="Times New Roman" w:eastAsia="Calibri" w:hAnsi="Times New Roman" w:cs="Times New Roman"/>
          <w:sz w:val="24"/>
          <w:szCs w:val="24"/>
        </w:rPr>
        <w:t xml:space="preserve">certain requirements </w:t>
      </w:r>
      <w:r w:rsidR="00F62D68" w:rsidRPr="00206628">
        <w:rPr>
          <w:rFonts w:ascii="Times New Roman" w:eastAsia="Calibri" w:hAnsi="Times New Roman" w:cs="Times New Roman"/>
          <w:sz w:val="24"/>
          <w:szCs w:val="24"/>
        </w:rPr>
        <w:t>for gasoline, diesel and kerosene fuels to satisfy the definition of</w:t>
      </w:r>
      <w:r w:rsidR="00FA79BF" w:rsidRPr="00206628">
        <w:rPr>
          <w:rFonts w:ascii="Times New Roman" w:eastAsia="Calibri" w:hAnsi="Times New Roman" w:cs="Times New Roman"/>
          <w:sz w:val="24"/>
          <w:szCs w:val="24"/>
        </w:rPr>
        <w:t xml:space="preserve"> </w:t>
      </w:r>
      <w:r w:rsidR="00F62D68" w:rsidRPr="00206628">
        <w:rPr>
          <w:rFonts w:ascii="Times New Roman" w:eastAsia="Calibri" w:hAnsi="Times New Roman" w:cs="Times New Roman"/>
          <w:sz w:val="24"/>
          <w:szCs w:val="24"/>
        </w:rPr>
        <w:t>“</w:t>
      </w:r>
      <w:r w:rsidR="00FA79BF" w:rsidRPr="00206628">
        <w:rPr>
          <w:rFonts w:ascii="Times New Roman" w:eastAsia="Calibri" w:hAnsi="Times New Roman" w:cs="Times New Roman"/>
          <w:sz w:val="24"/>
          <w:szCs w:val="24"/>
        </w:rPr>
        <w:t>MSO product</w:t>
      </w:r>
      <w:r w:rsidR="00F62D68" w:rsidRPr="00206628">
        <w:rPr>
          <w:rFonts w:ascii="Times New Roman" w:eastAsia="Calibri" w:hAnsi="Times New Roman" w:cs="Times New Roman"/>
          <w:sz w:val="24"/>
          <w:szCs w:val="24"/>
        </w:rPr>
        <w:t>” in section 5 of the Act</w:t>
      </w:r>
      <w:r w:rsidR="00FA79BF" w:rsidRPr="00206628">
        <w:rPr>
          <w:rFonts w:ascii="Times New Roman" w:eastAsia="Calibri" w:hAnsi="Times New Roman" w:cs="Times New Roman"/>
          <w:sz w:val="24"/>
          <w:szCs w:val="24"/>
        </w:rPr>
        <w:t xml:space="preserve">. </w:t>
      </w:r>
      <w:r w:rsidR="00F864D6" w:rsidRPr="00206628">
        <w:rPr>
          <w:rFonts w:ascii="Times New Roman" w:eastAsia="Calibri" w:hAnsi="Times New Roman" w:cs="Times New Roman"/>
          <w:sz w:val="24"/>
          <w:szCs w:val="24"/>
        </w:rPr>
        <w:t xml:space="preserve">While the terms gasoline, diesel and kerosene are consistent across Commonwealth legislation, gasoline is commonly known as petrol and kerosene is commonly known as jet fuel. </w:t>
      </w:r>
    </w:p>
    <w:p w14:paraId="39F1771C" w14:textId="77777777" w:rsidR="000611C3" w:rsidRPr="00206628" w:rsidRDefault="0009094A" w:rsidP="000611C3">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Subsection 6</w:t>
      </w:r>
      <w:r w:rsidR="00FA79BF" w:rsidRPr="00206628">
        <w:rPr>
          <w:rFonts w:ascii="Times New Roman" w:eastAsia="Calibri" w:hAnsi="Times New Roman" w:cs="Times New Roman"/>
          <w:sz w:val="24"/>
          <w:szCs w:val="24"/>
        </w:rPr>
        <w:t xml:space="preserve">(2) </w:t>
      </w:r>
      <w:r w:rsidR="00C71A77" w:rsidRPr="00206628">
        <w:rPr>
          <w:rFonts w:ascii="Times New Roman" w:eastAsia="Calibri" w:hAnsi="Times New Roman" w:cs="Times New Roman"/>
          <w:sz w:val="24"/>
          <w:szCs w:val="24"/>
        </w:rPr>
        <w:t xml:space="preserve">of the Rules </w:t>
      </w:r>
      <w:r w:rsidR="00FA79BF" w:rsidRPr="00206628">
        <w:rPr>
          <w:rFonts w:ascii="Times New Roman" w:eastAsia="Calibri" w:hAnsi="Times New Roman" w:cs="Times New Roman"/>
          <w:sz w:val="24"/>
          <w:szCs w:val="24"/>
        </w:rPr>
        <w:t xml:space="preserve">provides that gasoline and diesel must </w:t>
      </w:r>
      <w:r w:rsidR="00B00FE0" w:rsidRPr="00206628">
        <w:rPr>
          <w:rFonts w:ascii="Times New Roman" w:eastAsia="Calibri" w:hAnsi="Times New Roman" w:cs="Times New Roman"/>
          <w:sz w:val="24"/>
          <w:szCs w:val="24"/>
        </w:rPr>
        <w:t xml:space="preserve">be able to be supplied and used for on-road transport purposes consistent with standards applying under the FQS Act. </w:t>
      </w:r>
      <w:r w:rsidR="00FA79BF" w:rsidRPr="00206628">
        <w:rPr>
          <w:rFonts w:ascii="Times New Roman" w:eastAsia="Calibri" w:hAnsi="Times New Roman" w:cs="Times New Roman"/>
          <w:sz w:val="24"/>
          <w:szCs w:val="24"/>
        </w:rPr>
        <w:t xml:space="preserve">This ensures a real fuel security benefit, as it guarantees product that can actually be used for road transport </w:t>
      </w:r>
      <w:r w:rsidR="00B00FE0" w:rsidRPr="00206628">
        <w:rPr>
          <w:rFonts w:ascii="Times New Roman" w:eastAsia="Calibri" w:hAnsi="Times New Roman" w:cs="Times New Roman"/>
          <w:sz w:val="24"/>
          <w:szCs w:val="24"/>
        </w:rPr>
        <w:t xml:space="preserve">in Australia </w:t>
      </w:r>
      <w:r w:rsidR="00FA79BF" w:rsidRPr="00206628">
        <w:rPr>
          <w:rFonts w:ascii="Times New Roman" w:eastAsia="Calibri" w:hAnsi="Times New Roman" w:cs="Times New Roman"/>
          <w:sz w:val="24"/>
          <w:szCs w:val="24"/>
        </w:rPr>
        <w:t>is being maintained.  The note under this subsection specifies that some ethanol and biodiesel blends will meet this definition</w:t>
      </w:r>
      <w:r w:rsidR="00420785" w:rsidRPr="00206628">
        <w:rPr>
          <w:rFonts w:ascii="Times New Roman" w:eastAsia="Calibri" w:hAnsi="Times New Roman" w:cs="Times New Roman"/>
          <w:sz w:val="24"/>
          <w:szCs w:val="24"/>
        </w:rPr>
        <w:t xml:space="preserve"> if they are held as finished product</w:t>
      </w:r>
      <w:r w:rsidR="00FA79BF" w:rsidRPr="00206628">
        <w:rPr>
          <w:rFonts w:ascii="Times New Roman" w:eastAsia="Calibri" w:hAnsi="Times New Roman" w:cs="Times New Roman"/>
          <w:sz w:val="24"/>
          <w:szCs w:val="24"/>
        </w:rPr>
        <w:t>, and can therefore be included as MSO product.</w:t>
      </w:r>
      <w:r w:rsidR="00F76B55" w:rsidRPr="00206628">
        <w:rPr>
          <w:rFonts w:ascii="Times New Roman" w:eastAsia="Calibri" w:hAnsi="Times New Roman" w:cs="Times New Roman"/>
          <w:sz w:val="24"/>
          <w:szCs w:val="24"/>
        </w:rPr>
        <w:t xml:space="preserve"> </w:t>
      </w:r>
      <w:r w:rsidR="003A37C4" w:rsidRPr="00206628">
        <w:rPr>
          <w:rFonts w:ascii="Times New Roman" w:eastAsia="Calibri" w:hAnsi="Times New Roman" w:cs="Times New Roman"/>
          <w:sz w:val="24"/>
          <w:szCs w:val="24"/>
        </w:rPr>
        <w:t xml:space="preserve">However, biofuels are unable to be counted as an MSO product if they are being held as pure ethanol (E100) or biodiesel (B100) stock. </w:t>
      </w:r>
      <w:r w:rsidR="00F76B55" w:rsidRPr="00206628">
        <w:rPr>
          <w:rFonts w:ascii="Times New Roman" w:eastAsia="Calibri" w:hAnsi="Times New Roman" w:cs="Times New Roman"/>
          <w:sz w:val="24"/>
          <w:szCs w:val="24"/>
        </w:rPr>
        <w:t xml:space="preserve">Further information about </w:t>
      </w:r>
      <w:r w:rsidR="00960E7D" w:rsidRPr="00206628">
        <w:rPr>
          <w:rFonts w:ascii="Times New Roman" w:eastAsia="Calibri" w:hAnsi="Times New Roman" w:cs="Times New Roman"/>
          <w:sz w:val="24"/>
          <w:szCs w:val="24"/>
        </w:rPr>
        <w:t xml:space="preserve">the </w:t>
      </w:r>
      <w:r w:rsidR="00F76B55" w:rsidRPr="00206628">
        <w:rPr>
          <w:rFonts w:ascii="Times New Roman" w:eastAsia="Calibri" w:hAnsi="Times New Roman" w:cs="Times New Roman"/>
          <w:sz w:val="24"/>
          <w:szCs w:val="24"/>
        </w:rPr>
        <w:t xml:space="preserve">sub-categories of fuel </w:t>
      </w:r>
      <w:r w:rsidR="00960E7D" w:rsidRPr="00206628">
        <w:rPr>
          <w:rFonts w:ascii="Times New Roman" w:eastAsia="Calibri" w:hAnsi="Times New Roman" w:cs="Times New Roman"/>
          <w:sz w:val="24"/>
          <w:szCs w:val="24"/>
        </w:rPr>
        <w:t xml:space="preserve">that </w:t>
      </w:r>
      <w:r w:rsidR="00F76B55" w:rsidRPr="00206628">
        <w:rPr>
          <w:rFonts w:ascii="Times New Roman" w:eastAsia="Calibri" w:hAnsi="Times New Roman" w:cs="Times New Roman"/>
          <w:sz w:val="24"/>
          <w:szCs w:val="24"/>
        </w:rPr>
        <w:t xml:space="preserve">can be reported as MSO product (including biofuels) </w:t>
      </w:r>
      <w:r w:rsidR="00960E7D" w:rsidRPr="00206628">
        <w:rPr>
          <w:rFonts w:ascii="Times New Roman" w:eastAsia="Calibri" w:hAnsi="Times New Roman" w:cs="Times New Roman"/>
          <w:sz w:val="24"/>
          <w:szCs w:val="24"/>
        </w:rPr>
        <w:t xml:space="preserve">consistent with these requirements </w:t>
      </w:r>
      <w:r w:rsidR="00F76B55" w:rsidRPr="00206628">
        <w:rPr>
          <w:rFonts w:ascii="Times New Roman" w:eastAsia="Calibri" w:hAnsi="Times New Roman" w:cs="Times New Roman"/>
          <w:sz w:val="24"/>
          <w:szCs w:val="24"/>
        </w:rPr>
        <w:t xml:space="preserve">will be contained in guidance material. </w:t>
      </w:r>
      <w:r w:rsidR="00FA79BF" w:rsidRPr="00206628">
        <w:rPr>
          <w:rFonts w:ascii="Times New Roman" w:eastAsia="Calibri" w:hAnsi="Times New Roman" w:cs="Times New Roman"/>
          <w:sz w:val="24"/>
          <w:szCs w:val="24"/>
        </w:rPr>
        <w:t xml:space="preserve"> </w:t>
      </w:r>
    </w:p>
    <w:p w14:paraId="7F7331E1" w14:textId="77777777" w:rsidR="00BC1F4D" w:rsidRPr="00206628" w:rsidRDefault="0009094A" w:rsidP="000611C3">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Subsection 6</w:t>
      </w:r>
      <w:r w:rsidR="00FA79BF" w:rsidRPr="00206628">
        <w:rPr>
          <w:rFonts w:ascii="Times New Roman" w:eastAsia="Calibri" w:hAnsi="Times New Roman" w:cs="Times New Roman"/>
          <w:sz w:val="24"/>
          <w:szCs w:val="24"/>
        </w:rPr>
        <w:t>(3) allows for certain circumstances where gasoline and diesel do not initially comply with the relevant fuel quality standards for supply</w:t>
      </w:r>
      <w:r w:rsidR="0016559A" w:rsidRPr="00206628">
        <w:rPr>
          <w:rFonts w:ascii="Times New Roman" w:eastAsia="Calibri" w:hAnsi="Times New Roman" w:cs="Times New Roman"/>
          <w:sz w:val="24"/>
          <w:szCs w:val="24"/>
        </w:rPr>
        <w:t xml:space="preserve"> but</w:t>
      </w:r>
      <w:r w:rsidR="00FA79BF" w:rsidRPr="00206628">
        <w:rPr>
          <w:rFonts w:ascii="Times New Roman" w:eastAsia="Calibri" w:hAnsi="Times New Roman" w:cs="Times New Roman"/>
          <w:sz w:val="24"/>
          <w:szCs w:val="24"/>
        </w:rPr>
        <w:t xml:space="preserve"> it could reasonably be expected that the products will comply within 48 hours. A note under this provision </w:t>
      </w:r>
      <w:r w:rsidR="00BC1F4D" w:rsidRPr="00206628">
        <w:rPr>
          <w:rFonts w:ascii="Times New Roman" w:eastAsia="Calibri" w:hAnsi="Times New Roman" w:cs="Times New Roman"/>
          <w:sz w:val="24"/>
          <w:szCs w:val="24"/>
        </w:rPr>
        <w:t xml:space="preserve">states a common example provided by industry of when this may occur – </w:t>
      </w:r>
      <w:r w:rsidR="006F45EC" w:rsidRPr="00206628">
        <w:rPr>
          <w:rFonts w:ascii="Times New Roman" w:eastAsia="Calibri" w:hAnsi="Times New Roman" w:cs="Times New Roman"/>
          <w:sz w:val="24"/>
          <w:szCs w:val="24"/>
        </w:rPr>
        <w:t xml:space="preserve">that is, </w:t>
      </w:r>
      <w:r w:rsidR="00BC1F4D" w:rsidRPr="00206628">
        <w:rPr>
          <w:rFonts w:ascii="Times New Roman" w:eastAsia="Calibri" w:hAnsi="Times New Roman" w:cs="Times New Roman"/>
          <w:sz w:val="24"/>
          <w:szCs w:val="24"/>
        </w:rPr>
        <w:t>where fuel needs time to settle to meet water and sediment standards.</w:t>
      </w:r>
    </w:p>
    <w:p w14:paraId="014D743C" w14:textId="77777777" w:rsidR="00FA79BF" w:rsidRPr="00206628" w:rsidRDefault="0009094A" w:rsidP="000611C3">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Subsection 6</w:t>
      </w:r>
      <w:r w:rsidR="00BC1F4D" w:rsidRPr="00206628">
        <w:rPr>
          <w:rFonts w:ascii="Times New Roman" w:eastAsia="Calibri" w:hAnsi="Times New Roman" w:cs="Times New Roman"/>
          <w:sz w:val="24"/>
          <w:szCs w:val="24"/>
        </w:rPr>
        <w:t>(4)</w:t>
      </w:r>
      <w:r w:rsidR="000B3685" w:rsidRPr="00206628">
        <w:rPr>
          <w:rFonts w:ascii="Times New Roman" w:eastAsia="Calibri" w:hAnsi="Times New Roman" w:cs="Times New Roman"/>
          <w:sz w:val="24"/>
          <w:szCs w:val="24"/>
        </w:rPr>
        <w:t xml:space="preserve"> provides that kerosene must be </w:t>
      </w:r>
      <w:r w:rsidR="00764215" w:rsidRPr="00206628">
        <w:rPr>
          <w:rFonts w:ascii="Times New Roman" w:eastAsia="Calibri" w:hAnsi="Times New Roman" w:cs="Times New Roman"/>
          <w:sz w:val="24"/>
          <w:szCs w:val="24"/>
        </w:rPr>
        <w:t xml:space="preserve">the same as what is reported </w:t>
      </w:r>
      <w:r w:rsidR="00B00FE0" w:rsidRPr="00206628">
        <w:rPr>
          <w:rFonts w:ascii="Times New Roman" w:eastAsia="Calibri" w:hAnsi="Times New Roman" w:cs="Times New Roman"/>
          <w:sz w:val="24"/>
          <w:szCs w:val="24"/>
        </w:rPr>
        <w:t xml:space="preserve">under </w:t>
      </w:r>
      <w:r w:rsidR="00764215" w:rsidRPr="00206628">
        <w:rPr>
          <w:rFonts w:ascii="Times New Roman" w:eastAsia="Calibri" w:hAnsi="Times New Roman" w:cs="Times New Roman"/>
          <w:sz w:val="24"/>
          <w:szCs w:val="24"/>
        </w:rPr>
        <w:t xml:space="preserve">the POFR </w:t>
      </w:r>
      <w:r w:rsidR="0077462E" w:rsidRPr="00206628">
        <w:rPr>
          <w:rFonts w:ascii="Times New Roman" w:eastAsia="Calibri" w:hAnsi="Times New Roman" w:cs="Times New Roman"/>
          <w:sz w:val="24"/>
          <w:szCs w:val="24"/>
        </w:rPr>
        <w:t>R</w:t>
      </w:r>
      <w:r w:rsidR="00764215" w:rsidRPr="00206628">
        <w:rPr>
          <w:rFonts w:ascii="Times New Roman" w:eastAsia="Calibri" w:hAnsi="Times New Roman" w:cs="Times New Roman"/>
          <w:sz w:val="24"/>
          <w:szCs w:val="24"/>
        </w:rPr>
        <w:t xml:space="preserve">ules, and </w:t>
      </w:r>
      <w:r w:rsidR="000B3685" w:rsidRPr="00206628">
        <w:rPr>
          <w:rFonts w:ascii="Times New Roman" w:eastAsia="Calibri" w:hAnsi="Times New Roman" w:cs="Times New Roman"/>
          <w:sz w:val="24"/>
          <w:szCs w:val="24"/>
        </w:rPr>
        <w:t>saleable for air transport purposes</w:t>
      </w:r>
      <w:r w:rsidR="00764215" w:rsidRPr="00206628">
        <w:rPr>
          <w:rFonts w:ascii="Times New Roman" w:eastAsia="Calibri" w:hAnsi="Times New Roman" w:cs="Times New Roman"/>
          <w:sz w:val="24"/>
          <w:szCs w:val="24"/>
        </w:rPr>
        <w:t xml:space="preserve"> in Australia. Kerosene standards are aligned with international standards, so this provision remains broad enough to capture any change in these requirements. </w:t>
      </w:r>
      <w:r w:rsidR="0029193C" w:rsidRPr="00206628">
        <w:rPr>
          <w:rFonts w:ascii="Times New Roman" w:eastAsia="Calibri" w:hAnsi="Times New Roman" w:cs="Times New Roman"/>
          <w:sz w:val="24"/>
          <w:szCs w:val="24"/>
        </w:rPr>
        <w:t>Subject to</w:t>
      </w:r>
      <w:r w:rsidR="0077462E" w:rsidRPr="00206628">
        <w:rPr>
          <w:rFonts w:ascii="Times New Roman" w:eastAsia="Calibri" w:hAnsi="Times New Roman" w:cs="Times New Roman"/>
          <w:sz w:val="24"/>
          <w:szCs w:val="24"/>
        </w:rPr>
        <w:t xml:space="preserve"> the</w:t>
      </w:r>
      <w:r w:rsidR="0029193C" w:rsidRPr="00206628">
        <w:rPr>
          <w:rFonts w:ascii="Times New Roman" w:eastAsia="Calibri" w:hAnsi="Times New Roman" w:cs="Times New Roman"/>
          <w:sz w:val="24"/>
          <w:szCs w:val="24"/>
        </w:rPr>
        <w:t xml:space="preserve"> Minister’s approval, </w:t>
      </w:r>
      <w:r w:rsidR="00764215" w:rsidRPr="00206628">
        <w:rPr>
          <w:rFonts w:ascii="Times New Roman" w:eastAsia="Calibri" w:hAnsi="Times New Roman" w:cs="Times New Roman"/>
          <w:sz w:val="24"/>
          <w:szCs w:val="24"/>
        </w:rPr>
        <w:t xml:space="preserve">MSO reporting will be mandated </w:t>
      </w:r>
      <w:r w:rsidR="00764215" w:rsidRPr="00206628">
        <w:rPr>
          <w:rFonts w:ascii="Times New Roman" w:eastAsia="Calibri" w:hAnsi="Times New Roman" w:cs="Times New Roman"/>
          <w:sz w:val="24"/>
          <w:szCs w:val="24"/>
        </w:rPr>
        <w:lastRenderedPageBreak/>
        <w:t xml:space="preserve">through amendments to the POFR </w:t>
      </w:r>
      <w:r w:rsidR="0077462E" w:rsidRPr="00206628">
        <w:rPr>
          <w:rFonts w:ascii="Times New Roman" w:eastAsia="Calibri" w:hAnsi="Times New Roman" w:cs="Times New Roman"/>
          <w:sz w:val="24"/>
          <w:szCs w:val="24"/>
        </w:rPr>
        <w:t>R</w:t>
      </w:r>
      <w:r w:rsidR="00764215" w:rsidRPr="00206628">
        <w:rPr>
          <w:rFonts w:ascii="Times New Roman" w:eastAsia="Calibri" w:hAnsi="Times New Roman" w:cs="Times New Roman"/>
          <w:sz w:val="24"/>
          <w:szCs w:val="24"/>
        </w:rPr>
        <w:t xml:space="preserve">ules, so care has been taken to align the two processes to bring clarity where possible.   </w:t>
      </w:r>
      <w:r w:rsidR="000B3685" w:rsidRPr="00206628">
        <w:rPr>
          <w:rFonts w:ascii="Times New Roman" w:eastAsia="Calibri" w:hAnsi="Times New Roman" w:cs="Times New Roman"/>
          <w:sz w:val="24"/>
          <w:szCs w:val="24"/>
        </w:rPr>
        <w:t xml:space="preserve"> </w:t>
      </w:r>
      <w:r w:rsidR="007B0AE1" w:rsidRPr="00206628">
        <w:rPr>
          <w:rFonts w:ascii="Times New Roman" w:eastAsia="Calibri" w:hAnsi="Times New Roman" w:cs="Times New Roman"/>
          <w:sz w:val="24"/>
          <w:szCs w:val="24"/>
        </w:rPr>
        <w:t xml:space="preserve"> </w:t>
      </w:r>
      <w:r w:rsidR="00BC1F4D" w:rsidRPr="00206628">
        <w:rPr>
          <w:rFonts w:ascii="Times New Roman" w:eastAsia="Calibri" w:hAnsi="Times New Roman" w:cs="Times New Roman"/>
          <w:sz w:val="24"/>
          <w:szCs w:val="24"/>
        </w:rPr>
        <w:t xml:space="preserve"> </w:t>
      </w:r>
    </w:p>
    <w:p w14:paraId="1370E011" w14:textId="77777777" w:rsidR="006F45EC" w:rsidRPr="00206628" w:rsidRDefault="006F45EC" w:rsidP="000611C3">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However, this section does not preclude other kinds of fuels from being prescribed as MSO product in future as new fuel technologies emerge (see, for example, paragraph (d) of the definition of “MSO product” under section 5 of the Act or if the fuel types for existing MSO product need refinement over time).</w:t>
      </w:r>
    </w:p>
    <w:p w14:paraId="6C509D7A" w14:textId="77777777" w:rsidR="007F14C9" w:rsidRPr="00206628" w:rsidRDefault="007F14C9" w:rsidP="007F14C9">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b/>
          <w:sz w:val="24"/>
          <w:szCs w:val="24"/>
        </w:rPr>
        <w:t>Section 7 – Pipeline stocks</w:t>
      </w:r>
    </w:p>
    <w:p w14:paraId="6BB64A97" w14:textId="77777777" w:rsidR="007F14C9" w:rsidRPr="00206628" w:rsidRDefault="007F14C9" w:rsidP="007F14C9">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prescribes that, for subparagraph 20(1)(b)(iii) of the Act, stocks in pipelines are able to be included towards an entity’s MSO so long as the stocks meets certain requirements. These requirements are:</w:t>
      </w:r>
    </w:p>
    <w:p w14:paraId="4B586F6D" w14:textId="77777777" w:rsidR="007F14C9" w:rsidRPr="00206628" w:rsidRDefault="007F14C9" w:rsidP="0037564F">
      <w:pPr>
        <w:pStyle w:val="ListParagraph"/>
        <w:numPr>
          <w:ilvl w:val="0"/>
          <w:numId w:val="29"/>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The MSO product within the pipelines must be under the ownership and control of the entity reporting the stock.</w:t>
      </w:r>
    </w:p>
    <w:p w14:paraId="1AB78A15" w14:textId="77777777" w:rsidR="007F14C9" w:rsidRPr="00206628" w:rsidRDefault="007F14C9" w:rsidP="0037564F">
      <w:pPr>
        <w:pStyle w:val="ListParagraph"/>
        <w:numPr>
          <w:ilvl w:val="0"/>
          <w:numId w:val="29"/>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The MSO product must be able to be accessed in the event there is a fuel security event. This need not be a</w:t>
      </w:r>
      <w:r w:rsidRPr="00206628">
        <w:t xml:space="preserve"> </w:t>
      </w:r>
      <w:r w:rsidRPr="00206628">
        <w:rPr>
          <w:rFonts w:ascii="Times New Roman" w:eastAsia="Calibri" w:hAnsi="Times New Roman" w:cs="Times New Roman"/>
          <w:sz w:val="24"/>
          <w:szCs w:val="24"/>
        </w:rPr>
        <w:t xml:space="preserve">national liquid fuel emergency declared under the </w:t>
      </w:r>
      <w:r w:rsidRPr="00206628">
        <w:rPr>
          <w:rFonts w:ascii="Times New Roman" w:eastAsia="Calibri" w:hAnsi="Times New Roman" w:cs="Times New Roman"/>
          <w:i/>
          <w:sz w:val="24"/>
          <w:szCs w:val="24"/>
        </w:rPr>
        <w:t>Liquid Fuel Emergency Act 1984</w:t>
      </w:r>
      <w:r w:rsidRPr="00206628">
        <w:rPr>
          <w:rFonts w:ascii="Times New Roman" w:eastAsia="Calibri" w:hAnsi="Times New Roman" w:cs="Times New Roman"/>
          <w:sz w:val="24"/>
          <w:szCs w:val="24"/>
        </w:rPr>
        <w:t xml:space="preserve">, but could be a localised fuel security disruption, such as relating to natural disasters. </w:t>
      </w:r>
    </w:p>
    <w:p w14:paraId="0E39072C" w14:textId="77777777" w:rsidR="007F14C9" w:rsidRPr="00206628" w:rsidRDefault="007F14C9" w:rsidP="0037564F">
      <w:pPr>
        <w:pStyle w:val="ListParagraph"/>
        <w:numPr>
          <w:ilvl w:val="0"/>
          <w:numId w:val="29"/>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The entity’s MSO compliance plan (required under section 36 of the Act) must include the accounting and reporting framework for the MSO products within the pipelines, including specifying how those products may be accessed in a fuel security event. </w:t>
      </w:r>
    </w:p>
    <w:p w14:paraId="3CD4D7A9" w14:textId="77777777" w:rsidR="007F14C9" w:rsidRPr="00206628" w:rsidRDefault="007F14C9" w:rsidP="007F14C9">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If these requirements are not met, then MSO product within pipelines is </w:t>
      </w:r>
      <w:r w:rsidR="00017BBA" w:rsidRPr="00206628">
        <w:rPr>
          <w:rFonts w:ascii="Times New Roman" w:eastAsia="Calibri" w:hAnsi="Times New Roman" w:cs="Times New Roman"/>
          <w:sz w:val="24"/>
          <w:szCs w:val="24"/>
        </w:rPr>
        <w:t>automatically considered to be “</w:t>
      </w:r>
      <w:r w:rsidRPr="00206628">
        <w:rPr>
          <w:rFonts w:ascii="Times New Roman" w:eastAsia="Calibri" w:hAnsi="Times New Roman" w:cs="Times New Roman"/>
          <w:sz w:val="24"/>
          <w:szCs w:val="24"/>
        </w:rPr>
        <w:t>excluded stock</w:t>
      </w:r>
      <w:r w:rsidR="00017BBA" w:rsidRPr="00206628">
        <w:rPr>
          <w:rFonts w:ascii="Times New Roman" w:eastAsia="Calibri" w:hAnsi="Times New Roman" w:cs="Times New Roman"/>
          <w:sz w:val="24"/>
          <w:szCs w:val="24"/>
        </w:rPr>
        <w:t>”</w:t>
      </w:r>
      <w:r w:rsidRPr="00206628">
        <w:rPr>
          <w:rFonts w:ascii="Times New Roman" w:eastAsia="Calibri" w:hAnsi="Times New Roman" w:cs="Times New Roman"/>
          <w:sz w:val="24"/>
          <w:szCs w:val="24"/>
        </w:rPr>
        <w:t xml:space="preserve"> for the purposes of an entity’s MSO, as per </w:t>
      </w:r>
      <w:r w:rsidRPr="00206628">
        <w:rPr>
          <w:rFonts w:ascii="Times New Roman" w:eastAsia="Calibri" w:hAnsi="Times New Roman" w:cs="Times New Roman"/>
          <w:sz w:val="24"/>
          <w:szCs w:val="24"/>
        </w:rPr>
        <w:br/>
        <w:t xml:space="preserve">paragraph 20(1)(b)(iii) of the Act. </w:t>
      </w:r>
    </w:p>
    <w:p w14:paraId="4C623C78" w14:textId="6E22AB9F" w:rsidR="00764215" w:rsidRPr="00206628" w:rsidRDefault="0009094A" w:rsidP="009111CC">
      <w:pPr>
        <w:rPr>
          <w:rFonts w:ascii="Times New Roman" w:eastAsia="Calibri" w:hAnsi="Times New Roman" w:cs="Times New Roman"/>
          <w:b/>
          <w:sz w:val="24"/>
          <w:szCs w:val="24"/>
        </w:rPr>
      </w:pPr>
      <w:r w:rsidRPr="00206628">
        <w:rPr>
          <w:rFonts w:ascii="Times New Roman" w:eastAsia="Calibri" w:hAnsi="Times New Roman" w:cs="Times New Roman"/>
          <w:b/>
          <w:sz w:val="24"/>
          <w:szCs w:val="24"/>
        </w:rPr>
        <w:t xml:space="preserve">Section </w:t>
      </w:r>
      <w:r w:rsidR="007F14C9" w:rsidRPr="00206628">
        <w:rPr>
          <w:rFonts w:ascii="Times New Roman" w:eastAsia="Calibri" w:hAnsi="Times New Roman" w:cs="Times New Roman"/>
          <w:b/>
          <w:sz w:val="24"/>
          <w:szCs w:val="24"/>
        </w:rPr>
        <w:t xml:space="preserve">8 </w:t>
      </w:r>
      <w:r w:rsidR="00764215" w:rsidRPr="00206628">
        <w:rPr>
          <w:rFonts w:ascii="Times New Roman" w:eastAsia="Calibri" w:hAnsi="Times New Roman" w:cs="Times New Roman"/>
          <w:b/>
          <w:sz w:val="24"/>
          <w:szCs w:val="24"/>
        </w:rPr>
        <w:t>– Excluded stocks</w:t>
      </w:r>
    </w:p>
    <w:p w14:paraId="6FB6ABC5" w14:textId="234D2677" w:rsidR="00FA79BF" w:rsidRPr="00206628" w:rsidRDefault="00E811B6" w:rsidP="000611C3">
      <w:pPr>
        <w:spacing w:before="240" w:after="240"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prescribes that</w:t>
      </w:r>
      <w:r w:rsidR="007F14C9" w:rsidRPr="00206628">
        <w:rPr>
          <w:rFonts w:ascii="Times New Roman" w:eastAsia="Calibri" w:hAnsi="Times New Roman" w:cs="Times New Roman"/>
          <w:sz w:val="24"/>
          <w:szCs w:val="24"/>
        </w:rPr>
        <w:t>, for subsection 20(2) of the Act,</w:t>
      </w:r>
      <w:r w:rsidRPr="00206628">
        <w:rPr>
          <w:rFonts w:ascii="Times New Roman" w:eastAsia="Calibri" w:hAnsi="Times New Roman" w:cs="Times New Roman"/>
          <w:sz w:val="24"/>
          <w:szCs w:val="24"/>
        </w:rPr>
        <w:t xml:space="preserve"> </w:t>
      </w:r>
      <w:r w:rsidR="007F14C9" w:rsidRPr="00206628">
        <w:rPr>
          <w:rFonts w:ascii="Times New Roman" w:eastAsia="Calibri" w:hAnsi="Times New Roman" w:cs="Times New Roman"/>
          <w:sz w:val="24"/>
          <w:szCs w:val="24"/>
        </w:rPr>
        <w:t xml:space="preserve">stocks of </w:t>
      </w:r>
      <w:r w:rsidRPr="00206628">
        <w:rPr>
          <w:rFonts w:ascii="Times New Roman" w:eastAsia="Calibri" w:hAnsi="Times New Roman" w:cs="Times New Roman"/>
          <w:sz w:val="24"/>
          <w:szCs w:val="24"/>
        </w:rPr>
        <w:t xml:space="preserve">an MSO product </w:t>
      </w:r>
      <w:r w:rsidR="007F14C9" w:rsidRPr="00206628">
        <w:rPr>
          <w:rFonts w:ascii="Times New Roman" w:eastAsia="Calibri" w:hAnsi="Times New Roman" w:cs="Times New Roman"/>
          <w:sz w:val="24"/>
          <w:szCs w:val="24"/>
        </w:rPr>
        <w:t xml:space="preserve">are </w:t>
      </w:r>
      <w:r w:rsidRPr="00206628">
        <w:rPr>
          <w:rFonts w:ascii="Times New Roman" w:eastAsia="Calibri" w:hAnsi="Times New Roman" w:cs="Times New Roman"/>
          <w:sz w:val="24"/>
          <w:szCs w:val="24"/>
        </w:rPr>
        <w:t xml:space="preserve">excluded, and therefore cannot be counted towards an entity’s obligation, if </w:t>
      </w:r>
      <w:r w:rsidR="00164562" w:rsidRPr="00206628">
        <w:rPr>
          <w:rFonts w:ascii="Times New Roman" w:eastAsia="Calibri" w:hAnsi="Times New Roman" w:cs="Times New Roman"/>
          <w:sz w:val="24"/>
          <w:szCs w:val="24"/>
        </w:rPr>
        <w:t xml:space="preserve">they </w:t>
      </w:r>
      <w:r w:rsidRPr="00206628">
        <w:rPr>
          <w:rFonts w:ascii="Times New Roman" w:eastAsia="Calibri" w:hAnsi="Times New Roman" w:cs="Times New Roman"/>
          <w:sz w:val="24"/>
          <w:szCs w:val="24"/>
        </w:rPr>
        <w:t xml:space="preserve">do not meet the standards </w:t>
      </w:r>
      <w:r w:rsidR="006F45EC" w:rsidRPr="00206628">
        <w:rPr>
          <w:rFonts w:ascii="Times New Roman" w:eastAsia="Calibri" w:hAnsi="Times New Roman" w:cs="Times New Roman"/>
          <w:sz w:val="24"/>
          <w:szCs w:val="24"/>
        </w:rPr>
        <w:t xml:space="preserve">specified </w:t>
      </w:r>
      <w:r w:rsidRPr="00206628">
        <w:rPr>
          <w:rFonts w:ascii="Times New Roman" w:eastAsia="Calibri" w:hAnsi="Times New Roman" w:cs="Times New Roman"/>
          <w:sz w:val="24"/>
          <w:szCs w:val="24"/>
        </w:rPr>
        <w:t xml:space="preserve">in section </w:t>
      </w:r>
      <w:r w:rsidR="007909D1" w:rsidRPr="00206628">
        <w:rPr>
          <w:rFonts w:ascii="Times New Roman" w:eastAsia="Calibri" w:hAnsi="Times New Roman" w:cs="Times New Roman"/>
          <w:sz w:val="24"/>
          <w:szCs w:val="24"/>
        </w:rPr>
        <w:t xml:space="preserve">6 </w:t>
      </w:r>
      <w:r w:rsidR="003C0A34" w:rsidRPr="00206628">
        <w:rPr>
          <w:rFonts w:ascii="Times New Roman" w:eastAsia="Calibri" w:hAnsi="Times New Roman" w:cs="Times New Roman"/>
          <w:sz w:val="24"/>
          <w:szCs w:val="24"/>
        </w:rPr>
        <w:t xml:space="preserve">of the Rules </w:t>
      </w:r>
      <w:r w:rsidRPr="00206628">
        <w:rPr>
          <w:rFonts w:ascii="Times New Roman" w:eastAsia="Calibri" w:hAnsi="Times New Roman" w:cs="Times New Roman"/>
          <w:sz w:val="24"/>
          <w:szCs w:val="24"/>
        </w:rPr>
        <w:t>(</w:t>
      </w:r>
      <w:r w:rsidR="006F45EC" w:rsidRPr="00206628">
        <w:rPr>
          <w:rFonts w:ascii="Times New Roman" w:eastAsia="Calibri" w:hAnsi="Times New Roman" w:cs="Times New Roman"/>
          <w:sz w:val="24"/>
          <w:szCs w:val="24"/>
        </w:rPr>
        <w:t>see above</w:t>
      </w:r>
      <w:r w:rsidRPr="00206628">
        <w:rPr>
          <w:rFonts w:ascii="Times New Roman" w:eastAsia="Calibri" w:hAnsi="Times New Roman" w:cs="Times New Roman"/>
          <w:sz w:val="24"/>
          <w:szCs w:val="24"/>
        </w:rPr>
        <w:t xml:space="preserve">). </w:t>
      </w:r>
      <w:r w:rsidR="00960E7D" w:rsidRPr="00206628">
        <w:rPr>
          <w:rFonts w:ascii="Times New Roman" w:eastAsia="Calibri" w:hAnsi="Times New Roman" w:cs="Times New Roman"/>
          <w:sz w:val="24"/>
          <w:szCs w:val="24"/>
        </w:rPr>
        <w:t>No additional standards are prescribed.</w:t>
      </w:r>
    </w:p>
    <w:p w14:paraId="5B48844E" w14:textId="77777777" w:rsidR="00600EFF" w:rsidRPr="00206628" w:rsidRDefault="00600EFF" w:rsidP="00600EFF">
      <w:pPr>
        <w:spacing w:before="240" w:after="240"/>
        <w:rPr>
          <w:rFonts w:ascii="Times New Roman" w:eastAsia="Calibri" w:hAnsi="Times New Roman" w:cs="Times New Roman"/>
          <w:sz w:val="24"/>
          <w:szCs w:val="24"/>
        </w:rPr>
      </w:pPr>
      <w:r w:rsidRPr="00206628">
        <w:rPr>
          <w:rFonts w:ascii="Times New Roman" w:eastAsia="Calibri" w:hAnsi="Times New Roman" w:cs="Times New Roman"/>
          <w:b/>
          <w:sz w:val="24"/>
          <w:szCs w:val="24"/>
        </w:rPr>
        <w:t xml:space="preserve">Section </w:t>
      </w:r>
      <w:r w:rsidR="0009094A" w:rsidRPr="00206628">
        <w:rPr>
          <w:rFonts w:ascii="Times New Roman" w:eastAsia="Calibri" w:hAnsi="Times New Roman" w:cs="Times New Roman"/>
          <w:b/>
          <w:sz w:val="24"/>
          <w:szCs w:val="24"/>
        </w:rPr>
        <w:t>9</w:t>
      </w:r>
      <w:r w:rsidRPr="00206628">
        <w:rPr>
          <w:rFonts w:ascii="Times New Roman" w:eastAsia="Calibri" w:hAnsi="Times New Roman" w:cs="Times New Roman"/>
          <w:b/>
          <w:sz w:val="24"/>
          <w:szCs w:val="24"/>
        </w:rPr>
        <w:t xml:space="preserve"> – Stocks within exclusive economic zone boundary</w:t>
      </w:r>
    </w:p>
    <w:p w14:paraId="08088214" w14:textId="3CFD7D74" w:rsidR="00600EFF" w:rsidRPr="00206628" w:rsidRDefault="00600EFF" w:rsidP="00600EFF">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prescribes</w:t>
      </w:r>
      <w:r w:rsidR="00452AD1" w:rsidRPr="00206628">
        <w:rPr>
          <w:rFonts w:ascii="Times New Roman" w:eastAsia="Calibri" w:hAnsi="Times New Roman" w:cs="Times New Roman"/>
          <w:sz w:val="24"/>
          <w:szCs w:val="24"/>
        </w:rPr>
        <w:t xml:space="preserve"> that stocks of MSO product that are stored on a vessel</w:t>
      </w:r>
      <w:r w:rsidR="007423B8" w:rsidRPr="00206628">
        <w:rPr>
          <w:rFonts w:ascii="Times New Roman" w:eastAsia="Calibri" w:hAnsi="Times New Roman" w:cs="Times New Roman"/>
          <w:sz w:val="24"/>
          <w:szCs w:val="24"/>
        </w:rPr>
        <w:t>, are taken as being stored in Australia for the purpose of subparagraph 21(b)(iv) of the Act,</w:t>
      </w:r>
      <w:r w:rsidR="00452AD1" w:rsidRPr="00206628">
        <w:rPr>
          <w:rFonts w:ascii="Times New Roman" w:eastAsia="Calibri" w:hAnsi="Times New Roman" w:cs="Times New Roman"/>
          <w:sz w:val="24"/>
          <w:szCs w:val="24"/>
        </w:rPr>
        <w:t xml:space="preserve"> </w:t>
      </w:r>
      <w:r w:rsidR="007423B8" w:rsidRPr="00206628">
        <w:rPr>
          <w:rFonts w:ascii="Times New Roman" w:eastAsia="Calibri" w:hAnsi="Times New Roman" w:cs="Times New Roman"/>
          <w:sz w:val="24"/>
          <w:szCs w:val="24"/>
        </w:rPr>
        <w:t>and therefore able to</w:t>
      </w:r>
      <w:r w:rsidR="00452AD1" w:rsidRPr="00206628">
        <w:rPr>
          <w:rFonts w:ascii="Times New Roman" w:eastAsia="Calibri" w:hAnsi="Times New Roman" w:cs="Times New Roman"/>
          <w:sz w:val="24"/>
          <w:szCs w:val="24"/>
        </w:rPr>
        <w:t xml:space="preserve"> be counted towards an entity’s MSO</w:t>
      </w:r>
      <w:r w:rsidR="007423B8" w:rsidRPr="00206628">
        <w:rPr>
          <w:rFonts w:ascii="Times New Roman" w:eastAsia="Calibri" w:hAnsi="Times New Roman" w:cs="Times New Roman"/>
          <w:sz w:val="24"/>
          <w:szCs w:val="24"/>
        </w:rPr>
        <w:t>,</w:t>
      </w:r>
      <w:r w:rsidR="00452AD1" w:rsidRPr="00206628">
        <w:rPr>
          <w:rFonts w:ascii="Times New Roman" w:eastAsia="Calibri" w:hAnsi="Times New Roman" w:cs="Times New Roman"/>
          <w:sz w:val="24"/>
          <w:szCs w:val="24"/>
        </w:rPr>
        <w:t xml:space="preserve"> if they meet certain requirements</w:t>
      </w:r>
      <w:r w:rsidR="003C0A34" w:rsidRPr="00206628">
        <w:rPr>
          <w:rFonts w:ascii="Times New Roman" w:eastAsia="Calibri" w:hAnsi="Times New Roman" w:cs="Times New Roman"/>
          <w:sz w:val="24"/>
          <w:szCs w:val="24"/>
        </w:rPr>
        <w:t>, including</w:t>
      </w:r>
      <w:r w:rsidR="00452AD1" w:rsidRPr="00206628">
        <w:rPr>
          <w:rFonts w:ascii="Times New Roman" w:eastAsia="Calibri" w:hAnsi="Times New Roman" w:cs="Times New Roman"/>
          <w:sz w:val="24"/>
          <w:szCs w:val="24"/>
        </w:rPr>
        <w:t>:</w:t>
      </w:r>
    </w:p>
    <w:p w14:paraId="4972DDAE" w14:textId="77777777" w:rsidR="003C0A34" w:rsidRPr="00206628" w:rsidRDefault="00A57BED" w:rsidP="0037564F">
      <w:pPr>
        <w:pStyle w:val="ListParagraph"/>
        <w:numPr>
          <w:ilvl w:val="0"/>
          <w:numId w:val="54"/>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3C0A34" w:rsidRPr="00206628">
        <w:rPr>
          <w:rFonts w:ascii="Times New Roman" w:eastAsia="Calibri" w:hAnsi="Times New Roman" w:cs="Times New Roman"/>
          <w:sz w:val="24"/>
          <w:szCs w:val="24"/>
        </w:rPr>
        <w:t>he vessel is within the outer limits of Australia’s exclusive economic zone (EEZ); or</w:t>
      </w:r>
    </w:p>
    <w:p w14:paraId="56AF40B0" w14:textId="77777777" w:rsidR="003C0A34" w:rsidRPr="00206628" w:rsidRDefault="00A57BED" w:rsidP="0037564F">
      <w:pPr>
        <w:pStyle w:val="ListParagraph"/>
        <w:numPr>
          <w:ilvl w:val="0"/>
          <w:numId w:val="54"/>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452AD1" w:rsidRPr="00206628">
        <w:rPr>
          <w:rFonts w:ascii="Times New Roman" w:eastAsia="Calibri" w:hAnsi="Times New Roman" w:cs="Times New Roman"/>
          <w:sz w:val="24"/>
          <w:szCs w:val="24"/>
        </w:rPr>
        <w:t>he vessel</w:t>
      </w:r>
      <w:r w:rsidR="003C0A34" w:rsidRPr="00206628">
        <w:rPr>
          <w:rFonts w:ascii="Times New Roman" w:eastAsia="Calibri" w:hAnsi="Times New Roman" w:cs="Times New Roman"/>
          <w:sz w:val="24"/>
          <w:szCs w:val="24"/>
        </w:rPr>
        <w:t>:</w:t>
      </w:r>
    </w:p>
    <w:p w14:paraId="1C519008" w14:textId="77777777" w:rsidR="00452AD1" w:rsidRPr="00206628" w:rsidRDefault="003C0A34" w:rsidP="0022266B">
      <w:pPr>
        <w:pStyle w:val="ListParagraph"/>
        <w:numPr>
          <w:ilvl w:val="1"/>
          <w:numId w:val="2"/>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is</w:t>
      </w:r>
      <w:r w:rsidR="00452AD1" w:rsidRPr="00206628">
        <w:rPr>
          <w:rFonts w:ascii="Times New Roman" w:eastAsia="Calibri" w:hAnsi="Times New Roman" w:cs="Times New Roman"/>
          <w:sz w:val="24"/>
          <w:szCs w:val="24"/>
        </w:rPr>
        <w:t xml:space="preserve"> travelling directly to an Australian port</w:t>
      </w:r>
      <w:r w:rsidRPr="00206628">
        <w:rPr>
          <w:rFonts w:ascii="Times New Roman" w:eastAsia="Calibri" w:hAnsi="Times New Roman" w:cs="Times New Roman"/>
          <w:sz w:val="24"/>
          <w:szCs w:val="24"/>
        </w:rPr>
        <w:t>;</w:t>
      </w:r>
      <w:r w:rsidR="00452AD1" w:rsidRPr="00206628">
        <w:rPr>
          <w:rFonts w:ascii="Times New Roman" w:eastAsia="Calibri" w:hAnsi="Times New Roman" w:cs="Times New Roman"/>
          <w:sz w:val="24"/>
          <w:szCs w:val="24"/>
        </w:rPr>
        <w:t xml:space="preserve"> </w:t>
      </w:r>
      <w:r w:rsidR="00C04F91" w:rsidRPr="00206628">
        <w:rPr>
          <w:rFonts w:ascii="Times New Roman" w:eastAsia="Calibri" w:hAnsi="Times New Roman" w:cs="Times New Roman"/>
          <w:sz w:val="24"/>
          <w:szCs w:val="24"/>
        </w:rPr>
        <w:t>and</w:t>
      </w:r>
    </w:p>
    <w:p w14:paraId="000F528F" w14:textId="77777777" w:rsidR="00452AD1" w:rsidRPr="00206628" w:rsidRDefault="00452AD1" w:rsidP="0022266B">
      <w:pPr>
        <w:pStyle w:val="ListParagraph"/>
        <w:numPr>
          <w:ilvl w:val="1"/>
          <w:numId w:val="2"/>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has entered Australia’s </w:t>
      </w:r>
      <w:r w:rsidR="00FE15FD" w:rsidRPr="00206628">
        <w:rPr>
          <w:rFonts w:ascii="Times New Roman" w:eastAsia="Calibri" w:hAnsi="Times New Roman" w:cs="Times New Roman"/>
          <w:sz w:val="24"/>
          <w:szCs w:val="24"/>
        </w:rPr>
        <w:t xml:space="preserve">EEZ </w:t>
      </w:r>
      <w:r w:rsidRPr="00206628">
        <w:rPr>
          <w:rFonts w:ascii="Times New Roman" w:eastAsia="Calibri" w:hAnsi="Times New Roman" w:cs="Times New Roman"/>
          <w:sz w:val="24"/>
          <w:szCs w:val="24"/>
        </w:rPr>
        <w:t>on the way to the Australian port</w:t>
      </w:r>
      <w:r w:rsidR="003C0A34" w:rsidRPr="00206628">
        <w:rPr>
          <w:rFonts w:ascii="Times New Roman" w:eastAsia="Calibri" w:hAnsi="Times New Roman" w:cs="Times New Roman"/>
          <w:sz w:val="24"/>
          <w:szCs w:val="24"/>
        </w:rPr>
        <w:t>; and</w:t>
      </w:r>
      <w:r w:rsidRPr="00206628">
        <w:rPr>
          <w:rFonts w:ascii="Times New Roman" w:eastAsia="Calibri" w:hAnsi="Times New Roman" w:cs="Times New Roman"/>
          <w:sz w:val="24"/>
          <w:szCs w:val="24"/>
        </w:rPr>
        <w:t xml:space="preserve"> </w:t>
      </w:r>
    </w:p>
    <w:p w14:paraId="66DEEEA5" w14:textId="63C2AAD2" w:rsidR="00452AD1" w:rsidRPr="00206628" w:rsidRDefault="00452AD1" w:rsidP="0022266B">
      <w:pPr>
        <w:pStyle w:val="ListParagraph"/>
        <w:numPr>
          <w:ilvl w:val="1"/>
          <w:numId w:val="2"/>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lastRenderedPageBreak/>
        <w:t xml:space="preserve">has temporarily moved out of Australia’s </w:t>
      </w:r>
      <w:r w:rsidR="003C0A34" w:rsidRPr="00206628">
        <w:rPr>
          <w:rFonts w:ascii="Times New Roman" w:eastAsia="Calibri" w:hAnsi="Times New Roman" w:cs="Times New Roman"/>
          <w:sz w:val="24"/>
          <w:szCs w:val="24"/>
        </w:rPr>
        <w:t>EEZ</w:t>
      </w:r>
      <w:r w:rsidRPr="00206628">
        <w:rPr>
          <w:rFonts w:ascii="Times New Roman" w:eastAsia="Calibri" w:hAnsi="Times New Roman" w:cs="Times New Roman"/>
          <w:sz w:val="24"/>
          <w:szCs w:val="24"/>
        </w:rPr>
        <w:t xml:space="preserve"> while continuing on its journey to the Australian port</w:t>
      </w:r>
      <w:r w:rsidR="00FE15FD" w:rsidRPr="00206628">
        <w:rPr>
          <w:rFonts w:ascii="Times New Roman" w:eastAsia="Calibri" w:hAnsi="Times New Roman" w:cs="Times New Roman"/>
          <w:sz w:val="24"/>
          <w:szCs w:val="24"/>
        </w:rPr>
        <w:t xml:space="preserve">. For example, this allows </w:t>
      </w:r>
      <w:r w:rsidR="003A4B52" w:rsidRPr="00206628">
        <w:rPr>
          <w:rFonts w:ascii="Times New Roman" w:eastAsia="Calibri" w:hAnsi="Times New Roman" w:cs="Times New Roman"/>
          <w:sz w:val="24"/>
          <w:szCs w:val="24"/>
        </w:rPr>
        <w:t xml:space="preserve">entities </w:t>
      </w:r>
      <w:r w:rsidR="00FE15FD" w:rsidRPr="00206628">
        <w:rPr>
          <w:rFonts w:ascii="Times New Roman" w:eastAsia="Calibri" w:hAnsi="Times New Roman" w:cs="Times New Roman"/>
          <w:sz w:val="24"/>
          <w:szCs w:val="24"/>
        </w:rPr>
        <w:t xml:space="preserve">whose vessels are using shipping routes across the Great Australian Bight to include any MSO product on board </w:t>
      </w:r>
      <w:r w:rsidR="003C0A34" w:rsidRPr="00206628">
        <w:rPr>
          <w:rFonts w:ascii="Times New Roman" w:eastAsia="Calibri" w:hAnsi="Times New Roman" w:cs="Times New Roman"/>
          <w:sz w:val="24"/>
          <w:szCs w:val="24"/>
        </w:rPr>
        <w:t xml:space="preserve">the vessel </w:t>
      </w:r>
      <w:r w:rsidR="00FE15FD" w:rsidRPr="00206628">
        <w:rPr>
          <w:rFonts w:ascii="Times New Roman" w:eastAsia="Calibri" w:hAnsi="Times New Roman" w:cs="Times New Roman"/>
          <w:sz w:val="24"/>
          <w:szCs w:val="24"/>
        </w:rPr>
        <w:t>towards their MSO, despite being outside the EEZ for a short period of time.</w:t>
      </w:r>
    </w:p>
    <w:p w14:paraId="117620B7" w14:textId="752EA86B" w:rsidR="00FE15FD" w:rsidRPr="00206628" w:rsidRDefault="00FE15FD" w:rsidP="00FE15FD">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If an entity is intending to count stocks on a vessel with</w:t>
      </w:r>
      <w:r w:rsidR="00E1651E" w:rsidRPr="00206628">
        <w:rPr>
          <w:rFonts w:ascii="Times New Roman" w:eastAsia="Calibri" w:hAnsi="Times New Roman" w:cs="Times New Roman"/>
          <w:sz w:val="24"/>
          <w:szCs w:val="24"/>
        </w:rPr>
        <w:t>in</w:t>
      </w:r>
      <w:r w:rsidRPr="00206628">
        <w:rPr>
          <w:rFonts w:ascii="Times New Roman" w:eastAsia="Calibri" w:hAnsi="Times New Roman" w:cs="Times New Roman"/>
          <w:sz w:val="24"/>
          <w:szCs w:val="24"/>
        </w:rPr>
        <w:t xml:space="preserve"> the EEZ towards their MSO, they must ensure that these figures can be reported accurately</w:t>
      </w:r>
      <w:r w:rsidR="00A866A6" w:rsidRPr="00206628">
        <w:rPr>
          <w:rFonts w:ascii="Times New Roman" w:eastAsia="Calibri" w:hAnsi="Times New Roman" w:cs="Times New Roman"/>
          <w:sz w:val="24"/>
          <w:szCs w:val="24"/>
        </w:rPr>
        <w:t xml:space="preserve">, and provide the </w:t>
      </w:r>
      <w:r w:rsidR="003C0A34" w:rsidRPr="00206628">
        <w:rPr>
          <w:rFonts w:ascii="Times New Roman" w:eastAsia="Calibri" w:hAnsi="Times New Roman" w:cs="Times New Roman"/>
          <w:sz w:val="24"/>
          <w:szCs w:val="24"/>
        </w:rPr>
        <w:t xml:space="preserve">relevant </w:t>
      </w:r>
      <w:r w:rsidR="00A866A6" w:rsidRPr="00206628">
        <w:rPr>
          <w:rFonts w:ascii="Times New Roman" w:eastAsia="Calibri" w:hAnsi="Times New Roman" w:cs="Times New Roman"/>
          <w:sz w:val="24"/>
          <w:szCs w:val="24"/>
        </w:rPr>
        <w:t xml:space="preserve">data collection, reporting and record keeping framework within their MSO compliance plan (see paragraph </w:t>
      </w:r>
      <w:r w:rsidR="00690FB3" w:rsidRPr="00206628">
        <w:rPr>
          <w:rFonts w:ascii="Times New Roman" w:eastAsia="Calibri" w:hAnsi="Times New Roman" w:cs="Times New Roman"/>
          <w:sz w:val="24"/>
          <w:szCs w:val="24"/>
        </w:rPr>
        <w:t>38</w:t>
      </w:r>
      <w:r w:rsidR="00A866A6" w:rsidRPr="00206628">
        <w:rPr>
          <w:rFonts w:ascii="Times New Roman" w:eastAsia="Calibri" w:hAnsi="Times New Roman" w:cs="Times New Roman"/>
          <w:sz w:val="24"/>
          <w:szCs w:val="24"/>
        </w:rPr>
        <w:t>(1)(b)</w:t>
      </w:r>
      <w:r w:rsidR="003C0A34" w:rsidRPr="00206628">
        <w:rPr>
          <w:rFonts w:ascii="Times New Roman" w:eastAsia="Calibri" w:hAnsi="Times New Roman" w:cs="Times New Roman"/>
          <w:sz w:val="24"/>
          <w:szCs w:val="24"/>
        </w:rPr>
        <w:t xml:space="preserve"> of the Rules</w:t>
      </w:r>
      <w:r w:rsidR="00A866A6" w:rsidRPr="00206628">
        <w:rPr>
          <w:rFonts w:ascii="Times New Roman" w:eastAsia="Calibri" w:hAnsi="Times New Roman" w:cs="Times New Roman"/>
          <w:sz w:val="24"/>
          <w:szCs w:val="24"/>
        </w:rPr>
        <w:t xml:space="preserve">). </w:t>
      </w:r>
    </w:p>
    <w:p w14:paraId="7BD1B563" w14:textId="167F27D3" w:rsidR="002B3B92" w:rsidRPr="00206628" w:rsidRDefault="002B3B92" w:rsidP="002B3B92">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The note </w:t>
      </w:r>
      <w:r w:rsidR="0009094A" w:rsidRPr="00206628">
        <w:rPr>
          <w:rFonts w:ascii="Times New Roman" w:eastAsia="Calibri" w:hAnsi="Times New Roman" w:cs="Times New Roman"/>
          <w:sz w:val="24"/>
          <w:szCs w:val="24"/>
        </w:rPr>
        <w:t>to section 9</w:t>
      </w:r>
      <w:r w:rsidRPr="00206628">
        <w:rPr>
          <w:rFonts w:ascii="Times New Roman" w:eastAsia="Calibri" w:hAnsi="Times New Roman" w:cs="Times New Roman"/>
          <w:sz w:val="24"/>
          <w:szCs w:val="24"/>
        </w:rPr>
        <w:t xml:space="preserve"> </w:t>
      </w:r>
      <w:r w:rsidR="00B34833" w:rsidRPr="00206628">
        <w:rPr>
          <w:rFonts w:ascii="Times New Roman" w:eastAsia="Calibri" w:hAnsi="Times New Roman" w:cs="Times New Roman"/>
          <w:sz w:val="24"/>
          <w:szCs w:val="24"/>
        </w:rPr>
        <w:t xml:space="preserve">of the Rules </w:t>
      </w:r>
      <w:r w:rsidRPr="00206628">
        <w:rPr>
          <w:rFonts w:ascii="Times New Roman" w:eastAsia="Calibri" w:hAnsi="Times New Roman" w:cs="Times New Roman"/>
          <w:sz w:val="24"/>
          <w:szCs w:val="24"/>
        </w:rPr>
        <w:t>advises that</w:t>
      </w:r>
      <w:r w:rsidRPr="00206628">
        <w:t xml:space="preserve"> </w:t>
      </w:r>
      <w:r w:rsidRPr="00206628">
        <w:rPr>
          <w:rFonts w:ascii="Times New Roman" w:eastAsia="Calibri" w:hAnsi="Times New Roman" w:cs="Times New Roman"/>
          <w:sz w:val="24"/>
          <w:szCs w:val="24"/>
        </w:rPr>
        <w:t xml:space="preserve">EEZ </w:t>
      </w:r>
      <w:r w:rsidR="006E01E5" w:rsidRPr="00206628">
        <w:rPr>
          <w:rFonts w:ascii="Times New Roman" w:eastAsia="Calibri" w:hAnsi="Times New Roman" w:cs="Times New Roman"/>
          <w:sz w:val="24"/>
          <w:szCs w:val="24"/>
        </w:rPr>
        <w:t xml:space="preserve">is defined in </w:t>
      </w:r>
      <w:r w:rsidRPr="00206628">
        <w:rPr>
          <w:rFonts w:ascii="Times New Roman" w:eastAsia="Calibri" w:hAnsi="Times New Roman" w:cs="Times New Roman"/>
          <w:sz w:val="24"/>
          <w:szCs w:val="24"/>
        </w:rPr>
        <w:t xml:space="preserve">section 2B of the </w:t>
      </w:r>
      <w:r w:rsidRPr="00206628">
        <w:rPr>
          <w:rFonts w:ascii="Times New Roman" w:eastAsia="Calibri" w:hAnsi="Times New Roman" w:cs="Times New Roman"/>
          <w:i/>
          <w:sz w:val="24"/>
          <w:szCs w:val="24"/>
        </w:rPr>
        <w:t>Acts Interpretation Act 1901</w:t>
      </w:r>
      <w:r w:rsidRPr="00206628">
        <w:rPr>
          <w:rFonts w:ascii="Times New Roman" w:eastAsia="Calibri" w:hAnsi="Times New Roman" w:cs="Times New Roman"/>
          <w:sz w:val="24"/>
          <w:szCs w:val="24"/>
        </w:rPr>
        <w:t xml:space="preserve">. This </w:t>
      </w:r>
      <w:r w:rsidR="00A57BED" w:rsidRPr="00206628">
        <w:rPr>
          <w:rFonts w:ascii="Times New Roman" w:eastAsia="Calibri" w:hAnsi="Times New Roman" w:cs="Times New Roman"/>
          <w:sz w:val="24"/>
          <w:szCs w:val="24"/>
        </w:rPr>
        <w:t>defines the EEZ consistently with</w:t>
      </w:r>
      <w:r w:rsidR="006E01E5" w:rsidRPr="00206628">
        <w:t xml:space="preserve"> </w:t>
      </w:r>
      <w:r w:rsidR="006E01E5" w:rsidRPr="00206628">
        <w:rPr>
          <w:rFonts w:ascii="Times New Roman" w:eastAsia="Calibri" w:hAnsi="Times New Roman" w:cs="Times New Roman"/>
          <w:sz w:val="24"/>
          <w:szCs w:val="24"/>
        </w:rPr>
        <w:t xml:space="preserve">the </w:t>
      </w:r>
      <w:r w:rsidR="006E01E5" w:rsidRPr="00206628">
        <w:rPr>
          <w:rFonts w:ascii="Times New Roman" w:eastAsia="Calibri" w:hAnsi="Times New Roman" w:cs="Times New Roman"/>
          <w:i/>
          <w:sz w:val="24"/>
          <w:szCs w:val="24"/>
        </w:rPr>
        <w:t>Seas and Submerged Lands Act 1973</w:t>
      </w:r>
      <w:r w:rsidR="007423B8" w:rsidRPr="00206628">
        <w:rPr>
          <w:rFonts w:ascii="Times New Roman" w:eastAsia="Calibri" w:hAnsi="Times New Roman" w:cs="Times New Roman"/>
          <w:sz w:val="24"/>
          <w:szCs w:val="24"/>
        </w:rPr>
        <w:t>, which in turn defines EEZ as having the same meaning as in</w:t>
      </w:r>
      <w:r w:rsidR="00A57BED" w:rsidRPr="00206628">
        <w:rPr>
          <w:rFonts w:ascii="Times New Roman" w:eastAsia="Calibri" w:hAnsi="Times New Roman" w:cs="Times New Roman"/>
          <w:sz w:val="24"/>
          <w:szCs w:val="24"/>
        </w:rPr>
        <w:t xml:space="preserve"> Articles 55 and 57 of the United Nations Convention on the Law of the Sea done at Montego Bay on 10 December 1982, and </w:t>
      </w:r>
      <w:r w:rsidRPr="00206628">
        <w:rPr>
          <w:rFonts w:ascii="Times New Roman" w:eastAsia="Calibri" w:hAnsi="Times New Roman" w:cs="Times New Roman"/>
          <w:sz w:val="24"/>
          <w:szCs w:val="24"/>
        </w:rPr>
        <w:t xml:space="preserve">ensures consistency with </w:t>
      </w:r>
      <w:r w:rsidR="00A57BED" w:rsidRPr="00206628">
        <w:rPr>
          <w:rFonts w:ascii="Times New Roman" w:eastAsia="Calibri" w:hAnsi="Times New Roman" w:cs="Times New Roman"/>
          <w:sz w:val="24"/>
          <w:szCs w:val="24"/>
        </w:rPr>
        <w:t>other Commonwealth laws</w:t>
      </w:r>
      <w:r w:rsidR="00A57BED" w:rsidRPr="00206628">
        <w:t xml:space="preserve"> </w:t>
      </w:r>
      <w:r w:rsidR="00A57BED" w:rsidRPr="00206628">
        <w:rPr>
          <w:rFonts w:ascii="Times New Roman" w:eastAsia="Calibri" w:hAnsi="Times New Roman" w:cs="Times New Roman"/>
          <w:sz w:val="24"/>
          <w:szCs w:val="24"/>
        </w:rPr>
        <w:t>in the application of this term.</w:t>
      </w:r>
    </w:p>
    <w:p w14:paraId="37289DE9" w14:textId="27277497" w:rsidR="0009094A" w:rsidRPr="00206628" w:rsidRDefault="0009094A" w:rsidP="002B3B92">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Importantly, </w:t>
      </w:r>
      <w:r w:rsidR="000D22BD" w:rsidRPr="00206628">
        <w:rPr>
          <w:rFonts w:ascii="Times New Roman" w:eastAsia="Calibri" w:hAnsi="Times New Roman" w:cs="Times New Roman"/>
          <w:sz w:val="24"/>
          <w:szCs w:val="24"/>
        </w:rPr>
        <w:t>the requirements under section 9 of the Rules are</w:t>
      </w:r>
      <w:r w:rsidRPr="00206628">
        <w:rPr>
          <w:rFonts w:ascii="Times New Roman" w:eastAsia="Calibri" w:hAnsi="Times New Roman" w:cs="Times New Roman"/>
          <w:sz w:val="24"/>
          <w:szCs w:val="24"/>
        </w:rPr>
        <w:t xml:space="preserve"> in addition to the circumstances in subparagraphs 21(b)(i), (ii) and (iii) of the Act which include stocks on vessels in an Australian port, moored waiting to enter an Australian port or travelling directly from an Australian port to another Australian port. </w:t>
      </w:r>
    </w:p>
    <w:p w14:paraId="2C3ED2BB" w14:textId="77777777" w:rsidR="00FE15FD" w:rsidRPr="00206628" w:rsidRDefault="0009094A" w:rsidP="00FE15FD">
      <w:pPr>
        <w:spacing w:before="240" w:after="240"/>
        <w:rPr>
          <w:rFonts w:ascii="Times New Roman" w:eastAsia="Calibri" w:hAnsi="Times New Roman" w:cs="Times New Roman"/>
          <w:sz w:val="24"/>
          <w:szCs w:val="24"/>
        </w:rPr>
      </w:pPr>
      <w:r w:rsidRPr="00206628">
        <w:rPr>
          <w:rFonts w:ascii="Times New Roman" w:eastAsia="Calibri" w:hAnsi="Times New Roman" w:cs="Times New Roman"/>
          <w:b/>
          <w:sz w:val="24"/>
          <w:szCs w:val="24"/>
        </w:rPr>
        <w:t>Section 10</w:t>
      </w:r>
      <w:r w:rsidR="00FE15FD" w:rsidRPr="00206628">
        <w:rPr>
          <w:rFonts w:ascii="Times New Roman" w:eastAsia="Calibri" w:hAnsi="Times New Roman" w:cs="Times New Roman"/>
          <w:b/>
          <w:sz w:val="24"/>
          <w:szCs w:val="24"/>
        </w:rPr>
        <w:t xml:space="preserve"> – Jointly owned stocks</w:t>
      </w:r>
    </w:p>
    <w:p w14:paraId="012716AC" w14:textId="77777777" w:rsidR="00FE15FD" w:rsidRPr="00206628" w:rsidRDefault="00FE15FD" w:rsidP="00FE15FD">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prescribes that</w:t>
      </w:r>
      <w:r w:rsidR="003230A4" w:rsidRPr="00206628">
        <w:rPr>
          <w:rFonts w:ascii="Times New Roman" w:eastAsia="Calibri" w:hAnsi="Times New Roman" w:cs="Times New Roman"/>
          <w:sz w:val="24"/>
          <w:szCs w:val="24"/>
        </w:rPr>
        <w:t xml:space="preserve">, </w:t>
      </w:r>
      <w:r w:rsidR="00A866A6" w:rsidRPr="00206628">
        <w:rPr>
          <w:rFonts w:ascii="Times New Roman" w:eastAsia="Calibri" w:hAnsi="Times New Roman" w:cs="Times New Roman"/>
          <w:sz w:val="24"/>
          <w:szCs w:val="24"/>
        </w:rPr>
        <w:t xml:space="preserve">in a situation where stock of MSO product is held by more than one entity (due to a range of different commercial arrangements), </w:t>
      </w:r>
      <w:r w:rsidR="003230A4" w:rsidRPr="00206628">
        <w:rPr>
          <w:rFonts w:ascii="Times New Roman" w:eastAsia="Calibri" w:hAnsi="Times New Roman" w:cs="Times New Roman"/>
          <w:sz w:val="24"/>
          <w:szCs w:val="24"/>
        </w:rPr>
        <w:t>the amount of stock held by each entity must be</w:t>
      </w:r>
      <w:r w:rsidR="00A57BED" w:rsidRPr="00206628">
        <w:rPr>
          <w:rFonts w:ascii="Times New Roman" w:eastAsia="Calibri" w:hAnsi="Times New Roman" w:cs="Times New Roman"/>
          <w:sz w:val="24"/>
          <w:szCs w:val="24"/>
        </w:rPr>
        <w:t xml:space="preserve"> either</w:t>
      </w:r>
      <w:r w:rsidR="003230A4" w:rsidRPr="00206628">
        <w:rPr>
          <w:rFonts w:ascii="Times New Roman" w:eastAsia="Calibri" w:hAnsi="Times New Roman" w:cs="Times New Roman"/>
          <w:sz w:val="24"/>
          <w:szCs w:val="24"/>
        </w:rPr>
        <w:t>:</w:t>
      </w:r>
    </w:p>
    <w:p w14:paraId="539D6394" w14:textId="77777777" w:rsidR="003230A4" w:rsidRPr="00206628" w:rsidRDefault="00A57BED" w:rsidP="0037564F">
      <w:pPr>
        <w:pStyle w:val="ListParagraph"/>
        <w:numPr>
          <w:ilvl w:val="0"/>
          <w:numId w:val="31"/>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a</w:t>
      </w:r>
      <w:r w:rsidR="003230A4" w:rsidRPr="00206628">
        <w:rPr>
          <w:rFonts w:ascii="Times New Roman" w:eastAsia="Calibri" w:hAnsi="Times New Roman" w:cs="Times New Roman"/>
          <w:sz w:val="24"/>
          <w:szCs w:val="24"/>
        </w:rPr>
        <w:t>llocated via a written agreement between the entities for the purposes of complying with pa</w:t>
      </w:r>
      <w:r w:rsidR="0009094A" w:rsidRPr="00206628">
        <w:rPr>
          <w:rFonts w:ascii="Times New Roman" w:eastAsia="Calibri" w:hAnsi="Times New Roman" w:cs="Times New Roman"/>
          <w:sz w:val="24"/>
          <w:szCs w:val="24"/>
        </w:rPr>
        <w:t>ragraph 10</w:t>
      </w:r>
      <w:r w:rsidR="003230A4" w:rsidRPr="00206628">
        <w:rPr>
          <w:rFonts w:ascii="Times New Roman" w:eastAsia="Calibri" w:hAnsi="Times New Roman" w:cs="Times New Roman"/>
          <w:sz w:val="24"/>
          <w:szCs w:val="24"/>
        </w:rPr>
        <w:t>(a)</w:t>
      </w:r>
      <w:r w:rsidR="000D22BD" w:rsidRPr="00206628">
        <w:rPr>
          <w:rFonts w:ascii="Times New Roman" w:eastAsia="Calibri" w:hAnsi="Times New Roman" w:cs="Times New Roman"/>
          <w:sz w:val="24"/>
          <w:szCs w:val="24"/>
        </w:rPr>
        <w:t xml:space="preserve"> of the Rules</w:t>
      </w:r>
      <w:r w:rsidR="003230A4" w:rsidRPr="00206628">
        <w:rPr>
          <w:rFonts w:ascii="Times New Roman" w:eastAsia="Calibri" w:hAnsi="Times New Roman" w:cs="Times New Roman"/>
          <w:sz w:val="24"/>
          <w:szCs w:val="24"/>
        </w:rPr>
        <w:t xml:space="preserve">; or </w:t>
      </w:r>
    </w:p>
    <w:p w14:paraId="58020D37" w14:textId="77777777" w:rsidR="003230A4" w:rsidRPr="00206628" w:rsidRDefault="00A57BED" w:rsidP="0037564F">
      <w:pPr>
        <w:pStyle w:val="ListParagraph"/>
        <w:numPr>
          <w:ilvl w:val="0"/>
          <w:numId w:val="31"/>
        </w:num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a</w:t>
      </w:r>
      <w:r w:rsidR="003230A4" w:rsidRPr="00206628">
        <w:rPr>
          <w:rFonts w:ascii="Times New Roman" w:eastAsia="Calibri" w:hAnsi="Times New Roman" w:cs="Times New Roman"/>
          <w:sz w:val="24"/>
          <w:szCs w:val="24"/>
        </w:rPr>
        <w:t xml:space="preserve">llocated to each entity based on their share of ownership of the stocks. </w:t>
      </w:r>
    </w:p>
    <w:p w14:paraId="61C1E439" w14:textId="29EBBE22" w:rsidR="003230A4" w:rsidRPr="00206628" w:rsidRDefault="003230A4" w:rsidP="003230A4">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ensures that jointly owned stocks cannot be double-counted, and that there must be one of the above mechanisms in place to determine the amount of stock each entity can count towards their MSO, if any. </w:t>
      </w:r>
      <w:r w:rsidR="00690FB3" w:rsidRPr="00206628">
        <w:rPr>
          <w:rFonts w:ascii="Times New Roman" w:eastAsia="Calibri" w:hAnsi="Times New Roman" w:cs="Times New Roman"/>
          <w:sz w:val="24"/>
          <w:szCs w:val="24"/>
        </w:rPr>
        <w:t xml:space="preserve">Any allocation of stocks by </w:t>
      </w:r>
      <w:r w:rsidR="000B6786" w:rsidRPr="00206628">
        <w:rPr>
          <w:rFonts w:ascii="Times New Roman" w:eastAsia="Calibri" w:hAnsi="Times New Roman" w:cs="Times New Roman"/>
          <w:sz w:val="24"/>
          <w:szCs w:val="24"/>
        </w:rPr>
        <w:t>written agreement</w:t>
      </w:r>
      <w:r w:rsidR="00690FB3" w:rsidRPr="00206628">
        <w:rPr>
          <w:rFonts w:ascii="Times New Roman" w:eastAsia="Calibri" w:hAnsi="Times New Roman" w:cs="Times New Roman"/>
          <w:sz w:val="24"/>
          <w:szCs w:val="24"/>
        </w:rPr>
        <w:t xml:space="preserve"> between entitie</w:t>
      </w:r>
      <w:r w:rsidR="000B6786" w:rsidRPr="00206628">
        <w:rPr>
          <w:rFonts w:ascii="Times New Roman" w:eastAsia="Calibri" w:hAnsi="Times New Roman" w:cs="Times New Roman"/>
          <w:sz w:val="24"/>
          <w:szCs w:val="24"/>
        </w:rPr>
        <w:t xml:space="preserve">s must explicitly </w:t>
      </w:r>
      <w:r w:rsidR="00690FB3" w:rsidRPr="00206628">
        <w:rPr>
          <w:rFonts w:ascii="Times New Roman" w:eastAsia="Calibri" w:hAnsi="Times New Roman" w:cs="Times New Roman"/>
          <w:sz w:val="24"/>
          <w:szCs w:val="24"/>
        </w:rPr>
        <w:t>state that it is an allocation of stocks for the purpose of paragraph 10(a) of the Rules</w:t>
      </w:r>
      <w:r w:rsidR="000B6786" w:rsidRPr="00206628">
        <w:rPr>
          <w:rFonts w:ascii="Times New Roman" w:eastAsia="Calibri" w:hAnsi="Times New Roman" w:cs="Times New Roman"/>
          <w:sz w:val="24"/>
          <w:szCs w:val="24"/>
        </w:rPr>
        <w:t xml:space="preserve"> to ensure that the impact of the allocation is understood by each party to the agreement.</w:t>
      </w:r>
    </w:p>
    <w:p w14:paraId="665D5877" w14:textId="77777777" w:rsidR="003230A4" w:rsidRPr="00206628" w:rsidRDefault="0009094A" w:rsidP="003230A4">
      <w:pPr>
        <w:spacing w:before="240" w:after="240"/>
        <w:rPr>
          <w:rFonts w:ascii="Times New Roman" w:eastAsia="Calibri" w:hAnsi="Times New Roman" w:cs="Times New Roman"/>
          <w:sz w:val="24"/>
          <w:szCs w:val="24"/>
        </w:rPr>
      </w:pPr>
      <w:r w:rsidRPr="00206628">
        <w:rPr>
          <w:rFonts w:ascii="Times New Roman" w:eastAsia="Calibri" w:hAnsi="Times New Roman" w:cs="Times New Roman"/>
          <w:b/>
          <w:sz w:val="24"/>
          <w:szCs w:val="24"/>
        </w:rPr>
        <w:t>Section 11</w:t>
      </w:r>
      <w:r w:rsidR="003230A4" w:rsidRPr="00206628">
        <w:rPr>
          <w:rFonts w:ascii="Times New Roman" w:eastAsia="Calibri" w:hAnsi="Times New Roman" w:cs="Times New Roman"/>
          <w:b/>
          <w:sz w:val="24"/>
          <w:szCs w:val="24"/>
        </w:rPr>
        <w:t xml:space="preserve"> – Entity entitled to take ownership of stocks</w:t>
      </w:r>
    </w:p>
    <w:p w14:paraId="2617AD71" w14:textId="4CB33D39" w:rsidR="003230A4" w:rsidRPr="00206628" w:rsidRDefault="003230A4" w:rsidP="003230A4">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prescribes that to comply with the legally enforceable arrangement requiremen</w:t>
      </w:r>
      <w:r w:rsidR="00DF6373" w:rsidRPr="00206628">
        <w:rPr>
          <w:rFonts w:ascii="Times New Roman" w:eastAsia="Calibri" w:hAnsi="Times New Roman" w:cs="Times New Roman"/>
          <w:sz w:val="24"/>
          <w:szCs w:val="24"/>
        </w:rPr>
        <w:t xml:space="preserve">t for paragraph 23(c) of the </w:t>
      </w:r>
      <w:r w:rsidRPr="00206628">
        <w:rPr>
          <w:rFonts w:ascii="Times New Roman" w:eastAsia="Calibri" w:hAnsi="Times New Roman" w:cs="Times New Roman"/>
          <w:sz w:val="24"/>
          <w:szCs w:val="24"/>
        </w:rPr>
        <w:t xml:space="preserve">Act, the arrangement must be in writing and explicitly provide another entity (entity 1) with the </w:t>
      </w:r>
      <w:r w:rsidR="00A710FA" w:rsidRPr="00206628">
        <w:rPr>
          <w:rFonts w:ascii="Times New Roman" w:eastAsia="Calibri" w:hAnsi="Times New Roman" w:cs="Times New Roman"/>
          <w:sz w:val="24"/>
          <w:szCs w:val="24"/>
        </w:rPr>
        <w:t xml:space="preserve">legally enforceable </w:t>
      </w:r>
      <w:r w:rsidRPr="00206628">
        <w:rPr>
          <w:rFonts w:ascii="Times New Roman" w:eastAsia="Calibri" w:hAnsi="Times New Roman" w:cs="Times New Roman"/>
          <w:sz w:val="24"/>
          <w:szCs w:val="24"/>
        </w:rPr>
        <w:t xml:space="preserve">right to take possession of the stocks </w:t>
      </w:r>
      <w:r w:rsidR="0003574E" w:rsidRPr="00206628">
        <w:rPr>
          <w:rFonts w:ascii="Times New Roman" w:eastAsia="Calibri" w:hAnsi="Times New Roman" w:cs="Times New Roman"/>
          <w:sz w:val="24"/>
          <w:szCs w:val="24"/>
        </w:rPr>
        <w:t xml:space="preserve">of MSO product </w:t>
      </w:r>
      <w:r w:rsidRPr="00206628">
        <w:rPr>
          <w:rFonts w:ascii="Times New Roman" w:eastAsia="Calibri" w:hAnsi="Times New Roman" w:cs="Times New Roman"/>
          <w:sz w:val="24"/>
          <w:szCs w:val="24"/>
        </w:rPr>
        <w:t xml:space="preserve">and remove them </w:t>
      </w:r>
      <w:r w:rsidR="007C5EEC" w:rsidRPr="00206628">
        <w:rPr>
          <w:rFonts w:ascii="Times New Roman" w:eastAsia="Calibri" w:hAnsi="Times New Roman" w:cs="Times New Roman"/>
          <w:sz w:val="24"/>
          <w:szCs w:val="24"/>
        </w:rPr>
        <w:t>from</w:t>
      </w:r>
      <w:r w:rsidRPr="00206628">
        <w:rPr>
          <w:rFonts w:ascii="Times New Roman" w:eastAsia="Calibri" w:hAnsi="Times New Roman" w:cs="Times New Roman"/>
          <w:sz w:val="24"/>
          <w:szCs w:val="24"/>
        </w:rPr>
        <w:t xml:space="preserve"> storage. This would </w:t>
      </w:r>
      <w:r w:rsidR="00B5015F" w:rsidRPr="00206628">
        <w:rPr>
          <w:rFonts w:ascii="Times New Roman" w:eastAsia="Calibri" w:hAnsi="Times New Roman" w:cs="Times New Roman"/>
          <w:sz w:val="24"/>
          <w:szCs w:val="24"/>
        </w:rPr>
        <w:t>enable</w:t>
      </w:r>
      <w:r w:rsidRPr="00206628">
        <w:rPr>
          <w:rFonts w:ascii="Times New Roman" w:eastAsia="Calibri" w:hAnsi="Times New Roman" w:cs="Times New Roman"/>
          <w:sz w:val="24"/>
          <w:szCs w:val="24"/>
        </w:rPr>
        <w:t xml:space="preserve"> entity 1 to count these stocks towards their MSO.  </w:t>
      </w:r>
    </w:p>
    <w:p w14:paraId="75658437" w14:textId="77777777" w:rsidR="007C5EEC" w:rsidRPr="00206628" w:rsidRDefault="007C5EEC" w:rsidP="003230A4">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lastRenderedPageBreak/>
        <w:t xml:space="preserve">Stock that is </w:t>
      </w:r>
      <w:r w:rsidR="00DF6373" w:rsidRPr="00206628">
        <w:rPr>
          <w:rFonts w:ascii="Times New Roman" w:eastAsia="Calibri" w:hAnsi="Times New Roman" w:cs="Times New Roman"/>
          <w:sz w:val="24"/>
          <w:szCs w:val="24"/>
        </w:rPr>
        <w:t xml:space="preserve">held under section 23 of the </w:t>
      </w:r>
      <w:r w:rsidRPr="00206628">
        <w:rPr>
          <w:rFonts w:ascii="Times New Roman" w:eastAsia="Calibri" w:hAnsi="Times New Roman" w:cs="Times New Roman"/>
          <w:sz w:val="24"/>
          <w:szCs w:val="24"/>
        </w:rPr>
        <w:t>Act must be reported</w:t>
      </w:r>
      <w:r w:rsidR="0003574E" w:rsidRPr="00206628">
        <w:rPr>
          <w:rFonts w:ascii="Times New Roman" w:eastAsia="Calibri" w:hAnsi="Times New Roman" w:cs="Times New Roman"/>
          <w:sz w:val="24"/>
          <w:szCs w:val="24"/>
        </w:rPr>
        <w:t xml:space="preserve"> under the POFR </w:t>
      </w:r>
      <w:r w:rsidR="0077462E" w:rsidRPr="00206628">
        <w:rPr>
          <w:rFonts w:ascii="Times New Roman" w:eastAsia="Calibri" w:hAnsi="Times New Roman" w:cs="Times New Roman"/>
          <w:sz w:val="24"/>
          <w:szCs w:val="24"/>
        </w:rPr>
        <w:t>R</w:t>
      </w:r>
      <w:r w:rsidR="00B5015F" w:rsidRPr="00206628">
        <w:rPr>
          <w:rFonts w:ascii="Times New Roman" w:eastAsia="Calibri" w:hAnsi="Times New Roman" w:cs="Times New Roman"/>
          <w:sz w:val="24"/>
          <w:szCs w:val="24"/>
        </w:rPr>
        <w:t>ules</w:t>
      </w:r>
      <w:r w:rsidRPr="00206628">
        <w:rPr>
          <w:rFonts w:ascii="Times New Roman" w:eastAsia="Calibri" w:hAnsi="Times New Roman" w:cs="Times New Roman"/>
          <w:sz w:val="24"/>
          <w:szCs w:val="24"/>
        </w:rPr>
        <w:t>, including the name</w:t>
      </w:r>
      <w:r w:rsidR="00B5015F" w:rsidRPr="00206628">
        <w:rPr>
          <w:rFonts w:ascii="Times New Roman" w:eastAsia="Calibri" w:hAnsi="Times New Roman" w:cs="Times New Roman"/>
          <w:sz w:val="24"/>
          <w:szCs w:val="24"/>
        </w:rPr>
        <w:t>s</w:t>
      </w:r>
      <w:r w:rsidRPr="00206628">
        <w:rPr>
          <w:rFonts w:ascii="Times New Roman" w:eastAsia="Calibri" w:hAnsi="Times New Roman" w:cs="Times New Roman"/>
          <w:sz w:val="24"/>
          <w:szCs w:val="24"/>
        </w:rPr>
        <w:t xml:space="preserve"> of the entit</w:t>
      </w:r>
      <w:r w:rsidR="00B5015F" w:rsidRPr="00206628">
        <w:t>i</w:t>
      </w:r>
      <w:r w:rsidR="00B5015F" w:rsidRPr="00206628">
        <w:rPr>
          <w:rFonts w:ascii="Times New Roman" w:eastAsia="Calibri" w:hAnsi="Times New Roman" w:cs="Times New Roman"/>
          <w:sz w:val="24"/>
          <w:szCs w:val="24"/>
        </w:rPr>
        <w:t xml:space="preserve">es who are parties to the legally enforceable arrangement </w:t>
      </w:r>
      <w:r w:rsidR="0009094A" w:rsidRPr="00206628">
        <w:rPr>
          <w:rFonts w:ascii="Times New Roman" w:eastAsia="Calibri" w:hAnsi="Times New Roman" w:cs="Times New Roman"/>
          <w:sz w:val="24"/>
          <w:szCs w:val="24"/>
        </w:rPr>
        <w:t xml:space="preserve">(see section 19E </w:t>
      </w:r>
      <w:r w:rsidRPr="00206628">
        <w:rPr>
          <w:rFonts w:ascii="Times New Roman" w:eastAsia="Calibri" w:hAnsi="Times New Roman" w:cs="Times New Roman"/>
          <w:sz w:val="24"/>
          <w:szCs w:val="24"/>
        </w:rPr>
        <w:t xml:space="preserve">of the POFR </w:t>
      </w:r>
      <w:r w:rsidR="0077462E" w:rsidRPr="00206628">
        <w:rPr>
          <w:rFonts w:ascii="Times New Roman" w:eastAsia="Calibri" w:hAnsi="Times New Roman" w:cs="Times New Roman"/>
          <w:sz w:val="24"/>
          <w:szCs w:val="24"/>
        </w:rPr>
        <w:t>R</w:t>
      </w:r>
      <w:r w:rsidRPr="00206628">
        <w:rPr>
          <w:rFonts w:ascii="Times New Roman" w:eastAsia="Calibri" w:hAnsi="Times New Roman" w:cs="Times New Roman"/>
          <w:sz w:val="24"/>
          <w:szCs w:val="24"/>
        </w:rPr>
        <w:t xml:space="preserve">ules). </w:t>
      </w:r>
    </w:p>
    <w:p w14:paraId="528E2CB6" w14:textId="77777777" w:rsidR="007C5EEC" w:rsidRPr="00206628" w:rsidRDefault="0009094A" w:rsidP="003230A4">
      <w:pPr>
        <w:spacing w:before="240" w:after="240"/>
        <w:rPr>
          <w:rFonts w:ascii="Times New Roman" w:eastAsia="Calibri" w:hAnsi="Times New Roman" w:cs="Times New Roman"/>
          <w:sz w:val="24"/>
          <w:szCs w:val="24"/>
        </w:rPr>
      </w:pPr>
      <w:r w:rsidRPr="00206628">
        <w:rPr>
          <w:rFonts w:ascii="Times New Roman" w:eastAsia="Calibri" w:hAnsi="Times New Roman" w:cs="Times New Roman"/>
          <w:b/>
          <w:sz w:val="24"/>
          <w:szCs w:val="24"/>
        </w:rPr>
        <w:t>Section 12</w:t>
      </w:r>
      <w:r w:rsidR="007C5EEC" w:rsidRPr="00206628">
        <w:rPr>
          <w:rFonts w:ascii="Times New Roman" w:eastAsia="Calibri" w:hAnsi="Times New Roman" w:cs="Times New Roman"/>
          <w:b/>
          <w:sz w:val="24"/>
          <w:szCs w:val="24"/>
        </w:rPr>
        <w:t xml:space="preserve"> – Reserved stocks</w:t>
      </w:r>
    </w:p>
    <w:p w14:paraId="33563056" w14:textId="77777777" w:rsidR="007C5EEC" w:rsidRPr="00206628" w:rsidRDefault="007C5EEC" w:rsidP="003230A4">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prescribes that to comply with the legally enforceable arrangement requiremen</w:t>
      </w:r>
      <w:r w:rsidR="00DF6373" w:rsidRPr="00206628">
        <w:rPr>
          <w:rFonts w:ascii="Times New Roman" w:eastAsia="Calibri" w:hAnsi="Times New Roman" w:cs="Times New Roman"/>
          <w:sz w:val="24"/>
          <w:szCs w:val="24"/>
        </w:rPr>
        <w:t xml:space="preserve">t for paragraph 24(c) of the </w:t>
      </w:r>
      <w:r w:rsidRPr="00206628">
        <w:rPr>
          <w:rFonts w:ascii="Times New Roman" w:eastAsia="Calibri" w:hAnsi="Times New Roman" w:cs="Times New Roman"/>
          <w:sz w:val="24"/>
          <w:szCs w:val="24"/>
        </w:rPr>
        <w:t xml:space="preserve">Act, the arrangement must be in writing and explicitly allocate an amount of stock </w:t>
      </w:r>
      <w:r w:rsidR="0003574E" w:rsidRPr="00206628">
        <w:rPr>
          <w:rFonts w:ascii="Times New Roman" w:eastAsia="Calibri" w:hAnsi="Times New Roman" w:cs="Times New Roman"/>
          <w:sz w:val="24"/>
          <w:szCs w:val="24"/>
        </w:rPr>
        <w:t xml:space="preserve">of MSO product </w:t>
      </w:r>
      <w:r w:rsidRPr="00206628">
        <w:rPr>
          <w:rFonts w:ascii="Times New Roman" w:eastAsia="Calibri" w:hAnsi="Times New Roman" w:cs="Times New Roman"/>
          <w:sz w:val="24"/>
          <w:szCs w:val="24"/>
        </w:rPr>
        <w:t xml:space="preserve">to another entity (entity 1), solely for the purpose of counting that stock towards the MSO of entity 1. This is a time-limited </w:t>
      </w:r>
      <w:r w:rsidR="00B5015F" w:rsidRPr="00206628">
        <w:rPr>
          <w:rFonts w:ascii="Times New Roman" w:eastAsia="Calibri" w:hAnsi="Times New Roman" w:cs="Times New Roman"/>
          <w:sz w:val="24"/>
          <w:szCs w:val="24"/>
        </w:rPr>
        <w:t xml:space="preserve">allocation </w:t>
      </w:r>
      <w:r w:rsidRPr="00206628">
        <w:rPr>
          <w:rFonts w:ascii="Times New Roman" w:eastAsia="Calibri" w:hAnsi="Times New Roman" w:cs="Times New Roman"/>
          <w:sz w:val="24"/>
          <w:szCs w:val="24"/>
        </w:rPr>
        <w:t xml:space="preserve">arrangement, and therefore the time period that the stocks are allocated must also be </w:t>
      </w:r>
      <w:r w:rsidR="00B5015F" w:rsidRPr="00206628">
        <w:rPr>
          <w:rFonts w:ascii="Times New Roman" w:eastAsia="Calibri" w:hAnsi="Times New Roman" w:cs="Times New Roman"/>
          <w:sz w:val="24"/>
          <w:szCs w:val="24"/>
        </w:rPr>
        <w:t xml:space="preserve">specified </w:t>
      </w:r>
      <w:r w:rsidRPr="00206628">
        <w:rPr>
          <w:rFonts w:ascii="Times New Roman" w:eastAsia="Calibri" w:hAnsi="Times New Roman" w:cs="Times New Roman"/>
          <w:sz w:val="24"/>
          <w:szCs w:val="24"/>
        </w:rPr>
        <w:t xml:space="preserve">in writing. </w:t>
      </w:r>
    </w:p>
    <w:p w14:paraId="0C893481" w14:textId="77777777" w:rsidR="007C5EEC" w:rsidRPr="00206628" w:rsidRDefault="007C5EEC" w:rsidP="007C5EEC">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These provisions ensure that the allocated stock cannot be double-counted. Stock that is held under section 24</w:t>
      </w:r>
      <w:r w:rsidR="00DF6373" w:rsidRPr="00206628">
        <w:rPr>
          <w:rFonts w:ascii="Times New Roman" w:eastAsia="Calibri" w:hAnsi="Times New Roman" w:cs="Times New Roman"/>
          <w:sz w:val="24"/>
          <w:szCs w:val="24"/>
        </w:rPr>
        <w:t xml:space="preserve"> of the </w:t>
      </w:r>
      <w:r w:rsidRPr="00206628">
        <w:rPr>
          <w:rFonts w:ascii="Times New Roman" w:eastAsia="Calibri" w:hAnsi="Times New Roman" w:cs="Times New Roman"/>
          <w:sz w:val="24"/>
          <w:szCs w:val="24"/>
        </w:rPr>
        <w:t>Act must be reported</w:t>
      </w:r>
      <w:r w:rsidR="00F81951" w:rsidRPr="00206628">
        <w:rPr>
          <w:rFonts w:ascii="Times New Roman" w:eastAsia="Calibri" w:hAnsi="Times New Roman" w:cs="Times New Roman"/>
          <w:sz w:val="24"/>
          <w:szCs w:val="24"/>
        </w:rPr>
        <w:t xml:space="preserve"> under the POFR R</w:t>
      </w:r>
      <w:r w:rsidR="00B5015F" w:rsidRPr="00206628">
        <w:rPr>
          <w:rFonts w:ascii="Times New Roman" w:eastAsia="Calibri" w:hAnsi="Times New Roman" w:cs="Times New Roman"/>
          <w:sz w:val="24"/>
          <w:szCs w:val="24"/>
        </w:rPr>
        <w:t>ules</w:t>
      </w:r>
      <w:r w:rsidRPr="00206628">
        <w:rPr>
          <w:rFonts w:ascii="Times New Roman" w:eastAsia="Calibri" w:hAnsi="Times New Roman" w:cs="Times New Roman"/>
          <w:sz w:val="24"/>
          <w:szCs w:val="24"/>
        </w:rPr>
        <w:t>, including the name</w:t>
      </w:r>
      <w:r w:rsidR="00B5015F" w:rsidRPr="00206628">
        <w:rPr>
          <w:rFonts w:ascii="Times New Roman" w:eastAsia="Calibri" w:hAnsi="Times New Roman" w:cs="Times New Roman"/>
          <w:sz w:val="24"/>
          <w:szCs w:val="24"/>
        </w:rPr>
        <w:t>s</w:t>
      </w:r>
      <w:r w:rsidRPr="00206628">
        <w:rPr>
          <w:rFonts w:ascii="Times New Roman" w:eastAsia="Calibri" w:hAnsi="Times New Roman" w:cs="Times New Roman"/>
          <w:sz w:val="24"/>
          <w:szCs w:val="24"/>
        </w:rPr>
        <w:t xml:space="preserve"> of the entit</w:t>
      </w:r>
      <w:r w:rsidR="00B5015F" w:rsidRPr="00206628">
        <w:rPr>
          <w:rFonts w:ascii="Times New Roman" w:eastAsia="Calibri" w:hAnsi="Times New Roman" w:cs="Times New Roman"/>
          <w:sz w:val="24"/>
          <w:szCs w:val="24"/>
        </w:rPr>
        <w:t>ies who are parties to the legally enforceable</w:t>
      </w:r>
      <w:r w:rsidR="00BC6EA9" w:rsidRPr="00206628">
        <w:rPr>
          <w:rFonts w:ascii="Times New Roman" w:eastAsia="Calibri" w:hAnsi="Times New Roman" w:cs="Times New Roman"/>
          <w:sz w:val="24"/>
          <w:szCs w:val="24"/>
        </w:rPr>
        <w:t xml:space="preserve"> arrangement (see section 19E </w:t>
      </w:r>
      <w:r w:rsidRPr="00206628">
        <w:rPr>
          <w:rFonts w:ascii="Times New Roman" w:eastAsia="Calibri" w:hAnsi="Times New Roman" w:cs="Times New Roman"/>
          <w:sz w:val="24"/>
          <w:szCs w:val="24"/>
        </w:rPr>
        <w:t xml:space="preserve">of the POFR </w:t>
      </w:r>
      <w:r w:rsidR="0077462E" w:rsidRPr="00206628">
        <w:rPr>
          <w:rFonts w:ascii="Times New Roman" w:eastAsia="Calibri" w:hAnsi="Times New Roman" w:cs="Times New Roman"/>
          <w:sz w:val="24"/>
          <w:szCs w:val="24"/>
        </w:rPr>
        <w:t>R</w:t>
      </w:r>
      <w:r w:rsidRPr="00206628">
        <w:rPr>
          <w:rFonts w:ascii="Times New Roman" w:eastAsia="Calibri" w:hAnsi="Times New Roman" w:cs="Times New Roman"/>
          <w:sz w:val="24"/>
          <w:szCs w:val="24"/>
        </w:rPr>
        <w:t xml:space="preserve">ules). </w:t>
      </w:r>
    </w:p>
    <w:p w14:paraId="06AFE380" w14:textId="13407EDD" w:rsidR="00D05888" w:rsidRPr="00206628" w:rsidRDefault="00D05888" w:rsidP="007C5EEC">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Subsection </w:t>
      </w:r>
      <w:r w:rsidR="007D2C5C" w:rsidRPr="00206628">
        <w:rPr>
          <w:rFonts w:ascii="Times New Roman" w:eastAsia="Calibri" w:hAnsi="Times New Roman" w:cs="Times New Roman"/>
          <w:sz w:val="24"/>
          <w:szCs w:val="24"/>
        </w:rPr>
        <w:t>12</w:t>
      </w:r>
      <w:r w:rsidRPr="00206628">
        <w:rPr>
          <w:rFonts w:ascii="Times New Roman" w:eastAsia="Calibri" w:hAnsi="Times New Roman" w:cs="Times New Roman"/>
          <w:sz w:val="24"/>
          <w:szCs w:val="24"/>
        </w:rPr>
        <w:t xml:space="preserve">(2) </w:t>
      </w:r>
      <w:r w:rsidR="007D2C5C" w:rsidRPr="00206628">
        <w:rPr>
          <w:rFonts w:ascii="Times New Roman" w:eastAsia="Calibri" w:hAnsi="Times New Roman" w:cs="Times New Roman"/>
          <w:sz w:val="24"/>
          <w:szCs w:val="24"/>
        </w:rPr>
        <w:t xml:space="preserve">of the Rules </w:t>
      </w:r>
      <w:r w:rsidRPr="00206628">
        <w:rPr>
          <w:rFonts w:ascii="Times New Roman" w:eastAsia="Calibri" w:hAnsi="Times New Roman" w:cs="Times New Roman"/>
          <w:sz w:val="24"/>
          <w:szCs w:val="24"/>
        </w:rPr>
        <w:t xml:space="preserve">prescribes that a refiner </w:t>
      </w:r>
      <w:r w:rsidR="00B5015F" w:rsidRPr="00206628">
        <w:rPr>
          <w:rFonts w:ascii="Times New Roman" w:eastAsia="Calibri" w:hAnsi="Times New Roman" w:cs="Times New Roman"/>
          <w:sz w:val="24"/>
          <w:szCs w:val="24"/>
        </w:rPr>
        <w:t xml:space="preserve">of MSO product that is feedstock </w:t>
      </w:r>
      <w:r w:rsidRPr="00206628">
        <w:rPr>
          <w:rFonts w:ascii="Times New Roman" w:eastAsia="Calibri" w:hAnsi="Times New Roman" w:cs="Times New Roman"/>
          <w:sz w:val="24"/>
          <w:szCs w:val="24"/>
        </w:rPr>
        <w:t xml:space="preserve">is not able to allocate </w:t>
      </w:r>
      <w:r w:rsidR="00B5015F" w:rsidRPr="00206628">
        <w:rPr>
          <w:rFonts w:ascii="Times New Roman" w:eastAsia="Calibri" w:hAnsi="Times New Roman" w:cs="Times New Roman"/>
          <w:sz w:val="24"/>
          <w:szCs w:val="24"/>
        </w:rPr>
        <w:t xml:space="preserve">that </w:t>
      </w:r>
      <w:r w:rsidRPr="00206628">
        <w:rPr>
          <w:rFonts w:ascii="Times New Roman" w:eastAsia="Calibri" w:hAnsi="Times New Roman" w:cs="Times New Roman"/>
          <w:sz w:val="24"/>
          <w:szCs w:val="24"/>
        </w:rPr>
        <w:t>feedstock to another entity outside of the corporate group of the refiner. Therefore, the only entity that a refiner is able to allocate feedstock (as MSO product according to the requirements in sections 12 and 13</w:t>
      </w:r>
      <w:r w:rsidR="007D2C5C" w:rsidRPr="00206628">
        <w:rPr>
          <w:rFonts w:ascii="Times New Roman" w:eastAsia="Calibri" w:hAnsi="Times New Roman" w:cs="Times New Roman"/>
          <w:sz w:val="24"/>
          <w:szCs w:val="24"/>
        </w:rPr>
        <w:t xml:space="preserve"> of the Rules</w:t>
      </w:r>
      <w:r w:rsidRPr="00206628">
        <w:rPr>
          <w:rFonts w:ascii="Times New Roman" w:eastAsia="Calibri" w:hAnsi="Times New Roman" w:cs="Times New Roman"/>
          <w:sz w:val="24"/>
          <w:szCs w:val="24"/>
        </w:rPr>
        <w:t>) to</w:t>
      </w:r>
      <w:r w:rsidR="00CA28F1" w:rsidRPr="00206628">
        <w:rPr>
          <w:rFonts w:ascii="Times New Roman" w:eastAsia="Calibri" w:hAnsi="Times New Roman" w:cs="Times New Roman"/>
          <w:sz w:val="24"/>
          <w:szCs w:val="24"/>
        </w:rPr>
        <w:t xml:space="preserve">, </w:t>
      </w:r>
      <w:r w:rsidR="00080D44" w:rsidRPr="00206628">
        <w:rPr>
          <w:rFonts w:ascii="Times New Roman" w:eastAsia="Calibri" w:hAnsi="Times New Roman" w:cs="Times New Roman"/>
          <w:sz w:val="24"/>
          <w:szCs w:val="24"/>
        </w:rPr>
        <w:t>for MSO purposes</w:t>
      </w:r>
      <w:r w:rsidRPr="00206628">
        <w:rPr>
          <w:rFonts w:ascii="Times New Roman" w:eastAsia="Calibri" w:hAnsi="Times New Roman" w:cs="Times New Roman"/>
          <w:sz w:val="24"/>
          <w:szCs w:val="24"/>
        </w:rPr>
        <w:t xml:space="preserve">, is the </w:t>
      </w:r>
      <w:r w:rsidR="007A77F8" w:rsidRPr="00206628">
        <w:rPr>
          <w:rFonts w:ascii="Times New Roman" w:eastAsia="Calibri" w:hAnsi="Times New Roman" w:cs="Times New Roman"/>
          <w:sz w:val="24"/>
          <w:szCs w:val="24"/>
        </w:rPr>
        <w:t>related body corporate</w:t>
      </w:r>
      <w:r w:rsidRPr="00206628">
        <w:rPr>
          <w:rFonts w:ascii="Times New Roman" w:eastAsia="Calibri" w:hAnsi="Times New Roman" w:cs="Times New Roman"/>
          <w:sz w:val="24"/>
          <w:szCs w:val="24"/>
        </w:rPr>
        <w:t xml:space="preserve"> </w:t>
      </w:r>
      <w:r w:rsidR="007A77F8" w:rsidRPr="00206628">
        <w:rPr>
          <w:rFonts w:ascii="Times New Roman" w:eastAsia="Calibri" w:hAnsi="Times New Roman" w:cs="Times New Roman"/>
          <w:sz w:val="24"/>
          <w:szCs w:val="24"/>
        </w:rPr>
        <w:t>importer within</w:t>
      </w:r>
      <w:r w:rsidRPr="00206628">
        <w:rPr>
          <w:rFonts w:ascii="Times New Roman" w:eastAsia="Calibri" w:hAnsi="Times New Roman" w:cs="Times New Roman"/>
          <w:sz w:val="24"/>
          <w:szCs w:val="24"/>
        </w:rPr>
        <w:t xml:space="preserve"> the same corporate </w:t>
      </w:r>
      <w:r w:rsidR="007A77F8" w:rsidRPr="00206628">
        <w:rPr>
          <w:rFonts w:ascii="Times New Roman" w:eastAsia="Calibri" w:hAnsi="Times New Roman" w:cs="Times New Roman"/>
          <w:sz w:val="24"/>
          <w:szCs w:val="24"/>
        </w:rPr>
        <w:t>group</w:t>
      </w:r>
      <w:r w:rsidRPr="00206628">
        <w:rPr>
          <w:rFonts w:ascii="Times New Roman" w:eastAsia="Calibri" w:hAnsi="Times New Roman" w:cs="Times New Roman"/>
          <w:sz w:val="24"/>
          <w:szCs w:val="24"/>
        </w:rPr>
        <w:t xml:space="preserve">.  </w:t>
      </w:r>
    </w:p>
    <w:p w14:paraId="24B7668A" w14:textId="77777777" w:rsidR="00D05888" w:rsidRPr="00206628" w:rsidRDefault="00BC6EA9" w:rsidP="007C5EEC">
      <w:pPr>
        <w:spacing w:before="240" w:after="240"/>
        <w:rPr>
          <w:rFonts w:ascii="Times New Roman" w:eastAsia="Calibri" w:hAnsi="Times New Roman" w:cs="Times New Roman"/>
          <w:b/>
          <w:sz w:val="24"/>
          <w:szCs w:val="24"/>
        </w:rPr>
      </w:pPr>
      <w:r w:rsidRPr="00206628">
        <w:rPr>
          <w:rFonts w:ascii="Times New Roman" w:eastAsia="Calibri" w:hAnsi="Times New Roman" w:cs="Times New Roman"/>
          <w:b/>
          <w:sz w:val="24"/>
          <w:szCs w:val="24"/>
        </w:rPr>
        <w:t>Section 13</w:t>
      </w:r>
      <w:r w:rsidR="00D05888" w:rsidRPr="00206628">
        <w:rPr>
          <w:rFonts w:ascii="Times New Roman" w:eastAsia="Calibri" w:hAnsi="Times New Roman" w:cs="Times New Roman"/>
          <w:b/>
          <w:sz w:val="24"/>
          <w:szCs w:val="24"/>
        </w:rPr>
        <w:t xml:space="preserve"> – Refinery feedstocks</w:t>
      </w:r>
      <w:r w:rsidR="00D05888" w:rsidRPr="00206628">
        <w:rPr>
          <w:rFonts w:ascii="Times New Roman" w:hAnsi="Times New Roman" w:cs="Times New Roman"/>
          <w:i/>
          <w:sz w:val="24"/>
          <w:szCs w:val="24"/>
        </w:rPr>
        <w:t>—</w:t>
      </w:r>
      <w:r w:rsidR="00D05888" w:rsidRPr="00206628">
        <w:rPr>
          <w:rFonts w:ascii="Times New Roman" w:eastAsia="Calibri" w:hAnsi="Times New Roman" w:cs="Times New Roman"/>
          <w:b/>
          <w:sz w:val="24"/>
          <w:szCs w:val="24"/>
        </w:rPr>
        <w:t>crude oil</w:t>
      </w:r>
    </w:p>
    <w:p w14:paraId="2AE58916" w14:textId="77777777" w:rsidR="00D05888" w:rsidRPr="00206628" w:rsidRDefault="00331A45" w:rsidP="007C5EEC">
      <w:pPr>
        <w:spacing w:before="240" w:after="240"/>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section prescribes that the quantity of each MSO product (diesel, gasoline and kerosene) per </w:t>
      </w:r>
      <w:r w:rsidR="0077462E" w:rsidRPr="00206628">
        <w:rPr>
          <w:rFonts w:ascii="Times New Roman" w:eastAsia="Calibri" w:hAnsi="Times New Roman" w:cs="Times New Roman"/>
          <w:sz w:val="24"/>
          <w:szCs w:val="24"/>
        </w:rPr>
        <w:t xml:space="preserve">ML </w:t>
      </w:r>
      <w:r w:rsidRPr="00206628">
        <w:rPr>
          <w:rFonts w:ascii="Times New Roman" w:eastAsia="Calibri" w:hAnsi="Times New Roman" w:cs="Times New Roman"/>
          <w:sz w:val="24"/>
          <w:szCs w:val="24"/>
        </w:rPr>
        <w:t xml:space="preserve">of crude oil </w:t>
      </w:r>
      <w:r w:rsidR="00F469B6" w:rsidRPr="00206628">
        <w:rPr>
          <w:rFonts w:ascii="Times New Roman" w:eastAsia="Calibri" w:hAnsi="Times New Roman" w:cs="Times New Roman"/>
          <w:sz w:val="24"/>
          <w:szCs w:val="24"/>
        </w:rPr>
        <w:t xml:space="preserve">feedstock </w:t>
      </w:r>
      <w:r w:rsidRPr="00206628">
        <w:rPr>
          <w:rFonts w:ascii="Times New Roman" w:eastAsia="Calibri" w:hAnsi="Times New Roman" w:cs="Times New Roman"/>
          <w:sz w:val="24"/>
          <w:szCs w:val="24"/>
        </w:rPr>
        <w:t xml:space="preserve">must be calculated by applying the </w:t>
      </w:r>
      <w:r w:rsidR="00CA28F1" w:rsidRPr="00206628">
        <w:rPr>
          <w:rFonts w:ascii="Times New Roman" w:eastAsia="Calibri" w:hAnsi="Times New Roman" w:cs="Times New Roman"/>
          <w:sz w:val="24"/>
          <w:szCs w:val="24"/>
        </w:rPr>
        <w:t xml:space="preserve">product </w:t>
      </w:r>
      <w:r w:rsidRPr="00206628">
        <w:rPr>
          <w:rFonts w:ascii="Times New Roman" w:eastAsia="Calibri" w:hAnsi="Times New Roman" w:cs="Times New Roman"/>
          <w:sz w:val="24"/>
          <w:szCs w:val="24"/>
        </w:rPr>
        <w:t>yields for each refiner</w:t>
      </w:r>
      <w:r w:rsidR="00F469B6" w:rsidRPr="00206628">
        <w:rPr>
          <w:rFonts w:ascii="Times New Roman" w:eastAsia="Calibri" w:hAnsi="Times New Roman" w:cs="Times New Roman"/>
          <w:sz w:val="24"/>
          <w:szCs w:val="24"/>
        </w:rPr>
        <w:t xml:space="preserve"> previously</w:t>
      </w:r>
      <w:r w:rsidRPr="00206628">
        <w:rPr>
          <w:rFonts w:ascii="Times New Roman" w:eastAsia="Calibri" w:hAnsi="Times New Roman" w:cs="Times New Roman"/>
          <w:sz w:val="24"/>
          <w:szCs w:val="24"/>
        </w:rPr>
        <w:t xml:space="preserve"> </w:t>
      </w:r>
      <w:r w:rsidR="003177E6" w:rsidRPr="00206628">
        <w:rPr>
          <w:rFonts w:ascii="Times New Roman" w:eastAsia="Calibri" w:hAnsi="Times New Roman" w:cs="Times New Roman"/>
          <w:sz w:val="24"/>
          <w:szCs w:val="24"/>
        </w:rPr>
        <w:t>determined</w:t>
      </w:r>
      <w:r w:rsidRPr="00206628">
        <w:rPr>
          <w:rFonts w:ascii="Times New Roman" w:eastAsia="Calibri" w:hAnsi="Times New Roman" w:cs="Times New Roman"/>
          <w:sz w:val="24"/>
          <w:szCs w:val="24"/>
        </w:rPr>
        <w:t xml:space="preserve"> under section 12 of the FSSP Rule (with current applicable yields </w:t>
      </w:r>
      <w:r w:rsidR="007A77F8" w:rsidRPr="00206628">
        <w:rPr>
          <w:rFonts w:ascii="Times New Roman" w:eastAsia="Calibri" w:hAnsi="Times New Roman" w:cs="Times New Roman"/>
          <w:sz w:val="24"/>
          <w:szCs w:val="24"/>
        </w:rPr>
        <w:t xml:space="preserve">specified </w:t>
      </w:r>
      <w:r w:rsidRPr="00206628">
        <w:rPr>
          <w:rFonts w:ascii="Times New Roman" w:eastAsia="Calibri" w:hAnsi="Times New Roman" w:cs="Times New Roman"/>
          <w:sz w:val="24"/>
          <w:szCs w:val="24"/>
        </w:rPr>
        <w:t>in section 11 of the FSSP Guidelines)</w:t>
      </w:r>
      <w:r w:rsidR="00BC6EA9" w:rsidRPr="00206628">
        <w:rPr>
          <w:rFonts w:ascii="Times New Roman" w:eastAsia="Calibri" w:hAnsi="Times New Roman" w:cs="Times New Roman"/>
          <w:sz w:val="24"/>
          <w:szCs w:val="24"/>
        </w:rPr>
        <w:t xml:space="preserve"> or using the current refinery yields, based on at least a month of production volumes</w:t>
      </w:r>
      <w:r w:rsidRPr="00206628">
        <w:rPr>
          <w:rFonts w:ascii="Times New Roman" w:eastAsia="Calibri" w:hAnsi="Times New Roman" w:cs="Times New Roman"/>
          <w:sz w:val="24"/>
          <w:szCs w:val="24"/>
        </w:rPr>
        <w:t xml:space="preserve">. </w:t>
      </w:r>
      <w:r w:rsidR="00685903" w:rsidRPr="00206628">
        <w:rPr>
          <w:rFonts w:ascii="Times New Roman" w:eastAsia="Calibri" w:hAnsi="Times New Roman" w:cs="Times New Roman"/>
          <w:sz w:val="24"/>
          <w:szCs w:val="24"/>
        </w:rPr>
        <w:t>By allowing current refinery yields, it recognises the ability of refiners to use the feedstock to produce one product at a higher rate than usual to meet changing demand.</w:t>
      </w:r>
      <w:r w:rsidR="00685903" w:rsidRPr="00206628">
        <w:rPr>
          <w:rFonts w:ascii="Times New Roman" w:eastAsia="Calibri" w:hAnsi="Times New Roman" w:cs="Times New Roman"/>
          <w:color w:val="5B9BD5" w:themeColor="accent1"/>
          <w:sz w:val="24"/>
          <w:szCs w:val="24"/>
        </w:rPr>
        <w:t xml:space="preserve"> </w:t>
      </w:r>
      <w:r w:rsidR="00BC6EA9" w:rsidRPr="00206628">
        <w:rPr>
          <w:rFonts w:ascii="Times New Roman" w:eastAsia="Calibri" w:hAnsi="Times New Roman" w:cs="Times New Roman"/>
          <w:sz w:val="24"/>
          <w:szCs w:val="24"/>
        </w:rPr>
        <w:t>Importantly, the cumulative yields should not be more than 100% of the volume of the crude oil and are likely to be less than 100% due to the production of fuel oil which is not an MSO product and small loses/use of crude in the refining process.</w:t>
      </w:r>
    </w:p>
    <w:p w14:paraId="42C8D960" w14:textId="77777777" w:rsidR="00331A45" w:rsidRPr="00206628" w:rsidRDefault="00331A45" w:rsidP="00331A45">
      <w:pPr>
        <w:spacing w:before="240" w:after="100" w:afterAutospacing="1"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The FSSP Rule </w:t>
      </w:r>
      <w:r w:rsidR="003177E6" w:rsidRPr="00206628">
        <w:rPr>
          <w:rFonts w:ascii="Times New Roman" w:eastAsia="Calibri" w:hAnsi="Times New Roman" w:cs="Times New Roman"/>
          <w:sz w:val="24"/>
          <w:szCs w:val="24"/>
        </w:rPr>
        <w:t xml:space="preserve">is a legislative instrument </w:t>
      </w:r>
      <w:r w:rsidRPr="00206628">
        <w:rPr>
          <w:rFonts w:ascii="Times New Roman" w:eastAsia="Calibri" w:hAnsi="Times New Roman" w:cs="Times New Roman"/>
          <w:sz w:val="24"/>
          <w:szCs w:val="24"/>
        </w:rPr>
        <w:t xml:space="preserve">and the FSSP Guidelines </w:t>
      </w:r>
      <w:r w:rsidR="003177E6" w:rsidRPr="00206628">
        <w:rPr>
          <w:rFonts w:ascii="Times New Roman" w:eastAsia="Calibri" w:hAnsi="Times New Roman" w:cs="Times New Roman"/>
          <w:sz w:val="24"/>
          <w:szCs w:val="24"/>
        </w:rPr>
        <w:t>are a notifiable</w:t>
      </w:r>
      <w:r w:rsidRPr="00206628">
        <w:rPr>
          <w:rFonts w:ascii="Times New Roman" w:eastAsia="Calibri" w:hAnsi="Times New Roman" w:cs="Times New Roman"/>
          <w:sz w:val="24"/>
          <w:szCs w:val="24"/>
        </w:rPr>
        <w:t xml:space="preserve"> instrument</w:t>
      </w:r>
      <w:r w:rsidR="003177E6" w:rsidRPr="00206628">
        <w:rPr>
          <w:rFonts w:ascii="Times New Roman" w:eastAsia="Calibri" w:hAnsi="Times New Roman" w:cs="Times New Roman"/>
          <w:sz w:val="24"/>
          <w:szCs w:val="24"/>
        </w:rPr>
        <w:t>. Both are</w:t>
      </w:r>
      <w:r w:rsidRPr="00206628">
        <w:rPr>
          <w:rFonts w:ascii="Times New Roman" w:eastAsia="Calibri" w:hAnsi="Times New Roman" w:cs="Times New Roman"/>
          <w:sz w:val="24"/>
          <w:szCs w:val="24"/>
        </w:rPr>
        <w:t xml:space="preserve"> incorporated </w:t>
      </w:r>
      <w:r w:rsidR="00CA28F1" w:rsidRPr="00206628">
        <w:rPr>
          <w:rFonts w:ascii="Times New Roman" w:eastAsia="Calibri" w:hAnsi="Times New Roman" w:cs="Times New Roman"/>
          <w:sz w:val="24"/>
          <w:szCs w:val="24"/>
        </w:rPr>
        <w:t xml:space="preserve">as in force </w:t>
      </w:r>
      <w:r w:rsidRPr="00206628">
        <w:rPr>
          <w:rFonts w:ascii="Times New Roman" w:eastAsia="Calibri" w:hAnsi="Times New Roman" w:cs="Times New Roman"/>
          <w:sz w:val="24"/>
          <w:szCs w:val="24"/>
        </w:rPr>
        <w:t>from time to time</w:t>
      </w:r>
      <w:r w:rsidR="00BC6EA9" w:rsidRPr="00206628">
        <w:rPr>
          <w:rFonts w:ascii="Times New Roman" w:eastAsia="Calibri" w:hAnsi="Times New Roman" w:cs="Times New Roman"/>
          <w:sz w:val="24"/>
          <w:szCs w:val="24"/>
        </w:rPr>
        <w:t xml:space="preserve"> consistent with subsection 84(3) of the Act</w:t>
      </w:r>
      <w:r w:rsidR="000B7F44" w:rsidRPr="00206628">
        <w:rPr>
          <w:rFonts w:ascii="Times New Roman" w:eastAsia="Calibri" w:hAnsi="Times New Roman" w:cs="Times New Roman"/>
          <w:sz w:val="24"/>
          <w:szCs w:val="24"/>
        </w:rPr>
        <w:t xml:space="preserve"> and</w:t>
      </w:r>
      <w:r w:rsidRPr="00206628">
        <w:rPr>
          <w:rFonts w:ascii="Times New Roman" w:eastAsia="Calibri" w:hAnsi="Times New Roman" w:cs="Times New Roman"/>
          <w:sz w:val="24"/>
          <w:szCs w:val="24"/>
        </w:rPr>
        <w:t xml:space="preserve"> </w:t>
      </w:r>
      <w:r w:rsidR="00BC6EA9" w:rsidRPr="00206628">
        <w:rPr>
          <w:rFonts w:ascii="Times New Roman" w:eastAsia="Calibri" w:hAnsi="Times New Roman" w:cs="Times New Roman"/>
          <w:sz w:val="24"/>
          <w:szCs w:val="24"/>
        </w:rPr>
        <w:t xml:space="preserve">are freely </w:t>
      </w:r>
      <w:r w:rsidRPr="00206628">
        <w:rPr>
          <w:rFonts w:ascii="Times New Roman" w:eastAsia="Calibri" w:hAnsi="Times New Roman" w:cs="Times New Roman"/>
          <w:sz w:val="24"/>
          <w:szCs w:val="24"/>
        </w:rPr>
        <w:t xml:space="preserve">available </w:t>
      </w:r>
      <w:r w:rsidR="000B7F44" w:rsidRPr="00206628">
        <w:rPr>
          <w:rFonts w:ascii="Times New Roman" w:eastAsia="Calibri" w:hAnsi="Times New Roman" w:cs="Times New Roman"/>
          <w:sz w:val="24"/>
          <w:szCs w:val="24"/>
        </w:rPr>
        <w:t xml:space="preserve">at </w:t>
      </w:r>
      <w:hyperlink r:id="rId15" w:history="1">
        <w:r w:rsidRPr="00206628">
          <w:rPr>
            <w:rStyle w:val="Hyperlink"/>
            <w:rFonts w:ascii="Times New Roman" w:eastAsia="Calibri" w:hAnsi="Times New Roman" w:cs="Times New Roman"/>
            <w:sz w:val="24"/>
            <w:szCs w:val="24"/>
          </w:rPr>
          <w:t>www.legislation.gov.au</w:t>
        </w:r>
      </w:hyperlink>
      <w:r w:rsidRPr="00206628">
        <w:rPr>
          <w:rFonts w:ascii="Times New Roman" w:eastAsia="Calibri" w:hAnsi="Times New Roman" w:cs="Times New Roman"/>
          <w:sz w:val="24"/>
          <w:szCs w:val="24"/>
        </w:rPr>
        <w:t xml:space="preserve">. </w:t>
      </w:r>
      <w:r w:rsidR="00BC6EA9" w:rsidRPr="00206628">
        <w:rPr>
          <w:rFonts w:ascii="Times New Roman" w:eastAsia="Calibri" w:hAnsi="Times New Roman" w:cs="Times New Roman"/>
          <w:sz w:val="24"/>
          <w:szCs w:val="24"/>
        </w:rPr>
        <w:t>The ability to use the FSSP Rule calculations assists the implementation of the MSO and reduces compliance costs.</w:t>
      </w:r>
    </w:p>
    <w:p w14:paraId="2E47FD2F" w14:textId="77777777" w:rsidR="003177E6" w:rsidRPr="00206628" w:rsidRDefault="00BC6EA9" w:rsidP="00331A45">
      <w:pPr>
        <w:spacing w:before="240" w:after="100" w:afterAutospacing="1" w:line="276" w:lineRule="auto"/>
        <w:rPr>
          <w:rFonts w:ascii="Times New Roman" w:eastAsia="Calibri" w:hAnsi="Times New Roman" w:cs="Times New Roman"/>
          <w:b/>
          <w:sz w:val="24"/>
          <w:szCs w:val="24"/>
        </w:rPr>
      </w:pPr>
      <w:r w:rsidRPr="00206628">
        <w:rPr>
          <w:rFonts w:ascii="Times New Roman" w:eastAsia="Calibri" w:hAnsi="Times New Roman" w:cs="Times New Roman"/>
          <w:b/>
          <w:sz w:val="24"/>
          <w:szCs w:val="24"/>
        </w:rPr>
        <w:t>Section 14</w:t>
      </w:r>
      <w:r w:rsidR="003177E6" w:rsidRPr="00206628">
        <w:rPr>
          <w:rFonts w:ascii="Times New Roman" w:eastAsia="Calibri" w:hAnsi="Times New Roman" w:cs="Times New Roman"/>
          <w:b/>
          <w:sz w:val="24"/>
          <w:szCs w:val="24"/>
        </w:rPr>
        <w:t xml:space="preserve"> – Refinery feedstocks</w:t>
      </w:r>
      <w:r w:rsidR="003177E6" w:rsidRPr="00206628">
        <w:rPr>
          <w:rFonts w:ascii="Times New Roman" w:hAnsi="Times New Roman" w:cs="Times New Roman"/>
          <w:i/>
          <w:sz w:val="24"/>
          <w:szCs w:val="24"/>
        </w:rPr>
        <w:t>—</w:t>
      </w:r>
      <w:r w:rsidR="003177E6" w:rsidRPr="00206628">
        <w:rPr>
          <w:rFonts w:ascii="Times New Roman" w:eastAsia="Calibri" w:hAnsi="Times New Roman" w:cs="Times New Roman"/>
          <w:b/>
          <w:sz w:val="24"/>
          <w:szCs w:val="24"/>
        </w:rPr>
        <w:t>unfinished refinery product</w:t>
      </w:r>
    </w:p>
    <w:p w14:paraId="1AC8CE97" w14:textId="6B540CA1" w:rsidR="003177E6" w:rsidRPr="00206628" w:rsidRDefault="003177E6" w:rsidP="00331A45">
      <w:pPr>
        <w:spacing w:before="240" w:after="100" w:afterAutospacing="1"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prescribes</w:t>
      </w:r>
      <w:r w:rsidR="00396BA7" w:rsidRPr="00206628">
        <w:rPr>
          <w:rFonts w:ascii="Times New Roman" w:eastAsia="Calibri" w:hAnsi="Times New Roman" w:cs="Times New Roman"/>
          <w:sz w:val="24"/>
          <w:szCs w:val="24"/>
        </w:rPr>
        <w:t>, for the purpose of paragraph 25(3)(c) of the Act,</w:t>
      </w:r>
      <w:r w:rsidRPr="00206628">
        <w:rPr>
          <w:rFonts w:ascii="Times New Roman" w:eastAsia="Calibri" w:hAnsi="Times New Roman" w:cs="Times New Roman"/>
          <w:sz w:val="24"/>
          <w:szCs w:val="24"/>
        </w:rPr>
        <w:t xml:space="preserve"> that unfinished refinery products can be counted as</w:t>
      </w:r>
      <w:r w:rsidR="00950A82" w:rsidRPr="00206628">
        <w:rPr>
          <w:rFonts w:ascii="Times New Roman" w:eastAsia="Calibri" w:hAnsi="Times New Roman" w:cs="Times New Roman"/>
          <w:sz w:val="24"/>
          <w:szCs w:val="24"/>
        </w:rPr>
        <w:t xml:space="preserve"> refinery feedstock and, in turn,</w:t>
      </w:r>
      <w:r w:rsidRPr="00206628">
        <w:rPr>
          <w:rFonts w:ascii="Times New Roman" w:eastAsia="Calibri" w:hAnsi="Times New Roman" w:cs="Times New Roman"/>
          <w:sz w:val="24"/>
          <w:szCs w:val="24"/>
        </w:rPr>
        <w:t xml:space="preserve"> MSO products</w:t>
      </w:r>
      <w:r w:rsidR="00950A82" w:rsidRPr="00206628">
        <w:rPr>
          <w:rFonts w:ascii="Times New Roman" w:eastAsia="Calibri" w:hAnsi="Times New Roman" w:cs="Times New Roman"/>
          <w:sz w:val="24"/>
          <w:szCs w:val="24"/>
        </w:rPr>
        <w:t>,</w:t>
      </w:r>
      <w:r w:rsidRPr="00206628">
        <w:rPr>
          <w:rFonts w:ascii="Times New Roman" w:eastAsia="Calibri" w:hAnsi="Times New Roman" w:cs="Times New Roman"/>
          <w:sz w:val="24"/>
          <w:szCs w:val="24"/>
        </w:rPr>
        <w:t xml:space="preserve"> if certain requirements are fulfill</w:t>
      </w:r>
      <w:r w:rsidR="0068241D" w:rsidRPr="00206628">
        <w:rPr>
          <w:rFonts w:ascii="Times New Roman" w:eastAsia="Calibri" w:hAnsi="Times New Roman" w:cs="Times New Roman"/>
          <w:sz w:val="24"/>
          <w:szCs w:val="24"/>
        </w:rPr>
        <w:t>ed. These requirements are:</w:t>
      </w:r>
    </w:p>
    <w:p w14:paraId="24AA3A85" w14:textId="77777777" w:rsidR="003177E6" w:rsidRPr="00206628" w:rsidRDefault="00715DBC" w:rsidP="0037564F">
      <w:pPr>
        <w:pStyle w:val="ListParagraph"/>
        <w:numPr>
          <w:ilvl w:val="0"/>
          <w:numId w:val="32"/>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lastRenderedPageBreak/>
        <w:t>t</w:t>
      </w:r>
      <w:r w:rsidR="003177E6" w:rsidRPr="00206628">
        <w:rPr>
          <w:rFonts w:ascii="Times New Roman" w:eastAsia="Calibri" w:hAnsi="Times New Roman" w:cs="Times New Roman"/>
          <w:sz w:val="24"/>
          <w:szCs w:val="24"/>
        </w:rPr>
        <w:t>he unfinished products can reasonably be expected to be transformed into MSO products at the refinery; and</w:t>
      </w:r>
    </w:p>
    <w:p w14:paraId="3193B49E" w14:textId="77777777" w:rsidR="003177E6" w:rsidRPr="00206628" w:rsidRDefault="00715DBC" w:rsidP="0037564F">
      <w:pPr>
        <w:pStyle w:val="ListParagraph"/>
        <w:numPr>
          <w:ilvl w:val="0"/>
          <w:numId w:val="32"/>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o</w:t>
      </w:r>
      <w:r w:rsidR="003177E6" w:rsidRPr="00206628">
        <w:rPr>
          <w:rFonts w:ascii="Times New Roman" w:eastAsia="Calibri" w:hAnsi="Times New Roman" w:cs="Times New Roman"/>
          <w:sz w:val="24"/>
          <w:szCs w:val="24"/>
        </w:rPr>
        <w:t>nce the unfinished products have been transformed into MSO products, the total volume of the calculated MSO products is more than 80% of the original volume of the unfinished products (i</w:t>
      </w:r>
      <w:r w:rsidRPr="00206628">
        <w:rPr>
          <w:rFonts w:ascii="Times New Roman" w:eastAsia="Calibri" w:hAnsi="Times New Roman" w:cs="Times New Roman"/>
          <w:sz w:val="24"/>
          <w:szCs w:val="24"/>
        </w:rPr>
        <w:t>.</w:t>
      </w:r>
      <w:r w:rsidR="003177E6" w:rsidRPr="00206628">
        <w:rPr>
          <w:rFonts w:ascii="Times New Roman" w:eastAsia="Calibri" w:hAnsi="Times New Roman" w:cs="Times New Roman"/>
          <w:sz w:val="24"/>
          <w:szCs w:val="24"/>
        </w:rPr>
        <w:t xml:space="preserve">e. </w:t>
      </w:r>
      <w:r w:rsidRPr="00206628">
        <w:rPr>
          <w:rFonts w:ascii="Times New Roman" w:eastAsia="Calibri" w:hAnsi="Times New Roman" w:cs="Times New Roman"/>
          <w:sz w:val="24"/>
          <w:szCs w:val="24"/>
        </w:rPr>
        <w:t>t</w:t>
      </w:r>
      <w:r w:rsidR="003177E6" w:rsidRPr="00206628">
        <w:rPr>
          <w:rFonts w:ascii="Times New Roman" w:eastAsia="Calibri" w:hAnsi="Times New Roman" w:cs="Times New Roman"/>
          <w:sz w:val="24"/>
          <w:szCs w:val="24"/>
        </w:rPr>
        <w:t>he volume of the unfinished products before the transformation occurred); and</w:t>
      </w:r>
    </w:p>
    <w:p w14:paraId="0A84E300" w14:textId="77777777" w:rsidR="003177E6" w:rsidRPr="00206628" w:rsidRDefault="00715DBC" w:rsidP="0037564F">
      <w:pPr>
        <w:pStyle w:val="ListParagraph"/>
        <w:numPr>
          <w:ilvl w:val="0"/>
          <w:numId w:val="32"/>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3177E6" w:rsidRPr="00206628">
        <w:rPr>
          <w:rFonts w:ascii="Times New Roman" w:eastAsia="Calibri" w:hAnsi="Times New Roman" w:cs="Times New Roman"/>
          <w:sz w:val="24"/>
          <w:szCs w:val="24"/>
        </w:rPr>
        <w:t>he unfinished refinery product feedstock must only be counted if it is being stored at the refinery</w:t>
      </w:r>
      <w:r w:rsidR="00FF7453" w:rsidRPr="00206628">
        <w:rPr>
          <w:rFonts w:ascii="Times New Roman" w:eastAsia="Calibri" w:hAnsi="Times New Roman" w:cs="Times New Roman"/>
          <w:sz w:val="24"/>
          <w:szCs w:val="24"/>
        </w:rPr>
        <w:t xml:space="preserve"> (as required by paragraph 25(1)(b) of the Act)</w:t>
      </w:r>
      <w:r w:rsidR="003177E6" w:rsidRPr="00206628">
        <w:rPr>
          <w:rFonts w:ascii="Times New Roman" w:eastAsia="Calibri" w:hAnsi="Times New Roman" w:cs="Times New Roman"/>
          <w:sz w:val="24"/>
          <w:szCs w:val="24"/>
        </w:rPr>
        <w:t>.</w:t>
      </w:r>
    </w:p>
    <w:p w14:paraId="2705230F" w14:textId="2C4F9EE1" w:rsidR="003177E6" w:rsidRPr="00206628" w:rsidRDefault="00BC6EA9" w:rsidP="003177E6">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Subsection 14</w:t>
      </w:r>
      <w:r w:rsidR="00483B63" w:rsidRPr="00206628">
        <w:rPr>
          <w:rFonts w:ascii="Times New Roman" w:eastAsia="Calibri" w:hAnsi="Times New Roman" w:cs="Times New Roman"/>
          <w:sz w:val="24"/>
          <w:szCs w:val="24"/>
        </w:rPr>
        <w:t xml:space="preserve">(2) prescribes that if refiners are </w:t>
      </w:r>
      <w:r w:rsidR="00DB7DAD" w:rsidRPr="00206628">
        <w:rPr>
          <w:rFonts w:ascii="Times New Roman" w:eastAsia="Calibri" w:hAnsi="Times New Roman" w:cs="Times New Roman"/>
          <w:sz w:val="24"/>
          <w:szCs w:val="24"/>
        </w:rPr>
        <w:t xml:space="preserve">counting unfinished product towards their </w:t>
      </w:r>
      <w:r w:rsidR="000B3C39" w:rsidRPr="00206628">
        <w:rPr>
          <w:rFonts w:ascii="Times New Roman" w:eastAsia="Calibri" w:hAnsi="Times New Roman" w:cs="Times New Roman"/>
          <w:sz w:val="24"/>
          <w:szCs w:val="24"/>
        </w:rPr>
        <w:t>designated quantities of stocks of diesel, gasoline and kerosene for MSO purposes</w:t>
      </w:r>
      <w:r w:rsidR="00DB7DAD" w:rsidRPr="00206628">
        <w:rPr>
          <w:rFonts w:ascii="Times New Roman" w:eastAsia="Calibri" w:hAnsi="Times New Roman" w:cs="Times New Roman"/>
          <w:sz w:val="24"/>
          <w:szCs w:val="24"/>
        </w:rPr>
        <w:t xml:space="preserve">, the methodology they are using to calculate the MSO product yields must be </w:t>
      </w:r>
      <w:r w:rsidR="000B3C39" w:rsidRPr="00206628">
        <w:rPr>
          <w:rFonts w:ascii="Times New Roman" w:eastAsia="Calibri" w:hAnsi="Times New Roman" w:cs="Times New Roman"/>
          <w:sz w:val="24"/>
          <w:szCs w:val="24"/>
        </w:rPr>
        <w:t>specified in</w:t>
      </w:r>
      <w:r w:rsidR="00DB7DAD" w:rsidRPr="00206628">
        <w:rPr>
          <w:rFonts w:ascii="Times New Roman" w:eastAsia="Calibri" w:hAnsi="Times New Roman" w:cs="Times New Roman"/>
          <w:sz w:val="24"/>
          <w:szCs w:val="24"/>
        </w:rPr>
        <w:t xml:space="preserve"> their MSO compliance plan</w:t>
      </w:r>
      <w:r w:rsidR="00F469B6" w:rsidRPr="00206628">
        <w:t xml:space="preserve"> (</w:t>
      </w:r>
      <w:r w:rsidRPr="00206628">
        <w:rPr>
          <w:rFonts w:ascii="Times New Roman" w:eastAsia="Calibri" w:hAnsi="Times New Roman" w:cs="Times New Roman"/>
          <w:sz w:val="24"/>
          <w:szCs w:val="24"/>
        </w:rPr>
        <w:t xml:space="preserve">required under section </w:t>
      </w:r>
      <w:r w:rsidR="00AB75FF" w:rsidRPr="00206628">
        <w:rPr>
          <w:rFonts w:ascii="Times New Roman" w:eastAsia="Calibri" w:hAnsi="Times New Roman" w:cs="Times New Roman"/>
          <w:sz w:val="24"/>
          <w:szCs w:val="24"/>
        </w:rPr>
        <w:t>38</w:t>
      </w:r>
      <w:r w:rsidR="006026FD" w:rsidRPr="00206628">
        <w:rPr>
          <w:rFonts w:ascii="Times New Roman" w:eastAsia="Calibri" w:hAnsi="Times New Roman" w:cs="Times New Roman"/>
          <w:sz w:val="24"/>
          <w:szCs w:val="24"/>
        </w:rPr>
        <w:t>(1)(c)</w:t>
      </w:r>
      <w:r w:rsidR="00F469B6" w:rsidRPr="00206628">
        <w:rPr>
          <w:rFonts w:ascii="Times New Roman" w:eastAsia="Calibri" w:hAnsi="Times New Roman" w:cs="Times New Roman"/>
          <w:sz w:val="24"/>
          <w:szCs w:val="24"/>
        </w:rPr>
        <w:t xml:space="preserve"> of the </w:t>
      </w:r>
      <w:r w:rsidR="006026FD" w:rsidRPr="00206628">
        <w:rPr>
          <w:rFonts w:ascii="Times New Roman" w:eastAsia="Calibri" w:hAnsi="Times New Roman" w:cs="Times New Roman"/>
          <w:sz w:val="24"/>
          <w:szCs w:val="24"/>
        </w:rPr>
        <w:t>Rules</w:t>
      </w:r>
      <w:r w:rsidR="00F469B6" w:rsidRPr="00206628">
        <w:rPr>
          <w:rFonts w:ascii="Times New Roman" w:eastAsia="Calibri" w:hAnsi="Times New Roman" w:cs="Times New Roman"/>
          <w:sz w:val="24"/>
          <w:szCs w:val="24"/>
        </w:rPr>
        <w:t>)</w:t>
      </w:r>
      <w:r w:rsidR="00DB7DAD" w:rsidRPr="00206628">
        <w:rPr>
          <w:rFonts w:ascii="Times New Roman" w:eastAsia="Calibri" w:hAnsi="Times New Roman" w:cs="Times New Roman"/>
          <w:sz w:val="24"/>
          <w:szCs w:val="24"/>
        </w:rPr>
        <w:t xml:space="preserve">. </w:t>
      </w:r>
    </w:p>
    <w:p w14:paraId="0B1EC8CD" w14:textId="77777777" w:rsidR="0077462E" w:rsidRPr="00206628" w:rsidRDefault="00BC6EA9" w:rsidP="003177E6">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Subsection 14</w:t>
      </w:r>
      <w:r w:rsidR="00DB7DAD" w:rsidRPr="00206628">
        <w:rPr>
          <w:rFonts w:ascii="Times New Roman" w:eastAsia="Calibri" w:hAnsi="Times New Roman" w:cs="Times New Roman"/>
          <w:sz w:val="24"/>
          <w:szCs w:val="24"/>
        </w:rPr>
        <w:t xml:space="preserve">(3) prescribes that the </w:t>
      </w:r>
      <w:r w:rsidR="00490145" w:rsidRPr="00206628">
        <w:rPr>
          <w:rFonts w:ascii="Times New Roman" w:eastAsia="Calibri" w:hAnsi="Times New Roman" w:cs="Times New Roman"/>
          <w:sz w:val="24"/>
          <w:szCs w:val="24"/>
        </w:rPr>
        <w:t>methodology</w:t>
      </w:r>
      <w:r w:rsidR="00DB7DAD" w:rsidRPr="00206628">
        <w:rPr>
          <w:rFonts w:ascii="Times New Roman" w:eastAsia="Calibri" w:hAnsi="Times New Roman" w:cs="Times New Roman"/>
          <w:sz w:val="24"/>
          <w:szCs w:val="24"/>
        </w:rPr>
        <w:t xml:space="preserve"> </w:t>
      </w:r>
      <w:r w:rsidR="009457EF" w:rsidRPr="00206628">
        <w:rPr>
          <w:rFonts w:ascii="Times New Roman" w:eastAsia="Calibri" w:hAnsi="Times New Roman" w:cs="Times New Roman"/>
          <w:sz w:val="24"/>
          <w:szCs w:val="24"/>
        </w:rPr>
        <w:t>specified</w:t>
      </w:r>
      <w:r w:rsidR="003F33E5" w:rsidRPr="00206628">
        <w:rPr>
          <w:rFonts w:ascii="Times New Roman" w:eastAsia="Calibri" w:hAnsi="Times New Roman" w:cs="Times New Roman"/>
          <w:sz w:val="24"/>
          <w:szCs w:val="24"/>
        </w:rPr>
        <w:t xml:space="preserve"> </w:t>
      </w:r>
      <w:r w:rsidR="009457EF" w:rsidRPr="00206628">
        <w:rPr>
          <w:rFonts w:ascii="Times New Roman" w:eastAsia="Calibri" w:hAnsi="Times New Roman" w:cs="Times New Roman"/>
          <w:sz w:val="24"/>
          <w:szCs w:val="24"/>
        </w:rPr>
        <w:t xml:space="preserve">in </w:t>
      </w:r>
      <w:r w:rsidR="00DB7DAD" w:rsidRPr="00206628">
        <w:rPr>
          <w:rFonts w:ascii="Times New Roman" w:eastAsia="Calibri" w:hAnsi="Times New Roman" w:cs="Times New Roman"/>
          <w:sz w:val="24"/>
          <w:szCs w:val="24"/>
        </w:rPr>
        <w:t>the MSO compliance plan for the purposes of counting unfinished refinery product as MSO</w:t>
      </w:r>
      <w:r w:rsidR="00490145" w:rsidRPr="00206628">
        <w:rPr>
          <w:rFonts w:ascii="Times New Roman" w:eastAsia="Calibri" w:hAnsi="Times New Roman" w:cs="Times New Roman"/>
          <w:sz w:val="24"/>
          <w:szCs w:val="24"/>
        </w:rPr>
        <w:t xml:space="preserve"> products</w:t>
      </w:r>
      <w:r w:rsidR="00DB7DAD" w:rsidRPr="00206628">
        <w:rPr>
          <w:rFonts w:ascii="Times New Roman" w:eastAsia="Calibri" w:hAnsi="Times New Roman" w:cs="Times New Roman"/>
          <w:sz w:val="24"/>
          <w:szCs w:val="24"/>
        </w:rPr>
        <w:t xml:space="preserve"> must</w:t>
      </w:r>
      <w:r w:rsidR="00490145" w:rsidRPr="00206628">
        <w:rPr>
          <w:rFonts w:ascii="Times New Roman" w:eastAsia="Calibri" w:hAnsi="Times New Roman" w:cs="Times New Roman"/>
          <w:sz w:val="24"/>
          <w:szCs w:val="24"/>
        </w:rPr>
        <w:t xml:space="preserve"> meet certain requirements. </w:t>
      </w:r>
    </w:p>
    <w:p w14:paraId="370A057D" w14:textId="77777777" w:rsidR="00DB7DAD" w:rsidRPr="00206628" w:rsidRDefault="00490145" w:rsidP="003177E6">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These requirements are:</w:t>
      </w:r>
    </w:p>
    <w:p w14:paraId="16815BE9" w14:textId="77777777" w:rsidR="00490145" w:rsidRPr="00206628" w:rsidRDefault="009457EF" w:rsidP="0037564F">
      <w:pPr>
        <w:pStyle w:val="ListParagraph"/>
        <w:numPr>
          <w:ilvl w:val="0"/>
          <w:numId w:val="33"/>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490145" w:rsidRPr="00206628">
        <w:rPr>
          <w:rFonts w:ascii="Times New Roman" w:eastAsia="Calibri" w:hAnsi="Times New Roman" w:cs="Times New Roman"/>
          <w:sz w:val="24"/>
          <w:szCs w:val="24"/>
        </w:rPr>
        <w:t>he methodology must be consistent with the reasonable expectation of the transformation and composition of the unfinished refinery product; and</w:t>
      </w:r>
    </w:p>
    <w:p w14:paraId="7BAFC8C4" w14:textId="77777777" w:rsidR="00490145" w:rsidRPr="00206628" w:rsidRDefault="009457EF" w:rsidP="0037564F">
      <w:pPr>
        <w:pStyle w:val="ListParagraph"/>
        <w:numPr>
          <w:ilvl w:val="0"/>
          <w:numId w:val="33"/>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490145" w:rsidRPr="00206628">
        <w:rPr>
          <w:rFonts w:ascii="Times New Roman" w:eastAsia="Calibri" w:hAnsi="Times New Roman" w:cs="Times New Roman"/>
          <w:sz w:val="24"/>
          <w:szCs w:val="24"/>
        </w:rPr>
        <w:t xml:space="preserve">he methodology must not result in the total volume of MSO products being greater than the total volume of unfinished refinery product that is being counted. </w:t>
      </w:r>
    </w:p>
    <w:p w14:paraId="21B60037" w14:textId="77777777" w:rsidR="00490145" w:rsidRPr="00206628" w:rsidRDefault="00490145" w:rsidP="00490145">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These provisions ensure that Australia’s fuel security is not </w:t>
      </w:r>
      <w:r w:rsidR="00F469B6" w:rsidRPr="00206628">
        <w:rPr>
          <w:rFonts w:ascii="Times New Roman" w:eastAsia="Calibri" w:hAnsi="Times New Roman" w:cs="Times New Roman"/>
          <w:sz w:val="24"/>
          <w:szCs w:val="24"/>
        </w:rPr>
        <w:t>compromised</w:t>
      </w:r>
      <w:r w:rsidR="009457EF" w:rsidRPr="00206628">
        <w:rPr>
          <w:rFonts w:ascii="Times New Roman" w:eastAsia="Calibri" w:hAnsi="Times New Roman" w:cs="Times New Roman"/>
          <w:sz w:val="24"/>
          <w:szCs w:val="24"/>
        </w:rPr>
        <w:t xml:space="preserve"> </w:t>
      </w:r>
      <w:r w:rsidR="00F469B6" w:rsidRPr="00206628">
        <w:rPr>
          <w:rFonts w:ascii="Times New Roman" w:eastAsia="Calibri" w:hAnsi="Times New Roman" w:cs="Times New Roman"/>
          <w:sz w:val="24"/>
          <w:szCs w:val="24"/>
        </w:rPr>
        <w:t>by any counting</w:t>
      </w:r>
      <w:r w:rsidRPr="00206628">
        <w:rPr>
          <w:rFonts w:ascii="Times New Roman" w:eastAsia="Calibri" w:hAnsi="Times New Roman" w:cs="Times New Roman"/>
          <w:sz w:val="24"/>
          <w:szCs w:val="24"/>
        </w:rPr>
        <w:t xml:space="preserve"> of unfinished product towards </w:t>
      </w:r>
      <w:r w:rsidR="009457EF" w:rsidRPr="00206628">
        <w:rPr>
          <w:rFonts w:ascii="Times New Roman" w:eastAsia="Calibri" w:hAnsi="Times New Roman" w:cs="Times New Roman"/>
          <w:sz w:val="24"/>
          <w:szCs w:val="24"/>
        </w:rPr>
        <w:t xml:space="preserve">an entity’s </w:t>
      </w:r>
      <w:r w:rsidRPr="00206628">
        <w:rPr>
          <w:rFonts w:ascii="Times New Roman" w:eastAsia="Calibri" w:hAnsi="Times New Roman" w:cs="Times New Roman"/>
          <w:sz w:val="24"/>
          <w:szCs w:val="24"/>
        </w:rPr>
        <w:t xml:space="preserve">MSO, and that </w:t>
      </w:r>
      <w:r w:rsidR="00796D7D" w:rsidRPr="00206628">
        <w:rPr>
          <w:rFonts w:ascii="Times New Roman" w:eastAsia="Calibri" w:hAnsi="Times New Roman" w:cs="Times New Roman"/>
          <w:sz w:val="24"/>
          <w:szCs w:val="24"/>
        </w:rPr>
        <w:t>practical</w:t>
      </w:r>
      <w:r w:rsidR="00F469B6" w:rsidRPr="00206628">
        <w:rPr>
          <w:rFonts w:ascii="Times New Roman" w:eastAsia="Calibri" w:hAnsi="Times New Roman" w:cs="Times New Roman"/>
          <w:sz w:val="24"/>
          <w:szCs w:val="24"/>
        </w:rPr>
        <w:t xml:space="preserve"> </w:t>
      </w:r>
      <w:r w:rsidR="00796D7D" w:rsidRPr="00206628">
        <w:rPr>
          <w:rFonts w:ascii="Times New Roman" w:eastAsia="Calibri" w:hAnsi="Times New Roman" w:cs="Times New Roman"/>
          <w:sz w:val="24"/>
          <w:szCs w:val="24"/>
        </w:rPr>
        <w:t xml:space="preserve">and prudent </w:t>
      </w:r>
      <w:r w:rsidRPr="00206628">
        <w:rPr>
          <w:rFonts w:ascii="Times New Roman" w:eastAsia="Calibri" w:hAnsi="Times New Roman" w:cs="Times New Roman"/>
          <w:sz w:val="24"/>
          <w:szCs w:val="24"/>
        </w:rPr>
        <w:t>processes are in place</w:t>
      </w:r>
      <w:r w:rsidR="007D379D" w:rsidRPr="00206628">
        <w:rPr>
          <w:rFonts w:ascii="Times New Roman" w:eastAsia="Calibri" w:hAnsi="Times New Roman" w:cs="Times New Roman"/>
          <w:sz w:val="24"/>
          <w:szCs w:val="24"/>
        </w:rPr>
        <w:t xml:space="preserve"> to determine the calculation methodology</w:t>
      </w:r>
      <w:r w:rsidRPr="00206628">
        <w:rPr>
          <w:rFonts w:ascii="Times New Roman" w:eastAsia="Calibri" w:hAnsi="Times New Roman" w:cs="Times New Roman"/>
          <w:sz w:val="24"/>
          <w:szCs w:val="24"/>
        </w:rPr>
        <w:t>.</w:t>
      </w:r>
      <w:r w:rsidR="007D379D" w:rsidRPr="00206628">
        <w:rPr>
          <w:rFonts w:ascii="Times New Roman" w:eastAsia="Calibri" w:hAnsi="Times New Roman" w:cs="Times New Roman"/>
          <w:sz w:val="24"/>
          <w:szCs w:val="24"/>
        </w:rPr>
        <w:t xml:space="preserve"> The processes within the MSO compliance plan are </w:t>
      </w:r>
      <w:r w:rsidR="00796D7D" w:rsidRPr="00206628">
        <w:rPr>
          <w:rFonts w:ascii="Times New Roman" w:eastAsia="Calibri" w:hAnsi="Times New Roman" w:cs="Times New Roman"/>
          <w:sz w:val="24"/>
          <w:szCs w:val="24"/>
        </w:rPr>
        <w:t>also subject to</w:t>
      </w:r>
      <w:r w:rsidR="007D379D" w:rsidRPr="00206628">
        <w:rPr>
          <w:rFonts w:ascii="Times New Roman" w:eastAsia="Calibri" w:hAnsi="Times New Roman" w:cs="Times New Roman"/>
          <w:sz w:val="24"/>
          <w:szCs w:val="24"/>
        </w:rPr>
        <w:t xml:space="preserve"> audit</w:t>
      </w:r>
      <w:r w:rsidR="00796D7D" w:rsidRPr="00206628">
        <w:rPr>
          <w:rFonts w:ascii="Times New Roman" w:eastAsia="Calibri" w:hAnsi="Times New Roman" w:cs="Times New Roman"/>
          <w:sz w:val="24"/>
          <w:szCs w:val="24"/>
        </w:rPr>
        <w:t>ing under section 34 of the Act</w:t>
      </w:r>
      <w:r w:rsidR="007D379D" w:rsidRPr="00206628">
        <w:rPr>
          <w:rFonts w:ascii="Times New Roman" w:eastAsia="Calibri" w:hAnsi="Times New Roman" w:cs="Times New Roman"/>
          <w:sz w:val="24"/>
          <w:szCs w:val="24"/>
        </w:rPr>
        <w:t xml:space="preserve">. </w:t>
      </w:r>
      <w:r w:rsidRPr="00206628">
        <w:rPr>
          <w:rFonts w:ascii="Times New Roman" w:eastAsia="Calibri" w:hAnsi="Times New Roman" w:cs="Times New Roman"/>
          <w:sz w:val="24"/>
          <w:szCs w:val="24"/>
        </w:rPr>
        <w:t xml:space="preserve"> </w:t>
      </w:r>
    </w:p>
    <w:p w14:paraId="5E32FEF1" w14:textId="77777777" w:rsidR="007517D8" w:rsidRPr="00206628" w:rsidRDefault="007517D8" w:rsidP="00490145">
      <w:pPr>
        <w:spacing w:before="240" w:after="100" w:afterAutospacing="1"/>
        <w:rPr>
          <w:rFonts w:ascii="Times New Roman" w:hAnsi="Times New Roman" w:cs="Times New Roman"/>
          <w:sz w:val="24"/>
          <w:szCs w:val="24"/>
        </w:rPr>
      </w:pPr>
      <w:r w:rsidRPr="00206628">
        <w:rPr>
          <w:rFonts w:ascii="Times New Roman" w:eastAsia="Calibri" w:hAnsi="Times New Roman" w:cs="Times New Roman"/>
          <w:b/>
          <w:sz w:val="24"/>
          <w:szCs w:val="24"/>
        </w:rPr>
        <w:t>PART 3</w:t>
      </w:r>
      <w:r w:rsidRPr="00206628">
        <w:rPr>
          <w:rFonts w:ascii="Times New Roman" w:hAnsi="Times New Roman" w:cs="Times New Roman"/>
          <w:i/>
          <w:sz w:val="24"/>
          <w:szCs w:val="24"/>
        </w:rPr>
        <w:t>—</w:t>
      </w:r>
      <w:r w:rsidRPr="00206628">
        <w:rPr>
          <w:rFonts w:ascii="Times New Roman" w:hAnsi="Times New Roman" w:cs="Times New Roman"/>
          <w:b/>
          <w:sz w:val="24"/>
          <w:szCs w:val="24"/>
        </w:rPr>
        <w:t>Application of MSO</w:t>
      </w:r>
    </w:p>
    <w:p w14:paraId="656B4FE5" w14:textId="77777777" w:rsidR="007517D8" w:rsidRPr="00206628" w:rsidRDefault="00BC6EA9" w:rsidP="00490145">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Section 15</w:t>
      </w:r>
      <w:r w:rsidR="007517D8" w:rsidRPr="00206628">
        <w:rPr>
          <w:rFonts w:ascii="Times New Roman" w:hAnsi="Times New Roman" w:cs="Times New Roman"/>
          <w:b/>
          <w:sz w:val="24"/>
          <w:szCs w:val="24"/>
        </w:rPr>
        <w:t xml:space="preserve"> – Obligation days</w:t>
      </w:r>
    </w:p>
    <w:p w14:paraId="60E4F70E" w14:textId="6AEE95F3" w:rsidR="00BC2614" w:rsidRPr="00206628" w:rsidRDefault="00980B2A" w:rsidP="00490145">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Under section 7</w:t>
      </w:r>
      <w:r w:rsidR="00DF6373" w:rsidRPr="00206628">
        <w:rPr>
          <w:rFonts w:ascii="Times New Roman" w:hAnsi="Times New Roman" w:cs="Times New Roman"/>
          <w:sz w:val="24"/>
          <w:szCs w:val="24"/>
        </w:rPr>
        <w:t xml:space="preserve"> of the </w:t>
      </w:r>
      <w:r w:rsidRPr="00206628">
        <w:rPr>
          <w:rFonts w:ascii="Times New Roman" w:hAnsi="Times New Roman" w:cs="Times New Roman"/>
          <w:sz w:val="24"/>
          <w:szCs w:val="24"/>
        </w:rPr>
        <w:t xml:space="preserve">Act, the quantity of an MSO product required to be held by an entity must be measured and confirmed on an </w:t>
      </w:r>
      <w:r w:rsidR="00017BBA" w:rsidRPr="00206628">
        <w:rPr>
          <w:rFonts w:ascii="Times New Roman" w:hAnsi="Times New Roman" w:cs="Times New Roman"/>
          <w:sz w:val="24"/>
          <w:szCs w:val="24"/>
        </w:rPr>
        <w:t>“</w:t>
      </w:r>
      <w:r w:rsidRPr="00206628">
        <w:rPr>
          <w:rFonts w:ascii="Times New Roman" w:hAnsi="Times New Roman" w:cs="Times New Roman"/>
          <w:sz w:val="24"/>
          <w:szCs w:val="24"/>
        </w:rPr>
        <w:t>obligation day</w:t>
      </w:r>
      <w:r w:rsidR="00017BBA" w:rsidRPr="00206628">
        <w:rPr>
          <w:rFonts w:ascii="Times New Roman" w:hAnsi="Times New Roman" w:cs="Times New Roman"/>
          <w:sz w:val="24"/>
          <w:szCs w:val="24"/>
        </w:rPr>
        <w:t>”</w:t>
      </w:r>
      <w:r w:rsidRPr="00206628">
        <w:rPr>
          <w:rFonts w:ascii="Times New Roman" w:hAnsi="Times New Roman" w:cs="Times New Roman"/>
          <w:sz w:val="24"/>
          <w:szCs w:val="24"/>
        </w:rPr>
        <w:t xml:space="preserve">. While it will be possible for regulated entities to hold less than the required quantity of stock at other times, the minimum stock level </w:t>
      </w:r>
      <w:r w:rsidR="00FA0E08" w:rsidRPr="00206628">
        <w:rPr>
          <w:rFonts w:ascii="Times New Roman" w:hAnsi="Times New Roman" w:cs="Times New Roman"/>
          <w:sz w:val="24"/>
          <w:szCs w:val="24"/>
        </w:rPr>
        <w:t xml:space="preserve">(designated under section 13 of the Act) </w:t>
      </w:r>
      <w:r w:rsidRPr="00206628">
        <w:rPr>
          <w:rFonts w:ascii="Times New Roman" w:hAnsi="Times New Roman" w:cs="Times New Roman"/>
          <w:sz w:val="24"/>
          <w:szCs w:val="24"/>
        </w:rPr>
        <w:t>must be confirmed on th</w:t>
      </w:r>
      <w:r w:rsidR="00DD52FB" w:rsidRPr="00206628">
        <w:rPr>
          <w:rFonts w:ascii="Times New Roman" w:hAnsi="Times New Roman" w:cs="Times New Roman"/>
          <w:sz w:val="24"/>
          <w:szCs w:val="24"/>
        </w:rPr>
        <w:t>e obligation</w:t>
      </w:r>
      <w:r w:rsidRPr="00206628">
        <w:rPr>
          <w:rFonts w:ascii="Times New Roman" w:hAnsi="Times New Roman" w:cs="Times New Roman"/>
          <w:sz w:val="24"/>
          <w:szCs w:val="24"/>
        </w:rPr>
        <w:t xml:space="preserve"> day. </w:t>
      </w:r>
      <w:r w:rsidR="00FA0E08" w:rsidRPr="00206628">
        <w:rPr>
          <w:rFonts w:ascii="Times New Roman" w:hAnsi="Times New Roman" w:cs="Times New Roman"/>
          <w:sz w:val="24"/>
          <w:szCs w:val="24"/>
        </w:rPr>
        <w:t>S</w:t>
      </w:r>
      <w:r w:rsidR="007517D8" w:rsidRPr="00206628">
        <w:rPr>
          <w:rFonts w:ascii="Times New Roman" w:hAnsi="Times New Roman" w:cs="Times New Roman"/>
          <w:sz w:val="24"/>
          <w:szCs w:val="24"/>
        </w:rPr>
        <w:t xml:space="preserve">ection </w:t>
      </w:r>
      <w:r w:rsidR="00FA0E08" w:rsidRPr="00206628">
        <w:rPr>
          <w:rFonts w:ascii="Times New Roman" w:hAnsi="Times New Roman" w:cs="Times New Roman"/>
          <w:sz w:val="24"/>
          <w:szCs w:val="24"/>
        </w:rPr>
        <w:t>1</w:t>
      </w:r>
      <w:r w:rsidR="006C310A" w:rsidRPr="00206628">
        <w:rPr>
          <w:rFonts w:ascii="Times New Roman" w:hAnsi="Times New Roman" w:cs="Times New Roman"/>
          <w:sz w:val="24"/>
          <w:szCs w:val="24"/>
        </w:rPr>
        <w:t>5</w:t>
      </w:r>
      <w:r w:rsidR="00FA0E08" w:rsidRPr="00206628">
        <w:rPr>
          <w:rFonts w:ascii="Times New Roman" w:hAnsi="Times New Roman" w:cs="Times New Roman"/>
          <w:sz w:val="24"/>
          <w:szCs w:val="24"/>
        </w:rPr>
        <w:t xml:space="preserve"> of the Rules </w:t>
      </w:r>
      <w:r w:rsidR="007517D8" w:rsidRPr="00206628">
        <w:rPr>
          <w:rFonts w:ascii="Times New Roman" w:hAnsi="Times New Roman" w:cs="Times New Roman"/>
          <w:sz w:val="24"/>
          <w:szCs w:val="24"/>
        </w:rPr>
        <w:t xml:space="preserve">prescribes </w:t>
      </w:r>
      <w:r w:rsidR="00262184" w:rsidRPr="00206628">
        <w:rPr>
          <w:rFonts w:ascii="Times New Roman" w:hAnsi="Times New Roman" w:cs="Times New Roman"/>
          <w:sz w:val="24"/>
          <w:szCs w:val="24"/>
        </w:rPr>
        <w:t xml:space="preserve">the frequency </w:t>
      </w:r>
      <w:r w:rsidRPr="00206628">
        <w:rPr>
          <w:rFonts w:ascii="Times New Roman" w:hAnsi="Times New Roman" w:cs="Times New Roman"/>
          <w:sz w:val="24"/>
          <w:szCs w:val="24"/>
        </w:rPr>
        <w:t>of the obligation day</w:t>
      </w:r>
      <w:r w:rsidR="00BC2614" w:rsidRPr="00206628">
        <w:rPr>
          <w:rFonts w:ascii="Times New Roman" w:hAnsi="Times New Roman" w:cs="Times New Roman"/>
          <w:sz w:val="24"/>
          <w:szCs w:val="24"/>
        </w:rPr>
        <w:t xml:space="preserve">. </w:t>
      </w:r>
    </w:p>
    <w:p w14:paraId="4AE6BF62" w14:textId="1CE635BC" w:rsidR="00BC2614" w:rsidRPr="00206628" w:rsidRDefault="00BC6EA9" w:rsidP="00490145">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Subsection 15</w:t>
      </w:r>
      <w:r w:rsidR="00FA0CD3" w:rsidRPr="00206628">
        <w:rPr>
          <w:rFonts w:ascii="Times New Roman" w:hAnsi="Times New Roman" w:cs="Times New Roman"/>
          <w:sz w:val="24"/>
          <w:szCs w:val="24"/>
        </w:rPr>
        <w:t xml:space="preserve">(1) prescribes that the </w:t>
      </w:r>
      <w:r w:rsidR="00BC2614" w:rsidRPr="00206628">
        <w:rPr>
          <w:rFonts w:ascii="Times New Roman" w:hAnsi="Times New Roman" w:cs="Times New Roman"/>
          <w:sz w:val="24"/>
          <w:szCs w:val="24"/>
        </w:rPr>
        <w:t xml:space="preserve">first obligation day, and therefore </w:t>
      </w:r>
      <w:r w:rsidR="00BF121A" w:rsidRPr="00206628">
        <w:rPr>
          <w:rFonts w:ascii="Times New Roman" w:hAnsi="Times New Roman" w:cs="Times New Roman"/>
          <w:sz w:val="24"/>
          <w:szCs w:val="24"/>
        </w:rPr>
        <w:t xml:space="preserve">the </w:t>
      </w:r>
      <w:r w:rsidR="00BC2614" w:rsidRPr="00206628">
        <w:rPr>
          <w:rFonts w:ascii="Times New Roman" w:hAnsi="Times New Roman" w:cs="Times New Roman"/>
          <w:sz w:val="24"/>
          <w:szCs w:val="24"/>
        </w:rPr>
        <w:t xml:space="preserve">starting date for the </w:t>
      </w:r>
      <w:r w:rsidR="00BF121A" w:rsidRPr="00206628">
        <w:rPr>
          <w:rFonts w:ascii="Times New Roman" w:hAnsi="Times New Roman" w:cs="Times New Roman"/>
          <w:sz w:val="24"/>
          <w:szCs w:val="24"/>
        </w:rPr>
        <w:t xml:space="preserve">MSO </w:t>
      </w:r>
      <w:r w:rsidR="00BC2614" w:rsidRPr="00206628">
        <w:rPr>
          <w:rFonts w:ascii="Times New Roman" w:hAnsi="Times New Roman" w:cs="Times New Roman"/>
          <w:sz w:val="24"/>
          <w:szCs w:val="24"/>
        </w:rPr>
        <w:t xml:space="preserve">scheme, is </w:t>
      </w:r>
      <w:r w:rsidRPr="00206628">
        <w:rPr>
          <w:rFonts w:ascii="Times New Roman" w:hAnsi="Times New Roman" w:cs="Times New Roman"/>
          <w:sz w:val="24"/>
          <w:szCs w:val="24"/>
        </w:rPr>
        <w:t xml:space="preserve">Tuesday </w:t>
      </w:r>
      <w:r w:rsidR="00BC2614" w:rsidRPr="00206628">
        <w:rPr>
          <w:rFonts w:ascii="Times New Roman" w:hAnsi="Times New Roman" w:cs="Times New Roman"/>
          <w:sz w:val="24"/>
          <w:szCs w:val="24"/>
        </w:rPr>
        <w:t xml:space="preserve">4 </w:t>
      </w:r>
      <w:r w:rsidR="0040103C" w:rsidRPr="00206628">
        <w:rPr>
          <w:rFonts w:ascii="Times New Roman" w:hAnsi="Times New Roman" w:cs="Times New Roman"/>
          <w:sz w:val="24"/>
          <w:szCs w:val="24"/>
        </w:rPr>
        <w:t>July 2023</w:t>
      </w:r>
      <w:r w:rsidR="00BC2614" w:rsidRPr="00206628">
        <w:rPr>
          <w:rFonts w:ascii="Times New Roman" w:hAnsi="Times New Roman" w:cs="Times New Roman"/>
          <w:sz w:val="24"/>
          <w:szCs w:val="24"/>
        </w:rPr>
        <w:t xml:space="preserve">. The obligation day will then fall fortnightly, on each </w:t>
      </w:r>
      <w:r w:rsidR="004723AA" w:rsidRPr="00206628">
        <w:rPr>
          <w:rFonts w:ascii="Times New Roman" w:hAnsi="Times New Roman" w:cs="Times New Roman"/>
          <w:sz w:val="24"/>
          <w:szCs w:val="24"/>
        </w:rPr>
        <w:t>Tuesday</w:t>
      </w:r>
      <w:r w:rsidR="00BC2614" w:rsidRPr="00206628">
        <w:rPr>
          <w:rFonts w:ascii="Times New Roman" w:hAnsi="Times New Roman" w:cs="Times New Roman"/>
          <w:sz w:val="24"/>
          <w:szCs w:val="24"/>
        </w:rPr>
        <w:t xml:space="preserve"> from 4 </w:t>
      </w:r>
      <w:r w:rsidR="0040103C" w:rsidRPr="00206628">
        <w:rPr>
          <w:rFonts w:ascii="Times New Roman" w:hAnsi="Times New Roman" w:cs="Times New Roman"/>
          <w:sz w:val="24"/>
          <w:szCs w:val="24"/>
        </w:rPr>
        <w:t>July 2023</w:t>
      </w:r>
      <w:r w:rsidR="00BC2614" w:rsidRPr="00206628">
        <w:rPr>
          <w:rFonts w:ascii="Times New Roman" w:hAnsi="Times New Roman" w:cs="Times New Roman"/>
          <w:sz w:val="24"/>
          <w:szCs w:val="24"/>
        </w:rPr>
        <w:t xml:space="preserve"> (e</w:t>
      </w:r>
      <w:r w:rsidR="00BF121A" w:rsidRPr="00206628">
        <w:rPr>
          <w:rFonts w:ascii="Times New Roman" w:hAnsi="Times New Roman" w:cs="Times New Roman"/>
          <w:sz w:val="24"/>
          <w:szCs w:val="24"/>
        </w:rPr>
        <w:t>.</w:t>
      </w:r>
      <w:r w:rsidRPr="00206628">
        <w:rPr>
          <w:rFonts w:ascii="Times New Roman" w:hAnsi="Times New Roman" w:cs="Times New Roman"/>
          <w:sz w:val="24"/>
          <w:szCs w:val="24"/>
        </w:rPr>
        <w:t>g. 1</w:t>
      </w:r>
      <w:r w:rsidR="004723AA" w:rsidRPr="00206628">
        <w:rPr>
          <w:rFonts w:ascii="Times New Roman" w:hAnsi="Times New Roman" w:cs="Times New Roman"/>
          <w:sz w:val="24"/>
          <w:szCs w:val="24"/>
        </w:rPr>
        <w:t>8</w:t>
      </w:r>
      <w:r w:rsidR="00BC2614" w:rsidRPr="00206628">
        <w:rPr>
          <w:rFonts w:ascii="Times New Roman" w:hAnsi="Times New Roman" w:cs="Times New Roman"/>
          <w:sz w:val="24"/>
          <w:szCs w:val="24"/>
        </w:rPr>
        <w:t xml:space="preserve"> </w:t>
      </w:r>
      <w:r w:rsidR="0040103C" w:rsidRPr="00206628">
        <w:rPr>
          <w:rFonts w:ascii="Times New Roman" w:hAnsi="Times New Roman" w:cs="Times New Roman"/>
          <w:sz w:val="24"/>
          <w:szCs w:val="24"/>
        </w:rPr>
        <w:t>July 2023</w:t>
      </w:r>
      <w:r w:rsidR="00BC2614"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1 </w:t>
      </w:r>
      <w:r w:rsidR="0040103C" w:rsidRPr="00206628">
        <w:rPr>
          <w:rFonts w:ascii="Times New Roman" w:hAnsi="Times New Roman" w:cs="Times New Roman"/>
          <w:sz w:val="24"/>
          <w:szCs w:val="24"/>
        </w:rPr>
        <w:t>August 2023</w:t>
      </w:r>
      <w:r w:rsidR="00BF121A" w:rsidRPr="00206628">
        <w:rPr>
          <w:rFonts w:ascii="Times New Roman" w:hAnsi="Times New Roman" w:cs="Times New Roman"/>
          <w:sz w:val="24"/>
          <w:szCs w:val="24"/>
        </w:rPr>
        <w:t>,</w:t>
      </w:r>
      <w:r w:rsidR="00BC2614" w:rsidRPr="00206628">
        <w:rPr>
          <w:rFonts w:ascii="Times New Roman" w:hAnsi="Times New Roman" w:cs="Times New Roman"/>
          <w:sz w:val="24"/>
          <w:szCs w:val="24"/>
        </w:rPr>
        <w:t xml:space="preserve"> etc.) until 1 July 2024. </w:t>
      </w:r>
    </w:p>
    <w:p w14:paraId="1148F0A4" w14:textId="77777777" w:rsidR="00BC2614" w:rsidRPr="00206628" w:rsidRDefault="00BC2614" w:rsidP="00490145">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From 1 July 2024, the obligation day will then fall weekly, on each following </w:t>
      </w:r>
      <w:r w:rsidR="004723AA" w:rsidRPr="00206628">
        <w:rPr>
          <w:rFonts w:ascii="Times New Roman" w:hAnsi="Times New Roman" w:cs="Times New Roman"/>
          <w:sz w:val="24"/>
          <w:szCs w:val="24"/>
        </w:rPr>
        <w:t>Tuesday</w:t>
      </w:r>
      <w:r w:rsidRPr="00206628">
        <w:rPr>
          <w:rFonts w:ascii="Times New Roman" w:hAnsi="Times New Roman" w:cs="Times New Roman"/>
          <w:sz w:val="24"/>
          <w:szCs w:val="24"/>
        </w:rPr>
        <w:t xml:space="preserve"> </w:t>
      </w:r>
      <w:r w:rsidR="0077462E" w:rsidRPr="00206628">
        <w:rPr>
          <w:rFonts w:ascii="Times New Roman" w:hAnsi="Times New Roman" w:cs="Times New Roman"/>
          <w:sz w:val="24"/>
          <w:szCs w:val="24"/>
        </w:rPr>
        <w:br/>
      </w:r>
      <w:r w:rsidRPr="00206628">
        <w:rPr>
          <w:rFonts w:ascii="Times New Roman" w:hAnsi="Times New Roman" w:cs="Times New Roman"/>
          <w:sz w:val="24"/>
          <w:szCs w:val="24"/>
        </w:rPr>
        <w:t>(e</w:t>
      </w:r>
      <w:r w:rsidR="00BF121A" w:rsidRPr="00206628">
        <w:rPr>
          <w:rFonts w:ascii="Times New Roman" w:hAnsi="Times New Roman" w:cs="Times New Roman"/>
          <w:sz w:val="24"/>
          <w:szCs w:val="24"/>
        </w:rPr>
        <w:t>.</w:t>
      </w:r>
      <w:r w:rsidRPr="00206628">
        <w:rPr>
          <w:rFonts w:ascii="Times New Roman" w:hAnsi="Times New Roman" w:cs="Times New Roman"/>
          <w:sz w:val="24"/>
          <w:szCs w:val="24"/>
        </w:rPr>
        <w:t xml:space="preserve">g. </w:t>
      </w:r>
      <w:r w:rsidR="004723AA" w:rsidRPr="00206628">
        <w:rPr>
          <w:rFonts w:ascii="Times New Roman" w:hAnsi="Times New Roman" w:cs="Times New Roman"/>
          <w:sz w:val="24"/>
          <w:szCs w:val="24"/>
        </w:rPr>
        <w:t>2 July 2024, 9 July 2024, 16</w:t>
      </w:r>
      <w:r w:rsidRPr="00206628">
        <w:rPr>
          <w:rFonts w:ascii="Times New Roman" w:hAnsi="Times New Roman" w:cs="Times New Roman"/>
          <w:sz w:val="24"/>
          <w:szCs w:val="24"/>
        </w:rPr>
        <w:t xml:space="preserve"> July 2024</w:t>
      </w:r>
      <w:r w:rsidR="00BF121A" w:rsidRPr="00206628">
        <w:rPr>
          <w:rFonts w:ascii="Times New Roman" w:hAnsi="Times New Roman" w:cs="Times New Roman"/>
          <w:sz w:val="24"/>
          <w:szCs w:val="24"/>
        </w:rPr>
        <w:t>,</w:t>
      </w:r>
      <w:r w:rsidRPr="00206628">
        <w:rPr>
          <w:rFonts w:ascii="Times New Roman" w:hAnsi="Times New Roman" w:cs="Times New Roman"/>
          <w:sz w:val="24"/>
          <w:szCs w:val="24"/>
        </w:rPr>
        <w:t xml:space="preserve"> etc.). </w:t>
      </w:r>
    </w:p>
    <w:p w14:paraId="3644757B" w14:textId="77777777" w:rsidR="00807C0D" w:rsidRPr="00206628" w:rsidRDefault="00FA0CD3" w:rsidP="00490145">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lastRenderedPageBreak/>
        <w:t>A more frequent obligation day would reduce fluctuations in stockholdings</w:t>
      </w:r>
      <w:r w:rsidR="00BF121A" w:rsidRPr="00206628">
        <w:rPr>
          <w:rFonts w:ascii="Times New Roman" w:hAnsi="Times New Roman" w:cs="Times New Roman"/>
          <w:sz w:val="24"/>
          <w:szCs w:val="24"/>
        </w:rPr>
        <w:t xml:space="preserve"> of MSO products</w:t>
      </w:r>
      <w:r w:rsidRPr="00206628">
        <w:rPr>
          <w:rFonts w:ascii="Times New Roman" w:hAnsi="Times New Roman" w:cs="Times New Roman"/>
          <w:sz w:val="24"/>
          <w:szCs w:val="24"/>
        </w:rPr>
        <w:t xml:space="preserve"> between measurement</w:t>
      </w:r>
      <w:r w:rsidR="00BF121A" w:rsidRPr="00206628">
        <w:rPr>
          <w:rFonts w:ascii="Times New Roman" w:hAnsi="Times New Roman" w:cs="Times New Roman"/>
          <w:sz w:val="24"/>
          <w:szCs w:val="24"/>
        </w:rPr>
        <w:t xml:space="preserve"> date</w:t>
      </w:r>
      <w:r w:rsidRPr="00206628">
        <w:rPr>
          <w:rFonts w:ascii="Times New Roman" w:hAnsi="Times New Roman" w:cs="Times New Roman"/>
          <w:sz w:val="24"/>
          <w:szCs w:val="24"/>
        </w:rPr>
        <w:t xml:space="preserve">s, creating a more consistent baseline, however this would place a more significant regulatory burden on industry. </w:t>
      </w:r>
      <w:r w:rsidR="007140AC" w:rsidRPr="00206628">
        <w:rPr>
          <w:rFonts w:ascii="Times New Roman" w:hAnsi="Times New Roman" w:cs="Times New Roman"/>
          <w:sz w:val="24"/>
          <w:szCs w:val="24"/>
        </w:rPr>
        <w:t xml:space="preserve">To achieve a balance between the MSO policy intent </w:t>
      </w:r>
      <w:r w:rsidR="00FA0E08" w:rsidRPr="00206628">
        <w:rPr>
          <w:rFonts w:ascii="Times New Roman" w:hAnsi="Times New Roman" w:cs="Times New Roman"/>
          <w:sz w:val="24"/>
          <w:szCs w:val="24"/>
        </w:rPr>
        <w:t xml:space="preserve">(i.e. to ensure industry holds minimum quantities of key transport fuels to guarantee a baseline level of stocks at all times) </w:t>
      </w:r>
      <w:r w:rsidR="007140AC" w:rsidRPr="00206628">
        <w:rPr>
          <w:rFonts w:ascii="Times New Roman" w:hAnsi="Times New Roman" w:cs="Times New Roman"/>
          <w:sz w:val="24"/>
          <w:szCs w:val="24"/>
        </w:rPr>
        <w:t xml:space="preserve">and </w:t>
      </w:r>
      <w:r w:rsidR="00BF121A" w:rsidRPr="00206628">
        <w:rPr>
          <w:rFonts w:ascii="Times New Roman" w:hAnsi="Times New Roman" w:cs="Times New Roman"/>
          <w:sz w:val="24"/>
          <w:szCs w:val="24"/>
        </w:rPr>
        <w:t xml:space="preserve">minimising </w:t>
      </w:r>
      <w:r w:rsidR="007140AC" w:rsidRPr="00206628">
        <w:rPr>
          <w:rFonts w:ascii="Times New Roman" w:hAnsi="Times New Roman" w:cs="Times New Roman"/>
          <w:sz w:val="24"/>
          <w:szCs w:val="24"/>
        </w:rPr>
        <w:t xml:space="preserve">impacts on industry, a transitional fortnightly obligation has been set, with the preferred weekly obligation day </w:t>
      </w:r>
      <w:r w:rsidR="00BF121A" w:rsidRPr="00206628">
        <w:rPr>
          <w:rFonts w:ascii="Times New Roman" w:hAnsi="Times New Roman" w:cs="Times New Roman"/>
          <w:sz w:val="24"/>
          <w:szCs w:val="24"/>
        </w:rPr>
        <w:t xml:space="preserve">commencing </w:t>
      </w:r>
      <w:r w:rsidR="007140AC" w:rsidRPr="00206628">
        <w:rPr>
          <w:rFonts w:ascii="Times New Roman" w:hAnsi="Times New Roman" w:cs="Times New Roman"/>
          <w:sz w:val="24"/>
          <w:szCs w:val="24"/>
        </w:rPr>
        <w:t xml:space="preserve">from 1 July 2024. </w:t>
      </w:r>
    </w:p>
    <w:p w14:paraId="7B5BC878" w14:textId="77777777" w:rsidR="00BC2614" w:rsidRPr="00206628" w:rsidRDefault="00BC2614" w:rsidP="00BC2614">
      <w:pPr>
        <w:spacing w:before="240" w:after="100" w:afterAutospacing="1"/>
        <w:rPr>
          <w:rFonts w:ascii="Times New Roman" w:eastAsia="Calibri" w:hAnsi="Times New Roman" w:cs="Times New Roman"/>
          <w:sz w:val="24"/>
          <w:szCs w:val="24"/>
        </w:rPr>
      </w:pPr>
      <w:r w:rsidRPr="00206628">
        <w:rPr>
          <w:rFonts w:ascii="Times New Roman" w:hAnsi="Times New Roman" w:cs="Times New Roman"/>
          <w:sz w:val="24"/>
          <w:szCs w:val="24"/>
        </w:rPr>
        <w:t>Subsection 1</w:t>
      </w:r>
      <w:r w:rsidR="006C310A" w:rsidRPr="00206628">
        <w:rPr>
          <w:rFonts w:ascii="Times New Roman" w:hAnsi="Times New Roman" w:cs="Times New Roman"/>
          <w:sz w:val="24"/>
          <w:szCs w:val="24"/>
        </w:rPr>
        <w:t>5</w:t>
      </w:r>
      <w:r w:rsidRPr="00206628">
        <w:rPr>
          <w:rFonts w:ascii="Times New Roman" w:hAnsi="Times New Roman" w:cs="Times New Roman"/>
          <w:sz w:val="24"/>
          <w:szCs w:val="24"/>
        </w:rPr>
        <w:t xml:space="preserve">(2) prescribes that if the obligation day falls on a public holiday within the Australian Capital Territory, the obligation day is automatically moved to the next day which is not a public holiday. This provision has been added to ensure </w:t>
      </w:r>
      <w:r w:rsidR="00CD7E7A" w:rsidRPr="00206628">
        <w:rPr>
          <w:rFonts w:ascii="Times New Roman" w:hAnsi="Times New Roman" w:cs="Times New Roman"/>
          <w:sz w:val="24"/>
          <w:szCs w:val="24"/>
        </w:rPr>
        <w:t xml:space="preserve">personnel are not inadvertently required </w:t>
      </w:r>
      <w:r w:rsidRPr="00206628">
        <w:rPr>
          <w:rFonts w:ascii="Times New Roman" w:hAnsi="Times New Roman" w:cs="Times New Roman"/>
          <w:sz w:val="24"/>
          <w:szCs w:val="24"/>
        </w:rPr>
        <w:t xml:space="preserve">to work on public holidays </w:t>
      </w:r>
      <w:r w:rsidR="00CD7E7A" w:rsidRPr="00206628">
        <w:rPr>
          <w:rFonts w:ascii="Times New Roman" w:hAnsi="Times New Roman" w:cs="Times New Roman"/>
          <w:sz w:val="24"/>
          <w:szCs w:val="24"/>
        </w:rPr>
        <w:t>to comply with the MSO</w:t>
      </w:r>
      <w:r w:rsidRPr="00206628">
        <w:rPr>
          <w:rFonts w:ascii="Times New Roman" w:hAnsi="Times New Roman" w:cs="Times New Roman"/>
          <w:sz w:val="24"/>
          <w:szCs w:val="24"/>
        </w:rPr>
        <w:t xml:space="preserve">. </w:t>
      </w:r>
      <w:r w:rsidRPr="00206628">
        <w:rPr>
          <w:rFonts w:ascii="Times New Roman" w:eastAsia="Calibri" w:hAnsi="Times New Roman" w:cs="Times New Roman"/>
          <w:sz w:val="24"/>
          <w:szCs w:val="24"/>
        </w:rPr>
        <w:t xml:space="preserve">As the MSO is a national obligation, the Australian Capital Territory has been chosen to standardise the stockholding timing for each regulated entity, ensuring </w:t>
      </w:r>
      <w:r w:rsidR="006620B2" w:rsidRPr="00206628">
        <w:rPr>
          <w:rFonts w:ascii="Times New Roman" w:eastAsia="Calibri" w:hAnsi="Times New Roman" w:cs="Times New Roman"/>
          <w:sz w:val="24"/>
          <w:szCs w:val="24"/>
        </w:rPr>
        <w:t xml:space="preserve">stock levels are maintained nationally and cannot be double-counted. The Australian Capital Territory was also chosen </w:t>
      </w:r>
      <w:r w:rsidRPr="00206628">
        <w:rPr>
          <w:rFonts w:ascii="Times New Roman" w:eastAsia="Calibri" w:hAnsi="Times New Roman" w:cs="Times New Roman"/>
          <w:sz w:val="24"/>
          <w:szCs w:val="24"/>
        </w:rPr>
        <w:t xml:space="preserve">as it is the jurisdiction where </w:t>
      </w:r>
      <w:r w:rsidR="00BF121A" w:rsidRPr="00206628">
        <w:rPr>
          <w:rFonts w:ascii="Times New Roman" w:eastAsia="Calibri" w:hAnsi="Times New Roman" w:cs="Times New Roman"/>
          <w:sz w:val="24"/>
          <w:szCs w:val="24"/>
        </w:rPr>
        <w:t xml:space="preserve">the </w:t>
      </w:r>
      <w:r w:rsidRPr="00206628">
        <w:rPr>
          <w:rFonts w:ascii="Times New Roman" w:eastAsia="Calibri" w:hAnsi="Times New Roman" w:cs="Times New Roman"/>
          <w:sz w:val="24"/>
          <w:szCs w:val="24"/>
        </w:rPr>
        <w:t xml:space="preserve">scheme will be administered, it will capture the national public holidays including Christmas Day, New Year’s Day and Easter, and it celebrates a number of other public holidays.  </w:t>
      </w:r>
    </w:p>
    <w:p w14:paraId="0B26AD2A" w14:textId="46A83767" w:rsidR="00807C0D" w:rsidRPr="00206628" w:rsidRDefault="00860D7B" w:rsidP="00BC2614">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A reporting delay </w:t>
      </w:r>
      <w:r w:rsidR="00F2562A" w:rsidRPr="00206628">
        <w:rPr>
          <w:rFonts w:ascii="Times New Roman" w:eastAsia="Calibri" w:hAnsi="Times New Roman" w:cs="Times New Roman"/>
          <w:sz w:val="24"/>
          <w:szCs w:val="24"/>
        </w:rPr>
        <w:t xml:space="preserve">of 72 hours </w:t>
      </w:r>
      <w:r w:rsidRPr="00206628">
        <w:rPr>
          <w:rFonts w:ascii="Times New Roman" w:eastAsia="Calibri" w:hAnsi="Times New Roman" w:cs="Times New Roman"/>
          <w:sz w:val="24"/>
          <w:szCs w:val="24"/>
        </w:rPr>
        <w:t xml:space="preserve">has been </w:t>
      </w:r>
      <w:r w:rsidR="00F2562A" w:rsidRPr="00206628">
        <w:rPr>
          <w:rFonts w:ascii="Times New Roman" w:eastAsia="Calibri" w:hAnsi="Times New Roman" w:cs="Times New Roman"/>
          <w:sz w:val="24"/>
          <w:szCs w:val="24"/>
        </w:rPr>
        <w:t>provided</w:t>
      </w:r>
      <w:r w:rsidRPr="00206628">
        <w:rPr>
          <w:rFonts w:ascii="Times New Roman" w:eastAsia="Calibri" w:hAnsi="Times New Roman" w:cs="Times New Roman"/>
          <w:sz w:val="24"/>
          <w:szCs w:val="24"/>
        </w:rPr>
        <w:t xml:space="preserve"> in section 19E of the POFR Rules to enable entities to acquit their MSO product against their MSO. This also enables trading to occur within the intermediary market before the required reporting time. </w:t>
      </w:r>
    </w:p>
    <w:p w14:paraId="65CDEA9D" w14:textId="77777777" w:rsidR="00AB28B5" w:rsidRPr="00206628" w:rsidRDefault="007123AA" w:rsidP="00BC2614">
      <w:pPr>
        <w:spacing w:before="240" w:after="100" w:afterAutospacing="1"/>
        <w:rPr>
          <w:rFonts w:ascii="Times New Roman" w:eastAsia="Calibri" w:hAnsi="Times New Roman" w:cs="Times New Roman"/>
          <w:b/>
          <w:sz w:val="24"/>
          <w:szCs w:val="24"/>
        </w:rPr>
      </w:pPr>
      <w:r w:rsidRPr="00206628">
        <w:rPr>
          <w:rFonts w:ascii="Times New Roman" w:eastAsia="Calibri" w:hAnsi="Times New Roman" w:cs="Times New Roman"/>
          <w:b/>
          <w:sz w:val="24"/>
          <w:szCs w:val="24"/>
        </w:rPr>
        <w:t>Section 16</w:t>
      </w:r>
      <w:r w:rsidR="00AB28B5" w:rsidRPr="00206628">
        <w:rPr>
          <w:rFonts w:ascii="Times New Roman" w:eastAsia="Calibri" w:hAnsi="Times New Roman" w:cs="Times New Roman"/>
          <w:b/>
          <w:sz w:val="24"/>
          <w:szCs w:val="24"/>
        </w:rPr>
        <w:t xml:space="preserve"> – Trigger assessment period</w:t>
      </w:r>
    </w:p>
    <w:p w14:paraId="27AE7861" w14:textId="344AA20E" w:rsidR="006F4F19" w:rsidRPr="00206628" w:rsidRDefault="00AB28B5" w:rsidP="00BC2614">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section prescribes the time period </w:t>
      </w:r>
      <w:r w:rsidR="000E3571" w:rsidRPr="00206628">
        <w:rPr>
          <w:rFonts w:ascii="Times New Roman" w:eastAsia="Calibri" w:hAnsi="Times New Roman" w:cs="Times New Roman"/>
          <w:sz w:val="24"/>
          <w:szCs w:val="24"/>
        </w:rPr>
        <w:t>used by the Secretary to assess whether or not an entity trigger</w:t>
      </w:r>
      <w:r w:rsidR="00A02888" w:rsidRPr="00206628">
        <w:rPr>
          <w:rFonts w:ascii="Times New Roman" w:eastAsia="Calibri" w:hAnsi="Times New Roman" w:cs="Times New Roman"/>
          <w:sz w:val="24"/>
          <w:szCs w:val="24"/>
        </w:rPr>
        <w:t>s</w:t>
      </w:r>
      <w:r w:rsidR="000E3571" w:rsidRPr="00206628">
        <w:rPr>
          <w:rFonts w:ascii="Times New Roman" w:eastAsia="Calibri" w:hAnsi="Times New Roman" w:cs="Times New Roman"/>
          <w:sz w:val="24"/>
          <w:szCs w:val="24"/>
        </w:rPr>
        <w:t xml:space="preserve"> the MSO for an MSO product. This period </w:t>
      </w:r>
      <w:r w:rsidR="002A359D" w:rsidRPr="00206628">
        <w:rPr>
          <w:rFonts w:ascii="Times New Roman" w:eastAsia="Calibri" w:hAnsi="Times New Roman" w:cs="Times New Roman"/>
          <w:sz w:val="24"/>
          <w:szCs w:val="24"/>
        </w:rPr>
        <w:t>is referred to</w:t>
      </w:r>
      <w:r w:rsidR="000E3571" w:rsidRPr="00206628">
        <w:rPr>
          <w:rFonts w:ascii="Times New Roman" w:eastAsia="Calibri" w:hAnsi="Times New Roman" w:cs="Times New Roman"/>
          <w:sz w:val="24"/>
          <w:szCs w:val="24"/>
        </w:rPr>
        <w:t xml:space="preserve"> as the </w:t>
      </w:r>
      <w:r w:rsidR="00017BBA" w:rsidRPr="00206628">
        <w:rPr>
          <w:rFonts w:ascii="Times New Roman" w:eastAsia="Calibri" w:hAnsi="Times New Roman" w:cs="Times New Roman"/>
          <w:sz w:val="24"/>
          <w:szCs w:val="24"/>
        </w:rPr>
        <w:t>“</w:t>
      </w:r>
      <w:r w:rsidR="000E3571" w:rsidRPr="00206628">
        <w:rPr>
          <w:rFonts w:ascii="Times New Roman" w:eastAsia="Calibri" w:hAnsi="Times New Roman" w:cs="Times New Roman"/>
          <w:sz w:val="24"/>
          <w:szCs w:val="24"/>
        </w:rPr>
        <w:t>trigger assessment period</w:t>
      </w:r>
      <w:r w:rsidR="00017BBA" w:rsidRPr="00206628">
        <w:rPr>
          <w:rFonts w:ascii="Times New Roman" w:eastAsia="Calibri" w:hAnsi="Times New Roman" w:cs="Times New Roman"/>
          <w:sz w:val="24"/>
          <w:szCs w:val="24"/>
        </w:rPr>
        <w:t>”</w:t>
      </w:r>
      <w:r w:rsidR="000E3571" w:rsidRPr="00206628">
        <w:rPr>
          <w:rFonts w:ascii="Times New Roman" w:eastAsia="Calibri" w:hAnsi="Times New Roman" w:cs="Times New Roman"/>
          <w:sz w:val="24"/>
          <w:szCs w:val="24"/>
        </w:rPr>
        <w:t xml:space="preserve">. To assess whether or not an entity has triggered the MSO for the start of the </w:t>
      </w:r>
      <w:r w:rsidR="00A02888" w:rsidRPr="00206628">
        <w:rPr>
          <w:rFonts w:ascii="Times New Roman" w:eastAsia="Calibri" w:hAnsi="Times New Roman" w:cs="Times New Roman"/>
          <w:sz w:val="24"/>
          <w:szCs w:val="24"/>
        </w:rPr>
        <w:t xml:space="preserve">MSO </w:t>
      </w:r>
      <w:r w:rsidR="000E3571" w:rsidRPr="00206628">
        <w:rPr>
          <w:rFonts w:ascii="Times New Roman" w:eastAsia="Calibri" w:hAnsi="Times New Roman" w:cs="Times New Roman"/>
          <w:sz w:val="24"/>
          <w:szCs w:val="24"/>
        </w:rPr>
        <w:t xml:space="preserve">scheme in </w:t>
      </w:r>
      <w:r w:rsidR="0040103C" w:rsidRPr="00206628">
        <w:rPr>
          <w:rFonts w:ascii="Times New Roman" w:eastAsia="Calibri" w:hAnsi="Times New Roman" w:cs="Times New Roman"/>
          <w:sz w:val="24"/>
          <w:szCs w:val="24"/>
        </w:rPr>
        <w:t>2023</w:t>
      </w:r>
      <w:r w:rsidR="000E3571" w:rsidRPr="00206628">
        <w:rPr>
          <w:rFonts w:ascii="Times New Roman" w:eastAsia="Calibri" w:hAnsi="Times New Roman" w:cs="Times New Roman"/>
          <w:sz w:val="24"/>
          <w:szCs w:val="24"/>
        </w:rPr>
        <w:t xml:space="preserve">, two trigger assessment periods will be used: the 2019 and </w:t>
      </w:r>
      <w:r w:rsidR="00AF5B3E" w:rsidRPr="00206628">
        <w:rPr>
          <w:rFonts w:ascii="Times New Roman" w:eastAsia="Calibri" w:hAnsi="Times New Roman" w:cs="Times New Roman"/>
          <w:sz w:val="24"/>
          <w:szCs w:val="24"/>
        </w:rPr>
        <w:t xml:space="preserve">2022 </w:t>
      </w:r>
      <w:r w:rsidR="000E3571" w:rsidRPr="00206628">
        <w:rPr>
          <w:rFonts w:ascii="Times New Roman" w:eastAsia="Calibri" w:hAnsi="Times New Roman" w:cs="Times New Roman"/>
          <w:sz w:val="24"/>
          <w:szCs w:val="24"/>
        </w:rPr>
        <w:t>calendar year</w:t>
      </w:r>
      <w:r w:rsidR="002A359D" w:rsidRPr="00206628">
        <w:rPr>
          <w:rFonts w:ascii="Times New Roman" w:eastAsia="Calibri" w:hAnsi="Times New Roman" w:cs="Times New Roman"/>
          <w:sz w:val="24"/>
          <w:szCs w:val="24"/>
        </w:rPr>
        <w:t>s</w:t>
      </w:r>
      <w:r w:rsidR="000E3571" w:rsidRPr="00206628">
        <w:rPr>
          <w:rFonts w:ascii="Times New Roman" w:eastAsia="Calibri" w:hAnsi="Times New Roman" w:cs="Times New Roman"/>
          <w:sz w:val="24"/>
          <w:szCs w:val="24"/>
        </w:rPr>
        <w:t xml:space="preserve">. </w:t>
      </w:r>
      <w:r w:rsidR="00A02888" w:rsidRPr="00206628">
        <w:rPr>
          <w:rFonts w:ascii="Times New Roman" w:eastAsia="Calibri" w:hAnsi="Times New Roman" w:cs="Times New Roman"/>
          <w:sz w:val="24"/>
          <w:szCs w:val="24"/>
        </w:rPr>
        <w:t xml:space="preserve">Fuel information reported by MSO entities under the POFR </w:t>
      </w:r>
      <w:r w:rsidR="0077462E" w:rsidRPr="00206628">
        <w:rPr>
          <w:rFonts w:ascii="Times New Roman" w:eastAsia="Calibri" w:hAnsi="Times New Roman" w:cs="Times New Roman"/>
          <w:sz w:val="24"/>
          <w:szCs w:val="24"/>
        </w:rPr>
        <w:t>R</w:t>
      </w:r>
      <w:r w:rsidR="00A02888" w:rsidRPr="00206628">
        <w:rPr>
          <w:rFonts w:ascii="Times New Roman" w:eastAsia="Calibri" w:hAnsi="Times New Roman" w:cs="Times New Roman"/>
          <w:sz w:val="24"/>
          <w:szCs w:val="24"/>
        </w:rPr>
        <w:t>ules for those periods will be used to inform the Secretary’s assessment</w:t>
      </w:r>
      <w:r w:rsidR="00EF6FAD" w:rsidRPr="00206628">
        <w:rPr>
          <w:rFonts w:ascii="Times New Roman" w:eastAsia="Calibri" w:hAnsi="Times New Roman" w:cs="Times New Roman"/>
          <w:sz w:val="24"/>
          <w:szCs w:val="24"/>
        </w:rPr>
        <w:t>, as well as the information provided by the Australian Border Force regarding N10 and N30 import declarations for each MSO product</w:t>
      </w:r>
      <w:r w:rsidR="00A02888" w:rsidRPr="00206628">
        <w:rPr>
          <w:rFonts w:ascii="Times New Roman" w:eastAsia="Calibri" w:hAnsi="Times New Roman" w:cs="Times New Roman"/>
          <w:sz w:val="24"/>
          <w:szCs w:val="24"/>
        </w:rPr>
        <w:t xml:space="preserve">. </w:t>
      </w:r>
      <w:r w:rsidR="006F78D6" w:rsidRPr="00206628">
        <w:rPr>
          <w:rFonts w:ascii="Times New Roman" w:eastAsia="Calibri" w:hAnsi="Times New Roman" w:cs="Times New Roman"/>
          <w:sz w:val="24"/>
          <w:szCs w:val="24"/>
        </w:rPr>
        <w:t xml:space="preserve">Using both the 2019 and </w:t>
      </w:r>
      <w:r w:rsidR="00AF5B3E" w:rsidRPr="00206628">
        <w:rPr>
          <w:rFonts w:ascii="Times New Roman" w:eastAsia="Calibri" w:hAnsi="Times New Roman" w:cs="Times New Roman"/>
          <w:sz w:val="24"/>
          <w:szCs w:val="24"/>
        </w:rPr>
        <w:t xml:space="preserve">2022 </w:t>
      </w:r>
      <w:r w:rsidR="006F78D6" w:rsidRPr="00206628">
        <w:rPr>
          <w:rFonts w:ascii="Times New Roman" w:eastAsia="Calibri" w:hAnsi="Times New Roman" w:cs="Times New Roman"/>
          <w:sz w:val="24"/>
          <w:szCs w:val="24"/>
        </w:rPr>
        <w:t xml:space="preserve">calendar years </w:t>
      </w:r>
      <w:r w:rsidR="000E3571" w:rsidRPr="00206628">
        <w:rPr>
          <w:rFonts w:ascii="Times New Roman" w:eastAsia="Calibri" w:hAnsi="Times New Roman" w:cs="Times New Roman"/>
          <w:sz w:val="24"/>
          <w:szCs w:val="24"/>
        </w:rPr>
        <w:t xml:space="preserve">will ensure that significant market players are not excluded from the </w:t>
      </w:r>
      <w:r w:rsidR="002A359D" w:rsidRPr="00206628">
        <w:rPr>
          <w:rFonts w:ascii="Times New Roman" w:eastAsia="Calibri" w:hAnsi="Times New Roman" w:cs="Times New Roman"/>
          <w:sz w:val="24"/>
          <w:szCs w:val="24"/>
        </w:rPr>
        <w:t xml:space="preserve">MSO </w:t>
      </w:r>
      <w:r w:rsidR="000E3571" w:rsidRPr="00206628">
        <w:rPr>
          <w:rFonts w:ascii="Times New Roman" w:eastAsia="Calibri" w:hAnsi="Times New Roman" w:cs="Times New Roman"/>
          <w:sz w:val="24"/>
          <w:szCs w:val="24"/>
        </w:rPr>
        <w:t xml:space="preserve">scheme in the first year of operation as a result of reduced importing or refining activity </w:t>
      </w:r>
      <w:r w:rsidR="002A359D" w:rsidRPr="00206628">
        <w:rPr>
          <w:rFonts w:ascii="Times New Roman" w:eastAsia="Calibri" w:hAnsi="Times New Roman" w:cs="Times New Roman"/>
          <w:sz w:val="24"/>
          <w:szCs w:val="24"/>
        </w:rPr>
        <w:t>from</w:t>
      </w:r>
      <w:r w:rsidR="000E3571" w:rsidRPr="00206628">
        <w:rPr>
          <w:rFonts w:ascii="Times New Roman" w:eastAsia="Calibri" w:hAnsi="Times New Roman" w:cs="Times New Roman"/>
          <w:sz w:val="24"/>
          <w:szCs w:val="24"/>
        </w:rPr>
        <w:t xml:space="preserve"> </w:t>
      </w:r>
      <w:r w:rsidR="002A359D" w:rsidRPr="00206628">
        <w:rPr>
          <w:rFonts w:ascii="Times New Roman" w:eastAsia="Calibri" w:hAnsi="Times New Roman" w:cs="Times New Roman"/>
          <w:sz w:val="24"/>
          <w:szCs w:val="24"/>
        </w:rPr>
        <w:t xml:space="preserve">the onset of the </w:t>
      </w:r>
      <w:r w:rsidR="000E3571" w:rsidRPr="00206628">
        <w:rPr>
          <w:rFonts w:ascii="Times New Roman" w:eastAsia="Calibri" w:hAnsi="Times New Roman" w:cs="Times New Roman"/>
          <w:sz w:val="24"/>
          <w:szCs w:val="24"/>
        </w:rPr>
        <w:t>COVID-19</w:t>
      </w:r>
      <w:r w:rsidR="002A359D" w:rsidRPr="00206628">
        <w:rPr>
          <w:rFonts w:ascii="Times New Roman" w:eastAsia="Calibri" w:hAnsi="Times New Roman" w:cs="Times New Roman"/>
          <w:sz w:val="24"/>
          <w:szCs w:val="24"/>
        </w:rPr>
        <w:t xml:space="preserve"> pandemic in 2020</w:t>
      </w:r>
      <w:r w:rsidR="000E3571" w:rsidRPr="00206628">
        <w:rPr>
          <w:rFonts w:ascii="Times New Roman" w:eastAsia="Calibri" w:hAnsi="Times New Roman" w:cs="Times New Roman"/>
          <w:sz w:val="24"/>
          <w:szCs w:val="24"/>
        </w:rPr>
        <w:t xml:space="preserve">. </w:t>
      </w:r>
    </w:p>
    <w:p w14:paraId="6B4CF7EE" w14:textId="55DB87E4" w:rsidR="006F4F19" w:rsidRPr="00206628" w:rsidRDefault="006F4F19" w:rsidP="00BC2614">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For each subsequent year of the scheme’s operation, the previous calendar year</w:t>
      </w:r>
      <w:r w:rsidR="002A359D" w:rsidRPr="00206628">
        <w:rPr>
          <w:rFonts w:ascii="Times New Roman" w:eastAsia="Calibri" w:hAnsi="Times New Roman" w:cs="Times New Roman"/>
          <w:sz w:val="24"/>
          <w:szCs w:val="24"/>
        </w:rPr>
        <w:t>’s</w:t>
      </w:r>
      <w:r w:rsidRPr="00206628">
        <w:rPr>
          <w:rFonts w:ascii="Times New Roman" w:eastAsia="Calibri" w:hAnsi="Times New Roman" w:cs="Times New Roman"/>
          <w:sz w:val="24"/>
          <w:szCs w:val="24"/>
        </w:rPr>
        <w:t xml:space="preserve"> data will be used to assess whether an entity will trigger the MSO for an MSO product (e.g. to determine whether an entity will trigger the MSO in 202</w:t>
      </w:r>
      <w:r w:rsidR="0040103C" w:rsidRPr="00206628">
        <w:rPr>
          <w:rFonts w:ascii="Times New Roman" w:eastAsia="Calibri" w:hAnsi="Times New Roman" w:cs="Times New Roman"/>
          <w:sz w:val="24"/>
          <w:szCs w:val="24"/>
        </w:rPr>
        <w:t>4</w:t>
      </w:r>
      <w:r w:rsidRPr="00206628">
        <w:rPr>
          <w:rFonts w:ascii="Times New Roman" w:eastAsia="Calibri" w:hAnsi="Times New Roman" w:cs="Times New Roman"/>
          <w:sz w:val="24"/>
          <w:szCs w:val="24"/>
        </w:rPr>
        <w:t xml:space="preserve">, the data from the </w:t>
      </w:r>
      <w:r w:rsidR="0040103C" w:rsidRPr="00206628">
        <w:rPr>
          <w:rFonts w:ascii="Times New Roman" w:eastAsia="Calibri" w:hAnsi="Times New Roman" w:cs="Times New Roman"/>
          <w:sz w:val="24"/>
          <w:szCs w:val="24"/>
        </w:rPr>
        <w:t xml:space="preserve">2023 </w:t>
      </w:r>
      <w:r w:rsidRPr="00206628">
        <w:rPr>
          <w:rFonts w:ascii="Times New Roman" w:eastAsia="Calibri" w:hAnsi="Times New Roman" w:cs="Times New Roman"/>
          <w:sz w:val="24"/>
          <w:szCs w:val="24"/>
        </w:rPr>
        <w:t xml:space="preserve">calendar year will be used). </w:t>
      </w:r>
      <w:r w:rsidR="00EC1DF1" w:rsidRPr="00206628">
        <w:rPr>
          <w:rFonts w:ascii="Times New Roman" w:eastAsia="Calibri" w:hAnsi="Times New Roman" w:cs="Times New Roman"/>
          <w:sz w:val="24"/>
          <w:szCs w:val="24"/>
        </w:rPr>
        <w:t>Relevant information regarding entities’ annual MSO activity data</w:t>
      </w:r>
      <w:r w:rsidR="00C04F91" w:rsidRPr="00206628">
        <w:rPr>
          <w:rFonts w:ascii="Times New Roman" w:eastAsia="Calibri" w:hAnsi="Times New Roman" w:cs="Times New Roman"/>
          <w:sz w:val="24"/>
          <w:szCs w:val="24"/>
        </w:rPr>
        <w:t xml:space="preserve"> </w:t>
      </w:r>
      <w:r w:rsidR="00EC1DF1" w:rsidRPr="00206628">
        <w:rPr>
          <w:rFonts w:ascii="Times New Roman" w:eastAsia="Calibri" w:hAnsi="Times New Roman" w:cs="Times New Roman"/>
          <w:sz w:val="24"/>
          <w:szCs w:val="24"/>
        </w:rPr>
        <w:t xml:space="preserve">is </w:t>
      </w:r>
      <w:r w:rsidR="00C04F91" w:rsidRPr="00206628">
        <w:rPr>
          <w:rFonts w:ascii="Times New Roman" w:eastAsia="Calibri" w:hAnsi="Times New Roman" w:cs="Times New Roman"/>
          <w:sz w:val="24"/>
          <w:szCs w:val="24"/>
        </w:rPr>
        <w:t xml:space="preserve">required to be reported by section 19F of the POFR </w:t>
      </w:r>
      <w:r w:rsidR="0077462E" w:rsidRPr="00206628">
        <w:rPr>
          <w:rFonts w:ascii="Times New Roman" w:eastAsia="Calibri" w:hAnsi="Times New Roman" w:cs="Times New Roman"/>
          <w:sz w:val="24"/>
          <w:szCs w:val="24"/>
        </w:rPr>
        <w:t>R</w:t>
      </w:r>
      <w:r w:rsidR="00C04F91" w:rsidRPr="00206628">
        <w:rPr>
          <w:rFonts w:ascii="Times New Roman" w:eastAsia="Calibri" w:hAnsi="Times New Roman" w:cs="Times New Roman"/>
          <w:sz w:val="24"/>
          <w:szCs w:val="24"/>
        </w:rPr>
        <w:t>ule</w:t>
      </w:r>
      <w:r w:rsidR="0077462E" w:rsidRPr="00206628">
        <w:rPr>
          <w:rFonts w:ascii="Times New Roman" w:eastAsia="Calibri" w:hAnsi="Times New Roman" w:cs="Times New Roman"/>
          <w:sz w:val="24"/>
          <w:szCs w:val="24"/>
        </w:rPr>
        <w:t>s</w:t>
      </w:r>
      <w:r w:rsidR="00C04F91" w:rsidRPr="00206628">
        <w:rPr>
          <w:rFonts w:ascii="Times New Roman" w:eastAsia="Calibri" w:hAnsi="Times New Roman" w:cs="Times New Roman"/>
          <w:sz w:val="24"/>
          <w:szCs w:val="24"/>
        </w:rPr>
        <w:t xml:space="preserve">. </w:t>
      </w:r>
    </w:p>
    <w:p w14:paraId="02D04560" w14:textId="77777777" w:rsidR="006F4F19" w:rsidRPr="00206628" w:rsidRDefault="007123AA" w:rsidP="00BC2614">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b/>
          <w:sz w:val="24"/>
          <w:szCs w:val="24"/>
        </w:rPr>
        <w:t>Section 17</w:t>
      </w:r>
      <w:r w:rsidR="006F4F19" w:rsidRPr="00206628">
        <w:rPr>
          <w:rFonts w:ascii="Times New Roman" w:eastAsia="Calibri" w:hAnsi="Times New Roman" w:cs="Times New Roman"/>
          <w:b/>
          <w:sz w:val="24"/>
          <w:szCs w:val="24"/>
        </w:rPr>
        <w:t xml:space="preserve"> – Thresholds to trigger MSO</w:t>
      </w:r>
    </w:p>
    <w:p w14:paraId="0B02142C" w14:textId="77777777" w:rsidR="006F4F19" w:rsidRPr="00206628" w:rsidRDefault="00FE6B1E" w:rsidP="00BC2614">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section prescribes the threshold volumes used by the Secretary to assess whether or not an entity </w:t>
      </w:r>
      <w:r w:rsidR="00CC75F5" w:rsidRPr="00206628">
        <w:rPr>
          <w:rFonts w:ascii="Times New Roman" w:eastAsia="Calibri" w:hAnsi="Times New Roman" w:cs="Times New Roman"/>
          <w:sz w:val="24"/>
          <w:szCs w:val="24"/>
        </w:rPr>
        <w:t xml:space="preserve">engaging in an MSO activity (i.e. refining or importing) for an MSO product (gasoline, diesel or kerosene) has </w:t>
      </w:r>
      <w:r w:rsidRPr="00206628">
        <w:rPr>
          <w:rFonts w:ascii="Times New Roman" w:eastAsia="Calibri" w:hAnsi="Times New Roman" w:cs="Times New Roman"/>
          <w:sz w:val="24"/>
          <w:szCs w:val="24"/>
        </w:rPr>
        <w:t>trigger</w:t>
      </w:r>
      <w:r w:rsidR="00CC75F5" w:rsidRPr="00206628">
        <w:rPr>
          <w:rFonts w:ascii="Times New Roman" w:eastAsia="Calibri" w:hAnsi="Times New Roman" w:cs="Times New Roman"/>
          <w:sz w:val="24"/>
          <w:szCs w:val="24"/>
        </w:rPr>
        <w:t>ed</w:t>
      </w:r>
      <w:r w:rsidRPr="00206628">
        <w:rPr>
          <w:rFonts w:ascii="Times New Roman" w:eastAsia="Calibri" w:hAnsi="Times New Roman" w:cs="Times New Roman"/>
          <w:sz w:val="24"/>
          <w:szCs w:val="24"/>
        </w:rPr>
        <w:t xml:space="preserve"> the MSO for </w:t>
      </w:r>
      <w:r w:rsidR="00CC75F5" w:rsidRPr="00206628">
        <w:rPr>
          <w:rFonts w:ascii="Times New Roman" w:eastAsia="Calibri" w:hAnsi="Times New Roman" w:cs="Times New Roman"/>
          <w:sz w:val="24"/>
          <w:szCs w:val="24"/>
        </w:rPr>
        <w:t>the</w:t>
      </w:r>
      <w:r w:rsidRPr="00206628">
        <w:rPr>
          <w:rFonts w:ascii="Times New Roman" w:eastAsia="Calibri" w:hAnsi="Times New Roman" w:cs="Times New Roman"/>
          <w:sz w:val="24"/>
          <w:szCs w:val="24"/>
        </w:rPr>
        <w:t xml:space="preserve"> product. </w:t>
      </w:r>
    </w:p>
    <w:p w14:paraId="69CC9A7A" w14:textId="77777777" w:rsidR="00AB28B5" w:rsidRPr="00206628" w:rsidRDefault="006F4F19" w:rsidP="00BC2614">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lastRenderedPageBreak/>
        <w:t>Subsection</w:t>
      </w:r>
      <w:r w:rsidR="007123AA" w:rsidRPr="00206628">
        <w:rPr>
          <w:rFonts w:ascii="Times New Roman" w:eastAsia="Calibri" w:hAnsi="Times New Roman" w:cs="Times New Roman"/>
          <w:sz w:val="24"/>
          <w:szCs w:val="24"/>
        </w:rPr>
        <w:t xml:space="preserve"> 17</w:t>
      </w:r>
      <w:r w:rsidRPr="00206628">
        <w:rPr>
          <w:rFonts w:ascii="Times New Roman" w:eastAsia="Calibri" w:hAnsi="Times New Roman" w:cs="Times New Roman"/>
          <w:sz w:val="24"/>
          <w:szCs w:val="24"/>
        </w:rPr>
        <w:t xml:space="preserve">(1) </w:t>
      </w:r>
      <w:r w:rsidR="00AD249F" w:rsidRPr="00206628">
        <w:rPr>
          <w:rFonts w:ascii="Times New Roman" w:eastAsia="Calibri" w:hAnsi="Times New Roman" w:cs="Times New Roman"/>
          <w:sz w:val="24"/>
          <w:szCs w:val="24"/>
        </w:rPr>
        <w:t xml:space="preserve">of the Rules </w:t>
      </w:r>
      <w:r w:rsidRPr="00206628">
        <w:rPr>
          <w:rFonts w:ascii="Times New Roman" w:eastAsia="Calibri" w:hAnsi="Times New Roman" w:cs="Times New Roman"/>
          <w:sz w:val="24"/>
          <w:szCs w:val="24"/>
        </w:rPr>
        <w:t>prescribes the</w:t>
      </w:r>
      <w:r w:rsidR="00FE6B1E" w:rsidRPr="00206628">
        <w:rPr>
          <w:rFonts w:ascii="Times New Roman" w:eastAsia="Calibri" w:hAnsi="Times New Roman" w:cs="Times New Roman"/>
          <w:sz w:val="24"/>
          <w:szCs w:val="24"/>
        </w:rPr>
        <w:t xml:space="preserve"> annual</w:t>
      </w:r>
      <w:r w:rsidRPr="00206628">
        <w:rPr>
          <w:rFonts w:ascii="Times New Roman" w:eastAsia="Calibri" w:hAnsi="Times New Roman" w:cs="Times New Roman"/>
          <w:sz w:val="24"/>
          <w:szCs w:val="24"/>
        </w:rPr>
        <w:t xml:space="preserve"> </w:t>
      </w:r>
      <w:r w:rsidR="00FE6B1E" w:rsidRPr="00206628">
        <w:rPr>
          <w:rFonts w:ascii="Times New Roman" w:eastAsia="Calibri" w:hAnsi="Times New Roman" w:cs="Times New Roman"/>
          <w:sz w:val="24"/>
          <w:szCs w:val="24"/>
        </w:rPr>
        <w:t xml:space="preserve">national import or production volumes in megalitres (ML), that the entity must exceed in order to trigger the MSO for each MSO product. </w:t>
      </w:r>
      <w:r w:rsidR="0057359F" w:rsidRPr="00206628">
        <w:rPr>
          <w:rFonts w:ascii="Times New Roman" w:eastAsia="Calibri" w:hAnsi="Times New Roman" w:cs="Times New Roman"/>
          <w:sz w:val="24"/>
          <w:szCs w:val="24"/>
        </w:rPr>
        <w:t xml:space="preserve">These volumes are only applicable if subsection 17(2) does not apply. </w:t>
      </w:r>
      <w:r w:rsidR="00FE6B1E" w:rsidRPr="00206628">
        <w:rPr>
          <w:rFonts w:ascii="Times New Roman" w:eastAsia="Calibri" w:hAnsi="Times New Roman" w:cs="Times New Roman"/>
          <w:sz w:val="24"/>
          <w:szCs w:val="24"/>
        </w:rPr>
        <w:t>The threshold values are:</w:t>
      </w:r>
    </w:p>
    <w:p w14:paraId="694F1785" w14:textId="77777777" w:rsidR="00FE6B1E" w:rsidRPr="00206628" w:rsidRDefault="00FE6B1E" w:rsidP="0037564F">
      <w:pPr>
        <w:pStyle w:val="ListParagraph"/>
        <w:numPr>
          <w:ilvl w:val="0"/>
          <w:numId w:val="34"/>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Gasoline – </w:t>
      </w:r>
      <w:r w:rsidR="0057359F" w:rsidRPr="00206628">
        <w:rPr>
          <w:rFonts w:ascii="Times New Roman" w:eastAsia="Calibri" w:hAnsi="Times New Roman" w:cs="Times New Roman"/>
          <w:sz w:val="24"/>
          <w:szCs w:val="24"/>
        </w:rPr>
        <w:t>2</w:t>
      </w:r>
      <w:r w:rsidRPr="00206628">
        <w:rPr>
          <w:rFonts w:ascii="Times New Roman" w:eastAsia="Calibri" w:hAnsi="Times New Roman" w:cs="Times New Roman"/>
          <w:sz w:val="24"/>
          <w:szCs w:val="24"/>
        </w:rPr>
        <w:t xml:space="preserve">00ML </w:t>
      </w:r>
    </w:p>
    <w:p w14:paraId="1A4638BD" w14:textId="77777777" w:rsidR="00FE6B1E" w:rsidRPr="00206628" w:rsidRDefault="00FE6B1E" w:rsidP="0037564F">
      <w:pPr>
        <w:pStyle w:val="ListParagraph"/>
        <w:numPr>
          <w:ilvl w:val="0"/>
          <w:numId w:val="34"/>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Diesel – </w:t>
      </w:r>
      <w:r w:rsidR="0057359F" w:rsidRPr="00206628">
        <w:rPr>
          <w:rFonts w:ascii="Times New Roman" w:eastAsia="Calibri" w:hAnsi="Times New Roman" w:cs="Times New Roman"/>
          <w:sz w:val="24"/>
          <w:szCs w:val="24"/>
        </w:rPr>
        <w:t>2</w:t>
      </w:r>
      <w:r w:rsidRPr="00206628">
        <w:rPr>
          <w:rFonts w:ascii="Times New Roman" w:eastAsia="Calibri" w:hAnsi="Times New Roman" w:cs="Times New Roman"/>
          <w:sz w:val="24"/>
          <w:szCs w:val="24"/>
        </w:rPr>
        <w:t>50ML</w:t>
      </w:r>
    </w:p>
    <w:p w14:paraId="12FB61F6" w14:textId="77777777" w:rsidR="00FE6B1E" w:rsidRPr="00206628" w:rsidRDefault="00FE6B1E" w:rsidP="0037564F">
      <w:pPr>
        <w:pStyle w:val="ListParagraph"/>
        <w:numPr>
          <w:ilvl w:val="0"/>
          <w:numId w:val="34"/>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Kerosene – </w:t>
      </w:r>
      <w:r w:rsidR="0057359F" w:rsidRPr="00206628">
        <w:rPr>
          <w:rFonts w:ascii="Times New Roman" w:eastAsia="Calibri" w:hAnsi="Times New Roman" w:cs="Times New Roman"/>
          <w:sz w:val="24"/>
          <w:szCs w:val="24"/>
        </w:rPr>
        <w:t>25</w:t>
      </w:r>
      <w:r w:rsidRPr="00206628">
        <w:rPr>
          <w:rFonts w:ascii="Times New Roman" w:eastAsia="Calibri" w:hAnsi="Times New Roman" w:cs="Times New Roman"/>
          <w:sz w:val="24"/>
          <w:szCs w:val="24"/>
        </w:rPr>
        <w:t>0ML</w:t>
      </w:r>
    </w:p>
    <w:p w14:paraId="50E9CFCA" w14:textId="77777777" w:rsidR="00FE6B1E" w:rsidRPr="00206628" w:rsidRDefault="00FE6B1E" w:rsidP="00FE6B1E">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These volumes were chosen with the intent of capturing approximately 98% of each MSO product that is entering the Australian market</w:t>
      </w:r>
      <w:r w:rsidR="00E65BE1" w:rsidRPr="00206628">
        <w:rPr>
          <w:rFonts w:ascii="Times New Roman" w:eastAsia="Calibri" w:hAnsi="Times New Roman" w:cs="Times New Roman"/>
          <w:sz w:val="24"/>
          <w:szCs w:val="24"/>
        </w:rPr>
        <w:t xml:space="preserve"> </w:t>
      </w:r>
      <w:r w:rsidR="006F78D6" w:rsidRPr="00206628">
        <w:rPr>
          <w:rFonts w:ascii="Times New Roman" w:eastAsia="Calibri" w:hAnsi="Times New Roman" w:cs="Times New Roman"/>
          <w:sz w:val="24"/>
          <w:szCs w:val="24"/>
        </w:rPr>
        <w:t>–</w:t>
      </w:r>
      <w:r w:rsidR="00E65BE1" w:rsidRPr="00206628">
        <w:rPr>
          <w:rFonts w:ascii="Times New Roman" w:eastAsia="Calibri" w:hAnsi="Times New Roman" w:cs="Times New Roman"/>
          <w:sz w:val="24"/>
          <w:szCs w:val="24"/>
        </w:rPr>
        <w:t xml:space="preserve"> balancing</w:t>
      </w:r>
      <w:r w:rsidR="006F78D6" w:rsidRPr="00206628">
        <w:rPr>
          <w:rFonts w:ascii="Times New Roman" w:eastAsia="Calibri" w:hAnsi="Times New Roman" w:cs="Times New Roman"/>
          <w:sz w:val="24"/>
          <w:szCs w:val="24"/>
        </w:rPr>
        <w:t xml:space="preserve"> </w:t>
      </w:r>
      <w:r w:rsidR="00E65BE1" w:rsidRPr="00206628">
        <w:rPr>
          <w:rFonts w:ascii="Times New Roman" w:eastAsia="Calibri" w:hAnsi="Times New Roman" w:cs="Times New Roman"/>
          <w:sz w:val="24"/>
          <w:szCs w:val="24"/>
        </w:rPr>
        <w:t>risks associated with regulatory avoidance behaviours by industry and the costs to consumers, while delivering a meaningful fuel security outcome</w:t>
      </w:r>
      <w:r w:rsidRPr="00206628">
        <w:rPr>
          <w:rFonts w:ascii="Times New Roman" w:eastAsia="Calibri" w:hAnsi="Times New Roman" w:cs="Times New Roman"/>
          <w:sz w:val="24"/>
          <w:szCs w:val="24"/>
        </w:rPr>
        <w:t xml:space="preserve">. They support the policy intent of setting a baseline of national fuel stocks at pre COVID-19 levels, and ensure a diverse range of stockholdings across multiple storage locations nationally. </w:t>
      </w:r>
    </w:p>
    <w:p w14:paraId="34D565C7" w14:textId="77777777" w:rsidR="00E65BE1" w:rsidRPr="00206628" w:rsidRDefault="00E65BE1" w:rsidP="00FE6B1E">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It is intended </w:t>
      </w:r>
      <w:r w:rsidR="00CC75F5" w:rsidRPr="00206628">
        <w:rPr>
          <w:rFonts w:ascii="Times New Roman" w:eastAsia="Calibri" w:hAnsi="Times New Roman" w:cs="Times New Roman"/>
          <w:sz w:val="24"/>
          <w:szCs w:val="24"/>
        </w:rPr>
        <w:t>to</w:t>
      </w:r>
      <w:r w:rsidR="00F76B55" w:rsidRPr="00206628">
        <w:rPr>
          <w:rFonts w:ascii="Times New Roman" w:eastAsia="Calibri" w:hAnsi="Times New Roman" w:cs="Times New Roman"/>
          <w:sz w:val="24"/>
          <w:szCs w:val="24"/>
        </w:rPr>
        <w:t xml:space="preserve"> </w:t>
      </w:r>
      <w:r w:rsidR="00CC75F5" w:rsidRPr="00206628">
        <w:rPr>
          <w:rFonts w:ascii="Times New Roman" w:eastAsia="Calibri" w:hAnsi="Times New Roman" w:cs="Times New Roman"/>
          <w:sz w:val="24"/>
          <w:szCs w:val="24"/>
        </w:rPr>
        <w:t xml:space="preserve">capture and maintain </w:t>
      </w:r>
      <w:r w:rsidR="00F76B55" w:rsidRPr="00206628">
        <w:rPr>
          <w:rFonts w:ascii="Times New Roman" w:eastAsia="Calibri" w:hAnsi="Times New Roman" w:cs="Times New Roman"/>
          <w:sz w:val="24"/>
          <w:szCs w:val="24"/>
        </w:rPr>
        <w:t>approximately 98% of the market for each MSO product throughout the operation of the MSO scheme</w:t>
      </w:r>
      <w:r w:rsidR="006F78D6" w:rsidRPr="00206628">
        <w:rPr>
          <w:rFonts w:ascii="Times New Roman" w:eastAsia="Calibri" w:hAnsi="Times New Roman" w:cs="Times New Roman"/>
          <w:sz w:val="24"/>
          <w:szCs w:val="24"/>
        </w:rPr>
        <w:t>.</w:t>
      </w:r>
      <w:r w:rsidR="00F76B55" w:rsidRPr="00206628">
        <w:rPr>
          <w:rFonts w:ascii="Times New Roman" w:eastAsia="Calibri" w:hAnsi="Times New Roman" w:cs="Times New Roman"/>
          <w:sz w:val="24"/>
          <w:szCs w:val="24"/>
        </w:rPr>
        <w:t xml:space="preserve"> </w:t>
      </w:r>
      <w:r w:rsidR="006F78D6" w:rsidRPr="00206628">
        <w:rPr>
          <w:rFonts w:ascii="Times New Roman" w:eastAsia="Calibri" w:hAnsi="Times New Roman" w:cs="Times New Roman"/>
          <w:sz w:val="24"/>
          <w:szCs w:val="24"/>
        </w:rPr>
        <w:t>T</w:t>
      </w:r>
      <w:r w:rsidR="00F76B55" w:rsidRPr="00206628">
        <w:rPr>
          <w:rFonts w:ascii="Times New Roman" w:eastAsia="Calibri" w:hAnsi="Times New Roman" w:cs="Times New Roman"/>
          <w:sz w:val="24"/>
          <w:szCs w:val="24"/>
        </w:rPr>
        <w:t>herefore these threshold</w:t>
      </w:r>
      <w:r w:rsidR="00CC75F5" w:rsidRPr="00206628">
        <w:rPr>
          <w:rFonts w:ascii="Times New Roman" w:eastAsia="Calibri" w:hAnsi="Times New Roman" w:cs="Times New Roman"/>
          <w:sz w:val="24"/>
          <w:szCs w:val="24"/>
        </w:rPr>
        <w:t xml:space="preserve"> volume</w:t>
      </w:r>
      <w:r w:rsidR="00F76B55" w:rsidRPr="00206628">
        <w:rPr>
          <w:rFonts w:ascii="Times New Roman" w:eastAsia="Calibri" w:hAnsi="Times New Roman" w:cs="Times New Roman"/>
          <w:sz w:val="24"/>
          <w:szCs w:val="24"/>
        </w:rPr>
        <w:t xml:space="preserve">s will be reviewed periodically to ensure </w:t>
      </w:r>
      <w:r w:rsidR="00CC75F5" w:rsidRPr="00206628">
        <w:rPr>
          <w:rFonts w:ascii="Times New Roman" w:eastAsia="Calibri" w:hAnsi="Times New Roman" w:cs="Times New Roman"/>
          <w:sz w:val="24"/>
          <w:szCs w:val="24"/>
        </w:rPr>
        <w:t>they remain appropriate</w:t>
      </w:r>
      <w:r w:rsidR="00F76B55" w:rsidRPr="00206628">
        <w:rPr>
          <w:rFonts w:ascii="Times New Roman" w:eastAsia="Calibri" w:hAnsi="Times New Roman" w:cs="Times New Roman"/>
          <w:sz w:val="24"/>
          <w:szCs w:val="24"/>
        </w:rPr>
        <w:t xml:space="preserve">.  </w:t>
      </w:r>
    </w:p>
    <w:p w14:paraId="79AE649F" w14:textId="4C75BF8A" w:rsidR="00B40B5A" w:rsidRPr="00206628" w:rsidRDefault="00B40B5A" w:rsidP="00FE6B1E">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Subsection 17(2) prescribes an anti-avoidance provision for industry, whereby a lower 10ML threshold applies where the Secretary is satisfied importing or refining is being structured to avoid the thresholds in subsection 17(1). This is an administrative decision and the Secretary’s power is only to specify that the threshold value is 10ML, not to determine any other threshold value. This provision is necessary because it would undermine the effectiveness of the scheme if industry participants were able to artificially reduce the volumes of their importing and refining so that they were below the threshold, which may mean that the scheme covers less than the 98 per cent of the market that it is intended to cover. The decision would apply to any entity involved in the avoidance activity. For example, if an importer set up subsidiaries so that each would import less than the </w:t>
      </w:r>
      <w:r w:rsidR="00CF4059" w:rsidRPr="00206628">
        <w:rPr>
          <w:rFonts w:ascii="Times New Roman" w:eastAsia="Calibri" w:hAnsi="Times New Roman" w:cs="Times New Roman"/>
          <w:sz w:val="24"/>
          <w:szCs w:val="24"/>
        </w:rPr>
        <w:t xml:space="preserve">applicable </w:t>
      </w:r>
      <w:r w:rsidRPr="00206628">
        <w:rPr>
          <w:rFonts w:ascii="Times New Roman" w:eastAsia="Calibri" w:hAnsi="Times New Roman" w:cs="Times New Roman"/>
          <w:sz w:val="24"/>
          <w:szCs w:val="24"/>
        </w:rPr>
        <w:t>200ML or 250ML threshold</w:t>
      </w:r>
      <w:r w:rsidR="00CF4059" w:rsidRPr="00206628">
        <w:rPr>
          <w:rFonts w:ascii="Times New Roman" w:eastAsia="Calibri" w:hAnsi="Times New Roman" w:cs="Times New Roman"/>
          <w:sz w:val="24"/>
          <w:szCs w:val="24"/>
        </w:rPr>
        <w:t>s</w:t>
      </w:r>
      <w:r w:rsidRPr="00206628">
        <w:rPr>
          <w:rFonts w:ascii="Times New Roman" w:eastAsia="Calibri" w:hAnsi="Times New Roman" w:cs="Times New Roman"/>
          <w:sz w:val="24"/>
          <w:szCs w:val="24"/>
        </w:rPr>
        <w:t>, the threshold value could be reduced to 10ML for the importer and each of its subsidiaries. Once the obligation is triggered under section 10 of the Act, it would only cease if section 11 of the Act applied (primarily by the entity ceasing to import or refine the relevant MSO product). Any decision under this subsection is also a reviewable decision under Division 2 of Part 5 of the Act as part of the decision to trigger the MSO under section 10 of the Act.</w:t>
      </w:r>
    </w:p>
    <w:p w14:paraId="32572618" w14:textId="61F91CED" w:rsidR="00B15162" w:rsidRPr="00206628" w:rsidRDefault="007123AA" w:rsidP="00FE6B1E">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b/>
          <w:sz w:val="24"/>
          <w:szCs w:val="24"/>
        </w:rPr>
        <w:t>Section 18</w:t>
      </w:r>
      <w:r w:rsidR="00B15162" w:rsidRPr="00206628">
        <w:rPr>
          <w:rFonts w:ascii="Times New Roman" w:eastAsia="Calibri" w:hAnsi="Times New Roman" w:cs="Times New Roman"/>
          <w:b/>
          <w:sz w:val="24"/>
          <w:szCs w:val="24"/>
        </w:rPr>
        <w:t xml:space="preserve"> – Notice </w:t>
      </w:r>
      <w:r w:rsidR="00A47B0B" w:rsidRPr="00206628">
        <w:rPr>
          <w:rFonts w:ascii="Times New Roman" w:eastAsia="Calibri" w:hAnsi="Times New Roman" w:cs="Times New Roman"/>
          <w:b/>
          <w:sz w:val="24"/>
          <w:szCs w:val="24"/>
        </w:rPr>
        <w:t xml:space="preserve">window </w:t>
      </w:r>
      <w:r w:rsidR="00B15162" w:rsidRPr="00206628">
        <w:rPr>
          <w:rFonts w:ascii="Times New Roman" w:eastAsia="Calibri" w:hAnsi="Times New Roman" w:cs="Times New Roman"/>
          <w:b/>
          <w:sz w:val="24"/>
          <w:szCs w:val="24"/>
        </w:rPr>
        <w:t>and advice window</w:t>
      </w:r>
    </w:p>
    <w:p w14:paraId="545D23C9" w14:textId="3093C92F" w:rsidR="00B15162" w:rsidRPr="00206628" w:rsidRDefault="00B15162" w:rsidP="00FE6B1E">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The terms </w:t>
      </w:r>
      <w:r w:rsidR="00017BBA" w:rsidRPr="00206628">
        <w:rPr>
          <w:rFonts w:ascii="Times New Roman" w:eastAsia="Calibri" w:hAnsi="Times New Roman" w:cs="Times New Roman"/>
          <w:sz w:val="24"/>
          <w:szCs w:val="24"/>
        </w:rPr>
        <w:t>“</w:t>
      </w:r>
      <w:r w:rsidRPr="00206628">
        <w:rPr>
          <w:rFonts w:ascii="Times New Roman" w:eastAsia="Calibri" w:hAnsi="Times New Roman" w:cs="Times New Roman"/>
          <w:sz w:val="24"/>
          <w:szCs w:val="24"/>
        </w:rPr>
        <w:t>notice window</w:t>
      </w:r>
      <w:r w:rsidR="00017BBA" w:rsidRPr="00206628">
        <w:rPr>
          <w:rFonts w:ascii="Times New Roman" w:eastAsia="Calibri" w:hAnsi="Times New Roman" w:cs="Times New Roman"/>
          <w:sz w:val="24"/>
          <w:szCs w:val="24"/>
        </w:rPr>
        <w:t>”</w:t>
      </w:r>
      <w:r w:rsidRPr="00206628">
        <w:rPr>
          <w:rFonts w:ascii="Times New Roman" w:eastAsia="Calibri" w:hAnsi="Times New Roman" w:cs="Times New Roman"/>
          <w:sz w:val="24"/>
          <w:szCs w:val="24"/>
        </w:rPr>
        <w:t xml:space="preserve"> and </w:t>
      </w:r>
      <w:r w:rsidR="00017BBA" w:rsidRPr="00206628">
        <w:rPr>
          <w:rFonts w:ascii="Times New Roman" w:eastAsia="Calibri" w:hAnsi="Times New Roman" w:cs="Times New Roman"/>
          <w:sz w:val="24"/>
          <w:szCs w:val="24"/>
        </w:rPr>
        <w:t>“</w:t>
      </w:r>
      <w:r w:rsidRPr="00206628">
        <w:rPr>
          <w:rFonts w:ascii="Times New Roman" w:eastAsia="Calibri" w:hAnsi="Times New Roman" w:cs="Times New Roman"/>
          <w:sz w:val="24"/>
          <w:szCs w:val="24"/>
        </w:rPr>
        <w:t>advice wi</w:t>
      </w:r>
      <w:r w:rsidR="00DF6373" w:rsidRPr="00206628">
        <w:rPr>
          <w:rFonts w:ascii="Times New Roman" w:eastAsia="Calibri" w:hAnsi="Times New Roman" w:cs="Times New Roman"/>
          <w:sz w:val="24"/>
          <w:szCs w:val="24"/>
        </w:rPr>
        <w:t>ndow</w:t>
      </w:r>
      <w:r w:rsidR="00017BBA" w:rsidRPr="00206628">
        <w:rPr>
          <w:rFonts w:ascii="Times New Roman" w:eastAsia="Calibri" w:hAnsi="Times New Roman" w:cs="Times New Roman"/>
          <w:sz w:val="24"/>
          <w:szCs w:val="24"/>
        </w:rPr>
        <w:t>”</w:t>
      </w:r>
      <w:r w:rsidR="00DF6373" w:rsidRPr="00206628">
        <w:rPr>
          <w:rFonts w:ascii="Times New Roman" w:eastAsia="Calibri" w:hAnsi="Times New Roman" w:cs="Times New Roman"/>
          <w:sz w:val="24"/>
          <w:szCs w:val="24"/>
        </w:rPr>
        <w:t xml:space="preserve"> are defined </w:t>
      </w:r>
      <w:r w:rsidR="002A359D" w:rsidRPr="00206628">
        <w:rPr>
          <w:rFonts w:ascii="Times New Roman" w:eastAsia="Calibri" w:hAnsi="Times New Roman" w:cs="Times New Roman"/>
          <w:sz w:val="24"/>
          <w:szCs w:val="24"/>
        </w:rPr>
        <w:t xml:space="preserve">under </w:t>
      </w:r>
      <w:r w:rsidR="00DF6373" w:rsidRPr="00206628">
        <w:rPr>
          <w:rFonts w:ascii="Times New Roman" w:eastAsia="Calibri" w:hAnsi="Times New Roman" w:cs="Times New Roman"/>
          <w:sz w:val="24"/>
          <w:szCs w:val="24"/>
        </w:rPr>
        <w:t xml:space="preserve">the </w:t>
      </w:r>
      <w:r w:rsidRPr="00206628">
        <w:rPr>
          <w:rFonts w:ascii="Times New Roman" w:eastAsia="Calibri" w:hAnsi="Times New Roman" w:cs="Times New Roman"/>
          <w:sz w:val="24"/>
          <w:szCs w:val="24"/>
        </w:rPr>
        <w:t>Act</w:t>
      </w:r>
      <w:r w:rsidR="002A359D" w:rsidRPr="00206628">
        <w:rPr>
          <w:rFonts w:ascii="Times New Roman" w:eastAsia="Calibri" w:hAnsi="Times New Roman" w:cs="Times New Roman"/>
          <w:sz w:val="24"/>
          <w:szCs w:val="24"/>
        </w:rPr>
        <w:t xml:space="preserve"> (see sections 5 and 16(4))</w:t>
      </w:r>
      <w:r w:rsidRPr="00206628">
        <w:rPr>
          <w:rFonts w:ascii="Times New Roman" w:eastAsia="Calibri" w:hAnsi="Times New Roman" w:cs="Times New Roman"/>
          <w:sz w:val="24"/>
          <w:szCs w:val="24"/>
        </w:rPr>
        <w:t xml:space="preserve">. </w:t>
      </w:r>
      <w:r w:rsidR="002A359D" w:rsidRPr="00206628">
        <w:t xml:space="preserve"> </w:t>
      </w:r>
      <w:r w:rsidR="00017BBA" w:rsidRPr="00206628">
        <w:t>“</w:t>
      </w:r>
      <w:r w:rsidR="002A359D" w:rsidRPr="00206628">
        <w:rPr>
          <w:rFonts w:ascii="Times New Roman" w:eastAsia="Calibri" w:hAnsi="Times New Roman" w:cs="Times New Roman"/>
          <w:sz w:val="24"/>
          <w:szCs w:val="24"/>
        </w:rPr>
        <w:t>Notice window</w:t>
      </w:r>
      <w:r w:rsidR="00017BBA" w:rsidRPr="00206628">
        <w:rPr>
          <w:rFonts w:ascii="Times New Roman" w:eastAsia="Calibri" w:hAnsi="Times New Roman" w:cs="Times New Roman"/>
          <w:sz w:val="24"/>
          <w:szCs w:val="24"/>
        </w:rPr>
        <w:t>”</w:t>
      </w:r>
      <w:r w:rsidR="002A359D" w:rsidRPr="00206628">
        <w:rPr>
          <w:rFonts w:ascii="Times New Roman" w:eastAsia="Calibri" w:hAnsi="Times New Roman" w:cs="Times New Roman"/>
          <w:sz w:val="24"/>
          <w:szCs w:val="24"/>
        </w:rPr>
        <w:t xml:space="preserve"> means a period (as determined by the Rules) within which </w:t>
      </w:r>
      <w:r w:rsidR="00694096" w:rsidRPr="00206628">
        <w:rPr>
          <w:rFonts w:ascii="Times New Roman" w:eastAsia="Calibri" w:hAnsi="Times New Roman" w:cs="Times New Roman"/>
          <w:sz w:val="24"/>
          <w:szCs w:val="24"/>
        </w:rPr>
        <w:br/>
      </w:r>
      <w:r w:rsidR="002A359D" w:rsidRPr="00206628">
        <w:rPr>
          <w:rFonts w:ascii="Times New Roman" w:eastAsia="Calibri" w:hAnsi="Times New Roman" w:cs="Times New Roman"/>
          <w:sz w:val="24"/>
          <w:szCs w:val="24"/>
        </w:rPr>
        <w:t>the Secretary must provide written notice of an entity’s MSO</w:t>
      </w:r>
      <w:r w:rsidR="002A359D" w:rsidRPr="00206628">
        <w:t xml:space="preserve">. </w:t>
      </w:r>
      <w:r w:rsidR="00017BBA" w:rsidRPr="00206628">
        <w:t>“</w:t>
      </w:r>
      <w:r w:rsidR="002A359D" w:rsidRPr="00206628">
        <w:rPr>
          <w:rFonts w:ascii="Times New Roman" w:eastAsia="Calibri" w:hAnsi="Times New Roman" w:cs="Times New Roman"/>
          <w:sz w:val="24"/>
          <w:szCs w:val="24"/>
        </w:rPr>
        <w:t>Advice window</w:t>
      </w:r>
      <w:r w:rsidR="00017BBA" w:rsidRPr="00206628">
        <w:rPr>
          <w:rFonts w:ascii="Times New Roman" w:eastAsia="Calibri" w:hAnsi="Times New Roman" w:cs="Times New Roman"/>
          <w:sz w:val="24"/>
          <w:szCs w:val="24"/>
        </w:rPr>
        <w:t>”</w:t>
      </w:r>
      <w:r w:rsidR="002A359D" w:rsidRPr="00206628">
        <w:rPr>
          <w:rFonts w:ascii="Times New Roman" w:eastAsia="Calibri" w:hAnsi="Times New Roman" w:cs="Times New Roman"/>
          <w:sz w:val="24"/>
          <w:szCs w:val="24"/>
        </w:rPr>
        <w:t xml:space="preserve"> refers to a period (as determined by the Rules) within which a regulated entity must provide notice of their quantity of stocks or any matters that would impact their capacity to hold the amount of stocks required. This advice must be provided before the start of the Secretary’s notice window.</w:t>
      </w:r>
      <w:r w:rsidR="00EF6FAD" w:rsidRPr="00206628">
        <w:rPr>
          <w:rFonts w:ascii="Times New Roman" w:eastAsia="Calibri" w:hAnsi="Times New Roman" w:cs="Times New Roman"/>
          <w:sz w:val="24"/>
          <w:szCs w:val="24"/>
        </w:rPr>
        <w:t xml:space="preserve"> </w:t>
      </w:r>
    </w:p>
    <w:p w14:paraId="1432B149" w14:textId="77777777" w:rsidR="002B677A" w:rsidRPr="00206628" w:rsidRDefault="00B15162" w:rsidP="00FE6B1E">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lastRenderedPageBreak/>
        <w:t xml:space="preserve">This section prescribes the time periods allocated to each of these concepts. </w:t>
      </w:r>
    </w:p>
    <w:p w14:paraId="77C7FA22" w14:textId="160F6445" w:rsidR="00B15162" w:rsidRPr="00206628" w:rsidRDefault="00B15162" w:rsidP="00FE6B1E">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P</w:t>
      </w:r>
      <w:r w:rsidR="007123AA" w:rsidRPr="00206628">
        <w:rPr>
          <w:rFonts w:ascii="Times New Roman" w:eastAsia="Calibri" w:hAnsi="Times New Roman" w:cs="Times New Roman"/>
          <w:sz w:val="24"/>
          <w:szCs w:val="24"/>
        </w:rPr>
        <w:t>aragraph 18</w:t>
      </w:r>
      <w:r w:rsidRPr="00206628">
        <w:rPr>
          <w:rFonts w:ascii="Times New Roman" w:eastAsia="Calibri" w:hAnsi="Times New Roman" w:cs="Times New Roman"/>
          <w:sz w:val="24"/>
          <w:szCs w:val="24"/>
        </w:rPr>
        <w:t xml:space="preserve">(1)(a) </w:t>
      </w:r>
      <w:r w:rsidR="009C67B2" w:rsidRPr="00206628">
        <w:rPr>
          <w:rFonts w:ascii="Times New Roman" w:eastAsia="Calibri" w:hAnsi="Times New Roman" w:cs="Times New Roman"/>
          <w:sz w:val="24"/>
          <w:szCs w:val="24"/>
        </w:rPr>
        <w:t xml:space="preserve">of the Rules </w:t>
      </w:r>
      <w:r w:rsidR="00E02F8A" w:rsidRPr="00206628">
        <w:rPr>
          <w:rFonts w:ascii="Times New Roman" w:eastAsia="Calibri" w:hAnsi="Times New Roman" w:cs="Times New Roman"/>
          <w:sz w:val="24"/>
          <w:szCs w:val="24"/>
        </w:rPr>
        <w:t xml:space="preserve">prescribes </w:t>
      </w:r>
      <w:r w:rsidR="007123AA" w:rsidRPr="00206628">
        <w:rPr>
          <w:rFonts w:ascii="Times New Roman" w:eastAsia="Calibri" w:hAnsi="Times New Roman" w:cs="Times New Roman"/>
          <w:sz w:val="24"/>
          <w:szCs w:val="24"/>
        </w:rPr>
        <w:t>that during</w:t>
      </w:r>
      <w:r w:rsidRPr="00206628">
        <w:rPr>
          <w:rFonts w:ascii="Times New Roman" w:eastAsia="Calibri" w:hAnsi="Times New Roman" w:cs="Times New Roman"/>
          <w:sz w:val="24"/>
          <w:szCs w:val="24"/>
        </w:rPr>
        <w:t xml:space="preserve"> the first year of operation</w:t>
      </w:r>
      <w:r w:rsidR="00E02F8A" w:rsidRPr="00206628">
        <w:rPr>
          <w:rFonts w:ascii="Times New Roman" w:eastAsia="Calibri" w:hAnsi="Times New Roman" w:cs="Times New Roman"/>
          <w:sz w:val="24"/>
          <w:szCs w:val="24"/>
        </w:rPr>
        <w:t xml:space="preserve"> of the MSO scheme</w:t>
      </w:r>
      <w:r w:rsidRPr="00206628">
        <w:rPr>
          <w:rFonts w:ascii="Times New Roman" w:eastAsia="Calibri" w:hAnsi="Times New Roman" w:cs="Times New Roman"/>
          <w:sz w:val="24"/>
          <w:szCs w:val="24"/>
        </w:rPr>
        <w:t xml:space="preserve">, the notice window is from 1 March </w:t>
      </w:r>
      <w:r w:rsidR="00F87A44" w:rsidRPr="00206628">
        <w:rPr>
          <w:rFonts w:ascii="Times New Roman" w:eastAsia="Calibri" w:hAnsi="Times New Roman" w:cs="Times New Roman"/>
          <w:sz w:val="24"/>
          <w:szCs w:val="24"/>
        </w:rPr>
        <w:t xml:space="preserve">2024 </w:t>
      </w:r>
      <w:r w:rsidRPr="00206628">
        <w:rPr>
          <w:rFonts w:ascii="Times New Roman" w:eastAsia="Calibri" w:hAnsi="Times New Roman" w:cs="Times New Roman"/>
          <w:sz w:val="24"/>
          <w:szCs w:val="24"/>
        </w:rPr>
        <w:t xml:space="preserve">until 30 June </w:t>
      </w:r>
      <w:r w:rsidR="00F87A44" w:rsidRPr="00206628">
        <w:rPr>
          <w:rFonts w:ascii="Times New Roman" w:eastAsia="Calibri" w:hAnsi="Times New Roman" w:cs="Times New Roman"/>
          <w:sz w:val="24"/>
          <w:szCs w:val="24"/>
        </w:rPr>
        <w:t>2024</w:t>
      </w:r>
      <w:r w:rsidR="00A47B0B" w:rsidRPr="00206628">
        <w:rPr>
          <w:rFonts w:ascii="Times New Roman" w:eastAsia="Calibri" w:hAnsi="Times New Roman" w:cs="Times New Roman"/>
          <w:sz w:val="24"/>
          <w:szCs w:val="24"/>
        </w:rPr>
        <w:t xml:space="preserve"> (inclusive)</w:t>
      </w:r>
      <w:r w:rsidR="00F87A44" w:rsidRPr="00206628">
        <w:rPr>
          <w:rFonts w:ascii="Times New Roman" w:eastAsia="Calibri" w:hAnsi="Times New Roman" w:cs="Times New Roman"/>
          <w:sz w:val="24"/>
          <w:szCs w:val="24"/>
        </w:rPr>
        <w:t xml:space="preserve"> </w:t>
      </w:r>
      <w:r w:rsidRPr="00206628">
        <w:rPr>
          <w:rFonts w:ascii="Times New Roman" w:eastAsia="Calibri" w:hAnsi="Times New Roman" w:cs="Times New Roman"/>
          <w:sz w:val="24"/>
          <w:szCs w:val="24"/>
        </w:rPr>
        <w:t xml:space="preserve">– </w:t>
      </w:r>
      <w:r w:rsidR="00E02F8A" w:rsidRPr="00206628">
        <w:rPr>
          <w:rFonts w:ascii="Times New Roman" w:eastAsia="Calibri" w:hAnsi="Times New Roman" w:cs="Times New Roman"/>
          <w:sz w:val="24"/>
          <w:szCs w:val="24"/>
        </w:rPr>
        <w:t xml:space="preserve">commencing </w:t>
      </w:r>
      <w:r w:rsidR="00694096" w:rsidRPr="00206628">
        <w:rPr>
          <w:rFonts w:ascii="Times New Roman" w:eastAsia="Calibri" w:hAnsi="Times New Roman" w:cs="Times New Roman"/>
          <w:sz w:val="24"/>
          <w:szCs w:val="24"/>
        </w:rPr>
        <w:t>four</w:t>
      </w:r>
      <w:r w:rsidRPr="00206628">
        <w:rPr>
          <w:rFonts w:ascii="Times New Roman" w:eastAsia="Calibri" w:hAnsi="Times New Roman" w:cs="Times New Roman"/>
          <w:sz w:val="24"/>
          <w:szCs w:val="24"/>
        </w:rPr>
        <w:t xml:space="preserve"> months </w:t>
      </w:r>
      <w:r w:rsidR="00AD249F" w:rsidRPr="00206628">
        <w:rPr>
          <w:rFonts w:ascii="Times New Roman" w:eastAsia="Calibri" w:hAnsi="Times New Roman" w:cs="Times New Roman"/>
          <w:sz w:val="24"/>
          <w:szCs w:val="24"/>
        </w:rPr>
        <w:t xml:space="preserve">before </w:t>
      </w:r>
      <w:r w:rsidRPr="00206628">
        <w:rPr>
          <w:rFonts w:ascii="Times New Roman" w:eastAsia="Calibri" w:hAnsi="Times New Roman" w:cs="Times New Roman"/>
          <w:sz w:val="24"/>
          <w:szCs w:val="24"/>
        </w:rPr>
        <w:t xml:space="preserve">the </w:t>
      </w:r>
      <w:r w:rsidR="007123AA" w:rsidRPr="00206628">
        <w:rPr>
          <w:rFonts w:ascii="Times New Roman" w:eastAsia="Calibri" w:hAnsi="Times New Roman" w:cs="Times New Roman"/>
          <w:sz w:val="24"/>
          <w:szCs w:val="24"/>
        </w:rPr>
        <w:t xml:space="preserve">reset of designated quantities on 1 July </w:t>
      </w:r>
      <w:r w:rsidR="00F87A44" w:rsidRPr="00206628">
        <w:rPr>
          <w:rFonts w:ascii="Times New Roman" w:eastAsia="Calibri" w:hAnsi="Times New Roman" w:cs="Times New Roman"/>
          <w:sz w:val="24"/>
          <w:szCs w:val="24"/>
        </w:rPr>
        <w:t>2024</w:t>
      </w:r>
      <w:r w:rsidRPr="00206628">
        <w:rPr>
          <w:rFonts w:ascii="Times New Roman" w:eastAsia="Calibri" w:hAnsi="Times New Roman" w:cs="Times New Roman"/>
          <w:sz w:val="24"/>
          <w:szCs w:val="24"/>
        </w:rPr>
        <w:t xml:space="preserve">. </w:t>
      </w:r>
      <w:r w:rsidR="002B677A" w:rsidRPr="00206628">
        <w:rPr>
          <w:rFonts w:ascii="Times New Roman" w:eastAsia="Calibri" w:hAnsi="Times New Roman" w:cs="Times New Roman"/>
          <w:sz w:val="24"/>
          <w:szCs w:val="24"/>
        </w:rPr>
        <w:t>Subsequent years will follow the same notice window period, beginning on 1 March and ending on 30 June</w:t>
      </w:r>
      <w:r w:rsidR="00E02F8A" w:rsidRPr="00206628">
        <w:rPr>
          <w:rFonts w:ascii="Times New Roman" w:eastAsia="Calibri" w:hAnsi="Times New Roman" w:cs="Times New Roman"/>
          <w:sz w:val="24"/>
          <w:szCs w:val="24"/>
        </w:rPr>
        <w:t xml:space="preserve"> of the same calendar year</w:t>
      </w:r>
      <w:r w:rsidR="002B677A" w:rsidRPr="00206628">
        <w:rPr>
          <w:rFonts w:ascii="Times New Roman" w:eastAsia="Calibri" w:hAnsi="Times New Roman" w:cs="Times New Roman"/>
          <w:sz w:val="24"/>
          <w:szCs w:val="24"/>
        </w:rPr>
        <w:t xml:space="preserve">. </w:t>
      </w:r>
      <w:r w:rsidR="003220A3" w:rsidRPr="00206628">
        <w:rPr>
          <w:rFonts w:ascii="Times New Roman" w:eastAsia="Calibri" w:hAnsi="Times New Roman" w:cs="Times New Roman"/>
          <w:sz w:val="24"/>
          <w:szCs w:val="24"/>
        </w:rPr>
        <w:t>There is no notice window</w:t>
      </w:r>
      <w:r w:rsidR="00F87A44" w:rsidRPr="00206628">
        <w:rPr>
          <w:rFonts w:ascii="Times New Roman" w:eastAsia="Calibri" w:hAnsi="Times New Roman" w:cs="Times New Roman"/>
          <w:sz w:val="24"/>
          <w:szCs w:val="24"/>
        </w:rPr>
        <w:t xml:space="preserve"> before the scheme commences on 1 July 2023 </w:t>
      </w:r>
      <w:r w:rsidR="003220A3" w:rsidRPr="00206628">
        <w:rPr>
          <w:rFonts w:ascii="Times New Roman" w:eastAsia="Calibri" w:hAnsi="Times New Roman" w:cs="Times New Roman"/>
          <w:sz w:val="24"/>
          <w:szCs w:val="24"/>
        </w:rPr>
        <w:t xml:space="preserve">as the Secretary will trigger the obligation for entities under section 10 of the Act based on existing information. While the notice period goes until 30 June, entities will get at least </w:t>
      </w:r>
      <w:r w:rsidR="00694096" w:rsidRPr="00206628">
        <w:rPr>
          <w:rFonts w:ascii="Times New Roman" w:eastAsia="Calibri" w:hAnsi="Times New Roman" w:cs="Times New Roman"/>
          <w:sz w:val="24"/>
          <w:szCs w:val="24"/>
        </w:rPr>
        <w:t xml:space="preserve">three </w:t>
      </w:r>
      <w:r w:rsidR="0057359F" w:rsidRPr="00206628">
        <w:rPr>
          <w:rFonts w:ascii="Times New Roman" w:eastAsia="Calibri" w:hAnsi="Times New Roman" w:cs="Times New Roman"/>
          <w:sz w:val="24"/>
          <w:szCs w:val="24"/>
        </w:rPr>
        <w:t>months’</w:t>
      </w:r>
      <w:r w:rsidR="003220A3" w:rsidRPr="00206628">
        <w:rPr>
          <w:rFonts w:ascii="Times New Roman" w:eastAsia="Calibri" w:hAnsi="Times New Roman" w:cs="Times New Roman"/>
          <w:sz w:val="24"/>
          <w:szCs w:val="24"/>
        </w:rPr>
        <w:t xml:space="preserve"> notice of a new designated quantity due to paragraph 15(4)(a) of the Act.</w:t>
      </w:r>
    </w:p>
    <w:p w14:paraId="558C7EC0" w14:textId="1419A125" w:rsidR="00694096" w:rsidRPr="00206628" w:rsidRDefault="00E02F8A" w:rsidP="00213364">
      <w:pPr>
        <w:spacing w:before="240" w:after="100" w:afterAutospacing="1"/>
        <w:rPr>
          <w:rFonts w:ascii="Times New Roman" w:eastAsia="Calibri" w:hAnsi="Times New Roman" w:cs="Times New Roman"/>
          <w:b/>
          <w:sz w:val="24"/>
          <w:szCs w:val="24"/>
        </w:rPr>
      </w:pPr>
      <w:r w:rsidRPr="00206628">
        <w:rPr>
          <w:rFonts w:ascii="Times New Roman" w:eastAsia="Calibri" w:hAnsi="Times New Roman" w:cs="Times New Roman"/>
          <w:sz w:val="24"/>
          <w:szCs w:val="24"/>
        </w:rPr>
        <w:t xml:space="preserve">Subsection </w:t>
      </w:r>
      <w:r w:rsidR="003220A3" w:rsidRPr="00206628">
        <w:rPr>
          <w:rFonts w:ascii="Times New Roman" w:eastAsia="Calibri" w:hAnsi="Times New Roman" w:cs="Times New Roman"/>
          <w:sz w:val="24"/>
          <w:szCs w:val="24"/>
        </w:rPr>
        <w:t>18</w:t>
      </w:r>
      <w:r w:rsidR="002B677A" w:rsidRPr="00206628">
        <w:rPr>
          <w:rFonts w:ascii="Times New Roman" w:eastAsia="Calibri" w:hAnsi="Times New Roman" w:cs="Times New Roman"/>
          <w:sz w:val="24"/>
          <w:szCs w:val="24"/>
        </w:rPr>
        <w:t xml:space="preserve">(2) provides that the advice window will apply from the two months </w:t>
      </w:r>
      <w:r w:rsidR="00A14214" w:rsidRPr="00206628">
        <w:rPr>
          <w:rFonts w:ascii="Times New Roman" w:eastAsia="Calibri" w:hAnsi="Times New Roman" w:cs="Times New Roman"/>
          <w:sz w:val="24"/>
          <w:szCs w:val="24"/>
        </w:rPr>
        <w:t xml:space="preserve">before </w:t>
      </w:r>
      <w:r w:rsidR="002B677A" w:rsidRPr="00206628">
        <w:rPr>
          <w:rFonts w:ascii="Times New Roman" w:eastAsia="Calibri" w:hAnsi="Times New Roman" w:cs="Times New Roman"/>
          <w:sz w:val="24"/>
          <w:szCs w:val="24"/>
        </w:rPr>
        <w:t xml:space="preserve">the </w:t>
      </w:r>
      <w:r w:rsidR="00A14214" w:rsidRPr="00206628">
        <w:rPr>
          <w:rFonts w:ascii="Times New Roman" w:eastAsia="Calibri" w:hAnsi="Times New Roman" w:cs="Times New Roman"/>
          <w:sz w:val="24"/>
          <w:szCs w:val="24"/>
        </w:rPr>
        <w:t xml:space="preserve">start of the </w:t>
      </w:r>
      <w:r w:rsidR="002B677A" w:rsidRPr="00206628">
        <w:rPr>
          <w:rFonts w:ascii="Times New Roman" w:eastAsia="Calibri" w:hAnsi="Times New Roman" w:cs="Times New Roman"/>
          <w:sz w:val="24"/>
          <w:szCs w:val="24"/>
        </w:rPr>
        <w:t xml:space="preserve">notice window period. For </w:t>
      </w:r>
      <w:r w:rsidR="00FF5B22" w:rsidRPr="00206628">
        <w:rPr>
          <w:rFonts w:ascii="Times New Roman" w:eastAsia="Calibri" w:hAnsi="Times New Roman" w:cs="Times New Roman"/>
          <w:sz w:val="24"/>
          <w:szCs w:val="24"/>
        </w:rPr>
        <w:t xml:space="preserve">example, for </w:t>
      </w:r>
      <w:r w:rsidR="002B677A" w:rsidRPr="00206628">
        <w:rPr>
          <w:rFonts w:ascii="Times New Roman" w:eastAsia="Calibri" w:hAnsi="Times New Roman" w:cs="Times New Roman"/>
          <w:sz w:val="24"/>
          <w:szCs w:val="24"/>
        </w:rPr>
        <w:t xml:space="preserve">each year of operation, the advice window will occur from 1 January to the last date in February </w:t>
      </w:r>
      <w:r w:rsidR="009D1799" w:rsidRPr="00206628">
        <w:rPr>
          <w:rFonts w:ascii="Times New Roman" w:eastAsia="Calibri" w:hAnsi="Times New Roman" w:cs="Times New Roman"/>
          <w:sz w:val="24"/>
          <w:szCs w:val="24"/>
        </w:rPr>
        <w:t xml:space="preserve">of </w:t>
      </w:r>
      <w:r w:rsidR="002B677A" w:rsidRPr="00206628">
        <w:rPr>
          <w:rFonts w:ascii="Times New Roman" w:eastAsia="Calibri" w:hAnsi="Times New Roman" w:cs="Times New Roman"/>
          <w:sz w:val="24"/>
          <w:szCs w:val="24"/>
        </w:rPr>
        <w:t xml:space="preserve">that year. </w:t>
      </w:r>
      <w:r w:rsidR="009D1799" w:rsidRPr="00206628">
        <w:rPr>
          <w:rFonts w:ascii="Times New Roman" w:eastAsia="Calibri" w:hAnsi="Times New Roman" w:cs="Times New Roman"/>
          <w:sz w:val="24"/>
          <w:szCs w:val="24"/>
        </w:rPr>
        <w:t xml:space="preserve">This is intended to ensure the Secretary receives an entity’s advice </w:t>
      </w:r>
      <w:r w:rsidR="00FF5B22" w:rsidRPr="00206628">
        <w:rPr>
          <w:rFonts w:ascii="Times New Roman" w:eastAsia="Calibri" w:hAnsi="Times New Roman" w:cs="Times New Roman"/>
          <w:sz w:val="24"/>
          <w:szCs w:val="24"/>
        </w:rPr>
        <w:t xml:space="preserve">about </w:t>
      </w:r>
      <w:r w:rsidR="009D1799" w:rsidRPr="00206628">
        <w:rPr>
          <w:rFonts w:ascii="Times New Roman" w:eastAsia="Calibri" w:hAnsi="Times New Roman" w:cs="Times New Roman"/>
          <w:sz w:val="24"/>
          <w:szCs w:val="24"/>
        </w:rPr>
        <w:t xml:space="preserve">their </w:t>
      </w:r>
      <w:r w:rsidR="000C0D99" w:rsidRPr="00206628">
        <w:rPr>
          <w:rFonts w:ascii="Times New Roman" w:eastAsia="Calibri" w:hAnsi="Times New Roman" w:cs="Times New Roman"/>
          <w:sz w:val="24"/>
          <w:szCs w:val="24"/>
        </w:rPr>
        <w:t>expected stockholding obligation b</w:t>
      </w:r>
      <w:r w:rsidR="009D1799" w:rsidRPr="00206628">
        <w:rPr>
          <w:rFonts w:ascii="Times New Roman" w:eastAsia="Calibri" w:hAnsi="Times New Roman" w:cs="Times New Roman"/>
          <w:sz w:val="24"/>
          <w:szCs w:val="24"/>
        </w:rPr>
        <w:t>efore the Secretary determines and gives notice o</w:t>
      </w:r>
      <w:r w:rsidR="000C0D99" w:rsidRPr="00206628">
        <w:rPr>
          <w:rFonts w:ascii="Times New Roman" w:eastAsia="Calibri" w:hAnsi="Times New Roman" w:cs="Times New Roman"/>
          <w:sz w:val="24"/>
          <w:szCs w:val="24"/>
        </w:rPr>
        <w:t xml:space="preserve">f the minimum quantity of stocks of each MSO product the entity is required to hold over the </w:t>
      </w:r>
      <w:r w:rsidR="00FF5B22" w:rsidRPr="00206628">
        <w:rPr>
          <w:rFonts w:ascii="Times New Roman" w:eastAsia="Calibri" w:hAnsi="Times New Roman" w:cs="Times New Roman"/>
          <w:sz w:val="24"/>
          <w:szCs w:val="24"/>
        </w:rPr>
        <w:t xml:space="preserve">next </w:t>
      </w:r>
      <w:r w:rsidR="000C0D99" w:rsidRPr="00206628">
        <w:rPr>
          <w:rFonts w:ascii="Times New Roman" w:eastAsia="Calibri" w:hAnsi="Times New Roman" w:cs="Times New Roman"/>
          <w:sz w:val="24"/>
          <w:szCs w:val="24"/>
        </w:rPr>
        <w:t>compliance period.</w:t>
      </w:r>
    </w:p>
    <w:p w14:paraId="09E76152" w14:textId="77777777" w:rsidR="002B677A" w:rsidRPr="00206628" w:rsidRDefault="002B677A" w:rsidP="00FE6B1E">
      <w:pPr>
        <w:spacing w:before="240" w:after="100" w:afterAutospacing="1"/>
        <w:rPr>
          <w:rFonts w:ascii="Times New Roman" w:eastAsia="Calibri" w:hAnsi="Times New Roman" w:cs="Times New Roman"/>
          <w:b/>
          <w:sz w:val="24"/>
          <w:szCs w:val="24"/>
        </w:rPr>
      </w:pPr>
      <w:r w:rsidRPr="00206628">
        <w:rPr>
          <w:rFonts w:ascii="Times New Roman" w:eastAsia="Calibri" w:hAnsi="Times New Roman" w:cs="Times New Roman"/>
          <w:b/>
          <w:sz w:val="24"/>
          <w:szCs w:val="24"/>
        </w:rPr>
        <w:t>Section 1</w:t>
      </w:r>
      <w:r w:rsidR="003220A3" w:rsidRPr="00206628">
        <w:rPr>
          <w:rFonts w:ascii="Times New Roman" w:eastAsia="Calibri" w:hAnsi="Times New Roman" w:cs="Times New Roman"/>
          <w:b/>
          <w:sz w:val="24"/>
          <w:szCs w:val="24"/>
        </w:rPr>
        <w:t>9</w:t>
      </w:r>
      <w:r w:rsidRPr="00206628">
        <w:rPr>
          <w:rFonts w:ascii="Times New Roman" w:eastAsia="Calibri" w:hAnsi="Times New Roman" w:cs="Times New Roman"/>
          <w:b/>
          <w:sz w:val="24"/>
          <w:szCs w:val="24"/>
        </w:rPr>
        <w:t xml:space="preserve"> – Notices to Australian controlling corporation</w:t>
      </w:r>
    </w:p>
    <w:p w14:paraId="0C8D4AE7" w14:textId="77777777" w:rsidR="002B677A" w:rsidRPr="00206628" w:rsidRDefault="00DC593F" w:rsidP="00FE6B1E">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section prescribes that the Secretary must take reasonable steps to ensure the Australian controlling corporation </w:t>
      </w:r>
      <w:r w:rsidR="00A14214" w:rsidRPr="00206628">
        <w:rPr>
          <w:rFonts w:ascii="Times New Roman" w:eastAsia="Calibri" w:hAnsi="Times New Roman" w:cs="Times New Roman"/>
          <w:sz w:val="24"/>
          <w:szCs w:val="24"/>
        </w:rPr>
        <w:t xml:space="preserve">for an entity </w:t>
      </w:r>
      <w:r w:rsidRPr="00206628">
        <w:rPr>
          <w:rFonts w:ascii="Times New Roman" w:eastAsia="Calibri" w:hAnsi="Times New Roman" w:cs="Times New Roman"/>
          <w:sz w:val="24"/>
          <w:szCs w:val="24"/>
        </w:rPr>
        <w:t xml:space="preserve">is provided a copy of </w:t>
      </w:r>
      <w:r w:rsidR="00B24117" w:rsidRPr="00206628">
        <w:rPr>
          <w:rFonts w:ascii="Times New Roman" w:eastAsia="Calibri" w:hAnsi="Times New Roman" w:cs="Times New Roman"/>
          <w:sz w:val="24"/>
          <w:szCs w:val="24"/>
        </w:rPr>
        <w:t xml:space="preserve">specific notices under the Act that are provided to the regulated entity themselves. The specified notices from the Act are under subsections 10(1), 15(1), 18(2), 18(5), 29(2), 29(7), 29(8) or 32(3). As the Australian controlling corporation </w:t>
      </w:r>
      <w:r w:rsidR="00A14214" w:rsidRPr="00206628">
        <w:rPr>
          <w:rFonts w:ascii="Times New Roman" w:eastAsia="Calibri" w:hAnsi="Times New Roman" w:cs="Times New Roman"/>
          <w:sz w:val="24"/>
          <w:szCs w:val="24"/>
        </w:rPr>
        <w:t xml:space="preserve">for </w:t>
      </w:r>
      <w:r w:rsidR="00B24117" w:rsidRPr="00206628">
        <w:rPr>
          <w:rFonts w:ascii="Times New Roman" w:eastAsia="Calibri" w:hAnsi="Times New Roman" w:cs="Times New Roman"/>
          <w:sz w:val="24"/>
          <w:szCs w:val="24"/>
        </w:rPr>
        <w:t xml:space="preserve">a regulated entity has responsibility to ensure that the regulated entity complies with their MSO, this will </w:t>
      </w:r>
      <w:r w:rsidR="00A14214" w:rsidRPr="00206628">
        <w:rPr>
          <w:rFonts w:ascii="Times New Roman" w:eastAsia="Calibri" w:hAnsi="Times New Roman" w:cs="Times New Roman"/>
          <w:sz w:val="24"/>
          <w:szCs w:val="24"/>
        </w:rPr>
        <w:t>ensure the Australian controlling corporation has appropriate</w:t>
      </w:r>
      <w:r w:rsidR="00B24117" w:rsidRPr="00206628">
        <w:rPr>
          <w:rFonts w:ascii="Times New Roman" w:eastAsia="Calibri" w:hAnsi="Times New Roman" w:cs="Times New Roman"/>
          <w:sz w:val="24"/>
          <w:szCs w:val="24"/>
        </w:rPr>
        <w:t xml:space="preserve"> oversight of </w:t>
      </w:r>
      <w:r w:rsidR="00A14214" w:rsidRPr="00206628">
        <w:rPr>
          <w:rFonts w:ascii="Times New Roman" w:eastAsia="Calibri" w:hAnsi="Times New Roman" w:cs="Times New Roman"/>
          <w:sz w:val="24"/>
          <w:szCs w:val="24"/>
        </w:rPr>
        <w:t>relevant matters</w:t>
      </w:r>
      <w:r w:rsidR="00B24117" w:rsidRPr="00206628">
        <w:rPr>
          <w:rFonts w:ascii="Times New Roman" w:eastAsia="Calibri" w:hAnsi="Times New Roman" w:cs="Times New Roman"/>
          <w:sz w:val="24"/>
          <w:szCs w:val="24"/>
        </w:rPr>
        <w:t xml:space="preserve">. </w:t>
      </w:r>
    </w:p>
    <w:p w14:paraId="237F37AB" w14:textId="77777777" w:rsidR="00B24117" w:rsidRPr="00206628" w:rsidRDefault="00B24117" w:rsidP="00B24117">
      <w:pPr>
        <w:spacing w:before="240" w:after="100" w:afterAutospacing="1"/>
        <w:rPr>
          <w:rFonts w:ascii="Times New Roman" w:hAnsi="Times New Roman" w:cs="Times New Roman"/>
          <w:b/>
          <w:sz w:val="24"/>
          <w:szCs w:val="24"/>
        </w:rPr>
      </w:pPr>
      <w:r w:rsidRPr="00206628">
        <w:rPr>
          <w:rFonts w:ascii="Times New Roman" w:eastAsia="Calibri" w:hAnsi="Times New Roman" w:cs="Times New Roman"/>
          <w:b/>
          <w:sz w:val="24"/>
          <w:szCs w:val="24"/>
        </w:rPr>
        <w:t>PART 4</w:t>
      </w:r>
      <w:r w:rsidRPr="00206628">
        <w:rPr>
          <w:rFonts w:ascii="Times New Roman" w:hAnsi="Times New Roman" w:cs="Times New Roman"/>
          <w:i/>
          <w:sz w:val="24"/>
          <w:szCs w:val="24"/>
        </w:rPr>
        <w:t>—</w:t>
      </w:r>
      <w:r w:rsidRPr="00206628">
        <w:rPr>
          <w:rFonts w:ascii="Times New Roman" w:hAnsi="Times New Roman" w:cs="Times New Roman"/>
          <w:b/>
          <w:sz w:val="24"/>
          <w:szCs w:val="24"/>
        </w:rPr>
        <w:t>Designated quantity</w:t>
      </w:r>
    </w:p>
    <w:p w14:paraId="628753FD" w14:textId="77777777" w:rsidR="00B24117" w:rsidRPr="00206628" w:rsidRDefault="002F7D81" w:rsidP="00B24117">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5A0C6D" w:rsidRPr="00206628">
        <w:rPr>
          <w:rFonts w:ascii="Times New Roman" w:hAnsi="Times New Roman" w:cs="Times New Roman"/>
          <w:b/>
          <w:sz w:val="24"/>
          <w:szCs w:val="24"/>
        </w:rPr>
        <w:t>20</w:t>
      </w:r>
      <w:r w:rsidR="00B24117" w:rsidRPr="00206628">
        <w:rPr>
          <w:rFonts w:ascii="Times New Roman" w:hAnsi="Times New Roman" w:cs="Times New Roman"/>
          <w:b/>
          <w:sz w:val="24"/>
          <w:szCs w:val="24"/>
        </w:rPr>
        <w:t xml:space="preserve"> – Designated quantity to be specified</w:t>
      </w:r>
    </w:p>
    <w:p w14:paraId="7CAE0BF0" w14:textId="797D5D1D" w:rsidR="00D20570" w:rsidRPr="00206628" w:rsidRDefault="00642C2F"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section prescribes that the designated quantity of stocks of each MSO product an entity must hold on obligation days (for subsections 10(3), 15(3) and 16(3) of the Act) is calculat</w:t>
      </w:r>
      <w:r w:rsidR="003220A3" w:rsidRPr="00206628">
        <w:rPr>
          <w:rFonts w:ascii="Times New Roman" w:hAnsi="Times New Roman" w:cs="Times New Roman"/>
          <w:sz w:val="24"/>
          <w:szCs w:val="24"/>
        </w:rPr>
        <w:t xml:space="preserve">ed in accordance with </w:t>
      </w:r>
      <w:r w:rsidR="00D20570" w:rsidRPr="00206628">
        <w:rPr>
          <w:rFonts w:ascii="Times New Roman" w:hAnsi="Times New Roman" w:cs="Times New Roman"/>
          <w:sz w:val="24"/>
          <w:szCs w:val="24"/>
        </w:rPr>
        <w:t>Part 4</w:t>
      </w:r>
      <w:r w:rsidR="005C4470" w:rsidRPr="00206628">
        <w:rPr>
          <w:rFonts w:ascii="Times New Roman" w:hAnsi="Times New Roman" w:cs="Times New Roman"/>
          <w:sz w:val="24"/>
          <w:szCs w:val="24"/>
        </w:rPr>
        <w:t xml:space="preserve"> of the Rules</w:t>
      </w:r>
      <w:r w:rsidR="005A0C6D" w:rsidRPr="00206628">
        <w:rPr>
          <w:rFonts w:ascii="Times New Roman" w:hAnsi="Times New Roman" w:cs="Times New Roman"/>
          <w:sz w:val="24"/>
          <w:szCs w:val="24"/>
        </w:rPr>
        <w:t xml:space="preserve">. </w:t>
      </w:r>
    </w:p>
    <w:p w14:paraId="3C0D0022" w14:textId="1A984495" w:rsidR="00D20570" w:rsidRPr="00206628" w:rsidRDefault="00D20570" w:rsidP="00B24117">
      <w:pPr>
        <w:spacing w:before="240" w:after="100" w:afterAutospacing="1"/>
      </w:pPr>
      <w:r w:rsidRPr="00206628">
        <w:rPr>
          <w:rFonts w:ascii="Times New Roman" w:hAnsi="Times New Roman" w:cs="Times New Roman"/>
          <w:sz w:val="24"/>
          <w:szCs w:val="24"/>
        </w:rPr>
        <w:t>Part 4 includes s</w:t>
      </w:r>
      <w:r w:rsidR="005A0C6D" w:rsidRPr="00206628">
        <w:rPr>
          <w:rFonts w:ascii="Times New Roman" w:hAnsi="Times New Roman" w:cs="Times New Roman"/>
          <w:sz w:val="24"/>
          <w:szCs w:val="24"/>
        </w:rPr>
        <w:t>ection 21</w:t>
      </w:r>
      <w:r w:rsidRPr="00206628">
        <w:rPr>
          <w:rFonts w:ascii="Times New Roman" w:hAnsi="Times New Roman" w:cs="Times New Roman"/>
          <w:sz w:val="24"/>
          <w:szCs w:val="24"/>
        </w:rPr>
        <w:t>,</w:t>
      </w:r>
      <w:r w:rsidR="00263FB5" w:rsidRPr="00206628">
        <w:rPr>
          <w:rFonts w:ascii="Times New Roman" w:hAnsi="Times New Roman" w:cs="Times New Roman"/>
          <w:sz w:val="24"/>
          <w:szCs w:val="24"/>
        </w:rPr>
        <w:t xml:space="preserve"> </w:t>
      </w:r>
      <w:r w:rsidRPr="00206628">
        <w:rPr>
          <w:rFonts w:ascii="Times New Roman" w:hAnsi="Times New Roman" w:cs="Times New Roman"/>
          <w:sz w:val="24"/>
          <w:szCs w:val="24"/>
        </w:rPr>
        <w:t>which establishes</w:t>
      </w:r>
      <w:r w:rsidR="00263FB5" w:rsidRPr="00206628">
        <w:rPr>
          <w:rFonts w:ascii="Times New Roman" w:hAnsi="Times New Roman" w:cs="Times New Roman"/>
          <w:sz w:val="24"/>
          <w:szCs w:val="24"/>
        </w:rPr>
        <w:t xml:space="preserve"> the </w:t>
      </w:r>
      <w:r w:rsidRPr="00206628">
        <w:rPr>
          <w:rFonts w:ascii="Times New Roman" w:hAnsi="Times New Roman" w:cs="Times New Roman"/>
          <w:sz w:val="24"/>
          <w:szCs w:val="24"/>
        </w:rPr>
        <w:t xml:space="preserve">usual </w:t>
      </w:r>
      <w:r w:rsidR="00263FB5" w:rsidRPr="00206628">
        <w:rPr>
          <w:rFonts w:ascii="Times New Roman" w:hAnsi="Times New Roman" w:cs="Times New Roman"/>
          <w:sz w:val="24"/>
          <w:szCs w:val="24"/>
        </w:rPr>
        <w:t xml:space="preserve">calculation methodology entities should use when determining their expected designated quantity of stock for section 16 of the Act. </w:t>
      </w:r>
      <w:r w:rsidR="005A0C6D" w:rsidRPr="00206628">
        <w:rPr>
          <w:rFonts w:ascii="Times New Roman" w:hAnsi="Times New Roman" w:cs="Times New Roman"/>
          <w:sz w:val="24"/>
          <w:szCs w:val="24"/>
        </w:rPr>
        <w:t xml:space="preserve"> The formula in section 21 takes into account the target </w:t>
      </w:r>
      <w:r w:rsidR="00533E21" w:rsidRPr="00206628">
        <w:rPr>
          <w:rFonts w:ascii="Times New Roman" w:hAnsi="Times New Roman" w:cs="Times New Roman"/>
          <w:sz w:val="24"/>
          <w:szCs w:val="24"/>
        </w:rPr>
        <w:t xml:space="preserve">number of </w:t>
      </w:r>
      <w:r w:rsidR="005A0C6D" w:rsidRPr="00206628">
        <w:rPr>
          <w:rFonts w:ascii="Times New Roman" w:hAnsi="Times New Roman" w:cs="Times New Roman"/>
          <w:sz w:val="24"/>
          <w:szCs w:val="24"/>
        </w:rPr>
        <w:t xml:space="preserve">days </w:t>
      </w:r>
      <w:r w:rsidR="00C75BE2" w:rsidRPr="00206628">
        <w:rPr>
          <w:rFonts w:ascii="Times New Roman" w:hAnsi="Times New Roman" w:cs="Times New Roman"/>
          <w:sz w:val="24"/>
          <w:szCs w:val="24"/>
        </w:rPr>
        <w:t xml:space="preserve">declared </w:t>
      </w:r>
      <w:r w:rsidR="005A0C6D" w:rsidRPr="00206628">
        <w:rPr>
          <w:rFonts w:ascii="Times New Roman" w:hAnsi="Times New Roman" w:cs="Times New Roman"/>
          <w:sz w:val="24"/>
          <w:szCs w:val="24"/>
        </w:rPr>
        <w:t>for subsection 14(4) of the Act.</w:t>
      </w:r>
      <w:r w:rsidRPr="00206628">
        <w:t xml:space="preserve"> </w:t>
      </w:r>
    </w:p>
    <w:p w14:paraId="59CADB43" w14:textId="5AA32C18" w:rsidR="00DD52FB" w:rsidRPr="00206628" w:rsidRDefault="00D20570"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Part 4 also includes sections 22-24, which establish various </w:t>
      </w:r>
      <w:r w:rsidR="009264B2" w:rsidRPr="00206628">
        <w:rPr>
          <w:rFonts w:ascii="Times New Roman" w:hAnsi="Times New Roman" w:cs="Times New Roman"/>
          <w:sz w:val="24"/>
          <w:szCs w:val="24"/>
        </w:rPr>
        <w:t xml:space="preserve">exceptional </w:t>
      </w:r>
      <w:r w:rsidRPr="00206628">
        <w:rPr>
          <w:rFonts w:ascii="Times New Roman" w:hAnsi="Times New Roman" w:cs="Times New Roman"/>
          <w:sz w:val="24"/>
          <w:szCs w:val="24"/>
        </w:rPr>
        <w:t>circumstances in which an entity’s designated quantity of stocks of MSO product may be reduced.</w:t>
      </w:r>
    </w:p>
    <w:p w14:paraId="564A7B0C" w14:textId="77777777" w:rsidR="00B24117" w:rsidRPr="00206628" w:rsidRDefault="005A0C6D" w:rsidP="005A043C">
      <w:pPr>
        <w:keepNext/>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lastRenderedPageBreak/>
        <w:t>Section 21</w:t>
      </w:r>
      <w:r w:rsidR="00DD52FB" w:rsidRPr="00206628">
        <w:rPr>
          <w:rFonts w:ascii="Times New Roman" w:hAnsi="Times New Roman" w:cs="Times New Roman"/>
          <w:b/>
          <w:sz w:val="24"/>
          <w:szCs w:val="24"/>
        </w:rPr>
        <w:t xml:space="preserve"> – Designated quantity – genera</w:t>
      </w:r>
      <w:r w:rsidR="00263FB5" w:rsidRPr="00206628">
        <w:rPr>
          <w:rFonts w:ascii="Times New Roman" w:hAnsi="Times New Roman" w:cs="Times New Roman"/>
          <w:b/>
          <w:sz w:val="24"/>
          <w:szCs w:val="24"/>
        </w:rPr>
        <w:t>l</w:t>
      </w:r>
    </w:p>
    <w:p w14:paraId="025F4FCF" w14:textId="77777777" w:rsidR="00DD52FB" w:rsidRPr="00206628" w:rsidRDefault="00263FB5"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section prescribes the </w:t>
      </w:r>
      <w:r w:rsidR="00D20570" w:rsidRPr="00206628">
        <w:rPr>
          <w:rFonts w:ascii="Times New Roman" w:hAnsi="Times New Roman" w:cs="Times New Roman"/>
          <w:sz w:val="24"/>
          <w:szCs w:val="24"/>
        </w:rPr>
        <w:t xml:space="preserve">usual </w:t>
      </w:r>
      <w:r w:rsidRPr="00206628">
        <w:rPr>
          <w:rFonts w:ascii="Times New Roman" w:hAnsi="Times New Roman" w:cs="Times New Roman"/>
          <w:sz w:val="24"/>
          <w:szCs w:val="24"/>
        </w:rPr>
        <w:t xml:space="preserve">formula to be used when determining an entity’s designated quantity of MSO product. </w:t>
      </w:r>
    </w:p>
    <w:p w14:paraId="1D856083" w14:textId="670E2FE0" w:rsidR="00263FB5" w:rsidRPr="00206628" w:rsidRDefault="00F864D6"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Subsection 21</w:t>
      </w:r>
      <w:r w:rsidR="00263FB5" w:rsidRPr="00206628">
        <w:rPr>
          <w:rFonts w:ascii="Times New Roman" w:hAnsi="Times New Roman" w:cs="Times New Roman"/>
          <w:sz w:val="24"/>
          <w:szCs w:val="24"/>
        </w:rPr>
        <w:t xml:space="preserve">(1) </w:t>
      </w:r>
      <w:r w:rsidR="00D53F80" w:rsidRPr="00206628">
        <w:rPr>
          <w:rFonts w:ascii="Times New Roman" w:hAnsi="Times New Roman" w:cs="Times New Roman"/>
          <w:sz w:val="24"/>
          <w:szCs w:val="24"/>
        </w:rPr>
        <w:t xml:space="preserve">of the Rules </w:t>
      </w:r>
      <w:r w:rsidR="00263FB5" w:rsidRPr="00206628">
        <w:rPr>
          <w:rFonts w:ascii="Times New Roman" w:hAnsi="Times New Roman" w:cs="Times New Roman"/>
          <w:sz w:val="24"/>
          <w:szCs w:val="24"/>
        </w:rPr>
        <w:t xml:space="preserve">prescribes that for each MSO product (currently </w:t>
      </w:r>
      <w:r w:rsidR="00D53F80" w:rsidRPr="00206628">
        <w:rPr>
          <w:rFonts w:ascii="Times New Roman" w:hAnsi="Times New Roman" w:cs="Times New Roman"/>
          <w:sz w:val="24"/>
          <w:szCs w:val="24"/>
        </w:rPr>
        <w:t>gasoline</w:t>
      </w:r>
      <w:r w:rsidR="00263FB5" w:rsidRPr="00206628">
        <w:rPr>
          <w:rFonts w:ascii="Times New Roman" w:hAnsi="Times New Roman" w:cs="Times New Roman"/>
          <w:sz w:val="24"/>
          <w:szCs w:val="24"/>
        </w:rPr>
        <w:t xml:space="preserve">, </w:t>
      </w:r>
      <w:r w:rsidR="00D53F80" w:rsidRPr="00206628">
        <w:rPr>
          <w:rFonts w:ascii="Times New Roman" w:hAnsi="Times New Roman" w:cs="Times New Roman"/>
          <w:sz w:val="24"/>
          <w:szCs w:val="24"/>
        </w:rPr>
        <w:t xml:space="preserve">kerosene </w:t>
      </w:r>
      <w:r w:rsidR="00263FB5" w:rsidRPr="00206628">
        <w:rPr>
          <w:rFonts w:ascii="Times New Roman" w:hAnsi="Times New Roman" w:cs="Times New Roman"/>
          <w:sz w:val="24"/>
          <w:szCs w:val="24"/>
        </w:rPr>
        <w:t xml:space="preserve">and diesel), the </w:t>
      </w:r>
      <w:r w:rsidR="00533A4A" w:rsidRPr="00206628">
        <w:rPr>
          <w:rFonts w:ascii="Times New Roman" w:hAnsi="Times New Roman" w:cs="Times New Roman"/>
          <w:sz w:val="24"/>
          <w:szCs w:val="24"/>
        </w:rPr>
        <w:t>designated quantity is the sum of all of the volume required for importing the specific</w:t>
      </w:r>
      <w:r w:rsidR="005A0C6D" w:rsidRPr="00206628">
        <w:rPr>
          <w:rFonts w:ascii="Times New Roman" w:hAnsi="Times New Roman" w:cs="Times New Roman"/>
          <w:sz w:val="24"/>
          <w:szCs w:val="24"/>
        </w:rPr>
        <w:t xml:space="preserve"> MSO product under subsection 21</w:t>
      </w:r>
      <w:r w:rsidR="00533A4A" w:rsidRPr="00206628">
        <w:rPr>
          <w:rFonts w:ascii="Times New Roman" w:hAnsi="Times New Roman" w:cs="Times New Roman"/>
          <w:sz w:val="24"/>
          <w:szCs w:val="24"/>
        </w:rPr>
        <w:t>(2), and the volume required for refining</w:t>
      </w:r>
      <w:r w:rsidR="005A0C6D" w:rsidRPr="00206628">
        <w:rPr>
          <w:rFonts w:ascii="Times New Roman" w:hAnsi="Times New Roman" w:cs="Times New Roman"/>
          <w:sz w:val="24"/>
          <w:szCs w:val="24"/>
        </w:rPr>
        <w:t xml:space="preserve"> the product under subsection 21</w:t>
      </w:r>
      <w:r w:rsidR="00533A4A" w:rsidRPr="00206628">
        <w:rPr>
          <w:rFonts w:ascii="Times New Roman" w:hAnsi="Times New Roman" w:cs="Times New Roman"/>
          <w:sz w:val="24"/>
          <w:szCs w:val="24"/>
        </w:rPr>
        <w:t xml:space="preserve">(3), with each being rounded to the nearest </w:t>
      </w:r>
      <w:r w:rsidR="00D53F80" w:rsidRPr="00206628">
        <w:rPr>
          <w:rFonts w:ascii="Times New Roman" w:hAnsi="Times New Roman" w:cs="Times New Roman"/>
          <w:sz w:val="24"/>
          <w:szCs w:val="24"/>
        </w:rPr>
        <w:t>megalitre (ML)</w:t>
      </w:r>
      <w:r w:rsidR="00533A4A" w:rsidRPr="00206628">
        <w:rPr>
          <w:rFonts w:ascii="Times New Roman" w:hAnsi="Times New Roman" w:cs="Times New Roman"/>
          <w:sz w:val="24"/>
          <w:szCs w:val="24"/>
        </w:rPr>
        <w:t xml:space="preserve">. </w:t>
      </w:r>
    </w:p>
    <w:p w14:paraId="20D450CB" w14:textId="77777777" w:rsidR="00533A4A" w:rsidRPr="00206628" w:rsidRDefault="005A0C6D"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Subsection 21</w:t>
      </w:r>
      <w:r w:rsidR="00533A4A" w:rsidRPr="00206628">
        <w:rPr>
          <w:rFonts w:ascii="Times New Roman" w:hAnsi="Times New Roman" w:cs="Times New Roman"/>
          <w:sz w:val="24"/>
          <w:szCs w:val="24"/>
        </w:rPr>
        <w:t>(2) prescribes the formula that should be used by importing entities if the MSO is triggered for the activ</w:t>
      </w:r>
      <w:r w:rsidR="00AE61A9" w:rsidRPr="00206628">
        <w:rPr>
          <w:rFonts w:ascii="Times New Roman" w:hAnsi="Times New Roman" w:cs="Times New Roman"/>
          <w:sz w:val="24"/>
          <w:szCs w:val="24"/>
        </w:rPr>
        <w:t>ity of importing an MSO product</w:t>
      </w:r>
      <w:r w:rsidR="007D185A" w:rsidRPr="00206628">
        <w:rPr>
          <w:rFonts w:ascii="Times New Roman" w:hAnsi="Times New Roman" w:cs="Times New Roman"/>
          <w:sz w:val="24"/>
          <w:szCs w:val="24"/>
        </w:rPr>
        <w:t>. This calculation should be done for each MSO product that has exceeded the pr</w:t>
      </w:r>
      <w:r w:rsidRPr="00206628">
        <w:rPr>
          <w:rFonts w:ascii="Times New Roman" w:hAnsi="Times New Roman" w:cs="Times New Roman"/>
          <w:sz w:val="24"/>
          <w:szCs w:val="24"/>
        </w:rPr>
        <w:t>escribed threshold in section 17</w:t>
      </w:r>
      <w:r w:rsidR="00C75BE2" w:rsidRPr="00206628">
        <w:rPr>
          <w:rFonts w:ascii="Times New Roman" w:hAnsi="Times New Roman" w:cs="Times New Roman"/>
          <w:sz w:val="24"/>
          <w:szCs w:val="24"/>
        </w:rPr>
        <w:t xml:space="preserve"> of the Rules</w:t>
      </w:r>
      <w:r w:rsidR="007D185A" w:rsidRPr="00206628">
        <w:rPr>
          <w:rFonts w:ascii="Times New Roman" w:hAnsi="Times New Roman" w:cs="Times New Roman"/>
          <w:sz w:val="24"/>
          <w:szCs w:val="24"/>
        </w:rPr>
        <w:t>:</w:t>
      </w:r>
      <w:r w:rsidR="00533A4A" w:rsidRPr="00206628">
        <w:rPr>
          <w:rFonts w:ascii="Times New Roman" w:hAnsi="Times New Roman" w:cs="Times New Roman"/>
          <w:sz w:val="24"/>
          <w:szCs w:val="24"/>
        </w:rPr>
        <w:t xml:space="preserve"> </w:t>
      </w:r>
    </w:p>
    <w:p w14:paraId="0C2C4601" w14:textId="7FD2352E" w:rsidR="00AE61A9" w:rsidRPr="00206628" w:rsidRDefault="00F70151" w:rsidP="00AE61A9">
      <w:pPr>
        <w:pStyle w:val="tDefn"/>
        <w:rPr>
          <w:sz w:val="28"/>
          <w:szCs w:val="28"/>
        </w:rPr>
      </w:pPr>
      <w:r>
        <w:rPr>
          <w:noProof/>
        </w:rPr>
        <w:drawing>
          <wp:inline distT="0" distB="0" distL="0" distR="0" wp14:anchorId="3AA8D03C" wp14:editId="22C921B4">
            <wp:extent cx="1628775" cy="514350"/>
            <wp:effectExtent l="0" t="0" r="9525" b="0"/>
            <wp:docPr id="2" name="Picture 2" descr="Qp equals TDIp times TIp over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p equals TDIp times TIp over 365"/>
                    <pic:cNvPicPr/>
                  </pic:nvPicPr>
                  <pic:blipFill>
                    <a:blip r:embed="rId16"/>
                    <a:stretch>
                      <a:fillRect/>
                    </a:stretch>
                  </pic:blipFill>
                  <pic:spPr>
                    <a:xfrm>
                      <a:off x="0" y="0"/>
                      <a:ext cx="1628775" cy="514350"/>
                    </a:xfrm>
                    <a:prstGeom prst="rect">
                      <a:avLst/>
                    </a:prstGeom>
                  </pic:spPr>
                </pic:pic>
              </a:graphicData>
            </a:graphic>
          </wp:inline>
        </w:drawing>
      </w:r>
    </w:p>
    <w:p w14:paraId="19864811" w14:textId="66040172" w:rsidR="00AE61A9" w:rsidRPr="00206628" w:rsidRDefault="00AE61A9" w:rsidP="00B24117">
      <w:pPr>
        <w:spacing w:before="240" w:after="100" w:afterAutospacing="1"/>
        <w:rPr>
          <w:b/>
          <w:i/>
          <w:vertAlign w:val="subscript"/>
        </w:rPr>
      </w:pPr>
      <w:r w:rsidRPr="00206628">
        <w:rPr>
          <w:b/>
          <w:i/>
        </w:rPr>
        <w:t>Q</w:t>
      </w:r>
      <w:r w:rsidRPr="00206628">
        <w:rPr>
          <w:b/>
          <w:i/>
          <w:vertAlign w:val="subscript"/>
        </w:rPr>
        <w:t xml:space="preserve">p </w:t>
      </w:r>
      <w:r w:rsidR="005A0C6D" w:rsidRPr="00206628">
        <w:rPr>
          <w:rFonts w:ascii="Times New Roman" w:hAnsi="Times New Roman" w:cs="Times New Roman"/>
          <w:sz w:val="24"/>
          <w:szCs w:val="24"/>
        </w:rPr>
        <w:t>i</w:t>
      </w:r>
      <w:r w:rsidRPr="00206628">
        <w:rPr>
          <w:rFonts w:ascii="Times New Roman" w:hAnsi="Times New Roman" w:cs="Times New Roman"/>
          <w:sz w:val="24"/>
          <w:szCs w:val="24"/>
        </w:rPr>
        <w:t xml:space="preserve">s defined as the designated quantity of the MSO product, in </w:t>
      </w:r>
      <w:r w:rsidR="00694096" w:rsidRPr="00206628">
        <w:rPr>
          <w:rFonts w:ascii="Times New Roman" w:hAnsi="Times New Roman" w:cs="Times New Roman"/>
          <w:sz w:val="24"/>
          <w:szCs w:val="24"/>
        </w:rPr>
        <w:t>ML</w:t>
      </w:r>
      <w:r w:rsidRPr="00206628">
        <w:rPr>
          <w:rFonts w:ascii="Times New Roman" w:hAnsi="Times New Roman" w:cs="Times New Roman"/>
          <w:sz w:val="24"/>
          <w:szCs w:val="24"/>
        </w:rPr>
        <w:t xml:space="preserve">. This will be the final volume an entity will be required to hold of that product for each obligation day. </w:t>
      </w:r>
    </w:p>
    <w:p w14:paraId="4F877464" w14:textId="42B85FF6" w:rsidR="00AE61A9" w:rsidRPr="00206628" w:rsidRDefault="00AE61A9" w:rsidP="00B24117">
      <w:pPr>
        <w:spacing w:before="240" w:after="100" w:afterAutospacing="1"/>
        <w:rPr>
          <w:b/>
          <w:i/>
          <w:vertAlign w:val="subscript"/>
        </w:rPr>
      </w:pPr>
      <w:r w:rsidRPr="00206628">
        <w:rPr>
          <w:b/>
          <w:i/>
        </w:rPr>
        <w:t>TDI</w:t>
      </w:r>
      <w:r w:rsidRPr="00206628">
        <w:rPr>
          <w:b/>
          <w:i/>
          <w:vertAlign w:val="subscript"/>
        </w:rPr>
        <w:t xml:space="preserve">p </w:t>
      </w:r>
      <w:r w:rsidR="005A0C6D" w:rsidRPr="00206628">
        <w:rPr>
          <w:rFonts w:ascii="Times New Roman" w:hAnsi="Times New Roman" w:cs="Times New Roman"/>
          <w:sz w:val="24"/>
          <w:szCs w:val="24"/>
        </w:rPr>
        <w:t>i</w:t>
      </w:r>
      <w:r w:rsidRPr="00206628">
        <w:rPr>
          <w:rFonts w:ascii="Times New Roman" w:hAnsi="Times New Roman" w:cs="Times New Roman"/>
          <w:sz w:val="24"/>
          <w:szCs w:val="24"/>
        </w:rPr>
        <w:t xml:space="preserve">s defined as the target </w:t>
      </w:r>
      <w:r w:rsidR="00164F8E" w:rsidRPr="00206628">
        <w:rPr>
          <w:rFonts w:ascii="Times New Roman" w:hAnsi="Times New Roman" w:cs="Times New Roman"/>
          <w:sz w:val="24"/>
          <w:szCs w:val="24"/>
        </w:rPr>
        <w:t xml:space="preserve">number of </w:t>
      </w:r>
      <w:r w:rsidRPr="00206628">
        <w:rPr>
          <w:rFonts w:ascii="Times New Roman" w:hAnsi="Times New Roman" w:cs="Times New Roman"/>
          <w:sz w:val="24"/>
          <w:szCs w:val="24"/>
        </w:rPr>
        <w:t xml:space="preserve">days </w:t>
      </w:r>
      <w:r w:rsidR="00376310" w:rsidRPr="00206628">
        <w:rPr>
          <w:rFonts w:ascii="Times New Roman" w:hAnsi="Times New Roman" w:cs="Times New Roman"/>
          <w:sz w:val="24"/>
          <w:szCs w:val="24"/>
        </w:rPr>
        <w:t xml:space="preserve">declared </w:t>
      </w:r>
      <w:r w:rsidRPr="00206628">
        <w:rPr>
          <w:rFonts w:ascii="Times New Roman" w:hAnsi="Times New Roman" w:cs="Times New Roman"/>
          <w:sz w:val="24"/>
          <w:szCs w:val="24"/>
        </w:rPr>
        <w:t>by the Minister (under section 14 of the Act)</w:t>
      </w:r>
      <w:r w:rsidR="007D185A" w:rsidRPr="00206628">
        <w:rPr>
          <w:rFonts w:ascii="Times New Roman" w:hAnsi="Times New Roman" w:cs="Times New Roman"/>
          <w:sz w:val="24"/>
          <w:szCs w:val="24"/>
        </w:rPr>
        <w:t xml:space="preserve"> for the activity of importing the specific MSO product. This provision specifies that the target </w:t>
      </w:r>
      <w:r w:rsidR="00533E21" w:rsidRPr="00206628">
        <w:rPr>
          <w:rFonts w:ascii="Times New Roman" w:hAnsi="Times New Roman" w:cs="Times New Roman"/>
          <w:sz w:val="24"/>
          <w:szCs w:val="24"/>
        </w:rPr>
        <w:t xml:space="preserve">number of </w:t>
      </w:r>
      <w:r w:rsidR="007D185A" w:rsidRPr="00206628">
        <w:rPr>
          <w:rFonts w:ascii="Times New Roman" w:hAnsi="Times New Roman" w:cs="Times New Roman"/>
          <w:sz w:val="24"/>
          <w:szCs w:val="24"/>
        </w:rPr>
        <w:t xml:space="preserve">days used must be the applicable days that will be relevant to the start of the period when the designated quantity will apply on each obligation day. </w:t>
      </w:r>
      <w:r w:rsidR="00577E36" w:rsidRPr="00206628">
        <w:rPr>
          <w:rFonts w:ascii="Times New Roman" w:hAnsi="Times New Roman" w:cs="Times New Roman"/>
          <w:sz w:val="24"/>
          <w:szCs w:val="24"/>
        </w:rPr>
        <w:t xml:space="preserve">This ensures that if the target </w:t>
      </w:r>
      <w:r w:rsidR="00533E21" w:rsidRPr="00206628">
        <w:rPr>
          <w:rFonts w:ascii="Times New Roman" w:hAnsi="Times New Roman" w:cs="Times New Roman"/>
          <w:sz w:val="24"/>
          <w:szCs w:val="24"/>
        </w:rPr>
        <w:t xml:space="preserve">number of </w:t>
      </w:r>
      <w:r w:rsidR="00577E36" w:rsidRPr="00206628">
        <w:rPr>
          <w:rFonts w:ascii="Times New Roman" w:hAnsi="Times New Roman" w:cs="Times New Roman"/>
          <w:sz w:val="24"/>
          <w:szCs w:val="24"/>
        </w:rPr>
        <w:t>days are amended by the Minister, the most up-to-date figure is used in this calculation.</w:t>
      </w:r>
      <w:r w:rsidR="007D185A" w:rsidRPr="00206628">
        <w:rPr>
          <w:rFonts w:ascii="Times New Roman" w:hAnsi="Times New Roman" w:cs="Times New Roman"/>
          <w:sz w:val="24"/>
          <w:szCs w:val="24"/>
        </w:rPr>
        <w:t xml:space="preserve"> </w:t>
      </w:r>
      <w:r w:rsidR="00577E36" w:rsidRPr="00206628">
        <w:rPr>
          <w:rFonts w:ascii="Times New Roman" w:hAnsi="Times New Roman" w:cs="Times New Roman"/>
          <w:sz w:val="24"/>
          <w:szCs w:val="24"/>
        </w:rPr>
        <w:t xml:space="preserve">However, </w:t>
      </w:r>
      <w:r w:rsidR="007D185A" w:rsidRPr="00206628">
        <w:rPr>
          <w:rFonts w:ascii="Times New Roman" w:hAnsi="Times New Roman" w:cs="Times New Roman"/>
          <w:sz w:val="24"/>
          <w:szCs w:val="24"/>
        </w:rPr>
        <w:t xml:space="preserve">under paragraph 15(4)(a) of the Act, any notice given by the Secretary regarding quantities required to be held must provide at least </w:t>
      </w:r>
      <w:r w:rsidR="00694096" w:rsidRPr="00206628">
        <w:rPr>
          <w:rFonts w:ascii="Times New Roman" w:hAnsi="Times New Roman" w:cs="Times New Roman"/>
          <w:sz w:val="24"/>
          <w:szCs w:val="24"/>
        </w:rPr>
        <w:t>three</w:t>
      </w:r>
      <w:r w:rsidR="007D185A" w:rsidRPr="00206628">
        <w:rPr>
          <w:rFonts w:ascii="Times New Roman" w:hAnsi="Times New Roman" w:cs="Times New Roman"/>
          <w:sz w:val="24"/>
          <w:szCs w:val="24"/>
        </w:rPr>
        <w:t xml:space="preserve"> months from the day the notice is given</w:t>
      </w:r>
      <w:r w:rsidR="00925804" w:rsidRPr="00206628">
        <w:rPr>
          <w:rFonts w:ascii="Times New Roman" w:hAnsi="Times New Roman" w:cs="Times New Roman"/>
          <w:sz w:val="24"/>
          <w:szCs w:val="24"/>
        </w:rPr>
        <w:t xml:space="preserve"> before the notified quantity comes into force</w:t>
      </w:r>
      <w:r w:rsidR="00577E36" w:rsidRPr="00206628">
        <w:rPr>
          <w:rFonts w:ascii="Times New Roman" w:hAnsi="Times New Roman" w:cs="Times New Roman"/>
          <w:sz w:val="24"/>
          <w:szCs w:val="24"/>
        </w:rPr>
        <w:t xml:space="preserve">. This ensures that entities are given reasonable lead-times to adjust stock as required if there is a change in target </w:t>
      </w:r>
      <w:r w:rsidR="00533E21" w:rsidRPr="00206628">
        <w:rPr>
          <w:rFonts w:ascii="Times New Roman" w:hAnsi="Times New Roman" w:cs="Times New Roman"/>
          <w:sz w:val="24"/>
          <w:szCs w:val="24"/>
        </w:rPr>
        <w:t xml:space="preserve">number of </w:t>
      </w:r>
      <w:r w:rsidR="00577E36" w:rsidRPr="00206628">
        <w:rPr>
          <w:rFonts w:ascii="Times New Roman" w:hAnsi="Times New Roman" w:cs="Times New Roman"/>
          <w:sz w:val="24"/>
          <w:szCs w:val="24"/>
        </w:rPr>
        <w:t xml:space="preserve">days. </w:t>
      </w:r>
      <w:r w:rsidR="005A0C6D" w:rsidRPr="00206628">
        <w:rPr>
          <w:rFonts w:ascii="Times New Roman" w:hAnsi="Times New Roman" w:cs="Times New Roman"/>
          <w:sz w:val="24"/>
          <w:szCs w:val="24"/>
        </w:rPr>
        <w:t xml:space="preserve">The current target </w:t>
      </w:r>
      <w:r w:rsidR="00533E21" w:rsidRPr="00206628">
        <w:rPr>
          <w:rFonts w:ascii="Times New Roman" w:hAnsi="Times New Roman" w:cs="Times New Roman"/>
          <w:sz w:val="24"/>
          <w:szCs w:val="24"/>
        </w:rPr>
        <w:t xml:space="preserve">number of </w:t>
      </w:r>
      <w:r w:rsidR="005A0C6D" w:rsidRPr="00206628">
        <w:rPr>
          <w:rFonts w:ascii="Times New Roman" w:hAnsi="Times New Roman" w:cs="Times New Roman"/>
          <w:sz w:val="24"/>
          <w:szCs w:val="24"/>
        </w:rPr>
        <w:t xml:space="preserve">days are set out in the </w:t>
      </w:r>
      <w:r w:rsidR="005A0C6D" w:rsidRPr="00206628">
        <w:rPr>
          <w:rFonts w:ascii="Times New Roman" w:hAnsi="Times New Roman" w:cs="Times New Roman"/>
          <w:i/>
          <w:sz w:val="24"/>
          <w:szCs w:val="24"/>
        </w:rPr>
        <w:t xml:space="preserve">Fuel Security (Target </w:t>
      </w:r>
      <w:r w:rsidR="00533E21" w:rsidRPr="00206628">
        <w:rPr>
          <w:rFonts w:ascii="Times New Roman" w:hAnsi="Times New Roman" w:cs="Times New Roman"/>
          <w:i/>
          <w:sz w:val="24"/>
          <w:szCs w:val="24"/>
        </w:rPr>
        <w:t xml:space="preserve">Number of </w:t>
      </w:r>
      <w:r w:rsidR="005A0C6D" w:rsidRPr="00206628">
        <w:rPr>
          <w:rFonts w:ascii="Times New Roman" w:hAnsi="Times New Roman" w:cs="Times New Roman"/>
          <w:i/>
          <w:sz w:val="24"/>
          <w:szCs w:val="24"/>
        </w:rPr>
        <w:t>Days) Declaration 2022</w:t>
      </w:r>
      <w:r w:rsidR="005A0C6D" w:rsidRPr="00206628">
        <w:rPr>
          <w:rFonts w:ascii="Times New Roman" w:hAnsi="Times New Roman" w:cs="Times New Roman"/>
          <w:sz w:val="24"/>
          <w:szCs w:val="24"/>
        </w:rPr>
        <w:t xml:space="preserve">, freely available from </w:t>
      </w:r>
      <w:hyperlink r:id="rId17" w:history="1">
        <w:r w:rsidR="005A0C6D" w:rsidRPr="00206628">
          <w:rPr>
            <w:rStyle w:val="Hyperlink"/>
            <w:rFonts w:ascii="Times New Roman" w:hAnsi="Times New Roman" w:cs="Times New Roman"/>
            <w:sz w:val="24"/>
            <w:szCs w:val="24"/>
          </w:rPr>
          <w:t>www.legislation.gov.au</w:t>
        </w:r>
      </w:hyperlink>
      <w:r w:rsidR="005A0C6D" w:rsidRPr="00206628">
        <w:rPr>
          <w:rFonts w:ascii="Times New Roman" w:hAnsi="Times New Roman" w:cs="Times New Roman"/>
          <w:sz w:val="24"/>
          <w:szCs w:val="24"/>
        </w:rPr>
        <w:t>. For importing</w:t>
      </w:r>
      <w:r w:rsidR="00D53F80" w:rsidRPr="00206628">
        <w:rPr>
          <w:rFonts w:ascii="Times New Roman" w:hAnsi="Times New Roman" w:cs="Times New Roman"/>
          <w:sz w:val="24"/>
          <w:szCs w:val="24"/>
        </w:rPr>
        <w:t>,</w:t>
      </w:r>
      <w:r w:rsidR="005A0C6D" w:rsidRPr="00206628">
        <w:rPr>
          <w:rFonts w:ascii="Times New Roman" w:hAnsi="Times New Roman" w:cs="Times New Roman"/>
          <w:sz w:val="24"/>
          <w:szCs w:val="24"/>
        </w:rPr>
        <w:t xml:space="preserve"> the target </w:t>
      </w:r>
      <w:r w:rsidR="00533E21" w:rsidRPr="00206628">
        <w:rPr>
          <w:rFonts w:ascii="Times New Roman" w:hAnsi="Times New Roman" w:cs="Times New Roman"/>
          <w:sz w:val="24"/>
          <w:szCs w:val="24"/>
        </w:rPr>
        <w:t>number</w:t>
      </w:r>
      <w:r w:rsidR="00922B24" w:rsidRPr="00206628">
        <w:rPr>
          <w:rFonts w:ascii="Times New Roman" w:hAnsi="Times New Roman" w:cs="Times New Roman"/>
          <w:sz w:val="24"/>
          <w:szCs w:val="24"/>
        </w:rPr>
        <w:t>s</w:t>
      </w:r>
      <w:r w:rsidR="00533E21" w:rsidRPr="00206628">
        <w:rPr>
          <w:rFonts w:ascii="Times New Roman" w:hAnsi="Times New Roman" w:cs="Times New Roman"/>
          <w:sz w:val="24"/>
          <w:szCs w:val="24"/>
        </w:rPr>
        <w:t xml:space="preserve"> of </w:t>
      </w:r>
      <w:r w:rsidR="005A0C6D" w:rsidRPr="00206628">
        <w:rPr>
          <w:rFonts w:ascii="Times New Roman" w:hAnsi="Times New Roman" w:cs="Times New Roman"/>
          <w:sz w:val="24"/>
          <w:szCs w:val="24"/>
        </w:rPr>
        <w:t xml:space="preserve">days are initially 24 days for gasoline, 20 days for diesel and 24 days for kerosene. </w:t>
      </w:r>
    </w:p>
    <w:p w14:paraId="1A88ED5B" w14:textId="6852E632" w:rsidR="00AE61A9" w:rsidRPr="00206628" w:rsidRDefault="00AE61A9" w:rsidP="00B24117">
      <w:pPr>
        <w:spacing w:before="240" w:after="100" w:afterAutospacing="1"/>
        <w:rPr>
          <w:rFonts w:ascii="Times New Roman" w:hAnsi="Times New Roman" w:cs="Times New Roman"/>
          <w:sz w:val="24"/>
          <w:szCs w:val="24"/>
        </w:rPr>
      </w:pPr>
      <w:r w:rsidRPr="00206628">
        <w:rPr>
          <w:b/>
          <w:i/>
        </w:rPr>
        <w:t>TI</w:t>
      </w:r>
      <w:r w:rsidRPr="00206628">
        <w:rPr>
          <w:b/>
          <w:i/>
          <w:vertAlign w:val="subscript"/>
        </w:rPr>
        <w:t>p</w:t>
      </w:r>
      <w:r w:rsidR="00577E36" w:rsidRPr="00206628">
        <w:rPr>
          <w:b/>
          <w:i/>
          <w:vertAlign w:val="subscript"/>
        </w:rPr>
        <w:t xml:space="preserve"> </w:t>
      </w:r>
      <w:r w:rsidR="005A0C6D" w:rsidRPr="00206628">
        <w:rPr>
          <w:rFonts w:ascii="Times New Roman" w:hAnsi="Times New Roman" w:cs="Times New Roman"/>
          <w:sz w:val="24"/>
          <w:szCs w:val="24"/>
        </w:rPr>
        <w:t>i</w:t>
      </w:r>
      <w:r w:rsidR="00577E36" w:rsidRPr="00206628">
        <w:rPr>
          <w:rFonts w:ascii="Times New Roman" w:hAnsi="Times New Roman" w:cs="Times New Roman"/>
          <w:sz w:val="24"/>
          <w:szCs w:val="24"/>
        </w:rPr>
        <w:t xml:space="preserve">s defined as the total amount of the MSO product that has been imported by the entity for the most recent completed trigger assessment period (defined as a calendar year under </w:t>
      </w:r>
      <w:r w:rsidR="001717D3" w:rsidRPr="00206628">
        <w:rPr>
          <w:rFonts w:ascii="Times New Roman" w:hAnsi="Times New Roman" w:cs="Times New Roman"/>
          <w:sz w:val="24"/>
          <w:szCs w:val="24"/>
        </w:rPr>
        <w:br/>
      </w:r>
      <w:r w:rsidR="00577E36" w:rsidRPr="00206628">
        <w:rPr>
          <w:rFonts w:ascii="Times New Roman" w:hAnsi="Times New Roman" w:cs="Times New Roman"/>
          <w:sz w:val="24"/>
          <w:szCs w:val="24"/>
        </w:rPr>
        <w:t>section 1</w:t>
      </w:r>
      <w:r w:rsidR="001717D3" w:rsidRPr="00206628">
        <w:rPr>
          <w:rFonts w:ascii="Times New Roman" w:hAnsi="Times New Roman" w:cs="Times New Roman"/>
          <w:sz w:val="24"/>
          <w:szCs w:val="24"/>
        </w:rPr>
        <w:t>6</w:t>
      </w:r>
      <w:r w:rsidR="00577E36" w:rsidRPr="00206628">
        <w:rPr>
          <w:rFonts w:ascii="Times New Roman" w:hAnsi="Times New Roman" w:cs="Times New Roman"/>
          <w:sz w:val="24"/>
          <w:szCs w:val="24"/>
        </w:rPr>
        <w:t xml:space="preserve"> of the Rules), in </w:t>
      </w:r>
      <w:r w:rsidR="00694096" w:rsidRPr="00206628">
        <w:rPr>
          <w:rFonts w:ascii="Times New Roman" w:hAnsi="Times New Roman" w:cs="Times New Roman"/>
          <w:sz w:val="24"/>
          <w:szCs w:val="24"/>
        </w:rPr>
        <w:t>ML</w:t>
      </w:r>
      <w:r w:rsidR="00577E36" w:rsidRPr="00206628">
        <w:rPr>
          <w:rFonts w:ascii="Times New Roman" w:hAnsi="Times New Roman" w:cs="Times New Roman"/>
          <w:sz w:val="24"/>
          <w:szCs w:val="24"/>
        </w:rPr>
        <w:t xml:space="preserve">. </w:t>
      </w:r>
      <w:r w:rsidR="0057359F" w:rsidRPr="00206628">
        <w:rPr>
          <w:rFonts w:ascii="Times New Roman" w:hAnsi="Times New Roman" w:cs="Times New Roman"/>
          <w:sz w:val="24"/>
          <w:szCs w:val="24"/>
        </w:rPr>
        <w:t xml:space="preserve">These figures are subject to subsections 21(5) and 21(6) which </w:t>
      </w:r>
      <w:r w:rsidR="00E84DFE" w:rsidRPr="00206628">
        <w:rPr>
          <w:rFonts w:ascii="Times New Roman" w:hAnsi="Times New Roman" w:cs="Times New Roman"/>
          <w:sz w:val="24"/>
          <w:szCs w:val="24"/>
        </w:rPr>
        <w:t>specify</w:t>
      </w:r>
      <w:r w:rsidR="0057359F" w:rsidRPr="00206628">
        <w:rPr>
          <w:rFonts w:ascii="Times New Roman" w:hAnsi="Times New Roman" w:cs="Times New Roman"/>
          <w:sz w:val="24"/>
          <w:szCs w:val="24"/>
        </w:rPr>
        <w:t xml:space="preserve"> a </w:t>
      </w:r>
      <w:r w:rsidR="00E84DFE" w:rsidRPr="00206628">
        <w:rPr>
          <w:rFonts w:ascii="Times New Roman" w:hAnsi="Times New Roman" w:cs="Times New Roman"/>
          <w:sz w:val="24"/>
          <w:szCs w:val="24"/>
        </w:rPr>
        <w:t xml:space="preserve">particular </w:t>
      </w:r>
      <w:r w:rsidR="0057359F" w:rsidRPr="00206628">
        <w:rPr>
          <w:rFonts w:ascii="Times New Roman" w:hAnsi="Times New Roman" w:cs="Times New Roman"/>
          <w:sz w:val="24"/>
          <w:szCs w:val="24"/>
        </w:rPr>
        <w:t xml:space="preserve">circumstance </w:t>
      </w:r>
      <w:r w:rsidR="00E84DFE" w:rsidRPr="00206628">
        <w:rPr>
          <w:rFonts w:ascii="Times New Roman" w:hAnsi="Times New Roman" w:cs="Times New Roman"/>
          <w:sz w:val="24"/>
          <w:szCs w:val="24"/>
        </w:rPr>
        <w:t xml:space="preserve">in which </w:t>
      </w:r>
      <w:r w:rsidR="0057359F" w:rsidRPr="00206628">
        <w:rPr>
          <w:rFonts w:ascii="Times New Roman" w:hAnsi="Times New Roman" w:cs="Times New Roman"/>
          <w:sz w:val="24"/>
          <w:szCs w:val="24"/>
        </w:rPr>
        <w:t>the</w:t>
      </w:r>
      <w:r w:rsidR="00E84DFE" w:rsidRPr="00206628">
        <w:rPr>
          <w:rFonts w:ascii="Times New Roman" w:hAnsi="Times New Roman" w:cs="Times New Roman"/>
          <w:sz w:val="24"/>
          <w:szCs w:val="24"/>
        </w:rPr>
        <w:t xml:space="preserve"> figures</w:t>
      </w:r>
      <w:r w:rsidR="0057359F" w:rsidRPr="00206628">
        <w:rPr>
          <w:rFonts w:ascii="Times New Roman" w:hAnsi="Times New Roman" w:cs="Times New Roman"/>
          <w:sz w:val="24"/>
          <w:szCs w:val="24"/>
        </w:rPr>
        <w:t xml:space="preserve"> may be adjusted. Ordinarily, t</w:t>
      </w:r>
      <w:r w:rsidR="00577E36" w:rsidRPr="00206628">
        <w:rPr>
          <w:rFonts w:ascii="Times New Roman" w:hAnsi="Times New Roman" w:cs="Times New Roman"/>
          <w:sz w:val="24"/>
          <w:szCs w:val="24"/>
        </w:rPr>
        <w:t xml:space="preserve">hese figures will be determined by </w:t>
      </w:r>
      <w:r w:rsidR="00694096" w:rsidRPr="00206628">
        <w:rPr>
          <w:rFonts w:ascii="Times New Roman" w:hAnsi="Times New Roman" w:cs="Times New Roman"/>
          <w:sz w:val="24"/>
          <w:szCs w:val="24"/>
        </w:rPr>
        <w:t xml:space="preserve">the </w:t>
      </w:r>
      <w:r w:rsidR="00577E36" w:rsidRPr="00206628">
        <w:rPr>
          <w:rFonts w:ascii="Times New Roman" w:hAnsi="Times New Roman" w:cs="Times New Roman"/>
          <w:sz w:val="24"/>
          <w:szCs w:val="24"/>
        </w:rPr>
        <w:t>Secretary using two possible data sources:</w:t>
      </w:r>
    </w:p>
    <w:p w14:paraId="12068B69" w14:textId="49DDB337" w:rsidR="00577E36" w:rsidRPr="00206628" w:rsidRDefault="00577E36" w:rsidP="0037564F">
      <w:pPr>
        <w:pStyle w:val="ListParagraph"/>
        <w:numPr>
          <w:ilvl w:val="0"/>
          <w:numId w:val="1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As reported under section 19F of the POFR </w:t>
      </w:r>
      <w:r w:rsidR="00694096" w:rsidRPr="00206628">
        <w:rPr>
          <w:rFonts w:ascii="Times New Roman" w:hAnsi="Times New Roman" w:cs="Times New Roman"/>
          <w:sz w:val="24"/>
          <w:szCs w:val="24"/>
        </w:rPr>
        <w:t>R</w:t>
      </w:r>
      <w:r w:rsidRPr="00206628">
        <w:rPr>
          <w:rFonts w:ascii="Times New Roman" w:hAnsi="Times New Roman" w:cs="Times New Roman"/>
          <w:sz w:val="24"/>
          <w:szCs w:val="24"/>
        </w:rPr>
        <w:t>ules; or</w:t>
      </w:r>
    </w:p>
    <w:p w14:paraId="201EFC56" w14:textId="77777777" w:rsidR="00577E36" w:rsidRPr="00206628" w:rsidRDefault="006F78D6" w:rsidP="0037564F">
      <w:pPr>
        <w:pStyle w:val="ListParagraph"/>
        <w:numPr>
          <w:ilvl w:val="0"/>
          <w:numId w:val="1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A</w:t>
      </w:r>
      <w:r w:rsidR="00677DBF" w:rsidRPr="00206628">
        <w:rPr>
          <w:rFonts w:ascii="Times New Roman" w:hAnsi="Times New Roman" w:cs="Times New Roman"/>
          <w:sz w:val="24"/>
          <w:szCs w:val="24"/>
        </w:rPr>
        <w:t xml:space="preserve">s reported to the Australian Border Force using the relevant N10 and N30 forms submitted during the trigger assessment period. </w:t>
      </w:r>
      <w:r w:rsidRPr="00206628">
        <w:rPr>
          <w:rFonts w:ascii="Times New Roman" w:hAnsi="Times New Roman" w:cs="Times New Roman"/>
          <w:sz w:val="24"/>
          <w:szCs w:val="24"/>
        </w:rPr>
        <w:t xml:space="preserve">This recognises that the requirement to report import figures under section 19F of the POFR Rules will begin from 2023 and therefore a different source of information is required for the initial MSO quantity </w:t>
      </w:r>
      <w:r w:rsidRPr="00206628">
        <w:rPr>
          <w:rFonts w:ascii="Times New Roman" w:hAnsi="Times New Roman" w:cs="Times New Roman"/>
          <w:sz w:val="24"/>
          <w:szCs w:val="24"/>
        </w:rPr>
        <w:lastRenderedPageBreak/>
        <w:t>calculations. It also provides a backup in case there are any issues with self-reported figures (for example, the entity does not meet the requirement to self-report).</w:t>
      </w:r>
    </w:p>
    <w:p w14:paraId="5FC323C4" w14:textId="77777777" w:rsidR="00846671" w:rsidRPr="00206628" w:rsidRDefault="0001796C" w:rsidP="00846671">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Subsection 21</w:t>
      </w:r>
      <w:r w:rsidR="00AE61A9" w:rsidRPr="00206628">
        <w:rPr>
          <w:rFonts w:ascii="Times New Roman" w:hAnsi="Times New Roman" w:cs="Times New Roman"/>
          <w:sz w:val="24"/>
          <w:szCs w:val="24"/>
        </w:rPr>
        <w:t xml:space="preserve">(3) prescribes the formula that should be used by refining entities if the MSO is triggered for the activity of refining an MSO product. </w:t>
      </w:r>
      <w:r w:rsidR="00846671" w:rsidRPr="00206628">
        <w:rPr>
          <w:rFonts w:ascii="Times New Roman" w:hAnsi="Times New Roman" w:cs="Times New Roman"/>
          <w:sz w:val="24"/>
          <w:szCs w:val="24"/>
        </w:rPr>
        <w:t>This calculation should be done for each MSO product that has exceeded the pr</w:t>
      </w:r>
      <w:r w:rsidRPr="00206628">
        <w:rPr>
          <w:rFonts w:ascii="Times New Roman" w:hAnsi="Times New Roman" w:cs="Times New Roman"/>
          <w:sz w:val="24"/>
          <w:szCs w:val="24"/>
        </w:rPr>
        <w:t>escribed threshold in section 17</w:t>
      </w:r>
      <w:r w:rsidR="00E84DFE" w:rsidRPr="00206628">
        <w:rPr>
          <w:rFonts w:ascii="Times New Roman" w:hAnsi="Times New Roman" w:cs="Times New Roman"/>
          <w:sz w:val="24"/>
          <w:szCs w:val="24"/>
        </w:rPr>
        <w:t xml:space="preserve"> of the Rules</w:t>
      </w:r>
      <w:r w:rsidR="00846671" w:rsidRPr="00206628">
        <w:rPr>
          <w:rFonts w:ascii="Times New Roman" w:hAnsi="Times New Roman" w:cs="Times New Roman"/>
          <w:sz w:val="24"/>
          <w:szCs w:val="24"/>
        </w:rPr>
        <w:t xml:space="preserve">: </w:t>
      </w:r>
    </w:p>
    <w:p w14:paraId="5C3FFCB4" w14:textId="7ED57D64" w:rsidR="00846671" w:rsidRPr="00206628" w:rsidRDefault="00F70151" w:rsidP="00846671">
      <w:pPr>
        <w:pStyle w:val="tDefn"/>
        <w:rPr>
          <w:sz w:val="28"/>
          <w:szCs w:val="28"/>
        </w:rPr>
      </w:pPr>
      <w:r>
        <w:rPr>
          <w:noProof/>
          <w:sz w:val="28"/>
          <w:szCs w:val="28"/>
        </w:rPr>
        <w:drawing>
          <wp:inline distT="0" distB="0" distL="0" distR="0" wp14:anchorId="7A167E6A" wp14:editId="63290871">
            <wp:extent cx="1724025" cy="590550"/>
            <wp:effectExtent l="0" t="0" r="9525" b="0"/>
            <wp:docPr id="3" name="Picture 3" descr="Qp equals TDRp times TRp over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p equals TDRp times TRp over 365"/>
                    <pic:cNvPicPr/>
                  </pic:nvPicPr>
                  <pic:blipFill>
                    <a:blip r:embed="rId18">
                      <a:extLst>
                        <a:ext uri="{28A0092B-C50C-407E-A947-70E740481C1C}">
                          <a14:useLocalDpi xmlns:a14="http://schemas.microsoft.com/office/drawing/2010/main" val="0"/>
                        </a:ext>
                      </a:extLst>
                    </a:blip>
                    <a:stretch>
                      <a:fillRect/>
                    </a:stretch>
                  </pic:blipFill>
                  <pic:spPr>
                    <a:xfrm>
                      <a:off x="0" y="0"/>
                      <a:ext cx="1724025" cy="590550"/>
                    </a:xfrm>
                    <a:prstGeom prst="rect">
                      <a:avLst/>
                    </a:prstGeom>
                  </pic:spPr>
                </pic:pic>
              </a:graphicData>
            </a:graphic>
          </wp:inline>
        </w:drawing>
      </w:r>
    </w:p>
    <w:p w14:paraId="1DCE71D0" w14:textId="1FD4E630" w:rsidR="00846671" w:rsidRPr="00206628" w:rsidRDefault="00846671" w:rsidP="00846671">
      <w:pPr>
        <w:spacing w:before="240" w:after="100" w:afterAutospacing="1"/>
        <w:rPr>
          <w:b/>
          <w:i/>
          <w:vertAlign w:val="subscript"/>
        </w:rPr>
      </w:pPr>
      <w:r w:rsidRPr="00206628">
        <w:rPr>
          <w:b/>
          <w:i/>
        </w:rPr>
        <w:t>Q</w:t>
      </w:r>
      <w:r w:rsidRPr="00206628">
        <w:rPr>
          <w:b/>
          <w:i/>
          <w:vertAlign w:val="subscript"/>
        </w:rPr>
        <w:t xml:space="preserve">p </w:t>
      </w:r>
      <w:r w:rsidR="0001796C" w:rsidRPr="00206628">
        <w:rPr>
          <w:rFonts w:ascii="Times New Roman" w:hAnsi="Times New Roman" w:cs="Times New Roman"/>
          <w:sz w:val="24"/>
          <w:szCs w:val="24"/>
        </w:rPr>
        <w:t>i</w:t>
      </w:r>
      <w:r w:rsidRPr="00206628">
        <w:rPr>
          <w:rFonts w:ascii="Times New Roman" w:hAnsi="Times New Roman" w:cs="Times New Roman"/>
          <w:sz w:val="24"/>
          <w:szCs w:val="24"/>
        </w:rPr>
        <w:t xml:space="preserve">s defined as the designated quantity of the MSO product, in </w:t>
      </w:r>
      <w:r w:rsidR="00694096" w:rsidRPr="00206628">
        <w:rPr>
          <w:rFonts w:ascii="Times New Roman" w:hAnsi="Times New Roman" w:cs="Times New Roman"/>
          <w:sz w:val="24"/>
          <w:szCs w:val="24"/>
        </w:rPr>
        <w:t>ML</w:t>
      </w:r>
      <w:r w:rsidRPr="00206628">
        <w:rPr>
          <w:rFonts w:ascii="Times New Roman" w:hAnsi="Times New Roman" w:cs="Times New Roman"/>
          <w:sz w:val="24"/>
          <w:szCs w:val="24"/>
        </w:rPr>
        <w:t xml:space="preserve">. This will be the final volume an entity will be required to hold of that product for each obligation day. </w:t>
      </w:r>
    </w:p>
    <w:p w14:paraId="13F10C09" w14:textId="458F924F" w:rsidR="00846671" w:rsidRPr="00206628" w:rsidRDefault="00846671" w:rsidP="00846671">
      <w:pPr>
        <w:spacing w:before="240" w:after="100" w:afterAutospacing="1"/>
        <w:rPr>
          <w:b/>
          <w:i/>
          <w:vertAlign w:val="subscript"/>
        </w:rPr>
      </w:pPr>
      <w:r w:rsidRPr="00206628">
        <w:rPr>
          <w:b/>
          <w:i/>
        </w:rPr>
        <w:t>TDR</w:t>
      </w:r>
      <w:r w:rsidRPr="00206628">
        <w:rPr>
          <w:b/>
          <w:i/>
          <w:vertAlign w:val="subscript"/>
        </w:rPr>
        <w:t xml:space="preserve">p </w:t>
      </w:r>
      <w:r w:rsidR="0001796C" w:rsidRPr="00206628">
        <w:rPr>
          <w:rFonts w:ascii="Times New Roman" w:hAnsi="Times New Roman" w:cs="Times New Roman"/>
          <w:sz w:val="24"/>
          <w:szCs w:val="24"/>
        </w:rPr>
        <w:t>i</w:t>
      </w:r>
      <w:r w:rsidRPr="00206628">
        <w:rPr>
          <w:rFonts w:ascii="Times New Roman" w:hAnsi="Times New Roman" w:cs="Times New Roman"/>
          <w:sz w:val="24"/>
          <w:szCs w:val="24"/>
        </w:rPr>
        <w:t xml:space="preserve">s defined as the target </w:t>
      </w:r>
      <w:r w:rsidR="00533E21" w:rsidRPr="00206628">
        <w:rPr>
          <w:rFonts w:ascii="Times New Roman" w:hAnsi="Times New Roman" w:cs="Times New Roman"/>
          <w:sz w:val="24"/>
          <w:szCs w:val="24"/>
        </w:rPr>
        <w:t xml:space="preserve">number of </w:t>
      </w:r>
      <w:r w:rsidRPr="00206628">
        <w:rPr>
          <w:rFonts w:ascii="Times New Roman" w:hAnsi="Times New Roman" w:cs="Times New Roman"/>
          <w:sz w:val="24"/>
          <w:szCs w:val="24"/>
        </w:rPr>
        <w:t xml:space="preserve">days </w:t>
      </w:r>
      <w:r w:rsidR="00376310" w:rsidRPr="00206628">
        <w:rPr>
          <w:rFonts w:ascii="Times New Roman" w:hAnsi="Times New Roman" w:cs="Times New Roman"/>
          <w:sz w:val="24"/>
          <w:szCs w:val="24"/>
        </w:rPr>
        <w:t xml:space="preserve">declared </w:t>
      </w:r>
      <w:r w:rsidRPr="00206628">
        <w:rPr>
          <w:rFonts w:ascii="Times New Roman" w:hAnsi="Times New Roman" w:cs="Times New Roman"/>
          <w:sz w:val="24"/>
          <w:szCs w:val="24"/>
        </w:rPr>
        <w:t xml:space="preserve">by the Minister (under section 14 of the Act) for the activity of refining the specific MSO product. This provision specifies that the target </w:t>
      </w:r>
      <w:r w:rsidR="00533E21" w:rsidRPr="00206628">
        <w:rPr>
          <w:rFonts w:ascii="Times New Roman" w:hAnsi="Times New Roman" w:cs="Times New Roman"/>
          <w:sz w:val="24"/>
          <w:szCs w:val="24"/>
        </w:rPr>
        <w:t xml:space="preserve">number of </w:t>
      </w:r>
      <w:r w:rsidRPr="00206628">
        <w:rPr>
          <w:rFonts w:ascii="Times New Roman" w:hAnsi="Times New Roman" w:cs="Times New Roman"/>
          <w:sz w:val="24"/>
          <w:szCs w:val="24"/>
        </w:rPr>
        <w:t xml:space="preserve">days used must be the applicable days that will be relevant to the start of the period when the designated quantity will apply on each obligation day. This ensures that if the target </w:t>
      </w:r>
      <w:r w:rsidR="00533E21" w:rsidRPr="00206628">
        <w:rPr>
          <w:rFonts w:ascii="Times New Roman" w:hAnsi="Times New Roman" w:cs="Times New Roman"/>
          <w:sz w:val="24"/>
          <w:szCs w:val="24"/>
        </w:rPr>
        <w:t xml:space="preserve">number of </w:t>
      </w:r>
      <w:r w:rsidRPr="00206628">
        <w:rPr>
          <w:rFonts w:ascii="Times New Roman" w:hAnsi="Times New Roman" w:cs="Times New Roman"/>
          <w:sz w:val="24"/>
          <w:szCs w:val="24"/>
        </w:rPr>
        <w:t xml:space="preserve">days are amended by the Minister, the most up-to-date figure is used in this calculation. However, under paragraph 15(4)(a) of the Act, any notice given by the Secretary regarding quantities required to be held must provide at least </w:t>
      </w:r>
      <w:r w:rsidR="00694096" w:rsidRPr="00206628">
        <w:rPr>
          <w:rFonts w:ascii="Times New Roman" w:hAnsi="Times New Roman" w:cs="Times New Roman"/>
          <w:sz w:val="24"/>
          <w:szCs w:val="24"/>
        </w:rPr>
        <w:t xml:space="preserve">three </w:t>
      </w:r>
      <w:r w:rsidRPr="00206628">
        <w:rPr>
          <w:rFonts w:ascii="Times New Roman" w:hAnsi="Times New Roman" w:cs="Times New Roman"/>
          <w:sz w:val="24"/>
          <w:szCs w:val="24"/>
        </w:rPr>
        <w:t>months from the day the notice is given</w:t>
      </w:r>
      <w:r w:rsidR="00925804" w:rsidRPr="00206628">
        <w:rPr>
          <w:rFonts w:ascii="Times New Roman" w:hAnsi="Times New Roman" w:cs="Times New Roman"/>
          <w:sz w:val="24"/>
          <w:szCs w:val="24"/>
        </w:rPr>
        <w:t xml:space="preserve"> before the notified quantity comes into force</w:t>
      </w:r>
      <w:r w:rsidRPr="00206628">
        <w:rPr>
          <w:rFonts w:ascii="Times New Roman" w:hAnsi="Times New Roman" w:cs="Times New Roman"/>
          <w:sz w:val="24"/>
          <w:szCs w:val="24"/>
        </w:rPr>
        <w:t>. This ensures that entities are given reasonable lead-times to adjust stock as required if the</w:t>
      </w:r>
      <w:r w:rsidR="0001796C" w:rsidRPr="00206628">
        <w:rPr>
          <w:rFonts w:ascii="Times New Roman" w:hAnsi="Times New Roman" w:cs="Times New Roman"/>
          <w:sz w:val="24"/>
          <w:szCs w:val="24"/>
        </w:rPr>
        <w:t xml:space="preserve">re is a change in target </w:t>
      </w:r>
      <w:r w:rsidR="00533E21" w:rsidRPr="00206628">
        <w:rPr>
          <w:rFonts w:ascii="Times New Roman" w:hAnsi="Times New Roman" w:cs="Times New Roman"/>
          <w:sz w:val="24"/>
          <w:szCs w:val="24"/>
        </w:rPr>
        <w:t xml:space="preserve">number of </w:t>
      </w:r>
      <w:r w:rsidR="0001796C" w:rsidRPr="00206628">
        <w:rPr>
          <w:rFonts w:ascii="Times New Roman" w:hAnsi="Times New Roman" w:cs="Times New Roman"/>
          <w:sz w:val="24"/>
          <w:szCs w:val="24"/>
        </w:rPr>
        <w:t>days.</w:t>
      </w:r>
      <w:r w:rsidRPr="00206628">
        <w:rPr>
          <w:rFonts w:ascii="Times New Roman" w:hAnsi="Times New Roman" w:cs="Times New Roman"/>
          <w:sz w:val="24"/>
          <w:szCs w:val="24"/>
        </w:rPr>
        <w:t xml:space="preserve"> </w:t>
      </w:r>
      <w:r w:rsidR="0001796C" w:rsidRPr="00206628">
        <w:rPr>
          <w:rFonts w:ascii="Times New Roman" w:hAnsi="Times New Roman" w:cs="Times New Roman"/>
          <w:sz w:val="24"/>
          <w:szCs w:val="24"/>
        </w:rPr>
        <w:t xml:space="preserve">The current target </w:t>
      </w:r>
      <w:r w:rsidR="00533E21" w:rsidRPr="00206628">
        <w:rPr>
          <w:rFonts w:ascii="Times New Roman" w:hAnsi="Times New Roman" w:cs="Times New Roman"/>
          <w:sz w:val="24"/>
          <w:szCs w:val="24"/>
        </w:rPr>
        <w:t xml:space="preserve">number of </w:t>
      </w:r>
      <w:r w:rsidR="0001796C" w:rsidRPr="00206628">
        <w:rPr>
          <w:rFonts w:ascii="Times New Roman" w:hAnsi="Times New Roman" w:cs="Times New Roman"/>
          <w:sz w:val="24"/>
          <w:szCs w:val="24"/>
        </w:rPr>
        <w:t xml:space="preserve">days are set out in the </w:t>
      </w:r>
      <w:r w:rsidR="0001796C" w:rsidRPr="00206628">
        <w:rPr>
          <w:rFonts w:ascii="Times New Roman" w:hAnsi="Times New Roman" w:cs="Times New Roman"/>
          <w:i/>
          <w:sz w:val="24"/>
          <w:szCs w:val="24"/>
        </w:rPr>
        <w:t xml:space="preserve">Fuel Security (Target </w:t>
      </w:r>
      <w:r w:rsidR="00533E21" w:rsidRPr="00206628">
        <w:rPr>
          <w:rFonts w:ascii="Times New Roman" w:hAnsi="Times New Roman" w:cs="Times New Roman"/>
          <w:i/>
          <w:sz w:val="24"/>
          <w:szCs w:val="24"/>
        </w:rPr>
        <w:t xml:space="preserve">Number of </w:t>
      </w:r>
      <w:r w:rsidR="0001796C" w:rsidRPr="00206628">
        <w:rPr>
          <w:rFonts w:ascii="Times New Roman" w:hAnsi="Times New Roman" w:cs="Times New Roman"/>
          <w:i/>
          <w:sz w:val="24"/>
          <w:szCs w:val="24"/>
        </w:rPr>
        <w:t>Days) Declaration 2022</w:t>
      </w:r>
      <w:r w:rsidR="0001796C" w:rsidRPr="00206628">
        <w:rPr>
          <w:rFonts w:ascii="Times New Roman" w:hAnsi="Times New Roman" w:cs="Times New Roman"/>
          <w:sz w:val="24"/>
          <w:szCs w:val="24"/>
        </w:rPr>
        <w:t xml:space="preserve">, freely available from </w:t>
      </w:r>
      <w:hyperlink r:id="rId19" w:history="1">
        <w:r w:rsidR="0001796C" w:rsidRPr="00206628">
          <w:rPr>
            <w:rStyle w:val="Hyperlink"/>
            <w:rFonts w:ascii="Times New Roman" w:hAnsi="Times New Roman" w:cs="Times New Roman"/>
            <w:sz w:val="24"/>
            <w:szCs w:val="24"/>
          </w:rPr>
          <w:t>www.legislation.gov.au</w:t>
        </w:r>
      </w:hyperlink>
      <w:r w:rsidR="0001796C" w:rsidRPr="00206628">
        <w:rPr>
          <w:rFonts w:ascii="Times New Roman" w:hAnsi="Times New Roman" w:cs="Times New Roman"/>
          <w:sz w:val="24"/>
          <w:szCs w:val="24"/>
        </w:rPr>
        <w:t xml:space="preserve">. For refining the target </w:t>
      </w:r>
      <w:r w:rsidR="00533E21" w:rsidRPr="00206628">
        <w:rPr>
          <w:rFonts w:ascii="Times New Roman" w:hAnsi="Times New Roman" w:cs="Times New Roman"/>
          <w:sz w:val="24"/>
          <w:szCs w:val="24"/>
        </w:rPr>
        <w:t xml:space="preserve">number of </w:t>
      </w:r>
      <w:r w:rsidR="0001796C" w:rsidRPr="00206628">
        <w:rPr>
          <w:rFonts w:ascii="Times New Roman" w:hAnsi="Times New Roman" w:cs="Times New Roman"/>
          <w:sz w:val="24"/>
          <w:szCs w:val="24"/>
        </w:rPr>
        <w:t>days are initially 24 days for gasoline, 20 days for diesel and 24 days for kerosene.</w:t>
      </w:r>
    </w:p>
    <w:p w14:paraId="21677616" w14:textId="77777777" w:rsidR="00846671" w:rsidRPr="00206628" w:rsidRDefault="00846671" w:rsidP="00846671">
      <w:pPr>
        <w:spacing w:before="240" w:after="100" w:afterAutospacing="1"/>
        <w:rPr>
          <w:rFonts w:ascii="Times New Roman" w:hAnsi="Times New Roman" w:cs="Times New Roman"/>
          <w:sz w:val="24"/>
          <w:szCs w:val="24"/>
        </w:rPr>
      </w:pPr>
      <w:r w:rsidRPr="00206628">
        <w:rPr>
          <w:b/>
          <w:i/>
        </w:rPr>
        <w:t>TR</w:t>
      </w:r>
      <w:r w:rsidRPr="00206628">
        <w:rPr>
          <w:b/>
          <w:i/>
          <w:vertAlign w:val="subscript"/>
        </w:rPr>
        <w:t xml:space="preserve">p </w:t>
      </w:r>
      <w:r w:rsidR="0001796C" w:rsidRPr="00206628">
        <w:rPr>
          <w:rFonts w:ascii="Times New Roman" w:hAnsi="Times New Roman" w:cs="Times New Roman"/>
          <w:sz w:val="24"/>
          <w:szCs w:val="24"/>
        </w:rPr>
        <w:t>i</w:t>
      </w:r>
      <w:r w:rsidRPr="00206628">
        <w:rPr>
          <w:rFonts w:ascii="Times New Roman" w:hAnsi="Times New Roman" w:cs="Times New Roman"/>
          <w:sz w:val="24"/>
          <w:szCs w:val="24"/>
        </w:rPr>
        <w:t xml:space="preserve">s defined as the total amount of the MSO product that has been refined by the entity for the most recent completed trigger assessment period (defined as a calendar year under </w:t>
      </w:r>
      <w:r w:rsidR="001717D3" w:rsidRPr="00206628">
        <w:rPr>
          <w:rFonts w:ascii="Times New Roman" w:hAnsi="Times New Roman" w:cs="Times New Roman"/>
          <w:sz w:val="24"/>
          <w:szCs w:val="24"/>
        </w:rPr>
        <w:br/>
      </w:r>
      <w:r w:rsidRPr="00206628">
        <w:rPr>
          <w:rFonts w:ascii="Times New Roman" w:hAnsi="Times New Roman" w:cs="Times New Roman"/>
          <w:sz w:val="24"/>
          <w:szCs w:val="24"/>
        </w:rPr>
        <w:t>section 1</w:t>
      </w:r>
      <w:r w:rsidR="001717D3" w:rsidRPr="00206628">
        <w:rPr>
          <w:rFonts w:ascii="Times New Roman" w:hAnsi="Times New Roman" w:cs="Times New Roman"/>
          <w:sz w:val="24"/>
          <w:szCs w:val="24"/>
        </w:rPr>
        <w:t>6</w:t>
      </w:r>
      <w:r w:rsidRPr="00206628">
        <w:rPr>
          <w:rFonts w:ascii="Times New Roman" w:hAnsi="Times New Roman" w:cs="Times New Roman"/>
          <w:sz w:val="24"/>
          <w:szCs w:val="24"/>
        </w:rPr>
        <w:t xml:space="preserve"> of the Rules), in </w:t>
      </w:r>
      <w:r w:rsidR="00694096" w:rsidRPr="00206628">
        <w:rPr>
          <w:rFonts w:ascii="Times New Roman" w:hAnsi="Times New Roman" w:cs="Times New Roman"/>
          <w:sz w:val="24"/>
          <w:szCs w:val="24"/>
        </w:rPr>
        <w:t>ML</w:t>
      </w:r>
      <w:r w:rsidRPr="00206628">
        <w:rPr>
          <w:rFonts w:ascii="Times New Roman" w:hAnsi="Times New Roman" w:cs="Times New Roman"/>
          <w:sz w:val="24"/>
          <w:szCs w:val="24"/>
        </w:rPr>
        <w:t xml:space="preserve">. </w:t>
      </w:r>
      <w:r w:rsidR="00211B7A" w:rsidRPr="00206628">
        <w:rPr>
          <w:rFonts w:ascii="Times New Roman" w:hAnsi="Times New Roman" w:cs="Times New Roman"/>
          <w:sz w:val="24"/>
          <w:szCs w:val="24"/>
        </w:rPr>
        <w:t xml:space="preserve">These figures are subject to subsection 21(5), which lists a specific circumstance </w:t>
      </w:r>
      <w:r w:rsidR="00E84DFE" w:rsidRPr="00206628">
        <w:rPr>
          <w:rFonts w:ascii="Times New Roman" w:hAnsi="Times New Roman" w:cs="Times New Roman"/>
          <w:sz w:val="24"/>
          <w:szCs w:val="24"/>
        </w:rPr>
        <w:t xml:space="preserve">in which </w:t>
      </w:r>
      <w:r w:rsidR="00211B7A" w:rsidRPr="00206628">
        <w:rPr>
          <w:rFonts w:ascii="Times New Roman" w:hAnsi="Times New Roman" w:cs="Times New Roman"/>
          <w:sz w:val="24"/>
          <w:szCs w:val="24"/>
        </w:rPr>
        <w:t>they may be adjusted.</w:t>
      </w:r>
    </w:p>
    <w:p w14:paraId="1929E20B" w14:textId="1CD2D762" w:rsidR="00AE61A9" w:rsidRPr="00206628" w:rsidRDefault="00846671"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01796C" w:rsidRPr="00206628">
        <w:rPr>
          <w:rFonts w:ascii="Times New Roman" w:hAnsi="Times New Roman" w:cs="Times New Roman"/>
          <w:sz w:val="24"/>
          <w:szCs w:val="24"/>
        </w:rPr>
        <w:t>21</w:t>
      </w:r>
      <w:r w:rsidR="002B6FFA" w:rsidRPr="00206628">
        <w:rPr>
          <w:rFonts w:ascii="Times New Roman" w:hAnsi="Times New Roman" w:cs="Times New Roman"/>
          <w:sz w:val="24"/>
          <w:szCs w:val="24"/>
        </w:rPr>
        <w:t xml:space="preserve">(4) prescribes that the calculations of MSO products that are imported or refined under subsections (2) and (3) include the volume of these products which do not yet meet the specifications to be an MSO product, but are intended to be sold as an MSO product once they do meet the specifications. This ensures that all relevant MSO products that are being sold to the Australian market are captured for the </w:t>
      </w:r>
      <w:r w:rsidR="008238AD" w:rsidRPr="00206628">
        <w:rPr>
          <w:rFonts w:ascii="Times New Roman" w:hAnsi="Times New Roman" w:cs="Times New Roman"/>
          <w:sz w:val="24"/>
          <w:szCs w:val="24"/>
        </w:rPr>
        <w:t xml:space="preserve">purposes of the MSO calculation, and avoids a situation where some stock is accidentally excluded from this calculation. </w:t>
      </w:r>
    </w:p>
    <w:p w14:paraId="76D16E60" w14:textId="77777777" w:rsidR="0001796C" w:rsidRPr="00206628" w:rsidRDefault="0001796C"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Subsection 21(5) provides for a special calculation if refinery production is curtailed for one or more months due to the Refinery Upgrades Program</w:t>
      </w:r>
      <w:r w:rsidR="00E84DFE" w:rsidRPr="00206628">
        <w:rPr>
          <w:rFonts w:ascii="Times New Roman" w:hAnsi="Times New Roman" w:cs="Times New Roman"/>
          <w:sz w:val="24"/>
          <w:szCs w:val="24"/>
        </w:rPr>
        <w:t xml:space="preserve"> (</w:t>
      </w:r>
      <w:r w:rsidR="002F0FDE" w:rsidRPr="00206628">
        <w:rPr>
          <w:rFonts w:ascii="Times New Roman" w:hAnsi="Times New Roman" w:cs="Times New Roman"/>
          <w:sz w:val="24"/>
          <w:szCs w:val="24"/>
        </w:rPr>
        <w:t xml:space="preserve">established under the </w:t>
      </w:r>
      <w:r w:rsidR="00E84DFE" w:rsidRPr="00206628">
        <w:rPr>
          <w:rFonts w:ascii="Times New Roman" w:hAnsi="Times New Roman" w:cs="Times New Roman"/>
          <w:i/>
          <w:sz w:val="24"/>
          <w:szCs w:val="24"/>
        </w:rPr>
        <w:t>Industry Research and Development (Refinery Upgrades Program) Instrument 2021</w:t>
      </w:r>
      <w:r w:rsidR="002F0FDE" w:rsidRPr="00206628">
        <w:rPr>
          <w:rFonts w:ascii="Times New Roman" w:hAnsi="Times New Roman" w:cs="Times New Roman"/>
          <w:sz w:val="24"/>
          <w:szCs w:val="24"/>
        </w:rPr>
        <w:t>)</w:t>
      </w:r>
      <w:r w:rsidRPr="00206628">
        <w:rPr>
          <w:rFonts w:ascii="Times New Roman" w:hAnsi="Times New Roman" w:cs="Times New Roman"/>
          <w:sz w:val="24"/>
          <w:szCs w:val="24"/>
        </w:rPr>
        <w:t xml:space="preserve">. It is possible that to implement improved fuel quality standards a significant shutdown may be necessary and this could result in increased imports of MSO products to meet demand ordinarily supplied by the refinery. The subsection ensures refineries are not disadvantaged if this occurs, with the previous year’s refinery production used to calculate the designated quantity </w:t>
      </w:r>
      <w:r w:rsidRPr="00206628">
        <w:rPr>
          <w:rFonts w:ascii="Times New Roman" w:hAnsi="Times New Roman" w:cs="Times New Roman"/>
          <w:sz w:val="24"/>
          <w:szCs w:val="24"/>
        </w:rPr>
        <w:lastRenderedPageBreak/>
        <w:t xml:space="preserve">and any additional refinery production deducted from the import </w:t>
      </w:r>
      <w:r w:rsidR="00F90E1A" w:rsidRPr="00206628">
        <w:rPr>
          <w:rFonts w:ascii="Times New Roman" w:hAnsi="Times New Roman" w:cs="Times New Roman"/>
          <w:sz w:val="24"/>
          <w:szCs w:val="24"/>
        </w:rPr>
        <w:t>volumes (to ensure it is not double counted).</w:t>
      </w:r>
    </w:p>
    <w:p w14:paraId="5B84436C" w14:textId="77777777" w:rsidR="00F90E1A" w:rsidRPr="00206628" w:rsidRDefault="00F90E1A"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Subsection 21(6) avoids double counting of imports when section 5 results in a second entity importing a product. For example, entity X imports 600 ML of diesel under paragraph (a) of the definition of import. However, 50M</w:t>
      </w:r>
      <w:r w:rsidR="00A1568D" w:rsidRPr="00206628">
        <w:rPr>
          <w:rFonts w:ascii="Times New Roman" w:hAnsi="Times New Roman" w:cs="Times New Roman"/>
          <w:sz w:val="24"/>
          <w:szCs w:val="24"/>
        </w:rPr>
        <w:t xml:space="preserve">L is imported on behalf of entity Y and 50ML is imported on behalf of entity Z. The calculation is done on the basis of 500ML, with the 100ML covered by section 5 imports </w:t>
      </w:r>
      <w:r w:rsidR="00211B7A" w:rsidRPr="00206628">
        <w:rPr>
          <w:rFonts w:ascii="Times New Roman" w:hAnsi="Times New Roman" w:cs="Times New Roman"/>
          <w:sz w:val="24"/>
          <w:szCs w:val="24"/>
        </w:rPr>
        <w:t xml:space="preserve">being taken off the total figure and </w:t>
      </w:r>
      <w:r w:rsidR="00A1568D" w:rsidRPr="00206628">
        <w:rPr>
          <w:rFonts w:ascii="Times New Roman" w:hAnsi="Times New Roman" w:cs="Times New Roman"/>
          <w:sz w:val="24"/>
          <w:szCs w:val="24"/>
        </w:rPr>
        <w:t xml:space="preserve">disregarded. </w:t>
      </w:r>
    </w:p>
    <w:p w14:paraId="7C1B6B76" w14:textId="3BB20C22" w:rsidR="00DD52FB" w:rsidRPr="00206628" w:rsidRDefault="00D81ABE" w:rsidP="00B24117">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Section 22</w:t>
      </w:r>
      <w:r w:rsidR="00DD52FB" w:rsidRPr="00206628">
        <w:rPr>
          <w:rFonts w:ascii="Times New Roman" w:hAnsi="Times New Roman" w:cs="Times New Roman"/>
          <w:b/>
          <w:sz w:val="24"/>
          <w:szCs w:val="24"/>
        </w:rPr>
        <w:t xml:space="preserve"> – Designated quantity – circumstances impacting entity </w:t>
      </w:r>
      <w:r w:rsidR="00925804" w:rsidRPr="00206628">
        <w:rPr>
          <w:rFonts w:ascii="Times New Roman" w:hAnsi="Times New Roman" w:cs="Times New Roman"/>
          <w:b/>
          <w:sz w:val="24"/>
          <w:szCs w:val="24"/>
        </w:rPr>
        <w:t>during trigger assessment period</w:t>
      </w:r>
    </w:p>
    <w:p w14:paraId="42F676EB" w14:textId="77777777" w:rsidR="00B250A6" w:rsidRPr="00206628" w:rsidRDefault="00925804" w:rsidP="004871DC">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section prescribes</w:t>
      </w:r>
      <w:r w:rsidR="00B250A6" w:rsidRPr="00206628">
        <w:rPr>
          <w:rFonts w:ascii="Times New Roman" w:hAnsi="Times New Roman" w:cs="Times New Roman"/>
          <w:sz w:val="24"/>
          <w:szCs w:val="24"/>
        </w:rPr>
        <w:t xml:space="preserve"> specified circumstances in which the designated quantity </w:t>
      </w:r>
      <w:r w:rsidR="00187BB7" w:rsidRPr="00206628">
        <w:rPr>
          <w:rFonts w:ascii="Times New Roman" w:hAnsi="Times New Roman" w:cs="Times New Roman"/>
          <w:sz w:val="24"/>
          <w:szCs w:val="24"/>
        </w:rPr>
        <w:t xml:space="preserve">of stocks of each MSO product an entity must hold on obligation days, as </w:t>
      </w:r>
      <w:r w:rsidR="00B250A6" w:rsidRPr="00206628">
        <w:rPr>
          <w:rFonts w:ascii="Times New Roman" w:hAnsi="Times New Roman" w:cs="Times New Roman"/>
          <w:sz w:val="24"/>
          <w:szCs w:val="24"/>
        </w:rPr>
        <w:t>calculated under section 21 of the Rules</w:t>
      </w:r>
      <w:r w:rsidR="00187BB7" w:rsidRPr="00206628">
        <w:rPr>
          <w:rFonts w:ascii="Times New Roman" w:hAnsi="Times New Roman" w:cs="Times New Roman"/>
          <w:sz w:val="24"/>
          <w:szCs w:val="24"/>
        </w:rPr>
        <w:t>,</w:t>
      </w:r>
      <w:r w:rsidR="00B250A6" w:rsidRPr="00206628">
        <w:rPr>
          <w:rFonts w:ascii="Times New Roman" w:hAnsi="Times New Roman" w:cs="Times New Roman"/>
          <w:sz w:val="24"/>
          <w:szCs w:val="24"/>
        </w:rPr>
        <w:t xml:space="preserve"> may be reduced</w:t>
      </w:r>
      <w:r w:rsidR="00187BB7" w:rsidRPr="00206628">
        <w:rPr>
          <w:rFonts w:ascii="Times New Roman" w:hAnsi="Times New Roman" w:cs="Times New Roman"/>
          <w:sz w:val="24"/>
          <w:szCs w:val="24"/>
        </w:rPr>
        <w:t>,</w:t>
      </w:r>
      <w:r w:rsidR="00B250A6" w:rsidRPr="00206628">
        <w:rPr>
          <w:rFonts w:ascii="Times New Roman" w:hAnsi="Times New Roman" w:cs="Times New Roman"/>
          <w:sz w:val="24"/>
          <w:szCs w:val="24"/>
        </w:rPr>
        <w:t xml:space="preserve"> and the manner in which such reduction must be calculated,</w:t>
      </w:r>
    </w:p>
    <w:p w14:paraId="043CE254" w14:textId="38883863" w:rsidR="00B250A6" w:rsidRPr="00206628" w:rsidRDefault="00B250A6" w:rsidP="004871DC">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Specifically, subsection 22(1) prescribes that where the Secretary is satisfied an entity has lost a major customer for one or more MSO products during the most recent trigger assessment period (ordinarily, the previous calendar year – see explanatory note for section</w:t>
      </w:r>
      <w:r w:rsidR="00922B24" w:rsidRPr="00206628">
        <w:rPr>
          <w:rFonts w:ascii="Times New Roman" w:hAnsi="Times New Roman" w:cs="Times New Roman"/>
          <w:sz w:val="24"/>
          <w:szCs w:val="24"/>
        </w:rPr>
        <w:t> </w:t>
      </w:r>
      <w:r w:rsidRPr="00206628">
        <w:rPr>
          <w:rFonts w:ascii="Times New Roman" w:hAnsi="Times New Roman" w:cs="Times New Roman"/>
          <w:sz w:val="24"/>
          <w:szCs w:val="24"/>
        </w:rPr>
        <w:t xml:space="preserve">16 above), then subject to certain requirements, the </w:t>
      </w:r>
      <w:r w:rsidR="00187BB7" w:rsidRPr="00206628">
        <w:rPr>
          <w:rFonts w:ascii="Times New Roman" w:hAnsi="Times New Roman" w:cs="Times New Roman"/>
          <w:sz w:val="24"/>
          <w:szCs w:val="24"/>
        </w:rPr>
        <w:t xml:space="preserve">designated amount calculated for the entity under section 21 may be reduced in accordance with subsection 22(2) (for </w:t>
      </w:r>
      <w:r w:rsidR="00164F8E" w:rsidRPr="00206628">
        <w:rPr>
          <w:rFonts w:ascii="Times New Roman" w:hAnsi="Times New Roman" w:cs="Times New Roman"/>
          <w:sz w:val="24"/>
          <w:szCs w:val="24"/>
        </w:rPr>
        <w:t>importing</w:t>
      </w:r>
      <w:r w:rsidR="00187BB7" w:rsidRPr="00206628">
        <w:rPr>
          <w:rFonts w:ascii="Times New Roman" w:hAnsi="Times New Roman" w:cs="Times New Roman"/>
          <w:sz w:val="24"/>
          <w:szCs w:val="24"/>
        </w:rPr>
        <w:t xml:space="preserve"> an MSO product) and subsection 22(3)</w:t>
      </w:r>
      <w:r w:rsidR="00164F8E" w:rsidRPr="00206628">
        <w:rPr>
          <w:rFonts w:ascii="Times New Roman" w:hAnsi="Times New Roman" w:cs="Times New Roman"/>
          <w:sz w:val="24"/>
          <w:szCs w:val="24"/>
        </w:rPr>
        <w:t xml:space="preserve"> (for refining</w:t>
      </w:r>
      <w:r w:rsidR="00187BB7" w:rsidRPr="00206628">
        <w:rPr>
          <w:rFonts w:ascii="Times New Roman" w:hAnsi="Times New Roman" w:cs="Times New Roman"/>
          <w:sz w:val="24"/>
          <w:szCs w:val="24"/>
        </w:rPr>
        <w:t xml:space="preserve"> an MSO product).</w:t>
      </w:r>
      <w:r w:rsidRPr="00206628">
        <w:rPr>
          <w:rFonts w:ascii="Times New Roman" w:hAnsi="Times New Roman" w:cs="Times New Roman"/>
          <w:sz w:val="24"/>
          <w:szCs w:val="24"/>
        </w:rPr>
        <w:t xml:space="preserve">  </w:t>
      </w:r>
    </w:p>
    <w:p w14:paraId="2EC35289" w14:textId="03CEB466" w:rsidR="00187BB7" w:rsidRPr="00206628" w:rsidRDefault="00187BB7" w:rsidP="004871DC">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22(1) also requires the Secretary to be satisfied that, as a consequence of having lost a major customer, the entity’s requirement to import or refine one or more MSO products for the remainder of the previous trigger assessment period was reduced by </w:t>
      </w:r>
      <w:r w:rsidR="00B250A6" w:rsidRPr="00206628">
        <w:rPr>
          <w:rFonts w:ascii="Times New Roman" w:hAnsi="Times New Roman" w:cs="Times New Roman"/>
          <w:sz w:val="24"/>
          <w:szCs w:val="24"/>
        </w:rPr>
        <w:t xml:space="preserve">more than the lesser of </w:t>
      </w:r>
      <w:r w:rsidRPr="00206628">
        <w:rPr>
          <w:rFonts w:ascii="Times New Roman" w:hAnsi="Times New Roman" w:cs="Times New Roman"/>
          <w:sz w:val="24"/>
          <w:szCs w:val="24"/>
        </w:rPr>
        <w:t>either</w:t>
      </w:r>
      <w:r w:rsidR="00B250A6" w:rsidRPr="00206628">
        <w:rPr>
          <w:rFonts w:ascii="Times New Roman" w:hAnsi="Times New Roman" w:cs="Times New Roman"/>
          <w:sz w:val="24"/>
          <w:szCs w:val="24"/>
        </w:rPr>
        <w:t xml:space="preserve"> 20 per cent of the entity’s</w:t>
      </w:r>
      <w:r w:rsidRPr="00206628">
        <w:rPr>
          <w:rFonts w:ascii="Times New Roman" w:hAnsi="Times New Roman" w:cs="Times New Roman"/>
          <w:sz w:val="24"/>
          <w:szCs w:val="24"/>
        </w:rPr>
        <w:t xml:space="preserve"> </w:t>
      </w:r>
      <w:r w:rsidR="002C02D8" w:rsidRPr="00206628">
        <w:rPr>
          <w:rFonts w:ascii="Times New Roman" w:hAnsi="Times New Roman" w:cs="Times New Roman"/>
          <w:sz w:val="24"/>
          <w:szCs w:val="24"/>
        </w:rPr>
        <w:t>annual</w:t>
      </w:r>
      <w:r w:rsidR="00FC13C3" w:rsidRPr="00206628">
        <w:rPr>
          <w:rFonts w:ascii="Times New Roman" w:hAnsi="Times New Roman" w:cs="Times New Roman"/>
          <w:sz w:val="24"/>
          <w:szCs w:val="24"/>
        </w:rPr>
        <w:t xml:space="preserve"> </w:t>
      </w:r>
      <w:r w:rsidR="00B250A6" w:rsidRPr="00206628">
        <w:rPr>
          <w:rFonts w:ascii="Times New Roman" w:hAnsi="Times New Roman" w:cs="Times New Roman"/>
          <w:sz w:val="24"/>
          <w:szCs w:val="24"/>
        </w:rPr>
        <w:t>importing or refining</w:t>
      </w:r>
      <w:r w:rsidRPr="00206628">
        <w:rPr>
          <w:rFonts w:ascii="Times New Roman" w:hAnsi="Times New Roman" w:cs="Times New Roman"/>
          <w:sz w:val="24"/>
          <w:szCs w:val="24"/>
        </w:rPr>
        <w:t xml:space="preserve"> figures</w:t>
      </w:r>
      <w:r w:rsidR="00B250A6" w:rsidRPr="00206628">
        <w:rPr>
          <w:rFonts w:ascii="Times New Roman" w:hAnsi="Times New Roman" w:cs="Times New Roman"/>
          <w:sz w:val="24"/>
          <w:szCs w:val="24"/>
        </w:rPr>
        <w:t>, or 100ML</w:t>
      </w:r>
      <w:r w:rsidRPr="00206628">
        <w:rPr>
          <w:rFonts w:ascii="Times New Roman" w:hAnsi="Times New Roman" w:cs="Times New Roman"/>
          <w:sz w:val="24"/>
          <w:szCs w:val="24"/>
        </w:rPr>
        <w:t>. Th</w:t>
      </w:r>
      <w:r w:rsidR="00917AC2">
        <w:rPr>
          <w:rFonts w:ascii="Times New Roman" w:hAnsi="Times New Roman" w:cs="Times New Roman"/>
          <w:sz w:val="24"/>
          <w:szCs w:val="24"/>
        </w:rPr>
        <w:t xml:space="preserve">e requirement for each customer </w:t>
      </w:r>
      <w:r w:rsidR="007E0A97">
        <w:rPr>
          <w:rFonts w:ascii="Times New Roman" w:hAnsi="Times New Roman" w:cs="Times New Roman"/>
          <w:sz w:val="24"/>
          <w:szCs w:val="24"/>
        </w:rPr>
        <w:t xml:space="preserve">lost </w:t>
      </w:r>
      <w:r w:rsidR="00917AC2">
        <w:rPr>
          <w:rFonts w:ascii="Times New Roman" w:hAnsi="Times New Roman" w:cs="Times New Roman"/>
          <w:sz w:val="24"/>
          <w:szCs w:val="24"/>
        </w:rPr>
        <w:t xml:space="preserve">to meet this threshold </w:t>
      </w:r>
      <w:r w:rsidR="007E0A97">
        <w:rPr>
          <w:rFonts w:ascii="Times New Roman" w:hAnsi="Times New Roman" w:cs="Times New Roman"/>
          <w:sz w:val="24"/>
          <w:szCs w:val="24"/>
        </w:rPr>
        <w:t>(as opposed</w:t>
      </w:r>
      <w:r w:rsidR="00917AC2">
        <w:rPr>
          <w:rFonts w:ascii="Times New Roman" w:hAnsi="Times New Roman" w:cs="Times New Roman"/>
          <w:sz w:val="24"/>
          <w:szCs w:val="24"/>
        </w:rPr>
        <w:t xml:space="preserve"> to </w:t>
      </w:r>
      <w:r w:rsidR="007E0A97">
        <w:rPr>
          <w:rFonts w:ascii="Times New Roman" w:hAnsi="Times New Roman" w:cs="Times New Roman"/>
          <w:sz w:val="24"/>
          <w:szCs w:val="24"/>
        </w:rPr>
        <w:t>a number of smaller customers) is intended to avoid</w:t>
      </w:r>
      <w:r w:rsidR="00917AC2">
        <w:rPr>
          <w:rFonts w:ascii="Times New Roman" w:hAnsi="Times New Roman" w:cs="Times New Roman"/>
          <w:sz w:val="24"/>
          <w:szCs w:val="24"/>
        </w:rPr>
        <w:t xml:space="preserve"> </w:t>
      </w:r>
      <w:r w:rsidR="00D97FD6">
        <w:rPr>
          <w:rFonts w:ascii="Times New Roman" w:hAnsi="Times New Roman" w:cs="Times New Roman"/>
          <w:sz w:val="24"/>
          <w:szCs w:val="24"/>
        </w:rPr>
        <w:t xml:space="preserve">requests </w:t>
      </w:r>
      <w:r w:rsidR="007E0A97">
        <w:rPr>
          <w:rFonts w:ascii="Times New Roman" w:hAnsi="Times New Roman" w:cs="Times New Roman"/>
          <w:sz w:val="24"/>
          <w:szCs w:val="24"/>
        </w:rPr>
        <w:t>being</w:t>
      </w:r>
      <w:r w:rsidR="00D97FD6">
        <w:rPr>
          <w:rFonts w:ascii="Times New Roman" w:hAnsi="Times New Roman" w:cs="Times New Roman"/>
          <w:sz w:val="24"/>
          <w:szCs w:val="24"/>
        </w:rPr>
        <w:t xml:space="preserve"> made in situations </w:t>
      </w:r>
      <w:r w:rsidR="007E0A97">
        <w:rPr>
          <w:rFonts w:ascii="Times New Roman" w:hAnsi="Times New Roman" w:cs="Times New Roman"/>
          <w:sz w:val="24"/>
          <w:szCs w:val="24"/>
        </w:rPr>
        <w:t>where</w:t>
      </w:r>
      <w:r w:rsidR="00D97FD6">
        <w:rPr>
          <w:rFonts w:ascii="Times New Roman" w:hAnsi="Times New Roman" w:cs="Times New Roman"/>
          <w:sz w:val="24"/>
          <w:szCs w:val="24"/>
        </w:rPr>
        <w:t xml:space="preserve"> a </w:t>
      </w:r>
      <w:r w:rsidR="00917AC2">
        <w:rPr>
          <w:rFonts w:ascii="Times New Roman" w:hAnsi="Times New Roman" w:cs="Times New Roman"/>
          <w:sz w:val="24"/>
          <w:szCs w:val="24"/>
        </w:rPr>
        <w:t xml:space="preserve">number of smaller customers are lost and new ones </w:t>
      </w:r>
      <w:r w:rsidR="00D97FD6">
        <w:rPr>
          <w:rFonts w:ascii="Times New Roman" w:hAnsi="Times New Roman" w:cs="Times New Roman"/>
          <w:sz w:val="24"/>
          <w:szCs w:val="24"/>
        </w:rPr>
        <w:t xml:space="preserve">may have been </w:t>
      </w:r>
      <w:r w:rsidR="00917AC2">
        <w:rPr>
          <w:rFonts w:ascii="Times New Roman" w:hAnsi="Times New Roman" w:cs="Times New Roman"/>
          <w:sz w:val="24"/>
          <w:szCs w:val="24"/>
        </w:rPr>
        <w:t>gained</w:t>
      </w:r>
      <w:r w:rsidR="00D97FD6">
        <w:rPr>
          <w:rFonts w:ascii="Times New Roman" w:hAnsi="Times New Roman" w:cs="Times New Roman"/>
          <w:sz w:val="24"/>
          <w:szCs w:val="24"/>
        </w:rPr>
        <w:t xml:space="preserve"> through the ordinary course of business</w:t>
      </w:r>
      <w:r w:rsidR="00D75805">
        <w:rPr>
          <w:rFonts w:ascii="Times New Roman" w:hAnsi="Times New Roman" w:cs="Times New Roman"/>
          <w:sz w:val="24"/>
          <w:szCs w:val="24"/>
        </w:rPr>
        <w:t>,</w:t>
      </w:r>
      <w:r w:rsidR="00D97FD6">
        <w:rPr>
          <w:rFonts w:ascii="Times New Roman" w:hAnsi="Times New Roman" w:cs="Times New Roman"/>
          <w:sz w:val="24"/>
          <w:szCs w:val="24"/>
        </w:rPr>
        <w:t xml:space="preserve"> </w:t>
      </w:r>
      <w:r w:rsidR="007E0A97">
        <w:rPr>
          <w:rFonts w:ascii="Times New Roman" w:hAnsi="Times New Roman" w:cs="Times New Roman"/>
          <w:sz w:val="24"/>
          <w:szCs w:val="24"/>
        </w:rPr>
        <w:t>but</w:t>
      </w:r>
      <w:r w:rsidR="00D97FD6">
        <w:rPr>
          <w:rFonts w:ascii="Times New Roman" w:hAnsi="Times New Roman" w:cs="Times New Roman"/>
          <w:sz w:val="24"/>
          <w:szCs w:val="24"/>
        </w:rPr>
        <w:t xml:space="preserve"> the entity seeks to have only the lost customers considered.</w:t>
      </w:r>
    </w:p>
    <w:p w14:paraId="16421715" w14:textId="77777777" w:rsidR="00720698" w:rsidRPr="00206628" w:rsidRDefault="00720698" w:rsidP="00720698">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As noted above, subsection 22(2) prescribes the formula that should be used to calculate the amount by which the designated quantity of an MSO product that an importing entity is required to hold (as calculated in accordance with secti</w:t>
      </w:r>
      <w:r w:rsidR="002C02D8" w:rsidRPr="00206628">
        <w:rPr>
          <w:rFonts w:ascii="Times New Roman" w:hAnsi="Times New Roman" w:cs="Times New Roman"/>
          <w:sz w:val="24"/>
          <w:szCs w:val="24"/>
        </w:rPr>
        <w:t>o</w:t>
      </w:r>
      <w:r w:rsidRPr="00206628">
        <w:rPr>
          <w:rFonts w:ascii="Times New Roman" w:hAnsi="Times New Roman" w:cs="Times New Roman"/>
          <w:sz w:val="24"/>
          <w:szCs w:val="24"/>
        </w:rPr>
        <w:t>n 21</w:t>
      </w:r>
      <w:r w:rsidR="002C02D8" w:rsidRPr="00206628">
        <w:rPr>
          <w:rFonts w:ascii="Times New Roman" w:hAnsi="Times New Roman" w:cs="Times New Roman"/>
          <w:sz w:val="24"/>
          <w:szCs w:val="24"/>
        </w:rPr>
        <w:t xml:space="preserve">) may be reduced, in the circumstances provided under subsection 22(1). </w:t>
      </w:r>
      <w:r w:rsidRPr="00206628">
        <w:rPr>
          <w:rFonts w:ascii="Times New Roman" w:hAnsi="Times New Roman" w:cs="Times New Roman"/>
          <w:sz w:val="24"/>
          <w:szCs w:val="24"/>
        </w:rPr>
        <w:t xml:space="preserve">This calculation should be done for each MSO product </w:t>
      </w:r>
      <w:r w:rsidR="002C02D8" w:rsidRPr="00206628">
        <w:rPr>
          <w:rFonts w:ascii="Times New Roman" w:hAnsi="Times New Roman" w:cs="Times New Roman"/>
          <w:sz w:val="24"/>
          <w:szCs w:val="24"/>
        </w:rPr>
        <w:t>that has been impacted by those circumstances.</w:t>
      </w:r>
    </w:p>
    <w:p w14:paraId="007C34C9" w14:textId="3C7F81A1" w:rsidR="002C02D8" w:rsidRPr="00206628" w:rsidRDefault="00F70151" w:rsidP="002C02D8">
      <w:pPr>
        <w:pStyle w:val="tDefn"/>
        <w:rPr>
          <w:sz w:val="28"/>
          <w:szCs w:val="28"/>
        </w:rPr>
      </w:pPr>
      <w:r>
        <w:rPr>
          <w:noProof/>
          <w:sz w:val="28"/>
          <w:szCs w:val="28"/>
        </w:rPr>
        <w:drawing>
          <wp:inline distT="0" distB="0" distL="0" distR="0" wp14:anchorId="133E6CE3" wp14:editId="470A17FE">
            <wp:extent cx="2038350" cy="619125"/>
            <wp:effectExtent l="0" t="0" r="0" b="9525"/>
            <wp:docPr id="4" name="Picture 4" descr="Cp equals TDIp times TIc over 365 times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p equals TDIp times TIc over 365 times T"/>
                    <pic:cNvPicPr/>
                  </pic:nvPicPr>
                  <pic:blipFill>
                    <a:blip r:embed="rId20">
                      <a:extLst>
                        <a:ext uri="{28A0092B-C50C-407E-A947-70E740481C1C}">
                          <a14:useLocalDpi xmlns:a14="http://schemas.microsoft.com/office/drawing/2010/main" val="0"/>
                        </a:ext>
                      </a:extLst>
                    </a:blip>
                    <a:stretch>
                      <a:fillRect/>
                    </a:stretch>
                  </pic:blipFill>
                  <pic:spPr>
                    <a:xfrm>
                      <a:off x="0" y="0"/>
                      <a:ext cx="2038350" cy="619125"/>
                    </a:xfrm>
                    <a:prstGeom prst="rect">
                      <a:avLst/>
                    </a:prstGeom>
                  </pic:spPr>
                </pic:pic>
              </a:graphicData>
            </a:graphic>
          </wp:inline>
        </w:drawing>
      </w:r>
    </w:p>
    <w:p w14:paraId="3801A051" w14:textId="77777777" w:rsidR="00720698" w:rsidRPr="00206628" w:rsidRDefault="002C02D8" w:rsidP="004871DC">
      <w:pPr>
        <w:spacing w:before="240" w:after="100" w:afterAutospacing="1"/>
        <w:rPr>
          <w:rFonts w:ascii="Times New Roman" w:hAnsi="Times New Roman" w:cs="Times New Roman"/>
          <w:sz w:val="24"/>
          <w:szCs w:val="24"/>
        </w:rPr>
      </w:pPr>
      <w:r w:rsidRPr="00206628">
        <w:rPr>
          <w:b/>
          <w:i/>
        </w:rPr>
        <w:t>C</w:t>
      </w:r>
      <w:r w:rsidRPr="00206628">
        <w:rPr>
          <w:b/>
          <w:i/>
          <w:vertAlign w:val="subscript"/>
        </w:rPr>
        <w:t xml:space="preserve">p </w:t>
      </w:r>
      <w:r w:rsidRPr="00206628">
        <w:rPr>
          <w:rFonts w:ascii="Times New Roman" w:hAnsi="Times New Roman" w:cs="Times New Roman"/>
          <w:sz w:val="24"/>
          <w:szCs w:val="24"/>
        </w:rPr>
        <w:t>is defined as the amount by which the designated quantity may be reduced for the MSO product p.</w:t>
      </w:r>
    </w:p>
    <w:p w14:paraId="31701E17" w14:textId="6A2D1212" w:rsidR="002C02D8" w:rsidRPr="00206628" w:rsidRDefault="002C02D8" w:rsidP="002C02D8">
      <w:pPr>
        <w:spacing w:before="240" w:after="100" w:afterAutospacing="1"/>
        <w:rPr>
          <w:rFonts w:ascii="Times New Roman" w:hAnsi="Times New Roman" w:cs="Times New Roman"/>
          <w:sz w:val="24"/>
          <w:szCs w:val="24"/>
        </w:rPr>
      </w:pPr>
      <w:bookmarkStart w:id="0" w:name="_Hlk116984421"/>
      <w:r w:rsidRPr="00206628">
        <w:rPr>
          <w:b/>
          <w:i/>
        </w:rPr>
        <w:t>TDI</w:t>
      </w:r>
      <w:r w:rsidRPr="00206628">
        <w:rPr>
          <w:b/>
          <w:i/>
          <w:vertAlign w:val="subscript"/>
        </w:rPr>
        <w:t>p</w:t>
      </w:r>
      <w:bookmarkEnd w:id="0"/>
      <w:r w:rsidRPr="00206628">
        <w:rPr>
          <w:rFonts w:ascii="Times New Roman" w:hAnsi="Times New Roman" w:cs="Times New Roman"/>
          <w:sz w:val="24"/>
          <w:szCs w:val="24"/>
        </w:rPr>
        <w:t xml:space="preserve"> is defined as the target </w:t>
      </w:r>
      <w:r w:rsidR="00533E21" w:rsidRPr="00206628">
        <w:rPr>
          <w:rFonts w:ascii="Times New Roman" w:hAnsi="Times New Roman" w:cs="Times New Roman"/>
          <w:sz w:val="24"/>
          <w:szCs w:val="24"/>
        </w:rPr>
        <w:t xml:space="preserve">number of </w:t>
      </w:r>
      <w:r w:rsidRPr="00206628">
        <w:rPr>
          <w:rFonts w:ascii="Times New Roman" w:hAnsi="Times New Roman" w:cs="Times New Roman"/>
          <w:sz w:val="24"/>
          <w:szCs w:val="24"/>
        </w:rPr>
        <w:t xml:space="preserve">days declared by the Minister (under section 14 of the Act) for the activity of importing the specific MSO product. This provision specifies that the </w:t>
      </w:r>
      <w:r w:rsidRPr="00206628">
        <w:rPr>
          <w:rFonts w:ascii="Times New Roman" w:hAnsi="Times New Roman" w:cs="Times New Roman"/>
          <w:sz w:val="24"/>
          <w:szCs w:val="24"/>
        </w:rPr>
        <w:lastRenderedPageBreak/>
        <w:t xml:space="preserve">target </w:t>
      </w:r>
      <w:r w:rsidR="00533E21" w:rsidRPr="00206628">
        <w:rPr>
          <w:rFonts w:ascii="Times New Roman" w:hAnsi="Times New Roman" w:cs="Times New Roman"/>
          <w:sz w:val="24"/>
          <w:szCs w:val="24"/>
        </w:rPr>
        <w:t xml:space="preserve">number of </w:t>
      </w:r>
      <w:r w:rsidRPr="00206628">
        <w:rPr>
          <w:rFonts w:ascii="Times New Roman" w:hAnsi="Times New Roman" w:cs="Times New Roman"/>
          <w:sz w:val="24"/>
          <w:szCs w:val="24"/>
        </w:rPr>
        <w:t xml:space="preserve">days used must be the applicable days that will be relevant to the start of the period when the designated quantity will apply on each obligation day. This </w:t>
      </w:r>
      <w:r w:rsidR="00213364" w:rsidRPr="00206628">
        <w:rPr>
          <w:rFonts w:ascii="Times New Roman" w:hAnsi="Times New Roman" w:cs="Times New Roman"/>
          <w:sz w:val="24"/>
          <w:szCs w:val="24"/>
        </w:rPr>
        <w:t xml:space="preserve">provision operates similarly to the term </w:t>
      </w:r>
      <w:r w:rsidR="00213364" w:rsidRPr="00206628">
        <w:rPr>
          <w:b/>
          <w:i/>
        </w:rPr>
        <w:t>TDR</w:t>
      </w:r>
      <w:r w:rsidR="00213364" w:rsidRPr="00206628">
        <w:rPr>
          <w:b/>
          <w:i/>
          <w:vertAlign w:val="subscript"/>
        </w:rPr>
        <w:t xml:space="preserve">p </w:t>
      </w:r>
      <w:r w:rsidR="00213364" w:rsidRPr="00206628">
        <w:rPr>
          <w:rFonts w:ascii="Times New Roman" w:hAnsi="Times New Roman" w:cs="Times New Roman"/>
          <w:sz w:val="24"/>
          <w:szCs w:val="24"/>
        </w:rPr>
        <w:t xml:space="preserve">(see explanatory notes for subsection 21(2) above), except the term </w:t>
      </w:r>
      <w:r w:rsidR="00213364" w:rsidRPr="00206628">
        <w:rPr>
          <w:b/>
          <w:i/>
        </w:rPr>
        <w:t>TDI</w:t>
      </w:r>
      <w:r w:rsidR="00213364" w:rsidRPr="00206628">
        <w:rPr>
          <w:b/>
          <w:i/>
          <w:vertAlign w:val="subscript"/>
        </w:rPr>
        <w:t>p</w:t>
      </w:r>
      <w:r w:rsidR="00213364" w:rsidRPr="00206628">
        <w:rPr>
          <w:rFonts w:ascii="Times New Roman" w:hAnsi="Times New Roman" w:cs="Times New Roman"/>
          <w:sz w:val="24"/>
          <w:szCs w:val="24"/>
        </w:rPr>
        <w:t xml:space="preserve"> applies in relation to the activity of importing rather than refining MSO product.</w:t>
      </w:r>
      <w:r w:rsidRPr="00206628">
        <w:rPr>
          <w:rFonts w:ascii="Times New Roman" w:hAnsi="Times New Roman" w:cs="Times New Roman"/>
          <w:sz w:val="24"/>
          <w:szCs w:val="24"/>
        </w:rPr>
        <w:t xml:space="preserve"> </w:t>
      </w:r>
    </w:p>
    <w:p w14:paraId="353F356B" w14:textId="5E1B2C41" w:rsidR="001F3694" w:rsidRPr="00206628" w:rsidRDefault="001F3694" w:rsidP="001F3694">
      <w:pPr>
        <w:pStyle w:val="tDefn"/>
        <w:ind w:left="0"/>
        <w:rPr>
          <w:sz w:val="24"/>
          <w:szCs w:val="24"/>
          <w:lang w:eastAsia="en-US"/>
        </w:rPr>
      </w:pPr>
      <w:bookmarkStart w:id="1" w:name="_Hlk116984457"/>
      <w:r w:rsidRPr="00206628">
        <w:rPr>
          <w:b/>
          <w:bCs/>
          <w:i/>
          <w:iCs/>
        </w:rPr>
        <w:t>TI</w:t>
      </w:r>
      <w:r w:rsidRPr="00206628">
        <w:rPr>
          <w:b/>
          <w:bCs/>
          <w:i/>
          <w:iCs/>
          <w:vertAlign w:val="subscript"/>
        </w:rPr>
        <w:t xml:space="preserve">c </w:t>
      </w:r>
      <w:r w:rsidRPr="00206628">
        <w:rPr>
          <w:sz w:val="24"/>
          <w:szCs w:val="24"/>
          <w:lang w:eastAsia="en-US"/>
        </w:rPr>
        <w:t xml:space="preserve">is the total amount of MSO product p that the entity would have imported during the assessment period for the purpose of the contract with the major customer that was lost, in </w:t>
      </w:r>
      <w:r w:rsidR="00302F17" w:rsidRPr="00206628">
        <w:rPr>
          <w:sz w:val="24"/>
          <w:szCs w:val="24"/>
          <w:lang w:eastAsia="en-US"/>
        </w:rPr>
        <w:t>ML</w:t>
      </w:r>
      <w:r w:rsidRPr="00206628">
        <w:rPr>
          <w:sz w:val="24"/>
          <w:szCs w:val="24"/>
          <w:lang w:eastAsia="en-US"/>
        </w:rPr>
        <w:t>.</w:t>
      </w:r>
    </w:p>
    <w:bookmarkEnd w:id="1"/>
    <w:p w14:paraId="54F11446" w14:textId="4C71397C" w:rsidR="001F3694" w:rsidRPr="00206628" w:rsidRDefault="001F3694" w:rsidP="001F3694">
      <w:pPr>
        <w:pStyle w:val="tDefn"/>
        <w:ind w:left="0"/>
        <w:rPr>
          <w:sz w:val="24"/>
          <w:szCs w:val="24"/>
        </w:rPr>
      </w:pPr>
      <w:r w:rsidRPr="00206628">
        <w:rPr>
          <w:b/>
          <w:i/>
        </w:rPr>
        <w:t>T</w:t>
      </w:r>
      <w:r w:rsidRPr="00206628">
        <w:rPr>
          <w:rFonts w:eastAsiaTheme="minorHAnsi"/>
          <w:sz w:val="24"/>
          <w:szCs w:val="24"/>
          <w:lang w:eastAsia="en-US"/>
        </w:rPr>
        <w:t xml:space="preserve"> </w:t>
      </w:r>
      <w:r w:rsidRPr="00206628">
        <w:rPr>
          <w:sz w:val="24"/>
          <w:szCs w:val="24"/>
        </w:rPr>
        <w:t xml:space="preserve">is equal to 12 minus the number corresponding to the month of the year in which the entity lost the contract with the major customer, divided by 12. The value of “T” represents the period of time the entity operated without the contract with the major customer during the trigger assessment period. This is important, as only the portion of the assessment period the entity operated while supplying the major customer should be reduced. This ensures the entities are not required to support an MSO based on contracts they no longer are holding, </w:t>
      </w:r>
      <w:r w:rsidR="001B4F79" w:rsidRPr="00206628">
        <w:rPr>
          <w:sz w:val="24"/>
          <w:szCs w:val="24"/>
        </w:rPr>
        <w:t>whilst</w:t>
      </w:r>
      <w:r w:rsidRPr="00206628">
        <w:rPr>
          <w:sz w:val="24"/>
          <w:szCs w:val="24"/>
        </w:rPr>
        <w:t xml:space="preserve"> also ensuring only the appropriate portion of the contract is reduced as the importing volume for the assessment period would likely already partially reflect the loss of customer during the year. </w:t>
      </w:r>
    </w:p>
    <w:p w14:paraId="3FA3A96E" w14:textId="77777777" w:rsidR="001F3694" w:rsidRPr="00206628" w:rsidRDefault="001F3694" w:rsidP="001F3694">
      <w:pPr>
        <w:pStyle w:val="tDefn"/>
        <w:ind w:left="0"/>
        <w:rPr>
          <w:sz w:val="24"/>
          <w:szCs w:val="24"/>
        </w:rPr>
      </w:pPr>
      <w:r w:rsidRPr="00206628">
        <w:rPr>
          <w:sz w:val="24"/>
          <w:szCs w:val="24"/>
        </w:rPr>
        <w:t xml:space="preserve">The policy intent is that by calculating the reduction for the designated quantity in accordance with this provision, it would reflect the expected operations of the entity during the relevant period.  </w:t>
      </w:r>
    </w:p>
    <w:p w14:paraId="04A7BF4D" w14:textId="2EB734F9" w:rsidR="00B6668A" w:rsidRPr="00206628" w:rsidRDefault="00B6668A" w:rsidP="001F3694">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Subsection 22(3) prescribes the formula that should be used to calculate the amount by which the designated quantity of an MSO product that a refining entity is required to hold (as calculated in accordance with section 21) may be reduced, in the circumstances provided under subsection 22(1). This calculation should be done for each MSO product that has been impacted by those circumstances.</w:t>
      </w:r>
    </w:p>
    <w:p w14:paraId="32629463" w14:textId="7C12EB2F" w:rsidR="00B6668A" w:rsidRPr="00206628" w:rsidRDefault="00381747" w:rsidP="00B6668A">
      <w:pPr>
        <w:pStyle w:val="tDefn"/>
        <w:rPr>
          <w:sz w:val="28"/>
          <w:szCs w:val="28"/>
        </w:rPr>
      </w:pPr>
      <w:r>
        <w:rPr>
          <w:noProof/>
          <w:sz w:val="28"/>
          <w:szCs w:val="28"/>
        </w:rPr>
        <w:drawing>
          <wp:inline distT="0" distB="0" distL="0" distR="0" wp14:anchorId="68E30EFC" wp14:editId="7B38A1F7">
            <wp:extent cx="2085975" cy="552450"/>
            <wp:effectExtent l="0" t="0" r="9525" b="0"/>
            <wp:docPr id="5" name="Picture 5" descr="Cp equals TDRp times TRc over 365 times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p equals TDRp times TRc over 365 times T"/>
                    <pic:cNvPicPr/>
                  </pic:nvPicPr>
                  <pic:blipFill>
                    <a:blip r:embed="rId21">
                      <a:extLst>
                        <a:ext uri="{28A0092B-C50C-407E-A947-70E740481C1C}">
                          <a14:useLocalDpi xmlns:a14="http://schemas.microsoft.com/office/drawing/2010/main" val="0"/>
                        </a:ext>
                      </a:extLst>
                    </a:blip>
                    <a:stretch>
                      <a:fillRect/>
                    </a:stretch>
                  </pic:blipFill>
                  <pic:spPr>
                    <a:xfrm>
                      <a:off x="0" y="0"/>
                      <a:ext cx="2085975" cy="552450"/>
                    </a:xfrm>
                    <a:prstGeom prst="rect">
                      <a:avLst/>
                    </a:prstGeom>
                  </pic:spPr>
                </pic:pic>
              </a:graphicData>
            </a:graphic>
          </wp:inline>
        </w:drawing>
      </w:r>
    </w:p>
    <w:p w14:paraId="0AE36246" w14:textId="77777777" w:rsidR="00B6668A" w:rsidRPr="00206628" w:rsidRDefault="00B6668A" w:rsidP="00B6668A">
      <w:pPr>
        <w:spacing w:before="240" w:after="100" w:afterAutospacing="1"/>
        <w:rPr>
          <w:rFonts w:ascii="Times New Roman" w:hAnsi="Times New Roman" w:cs="Times New Roman"/>
          <w:sz w:val="24"/>
          <w:szCs w:val="24"/>
        </w:rPr>
      </w:pPr>
      <w:r w:rsidRPr="00206628">
        <w:rPr>
          <w:b/>
          <w:i/>
        </w:rPr>
        <w:t>C</w:t>
      </w:r>
      <w:r w:rsidRPr="00206628">
        <w:rPr>
          <w:b/>
          <w:i/>
          <w:vertAlign w:val="subscript"/>
        </w:rPr>
        <w:t xml:space="preserve">p </w:t>
      </w:r>
      <w:r w:rsidRPr="00206628">
        <w:rPr>
          <w:rFonts w:ascii="Times New Roman" w:hAnsi="Times New Roman" w:cs="Times New Roman"/>
          <w:sz w:val="24"/>
          <w:szCs w:val="24"/>
        </w:rPr>
        <w:t>is defined as the amount by which the designated quantity may be reduced for the MSO product p.</w:t>
      </w:r>
    </w:p>
    <w:p w14:paraId="503DD5C5" w14:textId="4577EFA6" w:rsidR="00B6668A" w:rsidRPr="00206628" w:rsidRDefault="00B6668A" w:rsidP="00B6668A">
      <w:pPr>
        <w:spacing w:before="240" w:after="100" w:afterAutospacing="1"/>
        <w:rPr>
          <w:rFonts w:ascii="Times New Roman" w:hAnsi="Times New Roman" w:cs="Times New Roman"/>
          <w:sz w:val="24"/>
          <w:szCs w:val="24"/>
        </w:rPr>
      </w:pPr>
      <w:r w:rsidRPr="00206628">
        <w:rPr>
          <w:b/>
          <w:i/>
        </w:rPr>
        <w:t>TDR</w:t>
      </w:r>
      <w:r w:rsidRPr="00206628">
        <w:rPr>
          <w:b/>
          <w:i/>
          <w:vertAlign w:val="subscript"/>
        </w:rPr>
        <w:t xml:space="preserve">p </w:t>
      </w:r>
      <w:r w:rsidRPr="00206628">
        <w:rPr>
          <w:rFonts w:ascii="Times New Roman" w:hAnsi="Times New Roman" w:cs="Times New Roman"/>
          <w:sz w:val="24"/>
          <w:szCs w:val="24"/>
        </w:rPr>
        <w:t xml:space="preserve">is defined as the target </w:t>
      </w:r>
      <w:r w:rsidR="00533E21" w:rsidRPr="00206628">
        <w:rPr>
          <w:rFonts w:ascii="Times New Roman" w:hAnsi="Times New Roman" w:cs="Times New Roman"/>
          <w:sz w:val="24"/>
          <w:szCs w:val="24"/>
        </w:rPr>
        <w:t xml:space="preserve">number of </w:t>
      </w:r>
      <w:r w:rsidRPr="00206628">
        <w:rPr>
          <w:rFonts w:ascii="Times New Roman" w:hAnsi="Times New Roman" w:cs="Times New Roman"/>
          <w:sz w:val="24"/>
          <w:szCs w:val="24"/>
        </w:rPr>
        <w:t xml:space="preserve">days declared by the Minister (under section 14 of the Act) for the activity of refining the specific MSO product. This provision specifies that the target </w:t>
      </w:r>
      <w:r w:rsidR="00533E21" w:rsidRPr="00206628">
        <w:rPr>
          <w:rFonts w:ascii="Times New Roman" w:hAnsi="Times New Roman" w:cs="Times New Roman"/>
          <w:sz w:val="24"/>
          <w:szCs w:val="24"/>
        </w:rPr>
        <w:t xml:space="preserve">number of </w:t>
      </w:r>
      <w:r w:rsidRPr="00206628">
        <w:rPr>
          <w:rFonts w:ascii="Times New Roman" w:hAnsi="Times New Roman" w:cs="Times New Roman"/>
          <w:sz w:val="24"/>
          <w:szCs w:val="24"/>
        </w:rPr>
        <w:t xml:space="preserve">days used must be the applicable days that will be relevant to the start of the period when the designated quantity will apply on each obligation day. </w:t>
      </w:r>
      <w:r w:rsidR="00A45817" w:rsidRPr="00206628">
        <w:rPr>
          <w:rFonts w:ascii="Times New Roman" w:hAnsi="Times New Roman" w:cs="Times New Roman"/>
          <w:sz w:val="24"/>
          <w:szCs w:val="24"/>
        </w:rPr>
        <w:t>Further explanatory notes for</w:t>
      </w:r>
      <w:r w:rsidR="00213364" w:rsidRPr="00206628">
        <w:rPr>
          <w:rFonts w:ascii="Times New Roman" w:hAnsi="Times New Roman" w:cs="Times New Roman"/>
          <w:sz w:val="24"/>
          <w:szCs w:val="24"/>
        </w:rPr>
        <w:t xml:space="preserve"> this term </w:t>
      </w:r>
      <w:r w:rsidR="00A45817" w:rsidRPr="00206628">
        <w:rPr>
          <w:rFonts w:ascii="Times New Roman" w:hAnsi="Times New Roman" w:cs="Times New Roman"/>
          <w:sz w:val="24"/>
          <w:szCs w:val="24"/>
        </w:rPr>
        <w:t xml:space="preserve">are provided </w:t>
      </w:r>
      <w:r w:rsidR="00213364" w:rsidRPr="00206628">
        <w:rPr>
          <w:rFonts w:ascii="Times New Roman" w:hAnsi="Times New Roman" w:cs="Times New Roman"/>
          <w:sz w:val="24"/>
          <w:szCs w:val="24"/>
        </w:rPr>
        <w:t>above in relation to subsection 21(2) of the Rules.</w:t>
      </w:r>
    </w:p>
    <w:p w14:paraId="6F3EC533" w14:textId="2531A02D" w:rsidR="001F3694" w:rsidRPr="00206628" w:rsidRDefault="001F3694" w:rsidP="001F3694">
      <w:pPr>
        <w:pStyle w:val="tDefn"/>
        <w:ind w:left="0"/>
        <w:rPr>
          <w:sz w:val="24"/>
          <w:szCs w:val="24"/>
          <w:lang w:eastAsia="en-US"/>
        </w:rPr>
      </w:pPr>
      <w:r w:rsidRPr="00206628">
        <w:rPr>
          <w:b/>
          <w:i/>
        </w:rPr>
        <w:t>TR</w:t>
      </w:r>
      <w:r w:rsidRPr="00206628">
        <w:rPr>
          <w:b/>
          <w:i/>
          <w:vertAlign w:val="subscript"/>
        </w:rPr>
        <w:t xml:space="preserve">c </w:t>
      </w:r>
      <w:r w:rsidRPr="00206628">
        <w:rPr>
          <w:sz w:val="24"/>
          <w:szCs w:val="24"/>
          <w:lang w:eastAsia="en-US"/>
        </w:rPr>
        <w:t xml:space="preserve">is the total amount of MSO product p that the entity would have refined during the assessment period for the purpose of the contract with the major customer that was lost, in </w:t>
      </w:r>
      <w:r w:rsidR="00302F17" w:rsidRPr="00206628">
        <w:rPr>
          <w:sz w:val="24"/>
          <w:szCs w:val="24"/>
          <w:lang w:eastAsia="en-US"/>
        </w:rPr>
        <w:t>ML</w:t>
      </w:r>
      <w:r w:rsidRPr="00206628">
        <w:rPr>
          <w:sz w:val="24"/>
          <w:szCs w:val="24"/>
          <w:lang w:eastAsia="en-US"/>
        </w:rPr>
        <w:t>.</w:t>
      </w:r>
    </w:p>
    <w:p w14:paraId="56201F2D" w14:textId="35CF99A1" w:rsidR="001F3694" w:rsidRPr="00206628" w:rsidRDefault="001F3694" w:rsidP="001F3694">
      <w:pPr>
        <w:pStyle w:val="tDefn"/>
        <w:ind w:left="0"/>
        <w:rPr>
          <w:sz w:val="24"/>
          <w:szCs w:val="24"/>
        </w:rPr>
      </w:pPr>
      <w:r w:rsidRPr="00206628">
        <w:rPr>
          <w:b/>
          <w:i/>
        </w:rPr>
        <w:t>T</w:t>
      </w:r>
      <w:r w:rsidRPr="00206628">
        <w:rPr>
          <w:rFonts w:eastAsiaTheme="minorHAnsi"/>
          <w:sz w:val="24"/>
          <w:szCs w:val="24"/>
          <w:lang w:eastAsia="en-US"/>
        </w:rPr>
        <w:t xml:space="preserve"> </w:t>
      </w:r>
      <w:r w:rsidRPr="00206628">
        <w:rPr>
          <w:sz w:val="24"/>
          <w:szCs w:val="24"/>
        </w:rPr>
        <w:t>is equal to 12 minus the number corresponding to the month of the year in which the entity lost the contract with the major customer, divided by 12.</w:t>
      </w:r>
      <w:r w:rsidR="00A45817" w:rsidRPr="00206628">
        <w:t xml:space="preserve"> </w:t>
      </w:r>
      <w:r w:rsidR="00A45817" w:rsidRPr="00206628">
        <w:rPr>
          <w:sz w:val="24"/>
          <w:szCs w:val="24"/>
        </w:rPr>
        <w:t>Further explanatory notes for this term are provided above in relation to subsection 22(1) of the Rules.</w:t>
      </w:r>
    </w:p>
    <w:p w14:paraId="2958DFAF" w14:textId="77777777" w:rsidR="001F3694" w:rsidRPr="00206628" w:rsidRDefault="001F3694" w:rsidP="001F3694">
      <w:pPr>
        <w:pStyle w:val="tDefn"/>
        <w:ind w:left="0"/>
        <w:rPr>
          <w:sz w:val="24"/>
          <w:szCs w:val="24"/>
        </w:rPr>
      </w:pPr>
      <w:r w:rsidRPr="00206628">
        <w:rPr>
          <w:sz w:val="24"/>
          <w:szCs w:val="24"/>
        </w:rPr>
        <w:lastRenderedPageBreak/>
        <w:t xml:space="preserve">The policy intent is that by calculating the reduction for the designated quantity in accordance with this provision, it would reflect the expected operations of the entity during the relevant period.  </w:t>
      </w:r>
    </w:p>
    <w:p w14:paraId="518A0A59" w14:textId="77777777" w:rsidR="00720698" w:rsidRPr="00206628" w:rsidRDefault="00720698" w:rsidP="004871DC">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22(4) </w:t>
      </w:r>
      <w:r w:rsidR="00B25D71" w:rsidRPr="00206628">
        <w:rPr>
          <w:rFonts w:ascii="Times New Roman" w:hAnsi="Times New Roman" w:cs="Times New Roman"/>
          <w:sz w:val="24"/>
          <w:szCs w:val="24"/>
        </w:rPr>
        <w:t xml:space="preserve">provides that where an entity loses more than one major customer for an MSO product during a trigger assessment period, the applicable calculations under subsections 22(2) and 22(3) should be made for each such customer lost during the period, and the totals added together to determine the total amount by which the designated quantity may be reduced for the MSO product (i.e. </w:t>
      </w:r>
      <w:r w:rsidR="00B24C39" w:rsidRPr="00206628">
        <w:rPr>
          <w:b/>
          <w:i/>
        </w:rPr>
        <w:t>C</w:t>
      </w:r>
      <w:r w:rsidR="00B24C39" w:rsidRPr="00206628">
        <w:rPr>
          <w:b/>
          <w:i/>
          <w:vertAlign w:val="subscript"/>
        </w:rPr>
        <w:t>p</w:t>
      </w:r>
      <w:r w:rsidR="00B24C39" w:rsidRPr="00206628">
        <w:rPr>
          <w:rFonts w:ascii="Times New Roman" w:hAnsi="Times New Roman" w:cs="Times New Roman"/>
          <w:sz w:val="24"/>
          <w:szCs w:val="24"/>
        </w:rPr>
        <w:t>)</w:t>
      </w:r>
      <w:r w:rsidR="00B6668A" w:rsidRPr="00206628">
        <w:rPr>
          <w:rFonts w:ascii="Times New Roman" w:hAnsi="Times New Roman" w:cs="Times New Roman"/>
          <w:sz w:val="24"/>
          <w:szCs w:val="24"/>
        </w:rPr>
        <w:t>.</w:t>
      </w:r>
    </w:p>
    <w:p w14:paraId="37BBE700" w14:textId="77777777" w:rsidR="00925804" w:rsidRPr="00206628" w:rsidRDefault="00925804" w:rsidP="00925804">
      <w:pPr>
        <w:spacing w:before="240" w:after="100" w:afterAutospacing="1"/>
        <w:rPr>
          <w:rFonts w:ascii="Times New Roman" w:hAnsi="Times New Roman" w:cs="Times New Roman"/>
          <w:sz w:val="24"/>
          <w:szCs w:val="24"/>
        </w:rPr>
      </w:pPr>
      <w:r w:rsidRPr="00206628">
        <w:rPr>
          <w:rFonts w:ascii="Times New Roman" w:hAnsi="Times New Roman" w:cs="Times New Roman"/>
          <w:b/>
          <w:sz w:val="24"/>
          <w:szCs w:val="24"/>
        </w:rPr>
        <w:t>Section 23 – Designated quantity – circumstances impacting MSO entity</w:t>
      </w:r>
      <w:r w:rsidR="00BE3CB9" w:rsidRPr="00206628">
        <w:rPr>
          <w:rFonts w:ascii="Times New Roman" w:hAnsi="Times New Roman" w:cs="Times New Roman"/>
          <w:b/>
          <w:sz w:val="24"/>
          <w:szCs w:val="24"/>
        </w:rPr>
        <w:t xml:space="preserve"> at commencement</w:t>
      </w:r>
      <w:r w:rsidRPr="00206628">
        <w:rPr>
          <w:rFonts w:ascii="Times New Roman" w:hAnsi="Times New Roman" w:cs="Times New Roman"/>
          <w:b/>
          <w:sz w:val="24"/>
          <w:szCs w:val="24"/>
        </w:rPr>
        <w:t xml:space="preserve"> </w:t>
      </w:r>
    </w:p>
    <w:p w14:paraId="2DC20B07" w14:textId="1DA078E7" w:rsidR="00DD52FB" w:rsidRPr="00206628" w:rsidRDefault="00DD52FB"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section prescribes</w:t>
      </w:r>
      <w:r w:rsidR="004871DC" w:rsidRPr="00206628">
        <w:rPr>
          <w:rFonts w:ascii="Times New Roman" w:hAnsi="Times New Roman" w:cs="Times New Roman"/>
          <w:sz w:val="24"/>
          <w:szCs w:val="24"/>
        </w:rPr>
        <w:t>,</w:t>
      </w:r>
      <w:r w:rsidR="00EA4880" w:rsidRPr="00206628">
        <w:rPr>
          <w:rFonts w:ascii="Times New Roman" w:hAnsi="Times New Roman" w:cs="Times New Roman"/>
          <w:sz w:val="24"/>
          <w:szCs w:val="24"/>
        </w:rPr>
        <w:t xml:space="preserve"> </w:t>
      </w:r>
      <w:r w:rsidR="004871DC" w:rsidRPr="00206628">
        <w:rPr>
          <w:rFonts w:ascii="Times New Roman" w:hAnsi="Times New Roman" w:cs="Times New Roman"/>
          <w:sz w:val="24"/>
          <w:szCs w:val="24"/>
        </w:rPr>
        <w:t xml:space="preserve">for subsection 18(6) of the Act, </w:t>
      </w:r>
      <w:r w:rsidR="00C92536" w:rsidRPr="00206628">
        <w:rPr>
          <w:rFonts w:ascii="Times New Roman" w:hAnsi="Times New Roman" w:cs="Times New Roman"/>
          <w:sz w:val="24"/>
          <w:szCs w:val="24"/>
        </w:rPr>
        <w:t xml:space="preserve">transitional arrangements </w:t>
      </w:r>
      <w:r w:rsidR="00A4769E" w:rsidRPr="00206628">
        <w:rPr>
          <w:rFonts w:ascii="Times New Roman" w:hAnsi="Times New Roman" w:cs="Times New Roman"/>
          <w:sz w:val="24"/>
          <w:szCs w:val="24"/>
        </w:rPr>
        <w:t>specif</w:t>
      </w:r>
      <w:r w:rsidR="00C92536" w:rsidRPr="00206628">
        <w:rPr>
          <w:rFonts w:ascii="Times New Roman" w:hAnsi="Times New Roman" w:cs="Times New Roman"/>
          <w:sz w:val="24"/>
          <w:szCs w:val="24"/>
        </w:rPr>
        <w:t>ying the</w:t>
      </w:r>
      <w:r w:rsidR="00A4769E" w:rsidRPr="00206628">
        <w:rPr>
          <w:rFonts w:ascii="Times New Roman" w:hAnsi="Times New Roman" w:cs="Times New Roman"/>
          <w:sz w:val="24"/>
          <w:szCs w:val="24"/>
        </w:rPr>
        <w:t xml:space="preserve"> circumstances in which the designated quantity of stocks of each MSO product an entit</w:t>
      </w:r>
      <w:r w:rsidR="00C92536" w:rsidRPr="00206628">
        <w:rPr>
          <w:rFonts w:ascii="Times New Roman" w:hAnsi="Times New Roman" w:cs="Times New Roman"/>
          <w:sz w:val="24"/>
          <w:szCs w:val="24"/>
        </w:rPr>
        <w:t>y must hold on obligation days (</w:t>
      </w:r>
      <w:r w:rsidR="00A4769E" w:rsidRPr="00206628">
        <w:rPr>
          <w:rFonts w:ascii="Times New Roman" w:hAnsi="Times New Roman" w:cs="Times New Roman"/>
          <w:sz w:val="24"/>
          <w:szCs w:val="24"/>
        </w:rPr>
        <w:t>as calculated under section 21 of the Rules</w:t>
      </w:r>
      <w:r w:rsidR="00C92536" w:rsidRPr="00206628">
        <w:rPr>
          <w:rFonts w:ascii="Times New Roman" w:hAnsi="Times New Roman" w:cs="Times New Roman"/>
          <w:sz w:val="24"/>
          <w:szCs w:val="24"/>
        </w:rPr>
        <w:t>)</w:t>
      </w:r>
      <w:r w:rsidR="00A4769E" w:rsidRPr="00206628">
        <w:rPr>
          <w:rFonts w:ascii="Times New Roman" w:hAnsi="Times New Roman" w:cs="Times New Roman"/>
          <w:sz w:val="24"/>
          <w:szCs w:val="24"/>
        </w:rPr>
        <w:t xml:space="preserve"> may be temporarily reduced, and the manner in which such temporary reduction must be calculated</w:t>
      </w:r>
      <w:r w:rsidR="00EA4880" w:rsidRPr="00206628">
        <w:rPr>
          <w:rFonts w:ascii="Times New Roman" w:hAnsi="Times New Roman" w:cs="Times New Roman"/>
          <w:sz w:val="24"/>
          <w:szCs w:val="24"/>
        </w:rPr>
        <w:t xml:space="preserve">. </w:t>
      </w:r>
    </w:p>
    <w:p w14:paraId="082DCED5" w14:textId="304AFC80" w:rsidR="00EA4880" w:rsidRPr="00206628" w:rsidRDefault="00D81ABE"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w:t>
      </w:r>
      <w:r w:rsidR="00A4769E" w:rsidRPr="00206628">
        <w:rPr>
          <w:rFonts w:ascii="Times New Roman" w:hAnsi="Times New Roman" w:cs="Times New Roman"/>
          <w:sz w:val="24"/>
          <w:szCs w:val="24"/>
        </w:rPr>
        <w:t>pecifically, s</w:t>
      </w:r>
      <w:r w:rsidRPr="00206628">
        <w:rPr>
          <w:rFonts w:ascii="Times New Roman" w:hAnsi="Times New Roman" w:cs="Times New Roman"/>
          <w:sz w:val="24"/>
          <w:szCs w:val="24"/>
        </w:rPr>
        <w:t xml:space="preserve">ubsection </w:t>
      </w:r>
      <w:r w:rsidR="00925804" w:rsidRPr="00206628">
        <w:rPr>
          <w:rFonts w:ascii="Times New Roman" w:hAnsi="Times New Roman" w:cs="Times New Roman"/>
          <w:sz w:val="24"/>
          <w:szCs w:val="24"/>
        </w:rPr>
        <w:t>23</w:t>
      </w:r>
      <w:r w:rsidR="00EA4880" w:rsidRPr="00206628">
        <w:rPr>
          <w:rFonts w:ascii="Times New Roman" w:hAnsi="Times New Roman" w:cs="Times New Roman"/>
          <w:sz w:val="24"/>
          <w:szCs w:val="24"/>
        </w:rPr>
        <w:t xml:space="preserve">(1) </w:t>
      </w:r>
      <w:r w:rsidR="00C20C04" w:rsidRPr="00206628">
        <w:rPr>
          <w:rFonts w:ascii="Times New Roman" w:hAnsi="Times New Roman" w:cs="Times New Roman"/>
          <w:sz w:val="24"/>
          <w:szCs w:val="24"/>
        </w:rPr>
        <w:t xml:space="preserve">of the Rules </w:t>
      </w:r>
      <w:r w:rsidR="00EA4880" w:rsidRPr="00206628">
        <w:rPr>
          <w:rFonts w:ascii="Times New Roman" w:hAnsi="Times New Roman" w:cs="Times New Roman"/>
          <w:sz w:val="24"/>
          <w:szCs w:val="24"/>
        </w:rPr>
        <w:t>sets out the requirements that must be satisfied before the Secretary can make a decision to</w:t>
      </w:r>
      <w:r w:rsidR="00A4769E" w:rsidRPr="00206628">
        <w:rPr>
          <w:rFonts w:ascii="Times New Roman" w:hAnsi="Times New Roman" w:cs="Times New Roman"/>
          <w:sz w:val="24"/>
          <w:szCs w:val="24"/>
        </w:rPr>
        <w:t xml:space="preserve"> temporarily</w:t>
      </w:r>
      <w:r w:rsidR="00EA4880" w:rsidRPr="00206628">
        <w:rPr>
          <w:rFonts w:ascii="Times New Roman" w:hAnsi="Times New Roman" w:cs="Times New Roman"/>
          <w:sz w:val="24"/>
          <w:szCs w:val="24"/>
        </w:rPr>
        <w:t xml:space="preserve"> reduce an entity’s MSO for an</w:t>
      </w:r>
      <w:r w:rsidR="00912D36" w:rsidRPr="00206628">
        <w:rPr>
          <w:rFonts w:ascii="Times New Roman" w:hAnsi="Times New Roman" w:cs="Times New Roman"/>
          <w:sz w:val="24"/>
          <w:szCs w:val="24"/>
        </w:rPr>
        <w:t>y</w:t>
      </w:r>
      <w:r w:rsidR="00EA4880" w:rsidRPr="00206628">
        <w:rPr>
          <w:rFonts w:ascii="Times New Roman" w:hAnsi="Times New Roman" w:cs="Times New Roman"/>
          <w:sz w:val="24"/>
          <w:szCs w:val="24"/>
        </w:rPr>
        <w:t xml:space="preserve"> MSO product</w:t>
      </w:r>
      <w:r w:rsidR="007D111F" w:rsidRPr="00206628">
        <w:rPr>
          <w:rFonts w:ascii="Times New Roman" w:hAnsi="Times New Roman" w:cs="Times New Roman"/>
          <w:sz w:val="24"/>
          <w:szCs w:val="24"/>
        </w:rPr>
        <w:t xml:space="preserve"> during the </w:t>
      </w:r>
      <w:r w:rsidR="00A4769E" w:rsidRPr="00206628">
        <w:rPr>
          <w:rFonts w:ascii="Times New Roman" w:hAnsi="Times New Roman" w:cs="Times New Roman"/>
          <w:sz w:val="24"/>
          <w:szCs w:val="24"/>
        </w:rPr>
        <w:t xml:space="preserve">transitional </w:t>
      </w:r>
      <w:r w:rsidR="007D111F" w:rsidRPr="00206628">
        <w:rPr>
          <w:rFonts w:ascii="Times New Roman" w:hAnsi="Times New Roman" w:cs="Times New Roman"/>
          <w:sz w:val="24"/>
          <w:szCs w:val="24"/>
        </w:rPr>
        <w:t>period in which the MSO scheme is being established</w:t>
      </w:r>
      <w:r w:rsidR="00EA4880" w:rsidRPr="00206628">
        <w:rPr>
          <w:rFonts w:ascii="Times New Roman" w:hAnsi="Times New Roman" w:cs="Times New Roman"/>
          <w:sz w:val="24"/>
          <w:szCs w:val="24"/>
        </w:rPr>
        <w:t xml:space="preserve">. </w:t>
      </w:r>
      <w:r w:rsidR="00BE24CB" w:rsidRPr="00206628">
        <w:rPr>
          <w:rFonts w:ascii="Times New Roman" w:hAnsi="Times New Roman" w:cs="Times New Roman"/>
          <w:sz w:val="24"/>
          <w:szCs w:val="24"/>
        </w:rPr>
        <w:t xml:space="preserve">In particular, all of the following </w:t>
      </w:r>
      <w:r w:rsidR="00A4769E" w:rsidRPr="00206628">
        <w:rPr>
          <w:rFonts w:ascii="Times New Roman" w:hAnsi="Times New Roman" w:cs="Times New Roman"/>
          <w:sz w:val="24"/>
          <w:szCs w:val="24"/>
        </w:rPr>
        <w:t xml:space="preserve">requirements </w:t>
      </w:r>
      <w:r w:rsidR="00BE24CB" w:rsidRPr="00206628">
        <w:rPr>
          <w:rFonts w:ascii="Times New Roman" w:hAnsi="Times New Roman" w:cs="Times New Roman"/>
          <w:sz w:val="24"/>
          <w:szCs w:val="24"/>
        </w:rPr>
        <w:t>need to be satisfied:</w:t>
      </w:r>
    </w:p>
    <w:p w14:paraId="60647933" w14:textId="0273D84C" w:rsidR="00BE24CB" w:rsidRPr="00206628" w:rsidRDefault="00BE24CB" w:rsidP="009C67B2">
      <w:pPr>
        <w:pStyle w:val="ListParagraph"/>
        <w:numPr>
          <w:ilvl w:val="0"/>
          <w:numId w:val="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w:t>
      </w:r>
      <w:r w:rsidR="00A4769E" w:rsidRPr="00206628">
        <w:rPr>
          <w:rFonts w:ascii="Times New Roman" w:hAnsi="Times New Roman" w:cs="Times New Roman"/>
          <w:sz w:val="24"/>
          <w:szCs w:val="24"/>
        </w:rPr>
        <w:t>temporary reduction of designated quantity</w:t>
      </w:r>
      <w:r w:rsidR="00C92536" w:rsidRPr="00206628">
        <w:rPr>
          <w:rFonts w:ascii="Times New Roman" w:hAnsi="Times New Roman" w:cs="Times New Roman"/>
          <w:sz w:val="24"/>
          <w:szCs w:val="24"/>
        </w:rPr>
        <w:t xml:space="preserve"> of product</w:t>
      </w:r>
      <w:r w:rsidR="00A4769E"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must only relate to the period before 1 </w:t>
      </w:r>
      <w:r w:rsidR="004F24F3" w:rsidRPr="00206628">
        <w:rPr>
          <w:rFonts w:ascii="Times New Roman" w:hAnsi="Times New Roman" w:cs="Times New Roman"/>
          <w:sz w:val="24"/>
          <w:szCs w:val="24"/>
        </w:rPr>
        <w:t>July 202</w:t>
      </w:r>
      <w:r w:rsidR="00B250A6" w:rsidRPr="00206628">
        <w:rPr>
          <w:rFonts w:ascii="Times New Roman" w:hAnsi="Times New Roman" w:cs="Times New Roman"/>
          <w:sz w:val="24"/>
          <w:szCs w:val="24"/>
        </w:rPr>
        <w:t>5</w:t>
      </w:r>
      <w:r w:rsidRPr="00206628">
        <w:rPr>
          <w:rFonts w:ascii="Times New Roman" w:hAnsi="Times New Roman" w:cs="Times New Roman"/>
          <w:sz w:val="24"/>
          <w:szCs w:val="24"/>
        </w:rPr>
        <w:t xml:space="preserve"> </w:t>
      </w:r>
      <w:r w:rsidR="00F02999" w:rsidRPr="00206628">
        <w:rPr>
          <w:rFonts w:ascii="Times New Roman" w:hAnsi="Times New Roman" w:cs="Times New Roman"/>
          <w:sz w:val="24"/>
          <w:szCs w:val="24"/>
        </w:rPr>
        <w:br/>
      </w:r>
      <w:r w:rsidRPr="00206628">
        <w:rPr>
          <w:rFonts w:ascii="Times New Roman" w:hAnsi="Times New Roman" w:cs="Times New Roman"/>
          <w:sz w:val="24"/>
          <w:szCs w:val="24"/>
        </w:rPr>
        <w:t>(paragraph (1)(a));</w:t>
      </w:r>
    </w:p>
    <w:p w14:paraId="098A7FBC" w14:textId="77777777" w:rsidR="00BE24CB" w:rsidRPr="00206628" w:rsidRDefault="00BE24CB" w:rsidP="009C67B2">
      <w:pPr>
        <w:pStyle w:val="ListParagraph"/>
        <w:numPr>
          <w:ilvl w:val="0"/>
          <w:numId w:val="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entity must have taken all reasonable steps since the commencement of the Rules to prepare for meeting the MSO </w:t>
      </w:r>
      <w:r w:rsidR="00A4769E" w:rsidRPr="00206628">
        <w:rPr>
          <w:rFonts w:ascii="Times New Roman" w:hAnsi="Times New Roman" w:cs="Times New Roman"/>
          <w:sz w:val="24"/>
          <w:szCs w:val="24"/>
        </w:rPr>
        <w:t xml:space="preserve">that would otherwise apply to them </w:t>
      </w:r>
      <w:r w:rsidRPr="00206628">
        <w:rPr>
          <w:rFonts w:ascii="Times New Roman" w:hAnsi="Times New Roman" w:cs="Times New Roman"/>
          <w:sz w:val="24"/>
          <w:szCs w:val="24"/>
        </w:rPr>
        <w:t>(paragraph (1)(b)). This would include investigating secondary market opportunities to bring the entity into compliance and considering storage capacity under the control of the entity;</w:t>
      </w:r>
    </w:p>
    <w:p w14:paraId="2152F97C" w14:textId="313D9648" w:rsidR="00BE24CB" w:rsidRPr="00206628" w:rsidRDefault="00A4769E" w:rsidP="00A4769E">
      <w:pPr>
        <w:pStyle w:val="ListParagraph"/>
        <w:numPr>
          <w:ilvl w:val="0"/>
          <w:numId w:val="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at the time of making an application for temporary reduction under section 17 of the Act, </w:t>
      </w:r>
      <w:r w:rsidR="00BE24CB" w:rsidRPr="00206628">
        <w:rPr>
          <w:rFonts w:ascii="Times New Roman" w:hAnsi="Times New Roman" w:cs="Times New Roman"/>
          <w:sz w:val="24"/>
          <w:szCs w:val="24"/>
        </w:rPr>
        <w:t xml:space="preserve">the entity’s storage capacity is insufficient to meet </w:t>
      </w:r>
      <w:r w:rsidR="001C3124" w:rsidRPr="00206628">
        <w:rPr>
          <w:rFonts w:ascii="Times New Roman" w:hAnsi="Times New Roman" w:cs="Times New Roman"/>
          <w:sz w:val="24"/>
          <w:szCs w:val="24"/>
        </w:rPr>
        <w:t xml:space="preserve">its </w:t>
      </w:r>
      <w:r w:rsidR="00BE24CB" w:rsidRPr="00206628">
        <w:rPr>
          <w:rFonts w:ascii="Times New Roman" w:hAnsi="Times New Roman" w:cs="Times New Roman"/>
          <w:sz w:val="24"/>
          <w:szCs w:val="24"/>
        </w:rPr>
        <w:t>MSO (subparagraph (1)(c)(i));</w:t>
      </w:r>
    </w:p>
    <w:p w14:paraId="0739C7A4" w14:textId="77777777" w:rsidR="00BE24CB" w:rsidRPr="00206628" w:rsidRDefault="00BE24CB" w:rsidP="009C67B2">
      <w:pPr>
        <w:pStyle w:val="ListParagraph"/>
        <w:numPr>
          <w:ilvl w:val="0"/>
          <w:numId w:val="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there are no cost effective options for the use of the secondary market to meet the MSO, verified by market testing (subparagraph (1)(c)(ii));</w:t>
      </w:r>
    </w:p>
    <w:p w14:paraId="4EAC9DE4" w14:textId="22BB0441" w:rsidR="00BE24CB" w:rsidRPr="00206628" w:rsidRDefault="00BE24CB" w:rsidP="009C67B2">
      <w:pPr>
        <w:pStyle w:val="ListParagraph"/>
        <w:numPr>
          <w:ilvl w:val="0"/>
          <w:numId w:val="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w:t>
      </w:r>
      <w:r w:rsidR="00C92536" w:rsidRPr="00206628">
        <w:rPr>
          <w:rFonts w:ascii="Times New Roman" w:hAnsi="Times New Roman" w:cs="Times New Roman"/>
          <w:sz w:val="24"/>
          <w:szCs w:val="24"/>
        </w:rPr>
        <w:t>entity’s</w:t>
      </w:r>
      <w:r w:rsidR="00A4769E" w:rsidRPr="00206628">
        <w:rPr>
          <w:rFonts w:ascii="Times New Roman" w:hAnsi="Times New Roman" w:cs="Times New Roman"/>
          <w:sz w:val="24"/>
          <w:szCs w:val="24"/>
        </w:rPr>
        <w:t xml:space="preserve"> </w:t>
      </w:r>
      <w:r w:rsidRPr="00206628">
        <w:rPr>
          <w:rFonts w:ascii="Times New Roman" w:hAnsi="Times New Roman" w:cs="Times New Roman"/>
          <w:sz w:val="24"/>
          <w:szCs w:val="24"/>
        </w:rPr>
        <w:t>MSO compliance plan provides a credible path to compliance within the next two years (paragraph (1)(d))</w:t>
      </w:r>
      <w:r w:rsidR="00D81ABE" w:rsidRPr="00206628">
        <w:rPr>
          <w:rFonts w:ascii="Times New Roman" w:hAnsi="Times New Roman" w:cs="Times New Roman"/>
          <w:sz w:val="24"/>
          <w:szCs w:val="24"/>
        </w:rPr>
        <w:t>;</w:t>
      </w:r>
    </w:p>
    <w:p w14:paraId="4F322053" w14:textId="77777777" w:rsidR="00BE24CB" w:rsidRPr="00206628" w:rsidRDefault="00BE24CB" w:rsidP="009C67B2">
      <w:pPr>
        <w:pStyle w:val="ListParagraph"/>
        <w:numPr>
          <w:ilvl w:val="0"/>
          <w:numId w:val="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sufficient evidence backs up the above (paragraph (1)(e)), including information about prices paid or offered for section 24 arrangements (paragraph (1)(f))</w:t>
      </w:r>
      <w:r w:rsidR="00D81ABE" w:rsidRPr="00206628">
        <w:rPr>
          <w:rFonts w:ascii="Times New Roman" w:hAnsi="Times New Roman" w:cs="Times New Roman"/>
          <w:sz w:val="24"/>
          <w:szCs w:val="24"/>
        </w:rPr>
        <w:t>;</w:t>
      </w:r>
    </w:p>
    <w:p w14:paraId="510EEA97" w14:textId="6676A064" w:rsidR="00BE24CB" w:rsidRPr="00206628" w:rsidRDefault="00BE24CB" w:rsidP="009C67B2">
      <w:pPr>
        <w:pStyle w:val="ListParagraph"/>
        <w:numPr>
          <w:ilvl w:val="0"/>
          <w:numId w:val="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application for </w:t>
      </w:r>
      <w:r w:rsidR="00A4769E" w:rsidRPr="00206628">
        <w:rPr>
          <w:rFonts w:ascii="Times New Roman" w:hAnsi="Times New Roman" w:cs="Times New Roman"/>
          <w:sz w:val="24"/>
          <w:szCs w:val="24"/>
        </w:rPr>
        <w:t xml:space="preserve">temporary reduction for </w:t>
      </w:r>
      <w:r w:rsidRPr="00206628">
        <w:rPr>
          <w:rFonts w:ascii="Times New Roman" w:hAnsi="Times New Roman" w:cs="Times New Roman"/>
          <w:sz w:val="24"/>
          <w:szCs w:val="24"/>
        </w:rPr>
        <w:t xml:space="preserve">the first financial year </w:t>
      </w:r>
      <w:r w:rsidR="007D111F" w:rsidRPr="00206628">
        <w:rPr>
          <w:rFonts w:ascii="Times New Roman" w:hAnsi="Times New Roman" w:cs="Times New Roman"/>
          <w:sz w:val="24"/>
          <w:szCs w:val="24"/>
        </w:rPr>
        <w:t xml:space="preserve">is </w:t>
      </w:r>
      <w:r w:rsidRPr="00206628">
        <w:rPr>
          <w:rFonts w:ascii="Times New Roman" w:hAnsi="Times New Roman" w:cs="Times New Roman"/>
          <w:sz w:val="24"/>
          <w:szCs w:val="24"/>
        </w:rPr>
        <w:t xml:space="preserve">submitted by </w:t>
      </w:r>
      <w:r w:rsidR="00AF5B3E" w:rsidRPr="00206628">
        <w:rPr>
          <w:rFonts w:ascii="Times New Roman" w:hAnsi="Times New Roman" w:cs="Times New Roman"/>
          <w:sz w:val="24"/>
          <w:szCs w:val="24"/>
        </w:rPr>
        <w:t>28 February 2023</w:t>
      </w:r>
      <w:r w:rsidRPr="00206628">
        <w:rPr>
          <w:rFonts w:ascii="Times New Roman" w:hAnsi="Times New Roman" w:cs="Times New Roman"/>
          <w:sz w:val="24"/>
          <w:szCs w:val="24"/>
        </w:rPr>
        <w:t xml:space="preserve"> and applications for the period from 1 July 202</w:t>
      </w:r>
      <w:r w:rsidR="00A864EA" w:rsidRPr="00206628">
        <w:rPr>
          <w:rFonts w:ascii="Times New Roman" w:hAnsi="Times New Roman" w:cs="Times New Roman"/>
          <w:sz w:val="24"/>
          <w:szCs w:val="24"/>
        </w:rPr>
        <w:t>4</w:t>
      </w:r>
      <w:r w:rsidRPr="00206628">
        <w:rPr>
          <w:rFonts w:ascii="Times New Roman" w:hAnsi="Times New Roman" w:cs="Times New Roman"/>
          <w:sz w:val="24"/>
          <w:szCs w:val="24"/>
        </w:rPr>
        <w:t xml:space="preserve"> </w:t>
      </w:r>
      <w:r w:rsidR="00835BEA" w:rsidRPr="00206628">
        <w:rPr>
          <w:rFonts w:ascii="Times New Roman" w:hAnsi="Times New Roman" w:cs="Times New Roman"/>
          <w:sz w:val="24"/>
          <w:szCs w:val="24"/>
        </w:rPr>
        <w:t xml:space="preserve">are </w:t>
      </w:r>
      <w:r w:rsidRPr="00206628">
        <w:rPr>
          <w:rFonts w:ascii="Times New Roman" w:hAnsi="Times New Roman" w:cs="Times New Roman"/>
          <w:sz w:val="24"/>
          <w:szCs w:val="24"/>
        </w:rPr>
        <w:t xml:space="preserve">submitted with the </w:t>
      </w:r>
      <w:r w:rsidR="00C92536" w:rsidRPr="00206628">
        <w:rPr>
          <w:rFonts w:ascii="Times New Roman" w:hAnsi="Times New Roman" w:cs="Times New Roman"/>
          <w:sz w:val="24"/>
          <w:szCs w:val="24"/>
        </w:rPr>
        <w:t xml:space="preserve">entity’s </w:t>
      </w:r>
      <w:r w:rsidRPr="00206628">
        <w:rPr>
          <w:rFonts w:ascii="Times New Roman" w:hAnsi="Times New Roman" w:cs="Times New Roman"/>
          <w:sz w:val="24"/>
          <w:szCs w:val="24"/>
        </w:rPr>
        <w:t>advice for subsection 16(1) of the Act (paragraphs (1)(g) and (h)</w:t>
      </w:r>
      <w:r w:rsidR="004F24F3" w:rsidRPr="00206628">
        <w:rPr>
          <w:rFonts w:ascii="Times New Roman" w:hAnsi="Times New Roman" w:cs="Times New Roman"/>
          <w:sz w:val="24"/>
          <w:szCs w:val="24"/>
        </w:rPr>
        <w:t>)</w:t>
      </w:r>
      <w:r w:rsidRPr="00206628">
        <w:rPr>
          <w:rFonts w:ascii="Times New Roman" w:hAnsi="Times New Roman" w:cs="Times New Roman"/>
          <w:sz w:val="24"/>
          <w:szCs w:val="24"/>
        </w:rPr>
        <w:t xml:space="preserve">. </w:t>
      </w:r>
    </w:p>
    <w:p w14:paraId="444A85E9" w14:textId="77777777" w:rsidR="00D81ABE" w:rsidRPr="00206628" w:rsidRDefault="00D81ABE" w:rsidP="00D81ABE">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These tests ensure that the reductions in the MSO are only provided to entities that have done everything they could to comply, but have limited options as the market is developing. These </w:t>
      </w:r>
      <w:r w:rsidRPr="00E534E8">
        <w:rPr>
          <w:rFonts w:ascii="Times New Roman" w:hAnsi="Times New Roman" w:cs="Times New Roman"/>
          <w:sz w:val="24"/>
          <w:szCs w:val="24"/>
        </w:rPr>
        <w:lastRenderedPageBreak/>
        <w:t>are transitional arrangements only and it is expected that the entities will make necessary investments</w:t>
      </w:r>
      <w:r w:rsidRPr="00206628">
        <w:rPr>
          <w:rFonts w:ascii="Times New Roman" w:hAnsi="Times New Roman" w:cs="Times New Roman"/>
          <w:sz w:val="24"/>
          <w:szCs w:val="24"/>
        </w:rPr>
        <w:t xml:space="preserve"> or contractual arrangements to bring themselves into compliance. </w:t>
      </w:r>
    </w:p>
    <w:p w14:paraId="7A001A6D" w14:textId="1285716A" w:rsidR="00C92536" w:rsidRPr="00206628" w:rsidRDefault="00D81ABE" w:rsidP="00D81ABE">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C92536" w:rsidRPr="00206628">
        <w:rPr>
          <w:rFonts w:ascii="Times New Roman" w:hAnsi="Times New Roman" w:cs="Times New Roman"/>
          <w:sz w:val="24"/>
          <w:szCs w:val="24"/>
        </w:rPr>
        <w:t>23</w:t>
      </w:r>
      <w:r w:rsidRPr="00206628">
        <w:rPr>
          <w:rFonts w:ascii="Times New Roman" w:hAnsi="Times New Roman" w:cs="Times New Roman"/>
          <w:sz w:val="24"/>
          <w:szCs w:val="24"/>
        </w:rPr>
        <w:t xml:space="preserve">(2) caps the possible </w:t>
      </w:r>
      <w:r w:rsidR="00C92536" w:rsidRPr="00206628">
        <w:rPr>
          <w:rFonts w:ascii="Times New Roman" w:hAnsi="Times New Roman" w:cs="Times New Roman"/>
          <w:sz w:val="24"/>
          <w:szCs w:val="24"/>
        </w:rPr>
        <w:t xml:space="preserve">temporary </w:t>
      </w:r>
      <w:r w:rsidRPr="00206628">
        <w:rPr>
          <w:rFonts w:ascii="Times New Roman" w:hAnsi="Times New Roman" w:cs="Times New Roman"/>
          <w:sz w:val="24"/>
          <w:szCs w:val="24"/>
        </w:rPr>
        <w:t>reduction</w:t>
      </w:r>
      <w:r w:rsidR="00C92536" w:rsidRPr="00206628">
        <w:rPr>
          <w:rFonts w:ascii="Times New Roman" w:hAnsi="Times New Roman" w:cs="Times New Roman"/>
          <w:sz w:val="24"/>
          <w:szCs w:val="24"/>
        </w:rPr>
        <w:t xml:space="preserve"> amount</w:t>
      </w:r>
      <w:r w:rsidRPr="00206628">
        <w:rPr>
          <w:rFonts w:ascii="Times New Roman" w:hAnsi="Times New Roman" w:cs="Times New Roman"/>
          <w:sz w:val="24"/>
          <w:szCs w:val="24"/>
        </w:rPr>
        <w:t xml:space="preserve"> that the Secretary may decide to grant, taking into account all of the relevant circumstances. </w:t>
      </w:r>
      <w:r w:rsidR="00C92536" w:rsidRPr="00206628">
        <w:rPr>
          <w:rFonts w:ascii="Times New Roman" w:hAnsi="Times New Roman" w:cs="Times New Roman"/>
          <w:sz w:val="24"/>
          <w:szCs w:val="24"/>
        </w:rPr>
        <w:t xml:space="preserve">Where the Secretary is satisfied the entity is committed to </w:t>
      </w:r>
      <w:r w:rsidR="00677B8F" w:rsidRPr="00206628">
        <w:rPr>
          <w:rFonts w:ascii="Times New Roman" w:hAnsi="Times New Roman" w:cs="Times New Roman"/>
          <w:sz w:val="24"/>
          <w:szCs w:val="24"/>
        </w:rPr>
        <w:t>constructing</w:t>
      </w:r>
      <w:r w:rsidR="00C92536" w:rsidRPr="00206628">
        <w:rPr>
          <w:rFonts w:ascii="Times New Roman" w:hAnsi="Times New Roman" w:cs="Times New Roman"/>
          <w:sz w:val="24"/>
          <w:szCs w:val="24"/>
        </w:rPr>
        <w:t xml:space="preserve"> additional storage infrastructure for MSO products that will enable the entity to comply with their MSO </w:t>
      </w:r>
      <w:r w:rsidR="001C3124" w:rsidRPr="00206628">
        <w:rPr>
          <w:rFonts w:ascii="Times New Roman" w:hAnsi="Times New Roman" w:cs="Times New Roman"/>
          <w:sz w:val="24"/>
          <w:szCs w:val="24"/>
        </w:rPr>
        <w:t>in future, so that such works will be substantively completed by 1 July 2025</w:t>
      </w:r>
      <w:r w:rsidR="00C92536" w:rsidRPr="00206628">
        <w:rPr>
          <w:rFonts w:ascii="Times New Roman" w:hAnsi="Times New Roman" w:cs="Times New Roman"/>
          <w:sz w:val="24"/>
          <w:szCs w:val="24"/>
        </w:rPr>
        <w:t xml:space="preserve">, the </w:t>
      </w:r>
      <w:r w:rsidRPr="00206628">
        <w:rPr>
          <w:rFonts w:ascii="Times New Roman" w:hAnsi="Times New Roman" w:cs="Times New Roman"/>
          <w:sz w:val="24"/>
          <w:szCs w:val="24"/>
        </w:rPr>
        <w:t xml:space="preserve">relevant cap is </w:t>
      </w:r>
      <w:r w:rsidR="00C92536" w:rsidRPr="00206628">
        <w:rPr>
          <w:rFonts w:ascii="Times New Roman" w:hAnsi="Times New Roman" w:cs="Times New Roman"/>
          <w:sz w:val="24"/>
          <w:szCs w:val="24"/>
        </w:rPr>
        <w:t>25% of the designated quantity for the MSO product calculated under section 21 of the Rules, rounded to the nearest megalitre.</w:t>
      </w:r>
      <w:r w:rsidR="00E104BE" w:rsidRPr="00206628">
        <w:t xml:space="preserve"> </w:t>
      </w:r>
      <w:r w:rsidR="00E104BE" w:rsidRPr="00206628">
        <w:rPr>
          <w:rFonts w:ascii="Times New Roman" w:hAnsi="Times New Roman" w:cs="Times New Roman"/>
          <w:sz w:val="24"/>
          <w:szCs w:val="24"/>
        </w:rPr>
        <w:t>This will require the entity to provide evidence of their capital investment relating to building or upgrading storage infrastructure, and that their MSO compliance is dependent on these works being completed</w:t>
      </w:r>
      <w:r w:rsidR="001C3124" w:rsidRPr="00206628">
        <w:rPr>
          <w:rFonts w:ascii="Times New Roman" w:hAnsi="Times New Roman" w:cs="Times New Roman"/>
          <w:sz w:val="24"/>
          <w:szCs w:val="24"/>
        </w:rPr>
        <w:t>.</w:t>
      </w:r>
    </w:p>
    <w:p w14:paraId="7102BF2E" w14:textId="47674579" w:rsidR="00C92536" w:rsidRPr="00206628" w:rsidRDefault="00C92536" w:rsidP="00D81ABE">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In all other circumstances where subsection 23(1) applies, the temporary reduction amount </w:t>
      </w:r>
      <w:r w:rsidR="00206628" w:rsidRPr="00206628">
        <w:rPr>
          <w:rFonts w:ascii="Times New Roman" w:hAnsi="Times New Roman" w:cs="Times New Roman"/>
          <w:sz w:val="24"/>
          <w:szCs w:val="24"/>
        </w:rPr>
        <w:t>is the</w:t>
      </w:r>
      <w:r w:rsidR="00D81ABE" w:rsidRPr="00206628">
        <w:rPr>
          <w:rFonts w:ascii="Times New Roman" w:hAnsi="Times New Roman" w:cs="Times New Roman"/>
          <w:sz w:val="24"/>
          <w:szCs w:val="24"/>
        </w:rPr>
        <w:t xml:space="preserve"> lesser of </w:t>
      </w:r>
      <w:r w:rsidR="00912D36" w:rsidRPr="00206628">
        <w:rPr>
          <w:rFonts w:ascii="Times New Roman" w:hAnsi="Times New Roman" w:cs="Times New Roman"/>
          <w:sz w:val="24"/>
          <w:szCs w:val="24"/>
        </w:rPr>
        <w:t xml:space="preserve">either </w:t>
      </w:r>
      <w:r w:rsidR="002F3547" w:rsidRPr="00206628">
        <w:rPr>
          <w:rFonts w:ascii="Times New Roman" w:hAnsi="Times New Roman" w:cs="Times New Roman"/>
          <w:sz w:val="24"/>
          <w:szCs w:val="24"/>
        </w:rPr>
        <w:t>25</w:t>
      </w:r>
      <w:r w:rsidR="00D81ABE" w:rsidRPr="00206628">
        <w:rPr>
          <w:rFonts w:ascii="Times New Roman" w:hAnsi="Times New Roman" w:cs="Times New Roman"/>
          <w:sz w:val="24"/>
          <w:szCs w:val="24"/>
        </w:rPr>
        <w:t>% of the amount that would otherwise be the designated quantity</w:t>
      </w:r>
      <w:r w:rsidRPr="00206628">
        <w:rPr>
          <w:rFonts w:ascii="Times New Roman" w:hAnsi="Times New Roman" w:cs="Times New Roman"/>
          <w:sz w:val="24"/>
          <w:szCs w:val="24"/>
        </w:rPr>
        <w:t xml:space="preserve"> for the product (rounded to the nearest ML)</w:t>
      </w:r>
      <w:r w:rsidR="00912D36" w:rsidRPr="00206628">
        <w:rPr>
          <w:rFonts w:ascii="Times New Roman" w:hAnsi="Times New Roman" w:cs="Times New Roman"/>
          <w:sz w:val="24"/>
          <w:szCs w:val="24"/>
        </w:rPr>
        <w:t>,</w:t>
      </w:r>
      <w:r w:rsidR="00D81ABE" w:rsidRPr="00206628">
        <w:rPr>
          <w:rFonts w:ascii="Times New Roman" w:hAnsi="Times New Roman" w:cs="Times New Roman"/>
          <w:sz w:val="24"/>
          <w:szCs w:val="24"/>
        </w:rPr>
        <w:t xml:space="preserve"> </w:t>
      </w:r>
      <w:r w:rsidR="00912D36" w:rsidRPr="00206628">
        <w:rPr>
          <w:rFonts w:ascii="Times New Roman" w:hAnsi="Times New Roman" w:cs="Times New Roman"/>
          <w:sz w:val="24"/>
          <w:szCs w:val="24"/>
        </w:rPr>
        <w:t>or</w:t>
      </w:r>
      <w:r w:rsidR="00D81ABE" w:rsidRPr="00206628">
        <w:rPr>
          <w:rFonts w:ascii="Times New Roman" w:hAnsi="Times New Roman" w:cs="Times New Roman"/>
          <w:sz w:val="24"/>
          <w:szCs w:val="24"/>
        </w:rPr>
        <w:t xml:space="preserve"> 15ML. For example</w:t>
      </w:r>
      <w:r w:rsidRPr="00206628">
        <w:rPr>
          <w:rFonts w:ascii="Times New Roman" w:hAnsi="Times New Roman" w:cs="Times New Roman"/>
          <w:sz w:val="24"/>
          <w:szCs w:val="24"/>
        </w:rPr>
        <w:t>:</w:t>
      </w:r>
    </w:p>
    <w:p w14:paraId="116D4405" w14:textId="114FCA70" w:rsidR="00C92536" w:rsidRPr="00206628" w:rsidRDefault="009A19B8" w:rsidP="0037564F">
      <w:pPr>
        <w:pStyle w:val="ListParagraph"/>
        <w:numPr>
          <w:ilvl w:val="0"/>
          <w:numId w:val="55"/>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If </w:t>
      </w:r>
      <w:r w:rsidR="00D81ABE" w:rsidRPr="00206628">
        <w:rPr>
          <w:rFonts w:ascii="Times New Roman" w:hAnsi="Times New Roman" w:cs="Times New Roman"/>
          <w:sz w:val="24"/>
          <w:szCs w:val="24"/>
        </w:rPr>
        <w:t xml:space="preserve">the designated quantity for diesel under section 21 </w:t>
      </w:r>
      <w:r w:rsidR="004F24F3" w:rsidRPr="00206628">
        <w:rPr>
          <w:rFonts w:ascii="Times New Roman" w:hAnsi="Times New Roman" w:cs="Times New Roman"/>
          <w:sz w:val="24"/>
          <w:szCs w:val="24"/>
        </w:rPr>
        <w:t xml:space="preserve">of the Rules </w:t>
      </w:r>
      <w:r w:rsidR="00D81ABE" w:rsidRPr="00206628">
        <w:rPr>
          <w:rFonts w:ascii="Times New Roman" w:hAnsi="Times New Roman" w:cs="Times New Roman"/>
          <w:sz w:val="24"/>
          <w:szCs w:val="24"/>
        </w:rPr>
        <w:t xml:space="preserve">would be 100ML, </w:t>
      </w:r>
      <w:r w:rsidR="00A43DF3" w:rsidRPr="00206628">
        <w:rPr>
          <w:rFonts w:ascii="Times New Roman" w:hAnsi="Times New Roman" w:cs="Times New Roman"/>
          <w:sz w:val="24"/>
          <w:szCs w:val="24"/>
        </w:rPr>
        <w:t>25% of that amount would be 25</w:t>
      </w:r>
      <w:r w:rsidR="00D81ABE" w:rsidRPr="00206628">
        <w:rPr>
          <w:rFonts w:ascii="Times New Roman" w:hAnsi="Times New Roman" w:cs="Times New Roman"/>
          <w:sz w:val="24"/>
          <w:szCs w:val="24"/>
        </w:rPr>
        <w:t xml:space="preserve">ML and so the reduction would be capped at </w:t>
      </w:r>
      <w:r w:rsidR="00C92536" w:rsidRPr="00206628">
        <w:rPr>
          <w:rFonts w:ascii="Times New Roman" w:hAnsi="Times New Roman" w:cs="Times New Roman"/>
          <w:sz w:val="24"/>
          <w:szCs w:val="24"/>
        </w:rPr>
        <w:t xml:space="preserve">the lesser amount of </w:t>
      </w:r>
      <w:r w:rsidR="00D81ABE" w:rsidRPr="00206628">
        <w:rPr>
          <w:rFonts w:ascii="Times New Roman" w:hAnsi="Times New Roman" w:cs="Times New Roman"/>
          <w:sz w:val="24"/>
          <w:szCs w:val="24"/>
        </w:rPr>
        <w:t xml:space="preserve">15ML. </w:t>
      </w:r>
    </w:p>
    <w:p w14:paraId="27D7347B" w14:textId="3D15DEB0" w:rsidR="00C92536" w:rsidRPr="00206628" w:rsidRDefault="00D81ABE" w:rsidP="0037564F">
      <w:pPr>
        <w:pStyle w:val="ListParagraph"/>
        <w:numPr>
          <w:ilvl w:val="0"/>
          <w:numId w:val="55"/>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If the designated quantity </w:t>
      </w:r>
      <w:r w:rsidR="00C92536" w:rsidRPr="00206628">
        <w:rPr>
          <w:rFonts w:ascii="Times New Roman" w:hAnsi="Times New Roman" w:cs="Times New Roman"/>
          <w:sz w:val="24"/>
          <w:szCs w:val="24"/>
        </w:rPr>
        <w:t xml:space="preserve">for diesel </w:t>
      </w:r>
      <w:r w:rsidRPr="00206628">
        <w:rPr>
          <w:rFonts w:ascii="Times New Roman" w:hAnsi="Times New Roman" w:cs="Times New Roman"/>
          <w:sz w:val="24"/>
          <w:szCs w:val="24"/>
        </w:rPr>
        <w:t xml:space="preserve">was 50ML, the reduction would be capped at </w:t>
      </w:r>
      <w:r w:rsidR="00C92536" w:rsidRPr="00206628">
        <w:rPr>
          <w:rFonts w:ascii="Times New Roman" w:hAnsi="Times New Roman" w:cs="Times New Roman"/>
          <w:sz w:val="24"/>
          <w:szCs w:val="24"/>
        </w:rPr>
        <w:t>the lesser amount of 1</w:t>
      </w:r>
      <w:r w:rsidR="00E104BE" w:rsidRPr="00206628">
        <w:rPr>
          <w:rFonts w:ascii="Times New Roman" w:hAnsi="Times New Roman" w:cs="Times New Roman"/>
          <w:sz w:val="24"/>
          <w:szCs w:val="24"/>
        </w:rPr>
        <w:t>3</w:t>
      </w:r>
      <w:r w:rsidR="00C92536" w:rsidRPr="00206628">
        <w:rPr>
          <w:rFonts w:ascii="Times New Roman" w:hAnsi="Times New Roman" w:cs="Times New Roman"/>
          <w:sz w:val="24"/>
          <w:szCs w:val="24"/>
        </w:rPr>
        <w:t>ML (i.e. 25 % of 50ML rounded to the nearest ML)</w:t>
      </w:r>
      <w:r w:rsidRPr="00206628">
        <w:rPr>
          <w:rFonts w:ascii="Times New Roman" w:hAnsi="Times New Roman" w:cs="Times New Roman"/>
          <w:sz w:val="24"/>
          <w:szCs w:val="24"/>
        </w:rPr>
        <w:t xml:space="preserve">. </w:t>
      </w:r>
    </w:p>
    <w:p w14:paraId="0E229285" w14:textId="0B0CE207" w:rsidR="00970C8B" w:rsidRPr="00206628" w:rsidRDefault="00D81ABE" w:rsidP="00B24117">
      <w:pPr>
        <w:spacing w:before="240" w:after="100" w:afterAutospacing="1"/>
        <w:rPr>
          <w:rFonts w:ascii="Times New Roman" w:hAnsi="Times New Roman" w:cs="Times New Roman"/>
          <w:b/>
          <w:sz w:val="24"/>
          <w:szCs w:val="24"/>
        </w:rPr>
      </w:pPr>
      <w:r w:rsidRPr="00206628">
        <w:rPr>
          <w:rFonts w:ascii="Times New Roman" w:hAnsi="Times New Roman" w:cs="Times New Roman"/>
          <w:sz w:val="24"/>
          <w:szCs w:val="24"/>
        </w:rPr>
        <w:t xml:space="preserve">The relevant cap is determined for each MSO product separately. </w:t>
      </w:r>
    </w:p>
    <w:p w14:paraId="5F5BBBC0" w14:textId="44377892" w:rsidR="00DD52FB" w:rsidRPr="00206628" w:rsidRDefault="00DD52FB" w:rsidP="00B24117">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S</w:t>
      </w:r>
      <w:r w:rsidR="00910835" w:rsidRPr="00206628">
        <w:rPr>
          <w:rFonts w:ascii="Times New Roman" w:hAnsi="Times New Roman" w:cs="Times New Roman"/>
          <w:b/>
          <w:sz w:val="24"/>
          <w:szCs w:val="24"/>
        </w:rPr>
        <w:t xml:space="preserve">ection </w:t>
      </w:r>
      <w:r w:rsidR="00BE3CB9" w:rsidRPr="00206628">
        <w:rPr>
          <w:rFonts w:ascii="Times New Roman" w:hAnsi="Times New Roman" w:cs="Times New Roman"/>
          <w:b/>
          <w:sz w:val="24"/>
          <w:szCs w:val="24"/>
        </w:rPr>
        <w:t xml:space="preserve">24 </w:t>
      </w:r>
      <w:r w:rsidRPr="00206628">
        <w:rPr>
          <w:rFonts w:ascii="Times New Roman" w:hAnsi="Times New Roman" w:cs="Times New Roman"/>
          <w:b/>
          <w:sz w:val="24"/>
          <w:szCs w:val="24"/>
        </w:rPr>
        <w:t xml:space="preserve">– Designated quantity – </w:t>
      </w:r>
      <w:r w:rsidR="001F3694" w:rsidRPr="00206628">
        <w:rPr>
          <w:rFonts w:ascii="Times New Roman" w:hAnsi="Times New Roman" w:cs="Times New Roman"/>
          <w:b/>
          <w:sz w:val="24"/>
          <w:szCs w:val="24"/>
        </w:rPr>
        <w:t xml:space="preserve">entity </w:t>
      </w:r>
      <w:r w:rsidRPr="00206628">
        <w:rPr>
          <w:rFonts w:ascii="Times New Roman" w:hAnsi="Times New Roman" w:cs="Times New Roman"/>
          <w:b/>
          <w:sz w:val="24"/>
          <w:szCs w:val="24"/>
        </w:rPr>
        <w:t>consistently below threshold</w:t>
      </w:r>
    </w:p>
    <w:p w14:paraId="5D3EA0DF" w14:textId="77777777" w:rsidR="00540AF7" w:rsidRPr="00206628" w:rsidRDefault="00D81ABE" w:rsidP="00B24117">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section prescribes a circumstance where an entity is consistently below the thresholds in subsection 17(1) or (2) </w:t>
      </w:r>
      <w:r w:rsidR="00835BEA" w:rsidRPr="00206628">
        <w:rPr>
          <w:rFonts w:ascii="Times New Roman" w:hAnsi="Times New Roman" w:cs="Times New Roman"/>
          <w:sz w:val="24"/>
          <w:szCs w:val="24"/>
        </w:rPr>
        <w:t xml:space="preserve">of the Rules </w:t>
      </w:r>
      <w:r w:rsidRPr="00206628">
        <w:rPr>
          <w:rFonts w:ascii="Times New Roman" w:hAnsi="Times New Roman" w:cs="Times New Roman"/>
          <w:sz w:val="24"/>
          <w:szCs w:val="24"/>
        </w:rPr>
        <w:t xml:space="preserve">for 3 previous calendar years such that the designated amount can be set at zero. This caters for circumstances where section 11 of the Act does not apply because the entity has not permanently or indefinitely ceased the MSO activity. </w:t>
      </w:r>
      <w:r w:rsidR="00540AF7" w:rsidRPr="00206628">
        <w:rPr>
          <w:rFonts w:ascii="Times New Roman" w:hAnsi="Times New Roman" w:cs="Times New Roman"/>
          <w:sz w:val="24"/>
          <w:szCs w:val="24"/>
        </w:rPr>
        <w:t>It recognises that if new entities operated at the same levels they would not trigger the MSO, but also avoids entities moving in and out of the MSO for temporary changes in activity.</w:t>
      </w:r>
    </w:p>
    <w:p w14:paraId="46AE68F9" w14:textId="5A961D3D" w:rsidR="00DD52FB" w:rsidRPr="00206628" w:rsidRDefault="004C5614" w:rsidP="00B24117">
      <w:pPr>
        <w:spacing w:before="240" w:after="100" w:afterAutospacing="1"/>
        <w:rPr>
          <w:rFonts w:ascii="Times New Roman" w:hAnsi="Times New Roman" w:cs="Times New Roman"/>
          <w:color w:val="5B9BD5" w:themeColor="accent1"/>
          <w:sz w:val="24"/>
          <w:szCs w:val="24"/>
        </w:rPr>
      </w:pPr>
      <w:r w:rsidRPr="00206628">
        <w:rPr>
          <w:rFonts w:ascii="Times New Roman" w:hAnsi="Times New Roman" w:cs="Times New Roman"/>
          <w:sz w:val="24"/>
          <w:szCs w:val="24"/>
        </w:rPr>
        <w:t>For example, if the 2021, 2022 and 2023</w:t>
      </w:r>
      <w:r w:rsidR="00D81ABE" w:rsidRPr="00206628">
        <w:rPr>
          <w:rFonts w:ascii="Times New Roman" w:hAnsi="Times New Roman" w:cs="Times New Roman"/>
          <w:sz w:val="24"/>
          <w:szCs w:val="24"/>
        </w:rPr>
        <w:t xml:space="preserve"> calendar years were below the </w:t>
      </w:r>
      <w:r w:rsidR="009A19B8" w:rsidRPr="00206628">
        <w:rPr>
          <w:rFonts w:ascii="Times New Roman" w:hAnsi="Times New Roman" w:cs="Times New Roman"/>
          <w:sz w:val="24"/>
          <w:szCs w:val="24"/>
        </w:rPr>
        <w:t xml:space="preserve">trigger </w:t>
      </w:r>
      <w:r w:rsidR="00D81ABE" w:rsidRPr="00206628">
        <w:rPr>
          <w:rFonts w:ascii="Times New Roman" w:hAnsi="Times New Roman" w:cs="Times New Roman"/>
          <w:sz w:val="24"/>
          <w:szCs w:val="24"/>
        </w:rPr>
        <w:t>threshold for an MSO product, the designated quantity for the fin</w:t>
      </w:r>
      <w:r w:rsidRPr="00206628">
        <w:rPr>
          <w:rFonts w:ascii="Times New Roman" w:hAnsi="Times New Roman" w:cs="Times New Roman"/>
          <w:sz w:val="24"/>
          <w:szCs w:val="24"/>
        </w:rPr>
        <w:t>ancial year starting 1 July 2024</w:t>
      </w:r>
      <w:r w:rsidR="00D81ABE" w:rsidRPr="00206628">
        <w:rPr>
          <w:rFonts w:ascii="Times New Roman" w:hAnsi="Times New Roman" w:cs="Times New Roman"/>
          <w:sz w:val="24"/>
          <w:szCs w:val="24"/>
        </w:rPr>
        <w:t xml:space="preserve"> would be set at zero for the MSO product</w:t>
      </w:r>
      <w:r w:rsidRPr="00206628">
        <w:rPr>
          <w:rFonts w:ascii="Times New Roman" w:hAnsi="Times New Roman" w:cs="Times New Roman"/>
          <w:sz w:val="24"/>
          <w:szCs w:val="24"/>
        </w:rPr>
        <w:t xml:space="preserve">. </w:t>
      </w:r>
      <w:r w:rsidR="000839C4" w:rsidRPr="00206628">
        <w:rPr>
          <w:rFonts w:ascii="Times New Roman" w:hAnsi="Times New Roman" w:cs="Times New Roman"/>
          <w:sz w:val="24"/>
          <w:szCs w:val="24"/>
        </w:rPr>
        <w:t xml:space="preserve">This would only be applicable if the Secretary has not </w:t>
      </w:r>
      <w:r w:rsidR="007208BC" w:rsidRPr="00206628">
        <w:rPr>
          <w:rFonts w:ascii="Times New Roman" w:hAnsi="Times New Roman" w:cs="Times New Roman"/>
          <w:sz w:val="24"/>
          <w:szCs w:val="24"/>
        </w:rPr>
        <w:t>applied</w:t>
      </w:r>
      <w:r w:rsidR="000839C4" w:rsidRPr="00206628">
        <w:rPr>
          <w:rFonts w:ascii="Times New Roman" w:hAnsi="Times New Roman" w:cs="Times New Roman"/>
          <w:sz w:val="24"/>
          <w:szCs w:val="24"/>
        </w:rPr>
        <w:t xml:space="preserve"> the</w:t>
      </w:r>
      <w:r w:rsidR="007208BC" w:rsidRPr="00206628">
        <w:rPr>
          <w:rFonts w:ascii="Times New Roman" w:hAnsi="Times New Roman" w:cs="Times New Roman"/>
          <w:sz w:val="24"/>
          <w:szCs w:val="24"/>
        </w:rPr>
        <w:t xml:space="preserve"> lower</w:t>
      </w:r>
      <w:r w:rsidR="000839C4" w:rsidRPr="00206628">
        <w:rPr>
          <w:rFonts w:ascii="Times New Roman" w:hAnsi="Times New Roman" w:cs="Times New Roman"/>
          <w:sz w:val="24"/>
          <w:szCs w:val="24"/>
        </w:rPr>
        <w:t xml:space="preserve"> threshold capture volumes according to section 17(2)</w:t>
      </w:r>
      <w:r w:rsidR="00835BEA" w:rsidRPr="00206628">
        <w:rPr>
          <w:rFonts w:ascii="Times New Roman" w:hAnsi="Times New Roman" w:cs="Times New Roman"/>
          <w:sz w:val="24"/>
          <w:szCs w:val="24"/>
        </w:rPr>
        <w:t xml:space="preserve"> of the Rules</w:t>
      </w:r>
      <w:r w:rsidR="000839C4"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If </w:t>
      </w:r>
      <w:r w:rsidR="000839C4" w:rsidRPr="00206628">
        <w:rPr>
          <w:rFonts w:ascii="Times New Roman" w:hAnsi="Times New Roman" w:cs="Times New Roman"/>
          <w:sz w:val="24"/>
          <w:szCs w:val="24"/>
        </w:rPr>
        <w:t>imports or production volumes in</w:t>
      </w:r>
      <w:r w:rsidRPr="00206628">
        <w:rPr>
          <w:rFonts w:ascii="Times New Roman" w:hAnsi="Times New Roman" w:cs="Times New Roman"/>
          <w:sz w:val="24"/>
          <w:szCs w:val="24"/>
        </w:rPr>
        <w:t xml:space="preserve"> the 2024</w:t>
      </w:r>
      <w:r w:rsidR="00D81ABE" w:rsidRPr="00206628">
        <w:rPr>
          <w:rFonts w:ascii="Times New Roman" w:hAnsi="Times New Roman" w:cs="Times New Roman"/>
          <w:sz w:val="24"/>
          <w:szCs w:val="24"/>
        </w:rPr>
        <w:t xml:space="preserve"> calendar year </w:t>
      </w:r>
      <w:r w:rsidR="000839C4" w:rsidRPr="00206628">
        <w:rPr>
          <w:rFonts w:ascii="Times New Roman" w:hAnsi="Times New Roman" w:cs="Times New Roman"/>
          <w:sz w:val="24"/>
          <w:szCs w:val="24"/>
        </w:rPr>
        <w:t>were</w:t>
      </w:r>
      <w:r w:rsidR="00D81ABE" w:rsidRPr="00206628">
        <w:rPr>
          <w:rFonts w:ascii="Times New Roman" w:hAnsi="Times New Roman" w:cs="Times New Roman"/>
          <w:sz w:val="24"/>
          <w:szCs w:val="24"/>
        </w:rPr>
        <w:t xml:space="preserve"> above the threshold, liabili</w:t>
      </w:r>
      <w:r w:rsidRPr="00206628">
        <w:rPr>
          <w:rFonts w:ascii="Times New Roman" w:hAnsi="Times New Roman" w:cs="Times New Roman"/>
          <w:sz w:val="24"/>
          <w:szCs w:val="24"/>
        </w:rPr>
        <w:t>ty would resume from 1 July 2025</w:t>
      </w:r>
      <w:r w:rsidR="00D81ABE" w:rsidRPr="00206628">
        <w:rPr>
          <w:rFonts w:ascii="Times New Roman" w:hAnsi="Times New Roman" w:cs="Times New Roman"/>
          <w:sz w:val="24"/>
          <w:szCs w:val="24"/>
        </w:rPr>
        <w:t xml:space="preserve">. </w:t>
      </w:r>
    </w:p>
    <w:p w14:paraId="2BFDE9C1" w14:textId="77777777" w:rsidR="002F7D81" w:rsidRPr="00206628" w:rsidRDefault="002F7D81" w:rsidP="002F7D81">
      <w:pPr>
        <w:spacing w:before="240" w:after="100" w:afterAutospacing="1"/>
        <w:rPr>
          <w:rFonts w:ascii="Times New Roman" w:hAnsi="Times New Roman" w:cs="Times New Roman"/>
          <w:b/>
          <w:sz w:val="24"/>
          <w:szCs w:val="24"/>
        </w:rPr>
      </w:pPr>
      <w:r w:rsidRPr="00206628">
        <w:rPr>
          <w:rFonts w:ascii="Times New Roman" w:eastAsia="Calibri" w:hAnsi="Times New Roman" w:cs="Times New Roman"/>
          <w:b/>
          <w:sz w:val="24"/>
          <w:szCs w:val="24"/>
        </w:rPr>
        <w:t>PART 5</w:t>
      </w:r>
      <w:r w:rsidRPr="00206628">
        <w:rPr>
          <w:rFonts w:ascii="Times New Roman" w:hAnsi="Times New Roman" w:cs="Times New Roman"/>
          <w:i/>
          <w:sz w:val="24"/>
          <w:szCs w:val="24"/>
        </w:rPr>
        <w:t>—</w:t>
      </w:r>
      <w:r w:rsidRPr="00206628">
        <w:rPr>
          <w:rFonts w:ascii="Times New Roman" w:hAnsi="Times New Roman" w:cs="Times New Roman"/>
          <w:b/>
          <w:sz w:val="24"/>
          <w:szCs w:val="24"/>
        </w:rPr>
        <w:t>Temporary reduction in designated quantities</w:t>
      </w:r>
    </w:p>
    <w:p w14:paraId="46FD6E06" w14:textId="7066EA7B" w:rsidR="002F7D81" w:rsidRPr="00206628" w:rsidRDefault="002F7D81" w:rsidP="002F7D81">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Secti</w:t>
      </w:r>
      <w:r w:rsidR="00910835" w:rsidRPr="00206628">
        <w:rPr>
          <w:rFonts w:ascii="Times New Roman" w:hAnsi="Times New Roman" w:cs="Times New Roman"/>
          <w:b/>
          <w:sz w:val="24"/>
          <w:szCs w:val="24"/>
        </w:rPr>
        <w:t>on 2</w:t>
      </w:r>
      <w:r w:rsidR="00BE3CB9" w:rsidRPr="00206628">
        <w:rPr>
          <w:rFonts w:ascii="Times New Roman" w:hAnsi="Times New Roman" w:cs="Times New Roman"/>
          <w:b/>
          <w:sz w:val="24"/>
          <w:szCs w:val="24"/>
        </w:rPr>
        <w:t>5</w:t>
      </w:r>
      <w:r w:rsidRPr="00206628">
        <w:rPr>
          <w:rFonts w:ascii="Times New Roman" w:hAnsi="Times New Roman" w:cs="Times New Roman"/>
          <w:b/>
          <w:sz w:val="24"/>
          <w:szCs w:val="24"/>
        </w:rPr>
        <w:t xml:space="preserve"> – Applications for temporary reduction in quantity of stocks</w:t>
      </w:r>
    </w:p>
    <w:p w14:paraId="0372BF04" w14:textId="77777777" w:rsidR="00F02999" w:rsidRPr="00206628" w:rsidRDefault="00D968E9" w:rsidP="002F7D81">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section prescribes that </w:t>
      </w:r>
      <w:r w:rsidR="00CE31AA" w:rsidRPr="00206628">
        <w:rPr>
          <w:rFonts w:ascii="Times New Roman" w:hAnsi="Times New Roman" w:cs="Times New Roman"/>
          <w:sz w:val="24"/>
          <w:szCs w:val="24"/>
        </w:rPr>
        <w:t xml:space="preserve">any application for a temporary reduction in quantity of stocks must satisfy certain criteria before it can be considered. </w:t>
      </w:r>
    </w:p>
    <w:p w14:paraId="64169FF8" w14:textId="77777777" w:rsidR="00F02999" w:rsidRPr="00206628" w:rsidRDefault="00F02999" w:rsidP="002F7D81">
      <w:pPr>
        <w:spacing w:before="240" w:after="100" w:afterAutospacing="1"/>
        <w:rPr>
          <w:rFonts w:ascii="Times New Roman" w:hAnsi="Times New Roman" w:cs="Times New Roman"/>
          <w:sz w:val="24"/>
          <w:szCs w:val="24"/>
        </w:rPr>
      </w:pPr>
    </w:p>
    <w:p w14:paraId="5303CAAE" w14:textId="77777777" w:rsidR="002F7D81" w:rsidRPr="00206628" w:rsidRDefault="00CE31AA" w:rsidP="002F7D81">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These criteria are:</w:t>
      </w:r>
    </w:p>
    <w:p w14:paraId="53834A07" w14:textId="77777777" w:rsidR="00B24117" w:rsidRPr="00206628" w:rsidRDefault="00F56E95" w:rsidP="0037564F">
      <w:pPr>
        <w:pStyle w:val="ListParagraph"/>
        <w:numPr>
          <w:ilvl w:val="0"/>
          <w:numId w:val="35"/>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w:t>
      </w:r>
      <w:r w:rsidR="00CE31AA" w:rsidRPr="00206628">
        <w:rPr>
          <w:rFonts w:ascii="Times New Roman" w:hAnsi="Times New Roman" w:cs="Times New Roman"/>
          <w:sz w:val="24"/>
          <w:szCs w:val="24"/>
        </w:rPr>
        <w:t>he application must be in a form that has been approved in writing by the Secretary; and</w:t>
      </w:r>
    </w:p>
    <w:p w14:paraId="6EBBE00F" w14:textId="28DB1B6E" w:rsidR="00CE31AA" w:rsidRPr="00206628" w:rsidRDefault="00F56E95" w:rsidP="0037564F">
      <w:pPr>
        <w:pStyle w:val="ListParagraph"/>
        <w:numPr>
          <w:ilvl w:val="0"/>
          <w:numId w:val="35"/>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w:t>
      </w:r>
      <w:r w:rsidR="00CE31AA" w:rsidRPr="00206628">
        <w:rPr>
          <w:rFonts w:ascii="Times New Roman" w:hAnsi="Times New Roman" w:cs="Times New Roman"/>
          <w:sz w:val="24"/>
          <w:szCs w:val="24"/>
        </w:rPr>
        <w:t xml:space="preserve">he application must include evidence to prove that the necessary criteria within section </w:t>
      </w:r>
      <w:r w:rsidR="00C86E22" w:rsidRPr="00206628">
        <w:rPr>
          <w:rFonts w:ascii="Times New Roman" w:hAnsi="Times New Roman" w:cs="Times New Roman"/>
          <w:sz w:val="24"/>
          <w:szCs w:val="24"/>
        </w:rPr>
        <w:t>2</w:t>
      </w:r>
      <w:r w:rsidR="00F2562A" w:rsidRPr="00206628">
        <w:rPr>
          <w:rFonts w:ascii="Times New Roman" w:hAnsi="Times New Roman" w:cs="Times New Roman"/>
          <w:sz w:val="24"/>
          <w:szCs w:val="24"/>
        </w:rPr>
        <w:t>6</w:t>
      </w:r>
      <w:r w:rsidR="00C86E22" w:rsidRPr="00206628">
        <w:rPr>
          <w:rFonts w:ascii="Times New Roman" w:hAnsi="Times New Roman" w:cs="Times New Roman"/>
          <w:sz w:val="24"/>
          <w:szCs w:val="24"/>
        </w:rPr>
        <w:t xml:space="preserve"> </w:t>
      </w:r>
      <w:r w:rsidR="00CE31AA" w:rsidRPr="00206628">
        <w:rPr>
          <w:rFonts w:ascii="Times New Roman" w:hAnsi="Times New Roman" w:cs="Times New Roman"/>
          <w:sz w:val="24"/>
          <w:szCs w:val="24"/>
        </w:rPr>
        <w:t xml:space="preserve">or </w:t>
      </w:r>
      <w:r w:rsidR="00C86E22" w:rsidRPr="00206628">
        <w:rPr>
          <w:rFonts w:ascii="Times New Roman" w:hAnsi="Times New Roman" w:cs="Times New Roman"/>
          <w:sz w:val="24"/>
          <w:szCs w:val="24"/>
        </w:rPr>
        <w:t>2</w:t>
      </w:r>
      <w:r w:rsidR="00F2562A" w:rsidRPr="00206628">
        <w:rPr>
          <w:rFonts w:ascii="Times New Roman" w:hAnsi="Times New Roman" w:cs="Times New Roman"/>
          <w:sz w:val="24"/>
          <w:szCs w:val="24"/>
        </w:rPr>
        <w:t>7</w:t>
      </w:r>
      <w:r w:rsidR="00C86E22" w:rsidRPr="00206628">
        <w:rPr>
          <w:rFonts w:ascii="Times New Roman" w:hAnsi="Times New Roman" w:cs="Times New Roman"/>
          <w:sz w:val="24"/>
          <w:szCs w:val="24"/>
        </w:rPr>
        <w:t xml:space="preserve"> </w:t>
      </w:r>
      <w:r w:rsidR="00835BEA" w:rsidRPr="00206628">
        <w:rPr>
          <w:rFonts w:ascii="Times New Roman" w:hAnsi="Times New Roman" w:cs="Times New Roman"/>
          <w:sz w:val="24"/>
          <w:szCs w:val="24"/>
        </w:rPr>
        <w:t xml:space="preserve">of the Rules </w:t>
      </w:r>
      <w:r w:rsidR="00CE31AA" w:rsidRPr="00206628">
        <w:rPr>
          <w:rFonts w:ascii="Times New Roman" w:hAnsi="Times New Roman" w:cs="Times New Roman"/>
          <w:sz w:val="24"/>
          <w:szCs w:val="24"/>
        </w:rPr>
        <w:t xml:space="preserve">are met. </w:t>
      </w:r>
    </w:p>
    <w:p w14:paraId="388F8068" w14:textId="4963356C" w:rsidR="00C23EFD" w:rsidRPr="00206628" w:rsidRDefault="00C23EFD" w:rsidP="00C23EF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will ensure that all applications are in a standard format, and clarifies that any claims made to support section </w:t>
      </w:r>
      <w:r w:rsidR="00C86E22" w:rsidRPr="00206628">
        <w:rPr>
          <w:rFonts w:ascii="Times New Roman" w:hAnsi="Times New Roman" w:cs="Times New Roman"/>
          <w:sz w:val="24"/>
          <w:szCs w:val="24"/>
        </w:rPr>
        <w:t>2</w:t>
      </w:r>
      <w:r w:rsidR="00F2562A" w:rsidRPr="00206628">
        <w:rPr>
          <w:rFonts w:ascii="Times New Roman" w:hAnsi="Times New Roman" w:cs="Times New Roman"/>
          <w:sz w:val="24"/>
          <w:szCs w:val="24"/>
        </w:rPr>
        <w:t>6</w:t>
      </w:r>
      <w:r w:rsidR="00C86E22"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or </w:t>
      </w:r>
      <w:r w:rsidR="00C86E22" w:rsidRPr="00206628">
        <w:rPr>
          <w:rFonts w:ascii="Times New Roman" w:hAnsi="Times New Roman" w:cs="Times New Roman"/>
          <w:sz w:val="24"/>
          <w:szCs w:val="24"/>
        </w:rPr>
        <w:t>2</w:t>
      </w:r>
      <w:r w:rsidR="00F2562A" w:rsidRPr="00206628">
        <w:rPr>
          <w:rFonts w:ascii="Times New Roman" w:hAnsi="Times New Roman" w:cs="Times New Roman"/>
          <w:sz w:val="24"/>
          <w:szCs w:val="24"/>
        </w:rPr>
        <w:t>7</w:t>
      </w:r>
      <w:r w:rsidR="00C86E22"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need to be supported by evidence. </w:t>
      </w:r>
    </w:p>
    <w:p w14:paraId="743DF16A" w14:textId="310E3A93" w:rsidR="00F56E95" w:rsidRPr="00206628" w:rsidRDefault="00F56E95" w:rsidP="00C23EFD">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BE3CB9" w:rsidRPr="00206628">
        <w:rPr>
          <w:rFonts w:ascii="Times New Roman" w:hAnsi="Times New Roman" w:cs="Times New Roman"/>
          <w:b/>
          <w:sz w:val="24"/>
          <w:szCs w:val="24"/>
        </w:rPr>
        <w:t xml:space="preserve">26 </w:t>
      </w:r>
      <w:r w:rsidRPr="00206628">
        <w:rPr>
          <w:rFonts w:ascii="Times New Roman" w:hAnsi="Times New Roman" w:cs="Times New Roman"/>
          <w:b/>
          <w:sz w:val="24"/>
          <w:szCs w:val="24"/>
        </w:rPr>
        <w:t>– Criteria for temporary reduction in quantity of stocks</w:t>
      </w:r>
    </w:p>
    <w:p w14:paraId="07637555" w14:textId="39D11EDC" w:rsidR="00CD1CB1" w:rsidRPr="00206628" w:rsidRDefault="00910835" w:rsidP="00C23EF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E3CB9" w:rsidRPr="00206628">
        <w:rPr>
          <w:rFonts w:ascii="Times New Roman" w:hAnsi="Times New Roman" w:cs="Times New Roman"/>
          <w:sz w:val="24"/>
          <w:szCs w:val="24"/>
        </w:rPr>
        <w:t>26</w:t>
      </w:r>
      <w:r w:rsidR="00F56E95" w:rsidRPr="00206628">
        <w:rPr>
          <w:rFonts w:ascii="Times New Roman" w:hAnsi="Times New Roman" w:cs="Times New Roman"/>
          <w:sz w:val="24"/>
          <w:szCs w:val="24"/>
        </w:rPr>
        <w:t xml:space="preserve">(1) </w:t>
      </w:r>
      <w:r w:rsidR="00C86E22" w:rsidRPr="00206628">
        <w:rPr>
          <w:rFonts w:ascii="Times New Roman" w:hAnsi="Times New Roman" w:cs="Times New Roman"/>
          <w:sz w:val="24"/>
          <w:szCs w:val="24"/>
        </w:rPr>
        <w:t xml:space="preserve">of the Rules </w:t>
      </w:r>
      <w:r w:rsidR="00F56E95" w:rsidRPr="00206628">
        <w:rPr>
          <w:rFonts w:ascii="Times New Roman" w:hAnsi="Times New Roman" w:cs="Times New Roman"/>
          <w:sz w:val="24"/>
          <w:szCs w:val="24"/>
        </w:rPr>
        <w:t>prescribes that for subsection 18(</w:t>
      </w:r>
      <w:r w:rsidR="003A0341" w:rsidRPr="00206628">
        <w:rPr>
          <w:rFonts w:ascii="Times New Roman" w:hAnsi="Times New Roman" w:cs="Times New Roman"/>
          <w:sz w:val="24"/>
          <w:szCs w:val="24"/>
        </w:rPr>
        <w:t>6</w:t>
      </w:r>
      <w:r w:rsidR="00F56E95" w:rsidRPr="00206628">
        <w:rPr>
          <w:rFonts w:ascii="Times New Roman" w:hAnsi="Times New Roman" w:cs="Times New Roman"/>
          <w:sz w:val="24"/>
          <w:szCs w:val="24"/>
        </w:rPr>
        <w:t xml:space="preserve">) of the Act, regarding the Secretary’s decision on </w:t>
      </w:r>
      <w:r w:rsidR="003A0341" w:rsidRPr="00206628">
        <w:rPr>
          <w:rFonts w:ascii="Times New Roman" w:hAnsi="Times New Roman" w:cs="Times New Roman"/>
          <w:sz w:val="24"/>
          <w:szCs w:val="24"/>
        </w:rPr>
        <w:t xml:space="preserve">a </w:t>
      </w:r>
      <w:r w:rsidR="00F56E95" w:rsidRPr="00206628">
        <w:rPr>
          <w:rFonts w:ascii="Times New Roman" w:hAnsi="Times New Roman" w:cs="Times New Roman"/>
          <w:sz w:val="24"/>
          <w:szCs w:val="24"/>
        </w:rPr>
        <w:t xml:space="preserve">temporary reduction application, the Secretary may only </w:t>
      </w:r>
      <w:r w:rsidR="000E0EC0" w:rsidRPr="00206628">
        <w:rPr>
          <w:rFonts w:ascii="Times New Roman" w:hAnsi="Times New Roman" w:cs="Times New Roman"/>
          <w:sz w:val="24"/>
          <w:szCs w:val="24"/>
        </w:rPr>
        <w:t>grant</w:t>
      </w:r>
      <w:r w:rsidR="00F56E95" w:rsidRPr="00206628">
        <w:rPr>
          <w:rFonts w:ascii="Times New Roman" w:hAnsi="Times New Roman" w:cs="Times New Roman"/>
          <w:sz w:val="24"/>
          <w:szCs w:val="24"/>
        </w:rPr>
        <w:t xml:space="preserve"> an application if they are </w:t>
      </w:r>
      <w:r w:rsidR="00CD1CB1" w:rsidRPr="00206628">
        <w:rPr>
          <w:rFonts w:ascii="Times New Roman" w:hAnsi="Times New Roman" w:cs="Times New Roman"/>
          <w:sz w:val="24"/>
          <w:szCs w:val="24"/>
        </w:rPr>
        <w:t xml:space="preserve">satisfied under </w:t>
      </w:r>
      <w:r w:rsidR="003A0341" w:rsidRPr="00206628">
        <w:rPr>
          <w:rFonts w:ascii="Times New Roman" w:hAnsi="Times New Roman" w:cs="Times New Roman"/>
          <w:sz w:val="24"/>
          <w:szCs w:val="24"/>
        </w:rPr>
        <w:t xml:space="preserve">either </w:t>
      </w:r>
      <w:r w:rsidRPr="00206628">
        <w:rPr>
          <w:rFonts w:ascii="Times New Roman" w:hAnsi="Times New Roman" w:cs="Times New Roman"/>
          <w:sz w:val="24"/>
          <w:szCs w:val="24"/>
        </w:rPr>
        <w:t xml:space="preserve">subsection </w:t>
      </w:r>
      <w:r w:rsidR="00BE3CB9" w:rsidRPr="00206628">
        <w:rPr>
          <w:rFonts w:ascii="Times New Roman" w:hAnsi="Times New Roman" w:cs="Times New Roman"/>
          <w:sz w:val="24"/>
          <w:szCs w:val="24"/>
        </w:rPr>
        <w:t>26</w:t>
      </w:r>
      <w:r w:rsidRPr="00206628">
        <w:rPr>
          <w:rFonts w:ascii="Times New Roman" w:hAnsi="Times New Roman" w:cs="Times New Roman"/>
          <w:sz w:val="24"/>
          <w:szCs w:val="24"/>
        </w:rPr>
        <w:t>(</w:t>
      </w:r>
      <w:r w:rsidR="00CD1CB1" w:rsidRPr="00206628">
        <w:rPr>
          <w:rFonts w:ascii="Times New Roman" w:hAnsi="Times New Roman" w:cs="Times New Roman"/>
          <w:sz w:val="24"/>
          <w:szCs w:val="24"/>
        </w:rPr>
        <w:t>2) or (3)</w:t>
      </w:r>
      <w:r w:rsidR="003A0341" w:rsidRPr="00206628">
        <w:rPr>
          <w:rFonts w:ascii="Times New Roman" w:hAnsi="Times New Roman" w:cs="Times New Roman"/>
          <w:sz w:val="24"/>
          <w:szCs w:val="24"/>
        </w:rPr>
        <w:t>,</w:t>
      </w:r>
      <w:r w:rsidRPr="00206628">
        <w:rPr>
          <w:rFonts w:ascii="Times New Roman" w:hAnsi="Times New Roman" w:cs="Times New Roman"/>
          <w:sz w:val="24"/>
          <w:szCs w:val="24"/>
        </w:rPr>
        <w:t xml:space="preserve"> or section </w:t>
      </w:r>
      <w:r w:rsidR="00BE3CB9" w:rsidRPr="00206628">
        <w:rPr>
          <w:rFonts w:ascii="Times New Roman" w:hAnsi="Times New Roman" w:cs="Times New Roman"/>
          <w:sz w:val="24"/>
          <w:szCs w:val="24"/>
        </w:rPr>
        <w:t xml:space="preserve">27 </w:t>
      </w:r>
      <w:r w:rsidR="003A0341" w:rsidRPr="00206628">
        <w:rPr>
          <w:rFonts w:ascii="Times New Roman" w:hAnsi="Times New Roman" w:cs="Times New Roman"/>
          <w:sz w:val="24"/>
          <w:szCs w:val="24"/>
        </w:rPr>
        <w:t>of the Rules</w:t>
      </w:r>
      <w:r w:rsidR="00CD1CB1" w:rsidRPr="00206628">
        <w:rPr>
          <w:rFonts w:ascii="Times New Roman" w:hAnsi="Times New Roman" w:cs="Times New Roman"/>
          <w:sz w:val="24"/>
          <w:szCs w:val="24"/>
        </w:rPr>
        <w:t xml:space="preserve">. </w:t>
      </w:r>
    </w:p>
    <w:p w14:paraId="0D99013E" w14:textId="711D51AA" w:rsidR="00CD1CB1" w:rsidRPr="00206628" w:rsidRDefault="00910835" w:rsidP="00CD1CB1">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E3CB9" w:rsidRPr="00206628">
        <w:rPr>
          <w:rFonts w:ascii="Times New Roman" w:hAnsi="Times New Roman" w:cs="Times New Roman"/>
          <w:sz w:val="24"/>
          <w:szCs w:val="24"/>
        </w:rPr>
        <w:t>26</w:t>
      </w:r>
      <w:r w:rsidR="00CD1CB1" w:rsidRPr="00206628">
        <w:rPr>
          <w:rFonts w:ascii="Times New Roman" w:hAnsi="Times New Roman" w:cs="Times New Roman"/>
          <w:sz w:val="24"/>
          <w:szCs w:val="24"/>
        </w:rPr>
        <w:t xml:space="preserve">(2) prescribes circumstances where the Secretary may </w:t>
      </w:r>
      <w:r w:rsidR="000E0EC0" w:rsidRPr="00206628">
        <w:rPr>
          <w:rFonts w:ascii="Times New Roman" w:hAnsi="Times New Roman" w:cs="Times New Roman"/>
          <w:sz w:val="24"/>
          <w:szCs w:val="24"/>
        </w:rPr>
        <w:t>grant</w:t>
      </w:r>
      <w:r w:rsidR="00CD1CB1" w:rsidRPr="00206628">
        <w:rPr>
          <w:rFonts w:ascii="Times New Roman" w:hAnsi="Times New Roman" w:cs="Times New Roman"/>
          <w:sz w:val="24"/>
          <w:szCs w:val="24"/>
        </w:rPr>
        <w:t xml:space="preserve"> an application</w:t>
      </w:r>
      <w:r w:rsidR="00364873" w:rsidRPr="00206628">
        <w:rPr>
          <w:rFonts w:ascii="Times New Roman" w:hAnsi="Times New Roman" w:cs="Times New Roman"/>
          <w:sz w:val="24"/>
          <w:szCs w:val="24"/>
        </w:rPr>
        <w:t xml:space="preserve"> for</w:t>
      </w:r>
      <w:r w:rsidR="000E0EC0" w:rsidRPr="00206628">
        <w:rPr>
          <w:rFonts w:ascii="Times New Roman" w:hAnsi="Times New Roman" w:cs="Times New Roman"/>
          <w:sz w:val="24"/>
          <w:szCs w:val="24"/>
        </w:rPr>
        <w:t xml:space="preserve"> a</w:t>
      </w:r>
      <w:r w:rsidR="00364873" w:rsidRPr="00206628">
        <w:rPr>
          <w:rFonts w:ascii="Times New Roman" w:hAnsi="Times New Roman" w:cs="Times New Roman"/>
          <w:sz w:val="24"/>
          <w:szCs w:val="24"/>
        </w:rPr>
        <w:t xml:space="preserve"> temporary reduction in quantity of MSO stocks required to be held by an entity</w:t>
      </w:r>
      <w:r w:rsidR="00CD1CB1" w:rsidRPr="00206628">
        <w:rPr>
          <w:rFonts w:ascii="Times New Roman" w:hAnsi="Times New Roman" w:cs="Times New Roman"/>
          <w:sz w:val="24"/>
          <w:szCs w:val="24"/>
        </w:rPr>
        <w:t>, as long as the</w:t>
      </w:r>
      <w:r w:rsidR="00364873" w:rsidRPr="00206628">
        <w:rPr>
          <w:rFonts w:ascii="Times New Roman" w:hAnsi="Times New Roman" w:cs="Times New Roman"/>
          <w:sz w:val="24"/>
          <w:szCs w:val="24"/>
        </w:rPr>
        <w:t xml:space="preserve"> Secretary is </w:t>
      </w:r>
      <w:r w:rsidR="00CD1CB1" w:rsidRPr="00206628">
        <w:rPr>
          <w:rFonts w:ascii="Times New Roman" w:hAnsi="Times New Roman" w:cs="Times New Roman"/>
          <w:sz w:val="24"/>
          <w:szCs w:val="24"/>
        </w:rPr>
        <w:t>satisfied that the reduction is necessary and that the specific circumstance was beyond reasonable control of the entity. These circumstances are</w:t>
      </w:r>
      <w:r w:rsidR="00364873" w:rsidRPr="00206628">
        <w:rPr>
          <w:rFonts w:ascii="Times New Roman" w:hAnsi="Times New Roman" w:cs="Times New Roman"/>
          <w:sz w:val="24"/>
          <w:szCs w:val="24"/>
        </w:rPr>
        <w:t xml:space="preserve"> where</w:t>
      </w:r>
      <w:r w:rsidR="00CD1CB1" w:rsidRPr="00206628">
        <w:rPr>
          <w:rFonts w:ascii="Times New Roman" w:hAnsi="Times New Roman" w:cs="Times New Roman"/>
          <w:sz w:val="24"/>
          <w:szCs w:val="24"/>
        </w:rPr>
        <w:t>:</w:t>
      </w:r>
    </w:p>
    <w:p w14:paraId="41D16650" w14:textId="77777777" w:rsidR="00CD1CB1" w:rsidRPr="00206628" w:rsidRDefault="00364873" w:rsidP="0037564F">
      <w:pPr>
        <w:pStyle w:val="ListParagraph"/>
        <w:numPr>
          <w:ilvl w:val="0"/>
          <w:numId w:val="36"/>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there is a need </w:t>
      </w:r>
      <w:r w:rsidR="00CD1CB1" w:rsidRPr="00206628">
        <w:rPr>
          <w:rFonts w:ascii="Times New Roman" w:hAnsi="Times New Roman" w:cs="Times New Roman"/>
          <w:sz w:val="24"/>
          <w:szCs w:val="24"/>
        </w:rPr>
        <w:t xml:space="preserve">to carry out a fuel tank inspection as required by law, or to comply with relevant maintenance standards for the equipment; </w:t>
      </w:r>
    </w:p>
    <w:p w14:paraId="194EED25" w14:textId="77777777" w:rsidR="009B44A3" w:rsidRPr="00206628" w:rsidRDefault="00CD1CB1" w:rsidP="0037564F">
      <w:pPr>
        <w:pStyle w:val="ListParagraph"/>
        <w:numPr>
          <w:ilvl w:val="0"/>
          <w:numId w:val="36"/>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a significant shipping disruption </w:t>
      </w:r>
      <w:r w:rsidR="00364873" w:rsidRPr="00206628">
        <w:rPr>
          <w:rFonts w:ascii="Times New Roman" w:hAnsi="Times New Roman" w:cs="Times New Roman"/>
          <w:sz w:val="24"/>
          <w:szCs w:val="24"/>
        </w:rPr>
        <w:t xml:space="preserve">has occurred </w:t>
      </w:r>
      <w:r w:rsidRPr="00206628">
        <w:rPr>
          <w:rFonts w:ascii="Times New Roman" w:hAnsi="Times New Roman" w:cs="Times New Roman"/>
          <w:sz w:val="24"/>
          <w:szCs w:val="24"/>
        </w:rPr>
        <w:t xml:space="preserve">due to unforeseen circumstances </w:t>
      </w:r>
      <w:r w:rsidR="00F02999" w:rsidRPr="00206628">
        <w:rPr>
          <w:rFonts w:ascii="Times New Roman" w:hAnsi="Times New Roman" w:cs="Times New Roman"/>
          <w:sz w:val="24"/>
          <w:szCs w:val="24"/>
        </w:rPr>
        <w:br/>
      </w:r>
      <w:r w:rsidRPr="00206628">
        <w:rPr>
          <w:rFonts w:ascii="Times New Roman" w:hAnsi="Times New Roman" w:cs="Times New Roman"/>
          <w:sz w:val="24"/>
          <w:szCs w:val="24"/>
        </w:rPr>
        <w:t>(such as natural disasters</w:t>
      </w:r>
      <w:r w:rsidR="009B44A3" w:rsidRPr="00206628">
        <w:rPr>
          <w:rFonts w:ascii="Times New Roman" w:hAnsi="Times New Roman" w:cs="Times New Roman"/>
          <w:sz w:val="24"/>
          <w:szCs w:val="24"/>
        </w:rPr>
        <w:t xml:space="preserve"> and severe weather events); </w:t>
      </w:r>
    </w:p>
    <w:p w14:paraId="03EC755E" w14:textId="77777777" w:rsidR="00CD1CB1" w:rsidRPr="00206628" w:rsidRDefault="00364873" w:rsidP="0037564F">
      <w:pPr>
        <w:pStyle w:val="ListParagraph"/>
        <w:numPr>
          <w:ilvl w:val="0"/>
          <w:numId w:val="36"/>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there is a need </w:t>
      </w:r>
      <w:r w:rsidR="009B44A3" w:rsidRPr="00206628">
        <w:rPr>
          <w:rFonts w:ascii="Times New Roman" w:hAnsi="Times New Roman" w:cs="Times New Roman"/>
          <w:sz w:val="24"/>
          <w:szCs w:val="24"/>
        </w:rPr>
        <w:t>to repair infrastructure damage where the applicant is not responsible, or did not contribute to, the damage (such as severe weather events); and</w:t>
      </w:r>
    </w:p>
    <w:p w14:paraId="215F5138" w14:textId="77777777" w:rsidR="009B44A3" w:rsidRPr="00206628" w:rsidRDefault="009B44A3" w:rsidP="0037564F">
      <w:pPr>
        <w:pStyle w:val="ListParagraph"/>
        <w:numPr>
          <w:ilvl w:val="0"/>
          <w:numId w:val="36"/>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where a supplier of imported fuel has supplied the regulated</w:t>
      </w:r>
      <w:r w:rsidR="00364873" w:rsidRPr="00206628">
        <w:rPr>
          <w:rFonts w:ascii="Times New Roman" w:hAnsi="Times New Roman" w:cs="Times New Roman"/>
          <w:sz w:val="24"/>
          <w:szCs w:val="24"/>
        </w:rPr>
        <w:t xml:space="preserve"> entity (i.e.</w:t>
      </w:r>
      <w:r w:rsidRPr="00206628">
        <w:rPr>
          <w:rFonts w:ascii="Times New Roman" w:hAnsi="Times New Roman" w:cs="Times New Roman"/>
          <w:sz w:val="24"/>
          <w:szCs w:val="24"/>
        </w:rPr>
        <w:t xml:space="preserve"> importer</w:t>
      </w:r>
      <w:r w:rsidR="00364873" w:rsidRPr="00206628">
        <w:rPr>
          <w:rFonts w:ascii="Times New Roman" w:hAnsi="Times New Roman" w:cs="Times New Roman"/>
          <w:sz w:val="24"/>
          <w:szCs w:val="24"/>
        </w:rPr>
        <w:t>)</w:t>
      </w:r>
      <w:r w:rsidRPr="00206628">
        <w:rPr>
          <w:rFonts w:ascii="Times New Roman" w:hAnsi="Times New Roman" w:cs="Times New Roman"/>
          <w:sz w:val="24"/>
          <w:szCs w:val="24"/>
        </w:rPr>
        <w:t xml:space="preserve"> with an MSO product which is not compliant with the </w:t>
      </w:r>
      <w:r w:rsidR="00364873" w:rsidRPr="00206628">
        <w:rPr>
          <w:rFonts w:ascii="Times New Roman" w:hAnsi="Times New Roman" w:cs="Times New Roman"/>
          <w:sz w:val="24"/>
          <w:szCs w:val="24"/>
        </w:rPr>
        <w:t xml:space="preserve">applicable </w:t>
      </w:r>
      <w:r w:rsidRPr="00206628">
        <w:rPr>
          <w:rFonts w:ascii="Times New Roman" w:hAnsi="Times New Roman" w:cs="Times New Roman"/>
          <w:sz w:val="24"/>
          <w:szCs w:val="24"/>
        </w:rPr>
        <w:t>fuel quality standards (and the MSO product is not expected to become compliant within the next 48 hours, as per subsection 5(3)</w:t>
      </w:r>
      <w:r w:rsidR="00364873" w:rsidRPr="00206628">
        <w:rPr>
          <w:rFonts w:ascii="Times New Roman" w:hAnsi="Times New Roman" w:cs="Times New Roman"/>
          <w:sz w:val="24"/>
          <w:szCs w:val="24"/>
        </w:rPr>
        <w:t xml:space="preserve"> of the Rules</w:t>
      </w:r>
      <w:r w:rsidRPr="00206628">
        <w:rPr>
          <w:rFonts w:ascii="Times New Roman" w:hAnsi="Times New Roman" w:cs="Times New Roman"/>
          <w:sz w:val="24"/>
          <w:szCs w:val="24"/>
        </w:rPr>
        <w:t xml:space="preserve">). </w:t>
      </w:r>
    </w:p>
    <w:p w14:paraId="60BBA26A" w14:textId="3EE22138" w:rsidR="009B44A3" w:rsidRPr="00206628" w:rsidRDefault="009B44A3" w:rsidP="009B44A3">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E3CB9" w:rsidRPr="00206628">
        <w:rPr>
          <w:rFonts w:ascii="Times New Roman" w:hAnsi="Times New Roman" w:cs="Times New Roman"/>
          <w:sz w:val="24"/>
          <w:szCs w:val="24"/>
        </w:rPr>
        <w:t>26</w:t>
      </w:r>
      <w:r w:rsidR="00352EB1" w:rsidRPr="00206628">
        <w:rPr>
          <w:rFonts w:ascii="Times New Roman" w:hAnsi="Times New Roman" w:cs="Times New Roman"/>
          <w:sz w:val="24"/>
          <w:szCs w:val="24"/>
        </w:rPr>
        <w:t xml:space="preserve">(3) prescribes that another reason the Secretary may </w:t>
      </w:r>
      <w:r w:rsidR="000E0EC0" w:rsidRPr="00206628">
        <w:rPr>
          <w:rFonts w:ascii="Times New Roman" w:hAnsi="Times New Roman" w:cs="Times New Roman"/>
          <w:sz w:val="24"/>
          <w:szCs w:val="24"/>
        </w:rPr>
        <w:t>grant</w:t>
      </w:r>
      <w:r w:rsidR="00352EB1" w:rsidRPr="00206628">
        <w:rPr>
          <w:rFonts w:ascii="Times New Roman" w:hAnsi="Times New Roman" w:cs="Times New Roman"/>
          <w:sz w:val="24"/>
          <w:szCs w:val="24"/>
        </w:rPr>
        <w:t xml:space="preserve"> an application </w:t>
      </w:r>
      <w:r w:rsidR="00364873" w:rsidRPr="00206628">
        <w:rPr>
          <w:rFonts w:ascii="Times New Roman" w:hAnsi="Times New Roman" w:cs="Times New Roman"/>
          <w:sz w:val="24"/>
          <w:szCs w:val="24"/>
        </w:rPr>
        <w:t xml:space="preserve">for </w:t>
      </w:r>
      <w:r w:rsidR="000E0EC0" w:rsidRPr="00206628">
        <w:rPr>
          <w:rFonts w:ascii="Times New Roman" w:hAnsi="Times New Roman" w:cs="Times New Roman"/>
          <w:sz w:val="24"/>
          <w:szCs w:val="24"/>
        </w:rPr>
        <w:t xml:space="preserve">a </w:t>
      </w:r>
      <w:r w:rsidR="00364873" w:rsidRPr="00206628">
        <w:rPr>
          <w:rFonts w:ascii="Times New Roman" w:hAnsi="Times New Roman" w:cs="Times New Roman"/>
          <w:sz w:val="24"/>
          <w:szCs w:val="24"/>
        </w:rPr>
        <w:t xml:space="preserve">temporary reduction </w:t>
      </w:r>
      <w:r w:rsidR="00352EB1" w:rsidRPr="00206628">
        <w:rPr>
          <w:rFonts w:ascii="Times New Roman" w:hAnsi="Times New Roman" w:cs="Times New Roman"/>
          <w:sz w:val="24"/>
          <w:szCs w:val="24"/>
        </w:rPr>
        <w:t xml:space="preserve">is if the </w:t>
      </w:r>
      <w:r w:rsidR="00364873" w:rsidRPr="00206628">
        <w:rPr>
          <w:rFonts w:ascii="Times New Roman" w:hAnsi="Times New Roman" w:cs="Times New Roman"/>
          <w:sz w:val="24"/>
          <w:szCs w:val="24"/>
        </w:rPr>
        <w:t>Secretary is</w:t>
      </w:r>
      <w:r w:rsidR="00352EB1" w:rsidRPr="00206628">
        <w:rPr>
          <w:rFonts w:ascii="Times New Roman" w:hAnsi="Times New Roman" w:cs="Times New Roman"/>
          <w:sz w:val="24"/>
          <w:szCs w:val="24"/>
        </w:rPr>
        <w:t xml:space="preserve"> satisfied that the applicant has lost one or more major customers for one or more MSO products. This is clarified in paragraph </w:t>
      </w:r>
      <w:r w:rsidR="00BE3CB9" w:rsidRPr="00206628">
        <w:rPr>
          <w:rFonts w:ascii="Times New Roman" w:hAnsi="Times New Roman" w:cs="Times New Roman"/>
          <w:sz w:val="24"/>
          <w:szCs w:val="24"/>
        </w:rPr>
        <w:t>26</w:t>
      </w:r>
      <w:r w:rsidR="00352EB1" w:rsidRPr="00206628">
        <w:rPr>
          <w:rFonts w:ascii="Times New Roman" w:hAnsi="Times New Roman" w:cs="Times New Roman"/>
          <w:sz w:val="24"/>
          <w:szCs w:val="24"/>
        </w:rPr>
        <w:t xml:space="preserve">(3)(b), where the impact of losing the major customer/contract is defined as a reduction </w:t>
      </w:r>
      <w:r w:rsidR="002F2F90" w:rsidRPr="00206628">
        <w:rPr>
          <w:rFonts w:ascii="Times New Roman" w:hAnsi="Times New Roman" w:cs="Times New Roman"/>
          <w:sz w:val="24"/>
          <w:szCs w:val="24"/>
        </w:rPr>
        <w:t>totalling</w:t>
      </w:r>
      <w:r w:rsidR="00352EB1" w:rsidRPr="00206628">
        <w:rPr>
          <w:rFonts w:ascii="Times New Roman" w:hAnsi="Times New Roman" w:cs="Times New Roman"/>
          <w:sz w:val="24"/>
          <w:szCs w:val="24"/>
        </w:rPr>
        <w:t xml:space="preserve"> </w:t>
      </w:r>
      <w:r w:rsidR="002F2F90" w:rsidRPr="00206628">
        <w:rPr>
          <w:rFonts w:ascii="Times New Roman" w:hAnsi="Times New Roman" w:cs="Times New Roman"/>
          <w:sz w:val="24"/>
          <w:szCs w:val="24"/>
        </w:rPr>
        <w:t>the lesser of</w:t>
      </w:r>
      <w:r w:rsidR="00352EB1" w:rsidRPr="00206628">
        <w:rPr>
          <w:rFonts w:ascii="Times New Roman" w:hAnsi="Times New Roman" w:cs="Times New Roman"/>
          <w:sz w:val="24"/>
          <w:szCs w:val="24"/>
        </w:rPr>
        <w:t xml:space="preserve"> 20% </w:t>
      </w:r>
      <w:r w:rsidR="002F2F90" w:rsidRPr="00206628">
        <w:rPr>
          <w:rFonts w:ascii="Times New Roman" w:hAnsi="Times New Roman" w:cs="Times New Roman"/>
          <w:sz w:val="24"/>
          <w:szCs w:val="24"/>
        </w:rPr>
        <w:t>or 100</w:t>
      </w:r>
      <w:r w:rsidR="00F02999" w:rsidRPr="00206628">
        <w:rPr>
          <w:rFonts w:ascii="Times New Roman" w:hAnsi="Times New Roman" w:cs="Times New Roman"/>
          <w:sz w:val="24"/>
          <w:szCs w:val="24"/>
        </w:rPr>
        <w:t xml:space="preserve">ML </w:t>
      </w:r>
      <w:r w:rsidR="00352EB1" w:rsidRPr="00206628">
        <w:rPr>
          <w:rFonts w:ascii="Times New Roman" w:hAnsi="Times New Roman" w:cs="Times New Roman"/>
          <w:sz w:val="24"/>
          <w:szCs w:val="24"/>
        </w:rPr>
        <w:t xml:space="preserve">of the importing or production volumes </w:t>
      </w:r>
      <w:r w:rsidR="00CF6A52" w:rsidRPr="00206628">
        <w:rPr>
          <w:rFonts w:ascii="Times New Roman" w:hAnsi="Times New Roman" w:cs="Times New Roman"/>
          <w:sz w:val="24"/>
          <w:szCs w:val="24"/>
        </w:rPr>
        <w:t xml:space="preserve">for the particular MSO product/s </w:t>
      </w:r>
      <w:r w:rsidR="000F7C71" w:rsidRPr="00206628">
        <w:rPr>
          <w:rFonts w:ascii="Times New Roman" w:hAnsi="Times New Roman" w:cs="Times New Roman"/>
          <w:sz w:val="24"/>
          <w:szCs w:val="24"/>
        </w:rPr>
        <w:t>requir</w:t>
      </w:r>
      <w:r w:rsidR="00364873" w:rsidRPr="00206628">
        <w:rPr>
          <w:rFonts w:ascii="Times New Roman" w:hAnsi="Times New Roman" w:cs="Times New Roman"/>
          <w:sz w:val="24"/>
          <w:szCs w:val="24"/>
        </w:rPr>
        <w:t xml:space="preserve">ed </w:t>
      </w:r>
      <w:r w:rsidR="00352EB1" w:rsidRPr="00206628">
        <w:rPr>
          <w:rFonts w:ascii="Times New Roman" w:hAnsi="Times New Roman" w:cs="Times New Roman"/>
          <w:sz w:val="24"/>
          <w:szCs w:val="24"/>
        </w:rPr>
        <w:t xml:space="preserve">for the remainder of the period. </w:t>
      </w:r>
      <w:r w:rsidR="00246285" w:rsidRPr="00206628">
        <w:rPr>
          <w:rFonts w:ascii="Times New Roman" w:hAnsi="Times New Roman" w:cs="Times New Roman"/>
          <w:sz w:val="24"/>
          <w:szCs w:val="24"/>
        </w:rPr>
        <w:t xml:space="preserve">This recognises the potential impact on imports and stock levels that are likely to occur if a major contract (e.g. a major mining contract) were to change hands, as businesses adjust their practices to accommodate the change. </w:t>
      </w:r>
    </w:p>
    <w:p w14:paraId="13724292" w14:textId="7FE03745" w:rsidR="00471157" w:rsidRPr="00206628" w:rsidRDefault="00910835" w:rsidP="00BE3CB9">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lastRenderedPageBreak/>
        <w:t xml:space="preserve">Subsection </w:t>
      </w:r>
      <w:r w:rsidR="00BE3CB9" w:rsidRPr="00206628">
        <w:rPr>
          <w:rFonts w:ascii="Times New Roman" w:hAnsi="Times New Roman" w:cs="Times New Roman"/>
          <w:sz w:val="24"/>
          <w:szCs w:val="24"/>
        </w:rPr>
        <w:t>26</w:t>
      </w:r>
      <w:r w:rsidR="00471157" w:rsidRPr="00206628">
        <w:rPr>
          <w:rFonts w:ascii="Times New Roman" w:hAnsi="Times New Roman" w:cs="Times New Roman"/>
          <w:sz w:val="24"/>
          <w:szCs w:val="24"/>
        </w:rPr>
        <w:t xml:space="preserve">(4) prescribes that any reduction in quantity </w:t>
      </w:r>
      <w:r w:rsidR="000F7C71" w:rsidRPr="00206628">
        <w:rPr>
          <w:rFonts w:ascii="Times New Roman" w:hAnsi="Times New Roman" w:cs="Times New Roman"/>
          <w:sz w:val="24"/>
          <w:szCs w:val="24"/>
        </w:rPr>
        <w:t xml:space="preserve">approved </w:t>
      </w:r>
      <w:r w:rsidR="00471157" w:rsidRPr="00206628">
        <w:rPr>
          <w:rFonts w:ascii="Times New Roman" w:hAnsi="Times New Roman" w:cs="Times New Roman"/>
          <w:sz w:val="24"/>
          <w:szCs w:val="24"/>
        </w:rPr>
        <w:t xml:space="preserve">by the Secretary cannot be more than is necessary to address the </w:t>
      </w:r>
      <w:r w:rsidR="000F7C71" w:rsidRPr="00206628">
        <w:rPr>
          <w:rFonts w:ascii="Times New Roman" w:hAnsi="Times New Roman" w:cs="Times New Roman"/>
          <w:sz w:val="24"/>
          <w:szCs w:val="24"/>
        </w:rPr>
        <w:t xml:space="preserve">applicable </w:t>
      </w:r>
      <w:r w:rsidR="00471157" w:rsidRPr="00206628">
        <w:rPr>
          <w:rFonts w:ascii="Times New Roman" w:hAnsi="Times New Roman" w:cs="Times New Roman"/>
          <w:sz w:val="24"/>
          <w:szCs w:val="24"/>
        </w:rPr>
        <w:t>circumstance</w:t>
      </w:r>
      <w:r w:rsidR="00985A26" w:rsidRPr="00206628">
        <w:rPr>
          <w:rFonts w:ascii="Times New Roman" w:hAnsi="Times New Roman" w:cs="Times New Roman"/>
          <w:sz w:val="24"/>
          <w:szCs w:val="24"/>
        </w:rPr>
        <w:t xml:space="preserve"> (under subsection </w:t>
      </w:r>
      <w:r w:rsidR="00BE3CB9" w:rsidRPr="00206628">
        <w:rPr>
          <w:rFonts w:ascii="Times New Roman" w:hAnsi="Times New Roman" w:cs="Times New Roman"/>
          <w:sz w:val="24"/>
          <w:szCs w:val="24"/>
        </w:rPr>
        <w:t>25</w:t>
      </w:r>
      <w:r w:rsidR="00985A26" w:rsidRPr="00206628">
        <w:rPr>
          <w:rFonts w:ascii="Times New Roman" w:hAnsi="Times New Roman" w:cs="Times New Roman"/>
          <w:sz w:val="24"/>
          <w:szCs w:val="24"/>
        </w:rPr>
        <w:t>(2))</w:t>
      </w:r>
      <w:r w:rsidR="00471157" w:rsidRPr="00206628">
        <w:rPr>
          <w:rFonts w:ascii="Times New Roman" w:hAnsi="Times New Roman" w:cs="Times New Roman"/>
          <w:sz w:val="24"/>
          <w:szCs w:val="24"/>
        </w:rPr>
        <w:t xml:space="preserve">, and can be </w:t>
      </w:r>
      <w:r w:rsidR="00677B8F" w:rsidRPr="00206628">
        <w:rPr>
          <w:rFonts w:ascii="Times New Roman" w:hAnsi="Times New Roman" w:cs="Times New Roman"/>
          <w:sz w:val="24"/>
          <w:szCs w:val="24"/>
        </w:rPr>
        <w:t xml:space="preserve">for no </w:t>
      </w:r>
      <w:r w:rsidR="00471157" w:rsidRPr="00206628">
        <w:rPr>
          <w:rFonts w:ascii="Times New Roman" w:hAnsi="Times New Roman" w:cs="Times New Roman"/>
          <w:sz w:val="24"/>
          <w:szCs w:val="24"/>
        </w:rPr>
        <w:t xml:space="preserve">longer than is necessary. This aims to ensure that the fuel security benefit of the MSO is not significantly degraded through </w:t>
      </w:r>
      <w:r w:rsidR="000F7C71" w:rsidRPr="00206628">
        <w:rPr>
          <w:rFonts w:ascii="Times New Roman" w:hAnsi="Times New Roman" w:cs="Times New Roman"/>
          <w:sz w:val="24"/>
          <w:szCs w:val="24"/>
        </w:rPr>
        <w:t>any</w:t>
      </w:r>
      <w:r w:rsidR="00471157" w:rsidRPr="00206628">
        <w:rPr>
          <w:rFonts w:ascii="Times New Roman" w:hAnsi="Times New Roman" w:cs="Times New Roman"/>
          <w:sz w:val="24"/>
          <w:szCs w:val="24"/>
        </w:rPr>
        <w:t xml:space="preserve"> reduc</w:t>
      </w:r>
      <w:r w:rsidR="00B76477">
        <w:rPr>
          <w:rFonts w:ascii="Times New Roman" w:hAnsi="Times New Roman" w:cs="Times New Roman"/>
          <w:sz w:val="24"/>
          <w:szCs w:val="24"/>
        </w:rPr>
        <w:t xml:space="preserve">tion in an entity specific </w:t>
      </w:r>
      <w:r w:rsidR="00471157" w:rsidRPr="00206628">
        <w:rPr>
          <w:rFonts w:ascii="Times New Roman" w:hAnsi="Times New Roman" w:cs="Times New Roman"/>
          <w:sz w:val="24"/>
          <w:szCs w:val="24"/>
        </w:rPr>
        <w:t>MSO, while allowing flexibility for industry</w:t>
      </w:r>
      <w:r w:rsidR="00140CFB" w:rsidRPr="00206628">
        <w:rPr>
          <w:rFonts w:ascii="Times New Roman" w:hAnsi="Times New Roman" w:cs="Times New Roman"/>
          <w:sz w:val="24"/>
          <w:szCs w:val="24"/>
        </w:rPr>
        <w:t xml:space="preserve"> when </w:t>
      </w:r>
      <w:r w:rsidR="00111F39" w:rsidRPr="00206628">
        <w:rPr>
          <w:rFonts w:ascii="Times New Roman" w:hAnsi="Times New Roman" w:cs="Times New Roman"/>
          <w:sz w:val="24"/>
          <w:szCs w:val="24"/>
        </w:rPr>
        <w:t>circumstances</w:t>
      </w:r>
      <w:r w:rsidR="00140CFB" w:rsidRPr="00206628">
        <w:rPr>
          <w:rFonts w:ascii="Times New Roman" w:hAnsi="Times New Roman" w:cs="Times New Roman"/>
          <w:sz w:val="24"/>
          <w:szCs w:val="24"/>
        </w:rPr>
        <w:t xml:space="preserve"> change</w:t>
      </w:r>
      <w:r w:rsidR="000F7C71" w:rsidRPr="00206628">
        <w:rPr>
          <w:rFonts w:ascii="Times New Roman" w:hAnsi="Times New Roman" w:cs="Times New Roman"/>
          <w:sz w:val="24"/>
          <w:szCs w:val="24"/>
        </w:rPr>
        <w:t xml:space="preserve"> beyond their </w:t>
      </w:r>
      <w:r w:rsidR="00600F35" w:rsidRPr="00206628">
        <w:rPr>
          <w:rFonts w:ascii="Times New Roman" w:hAnsi="Times New Roman" w:cs="Times New Roman"/>
          <w:sz w:val="24"/>
          <w:szCs w:val="24"/>
        </w:rPr>
        <w:t xml:space="preserve">reasonable </w:t>
      </w:r>
      <w:r w:rsidR="000F7C71" w:rsidRPr="00206628">
        <w:rPr>
          <w:rFonts w:ascii="Times New Roman" w:hAnsi="Times New Roman" w:cs="Times New Roman"/>
          <w:sz w:val="24"/>
          <w:szCs w:val="24"/>
        </w:rPr>
        <w:t>control</w:t>
      </w:r>
      <w:r w:rsidR="00471157" w:rsidRPr="00206628">
        <w:rPr>
          <w:rFonts w:ascii="Times New Roman" w:hAnsi="Times New Roman" w:cs="Times New Roman"/>
          <w:sz w:val="24"/>
          <w:szCs w:val="24"/>
        </w:rPr>
        <w:t xml:space="preserve">. </w:t>
      </w:r>
    </w:p>
    <w:p w14:paraId="2170A3CC" w14:textId="77777777" w:rsidR="00A35781" w:rsidRPr="00206628" w:rsidRDefault="00A35781" w:rsidP="009B44A3">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There is no minimum notice period to apply for a temporary reduction to an entity’s quantity of stocks, and subsection 18(3) of the Act specifies that a temporary reduction period may start before the notice has been given to an entity. However, it is intended that entities would put in an application as soon as practicable to ensure they are compliant with their MSO at all times. </w:t>
      </w:r>
    </w:p>
    <w:p w14:paraId="79488AE5" w14:textId="3526C81E" w:rsidR="00BC2614" w:rsidRPr="00206628" w:rsidRDefault="00111F39" w:rsidP="00490145">
      <w:pPr>
        <w:spacing w:before="240" w:after="100" w:afterAutospacing="1"/>
        <w:rPr>
          <w:rFonts w:ascii="Times New Roman" w:eastAsia="Calibri" w:hAnsi="Times New Roman" w:cs="Times New Roman"/>
          <w:b/>
          <w:sz w:val="24"/>
          <w:szCs w:val="24"/>
        </w:rPr>
      </w:pPr>
      <w:r w:rsidRPr="00206628">
        <w:rPr>
          <w:rFonts w:ascii="Times New Roman" w:eastAsia="Calibri" w:hAnsi="Times New Roman" w:cs="Times New Roman"/>
          <w:b/>
          <w:sz w:val="24"/>
          <w:szCs w:val="24"/>
        </w:rPr>
        <w:t xml:space="preserve">Section </w:t>
      </w:r>
      <w:r w:rsidR="00BE3CB9" w:rsidRPr="00206628">
        <w:rPr>
          <w:rFonts w:ascii="Times New Roman" w:eastAsia="Calibri" w:hAnsi="Times New Roman" w:cs="Times New Roman"/>
          <w:b/>
          <w:sz w:val="24"/>
          <w:szCs w:val="24"/>
        </w:rPr>
        <w:t xml:space="preserve">27 </w:t>
      </w:r>
      <w:r w:rsidRPr="00206628">
        <w:rPr>
          <w:rFonts w:ascii="Times New Roman" w:eastAsia="Calibri" w:hAnsi="Times New Roman" w:cs="Times New Roman"/>
          <w:b/>
          <w:sz w:val="24"/>
          <w:szCs w:val="24"/>
        </w:rPr>
        <w:t>– Additional transitional reduction in quantity of stocks</w:t>
      </w:r>
    </w:p>
    <w:p w14:paraId="6F055F76" w14:textId="1AA70F88" w:rsidR="001605FA" w:rsidRPr="00206628" w:rsidRDefault="00111F39" w:rsidP="00490145">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Section </w:t>
      </w:r>
      <w:r w:rsidR="00BE3CB9" w:rsidRPr="00206628">
        <w:rPr>
          <w:rFonts w:ascii="Times New Roman" w:eastAsia="Calibri" w:hAnsi="Times New Roman" w:cs="Times New Roman"/>
          <w:sz w:val="24"/>
          <w:szCs w:val="24"/>
        </w:rPr>
        <w:t>27</w:t>
      </w:r>
      <w:r w:rsidR="00677B8F" w:rsidRPr="00206628">
        <w:rPr>
          <w:rFonts w:ascii="Times New Roman" w:eastAsia="Calibri" w:hAnsi="Times New Roman" w:cs="Times New Roman"/>
          <w:sz w:val="24"/>
          <w:szCs w:val="24"/>
        </w:rPr>
        <w:t xml:space="preserve"> </w:t>
      </w:r>
      <w:r w:rsidRPr="00206628">
        <w:rPr>
          <w:rFonts w:ascii="Times New Roman" w:eastAsia="Calibri" w:hAnsi="Times New Roman" w:cs="Times New Roman"/>
          <w:sz w:val="24"/>
          <w:szCs w:val="24"/>
        </w:rPr>
        <w:t>prescribes</w:t>
      </w:r>
      <w:r w:rsidR="000E0EC0" w:rsidRPr="00206628">
        <w:rPr>
          <w:rFonts w:ascii="Times New Roman" w:eastAsia="Calibri" w:hAnsi="Times New Roman" w:cs="Times New Roman"/>
          <w:sz w:val="24"/>
          <w:szCs w:val="24"/>
        </w:rPr>
        <w:t>, for subsection 18(6) of the Act,</w:t>
      </w:r>
      <w:r w:rsidRPr="00206628">
        <w:rPr>
          <w:rFonts w:ascii="Times New Roman" w:eastAsia="Calibri" w:hAnsi="Times New Roman" w:cs="Times New Roman"/>
          <w:sz w:val="24"/>
          <w:szCs w:val="24"/>
        </w:rPr>
        <w:t xml:space="preserve"> </w:t>
      </w:r>
      <w:r w:rsidR="00B50381" w:rsidRPr="00206628">
        <w:rPr>
          <w:rFonts w:ascii="Times New Roman" w:eastAsia="Calibri" w:hAnsi="Times New Roman" w:cs="Times New Roman"/>
          <w:sz w:val="24"/>
          <w:szCs w:val="24"/>
        </w:rPr>
        <w:t xml:space="preserve">an </w:t>
      </w:r>
      <w:r w:rsidRPr="00206628">
        <w:rPr>
          <w:rFonts w:ascii="Times New Roman" w:eastAsia="Calibri" w:hAnsi="Times New Roman" w:cs="Times New Roman"/>
          <w:sz w:val="24"/>
          <w:szCs w:val="24"/>
        </w:rPr>
        <w:t xml:space="preserve">additional transitional </w:t>
      </w:r>
      <w:r w:rsidR="00B50381" w:rsidRPr="00206628">
        <w:rPr>
          <w:rFonts w:ascii="Times New Roman" w:eastAsia="Calibri" w:hAnsi="Times New Roman" w:cs="Times New Roman"/>
          <w:sz w:val="24"/>
          <w:szCs w:val="24"/>
        </w:rPr>
        <w:t xml:space="preserve">provision </w:t>
      </w:r>
      <w:r w:rsidRPr="00206628">
        <w:rPr>
          <w:rFonts w:ascii="Times New Roman" w:eastAsia="Calibri" w:hAnsi="Times New Roman" w:cs="Times New Roman"/>
          <w:sz w:val="24"/>
          <w:szCs w:val="24"/>
        </w:rPr>
        <w:t xml:space="preserve">that will </w:t>
      </w:r>
      <w:r w:rsidR="00B50381" w:rsidRPr="00206628">
        <w:rPr>
          <w:rFonts w:ascii="Times New Roman" w:eastAsia="Calibri" w:hAnsi="Times New Roman" w:cs="Times New Roman"/>
          <w:sz w:val="24"/>
          <w:szCs w:val="24"/>
        </w:rPr>
        <w:t>apply</w:t>
      </w:r>
      <w:r w:rsidRPr="00206628">
        <w:rPr>
          <w:rFonts w:ascii="Times New Roman" w:eastAsia="Calibri" w:hAnsi="Times New Roman" w:cs="Times New Roman"/>
          <w:sz w:val="24"/>
          <w:szCs w:val="24"/>
        </w:rPr>
        <w:t xml:space="preserve"> temporarily</w:t>
      </w:r>
      <w:r w:rsidR="00B50381" w:rsidRPr="00206628">
        <w:rPr>
          <w:rFonts w:ascii="Times New Roman" w:eastAsia="Calibri" w:hAnsi="Times New Roman" w:cs="Times New Roman"/>
          <w:sz w:val="24"/>
          <w:szCs w:val="24"/>
        </w:rPr>
        <w:t xml:space="preserve"> to address </w:t>
      </w:r>
      <w:r w:rsidR="00546357" w:rsidRPr="00206628">
        <w:rPr>
          <w:rFonts w:ascii="Times New Roman" w:eastAsia="Calibri" w:hAnsi="Times New Roman" w:cs="Times New Roman"/>
          <w:sz w:val="24"/>
          <w:szCs w:val="24"/>
        </w:rPr>
        <w:t xml:space="preserve">possible </w:t>
      </w:r>
      <w:r w:rsidR="00B50381" w:rsidRPr="00206628">
        <w:rPr>
          <w:rFonts w:ascii="Times New Roman" w:eastAsia="Calibri" w:hAnsi="Times New Roman" w:cs="Times New Roman"/>
          <w:sz w:val="24"/>
          <w:szCs w:val="24"/>
        </w:rPr>
        <w:t>administrative issues with the calculation of an entity’s MSO</w:t>
      </w:r>
      <w:r w:rsidR="00546357" w:rsidRPr="00206628">
        <w:rPr>
          <w:rFonts w:ascii="Times New Roman" w:eastAsia="Calibri" w:hAnsi="Times New Roman" w:cs="Times New Roman"/>
          <w:sz w:val="24"/>
          <w:szCs w:val="24"/>
        </w:rPr>
        <w:t xml:space="preserve"> where inaccurate data has been used in the calculation</w:t>
      </w:r>
      <w:r w:rsidR="00EF6FAD" w:rsidRPr="00206628">
        <w:rPr>
          <w:rFonts w:ascii="Times New Roman" w:eastAsia="Calibri" w:hAnsi="Times New Roman" w:cs="Times New Roman"/>
          <w:sz w:val="24"/>
          <w:szCs w:val="24"/>
        </w:rPr>
        <w:t>.</w:t>
      </w:r>
      <w:r w:rsidR="001605FA" w:rsidRPr="00206628">
        <w:rPr>
          <w:rFonts w:ascii="Times New Roman" w:eastAsia="Calibri" w:hAnsi="Times New Roman" w:cs="Times New Roman"/>
          <w:sz w:val="24"/>
          <w:szCs w:val="24"/>
        </w:rPr>
        <w:t xml:space="preserve"> </w:t>
      </w:r>
    </w:p>
    <w:p w14:paraId="3C2C1DD7" w14:textId="6D5C5ACB" w:rsidR="00985A26" w:rsidRPr="00206628" w:rsidRDefault="00985A26" w:rsidP="00490145">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Specifically, </w:t>
      </w:r>
      <w:r w:rsidR="00B50381" w:rsidRPr="00206628">
        <w:rPr>
          <w:rFonts w:ascii="Times New Roman" w:eastAsia="Calibri" w:hAnsi="Times New Roman" w:cs="Times New Roman"/>
          <w:sz w:val="24"/>
          <w:szCs w:val="24"/>
        </w:rPr>
        <w:t xml:space="preserve">section </w:t>
      </w:r>
      <w:r w:rsidR="00BE3CB9" w:rsidRPr="00206628">
        <w:rPr>
          <w:rFonts w:ascii="Times New Roman" w:eastAsia="Calibri" w:hAnsi="Times New Roman" w:cs="Times New Roman"/>
          <w:sz w:val="24"/>
          <w:szCs w:val="24"/>
        </w:rPr>
        <w:t xml:space="preserve">27 </w:t>
      </w:r>
      <w:r w:rsidR="00B50381" w:rsidRPr="00206628">
        <w:rPr>
          <w:rFonts w:ascii="Times New Roman" w:eastAsia="Calibri" w:hAnsi="Times New Roman" w:cs="Times New Roman"/>
          <w:sz w:val="24"/>
          <w:szCs w:val="24"/>
        </w:rPr>
        <w:t xml:space="preserve">prescribes that </w:t>
      </w:r>
      <w:r w:rsidRPr="00206628">
        <w:rPr>
          <w:rFonts w:ascii="Times New Roman" w:eastAsia="Calibri" w:hAnsi="Times New Roman" w:cs="Times New Roman"/>
          <w:sz w:val="24"/>
          <w:szCs w:val="24"/>
        </w:rPr>
        <w:t xml:space="preserve">the Secretary may </w:t>
      </w:r>
      <w:r w:rsidR="000E0EC0" w:rsidRPr="00206628">
        <w:rPr>
          <w:rFonts w:ascii="Times New Roman" w:eastAsia="Calibri" w:hAnsi="Times New Roman" w:cs="Times New Roman"/>
          <w:sz w:val="24"/>
          <w:szCs w:val="24"/>
        </w:rPr>
        <w:t xml:space="preserve">grant </w:t>
      </w:r>
      <w:r w:rsidRPr="00206628">
        <w:rPr>
          <w:rFonts w:ascii="Times New Roman" w:eastAsia="Calibri" w:hAnsi="Times New Roman" w:cs="Times New Roman"/>
          <w:sz w:val="24"/>
          <w:szCs w:val="24"/>
        </w:rPr>
        <w:t>a</w:t>
      </w:r>
      <w:r w:rsidR="000E0EC0" w:rsidRPr="00206628">
        <w:rPr>
          <w:rFonts w:ascii="Times New Roman" w:eastAsia="Calibri" w:hAnsi="Times New Roman" w:cs="Times New Roman"/>
          <w:sz w:val="24"/>
          <w:szCs w:val="24"/>
        </w:rPr>
        <w:t>n application for a</w:t>
      </w:r>
      <w:r w:rsidRPr="00206628">
        <w:rPr>
          <w:rFonts w:ascii="Times New Roman" w:eastAsia="Calibri" w:hAnsi="Times New Roman" w:cs="Times New Roman"/>
          <w:sz w:val="24"/>
          <w:szCs w:val="24"/>
        </w:rPr>
        <w:t xml:space="preserve"> temporary reduction in quantity of MSO stocks required to be held, if all of the following </w:t>
      </w:r>
      <w:r w:rsidR="0018057A" w:rsidRPr="00206628">
        <w:rPr>
          <w:rFonts w:ascii="Times New Roman" w:eastAsia="Calibri" w:hAnsi="Times New Roman" w:cs="Times New Roman"/>
          <w:sz w:val="24"/>
          <w:szCs w:val="24"/>
        </w:rPr>
        <w:t xml:space="preserve">criteria </w:t>
      </w:r>
      <w:r w:rsidRPr="00206628">
        <w:rPr>
          <w:rFonts w:ascii="Times New Roman" w:eastAsia="Calibri" w:hAnsi="Times New Roman" w:cs="Times New Roman"/>
          <w:sz w:val="24"/>
          <w:szCs w:val="24"/>
        </w:rPr>
        <w:t>apply:</w:t>
      </w:r>
    </w:p>
    <w:p w14:paraId="03819135" w14:textId="0B13FCFC" w:rsidR="00985A26" w:rsidRPr="00206628" w:rsidRDefault="000E0EC0" w:rsidP="0037564F">
      <w:pPr>
        <w:pStyle w:val="ListParagraph"/>
        <w:numPr>
          <w:ilvl w:val="0"/>
          <w:numId w:val="37"/>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985A26" w:rsidRPr="00206628">
        <w:rPr>
          <w:rFonts w:ascii="Times New Roman" w:eastAsia="Calibri" w:hAnsi="Times New Roman" w:cs="Times New Roman"/>
          <w:sz w:val="24"/>
          <w:szCs w:val="24"/>
        </w:rPr>
        <w:t>he designated quantity to be reduced relates to a period before 1 July 2024</w:t>
      </w:r>
      <w:r w:rsidRPr="00206628">
        <w:rPr>
          <w:rFonts w:ascii="Times New Roman" w:eastAsia="Calibri" w:hAnsi="Times New Roman" w:cs="Times New Roman"/>
          <w:sz w:val="24"/>
          <w:szCs w:val="24"/>
        </w:rPr>
        <w:t>.</w:t>
      </w:r>
    </w:p>
    <w:p w14:paraId="1CAC5867" w14:textId="710657A5" w:rsidR="002F2F90" w:rsidRPr="00206628" w:rsidRDefault="002F2F90" w:rsidP="009C67B2">
      <w:pPr>
        <w:pStyle w:val="ListParagraph"/>
        <w:numPr>
          <w:ilvl w:val="1"/>
          <w:numId w:val="4"/>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F</w:t>
      </w:r>
      <w:r w:rsidR="00F11E31" w:rsidRPr="00206628">
        <w:rPr>
          <w:rFonts w:ascii="Times New Roman" w:eastAsia="Calibri" w:hAnsi="Times New Roman" w:cs="Times New Roman"/>
          <w:sz w:val="24"/>
          <w:szCs w:val="24"/>
        </w:rPr>
        <w:t>rom 1 January 2023,</w:t>
      </w:r>
      <w:r w:rsidRPr="00206628">
        <w:rPr>
          <w:rFonts w:ascii="Times New Roman" w:eastAsia="Calibri" w:hAnsi="Times New Roman" w:cs="Times New Roman"/>
          <w:sz w:val="24"/>
          <w:szCs w:val="24"/>
        </w:rPr>
        <w:t xml:space="preserve"> it is expected that importing and refining entities will be</w:t>
      </w:r>
      <w:r w:rsidR="00C92536" w:rsidRPr="00206628">
        <w:rPr>
          <w:rFonts w:ascii="Times New Roman" w:eastAsia="Calibri" w:hAnsi="Times New Roman" w:cs="Times New Roman"/>
          <w:sz w:val="24"/>
          <w:szCs w:val="24"/>
        </w:rPr>
        <w:t xml:space="preserve"> able to</w:t>
      </w:r>
      <w:r w:rsidR="00F27CF4" w:rsidRPr="00206628">
        <w:rPr>
          <w:rFonts w:ascii="Times New Roman" w:eastAsia="Calibri" w:hAnsi="Times New Roman" w:cs="Times New Roman"/>
          <w:sz w:val="24"/>
          <w:szCs w:val="24"/>
        </w:rPr>
        <w:t xml:space="preserve"> </w:t>
      </w:r>
      <w:r w:rsidRPr="00206628">
        <w:rPr>
          <w:rFonts w:ascii="Times New Roman" w:eastAsia="Calibri" w:hAnsi="Times New Roman" w:cs="Times New Roman"/>
          <w:sz w:val="24"/>
          <w:szCs w:val="24"/>
        </w:rPr>
        <w:t xml:space="preserve">accurately report their volumes </w:t>
      </w:r>
      <w:r w:rsidR="00F27CF4" w:rsidRPr="00206628">
        <w:rPr>
          <w:rFonts w:ascii="Times New Roman" w:eastAsia="Calibri" w:hAnsi="Times New Roman" w:cs="Times New Roman"/>
          <w:sz w:val="24"/>
          <w:szCs w:val="24"/>
        </w:rPr>
        <w:t xml:space="preserve">of MSO products </w:t>
      </w:r>
      <w:r w:rsidRPr="00206628">
        <w:rPr>
          <w:rFonts w:ascii="Times New Roman" w:eastAsia="Calibri" w:hAnsi="Times New Roman" w:cs="Times New Roman"/>
          <w:sz w:val="24"/>
          <w:szCs w:val="24"/>
        </w:rPr>
        <w:t xml:space="preserve">through </w:t>
      </w:r>
      <w:r w:rsidR="00F11E31" w:rsidRPr="00206628">
        <w:rPr>
          <w:rFonts w:ascii="Times New Roman" w:eastAsia="Calibri" w:hAnsi="Times New Roman" w:cs="Times New Roman"/>
          <w:sz w:val="24"/>
          <w:szCs w:val="24"/>
        </w:rPr>
        <w:t>section</w:t>
      </w:r>
      <w:r w:rsidR="00103C66" w:rsidRPr="00206628">
        <w:rPr>
          <w:rFonts w:ascii="Times New Roman" w:eastAsia="Calibri" w:hAnsi="Times New Roman" w:cs="Times New Roman"/>
          <w:sz w:val="24"/>
          <w:szCs w:val="24"/>
        </w:rPr>
        <w:t xml:space="preserve"> 19F of the POFR Rule</w:t>
      </w:r>
      <w:r w:rsidR="00F02999" w:rsidRPr="00206628">
        <w:rPr>
          <w:rFonts w:ascii="Times New Roman" w:eastAsia="Calibri" w:hAnsi="Times New Roman" w:cs="Times New Roman"/>
          <w:sz w:val="24"/>
          <w:szCs w:val="24"/>
        </w:rPr>
        <w:t>s</w:t>
      </w:r>
      <w:r w:rsidR="00775ED3" w:rsidRPr="00206628">
        <w:rPr>
          <w:rFonts w:ascii="Times New Roman" w:eastAsia="Calibri" w:hAnsi="Times New Roman" w:cs="Times New Roman"/>
          <w:sz w:val="24"/>
          <w:szCs w:val="24"/>
        </w:rPr>
        <w:t>.</w:t>
      </w:r>
      <w:r w:rsidR="00F11E31" w:rsidRPr="00206628">
        <w:rPr>
          <w:rFonts w:ascii="Times New Roman" w:eastAsia="Calibri" w:hAnsi="Times New Roman" w:cs="Times New Roman"/>
          <w:sz w:val="24"/>
          <w:szCs w:val="24"/>
        </w:rPr>
        <w:t xml:space="preserve"> </w:t>
      </w:r>
      <w:r w:rsidR="00775ED3" w:rsidRPr="00206628">
        <w:rPr>
          <w:rFonts w:ascii="Times New Roman" w:eastAsia="Calibri" w:hAnsi="Times New Roman" w:cs="Times New Roman"/>
          <w:sz w:val="24"/>
          <w:szCs w:val="24"/>
        </w:rPr>
        <w:t>H</w:t>
      </w:r>
      <w:r w:rsidR="00F11E31" w:rsidRPr="00206628">
        <w:rPr>
          <w:rFonts w:ascii="Times New Roman" w:eastAsia="Calibri" w:hAnsi="Times New Roman" w:cs="Times New Roman"/>
          <w:sz w:val="24"/>
          <w:szCs w:val="24"/>
        </w:rPr>
        <w:t xml:space="preserve">owever we are allowing for potential discrepancies in data in the first year of reporting </w:t>
      </w:r>
      <w:r w:rsidR="00775ED3" w:rsidRPr="00206628">
        <w:rPr>
          <w:rFonts w:ascii="Times New Roman" w:eastAsia="Calibri" w:hAnsi="Times New Roman" w:cs="Times New Roman"/>
          <w:sz w:val="24"/>
          <w:szCs w:val="24"/>
        </w:rPr>
        <w:t xml:space="preserve">while </w:t>
      </w:r>
      <w:r w:rsidR="00F11E31" w:rsidRPr="00206628">
        <w:rPr>
          <w:rFonts w:ascii="Times New Roman" w:eastAsia="Calibri" w:hAnsi="Times New Roman" w:cs="Times New Roman"/>
          <w:sz w:val="24"/>
          <w:szCs w:val="24"/>
        </w:rPr>
        <w:t>entities will be learning the new</w:t>
      </w:r>
      <w:r w:rsidR="00103C66" w:rsidRPr="00206628">
        <w:rPr>
          <w:rFonts w:ascii="Times New Roman" w:eastAsia="Calibri" w:hAnsi="Times New Roman" w:cs="Times New Roman"/>
          <w:sz w:val="24"/>
          <w:szCs w:val="24"/>
        </w:rPr>
        <w:t xml:space="preserve"> Liquid Fuels Gateway reporting</w:t>
      </w:r>
      <w:r w:rsidR="00F11E31" w:rsidRPr="00206628">
        <w:rPr>
          <w:rFonts w:ascii="Times New Roman" w:eastAsia="Calibri" w:hAnsi="Times New Roman" w:cs="Times New Roman"/>
          <w:sz w:val="24"/>
          <w:szCs w:val="24"/>
        </w:rPr>
        <w:t xml:space="preserve"> system and education and guidance materials are being refined. From 1 July 2024 it is anticipated that these processes will be finalised with specific guidance materials addressing any reporting issues arising in the first year of operation. </w:t>
      </w:r>
    </w:p>
    <w:p w14:paraId="1AC81919" w14:textId="1B5D3A06" w:rsidR="00985A26" w:rsidRPr="00206628" w:rsidRDefault="000E0EC0" w:rsidP="0037564F">
      <w:pPr>
        <w:pStyle w:val="ListParagraph"/>
        <w:numPr>
          <w:ilvl w:val="0"/>
          <w:numId w:val="38"/>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700E90" w:rsidRPr="00206628">
        <w:rPr>
          <w:rFonts w:ascii="Times New Roman" w:eastAsia="Calibri" w:hAnsi="Times New Roman" w:cs="Times New Roman"/>
          <w:sz w:val="24"/>
          <w:szCs w:val="24"/>
        </w:rPr>
        <w:t xml:space="preserve">he Secretary </w:t>
      </w:r>
      <w:r w:rsidR="00985A26" w:rsidRPr="00206628">
        <w:rPr>
          <w:rFonts w:ascii="Times New Roman" w:eastAsia="Calibri" w:hAnsi="Times New Roman" w:cs="Times New Roman"/>
          <w:sz w:val="24"/>
          <w:szCs w:val="24"/>
        </w:rPr>
        <w:t>is</w:t>
      </w:r>
      <w:r w:rsidR="00700E90" w:rsidRPr="00206628">
        <w:rPr>
          <w:rFonts w:ascii="Times New Roman" w:eastAsia="Calibri" w:hAnsi="Times New Roman" w:cs="Times New Roman"/>
          <w:sz w:val="24"/>
          <w:szCs w:val="24"/>
        </w:rPr>
        <w:t xml:space="preserve"> satisfied the data used to determine the initial </w:t>
      </w:r>
      <w:r w:rsidR="00985A26" w:rsidRPr="00206628">
        <w:rPr>
          <w:rFonts w:ascii="Times New Roman" w:eastAsia="Calibri" w:hAnsi="Times New Roman" w:cs="Times New Roman"/>
          <w:sz w:val="24"/>
          <w:szCs w:val="24"/>
        </w:rPr>
        <w:t xml:space="preserve">designated </w:t>
      </w:r>
      <w:r w:rsidR="00700E90" w:rsidRPr="00206628">
        <w:rPr>
          <w:rFonts w:ascii="Times New Roman" w:eastAsia="Calibri" w:hAnsi="Times New Roman" w:cs="Times New Roman"/>
          <w:sz w:val="24"/>
          <w:szCs w:val="24"/>
        </w:rPr>
        <w:t>quantity of stock was incorrect</w:t>
      </w:r>
      <w:r w:rsidRPr="00206628">
        <w:rPr>
          <w:rFonts w:ascii="Times New Roman" w:eastAsia="Calibri" w:hAnsi="Times New Roman" w:cs="Times New Roman"/>
          <w:sz w:val="24"/>
          <w:szCs w:val="24"/>
        </w:rPr>
        <w:t>.</w:t>
      </w:r>
      <w:r w:rsidR="00700E90" w:rsidRPr="00206628">
        <w:rPr>
          <w:rFonts w:ascii="Times New Roman" w:eastAsia="Calibri" w:hAnsi="Times New Roman" w:cs="Times New Roman"/>
          <w:sz w:val="24"/>
          <w:szCs w:val="24"/>
        </w:rPr>
        <w:t xml:space="preserve"> </w:t>
      </w:r>
    </w:p>
    <w:p w14:paraId="097797F9" w14:textId="77777777" w:rsidR="001605FA" w:rsidRPr="00206628" w:rsidRDefault="00700E90" w:rsidP="009C67B2">
      <w:pPr>
        <w:pStyle w:val="ListParagraph"/>
        <w:numPr>
          <w:ilvl w:val="1"/>
          <w:numId w:val="4"/>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will require the entity to provide evidence that the data obtained by </w:t>
      </w:r>
      <w:r w:rsidR="00F02999" w:rsidRPr="00206628">
        <w:rPr>
          <w:rFonts w:ascii="Times New Roman" w:eastAsia="Calibri" w:hAnsi="Times New Roman" w:cs="Times New Roman"/>
          <w:sz w:val="24"/>
          <w:szCs w:val="24"/>
        </w:rPr>
        <w:br/>
      </w:r>
      <w:r w:rsidRPr="00206628">
        <w:rPr>
          <w:rFonts w:ascii="Times New Roman" w:eastAsia="Calibri" w:hAnsi="Times New Roman" w:cs="Times New Roman"/>
          <w:sz w:val="24"/>
          <w:szCs w:val="24"/>
        </w:rPr>
        <w:t>the Department was incorrect</w:t>
      </w:r>
      <w:r w:rsidR="00985A26" w:rsidRPr="00206628">
        <w:rPr>
          <w:rFonts w:ascii="Times New Roman" w:eastAsia="Calibri" w:hAnsi="Times New Roman" w:cs="Times New Roman"/>
          <w:sz w:val="24"/>
          <w:szCs w:val="24"/>
        </w:rPr>
        <w:t>.</w:t>
      </w:r>
    </w:p>
    <w:p w14:paraId="4C0DCE4C" w14:textId="6287AD01" w:rsidR="00985A26" w:rsidRPr="00206628" w:rsidRDefault="000E0EC0" w:rsidP="0037564F">
      <w:pPr>
        <w:pStyle w:val="ListParagraph"/>
        <w:numPr>
          <w:ilvl w:val="0"/>
          <w:numId w:val="39"/>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w:t>
      </w:r>
      <w:r w:rsidR="00700E90" w:rsidRPr="00206628">
        <w:rPr>
          <w:rFonts w:ascii="Times New Roman" w:eastAsia="Calibri" w:hAnsi="Times New Roman" w:cs="Times New Roman"/>
          <w:sz w:val="24"/>
          <w:szCs w:val="24"/>
        </w:rPr>
        <w:t xml:space="preserve">he reduction in quantity must be consistent with the quantity that would have been correct, if the correct information or data was used. </w:t>
      </w:r>
    </w:p>
    <w:p w14:paraId="48B02535" w14:textId="77777777" w:rsidR="00700E90" w:rsidRPr="00206628" w:rsidRDefault="00700E90" w:rsidP="009C67B2">
      <w:pPr>
        <w:pStyle w:val="ListParagraph"/>
        <w:numPr>
          <w:ilvl w:val="1"/>
          <w:numId w:val="4"/>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ensures that Australia’s domestic fuel security is maintained, with no extra reduction in quantity being applied to an entity, excepting the necessary amendments required to address any data or information issues. </w:t>
      </w:r>
    </w:p>
    <w:p w14:paraId="289035CD" w14:textId="49BEED29" w:rsidR="00AB5BAE" w:rsidRPr="00206628" w:rsidRDefault="00AB5BAE" w:rsidP="00490145">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An example</w:t>
      </w:r>
      <w:r w:rsidR="00910835" w:rsidRPr="00206628">
        <w:rPr>
          <w:rFonts w:ascii="Times New Roman" w:eastAsia="Calibri" w:hAnsi="Times New Roman" w:cs="Times New Roman"/>
          <w:sz w:val="24"/>
          <w:szCs w:val="24"/>
        </w:rPr>
        <w:t xml:space="preserve"> provided under the paragraph </w:t>
      </w:r>
      <w:r w:rsidR="00BE3CB9" w:rsidRPr="00206628">
        <w:rPr>
          <w:rFonts w:ascii="Times New Roman" w:eastAsia="Calibri" w:hAnsi="Times New Roman" w:cs="Times New Roman"/>
          <w:sz w:val="24"/>
          <w:szCs w:val="24"/>
        </w:rPr>
        <w:t>27</w:t>
      </w:r>
      <w:r w:rsidRPr="00206628">
        <w:rPr>
          <w:rFonts w:ascii="Times New Roman" w:eastAsia="Calibri" w:hAnsi="Times New Roman" w:cs="Times New Roman"/>
          <w:sz w:val="24"/>
          <w:szCs w:val="24"/>
        </w:rPr>
        <w:t>(c) explains how this section works in practice</w:t>
      </w:r>
      <w:r w:rsidR="000E0EC0" w:rsidRPr="00206628">
        <w:rPr>
          <w:rFonts w:ascii="Times New Roman" w:eastAsia="Calibri" w:hAnsi="Times New Roman" w:cs="Times New Roman"/>
          <w:sz w:val="24"/>
          <w:szCs w:val="24"/>
        </w:rPr>
        <w:t>.</w:t>
      </w:r>
    </w:p>
    <w:p w14:paraId="3F6CC141" w14:textId="77777777" w:rsidR="00700E90" w:rsidRPr="00206628" w:rsidRDefault="00700E90" w:rsidP="00E534E8">
      <w:pPr>
        <w:keepNext/>
        <w:spacing w:before="240" w:after="100" w:afterAutospacing="1"/>
        <w:rPr>
          <w:rFonts w:ascii="Times New Roman" w:hAnsi="Times New Roman" w:cs="Times New Roman"/>
          <w:b/>
          <w:sz w:val="24"/>
          <w:szCs w:val="24"/>
        </w:rPr>
      </w:pPr>
      <w:r w:rsidRPr="00206628">
        <w:rPr>
          <w:rFonts w:ascii="Times New Roman" w:eastAsia="Calibri" w:hAnsi="Times New Roman" w:cs="Times New Roman"/>
          <w:b/>
          <w:sz w:val="24"/>
          <w:szCs w:val="24"/>
        </w:rPr>
        <w:lastRenderedPageBreak/>
        <w:t>PART 6</w:t>
      </w:r>
      <w:r w:rsidRPr="00206628">
        <w:rPr>
          <w:rFonts w:ascii="Times New Roman" w:hAnsi="Times New Roman" w:cs="Times New Roman"/>
          <w:i/>
          <w:sz w:val="24"/>
          <w:szCs w:val="24"/>
        </w:rPr>
        <w:t>—</w:t>
      </w:r>
      <w:r w:rsidRPr="00206628">
        <w:rPr>
          <w:rFonts w:ascii="Times New Roman" w:hAnsi="Times New Roman" w:cs="Times New Roman"/>
          <w:b/>
          <w:sz w:val="24"/>
          <w:szCs w:val="24"/>
        </w:rPr>
        <w:t>Suspension of MSO</w:t>
      </w:r>
    </w:p>
    <w:p w14:paraId="4A3EB4E7" w14:textId="74B7F588" w:rsidR="00700E90" w:rsidRPr="00206628" w:rsidRDefault="00910835" w:rsidP="00E534E8">
      <w:pPr>
        <w:keepNext/>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BE3CB9" w:rsidRPr="00206628">
        <w:rPr>
          <w:rFonts w:ascii="Times New Roman" w:hAnsi="Times New Roman" w:cs="Times New Roman"/>
          <w:b/>
          <w:sz w:val="24"/>
          <w:szCs w:val="24"/>
        </w:rPr>
        <w:t>28</w:t>
      </w:r>
      <w:r w:rsidR="00700E90" w:rsidRPr="00206628">
        <w:rPr>
          <w:rFonts w:ascii="Times New Roman" w:hAnsi="Times New Roman" w:cs="Times New Roman"/>
          <w:b/>
          <w:sz w:val="24"/>
          <w:szCs w:val="24"/>
        </w:rPr>
        <w:t xml:space="preserve">– Suspension by Minister </w:t>
      </w:r>
    </w:p>
    <w:p w14:paraId="62AED709" w14:textId="21BB044F" w:rsidR="005C3E13" w:rsidRPr="00206628" w:rsidRDefault="00F831C0" w:rsidP="00700E90">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Section </w:t>
      </w:r>
      <w:r w:rsidR="00BE3CB9" w:rsidRPr="00206628">
        <w:rPr>
          <w:rFonts w:ascii="Times New Roman" w:hAnsi="Times New Roman" w:cs="Times New Roman"/>
          <w:sz w:val="24"/>
          <w:szCs w:val="24"/>
        </w:rPr>
        <w:t xml:space="preserve">28 </w:t>
      </w:r>
      <w:r w:rsidR="009C67B2" w:rsidRPr="00206628">
        <w:rPr>
          <w:rFonts w:ascii="Times New Roman" w:hAnsi="Times New Roman" w:cs="Times New Roman"/>
          <w:sz w:val="24"/>
          <w:szCs w:val="24"/>
        </w:rPr>
        <w:t xml:space="preserve">of the Rules </w:t>
      </w:r>
      <w:r w:rsidRPr="00206628">
        <w:rPr>
          <w:rFonts w:ascii="Times New Roman" w:hAnsi="Times New Roman" w:cs="Times New Roman"/>
          <w:sz w:val="24"/>
          <w:szCs w:val="24"/>
        </w:rPr>
        <w:t xml:space="preserve">prescribes further requirements </w:t>
      </w:r>
      <w:r w:rsidR="000E0EC0" w:rsidRPr="00206628">
        <w:rPr>
          <w:rFonts w:ascii="Times New Roman" w:hAnsi="Times New Roman" w:cs="Times New Roman"/>
          <w:sz w:val="24"/>
          <w:szCs w:val="24"/>
        </w:rPr>
        <w:t xml:space="preserve">about which </w:t>
      </w:r>
      <w:r w:rsidRPr="00206628">
        <w:rPr>
          <w:rFonts w:ascii="Times New Roman" w:hAnsi="Times New Roman" w:cs="Times New Roman"/>
          <w:sz w:val="24"/>
          <w:szCs w:val="24"/>
        </w:rPr>
        <w:t xml:space="preserve">the Minister </w:t>
      </w:r>
      <w:r w:rsidR="000E0EC0" w:rsidRPr="00206628">
        <w:rPr>
          <w:rFonts w:ascii="Times New Roman" w:hAnsi="Times New Roman" w:cs="Times New Roman"/>
          <w:sz w:val="24"/>
          <w:szCs w:val="24"/>
        </w:rPr>
        <w:t xml:space="preserve">must be satisfied </w:t>
      </w:r>
      <w:r w:rsidRPr="00206628">
        <w:rPr>
          <w:rFonts w:ascii="Times New Roman" w:hAnsi="Times New Roman" w:cs="Times New Roman"/>
          <w:sz w:val="24"/>
          <w:szCs w:val="24"/>
        </w:rPr>
        <w:t xml:space="preserve">when determining </w:t>
      </w:r>
      <w:r w:rsidR="003A72A4" w:rsidRPr="00206628">
        <w:rPr>
          <w:rFonts w:ascii="Times New Roman" w:hAnsi="Times New Roman" w:cs="Times New Roman"/>
          <w:sz w:val="24"/>
          <w:szCs w:val="24"/>
        </w:rPr>
        <w:t xml:space="preserve">whether </w:t>
      </w:r>
      <w:r w:rsidRPr="00206628">
        <w:rPr>
          <w:rFonts w:ascii="Times New Roman" w:hAnsi="Times New Roman" w:cs="Times New Roman"/>
          <w:sz w:val="24"/>
          <w:szCs w:val="24"/>
        </w:rPr>
        <w:t>to suspend the MSO</w:t>
      </w:r>
      <w:r w:rsidR="003A72A4" w:rsidRPr="00206628">
        <w:rPr>
          <w:rFonts w:ascii="Times New Roman" w:hAnsi="Times New Roman" w:cs="Times New Roman"/>
          <w:sz w:val="24"/>
          <w:szCs w:val="24"/>
        </w:rPr>
        <w:t xml:space="preserve"> for all regulated entities</w:t>
      </w:r>
      <w:r w:rsidR="0064485B" w:rsidRPr="00206628">
        <w:rPr>
          <w:rFonts w:ascii="Times New Roman" w:hAnsi="Times New Roman" w:cs="Times New Roman"/>
          <w:sz w:val="24"/>
          <w:szCs w:val="24"/>
        </w:rPr>
        <w:t xml:space="preserve"> under section 27 of the Act</w:t>
      </w:r>
      <w:r w:rsidRPr="00206628">
        <w:rPr>
          <w:rFonts w:ascii="Times New Roman" w:hAnsi="Times New Roman" w:cs="Times New Roman"/>
          <w:sz w:val="24"/>
          <w:szCs w:val="24"/>
        </w:rPr>
        <w:t xml:space="preserve">. </w:t>
      </w:r>
    </w:p>
    <w:p w14:paraId="687C5B4B" w14:textId="005AF6DD" w:rsidR="0057700B" w:rsidRPr="00206628" w:rsidRDefault="00761A61" w:rsidP="003B016E">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Paragraph </w:t>
      </w:r>
      <w:r w:rsidR="00BE3CB9" w:rsidRPr="00206628">
        <w:rPr>
          <w:rFonts w:ascii="Times New Roman" w:hAnsi="Times New Roman" w:cs="Times New Roman"/>
          <w:sz w:val="24"/>
          <w:szCs w:val="24"/>
        </w:rPr>
        <w:t>28</w:t>
      </w:r>
      <w:r w:rsidR="00F831C0" w:rsidRPr="00206628">
        <w:rPr>
          <w:rFonts w:ascii="Times New Roman" w:hAnsi="Times New Roman" w:cs="Times New Roman"/>
          <w:sz w:val="24"/>
          <w:szCs w:val="24"/>
        </w:rPr>
        <w:t xml:space="preserve">(a) prescribes that any suspension by the Minister must be </w:t>
      </w:r>
      <w:r w:rsidR="000E0EC0" w:rsidRPr="00206628">
        <w:rPr>
          <w:rFonts w:ascii="Times New Roman" w:hAnsi="Times New Roman" w:cs="Times New Roman"/>
          <w:sz w:val="24"/>
          <w:szCs w:val="24"/>
        </w:rPr>
        <w:t xml:space="preserve">no </w:t>
      </w:r>
      <w:r w:rsidR="00F831C0" w:rsidRPr="00206628">
        <w:rPr>
          <w:rFonts w:ascii="Times New Roman" w:hAnsi="Times New Roman" w:cs="Times New Roman"/>
          <w:sz w:val="24"/>
          <w:szCs w:val="24"/>
        </w:rPr>
        <w:t xml:space="preserve">longer than is </w:t>
      </w:r>
      <w:r w:rsidR="000E0EC0" w:rsidRPr="00206628">
        <w:rPr>
          <w:rFonts w:ascii="Times New Roman" w:hAnsi="Times New Roman" w:cs="Times New Roman"/>
          <w:sz w:val="24"/>
          <w:szCs w:val="24"/>
        </w:rPr>
        <w:t xml:space="preserve">reasonably </w:t>
      </w:r>
      <w:r w:rsidR="00F831C0" w:rsidRPr="00206628">
        <w:rPr>
          <w:rFonts w:ascii="Times New Roman" w:hAnsi="Times New Roman" w:cs="Times New Roman"/>
          <w:sz w:val="24"/>
          <w:szCs w:val="24"/>
        </w:rPr>
        <w:t>necessary to prevent or alleviate the disruption or likely disruption to supply. This allows stored MSO product to be used as intended</w:t>
      </w:r>
      <w:r w:rsidR="00145C95" w:rsidRPr="00206628">
        <w:rPr>
          <w:rFonts w:ascii="Times New Roman" w:hAnsi="Times New Roman" w:cs="Times New Roman"/>
          <w:sz w:val="24"/>
          <w:szCs w:val="24"/>
        </w:rPr>
        <w:t xml:space="preserve"> by being </w:t>
      </w:r>
      <w:r w:rsidR="00B76477">
        <w:rPr>
          <w:rFonts w:ascii="Times New Roman" w:hAnsi="Times New Roman" w:cs="Times New Roman"/>
          <w:sz w:val="24"/>
          <w:szCs w:val="24"/>
        </w:rPr>
        <w:t>avail</w:t>
      </w:r>
      <w:r w:rsidR="00A228C4" w:rsidRPr="00206628">
        <w:rPr>
          <w:rFonts w:ascii="Times New Roman" w:hAnsi="Times New Roman" w:cs="Times New Roman"/>
          <w:sz w:val="24"/>
          <w:szCs w:val="24"/>
        </w:rPr>
        <w:t xml:space="preserve">able </w:t>
      </w:r>
      <w:r w:rsidR="00B76477">
        <w:rPr>
          <w:rFonts w:ascii="Times New Roman" w:hAnsi="Times New Roman" w:cs="Times New Roman"/>
          <w:sz w:val="24"/>
          <w:szCs w:val="24"/>
        </w:rPr>
        <w:t>for</w:t>
      </w:r>
      <w:r w:rsidR="00A228C4" w:rsidRPr="00206628">
        <w:rPr>
          <w:rFonts w:ascii="Times New Roman" w:hAnsi="Times New Roman" w:cs="Times New Roman"/>
          <w:sz w:val="24"/>
          <w:szCs w:val="24"/>
        </w:rPr>
        <w:t xml:space="preserve"> </w:t>
      </w:r>
      <w:r w:rsidR="00145C95" w:rsidRPr="00206628">
        <w:rPr>
          <w:rFonts w:ascii="Times New Roman" w:hAnsi="Times New Roman" w:cs="Times New Roman"/>
          <w:sz w:val="24"/>
          <w:szCs w:val="24"/>
        </w:rPr>
        <w:t>release to the market</w:t>
      </w:r>
      <w:r w:rsidR="00A228C4" w:rsidRPr="00206628">
        <w:rPr>
          <w:rFonts w:ascii="Times New Roman" w:hAnsi="Times New Roman" w:cs="Times New Roman"/>
          <w:sz w:val="24"/>
          <w:szCs w:val="24"/>
        </w:rPr>
        <w:t>,</w:t>
      </w:r>
      <w:r w:rsidR="00145C95" w:rsidRPr="00206628">
        <w:rPr>
          <w:rFonts w:ascii="Times New Roman" w:hAnsi="Times New Roman" w:cs="Times New Roman"/>
          <w:sz w:val="24"/>
          <w:szCs w:val="24"/>
        </w:rPr>
        <w:t xml:space="preserve"> thereby increasing supply</w:t>
      </w:r>
      <w:r w:rsidR="00F831C0" w:rsidRPr="00206628">
        <w:rPr>
          <w:rFonts w:ascii="Times New Roman" w:hAnsi="Times New Roman" w:cs="Times New Roman"/>
          <w:sz w:val="24"/>
          <w:szCs w:val="24"/>
        </w:rPr>
        <w:t>, when there is a likely disruption to fuel supply or a disruption is already occurring</w:t>
      </w:r>
      <w:r w:rsidR="003B016E" w:rsidRPr="00206628">
        <w:rPr>
          <w:rFonts w:ascii="Times New Roman" w:hAnsi="Times New Roman" w:cs="Times New Roman"/>
          <w:sz w:val="24"/>
          <w:szCs w:val="24"/>
        </w:rPr>
        <w:t xml:space="preserve">. It is intended relevant circumstances may include </w:t>
      </w:r>
      <w:r w:rsidR="0064485B" w:rsidRPr="00206628">
        <w:rPr>
          <w:rFonts w:ascii="Times New Roman" w:hAnsi="Times New Roman" w:cs="Times New Roman"/>
          <w:sz w:val="24"/>
          <w:szCs w:val="24"/>
        </w:rPr>
        <w:t xml:space="preserve">(but not be limited to) </w:t>
      </w:r>
      <w:r w:rsidR="003B016E" w:rsidRPr="00206628">
        <w:rPr>
          <w:rFonts w:ascii="Times New Roman" w:hAnsi="Times New Roman" w:cs="Times New Roman"/>
          <w:sz w:val="24"/>
          <w:szCs w:val="24"/>
        </w:rPr>
        <w:t>where there is</w:t>
      </w:r>
      <w:r w:rsidR="00145C95" w:rsidRPr="00206628">
        <w:rPr>
          <w:rFonts w:ascii="Times New Roman" w:hAnsi="Times New Roman" w:cs="Times New Roman"/>
          <w:sz w:val="24"/>
          <w:szCs w:val="24"/>
        </w:rPr>
        <w:t xml:space="preserve"> </w:t>
      </w:r>
      <w:r w:rsidR="0057700B" w:rsidRPr="00206628">
        <w:rPr>
          <w:rFonts w:ascii="Times New Roman" w:hAnsi="Times New Roman" w:cs="Times New Roman"/>
          <w:sz w:val="24"/>
          <w:szCs w:val="24"/>
        </w:rPr>
        <w:t>an actual or likely national liquid fuel emergency</w:t>
      </w:r>
      <w:r w:rsidR="003B016E" w:rsidRPr="00206628">
        <w:rPr>
          <w:rFonts w:ascii="Times New Roman" w:hAnsi="Times New Roman" w:cs="Times New Roman"/>
          <w:sz w:val="24"/>
          <w:szCs w:val="24"/>
        </w:rPr>
        <w:t>,</w:t>
      </w:r>
      <w:r w:rsidR="0057700B" w:rsidRPr="00206628">
        <w:rPr>
          <w:rFonts w:ascii="Times New Roman" w:hAnsi="Times New Roman" w:cs="Times New Roman"/>
          <w:sz w:val="24"/>
          <w:szCs w:val="24"/>
        </w:rPr>
        <w:t xml:space="preserve"> or where </w:t>
      </w:r>
      <w:r w:rsidR="007E1580" w:rsidRPr="00206628">
        <w:rPr>
          <w:rFonts w:ascii="Times New Roman" w:hAnsi="Times New Roman" w:cs="Times New Roman"/>
          <w:sz w:val="24"/>
          <w:szCs w:val="24"/>
        </w:rPr>
        <w:t xml:space="preserve">the </w:t>
      </w:r>
      <w:r w:rsidR="00AB5BAE" w:rsidRPr="00206628">
        <w:rPr>
          <w:rFonts w:ascii="Times New Roman" w:hAnsi="Times New Roman" w:cs="Times New Roman"/>
          <w:sz w:val="24"/>
          <w:szCs w:val="24"/>
        </w:rPr>
        <w:t>I</w:t>
      </w:r>
      <w:r w:rsidR="003A72A4" w:rsidRPr="00206628">
        <w:rPr>
          <w:rFonts w:ascii="Times New Roman" w:hAnsi="Times New Roman" w:cs="Times New Roman"/>
          <w:sz w:val="24"/>
          <w:szCs w:val="24"/>
        </w:rPr>
        <w:t xml:space="preserve">nternational </w:t>
      </w:r>
      <w:r w:rsidR="00AB5BAE" w:rsidRPr="00206628">
        <w:rPr>
          <w:rFonts w:ascii="Times New Roman" w:hAnsi="Times New Roman" w:cs="Times New Roman"/>
          <w:sz w:val="24"/>
          <w:szCs w:val="24"/>
        </w:rPr>
        <w:t>E</w:t>
      </w:r>
      <w:r w:rsidR="003A72A4" w:rsidRPr="00206628">
        <w:rPr>
          <w:rFonts w:ascii="Times New Roman" w:hAnsi="Times New Roman" w:cs="Times New Roman"/>
          <w:sz w:val="24"/>
          <w:szCs w:val="24"/>
        </w:rPr>
        <w:t xml:space="preserve">nergy </w:t>
      </w:r>
      <w:r w:rsidR="00AB5BAE" w:rsidRPr="00206628">
        <w:rPr>
          <w:rFonts w:ascii="Times New Roman" w:hAnsi="Times New Roman" w:cs="Times New Roman"/>
          <w:sz w:val="24"/>
          <w:szCs w:val="24"/>
        </w:rPr>
        <w:t>A</w:t>
      </w:r>
      <w:r w:rsidR="003A72A4" w:rsidRPr="00206628">
        <w:rPr>
          <w:rFonts w:ascii="Times New Roman" w:hAnsi="Times New Roman" w:cs="Times New Roman"/>
          <w:sz w:val="24"/>
          <w:szCs w:val="24"/>
        </w:rPr>
        <w:t>gency</w:t>
      </w:r>
      <w:r w:rsidR="00AB5BAE" w:rsidRPr="00206628">
        <w:rPr>
          <w:rFonts w:ascii="Times New Roman" w:hAnsi="Times New Roman" w:cs="Times New Roman"/>
          <w:sz w:val="24"/>
          <w:szCs w:val="24"/>
        </w:rPr>
        <w:t xml:space="preserve"> </w:t>
      </w:r>
      <w:r w:rsidR="007E1580" w:rsidRPr="00206628">
        <w:rPr>
          <w:rFonts w:ascii="Times New Roman" w:hAnsi="Times New Roman" w:cs="Times New Roman"/>
          <w:sz w:val="24"/>
          <w:szCs w:val="24"/>
        </w:rPr>
        <w:t>has triggered the collective action provisions of the Agreement on an International Energy Program done at Paris on 18 November 1974, as in force for Australia from time to time. S</w:t>
      </w:r>
      <w:r w:rsidR="0057700B" w:rsidRPr="00206628">
        <w:rPr>
          <w:rFonts w:ascii="Times New Roman" w:hAnsi="Times New Roman" w:cs="Times New Roman"/>
          <w:sz w:val="24"/>
          <w:szCs w:val="24"/>
        </w:rPr>
        <w:t>uspension of the MSO in these circumstances</w:t>
      </w:r>
      <w:r w:rsidR="007E1580" w:rsidRPr="00206628">
        <w:rPr>
          <w:rFonts w:ascii="Times New Roman" w:hAnsi="Times New Roman" w:cs="Times New Roman"/>
          <w:sz w:val="24"/>
          <w:szCs w:val="24"/>
        </w:rPr>
        <w:t xml:space="preserve"> would be consistent with Australia’s treaty obligations and the objects of the Act</w:t>
      </w:r>
      <w:r w:rsidR="0057700B" w:rsidRPr="00206628">
        <w:rPr>
          <w:rFonts w:ascii="Times New Roman" w:hAnsi="Times New Roman" w:cs="Times New Roman"/>
          <w:sz w:val="24"/>
          <w:szCs w:val="24"/>
        </w:rPr>
        <w:t>.</w:t>
      </w:r>
      <w:r w:rsidR="007E1580" w:rsidRPr="00206628">
        <w:rPr>
          <w:rFonts w:ascii="Times New Roman" w:hAnsi="Times New Roman" w:cs="Times New Roman"/>
          <w:sz w:val="24"/>
          <w:szCs w:val="24"/>
        </w:rPr>
        <w:t xml:space="preserve"> </w:t>
      </w:r>
    </w:p>
    <w:p w14:paraId="05C74316" w14:textId="49B3F01B" w:rsidR="00F831C0" w:rsidRPr="00206628" w:rsidRDefault="00F831C0" w:rsidP="00700E90">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However, </w:t>
      </w:r>
      <w:r w:rsidR="00761A61" w:rsidRPr="00206628">
        <w:rPr>
          <w:rFonts w:ascii="Times New Roman" w:hAnsi="Times New Roman" w:cs="Times New Roman"/>
          <w:sz w:val="24"/>
          <w:szCs w:val="24"/>
        </w:rPr>
        <w:t xml:space="preserve">paragraph </w:t>
      </w:r>
      <w:r w:rsidR="00BE3CB9" w:rsidRPr="00206628">
        <w:rPr>
          <w:rFonts w:ascii="Times New Roman" w:hAnsi="Times New Roman" w:cs="Times New Roman"/>
          <w:sz w:val="24"/>
          <w:szCs w:val="24"/>
        </w:rPr>
        <w:t>28</w:t>
      </w:r>
      <w:r w:rsidR="003B016E" w:rsidRPr="00206628">
        <w:rPr>
          <w:rFonts w:ascii="Times New Roman" w:hAnsi="Times New Roman" w:cs="Times New Roman"/>
          <w:sz w:val="24"/>
          <w:szCs w:val="24"/>
        </w:rPr>
        <w:t xml:space="preserve">(a) </w:t>
      </w:r>
      <w:r w:rsidRPr="00206628">
        <w:rPr>
          <w:rFonts w:ascii="Times New Roman" w:hAnsi="Times New Roman" w:cs="Times New Roman"/>
          <w:sz w:val="24"/>
          <w:szCs w:val="24"/>
        </w:rPr>
        <w:t xml:space="preserve">limits the magnitude of the suspension to ensure fuel security is maintained to the </w:t>
      </w:r>
      <w:r w:rsidR="00B76477">
        <w:rPr>
          <w:rFonts w:ascii="Times New Roman" w:hAnsi="Times New Roman" w:cs="Times New Roman"/>
          <w:sz w:val="24"/>
          <w:szCs w:val="24"/>
        </w:rPr>
        <w:t xml:space="preserve">greatest </w:t>
      </w:r>
      <w:r w:rsidRPr="00206628">
        <w:rPr>
          <w:rFonts w:ascii="Times New Roman" w:hAnsi="Times New Roman" w:cs="Times New Roman"/>
          <w:sz w:val="24"/>
          <w:szCs w:val="24"/>
        </w:rPr>
        <w:t>extent possible</w:t>
      </w:r>
      <w:r w:rsidR="00145C95" w:rsidRPr="00206628">
        <w:rPr>
          <w:rFonts w:ascii="Times New Roman" w:hAnsi="Times New Roman" w:cs="Times New Roman"/>
          <w:sz w:val="24"/>
          <w:szCs w:val="24"/>
        </w:rPr>
        <w:t xml:space="preserve"> (by maintaining reserves of MSO products)</w:t>
      </w:r>
      <w:r w:rsidRPr="00206628">
        <w:rPr>
          <w:rFonts w:ascii="Times New Roman" w:hAnsi="Times New Roman" w:cs="Times New Roman"/>
          <w:sz w:val="24"/>
          <w:szCs w:val="24"/>
        </w:rPr>
        <w:t xml:space="preserve">, and </w:t>
      </w:r>
      <w:r w:rsidR="00B76477">
        <w:rPr>
          <w:rFonts w:ascii="Times New Roman" w:hAnsi="Times New Roman" w:cs="Times New Roman"/>
          <w:sz w:val="24"/>
          <w:szCs w:val="24"/>
        </w:rPr>
        <w:t xml:space="preserve">stocks are </w:t>
      </w:r>
      <w:r w:rsidRPr="00206628">
        <w:rPr>
          <w:rFonts w:ascii="Times New Roman" w:hAnsi="Times New Roman" w:cs="Times New Roman"/>
          <w:sz w:val="24"/>
          <w:szCs w:val="24"/>
        </w:rPr>
        <w:t xml:space="preserve">increased as quickly as possible </w:t>
      </w:r>
      <w:r w:rsidR="00147FD6" w:rsidRPr="00206628">
        <w:rPr>
          <w:rFonts w:ascii="Times New Roman" w:hAnsi="Times New Roman" w:cs="Times New Roman"/>
          <w:sz w:val="24"/>
          <w:szCs w:val="24"/>
        </w:rPr>
        <w:t>after the disruption has ended. Suspensions will be long enough to allow entities to get back to compl</w:t>
      </w:r>
      <w:r w:rsidR="00A228C4" w:rsidRPr="00206628">
        <w:rPr>
          <w:rFonts w:ascii="Times New Roman" w:hAnsi="Times New Roman" w:cs="Times New Roman"/>
          <w:sz w:val="24"/>
          <w:szCs w:val="24"/>
        </w:rPr>
        <w:t>ying</w:t>
      </w:r>
      <w:r w:rsidR="00147FD6" w:rsidRPr="00206628">
        <w:rPr>
          <w:rFonts w:ascii="Times New Roman" w:hAnsi="Times New Roman" w:cs="Times New Roman"/>
          <w:sz w:val="24"/>
          <w:szCs w:val="24"/>
        </w:rPr>
        <w:t xml:space="preserve"> with their designated quantity of MSO products by the end date of the suspension, rather than allowing a grace-period to increase stock levels after the suspension has ended. </w:t>
      </w:r>
    </w:p>
    <w:p w14:paraId="4865599D" w14:textId="33FF1A44" w:rsidR="001777B4" w:rsidRPr="00206628" w:rsidRDefault="00761A61" w:rsidP="00700E90">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Paragraph </w:t>
      </w:r>
      <w:r w:rsidR="00BE3CB9" w:rsidRPr="00206628">
        <w:rPr>
          <w:rFonts w:ascii="Times New Roman" w:hAnsi="Times New Roman" w:cs="Times New Roman"/>
          <w:sz w:val="24"/>
          <w:szCs w:val="24"/>
        </w:rPr>
        <w:t>28</w:t>
      </w:r>
      <w:r w:rsidR="00147FD6" w:rsidRPr="00206628">
        <w:rPr>
          <w:rFonts w:ascii="Times New Roman" w:hAnsi="Times New Roman" w:cs="Times New Roman"/>
          <w:sz w:val="24"/>
          <w:szCs w:val="24"/>
        </w:rPr>
        <w:t xml:space="preserve">(b) </w:t>
      </w:r>
      <w:r w:rsidR="00145C95" w:rsidRPr="00206628">
        <w:rPr>
          <w:rFonts w:ascii="Times New Roman" w:hAnsi="Times New Roman" w:cs="Times New Roman"/>
          <w:sz w:val="24"/>
          <w:szCs w:val="24"/>
        </w:rPr>
        <w:t xml:space="preserve">requires </w:t>
      </w:r>
      <w:r w:rsidR="00147FD6" w:rsidRPr="00206628">
        <w:rPr>
          <w:rFonts w:ascii="Times New Roman" w:hAnsi="Times New Roman" w:cs="Times New Roman"/>
          <w:sz w:val="24"/>
          <w:szCs w:val="24"/>
        </w:rPr>
        <w:t>th</w:t>
      </w:r>
      <w:r w:rsidR="000E0EC0" w:rsidRPr="00206628">
        <w:rPr>
          <w:rFonts w:ascii="Times New Roman" w:hAnsi="Times New Roman" w:cs="Times New Roman"/>
          <w:sz w:val="24"/>
          <w:szCs w:val="24"/>
        </w:rPr>
        <w:t>e Minister to be satisfied th</w:t>
      </w:r>
      <w:r w:rsidR="00147FD6" w:rsidRPr="00206628">
        <w:rPr>
          <w:rFonts w:ascii="Times New Roman" w:hAnsi="Times New Roman" w:cs="Times New Roman"/>
          <w:sz w:val="24"/>
          <w:szCs w:val="24"/>
        </w:rPr>
        <w:t xml:space="preserve">at </w:t>
      </w:r>
      <w:r w:rsidR="00FF7453" w:rsidRPr="00206628">
        <w:rPr>
          <w:rFonts w:ascii="Times New Roman" w:hAnsi="Times New Roman" w:cs="Times New Roman"/>
          <w:sz w:val="24"/>
          <w:szCs w:val="24"/>
        </w:rPr>
        <w:t>S</w:t>
      </w:r>
      <w:r w:rsidR="00147FD6" w:rsidRPr="00206628">
        <w:rPr>
          <w:rFonts w:ascii="Times New Roman" w:hAnsi="Times New Roman" w:cs="Times New Roman"/>
          <w:sz w:val="24"/>
          <w:szCs w:val="24"/>
        </w:rPr>
        <w:t xml:space="preserve">tate and </w:t>
      </w:r>
      <w:r w:rsidR="00FF7453" w:rsidRPr="00206628">
        <w:rPr>
          <w:rFonts w:ascii="Times New Roman" w:hAnsi="Times New Roman" w:cs="Times New Roman"/>
          <w:sz w:val="24"/>
          <w:szCs w:val="24"/>
        </w:rPr>
        <w:t>T</w:t>
      </w:r>
      <w:r w:rsidR="00147FD6" w:rsidRPr="00206628">
        <w:rPr>
          <w:rFonts w:ascii="Times New Roman" w:hAnsi="Times New Roman" w:cs="Times New Roman"/>
          <w:sz w:val="24"/>
          <w:szCs w:val="24"/>
        </w:rPr>
        <w:t xml:space="preserve">erritory Energy Ministers </w:t>
      </w:r>
      <w:r w:rsidR="00145C95" w:rsidRPr="00206628">
        <w:rPr>
          <w:rFonts w:ascii="Times New Roman" w:hAnsi="Times New Roman" w:cs="Times New Roman"/>
          <w:sz w:val="24"/>
          <w:szCs w:val="24"/>
        </w:rPr>
        <w:t xml:space="preserve">(within the meaning of the </w:t>
      </w:r>
      <w:r w:rsidR="00145C95" w:rsidRPr="00206628">
        <w:rPr>
          <w:rFonts w:ascii="Times New Roman" w:hAnsi="Times New Roman" w:cs="Times New Roman"/>
          <w:i/>
          <w:sz w:val="24"/>
          <w:szCs w:val="24"/>
        </w:rPr>
        <w:t>Liquid Fuel Emergency Act 1984</w:t>
      </w:r>
      <w:r w:rsidR="00145C95" w:rsidRPr="00206628">
        <w:rPr>
          <w:rFonts w:ascii="Times New Roman" w:hAnsi="Times New Roman" w:cs="Times New Roman"/>
          <w:sz w:val="24"/>
          <w:szCs w:val="24"/>
        </w:rPr>
        <w:t xml:space="preserve"> (LFE Act)) </w:t>
      </w:r>
      <w:r w:rsidR="000E0EC0" w:rsidRPr="00206628">
        <w:rPr>
          <w:rFonts w:ascii="Times New Roman" w:hAnsi="Times New Roman" w:cs="Times New Roman"/>
          <w:sz w:val="24"/>
          <w:szCs w:val="24"/>
        </w:rPr>
        <w:t>have been</w:t>
      </w:r>
      <w:r w:rsidR="00147FD6" w:rsidRPr="00206628">
        <w:rPr>
          <w:rFonts w:ascii="Times New Roman" w:hAnsi="Times New Roman" w:cs="Times New Roman"/>
          <w:sz w:val="24"/>
          <w:szCs w:val="24"/>
        </w:rPr>
        <w:t xml:space="preserve"> informed </w:t>
      </w:r>
      <w:r w:rsidR="00145C95" w:rsidRPr="00206628">
        <w:rPr>
          <w:rFonts w:ascii="Times New Roman" w:hAnsi="Times New Roman" w:cs="Times New Roman"/>
          <w:sz w:val="24"/>
          <w:szCs w:val="24"/>
        </w:rPr>
        <w:t>before the MSO is suspended by the Minister</w:t>
      </w:r>
      <w:r w:rsidR="00147FD6" w:rsidRPr="00206628">
        <w:rPr>
          <w:rFonts w:ascii="Times New Roman" w:hAnsi="Times New Roman" w:cs="Times New Roman"/>
          <w:sz w:val="24"/>
          <w:szCs w:val="24"/>
        </w:rPr>
        <w:t xml:space="preserve">. This is to ensure that any interactions with the </w:t>
      </w:r>
      <w:r w:rsidR="005F3BC0" w:rsidRPr="00206628">
        <w:rPr>
          <w:rFonts w:ascii="Times New Roman" w:hAnsi="Times New Roman" w:cs="Times New Roman"/>
          <w:sz w:val="24"/>
          <w:szCs w:val="24"/>
        </w:rPr>
        <w:t>LFE Act</w:t>
      </w:r>
      <w:r w:rsidR="00147FD6" w:rsidRPr="00206628">
        <w:rPr>
          <w:rFonts w:ascii="Times New Roman" w:hAnsi="Times New Roman" w:cs="Times New Roman"/>
          <w:sz w:val="24"/>
          <w:szCs w:val="24"/>
        </w:rPr>
        <w:t xml:space="preserve"> are as seamless as possible</w:t>
      </w:r>
      <w:r w:rsidR="00145C95" w:rsidRPr="00206628">
        <w:rPr>
          <w:rFonts w:ascii="Times New Roman" w:hAnsi="Times New Roman" w:cs="Times New Roman"/>
          <w:sz w:val="24"/>
          <w:szCs w:val="24"/>
        </w:rPr>
        <w:t xml:space="preserve">, </w:t>
      </w:r>
      <w:r w:rsidR="005F3BC0" w:rsidRPr="00206628">
        <w:rPr>
          <w:rFonts w:ascii="Times New Roman" w:hAnsi="Times New Roman" w:cs="Times New Roman"/>
          <w:sz w:val="24"/>
          <w:szCs w:val="24"/>
        </w:rPr>
        <w:t>acknowledges the responsibility of States and Territories to plan for and co-ordinate the response to fuel shortages within their territorial boundaries</w:t>
      </w:r>
      <w:r w:rsidR="00B76477">
        <w:rPr>
          <w:rFonts w:ascii="Times New Roman" w:hAnsi="Times New Roman" w:cs="Times New Roman"/>
          <w:sz w:val="24"/>
          <w:szCs w:val="24"/>
        </w:rPr>
        <w:t>.</w:t>
      </w:r>
      <w:r w:rsidR="005F3BC0" w:rsidRPr="00206628">
        <w:rPr>
          <w:rFonts w:ascii="Times New Roman" w:hAnsi="Times New Roman" w:cs="Times New Roman"/>
          <w:sz w:val="24"/>
          <w:szCs w:val="24"/>
        </w:rPr>
        <w:t xml:space="preserve"> </w:t>
      </w:r>
      <w:r w:rsidR="00B76477">
        <w:rPr>
          <w:rFonts w:ascii="Times New Roman" w:hAnsi="Times New Roman" w:cs="Times New Roman"/>
          <w:sz w:val="24"/>
          <w:szCs w:val="24"/>
        </w:rPr>
        <w:t xml:space="preserve">This </w:t>
      </w:r>
      <w:r w:rsidR="005F3BC0" w:rsidRPr="00206628">
        <w:rPr>
          <w:rFonts w:ascii="Times New Roman" w:hAnsi="Times New Roman" w:cs="Times New Roman"/>
          <w:sz w:val="24"/>
          <w:szCs w:val="24"/>
        </w:rPr>
        <w:t>is congruent with the requirement that</w:t>
      </w:r>
      <w:r w:rsidR="00145C95" w:rsidRPr="00206628">
        <w:rPr>
          <w:rFonts w:ascii="Times New Roman" w:hAnsi="Times New Roman" w:cs="Times New Roman"/>
          <w:sz w:val="24"/>
          <w:szCs w:val="24"/>
        </w:rPr>
        <w:t xml:space="preserve"> the Minister must consider suspending the MSO if requested to do so by </w:t>
      </w:r>
      <w:r w:rsidR="005F3BC0" w:rsidRPr="00206628">
        <w:rPr>
          <w:rFonts w:ascii="Times New Roman" w:hAnsi="Times New Roman" w:cs="Times New Roman"/>
          <w:sz w:val="24"/>
          <w:szCs w:val="24"/>
        </w:rPr>
        <w:t xml:space="preserve">another Energy Minister </w:t>
      </w:r>
      <w:r w:rsidR="00145C95" w:rsidRPr="00206628">
        <w:rPr>
          <w:rFonts w:ascii="Times New Roman" w:hAnsi="Times New Roman" w:cs="Times New Roman"/>
          <w:sz w:val="24"/>
          <w:szCs w:val="24"/>
        </w:rPr>
        <w:t>under s</w:t>
      </w:r>
      <w:r w:rsidR="005F3BC0" w:rsidRPr="00206628">
        <w:rPr>
          <w:rFonts w:ascii="Times New Roman" w:hAnsi="Times New Roman" w:cs="Times New Roman"/>
          <w:sz w:val="24"/>
          <w:szCs w:val="24"/>
        </w:rPr>
        <w:t>ubsection 27(4) of the Act</w:t>
      </w:r>
      <w:r w:rsidR="003B016E" w:rsidRPr="00206628">
        <w:rPr>
          <w:rFonts w:ascii="Times New Roman" w:hAnsi="Times New Roman" w:cs="Times New Roman"/>
          <w:sz w:val="24"/>
          <w:szCs w:val="24"/>
        </w:rPr>
        <w:t>.</w:t>
      </w:r>
    </w:p>
    <w:p w14:paraId="732BC5D5" w14:textId="415C50BB" w:rsidR="001777B4" w:rsidRPr="00206628" w:rsidRDefault="00761A61" w:rsidP="00700E90">
      <w:pPr>
        <w:spacing w:before="240" w:after="100" w:afterAutospacing="1"/>
        <w:rPr>
          <w:rFonts w:ascii="Times New Roman" w:hAnsi="Times New Roman" w:cs="Times New Roman"/>
          <w:sz w:val="24"/>
          <w:szCs w:val="24"/>
        </w:rPr>
      </w:pPr>
      <w:r w:rsidRPr="00206628">
        <w:rPr>
          <w:rFonts w:ascii="Times New Roman" w:hAnsi="Times New Roman" w:cs="Times New Roman"/>
          <w:b/>
          <w:sz w:val="24"/>
          <w:szCs w:val="24"/>
        </w:rPr>
        <w:t xml:space="preserve">Section </w:t>
      </w:r>
      <w:r w:rsidR="00BE3CB9" w:rsidRPr="00206628">
        <w:rPr>
          <w:rFonts w:ascii="Times New Roman" w:hAnsi="Times New Roman" w:cs="Times New Roman"/>
          <w:b/>
          <w:sz w:val="24"/>
          <w:szCs w:val="24"/>
        </w:rPr>
        <w:t xml:space="preserve">29 </w:t>
      </w:r>
      <w:r w:rsidR="001777B4" w:rsidRPr="00206628">
        <w:rPr>
          <w:rFonts w:ascii="Times New Roman" w:hAnsi="Times New Roman" w:cs="Times New Roman"/>
          <w:b/>
          <w:sz w:val="24"/>
          <w:szCs w:val="24"/>
        </w:rPr>
        <w:t>– Application for suspension by Secretary</w:t>
      </w:r>
    </w:p>
    <w:p w14:paraId="7151687F" w14:textId="2FCE3174" w:rsidR="001777B4" w:rsidRPr="00206628" w:rsidRDefault="00761A61" w:rsidP="00700E90">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Section </w:t>
      </w:r>
      <w:r w:rsidR="00BE3CB9" w:rsidRPr="00206628">
        <w:rPr>
          <w:rFonts w:ascii="Times New Roman" w:hAnsi="Times New Roman" w:cs="Times New Roman"/>
          <w:sz w:val="24"/>
          <w:szCs w:val="24"/>
        </w:rPr>
        <w:t xml:space="preserve">29 </w:t>
      </w:r>
      <w:r w:rsidR="009C67B2" w:rsidRPr="00206628">
        <w:rPr>
          <w:rFonts w:ascii="Times New Roman" w:hAnsi="Times New Roman" w:cs="Times New Roman"/>
          <w:sz w:val="24"/>
          <w:szCs w:val="24"/>
        </w:rPr>
        <w:t xml:space="preserve">of the Rules </w:t>
      </w:r>
      <w:r w:rsidR="001777B4" w:rsidRPr="00206628">
        <w:rPr>
          <w:rFonts w:ascii="Times New Roman" w:hAnsi="Times New Roman" w:cs="Times New Roman"/>
          <w:sz w:val="24"/>
          <w:szCs w:val="24"/>
        </w:rPr>
        <w:t>prescribes the mandatory requirements for an application for suspension of an entity’s MSO</w:t>
      </w:r>
      <w:r w:rsidR="00694F1C" w:rsidRPr="00206628">
        <w:rPr>
          <w:rFonts w:ascii="Times New Roman" w:hAnsi="Times New Roman" w:cs="Times New Roman"/>
          <w:sz w:val="24"/>
          <w:szCs w:val="24"/>
        </w:rPr>
        <w:t xml:space="preserve"> for an MSO product</w:t>
      </w:r>
      <w:r w:rsidR="00613B0D" w:rsidRPr="00206628">
        <w:rPr>
          <w:rFonts w:ascii="Times New Roman" w:hAnsi="Times New Roman" w:cs="Times New Roman"/>
          <w:sz w:val="24"/>
          <w:szCs w:val="24"/>
        </w:rPr>
        <w:t>. The information required to be provide</w:t>
      </w:r>
      <w:r w:rsidR="00694F1C" w:rsidRPr="00206628">
        <w:rPr>
          <w:rFonts w:ascii="Times New Roman" w:hAnsi="Times New Roman" w:cs="Times New Roman"/>
          <w:sz w:val="24"/>
          <w:szCs w:val="24"/>
        </w:rPr>
        <w:t>d in a suspension</w:t>
      </w:r>
      <w:r w:rsidR="00613B0D" w:rsidRPr="00206628">
        <w:rPr>
          <w:rFonts w:ascii="Times New Roman" w:hAnsi="Times New Roman" w:cs="Times New Roman"/>
          <w:sz w:val="24"/>
          <w:szCs w:val="24"/>
        </w:rPr>
        <w:t xml:space="preserve"> application includes</w:t>
      </w:r>
      <w:r w:rsidR="001777B4" w:rsidRPr="00206628">
        <w:rPr>
          <w:rFonts w:ascii="Times New Roman" w:hAnsi="Times New Roman" w:cs="Times New Roman"/>
          <w:sz w:val="24"/>
          <w:szCs w:val="24"/>
        </w:rPr>
        <w:t>:</w:t>
      </w:r>
    </w:p>
    <w:p w14:paraId="5B22D489" w14:textId="77777777" w:rsidR="00DB4D65" w:rsidRPr="00206628" w:rsidRDefault="001777B4" w:rsidP="0037564F">
      <w:pPr>
        <w:pStyle w:val="ListParagraph"/>
        <w:numPr>
          <w:ilvl w:val="0"/>
          <w:numId w:val="40"/>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the proposed end date for the suspension</w:t>
      </w:r>
      <w:r w:rsidR="00613B0D" w:rsidRPr="00206628">
        <w:rPr>
          <w:rFonts w:ascii="Times New Roman" w:hAnsi="Times New Roman" w:cs="Times New Roman"/>
          <w:sz w:val="24"/>
          <w:szCs w:val="24"/>
        </w:rPr>
        <w:t>.</w:t>
      </w:r>
      <w:r w:rsidR="00694F1C" w:rsidRPr="00206628">
        <w:rPr>
          <w:rFonts w:ascii="Times New Roman" w:hAnsi="Times New Roman" w:cs="Times New Roman"/>
          <w:sz w:val="24"/>
          <w:szCs w:val="24"/>
        </w:rPr>
        <w:t xml:space="preserve"> It is intended t</w:t>
      </w:r>
      <w:r w:rsidR="00613B0D" w:rsidRPr="00206628">
        <w:rPr>
          <w:rFonts w:ascii="Times New Roman" w:hAnsi="Times New Roman" w:cs="Times New Roman"/>
          <w:sz w:val="24"/>
          <w:szCs w:val="24"/>
        </w:rPr>
        <w:t>he end date</w:t>
      </w:r>
      <w:r w:rsidRPr="00206628">
        <w:rPr>
          <w:rFonts w:ascii="Times New Roman" w:hAnsi="Times New Roman" w:cs="Times New Roman"/>
          <w:sz w:val="24"/>
          <w:szCs w:val="24"/>
        </w:rPr>
        <w:t xml:space="preserve"> should </w:t>
      </w:r>
      <w:r w:rsidR="00B30AFF" w:rsidRPr="00206628">
        <w:rPr>
          <w:rFonts w:ascii="Times New Roman" w:hAnsi="Times New Roman" w:cs="Times New Roman"/>
          <w:sz w:val="24"/>
          <w:szCs w:val="24"/>
        </w:rPr>
        <w:t>allow</w:t>
      </w:r>
      <w:r w:rsidR="00613B0D"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adequate time </w:t>
      </w:r>
      <w:r w:rsidR="00613B0D" w:rsidRPr="00206628">
        <w:rPr>
          <w:rFonts w:ascii="Times New Roman" w:hAnsi="Times New Roman" w:cs="Times New Roman"/>
          <w:sz w:val="24"/>
          <w:szCs w:val="24"/>
        </w:rPr>
        <w:t xml:space="preserve">for the entity </w:t>
      </w:r>
      <w:r w:rsidRPr="00206628">
        <w:rPr>
          <w:rFonts w:ascii="Times New Roman" w:hAnsi="Times New Roman" w:cs="Times New Roman"/>
          <w:sz w:val="24"/>
          <w:szCs w:val="24"/>
        </w:rPr>
        <w:t xml:space="preserve">to </w:t>
      </w:r>
      <w:r w:rsidR="00B30AFF" w:rsidRPr="00206628">
        <w:rPr>
          <w:rFonts w:ascii="Times New Roman" w:hAnsi="Times New Roman" w:cs="Times New Roman"/>
          <w:sz w:val="24"/>
          <w:szCs w:val="24"/>
        </w:rPr>
        <w:t>return</w:t>
      </w:r>
      <w:r w:rsidRPr="00206628">
        <w:rPr>
          <w:rFonts w:ascii="Times New Roman" w:hAnsi="Times New Roman" w:cs="Times New Roman"/>
          <w:sz w:val="24"/>
          <w:szCs w:val="24"/>
        </w:rPr>
        <w:t xml:space="preserve"> to compliance with the designated quantity of stock</w:t>
      </w:r>
      <w:r w:rsidR="00613B0D" w:rsidRPr="00206628">
        <w:rPr>
          <w:rFonts w:ascii="Times New Roman" w:hAnsi="Times New Roman" w:cs="Times New Roman"/>
          <w:sz w:val="24"/>
          <w:szCs w:val="24"/>
        </w:rPr>
        <w:t xml:space="preserve"> of MSO product</w:t>
      </w:r>
      <w:r w:rsidRPr="00206628">
        <w:rPr>
          <w:rFonts w:ascii="Times New Roman" w:hAnsi="Times New Roman" w:cs="Times New Roman"/>
          <w:sz w:val="24"/>
          <w:szCs w:val="24"/>
        </w:rPr>
        <w:t xml:space="preserve"> by the end date</w:t>
      </w:r>
      <w:r w:rsidR="00DB4D65" w:rsidRPr="00206628">
        <w:rPr>
          <w:rFonts w:ascii="Times New Roman" w:hAnsi="Times New Roman" w:cs="Times New Roman"/>
          <w:sz w:val="24"/>
          <w:szCs w:val="24"/>
        </w:rPr>
        <w:t>; and</w:t>
      </w:r>
    </w:p>
    <w:p w14:paraId="6240641C" w14:textId="3FD406F7" w:rsidR="00DB4D65" w:rsidRPr="00206628" w:rsidRDefault="00DB4D65" w:rsidP="0037564F">
      <w:pPr>
        <w:pStyle w:val="ListParagraph"/>
        <w:numPr>
          <w:ilvl w:val="0"/>
          <w:numId w:val="40"/>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reasons why the MSO should be suspended, </w:t>
      </w:r>
      <w:r w:rsidR="00613B0D" w:rsidRPr="00206628">
        <w:rPr>
          <w:rFonts w:ascii="Times New Roman" w:hAnsi="Times New Roman" w:cs="Times New Roman"/>
          <w:sz w:val="24"/>
          <w:szCs w:val="24"/>
        </w:rPr>
        <w:t xml:space="preserve">which satisfy the grounds on which the Secretary may grant an application for suspension under </w:t>
      </w:r>
      <w:r w:rsidR="00761A61" w:rsidRPr="00206628">
        <w:rPr>
          <w:rFonts w:ascii="Times New Roman" w:hAnsi="Times New Roman" w:cs="Times New Roman"/>
          <w:sz w:val="24"/>
          <w:szCs w:val="24"/>
        </w:rPr>
        <w:t xml:space="preserve">section </w:t>
      </w:r>
      <w:r w:rsidR="00BE3CB9" w:rsidRPr="00206628">
        <w:rPr>
          <w:rFonts w:ascii="Times New Roman" w:hAnsi="Times New Roman" w:cs="Times New Roman"/>
          <w:sz w:val="24"/>
          <w:szCs w:val="24"/>
        </w:rPr>
        <w:t xml:space="preserve">30 </w:t>
      </w:r>
      <w:r w:rsidR="00613B0D" w:rsidRPr="00206628">
        <w:rPr>
          <w:rFonts w:ascii="Times New Roman" w:hAnsi="Times New Roman" w:cs="Times New Roman"/>
          <w:sz w:val="24"/>
          <w:szCs w:val="24"/>
        </w:rPr>
        <w:t>of the Rules</w:t>
      </w:r>
      <w:r w:rsidRPr="00206628">
        <w:rPr>
          <w:rFonts w:ascii="Times New Roman" w:hAnsi="Times New Roman" w:cs="Times New Roman"/>
          <w:sz w:val="24"/>
          <w:szCs w:val="24"/>
        </w:rPr>
        <w:t>; and</w:t>
      </w:r>
    </w:p>
    <w:p w14:paraId="5B4D65EE" w14:textId="77777777" w:rsidR="00147FD6" w:rsidRPr="00206628" w:rsidRDefault="00DB4D65" w:rsidP="0037564F">
      <w:pPr>
        <w:pStyle w:val="ListParagraph"/>
        <w:numPr>
          <w:ilvl w:val="0"/>
          <w:numId w:val="40"/>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lastRenderedPageBreak/>
        <w:t xml:space="preserve">an estimate of when </w:t>
      </w:r>
      <w:r w:rsidR="00694F1C" w:rsidRPr="00206628">
        <w:rPr>
          <w:rFonts w:ascii="Times New Roman" w:hAnsi="Times New Roman" w:cs="Times New Roman"/>
          <w:sz w:val="24"/>
          <w:szCs w:val="24"/>
        </w:rPr>
        <w:t xml:space="preserve">it is expected </w:t>
      </w:r>
      <w:r w:rsidRPr="00206628">
        <w:rPr>
          <w:rFonts w:ascii="Times New Roman" w:hAnsi="Times New Roman" w:cs="Times New Roman"/>
          <w:sz w:val="24"/>
          <w:szCs w:val="24"/>
        </w:rPr>
        <w:t xml:space="preserve">stock levels </w:t>
      </w:r>
      <w:r w:rsidR="00694F1C" w:rsidRPr="00206628">
        <w:rPr>
          <w:rFonts w:ascii="Times New Roman" w:hAnsi="Times New Roman" w:cs="Times New Roman"/>
          <w:sz w:val="24"/>
          <w:szCs w:val="24"/>
        </w:rPr>
        <w:t xml:space="preserve">of the MSO product </w:t>
      </w:r>
      <w:r w:rsidRPr="00206628">
        <w:rPr>
          <w:rFonts w:ascii="Times New Roman" w:hAnsi="Times New Roman" w:cs="Times New Roman"/>
          <w:sz w:val="24"/>
          <w:szCs w:val="24"/>
        </w:rPr>
        <w:t xml:space="preserve">will </w:t>
      </w:r>
      <w:r w:rsidR="00694F1C" w:rsidRPr="00206628">
        <w:rPr>
          <w:rFonts w:ascii="Times New Roman" w:hAnsi="Times New Roman" w:cs="Times New Roman"/>
          <w:sz w:val="24"/>
          <w:szCs w:val="24"/>
        </w:rPr>
        <w:t>comply with</w:t>
      </w:r>
      <w:r w:rsidRPr="00206628">
        <w:rPr>
          <w:rFonts w:ascii="Times New Roman" w:hAnsi="Times New Roman" w:cs="Times New Roman"/>
          <w:sz w:val="24"/>
          <w:szCs w:val="24"/>
        </w:rPr>
        <w:t xml:space="preserve"> the</w:t>
      </w:r>
      <w:r w:rsidR="00521C05" w:rsidRPr="00206628">
        <w:rPr>
          <w:rFonts w:ascii="Times New Roman" w:hAnsi="Times New Roman" w:cs="Times New Roman"/>
          <w:sz w:val="24"/>
          <w:szCs w:val="24"/>
        </w:rPr>
        <w:t xml:space="preserve"> designated quantities </w:t>
      </w:r>
      <w:r w:rsidR="00694F1C" w:rsidRPr="00206628">
        <w:rPr>
          <w:rFonts w:ascii="Times New Roman" w:hAnsi="Times New Roman" w:cs="Times New Roman"/>
          <w:sz w:val="24"/>
          <w:szCs w:val="24"/>
        </w:rPr>
        <w:t>for the</w:t>
      </w:r>
      <w:r w:rsidR="00521C05" w:rsidRPr="00206628">
        <w:rPr>
          <w:rFonts w:ascii="Times New Roman" w:hAnsi="Times New Roman" w:cs="Times New Roman"/>
          <w:sz w:val="24"/>
          <w:szCs w:val="24"/>
        </w:rPr>
        <w:t xml:space="preserve"> product</w:t>
      </w:r>
      <w:r w:rsidR="00694F1C" w:rsidRPr="00206628">
        <w:rPr>
          <w:rFonts w:ascii="Times New Roman" w:hAnsi="Times New Roman" w:cs="Times New Roman"/>
          <w:sz w:val="24"/>
          <w:szCs w:val="24"/>
        </w:rPr>
        <w:t>,</w:t>
      </w:r>
      <w:r w:rsidR="00521C05" w:rsidRPr="00206628">
        <w:rPr>
          <w:rFonts w:ascii="Times New Roman" w:hAnsi="Times New Roman" w:cs="Times New Roman"/>
          <w:sz w:val="24"/>
          <w:szCs w:val="24"/>
        </w:rPr>
        <w:t xml:space="preserve"> if the suspension </w:t>
      </w:r>
      <w:r w:rsidR="00694F1C" w:rsidRPr="00206628">
        <w:rPr>
          <w:rFonts w:ascii="Times New Roman" w:hAnsi="Times New Roman" w:cs="Times New Roman"/>
          <w:sz w:val="24"/>
          <w:szCs w:val="24"/>
        </w:rPr>
        <w:t xml:space="preserve">were to be </w:t>
      </w:r>
      <w:r w:rsidR="00521C05" w:rsidRPr="00206628">
        <w:rPr>
          <w:rFonts w:ascii="Times New Roman" w:hAnsi="Times New Roman" w:cs="Times New Roman"/>
          <w:sz w:val="24"/>
          <w:szCs w:val="24"/>
        </w:rPr>
        <w:t>granted, and the reasons for this estimate; and</w:t>
      </w:r>
    </w:p>
    <w:p w14:paraId="434C3A8C" w14:textId="441C099F" w:rsidR="00521C05" w:rsidRPr="00206628" w:rsidRDefault="00521C05" w:rsidP="0037564F">
      <w:pPr>
        <w:pStyle w:val="ListParagraph"/>
        <w:numPr>
          <w:ilvl w:val="0"/>
          <w:numId w:val="40"/>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evidence to substantiate </w:t>
      </w:r>
      <w:r w:rsidR="00B30AFF" w:rsidRPr="00206628">
        <w:rPr>
          <w:rFonts w:ascii="Times New Roman" w:hAnsi="Times New Roman" w:cs="Times New Roman"/>
          <w:sz w:val="24"/>
          <w:szCs w:val="24"/>
        </w:rPr>
        <w:t>the applicant’s asserted reasons for suspension and the estimated return to compliance timeframe</w:t>
      </w:r>
      <w:r w:rsidRPr="00206628">
        <w:rPr>
          <w:rFonts w:ascii="Times New Roman" w:hAnsi="Times New Roman" w:cs="Times New Roman"/>
          <w:sz w:val="24"/>
          <w:szCs w:val="24"/>
        </w:rPr>
        <w:t>; and</w:t>
      </w:r>
    </w:p>
    <w:p w14:paraId="5E6ED397" w14:textId="77777777" w:rsidR="00521C05" w:rsidRPr="00206628" w:rsidRDefault="00CE4CEF" w:rsidP="0037564F">
      <w:pPr>
        <w:pStyle w:val="ListParagraph"/>
        <w:numPr>
          <w:ilvl w:val="0"/>
          <w:numId w:val="40"/>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details of any other entities who should (or should not) be </w:t>
      </w:r>
      <w:r w:rsidR="00B30AFF" w:rsidRPr="00206628">
        <w:rPr>
          <w:rFonts w:ascii="Times New Roman" w:hAnsi="Times New Roman" w:cs="Times New Roman"/>
          <w:sz w:val="24"/>
          <w:szCs w:val="24"/>
        </w:rPr>
        <w:t>subject to</w:t>
      </w:r>
      <w:r w:rsidRPr="00206628">
        <w:rPr>
          <w:rFonts w:ascii="Times New Roman" w:hAnsi="Times New Roman" w:cs="Times New Roman"/>
          <w:sz w:val="24"/>
          <w:szCs w:val="24"/>
        </w:rPr>
        <w:t xml:space="preserve"> </w:t>
      </w:r>
      <w:r w:rsidR="00B30AFF" w:rsidRPr="00206628">
        <w:rPr>
          <w:rFonts w:ascii="Times New Roman" w:hAnsi="Times New Roman" w:cs="Times New Roman"/>
          <w:sz w:val="24"/>
          <w:szCs w:val="24"/>
        </w:rPr>
        <w:t xml:space="preserve">any </w:t>
      </w:r>
      <w:r w:rsidRPr="00206628">
        <w:rPr>
          <w:rFonts w:ascii="Times New Roman" w:hAnsi="Times New Roman" w:cs="Times New Roman"/>
          <w:sz w:val="24"/>
          <w:szCs w:val="24"/>
        </w:rPr>
        <w:t xml:space="preserve">suspension </w:t>
      </w:r>
      <w:r w:rsidR="00CC10C6" w:rsidRPr="00206628">
        <w:rPr>
          <w:rFonts w:ascii="Times New Roman" w:hAnsi="Times New Roman" w:cs="Times New Roman"/>
          <w:sz w:val="24"/>
          <w:szCs w:val="24"/>
        </w:rPr>
        <w:t xml:space="preserve">of the MSO </w:t>
      </w:r>
      <w:r w:rsidR="00B30AFF" w:rsidRPr="00206628">
        <w:rPr>
          <w:rFonts w:ascii="Times New Roman" w:hAnsi="Times New Roman" w:cs="Times New Roman"/>
          <w:sz w:val="24"/>
          <w:szCs w:val="24"/>
        </w:rPr>
        <w:t>granted</w:t>
      </w:r>
      <w:r w:rsidRPr="00206628">
        <w:rPr>
          <w:rFonts w:ascii="Times New Roman" w:hAnsi="Times New Roman" w:cs="Times New Roman"/>
          <w:sz w:val="24"/>
          <w:szCs w:val="24"/>
        </w:rPr>
        <w:t xml:space="preserve"> by the Secretary. This </w:t>
      </w:r>
      <w:r w:rsidR="00CC10C6" w:rsidRPr="00206628">
        <w:rPr>
          <w:rFonts w:ascii="Times New Roman" w:hAnsi="Times New Roman" w:cs="Times New Roman"/>
          <w:sz w:val="24"/>
          <w:szCs w:val="24"/>
        </w:rPr>
        <w:t xml:space="preserve">will facilitate the Secretary’s decision whether to suspend the MSO for a specified class of entities (including the applicant) who may also be affected by the same circumstances as the applicant, in accordance with </w:t>
      </w:r>
      <w:r w:rsidR="00DF6373" w:rsidRPr="00206628">
        <w:rPr>
          <w:rFonts w:ascii="Times New Roman" w:hAnsi="Times New Roman" w:cs="Times New Roman"/>
          <w:sz w:val="24"/>
          <w:szCs w:val="24"/>
        </w:rPr>
        <w:t xml:space="preserve">subsection 29(3) of the </w:t>
      </w:r>
      <w:r w:rsidRPr="00206628">
        <w:rPr>
          <w:rFonts w:ascii="Times New Roman" w:hAnsi="Times New Roman" w:cs="Times New Roman"/>
          <w:sz w:val="24"/>
          <w:szCs w:val="24"/>
        </w:rPr>
        <w:t>Act; and</w:t>
      </w:r>
    </w:p>
    <w:p w14:paraId="5CB833AD" w14:textId="77777777" w:rsidR="00CE4CEF" w:rsidRPr="00206628" w:rsidRDefault="00B30AFF" w:rsidP="0037564F">
      <w:pPr>
        <w:pStyle w:val="ListParagraph"/>
        <w:numPr>
          <w:ilvl w:val="0"/>
          <w:numId w:val="40"/>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a copy of </w:t>
      </w:r>
      <w:r w:rsidR="00CE4CEF" w:rsidRPr="00206628">
        <w:rPr>
          <w:rFonts w:ascii="Times New Roman" w:hAnsi="Times New Roman" w:cs="Times New Roman"/>
          <w:sz w:val="24"/>
          <w:szCs w:val="24"/>
        </w:rPr>
        <w:t xml:space="preserve">the latest MSO compliance plan for the entity, which should be updated to include the intended path to </w:t>
      </w:r>
      <w:r w:rsidRPr="00206628">
        <w:rPr>
          <w:rFonts w:ascii="Times New Roman" w:hAnsi="Times New Roman" w:cs="Times New Roman"/>
          <w:sz w:val="24"/>
          <w:szCs w:val="24"/>
        </w:rPr>
        <w:t xml:space="preserve">return to </w:t>
      </w:r>
      <w:r w:rsidR="00CE4CEF" w:rsidRPr="00206628">
        <w:rPr>
          <w:rFonts w:ascii="Times New Roman" w:hAnsi="Times New Roman" w:cs="Times New Roman"/>
          <w:sz w:val="24"/>
          <w:szCs w:val="24"/>
        </w:rPr>
        <w:t xml:space="preserve">compliance </w:t>
      </w:r>
      <w:r w:rsidRPr="00206628">
        <w:rPr>
          <w:rFonts w:ascii="Times New Roman" w:hAnsi="Times New Roman" w:cs="Times New Roman"/>
          <w:sz w:val="24"/>
          <w:szCs w:val="24"/>
        </w:rPr>
        <w:t xml:space="preserve">with the MSO, </w:t>
      </w:r>
      <w:r w:rsidR="00CE4CEF" w:rsidRPr="00206628">
        <w:rPr>
          <w:rFonts w:ascii="Times New Roman" w:hAnsi="Times New Roman" w:cs="Times New Roman"/>
          <w:sz w:val="24"/>
          <w:szCs w:val="24"/>
        </w:rPr>
        <w:t xml:space="preserve">if a suspension is </w:t>
      </w:r>
      <w:r w:rsidR="00CC10C6" w:rsidRPr="00206628">
        <w:rPr>
          <w:rFonts w:ascii="Times New Roman" w:hAnsi="Times New Roman" w:cs="Times New Roman"/>
          <w:sz w:val="24"/>
          <w:szCs w:val="24"/>
        </w:rPr>
        <w:t>granted</w:t>
      </w:r>
      <w:r w:rsidR="00CE4CEF" w:rsidRPr="00206628">
        <w:rPr>
          <w:rFonts w:ascii="Times New Roman" w:hAnsi="Times New Roman" w:cs="Times New Roman"/>
          <w:sz w:val="24"/>
          <w:szCs w:val="24"/>
        </w:rPr>
        <w:t>; and</w:t>
      </w:r>
    </w:p>
    <w:p w14:paraId="21A35C4D" w14:textId="77777777" w:rsidR="00CE4CEF" w:rsidRPr="00206628" w:rsidRDefault="00763593" w:rsidP="0037564F">
      <w:pPr>
        <w:pStyle w:val="ListParagraph"/>
        <w:numPr>
          <w:ilvl w:val="0"/>
          <w:numId w:val="40"/>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reason</w:t>
      </w:r>
      <w:r w:rsidR="004E7E39" w:rsidRPr="00206628">
        <w:rPr>
          <w:rFonts w:ascii="Times New Roman" w:hAnsi="Times New Roman" w:cs="Times New Roman"/>
          <w:sz w:val="24"/>
          <w:szCs w:val="24"/>
        </w:rPr>
        <w:t>s</w:t>
      </w:r>
      <w:r w:rsidRPr="00206628">
        <w:rPr>
          <w:rFonts w:ascii="Times New Roman" w:hAnsi="Times New Roman" w:cs="Times New Roman"/>
          <w:sz w:val="24"/>
          <w:szCs w:val="24"/>
        </w:rPr>
        <w:t xml:space="preserve"> why implementing the entity’s MSO compliance plan would not avoid a breach of the MSO without the </w:t>
      </w:r>
      <w:r w:rsidR="00CC10C6" w:rsidRPr="00206628">
        <w:rPr>
          <w:rFonts w:ascii="Times New Roman" w:hAnsi="Times New Roman" w:cs="Times New Roman"/>
          <w:sz w:val="24"/>
          <w:szCs w:val="24"/>
        </w:rPr>
        <w:t xml:space="preserve">requested </w:t>
      </w:r>
      <w:r w:rsidRPr="00206628">
        <w:rPr>
          <w:rFonts w:ascii="Times New Roman" w:hAnsi="Times New Roman" w:cs="Times New Roman"/>
          <w:sz w:val="24"/>
          <w:szCs w:val="24"/>
        </w:rPr>
        <w:t>suspension. The MSO compliance plan should have contingency planning in place to try and avoid any applications for suspension where possible; and</w:t>
      </w:r>
    </w:p>
    <w:p w14:paraId="1318B165" w14:textId="77777777" w:rsidR="00763593" w:rsidRPr="00206628" w:rsidRDefault="00763593" w:rsidP="0037564F">
      <w:pPr>
        <w:pStyle w:val="ListParagraph"/>
        <w:numPr>
          <w:ilvl w:val="0"/>
          <w:numId w:val="40"/>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application must </w:t>
      </w:r>
      <w:r w:rsidR="00694F1C" w:rsidRPr="00206628">
        <w:rPr>
          <w:rFonts w:ascii="Times New Roman" w:hAnsi="Times New Roman" w:cs="Times New Roman"/>
          <w:sz w:val="24"/>
          <w:szCs w:val="24"/>
        </w:rPr>
        <w:t xml:space="preserve">also </w:t>
      </w:r>
      <w:r w:rsidRPr="00206628">
        <w:rPr>
          <w:rFonts w:ascii="Times New Roman" w:hAnsi="Times New Roman" w:cs="Times New Roman"/>
          <w:sz w:val="24"/>
          <w:szCs w:val="24"/>
        </w:rPr>
        <w:t xml:space="preserve">be in a form approved by the Secretary. This is likely to be a standardised application form available </w:t>
      </w:r>
      <w:r w:rsidR="00B30AFF" w:rsidRPr="00206628">
        <w:rPr>
          <w:rFonts w:ascii="Times New Roman" w:hAnsi="Times New Roman" w:cs="Times New Roman"/>
          <w:sz w:val="24"/>
          <w:szCs w:val="24"/>
        </w:rPr>
        <w:t xml:space="preserve">on the Department’s website </w:t>
      </w:r>
      <w:r w:rsidRPr="00206628">
        <w:rPr>
          <w:rFonts w:ascii="Times New Roman" w:hAnsi="Times New Roman" w:cs="Times New Roman"/>
          <w:sz w:val="24"/>
          <w:szCs w:val="24"/>
        </w:rPr>
        <w:t xml:space="preserve">or though the </w:t>
      </w:r>
      <w:r w:rsidR="00103C66" w:rsidRPr="00206628">
        <w:rPr>
          <w:rFonts w:ascii="Times New Roman" w:hAnsi="Times New Roman" w:cs="Times New Roman"/>
          <w:sz w:val="24"/>
          <w:szCs w:val="24"/>
        </w:rPr>
        <w:t xml:space="preserve">Liquid Fuels Gateway – the </w:t>
      </w:r>
      <w:r w:rsidRPr="00206628">
        <w:rPr>
          <w:rFonts w:ascii="Times New Roman" w:hAnsi="Times New Roman" w:cs="Times New Roman"/>
          <w:sz w:val="24"/>
          <w:szCs w:val="24"/>
        </w:rPr>
        <w:t>new reporting system</w:t>
      </w:r>
      <w:r w:rsidR="00694F1C" w:rsidRPr="00206628">
        <w:rPr>
          <w:rFonts w:ascii="Times New Roman" w:hAnsi="Times New Roman" w:cs="Times New Roman"/>
          <w:sz w:val="24"/>
          <w:szCs w:val="24"/>
        </w:rPr>
        <w:t xml:space="preserve"> administered by the Department</w:t>
      </w:r>
      <w:r w:rsidRPr="00206628">
        <w:rPr>
          <w:rFonts w:ascii="Times New Roman" w:hAnsi="Times New Roman" w:cs="Times New Roman"/>
          <w:sz w:val="24"/>
          <w:szCs w:val="24"/>
        </w:rPr>
        <w:t xml:space="preserve">. </w:t>
      </w:r>
    </w:p>
    <w:p w14:paraId="355A24BE" w14:textId="4D2BAB59" w:rsidR="00526658" w:rsidRPr="00206628" w:rsidRDefault="00526658" w:rsidP="00BD20EF">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The information is intended to allow the Secretary to apply the</w:t>
      </w:r>
      <w:r w:rsidR="00761A61" w:rsidRPr="00206628">
        <w:rPr>
          <w:rFonts w:ascii="Times New Roman" w:hAnsi="Times New Roman" w:cs="Times New Roman"/>
          <w:sz w:val="24"/>
          <w:szCs w:val="24"/>
        </w:rPr>
        <w:t xml:space="preserve"> relevant criteria in section </w:t>
      </w:r>
      <w:r w:rsidR="00BE3CB9" w:rsidRPr="00206628">
        <w:rPr>
          <w:rFonts w:ascii="Times New Roman" w:hAnsi="Times New Roman" w:cs="Times New Roman"/>
          <w:sz w:val="24"/>
          <w:szCs w:val="24"/>
        </w:rPr>
        <w:t xml:space="preserve">30 </w:t>
      </w:r>
      <w:r w:rsidRPr="00206628">
        <w:rPr>
          <w:rFonts w:ascii="Times New Roman" w:hAnsi="Times New Roman" w:cs="Times New Roman"/>
          <w:sz w:val="24"/>
          <w:szCs w:val="24"/>
        </w:rPr>
        <w:t>to approve or refuse the suspension.</w:t>
      </w:r>
    </w:p>
    <w:p w14:paraId="5E405793" w14:textId="1C1D8FE7" w:rsidR="00763593" w:rsidRPr="00206628" w:rsidRDefault="00763593" w:rsidP="00763593">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BE3CB9" w:rsidRPr="00206628">
        <w:rPr>
          <w:rFonts w:ascii="Times New Roman" w:hAnsi="Times New Roman" w:cs="Times New Roman"/>
          <w:b/>
          <w:sz w:val="24"/>
          <w:szCs w:val="24"/>
        </w:rPr>
        <w:t xml:space="preserve">30 </w:t>
      </w:r>
      <w:r w:rsidRPr="00206628">
        <w:rPr>
          <w:rFonts w:ascii="Times New Roman" w:hAnsi="Times New Roman" w:cs="Times New Roman"/>
          <w:b/>
          <w:sz w:val="24"/>
          <w:szCs w:val="24"/>
        </w:rPr>
        <w:t>– Secretary’s decision on suspension</w:t>
      </w:r>
    </w:p>
    <w:p w14:paraId="656C9856" w14:textId="352641EC" w:rsidR="00763593" w:rsidRPr="00206628" w:rsidRDefault="00763593" w:rsidP="00763593">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section prescribes</w:t>
      </w:r>
      <w:r w:rsidR="00DB3DB2" w:rsidRPr="00206628">
        <w:rPr>
          <w:rFonts w:ascii="Times New Roman" w:hAnsi="Times New Roman" w:cs="Times New Roman"/>
          <w:sz w:val="24"/>
          <w:szCs w:val="24"/>
        </w:rPr>
        <w:t>, for the purpose of subsection 29(2) of the Act,</w:t>
      </w:r>
      <w:r w:rsidRPr="00206628">
        <w:rPr>
          <w:rFonts w:ascii="Times New Roman" w:hAnsi="Times New Roman" w:cs="Times New Roman"/>
          <w:sz w:val="24"/>
          <w:szCs w:val="24"/>
        </w:rPr>
        <w:t xml:space="preserve"> the requirements </w:t>
      </w:r>
      <w:r w:rsidR="00DB3DB2" w:rsidRPr="00206628">
        <w:rPr>
          <w:rFonts w:ascii="Times New Roman" w:hAnsi="Times New Roman" w:cs="Times New Roman"/>
          <w:sz w:val="24"/>
          <w:szCs w:val="24"/>
        </w:rPr>
        <w:t xml:space="preserve">for </w:t>
      </w:r>
      <w:r w:rsidR="00B1688D" w:rsidRPr="00206628">
        <w:rPr>
          <w:rFonts w:ascii="Times New Roman" w:hAnsi="Times New Roman" w:cs="Times New Roman"/>
          <w:sz w:val="24"/>
          <w:szCs w:val="24"/>
        </w:rPr>
        <w:t>when the Secretary may suspend the MSO</w:t>
      </w:r>
      <w:r w:rsidR="00DB3DB2" w:rsidRPr="00206628">
        <w:rPr>
          <w:rFonts w:ascii="Times New Roman" w:hAnsi="Times New Roman" w:cs="Times New Roman"/>
          <w:sz w:val="24"/>
          <w:szCs w:val="24"/>
        </w:rPr>
        <w:t xml:space="preserve"> </w:t>
      </w:r>
      <w:r w:rsidR="004E7E39" w:rsidRPr="00206628">
        <w:rPr>
          <w:rFonts w:ascii="Times New Roman" w:hAnsi="Times New Roman" w:cs="Times New Roman"/>
          <w:sz w:val="24"/>
          <w:szCs w:val="24"/>
        </w:rPr>
        <w:t>following</w:t>
      </w:r>
      <w:r w:rsidR="00DB3DB2" w:rsidRPr="00206628">
        <w:rPr>
          <w:rFonts w:ascii="Times New Roman" w:hAnsi="Times New Roman" w:cs="Times New Roman"/>
          <w:sz w:val="24"/>
          <w:szCs w:val="24"/>
        </w:rPr>
        <w:t xml:space="preserve"> an application by an entity</w:t>
      </w:r>
      <w:r w:rsidR="004E7E39" w:rsidRPr="00206628">
        <w:rPr>
          <w:rFonts w:ascii="Times New Roman" w:hAnsi="Times New Roman" w:cs="Times New Roman"/>
          <w:sz w:val="24"/>
          <w:szCs w:val="24"/>
        </w:rPr>
        <w:t xml:space="preserve"> under section</w:t>
      </w:r>
      <w:r w:rsidR="000E0EC0" w:rsidRPr="00206628">
        <w:rPr>
          <w:rFonts w:ascii="Times New Roman" w:hAnsi="Times New Roman" w:cs="Times New Roman"/>
          <w:sz w:val="24"/>
          <w:szCs w:val="24"/>
        </w:rPr>
        <w:t> </w:t>
      </w:r>
      <w:r w:rsidR="004E7E39" w:rsidRPr="00206628">
        <w:rPr>
          <w:rFonts w:ascii="Times New Roman" w:hAnsi="Times New Roman" w:cs="Times New Roman"/>
          <w:sz w:val="24"/>
          <w:szCs w:val="24"/>
        </w:rPr>
        <w:t>28 of the Act</w:t>
      </w:r>
      <w:r w:rsidR="00B1688D" w:rsidRPr="00206628">
        <w:rPr>
          <w:rFonts w:ascii="Times New Roman" w:hAnsi="Times New Roman" w:cs="Times New Roman"/>
          <w:sz w:val="24"/>
          <w:szCs w:val="24"/>
        </w:rPr>
        <w:t xml:space="preserve">. </w:t>
      </w:r>
    </w:p>
    <w:p w14:paraId="121D17B4" w14:textId="17BBCCA2" w:rsidR="00B1688D" w:rsidRPr="00206628" w:rsidRDefault="00761A61" w:rsidP="00763593">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E3CB9" w:rsidRPr="00206628">
        <w:rPr>
          <w:rFonts w:ascii="Times New Roman" w:hAnsi="Times New Roman" w:cs="Times New Roman"/>
          <w:sz w:val="24"/>
          <w:szCs w:val="24"/>
        </w:rPr>
        <w:t>30</w:t>
      </w:r>
      <w:r w:rsidR="00B1688D" w:rsidRPr="00206628">
        <w:rPr>
          <w:rFonts w:ascii="Times New Roman" w:hAnsi="Times New Roman" w:cs="Times New Roman"/>
          <w:sz w:val="24"/>
          <w:szCs w:val="24"/>
        </w:rPr>
        <w:t xml:space="preserve">(2) </w:t>
      </w:r>
      <w:r w:rsidR="004E7E39" w:rsidRPr="00206628">
        <w:rPr>
          <w:rFonts w:ascii="Times New Roman" w:hAnsi="Times New Roman" w:cs="Times New Roman"/>
          <w:sz w:val="24"/>
          <w:szCs w:val="24"/>
        </w:rPr>
        <w:t xml:space="preserve">of the Rules </w:t>
      </w:r>
      <w:r w:rsidR="00B1688D" w:rsidRPr="00206628">
        <w:rPr>
          <w:rFonts w:ascii="Times New Roman" w:hAnsi="Times New Roman" w:cs="Times New Roman"/>
          <w:sz w:val="24"/>
          <w:szCs w:val="24"/>
        </w:rPr>
        <w:t>prescribes that the Secretary may only grant an application</w:t>
      </w:r>
      <w:r w:rsidR="004E7E39" w:rsidRPr="00206628">
        <w:rPr>
          <w:rFonts w:ascii="Times New Roman" w:hAnsi="Times New Roman" w:cs="Times New Roman"/>
          <w:sz w:val="24"/>
          <w:szCs w:val="24"/>
        </w:rPr>
        <w:t xml:space="preserve"> for suspension</w:t>
      </w:r>
      <w:r w:rsidR="00B1688D" w:rsidRPr="00206628">
        <w:rPr>
          <w:rFonts w:ascii="Times New Roman" w:hAnsi="Times New Roman" w:cs="Times New Roman"/>
          <w:sz w:val="24"/>
          <w:szCs w:val="24"/>
        </w:rPr>
        <w:t xml:space="preserve"> if satisfied that:</w:t>
      </w:r>
    </w:p>
    <w:p w14:paraId="0122FC8E" w14:textId="77777777" w:rsidR="00B1688D" w:rsidRPr="00206628" w:rsidRDefault="004E7E39" w:rsidP="0037564F">
      <w:pPr>
        <w:pStyle w:val="ListParagraph"/>
        <w:numPr>
          <w:ilvl w:val="0"/>
          <w:numId w:val="41"/>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i</w:t>
      </w:r>
      <w:r w:rsidR="00B1688D" w:rsidRPr="00206628">
        <w:rPr>
          <w:rFonts w:ascii="Times New Roman" w:hAnsi="Times New Roman" w:cs="Times New Roman"/>
          <w:sz w:val="24"/>
          <w:szCs w:val="24"/>
        </w:rPr>
        <w:t>f the entity were to remain compliant with the MSO, it would result in the supply of one or more MSO products to fuel users being</w:t>
      </w:r>
      <w:r w:rsidR="00DB3DB2" w:rsidRPr="00206628">
        <w:rPr>
          <w:rFonts w:ascii="Times New Roman" w:hAnsi="Times New Roman" w:cs="Times New Roman"/>
          <w:sz w:val="24"/>
          <w:szCs w:val="24"/>
        </w:rPr>
        <w:t xml:space="preserve">, or </w:t>
      </w:r>
      <w:r w:rsidRPr="00206628">
        <w:rPr>
          <w:rFonts w:ascii="Times New Roman" w:hAnsi="Times New Roman" w:cs="Times New Roman"/>
          <w:sz w:val="24"/>
          <w:szCs w:val="24"/>
        </w:rPr>
        <w:t>having been</w:t>
      </w:r>
      <w:r w:rsidR="00DB3DB2" w:rsidRPr="00206628">
        <w:rPr>
          <w:rFonts w:ascii="Times New Roman" w:hAnsi="Times New Roman" w:cs="Times New Roman"/>
          <w:sz w:val="24"/>
          <w:szCs w:val="24"/>
        </w:rPr>
        <w:t>,</w:t>
      </w:r>
      <w:r w:rsidR="00B1688D" w:rsidRPr="00206628">
        <w:rPr>
          <w:rFonts w:ascii="Times New Roman" w:hAnsi="Times New Roman" w:cs="Times New Roman"/>
          <w:sz w:val="24"/>
          <w:szCs w:val="24"/>
        </w:rPr>
        <w:t xml:space="preserve"> disrupted</w:t>
      </w:r>
      <w:r w:rsidRPr="00206628">
        <w:rPr>
          <w:rFonts w:ascii="Times New Roman" w:hAnsi="Times New Roman" w:cs="Times New Roman"/>
          <w:sz w:val="24"/>
          <w:szCs w:val="24"/>
        </w:rPr>
        <w:t>;</w:t>
      </w:r>
      <w:r w:rsidR="00B1688D" w:rsidRPr="00206628">
        <w:rPr>
          <w:rFonts w:ascii="Times New Roman" w:hAnsi="Times New Roman" w:cs="Times New Roman"/>
          <w:sz w:val="24"/>
          <w:szCs w:val="24"/>
        </w:rPr>
        <w:t xml:space="preserve"> and</w:t>
      </w:r>
    </w:p>
    <w:p w14:paraId="363F94D9" w14:textId="1AA62AC9" w:rsidR="00B1688D" w:rsidRPr="00206628" w:rsidRDefault="004E7E39" w:rsidP="0037564F">
      <w:pPr>
        <w:pStyle w:val="ListParagraph"/>
        <w:numPr>
          <w:ilvl w:val="0"/>
          <w:numId w:val="41"/>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w:t>
      </w:r>
      <w:r w:rsidR="00B1688D" w:rsidRPr="00206628">
        <w:rPr>
          <w:rFonts w:ascii="Times New Roman" w:hAnsi="Times New Roman" w:cs="Times New Roman"/>
          <w:sz w:val="24"/>
          <w:szCs w:val="24"/>
        </w:rPr>
        <w:t>he applican</w:t>
      </w:r>
      <w:r w:rsidR="00121FA1" w:rsidRPr="00206628">
        <w:rPr>
          <w:rFonts w:ascii="Times New Roman" w:hAnsi="Times New Roman" w:cs="Times New Roman"/>
          <w:sz w:val="24"/>
          <w:szCs w:val="24"/>
        </w:rPr>
        <w:t>t</w:t>
      </w:r>
      <w:r w:rsidR="00B1688D" w:rsidRPr="00206628">
        <w:rPr>
          <w:rFonts w:ascii="Times New Roman" w:hAnsi="Times New Roman" w:cs="Times New Roman"/>
          <w:sz w:val="24"/>
          <w:szCs w:val="24"/>
        </w:rPr>
        <w:t xml:space="preserve"> substantiates the need to suspend the MSO.</w:t>
      </w:r>
    </w:p>
    <w:p w14:paraId="403E2AB1" w14:textId="467B04FA" w:rsidR="00B1688D" w:rsidRPr="00206628" w:rsidRDefault="00D5237E" w:rsidP="00B1688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E3CB9" w:rsidRPr="00206628">
        <w:rPr>
          <w:rFonts w:ascii="Times New Roman" w:hAnsi="Times New Roman" w:cs="Times New Roman"/>
          <w:sz w:val="24"/>
          <w:szCs w:val="24"/>
        </w:rPr>
        <w:t>30</w:t>
      </w:r>
      <w:r w:rsidR="00844EB7" w:rsidRPr="00206628">
        <w:rPr>
          <w:rFonts w:ascii="Times New Roman" w:hAnsi="Times New Roman" w:cs="Times New Roman"/>
          <w:sz w:val="24"/>
          <w:szCs w:val="24"/>
        </w:rPr>
        <w:t xml:space="preserve">(3) prescribes </w:t>
      </w:r>
      <w:r w:rsidR="004E7E39" w:rsidRPr="00206628">
        <w:rPr>
          <w:rFonts w:ascii="Times New Roman" w:hAnsi="Times New Roman" w:cs="Times New Roman"/>
          <w:sz w:val="24"/>
          <w:szCs w:val="24"/>
        </w:rPr>
        <w:t xml:space="preserve">that </w:t>
      </w:r>
      <w:r w:rsidR="00844EB7" w:rsidRPr="00206628">
        <w:rPr>
          <w:rFonts w:ascii="Times New Roman" w:hAnsi="Times New Roman" w:cs="Times New Roman"/>
          <w:sz w:val="24"/>
          <w:szCs w:val="24"/>
        </w:rPr>
        <w:t>the Secretary must not grant a suspension application</w:t>
      </w:r>
      <w:r w:rsidR="00B1688D" w:rsidRPr="00206628">
        <w:rPr>
          <w:rFonts w:ascii="Times New Roman" w:hAnsi="Times New Roman" w:cs="Times New Roman"/>
          <w:sz w:val="24"/>
          <w:szCs w:val="24"/>
        </w:rPr>
        <w:t xml:space="preserve"> </w:t>
      </w:r>
      <w:r w:rsidR="00844EB7" w:rsidRPr="00206628">
        <w:rPr>
          <w:rFonts w:ascii="Times New Roman" w:hAnsi="Times New Roman" w:cs="Times New Roman"/>
          <w:sz w:val="24"/>
          <w:szCs w:val="24"/>
        </w:rPr>
        <w:t>if satisfied that:</w:t>
      </w:r>
    </w:p>
    <w:p w14:paraId="2BF88FC9" w14:textId="77777777" w:rsidR="00C87B57" w:rsidRPr="00206628" w:rsidRDefault="00C87B57" w:rsidP="0037564F">
      <w:pPr>
        <w:pStyle w:val="ListParagraph"/>
        <w:numPr>
          <w:ilvl w:val="0"/>
          <w:numId w:val="42"/>
        </w:numPr>
        <w:rPr>
          <w:rFonts w:ascii="Times New Roman" w:hAnsi="Times New Roman" w:cs="Times New Roman"/>
          <w:sz w:val="24"/>
          <w:szCs w:val="24"/>
        </w:rPr>
      </w:pPr>
      <w:r w:rsidRPr="00206628">
        <w:rPr>
          <w:rFonts w:ascii="Times New Roman" w:hAnsi="Times New Roman" w:cs="Times New Roman"/>
          <w:sz w:val="24"/>
          <w:szCs w:val="24"/>
        </w:rPr>
        <w:t xml:space="preserve">the reason the entity will be unlikely to meet their MSO is due to a situation or circumstance that was caused (either partially or wholly) by deficiencies in the entity’s MSO compliance plan. As the </w:t>
      </w:r>
      <w:r w:rsidR="0029519C" w:rsidRPr="00206628">
        <w:rPr>
          <w:rFonts w:ascii="Times New Roman" w:hAnsi="Times New Roman" w:cs="Times New Roman"/>
          <w:sz w:val="24"/>
          <w:szCs w:val="24"/>
        </w:rPr>
        <w:t xml:space="preserve">entity’s </w:t>
      </w:r>
      <w:r w:rsidRPr="00206628">
        <w:rPr>
          <w:rFonts w:ascii="Times New Roman" w:hAnsi="Times New Roman" w:cs="Times New Roman"/>
          <w:sz w:val="24"/>
          <w:szCs w:val="24"/>
        </w:rPr>
        <w:t xml:space="preserve">MSO compliance plan is </w:t>
      </w:r>
      <w:r w:rsidR="0029519C" w:rsidRPr="00206628">
        <w:rPr>
          <w:rFonts w:ascii="Times New Roman" w:hAnsi="Times New Roman" w:cs="Times New Roman"/>
          <w:sz w:val="24"/>
          <w:szCs w:val="24"/>
        </w:rPr>
        <w:t xml:space="preserve">expected </w:t>
      </w:r>
      <w:r w:rsidRPr="00206628">
        <w:rPr>
          <w:rFonts w:ascii="Times New Roman" w:hAnsi="Times New Roman" w:cs="Times New Roman"/>
          <w:sz w:val="24"/>
          <w:szCs w:val="24"/>
        </w:rPr>
        <w:t xml:space="preserve">to mitigate against the risk of a fuel supply disruption, it is anticipated that many of the </w:t>
      </w:r>
      <w:r w:rsidRPr="00206628">
        <w:rPr>
          <w:rFonts w:ascii="Times New Roman" w:hAnsi="Times New Roman" w:cs="Times New Roman"/>
          <w:sz w:val="24"/>
          <w:szCs w:val="24"/>
        </w:rPr>
        <w:lastRenderedPageBreak/>
        <w:t xml:space="preserve">potential risks to supply will be addressed and managed by implementing the </w:t>
      </w:r>
      <w:r w:rsidR="0029519C" w:rsidRPr="00206628">
        <w:rPr>
          <w:rFonts w:ascii="Times New Roman" w:hAnsi="Times New Roman" w:cs="Times New Roman"/>
          <w:sz w:val="24"/>
          <w:szCs w:val="24"/>
        </w:rPr>
        <w:t xml:space="preserve">entity’s </w:t>
      </w:r>
      <w:r w:rsidRPr="00206628">
        <w:rPr>
          <w:rFonts w:ascii="Times New Roman" w:hAnsi="Times New Roman" w:cs="Times New Roman"/>
          <w:sz w:val="24"/>
          <w:szCs w:val="24"/>
        </w:rPr>
        <w:t>MSO compliance plan in the first instance; or</w:t>
      </w:r>
    </w:p>
    <w:p w14:paraId="79B0D06E" w14:textId="77777777" w:rsidR="00C87B57" w:rsidRPr="00206628" w:rsidRDefault="004E7E39" w:rsidP="0037564F">
      <w:pPr>
        <w:pStyle w:val="ListParagraph"/>
        <w:numPr>
          <w:ilvl w:val="0"/>
          <w:numId w:val="42"/>
        </w:numPr>
        <w:rPr>
          <w:rFonts w:ascii="Times New Roman" w:hAnsi="Times New Roman" w:cs="Times New Roman"/>
          <w:sz w:val="24"/>
          <w:szCs w:val="24"/>
        </w:rPr>
      </w:pPr>
      <w:r w:rsidRPr="00206628">
        <w:rPr>
          <w:rFonts w:ascii="Times New Roman" w:hAnsi="Times New Roman" w:cs="Times New Roman"/>
          <w:sz w:val="24"/>
          <w:szCs w:val="24"/>
        </w:rPr>
        <w:t>t</w:t>
      </w:r>
      <w:r w:rsidR="00C87B57" w:rsidRPr="00206628">
        <w:rPr>
          <w:rFonts w:ascii="Times New Roman" w:hAnsi="Times New Roman" w:cs="Times New Roman"/>
          <w:sz w:val="24"/>
          <w:szCs w:val="24"/>
        </w:rPr>
        <w:t xml:space="preserve">he reasons </w:t>
      </w:r>
      <w:r w:rsidR="0029519C" w:rsidRPr="00206628">
        <w:rPr>
          <w:rFonts w:ascii="Times New Roman" w:hAnsi="Times New Roman" w:cs="Times New Roman"/>
          <w:sz w:val="24"/>
          <w:szCs w:val="24"/>
        </w:rPr>
        <w:t xml:space="preserve">for seeking the suspension </w:t>
      </w:r>
      <w:r w:rsidRPr="00206628">
        <w:rPr>
          <w:rFonts w:ascii="Times New Roman" w:hAnsi="Times New Roman" w:cs="Times New Roman"/>
          <w:sz w:val="24"/>
          <w:szCs w:val="24"/>
        </w:rPr>
        <w:t xml:space="preserve">specified </w:t>
      </w:r>
      <w:r w:rsidR="00C87B57" w:rsidRPr="00206628">
        <w:rPr>
          <w:rFonts w:ascii="Times New Roman" w:hAnsi="Times New Roman" w:cs="Times New Roman"/>
          <w:sz w:val="24"/>
          <w:szCs w:val="24"/>
        </w:rPr>
        <w:t xml:space="preserve">by the entity </w:t>
      </w:r>
      <w:r w:rsidRPr="00206628">
        <w:rPr>
          <w:rFonts w:ascii="Times New Roman" w:hAnsi="Times New Roman" w:cs="Times New Roman"/>
          <w:sz w:val="24"/>
          <w:szCs w:val="24"/>
        </w:rPr>
        <w:t xml:space="preserve">in </w:t>
      </w:r>
      <w:r w:rsidR="0029519C" w:rsidRPr="00206628">
        <w:rPr>
          <w:rFonts w:ascii="Times New Roman" w:hAnsi="Times New Roman" w:cs="Times New Roman"/>
          <w:sz w:val="24"/>
          <w:szCs w:val="24"/>
        </w:rPr>
        <w:t>its</w:t>
      </w:r>
      <w:r w:rsidR="00C87B57"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application </w:t>
      </w:r>
      <w:r w:rsidR="00C87B57" w:rsidRPr="00206628">
        <w:rPr>
          <w:rFonts w:ascii="Times New Roman" w:hAnsi="Times New Roman" w:cs="Times New Roman"/>
          <w:sz w:val="24"/>
          <w:szCs w:val="24"/>
        </w:rPr>
        <w:t>are more appropriately dealt with by a decision to temporarily reduce the quantity of stocks</w:t>
      </w:r>
      <w:r w:rsidR="0029519C" w:rsidRPr="00206628">
        <w:t xml:space="preserve"> </w:t>
      </w:r>
      <w:r w:rsidR="0029519C" w:rsidRPr="00206628">
        <w:rPr>
          <w:rFonts w:ascii="Times New Roman" w:hAnsi="Times New Roman" w:cs="Times New Roman"/>
          <w:sz w:val="24"/>
          <w:szCs w:val="24"/>
        </w:rPr>
        <w:t>of the product the entity must hold on obligation days</w:t>
      </w:r>
      <w:r w:rsidR="00C87B57" w:rsidRPr="00206628">
        <w:rPr>
          <w:rFonts w:ascii="Times New Roman" w:hAnsi="Times New Roman" w:cs="Times New Roman"/>
          <w:sz w:val="24"/>
          <w:szCs w:val="24"/>
        </w:rPr>
        <w:t xml:space="preserve"> (under section 18 of </w:t>
      </w:r>
      <w:r w:rsidR="00F02999" w:rsidRPr="00206628">
        <w:rPr>
          <w:rFonts w:ascii="Times New Roman" w:hAnsi="Times New Roman" w:cs="Times New Roman"/>
          <w:sz w:val="24"/>
          <w:szCs w:val="24"/>
        </w:rPr>
        <w:br/>
      </w:r>
      <w:r w:rsidR="00C87B57" w:rsidRPr="00206628">
        <w:rPr>
          <w:rFonts w:ascii="Times New Roman" w:hAnsi="Times New Roman" w:cs="Times New Roman"/>
          <w:sz w:val="24"/>
          <w:szCs w:val="24"/>
        </w:rPr>
        <w:t xml:space="preserve">the Act), which has a lesser impact on the fuel security position of Australia than a full suspension </w:t>
      </w:r>
      <w:r w:rsidR="0029519C" w:rsidRPr="00206628">
        <w:rPr>
          <w:rFonts w:ascii="Times New Roman" w:hAnsi="Times New Roman" w:cs="Times New Roman"/>
          <w:sz w:val="24"/>
          <w:szCs w:val="24"/>
        </w:rPr>
        <w:t xml:space="preserve">of the MSO </w:t>
      </w:r>
      <w:r w:rsidR="00C87B57" w:rsidRPr="00206628">
        <w:rPr>
          <w:rFonts w:ascii="Times New Roman" w:hAnsi="Times New Roman" w:cs="Times New Roman"/>
          <w:sz w:val="24"/>
          <w:szCs w:val="24"/>
        </w:rPr>
        <w:t xml:space="preserve">for particular stocks. </w:t>
      </w:r>
    </w:p>
    <w:p w14:paraId="0F3917EE" w14:textId="787AD2BE" w:rsidR="001074AC" w:rsidRPr="00206628" w:rsidRDefault="00E37964" w:rsidP="00C87B57">
      <w:pPr>
        <w:rPr>
          <w:rFonts w:ascii="Times New Roman" w:hAnsi="Times New Roman" w:cs="Times New Roman"/>
          <w:sz w:val="24"/>
          <w:szCs w:val="24"/>
        </w:rPr>
      </w:pPr>
      <w:r w:rsidRPr="00206628">
        <w:rPr>
          <w:rFonts w:ascii="Times New Roman" w:hAnsi="Times New Roman" w:cs="Times New Roman"/>
          <w:sz w:val="24"/>
          <w:szCs w:val="24"/>
        </w:rPr>
        <w:t xml:space="preserve">The </w:t>
      </w:r>
      <w:r w:rsidR="00D5237E" w:rsidRPr="00206628">
        <w:rPr>
          <w:rFonts w:ascii="Times New Roman" w:hAnsi="Times New Roman" w:cs="Times New Roman"/>
          <w:sz w:val="24"/>
          <w:szCs w:val="24"/>
        </w:rPr>
        <w:t xml:space="preserve">note </w:t>
      </w:r>
      <w:r w:rsidRPr="00206628">
        <w:rPr>
          <w:rFonts w:ascii="Times New Roman" w:hAnsi="Times New Roman" w:cs="Times New Roman"/>
          <w:sz w:val="24"/>
          <w:szCs w:val="24"/>
        </w:rPr>
        <w:t>to</w:t>
      </w:r>
      <w:r w:rsidR="00761A61" w:rsidRPr="00206628">
        <w:rPr>
          <w:rFonts w:ascii="Times New Roman" w:hAnsi="Times New Roman" w:cs="Times New Roman"/>
          <w:sz w:val="24"/>
          <w:szCs w:val="24"/>
        </w:rPr>
        <w:t xml:space="preserve"> paragraph </w:t>
      </w:r>
      <w:r w:rsidR="00BE3CB9" w:rsidRPr="00206628">
        <w:rPr>
          <w:rFonts w:ascii="Times New Roman" w:hAnsi="Times New Roman" w:cs="Times New Roman"/>
          <w:sz w:val="24"/>
          <w:szCs w:val="24"/>
        </w:rPr>
        <w:t>30</w:t>
      </w:r>
      <w:r w:rsidR="00C87B57" w:rsidRPr="00206628">
        <w:rPr>
          <w:rFonts w:ascii="Times New Roman" w:hAnsi="Times New Roman" w:cs="Times New Roman"/>
          <w:sz w:val="24"/>
          <w:szCs w:val="24"/>
        </w:rPr>
        <w:t xml:space="preserve">(3)(b) advises </w:t>
      </w:r>
      <w:r w:rsidR="00C548D9" w:rsidRPr="00206628">
        <w:rPr>
          <w:rFonts w:ascii="Times New Roman" w:hAnsi="Times New Roman" w:cs="Times New Roman"/>
          <w:sz w:val="24"/>
          <w:szCs w:val="24"/>
        </w:rPr>
        <w:t xml:space="preserve">the reader </w:t>
      </w:r>
      <w:r w:rsidR="00C87B57" w:rsidRPr="00206628">
        <w:rPr>
          <w:rFonts w:ascii="Times New Roman" w:hAnsi="Times New Roman" w:cs="Times New Roman"/>
          <w:sz w:val="24"/>
          <w:szCs w:val="24"/>
        </w:rPr>
        <w:t xml:space="preserve">that each entity would need to make a separate application under section 17 of the Act </w:t>
      </w:r>
      <w:r w:rsidR="001074AC" w:rsidRPr="00206628">
        <w:rPr>
          <w:rFonts w:ascii="Times New Roman" w:hAnsi="Times New Roman" w:cs="Times New Roman"/>
          <w:sz w:val="24"/>
          <w:szCs w:val="24"/>
        </w:rPr>
        <w:t xml:space="preserve">for </w:t>
      </w:r>
      <w:r w:rsidRPr="00206628">
        <w:rPr>
          <w:rFonts w:ascii="Times New Roman" w:hAnsi="Times New Roman" w:cs="Times New Roman"/>
          <w:sz w:val="24"/>
          <w:szCs w:val="24"/>
        </w:rPr>
        <w:t>the Secretary to be able to make decision</w:t>
      </w:r>
      <w:r w:rsidR="00C548D9" w:rsidRPr="00206628">
        <w:rPr>
          <w:rFonts w:ascii="Times New Roman" w:hAnsi="Times New Roman" w:cs="Times New Roman"/>
          <w:sz w:val="24"/>
          <w:szCs w:val="24"/>
        </w:rPr>
        <w:t>s whether</w:t>
      </w:r>
      <w:r w:rsidRPr="00206628">
        <w:rPr>
          <w:rFonts w:ascii="Times New Roman" w:hAnsi="Times New Roman" w:cs="Times New Roman"/>
          <w:sz w:val="24"/>
          <w:szCs w:val="24"/>
        </w:rPr>
        <w:t xml:space="preserve"> to temporarily reduce quantities of stocks for each entity</w:t>
      </w:r>
      <w:r w:rsidR="001074AC" w:rsidRPr="00206628">
        <w:rPr>
          <w:rFonts w:ascii="Times New Roman" w:hAnsi="Times New Roman" w:cs="Times New Roman"/>
          <w:sz w:val="24"/>
          <w:szCs w:val="24"/>
        </w:rPr>
        <w:t xml:space="preserve">. </w:t>
      </w:r>
    </w:p>
    <w:p w14:paraId="1C57C4A1" w14:textId="0992C0C4" w:rsidR="006D4D17" w:rsidRPr="00206628" w:rsidRDefault="00761A61" w:rsidP="00C548D9">
      <w:pPr>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E3CB9" w:rsidRPr="00206628">
        <w:rPr>
          <w:rFonts w:ascii="Times New Roman" w:hAnsi="Times New Roman" w:cs="Times New Roman"/>
          <w:sz w:val="24"/>
          <w:szCs w:val="24"/>
        </w:rPr>
        <w:t>30</w:t>
      </w:r>
      <w:r w:rsidR="001074AC" w:rsidRPr="00206628">
        <w:rPr>
          <w:rFonts w:ascii="Times New Roman" w:hAnsi="Times New Roman" w:cs="Times New Roman"/>
          <w:sz w:val="24"/>
          <w:szCs w:val="24"/>
        </w:rPr>
        <w:t xml:space="preserve">(4) prescribes </w:t>
      </w:r>
      <w:r w:rsidR="00E37964" w:rsidRPr="00206628">
        <w:rPr>
          <w:rFonts w:ascii="Times New Roman" w:hAnsi="Times New Roman" w:cs="Times New Roman"/>
          <w:sz w:val="24"/>
          <w:szCs w:val="24"/>
        </w:rPr>
        <w:t xml:space="preserve">the matters </w:t>
      </w:r>
      <w:r w:rsidR="006D4D17" w:rsidRPr="00206628">
        <w:rPr>
          <w:rFonts w:ascii="Times New Roman" w:hAnsi="Times New Roman" w:cs="Times New Roman"/>
          <w:sz w:val="24"/>
          <w:szCs w:val="24"/>
        </w:rPr>
        <w:t>the Secretary must take into account when deciding whether to grant</w:t>
      </w:r>
      <w:r w:rsidR="00121FA1" w:rsidRPr="00206628">
        <w:rPr>
          <w:rFonts w:ascii="Times New Roman" w:hAnsi="Times New Roman" w:cs="Times New Roman"/>
          <w:sz w:val="24"/>
          <w:szCs w:val="24"/>
        </w:rPr>
        <w:t xml:space="preserve"> or refuse</w:t>
      </w:r>
      <w:r w:rsidR="006D4D17" w:rsidRPr="00206628">
        <w:rPr>
          <w:rFonts w:ascii="Times New Roman" w:hAnsi="Times New Roman" w:cs="Times New Roman"/>
          <w:sz w:val="24"/>
          <w:szCs w:val="24"/>
        </w:rPr>
        <w:t xml:space="preserve"> a suspension application</w:t>
      </w:r>
      <w:r w:rsidR="00C548D9" w:rsidRPr="00206628">
        <w:t xml:space="preserve"> </w:t>
      </w:r>
      <w:r w:rsidR="00C548D9" w:rsidRPr="00206628">
        <w:rPr>
          <w:rFonts w:ascii="Times New Roman" w:hAnsi="Times New Roman" w:cs="Times New Roman"/>
          <w:sz w:val="24"/>
          <w:szCs w:val="24"/>
        </w:rPr>
        <w:t xml:space="preserve">in circumstances covered by </w:t>
      </w:r>
      <w:r w:rsidR="00F02999" w:rsidRPr="00206628">
        <w:rPr>
          <w:rFonts w:ascii="Times New Roman" w:hAnsi="Times New Roman" w:cs="Times New Roman"/>
          <w:sz w:val="24"/>
          <w:szCs w:val="24"/>
        </w:rPr>
        <w:br/>
      </w:r>
      <w:r w:rsidR="00C548D9" w:rsidRPr="00206628">
        <w:rPr>
          <w:rFonts w:ascii="Times New Roman" w:hAnsi="Times New Roman" w:cs="Times New Roman"/>
          <w:sz w:val="24"/>
          <w:szCs w:val="24"/>
        </w:rPr>
        <w:t xml:space="preserve">subsection </w:t>
      </w:r>
      <w:r w:rsidR="00121FA1" w:rsidRPr="00206628">
        <w:rPr>
          <w:rFonts w:ascii="Times New Roman" w:hAnsi="Times New Roman" w:cs="Times New Roman"/>
          <w:sz w:val="24"/>
          <w:szCs w:val="24"/>
        </w:rPr>
        <w:t>30</w:t>
      </w:r>
      <w:r w:rsidR="00C548D9" w:rsidRPr="00206628">
        <w:rPr>
          <w:rFonts w:ascii="Times New Roman" w:hAnsi="Times New Roman" w:cs="Times New Roman"/>
          <w:sz w:val="24"/>
          <w:szCs w:val="24"/>
        </w:rPr>
        <w:t>(2)</w:t>
      </w:r>
      <w:r w:rsidR="00512473" w:rsidRPr="00206628">
        <w:rPr>
          <w:rFonts w:ascii="Times New Roman" w:hAnsi="Times New Roman" w:cs="Times New Roman"/>
          <w:sz w:val="24"/>
          <w:szCs w:val="24"/>
        </w:rPr>
        <w:t>. The mandatory considerations are</w:t>
      </w:r>
      <w:r w:rsidR="006D4D17" w:rsidRPr="00206628">
        <w:rPr>
          <w:rFonts w:ascii="Times New Roman" w:hAnsi="Times New Roman" w:cs="Times New Roman"/>
          <w:sz w:val="24"/>
          <w:szCs w:val="24"/>
        </w:rPr>
        <w:t>:</w:t>
      </w:r>
    </w:p>
    <w:p w14:paraId="6E1F0CAF" w14:textId="77777777" w:rsidR="009075BC" w:rsidRPr="00206628" w:rsidRDefault="00C06984" w:rsidP="0037564F">
      <w:pPr>
        <w:pStyle w:val="ListParagraph"/>
        <w:numPr>
          <w:ilvl w:val="0"/>
          <w:numId w:val="43"/>
        </w:numPr>
        <w:rPr>
          <w:rFonts w:ascii="Times New Roman" w:hAnsi="Times New Roman" w:cs="Times New Roman"/>
          <w:sz w:val="24"/>
          <w:szCs w:val="24"/>
        </w:rPr>
      </w:pPr>
      <w:r w:rsidRPr="00206628">
        <w:rPr>
          <w:rFonts w:ascii="Times New Roman" w:hAnsi="Times New Roman" w:cs="Times New Roman"/>
          <w:sz w:val="24"/>
          <w:szCs w:val="24"/>
        </w:rPr>
        <w:t>The likelihood and impacts of a disruption to fu</w:t>
      </w:r>
      <w:r w:rsidR="00CC3AB8" w:rsidRPr="00206628">
        <w:rPr>
          <w:rFonts w:ascii="Times New Roman" w:hAnsi="Times New Roman" w:cs="Times New Roman"/>
          <w:sz w:val="24"/>
          <w:szCs w:val="24"/>
        </w:rPr>
        <w:t>el supply without a suspension</w:t>
      </w:r>
      <w:r w:rsidR="00C548D9" w:rsidRPr="00206628">
        <w:rPr>
          <w:rFonts w:ascii="Times New Roman" w:hAnsi="Times New Roman" w:cs="Times New Roman"/>
          <w:sz w:val="24"/>
          <w:szCs w:val="24"/>
        </w:rPr>
        <w:t xml:space="preserve"> of the applicant’s MSO</w:t>
      </w:r>
      <w:r w:rsidR="00CC3AB8" w:rsidRPr="00206628">
        <w:rPr>
          <w:rFonts w:ascii="Times New Roman" w:hAnsi="Times New Roman" w:cs="Times New Roman"/>
          <w:sz w:val="24"/>
          <w:szCs w:val="24"/>
        </w:rPr>
        <w:t xml:space="preserve">. The entity’s application </w:t>
      </w:r>
      <w:r w:rsidR="00C548D9" w:rsidRPr="00206628">
        <w:rPr>
          <w:rFonts w:ascii="Times New Roman" w:hAnsi="Times New Roman" w:cs="Times New Roman"/>
          <w:sz w:val="24"/>
          <w:szCs w:val="24"/>
        </w:rPr>
        <w:t>for suspension</w:t>
      </w:r>
      <w:r w:rsidR="00F11E31" w:rsidRPr="00206628">
        <w:rPr>
          <w:rFonts w:ascii="Times New Roman" w:hAnsi="Times New Roman" w:cs="Times New Roman"/>
          <w:sz w:val="24"/>
          <w:szCs w:val="24"/>
        </w:rPr>
        <w:t>,</w:t>
      </w:r>
      <w:r w:rsidR="00C548D9" w:rsidRPr="00206628">
        <w:rPr>
          <w:rFonts w:ascii="Times New Roman" w:hAnsi="Times New Roman" w:cs="Times New Roman"/>
          <w:sz w:val="24"/>
          <w:szCs w:val="24"/>
        </w:rPr>
        <w:t xml:space="preserve"> </w:t>
      </w:r>
      <w:r w:rsidR="009075BC" w:rsidRPr="00206628">
        <w:rPr>
          <w:rFonts w:ascii="Times New Roman" w:hAnsi="Times New Roman" w:cs="Times New Roman"/>
          <w:sz w:val="24"/>
          <w:szCs w:val="24"/>
        </w:rPr>
        <w:t xml:space="preserve">as well as data collected by the Department </w:t>
      </w:r>
      <w:r w:rsidR="00F81951" w:rsidRPr="00206628">
        <w:rPr>
          <w:rFonts w:ascii="Times New Roman" w:hAnsi="Times New Roman" w:cs="Times New Roman"/>
          <w:sz w:val="24"/>
          <w:szCs w:val="24"/>
        </w:rPr>
        <w:t>(under these rules, the POFR R</w:t>
      </w:r>
      <w:r w:rsidR="00F11E31" w:rsidRPr="00206628">
        <w:rPr>
          <w:rFonts w:ascii="Times New Roman" w:hAnsi="Times New Roman" w:cs="Times New Roman"/>
          <w:sz w:val="24"/>
          <w:szCs w:val="24"/>
        </w:rPr>
        <w:t xml:space="preserve">ules, and through information-sharing arrangements with other agencies) </w:t>
      </w:r>
      <w:r w:rsidR="00CC3AB8" w:rsidRPr="00206628">
        <w:rPr>
          <w:rFonts w:ascii="Times New Roman" w:hAnsi="Times New Roman" w:cs="Times New Roman"/>
          <w:sz w:val="24"/>
          <w:szCs w:val="24"/>
        </w:rPr>
        <w:t xml:space="preserve">will help the Secretary determine </w:t>
      </w:r>
      <w:r w:rsidR="009075BC" w:rsidRPr="00206628">
        <w:rPr>
          <w:rFonts w:ascii="Times New Roman" w:hAnsi="Times New Roman" w:cs="Times New Roman"/>
          <w:sz w:val="24"/>
          <w:szCs w:val="24"/>
        </w:rPr>
        <w:t>this</w:t>
      </w:r>
      <w:r w:rsidR="00C548D9" w:rsidRPr="00206628">
        <w:rPr>
          <w:rFonts w:ascii="Times New Roman" w:hAnsi="Times New Roman" w:cs="Times New Roman"/>
          <w:sz w:val="24"/>
          <w:szCs w:val="24"/>
        </w:rPr>
        <w:t xml:space="preserve"> issue</w:t>
      </w:r>
      <w:r w:rsidR="009075BC" w:rsidRPr="00206628">
        <w:rPr>
          <w:rFonts w:ascii="Times New Roman" w:hAnsi="Times New Roman" w:cs="Times New Roman"/>
          <w:sz w:val="24"/>
          <w:szCs w:val="24"/>
        </w:rPr>
        <w:t xml:space="preserve">. </w:t>
      </w:r>
    </w:p>
    <w:p w14:paraId="38367841" w14:textId="77777777" w:rsidR="00C87B57" w:rsidRPr="00206628" w:rsidRDefault="009075BC" w:rsidP="0037564F">
      <w:pPr>
        <w:pStyle w:val="ListParagraph"/>
        <w:numPr>
          <w:ilvl w:val="0"/>
          <w:numId w:val="43"/>
        </w:numPr>
        <w:rPr>
          <w:rFonts w:ascii="Times New Roman" w:hAnsi="Times New Roman" w:cs="Times New Roman"/>
          <w:sz w:val="24"/>
          <w:szCs w:val="24"/>
        </w:rPr>
      </w:pPr>
      <w:r w:rsidRPr="00206628">
        <w:rPr>
          <w:rFonts w:ascii="Times New Roman" w:hAnsi="Times New Roman" w:cs="Times New Roman"/>
          <w:sz w:val="24"/>
          <w:szCs w:val="24"/>
        </w:rPr>
        <w:t>Whether the applicant has taken all reasonable steps to avoid the need to suspend the MSO, including through</w:t>
      </w:r>
      <w:r w:rsidR="00A30DB6" w:rsidRPr="00206628">
        <w:rPr>
          <w:rFonts w:ascii="Times New Roman" w:hAnsi="Times New Roman" w:cs="Times New Roman"/>
          <w:sz w:val="24"/>
          <w:szCs w:val="24"/>
        </w:rPr>
        <w:t xml:space="preserve"> the</w:t>
      </w:r>
      <w:r w:rsidRPr="00206628">
        <w:rPr>
          <w:rFonts w:ascii="Times New Roman" w:hAnsi="Times New Roman" w:cs="Times New Roman"/>
          <w:sz w:val="24"/>
          <w:szCs w:val="24"/>
        </w:rPr>
        <w:t xml:space="preserve"> use of the intermediary market </w:t>
      </w:r>
      <w:r w:rsidR="00C548D9" w:rsidRPr="00206628">
        <w:rPr>
          <w:rFonts w:ascii="Times New Roman" w:hAnsi="Times New Roman" w:cs="Times New Roman"/>
          <w:sz w:val="24"/>
          <w:szCs w:val="24"/>
        </w:rPr>
        <w:t xml:space="preserve">(i.e. </w:t>
      </w:r>
      <w:r w:rsidRPr="00206628">
        <w:rPr>
          <w:rFonts w:ascii="Times New Roman" w:hAnsi="Times New Roman" w:cs="Times New Roman"/>
          <w:sz w:val="24"/>
          <w:szCs w:val="24"/>
        </w:rPr>
        <w:t xml:space="preserve">where other entities can hold stock </w:t>
      </w:r>
      <w:r w:rsidR="00C548D9" w:rsidRPr="00206628">
        <w:rPr>
          <w:rFonts w:ascii="Times New Roman" w:hAnsi="Times New Roman" w:cs="Times New Roman"/>
          <w:sz w:val="24"/>
          <w:szCs w:val="24"/>
        </w:rPr>
        <w:t xml:space="preserve">of MSO products </w:t>
      </w:r>
      <w:r w:rsidRPr="00206628">
        <w:rPr>
          <w:rFonts w:ascii="Times New Roman" w:hAnsi="Times New Roman" w:cs="Times New Roman"/>
          <w:sz w:val="24"/>
          <w:szCs w:val="24"/>
        </w:rPr>
        <w:t>on the applicant’s behalf</w:t>
      </w:r>
      <w:r w:rsidR="00C548D9" w:rsidRPr="00206628">
        <w:rPr>
          <w:rFonts w:ascii="Times New Roman" w:hAnsi="Times New Roman" w:cs="Times New Roman"/>
          <w:sz w:val="24"/>
          <w:szCs w:val="24"/>
        </w:rPr>
        <w:t>)</w:t>
      </w:r>
      <w:r w:rsidRPr="00206628">
        <w:rPr>
          <w:rFonts w:ascii="Times New Roman" w:hAnsi="Times New Roman" w:cs="Times New Roman"/>
          <w:sz w:val="24"/>
          <w:szCs w:val="24"/>
        </w:rPr>
        <w:t>.</w:t>
      </w:r>
      <w:r w:rsidR="00A30DB6" w:rsidRPr="00206628">
        <w:rPr>
          <w:rFonts w:ascii="Times New Roman" w:hAnsi="Times New Roman" w:cs="Times New Roman"/>
          <w:sz w:val="24"/>
          <w:szCs w:val="24"/>
        </w:rPr>
        <w:t xml:space="preserve"> Considering a suspension of an entity’s MSO could significantly reduce the national fuel security position, this </w:t>
      </w:r>
      <w:r w:rsidR="00C548D9" w:rsidRPr="00206628">
        <w:rPr>
          <w:rFonts w:ascii="Times New Roman" w:hAnsi="Times New Roman" w:cs="Times New Roman"/>
          <w:sz w:val="24"/>
          <w:szCs w:val="24"/>
        </w:rPr>
        <w:t xml:space="preserve">mandatory consideration </w:t>
      </w:r>
      <w:r w:rsidR="00A30DB6" w:rsidRPr="00206628">
        <w:rPr>
          <w:rFonts w:ascii="Times New Roman" w:hAnsi="Times New Roman" w:cs="Times New Roman"/>
          <w:sz w:val="24"/>
          <w:szCs w:val="24"/>
        </w:rPr>
        <w:t>intends to ensure that</w:t>
      </w:r>
      <w:r w:rsidR="00C548D9" w:rsidRPr="00206628">
        <w:rPr>
          <w:rFonts w:ascii="Times New Roman" w:hAnsi="Times New Roman" w:cs="Times New Roman"/>
          <w:sz w:val="24"/>
          <w:szCs w:val="24"/>
        </w:rPr>
        <w:t>,</w:t>
      </w:r>
      <w:r w:rsidR="00A30DB6" w:rsidRPr="00206628">
        <w:rPr>
          <w:rFonts w:ascii="Times New Roman" w:hAnsi="Times New Roman" w:cs="Times New Roman"/>
          <w:sz w:val="24"/>
          <w:szCs w:val="24"/>
        </w:rPr>
        <w:t xml:space="preserve"> in the first instance, an entity has attempted to maintain their MSO through a range of mechanisms</w:t>
      </w:r>
      <w:r w:rsidR="00C548D9" w:rsidRPr="00206628">
        <w:rPr>
          <w:rFonts w:ascii="Times New Roman" w:hAnsi="Times New Roman" w:cs="Times New Roman"/>
          <w:sz w:val="24"/>
          <w:szCs w:val="24"/>
        </w:rPr>
        <w:t xml:space="preserve"> (including by engaging another entity to hold, reserve, or quarantine the stocks on behalf of the applicant, as per section 24 of the Act)</w:t>
      </w:r>
      <w:r w:rsidR="00A30DB6" w:rsidRPr="00206628">
        <w:rPr>
          <w:rFonts w:ascii="Times New Roman" w:hAnsi="Times New Roman" w:cs="Times New Roman"/>
          <w:sz w:val="24"/>
          <w:szCs w:val="24"/>
        </w:rPr>
        <w:t xml:space="preserve">. </w:t>
      </w:r>
    </w:p>
    <w:p w14:paraId="1CB037FF" w14:textId="77777777" w:rsidR="00A30DB6" w:rsidRPr="00206628" w:rsidRDefault="00512473" w:rsidP="0037564F">
      <w:pPr>
        <w:pStyle w:val="ListParagraph"/>
        <w:numPr>
          <w:ilvl w:val="0"/>
          <w:numId w:val="43"/>
        </w:numPr>
        <w:rPr>
          <w:rFonts w:ascii="Times New Roman" w:hAnsi="Times New Roman" w:cs="Times New Roman"/>
          <w:sz w:val="24"/>
          <w:szCs w:val="24"/>
        </w:rPr>
      </w:pPr>
      <w:r w:rsidRPr="00206628">
        <w:rPr>
          <w:rFonts w:ascii="Times New Roman" w:hAnsi="Times New Roman" w:cs="Times New Roman"/>
          <w:sz w:val="24"/>
          <w:szCs w:val="24"/>
        </w:rPr>
        <w:t>Any i</w:t>
      </w:r>
      <w:r w:rsidR="00A30DB6" w:rsidRPr="00206628">
        <w:rPr>
          <w:rFonts w:ascii="Times New Roman" w:hAnsi="Times New Roman" w:cs="Times New Roman"/>
          <w:sz w:val="24"/>
          <w:szCs w:val="24"/>
        </w:rPr>
        <w:t xml:space="preserve">mpacts </w:t>
      </w:r>
      <w:r w:rsidR="0019433D" w:rsidRPr="00206628">
        <w:rPr>
          <w:rFonts w:ascii="Times New Roman" w:hAnsi="Times New Roman" w:cs="Times New Roman"/>
          <w:sz w:val="24"/>
          <w:szCs w:val="24"/>
        </w:rPr>
        <w:t>on competition in the markets</w:t>
      </w:r>
      <w:r w:rsidR="00A30DB6" w:rsidRPr="00206628">
        <w:rPr>
          <w:rFonts w:ascii="Times New Roman" w:hAnsi="Times New Roman" w:cs="Times New Roman"/>
          <w:sz w:val="24"/>
          <w:szCs w:val="24"/>
        </w:rPr>
        <w:t xml:space="preserve"> for MSO products</w:t>
      </w:r>
      <w:r w:rsidRPr="00206628">
        <w:rPr>
          <w:rFonts w:ascii="Times New Roman" w:hAnsi="Times New Roman" w:cs="Times New Roman"/>
          <w:sz w:val="24"/>
          <w:szCs w:val="24"/>
        </w:rPr>
        <w:t>.</w:t>
      </w:r>
      <w:r w:rsidR="00A30DB6"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This </w:t>
      </w:r>
      <w:r w:rsidR="00A30DB6" w:rsidRPr="00206628">
        <w:rPr>
          <w:rFonts w:ascii="Times New Roman" w:hAnsi="Times New Roman" w:cs="Times New Roman"/>
          <w:sz w:val="24"/>
          <w:szCs w:val="24"/>
        </w:rPr>
        <w:t xml:space="preserve">will also be a determining factor for the Secretary when deciding </w:t>
      </w:r>
      <w:r w:rsidR="0019433D" w:rsidRPr="00206628">
        <w:rPr>
          <w:rFonts w:ascii="Times New Roman" w:hAnsi="Times New Roman" w:cs="Times New Roman"/>
          <w:sz w:val="24"/>
          <w:szCs w:val="24"/>
        </w:rPr>
        <w:t xml:space="preserve">whether </w:t>
      </w:r>
      <w:r w:rsidRPr="00206628">
        <w:rPr>
          <w:rFonts w:ascii="Times New Roman" w:hAnsi="Times New Roman" w:cs="Times New Roman"/>
          <w:sz w:val="24"/>
          <w:szCs w:val="24"/>
        </w:rPr>
        <w:t xml:space="preserve">the suspension </w:t>
      </w:r>
      <w:r w:rsidR="0019433D" w:rsidRPr="00206628">
        <w:rPr>
          <w:rFonts w:ascii="Times New Roman" w:hAnsi="Times New Roman" w:cs="Times New Roman"/>
          <w:sz w:val="24"/>
          <w:szCs w:val="24"/>
        </w:rPr>
        <w:t xml:space="preserve">should </w:t>
      </w:r>
      <w:r w:rsidRPr="00206628">
        <w:rPr>
          <w:rFonts w:ascii="Times New Roman" w:hAnsi="Times New Roman" w:cs="Times New Roman"/>
          <w:sz w:val="24"/>
          <w:szCs w:val="24"/>
        </w:rPr>
        <w:t>extend</w:t>
      </w:r>
      <w:r w:rsidR="0019433D" w:rsidRPr="00206628">
        <w:rPr>
          <w:rFonts w:ascii="Times New Roman" w:hAnsi="Times New Roman" w:cs="Times New Roman"/>
          <w:sz w:val="24"/>
          <w:szCs w:val="24"/>
        </w:rPr>
        <w:t xml:space="preserve"> to a class of entities</w:t>
      </w:r>
      <w:r w:rsidRPr="00206628">
        <w:rPr>
          <w:rFonts w:ascii="Times New Roman" w:hAnsi="Times New Roman" w:cs="Times New Roman"/>
          <w:sz w:val="24"/>
          <w:szCs w:val="24"/>
        </w:rPr>
        <w:t xml:space="preserve"> competing in the same market</w:t>
      </w:r>
      <w:r w:rsidR="0019433D" w:rsidRPr="00206628">
        <w:rPr>
          <w:rFonts w:ascii="Times New Roman" w:hAnsi="Times New Roman" w:cs="Times New Roman"/>
          <w:sz w:val="24"/>
          <w:szCs w:val="24"/>
        </w:rPr>
        <w:t xml:space="preserve">, rather than just applying to a single entity. </w:t>
      </w:r>
    </w:p>
    <w:p w14:paraId="2F60F812" w14:textId="77777777" w:rsidR="0019433D" w:rsidRPr="00206628" w:rsidRDefault="00512473" w:rsidP="0037564F">
      <w:pPr>
        <w:pStyle w:val="ListParagraph"/>
        <w:numPr>
          <w:ilvl w:val="0"/>
          <w:numId w:val="43"/>
        </w:numPr>
        <w:rPr>
          <w:rFonts w:ascii="Times New Roman" w:hAnsi="Times New Roman" w:cs="Times New Roman"/>
          <w:sz w:val="24"/>
          <w:szCs w:val="24"/>
        </w:rPr>
      </w:pPr>
      <w:r w:rsidRPr="00206628">
        <w:rPr>
          <w:rFonts w:ascii="Times New Roman" w:hAnsi="Times New Roman" w:cs="Times New Roman"/>
          <w:sz w:val="24"/>
          <w:szCs w:val="24"/>
        </w:rPr>
        <w:t>That</w:t>
      </w:r>
      <w:r w:rsidR="0019433D" w:rsidRPr="00206628">
        <w:rPr>
          <w:rFonts w:ascii="Times New Roman" w:hAnsi="Times New Roman" w:cs="Times New Roman"/>
          <w:sz w:val="24"/>
          <w:szCs w:val="24"/>
        </w:rPr>
        <w:t xml:space="preserve"> the period of any suspension should not be longer than what is reasonably necessary to address the reasons </w:t>
      </w:r>
      <w:r w:rsidRPr="00206628">
        <w:rPr>
          <w:rFonts w:ascii="Times New Roman" w:hAnsi="Times New Roman" w:cs="Times New Roman"/>
          <w:sz w:val="24"/>
          <w:szCs w:val="24"/>
        </w:rPr>
        <w:t xml:space="preserve">for the </w:t>
      </w:r>
      <w:r w:rsidR="0019433D" w:rsidRPr="00206628">
        <w:rPr>
          <w:rFonts w:ascii="Times New Roman" w:hAnsi="Times New Roman" w:cs="Times New Roman"/>
          <w:sz w:val="24"/>
          <w:szCs w:val="24"/>
        </w:rPr>
        <w:t xml:space="preserve">suspension. This includes any time required to get stock levels back up to the MSO operational levels. </w:t>
      </w:r>
      <w:r w:rsidRPr="00206628">
        <w:rPr>
          <w:rFonts w:ascii="Times New Roman" w:hAnsi="Times New Roman" w:cs="Times New Roman"/>
          <w:sz w:val="24"/>
          <w:szCs w:val="24"/>
        </w:rPr>
        <w:t>This reflects the policy intent to limit the suspension period to what is necessary in order to maintain Australia’s fuel security position.</w:t>
      </w:r>
    </w:p>
    <w:p w14:paraId="36199A7D" w14:textId="77777777" w:rsidR="00512473" w:rsidRPr="00206628" w:rsidRDefault="00512473" w:rsidP="0037564F">
      <w:pPr>
        <w:pStyle w:val="ListParagraph"/>
        <w:numPr>
          <w:ilvl w:val="0"/>
          <w:numId w:val="43"/>
        </w:numPr>
        <w:rPr>
          <w:rFonts w:ascii="Times New Roman" w:hAnsi="Times New Roman" w:cs="Times New Roman"/>
          <w:sz w:val="24"/>
          <w:szCs w:val="24"/>
        </w:rPr>
      </w:pPr>
      <w:r w:rsidRPr="00206628">
        <w:rPr>
          <w:rFonts w:ascii="Times New Roman" w:hAnsi="Times New Roman" w:cs="Times New Roman"/>
          <w:sz w:val="24"/>
          <w:szCs w:val="24"/>
        </w:rPr>
        <w:t>Whether implementing the MSO compliance plan will bring the applicant back into</w:t>
      </w:r>
    </w:p>
    <w:p w14:paraId="0F487FFC" w14:textId="77777777" w:rsidR="0019433D" w:rsidRPr="00206628" w:rsidRDefault="00512473" w:rsidP="00E534E8">
      <w:pPr>
        <w:pStyle w:val="ListParagraph"/>
        <w:rPr>
          <w:rFonts w:ascii="Times New Roman" w:hAnsi="Times New Roman" w:cs="Times New Roman"/>
          <w:sz w:val="24"/>
          <w:szCs w:val="24"/>
        </w:rPr>
      </w:pPr>
      <w:r w:rsidRPr="00206628">
        <w:rPr>
          <w:rFonts w:ascii="Times New Roman" w:hAnsi="Times New Roman" w:cs="Times New Roman"/>
          <w:sz w:val="24"/>
          <w:szCs w:val="24"/>
        </w:rPr>
        <w:t xml:space="preserve">compliance in a timely manner; </w:t>
      </w:r>
      <w:r w:rsidR="0019433D" w:rsidRPr="00206628">
        <w:rPr>
          <w:rFonts w:ascii="Times New Roman" w:hAnsi="Times New Roman" w:cs="Times New Roman"/>
          <w:sz w:val="24"/>
          <w:szCs w:val="24"/>
        </w:rPr>
        <w:t xml:space="preserve">It is expected that an entity’s MSO compliance plan will include contingency planning for unexpected events, where alternative mechanisms to compliance are identified and used in the first instance. Where alternative compliance mechanisms cannot be used, or will not be sufficient to mitigate against the reason a suspension has been requested, an updated compliance plan must be provided to the Secretary outlining the intended pathway to compliance (including timeframes) if a suspension is granted. </w:t>
      </w:r>
    </w:p>
    <w:p w14:paraId="6B62A077" w14:textId="77777777" w:rsidR="00DC526E" w:rsidRPr="00206628" w:rsidRDefault="00DC526E" w:rsidP="0037564F">
      <w:pPr>
        <w:pStyle w:val="ListParagraph"/>
        <w:numPr>
          <w:ilvl w:val="0"/>
          <w:numId w:val="43"/>
        </w:numPr>
        <w:rPr>
          <w:rFonts w:ascii="Times New Roman" w:hAnsi="Times New Roman" w:cs="Times New Roman"/>
          <w:sz w:val="24"/>
          <w:szCs w:val="24"/>
        </w:rPr>
      </w:pPr>
      <w:r w:rsidRPr="00206628">
        <w:rPr>
          <w:rFonts w:ascii="Times New Roman" w:hAnsi="Times New Roman" w:cs="Times New Roman"/>
          <w:sz w:val="24"/>
          <w:szCs w:val="24"/>
        </w:rPr>
        <w:lastRenderedPageBreak/>
        <w:t xml:space="preserve">The Secretary </w:t>
      </w:r>
      <w:r w:rsidR="00D46B36" w:rsidRPr="00206628">
        <w:rPr>
          <w:rFonts w:ascii="Times New Roman" w:hAnsi="Times New Roman" w:cs="Times New Roman"/>
          <w:sz w:val="24"/>
          <w:szCs w:val="24"/>
        </w:rPr>
        <w:t xml:space="preserve">must </w:t>
      </w:r>
      <w:r w:rsidRPr="00206628">
        <w:rPr>
          <w:rFonts w:ascii="Times New Roman" w:hAnsi="Times New Roman" w:cs="Times New Roman"/>
          <w:sz w:val="24"/>
          <w:szCs w:val="24"/>
        </w:rPr>
        <w:t>also consider any other matters consider</w:t>
      </w:r>
      <w:r w:rsidR="00F11E31" w:rsidRPr="00206628">
        <w:rPr>
          <w:rFonts w:ascii="Times New Roman" w:hAnsi="Times New Roman" w:cs="Times New Roman"/>
          <w:sz w:val="24"/>
          <w:szCs w:val="24"/>
        </w:rPr>
        <w:t>ed</w:t>
      </w:r>
      <w:r w:rsidRPr="00206628">
        <w:rPr>
          <w:rFonts w:ascii="Times New Roman" w:hAnsi="Times New Roman" w:cs="Times New Roman"/>
          <w:sz w:val="24"/>
          <w:szCs w:val="24"/>
        </w:rPr>
        <w:t xml:space="preserve"> relevant at the time the application is received. This is not prescriptive, as it will depend on the broader fuel security environment, specific situation and the timing of the application. </w:t>
      </w:r>
    </w:p>
    <w:p w14:paraId="41B2DEBB" w14:textId="3481F9A0" w:rsidR="00DC526E" w:rsidRPr="00206628" w:rsidRDefault="00761A61" w:rsidP="00DC526E">
      <w:pPr>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121FA1" w:rsidRPr="00206628">
        <w:rPr>
          <w:rFonts w:ascii="Times New Roman" w:hAnsi="Times New Roman" w:cs="Times New Roman"/>
          <w:sz w:val="24"/>
          <w:szCs w:val="24"/>
        </w:rPr>
        <w:t>30</w:t>
      </w:r>
      <w:r w:rsidR="00DC526E" w:rsidRPr="00206628">
        <w:rPr>
          <w:rFonts w:ascii="Times New Roman" w:hAnsi="Times New Roman" w:cs="Times New Roman"/>
          <w:sz w:val="24"/>
          <w:szCs w:val="24"/>
        </w:rPr>
        <w:t xml:space="preserve">(5) prescribes that the Secretary </w:t>
      </w:r>
      <w:r w:rsidR="002F0415" w:rsidRPr="00206628">
        <w:rPr>
          <w:rFonts w:ascii="Times New Roman" w:hAnsi="Times New Roman" w:cs="Times New Roman"/>
          <w:sz w:val="24"/>
          <w:szCs w:val="24"/>
        </w:rPr>
        <w:t xml:space="preserve">must take all reasonable steps to make a decision on the application within 30 days of the application being made or, if further information was </w:t>
      </w:r>
      <w:r w:rsidR="00121FA1" w:rsidRPr="00206628">
        <w:rPr>
          <w:rFonts w:ascii="Times New Roman" w:hAnsi="Times New Roman" w:cs="Times New Roman"/>
          <w:sz w:val="24"/>
          <w:szCs w:val="24"/>
        </w:rPr>
        <w:t xml:space="preserve">required </w:t>
      </w:r>
      <w:r w:rsidR="002F0415" w:rsidRPr="00206628">
        <w:rPr>
          <w:rFonts w:ascii="Times New Roman" w:hAnsi="Times New Roman" w:cs="Times New Roman"/>
          <w:sz w:val="24"/>
          <w:szCs w:val="24"/>
        </w:rPr>
        <w:t xml:space="preserve">to substantiate the application, within 30 days of the requested information being provided. This balances the need for a </w:t>
      </w:r>
      <w:r w:rsidR="0095121B" w:rsidRPr="00206628">
        <w:rPr>
          <w:rFonts w:ascii="Times New Roman" w:hAnsi="Times New Roman" w:cs="Times New Roman"/>
          <w:sz w:val="24"/>
          <w:szCs w:val="24"/>
        </w:rPr>
        <w:t xml:space="preserve">swift </w:t>
      </w:r>
      <w:r w:rsidR="002F0415" w:rsidRPr="00206628">
        <w:rPr>
          <w:rFonts w:ascii="Times New Roman" w:hAnsi="Times New Roman" w:cs="Times New Roman"/>
          <w:sz w:val="24"/>
          <w:szCs w:val="24"/>
        </w:rPr>
        <w:t xml:space="preserve">turnaround time </w:t>
      </w:r>
      <w:r w:rsidR="0095121B" w:rsidRPr="00206628">
        <w:rPr>
          <w:rFonts w:ascii="Times New Roman" w:hAnsi="Times New Roman" w:cs="Times New Roman"/>
          <w:sz w:val="24"/>
          <w:szCs w:val="24"/>
        </w:rPr>
        <w:t>to process an</w:t>
      </w:r>
      <w:r w:rsidR="002F0415" w:rsidRPr="00206628">
        <w:rPr>
          <w:rFonts w:ascii="Times New Roman" w:hAnsi="Times New Roman" w:cs="Times New Roman"/>
          <w:sz w:val="24"/>
          <w:szCs w:val="24"/>
        </w:rPr>
        <w:t xml:space="preserve"> application (considering the serious nature </w:t>
      </w:r>
      <w:r w:rsidR="00144B7D" w:rsidRPr="00206628">
        <w:rPr>
          <w:rFonts w:ascii="Times New Roman" w:hAnsi="Times New Roman" w:cs="Times New Roman"/>
          <w:sz w:val="24"/>
          <w:szCs w:val="24"/>
        </w:rPr>
        <w:t xml:space="preserve">of the circumstances leading an entity to request a suspension), </w:t>
      </w:r>
      <w:r w:rsidR="0095121B" w:rsidRPr="00206628">
        <w:rPr>
          <w:rFonts w:ascii="Times New Roman" w:hAnsi="Times New Roman" w:cs="Times New Roman"/>
          <w:sz w:val="24"/>
          <w:szCs w:val="24"/>
        </w:rPr>
        <w:t>while providing</w:t>
      </w:r>
      <w:r w:rsidR="00144B7D" w:rsidRPr="00206628">
        <w:rPr>
          <w:rFonts w:ascii="Times New Roman" w:hAnsi="Times New Roman" w:cs="Times New Roman"/>
          <w:sz w:val="24"/>
          <w:szCs w:val="24"/>
        </w:rPr>
        <w:t xml:space="preserve"> the Secretary </w:t>
      </w:r>
      <w:r w:rsidR="0095121B" w:rsidRPr="00206628">
        <w:rPr>
          <w:rFonts w:ascii="Times New Roman" w:hAnsi="Times New Roman" w:cs="Times New Roman"/>
          <w:sz w:val="24"/>
          <w:szCs w:val="24"/>
        </w:rPr>
        <w:t xml:space="preserve">sufficient </w:t>
      </w:r>
      <w:r w:rsidR="00144B7D" w:rsidRPr="00206628">
        <w:rPr>
          <w:rFonts w:ascii="Times New Roman" w:hAnsi="Times New Roman" w:cs="Times New Roman"/>
          <w:sz w:val="24"/>
          <w:szCs w:val="24"/>
        </w:rPr>
        <w:t xml:space="preserve">time to </w:t>
      </w:r>
      <w:r w:rsidR="0095121B" w:rsidRPr="00206628">
        <w:rPr>
          <w:rFonts w:ascii="Times New Roman" w:hAnsi="Times New Roman" w:cs="Times New Roman"/>
          <w:sz w:val="24"/>
          <w:szCs w:val="24"/>
        </w:rPr>
        <w:t>conduct</w:t>
      </w:r>
      <w:r w:rsidR="00144B7D" w:rsidRPr="00206628">
        <w:rPr>
          <w:rFonts w:ascii="Times New Roman" w:hAnsi="Times New Roman" w:cs="Times New Roman"/>
          <w:sz w:val="24"/>
          <w:szCs w:val="24"/>
        </w:rPr>
        <w:t xml:space="preserve"> due diligence when considering whether or not to grant the application and/or extend a suspension to a class of entities</w:t>
      </w:r>
      <w:r w:rsidRPr="00206628">
        <w:rPr>
          <w:rFonts w:ascii="Times New Roman" w:hAnsi="Times New Roman" w:cs="Times New Roman"/>
          <w:sz w:val="24"/>
          <w:szCs w:val="24"/>
        </w:rPr>
        <w:t xml:space="preserve"> (see section </w:t>
      </w:r>
      <w:r w:rsidR="00121FA1" w:rsidRPr="00206628">
        <w:rPr>
          <w:rFonts w:ascii="Times New Roman" w:hAnsi="Times New Roman" w:cs="Times New Roman"/>
          <w:sz w:val="24"/>
          <w:szCs w:val="24"/>
        </w:rPr>
        <w:t>31</w:t>
      </w:r>
      <w:r w:rsidR="00881AE4" w:rsidRPr="00206628">
        <w:rPr>
          <w:rFonts w:ascii="Times New Roman" w:hAnsi="Times New Roman" w:cs="Times New Roman"/>
          <w:sz w:val="24"/>
          <w:szCs w:val="24"/>
        </w:rPr>
        <w:t>)</w:t>
      </w:r>
      <w:r w:rsidR="00144B7D" w:rsidRPr="00206628">
        <w:rPr>
          <w:rFonts w:ascii="Times New Roman" w:hAnsi="Times New Roman" w:cs="Times New Roman"/>
          <w:sz w:val="24"/>
          <w:szCs w:val="24"/>
        </w:rPr>
        <w:t xml:space="preserve">. </w:t>
      </w:r>
      <w:r w:rsidR="00292732" w:rsidRPr="00206628">
        <w:rPr>
          <w:rFonts w:ascii="Times New Roman" w:hAnsi="Times New Roman" w:cs="Times New Roman"/>
          <w:sz w:val="24"/>
          <w:szCs w:val="24"/>
        </w:rPr>
        <w:t>Note, section 78 of the Act provides that if the entity does not comply with a requirement to provide further information in relation to their application (within the period for response specified in the notice), the Secretary may refuse to consider the application, or refuse to take any action (or further action) in relation to the application.</w:t>
      </w:r>
    </w:p>
    <w:p w14:paraId="06177C30" w14:textId="79524D28" w:rsidR="008F5AB7" w:rsidRPr="00206628" w:rsidRDefault="00761A61" w:rsidP="00DC526E">
      <w:pPr>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121FA1" w:rsidRPr="00206628">
        <w:rPr>
          <w:rFonts w:ascii="Times New Roman" w:hAnsi="Times New Roman" w:cs="Times New Roman"/>
          <w:sz w:val="24"/>
          <w:szCs w:val="24"/>
        </w:rPr>
        <w:t>30</w:t>
      </w:r>
      <w:r w:rsidR="00144B7D" w:rsidRPr="00206628">
        <w:rPr>
          <w:rFonts w:ascii="Times New Roman" w:hAnsi="Times New Roman" w:cs="Times New Roman"/>
          <w:sz w:val="24"/>
          <w:szCs w:val="24"/>
        </w:rPr>
        <w:t xml:space="preserve">(6) prescribes that the Secretary is able to start the suspension period from a time </w:t>
      </w:r>
      <w:r w:rsidR="00C25D29" w:rsidRPr="00206628">
        <w:rPr>
          <w:rFonts w:ascii="Times New Roman" w:hAnsi="Times New Roman" w:cs="Times New Roman"/>
          <w:sz w:val="24"/>
          <w:szCs w:val="24"/>
        </w:rPr>
        <w:t xml:space="preserve">after the reason for a suspension arose, but </w:t>
      </w:r>
      <w:r w:rsidR="00144B7D" w:rsidRPr="00206628">
        <w:rPr>
          <w:rFonts w:ascii="Times New Roman" w:hAnsi="Times New Roman" w:cs="Times New Roman"/>
          <w:sz w:val="24"/>
          <w:szCs w:val="24"/>
        </w:rPr>
        <w:t>before the decision is made</w:t>
      </w:r>
      <w:r w:rsidR="00C25D29" w:rsidRPr="00206628">
        <w:rPr>
          <w:rFonts w:ascii="Times New Roman" w:hAnsi="Times New Roman" w:cs="Times New Roman"/>
          <w:sz w:val="24"/>
          <w:szCs w:val="24"/>
        </w:rPr>
        <w:t>.</w:t>
      </w:r>
      <w:r w:rsidR="007672F6" w:rsidRPr="00206628">
        <w:rPr>
          <w:rFonts w:ascii="Times New Roman" w:hAnsi="Times New Roman" w:cs="Times New Roman"/>
          <w:sz w:val="24"/>
          <w:szCs w:val="24"/>
        </w:rPr>
        <w:t xml:space="preserve"> </w:t>
      </w:r>
      <w:r w:rsidR="00520753" w:rsidRPr="00206628">
        <w:rPr>
          <w:rFonts w:ascii="Times New Roman" w:hAnsi="Times New Roman" w:cs="Times New Roman"/>
          <w:sz w:val="24"/>
          <w:szCs w:val="24"/>
        </w:rPr>
        <w:t>This ensures that any suspension period for an entity (or class of entities) can be backdated to the point it was required from, rather than the date the Secretary makes their final decision. For example</w:t>
      </w:r>
      <w:r w:rsidR="007672F6" w:rsidRPr="00206628">
        <w:rPr>
          <w:rFonts w:ascii="Times New Roman" w:hAnsi="Times New Roman" w:cs="Times New Roman"/>
          <w:sz w:val="24"/>
          <w:szCs w:val="24"/>
        </w:rPr>
        <w:t xml:space="preserve">, </w:t>
      </w:r>
      <w:r w:rsidR="008F5AB7" w:rsidRPr="00206628">
        <w:rPr>
          <w:rFonts w:ascii="Times New Roman" w:hAnsi="Times New Roman" w:cs="Times New Roman"/>
          <w:sz w:val="24"/>
          <w:szCs w:val="24"/>
        </w:rPr>
        <w:t xml:space="preserve">if there was a natural disaster, an entity may need to apply for a suspension of their MSO for one or more products. If the Secretary decides to grant the suspension, they can backdate it to the date of the natural disaster if required.  </w:t>
      </w:r>
    </w:p>
    <w:p w14:paraId="4E03DF28" w14:textId="39FE5BD6" w:rsidR="00844EB7" w:rsidRPr="00206628" w:rsidRDefault="00761A61" w:rsidP="00B1688D">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121FA1" w:rsidRPr="00206628">
        <w:rPr>
          <w:rFonts w:ascii="Times New Roman" w:hAnsi="Times New Roman" w:cs="Times New Roman"/>
          <w:b/>
          <w:sz w:val="24"/>
          <w:szCs w:val="24"/>
        </w:rPr>
        <w:t xml:space="preserve">31 </w:t>
      </w:r>
      <w:r w:rsidR="008F5AB7" w:rsidRPr="00206628">
        <w:rPr>
          <w:rFonts w:ascii="Times New Roman" w:hAnsi="Times New Roman" w:cs="Times New Roman"/>
          <w:b/>
          <w:sz w:val="24"/>
          <w:szCs w:val="24"/>
        </w:rPr>
        <w:t xml:space="preserve">– Class of entities </w:t>
      </w:r>
      <w:r w:rsidR="00881AE4" w:rsidRPr="00206628">
        <w:rPr>
          <w:rFonts w:ascii="Times New Roman" w:hAnsi="Times New Roman" w:cs="Times New Roman"/>
          <w:b/>
          <w:sz w:val="24"/>
          <w:szCs w:val="24"/>
        </w:rPr>
        <w:t>included in a suspension</w:t>
      </w:r>
    </w:p>
    <w:p w14:paraId="0594D155" w14:textId="77777777" w:rsidR="00881AE4" w:rsidRPr="00206628" w:rsidRDefault="00881AE4" w:rsidP="00B1688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section prescribes</w:t>
      </w:r>
      <w:r w:rsidR="00952D04" w:rsidRPr="00206628">
        <w:rPr>
          <w:rFonts w:ascii="Times New Roman" w:hAnsi="Times New Roman" w:cs="Times New Roman"/>
          <w:sz w:val="24"/>
          <w:szCs w:val="24"/>
        </w:rPr>
        <w:t>, for the purpose of subsection 29(3) of the Act,</w:t>
      </w:r>
      <w:r w:rsidRPr="00206628">
        <w:rPr>
          <w:rFonts w:ascii="Times New Roman" w:hAnsi="Times New Roman" w:cs="Times New Roman"/>
          <w:sz w:val="24"/>
          <w:szCs w:val="24"/>
        </w:rPr>
        <w:t xml:space="preserve"> that the Secretary may include a class of entities in any suspension if they are satisfied that:</w:t>
      </w:r>
    </w:p>
    <w:p w14:paraId="392F6E84" w14:textId="77777777" w:rsidR="00881AE4" w:rsidRPr="00206628" w:rsidRDefault="00952D04" w:rsidP="0037564F">
      <w:pPr>
        <w:pStyle w:val="ListParagraph"/>
        <w:numPr>
          <w:ilvl w:val="0"/>
          <w:numId w:val="44"/>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w:t>
      </w:r>
      <w:r w:rsidR="00881AE4" w:rsidRPr="00206628">
        <w:rPr>
          <w:rFonts w:ascii="Times New Roman" w:hAnsi="Times New Roman" w:cs="Times New Roman"/>
          <w:sz w:val="24"/>
          <w:szCs w:val="24"/>
        </w:rPr>
        <w:t>he class of entities that the suspension is being extended to are in the same situation as the entity that applied for the suspension, or are likely to be similarly affected; and</w:t>
      </w:r>
    </w:p>
    <w:p w14:paraId="6BAF801D" w14:textId="59F931CB" w:rsidR="001A1789" w:rsidRPr="00206628" w:rsidRDefault="00952D04" w:rsidP="0037564F">
      <w:pPr>
        <w:pStyle w:val="ListParagraph"/>
        <w:numPr>
          <w:ilvl w:val="0"/>
          <w:numId w:val="44"/>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b</w:t>
      </w:r>
      <w:r w:rsidR="00881AE4" w:rsidRPr="00206628">
        <w:rPr>
          <w:rFonts w:ascii="Times New Roman" w:hAnsi="Times New Roman" w:cs="Times New Roman"/>
          <w:sz w:val="24"/>
          <w:szCs w:val="24"/>
        </w:rPr>
        <w:t xml:space="preserve">y not including the entities in the class </w:t>
      </w:r>
      <w:r w:rsidRPr="00206628">
        <w:rPr>
          <w:rFonts w:ascii="Times New Roman" w:hAnsi="Times New Roman" w:cs="Times New Roman"/>
          <w:sz w:val="24"/>
          <w:szCs w:val="24"/>
        </w:rPr>
        <w:t xml:space="preserve">in the </w:t>
      </w:r>
      <w:r w:rsidR="00881AE4" w:rsidRPr="00206628">
        <w:rPr>
          <w:rFonts w:ascii="Times New Roman" w:hAnsi="Times New Roman" w:cs="Times New Roman"/>
          <w:sz w:val="24"/>
          <w:szCs w:val="24"/>
        </w:rPr>
        <w:t xml:space="preserve">suspension, it could impact competition in one or more markets for MSO products. </w:t>
      </w:r>
      <w:r w:rsidRPr="00206628">
        <w:rPr>
          <w:rFonts w:ascii="Times New Roman" w:hAnsi="Times New Roman" w:cs="Times New Roman"/>
          <w:sz w:val="24"/>
          <w:szCs w:val="24"/>
        </w:rPr>
        <w:t>The potential impacts on competition must be considered</w:t>
      </w:r>
      <w:r w:rsidR="00DD3BD1" w:rsidRPr="00206628">
        <w:rPr>
          <w:rFonts w:ascii="Times New Roman" w:hAnsi="Times New Roman" w:cs="Times New Roman"/>
          <w:sz w:val="24"/>
          <w:szCs w:val="24"/>
        </w:rPr>
        <w:t xml:space="preserve"> </w:t>
      </w:r>
      <w:r w:rsidR="001A1789" w:rsidRPr="00206628">
        <w:rPr>
          <w:rFonts w:ascii="Times New Roman" w:hAnsi="Times New Roman" w:cs="Times New Roman"/>
          <w:sz w:val="24"/>
          <w:szCs w:val="24"/>
        </w:rPr>
        <w:t xml:space="preserve">by the Secretary </w:t>
      </w:r>
      <w:r w:rsidR="00DD3BD1" w:rsidRPr="00206628">
        <w:rPr>
          <w:rFonts w:ascii="Times New Roman" w:hAnsi="Times New Roman" w:cs="Times New Roman"/>
          <w:sz w:val="24"/>
          <w:szCs w:val="24"/>
        </w:rPr>
        <w:t xml:space="preserve">under </w:t>
      </w:r>
      <w:r w:rsidRPr="00206628">
        <w:rPr>
          <w:rFonts w:ascii="Times New Roman" w:hAnsi="Times New Roman" w:cs="Times New Roman"/>
          <w:sz w:val="24"/>
          <w:szCs w:val="24"/>
        </w:rPr>
        <w:t xml:space="preserve">paragraph </w:t>
      </w:r>
      <w:r w:rsidR="00121FA1" w:rsidRPr="00206628">
        <w:rPr>
          <w:rFonts w:ascii="Times New Roman" w:hAnsi="Times New Roman" w:cs="Times New Roman"/>
          <w:sz w:val="24"/>
          <w:szCs w:val="24"/>
        </w:rPr>
        <w:t>30</w:t>
      </w:r>
      <w:r w:rsidR="00DD3BD1" w:rsidRPr="00206628">
        <w:rPr>
          <w:rFonts w:ascii="Times New Roman" w:hAnsi="Times New Roman" w:cs="Times New Roman"/>
          <w:sz w:val="24"/>
          <w:szCs w:val="24"/>
        </w:rPr>
        <w:t xml:space="preserve">(4)(c) </w:t>
      </w:r>
      <w:r w:rsidR="006D62BB" w:rsidRPr="00206628">
        <w:rPr>
          <w:rFonts w:ascii="Times New Roman" w:hAnsi="Times New Roman" w:cs="Times New Roman"/>
          <w:sz w:val="24"/>
          <w:szCs w:val="24"/>
        </w:rPr>
        <w:t xml:space="preserve">of the Rules </w:t>
      </w:r>
      <w:r w:rsidR="00AC0025" w:rsidRPr="00206628">
        <w:rPr>
          <w:rFonts w:ascii="Times New Roman" w:hAnsi="Times New Roman" w:cs="Times New Roman"/>
          <w:sz w:val="24"/>
          <w:szCs w:val="24"/>
        </w:rPr>
        <w:t>when an entity applies for a suspension</w:t>
      </w:r>
      <w:r w:rsidR="001A1789" w:rsidRPr="00206628">
        <w:rPr>
          <w:rFonts w:ascii="Times New Roman" w:hAnsi="Times New Roman" w:cs="Times New Roman"/>
          <w:sz w:val="24"/>
          <w:szCs w:val="24"/>
        </w:rPr>
        <w:t xml:space="preserve"> and will help the Secretary to determine whether the suspension should be extended to a class of entity</w:t>
      </w:r>
      <w:r w:rsidR="00AC0025" w:rsidRPr="00206628">
        <w:rPr>
          <w:rFonts w:ascii="Times New Roman" w:hAnsi="Times New Roman" w:cs="Times New Roman"/>
          <w:sz w:val="24"/>
          <w:szCs w:val="24"/>
        </w:rPr>
        <w:t>.</w:t>
      </w:r>
    </w:p>
    <w:p w14:paraId="46D2C149" w14:textId="47F828EA" w:rsidR="001A1789" w:rsidRPr="00206628" w:rsidRDefault="00952D04" w:rsidP="001A1789">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w:t>
      </w:r>
      <w:r w:rsidR="001A1789" w:rsidRPr="00206628">
        <w:rPr>
          <w:rFonts w:ascii="Times New Roman" w:hAnsi="Times New Roman" w:cs="Times New Roman"/>
          <w:sz w:val="24"/>
          <w:szCs w:val="24"/>
        </w:rPr>
        <w:t xml:space="preserve">note </w:t>
      </w:r>
      <w:r w:rsidRPr="00206628">
        <w:rPr>
          <w:rFonts w:ascii="Times New Roman" w:hAnsi="Times New Roman" w:cs="Times New Roman"/>
          <w:sz w:val="24"/>
          <w:szCs w:val="24"/>
        </w:rPr>
        <w:t xml:space="preserve">to </w:t>
      </w:r>
      <w:r w:rsidR="00761A61" w:rsidRPr="00206628">
        <w:rPr>
          <w:rFonts w:ascii="Times New Roman" w:hAnsi="Times New Roman" w:cs="Times New Roman"/>
          <w:sz w:val="24"/>
          <w:szCs w:val="24"/>
        </w:rPr>
        <w:t xml:space="preserve">paragraph </w:t>
      </w:r>
      <w:r w:rsidR="00121FA1" w:rsidRPr="00206628">
        <w:rPr>
          <w:rFonts w:ascii="Times New Roman" w:hAnsi="Times New Roman" w:cs="Times New Roman"/>
          <w:sz w:val="24"/>
          <w:szCs w:val="24"/>
        </w:rPr>
        <w:t>31</w:t>
      </w:r>
      <w:r w:rsidR="001A1789" w:rsidRPr="00206628">
        <w:rPr>
          <w:rFonts w:ascii="Times New Roman" w:hAnsi="Times New Roman" w:cs="Times New Roman"/>
          <w:sz w:val="24"/>
          <w:szCs w:val="24"/>
        </w:rPr>
        <w:t xml:space="preserve">(b) </w:t>
      </w:r>
      <w:r w:rsidR="006D62BB" w:rsidRPr="00206628">
        <w:rPr>
          <w:rFonts w:ascii="Times New Roman" w:hAnsi="Times New Roman" w:cs="Times New Roman"/>
          <w:sz w:val="24"/>
          <w:szCs w:val="24"/>
        </w:rPr>
        <w:t xml:space="preserve">of the Rules </w:t>
      </w:r>
      <w:r w:rsidR="001A1789" w:rsidRPr="00206628">
        <w:rPr>
          <w:rFonts w:ascii="Times New Roman" w:hAnsi="Times New Roman" w:cs="Times New Roman"/>
          <w:sz w:val="24"/>
          <w:szCs w:val="24"/>
        </w:rPr>
        <w:t xml:space="preserve">advises the reader that the Secretary is able to extend a suspension to a class of entities on </w:t>
      </w:r>
      <w:r w:rsidRPr="00206628">
        <w:rPr>
          <w:rFonts w:ascii="Times New Roman" w:hAnsi="Times New Roman" w:cs="Times New Roman"/>
          <w:sz w:val="24"/>
          <w:szCs w:val="24"/>
        </w:rPr>
        <w:t>the Secretary’s</w:t>
      </w:r>
      <w:r w:rsidR="001A1789" w:rsidRPr="00206628">
        <w:rPr>
          <w:rFonts w:ascii="Times New Roman" w:hAnsi="Times New Roman" w:cs="Times New Roman"/>
          <w:sz w:val="24"/>
          <w:szCs w:val="24"/>
        </w:rPr>
        <w:t xml:space="preserve"> own initiative and is not dependent on who the original applicant </w:t>
      </w:r>
      <w:r w:rsidR="00CA2958" w:rsidRPr="00206628">
        <w:rPr>
          <w:rFonts w:ascii="Times New Roman" w:hAnsi="Times New Roman" w:cs="Times New Roman"/>
          <w:sz w:val="24"/>
          <w:szCs w:val="24"/>
        </w:rPr>
        <w:t xml:space="preserve">identifies </w:t>
      </w:r>
      <w:r w:rsidR="001A1789" w:rsidRPr="00206628">
        <w:rPr>
          <w:rFonts w:ascii="Times New Roman" w:hAnsi="Times New Roman" w:cs="Times New Roman"/>
          <w:sz w:val="24"/>
          <w:szCs w:val="24"/>
        </w:rPr>
        <w:t xml:space="preserve">as another entity that should (or should not) be </w:t>
      </w:r>
      <w:r w:rsidR="00CA2958" w:rsidRPr="00206628">
        <w:rPr>
          <w:rFonts w:ascii="Times New Roman" w:hAnsi="Times New Roman" w:cs="Times New Roman"/>
          <w:sz w:val="24"/>
          <w:szCs w:val="24"/>
        </w:rPr>
        <w:t>granted</w:t>
      </w:r>
      <w:r w:rsidR="001A1789" w:rsidRPr="00206628">
        <w:rPr>
          <w:rFonts w:ascii="Times New Roman" w:hAnsi="Times New Roman" w:cs="Times New Roman"/>
          <w:sz w:val="24"/>
          <w:szCs w:val="24"/>
        </w:rPr>
        <w:t xml:space="preserve"> a suspension. </w:t>
      </w:r>
    </w:p>
    <w:p w14:paraId="1E4DE4F7" w14:textId="77777777" w:rsidR="001A1789" w:rsidRPr="00206628" w:rsidRDefault="001A1789" w:rsidP="001A1789">
      <w:pPr>
        <w:spacing w:before="240" w:after="100" w:afterAutospacing="1"/>
        <w:rPr>
          <w:rFonts w:ascii="Times New Roman" w:hAnsi="Times New Roman" w:cs="Times New Roman"/>
          <w:b/>
          <w:sz w:val="24"/>
          <w:szCs w:val="24"/>
        </w:rPr>
      </w:pPr>
      <w:r w:rsidRPr="00206628">
        <w:rPr>
          <w:rFonts w:ascii="Times New Roman" w:eastAsia="Calibri" w:hAnsi="Times New Roman" w:cs="Times New Roman"/>
          <w:b/>
          <w:sz w:val="24"/>
          <w:szCs w:val="24"/>
        </w:rPr>
        <w:t>PART 7</w:t>
      </w:r>
      <w:r w:rsidRPr="00206628">
        <w:rPr>
          <w:rFonts w:ascii="Times New Roman" w:hAnsi="Times New Roman" w:cs="Times New Roman"/>
          <w:i/>
          <w:sz w:val="24"/>
          <w:szCs w:val="24"/>
        </w:rPr>
        <w:t>—</w:t>
      </w:r>
      <w:r w:rsidRPr="00206628">
        <w:rPr>
          <w:rFonts w:ascii="Times New Roman" w:hAnsi="Times New Roman" w:cs="Times New Roman"/>
          <w:b/>
          <w:sz w:val="24"/>
          <w:szCs w:val="24"/>
        </w:rPr>
        <w:t>Notice of</w:t>
      </w:r>
      <w:r w:rsidRPr="00206628">
        <w:rPr>
          <w:rFonts w:ascii="Times New Roman" w:hAnsi="Times New Roman" w:cs="Times New Roman"/>
          <w:sz w:val="24"/>
          <w:szCs w:val="24"/>
        </w:rPr>
        <w:t xml:space="preserve"> </w:t>
      </w:r>
      <w:r w:rsidRPr="00206628">
        <w:rPr>
          <w:rFonts w:ascii="Times New Roman" w:hAnsi="Times New Roman" w:cs="Times New Roman"/>
          <w:b/>
          <w:sz w:val="24"/>
          <w:szCs w:val="24"/>
        </w:rPr>
        <w:t>intention to cease all MSO activities in relation to MSO product</w:t>
      </w:r>
    </w:p>
    <w:p w14:paraId="2D558A3C" w14:textId="3D0224F4" w:rsidR="001A1789" w:rsidRPr="00206628" w:rsidRDefault="00761A61" w:rsidP="001A1789">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121FA1" w:rsidRPr="00206628">
        <w:rPr>
          <w:rFonts w:ascii="Times New Roman" w:hAnsi="Times New Roman" w:cs="Times New Roman"/>
          <w:b/>
          <w:sz w:val="24"/>
          <w:szCs w:val="24"/>
        </w:rPr>
        <w:t xml:space="preserve">32 </w:t>
      </w:r>
      <w:r w:rsidR="001A1789" w:rsidRPr="00206628">
        <w:rPr>
          <w:rFonts w:ascii="Times New Roman" w:hAnsi="Times New Roman" w:cs="Times New Roman"/>
          <w:b/>
          <w:sz w:val="24"/>
          <w:szCs w:val="24"/>
        </w:rPr>
        <w:t xml:space="preserve">– </w:t>
      </w:r>
      <w:r w:rsidR="00121FA1" w:rsidRPr="00206628">
        <w:rPr>
          <w:rFonts w:ascii="Times New Roman" w:hAnsi="Times New Roman" w:cs="Times New Roman"/>
          <w:b/>
          <w:sz w:val="24"/>
          <w:szCs w:val="24"/>
        </w:rPr>
        <w:t>Requirements for notice of intention to cease MSO activities</w:t>
      </w:r>
    </w:p>
    <w:p w14:paraId="45A4E39B" w14:textId="7E167D97" w:rsidR="0018191B" w:rsidRPr="00206628" w:rsidRDefault="001A1789" w:rsidP="001A1789">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section prescribes the requirements for subsection 31(2) of the Act</w:t>
      </w:r>
      <w:r w:rsidR="0018191B" w:rsidRPr="00206628">
        <w:rPr>
          <w:rFonts w:ascii="Times New Roman" w:hAnsi="Times New Roman" w:cs="Times New Roman"/>
          <w:sz w:val="24"/>
          <w:szCs w:val="24"/>
        </w:rPr>
        <w:t xml:space="preserve"> regarding an entity’s notice of intent to </w:t>
      </w:r>
      <w:r w:rsidR="00BA6DC4" w:rsidRPr="00206628">
        <w:rPr>
          <w:rFonts w:ascii="Times New Roman" w:hAnsi="Times New Roman" w:cs="Times New Roman"/>
          <w:sz w:val="24"/>
          <w:szCs w:val="24"/>
        </w:rPr>
        <w:t xml:space="preserve">permanently or indefinitely </w:t>
      </w:r>
      <w:r w:rsidR="0018191B" w:rsidRPr="00206628">
        <w:rPr>
          <w:rFonts w:ascii="Times New Roman" w:hAnsi="Times New Roman" w:cs="Times New Roman"/>
          <w:sz w:val="24"/>
          <w:szCs w:val="24"/>
        </w:rPr>
        <w:t>cease all MSO activities (</w:t>
      </w:r>
      <w:r w:rsidR="00BA6DC4" w:rsidRPr="00206628">
        <w:rPr>
          <w:rFonts w:ascii="Times New Roman" w:hAnsi="Times New Roman" w:cs="Times New Roman"/>
          <w:sz w:val="24"/>
          <w:szCs w:val="24"/>
        </w:rPr>
        <w:t xml:space="preserve">i.e. </w:t>
      </w:r>
      <w:r w:rsidR="0018191B" w:rsidRPr="00206628">
        <w:rPr>
          <w:rFonts w:ascii="Times New Roman" w:hAnsi="Times New Roman" w:cs="Times New Roman"/>
          <w:sz w:val="24"/>
          <w:szCs w:val="24"/>
        </w:rPr>
        <w:t xml:space="preserve">both refining and </w:t>
      </w:r>
      <w:r w:rsidR="0018191B" w:rsidRPr="00206628">
        <w:rPr>
          <w:rFonts w:ascii="Times New Roman" w:hAnsi="Times New Roman" w:cs="Times New Roman"/>
          <w:sz w:val="24"/>
          <w:szCs w:val="24"/>
        </w:rPr>
        <w:lastRenderedPageBreak/>
        <w:t>importing) in relation to one or more MSO products. If an entity is ceasing their operations for an MSO product, they must:</w:t>
      </w:r>
    </w:p>
    <w:p w14:paraId="61BC99E8" w14:textId="77777777" w:rsidR="0018191B" w:rsidRPr="00206628" w:rsidRDefault="00B67DEE" w:rsidP="0037564F">
      <w:pPr>
        <w:pStyle w:val="ListParagraph"/>
        <w:numPr>
          <w:ilvl w:val="0"/>
          <w:numId w:val="45"/>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w:t>
      </w:r>
      <w:r w:rsidR="0018191B" w:rsidRPr="00206628">
        <w:rPr>
          <w:rFonts w:ascii="Times New Roman" w:hAnsi="Times New Roman" w:cs="Times New Roman"/>
          <w:sz w:val="24"/>
          <w:szCs w:val="24"/>
        </w:rPr>
        <w:t xml:space="preserve">et out which MSO products the entity will cease to refine or import. This can be a single MSO product or </w:t>
      </w:r>
      <w:r w:rsidRPr="00206628">
        <w:rPr>
          <w:rFonts w:ascii="Times New Roman" w:hAnsi="Times New Roman" w:cs="Times New Roman"/>
          <w:sz w:val="24"/>
          <w:szCs w:val="24"/>
        </w:rPr>
        <w:t>multiple/</w:t>
      </w:r>
      <w:r w:rsidR="0018191B" w:rsidRPr="00206628">
        <w:rPr>
          <w:rFonts w:ascii="Times New Roman" w:hAnsi="Times New Roman" w:cs="Times New Roman"/>
          <w:sz w:val="24"/>
          <w:szCs w:val="24"/>
        </w:rPr>
        <w:t>all MSO products</w:t>
      </w:r>
      <w:r w:rsidRPr="00206628">
        <w:rPr>
          <w:rFonts w:ascii="Times New Roman" w:hAnsi="Times New Roman" w:cs="Times New Roman"/>
          <w:sz w:val="24"/>
          <w:szCs w:val="24"/>
        </w:rPr>
        <w:t>.</w:t>
      </w:r>
    </w:p>
    <w:p w14:paraId="1B694900" w14:textId="777ED9F2" w:rsidR="00E645D4" w:rsidRPr="00206628" w:rsidRDefault="0018191B" w:rsidP="0037564F">
      <w:pPr>
        <w:pStyle w:val="ListParagraph"/>
        <w:numPr>
          <w:ilvl w:val="0"/>
          <w:numId w:val="45"/>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Explain the reasoning behind the entity’s decision to stop refining or importing any products </w:t>
      </w:r>
      <w:r w:rsidR="00121FA1" w:rsidRPr="00206628">
        <w:rPr>
          <w:rFonts w:ascii="Times New Roman" w:hAnsi="Times New Roman" w:cs="Times New Roman"/>
          <w:sz w:val="24"/>
          <w:szCs w:val="24"/>
        </w:rPr>
        <w:t xml:space="preserve">notified </w:t>
      </w:r>
      <w:r w:rsidR="00B67DEE" w:rsidRPr="00206628">
        <w:rPr>
          <w:rFonts w:ascii="Times New Roman" w:hAnsi="Times New Roman" w:cs="Times New Roman"/>
          <w:sz w:val="24"/>
          <w:szCs w:val="24"/>
        </w:rPr>
        <w:t xml:space="preserve">under </w:t>
      </w:r>
      <w:r w:rsidRPr="00206628">
        <w:rPr>
          <w:rFonts w:ascii="Times New Roman" w:hAnsi="Times New Roman" w:cs="Times New Roman"/>
          <w:sz w:val="24"/>
          <w:szCs w:val="24"/>
        </w:rPr>
        <w:t xml:space="preserve">paragraph </w:t>
      </w:r>
      <w:r w:rsidR="00121FA1" w:rsidRPr="00206628">
        <w:rPr>
          <w:rFonts w:ascii="Times New Roman" w:hAnsi="Times New Roman" w:cs="Times New Roman"/>
          <w:sz w:val="24"/>
          <w:szCs w:val="24"/>
        </w:rPr>
        <w:t>32</w:t>
      </w:r>
      <w:r w:rsidRPr="00206628">
        <w:rPr>
          <w:rFonts w:ascii="Times New Roman" w:hAnsi="Times New Roman" w:cs="Times New Roman"/>
          <w:sz w:val="24"/>
          <w:szCs w:val="24"/>
        </w:rPr>
        <w:t>(a</w:t>
      </w:r>
      <w:r w:rsidR="00B67DEE" w:rsidRPr="00206628">
        <w:rPr>
          <w:rFonts w:ascii="Times New Roman" w:hAnsi="Times New Roman" w:cs="Times New Roman"/>
          <w:sz w:val="24"/>
          <w:szCs w:val="24"/>
        </w:rPr>
        <w:t>)</w:t>
      </w:r>
      <w:r w:rsidR="00EC33FB" w:rsidRPr="00206628">
        <w:rPr>
          <w:rFonts w:ascii="Times New Roman" w:hAnsi="Times New Roman" w:cs="Times New Roman"/>
          <w:sz w:val="24"/>
          <w:szCs w:val="24"/>
        </w:rPr>
        <w:t xml:space="preserve"> of the Rules</w:t>
      </w:r>
      <w:r w:rsidR="00B67DEE" w:rsidRPr="00206628">
        <w:rPr>
          <w:rFonts w:ascii="Times New Roman" w:hAnsi="Times New Roman" w:cs="Times New Roman"/>
          <w:sz w:val="24"/>
          <w:szCs w:val="24"/>
        </w:rPr>
        <w:t xml:space="preserve">. This will </w:t>
      </w:r>
      <w:r w:rsidRPr="00206628">
        <w:rPr>
          <w:rFonts w:ascii="Times New Roman" w:hAnsi="Times New Roman" w:cs="Times New Roman"/>
          <w:sz w:val="24"/>
          <w:szCs w:val="24"/>
        </w:rPr>
        <w:t xml:space="preserve">allow the </w:t>
      </w:r>
      <w:r w:rsidR="00B15FA3" w:rsidRPr="00206628">
        <w:rPr>
          <w:rFonts w:ascii="Times New Roman" w:hAnsi="Times New Roman" w:cs="Times New Roman"/>
          <w:sz w:val="24"/>
          <w:szCs w:val="24"/>
        </w:rPr>
        <w:t>Secretary</w:t>
      </w:r>
      <w:r w:rsidRPr="00206628">
        <w:rPr>
          <w:rFonts w:ascii="Times New Roman" w:hAnsi="Times New Roman" w:cs="Times New Roman"/>
          <w:sz w:val="24"/>
          <w:szCs w:val="24"/>
        </w:rPr>
        <w:t xml:space="preserve"> to </w:t>
      </w:r>
      <w:r w:rsidR="000553DC" w:rsidRPr="00206628">
        <w:rPr>
          <w:rFonts w:ascii="Times New Roman" w:hAnsi="Times New Roman" w:cs="Times New Roman"/>
          <w:sz w:val="24"/>
          <w:szCs w:val="24"/>
        </w:rPr>
        <w:t xml:space="preserve">better </w:t>
      </w:r>
      <w:r w:rsidRPr="00206628">
        <w:rPr>
          <w:rFonts w:ascii="Times New Roman" w:hAnsi="Times New Roman" w:cs="Times New Roman"/>
          <w:sz w:val="24"/>
          <w:szCs w:val="24"/>
        </w:rPr>
        <w:t xml:space="preserve">understand any impacts </w:t>
      </w:r>
      <w:r w:rsidR="00B67DEE" w:rsidRPr="00206628">
        <w:rPr>
          <w:rFonts w:ascii="Times New Roman" w:hAnsi="Times New Roman" w:cs="Times New Roman"/>
          <w:sz w:val="24"/>
          <w:szCs w:val="24"/>
        </w:rPr>
        <w:t xml:space="preserve">of the impending cessation </w:t>
      </w:r>
      <w:r w:rsidR="000553DC" w:rsidRPr="00206628">
        <w:rPr>
          <w:rFonts w:ascii="Times New Roman" w:hAnsi="Times New Roman" w:cs="Times New Roman"/>
          <w:sz w:val="24"/>
          <w:szCs w:val="24"/>
        </w:rPr>
        <w:t>on</w:t>
      </w:r>
      <w:r w:rsidRPr="00206628">
        <w:rPr>
          <w:rFonts w:ascii="Times New Roman" w:hAnsi="Times New Roman" w:cs="Times New Roman"/>
          <w:sz w:val="24"/>
          <w:szCs w:val="24"/>
        </w:rPr>
        <w:t xml:space="preserve"> the market</w:t>
      </w:r>
      <w:r w:rsidR="000553DC" w:rsidRPr="00206628">
        <w:rPr>
          <w:rFonts w:ascii="Times New Roman" w:hAnsi="Times New Roman" w:cs="Times New Roman"/>
          <w:sz w:val="24"/>
          <w:szCs w:val="24"/>
        </w:rPr>
        <w:t xml:space="preserve">. The entity must also </w:t>
      </w:r>
      <w:r w:rsidR="00B67DEE" w:rsidRPr="00206628">
        <w:rPr>
          <w:rFonts w:ascii="Times New Roman" w:hAnsi="Times New Roman" w:cs="Times New Roman"/>
          <w:sz w:val="24"/>
          <w:szCs w:val="24"/>
        </w:rPr>
        <w:t xml:space="preserve">specify </w:t>
      </w:r>
      <w:r w:rsidR="000553DC" w:rsidRPr="00206628">
        <w:rPr>
          <w:rFonts w:ascii="Times New Roman" w:hAnsi="Times New Roman" w:cs="Times New Roman"/>
          <w:sz w:val="24"/>
          <w:szCs w:val="24"/>
        </w:rPr>
        <w:t xml:space="preserve">the timeframe </w:t>
      </w:r>
      <w:r w:rsidR="00B67DEE" w:rsidRPr="00206628">
        <w:rPr>
          <w:rFonts w:ascii="Times New Roman" w:hAnsi="Times New Roman" w:cs="Times New Roman"/>
          <w:sz w:val="24"/>
          <w:szCs w:val="24"/>
        </w:rPr>
        <w:t xml:space="preserve">in which </w:t>
      </w:r>
      <w:r w:rsidR="000553DC" w:rsidRPr="00206628">
        <w:rPr>
          <w:rFonts w:ascii="Times New Roman" w:hAnsi="Times New Roman" w:cs="Times New Roman"/>
          <w:sz w:val="24"/>
          <w:szCs w:val="24"/>
        </w:rPr>
        <w:t xml:space="preserve">they </w:t>
      </w:r>
      <w:r w:rsidR="00B67DEE" w:rsidRPr="00206628">
        <w:rPr>
          <w:rFonts w:ascii="Times New Roman" w:hAnsi="Times New Roman" w:cs="Times New Roman"/>
          <w:sz w:val="24"/>
          <w:szCs w:val="24"/>
        </w:rPr>
        <w:t xml:space="preserve">intend to </w:t>
      </w:r>
      <w:r w:rsidR="000553DC" w:rsidRPr="00206628">
        <w:rPr>
          <w:rFonts w:ascii="Times New Roman" w:hAnsi="Times New Roman" w:cs="Times New Roman"/>
          <w:sz w:val="24"/>
          <w:szCs w:val="24"/>
        </w:rPr>
        <w:t xml:space="preserve">stop importing or refining the MSO products. </w:t>
      </w:r>
    </w:p>
    <w:p w14:paraId="3122582C" w14:textId="77777777" w:rsidR="000553DC" w:rsidRPr="00206628" w:rsidRDefault="00B67DEE" w:rsidP="0037564F">
      <w:pPr>
        <w:pStyle w:val="ListParagraph"/>
        <w:numPr>
          <w:ilvl w:val="0"/>
          <w:numId w:val="45"/>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Identify any </w:t>
      </w:r>
      <w:r w:rsidR="00392517" w:rsidRPr="00206628">
        <w:rPr>
          <w:rFonts w:ascii="Times New Roman" w:hAnsi="Times New Roman" w:cs="Times New Roman"/>
          <w:sz w:val="24"/>
          <w:szCs w:val="24"/>
        </w:rPr>
        <w:t xml:space="preserve">entity that is likely to take over the importing and/or refining operations in place of the entity providing </w:t>
      </w:r>
      <w:r w:rsidRPr="00206628">
        <w:rPr>
          <w:rFonts w:ascii="Times New Roman" w:hAnsi="Times New Roman" w:cs="Times New Roman"/>
          <w:sz w:val="24"/>
          <w:szCs w:val="24"/>
        </w:rPr>
        <w:t xml:space="preserve">the </w:t>
      </w:r>
      <w:r w:rsidR="00392517" w:rsidRPr="00206628">
        <w:rPr>
          <w:rFonts w:ascii="Times New Roman" w:hAnsi="Times New Roman" w:cs="Times New Roman"/>
          <w:sz w:val="24"/>
          <w:szCs w:val="24"/>
        </w:rPr>
        <w:t>notice</w:t>
      </w:r>
      <w:r w:rsidRPr="00206628">
        <w:rPr>
          <w:rFonts w:ascii="Times New Roman" w:hAnsi="Times New Roman" w:cs="Times New Roman"/>
          <w:sz w:val="24"/>
          <w:szCs w:val="24"/>
        </w:rPr>
        <w:t xml:space="preserve"> of intention to cease</w:t>
      </w:r>
      <w:r w:rsidR="00EC03D7"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so that </w:t>
      </w:r>
      <w:r w:rsidR="00E645D4" w:rsidRPr="00206628">
        <w:rPr>
          <w:rFonts w:ascii="Times New Roman" w:hAnsi="Times New Roman" w:cs="Times New Roman"/>
          <w:sz w:val="24"/>
          <w:szCs w:val="24"/>
        </w:rPr>
        <w:t xml:space="preserve">the fuel security outcome </w:t>
      </w:r>
      <w:r w:rsidRPr="00206628">
        <w:rPr>
          <w:rFonts w:ascii="Times New Roman" w:hAnsi="Times New Roman" w:cs="Times New Roman"/>
          <w:sz w:val="24"/>
          <w:szCs w:val="24"/>
        </w:rPr>
        <w:t xml:space="preserve">may </w:t>
      </w:r>
      <w:r w:rsidR="00E645D4" w:rsidRPr="00206628">
        <w:rPr>
          <w:rFonts w:ascii="Times New Roman" w:hAnsi="Times New Roman" w:cs="Times New Roman"/>
          <w:sz w:val="24"/>
          <w:szCs w:val="24"/>
        </w:rPr>
        <w:t xml:space="preserve">be maintained where possible. Therefore, the new owner/s </w:t>
      </w:r>
      <w:r w:rsidR="00EC03D7" w:rsidRPr="00206628">
        <w:rPr>
          <w:rFonts w:ascii="Times New Roman" w:hAnsi="Times New Roman" w:cs="Times New Roman"/>
          <w:sz w:val="24"/>
          <w:szCs w:val="24"/>
        </w:rPr>
        <w:t xml:space="preserve">name/s should be provided, as well as any information regarding what level of obligation should be </w:t>
      </w:r>
      <w:r w:rsidR="00891A6C" w:rsidRPr="00206628">
        <w:rPr>
          <w:rFonts w:ascii="Times New Roman" w:hAnsi="Times New Roman" w:cs="Times New Roman"/>
          <w:sz w:val="24"/>
          <w:szCs w:val="24"/>
        </w:rPr>
        <w:t xml:space="preserve">designated </w:t>
      </w:r>
      <w:r w:rsidR="00EC03D7" w:rsidRPr="00206628">
        <w:rPr>
          <w:rFonts w:ascii="Times New Roman" w:hAnsi="Times New Roman" w:cs="Times New Roman"/>
          <w:sz w:val="24"/>
          <w:szCs w:val="24"/>
        </w:rPr>
        <w:t xml:space="preserve">to each </w:t>
      </w:r>
      <w:r w:rsidR="00E645D4" w:rsidRPr="00206628">
        <w:rPr>
          <w:rFonts w:ascii="Times New Roman" w:hAnsi="Times New Roman" w:cs="Times New Roman"/>
          <w:sz w:val="24"/>
          <w:szCs w:val="24"/>
        </w:rPr>
        <w:t xml:space="preserve">new owner. </w:t>
      </w:r>
    </w:p>
    <w:p w14:paraId="0D9D5B4A" w14:textId="77777777" w:rsidR="00E645D4" w:rsidRPr="00206628" w:rsidRDefault="00E645D4" w:rsidP="0037564F">
      <w:pPr>
        <w:pStyle w:val="ListParagraph"/>
        <w:numPr>
          <w:ilvl w:val="0"/>
          <w:numId w:val="45"/>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Provide evidence to substantiate any claims made in the notice. </w:t>
      </w:r>
    </w:p>
    <w:p w14:paraId="68C3EE69" w14:textId="77777777" w:rsidR="00881AE4" w:rsidRPr="00206628" w:rsidRDefault="001A1789" w:rsidP="001A1789">
      <w:pPr>
        <w:spacing w:before="240" w:after="100" w:afterAutospacing="1"/>
        <w:rPr>
          <w:rFonts w:ascii="Times New Roman" w:hAnsi="Times New Roman" w:cs="Times New Roman"/>
          <w:sz w:val="24"/>
          <w:szCs w:val="24"/>
        </w:rPr>
      </w:pPr>
      <w:r w:rsidRPr="00206628">
        <w:rPr>
          <w:rFonts w:ascii="Times New Roman" w:eastAsia="Calibri" w:hAnsi="Times New Roman" w:cs="Times New Roman"/>
          <w:b/>
          <w:sz w:val="24"/>
          <w:szCs w:val="24"/>
        </w:rPr>
        <w:t>PART 8</w:t>
      </w:r>
      <w:r w:rsidRPr="00206628">
        <w:rPr>
          <w:rFonts w:ascii="Times New Roman" w:hAnsi="Times New Roman" w:cs="Times New Roman"/>
          <w:i/>
          <w:sz w:val="24"/>
          <w:szCs w:val="24"/>
        </w:rPr>
        <w:t>—</w:t>
      </w:r>
      <w:r w:rsidRPr="00206628">
        <w:rPr>
          <w:rFonts w:ascii="Times New Roman" w:hAnsi="Times New Roman" w:cs="Times New Roman"/>
          <w:b/>
          <w:sz w:val="24"/>
          <w:szCs w:val="24"/>
        </w:rPr>
        <w:t>Audit</w:t>
      </w:r>
    </w:p>
    <w:p w14:paraId="3F9E2BC1" w14:textId="745B0C74" w:rsidR="00700E90" w:rsidRPr="00206628" w:rsidRDefault="003A17CA" w:rsidP="00490145">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b/>
          <w:sz w:val="24"/>
          <w:szCs w:val="24"/>
        </w:rPr>
        <w:t xml:space="preserve">Section </w:t>
      </w:r>
      <w:r w:rsidR="00121FA1" w:rsidRPr="00206628">
        <w:rPr>
          <w:rFonts w:ascii="Times New Roman" w:eastAsia="Calibri" w:hAnsi="Times New Roman" w:cs="Times New Roman"/>
          <w:b/>
          <w:sz w:val="24"/>
          <w:szCs w:val="24"/>
        </w:rPr>
        <w:t xml:space="preserve">33 </w:t>
      </w:r>
      <w:r w:rsidRPr="00206628">
        <w:rPr>
          <w:rFonts w:ascii="Times New Roman" w:eastAsia="Calibri" w:hAnsi="Times New Roman" w:cs="Times New Roman"/>
          <w:b/>
          <w:sz w:val="24"/>
          <w:szCs w:val="24"/>
        </w:rPr>
        <w:t xml:space="preserve">– Conduct of audits under section 33 or </w:t>
      </w:r>
      <w:r w:rsidR="00121FA1" w:rsidRPr="00206628">
        <w:rPr>
          <w:rFonts w:ascii="Times New Roman" w:eastAsia="Calibri" w:hAnsi="Times New Roman" w:cs="Times New Roman"/>
          <w:b/>
          <w:sz w:val="24"/>
          <w:szCs w:val="24"/>
        </w:rPr>
        <w:t xml:space="preserve">section </w:t>
      </w:r>
      <w:r w:rsidRPr="00206628">
        <w:rPr>
          <w:rFonts w:ascii="Times New Roman" w:eastAsia="Calibri" w:hAnsi="Times New Roman" w:cs="Times New Roman"/>
          <w:b/>
          <w:sz w:val="24"/>
          <w:szCs w:val="24"/>
        </w:rPr>
        <w:t>34 of the Act</w:t>
      </w:r>
    </w:p>
    <w:p w14:paraId="32015D63" w14:textId="63F9B859" w:rsidR="003A17CA" w:rsidRPr="00206628" w:rsidRDefault="00064B8A" w:rsidP="00490145">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Subs</w:t>
      </w:r>
      <w:r w:rsidR="00DE5F58" w:rsidRPr="00206628">
        <w:rPr>
          <w:rFonts w:ascii="Times New Roman" w:eastAsia="Calibri" w:hAnsi="Times New Roman" w:cs="Times New Roman"/>
          <w:sz w:val="24"/>
          <w:szCs w:val="24"/>
        </w:rPr>
        <w:t xml:space="preserve">ection </w:t>
      </w:r>
      <w:r w:rsidR="00121FA1" w:rsidRPr="00206628">
        <w:rPr>
          <w:rFonts w:ascii="Times New Roman" w:eastAsia="Calibri" w:hAnsi="Times New Roman" w:cs="Times New Roman"/>
          <w:sz w:val="24"/>
          <w:szCs w:val="24"/>
        </w:rPr>
        <w:t>33</w:t>
      </w:r>
      <w:r w:rsidRPr="00206628">
        <w:rPr>
          <w:rFonts w:ascii="Times New Roman" w:eastAsia="Calibri" w:hAnsi="Times New Roman" w:cs="Times New Roman"/>
          <w:sz w:val="24"/>
          <w:szCs w:val="24"/>
        </w:rPr>
        <w:t xml:space="preserve">(1) </w:t>
      </w:r>
      <w:r w:rsidR="00EC33FB" w:rsidRPr="00206628">
        <w:rPr>
          <w:rFonts w:ascii="Times New Roman" w:eastAsia="Calibri" w:hAnsi="Times New Roman" w:cs="Times New Roman"/>
          <w:sz w:val="24"/>
          <w:szCs w:val="24"/>
        </w:rPr>
        <w:t xml:space="preserve">of the Rules </w:t>
      </w:r>
      <w:r w:rsidR="00DE5F58" w:rsidRPr="00206628">
        <w:rPr>
          <w:rFonts w:ascii="Times New Roman" w:eastAsia="Calibri" w:hAnsi="Times New Roman" w:cs="Times New Roman"/>
          <w:sz w:val="24"/>
          <w:szCs w:val="24"/>
        </w:rPr>
        <w:t xml:space="preserve">prescribes </w:t>
      </w:r>
      <w:r w:rsidRPr="00206628">
        <w:rPr>
          <w:rFonts w:ascii="Times New Roman" w:eastAsia="Calibri" w:hAnsi="Times New Roman" w:cs="Times New Roman"/>
          <w:sz w:val="24"/>
          <w:szCs w:val="24"/>
        </w:rPr>
        <w:t>the requirements under subsection 35(1) of the Act which must be met by registered greenhouse and energy auditors that carry out audits under section</w:t>
      </w:r>
      <w:r w:rsidR="00121FA1" w:rsidRPr="00206628">
        <w:rPr>
          <w:rFonts w:ascii="Times New Roman" w:eastAsia="Calibri" w:hAnsi="Times New Roman" w:cs="Times New Roman"/>
          <w:sz w:val="24"/>
          <w:szCs w:val="24"/>
        </w:rPr>
        <w:t>s</w:t>
      </w:r>
      <w:r w:rsidRPr="00206628">
        <w:rPr>
          <w:rFonts w:ascii="Times New Roman" w:eastAsia="Calibri" w:hAnsi="Times New Roman" w:cs="Times New Roman"/>
          <w:sz w:val="24"/>
          <w:szCs w:val="24"/>
        </w:rPr>
        <w:t xml:space="preserve"> 33 or 34 of the Act. </w:t>
      </w:r>
    </w:p>
    <w:p w14:paraId="7968635F" w14:textId="4FB80D23" w:rsidR="009013DA" w:rsidRPr="00206628" w:rsidRDefault="00761A61" w:rsidP="007F5047">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Subsection </w:t>
      </w:r>
      <w:r w:rsidR="00121FA1" w:rsidRPr="00206628">
        <w:rPr>
          <w:rFonts w:ascii="Times New Roman" w:eastAsia="Calibri" w:hAnsi="Times New Roman" w:cs="Times New Roman"/>
          <w:sz w:val="24"/>
          <w:szCs w:val="24"/>
        </w:rPr>
        <w:t>33</w:t>
      </w:r>
      <w:r w:rsidR="00064B8A" w:rsidRPr="00206628">
        <w:rPr>
          <w:rFonts w:ascii="Times New Roman" w:eastAsia="Calibri" w:hAnsi="Times New Roman" w:cs="Times New Roman"/>
          <w:sz w:val="24"/>
          <w:szCs w:val="24"/>
        </w:rPr>
        <w:t xml:space="preserve">(2) </w:t>
      </w:r>
      <w:r w:rsidR="00865386" w:rsidRPr="00206628">
        <w:rPr>
          <w:rFonts w:ascii="Times New Roman" w:eastAsia="Calibri" w:hAnsi="Times New Roman" w:cs="Times New Roman"/>
          <w:sz w:val="24"/>
          <w:szCs w:val="24"/>
        </w:rPr>
        <w:t xml:space="preserve">prescribes that an audit report must be </w:t>
      </w:r>
      <w:r w:rsidR="00AE2929" w:rsidRPr="00206628">
        <w:rPr>
          <w:rFonts w:ascii="Times New Roman" w:eastAsia="Calibri" w:hAnsi="Times New Roman" w:cs="Times New Roman"/>
          <w:sz w:val="24"/>
          <w:szCs w:val="24"/>
        </w:rPr>
        <w:t xml:space="preserve">prepared by a registered greenhouse and energy auditor, recognising the significant skills this category of auditors have with energy auditing. </w:t>
      </w:r>
      <w:r w:rsidR="006F35A0" w:rsidRPr="00206628">
        <w:rPr>
          <w:rFonts w:ascii="Times New Roman" w:eastAsia="Calibri" w:hAnsi="Times New Roman" w:cs="Times New Roman"/>
          <w:sz w:val="24"/>
          <w:szCs w:val="24"/>
        </w:rPr>
        <w:t xml:space="preserve">These auditors already apply the NGER (Audit) Determination standard for greenhouse and energy audits, safeguard audits and audits under the Emissions Reduction Fund. </w:t>
      </w:r>
      <w:r w:rsidR="007F5047" w:rsidRPr="00206628">
        <w:rPr>
          <w:rFonts w:ascii="Times New Roman" w:eastAsia="Calibri" w:hAnsi="Times New Roman" w:cs="Times New Roman"/>
          <w:sz w:val="24"/>
          <w:szCs w:val="24"/>
        </w:rPr>
        <w:t xml:space="preserve">Subsection </w:t>
      </w:r>
      <w:r w:rsidR="00121FA1" w:rsidRPr="00206628">
        <w:rPr>
          <w:rFonts w:ascii="Times New Roman" w:eastAsia="Calibri" w:hAnsi="Times New Roman" w:cs="Times New Roman"/>
          <w:sz w:val="24"/>
          <w:szCs w:val="24"/>
        </w:rPr>
        <w:t>33</w:t>
      </w:r>
      <w:r w:rsidR="007F5047" w:rsidRPr="00206628">
        <w:rPr>
          <w:rFonts w:ascii="Times New Roman" w:eastAsia="Calibri" w:hAnsi="Times New Roman" w:cs="Times New Roman"/>
          <w:sz w:val="24"/>
          <w:szCs w:val="24"/>
        </w:rPr>
        <w:t xml:space="preserve">(2) </w:t>
      </w:r>
      <w:r w:rsidR="00AE2929" w:rsidRPr="00206628">
        <w:rPr>
          <w:rFonts w:ascii="Times New Roman" w:eastAsia="Calibri" w:hAnsi="Times New Roman" w:cs="Times New Roman"/>
          <w:sz w:val="24"/>
          <w:szCs w:val="24"/>
        </w:rPr>
        <w:t xml:space="preserve">also prescribes </w:t>
      </w:r>
      <w:r w:rsidR="00FE2DB8" w:rsidRPr="00206628">
        <w:rPr>
          <w:rFonts w:ascii="Times New Roman" w:eastAsia="Calibri" w:hAnsi="Times New Roman" w:cs="Times New Roman"/>
          <w:sz w:val="24"/>
          <w:szCs w:val="24"/>
        </w:rPr>
        <w:t>that the auditor prepare</w:t>
      </w:r>
      <w:r w:rsidR="007F5047" w:rsidRPr="00206628">
        <w:rPr>
          <w:rFonts w:ascii="Times New Roman" w:eastAsia="Calibri" w:hAnsi="Times New Roman" w:cs="Times New Roman"/>
          <w:sz w:val="24"/>
          <w:szCs w:val="24"/>
        </w:rPr>
        <w:t>s</w:t>
      </w:r>
      <w:r w:rsidR="00FE2DB8" w:rsidRPr="00206628">
        <w:rPr>
          <w:rFonts w:ascii="Times New Roman" w:eastAsia="Calibri" w:hAnsi="Times New Roman" w:cs="Times New Roman"/>
          <w:sz w:val="24"/>
          <w:szCs w:val="24"/>
        </w:rPr>
        <w:t xml:space="preserve"> </w:t>
      </w:r>
      <w:r w:rsidR="007F5047" w:rsidRPr="00206628">
        <w:rPr>
          <w:rFonts w:ascii="Times New Roman" w:eastAsia="Calibri" w:hAnsi="Times New Roman" w:cs="Times New Roman"/>
          <w:sz w:val="24"/>
          <w:szCs w:val="24"/>
        </w:rPr>
        <w:t xml:space="preserve">an </w:t>
      </w:r>
      <w:r w:rsidR="00FE2DB8" w:rsidRPr="00206628">
        <w:rPr>
          <w:rFonts w:ascii="Times New Roman" w:eastAsia="Calibri" w:hAnsi="Times New Roman" w:cs="Times New Roman"/>
          <w:sz w:val="24"/>
          <w:szCs w:val="24"/>
        </w:rPr>
        <w:t xml:space="preserve">audit report in accordance with the requirements </w:t>
      </w:r>
      <w:r w:rsidR="007F5047" w:rsidRPr="00206628">
        <w:rPr>
          <w:rFonts w:ascii="Times New Roman" w:eastAsia="Calibri" w:hAnsi="Times New Roman" w:cs="Times New Roman"/>
          <w:sz w:val="24"/>
          <w:szCs w:val="24"/>
        </w:rPr>
        <w:t xml:space="preserve">for reasonable assurance engagements or limited assurance engagements under the NGER (Audit) Determination (see sections 1.6 and 1.7, respectively), as specified in the relevant notice for paragraph 33(3)(a) or </w:t>
      </w:r>
      <w:r w:rsidR="00121FA1" w:rsidRPr="00206628">
        <w:rPr>
          <w:rFonts w:ascii="Times New Roman" w:eastAsia="Calibri" w:hAnsi="Times New Roman" w:cs="Times New Roman"/>
          <w:sz w:val="24"/>
          <w:szCs w:val="24"/>
        </w:rPr>
        <w:t xml:space="preserve">paragraph </w:t>
      </w:r>
      <w:r w:rsidR="007F5047" w:rsidRPr="00206628">
        <w:rPr>
          <w:rFonts w:ascii="Times New Roman" w:eastAsia="Calibri" w:hAnsi="Times New Roman" w:cs="Times New Roman"/>
          <w:sz w:val="24"/>
          <w:szCs w:val="24"/>
        </w:rPr>
        <w:t>34(2)(c) of the Act</w:t>
      </w:r>
      <w:r w:rsidR="0071663A" w:rsidRPr="00206628">
        <w:rPr>
          <w:rFonts w:ascii="Times New Roman" w:eastAsia="Calibri" w:hAnsi="Times New Roman" w:cs="Times New Roman"/>
          <w:sz w:val="24"/>
          <w:szCs w:val="24"/>
        </w:rPr>
        <w:t>.</w:t>
      </w:r>
    </w:p>
    <w:p w14:paraId="34B92D7F" w14:textId="77777777" w:rsidR="009013DA" w:rsidRPr="00206628" w:rsidRDefault="009013DA" w:rsidP="009013DA">
      <w:pPr>
        <w:spacing w:before="240" w:after="100" w:afterAutospacing="1"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The NGER (Audit) Determination is defined </w:t>
      </w:r>
      <w:r w:rsidR="00761A61" w:rsidRPr="00206628">
        <w:rPr>
          <w:rFonts w:ascii="Times New Roman" w:eastAsia="Calibri" w:hAnsi="Times New Roman" w:cs="Times New Roman"/>
          <w:sz w:val="24"/>
          <w:szCs w:val="24"/>
        </w:rPr>
        <w:t>in section 4</w:t>
      </w:r>
      <w:r w:rsidRPr="00206628">
        <w:rPr>
          <w:rFonts w:ascii="Times New Roman" w:eastAsia="Calibri" w:hAnsi="Times New Roman" w:cs="Times New Roman"/>
          <w:sz w:val="24"/>
          <w:szCs w:val="24"/>
        </w:rPr>
        <w:t xml:space="preserve"> </w:t>
      </w:r>
      <w:r w:rsidR="00EC33FB" w:rsidRPr="00206628">
        <w:rPr>
          <w:rFonts w:ascii="Times New Roman" w:eastAsia="Calibri" w:hAnsi="Times New Roman" w:cs="Times New Roman"/>
          <w:sz w:val="24"/>
          <w:szCs w:val="24"/>
        </w:rPr>
        <w:t xml:space="preserve">of the Rules </w:t>
      </w:r>
      <w:r w:rsidRPr="00206628">
        <w:rPr>
          <w:rFonts w:ascii="Times New Roman" w:eastAsia="Calibri" w:hAnsi="Times New Roman" w:cs="Times New Roman"/>
          <w:sz w:val="24"/>
          <w:szCs w:val="24"/>
        </w:rPr>
        <w:t xml:space="preserve">and incorporated as in force from time to time. It is </w:t>
      </w:r>
      <w:r w:rsidR="00761A61" w:rsidRPr="00206628">
        <w:rPr>
          <w:rFonts w:ascii="Times New Roman" w:eastAsia="Calibri" w:hAnsi="Times New Roman" w:cs="Times New Roman"/>
          <w:sz w:val="24"/>
          <w:szCs w:val="24"/>
        </w:rPr>
        <w:t xml:space="preserve">freely </w:t>
      </w:r>
      <w:r w:rsidRPr="00206628">
        <w:rPr>
          <w:rFonts w:ascii="Times New Roman" w:eastAsia="Calibri" w:hAnsi="Times New Roman" w:cs="Times New Roman"/>
          <w:sz w:val="24"/>
          <w:szCs w:val="24"/>
        </w:rPr>
        <w:t xml:space="preserve">available from </w:t>
      </w:r>
      <w:hyperlink r:id="rId22" w:history="1">
        <w:r w:rsidRPr="00206628">
          <w:rPr>
            <w:rStyle w:val="Hyperlink"/>
            <w:rFonts w:ascii="Times New Roman" w:eastAsia="Calibri" w:hAnsi="Times New Roman" w:cs="Times New Roman"/>
            <w:sz w:val="24"/>
            <w:szCs w:val="24"/>
          </w:rPr>
          <w:t>www.legislation.gov.au</w:t>
        </w:r>
      </w:hyperlink>
      <w:r w:rsidRPr="00206628">
        <w:rPr>
          <w:rFonts w:ascii="Times New Roman" w:eastAsia="Calibri" w:hAnsi="Times New Roman" w:cs="Times New Roman"/>
          <w:sz w:val="24"/>
          <w:szCs w:val="24"/>
        </w:rPr>
        <w:t xml:space="preserve">. </w:t>
      </w:r>
    </w:p>
    <w:p w14:paraId="3F132FE3" w14:textId="62DCDF0A" w:rsidR="00CF447A" w:rsidRPr="00206628" w:rsidRDefault="00CF447A" w:rsidP="009013DA">
      <w:pPr>
        <w:spacing w:before="240" w:after="100" w:afterAutospacing="1" w:line="276" w:lineRule="auto"/>
        <w:rPr>
          <w:rFonts w:ascii="Times New Roman" w:eastAsia="Calibri" w:hAnsi="Times New Roman" w:cs="Times New Roman"/>
          <w:sz w:val="24"/>
          <w:szCs w:val="24"/>
        </w:rPr>
      </w:pPr>
      <w:r w:rsidRPr="00206628">
        <w:rPr>
          <w:rFonts w:ascii="Times New Roman" w:eastAsia="Calibri" w:hAnsi="Times New Roman" w:cs="Times New Roman"/>
          <w:sz w:val="24"/>
          <w:szCs w:val="24"/>
        </w:rPr>
        <w:t>S</w:t>
      </w:r>
      <w:r w:rsidR="00761A61" w:rsidRPr="00206628">
        <w:rPr>
          <w:rFonts w:ascii="Times New Roman" w:eastAsia="Calibri" w:hAnsi="Times New Roman" w:cs="Times New Roman"/>
          <w:sz w:val="24"/>
          <w:szCs w:val="24"/>
        </w:rPr>
        <w:t xml:space="preserve">ubsection </w:t>
      </w:r>
      <w:r w:rsidR="00121FA1" w:rsidRPr="00206628">
        <w:rPr>
          <w:rFonts w:ascii="Times New Roman" w:eastAsia="Calibri" w:hAnsi="Times New Roman" w:cs="Times New Roman"/>
          <w:sz w:val="24"/>
          <w:szCs w:val="24"/>
        </w:rPr>
        <w:t>33</w:t>
      </w:r>
      <w:r w:rsidRPr="00206628">
        <w:rPr>
          <w:rFonts w:ascii="Times New Roman" w:eastAsia="Calibri" w:hAnsi="Times New Roman" w:cs="Times New Roman"/>
          <w:sz w:val="24"/>
          <w:szCs w:val="24"/>
        </w:rPr>
        <w:t>(3) prescribes that</w:t>
      </w:r>
      <w:r w:rsidR="0083028E" w:rsidRPr="00206628">
        <w:rPr>
          <w:rFonts w:ascii="Times New Roman" w:eastAsia="Calibri" w:hAnsi="Times New Roman" w:cs="Times New Roman"/>
          <w:sz w:val="24"/>
          <w:szCs w:val="24"/>
        </w:rPr>
        <w:t xml:space="preserve"> </w:t>
      </w:r>
      <w:r w:rsidRPr="00206628">
        <w:rPr>
          <w:rFonts w:ascii="Times New Roman" w:eastAsia="Calibri" w:hAnsi="Times New Roman" w:cs="Times New Roman"/>
          <w:sz w:val="24"/>
          <w:szCs w:val="24"/>
        </w:rPr>
        <w:t xml:space="preserve">a registered auditor </w:t>
      </w:r>
      <w:r w:rsidR="007C5283" w:rsidRPr="00206628">
        <w:rPr>
          <w:rFonts w:ascii="Times New Roman" w:eastAsia="Calibri" w:hAnsi="Times New Roman" w:cs="Times New Roman"/>
          <w:sz w:val="24"/>
          <w:szCs w:val="24"/>
        </w:rPr>
        <w:t>must take all reasonable steps to ensure there is no unauthorised use or disclosure of information</w:t>
      </w:r>
      <w:r w:rsidR="001F4106" w:rsidRPr="00206628">
        <w:rPr>
          <w:rFonts w:ascii="Times New Roman" w:eastAsia="Calibri" w:hAnsi="Times New Roman" w:cs="Times New Roman"/>
          <w:sz w:val="24"/>
          <w:szCs w:val="24"/>
        </w:rPr>
        <w:t xml:space="preserve"> obtained while conducting an audit</w:t>
      </w:r>
      <w:r w:rsidR="007C5283" w:rsidRPr="00206628">
        <w:rPr>
          <w:rFonts w:ascii="Times New Roman" w:eastAsia="Calibri" w:hAnsi="Times New Roman" w:cs="Times New Roman"/>
          <w:sz w:val="24"/>
          <w:szCs w:val="24"/>
        </w:rPr>
        <w:t xml:space="preserve">. </w:t>
      </w:r>
      <w:r w:rsidR="0083028E" w:rsidRPr="00206628">
        <w:rPr>
          <w:rFonts w:ascii="Times New Roman" w:eastAsia="Calibri" w:hAnsi="Times New Roman" w:cs="Times New Roman"/>
          <w:sz w:val="24"/>
          <w:szCs w:val="24"/>
        </w:rPr>
        <w:t xml:space="preserve">This reflects the fact that information obtained or produced in the course of an audit will likely be commercially sensitive and should be </w:t>
      </w:r>
      <w:r w:rsidR="001F4106" w:rsidRPr="00206628">
        <w:rPr>
          <w:rFonts w:ascii="Times New Roman" w:eastAsia="Calibri" w:hAnsi="Times New Roman" w:cs="Times New Roman"/>
          <w:sz w:val="24"/>
          <w:szCs w:val="24"/>
        </w:rPr>
        <w:t>handled</w:t>
      </w:r>
      <w:r w:rsidR="0083028E" w:rsidRPr="00206628">
        <w:rPr>
          <w:rFonts w:ascii="Times New Roman" w:eastAsia="Calibri" w:hAnsi="Times New Roman" w:cs="Times New Roman"/>
          <w:sz w:val="24"/>
          <w:szCs w:val="24"/>
        </w:rPr>
        <w:t xml:space="preserve"> on a confidential basis and protected from unauthorised use or disclosure.</w:t>
      </w:r>
      <w:r w:rsidRPr="00206628">
        <w:rPr>
          <w:rFonts w:ascii="Times New Roman" w:eastAsia="Calibri" w:hAnsi="Times New Roman" w:cs="Times New Roman"/>
          <w:sz w:val="24"/>
          <w:szCs w:val="24"/>
        </w:rPr>
        <w:t xml:space="preserve"> </w:t>
      </w:r>
    </w:p>
    <w:p w14:paraId="30493559" w14:textId="77777777" w:rsidR="00FE2DB8" w:rsidRPr="00206628" w:rsidRDefault="00FE2DB8" w:rsidP="00E534E8">
      <w:pPr>
        <w:keepNext/>
        <w:spacing w:before="240" w:after="100" w:afterAutospacing="1"/>
        <w:rPr>
          <w:rFonts w:ascii="Times New Roman" w:hAnsi="Times New Roman" w:cs="Times New Roman"/>
          <w:b/>
          <w:sz w:val="24"/>
          <w:szCs w:val="24"/>
        </w:rPr>
      </w:pPr>
      <w:r w:rsidRPr="00206628">
        <w:rPr>
          <w:rFonts w:ascii="Times New Roman" w:eastAsia="Calibri" w:hAnsi="Times New Roman" w:cs="Times New Roman"/>
          <w:b/>
          <w:sz w:val="24"/>
          <w:szCs w:val="24"/>
        </w:rPr>
        <w:lastRenderedPageBreak/>
        <w:t>PART 9</w:t>
      </w:r>
      <w:r w:rsidRPr="00206628">
        <w:rPr>
          <w:rFonts w:ascii="Times New Roman" w:hAnsi="Times New Roman" w:cs="Times New Roman"/>
          <w:i/>
          <w:sz w:val="24"/>
          <w:szCs w:val="24"/>
        </w:rPr>
        <w:t>—</w:t>
      </w:r>
      <w:r w:rsidRPr="00206628">
        <w:rPr>
          <w:rFonts w:ascii="Times New Roman" w:hAnsi="Times New Roman" w:cs="Times New Roman"/>
          <w:b/>
          <w:sz w:val="24"/>
          <w:szCs w:val="24"/>
        </w:rPr>
        <w:t>MSO compliance plan</w:t>
      </w:r>
    </w:p>
    <w:p w14:paraId="0390547A" w14:textId="79E6A7DE" w:rsidR="00FE2DB8" w:rsidRPr="00206628" w:rsidRDefault="007C5283" w:rsidP="00E534E8">
      <w:pPr>
        <w:keepNext/>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121FA1" w:rsidRPr="00206628">
        <w:rPr>
          <w:rFonts w:ascii="Times New Roman" w:hAnsi="Times New Roman" w:cs="Times New Roman"/>
          <w:b/>
          <w:sz w:val="24"/>
          <w:szCs w:val="24"/>
        </w:rPr>
        <w:t xml:space="preserve">34 </w:t>
      </w:r>
      <w:r w:rsidRPr="00206628">
        <w:rPr>
          <w:rFonts w:ascii="Times New Roman" w:hAnsi="Times New Roman" w:cs="Times New Roman"/>
          <w:b/>
          <w:sz w:val="24"/>
          <w:szCs w:val="24"/>
        </w:rPr>
        <w:t>– Operation of this Part</w:t>
      </w:r>
    </w:p>
    <w:p w14:paraId="53058830" w14:textId="77777777" w:rsidR="007C5283" w:rsidRPr="00206628" w:rsidRDefault="007C5283" w:rsidP="00FE2DB8">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w:t>
      </w:r>
      <w:r w:rsidR="00182EBE" w:rsidRPr="00206628">
        <w:rPr>
          <w:rFonts w:ascii="Times New Roman" w:hAnsi="Times New Roman" w:cs="Times New Roman"/>
          <w:sz w:val="24"/>
          <w:szCs w:val="24"/>
        </w:rPr>
        <w:t>Part</w:t>
      </w:r>
      <w:r w:rsidRPr="00206628">
        <w:rPr>
          <w:rFonts w:ascii="Times New Roman" w:hAnsi="Times New Roman" w:cs="Times New Roman"/>
          <w:sz w:val="24"/>
          <w:szCs w:val="24"/>
        </w:rPr>
        <w:t xml:space="preserve"> prescribes </w:t>
      </w:r>
      <w:r w:rsidR="00182EBE" w:rsidRPr="00206628">
        <w:rPr>
          <w:rFonts w:ascii="Times New Roman" w:hAnsi="Times New Roman" w:cs="Times New Roman"/>
          <w:sz w:val="24"/>
          <w:szCs w:val="24"/>
        </w:rPr>
        <w:t xml:space="preserve">the information that must be prepared </w:t>
      </w:r>
      <w:r w:rsidR="00E154A9" w:rsidRPr="00206628">
        <w:rPr>
          <w:rFonts w:ascii="Times New Roman" w:hAnsi="Times New Roman" w:cs="Times New Roman"/>
          <w:sz w:val="24"/>
          <w:szCs w:val="24"/>
        </w:rPr>
        <w:t xml:space="preserve">for, </w:t>
      </w:r>
      <w:r w:rsidR="00182EBE" w:rsidRPr="00206628">
        <w:rPr>
          <w:rFonts w:ascii="Times New Roman" w:hAnsi="Times New Roman" w:cs="Times New Roman"/>
          <w:sz w:val="24"/>
          <w:szCs w:val="24"/>
        </w:rPr>
        <w:t>and kept up to date in</w:t>
      </w:r>
      <w:r w:rsidR="00E154A9" w:rsidRPr="00206628">
        <w:rPr>
          <w:rFonts w:ascii="Times New Roman" w:hAnsi="Times New Roman" w:cs="Times New Roman"/>
          <w:sz w:val="24"/>
          <w:szCs w:val="24"/>
        </w:rPr>
        <w:t>,</w:t>
      </w:r>
      <w:r w:rsidR="00182EBE" w:rsidRPr="00206628">
        <w:rPr>
          <w:rFonts w:ascii="Times New Roman" w:hAnsi="Times New Roman" w:cs="Times New Roman"/>
          <w:sz w:val="24"/>
          <w:szCs w:val="24"/>
        </w:rPr>
        <w:t xml:space="preserve"> an entity’s MSO compliance plan</w:t>
      </w:r>
      <w:r w:rsidR="00761A61" w:rsidRPr="00206628">
        <w:rPr>
          <w:rFonts w:ascii="Times New Roman" w:hAnsi="Times New Roman" w:cs="Times New Roman"/>
          <w:sz w:val="24"/>
          <w:szCs w:val="24"/>
        </w:rPr>
        <w:t xml:space="preserve"> under section 36 of the Act</w:t>
      </w:r>
      <w:r w:rsidR="00182EBE" w:rsidRPr="00206628">
        <w:rPr>
          <w:rFonts w:ascii="Times New Roman" w:hAnsi="Times New Roman" w:cs="Times New Roman"/>
          <w:sz w:val="24"/>
          <w:szCs w:val="24"/>
        </w:rPr>
        <w:t xml:space="preserve">. </w:t>
      </w:r>
    </w:p>
    <w:p w14:paraId="1646784D" w14:textId="4F06DAC9" w:rsidR="00182EBE" w:rsidRPr="00206628" w:rsidRDefault="00182EBE" w:rsidP="00FE2DB8">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note </w:t>
      </w:r>
      <w:r w:rsidR="00E154A9" w:rsidRPr="00206628">
        <w:rPr>
          <w:rFonts w:ascii="Times New Roman" w:hAnsi="Times New Roman" w:cs="Times New Roman"/>
          <w:sz w:val="24"/>
          <w:szCs w:val="24"/>
        </w:rPr>
        <w:t xml:space="preserve">to </w:t>
      </w:r>
      <w:r w:rsidRPr="00206628">
        <w:rPr>
          <w:rFonts w:ascii="Times New Roman" w:hAnsi="Times New Roman" w:cs="Times New Roman"/>
          <w:sz w:val="24"/>
          <w:szCs w:val="24"/>
        </w:rPr>
        <w:t xml:space="preserve">section </w:t>
      </w:r>
      <w:r w:rsidR="00121FA1" w:rsidRPr="00206628">
        <w:rPr>
          <w:rFonts w:ascii="Times New Roman" w:hAnsi="Times New Roman" w:cs="Times New Roman"/>
          <w:sz w:val="24"/>
          <w:szCs w:val="24"/>
        </w:rPr>
        <w:t xml:space="preserve">34 </w:t>
      </w:r>
      <w:r w:rsidR="00EC33FB" w:rsidRPr="00206628">
        <w:rPr>
          <w:rFonts w:ascii="Times New Roman" w:hAnsi="Times New Roman" w:cs="Times New Roman"/>
          <w:sz w:val="24"/>
          <w:szCs w:val="24"/>
        </w:rPr>
        <w:t xml:space="preserve">of the Rules </w:t>
      </w:r>
      <w:r w:rsidR="00E154A9" w:rsidRPr="00206628">
        <w:rPr>
          <w:rFonts w:ascii="Times New Roman" w:hAnsi="Times New Roman" w:cs="Times New Roman"/>
          <w:sz w:val="24"/>
          <w:szCs w:val="24"/>
        </w:rPr>
        <w:t xml:space="preserve">advises </w:t>
      </w:r>
      <w:r w:rsidRPr="00206628">
        <w:rPr>
          <w:rFonts w:ascii="Times New Roman" w:hAnsi="Times New Roman" w:cs="Times New Roman"/>
          <w:sz w:val="24"/>
          <w:szCs w:val="24"/>
        </w:rPr>
        <w:t xml:space="preserve">the reader that the Secretary </w:t>
      </w:r>
      <w:r w:rsidR="00E154A9" w:rsidRPr="00206628">
        <w:rPr>
          <w:rFonts w:ascii="Times New Roman" w:hAnsi="Times New Roman" w:cs="Times New Roman"/>
          <w:sz w:val="24"/>
          <w:szCs w:val="24"/>
        </w:rPr>
        <w:t xml:space="preserve">may </w:t>
      </w:r>
      <w:r w:rsidRPr="00206628">
        <w:rPr>
          <w:rFonts w:ascii="Times New Roman" w:hAnsi="Times New Roman" w:cs="Times New Roman"/>
          <w:sz w:val="24"/>
          <w:szCs w:val="24"/>
        </w:rPr>
        <w:t xml:space="preserve">also ask </w:t>
      </w:r>
      <w:r w:rsidR="00E154A9" w:rsidRPr="00206628">
        <w:rPr>
          <w:rFonts w:ascii="Times New Roman" w:hAnsi="Times New Roman" w:cs="Times New Roman"/>
          <w:sz w:val="24"/>
          <w:szCs w:val="24"/>
        </w:rPr>
        <w:t>that an entity’s</w:t>
      </w:r>
      <w:r w:rsidRPr="00206628">
        <w:rPr>
          <w:rFonts w:ascii="Times New Roman" w:hAnsi="Times New Roman" w:cs="Times New Roman"/>
          <w:sz w:val="24"/>
          <w:szCs w:val="24"/>
        </w:rPr>
        <w:t xml:space="preserve"> MSO compliance plan cover</w:t>
      </w:r>
      <w:r w:rsidR="00E154A9" w:rsidRPr="00206628">
        <w:rPr>
          <w:rFonts w:ascii="Times New Roman" w:hAnsi="Times New Roman" w:cs="Times New Roman"/>
          <w:sz w:val="24"/>
          <w:szCs w:val="24"/>
        </w:rPr>
        <w:t>s</w:t>
      </w:r>
      <w:r w:rsidRPr="00206628">
        <w:rPr>
          <w:rFonts w:ascii="Times New Roman" w:hAnsi="Times New Roman" w:cs="Times New Roman"/>
          <w:sz w:val="24"/>
          <w:szCs w:val="24"/>
        </w:rPr>
        <w:t xml:space="preserve"> specific matters </w:t>
      </w:r>
      <w:r w:rsidR="00E154A9" w:rsidRPr="00206628">
        <w:rPr>
          <w:rFonts w:ascii="Times New Roman" w:hAnsi="Times New Roman" w:cs="Times New Roman"/>
          <w:sz w:val="24"/>
          <w:szCs w:val="24"/>
        </w:rPr>
        <w:t>in addition to those</w:t>
      </w:r>
      <w:r w:rsidRPr="00206628">
        <w:rPr>
          <w:rFonts w:ascii="Times New Roman" w:hAnsi="Times New Roman" w:cs="Times New Roman"/>
          <w:sz w:val="24"/>
          <w:szCs w:val="24"/>
        </w:rPr>
        <w:t xml:space="preserve"> </w:t>
      </w:r>
      <w:r w:rsidR="007A77F8" w:rsidRPr="00206628">
        <w:rPr>
          <w:rFonts w:ascii="Times New Roman" w:hAnsi="Times New Roman" w:cs="Times New Roman"/>
          <w:sz w:val="24"/>
          <w:szCs w:val="24"/>
        </w:rPr>
        <w:t xml:space="preserve">specified </w:t>
      </w:r>
      <w:r w:rsidRPr="00206628">
        <w:rPr>
          <w:rFonts w:ascii="Times New Roman" w:hAnsi="Times New Roman" w:cs="Times New Roman"/>
          <w:sz w:val="24"/>
          <w:szCs w:val="24"/>
        </w:rPr>
        <w:t>in this Part.</w:t>
      </w:r>
    </w:p>
    <w:p w14:paraId="2881D3CD" w14:textId="1CBC0249" w:rsidR="00182EBE" w:rsidRPr="00206628" w:rsidRDefault="00761A61" w:rsidP="00FE2DB8">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121FA1" w:rsidRPr="00206628">
        <w:rPr>
          <w:rFonts w:ascii="Times New Roman" w:hAnsi="Times New Roman" w:cs="Times New Roman"/>
          <w:b/>
          <w:sz w:val="24"/>
          <w:szCs w:val="24"/>
        </w:rPr>
        <w:t xml:space="preserve">35 </w:t>
      </w:r>
      <w:r w:rsidR="00182EBE" w:rsidRPr="00206628">
        <w:rPr>
          <w:rFonts w:ascii="Times New Roman" w:hAnsi="Times New Roman" w:cs="Times New Roman"/>
          <w:b/>
          <w:sz w:val="24"/>
          <w:szCs w:val="24"/>
        </w:rPr>
        <w:t>– What an MSO compliance plan must contain</w:t>
      </w:r>
      <w:r w:rsidR="00182EBE" w:rsidRPr="00206628">
        <w:rPr>
          <w:rFonts w:ascii="Times New Roman" w:hAnsi="Times New Roman" w:cs="Times New Roman"/>
          <w:i/>
          <w:sz w:val="24"/>
          <w:szCs w:val="24"/>
        </w:rPr>
        <w:t>—</w:t>
      </w:r>
      <w:r w:rsidR="00182EBE" w:rsidRPr="00206628">
        <w:rPr>
          <w:rFonts w:ascii="Times New Roman" w:hAnsi="Times New Roman" w:cs="Times New Roman"/>
          <w:b/>
          <w:sz w:val="24"/>
          <w:szCs w:val="24"/>
        </w:rPr>
        <w:t>outline</w:t>
      </w:r>
    </w:p>
    <w:p w14:paraId="17A7314C" w14:textId="77777777" w:rsidR="0042488A" w:rsidRPr="00206628" w:rsidRDefault="0042488A" w:rsidP="00490145">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section prescribes key </w:t>
      </w:r>
      <w:r w:rsidR="00C9634D" w:rsidRPr="00206628">
        <w:rPr>
          <w:rFonts w:ascii="Times New Roman" w:eastAsia="Calibri" w:hAnsi="Times New Roman" w:cs="Times New Roman"/>
          <w:sz w:val="24"/>
          <w:szCs w:val="24"/>
        </w:rPr>
        <w:t xml:space="preserve">high-level </w:t>
      </w:r>
      <w:r w:rsidRPr="00206628">
        <w:rPr>
          <w:rFonts w:ascii="Times New Roman" w:eastAsia="Calibri" w:hAnsi="Times New Roman" w:cs="Times New Roman"/>
          <w:sz w:val="24"/>
          <w:szCs w:val="24"/>
        </w:rPr>
        <w:t>matters that must be included in an entity’s MSO compliance plan, including:</w:t>
      </w:r>
    </w:p>
    <w:p w14:paraId="041AF194" w14:textId="77777777" w:rsidR="0042488A" w:rsidRPr="00206628" w:rsidRDefault="0042488A" w:rsidP="0037564F">
      <w:pPr>
        <w:pStyle w:val="ListParagraph"/>
        <w:numPr>
          <w:ilvl w:val="0"/>
          <w:numId w:val="46"/>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the entity’s organisational structure;</w:t>
      </w:r>
      <w:r w:rsidR="008B1E2C" w:rsidRPr="00206628">
        <w:rPr>
          <w:rFonts w:ascii="Times New Roman" w:eastAsia="Calibri" w:hAnsi="Times New Roman" w:cs="Times New Roman"/>
          <w:sz w:val="24"/>
          <w:szCs w:val="24"/>
        </w:rPr>
        <w:t xml:space="preserve"> </w:t>
      </w:r>
    </w:p>
    <w:p w14:paraId="18B25A63" w14:textId="77777777" w:rsidR="0042488A" w:rsidRPr="00206628" w:rsidRDefault="0042488A" w:rsidP="0037564F">
      <w:pPr>
        <w:pStyle w:val="ListParagraph"/>
        <w:numPr>
          <w:ilvl w:val="0"/>
          <w:numId w:val="46"/>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list of key people in the entity, including their role and contact details;</w:t>
      </w:r>
      <w:r w:rsidR="008B1E2C" w:rsidRPr="00206628">
        <w:rPr>
          <w:rFonts w:ascii="Times New Roman" w:eastAsia="Calibri" w:hAnsi="Times New Roman" w:cs="Times New Roman"/>
          <w:sz w:val="24"/>
          <w:szCs w:val="24"/>
        </w:rPr>
        <w:t xml:space="preserve"> </w:t>
      </w:r>
    </w:p>
    <w:p w14:paraId="0D425478" w14:textId="77777777" w:rsidR="008B1E2C" w:rsidRPr="00206628" w:rsidRDefault="008B1E2C" w:rsidP="0037564F">
      <w:pPr>
        <w:pStyle w:val="ListParagraph"/>
        <w:numPr>
          <w:ilvl w:val="0"/>
          <w:numId w:val="46"/>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a check list showing where the plan implements the requirements in these </w:t>
      </w:r>
      <w:r w:rsidR="00F02999" w:rsidRPr="00206628">
        <w:rPr>
          <w:rFonts w:ascii="Times New Roman" w:eastAsia="Calibri" w:hAnsi="Times New Roman" w:cs="Times New Roman"/>
          <w:sz w:val="24"/>
          <w:szCs w:val="24"/>
        </w:rPr>
        <w:t>R</w:t>
      </w:r>
      <w:r w:rsidRPr="00206628">
        <w:rPr>
          <w:rFonts w:ascii="Times New Roman" w:eastAsia="Calibri" w:hAnsi="Times New Roman" w:cs="Times New Roman"/>
          <w:sz w:val="24"/>
          <w:szCs w:val="24"/>
        </w:rPr>
        <w:t>ules;</w:t>
      </w:r>
    </w:p>
    <w:p w14:paraId="44AF4487" w14:textId="77777777" w:rsidR="0042488A" w:rsidRPr="00206628" w:rsidRDefault="0042488A" w:rsidP="0037564F">
      <w:pPr>
        <w:pStyle w:val="ListParagraph"/>
        <w:numPr>
          <w:ilvl w:val="0"/>
          <w:numId w:val="46"/>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processes for periodic review of the plan and </w:t>
      </w:r>
      <w:r w:rsidR="0095121B" w:rsidRPr="00206628">
        <w:rPr>
          <w:rFonts w:ascii="Times New Roman" w:eastAsia="Calibri" w:hAnsi="Times New Roman" w:cs="Times New Roman"/>
          <w:sz w:val="24"/>
          <w:szCs w:val="24"/>
        </w:rPr>
        <w:t xml:space="preserve">how it will be kept </w:t>
      </w:r>
      <w:r w:rsidRPr="00206628">
        <w:rPr>
          <w:rFonts w:ascii="Times New Roman" w:eastAsia="Calibri" w:hAnsi="Times New Roman" w:cs="Times New Roman"/>
          <w:sz w:val="24"/>
          <w:szCs w:val="24"/>
        </w:rPr>
        <w:t>current; and</w:t>
      </w:r>
    </w:p>
    <w:p w14:paraId="12E4CD15" w14:textId="77777777" w:rsidR="0042488A" w:rsidRPr="00206628" w:rsidRDefault="0042488A" w:rsidP="0037564F">
      <w:pPr>
        <w:pStyle w:val="ListParagraph"/>
        <w:numPr>
          <w:ilvl w:val="0"/>
          <w:numId w:val="46"/>
        </w:num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a signed </w:t>
      </w:r>
      <w:r w:rsidR="0095121B" w:rsidRPr="00206628">
        <w:rPr>
          <w:rFonts w:ascii="Times New Roman" w:eastAsia="Calibri" w:hAnsi="Times New Roman" w:cs="Times New Roman"/>
          <w:sz w:val="24"/>
          <w:szCs w:val="24"/>
        </w:rPr>
        <w:t>confirmation of</w:t>
      </w:r>
      <w:r w:rsidRPr="00206628">
        <w:rPr>
          <w:rFonts w:ascii="Times New Roman" w:eastAsia="Calibri" w:hAnsi="Times New Roman" w:cs="Times New Roman"/>
          <w:sz w:val="24"/>
          <w:szCs w:val="24"/>
        </w:rPr>
        <w:t xml:space="preserve"> the entity’s commitment to the plan.</w:t>
      </w:r>
    </w:p>
    <w:p w14:paraId="6E9C5087" w14:textId="77777777" w:rsidR="003026FE" w:rsidRPr="00206628" w:rsidRDefault="0042488A" w:rsidP="00490145">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This information will </w:t>
      </w:r>
      <w:r w:rsidR="00182EBE" w:rsidRPr="00206628">
        <w:rPr>
          <w:rFonts w:ascii="Times New Roman" w:eastAsia="Calibri" w:hAnsi="Times New Roman" w:cs="Times New Roman"/>
          <w:sz w:val="24"/>
          <w:szCs w:val="24"/>
        </w:rPr>
        <w:t>provide a broad overview of the entity</w:t>
      </w:r>
      <w:r w:rsidR="004D0249" w:rsidRPr="00206628">
        <w:rPr>
          <w:rFonts w:ascii="Times New Roman" w:eastAsia="Calibri" w:hAnsi="Times New Roman" w:cs="Times New Roman"/>
          <w:sz w:val="24"/>
          <w:szCs w:val="24"/>
        </w:rPr>
        <w:t xml:space="preserve"> to help the </w:t>
      </w:r>
      <w:r w:rsidR="002D5657" w:rsidRPr="00206628">
        <w:rPr>
          <w:rFonts w:ascii="Times New Roman" w:eastAsia="Calibri" w:hAnsi="Times New Roman" w:cs="Times New Roman"/>
          <w:sz w:val="24"/>
          <w:szCs w:val="24"/>
        </w:rPr>
        <w:t>Secretary</w:t>
      </w:r>
      <w:r w:rsidR="004D0249" w:rsidRPr="00206628">
        <w:rPr>
          <w:rFonts w:ascii="Times New Roman" w:eastAsia="Calibri" w:hAnsi="Times New Roman" w:cs="Times New Roman"/>
          <w:sz w:val="24"/>
          <w:szCs w:val="24"/>
        </w:rPr>
        <w:t xml:space="preserve"> understand the </w:t>
      </w:r>
      <w:r w:rsidRPr="00206628">
        <w:rPr>
          <w:rFonts w:ascii="Times New Roman" w:eastAsia="Calibri" w:hAnsi="Times New Roman" w:cs="Times New Roman"/>
          <w:sz w:val="24"/>
          <w:szCs w:val="24"/>
        </w:rPr>
        <w:t xml:space="preserve">entity’s corporate structure, </w:t>
      </w:r>
      <w:r w:rsidR="004D0249" w:rsidRPr="00206628">
        <w:rPr>
          <w:rFonts w:ascii="Times New Roman" w:eastAsia="Calibri" w:hAnsi="Times New Roman" w:cs="Times New Roman"/>
          <w:sz w:val="24"/>
          <w:szCs w:val="24"/>
        </w:rPr>
        <w:t xml:space="preserve">as well as the processes and commitment by the entity to keep the compliance plan relevant </w:t>
      </w:r>
      <w:r w:rsidR="003026FE" w:rsidRPr="00206628">
        <w:rPr>
          <w:rFonts w:ascii="Times New Roman" w:eastAsia="Calibri" w:hAnsi="Times New Roman" w:cs="Times New Roman"/>
          <w:sz w:val="24"/>
          <w:szCs w:val="24"/>
        </w:rPr>
        <w:t xml:space="preserve">to the organisation </w:t>
      </w:r>
      <w:r w:rsidR="004D0249" w:rsidRPr="00206628">
        <w:rPr>
          <w:rFonts w:ascii="Times New Roman" w:eastAsia="Calibri" w:hAnsi="Times New Roman" w:cs="Times New Roman"/>
          <w:sz w:val="24"/>
          <w:szCs w:val="24"/>
        </w:rPr>
        <w:t>and updated.</w:t>
      </w:r>
    </w:p>
    <w:p w14:paraId="7DCA4A31" w14:textId="5188807F" w:rsidR="009013DA" w:rsidRPr="00206628" w:rsidRDefault="00761A61" w:rsidP="00490145">
      <w:pPr>
        <w:spacing w:before="240" w:after="100" w:afterAutospacing="1"/>
        <w:rPr>
          <w:rFonts w:ascii="Times New Roman" w:hAnsi="Times New Roman" w:cs="Times New Roman"/>
          <w:b/>
          <w:sz w:val="24"/>
          <w:szCs w:val="24"/>
        </w:rPr>
      </w:pPr>
      <w:r w:rsidRPr="00206628">
        <w:rPr>
          <w:rFonts w:ascii="Times New Roman" w:eastAsia="Calibri" w:hAnsi="Times New Roman" w:cs="Times New Roman"/>
          <w:b/>
          <w:sz w:val="24"/>
          <w:szCs w:val="24"/>
        </w:rPr>
        <w:t xml:space="preserve">Section </w:t>
      </w:r>
      <w:r w:rsidR="00121FA1" w:rsidRPr="00206628">
        <w:rPr>
          <w:rFonts w:ascii="Times New Roman" w:eastAsia="Calibri" w:hAnsi="Times New Roman" w:cs="Times New Roman"/>
          <w:b/>
          <w:sz w:val="24"/>
          <w:szCs w:val="24"/>
        </w:rPr>
        <w:t xml:space="preserve">36 </w:t>
      </w:r>
      <w:r w:rsidR="003026FE" w:rsidRPr="00206628">
        <w:rPr>
          <w:rFonts w:ascii="Times New Roman" w:eastAsia="Calibri" w:hAnsi="Times New Roman" w:cs="Times New Roman"/>
          <w:b/>
          <w:sz w:val="24"/>
          <w:szCs w:val="24"/>
        </w:rPr>
        <w:t>– What an MSO compliance plan must contain</w:t>
      </w:r>
      <w:r w:rsidR="003026FE" w:rsidRPr="00206628">
        <w:rPr>
          <w:rFonts w:ascii="Times New Roman" w:hAnsi="Times New Roman" w:cs="Times New Roman"/>
          <w:i/>
          <w:sz w:val="24"/>
          <w:szCs w:val="24"/>
        </w:rPr>
        <w:t>—</w:t>
      </w:r>
      <w:r w:rsidR="003026FE" w:rsidRPr="00206628">
        <w:rPr>
          <w:rFonts w:ascii="Times New Roman" w:hAnsi="Times New Roman" w:cs="Times New Roman"/>
          <w:b/>
          <w:sz w:val="24"/>
          <w:szCs w:val="24"/>
        </w:rPr>
        <w:t>overview of current practices</w:t>
      </w:r>
    </w:p>
    <w:p w14:paraId="548D4371" w14:textId="77777777" w:rsidR="0095121B" w:rsidRPr="00206628" w:rsidRDefault="0095121B" w:rsidP="0095121B">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section prescribes that an entity’s MSO compliance plan must contain the following information about the entity’s current practices for managing each MSO activity </w:t>
      </w:r>
      <w:r w:rsidR="00C9634D" w:rsidRPr="00206628">
        <w:rPr>
          <w:rFonts w:ascii="Times New Roman" w:hAnsi="Times New Roman" w:cs="Times New Roman"/>
          <w:sz w:val="24"/>
          <w:szCs w:val="24"/>
        </w:rPr>
        <w:t xml:space="preserve">(refining and/or importing) </w:t>
      </w:r>
      <w:r w:rsidRPr="00206628">
        <w:rPr>
          <w:rFonts w:ascii="Times New Roman" w:hAnsi="Times New Roman" w:cs="Times New Roman"/>
          <w:sz w:val="24"/>
          <w:szCs w:val="24"/>
        </w:rPr>
        <w:t>it undertakes:</w:t>
      </w:r>
    </w:p>
    <w:p w14:paraId="4A6139D1" w14:textId="77777777" w:rsidR="0095121B" w:rsidRPr="00206628" w:rsidRDefault="0095121B" w:rsidP="0037564F">
      <w:pPr>
        <w:pStyle w:val="ListParagraph"/>
        <w:numPr>
          <w:ilvl w:val="0"/>
          <w:numId w:val="47"/>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the frequency of imports of MSO products;</w:t>
      </w:r>
    </w:p>
    <w:p w14:paraId="0EF3D2C2" w14:textId="77777777" w:rsidR="0095121B" w:rsidRPr="00206628" w:rsidRDefault="0095121B" w:rsidP="0037564F">
      <w:pPr>
        <w:pStyle w:val="ListParagraph"/>
        <w:numPr>
          <w:ilvl w:val="0"/>
          <w:numId w:val="47"/>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the entity’s volumetric storage capacity for each MSO product;</w:t>
      </w:r>
    </w:p>
    <w:p w14:paraId="3AE9090F" w14:textId="77777777" w:rsidR="0095121B" w:rsidRPr="00206628" w:rsidRDefault="0095121B" w:rsidP="0037564F">
      <w:pPr>
        <w:pStyle w:val="ListParagraph"/>
        <w:numPr>
          <w:ilvl w:val="0"/>
          <w:numId w:val="47"/>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locations of storage facilities</w:t>
      </w:r>
      <w:r w:rsidR="00C9634D" w:rsidRPr="00206628">
        <w:rPr>
          <w:rFonts w:ascii="Times New Roman" w:hAnsi="Times New Roman" w:cs="Times New Roman"/>
          <w:sz w:val="24"/>
          <w:szCs w:val="24"/>
        </w:rPr>
        <w:t xml:space="preserve"> for MSO products</w:t>
      </w:r>
      <w:r w:rsidRPr="00206628">
        <w:rPr>
          <w:rFonts w:ascii="Times New Roman" w:hAnsi="Times New Roman" w:cs="Times New Roman"/>
          <w:sz w:val="24"/>
          <w:szCs w:val="24"/>
        </w:rPr>
        <w:t>;</w:t>
      </w:r>
    </w:p>
    <w:p w14:paraId="190D6137" w14:textId="77777777" w:rsidR="0095121B" w:rsidRPr="00206628" w:rsidRDefault="0095121B" w:rsidP="0037564F">
      <w:pPr>
        <w:pStyle w:val="ListParagraph"/>
        <w:numPr>
          <w:ilvl w:val="0"/>
          <w:numId w:val="47"/>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information about the usual fluctuations in the storage of MSO products; and</w:t>
      </w:r>
    </w:p>
    <w:p w14:paraId="31572983" w14:textId="77777777" w:rsidR="0095121B" w:rsidRPr="00206628" w:rsidRDefault="0095121B" w:rsidP="0037564F">
      <w:pPr>
        <w:pStyle w:val="ListParagraph"/>
        <w:numPr>
          <w:ilvl w:val="0"/>
          <w:numId w:val="47"/>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a description of the entity’s significant ongoing contractual obligations for the supply of MSO products.</w:t>
      </w:r>
    </w:p>
    <w:p w14:paraId="77E058B5" w14:textId="77777777" w:rsidR="003026FE" w:rsidRPr="00206628" w:rsidRDefault="0095121B" w:rsidP="00490145">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i</w:t>
      </w:r>
      <w:r w:rsidR="003026FE" w:rsidRPr="00206628">
        <w:rPr>
          <w:rFonts w:ascii="Times New Roman" w:hAnsi="Times New Roman" w:cs="Times New Roman"/>
          <w:sz w:val="24"/>
          <w:szCs w:val="24"/>
        </w:rPr>
        <w:t xml:space="preserve">nformation </w:t>
      </w:r>
      <w:r w:rsidR="00DA503D" w:rsidRPr="00206628">
        <w:rPr>
          <w:rFonts w:ascii="Times New Roman" w:hAnsi="Times New Roman" w:cs="Times New Roman"/>
          <w:sz w:val="24"/>
          <w:szCs w:val="24"/>
        </w:rPr>
        <w:t xml:space="preserve">will provide Government with a greater understanding of </w:t>
      </w:r>
      <w:r w:rsidR="00C9634D" w:rsidRPr="00206628">
        <w:rPr>
          <w:rFonts w:ascii="Times New Roman" w:hAnsi="Times New Roman" w:cs="Times New Roman"/>
          <w:sz w:val="24"/>
          <w:szCs w:val="24"/>
        </w:rPr>
        <w:t xml:space="preserve">how an entity will manage the MSO, and </w:t>
      </w:r>
      <w:r w:rsidRPr="00206628">
        <w:rPr>
          <w:rFonts w:ascii="Times New Roman" w:hAnsi="Times New Roman" w:cs="Times New Roman"/>
          <w:sz w:val="24"/>
          <w:szCs w:val="24"/>
        </w:rPr>
        <w:t xml:space="preserve">the </w:t>
      </w:r>
      <w:r w:rsidR="00DA503D" w:rsidRPr="00206628">
        <w:rPr>
          <w:rFonts w:ascii="Times New Roman" w:hAnsi="Times New Roman" w:cs="Times New Roman"/>
          <w:sz w:val="24"/>
          <w:szCs w:val="24"/>
        </w:rPr>
        <w:t xml:space="preserve">broader fuel security implications </w:t>
      </w:r>
      <w:r w:rsidRPr="00206628">
        <w:rPr>
          <w:rFonts w:ascii="Times New Roman" w:hAnsi="Times New Roman" w:cs="Times New Roman"/>
          <w:sz w:val="24"/>
          <w:szCs w:val="24"/>
        </w:rPr>
        <w:t xml:space="preserve">of the entity’s </w:t>
      </w:r>
      <w:r w:rsidR="00943A43" w:rsidRPr="00206628">
        <w:rPr>
          <w:rFonts w:ascii="Times New Roman" w:hAnsi="Times New Roman" w:cs="Times New Roman"/>
          <w:sz w:val="24"/>
          <w:szCs w:val="24"/>
        </w:rPr>
        <w:t>activitie</w:t>
      </w:r>
      <w:r w:rsidRPr="00206628">
        <w:rPr>
          <w:rFonts w:ascii="Times New Roman" w:hAnsi="Times New Roman" w:cs="Times New Roman"/>
          <w:sz w:val="24"/>
          <w:szCs w:val="24"/>
        </w:rPr>
        <w:t xml:space="preserve">s for </w:t>
      </w:r>
      <w:r w:rsidR="00DA503D" w:rsidRPr="00206628">
        <w:rPr>
          <w:rFonts w:ascii="Times New Roman" w:hAnsi="Times New Roman" w:cs="Times New Roman"/>
          <w:sz w:val="24"/>
          <w:szCs w:val="24"/>
        </w:rPr>
        <w:t xml:space="preserve">Australia. </w:t>
      </w:r>
    </w:p>
    <w:p w14:paraId="74B81AF3" w14:textId="77777777" w:rsidR="003349F0" w:rsidRPr="00206628" w:rsidRDefault="003349F0">
      <w:pPr>
        <w:rPr>
          <w:rFonts w:ascii="Times New Roman" w:hAnsi="Times New Roman" w:cs="Times New Roman"/>
          <w:b/>
          <w:sz w:val="24"/>
          <w:szCs w:val="24"/>
        </w:rPr>
      </w:pPr>
      <w:r w:rsidRPr="00206628">
        <w:rPr>
          <w:rFonts w:ascii="Times New Roman" w:hAnsi="Times New Roman" w:cs="Times New Roman"/>
          <w:b/>
          <w:sz w:val="24"/>
          <w:szCs w:val="24"/>
        </w:rPr>
        <w:br w:type="page"/>
      </w:r>
    </w:p>
    <w:p w14:paraId="55EEDE94" w14:textId="7BFC03F0" w:rsidR="00DA503D" w:rsidRPr="00206628" w:rsidRDefault="00761A61" w:rsidP="00490145">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lastRenderedPageBreak/>
        <w:t xml:space="preserve">Section </w:t>
      </w:r>
      <w:r w:rsidR="00520672" w:rsidRPr="00206628">
        <w:rPr>
          <w:rFonts w:ascii="Times New Roman" w:hAnsi="Times New Roman" w:cs="Times New Roman"/>
          <w:b/>
          <w:sz w:val="24"/>
          <w:szCs w:val="24"/>
        </w:rPr>
        <w:t xml:space="preserve">37 </w:t>
      </w:r>
      <w:r w:rsidR="00DA503D" w:rsidRPr="00206628">
        <w:rPr>
          <w:rFonts w:ascii="Times New Roman" w:eastAsia="Calibri" w:hAnsi="Times New Roman" w:cs="Times New Roman"/>
          <w:b/>
          <w:sz w:val="24"/>
          <w:szCs w:val="24"/>
        </w:rPr>
        <w:t>– What an MSO compliance plan must contain</w:t>
      </w:r>
      <w:r w:rsidR="00DA503D" w:rsidRPr="00206628">
        <w:rPr>
          <w:rFonts w:ascii="Times New Roman" w:hAnsi="Times New Roman" w:cs="Times New Roman"/>
          <w:i/>
          <w:sz w:val="24"/>
          <w:szCs w:val="24"/>
        </w:rPr>
        <w:t>—</w:t>
      </w:r>
      <w:r w:rsidR="00DA503D" w:rsidRPr="00206628">
        <w:rPr>
          <w:rFonts w:ascii="Times New Roman" w:hAnsi="Times New Roman" w:cs="Times New Roman"/>
          <w:b/>
          <w:sz w:val="24"/>
          <w:szCs w:val="24"/>
        </w:rPr>
        <w:t>compliance pathway</w:t>
      </w:r>
    </w:p>
    <w:p w14:paraId="47DDA8CF" w14:textId="77777777" w:rsidR="00DA503D" w:rsidRPr="00206628" w:rsidRDefault="00DA503D" w:rsidP="00490145">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section prescribes the steps and strategies required to be </w:t>
      </w:r>
      <w:r w:rsidR="002938E0" w:rsidRPr="00206628">
        <w:rPr>
          <w:rFonts w:ascii="Times New Roman" w:hAnsi="Times New Roman" w:cs="Times New Roman"/>
          <w:sz w:val="24"/>
          <w:szCs w:val="24"/>
        </w:rPr>
        <w:t xml:space="preserve">included in an entity’s MSO compliance plan </w:t>
      </w:r>
      <w:r w:rsidRPr="00206628">
        <w:rPr>
          <w:rFonts w:ascii="Times New Roman" w:hAnsi="Times New Roman" w:cs="Times New Roman"/>
          <w:sz w:val="24"/>
          <w:szCs w:val="24"/>
        </w:rPr>
        <w:t xml:space="preserve">to confirm the entity has arrangements in place to comply with the MSO, as well as </w:t>
      </w:r>
      <w:r w:rsidR="00391CC9" w:rsidRPr="00206628">
        <w:rPr>
          <w:rFonts w:ascii="Times New Roman" w:hAnsi="Times New Roman" w:cs="Times New Roman"/>
          <w:sz w:val="24"/>
          <w:szCs w:val="24"/>
        </w:rPr>
        <w:t xml:space="preserve">any contingency plans </w:t>
      </w:r>
      <w:r w:rsidR="002938E0" w:rsidRPr="00206628">
        <w:rPr>
          <w:rFonts w:ascii="Times New Roman" w:hAnsi="Times New Roman" w:cs="Times New Roman"/>
          <w:sz w:val="24"/>
          <w:szCs w:val="24"/>
        </w:rPr>
        <w:t xml:space="preserve">it </w:t>
      </w:r>
      <w:r w:rsidR="00391CC9" w:rsidRPr="00206628">
        <w:rPr>
          <w:rFonts w:ascii="Times New Roman" w:hAnsi="Times New Roman" w:cs="Times New Roman"/>
          <w:sz w:val="24"/>
          <w:szCs w:val="24"/>
        </w:rPr>
        <w:t>will follow</w:t>
      </w:r>
      <w:r w:rsidR="002D5657" w:rsidRPr="00206628">
        <w:rPr>
          <w:rFonts w:ascii="Times New Roman" w:hAnsi="Times New Roman" w:cs="Times New Roman"/>
          <w:sz w:val="24"/>
          <w:szCs w:val="24"/>
        </w:rPr>
        <w:t xml:space="preserve"> </w:t>
      </w:r>
      <w:r w:rsidR="00391CC9" w:rsidRPr="00206628">
        <w:rPr>
          <w:rFonts w:ascii="Times New Roman" w:hAnsi="Times New Roman" w:cs="Times New Roman"/>
          <w:sz w:val="24"/>
          <w:szCs w:val="24"/>
        </w:rPr>
        <w:t xml:space="preserve">if </w:t>
      </w:r>
      <w:r w:rsidR="002938E0" w:rsidRPr="00206628">
        <w:rPr>
          <w:rFonts w:ascii="Times New Roman" w:hAnsi="Times New Roman" w:cs="Times New Roman"/>
          <w:sz w:val="24"/>
          <w:szCs w:val="24"/>
        </w:rPr>
        <w:t>it</w:t>
      </w:r>
      <w:r w:rsidR="00391CC9" w:rsidRPr="00206628">
        <w:rPr>
          <w:rFonts w:ascii="Times New Roman" w:hAnsi="Times New Roman" w:cs="Times New Roman"/>
          <w:sz w:val="24"/>
          <w:szCs w:val="24"/>
        </w:rPr>
        <w:t xml:space="preserve"> is likely to be non-compliant</w:t>
      </w:r>
      <w:r w:rsidR="00E112F8" w:rsidRPr="00206628">
        <w:rPr>
          <w:rFonts w:ascii="Times New Roman" w:hAnsi="Times New Roman" w:cs="Times New Roman"/>
          <w:sz w:val="24"/>
          <w:szCs w:val="24"/>
        </w:rPr>
        <w:t xml:space="preserve"> to bring it back to compliance</w:t>
      </w:r>
      <w:r w:rsidR="00391CC9" w:rsidRPr="00206628">
        <w:rPr>
          <w:rFonts w:ascii="Times New Roman" w:hAnsi="Times New Roman" w:cs="Times New Roman"/>
          <w:sz w:val="24"/>
          <w:szCs w:val="24"/>
        </w:rPr>
        <w:t xml:space="preserve">. </w:t>
      </w:r>
    </w:p>
    <w:p w14:paraId="1DA1ED42" w14:textId="62EFF7BB" w:rsidR="00391CC9" w:rsidRPr="00206628" w:rsidRDefault="00391CC9" w:rsidP="00490145">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section aims to ensure entities have thought about the different means to </w:t>
      </w:r>
      <w:r w:rsidR="00E112F8" w:rsidRPr="00206628">
        <w:rPr>
          <w:rFonts w:ascii="Times New Roman" w:hAnsi="Times New Roman" w:cs="Times New Roman"/>
          <w:sz w:val="24"/>
          <w:szCs w:val="24"/>
        </w:rPr>
        <w:t xml:space="preserve">comply </w:t>
      </w:r>
      <w:r w:rsidRPr="00206628">
        <w:rPr>
          <w:rFonts w:ascii="Times New Roman" w:hAnsi="Times New Roman" w:cs="Times New Roman"/>
          <w:sz w:val="24"/>
          <w:szCs w:val="24"/>
        </w:rPr>
        <w:t xml:space="preserve">with their MSO (as </w:t>
      </w:r>
      <w:r w:rsidR="007A77F8" w:rsidRPr="00206628">
        <w:rPr>
          <w:rFonts w:ascii="Times New Roman" w:hAnsi="Times New Roman" w:cs="Times New Roman"/>
          <w:sz w:val="24"/>
          <w:szCs w:val="24"/>
        </w:rPr>
        <w:t xml:space="preserve">specified </w:t>
      </w:r>
      <w:r w:rsidR="00761A61" w:rsidRPr="00206628">
        <w:rPr>
          <w:rFonts w:ascii="Times New Roman" w:hAnsi="Times New Roman" w:cs="Times New Roman"/>
          <w:sz w:val="24"/>
          <w:szCs w:val="24"/>
        </w:rPr>
        <w:t xml:space="preserve">in paragraphs </w:t>
      </w:r>
      <w:r w:rsidR="00520672" w:rsidRPr="00206628">
        <w:rPr>
          <w:rFonts w:ascii="Times New Roman" w:hAnsi="Times New Roman" w:cs="Times New Roman"/>
          <w:sz w:val="24"/>
          <w:szCs w:val="24"/>
        </w:rPr>
        <w:t>37</w:t>
      </w:r>
      <w:r w:rsidR="00761A61" w:rsidRPr="00206628">
        <w:rPr>
          <w:rFonts w:ascii="Times New Roman" w:hAnsi="Times New Roman" w:cs="Times New Roman"/>
          <w:sz w:val="24"/>
          <w:szCs w:val="24"/>
        </w:rPr>
        <w:t xml:space="preserve">(2)(a) – </w:t>
      </w:r>
      <w:r w:rsidR="00520672" w:rsidRPr="00206628">
        <w:rPr>
          <w:rFonts w:ascii="Times New Roman" w:hAnsi="Times New Roman" w:cs="Times New Roman"/>
          <w:sz w:val="24"/>
          <w:szCs w:val="24"/>
        </w:rPr>
        <w:t>37</w:t>
      </w:r>
      <w:r w:rsidRPr="00206628">
        <w:rPr>
          <w:rFonts w:ascii="Times New Roman" w:hAnsi="Times New Roman" w:cs="Times New Roman"/>
          <w:sz w:val="24"/>
          <w:szCs w:val="24"/>
        </w:rPr>
        <w:t>(2)(d)</w:t>
      </w:r>
      <w:r w:rsidR="002938E0" w:rsidRPr="00206628">
        <w:rPr>
          <w:rFonts w:ascii="Times New Roman" w:hAnsi="Times New Roman" w:cs="Times New Roman"/>
          <w:sz w:val="24"/>
          <w:szCs w:val="24"/>
        </w:rPr>
        <w:t xml:space="preserve"> of the Rules</w:t>
      </w:r>
      <w:r w:rsidRPr="00206628">
        <w:rPr>
          <w:rFonts w:ascii="Times New Roman" w:hAnsi="Times New Roman" w:cs="Times New Roman"/>
          <w:sz w:val="24"/>
          <w:szCs w:val="24"/>
        </w:rPr>
        <w:t xml:space="preserve">), and recognises that there may be situations when an entity will need to </w:t>
      </w:r>
      <w:r w:rsidR="002938E0" w:rsidRPr="00206628">
        <w:rPr>
          <w:rFonts w:ascii="Times New Roman" w:hAnsi="Times New Roman" w:cs="Times New Roman"/>
          <w:sz w:val="24"/>
          <w:szCs w:val="24"/>
        </w:rPr>
        <w:t xml:space="preserve">activate </w:t>
      </w:r>
      <w:r w:rsidR="00F91A48" w:rsidRPr="00206628">
        <w:rPr>
          <w:rFonts w:ascii="Times New Roman" w:hAnsi="Times New Roman" w:cs="Times New Roman"/>
          <w:sz w:val="24"/>
          <w:szCs w:val="24"/>
        </w:rPr>
        <w:t xml:space="preserve">contingency plans to </w:t>
      </w:r>
      <w:r w:rsidR="002938E0" w:rsidRPr="00206628">
        <w:rPr>
          <w:rFonts w:ascii="Times New Roman" w:hAnsi="Times New Roman" w:cs="Times New Roman"/>
          <w:sz w:val="24"/>
          <w:szCs w:val="24"/>
        </w:rPr>
        <w:t>remain</w:t>
      </w:r>
      <w:r w:rsidR="00F91A48" w:rsidRPr="00206628">
        <w:rPr>
          <w:rFonts w:ascii="Times New Roman" w:hAnsi="Times New Roman" w:cs="Times New Roman"/>
          <w:sz w:val="24"/>
          <w:szCs w:val="24"/>
        </w:rPr>
        <w:t xml:space="preserve"> compliant. By requiring pre-</w:t>
      </w:r>
      <w:r w:rsidR="002938E0" w:rsidRPr="00206628">
        <w:rPr>
          <w:rFonts w:ascii="Times New Roman" w:hAnsi="Times New Roman" w:cs="Times New Roman"/>
          <w:sz w:val="24"/>
          <w:szCs w:val="24"/>
        </w:rPr>
        <w:t>planning</w:t>
      </w:r>
      <w:r w:rsidR="00F91A48" w:rsidRPr="00206628">
        <w:rPr>
          <w:rFonts w:ascii="Times New Roman" w:hAnsi="Times New Roman" w:cs="Times New Roman"/>
          <w:sz w:val="24"/>
          <w:szCs w:val="24"/>
        </w:rPr>
        <w:t xml:space="preserve"> to be </w:t>
      </w:r>
      <w:r w:rsidR="002938E0" w:rsidRPr="00206628">
        <w:rPr>
          <w:rFonts w:ascii="Times New Roman" w:hAnsi="Times New Roman" w:cs="Times New Roman"/>
          <w:sz w:val="24"/>
          <w:szCs w:val="24"/>
        </w:rPr>
        <w:t xml:space="preserve">undertaken </w:t>
      </w:r>
      <w:r w:rsidR="00F91A48" w:rsidRPr="00206628">
        <w:rPr>
          <w:rFonts w:ascii="Times New Roman" w:hAnsi="Times New Roman" w:cs="Times New Roman"/>
          <w:sz w:val="24"/>
          <w:szCs w:val="24"/>
        </w:rPr>
        <w:t xml:space="preserve">in these areas, Australia’s fuel security it is more likely to be maintained.  </w:t>
      </w:r>
    </w:p>
    <w:p w14:paraId="6817D192" w14:textId="2DBE6EA0" w:rsidR="00F91A48" w:rsidRPr="00206628" w:rsidRDefault="00761A61" w:rsidP="00490145">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520672" w:rsidRPr="00206628">
        <w:rPr>
          <w:rFonts w:ascii="Times New Roman" w:hAnsi="Times New Roman" w:cs="Times New Roman"/>
          <w:b/>
          <w:sz w:val="24"/>
          <w:szCs w:val="24"/>
        </w:rPr>
        <w:t xml:space="preserve">38 </w:t>
      </w:r>
      <w:r w:rsidR="00F91A48" w:rsidRPr="00206628">
        <w:rPr>
          <w:rFonts w:ascii="Times New Roman" w:eastAsia="Calibri" w:hAnsi="Times New Roman" w:cs="Times New Roman"/>
          <w:b/>
          <w:sz w:val="24"/>
          <w:szCs w:val="24"/>
        </w:rPr>
        <w:t>– What an MSO compliance plan must contain</w:t>
      </w:r>
      <w:r w:rsidR="00F91A48" w:rsidRPr="00206628">
        <w:rPr>
          <w:rFonts w:ascii="Times New Roman" w:hAnsi="Times New Roman" w:cs="Times New Roman"/>
          <w:i/>
          <w:sz w:val="24"/>
          <w:szCs w:val="24"/>
        </w:rPr>
        <w:t>—</w:t>
      </w:r>
      <w:r w:rsidR="00F91A48" w:rsidRPr="00206628">
        <w:rPr>
          <w:rFonts w:ascii="Times New Roman" w:hAnsi="Times New Roman" w:cs="Times New Roman"/>
          <w:b/>
          <w:sz w:val="24"/>
          <w:szCs w:val="24"/>
        </w:rPr>
        <w:t>data collection, reporting and record keeping</w:t>
      </w:r>
    </w:p>
    <w:p w14:paraId="74CFAAA6" w14:textId="77777777" w:rsidR="001D33DA" w:rsidRPr="00206628" w:rsidRDefault="00443CFD" w:rsidP="00633F69">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section prescribes</w:t>
      </w:r>
      <w:r w:rsidR="00633F69" w:rsidRPr="00206628">
        <w:t xml:space="preserve"> </w:t>
      </w:r>
      <w:r w:rsidR="00633F69" w:rsidRPr="00206628">
        <w:rPr>
          <w:rFonts w:ascii="Times New Roman" w:hAnsi="Times New Roman" w:cs="Times New Roman"/>
          <w:sz w:val="24"/>
          <w:szCs w:val="24"/>
        </w:rPr>
        <w:t>that an entity’s MSO compliance plan must set out the entity’s current methodology and practice for counting stock</w:t>
      </w:r>
      <w:r w:rsidR="009D1896" w:rsidRPr="00206628">
        <w:rPr>
          <w:rFonts w:ascii="Times New Roman" w:hAnsi="Times New Roman" w:cs="Times New Roman"/>
          <w:sz w:val="24"/>
          <w:szCs w:val="24"/>
        </w:rPr>
        <w:t xml:space="preserve"> of MSO products</w:t>
      </w:r>
      <w:r w:rsidR="00633F69" w:rsidRPr="00206628">
        <w:rPr>
          <w:rFonts w:ascii="Times New Roman" w:hAnsi="Times New Roman" w:cs="Times New Roman"/>
          <w:sz w:val="24"/>
          <w:szCs w:val="24"/>
        </w:rPr>
        <w:t>, including</w:t>
      </w:r>
      <w:r w:rsidR="00B04C86" w:rsidRPr="00206628">
        <w:rPr>
          <w:rFonts w:ascii="Times New Roman" w:hAnsi="Times New Roman" w:cs="Times New Roman"/>
          <w:sz w:val="24"/>
          <w:szCs w:val="24"/>
        </w:rPr>
        <w:t xml:space="preserve"> the specific me</w:t>
      </w:r>
      <w:r w:rsidR="00633F69" w:rsidRPr="00206628">
        <w:rPr>
          <w:rFonts w:ascii="Times New Roman" w:hAnsi="Times New Roman" w:cs="Times New Roman"/>
          <w:sz w:val="24"/>
          <w:szCs w:val="24"/>
        </w:rPr>
        <w:t>thods</w:t>
      </w:r>
      <w:r w:rsidR="00B04C86" w:rsidRPr="00206628">
        <w:rPr>
          <w:rFonts w:ascii="Times New Roman" w:hAnsi="Times New Roman" w:cs="Times New Roman"/>
          <w:sz w:val="24"/>
          <w:szCs w:val="24"/>
        </w:rPr>
        <w:t xml:space="preserve"> an entity will use to</w:t>
      </w:r>
      <w:r w:rsidR="001D33DA" w:rsidRPr="00206628">
        <w:rPr>
          <w:rFonts w:ascii="Times New Roman" w:hAnsi="Times New Roman" w:cs="Times New Roman"/>
          <w:sz w:val="24"/>
          <w:szCs w:val="24"/>
        </w:rPr>
        <w:t>:</w:t>
      </w:r>
    </w:p>
    <w:p w14:paraId="5DD28FA0" w14:textId="77777777" w:rsidR="00443CFD" w:rsidRPr="00206628" w:rsidRDefault="00E7047F" w:rsidP="0037564F">
      <w:pPr>
        <w:pStyle w:val="ListParagraph"/>
        <w:numPr>
          <w:ilvl w:val="0"/>
          <w:numId w:val="48"/>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c</w:t>
      </w:r>
      <w:r w:rsidR="00B04C86" w:rsidRPr="00206628">
        <w:rPr>
          <w:rFonts w:ascii="Times New Roman" w:hAnsi="Times New Roman" w:cs="Times New Roman"/>
          <w:sz w:val="24"/>
          <w:szCs w:val="24"/>
        </w:rPr>
        <w:t>ount stock within the EEZ</w:t>
      </w:r>
      <w:r w:rsidR="00761A61" w:rsidRPr="00206628">
        <w:rPr>
          <w:rFonts w:ascii="Times New Roman" w:hAnsi="Times New Roman" w:cs="Times New Roman"/>
          <w:sz w:val="24"/>
          <w:szCs w:val="24"/>
        </w:rPr>
        <w:t xml:space="preserve"> or pipelines</w:t>
      </w:r>
      <w:r w:rsidR="00633F69" w:rsidRPr="00206628">
        <w:rPr>
          <w:rFonts w:ascii="Times New Roman" w:hAnsi="Times New Roman" w:cs="Times New Roman"/>
          <w:sz w:val="24"/>
          <w:szCs w:val="24"/>
        </w:rPr>
        <w:t xml:space="preserve"> (if required) and measures to ensure accuracy</w:t>
      </w:r>
      <w:r w:rsidR="001D33DA" w:rsidRPr="00206628">
        <w:rPr>
          <w:rFonts w:ascii="Times New Roman" w:hAnsi="Times New Roman" w:cs="Times New Roman"/>
          <w:sz w:val="24"/>
          <w:szCs w:val="24"/>
        </w:rPr>
        <w:t>;</w:t>
      </w:r>
      <w:r w:rsidR="00BD35F0" w:rsidRPr="00206628">
        <w:rPr>
          <w:rFonts w:ascii="Times New Roman" w:hAnsi="Times New Roman" w:cs="Times New Roman"/>
          <w:sz w:val="24"/>
          <w:szCs w:val="24"/>
        </w:rPr>
        <w:t xml:space="preserve"> </w:t>
      </w:r>
      <w:r w:rsidR="001D33DA" w:rsidRPr="00206628">
        <w:rPr>
          <w:rFonts w:ascii="Times New Roman" w:hAnsi="Times New Roman" w:cs="Times New Roman"/>
          <w:sz w:val="24"/>
          <w:szCs w:val="24"/>
        </w:rPr>
        <w:t>and</w:t>
      </w:r>
    </w:p>
    <w:p w14:paraId="71DCC790" w14:textId="77777777" w:rsidR="001D33DA" w:rsidRPr="00206628" w:rsidRDefault="00E7047F" w:rsidP="0037564F">
      <w:pPr>
        <w:pStyle w:val="ListParagraph"/>
        <w:numPr>
          <w:ilvl w:val="0"/>
          <w:numId w:val="48"/>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c</w:t>
      </w:r>
      <w:r w:rsidR="001D33DA" w:rsidRPr="00206628">
        <w:rPr>
          <w:rFonts w:ascii="Times New Roman" w:hAnsi="Times New Roman" w:cs="Times New Roman"/>
          <w:sz w:val="24"/>
          <w:szCs w:val="24"/>
        </w:rPr>
        <w:t>ount unfinished product as MSO product at a refinery</w:t>
      </w:r>
      <w:r w:rsidR="00633F69" w:rsidRPr="00206628">
        <w:rPr>
          <w:rFonts w:ascii="Times New Roman" w:hAnsi="Times New Roman" w:cs="Times New Roman"/>
          <w:sz w:val="24"/>
          <w:szCs w:val="24"/>
        </w:rPr>
        <w:t xml:space="preserve"> (if required)</w:t>
      </w:r>
      <w:r w:rsidR="001D33DA" w:rsidRPr="00206628">
        <w:rPr>
          <w:rFonts w:ascii="Times New Roman" w:hAnsi="Times New Roman" w:cs="Times New Roman"/>
          <w:sz w:val="24"/>
          <w:szCs w:val="24"/>
        </w:rPr>
        <w:t>.</w:t>
      </w:r>
    </w:p>
    <w:p w14:paraId="3DE0C25E" w14:textId="7DA6BA73" w:rsidR="001D33DA" w:rsidRPr="00206628" w:rsidRDefault="009D1896" w:rsidP="001D33DA">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If </w:t>
      </w:r>
      <w:r w:rsidR="001D33DA" w:rsidRPr="00206628">
        <w:rPr>
          <w:rFonts w:ascii="Times New Roman" w:hAnsi="Times New Roman" w:cs="Times New Roman"/>
          <w:sz w:val="24"/>
          <w:szCs w:val="24"/>
        </w:rPr>
        <w:t xml:space="preserve">these specific </w:t>
      </w:r>
      <w:r w:rsidRPr="00206628">
        <w:rPr>
          <w:rFonts w:ascii="Times New Roman" w:hAnsi="Times New Roman" w:cs="Times New Roman"/>
          <w:sz w:val="24"/>
          <w:szCs w:val="24"/>
        </w:rPr>
        <w:t>matters are not described</w:t>
      </w:r>
      <w:r w:rsidR="007A77F8" w:rsidRPr="00206628">
        <w:rPr>
          <w:rFonts w:ascii="Times New Roman" w:hAnsi="Times New Roman" w:cs="Times New Roman"/>
          <w:sz w:val="24"/>
          <w:szCs w:val="24"/>
        </w:rPr>
        <w:t xml:space="preserve"> </w:t>
      </w:r>
      <w:r w:rsidR="001D33DA" w:rsidRPr="00206628">
        <w:rPr>
          <w:rFonts w:ascii="Times New Roman" w:hAnsi="Times New Roman" w:cs="Times New Roman"/>
          <w:sz w:val="24"/>
          <w:szCs w:val="24"/>
        </w:rPr>
        <w:t>in the</w:t>
      </w:r>
      <w:r w:rsidR="00024401" w:rsidRPr="00206628">
        <w:rPr>
          <w:rFonts w:ascii="Times New Roman" w:hAnsi="Times New Roman" w:cs="Times New Roman"/>
          <w:sz w:val="24"/>
          <w:szCs w:val="24"/>
        </w:rPr>
        <w:t xml:space="preserve"> </w:t>
      </w:r>
      <w:r w:rsidRPr="00206628">
        <w:rPr>
          <w:rFonts w:ascii="Times New Roman" w:hAnsi="Times New Roman" w:cs="Times New Roman"/>
          <w:sz w:val="24"/>
          <w:szCs w:val="24"/>
        </w:rPr>
        <w:t xml:space="preserve">entity’s </w:t>
      </w:r>
      <w:r w:rsidR="00024401" w:rsidRPr="00206628">
        <w:rPr>
          <w:rFonts w:ascii="Times New Roman" w:hAnsi="Times New Roman" w:cs="Times New Roman"/>
          <w:sz w:val="24"/>
          <w:szCs w:val="24"/>
        </w:rPr>
        <w:t>MSO</w:t>
      </w:r>
      <w:r w:rsidR="001D33DA" w:rsidRPr="00206628">
        <w:rPr>
          <w:rFonts w:ascii="Times New Roman" w:hAnsi="Times New Roman" w:cs="Times New Roman"/>
          <w:sz w:val="24"/>
          <w:szCs w:val="24"/>
        </w:rPr>
        <w:t xml:space="preserve"> compliance plan, the</w:t>
      </w:r>
      <w:r w:rsidRPr="00206628">
        <w:rPr>
          <w:rFonts w:ascii="Times New Roman" w:hAnsi="Times New Roman" w:cs="Times New Roman"/>
          <w:sz w:val="24"/>
          <w:szCs w:val="24"/>
        </w:rPr>
        <w:t>se kinds of stocks</w:t>
      </w:r>
      <w:r w:rsidR="001D33DA" w:rsidRPr="00206628">
        <w:rPr>
          <w:rFonts w:ascii="Times New Roman" w:hAnsi="Times New Roman" w:cs="Times New Roman"/>
          <w:sz w:val="24"/>
          <w:szCs w:val="24"/>
        </w:rPr>
        <w:t xml:space="preserve"> cannot be counted towards </w:t>
      </w:r>
      <w:r w:rsidRPr="00206628">
        <w:rPr>
          <w:rFonts w:ascii="Times New Roman" w:hAnsi="Times New Roman" w:cs="Times New Roman"/>
          <w:sz w:val="24"/>
          <w:szCs w:val="24"/>
        </w:rPr>
        <w:t xml:space="preserve">the </w:t>
      </w:r>
      <w:r w:rsidR="001D33DA" w:rsidRPr="00206628">
        <w:rPr>
          <w:rFonts w:ascii="Times New Roman" w:hAnsi="Times New Roman" w:cs="Times New Roman"/>
          <w:sz w:val="24"/>
          <w:szCs w:val="24"/>
        </w:rPr>
        <w:t xml:space="preserve">entity’s MSO. </w:t>
      </w:r>
      <w:r w:rsidR="00633F69" w:rsidRPr="00206628">
        <w:rPr>
          <w:rFonts w:ascii="Times New Roman" w:hAnsi="Times New Roman" w:cs="Times New Roman"/>
          <w:sz w:val="24"/>
          <w:szCs w:val="24"/>
        </w:rPr>
        <w:t xml:space="preserve">See also explanatory notes above for sections </w:t>
      </w:r>
      <w:r w:rsidR="00520672" w:rsidRPr="00206628">
        <w:rPr>
          <w:rFonts w:ascii="Times New Roman" w:hAnsi="Times New Roman" w:cs="Times New Roman"/>
          <w:sz w:val="24"/>
          <w:szCs w:val="24"/>
        </w:rPr>
        <w:t>7</w:t>
      </w:r>
      <w:r w:rsidR="00761A61" w:rsidRPr="00206628">
        <w:rPr>
          <w:rFonts w:ascii="Times New Roman" w:hAnsi="Times New Roman" w:cs="Times New Roman"/>
          <w:sz w:val="24"/>
          <w:szCs w:val="24"/>
        </w:rPr>
        <w:t>, 9 and 14</w:t>
      </w:r>
      <w:r w:rsidR="00633F69" w:rsidRPr="00206628">
        <w:rPr>
          <w:rFonts w:ascii="Times New Roman" w:hAnsi="Times New Roman" w:cs="Times New Roman"/>
          <w:sz w:val="24"/>
          <w:szCs w:val="24"/>
        </w:rPr>
        <w:t xml:space="preserve"> of the Rules.</w:t>
      </w:r>
    </w:p>
    <w:p w14:paraId="728D6F14" w14:textId="77777777" w:rsidR="001D33DA" w:rsidRPr="00206628" w:rsidRDefault="001D33DA" w:rsidP="001D33DA">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Further information </w:t>
      </w:r>
      <w:r w:rsidR="00633F69" w:rsidRPr="00206628">
        <w:rPr>
          <w:rFonts w:ascii="Times New Roman" w:hAnsi="Times New Roman" w:cs="Times New Roman"/>
          <w:sz w:val="24"/>
          <w:szCs w:val="24"/>
        </w:rPr>
        <w:t>is also required to be included in an entity’s MSO compliance plan</w:t>
      </w:r>
      <w:r w:rsidRPr="00206628">
        <w:rPr>
          <w:rFonts w:ascii="Times New Roman" w:hAnsi="Times New Roman" w:cs="Times New Roman"/>
          <w:sz w:val="24"/>
          <w:szCs w:val="24"/>
        </w:rPr>
        <w:t xml:space="preserve"> regarding:</w:t>
      </w:r>
    </w:p>
    <w:p w14:paraId="36EB57CA" w14:textId="77777777" w:rsidR="001D33DA" w:rsidRPr="00206628" w:rsidRDefault="00E7047F" w:rsidP="0037564F">
      <w:pPr>
        <w:pStyle w:val="ListParagraph"/>
        <w:numPr>
          <w:ilvl w:val="0"/>
          <w:numId w:val="49"/>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w:t>
      </w:r>
      <w:r w:rsidR="001D33DA" w:rsidRPr="00206628">
        <w:rPr>
          <w:rFonts w:ascii="Times New Roman" w:hAnsi="Times New Roman" w:cs="Times New Roman"/>
          <w:sz w:val="24"/>
          <w:szCs w:val="24"/>
        </w:rPr>
        <w:t>he accuracy of the data collected, to ensure the data can be reasonably relied upon;</w:t>
      </w:r>
    </w:p>
    <w:p w14:paraId="7D93AE3B" w14:textId="77777777" w:rsidR="001D33DA" w:rsidRPr="00206628" w:rsidRDefault="00E7047F" w:rsidP="0037564F">
      <w:pPr>
        <w:pStyle w:val="ListParagraph"/>
        <w:numPr>
          <w:ilvl w:val="0"/>
          <w:numId w:val="49"/>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w:t>
      </w:r>
      <w:r w:rsidR="001D33DA" w:rsidRPr="00206628">
        <w:rPr>
          <w:rFonts w:ascii="Times New Roman" w:hAnsi="Times New Roman" w:cs="Times New Roman"/>
          <w:sz w:val="24"/>
          <w:szCs w:val="24"/>
        </w:rPr>
        <w:t xml:space="preserve">he quality and assurance and approval processes, to understand the organisation’s process to manage the MSO and </w:t>
      </w:r>
      <w:r w:rsidR="009D1896" w:rsidRPr="00206628">
        <w:rPr>
          <w:rFonts w:ascii="Times New Roman" w:hAnsi="Times New Roman" w:cs="Times New Roman"/>
          <w:sz w:val="24"/>
          <w:szCs w:val="24"/>
        </w:rPr>
        <w:t>oversight of</w:t>
      </w:r>
      <w:r w:rsidR="001D33DA" w:rsidRPr="00206628">
        <w:rPr>
          <w:rFonts w:ascii="Times New Roman" w:hAnsi="Times New Roman" w:cs="Times New Roman"/>
          <w:sz w:val="24"/>
          <w:szCs w:val="24"/>
        </w:rPr>
        <w:t xml:space="preserve"> the data reported;</w:t>
      </w:r>
    </w:p>
    <w:p w14:paraId="25900313" w14:textId="77777777" w:rsidR="001D33DA" w:rsidRPr="00206628" w:rsidRDefault="00E7047F" w:rsidP="0037564F">
      <w:pPr>
        <w:pStyle w:val="ListParagraph"/>
        <w:numPr>
          <w:ilvl w:val="0"/>
          <w:numId w:val="49"/>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h</w:t>
      </w:r>
      <w:r w:rsidR="001D33DA" w:rsidRPr="00206628">
        <w:rPr>
          <w:rFonts w:ascii="Times New Roman" w:hAnsi="Times New Roman" w:cs="Times New Roman"/>
          <w:sz w:val="24"/>
          <w:szCs w:val="24"/>
        </w:rPr>
        <w:t xml:space="preserve">ow the reporting of </w:t>
      </w:r>
      <w:r w:rsidR="009D1896" w:rsidRPr="00206628">
        <w:rPr>
          <w:rFonts w:ascii="Times New Roman" w:hAnsi="Times New Roman" w:cs="Times New Roman"/>
          <w:sz w:val="24"/>
          <w:szCs w:val="24"/>
        </w:rPr>
        <w:t xml:space="preserve">an entity’s </w:t>
      </w:r>
      <w:r w:rsidR="001D33DA" w:rsidRPr="00206628">
        <w:rPr>
          <w:rFonts w:ascii="Times New Roman" w:hAnsi="Times New Roman" w:cs="Times New Roman"/>
          <w:sz w:val="24"/>
          <w:szCs w:val="24"/>
        </w:rPr>
        <w:t xml:space="preserve">legally enforceable arrangements </w:t>
      </w:r>
      <w:r w:rsidR="009D1896" w:rsidRPr="00206628">
        <w:rPr>
          <w:rFonts w:ascii="Times New Roman" w:hAnsi="Times New Roman" w:cs="Times New Roman"/>
          <w:sz w:val="24"/>
          <w:szCs w:val="24"/>
        </w:rPr>
        <w:t xml:space="preserve">with another entity (under sections 23 or 24 of the Act) </w:t>
      </w:r>
      <w:r w:rsidR="001D33DA" w:rsidRPr="00206628">
        <w:rPr>
          <w:rFonts w:ascii="Times New Roman" w:hAnsi="Times New Roman" w:cs="Times New Roman"/>
          <w:sz w:val="24"/>
          <w:szCs w:val="24"/>
        </w:rPr>
        <w:t xml:space="preserve">are managed, considering the </w:t>
      </w:r>
      <w:r w:rsidR="009D1896" w:rsidRPr="00206628">
        <w:rPr>
          <w:rFonts w:ascii="Times New Roman" w:hAnsi="Times New Roman" w:cs="Times New Roman"/>
          <w:sz w:val="24"/>
          <w:szCs w:val="24"/>
        </w:rPr>
        <w:t xml:space="preserve">entities </w:t>
      </w:r>
      <w:r w:rsidR="001D33DA" w:rsidRPr="00206628">
        <w:rPr>
          <w:rFonts w:ascii="Times New Roman" w:hAnsi="Times New Roman" w:cs="Times New Roman"/>
          <w:sz w:val="24"/>
          <w:szCs w:val="24"/>
        </w:rPr>
        <w:t xml:space="preserve">involved </w:t>
      </w:r>
      <w:r w:rsidR="009D1896" w:rsidRPr="00206628">
        <w:rPr>
          <w:rFonts w:ascii="Times New Roman" w:hAnsi="Times New Roman" w:cs="Times New Roman"/>
          <w:sz w:val="24"/>
          <w:szCs w:val="24"/>
        </w:rPr>
        <w:t xml:space="preserve">in the arrangement </w:t>
      </w:r>
      <w:r w:rsidR="001D33DA" w:rsidRPr="00206628">
        <w:rPr>
          <w:rFonts w:ascii="Times New Roman" w:hAnsi="Times New Roman" w:cs="Times New Roman"/>
          <w:sz w:val="24"/>
          <w:szCs w:val="24"/>
        </w:rPr>
        <w:t xml:space="preserve">need to be </w:t>
      </w:r>
      <w:r w:rsidR="009D1896" w:rsidRPr="00206628">
        <w:rPr>
          <w:rFonts w:ascii="Times New Roman" w:hAnsi="Times New Roman" w:cs="Times New Roman"/>
          <w:sz w:val="24"/>
          <w:szCs w:val="24"/>
        </w:rPr>
        <w:t>identified in the MSO compliance plan</w:t>
      </w:r>
      <w:r w:rsidR="001D33DA" w:rsidRPr="00206628">
        <w:rPr>
          <w:rFonts w:ascii="Times New Roman" w:hAnsi="Times New Roman" w:cs="Times New Roman"/>
          <w:sz w:val="24"/>
          <w:szCs w:val="24"/>
        </w:rPr>
        <w:t>, to ensure stock is not double-counted;</w:t>
      </w:r>
    </w:p>
    <w:p w14:paraId="20D2AA46" w14:textId="77777777" w:rsidR="001D33DA" w:rsidRPr="00206628" w:rsidRDefault="00E7047F" w:rsidP="0037564F">
      <w:pPr>
        <w:pStyle w:val="ListParagraph"/>
        <w:numPr>
          <w:ilvl w:val="0"/>
          <w:numId w:val="49"/>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a</w:t>
      </w:r>
      <w:r w:rsidR="001D33DA" w:rsidRPr="00206628">
        <w:rPr>
          <w:rFonts w:ascii="Times New Roman" w:hAnsi="Times New Roman" w:cs="Times New Roman"/>
          <w:sz w:val="24"/>
          <w:szCs w:val="24"/>
        </w:rPr>
        <w:t xml:space="preserve">rrangements for record keeping and how those records can be accessed, in case there are discrepancies in the data that need to be amended, or </w:t>
      </w:r>
      <w:r w:rsidR="009D1896" w:rsidRPr="00206628">
        <w:rPr>
          <w:rFonts w:ascii="Times New Roman" w:hAnsi="Times New Roman" w:cs="Times New Roman"/>
          <w:sz w:val="24"/>
          <w:szCs w:val="24"/>
        </w:rPr>
        <w:t>if</w:t>
      </w:r>
      <w:r w:rsidR="001D33DA" w:rsidRPr="00206628">
        <w:rPr>
          <w:rFonts w:ascii="Times New Roman" w:hAnsi="Times New Roman" w:cs="Times New Roman"/>
          <w:sz w:val="24"/>
          <w:szCs w:val="24"/>
        </w:rPr>
        <w:t xml:space="preserve"> the entity is being audited; and</w:t>
      </w:r>
    </w:p>
    <w:p w14:paraId="4CDB0603" w14:textId="77777777" w:rsidR="001D33DA" w:rsidRPr="00206628" w:rsidRDefault="00E7047F" w:rsidP="0037564F">
      <w:pPr>
        <w:pStyle w:val="ListParagraph"/>
        <w:numPr>
          <w:ilvl w:val="0"/>
          <w:numId w:val="49"/>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w:t>
      </w:r>
      <w:r w:rsidR="001D33DA" w:rsidRPr="00206628">
        <w:rPr>
          <w:rFonts w:ascii="Times New Roman" w:hAnsi="Times New Roman" w:cs="Times New Roman"/>
          <w:sz w:val="24"/>
          <w:szCs w:val="24"/>
        </w:rPr>
        <w:t xml:space="preserve">he process for providing advice to the Secretary </w:t>
      </w:r>
      <w:r w:rsidR="00846B4C" w:rsidRPr="00206628">
        <w:rPr>
          <w:rFonts w:ascii="Times New Roman" w:hAnsi="Times New Roman" w:cs="Times New Roman"/>
          <w:sz w:val="24"/>
          <w:szCs w:val="24"/>
        </w:rPr>
        <w:t>regarding expected designated quantit</w:t>
      </w:r>
      <w:r w:rsidR="009D1896" w:rsidRPr="00206628">
        <w:rPr>
          <w:rFonts w:ascii="Times New Roman" w:hAnsi="Times New Roman" w:cs="Times New Roman"/>
          <w:sz w:val="24"/>
          <w:szCs w:val="24"/>
        </w:rPr>
        <w:t>ies</w:t>
      </w:r>
      <w:r w:rsidR="00846B4C" w:rsidRPr="00206628">
        <w:rPr>
          <w:rFonts w:ascii="Times New Roman" w:hAnsi="Times New Roman" w:cs="Times New Roman"/>
          <w:sz w:val="24"/>
          <w:szCs w:val="24"/>
        </w:rPr>
        <w:t xml:space="preserve"> of stock </w:t>
      </w:r>
      <w:r w:rsidR="009D1896" w:rsidRPr="00206628">
        <w:rPr>
          <w:rFonts w:ascii="Times New Roman" w:hAnsi="Times New Roman" w:cs="Times New Roman"/>
          <w:sz w:val="24"/>
          <w:szCs w:val="24"/>
        </w:rPr>
        <w:t xml:space="preserve">of MSO products </w:t>
      </w:r>
      <w:r w:rsidR="00846B4C" w:rsidRPr="00206628">
        <w:rPr>
          <w:rFonts w:ascii="Times New Roman" w:hAnsi="Times New Roman" w:cs="Times New Roman"/>
          <w:sz w:val="24"/>
          <w:szCs w:val="24"/>
        </w:rPr>
        <w:t>and any matters that may affect the entity’s capacity to hold that stock. This will be required from the second year of operation of the MSO (in 2023)</w:t>
      </w:r>
      <w:r w:rsidR="00761A61" w:rsidRPr="00206628">
        <w:rPr>
          <w:rFonts w:ascii="Times New Roman" w:hAnsi="Times New Roman" w:cs="Times New Roman"/>
          <w:sz w:val="24"/>
          <w:szCs w:val="24"/>
        </w:rPr>
        <w:t xml:space="preserve"> (under section 18</w:t>
      </w:r>
      <w:r w:rsidR="002D5657" w:rsidRPr="00206628">
        <w:rPr>
          <w:rFonts w:ascii="Times New Roman" w:hAnsi="Times New Roman" w:cs="Times New Roman"/>
          <w:sz w:val="24"/>
          <w:szCs w:val="24"/>
        </w:rPr>
        <w:t xml:space="preserve"> of the Rules)</w:t>
      </w:r>
      <w:r w:rsidR="00846B4C" w:rsidRPr="00206628">
        <w:rPr>
          <w:rFonts w:ascii="Times New Roman" w:hAnsi="Times New Roman" w:cs="Times New Roman"/>
          <w:sz w:val="24"/>
          <w:szCs w:val="24"/>
        </w:rPr>
        <w:t xml:space="preserve">. </w:t>
      </w:r>
    </w:p>
    <w:p w14:paraId="09827EFB" w14:textId="783DDB83" w:rsidR="00846B4C" w:rsidRPr="00206628" w:rsidRDefault="00761A61" w:rsidP="00846B4C">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lastRenderedPageBreak/>
        <w:t xml:space="preserve">Section </w:t>
      </w:r>
      <w:r w:rsidR="00520672" w:rsidRPr="00206628">
        <w:rPr>
          <w:rFonts w:ascii="Times New Roman" w:hAnsi="Times New Roman" w:cs="Times New Roman"/>
          <w:b/>
          <w:sz w:val="24"/>
          <w:szCs w:val="24"/>
        </w:rPr>
        <w:t xml:space="preserve">39 </w:t>
      </w:r>
      <w:r w:rsidR="00846B4C" w:rsidRPr="00206628">
        <w:rPr>
          <w:rFonts w:ascii="Times New Roman" w:eastAsia="Calibri" w:hAnsi="Times New Roman" w:cs="Times New Roman"/>
          <w:b/>
          <w:sz w:val="24"/>
          <w:szCs w:val="24"/>
        </w:rPr>
        <w:t>– What an MSO compliance plan must contain</w:t>
      </w:r>
      <w:r w:rsidR="00846B4C" w:rsidRPr="00206628">
        <w:rPr>
          <w:rFonts w:ascii="Times New Roman" w:hAnsi="Times New Roman" w:cs="Times New Roman"/>
          <w:i/>
          <w:sz w:val="24"/>
          <w:szCs w:val="24"/>
        </w:rPr>
        <w:t>—</w:t>
      </w:r>
      <w:r w:rsidR="00846B4C" w:rsidRPr="00206628">
        <w:rPr>
          <w:rFonts w:ascii="Times New Roman" w:hAnsi="Times New Roman" w:cs="Times New Roman"/>
          <w:b/>
          <w:sz w:val="24"/>
          <w:szCs w:val="24"/>
        </w:rPr>
        <w:t>schedule of future outages</w:t>
      </w:r>
    </w:p>
    <w:p w14:paraId="6E4E0726" w14:textId="77777777" w:rsidR="00846B4C" w:rsidRPr="00206628" w:rsidRDefault="00846B4C" w:rsidP="00846B4C">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section prescribes that, where an entity knows about future scheduled maintenance of refineries, storage tanks or pipelines, and expects that this may lead to a request for a temporary reduction of the entity’s MSO (under section 17 of the Act), these </w:t>
      </w:r>
      <w:r w:rsidR="006A41DB" w:rsidRPr="00206628">
        <w:rPr>
          <w:rFonts w:ascii="Times New Roman" w:hAnsi="Times New Roman" w:cs="Times New Roman"/>
          <w:sz w:val="24"/>
          <w:szCs w:val="24"/>
        </w:rPr>
        <w:t xml:space="preserve">matters </w:t>
      </w:r>
      <w:r w:rsidRPr="00206628">
        <w:rPr>
          <w:rFonts w:ascii="Times New Roman" w:hAnsi="Times New Roman" w:cs="Times New Roman"/>
          <w:sz w:val="24"/>
          <w:szCs w:val="24"/>
        </w:rPr>
        <w:t xml:space="preserve">should be </w:t>
      </w:r>
      <w:r w:rsidR="007A77F8" w:rsidRPr="00206628">
        <w:rPr>
          <w:rFonts w:ascii="Times New Roman" w:hAnsi="Times New Roman" w:cs="Times New Roman"/>
          <w:sz w:val="24"/>
          <w:szCs w:val="24"/>
        </w:rPr>
        <w:t xml:space="preserve">specified </w:t>
      </w:r>
      <w:r w:rsidRPr="00206628">
        <w:rPr>
          <w:rFonts w:ascii="Times New Roman" w:hAnsi="Times New Roman" w:cs="Times New Roman"/>
          <w:sz w:val="24"/>
          <w:szCs w:val="24"/>
        </w:rPr>
        <w:t xml:space="preserve">in the </w:t>
      </w:r>
      <w:r w:rsidR="006A41DB" w:rsidRPr="00206628">
        <w:rPr>
          <w:rFonts w:ascii="Times New Roman" w:hAnsi="Times New Roman" w:cs="Times New Roman"/>
          <w:sz w:val="24"/>
          <w:szCs w:val="24"/>
        </w:rPr>
        <w:t xml:space="preserve">entity’s </w:t>
      </w:r>
      <w:r w:rsidRPr="00206628">
        <w:rPr>
          <w:rFonts w:ascii="Times New Roman" w:hAnsi="Times New Roman" w:cs="Times New Roman"/>
          <w:sz w:val="24"/>
          <w:szCs w:val="24"/>
        </w:rPr>
        <w:t>MSO compliance plan. This forward-planning and notification should help streamline the approval process</w:t>
      </w:r>
      <w:r w:rsidR="006A41DB" w:rsidRPr="00206628">
        <w:rPr>
          <w:rFonts w:ascii="Times New Roman" w:hAnsi="Times New Roman" w:cs="Times New Roman"/>
          <w:sz w:val="24"/>
          <w:szCs w:val="24"/>
        </w:rPr>
        <w:t xml:space="preserve"> for the plan</w:t>
      </w:r>
      <w:r w:rsidRPr="00206628">
        <w:rPr>
          <w:rFonts w:ascii="Times New Roman" w:hAnsi="Times New Roman" w:cs="Times New Roman"/>
          <w:sz w:val="24"/>
          <w:szCs w:val="24"/>
        </w:rPr>
        <w:t>.</w:t>
      </w:r>
    </w:p>
    <w:p w14:paraId="42751DD6" w14:textId="4559E53F" w:rsidR="00846B4C" w:rsidRPr="00206628" w:rsidRDefault="00761A61" w:rsidP="00846B4C">
      <w:pPr>
        <w:spacing w:before="240" w:after="100" w:afterAutospacing="1"/>
        <w:rPr>
          <w:rFonts w:ascii="Times New Roman" w:eastAsia="Calibri" w:hAnsi="Times New Roman" w:cs="Times New Roman"/>
          <w:b/>
          <w:sz w:val="24"/>
          <w:szCs w:val="24"/>
        </w:rPr>
      </w:pPr>
      <w:r w:rsidRPr="00206628">
        <w:rPr>
          <w:rFonts w:ascii="Times New Roman" w:hAnsi="Times New Roman" w:cs="Times New Roman"/>
          <w:b/>
          <w:sz w:val="24"/>
          <w:szCs w:val="24"/>
        </w:rPr>
        <w:t xml:space="preserve">Section </w:t>
      </w:r>
      <w:r w:rsidR="00520672" w:rsidRPr="00206628">
        <w:rPr>
          <w:rFonts w:ascii="Times New Roman" w:hAnsi="Times New Roman" w:cs="Times New Roman"/>
          <w:b/>
          <w:sz w:val="24"/>
          <w:szCs w:val="24"/>
        </w:rPr>
        <w:t xml:space="preserve">40 </w:t>
      </w:r>
      <w:r w:rsidR="00846B4C" w:rsidRPr="00206628">
        <w:rPr>
          <w:rFonts w:ascii="Times New Roman" w:eastAsia="Calibri" w:hAnsi="Times New Roman" w:cs="Times New Roman"/>
          <w:b/>
          <w:sz w:val="24"/>
          <w:szCs w:val="24"/>
        </w:rPr>
        <w:t>– Provision of MSO compliance plan to Secretary</w:t>
      </w:r>
    </w:p>
    <w:p w14:paraId="22067D46" w14:textId="29ADF851" w:rsidR="00943A43" w:rsidRPr="00206628" w:rsidRDefault="00846B4C" w:rsidP="00846B4C">
      <w:pPr>
        <w:spacing w:before="240" w:after="100" w:afterAutospacing="1"/>
        <w:rPr>
          <w:rFonts w:ascii="Times New Roman" w:eastAsia="Calibri" w:hAnsi="Times New Roman" w:cs="Times New Roman"/>
          <w:sz w:val="24"/>
          <w:szCs w:val="24"/>
        </w:rPr>
      </w:pPr>
      <w:r w:rsidRPr="00206628">
        <w:rPr>
          <w:rFonts w:ascii="Times New Roman" w:eastAsia="Calibri" w:hAnsi="Times New Roman" w:cs="Times New Roman"/>
          <w:sz w:val="24"/>
          <w:szCs w:val="24"/>
        </w:rPr>
        <w:t>This section prescribes</w:t>
      </w:r>
      <w:r w:rsidR="00943A43" w:rsidRPr="00206628">
        <w:rPr>
          <w:rFonts w:ascii="Times New Roman" w:eastAsia="Calibri" w:hAnsi="Times New Roman" w:cs="Times New Roman"/>
          <w:sz w:val="24"/>
          <w:szCs w:val="24"/>
        </w:rPr>
        <w:t>, for the purpose of section 36(3) of the Act,</w:t>
      </w:r>
      <w:r w:rsidRPr="00206628">
        <w:rPr>
          <w:rFonts w:ascii="Times New Roman" w:eastAsia="Calibri" w:hAnsi="Times New Roman" w:cs="Times New Roman"/>
          <w:sz w:val="24"/>
          <w:szCs w:val="24"/>
        </w:rPr>
        <w:t xml:space="preserve"> that </w:t>
      </w:r>
      <w:r w:rsidR="00943A43" w:rsidRPr="00206628">
        <w:rPr>
          <w:rFonts w:ascii="Times New Roman" w:eastAsia="Calibri" w:hAnsi="Times New Roman" w:cs="Times New Roman"/>
          <w:sz w:val="24"/>
          <w:szCs w:val="24"/>
        </w:rPr>
        <w:t xml:space="preserve">an entity </w:t>
      </w:r>
      <w:r w:rsidR="00302F17" w:rsidRPr="00206628">
        <w:rPr>
          <w:rFonts w:ascii="Times New Roman" w:eastAsia="Calibri" w:hAnsi="Times New Roman" w:cs="Times New Roman"/>
          <w:sz w:val="24"/>
          <w:szCs w:val="24"/>
        </w:rPr>
        <w:t xml:space="preserve">required to have an MSO compliance plan on 4 July 2023 </w:t>
      </w:r>
      <w:r w:rsidRPr="00206628">
        <w:rPr>
          <w:rFonts w:ascii="Times New Roman" w:eastAsia="Calibri" w:hAnsi="Times New Roman" w:cs="Times New Roman"/>
          <w:sz w:val="24"/>
          <w:szCs w:val="24"/>
        </w:rPr>
        <w:t xml:space="preserve">must </w:t>
      </w:r>
      <w:r w:rsidR="00943A43" w:rsidRPr="00206628">
        <w:rPr>
          <w:rFonts w:ascii="Times New Roman" w:eastAsia="Calibri" w:hAnsi="Times New Roman" w:cs="Times New Roman"/>
          <w:sz w:val="24"/>
          <w:szCs w:val="24"/>
        </w:rPr>
        <w:t xml:space="preserve">make available to the Secretary </w:t>
      </w:r>
      <w:r w:rsidRPr="00206628">
        <w:rPr>
          <w:rFonts w:ascii="Times New Roman" w:eastAsia="Calibri" w:hAnsi="Times New Roman" w:cs="Times New Roman"/>
          <w:sz w:val="24"/>
          <w:szCs w:val="24"/>
        </w:rPr>
        <w:t xml:space="preserve">a completed MSO compliance plan by </w:t>
      </w:r>
      <w:r w:rsidR="00520672" w:rsidRPr="00206628">
        <w:rPr>
          <w:rFonts w:ascii="Times New Roman" w:eastAsia="Calibri" w:hAnsi="Times New Roman" w:cs="Times New Roman"/>
          <w:sz w:val="24"/>
          <w:szCs w:val="24"/>
        </w:rPr>
        <w:t xml:space="preserve">31 </w:t>
      </w:r>
      <w:r w:rsidR="00EC33FB" w:rsidRPr="00206628">
        <w:rPr>
          <w:rFonts w:ascii="Times New Roman" w:eastAsia="Calibri" w:hAnsi="Times New Roman" w:cs="Times New Roman"/>
          <w:sz w:val="24"/>
          <w:szCs w:val="24"/>
        </w:rPr>
        <w:t>July 2023</w:t>
      </w:r>
      <w:r w:rsidRPr="00206628">
        <w:rPr>
          <w:rFonts w:ascii="Times New Roman" w:eastAsia="Calibri" w:hAnsi="Times New Roman" w:cs="Times New Roman"/>
          <w:sz w:val="24"/>
          <w:szCs w:val="24"/>
        </w:rPr>
        <w:t xml:space="preserve">. </w:t>
      </w:r>
    </w:p>
    <w:p w14:paraId="6E00BACC" w14:textId="5601D612" w:rsidR="00846B4C" w:rsidRPr="00206628" w:rsidRDefault="00846B4C" w:rsidP="00846B4C">
      <w:pPr>
        <w:spacing w:before="240" w:after="100" w:afterAutospacing="1"/>
        <w:rPr>
          <w:rFonts w:ascii="Times New Roman" w:hAnsi="Times New Roman" w:cs="Times New Roman"/>
          <w:sz w:val="24"/>
          <w:szCs w:val="24"/>
        </w:rPr>
      </w:pPr>
      <w:r w:rsidRPr="00206628">
        <w:rPr>
          <w:rFonts w:ascii="Times New Roman" w:eastAsia="Calibri" w:hAnsi="Times New Roman" w:cs="Times New Roman"/>
          <w:sz w:val="24"/>
          <w:szCs w:val="24"/>
        </w:rPr>
        <w:t>However, if an entity has an approved transitional arrangement in place</w:t>
      </w:r>
      <w:r w:rsidR="008B1E2C" w:rsidRPr="00206628">
        <w:rPr>
          <w:rFonts w:ascii="Times New Roman" w:eastAsia="Calibri" w:hAnsi="Times New Roman" w:cs="Times New Roman"/>
          <w:sz w:val="24"/>
          <w:szCs w:val="24"/>
        </w:rPr>
        <w:t xml:space="preserve"> impacting them at commencement (under </w:t>
      </w:r>
      <w:r w:rsidR="00520672" w:rsidRPr="00206628">
        <w:rPr>
          <w:rFonts w:ascii="Times New Roman" w:eastAsia="Calibri" w:hAnsi="Times New Roman" w:cs="Times New Roman"/>
          <w:sz w:val="24"/>
          <w:szCs w:val="24"/>
        </w:rPr>
        <w:t>Part 4</w:t>
      </w:r>
      <w:r w:rsidR="008B1E2C" w:rsidRPr="00206628">
        <w:rPr>
          <w:rFonts w:ascii="Times New Roman" w:eastAsia="Calibri" w:hAnsi="Times New Roman" w:cs="Times New Roman"/>
          <w:sz w:val="24"/>
          <w:szCs w:val="24"/>
        </w:rPr>
        <w:t xml:space="preserve"> of the Rules)</w:t>
      </w:r>
      <w:r w:rsidRPr="00206628">
        <w:rPr>
          <w:rFonts w:ascii="Times New Roman" w:eastAsia="Calibri" w:hAnsi="Times New Roman" w:cs="Times New Roman"/>
          <w:sz w:val="24"/>
          <w:szCs w:val="24"/>
        </w:rPr>
        <w:t xml:space="preserve">, or intends to count stock within the EEZ or unfinished product at a refinery, the MSO compliance plan </w:t>
      </w:r>
      <w:r w:rsidR="00761A61" w:rsidRPr="00206628">
        <w:rPr>
          <w:rFonts w:ascii="Times New Roman" w:eastAsia="Calibri" w:hAnsi="Times New Roman" w:cs="Times New Roman"/>
          <w:sz w:val="24"/>
          <w:szCs w:val="24"/>
        </w:rPr>
        <w:t xml:space="preserve">would </w:t>
      </w:r>
      <w:r w:rsidRPr="00206628">
        <w:rPr>
          <w:rFonts w:ascii="Times New Roman" w:eastAsia="Calibri" w:hAnsi="Times New Roman" w:cs="Times New Roman"/>
          <w:sz w:val="24"/>
          <w:szCs w:val="24"/>
        </w:rPr>
        <w:t xml:space="preserve">be made available before the commencement of the </w:t>
      </w:r>
      <w:r w:rsidR="00943A43" w:rsidRPr="00206628">
        <w:rPr>
          <w:rFonts w:ascii="Times New Roman" w:eastAsia="Calibri" w:hAnsi="Times New Roman" w:cs="Times New Roman"/>
          <w:sz w:val="24"/>
          <w:szCs w:val="24"/>
        </w:rPr>
        <w:t xml:space="preserve">MSO </w:t>
      </w:r>
      <w:r w:rsidRPr="00206628">
        <w:rPr>
          <w:rFonts w:ascii="Times New Roman" w:eastAsia="Calibri" w:hAnsi="Times New Roman" w:cs="Times New Roman"/>
          <w:sz w:val="24"/>
          <w:szCs w:val="24"/>
        </w:rPr>
        <w:t xml:space="preserve">scheme </w:t>
      </w:r>
      <w:r w:rsidR="008B1E2C" w:rsidRPr="00206628">
        <w:rPr>
          <w:rFonts w:ascii="Times New Roman" w:eastAsia="Calibri" w:hAnsi="Times New Roman" w:cs="Times New Roman"/>
          <w:sz w:val="24"/>
          <w:szCs w:val="24"/>
        </w:rPr>
        <w:t xml:space="preserve">on </w:t>
      </w:r>
      <w:r w:rsidR="00EC33FB" w:rsidRPr="00206628">
        <w:rPr>
          <w:rFonts w:ascii="Times New Roman" w:eastAsia="Calibri" w:hAnsi="Times New Roman" w:cs="Times New Roman"/>
          <w:sz w:val="24"/>
          <w:szCs w:val="24"/>
        </w:rPr>
        <w:t>1 July 2023</w:t>
      </w:r>
      <w:r w:rsidR="008B1E2C" w:rsidRPr="00206628">
        <w:rPr>
          <w:rFonts w:ascii="Times New Roman" w:eastAsia="Calibri" w:hAnsi="Times New Roman" w:cs="Times New Roman"/>
          <w:sz w:val="24"/>
          <w:szCs w:val="24"/>
        </w:rPr>
        <w:t xml:space="preserve"> </w:t>
      </w:r>
      <w:r w:rsidR="00761A61" w:rsidRPr="00206628">
        <w:rPr>
          <w:rFonts w:ascii="Times New Roman" w:eastAsia="Calibri" w:hAnsi="Times New Roman" w:cs="Times New Roman"/>
          <w:sz w:val="24"/>
          <w:szCs w:val="24"/>
        </w:rPr>
        <w:t>as part of approving those arrangements</w:t>
      </w:r>
      <w:r w:rsidRPr="00206628">
        <w:rPr>
          <w:rFonts w:ascii="Times New Roman" w:eastAsia="Calibri" w:hAnsi="Times New Roman" w:cs="Times New Roman"/>
          <w:sz w:val="24"/>
          <w:szCs w:val="24"/>
        </w:rPr>
        <w:t xml:space="preserve">. </w:t>
      </w:r>
    </w:p>
    <w:p w14:paraId="2D0B122E" w14:textId="77777777" w:rsidR="00CC20EF" w:rsidRPr="00206628" w:rsidRDefault="00CC20EF" w:rsidP="00CC20EF">
      <w:pPr>
        <w:spacing w:before="240" w:after="100" w:afterAutospacing="1"/>
        <w:rPr>
          <w:rFonts w:ascii="Times New Roman" w:hAnsi="Times New Roman" w:cs="Times New Roman"/>
          <w:b/>
          <w:sz w:val="24"/>
          <w:szCs w:val="24"/>
        </w:rPr>
      </w:pPr>
      <w:r w:rsidRPr="00206628">
        <w:rPr>
          <w:rFonts w:ascii="Times New Roman" w:eastAsia="Calibri" w:hAnsi="Times New Roman" w:cs="Times New Roman"/>
          <w:b/>
          <w:sz w:val="24"/>
          <w:szCs w:val="24"/>
        </w:rPr>
        <w:t>PART 10</w:t>
      </w:r>
      <w:r w:rsidRPr="00206628">
        <w:rPr>
          <w:rFonts w:ascii="Times New Roman" w:hAnsi="Times New Roman" w:cs="Times New Roman"/>
          <w:i/>
          <w:sz w:val="24"/>
          <w:szCs w:val="24"/>
        </w:rPr>
        <w:t>—</w:t>
      </w:r>
      <w:r w:rsidRPr="00206628">
        <w:rPr>
          <w:rFonts w:ascii="Times New Roman" w:hAnsi="Times New Roman" w:cs="Times New Roman"/>
          <w:b/>
          <w:sz w:val="24"/>
          <w:szCs w:val="24"/>
        </w:rPr>
        <w:t>Assumption or division of MSO</w:t>
      </w:r>
    </w:p>
    <w:p w14:paraId="1CC5421C" w14:textId="4B87F672" w:rsidR="00CC20EF" w:rsidRPr="00206628" w:rsidRDefault="00761A61" w:rsidP="00CC20EF">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B7049D" w:rsidRPr="00206628">
        <w:rPr>
          <w:rFonts w:ascii="Times New Roman" w:hAnsi="Times New Roman" w:cs="Times New Roman"/>
          <w:b/>
          <w:sz w:val="24"/>
          <w:szCs w:val="24"/>
        </w:rPr>
        <w:t xml:space="preserve">41 </w:t>
      </w:r>
      <w:r w:rsidR="00CC20EF" w:rsidRPr="00206628">
        <w:rPr>
          <w:rFonts w:ascii="Times New Roman" w:hAnsi="Times New Roman" w:cs="Times New Roman"/>
          <w:b/>
          <w:sz w:val="24"/>
          <w:szCs w:val="24"/>
        </w:rPr>
        <w:t>– Assumption or division</w:t>
      </w:r>
    </w:p>
    <w:p w14:paraId="5685E604" w14:textId="77777777" w:rsidR="004512BF" w:rsidRPr="00206628" w:rsidRDefault="00CC20EF" w:rsidP="00CC20EF">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section prescribes</w:t>
      </w:r>
      <w:r w:rsidR="00022B8D" w:rsidRPr="00206628">
        <w:rPr>
          <w:rFonts w:ascii="Times New Roman" w:hAnsi="Times New Roman" w:cs="Times New Roman"/>
          <w:sz w:val="24"/>
          <w:szCs w:val="24"/>
        </w:rPr>
        <w:t>, for the purpose of subsection 37(7) of the Act,</w:t>
      </w:r>
      <w:r w:rsidRPr="00206628">
        <w:rPr>
          <w:rFonts w:ascii="Times New Roman" w:hAnsi="Times New Roman" w:cs="Times New Roman"/>
          <w:sz w:val="24"/>
          <w:szCs w:val="24"/>
        </w:rPr>
        <w:t xml:space="preserve"> </w:t>
      </w:r>
      <w:r w:rsidR="005D7499" w:rsidRPr="00206628">
        <w:rPr>
          <w:rFonts w:ascii="Times New Roman" w:hAnsi="Times New Roman" w:cs="Times New Roman"/>
          <w:sz w:val="24"/>
          <w:szCs w:val="24"/>
        </w:rPr>
        <w:t xml:space="preserve">the requirements that apply to any determination by </w:t>
      </w:r>
      <w:r w:rsidRPr="00206628">
        <w:rPr>
          <w:rFonts w:ascii="Times New Roman" w:hAnsi="Times New Roman" w:cs="Times New Roman"/>
          <w:sz w:val="24"/>
          <w:szCs w:val="24"/>
        </w:rPr>
        <w:t xml:space="preserve">the Secretary </w:t>
      </w:r>
      <w:r w:rsidR="005D7499" w:rsidRPr="00206628">
        <w:rPr>
          <w:rFonts w:ascii="Times New Roman" w:hAnsi="Times New Roman" w:cs="Times New Roman"/>
          <w:sz w:val="24"/>
          <w:szCs w:val="24"/>
        </w:rPr>
        <w:t xml:space="preserve">that an entity’s (the divesting entity’s) MSO in relation to an MSO product is being assumed by, or divided with, another entity or entities (the receiving entity or receiving entities). </w:t>
      </w:r>
      <w:r w:rsidRPr="00206628">
        <w:rPr>
          <w:rFonts w:ascii="Times New Roman" w:hAnsi="Times New Roman" w:cs="Times New Roman"/>
          <w:sz w:val="24"/>
          <w:szCs w:val="24"/>
        </w:rPr>
        <w:t>For example, the</w:t>
      </w:r>
      <w:r w:rsidR="005D7499" w:rsidRPr="00206628">
        <w:rPr>
          <w:rFonts w:ascii="Times New Roman" w:hAnsi="Times New Roman" w:cs="Times New Roman"/>
          <w:sz w:val="24"/>
          <w:szCs w:val="24"/>
        </w:rPr>
        <w:t xml:space="preserve"> divesting entity’s</w:t>
      </w:r>
      <w:r w:rsidRPr="00206628">
        <w:rPr>
          <w:rFonts w:ascii="Times New Roman" w:hAnsi="Times New Roman" w:cs="Times New Roman"/>
          <w:sz w:val="24"/>
          <w:szCs w:val="24"/>
        </w:rPr>
        <w:t xml:space="preserve"> MSO may be assumed </w:t>
      </w:r>
      <w:r w:rsidR="005D7499" w:rsidRPr="00206628">
        <w:rPr>
          <w:rFonts w:ascii="Times New Roman" w:hAnsi="Times New Roman" w:cs="Times New Roman"/>
          <w:sz w:val="24"/>
          <w:szCs w:val="24"/>
        </w:rPr>
        <w:t xml:space="preserve">by a receiving entity </w:t>
      </w:r>
      <w:r w:rsidRPr="00206628">
        <w:rPr>
          <w:rFonts w:ascii="Times New Roman" w:hAnsi="Times New Roman" w:cs="Times New Roman"/>
          <w:sz w:val="24"/>
          <w:szCs w:val="24"/>
        </w:rPr>
        <w:t xml:space="preserve">or divided among </w:t>
      </w:r>
      <w:r w:rsidR="005D7499" w:rsidRPr="00206628">
        <w:rPr>
          <w:rFonts w:ascii="Times New Roman" w:hAnsi="Times New Roman" w:cs="Times New Roman"/>
          <w:sz w:val="24"/>
          <w:szCs w:val="24"/>
        </w:rPr>
        <w:t xml:space="preserve">multiple receiving </w:t>
      </w:r>
      <w:r w:rsidRPr="00206628">
        <w:rPr>
          <w:rFonts w:ascii="Times New Roman" w:hAnsi="Times New Roman" w:cs="Times New Roman"/>
          <w:sz w:val="24"/>
          <w:szCs w:val="24"/>
        </w:rPr>
        <w:t xml:space="preserve">entities in </w:t>
      </w:r>
      <w:r w:rsidR="005D7499" w:rsidRPr="00206628">
        <w:rPr>
          <w:rFonts w:ascii="Times New Roman" w:hAnsi="Times New Roman" w:cs="Times New Roman"/>
          <w:sz w:val="24"/>
          <w:szCs w:val="24"/>
        </w:rPr>
        <w:t xml:space="preserve">circumstances </w:t>
      </w:r>
      <w:r w:rsidRPr="00206628">
        <w:rPr>
          <w:rFonts w:ascii="Times New Roman" w:hAnsi="Times New Roman" w:cs="Times New Roman"/>
          <w:sz w:val="24"/>
          <w:szCs w:val="24"/>
        </w:rPr>
        <w:t xml:space="preserve">where </w:t>
      </w:r>
      <w:r w:rsidR="005D7499" w:rsidRPr="00206628">
        <w:rPr>
          <w:rFonts w:ascii="Times New Roman" w:hAnsi="Times New Roman" w:cs="Times New Roman"/>
          <w:sz w:val="24"/>
          <w:szCs w:val="24"/>
        </w:rPr>
        <w:t xml:space="preserve">the divesting entity </w:t>
      </w:r>
      <w:r w:rsidRPr="00206628">
        <w:rPr>
          <w:rFonts w:ascii="Times New Roman" w:hAnsi="Times New Roman" w:cs="Times New Roman"/>
          <w:sz w:val="24"/>
          <w:szCs w:val="24"/>
        </w:rPr>
        <w:t xml:space="preserve">has been wholly or partially bought out by </w:t>
      </w:r>
      <w:r w:rsidR="005D7499" w:rsidRPr="00206628">
        <w:rPr>
          <w:rFonts w:ascii="Times New Roman" w:hAnsi="Times New Roman" w:cs="Times New Roman"/>
          <w:sz w:val="24"/>
          <w:szCs w:val="24"/>
        </w:rPr>
        <w:t>the receiving entity/entities</w:t>
      </w:r>
      <w:r w:rsidRPr="00206628">
        <w:rPr>
          <w:rFonts w:ascii="Times New Roman" w:hAnsi="Times New Roman" w:cs="Times New Roman"/>
          <w:sz w:val="24"/>
          <w:szCs w:val="24"/>
        </w:rPr>
        <w:t xml:space="preserve">. </w:t>
      </w:r>
    </w:p>
    <w:p w14:paraId="69D609FB" w14:textId="3A063E91" w:rsidR="00CC20EF" w:rsidRPr="00206628" w:rsidRDefault="0026209B" w:rsidP="00CC20EF">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S</w:t>
      </w:r>
      <w:r w:rsidR="004512BF" w:rsidRPr="00206628">
        <w:rPr>
          <w:rFonts w:ascii="Times New Roman" w:hAnsi="Times New Roman" w:cs="Times New Roman"/>
          <w:sz w:val="24"/>
          <w:szCs w:val="24"/>
        </w:rPr>
        <w:t>ubs</w:t>
      </w:r>
      <w:r w:rsidR="00761A61" w:rsidRPr="00206628">
        <w:rPr>
          <w:rFonts w:ascii="Times New Roman" w:hAnsi="Times New Roman" w:cs="Times New Roman"/>
          <w:sz w:val="24"/>
          <w:szCs w:val="24"/>
        </w:rPr>
        <w:t xml:space="preserve">ection </w:t>
      </w:r>
      <w:r w:rsidR="00B7049D" w:rsidRPr="00206628">
        <w:rPr>
          <w:rFonts w:ascii="Times New Roman" w:hAnsi="Times New Roman" w:cs="Times New Roman"/>
          <w:sz w:val="24"/>
          <w:szCs w:val="24"/>
        </w:rPr>
        <w:t>41</w:t>
      </w:r>
      <w:r w:rsidR="004512BF" w:rsidRPr="00206628">
        <w:rPr>
          <w:rFonts w:ascii="Times New Roman" w:hAnsi="Times New Roman" w:cs="Times New Roman"/>
          <w:sz w:val="24"/>
          <w:szCs w:val="24"/>
        </w:rPr>
        <w:t>(1)</w:t>
      </w:r>
      <w:r w:rsidR="00EC33FB" w:rsidRPr="00206628">
        <w:rPr>
          <w:rFonts w:ascii="Times New Roman" w:hAnsi="Times New Roman" w:cs="Times New Roman"/>
          <w:sz w:val="24"/>
          <w:szCs w:val="24"/>
        </w:rPr>
        <w:t xml:space="preserve"> of the Rules</w:t>
      </w:r>
      <w:r w:rsidRPr="00206628">
        <w:rPr>
          <w:rFonts w:ascii="Times New Roman" w:hAnsi="Times New Roman" w:cs="Times New Roman"/>
          <w:sz w:val="24"/>
          <w:szCs w:val="24"/>
        </w:rPr>
        <w:t xml:space="preserve"> prescribe</w:t>
      </w:r>
      <w:r w:rsidR="004512BF" w:rsidRPr="00206628">
        <w:rPr>
          <w:rFonts w:ascii="Times New Roman" w:hAnsi="Times New Roman" w:cs="Times New Roman"/>
          <w:sz w:val="24"/>
          <w:szCs w:val="24"/>
        </w:rPr>
        <w:t>s</w:t>
      </w:r>
      <w:r w:rsidRPr="00206628">
        <w:rPr>
          <w:rFonts w:ascii="Times New Roman" w:hAnsi="Times New Roman" w:cs="Times New Roman"/>
          <w:sz w:val="24"/>
          <w:szCs w:val="24"/>
        </w:rPr>
        <w:t xml:space="preserve"> that t</w:t>
      </w:r>
      <w:r w:rsidR="00CC20EF" w:rsidRPr="00206628">
        <w:rPr>
          <w:rFonts w:ascii="Times New Roman" w:hAnsi="Times New Roman" w:cs="Times New Roman"/>
          <w:sz w:val="24"/>
          <w:szCs w:val="24"/>
        </w:rPr>
        <w:t xml:space="preserve">he Secretary can make a determination </w:t>
      </w:r>
      <w:r w:rsidR="005D7499" w:rsidRPr="00206628">
        <w:rPr>
          <w:rFonts w:ascii="Times New Roman" w:hAnsi="Times New Roman" w:cs="Times New Roman"/>
          <w:sz w:val="24"/>
          <w:szCs w:val="24"/>
        </w:rPr>
        <w:t xml:space="preserve">of assumption or division of the MSO </w:t>
      </w:r>
      <w:r w:rsidR="00CC20EF" w:rsidRPr="00206628">
        <w:rPr>
          <w:rFonts w:ascii="Times New Roman" w:hAnsi="Times New Roman" w:cs="Times New Roman"/>
          <w:sz w:val="24"/>
          <w:szCs w:val="24"/>
        </w:rPr>
        <w:t>in a range of ways</w:t>
      </w:r>
      <w:r w:rsidR="00E7047F" w:rsidRPr="00206628">
        <w:rPr>
          <w:rFonts w:ascii="Times New Roman" w:hAnsi="Times New Roman" w:cs="Times New Roman"/>
          <w:sz w:val="24"/>
          <w:szCs w:val="24"/>
        </w:rPr>
        <w:t xml:space="preserve">, </w:t>
      </w:r>
      <w:r w:rsidRPr="00206628">
        <w:rPr>
          <w:rFonts w:ascii="Times New Roman" w:hAnsi="Times New Roman" w:cs="Times New Roman"/>
          <w:sz w:val="24"/>
          <w:szCs w:val="24"/>
        </w:rPr>
        <w:t>including one or more of the following</w:t>
      </w:r>
      <w:r w:rsidR="00CC20EF" w:rsidRPr="00206628">
        <w:rPr>
          <w:rFonts w:ascii="Times New Roman" w:hAnsi="Times New Roman" w:cs="Times New Roman"/>
          <w:sz w:val="24"/>
          <w:szCs w:val="24"/>
        </w:rPr>
        <w:t>:</w:t>
      </w:r>
    </w:p>
    <w:p w14:paraId="5349DCEA" w14:textId="77777777" w:rsidR="0026209B" w:rsidRPr="00206628" w:rsidRDefault="00CC20EF" w:rsidP="0037564F">
      <w:pPr>
        <w:pStyle w:val="ListParagraph"/>
        <w:numPr>
          <w:ilvl w:val="0"/>
          <w:numId w:val="50"/>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A notice </w:t>
      </w:r>
      <w:r w:rsidR="00344AA4" w:rsidRPr="00206628">
        <w:rPr>
          <w:rFonts w:ascii="Times New Roman" w:hAnsi="Times New Roman" w:cs="Times New Roman"/>
          <w:sz w:val="24"/>
          <w:szCs w:val="24"/>
        </w:rPr>
        <w:t xml:space="preserve">in force under section 10 (notifying the </w:t>
      </w:r>
      <w:r w:rsidR="006D476D" w:rsidRPr="00206628">
        <w:rPr>
          <w:rFonts w:ascii="Times New Roman" w:hAnsi="Times New Roman" w:cs="Times New Roman"/>
          <w:sz w:val="24"/>
          <w:szCs w:val="24"/>
        </w:rPr>
        <w:t xml:space="preserve">initial </w:t>
      </w:r>
      <w:r w:rsidR="00344AA4" w:rsidRPr="00206628">
        <w:rPr>
          <w:rFonts w:ascii="Times New Roman" w:hAnsi="Times New Roman" w:cs="Times New Roman"/>
          <w:sz w:val="24"/>
          <w:szCs w:val="24"/>
        </w:rPr>
        <w:t xml:space="preserve">designated MSO for an </w:t>
      </w:r>
      <w:r w:rsidR="003349F0" w:rsidRPr="00206628">
        <w:rPr>
          <w:rFonts w:ascii="Times New Roman" w:hAnsi="Times New Roman" w:cs="Times New Roman"/>
          <w:sz w:val="24"/>
          <w:szCs w:val="24"/>
        </w:rPr>
        <w:br/>
      </w:r>
      <w:r w:rsidR="00344AA4" w:rsidRPr="00206628">
        <w:rPr>
          <w:rFonts w:ascii="Times New Roman" w:hAnsi="Times New Roman" w:cs="Times New Roman"/>
          <w:sz w:val="24"/>
          <w:szCs w:val="24"/>
        </w:rPr>
        <w:t xml:space="preserve">MSO product), </w:t>
      </w:r>
      <w:r w:rsidR="006D476D" w:rsidRPr="00206628">
        <w:rPr>
          <w:rFonts w:ascii="Times New Roman" w:hAnsi="Times New Roman" w:cs="Times New Roman"/>
          <w:sz w:val="24"/>
          <w:szCs w:val="24"/>
        </w:rPr>
        <w:t xml:space="preserve">section </w:t>
      </w:r>
      <w:r w:rsidR="00344AA4" w:rsidRPr="00206628">
        <w:rPr>
          <w:rFonts w:ascii="Times New Roman" w:hAnsi="Times New Roman" w:cs="Times New Roman"/>
          <w:sz w:val="24"/>
          <w:szCs w:val="24"/>
        </w:rPr>
        <w:t xml:space="preserve">15 </w:t>
      </w:r>
      <w:r w:rsidR="006D476D" w:rsidRPr="00206628">
        <w:rPr>
          <w:rFonts w:ascii="Times New Roman" w:hAnsi="Times New Roman" w:cs="Times New Roman"/>
          <w:sz w:val="24"/>
          <w:szCs w:val="24"/>
        </w:rPr>
        <w:t xml:space="preserve">(notifying the designated MSO for an MSO product for an entity already subject to the MSO) </w:t>
      </w:r>
      <w:r w:rsidR="00344AA4" w:rsidRPr="00206628">
        <w:rPr>
          <w:rFonts w:ascii="Times New Roman" w:hAnsi="Times New Roman" w:cs="Times New Roman"/>
          <w:sz w:val="24"/>
          <w:szCs w:val="24"/>
        </w:rPr>
        <w:t xml:space="preserve">or </w:t>
      </w:r>
      <w:r w:rsidR="006D476D" w:rsidRPr="00206628">
        <w:rPr>
          <w:rFonts w:ascii="Times New Roman" w:hAnsi="Times New Roman" w:cs="Times New Roman"/>
          <w:sz w:val="24"/>
          <w:szCs w:val="24"/>
        </w:rPr>
        <w:t xml:space="preserve">section </w:t>
      </w:r>
      <w:r w:rsidR="00344AA4" w:rsidRPr="00206628">
        <w:rPr>
          <w:rFonts w:ascii="Times New Roman" w:hAnsi="Times New Roman" w:cs="Times New Roman"/>
          <w:sz w:val="24"/>
          <w:szCs w:val="24"/>
        </w:rPr>
        <w:t xml:space="preserve">18 </w:t>
      </w:r>
      <w:r w:rsidR="006D476D" w:rsidRPr="00206628">
        <w:rPr>
          <w:rFonts w:ascii="Times New Roman" w:hAnsi="Times New Roman" w:cs="Times New Roman"/>
          <w:sz w:val="24"/>
          <w:szCs w:val="24"/>
        </w:rPr>
        <w:t xml:space="preserve">(notifying a temporary reduction of the designated MSO for an MSO product) </w:t>
      </w:r>
      <w:r w:rsidR="00344AA4" w:rsidRPr="00206628">
        <w:rPr>
          <w:rFonts w:ascii="Times New Roman" w:hAnsi="Times New Roman" w:cs="Times New Roman"/>
          <w:sz w:val="24"/>
          <w:szCs w:val="24"/>
        </w:rPr>
        <w:t xml:space="preserve">of the Act </w:t>
      </w:r>
      <w:r w:rsidRPr="00206628">
        <w:rPr>
          <w:rFonts w:ascii="Times New Roman" w:hAnsi="Times New Roman" w:cs="Times New Roman"/>
          <w:sz w:val="24"/>
          <w:szCs w:val="24"/>
        </w:rPr>
        <w:t xml:space="preserve">can be </w:t>
      </w:r>
      <w:r w:rsidR="0026209B" w:rsidRPr="00206628">
        <w:rPr>
          <w:rFonts w:ascii="Times New Roman" w:hAnsi="Times New Roman" w:cs="Times New Roman"/>
          <w:sz w:val="24"/>
          <w:szCs w:val="24"/>
        </w:rPr>
        <w:t xml:space="preserve">taken to have been </w:t>
      </w:r>
      <w:r w:rsidRPr="00206628">
        <w:rPr>
          <w:rFonts w:ascii="Times New Roman" w:hAnsi="Times New Roman" w:cs="Times New Roman"/>
          <w:sz w:val="24"/>
          <w:szCs w:val="24"/>
        </w:rPr>
        <w:t>given to more than one entity. This would occur</w:t>
      </w:r>
      <w:r w:rsidR="0026209B" w:rsidRPr="00206628">
        <w:rPr>
          <w:rFonts w:ascii="Times New Roman" w:hAnsi="Times New Roman" w:cs="Times New Roman"/>
          <w:sz w:val="24"/>
          <w:szCs w:val="24"/>
        </w:rPr>
        <w:t>, for example,</w:t>
      </w:r>
      <w:r w:rsidRPr="00206628">
        <w:rPr>
          <w:rFonts w:ascii="Times New Roman" w:hAnsi="Times New Roman" w:cs="Times New Roman"/>
          <w:sz w:val="24"/>
          <w:szCs w:val="24"/>
        </w:rPr>
        <w:t xml:space="preserve"> when</w:t>
      </w:r>
      <w:r w:rsidR="0026209B" w:rsidRPr="00206628">
        <w:rPr>
          <w:rFonts w:ascii="Times New Roman" w:hAnsi="Times New Roman" w:cs="Times New Roman"/>
          <w:sz w:val="24"/>
          <w:szCs w:val="24"/>
        </w:rPr>
        <w:t>:</w:t>
      </w:r>
    </w:p>
    <w:p w14:paraId="53ACEB14" w14:textId="77777777" w:rsidR="0026209B" w:rsidRPr="00206628" w:rsidRDefault="00CC20EF" w:rsidP="0026209B">
      <w:pPr>
        <w:pStyle w:val="ListParagraph"/>
        <w:numPr>
          <w:ilvl w:val="1"/>
          <w:numId w:val="2"/>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one entity buys another entity</w:t>
      </w:r>
      <w:r w:rsidR="0026209B" w:rsidRPr="00206628">
        <w:rPr>
          <w:rFonts w:ascii="Times New Roman" w:hAnsi="Times New Roman" w:cs="Times New Roman"/>
          <w:sz w:val="24"/>
          <w:szCs w:val="24"/>
        </w:rPr>
        <w:t>.</w:t>
      </w:r>
      <w:r w:rsidRPr="00206628">
        <w:rPr>
          <w:rFonts w:ascii="Times New Roman" w:hAnsi="Times New Roman" w:cs="Times New Roman"/>
          <w:sz w:val="24"/>
          <w:szCs w:val="24"/>
        </w:rPr>
        <w:t xml:space="preserve"> </w:t>
      </w:r>
      <w:r w:rsidR="0026209B" w:rsidRPr="00206628">
        <w:rPr>
          <w:rFonts w:ascii="Times New Roman" w:hAnsi="Times New Roman" w:cs="Times New Roman"/>
          <w:sz w:val="24"/>
          <w:szCs w:val="24"/>
        </w:rPr>
        <w:t>T</w:t>
      </w:r>
      <w:r w:rsidRPr="00206628">
        <w:rPr>
          <w:rFonts w:ascii="Times New Roman" w:hAnsi="Times New Roman" w:cs="Times New Roman"/>
          <w:sz w:val="24"/>
          <w:szCs w:val="24"/>
        </w:rPr>
        <w:t xml:space="preserve">he MSO for the </w:t>
      </w:r>
      <w:r w:rsidR="0026209B" w:rsidRPr="00206628">
        <w:rPr>
          <w:rFonts w:ascii="Times New Roman" w:hAnsi="Times New Roman" w:cs="Times New Roman"/>
          <w:sz w:val="24"/>
          <w:szCs w:val="24"/>
        </w:rPr>
        <w:t xml:space="preserve">divesting </w:t>
      </w:r>
      <w:r w:rsidRPr="00206628">
        <w:rPr>
          <w:rFonts w:ascii="Times New Roman" w:hAnsi="Times New Roman" w:cs="Times New Roman"/>
          <w:sz w:val="24"/>
          <w:szCs w:val="24"/>
        </w:rPr>
        <w:t xml:space="preserve">entity could be </w:t>
      </w:r>
      <w:r w:rsidR="0026209B" w:rsidRPr="00206628">
        <w:rPr>
          <w:rFonts w:ascii="Times New Roman" w:hAnsi="Times New Roman" w:cs="Times New Roman"/>
          <w:sz w:val="24"/>
          <w:szCs w:val="24"/>
        </w:rPr>
        <w:t xml:space="preserve">varied </w:t>
      </w:r>
      <w:r w:rsidRPr="00206628">
        <w:rPr>
          <w:rFonts w:ascii="Times New Roman" w:hAnsi="Times New Roman" w:cs="Times New Roman"/>
          <w:sz w:val="24"/>
          <w:szCs w:val="24"/>
        </w:rPr>
        <w:t xml:space="preserve">to zero through this </w:t>
      </w:r>
      <w:r w:rsidR="0026209B" w:rsidRPr="00206628">
        <w:rPr>
          <w:rFonts w:ascii="Times New Roman" w:hAnsi="Times New Roman" w:cs="Times New Roman"/>
          <w:sz w:val="24"/>
          <w:szCs w:val="24"/>
        </w:rPr>
        <w:t>determination process</w:t>
      </w:r>
      <w:r w:rsidRPr="00206628">
        <w:rPr>
          <w:rFonts w:ascii="Times New Roman" w:hAnsi="Times New Roman" w:cs="Times New Roman"/>
          <w:sz w:val="24"/>
          <w:szCs w:val="24"/>
        </w:rPr>
        <w:t xml:space="preserve">, with the full </w:t>
      </w:r>
      <w:r w:rsidR="0026209B" w:rsidRPr="00206628">
        <w:rPr>
          <w:rFonts w:ascii="Times New Roman" w:hAnsi="Times New Roman" w:cs="Times New Roman"/>
          <w:sz w:val="24"/>
          <w:szCs w:val="24"/>
        </w:rPr>
        <w:t xml:space="preserve">MSO </w:t>
      </w:r>
      <w:r w:rsidRPr="00206628">
        <w:rPr>
          <w:rFonts w:ascii="Times New Roman" w:hAnsi="Times New Roman" w:cs="Times New Roman"/>
          <w:sz w:val="24"/>
          <w:szCs w:val="24"/>
        </w:rPr>
        <w:t xml:space="preserve">being transferred to the </w:t>
      </w:r>
      <w:r w:rsidR="0026209B" w:rsidRPr="00206628">
        <w:rPr>
          <w:rFonts w:ascii="Times New Roman" w:hAnsi="Times New Roman" w:cs="Times New Roman"/>
          <w:sz w:val="24"/>
          <w:szCs w:val="24"/>
        </w:rPr>
        <w:t xml:space="preserve">receiving </w:t>
      </w:r>
      <w:r w:rsidRPr="00206628">
        <w:rPr>
          <w:rFonts w:ascii="Times New Roman" w:hAnsi="Times New Roman" w:cs="Times New Roman"/>
          <w:sz w:val="24"/>
          <w:szCs w:val="24"/>
        </w:rPr>
        <w:t xml:space="preserve">entity. </w:t>
      </w:r>
    </w:p>
    <w:p w14:paraId="2BC33196" w14:textId="77777777" w:rsidR="0026209B" w:rsidRPr="00206628" w:rsidRDefault="00CC20EF" w:rsidP="0026209B">
      <w:pPr>
        <w:pStyle w:val="ListParagraph"/>
        <w:numPr>
          <w:ilvl w:val="1"/>
          <w:numId w:val="2"/>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there </w:t>
      </w:r>
      <w:r w:rsidR="0026209B" w:rsidRPr="00206628">
        <w:rPr>
          <w:rFonts w:ascii="Times New Roman" w:hAnsi="Times New Roman" w:cs="Times New Roman"/>
          <w:sz w:val="24"/>
          <w:szCs w:val="24"/>
        </w:rPr>
        <w:t>is</w:t>
      </w:r>
      <w:r w:rsidRPr="00206628">
        <w:rPr>
          <w:rFonts w:ascii="Times New Roman" w:hAnsi="Times New Roman" w:cs="Times New Roman"/>
          <w:sz w:val="24"/>
          <w:szCs w:val="24"/>
        </w:rPr>
        <w:t xml:space="preserve"> a partial assumption of one entity’s business</w:t>
      </w:r>
      <w:r w:rsidR="0026209B" w:rsidRPr="00206628">
        <w:rPr>
          <w:rFonts w:ascii="Times New Roman" w:hAnsi="Times New Roman" w:cs="Times New Roman"/>
          <w:sz w:val="24"/>
          <w:szCs w:val="24"/>
        </w:rPr>
        <w:t xml:space="preserve"> by another receiving entity</w:t>
      </w:r>
    </w:p>
    <w:p w14:paraId="7A5220BB" w14:textId="77777777" w:rsidR="0026209B" w:rsidRPr="00206628" w:rsidRDefault="00CC20EF" w:rsidP="0026209B">
      <w:pPr>
        <w:pStyle w:val="ListParagraph"/>
        <w:numPr>
          <w:ilvl w:val="1"/>
          <w:numId w:val="2"/>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there is more than one receiving entity</w:t>
      </w:r>
      <w:r w:rsidR="0081104F" w:rsidRPr="00206628">
        <w:rPr>
          <w:rFonts w:ascii="Times New Roman" w:hAnsi="Times New Roman" w:cs="Times New Roman"/>
          <w:sz w:val="24"/>
          <w:szCs w:val="24"/>
        </w:rPr>
        <w:t xml:space="preserve">. </w:t>
      </w:r>
    </w:p>
    <w:p w14:paraId="3BBE8C96" w14:textId="77777777" w:rsidR="000479E6" w:rsidRPr="00206628" w:rsidRDefault="0026209B" w:rsidP="009111CC">
      <w:pPr>
        <w:spacing w:before="240" w:after="0"/>
        <w:ind w:left="720"/>
        <w:rPr>
          <w:rFonts w:ascii="Times New Roman" w:hAnsi="Times New Roman" w:cs="Times New Roman"/>
          <w:sz w:val="24"/>
          <w:szCs w:val="24"/>
        </w:rPr>
      </w:pPr>
      <w:r w:rsidRPr="00206628">
        <w:rPr>
          <w:rFonts w:ascii="Times New Roman" w:hAnsi="Times New Roman" w:cs="Times New Roman"/>
          <w:sz w:val="24"/>
          <w:szCs w:val="24"/>
        </w:rPr>
        <w:lastRenderedPageBreak/>
        <w:t>In each of the circumstances above, a</w:t>
      </w:r>
      <w:r w:rsidR="0081104F" w:rsidRPr="00206628">
        <w:rPr>
          <w:rFonts w:ascii="Times New Roman" w:hAnsi="Times New Roman" w:cs="Times New Roman"/>
          <w:sz w:val="24"/>
          <w:szCs w:val="24"/>
        </w:rPr>
        <w:t xml:space="preserve">ll entities involved in the process </w:t>
      </w:r>
      <w:r w:rsidRPr="00206628">
        <w:rPr>
          <w:rFonts w:ascii="Times New Roman" w:hAnsi="Times New Roman" w:cs="Times New Roman"/>
          <w:sz w:val="24"/>
          <w:szCs w:val="24"/>
        </w:rPr>
        <w:t xml:space="preserve">(including the divesting entity and all receiving entities) </w:t>
      </w:r>
      <w:r w:rsidR="0081104F" w:rsidRPr="00206628">
        <w:rPr>
          <w:rFonts w:ascii="Times New Roman" w:hAnsi="Times New Roman" w:cs="Times New Roman"/>
          <w:sz w:val="24"/>
          <w:szCs w:val="24"/>
        </w:rPr>
        <w:t>are likely to receive notices of a new designated quantity of MSO</w:t>
      </w:r>
      <w:r w:rsidR="006D476D" w:rsidRPr="00206628">
        <w:rPr>
          <w:rFonts w:ascii="Times New Roman" w:hAnsi="Times New Roman" w:cs="Times New Roman"/>
          <w:sz w:val="24"/>
          <w:szCs w:val="24"/>
        </w:rPr>
        <w:t xml:space="preserve"> for all applicable MSO products</w:t>
      </w:r>
      <w:r w:rsidR="0081104F" w:rsidRPr="00206628">
        <w:rPr>
          <w:rFonts w:ascii="Times New Roman" w:hAnsi="Times New Roman" w:cs="Times New Roman"/>
          <w:sz w:val="24"/>
          <w:szCs w:val="24"/>
        </w:rPr>
        <w:t>.</w:t>
      </w:r>
    </w:p>
    <w:p w14:paraId="18242AA4" w14:textId="77777777" w:rsidR="0081104F" w:rsidRPr="00206628" w:rsidRDefault="00CC20EF" w:rsidP="0037564F">
      <w:pPr>
        <w:pStyle w:val="ListParagraph"/>
        <w:numPr>
          <w:ilvl w:val="0"/>
          <w:numId w:val="51"/>
        </w:numPr>
        <w:spacing w:after="100" w:afterAutospacing="1"/>
        <w:rPr>
          <w:rFonts w:ascii="Times New Roman" w:hAnsi="Times New Roman" w:cs="Times New Roman"/>
          <w:sz w:val="24"/>
          <w:szCs w:val="24"/>
        </w:rPr>
      </w:pPr>
      <w:r w:rsidRPr="00206628">
        <w:rPr>
          <w:rFonts w:ascii="Times New Roman" w:hAnsi="Times New Roman" w:cs="Times New Roman"/>
          <w:sz w:val="24"/>
          <w:szCs w:val="24"/>
        </w:rPr>
        <w:t>A</w:t>
      </w:r>
      <w:r w:rsidR="00761A61" w:rsidRPr="00206628">
        <w:rPr>
          <w:rFonts w:ascii="Times New Roman" w:hAnsi="Times New Roman" w:cs="Times New Roman"/>
          <w:sz w:val="24"/>
          <w:szCs w:val="24"/>
        </w:rPr>
        <w:t xml:space="preserve"> notice</w:t>
      </w:r>
      <w:r w:rsidR="00344AA4" w:rsidRPr="00206628">
        <w:rPr>
          <w:rFonts w:ascii="Times New Roman" w:hAnsi="Times New Roman" w:cs="Times New Roman"/>
          <w:sz w:val="24"/>
          <w:szCs w:val="24"/>
        </w:rPr>
        <w:t xml:space="preserve"> in force under section 10, 15 or 18 of the Act </w:t>
      </w:r>
      <w:r w:rsidR="0026209B" w:rsidRPr="00206628">
        <w:rPr>
          <w:rFonts w:ascii="Times New Roman" w:hAnsi="Times New Roman" w:cs="Times New Roman"/>
          <w:sz w:val="24"/>
          <w:szCs w:val="24"/>
        </w:rPr>
        <w:t>may be taken to have been</w:t>
      </w:r>
      <w:r w:rsidRPr="00206628">
        <w:rPr>
          <w:rFonts w:ascii="Times New Roman" w:hAnsi="Times New Roman" w:cs="Times New Roman"/>
          <w:sz w:val="24"/>
          <w:szCs w:val="24"/>
        </w:rPr>
        <w:t xml:space="preserve"> given to a different entity</w:t>
      </w:r>
      <w:r w:rsidR="0081104F" w:rsidRPr="00206628">
        <w:rPr>
          <w:rFonts w:ascii="Times New Roman" w:hAnsi="Times New Roman" w:cs="Times New Roman"/>
          <w:sz w:val="24"/>
          <w:szCs w:val="24"/>
        </w:rPr>
        <w:t xml:space="preserve">. Where the Secretary becomes aware of changes in the </w:t>
      </w:r>
      <w:r w:rsidR="000974A1" w:rsidRPr="00206628">
        <w:rPr>
          <w:rFonts w:ascii="Times New Roman" w:hAnsi="Times New Roman" w:cs="Times New Roman"/>
          <w:sz w:val="24"/>
          <w:szCs w:val="24"/>
        </w:rPr>
        <w:t>ownership of a regulated entity</w:t>
      </w:r>
      <w:r w:rsidR="0081104F" w:rsidRPr="00206628">
        <w:rPr>
          <w:rFonts w:ascii="Times New Roman" w:hAnsi="Times New Roman" w:cs="Times New Roman"/>
          <w:sz w:val="24"/>
          <w:szCs w:val="24"/>
        </w:rPr>
        <w:t xml:space="preserve"> due to applications </w:t>
      </w:r>
      <w:r w:rsidR="000974A1" w:rsidRPr="00206628">
        <w:rPr>
          <w:rFonts w:ascii="Times New Roman" w:hAnsi="Times New Roman" w:cs="Times New Roman"/>
          <w:sz w:val="24"/>
          <w:szCs w:val="24"/>
        </w:rPr>
        <w:t xml:space="preserve">made under this section </w:t>
      </w:r>
      <w:r w:rsidR="0081104F" w:rsidRPr="00206628">
        <w:rPr>
          <w:rFonts w:ascii="Times New Roman" w:hAnsi="Times New Roman" w:cs="Times New Roman"/>
          <w:sz w:val="24"/>
          <w:szCs w:val="24"/>
        </w:rPr>
        <w:t xml:space="preserve">by </w:t>
      </w:r>
      <w:r w:rsidR="006D476D" w:rsidRPr="00206628">
        <w:rPr>
          <w:rFonts w:ascii="Times New Roman" w:hAnsi="Times New Roman" w:cs="Times New Roman"/>
          <w:sz w:val="24"/>
          <w:szCs w:val="24"/>
        </w:rPr>
        <w:t xml:space="preserve">either </w:t>
      </w:r>
      <w:r w:rsidR="0081104F" w:rsidRPr="00206628">
        <w:rPr>
          <w:rFonts w:ascii="Times New Roman" w:hAnsi="Times New Roman" w:cs="Times New Roman"/>
          <w:sz w:val="24"/>
          <w:szCs w:val="24"/>
        </w:rPr>
        <w:t>the divesting or receiving entity, or through the</w:t>
      </w:r>
      <w:r w:rsidR="006D476D" w:rsidRPr="00206628">
        <w:rPr>
          <w:rFonts w:ascii="Times New Roman" w:hAnsi="Times New Roman" w:cs="Times New Roman"/>
          <w:sz w:val="24"/>
          <w:szCs w:val="24"/>
        </w:rPr>
        <w:t xml:space="preserve"> Secretary’s</w:t>
      </w:r>
      <w:r w:rsidR="0081104F" w:rsidRPr="00206628">
        <w:rPr>
          <w:rFonts w:ascii="Times New Roman" w:hAnsi="Times New Roman" w:cs="Times New Roman"/>
          <w:sz w:val="24"/>
          <w:szCs w:val="24"/>
        </w:rPr>
        <w:t xml:space="preserve"> own initiative, </w:t>
      </w:r>
      <w:r w:rsidR="003349F0" w:rsidRPr="00206628">
        <w:rPr>
          <w:rFonts w:ascii="Times New Roman" w:hAnsi="Times New Roman" w:cs="Times New Roman"/>
          <w:sz w:val="24"/>
          <w:szCs w:val="24"/>
        </w:rPr>
        <w:br/>
      </w:r>
      <w:r w:rsidR="0081104F" w:rsidRPr="00206628">
        <w:rPr>
          <w:rFonts w:ascii="Times New Roman" w:hAnsi="Times New Roman" w:cs="Times New Roman"/>
          <w:sz w:val="24"/>
          <w:szCs w:val="24"/>
        </w:rPr>
        <w:t>the</w:t>
      </w:r>
      <w:r w:rsidR="006D476D" w:rsidRPr="00206628">
        <w:rPr>
          <w:rFonts w:ascii="Times New Roman" w:hAnsi="Times New Roman" w:cs="Times New Roman"/>
          <w:sz w:val="24"/>
          <w:szCs w:val="24"/>
        </w:rPr>
        <w:t xml:space="preserve"> Secretar</w:t>
      </w:r>
      <w:r w:rsidR="0081104F" w:rsidRPr="00206628">
        <w:rPr>
          <w:rFonts w:ascii="Times New Roman" w:hAnsi="Times New Roman" w:cs="Times New Roman"/>
          <w:sz w:val="24"/>
          <w:szCs w:val="24"/>
        </w:rPr>
        <w:t xml:space="preserve">y may make a determination </w:t>
      </w:r>
      <w:r w:rsidR="006D476D" w:rsidRPr="00206628">
        <w:rPr>
          <w:rFonts w:ascii="Times New Roman" w:hAnsi="Times New Roman" w:cs="Times New Roman"/>
          <w:sz w:val="24"/>
          <w:szCs w:val="24"/>
        </w:rPr>
        <w:t xml:space="preserve">for assumption or division of </w:t>
      </w:r>
      <w:r w:rsidR="000974A1" w:rsidRPr="00206628">
        <w:rPr>
          <w:rFonts w:ascii="Times New Roman" w:hAnsi="Times New Roman" w:cs="Times New Roman"/>
          <w:sz w:val="24"/>
          <w:szCs w:val="24"/>
        </w:rPr>
        <w:t xml:space="preserve">the </w:t>
      </w:r>
      <w:r w:rsidR="006D476D" w:rsidRPr="00206628">
        <w:rPr>
          <w:rFonts w:ascii="Times New Roman" w:hAnsi="Times New Roman" w:cs="Times New Roman"/>
          <w:sz w:val="24"/>
          <w:szCs w:val="24"/>
        </w:rPr>
        <w:t xml:space="preserve">MSO for </w:t>
      </w:r>
      <w:r w:rsidR="0081104F" w:rsidRPr="00206628">
        <w:rPr>
          <w:rFonts w:ascii="Times New Roman" w:hAnsi="Times New Roman" w:cs="Times New Roman"/>
          <w:sz w:val="24"/>
          <w:szCs w:val="24"/>
        </w:rPr>
        <w:t xml:space="preserve">any entity. </w:t>
      </w:r>
      <w:r w:rsidR="000974A1" w:rsidRPr="00206628">
        <w:rPr>
          <w:rFonts w:ascii="Times New Roman" w:hAnsi="Times New Roman" w:cs="Times New Roman"/>
          <w:sz w:val="24"/>
          <w:szCs w:val="24"/>
        </w:rPr>
        <w:t xml:space="preserve">If a notice in force </w:t>
      </w:r>
      <w:r w:rsidR="00C16A19" w:rsidRPr="00206628">
        <w:rPr>
          <w:rFonts w:ascii="Times New Roman" w:hAnsi="Times New Roman" w:cs="Times New Roman"/>
          <w:sz w:val="24"/>
          <w:szCs w:val="24"/>
        </w:rPr>
        <w:t xml:space="preserve">for one entity </w:t>
      </w:r>
      <w:r w:rsidR="000974A1" w:rsidRPr="00206628">
        <w:rPr>
          <w:rFonts w:ascii="Times New Roman" w:hAnsi="Times New Roman" w:cs="Times New Roman"/>
          <w:sz w:val="24"/>
          <w:szCs w:val="24"/>
        </w:rPr>
        <w:t xml:space="preserve">under section 10, 15 or 18 of the Act are directly representative of the quantities that should be assumed or divided </w:t>
      </w:r>
      <w:r w:rsidR="00C16A19" w:rsidRPr="00206628">
        <w:rPr>
          <w:rFonts w:ascii="Times New Roman" w:hAnsi="Times New Roman" w:cs="Times New Roman"/>
          <w:sz w:val="24"/>
          <w:szCs w:val="24"/>
        </w:rPr>
        <w:t xml:space="preserve">with a different entity, then it would be possible for the Secretary to make a determination that this original notice is transferred to a different entity without any further amendments. </w:t>
      </w:r>
    </w:p>
    <w:p w14:paraId="3E848861" w14:textId="77777777" w:rsidR="00F32C10" w:rsidRPr="00206628" w:rsidRDefault="0081104F" w:rsidP="0037564F">
      <w:pPr>
        <w:pStyle w:val="ListParagraph"/>
        <w:numPr>
          <w:ilvl w:val="0"/>
          <w:numId w:val="51"/>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A notice </w:t>
      </w:r>
      <w:r w:rsidR="00344AA4" w:rsidRPr="00206628">
        <w:rPr>
          <w:rFonts w:ascii="Times New Roman" w:hAnsi="Times New Roman" w:cs="Times New Roman"/>
          <w:sz w:val="24"/>
          <w:szCs w:val="24"/>
        </w:rPr>
        <w:t xml:space="preserve">in force under section 10, 15 or 18 of the Act </w:t>
      </w:r>
      <w:r w:rsidR="006D476D" w:rsidRPr="00206628">
        <w:rPr>
          <w:rFonts w:ascii="Times New Roman" w:hAnsi="Times New Roman" w:cs="Times New Roman"/>
          <w:sz w:val="24"/>
          <w:szCs w:val="24"/>
        </w:rPr>
        <w:t>may be</w:t>
      </w:r>
      <w:r w:rsidRPr="00206628">
        <w:rPr>
          <w:rFonts w:ascii="Times New Roman" w:hAnsi="Times New Roman" w:cs="Times New Roman"/>
          <w:sz w:val="24"/>
          <w:szCs w:val="24"/>
        </w:rPr>
        <w:t xml:space="preserve"> taken to specify a different </w:t>
      </w:r>
      <w:r w:rsidR="00344AA4" w:rsidRPr="00206628">
        <w:rPr>
          <w:rFonts w:ascii="Times New Roman" w:hAnsi="Times New Roman" w:cs="Times New Roman"/>
          <w:sz w:val="24"/>
          <w:szCs w:val="24"/>
        </w:rPr>
        <w:t xml:space="preserve">designated MSO </w:t>
      </w:r>
      <w:r w:rsidRPr="00206628">
        <w:rPr>
          <w:rFonts w:ascii="Times New Roman" w:hAnsi="Times New Roman" w:cs="Times New Roman"/>
          <w:sz w:val="24"/>
          <w:szCs w:val="24"/>
        </w:rPr>
        <w:t>quantity</w:t>
      </w:r>
      <w:r w:rsidR="00344AA4" w:rsidRPr="00206628">
        <w:rPr>
          <w:rFonts w:ascii="Times New Roman" w:hAnsi="Times New Roman" w:cs="Times New Roman"/>
          <w:sz w:val="24"/>
          <w:szCs w:val="24"/>
        </w:rPr>
        <w:t xml:space="preserve"> for an MSO product</w:t>
      </w:r>
      <w:r w:rsidRPr="00206628">
        <w:rPr>
          <w:rFonts w:ascii="Times New Roman" w:hAnsi="Times New Roman" w:cs="Times New Roman"/>
          <w:sz w:val="24"/>
          <w:szCs w:val="24"/>
        </w:rPr>
        <w:t>.</w:t>
      </w:r>
      <w:r w:rsidR="000974A1" w:rsidRPr="00206628">
        <w:rPr>
          <w:rFonts w:ascii="Times New Roman" w:hAnsi="Times New Roman" w:cs="Times New Roman"/>
          <w:sz w:val="24"/>
          <w:szCs w:val="24"/>
        </w:rPr>
        <w:t xml:space="preserve"> This may occur where </w:t>
      </w:r>
      <w:r w:rsidR="003349F0" w:rsidRPr="00206628">
        <w:rPr>
          <w:rFonts w:ascii="Times New Roman" w:hAnsi="Times New Roman" w:cs="Times New Roman"/>
          <w:sz w:val="24"/>
          <w:szCs w:val="24"/>
        </w:rPr>
        <w:br/>
      </w:r>
      <w:r w:rsidR="000974A1" w:rsidRPr="00206628">
        <w:rPr>
          <w:rFonts w:ascii="Times New Roman" w:hAnsi="Times New Roman" w:cs="Times New Roman"/>
          <w:sz w:val="24"/>
          <w:szCs w:val="24"/>
        </w:rPr>
        <w:t xml:space="preserve">the Secretary believes the original designated quantities in any of the notices will not represent the appropriate quantity for any assumption or division of stock, and needs to change the original MSO quantities listed for one or more MSO products. </w:t>
      </w:r>
      <w:r w:rsidRPr="00206628">
        <w:rPr>
          <w:rFonts w:ascii="Times New Roman" w:hAnsi="Times New Roman" w:cs="Times New Roman"/>
          <w:sz w:val="24"/>
          <w:szCs w:val="24"/>
        </w:rPr>
        <w:t xml:space="preserve"> </w:t>
      </w:r>
    </w:p>
    <w:p w14:paraId="7D70D0EB" w14:textId="1C9B21A3" w:rsidR="004512BF" w:rsidRPr="00206628" w:rsidRDefault="00761A61" w:rsidP="00E112F8">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7049D" w:rsidRPr="00206628">
        <w:rPr>
          <w:rFonts w:ascii="Times New Roman" w:hAnsi="Times New Roman" w:cs="Times New Roman"/>
          <w:sz w:val="24"/>
          <w:szCs w:val="24"/>
        </w:rPr>
        <w:t>41</w:t>
      </w:r>
      <w:r w:rsidR="00F32C10" w:rsidRPr="00206628">
        <w:rPr>
          <w:rFonts w:ascii="Times New Roman" w:hAnsi="Times New Roman" w:cs="Times New Roman"/>
          <w:sz w:val="24"/>
          <w:szCs w:val="24"/>
        </w:rPr>
        <w:t xml:space="preserve">(2) prescribes </w:t>
      </w:r>
      <w:r w:rsidR="004512BF" w:rsidRPr="00206628">
        <w:rPr>
          <w:rFonts w:ascii="Times New Roman" w:hAnsi="Times New Roman" w:cs="Times New Roman"/>
          <w:sz w:val="24"/>
          <w:szCs w:val="24"/>
        </w:rPr>
        <w:t xml:space="preserve">the matters </w:t>
      </w:r>
      <w:r w:rsidR="00F32C10" w:rsidRPr="00206628">
        <w:rPr>
          <w:rFonts w:ascii="Times New Roman" w:hAnsi="Times New Roman" w:cs="Times New Roman"/>
          <w:sz w:val="24"/>
          <w:szCs w:val="24"/>
        </w:rPr>
        <w:t>the Secretary must take into account before making a determination</w:t>
      </w:r>
      <w:r w:rsidR="004512BF" w:rsidRPr="00206628">
        <w:rPr>
          <w:rFonts w:ascii="Times New Roman" w:hAnsi="Times New Roman" w:cs="Times New Roman"/>
          <w:sz w:val="24"/>
          <w:szCs w:val="24"/>
        </w:rPr>
        <w:t xml:space="preserve"> under section 37 of the Act</w:t>
      </w:r>
      <w:r w:rsidR="00F32C10" w:rsidRPr="00206628">
        <w:rPr>
          <w:rFonts w:ascii="Times New Roman" w:hAnsi="Times New Roman" w:cs="Times New Roman"/>
          <w:sz w:val="24"/>
          <w:szCs w:val="24"/>
        </w:rPr>
        <w:t xml:space="preserve">, </w:t>
      </w:r>
      <w:r w:rsidR="004512BF" w:rsidRPr="00206628">
        <w:rPr>
          <w:rFonts w:ascii="Times New Roman" w:hAnsi="Times New Roman" w:cs="Times New Roman"/>
          <w:sz w:val="24"/>
          <w:szCs w:val="24"/>
        </w:rPr>
        <w:t>including:</w:t>
      </w:r>
    </w:p>
    <w:p w14:paraId="6C0BC5D9" w14:textId="77777777" w:rsidR="004512BF" w:rsidRPr="00206628" w:rsidRDefault="004512BF" w:rsidP="0037564F">
      <w:pPr>
        <w:pStyle w:val="ListParagraph"/>
        <w:numPr>
          <w:ilvl w:val="0"/>
          <w:numId w:val="52"/>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desirability that the total level of MSO from all notices after the determination be no less than the total level of the MSO before the determination. The intention is </w:t>
      </w:r>
      <w:r w:rsidR="00F32C10" w:rsidRPr="00206628">
        <w:rPr>
          <w:rFonts w:ascii="Times New Roman" w:hAnsi="Times New Roman" w:cs="Times New Roman"/>
          <w:sz w:val="24"/>
          <w:szCs w:val="24"/>
        </w:rPr>
        <w:t xml:space="preserve">to ensure </w:t>
      </w:r>
      <w:r w:rsidRPr="00206628">
        <w:rPr>
          <w:rFonts w:ascii="Times New Roman" w:hAnsi="Times New Roman" w:cs="Times New Roman"/>
          <w:sz w:val="24"/>
          <w:szCs w:val="24"/>
        </w:rPr>
        <w:t xml:space="preserve">Australia’s </w:t>
      </w:r>
      <w:r w:rsidR="00F32C10" w:rsidRPr="00206628">
        <w:rPr>
          <w:rFonts w:ascii="Times New Roman" w:hAnsi="Times New Roman" w:cs="Times New Roman"/>
          <w:sz w:val="24"/>
          <w:szCs w:val="24"/>
        </w:rPr>
        <w:t xml:space="preserve">national fuel security position is maintained </w:t>
      </w:r>
      <w:r w:rsidRPr="00206628">
        <w:rPr>
          <w:rFonts w:ascii="Times New Roman" w:hAnsi="Times New Roman" w:cs="Times New Roman"/>
          <w:sz w:val="24"/>
          <w:szCs w:val="24"/>
        </w:rPr>
        <w:t xml:space="preserve">to the extent possible despite </w:t>
      </w:r>
      <w:r w:rsidR="00F32C10" w:rsidRPr="00206628">
        <w:rPr>
          <w:rFonts w:ascii="Times New Roman" w:hAnsi="Times New Roman" w:cs="Times New Roman"/>
          <w:sz w:val="24"/>
          <w:szCs w:val="24"/>
        </w:rPr>
        <w:t>any changes to the fuel market</w:t>
      </w:r>
      <w:r w:rsidRPr="00206628">
        <w:rPr>
          <w:rFonts w:ascii="Times New Roman" w:hAnsi="Times New Roman" w:cs="Times New Roman"/>
          <w:sz w:val="24"/>
          <w:szCs w:val="24"/>
        </w:rPr>
        <w:t>;</w:t>
      </w:r>
      <w:r w:rsidR="00F32C10" w:rsidRPr="00206628">
        <w:rPr>
          <w:rFonts w:ascii="Times New Roman" w:hAnsi="Times New Roman" w:cs="Times New Roman"/>
          <w:sz w:val="24"/>
          <w:szCs w:val="24"/>
        </w:rPr>
        <w:t xml:space="preserve"> and </w:t>
      </w:r>
    </w:p>
    <w:p w14:paraId="1AB2070D" w14:textId="77777777" w:rsidR="00692939" w:rsidRPr="00206628" w:rsidRDefault="004512BF" w:rsidP="0037564F">
      <w:pPr>
        <w:pStyle w:val="ListParagraph"/>
        <w:numPr>
          <w:ilvl w:val="0"/>
          <w:numId w:val="52"/>
        </w:numPr>
        <w:spacing w:before="240" w:after="100" w:afterAutospacing="1"/>
      </w:pPr>
      <w:r w:rsidRPr="00206628">
        <w:rPr>
          <w:rFonts w:ascii="Times New Roman" w:hAnsi="Times New Roman" w:cs="Times New Roman"/>
          <w:sz w:val="24"/>
          <w:szCs w:val="24"/>
        </w:rPr>
        <w:t xml:space="preserve">designated MSO quantities should reflect each entity’s likely importing and refining activities, so that entities </w:t>
      </w:r>
      <w:r w:rsidR="00F32C10" w:rsidRPr="00206628">
        <w:rPr>
          <w:rFonts w:ascii="Times New Roman" w:hAnsi="Times New Roman" w:cs="Times New Roman"/>
          <w:sz w:val="24"/>
          <w:szCs w:val="24"/>
        </w:rPr>
        <w:t xml:space="preserve">are not allocated quantities unfairly.  </w:t>
      </w:r>
      <w:r w:rsidR="0081104F" w:rsidRPr="00206628">
        <w:rPr>
          <w:rFonts w:ascii="Times New Roman" w:hAnsi="Times New Roman" w:cs="Times New Roman"/>
          <w:sz w:val="24"/>
          <w:szCs w:val="24"/>
        </w:rPr>
        <w:t xml:space="preserve"> </w:t>
      </w:r>
      <w:r w:rsidR="00CC20EF" w:rsidRPr="00206628">
        <w:rPr>
          <w:rFonts w:ascii="Times New Roman" w:hAnsi="Times New Roman" w:cs="Times New Roman"/>
          <w:sz w:val="24"/>
          <w:szCs w:val="24"/>
        </w:rPr>
        <w:t xml:space="preserve">  </w:t>
      </w:r>
      <w:r w:rsidR="00846B4C" w:rsidRPr="00206628">
        <w:rPr>
          <w:rFonts w:ascii="Times New Roman" w:hAnsi="Times New Roman" w:cs="Times New Roman"/>
          <w:sz w:val="24"/>
          <w:szCs w:val="24"/>
        </w:rPr>
        <w:t xml:space="preserve"> </w:t>
      </w:r>
    </w:p>
    <w:p w14:paraId="3AC542E2" w14:textId="77777777" w:rsidR="00E43BCD" w:rsidRPr="00206628" w:rsidRDefault="00E43BCD" w:rsidP="00E43BCD">
      <w:pPr>
        <w:spacing w:before="240" w:after="100" w:afterAutospacing="1"/>
        <w:rPr>
          <w:rFonts w:ascii="Times New Roman" w:hAnsi="Times New Roman" w:cs="Times New Roman"/>
          <w:b/>
          <w:sz w:val="24"/>
          <w:szCs w:val="24"/>
        </w:rPr>
      </w:pPr>
      <w:r w:rsidRPr="00206628">
        <w:rPr>
          <w:rFonts w:ascii="Times New Roman" w:eastAsia="Calibri" w:hAnsi="Times New Roman" w:cs="Times New Roman"/>
          <w:b/>
          <w:sz w:val="24"/>
          <w:szCs w:val="24"/>
        </w:rPr>
        <w:t>PART 11</w:t>
      </w:r>
      <w:r w:rsidRPr="00206628">
        <w:rPr>
          <w:rFonts w:ascii="Times New Roman" w:hAnsi="Times New Roman" w:cs="Times New Roman"/>
          <w:i/>
          <w:sz w:val="24"/>
          <w:szCs w:val="24"/>
        </w:rPr>
        <w:t>—</w:t>
      </w:r>
      <w:r w:rsidRPr="00206628">
        <w:rPr>
          <w:rFonts w:ascii="Times New Roman" w:hAnsi="Times New Roman" w:cs="Times New Roman"/>
          <w:b/>
          <w:sz w:val="24"/>
          <w:szCs w:val="24"/>
        </w:rPr>
        <w:t>Monitoring secondary markets and assisting compliance</w:t>
      </w:r>
    </w:p>
    <w:p w14:paraId="3CA3A4AE" w14:textId="06661F58" w:rsidR="00E43BCD" w:rsidRPr="00206628" w:rsidRDefault="00E43BCD" w:rsidP="00E43BCD">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B7049D" w:rsidRPr="00206628">
        <w:rPr>
          <w:rFonts w:ascii="Times New Roman" w:hAnsi="Times New Roman" w:cs="Times New Roman"/>
          <w:b/>
          <w:sz w:val="24"/>
          <w:szCs w:val="24"/>
        </w:rPr>
        <w:t xml:space="preserve">42 </w:t>
      </w:r>
      <w:r w:rsidRPr="00206628">
        <w:rPr>
          <w:rFonts w:ascii="Times New Roman" w:hAnsi="Times New Roman" w:cs="Times New Roman"/>
          <w:b/>
          <w:sz w:val="24"/>
          <w:szCs w:val="24"/>
        </w:rPr>
        <w:t>– Monitoring secondary market activity and assisting compliance</w:t>
      </w:r>
    </w:p>
    <w:p w14:paraId="6CF1731C" w14:textId="77777777" w:rsidR="00E43BCD" w:rsidRPr="00206628" w:rsidRDefault="00E43BCD" w:rsidP="00E43BC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This section ensures that the Secretary takes approach steps to monitor the secondary market and assist entities comply with the MSO. </w:t>
      </w:r>
    </w:p>
    <w:p w14:paraId="05D9F974" w14:textId="16CD1E21" w:rsidR="00E43BCD" w:rsidRPr="00206628" w:rsidRDefault="00E43BCD" w:rsidP="00E43BC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7049D" w:rsidRPr="00206628">
        <w:rPr>
          <w:rFonts w:ascii="Times New Roman" w:hAnsi="Times New Roman" w:cs="Times New Roman"/>
          <w:sz w:val="24"/>
          <w:szCs w:val="24"/>
        </w:rPr>
        <w:t>42</w:t>
      </w:r>
      <w:r w:rsidRPr="00206628">
        <w:rPr>
          <w:rFonts w:ascii="Times New Roman" w:hAnsi="Times New Roman" w:cs="Times New Roman"/>
          <w:sz w:val="24"/>
          <w:szCs w:val="24"/>
        </w:rPr>
        <w:t xml:space="preserve">(1) </w:t>
      </w:r>
      <w:r w:rsidR="00EC33FB" w:rsidRPr="00206628">
        <w:rPr>
          <w:rFonts w:ascii="Times New Roman" w:hAnsi="Times New Roman" w:cs="Times New Roman"/>
          <w:sz w:val="24"/>
          <w:szCs w:val="24"/>
        </w:rPr>
        <w:t xml:space="preserve">of the Rules </w:t>
      </w:r>
      <w:r w:rsidRPr="00206628">
        <w:rPr>
          <w:rFonts w:ascii="Times New Roman" w:hAnsi="Times New Roman" w:cs="Times New Roman"/>
          <w:sz w:val="24"/>
          <w:szCs w:val="24"/>
        </w:rPr>
        <w:t>ensures that the Secretary, through the Department, takes reasonable steps to monitor the availability and price of section 24 arrangements which allow MSO products to be held by other parties for MSO compliance purposes. This secondary market is important for the efficient operation of the MSO and the Australian Government has already taken a number of steps to boost the available storage. The purpose of this subsection is not to confer additional powers on the Secretary or</w:t>
      </w:r>
      <w:r w:rsidR="003349F0" w:rsidRPr="00206628">
        <w:rPr>
          <w:rFonts w:ascii="Times New Roman" w:hAnsi="Times New Roman" w:cs="Times New Roman"/>
          <w:sz w:val="24"/>
          <w:szCs w:val="24"/>
        </w:rPr>
        <w:t xml:space="preserve"> the</w:t>
      </w:r>
      <w:r w:rsidRPr="00206628">
        <w:rPr>
          <w:rFonts w:ascii="Times New Roman" w:hAnsi="Times New Roman" w:cs="Times New Roman"/>
          <w:sz w:val="24"/>
          <w:szCs w:val="24"/>
        </w:rPr>
        <w:t xml:space="preserve"> Department, but to reflect that this monitoring function is one which must be carried out based upon existing powers and information collection processes. </w:t>
      </w:r>
    </w:p>
    <w:p w14:paraId="1643896C" w14:textId="5609A371" w:rsidR="00E43BCD" w:rsidRPr="00206628" w:rsidRDefault="00E43BCD" w:rsidP="00E43BC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lastRenderedPageBreak/>
        <w:t xml:space="preserve">Subsection </w:t>
      </w:r>
      <w:r w:rsidR="00B7049D" w:rsidRPr="00206628">
        <w:rPr>
          <w:rFonts w:ascii="Times New Roman" w:hAnsi="Times New Roman" w:cs="Times New Roman"/>
          <w:sz w:val="24"/>
          <w:szCs w:val="24"/>
        </w:rPr>
        <w:t>42</w:t>
      </w:r>
      <w:r w:rsidRPr="00206628">
        <w:rPr>
          <w:rFonts w:ascii="Times New Roman" w:hAnsi="Times New Roman" w:cs="Times New Roman"/>
          <w:sz w:val="24"/>
          <w:szCs w:val="24"/>
        </w:rPr>
        <w:t xml:space="preserve">(2) makes clear that </w:t>
      </w:r>
      <w:r w:rsidR="009C57D4" w:rsidRPr="00206628">
        <w:rPr>
          <w:rFonts w:ascii="Times New Roman" w:hAnsi="Times New Roman" w:cs="Times New Roman"/>
          <w:sz w:val="24"/>
          <w:szCs w:val="24"/>
        </w:rPr>
        <w:t xml:space="preserve">in regulating </w:t>
      </w:r>
      <w:r w:rsidRPr="00206628">
        <w:rPr>
          <w:rFonts w:ascii="Times New Roman" w:hAnsi="Times New Roman" w:cs="Times New Roman"/>
          <w:sz w:val="24"/>
          <w:szCs w:val="24"/>
        </w:rPr>
        <w:t xml:space="preserve">the </w:t>
      </w:r>
      <w:r w:rsidR="009C57D4" w:rsidRPr="00206628">
        <w:rPr>
          <w:rFonts w:ascii="Times New Roman" w:hAnsi="Times New Roman" w:cs="Times New Roman"/>
          <w:sz w:val="24"/>
          <w:szCs w:val="24"/>
        </w:rPr>
        <w:t xml:space="preserve">scheme, the </w:t>
      </w:r>
      <w:r w:rsidRPr="00206628">
        <w:rPr>
          <w:rFonts w:ascii="Times New Roman" w:hAnsi="Times New Roman" w:cs="Times New Roman"/>
          <w:sz w:val="24"/>
          <w:szCs w:val="24"/>
        </w:rPr>
        <w:t xml:space="preserve">Secretary need not be passive, but may actively assists entities in their compliance and publish information to assist them with the scheme. </w:t>
      </w:r>
    </w:p>
    <w:p w14:paraId="37FBA324" w14:textId="77777777" w:rsidR="00E43BCD" w:rsidRPr="00206628" w:rsidRDefault="00E43BCD" w:rsidP="00E43BCD">
      <w:pPr>
        <w:spacing w:before="240" w:after="100" w:afterAutospacing="1"/>
        <w:rPr>
          <w:rFonts w:ascii="Times New Roman" w:hAnsi="Times New Roman" w:cs="Times New Roman"/>
          <w:b/>
          <w:sz w:val="24"/>
          <w:szCs w:val="24"/>
        </w:rPr>
      </w:pPr>
      <w:r w:rsidRPr="00206628">
        <w:rPr>
          <w:rFonts w:ascii="Times New Roman" w:eastAsia="Calibri" w:hAnsi="Times New Roman" w:cs="Times New Roman"/>
          <w:b/>
          <w:sz w:val="24"/>
          <w:szCs w:val="24"/>
        </w:rPr>
        <w:t>PART 12</w:t>
      </w:r>
      <w:r w:rsidRPr="00206628">
        <w:rPr>
          <w:rFonts w:ascii="Times New Roman" w:hAnsi="Times New Roman" w:cs="Times New Roman"/>
          <w:i/>
          <w:sz w:val="24"/>
          <w:szCs w:val="24"/>
        </w:rPr>
        <w:t>—</w:t>
      </w:r>
      <w:r w:rsidRPr="00206628">
        <w:rPr>
          <w:rFonts w:ascii="Times New Roman" w:hAnsi="Times New Roman" w:cs="Times New Roman"/>
          <w:b/>
          <w:sz w:val="24"/>
          <w:szCs w:val="24"/>
        </w:rPr>
        <w:t>Publication of information</w:t>
      </w:r>
    </w:p>
    <w:p w14:paraId="4BAE6AAD" w14:textId="4ACFFC85" w:rsidR="00E43BCD" w:rsidRPr="00206628" w:rsidRDefault="00E43BCD" w:rsidP="00E43BCD">
      <w:pPr>
        <w:spacing w:before="240" w:after="100" w:afterAutospacing="1"/>
        <w:rPr>
          <w:rFonts w:ascii="Times New Roman" w:hAnsi="Times New Roman" w:cs="Times New Roman"/>
          <w:b/>
          <w:sz w:val="24"/>
          <w:szCs w:val="24"/>
        </w:rPr>
      </w:pPr>
      <w:r w:rsidRPr="00206628">
        <w:rPr>
          <w:rFonts w:ascii="Times New Roman" w:hAnsi="Times New Roman" w:cs="Times New Roman"/>
          <w:b/>
          <w:sz w:val="24"/>
          <w:szCs w:val="24"/>
        </w:rPr>
        <w:t xml:space="preserve">Section </w:t>
      </w:r>
      <w:r w:rsidR="00B7049D" w:rsidRPr="00206628">
        <w:rPr>
          <w:rFonts w:ascii="Times New Roman" w:hAnsi="Times New Roman" w:cs="Times New Roman"/>
          <w:b/>
          <w:sz w:val="24"/>
          <w:szCs w:val="24"/>
        </w:rPr>
        <w:t xml:space="preserve">43 </w:t>
      </w:r>
      <w:r w:rsidRPr="00206628">
        <w:rPr>
          <w:rFonts w:ascii="Times New Roman" w:hAnsi="Times New Roman" w:cs="Times New Roman"/>
          <w:b/>
          <w:sz w:val="24"/>
          <w:szCs w:val="24"/>
        </w:rPr>
        <w:t>– Information publication</w:t>
      </w:r>
    </w:p>
    <w:p w14:paraId="7D3F5D70" w14:textId="77777777" w:rsidR="00E43BCD" w:rsidRPr="00206628" w:rsidRDefault="00E43BCD" w:rsidP="00E43BC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This section ensures that the Secretary publishes key market information about the operation of the scheme</w:t>
      </w:r>
      <w:r w:rsidR="00852C7A" w:rsidRPr="00206628">
        <w:rPr>
          <w:rFonts w:ascii="Times New Roman" w:hAnsi="Times New Roman" w:cs="Times New Roman"/>
          <w:sz w:val="24"/>
          <w:szCs w:val="24"/>
        </w:rPr>
        <w:t xml:space="preserve"> for transparency</w:t>
      </w:r>
      <w:r w:rsidRPr="00206628">
        <w:rPr>
          <w:rFonts w:ascii="Times New Roman" w:hAnsi="Times New Roman" w:cs="Times New Roman"/>
          <w:sz w:val="24"/>
          <w:szCs w:val="24"/>
        </w:rPr>
        <w:t>.</w:t>
      </w:r>
    </w:p>
    <w:p w14:paraId="02F095CA" w14:textId="50A941EE" w:rsidR="00852C7A" w:rsidRPr="00206628" w:rsidRDefault="00E43BCD" w:rsidP="00E43BC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7049D" w:rsidRPr="00206628">
        <w:rPr>
          <w:rFonts w:ascii="Times New Roman" w:hAnsi="Times New Roman" w:cs="Times New Roman"/>
          <w:sz w:val="24"/>
          <w:szCs w:val="24"/>
        </w:rPr>
        <w:t>43</w:t>
      </w:r>
      <w:r w:rsidRPr="00206628">
        <w:rPr>
          <w:rFonts w:ascii="Times New Roman" w:hAnsi="Times New Roman" w:cs="Times New Roman"/>
          <w:sz w:val="24"/>
          <w:szCs w:val="24"/>
        </w:rPr>
        <w:t xml:space="preserve">(1) </w:t>
      </w:r>
      <w:r w:rsidR="00EC33FB" w:rsidRPr="00206628">
        <w:rPr>
          <w:rFonts w:ascii="Times New Roman" w:hAnsi="Times New Roman" w:cs="Times New Roman"/>
          <w:sz w:val="24"/>
          <w:szCs w:val="24"/>
        </w:rPr>
        <w:t xml:space="preserve">of the Rules </w:t>
      </w:r>
      <w:r w:rsidRPr="00206628">
        <w:rPr>
          <w:rFonts w:ascii="Times New Roman" w:hAnsi="Times New Roman" w:cs="Times New Roman"/>
          <w:sz w:val="24"/>
          <w:szCs w:val="24"/>
        </w:rPr>
        <w:t xml:space="preserve">requires that before 1 </w:t>
      </w:r>
      <w:r w:rsidR="00EC33FB" w:rsidRPr="00206628">
        <w:rPr>
          <w:rFonts w:ascii="Times New Roman" w:hAnsi="Times New Roman" w:cs="Times New Roman"/>
          <w:sz w:val="24"/>
          <w:szCs w:val="24"/>
        </w:rPr>
        <w:t xml:space="preserve">July </w:t>
      </w:r>
      <w:r w:rsidR="009C57D4" w:rsidRPr="00206628">
        <w:rPr>
          <w:rFonts w:ascii="Times New Roman" w:hAnsi="Times New Roman" w:cs="Times New Roman"/>
          <w:sz w:val="24"/>
          <w:szCs w:val="24"/>
        </w:rPr>
        <w:t>each year</w:t>
      </w:r>
      <w:r w:rsidRPr="00206628">
        <w:rPr>
          <w:rFonts w:ascii="Times New Roman" w:hAnsi="Times New Roman" w:cs="Times New Roman"/>
          <w:sz w:val="24"/>
          <w:szCs w:val="24"/>
        </w:rPr>
        <w:t>, the Secretary must publish</w:t>
      </w:r>
      <w:r w:rsidR="00852C7A" w:rsidRPr="00206628">
        <w:rPr>
          <w:rFonts w:ascii="Times New Roman" w:hAnsi="Times New Roman" w:cs="Times New Roman"/>
          <w:sz w:val="24"/>
          <w:szCs w:val="24"/>
        </w:rPr>
        <w:t>:</w:t>
      </w:r>
    </w:p>
    <w:p w14:paraId="62AF22D9" w14:textId="77777777" w:rsidR="00852C7A" w:rsidRPr="00206628" w:rsidRDefault="00E43BCD" w:rsidP="0037564F">
      <w:pPr>
        <w:pStyle w:val="ListParagraph"/>
        <w:numPr>
          <w:ilvl w:val="0"/>
          <w:numId w:val="5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the number of entities subject t</w:t>
      </w:r>
      <w:r w:rsidR="00852C7A" w:rsidRPr="00206628">
        <w:rPr>
          <w:rFonts w:ascii="Times New Roman" w:hAnsi="Times New Roman" w:cs="Times New Roman"/>
          <w:sz w:val="24"/>
          <w:szCs w:val="24"/>
        </w:rPr>
        <w:t>o the MSO for each MSO product; and</w:t>
      </w:r>
    </w:p>
    <w:p w14:paraId="73D8CF13" w14:textId="77777777" w:rsidR="00852C7A" w:rsidRPr="00206628" w:rsidRDefault="00E43BCD" w:rsidP="0037564F">
      <w:pPr>
        <w:pStyle w:val="ListParagraph"/>
        <w:numPr>
          <w:ilvl w:val="0"/>
          <w:numId w:val="5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 total </w:t>
      </w:r>
      <w:r w:rsidR="00B7049D" w:rsidRPr="00206628">
        <w:rPr>
          <w:rFonts w:ascii="Times New Roman" w:hAnsi="Times New Roman" w:cs="Times New Roman"/>
          <w:sz w:val="24"/>
          <w:szCs w:val="24"/>
        </w:rPr>
        <w:t xml:space="preserve">volume in </w:t>
      </w:r>
      <w:r w:rsidRPr="00206628">
        <w:rPr>
          <w:rFonts w:ascii="Times New Roman" w:hAnsi="Times New Roman" w:cs="Times New Roman"/>
          <w:sz w:val="24"/>
          <w:szCs w:val="24"/>
        </w:rPr>
        <w:t xml:space="preserve">ML of product </w:t>
      </w:r>
      <w:r w:rsidR="009C57D4" w:rsidRPr="00206628">
        <w:rPr>
          <w:rFonts w:ascii="Times New Roman" w:hAnsi="Times New Roman" w:cs="Times New Roman"/>
          <w:sz w:val="24"/>
          <w:szCs w:val="24"/>
        </w:rPr>
        <w:t>required to be held on the first obligation day of the financial year</w:t>
      </w:r>
      <w:r w:rsidR="00852C7A" w:rsidRPr="00206628">
        <w:rPr>
          <w:rFonts w:ascii="Times New Roman" w:hAnsi="Times New Roman" w:cs="Times New Roman"/>
          <w:sz w:val="24"/>
          <w:szCs w:val="24"/>
        </w:rPr>
        <w:t>;</w:t>
      </w:r>
      <w:r w:rsidR="009C57D4" w:rsidRPr="00206628">
        <w:rPr>
          <w:rFonts w:ascii="Times New Roman" w:hAnsi="Times New Roman" w:cs="Times New Roman"/>
          <w:sz w:val="24"/>
          <w:szCs w:val="24"/>
        </w:rPr>
        <w:t xml:space="preserve"> and </w:t>
      </w:r>
    </w:p>
    <w:p w14:paraId="5F8D007D" w14:textId="77777777" w:rsidR="00852C7A" w:rsidRPr="00206628" w:rsidRDefault="009C57D4" w:rsidP="0037564F">
      <w:pPr>
        <w:pStyle w:val="ListParagraph"/>
        <w:numPr>
          <w:ilvl w:val="0"/>
          <w:numId w:val="53"/>
        </w:num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an aggregated percentage estimate of all importing and refined </w:t>
      </w:r>
      <w:r w:rsidR="00852C7A" w:rsidRPr="00206628">
        <w:rPr>
          <w:rFonts w:ascii="Times New Roman" w:hAnsi="Times New Roman" w:cs="Times New Roman"/>
          <w:sz w:val="24"/>
          <w:szCs w:val="24"/>
        </w:rPr>
        <w:t>MSO product captured by the scheme in order to compare it against the policy objective of capturing 98% of each fuel supplied to the Australian market.</w:t>
      </w:r>
      <w:r w:rsidR="00E43BCD" w:rsidRPr="00206628">
        <w:rPr>
          <w:rFonts w:ascii="Times New Roman" w:hAnsi="Times New Roman" w:cs="Times New Roman"/>
          <w:sz w:val="24"/>
          <w:szCs w:val="24"/>
        </w:rPr>
        <w:t xml:space="preserve"> </w:t>
      </w:r>
      <w:r w:rsidR="00852C7A" w:rsidRPr="00206628">
        <w:rPr>
          <w:rFonts w:ascii="Times New Roman" w:hAnsi="Times New Roman" w:cs="Times New Roman"/>
          <w:sz w:val="24"/>
          <w:szCs w:val="24"/>
        </w:rPr>
        <w:t xml:space="preserve">This calculation will be based upon the volumes of each MSO product imported and refined by entities subject to the MSO in the previous financial year. </w:t>
      </w:r>
    </w:p>
    <w:p w14:paraId="3F58AD87" w14:textId="77777777" w:rsidR="00852C7A" w:rsidRPr="00206628" w:rsidRDefault="00852C7A" w:rsidP="00852C7A">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These figures will be published on the Department’s website. </w:t>
      </w:r>
    </w:p>
    <w:p w14:paraId="4805E005" w14:textId="0853183D" w:rsidR="00E43BCD" w:rsidRPr="00206628" w:rsidRDefault="00E43BCD" w:rsidP="00E43BC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w:t>
      </w:r>
      <w:r w:rsidR="00B7049D" w:rsidRPr="00206628">
        <w:rPr>
          <w:rFonts w:ascii="Times New Roman" w:hAnsi="Times New Roman" w:cs="Times New Roman"/>
          <w:sz w:val="24"/>
          <w:szCs w:val="24"/>
        </w:rPr>
        <w:t>43</w:t>
      </w:r>
      <w:r w:rsidRPr="00206628">
        <w:rPr>
          <w:rFonts w:ascii="Times New Roman" w:hAnsi="Times New Roman" w:cs="Times New Roman"/>
          <w:sz w:val="24"/>
          <w:szCs w:val="24"/>
        </w:rPr>
        <w:t xml:space="preserve">(2) allows the Secretary to publish general information about decisions to suspend the MSO or grant temporary reductions. Such general information would include who was issued such decisions, but not the quality of the reductions approved or information that would be commercially sensitive.  </w:t>
      </w:r>
    </w:p>
    <w:p w14:paraId="247000B3" w14:textId="76D5884A" w:rsidR="00B7049D" w:rsidRPr="00206628" w:rsidRDefault="00B7049D" w:rsidP="00E43BCD">
      <w:pPr>
        <w:spacing w:before="240" w:after="100" w:afterAutospacing="1"/>
        <w:rPr>
          <w:rFonts w:ascii="Times New Roman" w:hAnsi="Times New Roman" w:cs="Times New Roman"/>
          <w:sz w:val="24"/>
          <w:szCs w:val="24"/>
        </w:rPr>
      </w:pPr>
      <w:r w:rsidRPr="00206628">
        <w:rPr>
          <w:rFonts w:ascii="Times New Roman" w:hAnsi="Times New Roman" w:cs="Times New Roman"/>
          <w:sz w:val="24"/>
          <w:szCs w:val="24"/>
        </w:rPr>
        <w:t xml:space="preserve">Subsection 43(3) makes it clear that, consistent with the prohibitions on publication of certain kinds of sensitive information applying under subsection 16(3) of the POFR Act, any information likely to enable the identification of an individual, or commercial in confidence information, </w:t>
      </w:r>
      <w:r w:rsidR="00302F17" w:rsidRPr="00206628">
        <w:rPr>
          <w:rFonts w:ascii="Times New Roman" w:hAnsi="Times New Roman" w:cs="Times New Roman"/>
          <w:sz w:val="24"/>
          <w:szCs w:val="24"/>
        </w:rPr>
        <w:t>must not</w:t>
      </w:r>
      <w:r w:rsidRPr="00206628">
        <w:rPr>
          <w:rFonts w:ascii="Times New Roman" w:hAnsi="Times New Roman" w:cs="Times New Roman"/>
          <w:sz w:val="24"/>
          <w:szCs w:val="24"/>
        </w:rPr>
        <w:t xml:space="preserve"> be </w:t>
      </w:r>
      <w:r w:rsidR="00302F17" w:rsidRPr="00206628">
        <w:rPr>
          <w:rFonts w:ascii="Times New Roman" w:hAnsi="Times New Roman" w:cs="Times New Roman"/>
          <w:sz w:val="24"/>
          <w:szCs w:val="24"/>
        </w:rPr>
        <w:t xml:space="preserve">caused to be </w:t>
      </w:r>
      <w:r w:rsidRPr="00206628">
        <w:rPr>
          <w:rFonts w:ascii="Times New Roman" w:hAnsi="Times New Roman" w:cs="Times New Roman"/>
          <w:sz w:val="24"/>
          <w:szCs w:val="24"/>
        </w:rPr>
        <w:t xml:space="preserve">published under this section.  </w:t>
      </w:r>
    </w:p>
    <w:p w14:paraId="77D7A78B" w14:textId="77777777" w:rsidR="00E43BCD" w:rsidRPr="00206628" w:rsidRDefault="00E43BCD" w:rsidP="00E43BCD">
      <w:pPr>
        <w:spacing w:before="240" w:after="100" w:afterAutospacing="1"/>
        <w:rPr>
          <w:color w:val="2E74B5" w:themeColor="accent1" w:themeShade="BF"/>
        </w:rPr>
      </w:pPr>
    </w:p>
    <w:p w14:paraId="27437B81" w14:textId="77777777" w:rsidR="00692939" w:rsidRPr="00206628" w:rsidRDefault="00692939">
      <w:r w:rsidRPr="00206628">
        <w:br w:type="page"/>
      </w:r>
    </w:p>
    <w:p w14:paraId="62E5CF04" w14:textId="77777777" w:rsidR="003349F0" w:rsidRPr="00D67142" w:rsidRDefault="003349F0" w:rsidP="009111CC">
      <w:pPr>
        <w:spacing w:before="360" w:after="120"/>
        <w:jc w:val="right"/>
        <w:rPr>
          <w:rFonts w:ascii="Times New Roman" w:hAnsi="Times New Roman" w:cs="Times New Roman"/>
          <w:b/>
          <w:sz w:val="24"/>
          <w:szCs w:val="24"/>
        </w:rPr>
      </w:pPr>
      <w:r w:rsidRPr="00D67142">
        <w:rPr>
          <w:rFonts w:ascii="Times New Roman" w:hAnsi="Times New Roman" w:cs="Times New Roman"/>
          <w:b/>
          <w:sz w:val="24"/>
          <w:szCs w:val="24"/>
        </w:rPr>
        <w:lastRenderedPageBreak/>
        <w:t xml:space="preserve">Attachment </w:t>
      </w:r>
      <w:r w:rsidR="008F6ECB" w:rsidRPr="00D67142">
        <w:rPr>
          <w:rFonts w:ascii="Times New Roman" w:hAnsi="Times New Roman" w:cs="Times New Roman"/>
          <w:b/>
          <w:sz w:val="24"/>
          <w:szCs w:val="24"/>
        </w:rPr>
        <w:t>B</w:t>
      </w:r>
    </w:p>
    <w:p w14:paraId="2543AD6A" w14:textId="77777777" w:rsidR="00692939" w:rsidRPr="00206628" w:rsidRDefault="00692939" w:rsidP="00692939">
      <w:pPr>
        <w:spacing w:before="360" w:after="120"/>
        <w:jc w:val="center"/>
        <w:rPr>
          <w:rFonts w:ascii="Times New Roman" w:hAnsi="Times New Roman" w:cs="Times New Roman"/>
          <w:b/>
          <w:sz w:val="28"/>
          <w:szCs w:val="28"/>
        </w:rPr>
      </w:pPr>
      <w:r w:rsidRPr="00206628">
        <w:rPr>
          <w:rFonts w:ascii="Times New Roman" w:hAnsi="Times New Roman" w:cs="Times New Roman"/>
          <w:b/>
          <w:sz w:val="28"/>
          <w:szCs w:val="28"/>
        </w:rPr>
        <w:t>Statement of Compatibility with Human Rights</w:t>
      </w:r>
    </w:p>
    <w:p w14:paraId="306070A2" w14:textId="77777777" w:rsidR="00692939" w:rsidRPr="00206628" w:rsidRDefault="00692939" w:rsidP="00692939">
      <w:pPr>
        <w:spacing w:before="240" w:after="240"/>
        <w:jc w:val="center"/>
        <w:rPr>
          <w:rFonts w:ascii="Times New Roman" w:hAnsi="Times New Roman" w:cs="Times New Roman"/>
          <w:sz w:val="24"/>
          <w:szCs w:val="24"/>
        </w:rPr>
      </w:pPr>
      <w:r w:rsidRPr="00206628">
        <w:rPr>
          <w:rFonts w:ascii="Times New Roman" w:hAnsi="Times New Roman" w:cs="Times New Roman"/>
          <w:i/>
          <w:sz w:val="24"/>
          <w:szCs w:val="24"/>
        </w:rPr>
        <w:t>Prepared in accordance with Part 3 of the Human Rights (Parliamentary Scrutiny) Act 2011</w:t>
      </w:r>
    </w:p>
    <w:p w14:paraId="7ECDC85F" w14:textId="77777777" w:rsidR="00692939" w:rsidRPr="00206628" w:rsidRDefault="00692939" w:rsidP="00692939">
      <w:pPr>
        <w:spacing w:before="240" w:after="240"/>
        <w:jc w:val="center"/>
        <w:rPr>
          <w:rFonts w:ascii="Times New Roman" w:hAnsi="Times New Roman" w:cs="Times New Roman"/>
          <w:i/>
          <w:sz w:val="24"/>
          <w:szCs w:val="24"/>
        </w:rPr>
      </w:pPr>
      <w:r w:rsidRPr="00206628">
        <w:rPr>
          <w:rFonts w:ascii="Times New Roman" w:hAnsi="Times New Roman" w:cs="Times New Roman"/>
          <w:i/>
          <w:sz w:val="24"/>
          <w:szCs w:val="24"/>
        </w:rPr>
        <w:t>Fuel Security (Minimum Stockholding Obligation) Rules 2022</w:t>
      </w:r>
    </w:p>
    <w:p w14:paraId="378CD654" w14:textId="77777777" w:rsidR="00692939" w:rsidRPr="00206628" w:rsidRDefault="0090624E" w:rsidP="00692939">
      <w:pPr>
        <w:spacing w:before="240" w:after="240"/>
        <w:jc w:val="center"/>
        <w:rPr>
          <w:rFonts w:ascii="Times New Roman" w:hAnsi="Times New Roman" w:cs="Times New Roman"/>
          <w:sz w:val="24"/>
          <w:szCs w:val="24"/>
        </w:rPr>
      </w:pPr>
      <w:r w:rsidRPr="00206628">
        <w:rPr>
          <w:rFonts w:ascii="Times New Roman" w:hAnsi="Times New Roman" w:cs="Times New Roman"/>
          <w:sz w:val="24"/>
          <w:szCs w:val="24"/>
        </w:rPr>
        <w:t>This instrument</w:t>
      </w:r>
      <w:r w:rsidR="00692939" w:rsidRPr="00206628">
        <w:rPr>
          <w:rFonts w:ascii="Times New Roman" w:hAnsi="Times New Roman" w:cs="Times New Roman"/>
          <w:sz w:val="24"/>
          <w:szCs w:val="24"/>
        </w:rPr>
        <w:t xml:space="preserve"> is compatible with the human rights and freedoms recognised or declared in the international instruments listed in section 3 of the </w:t>
      </w:r>
      <w:r w:rsidR="00692939" w:rsidRPr="00206628">
        <w:rPr>
          <w:rFonts w:ascii="Times New Roman" w:hAnsi="Times New Roman" w:cs="Times New Roman"/>
          <w:i/>
          <w:sz w:val="24"/>
          <w:szCs w:val="24"/>
        </w:rPr>
        <w:t>Human Rights (Parliamentary Scrutiny) Act 2011</w:t>
      </w:r>
      <w:r w:rsidR="00692939" w:rsidRPr="00206628">
        <w:rPr>
          <w:rFonts w:ascii="Times New Roman" w:hAnsi="Times New Roman" w:cs="Times New Roman"/>
          <w:sz w:val="24"/>
          <w:szCs w:val="24"/>
        </w:rPr>
        <w:t>.</w:t>
      </w:r>
    </w:p>
    <w:p w14:paraId="31072B0F" w14:textId="77777777" w:rsidR="00692939" w:rsidRPr="00206628" w:rsidRDefault="00692939" w:rsidP="00692939">
      <w:pPr>
        <w:spacing w:before="240" w:after="0"/>
        <w:jc w:val="both"/>
        <w:rPr>
          <w:rFonts w:ascii="Times New Roman" w:hAnsi="Times New Roman" w:cs="Times New Roman"/>
          <w:b/>
          <w:sz w:val="24"/>
          <w:szCs w:val="24"/>
        </w:rPr>
      </w:pPr>
      <w:r w:rsidRPr="00206628">
        <w:rPr>
          <w:rFonts w:ascii="Times New Roman" w:hAnsi="Times New Roman" w:cs="Times New Roman"/>
          <w:b/>
          <w:sz w:val="24"/>
          <w:szCs w:val="24"/>
        </w:rPr>
        <w:t>Overview of the Legislative Instrument</w:t>
      </w:r>
    </w:p>
    <w:p w14:paraId="7B0BB06B" w14:textId="77777777" w:rsidR="00692939" w:rsidRPr="00206628" w:rsidRDefault="00692939" w:rsidP="00692939">
      <w:pPr>
        <w:spacing w:after="120"/>
        <w:rPr>
          <w:rFonts w:ascii="Times New Roman" w:hAnsi="Times New Roman" w:cs="Times New Roman"/>
          <w:sz w:val="24"/>
          <w:szCs w:val="24"/>
        </w:rPr>
      </w:pPr>
      <w:r w:rsidRPr="00206628">
        <w:rPr>
          <w:rFonts w:ascii="Times New Roman" w:hAnsi="Times New Roman" w:cs="Times New Roman"/>
          <w:sz w:val="24"/>
          <w:szCs w:val="24"/>
        </w:rPr>
        <w:t xml:space="preserve">The </w:t>
      </w:r>
      <w:r w:rsidRPr="00206628">
        <w:rPr>
          <w:rFonts w:ascii="Times New Roman" w:hAnsi="Times New Roman" w:cs="Times New Roman"/>
          <w:i/>
          <w:sz w:val="24"/>
          <w:szCs w:val="24"/>
        </w:rPr>
        <w:t>Fuel Security (Minimum Stockholding Obligation) Rules 2022</w:t>
      </w:r>
      <w:r w:rsidRPr="00206628">
        <w:rPr>
          <w:rFonts w:ascii="Times New Roman" w:hAnsi="Times New Roman" w:cs="Times New Roman"/>
          <w:sz w:val="24"/>
          <w:szCs w:val="24"/>
        </w:rPr>
        <w:t xml:space="preserve"> (the Rule</w:t>
      </w:r>
      <w:r w:rsidR="004D5AEE" w:rsidRPr="00206628">
        <w:rPr>
          <w:rFonts w:ascii="Times New Roman" w:hAnsi="Times New Roman" w:cs="Times New Roman"/>
          <w:sz w:val="24"/>
          <w:szCs w:val="24"/>
        </w:rPr>
        <w:t>s</w:t>
      </w:r>
      <w:r w:rsidRPr="00206628">
        <w:rPr>
          <w:rFonts w:ascii="Times New Roman" w:hAnsi="Times New Roman" w:cs="Times New Roman"/>
          <w:sz w:val="24"/>
          <w:szCs w:val="24"/>
        </w:rPr>
        <w:t xml:space="preserve">) prescribes various technical and administrative matters for the purposes of the minimum stockholding obligation (MSO) aspects (primarily under Part 2) of the </w:t>
      </w:r>
      <w:r w:rsidRPr="00206628">
        <w:rPr>
          <w:rFonts w:ascii="Times New Roman" w:hAnsi="Times New Roman" w:cs="Times New Roman"/>
          <w:i/>
          <w:sz w:val="24"/>
          <w:szCs w:val="24"/>
        </w:rPr>
        <w:t>Fuel Security Act 2021</w:t>
      </w:r>
      <w:r w:rsidR="004D5AEE" w:rsidRPr="00206628">
        <w:rPr>
          <w:rFonts w:ascii="Times New Roman" w:hAnsi="Times New Roman" w:cs="Times New Roman"/>
          <w:sz w:val="24"/>
          <w:szCs w:val="24"/>
        </w:rPr>
        <w:t xml:space="preserve"> (the Act). In particular, the</w:t>
      </w:r>
      <w:r w:rsidRPr="00206628">
        <w:rPr>
          <w:rFonts w:ascii="Times New Roman" w:hAnsi="Times New Roman" w:cs="Times New Roman"/>
          <w:sz w:val="24"/>
          <w:szCs w:val="24"/>
        </w:rPr>
        <w:t xml:space="preserve"> Rule</w:t>
      </w:r>
      <w:r w:rsidR="004D5AEE" w:rsidRPr="00206628">
        <w:rPr>
          <w:rFonts w:ascii="Times New Roman" w:hAnsi="Times New Roman" w:cs="Times New Roman"/>
          <w:sz w:val="24"/>
          <w:szCs w:val="24"/>
        </w:rPr>
        <w:t>s</w:t>
      </w:r>
      <w:r w:rsidRPr="00206628">
        <w:rPr>
          <w:rFonts w:ascii="Times New Roman" w:hAnsi="Times New Roman" w:cs="Times New Roman"/>
          <w:sz w:val="24"/>
          <w:szCs w:val="24"/>
        </w:rPr>
        <w:t xml:space="preserve"> prescribes requirements for:</w:t>
      </w:r>
    </w:p>
    <w:p w14:paraId="0A7BEE23" w14:textId="77777777" w:rsidR="00692939" w:rsidRPr="00206628" w:rsidRDefault="00692939" w:rsidP="00692939">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the start date of the MSO scheme;</w:t>
      </w:r>
    </w:p>
    <w:p w14:paraId="4F6B7288" w14:textId="77777777" w:rsidR="00692939" w:rsidRPr="00206628" w:rsidRDefault="00692939" w:rsidP="00692939">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triggering the MSO, including:</w:t>
      </w:r>
    </w:p>
    <w:p w14:paraId="68159FA0" w14:textId="77777777" w:rsidR="00692939" w:rsidRPr="00206628" w:rsidRDefault="00692939" w:rsidP="00692939">
      <w:pPr>
        <w:numPr>
          <w:ilvl w:val="1"/>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thresholds to trigger the MSO; and</w:t>
      </w:r>
    </w:p>
    <w:p w14:paraId="20999D43" w14:textId="77777777" w:rsidR="00692939" w:rsidRPr="00206628" w:rsidRDefault="00692939" w:rsidP="00692939">
      <w:pPr>
        <w:numPr>
          <w:ilvl w:val="1"/>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trigger assessment periods;</w:t>
      </w:r>
    </w:p>
    <w:p w14:paraId="4032C88A" w14:textId="77777777" w:rsidR="00692939" w:rsidRPr="00206628" w:rsidRDefault="00692939" w:rsidP="00692939">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calculating designated quantities of MSO products;</w:t>
      </w:r>
    </w:p>
    <w:p w14:paraId="77442E9F" w14:textId="77777777" w:rsidR="00692939" w:rsidRPr="00206628" w:rsidRDefault="00692939" w:rsidP="00692939">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“obligation days” on which designated quantities of MSO products must be held;</w:t>
      </w:r>
    </w:p>
    <w:p w14:paraId="0DBD7776" w14:textId="77777777" w:rsidR="00692939" w:rsidRPr="00206628" w:rsidRDefault="00692939" w:rsidP="00692939">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making an application to temporarily reduce or suspend the MSO; </w:t>
      </w:r>
    </w:p>
    <w:p w14:paraId="389C9A59" w14:textId="77777777" w:rsidR="00692939" w:rsidRPr="00206628" w:rsidRDefault="00692939" w:rsidP="00692939">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meeting the definition of an “MSO product” and stock holding under the Act;</w:t>
      </w:r>
    </w:p>
    <w:p w14:paraId="6ADA0FD0" w14:textId="77777777" w:rsidR="00692939" w:rsidRPr="00206628" w:rsidRDefault="00692939" w:rsidP="00692939">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reporting by regulated entities of the MSO; and</w:t>
      </w:r>
    </w:p>
    <w:p w14:paraId="4A9D8357" w14:textId="77777777" w:rsidR="00692939" w:rsidRPr="00206628" w:rsidRDefault="00692939" w:rsidP="00692939">
      <w:pPr>
        <w:numPr>
          <w:ilvl w:val="0"/>
          <w:numId w:val="1"/>
        </w:numPr>
        <w:spacing w:before="120" w:after="120" w:line="276" w:lineRule="auto"/>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 xml:space="preserve">information in an entity’s MSO compliance plan. </w:t>
      </w:r>
    </w:p>
    <w:p w14:paraId="17C48649" w14:textId="77777777" w:rsidR="00692939" w:rsidRPr="00206628" w:rsidRDefault="007F05EF" w:rsidP="007F05EF">
      <w:pPr>
        <w:tabs>
          <w:tab w:val="left" w:pos="1830"/>
        </w:tabs>
        <w:spacing w:before="120" w:after="120" w:line="276" w:lineRule="auto"/>
        <w:ind w:left="720"/>
        <w:contextualSpacing/>
        <w:rPr>
          <w:rFonts w:ascii="Times New Roman" w:eastAsia="Calibri" w:hAnsi="Times New Roman" w:cs="Times New Roman"/>
          <w:sz w:val="24"/>
          <w:szCs w:val="24"/>
        </w:rPr>
      </w:pPr>
      <w:r w:rsidRPr="00206628">
        <w:rPr>
          <w:rFonts w:ascii="Times New Roman" w:eastAsia="Calibri" w:hAnsi="Times New Roman" w:cs="Times New Roman"/>
          <w:sz w:val="24"/>
          <w:szCs w:val="24"/>
        </w:rPr>
        <w:tab/>
      </w:r>
    </w:p>
    <w:p w14:paraId="696064A6" w14:textId="78DA7E8F" w:rsidR="00E22FAF" w:rsidRPr="00206628" w:rsidRDefault="00E22FAF" w:rsidP="00E22FAF">
      <w:pPr>
        <w:spacing w:before="2" w:line="317" w:lineRule="exact"/>
        <w:textAlignment w:val="baseline"/>
        <w:rPr>
          <w:rFonts w:ascii="Times New Roman" w:hAnsi="Times New Roman" w:cs="Times New Roman"/>
          <w:sz w:val="24"/>
          <w:szCs w:val="24"/>
        </w:rPr>
      </w:pPr>
      <w:r w:rsidRPr="00206628">
        <w:rPr>
          <w:rFonts w:ascii="Times New Roman" w:hAnsi="Times New Roman" w:cs="Times New Roman"/>
          <w:sz w:val="24"/>
          <w:szCs w:val="24"/>
        </w:rPr>
        <w:t>As set out in the explanatory memorandum to the Fuel Security Bill 2021 which became the Act, Part 2 of the Act establishes a national level obligation for corporate entities that undertake certain activities (generally, importing and refining) in relation to certain transport fuels to hold a minimum quantity of those fuels nationally. The Minister for Climate Change and Energy (the Minister) has set a national consumption day target</w:t>
      </w:r>
      <w:r w:rsidR="00605645" w:rsidRPr="00206628">
        <w:t xml:space="preserve"> </w:t>
      </w:r>
      <w:r w:rsidR="00605645" w:rsidRPr="00206628">
        <w:rPr>
          <w:rFonts w:ascii="Times New Roman" w:hAnsi="Times New Roman" w:cs="Times New Roman"/>
          <w:sz w:val="24"/>
          <w:szCs w:val="24"/>
        </w:rPr>
        <w:t xml:space="preserve">under the </w:t>
      </w:r>
      <w:r w:rsidR="00605645" w:rsidRPr="00206628">
        <w:rPr>
          <w:rFonts w:ascii="Times New Roman" w:hAnsi="Times New Roman" w:cs="Times New Roman"/>
          <w:i/>
          <w:sz w:val="24"/>
          <w:szCs w:val="24"/>
        </w:rPr>
        <w:t xml:space="preserve">Fuel Security (Target </w:t>
      </w:r>
      <w:r w:rsidR="00533E21" w:rsidRPr="00206628">
        <w:rPr>
          <w:rFonts w:ascii="Times New Roman" w:hAnsi="Times New Roman" w:cs="Times New Roman"/>
          <w:i/>
          <w:sz w:val="24"/>
          <w:szCs w:val="24"/>
        </w:rPr>
        <w:t xml:space="preserve">Number of </w:t>
      </w:r>
      <w:r w:rsidR="00605645" w:rsidRPr="00206628">
        <w:rPr>
          <w:rFonts w:ascii="Times New Roman" w:hAnsi="Times New Roman" w:cs="Times New Roman"/>
          <w:i/>
          <w:sz w:val="24"/>
          <w:szCs w:val="24"/>
        </w:rPr>
        <w:t>Days) Declaration 2022</w:t>
      </w:r>
      <w:r w:rsidR="00605645" w:rsidRPr="00206628">
        <w:rPr>
          <w:rFonts w:ascii="Times New Roman" w:hAnsi="Times New Roman" w:cs="Times New Roman"/>
          <w:sz w:val="24"/>
          <w:szCs w:val="24"/>
        </w:rPr>
        <w:t>. Each</w:t>
      </w:r>
      <w:r w:rsidRPr="00206628">
        <w:rPr>
          <w:rFonts w:ascii="Times New Roman" w:hAnsi="Times New Roman" w:cs="Times New Roman"/>
          <w:sz w:val="24"/>
          <w:szCs w:val="24"/>
        </w:rPr>
        <w:t xml:space="preserve"> entity will have a specific MSO determined by reference to the national target and their historical operations. The major transport fuels are gasoline, diesel and kerosene. Gasoline and kerosene MSOs have been set at the average of the 2018 and 2019 calendar years (pre-COVID-19) levels, and the diesel MSO has been increased by 40% on pre-COVID-19 levels from mid-2024. Consistent with subsection 14(4) of the Act, Part 4 of the Rules takes into account the </w:t>
      </w:r>
      <w:r w:rsidRPr="00206628">
        <w:rPr>
          <w:rFonts w:ascii="Times New Roman" w:hAnsi="Times New Roman" w:cs="Times New Roman"/>
          <w:i/>
          <w:sz w:val="24"/>
          <w:szCs w:val="24"/>
        </w:rPr>
        <w:t>Fuel Security (Target</w:t>
      </w:r>
      <w:r w:rsidR="00533E21" w:rsidRPr="00206628">
        <w:rPr>
          <w:rFonts w:ascii="Times New Roman" w:hAnsi="Times New Roman" w:cs="Times New Roman"/>
          <w:i/>
          <w:sz w:val="24"/>
          <w:szCs w:val="24"/>
        </w:rPr>
        <w:t xml:space="preserve"> Number of </w:t>
      </w:r>
      <w:r w:rsidRPr="00206628">
        <w:rPr>
          <w:rFonts w:ascii="Times New Roman" w:hAnsi="Times New Roman" w:cs="Times New Roman"/>
          <w:i/>
          <w:sz w:val="24"/>
          <w:szCs w:val="24"/>
        </w:rPr>
        <w:t>Days) Declaration 2022</w:t>
      </w:r>
      <w:r w:rsidRPr="00206628">
        <w:rPr>
          <w:rFonts w:ascii="Times New Roman" w:hAnsi="Times New Roman" w:cs="Times New Roman"/>
          <w:sz w:val="24"/>
          <w:szCs w:val="24"/>
        </w:rPr>
        <w:t xml:space="preserve"> by using the relevant target </w:t>
      </w:r>
      <w:r w:rsidR="00533E21" w:rsidRPr="00206628">
        <w:rPr>
          <w:rFonts w:ascii="Times New Roman" w:hAnsi="Times New Roman" w:cs="Times New Roman"/>
          <w:sz w:val="24"/>
          <w:szCs w:val="24"/>
        </w:rPr>
        <w:t xml:space="preserve">number of </w:t>
      </w:r>
      <w:r w:rsidRPr="00206628">
        <w:rPr>
          <w:rFonts w:ascii="Times New Roman" w:hAnsi="Times New Roman" w:cs="Times New Roman"/>
          <w:sz w:val="24"/>
          <w:szCs w:val="24"/>
        </w:rPr>
        <w:t>days in the calculation of the designated quantities for subsections 10(3), 15(3) and 16(3) of the Act.</w:t>
      </w:r>
    </w:p>
    <w:p w14:paraId="19BC2FDE" w14:textId="03B0A3E6" w:rsidR="00692939" w:rsidRPr="00206628" w:rsidRDefault="00692939" w:rsidP="00692939">
      <w:pPr>
        <w:spacing w:before="2" w:line="317" w:lineRule="exact"/>
        <w:textAlignment w:val="baseline"/>
        <w:rPr>
          <w:rFonts w:ascii="Times New Roman" w:hAnsi="Times New Roman" w:cs="Times New Roman"/>
          <w:sz w:val="24"/>
          <w:szCs w:val="24"/>
        </w:rPr>
      </w:pPr>
      <w:r w:rsidRPr="00206628">
        <w:rPr>
          <w:rFonts w:ascii="Times New Roman" w:hAnsi="Times New Roman" w:cs="Times New Roman"/>
          <w:sz w:val="24"/>
          <w:szCs w:val="24"/>
        </w:rPr>
        <w:t>Given the thresholds prescribed by section 17 of the Rule</w:t>
      </w:r>
      <w:r w:rsidR="00E22FAF" w:rsidRPr="00206628">
        <w:rPr>
          <w:rFonts w:ascii="Times New Roman" w:hAnsi="Times New Roman" w:cs="Times New Roman"/>
          <w:sz w:val="24"/>
          <w:szCs w:val="24"/>
        </w:rPr>
        <w:t>s</w:t>
      </w:r>
      <w:r w:rsidRPr="00206628">
        <w:rPr>
          <w:rFonts w:ascii="Times New Roman" w:hAnsi="Times New Roman" w:cs="Times New Roman"/>
          <w:sz w:val="24"/>
          <w:szCs w:val="24"/>
        </w:rPr>
        <w:t xml:space="preserve"> and the definition of </w:t>
      </w:r>
      <w:r w:rsidR="00017BBA" w:rsidRPr="00206628">
        <w:rPr>
          <w:rFonts w:ascii="Times New Roman" w:hAnsi="Times New Roman" w:cs="Times New Roman"/>
          <w:sz w:val="24"/>
          <w:szCs w:val="24"/>
        </w:rPr>
        <w:t>“</w:t>
      </w:r>
      <w:r w:rsidRPr="00206628">
        <w:rPr>
          <w:rFonts w:ascii="Times New Roman" w:hAnsi="Times New Roman" w:cs="Times New Roman"/>
          <w:sz w:val="24"/>
          <w:szCs w:val="24"/>
        </w:rPr>
        <w:t>regulated entity</w:t>
      </w:r>
      <w:r w:rsidR="00017BBA" w:rsidRPr="00206628">
        <w:rPr>
          <w:rFonts w:ascii="Times New Roman" w:hAnsi="Times New Roman" w:cs="Times New Roman"/>
          <w:sz w:val="24"/>
          <w:szCs w:val="24"/>
        </w:rPr>
        <w:t>”</w:t>
      </w:r>
      <w:r w:rsidRPr="00206628">
        <w:rPr>
          <w:rFonts w:ascii="Times New Roman" w:hAnsi="Times New Roman" w:cs="Times New Roman"/>
          <w:sz w:val="24"/>
          <w:szCs w:val="24"/>
        </w:rPr>
        <w:t xml:space="preserve"> in the Act, the MSO will only capture activities by corporations and not individuals. </w:t>
      </w:r>
      <w:r w:rsidR="004C56EF" w:rsidRPr="00206628">
        <w:rPr>
          <w:rFonts w:ascii="Times New Roman" w:hAnsi="Times New Roman" w:cs="Times New Roman"/>
          <w:sz w:val="24"/>
          <w:szCs w:val="24"/>
        </w:rPr>
        <w:lastRenderedPageBreak/>
        <w:t xml:space="preserve">General human rights issues with the MSO are covered in the Statement of Compatibility with Human Rights included in the explanatory memorandum to the </w:t>
      </w:r>
      <w:r w:rsidR="00E22FAF" w:rsidRPr="00206628">
        <w:rPr>
          <w:rFonts w:ascii="Times New Roman" w:hAnsi="Times New Roman" w:cs="Times New Roman"/>
          <w:sz w:val="24"/>
          <w:szCs w:val="24"/>
        </w:rPr>
        <w:t>Fuel Security Bill 2021</w:t>
      </w:r>
      <w:r w:rsidR="004C56EF" w:rsidRPr="00206628">
        <w:rPr>
          <w:rFonts w:ascii="Times New Roman" w:hAnsi="Times New Roman" w:cs="Times New Roman"/>
          <w:sz w:val="24"/>
          <w:szCs w:val="24"/>
        </w:rPr>
        <w:t>.</w:t>
      </w:r>
    </w:p>
    <w:p w14:paraId="63851011" w14:textId="77777777" w:rsidR="00692939" w:rsidRPr="00206628" w:rsidRDefault="00692939" w:rsidP="00692939">
      <w:pPr>
        <w:spacing w:before="240" w:after="0"/>
        <w:rPr>
          <w:rFonts w:ascii="Times New Roman" w:hAnsi="Times New Roman" w:cs="Times New Roman"/>
          <w:b/>
          <w:sz w:val="24"/>
          <w:szCs w:val="24"/>
        </w:rPr>
      </w:pPr>
      <w:r w:rsidRPr="00206628">
        <w:rPr>
          <w:rFonts w:ascii="Times New Roman" w:hAnsi="Times New Roman" w:cs="Times New Roman"/>
          <w:b/>
          <w:sz w:val="24"/>
          <w:szCs w:val="24"/>
        </w:rPr>
        <w:t>Human rights implications</w:t>
      </w:r>
    </w:p>
    <w:p w14:paraId="02C653C4" w14:textId="77777777" w:rsidR="00692939" w:rsidRPr="00206628" w:rsidRDefault="0090624E" w:rsidP="00692939">
      <w:pPr>
        <w:spacing w:after="120" w:line="273" w:lineRule="exact"/>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The</w:t>
      </w:r>
      <w:r w:rsidR="00692939" w:rsidRPr="00206628">
        <w:rPr>
          <w:rFonts w:ascii="Times New Roman" w:eastAsia="Times New Roman" w:hAnsi="Times New Roman" w:cs="Times New Roman"/>
          <w:color w:val="000000"/>
          <w:sz w:val="24"/>
          <w:lang w:val="en-US"/>
        </w:rPr>
        <w:t xml:space="preserve"> Rule</w:t>
      </w:r>
      <w:r w:rsidRPr="00206628">
        <w:rPr>
          <w:rFonts w:ascii="Times New Roman" w:eastAsia="Times New Roman" w:hAnsi="Times New Roman" w:cs="Times New Roman"/>
          <w:color w:val="000000"/>
          <w:sz w:val="24"/>
          <w:lang w:val="en-US"/>
        </w:rPr>
        <w:t>s engage</w:t>
      </w:r>
      <w:r w:rsidR="00692939" w:rsidRPr="00206628">
        <w:rPr>
          <w:rFonts w:ascii="Times New Roman" w:eastAsia="Times New Roman" w:hAnsi="Times New Roman" w:cs="Times New Roman"/>
          <w:color w:val="000000"/>
          <w:sz w:val="24"/>
          <w:lang w:val="en-US"/>
        </w:rPr>
        <w:t>, or may engage, the following rights:</w:t>
      </w:r>
    </w:p>
    <w:p w14:paraId="0D8835C9" w14:textId="77777777" w:rsidR="00692939" w:rsidRPr="00206628" w:rsidRDefault="00692939" w:rsidP="0037564F">
      <w:pPr>
        <w:pStyle w:val="ListParagraph"/>
        <w:numPr>
          <w:ilvl w:val="0"/>
          <w:numId w:val="5"/>
        </w:numPr>
        <w:tabs>
          <w:tab w:val="left" w:pos="360"/>
          <w:tab w:val="left" w:pos="720"/>
        </w:tabs>
        <w:spacing w:before="19" w:after="0" w:line="317" w:lineRule="exact"/>
        <w:ind w:right="360"/>
        <w:textAlignment w:val="baseline"/>
        <w:rPr>
          <w:rFonts w:ascii="Times New Roman" w:eastAsia="Times New Roman" w:hAnsi="Times New Roman" w:cs="Times New Roman"/>
          <w:color w:val="000000"/>
          <w:spacing w:val="-1"/>
          <w:sz w:val="24"/>
          <w:lang w:val="en-US"/>
        </w:rPr>
      </w:pPr>
      <w:r w:rsidRPr="00206628">
        <w:rPr>
          <w:rFonts w:ascii="Times New Roman" w:eastAsia="Times New Roman" w:hAnsi="Times New Roman" w:cs="Times New Roman"/>
          <w:color w:val="000000"/>
          <w:spacing w:val="-1"/>
          <w:sz w:val="24"/>
          <w:lang w:val="en-US"/>
        </w:rPr>
        <w:t>the right to an adequate standard of living and to continuous improvement of living conditions – Article 11 of the International Covenant on Economic, Social and Cultural Rights (ICESCR)</w:t>
      </w:r>
    </w:p>
    <w:p w14:paraId="3D84209C" w14:textId="77777777" w:rsidR="00692939" w:rsidRPr="00206628" w:rsidRDefault="00692939" w:rsidP="0037564F">
      <w:pPr>
        <w:pStyle w:val="ListParagraph"/>
        <w:numPr>
          <w:ilvl w:val="0"/>
          <w:numId w:val="5"/>
        </w:numPr>
        <w:tabs>
          <w:tab w:val="left" w:pos="360"/>
          <w:tab w:val="left" w:pos="720"/>
        </w:tabs>
        <w:spacing w:before="19" w:after="0" w:line="317" w:lineRule="exact"/>
        <w:ind w:right="43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the right to privacy – Article 17 of the International Covenant on Civil and Political Rights (ICCPR)</w:t>
      </w:r>
    </w:p>
    <w:p w14:paraId="10E3E12F" w14:textId="77777777" w:rsidR="003B2A24" w:rsidRPr="00206628" w:rsidRDefault="003B2A24" w:rsidP="0037564F">
      <w:pPr>
        <w:pStyle w:val="ListParagraph"/>
        <w:numPr>
          <w:ilvl w:val="0"/>
          <w:numId w:val="5"/>
        </w:numPr>
        <w:tabs>
          <w:tab w:val="left" w:pos="360"/>
          <w:tab w:val="left" w:pos="720"/>
        </w:tabs>
        <w:spacing w:before="19" w:after="0" w:line="317" w:lineRule="exact"/>
        <w:ind w:right="43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the right to freedom of expression – Article 19 of the ICCPR</w:t>
      </w:r>
    </w:p>
    <w:p w14:paraId="114279C1" w14:textId="77777777" w:rsidR="00692939" w:rsidRPr="00206628" w:rsidRDefault="00692939" w:rsidP="0037564F">
      <w:pPr>
        <w:pStyle w:val="ListParagraph"/>
        <w:numPr>
          <w:ilvl w:val="0"/>
          <w:numId w:val="5"/>
        </w:numPr>
        <w:tabs>
          <w:tab w:val="left" w:pos="360"/>
          <w:tab w:val="left" w:pos="720"/>
        </w:tabs>
        <w:spacing w:before="120" w:after="120" w:line="240" w:lineRule="auto"/>
        <w:textAlignment w:val="baseline"/>
        <w:rPr>
          <w:rFonts w:ascii="Times New Roman" w:hAnsi="Times New Roman" w:cs="Times New Roman"/>
          <w:sz w:val="24"/>
          <w:szCs w:val="24"/>
        </w:rPr>
      </w:pPr>
      <w:r w:rsidRPr="00206628">
        <w:rPr>
          <w:rFonts w:ascii="Times New Roman" w:eastAsia="Times New Roman" w:hAnsi="Times New Roman" w:cs="Times New Roman"/>
          <w:color w:val="000000"/>
          <w:sz w:val="24"/>
          <w:lang w:val="en-US"/>
        </w:rPr>
        <w:t>the right not to incriminate oneself – Article 14(3)(g) of the ICCPR.</w:t>
      </w:r>
    </w:p>
    <w:p w14:paraId="3E45A500" w14:textId="77777777" w:rsidR="00692939" w:rsidRPr="00206628" w:rsidRDefault="00692939" w:rsidP="00692939">
      <w:pPr>
        <w:spacing w:before="3" w:after="0" w:line="274" w:lineRule="exact"/>
        <w:textAlignment w:val="baseline"/>
        <w:rPr>
          <w:rFonts w:ascii="Times New Roman" w:hAnsi="Times New Roman" w:cs="Times New Roman"/>
          <w:sz w:val="24"/>
          <w:szCs w:val="24"/>
        </w:rPr>
      </w:pPr>
    </w:p>
    <w:p w14:paraId="10D7BA35" w14:textId="77777777" w:rsidR="00692939" w:rsidRPr="00206628" w:rsidRDefault="00692939" w:rsidP="00692939">
      <w:pPr>
        <w:spacing w:before="3" w:after="0" w:line="274" w:lineRule="exact"/>
        <w:textAlignment w:val="baseline"/>
        <w:rPr>
          <w:rFonts w:ascii="Times New Roman" w:eastAsia="Times New Roman" w:hAnsi="Times New Roman" w:cs="Times New Roman"/>
          <w:b/>
          <w:color w:val="000000"/>
          <w:sz w:val="24"/>
          <w:lang w:val="en-US"/>
        </w:rPr>
      </w:pPr>
      <w:r w:rsidRPr="00206628">
        <w:rPr>
          <w:rFonts w:ascii="Times New Roman" w:eastAsia="Times New Roman" w:hAnsi="Times New Roman" w:cs="Times New Roman"/>
          <w:b/>
          <w:color w:val="000000"/>
          <w:sz w:val="24"/>
          <w:lang w:val="en-US"/>
        </w:rPr>
        <w:t>The Rule</w:t>
      </w:r>
      <w:r w:rsidR="00E22FAF" w:rsidRPr="00206628">
        <w:rPr>
          <w:rFonts w:ascii="Times New Roman" w:eastAsia="Times New Roman" w:hAnsi="Times New Roman" w:cs="Times New Roman"/>
          <w:b/>
          <w:color w:val="000000"/>
          <w:sz w:val="24"/>
          <w:lang w:val="en-US"/>
        </w:rPr>
        <w:t>s</w:t>
      </w:r>
      <w:r w:rsidRPr="00206628">
        <w:rPr>
          <w:rFonts w:ascii="Times New Roman" w:eastAsia="Times New Roman" w:hAnsi="Times New Roman" w:cs="Times New Roman"/>
          <w:b/>
          <w:color w:val="000000"/>
          <w:sz w:val="24"/>
          <w:lang w:val="en-US"/>
        </w:rPr>
        <w:t xml:space="preserve"> will primarily regulate entities rather than individuals</w:t>
      </w:r>
    </w:p>
    <w:p w14:paraId="3F0F487D" w14:textId="77777777" w:rsidR="00692939" w:rsidRPr="00206628" w:rsidRDefault="00692939" w:rsidP="00692939">
      <w:pPr>
        <w:spacing w:before="2" w:after="0" w:line="317" w:lineRule="exact"/>
        <w:ind w:right="7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 xml:space="preserve">As noted at paragraph 1.11 of the Parliamentary Joint Committee on Human Rights – Guide to Human Rights, published in June 2015, which is a freely available document that outlines the key human rights that form part of the Parliamentary Joint Committee on Human Rights’ mandate (available at </w:t>
      </w:r>
      <w:hyperlink r:id="rId23" w:history="1">
        <w:r w:rsidRPr="00206628">
          <w:rPr>
            <w:rStyle w:val="Hyperlink"/>
            <w:rFonts w:ascii="Times New Roman" w:eastAsia="Times New Roman" w:hAnsi="Times New Roman" w:cs="Times New Roman"/>
            <w:sz w:val="24"/>
            <w:lang w:val="en-US"/>
          </w:rPr>
          <w:t>https://www.aph.gov.au/Parliamentary_Business/Committees/Joint/Human_Rights/Guidance_Notes_and_Resources</w:t>
        </w:r>
      </w:hyperlink>
      <w:r w:rsidRPr="00206628">
        <w:rPr>
          <w:rFonts w:ascii="Times New Roman" w:eastAsia="Times New Roman" w:hAnsi="Times New Roman" w:cs="Times New Roman"/>
          <w:color w:val="000000"/>
          <w:sz w:val="24"/>
          <w:lang w:val="en-US"/>
        </w:rPr>
        <w:t>):</w:t>
      </w:r>
    </w:p>
    <w:p w14:paraId="485CB6F4" w14:textId="77777777" w:rsidR="00692939" w:rsidRPr="00206628" w:rsidRDefault="00692939" w:rsidP="00692939">
      <w:pPr>
        <w:spacing w:before="315" w:after="0" w:line="316" w:lineRule="exact"/>
        <w:ind w:left="720" w:right="504"/>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w:t>
      </w:r>
      <w:r w:rsidRPr="00206628">
        <w:rPr>
          <w:rFonts w:ascii="Times New Roman" w:eastAsia="Times New Roman" w:hAnsi="Times New Roman" w:cs="Times New Roman"/>
          <w:i/>
          <w:color w:val="000000"/>
          <w:sz w:val="24"/>
          <w:lang w:val="en-US"/>
        </w:rPr>
        <w:t>Under the UN human rights treaties, human rights belong to individuals and groups of individuals. The treaties do not confer rights on companies or other incorporated bodies</w:t>
      </w:r>
      <w:r w:rsidRPr="00206628">
        <w:rPr>
          <w:rFonts w:ascii="Times New Roman" w:eastAsia="Times New Roman" w:hAnsi="Times New Roman" w:cs="Times New Roman"/>
          <w:color w:val="000000"/>
          <w:sz w:val="24"/>
          <w:lang w:val="en-US"/>
        </w:rPr>
        <w:t>.”</w:t>
      </w:r>
    </w:p>
    <w:p w14:paraId="27E39CC9" w14:textId="2A8C65A1" w:rsidR="00692939" w:rsidRPr="00206628" w:rsidRDefault="00692939" w:rsidP="0090624E">
      <w:pPr>
        <w:spacing w:before="321" w:after="0" w:line="317" w:lineRule="exact"/>
        <w:textAlignment w:val="baseline"/>
        <w:rPr>
          <w:rFonts w:ascii="Times New Roman" w:eastAsia="Times New Roman" w:hAnsi="Times New Roman" w:cs="Times New Roman"/>
          <w:i/>
          <w:color w:val="000000"/>
          <w:sz w:val="24"/>
          <w:lang w:val="en-US"/>
        </w:rPr>
      </w:pPr>
      <w:r w:rsidRPr="00206628">
        <w:rPr>
          <w:rFonts w:ascii="Times New Roman" w:eastAsia="Times New Roman" w:hAnsi="Times New Roman" w:cs="Times New Roman"/>
          <w:color w:val="000000"/>
          <w:sz w:val="24"/>
          <w:lang w:val="en-US"/>
        </w:rPr>
        <w:t>While the Rule</w:t>
      </w:r>
      <w:r w:rsidR="00E22FAF"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purport to place various obligations on “entities” that are subject to the MSO</w:t>
      </w:r>
      <w:r w:rsidR="00E22FAF" w:rsidRPr="00206628">
        <w:rPr>
          <w:rFonts w:ascii="Times New Roman" w:eastAsia="Times New Roman" w:hAnsi="Times New Roman" w:cs="Times New Roman"/>
          <w:color w:val="000000"/>
          <w:sz w:val="24"/>
          <w:lang w:val="en-US"/>
        </w:rPr>
        <w:t>,</w:t>
      </w:r>
      <w:r w:rsidRPr="00206628">
        <w:rPr>
          <w:rFonts w:ascii="Times New Roman" w:eastAsia="Times New Roman" w:hAnsi="Times New Roman" w:cs="Times New Roman"/>
          <w:color w:val="000000"/>
          <w:sz w:val="24"/>
          <w:lang w:val="en-US"/>
        </w:rPr>
        <w:t xml:space="preserve"> and regulated entities have the potential to cover some non-corporate entities, the entities that will be subject to the MSO based on the relevant import and refining data are </w:t>
      </w:r>
      <w:r w:rsidR="0090624E" w:rsidRPr="00206628">
        <w:rPr>
          <w:rFonts w:ascii="Times New Roman" w:eastAsia="Times New Roman" w:hAnsi="Times New Roman" w:cs="Times New Roman"/>
          <w:color w:val="000000"/>
          <w:sz w:val="24"/>
          <w:lang w:val="en-US"/>
        </w:rPr>
        <w:t xml:space="preserve">all </w:t>
      </w:r>
      <w:r w:rsidRPr="00206628">
        <w:rPr>
          <w:rFonts w:ascii="Times New Roman" w:eastAsia="Times New Roman" w:hAnsi="Times New Roman" w:cs="Times New Roman"/>
          <w:color w:val="000000"/>
          <w:sz w:val="24"/>
          <w:lang w:val="en-US"/>
        </w:rPr>
        <w:t>corporations. As such, there are very few (if any) provisions of the Rule</w:t>
      </w:r>
      <w:r w:rsidR="003029F2"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that regulate and consequently limit the human rights of individuals.</w:t>
      </w:r>
    </w:p>
    <w:p w14:paraId="6202A54E" w14:textId="77777777" w:rsidR="00692939" w:rsidRPr="00206628" w:rsidRDefault="00692939" w:rsidP="00692939">
      <w:pPr>
        <w:spacing w:before="366" w:after="0" w:line="274" w:lineRule="exact"/>
        <w:textAlignment w:val="baseline"/>
        <w:rPr>
          <w:rFonts w:ascii="Times New Roman" w:eastAsia="Times New Roman" w:hAnsi="Times New Roman" w:cs="Times New Roman"/>
          <w:b/>
          <w:color w:val="000000"/>
          <w:sz w:val="24"/>
          <w:lang w:val="en-US"/>
        </w:rPr>
      </w:pPr>
      <w:r w:rsidRPr="00206628">
        <w:rPr>
          <w:rFonts w:ascii="Times New Roman" w:eastAsia="Times New Roman" w:hAnsi="Times New Roman" w:cs="Times New Roman"/>
          <w:b/>
          <w:color w:val="000000"/>
          <w:sz w:val="24"/>
          <w:lang w:val="en-US"/>
        </w:rPr>
        <w:t>Right to an adequate standard of living – Article 11 ICESCR</w:t>
      </w:r>
    </w:p>
    <w:p w14:paraId="1A8C9CD2" w14:textId="22686F7E" w:rsidR="00692939" w:rsidRPr="00206628" w:rsidRDefault="00692939" w:rsidP="00692939">
      <w:pPr>
        <w:spacing w:after="0" w:line="317" w:lineRule="exact"/>
        <w:ind w:right="357"/>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Despite the fact the Rule</w:t>
      </w:r>
      <w:r w:rsidR="00E22FAF"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do not generally regulate the conduct of individuals, </w:t>
      </w:r>
      <w:r w:rsidR="00E22FAF" w:rsidRPr="00206628">
        <w:rPr>
          <w:rFonts w:ascii="Times New Roman" w:eastAsia="Times New Roman" w:hAnsi="Times New Roman" w:cs="Times New Roman"/>
          <w:color w:val="000000"/>
          <w:sz w:val="24"/>
          <w:lang w:val="en-US"/>
        </w:rPr>
        <w:t xml:space="preserve">they </w:t>
      </w:r>
      <w:r w:rsidRPr="00206628">
        <w:rPr>
          <w:rFonts w:ascii="Times New Roman" w:eastAsia="Times New Roman" w:hAnsi="Times New Roman" w:cs="Times New Roman"/>
          <w:color w:val="000000"/>
          <w:sz w:val="24"/>
          <w:lang w:val="en-US"/>
        </w:rPr>
        <w:t>nevertheless engage positively with the right to an adequate standard of living and to continuous improvement of living conditions. This is achieved by alleviating the risks to fuel supply currently borne by Government and consumers. The Rule</w:t>
      </w:r>
      <w:r w:rsidR="00E22FAF"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will mandate the holding of stocks of key transport fuels, with mechanisms to allow those stocks to be deployed to avert</w:t>
      </w:r>
      <w:r w:rsidR="0090624E" w:rsidRPr="00206628">
        <w:rPr>
          <w:rFonts w:ascii="Times New Roman" w:eastAsia="Times New Roman" w:hAnsi="Times New Roman" w:cs="Times New Roman"/>
          <w:color w:val="000000"/>
          <w:sz w:val="24"/>
          <w:lang w:val="en-US"/>
        </w:rPr>
        <w:t xml:space="preserve"> or address</w:t>
      </w:r>
      <w:r w:rsidRPr="00206628">
        <w:rPr>
          <w:rFonts w:ascii="Times New Roman" w:eastAsia="Times New Roman" w:hAnsi="Times New Roman" w:cs="Times New Roman"/>
          <w:color w:val="000000"/>
          <w:sz w:val="24"/>
          <w:lang w:val="en-US"/>
        </w:rPr>
        <w:t xml:space="preserve"> fuel security issues. </w:t>
      </w:r>
    </w:p>
    <w:p w14:paraId="1F68E4F4" w14:textId="77777777" w:rsidR="00692939" w:rsidRPr="00206628" w:rsidRDefault="00692939" w:rsidP="00692939">
      <w:pPr>
        <w:spacing w:after="0" w:line="317" w:lineRule="exact"/>
        <w:ind w:right="357"/>
        <w:textAlignment w:val="baseline"/>
        <w:rPr>
          <w:rFonts w:ascii="Times New Roman" w:eastAsia="Times New Roman" w:hAnsi="Times New Roman" w:cs="Times New Roman"/>
          <w:color w:val="000000"/>
          <w:sz w:val="24"/>
          <w:lang w:val="en-US"/>
        </w:rPr>
      </w:pPr>
    </w:p>
    <w:p w14:paraId="06167686" w14:textId="453B2271" w:rsidR="003349F0" w:rsidRPr="00206628" w:rsidRDefault="0090624E" w:rsidP="00A45817">
      <w:pPr>
        <w:spacing w:after="0" w:line="317" w:lineRule="exact"/>
        <w:ind w:right="357"/>
        <w:textAlignment w:val="baseline"/>
        <w:rPr>
          <w:rFonts w:ascii="Times New Roman" w:eastAsia="Times New Roman" w:hAnsi="Times New Roman" w:cs="Times New Roman"/>
          <w:b/>
          <w:color w:val="000000"/>
          <w:sz w:val="24"/>
          <w:lang w:val="en-US"/>
        </w:rPr>
      </w:pPr>
      <w:r w:rsidRPr="00206628">
        <w:rPr>
          <w:rFonts w:ascii="Times New Roman" w:eastAsia="Times New Roman" w:hAnsi="Times New Roman" w:cs="Times New Roman"/>
          <w:color w:val="000000"/>
          <w:sz w:val="24"/>
          <w:lang w:val="en-US"/>
        </w:rPr>
        <w:t>These arrangements support</w:t>
      </w:r>
      <w:r w:rsidR="00692939" w:rsidRPr="00206628">
        <w:rPr>
          <w:rFonts w:ascii="Times New Roman" w:eastAsia="Times New Roman" w:hAnsi="Times New Roman" w:cs="Times New Roman"/>
          <w:color w:val="000000"/>
          <w:sz w:val="24"/>
          <w:lang w:val="en-US"/>
        </w:rPr>
        <w:t xml:space="preserve"> fuel-dependent and critical industries as well as Australian households. </w:t>
      </w:r>
      <w:r w:rsidR="00E22FAF" w:rsidRPr="00206628">
        <w:rPr>
          <w:rFonts w:ascii="Times New Roman" w:eastAsia="Times New Roman" w:hAnsi="Times New Roman" w:cs="Times New Roman"/>
          <w:color w:val="000000"/>
          <w:sz w:val="24"/>
          <w:lang w:val="en-US"/>
        </w:rPr>
        <w:t xml:space="preserve">They </w:t>
      </w:r>
      <w:r w:rsidR="00692939" w:rsidRPr="00206628">
        <w:rPr>
          <w:rFonts w:ascii="Times New Roman" w:eastAsia="Times New Roman" w:hAnsi="Times New Roman" w:cs="Times New Roman"/>
          <w:color w:val="000000"/>
          <w:sz w:val="24"/>
          <w:lang w:val="en-US"/>
        </w:rPr>
        <w:t xml:space="preserve">will offer protection during extreme disruptions to fuel supply to Australia. The proposed reforms are therefore likely to ensure the availability and accessibility of the energy resources that are essential to the realisation of the right to an adequate standard of living. They will also help to fulfil Australia’s obligation under </w:t>
      </w:r>
      <w:r w:rsidR="00692939" w:rsidRPr="00206628">
        <w:rPr>
          <w:rFonts w:ascii="Times New Roman" w:eastAsia="Times New Roman" w:hAnsi="Times New Roman" w:cs="Times New Roman"/>
          <w:color w:val="000000"/>
          <w:sz w:val="24"/>
          <w:lang w:val="en-US"/>
        </w:rPr>
        <w:lastRenderedPageBreak/>
        <w:t>Article 2.1 of the ICESCR to take reasonable measures within its available resources to progressively secure broader enjoyment of this right.</w:t>
      </w:r>
    </w:p>
    <w:p w14:paraId="26CDB61E" w14:textId="77777777" w:rsidR="00692939" w:rsidRPr="00206628" w:rsidRDefault="00692939" w:rsidP="003B2A24">
      <w:pPr>
        <w:spacing w:before="366" w:after="0" w:line="274" w:lineRule="exact"/>
        <w:textAlignment w:val="baseline"/>
        <w:rPr>
          <w:rFonts w:ascii="Times New Roman" w:eastAsia="Times New Roman" w:hAnsi="Times New Roman" w:cs="Times New Roman"/>
          <w:b/>
          <w:color w:val="000000"/>
          <w:sz w:val="24"/>
          <w:lang w:val="en-US"/>
        </w:rPr>
      </w:pPr>
      <w:r w:rsidRPr="00206628">
        <w:rPr>
          <w:rFonts w:ascii="Times New Roman" w:eastAsia="Times New Roman" w:hAnsi="Times New Roman" w:cs="Times New Roman"/>
          <w:b/>
          <w:color w:val="000000"/>
          <w:sz w:val="24"/>
          <w:lang w:val="en-US"/>
        </w:rPr>
        <w:t>Right to privacy – Article 17 ICCPR</w:t>
      </w:r>
    </w:p>
    <w:p w14:paraId="3CD062A8" w14:textId="08A51C60" w:rsidR="00692939" w:rsidRPr="00206628" w:rsidRDefault="00692939" w:rsidP="003B2A24">
      <w:pPr>
        <w:spacing w:after="0" w:line="317" w:lineRule="exact"/>
        <w:ind w:right="357"/>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While noting that the Rule</w:t>
      </w:r>
      <w:r w:rsidR="004C56EF"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will primarily regulate the conduct of entities that are unlikely to be individuals, out of an abundance of caution, consideration has been given to the possibility that the Rule</w:t>
      </w:r>
      <w:r w:rsidR="004C56EF"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engage the right to privacy of individuals.</w:t>
      </w:r>
    </w:p>
    <w:p w14:paraId="2165A4FE" w14:textId="77777777" w:rsidR="00692939" w:rsidRPr="00206628" w:rsidRDefault="004C56EF" w:rsidP="00692939">
      <w:pPr>
        <w:spacing w:before="320" w:after="0" w:line="317" w:lineRule="exact"/>
        <w:ind w:right="7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 xml:space="preserve">Under the Rules entities may apply to the Secretary for various decisions, such as suspension, may be subject to audit in accordance with Part 8 and need an MSO compliance plan meeting requirements in Part 9. </w:t>
      </w:r>
      <w:r w:rsidR="002C02E7" w:rsidRPr="00206628">
        <w:rPr>
          <w:rFonts w:ascii="Times New Roman" w:eastAsia="Times New Roman" w:hAnsi="Times New Roman" w:cs="Times New Roman"/>
          <w:color w:val="000000"/>
          <w:sz w:val="24"/>
          <w:lang w:val="en-US"/>
        </w:rPr>
        <w:t>Certain general scheme information i</w:t>
      </w:r>
      <w:r w:rsidR="007D1A1F" w:rsidRPr="00206628">
        <w:rPr>
          <w:rFonts w:ascii="Times New Roman" w:eastAsia="Times New Roman" w:hAnsi="Times New Roman" w:cs="Times New Roman"/>
          <w:color w:val="000000"/>
          <w:sz w:val="24"/>
          <w:lang w:val="en-US"/>
        </w:rPr>
        <w:t>s also made public under Part 12</w:t>
      </w:r>
      <w:r w:rsidR="002C02E7" w:rsidRPr="00206628">
        <w:rPr>
          <w:rFonts w:ascii="Times New Roman" w:eastAsia="Times New Roman" w:hAnsi="Times New Roman" w:cs="Times New Roman"/>
          <w:color w:val="000000"/>
          <w:sz w:val="24"/>
          <w:lang w:val="en-US"/>
        </w:rPr>
        <w:t xml:space="preserve"> of the Rules.</w:t>
      </w:r>
    </w:p>
    <w:p w14:paraId="53777592" w14:textId="77777777" w:rsidR="00692939" w:rsidRPr="00206628" w:rsidRDefault="00692939" w:rsidP="004C56EF">
      <w:pPr>
        <w:spacing w:before="320" w:after="0" w:line="317" w:lineRule="exact"/>
        <w:ind w:right="7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The nature of the information required to be provided under these clauses will almost solely relate to refinery operations</w:t>
      </w:r>
      <w:r w:rsidR="004C56EF" w:rsidRPr="00206628">
        <w:rPr>
          <w:rFonts w:ascii="Times New Roman" w:eastAsia="Times New Roman" w:hAnsi="Times New Roman" w:cs="Times New Roman"/>
          <w:color w:val="000000"/>
          <w:sz w:val="24"/>
          <w:lang w:val="en-US"/>
        </w:rPr>
        <w:t>, importing</w:t>
      </w:r>
      <w:r w:rsidRPr="00206628">
        <w:rPr>
          <w:rFonts w:ascii="Times New Roman" w:eastAsia="Times New Roman" w:hAnsi="Times New Roman" w:cs="Times New Roman"/>
          <w:color w:val="000000"/>
          <w:sz w:val="24"/>
          <w:lang w:val="en-US"/>
        </w:rPr>
        <w:t xml:space="preserve">, </w:t>
      </w:r>
      <w:r w:rsidR="004C56EF" w:rsidRPr="00206628">
        <w:rPr>
          <w:rFonts w:ascii="Times New Roman" w:eastAsia="Times New Roman" w:hAnsi="Times New Roman" w:cs="Times New Roman"/>
          <w:color w:val="000000"/>
          <w:sz w:val="24"/>
          <w:lang w:val="en-US"/>
        </w:rPr>
        <w:t xml:space="preserve">stockholding, </w:t>
      </w:r>
      <w:r w:rsidRPr="00206628">
        <w:rPr>
          <w:rFonts w:ascii="Times New Roman" w:eastAsia="Times New Roman" w:hAnsi="Times New Roman" w:cs="Times New Roman"/>
          <w:color w:val="000000"/>
          <w:sz w:val="24"/>
          <w:lang w:val="en-US"/>
        </w:rPr>
        <w:t xml:space="preserve">fuel production volumes, and other matters relating to the business of refining </w:t>
      </w:r>
      <w:r w:rsidR="004C56EF" w:rsidRPr="00206628">
        <w:rPr>
          <w:rFonts w:ascii="Times New Roman" w:eastAsia="Times New Roman" w:hAnsi="Times New Roman" w:cs="Times New Roman"/>
          <w:color w:val="000000"/>
          <w:sz w:val="24"/>
          <w:lang w:val="en-US"/>
        </w:rPr>
        <w:t xml:space="preserve">or importing </w:t>
      </w:r>
      <w:r w:rsidRPr="00206628">
        <w:rPr>
          <w:rFonts w:ascii="Times New Roman" w:eastAsia="Times New Roman" w:hAnsi="Times New Roman" w:cs="Times New Roman"/>
          <w:color w:val="000000"/>
          <w:sz w:val="24"/>
          <w:lang w:val="en-US"/>
        </w:rPr>
        <w:t xml:space="preserve">fuel. </w:t>
      </w:r>
    </w:p>
    <w:p w14:paraId="28E63EF4" w14:textId="413E41C0" w:rsidR="00692939" w:rsidRPr="00206628" w:rsidRDefault="00692939" w:rsidP="00017BBA">
      <w:pPr>
        <w:spacing w:before="320" w:after="0" w:line="317" w:lineRule="exact"/>
        <w:ind w:right="7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 xml:space="preserve">It is unlikely any personal information about identifiable individuals will be collected </w:t>
      </w:r>
      <w:r w:rsidR="002C02E7" w:rsidRPr="00206628">
        <w:rPr>
          <w:rFonts w:ascii="Times New Roman" w:eastAsia="Times New Roman" w:hAnsi="Times New Roman" w:cs="Times New Roman"/>
          <w:color w:val="000000"/>
          <w:sz w:val="24"/>
          <w:lang w:val="en-US"/>
        </w:rPr>
        <w:t xml:space="preserve">or published </w:t>
      </w:r>
      <w:r w:rsidRPr="00206628">
        <w:rPr>
          <w:rFonts w:ascii="Times New Roman" w:eastAsia="Times New Roman" w:hAnsi="Times New Roman" w:cs="Times New Roman"/>
          <w:color w:val="000000"/>
          <w:sz w:val="24"/>
          <w:lang w:val="en-US"/>
        </w:rPr>
        <w:t>under any of the abovementioned provisions of the Rule</w:t>
      </w:r>
      <w:r w:rsidR="002C02E7"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w:t>
      </w:r>
      <w:r w:rsidR="004C56EF" w:rsidRPr="00206628">
        <w:rPr>
          <w:rFonts w:ascii="Times New Roman" w:eastAsia="Times New Roman" w:hAnsi="Times New Roman" w:cs="Times New Roman"/>
          <w:color w:val="000000"/>
          <w:sz w:val="24"/>
          <w:lang w:val="en-US"/>
        </w:rPr>
        <w:t xml:space="preserve">The </w:t>
      </w:r>
      <w:r w:rsidR="004C56EF" w:rsidRPr="00206628">
        <w:rPr>
          <w:rFonts w:ascii="Times New Roman" w:eastAsia="Times New Roman" w:hAnsi="Times New Roman" w:cs="Times New Roman"/>
          <w:i/>
          <w:color w:val="000000"/>
          <w:sz w:val="24"/>
          <w:lang w:val="en-US"/>
        </w:rPr>
        <w:t xml:space="preserve">Privacy Act 1988 </w:t>
      </w:r>
      <w:r w:rsidR="004C56EF" w:rsidRPr="00206628">
        <w:rPr>
          <w:rFonts w:ascii="Times New Roman" w:eastAsia="Times New Roman" w:hAnsi="Times New Roman" w:cs="Times New Roman"/>
          <w:color w:val="000000"/>
          <w:sz w:val="24"/>
          <w:lang w:val="en-US"/>
        </w:rPr>
        <w:t xml:space="preserve">would apply to any personal information that was collected and various personal or commercial-in-confidence information would also be protected information under the </w:t>
      </w:r>
      <w:r w:rsidR="004C56EF" w:rsidRPr="00206628">
        <w:rPr>
          <w:rFonts w:ascii="Times New Roman" w:eastAsia="Times New Roman" w:hAnsi="Times New Roman" w:cs="Times New Roman"/>
          <w:i/>
          <w:color w:val="000000"/>
          <w:sz w:val="24"/>
          <w:lang w:val="en-US"/>
        </w:rPr>
        <w:t>Petroleum and Other Fuels Reporting Act 2017</w:t>
      </w:r>
      <w:r w:rsidR="004C56EF" w:rsidRPr="00206628">
        <w:rPr>
          <w:rFonts w:ascii="Times New Roman" w:eastAsia="Times New Roman" w:hAnsi="Times New Roman" w:cs="Times New Roman"/>
          <w:color w:val="000000"/>
          <w:sz w:val="24"/>
          <w:lang w:val="en-US"/>
        </w:rPr>
        <w:t xml:space="preserve">. Where audits are undertaken, subsection </w:t>
      </w:r>
      <w:r w:rsidR="00017BBA" w:rsidRPr="00206628">
        <w:rPr>
          <w:rFonts w:ascii="Times New Roman" w:eastAsia="Times New Roman" w:hAnsi="Times New Roman" w:cs="Times New Roman"/>
          <w:color w:val="000000"/>
          <w:sz w:val="24"/>
          <w:lang w:val="en-US"/>
        </w:rPr>
        <w:t>33</w:t>
      </w:r>
      <w:r w:rsidR="004C56EF" w:rsidRPr="00206628">
        <w:rPr>
          <w:rFonts w:ascii="Times New Roman" w:eastAsia="Times New Roman" w:hAnsi="Times New Roman" w:cs="Times New Roman"/>
          <w:color w:val="000000"/>
          <w:sz w:val="24"/>
          <w:lang w:val="en-US"/>
        </w:rPr>
        <w:t xml:space="preserve">(3) of the Rules includes protections on the use or disclosure of information obtained by auditors during such as audit. </w:t>
      </w:r>
      <w:r w:rsidR="00017BBA" w:rsidRPr="00206628">
        <w:rPr>
          <w:rFonts w:ascii="Times New Roman" w:eastAsia="Times New Roman" w:hAnsi="Times New Roman" w:cs="Times New Roman"/>
          <w:color w:val="000000"/>
          <w:sz w:val="24"/>
          <w:lang w:val="en-US"/>
        </w:rPr>
        <w:t xml:space="preserve">Similarly, under Part 12 of the Rules the Secretary must not cause to be published information about the annual operation of the MSO scheme that is likely to identify an individual.  </w:t>
      </w:r>
      <w:r w:rsidRPr="00206628">
        <w:rPr>
          <w:rFonts w:ascii="Times New Roman" w:eastAsia="Times New Roman" w:hAnsi="Times New Roman" w:cs="Times New Roman"/>
          <w:color w:val="000000"/>
          <w:sz w:val="24"/>
          <w:lang w:val="en-US"/>
        </w:rPr>
        <w:t>Therefore, it is unlikely the Rule</w:t>
      </w:r>
      <w:r w:rsidR="003029F2" w:rsidRPr="00206628">
        <w:rPr>
          <w:rFonts w:ascii="Times New Roman" w:eastAsia="Times New Roman" w:hAnsi="Times New Roman" w:cs="Times New Roman"/>
          <w:color w:val="000000"/>
          <w:sz w:val="24"/>
          <w:lang w:val="en-US"/>
        </w:rPr>
        <w:t>s engage or limit</w:t>
      </w:r>
      <w:r w:rsidRPr="00206628">
        <w:rPr>
          <w:rFonts w:ascii="Times New Roman" w:eastAsia="Times New Roman" w:hAnsi="Times New Roman" w:cs="Times New Roman"/>
          <w:color w:val="000000"/>
          <w:sz w:val="24"/>
          <w:lang w:val="en-US"/>
        </w:rPr>
        <w:t xml:space="preserve"> the right to privacy.</w:t>
      </w:r>
      <w:r w:rsidR="004C56EF" w:rsidRPr="00206628">
        <w:rPr>
          <w:rFonts w:ascii="Times New Roman" w:eastAsia="Times New Roman" w:hAnsi="Times New Roman" w:cs="Times New Roman"/>
          <w:color w:val="000000"/>
          <w:sz w:val="24"/>
          <w:lang w:val="en-US"/>
        </w:rPr>
        <w:t xml:space="preserve"> </w:t>
      </w:r>
    </w:p>
    <w:p w14:paraId="2409D31C" w14:textId="77777777" w:rsidR="003B2A24" w:rsidRPr="00206628" w:rsidRDefault="003B2A24" w:rsidP="003B2A24">
      <w:pPr>
        <w:spacing w:before="366" w:after="0" w:line="274" w:lineRule="exact"/>
        <w:textAlignment w:val="baseline"/>
        <w:rPr>
          <w:rFonts w:ascii="Times New Roman" w:eastAsia="Times New Roman" w:hAnsi="Times New Roman" w:cs="Times New Roman"/>
          <w:b/>
          <w:color w:val="000000"/>
          <w:sz w:val="24"/>
          <w:lang w:val="en-US"/>
        </w:rPr>
      </w:pPr>
      <w:r w:rsidRPr="00206628">
        <w:rPr>
          <w:rFonts w:ascii="Times New Roman" w:eastAsia="Times New Roman" w:hAnsi="Times New Roman" w:cs="Times New Roman"/>
          <w:b/>
          <w:color w:val="000000"/>
          <w:sz w:val="24"/>
          <w:lang w:val="en-US"/>
        </w:rPr>
        <w:t>Right to freedom of expression – Article 19 ICCPR</w:t>
      </w:r>
    </w:p>
    <w:p w14:paraId="27F4A30E" w14:textId="77777777" w:rsidR="003B2A24" w:rsidRPr="00206628" w:rsidRDefault="003B2A24" w:rsidP="003B2A24">
      <w:pPr>
        <w:spacing w:after="0" w:line="317" w:lineRule="exact"/>
        <w:ind w:right="357"/>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As noted in the explanatory memorandum to the Fuel Security Bill 2021, Division 7 of Part 2 of the Act</w:t>
      </w:r>
      <w:r w:rsidR="007208BC" w:rsidRPr="00206628">
        <w:rPr>
          <w:rFonts w:ascii="Times New Roman" w:eastAsia="Times New Roman" w:hAnsi="Times New Roman" w:cs="Times New Roman"/>
          <w:color w:val="000000"/>
          <w:sz w:val="24"/>
          <w:lang w:val="en-US"/>
        </w:rPr>
        <w:t xml:space="preserve"> (MSO)</w:t>
      </w:r>
      <w:r w:rsidRPr="00206628">
        <w:rPr>
          <w:rFonts w:ascii="Times New Roman" w:eastAsia="Times New Roman" w:hAnsi="Times New Roman" w:cs="Times New Roman"/>
          <w:color w:val="000000"/>
          <w:sz w:val="24"/>
          <w:lang w:val="en-US"/>
        </w:rPr>
        <w:t xml:space="preserve"> engages the right to freedom of expression in Article 19 of the ICCPR.</w:t>
      </w:r>
    </w:p>
    <w:p w14:paraId="6F20074E" w14:textId="0C6D4968" w:rsidR="003B2A24" w:rsidRPr="00206628" w:rsidRDefault="003B2A24" w:rsidP="003B2A24">
      <w:pPr>
        <w:spacing w:before="320" w:after="0" w:line="317" w:lineRule="exact"/>
        <w:ind w:right="7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 xml:space="preserve">Under the Act regulated entities will be subject to various auditing requirements. Specifically, the Secretary could require an independent registered greenhouse and energy auditor to undertake audits of entities’ compliance with the MSO obligations under the Act. Part 8 of the Rules prescribes the manner in which such audits must be carried out, the form of audit report, the nature of the matter to be included in such reports, and auditors’ use or disclosure of information obtained in the course of conducting audits under Part 2 of the Act. This therefore engages the right to freedom of expression by establishing measures that may restrict the communication or publication of certain information collected in the conduct of such audits. In particular, subsection </w:t>
      </w:r>
      <w:r w:rsidR="00F2562A" w:rsidRPr="00206628">
        <w:rPr>
          <w:rFonts w:ascii="Times New Roman" w:eastAsia="Times New Roman" w:hAnsi="Times New Roman" w:cs="Times New Roman"/>
          <w:color w:val="000000"/>
          <w:sz w:val="24"/>
          <w:lang w:val="en-US"/>
        </w:rPr>
        <w:t>33</w:t>
      </w:r>
      <w:r w:rsidRPr="00206628">
        <w:rPr>
          <w:rFonts w:ascii="Times New Roman" w:eastAsia="Times New Roman" w:hAnsi="Times New Roman" w:cs="Times New Roman"/>
          <w:color w:val="000000"/>
          <w:sz w:val="24"/>
          <w:lang w:val="en-US"/>
        </w:rPr>
        <w:t xml:space="preserve">(3) </w:t>
      </w:r>
      <w:r w:rsidR="00E22FAF" w:rsidRPr="00206628">
        <w:rPr>
          <w:rFonts w:ascii="Times New Roman" w:eastAsia="Times New Roman" w:hAnsi="Times New Roman" w:cs="Times New Roman"/>
          <w:color w:val="000000"/>
          <w:sz w:val="24"/>
          <w:lang w:val="en-US"/>
        </w:rPr>
        <w:t xml:space="preserve">of the Rules </w:t>
      </w:r>
      <w:r w:rsidRPr="00206628">
        <w:rPr>
          <w:rFonts w:ascii="Times New Roman" w:eastAsia="Times New Roman" w:hAnsi="Times New Roman" w:cs="Times New Roman"/>
          <w:color w:val="000000"/>
          <w:sz w:val="24"/>
          <w:lang w:val="en-US"/>
        </w:rPr>
        <w:t>requires auditors to take reasonable steps to prevent unauthorized use or disclosure of information obtained when conducting an audit.</w:t>
      </w:r>
    </w:p>
    <w:p w14:paraId="3AC53685" w14:textId="77777777" w:rsidR="003B2A24" w:rsidRPr="00206628" w:rsidRDefault="003B2A24" w:rsidP="003B2A24">
      <w:pPr>
        <w:spacing w:before="320" w:after="0" w:line="317" w:lineRule="exact"/>
        <w:ind w:right="7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lastRenderedPageBreak/>
        <w:t xml:space="preserve">However, the limitations on freedom of expression imposed by these measures are reasonable and proportionate, as they will ensure that audits are conducted consistently with international standards and are of </w:t>
      </w:r>
      <w:r w:rsidR="007D1A1F" w:rsidRPr="00206628">
        <w:rPr>
          <w:rFonts w:ascii="Times New Roman" w:eastAsia="Times New Roman" w:hAnsi="Times New Roman" w:cs="Times New Roman"/>
          <w:color w:val="000000"/>
          <w:sz w:val="24"/>
          <w:lang w:val="en-US"/>
        </w:rPr>
        <w:t>sufficient quality and rigor</w:t>
      </w:r>
      <w:r w:rsidRPr="00206628">
        <w:rPr>
          <w:rFonts w:ascii="Times New Roman" w:eastAsia="Times New Roman" w:hAnsi="Times New Roman" w:cs="Times New Roman"/>
          <w:color w:val="000000"/>
          <w:sz w:val="24"/>
          <w:lang w:val="en-US"/>
        </w:rPr>
        <w:t xml:space="preserve"> to provide a meaningful assessment of the accuracy of data reported by entities. The veracity and accuracy of such data will be crucial to the integrity of the proposed MSO scheme.</w:t>
      </w:r>
    </w:p>
    <w:p w14:paraId="3AC95778" w14:textId="77777777" w:rsidR="003B2A24" w:rsidRPr="00206628" w:rsidRDefault="003B2A24" w:rsidP="003B2A24">
      <w:pPr>
        <w:spacing w:before="320" w:after="0" w:line="317" w:lineRule="exact"/>
        <w:ind w:right="7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Article 19(3) of the ICCPR permits restrictions on the freedom of expression as provided by law and necessary to protect the rights of others and national security or public order, and this would extend to the right to protection of sensitive commercial-in-confidence information.</w:t>
      </w:r>
    </w:p>
    <w:p w14:paraId="592D778D" w14:textId="57A5C869" w:rsidR="003B2A24" w:rsidRPr="00206628" w:rsidRDefault="003B2A24" w:rsidP="003B2A24">
      <w:pPr>
        <w:spacing w:before="320" w:after="0" w:line="317" w:lineRule="exact"/>
        <w:ind w:right="72"/>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 xml:space="preserve">Given the above, the restrictions are considered compatible with Article 19 of the ICCPR because they will promote the integrity of the MSO scheme and ensure businesses’ commercial-in-confidence information is sufficiently protected when used by </w:t>
      </w:r>
      <w:r w:rsidR="003349F0" w:rsidRPr="00206628">
        <w:rPr>
          <w:rFonts w:ascii="Times New Roman" w:eastAsia="Times New Roman" w:hAnsi="Times New Roman" w:cs="Times New Roman"/>
          <w:color w:val="000000"/>
          <w:sz w:val="24"/>
          <w:lang w:val="en-US"/>
        </w:rPr>
        <w:br/>
      </w:r>
      <w:r w:rsidRPr="00206628">
        <w:rPr>
          <w:rFonts w:ascii="Times New Roman" w:eastAsia="Times New Roman" w:hAnsi="Times New Roman" w:cs="Times New Roman"/>
          <w:color w:val="000000"/>
          <w:sz w:val="24"/>
          <w:lang w:val="en-US"/>
        </w:rPr>
        <w:t xml:space="preserve">the Department to assess their compliance with the obligations under Part 2 of the </w:t>
      </w:r>
      <w:r w:rsidR="00E22FAF" w:rsidRPr="00206628">
        <w:rPr>
          <w:rFonts w:ascii="Times New Roman" w:eastAsia="Times New Roman" w:hAnsi="Times New Roman" w:cs="Times New Roman"/>
          <w:color w:val="000000"/>
          <w:sz w:val="24"/>
          <w:lang w:val="en-US"/>
        </w:rPr>
        <w:t>Act</w:t>
      </w:r>
      <w:r w:rsidRPr="00206628">
        <w:rPr>
          <w:rFonts w:ascii="Times New Roman" w:eastAsia="Times New Roman" w:hAnsi="Times New Roman" w:cs="Times New Roman"/>
          <w:color w:val="000000"/>
          <w:sz w:val="24"/>
          <w:lang w:val="en-US"/>
        </w:rPr>
        <w:t>.</w:t>
      </w:r>
    </w:p>
    <w:p w14:paraId="405037B6" w14:textId="77777777" w:rsidR="00692939" w:rsidRPr="00206628" w:rsidRDefault="00692939" w:rsidP="00692939">
      <w:pPr>
        <w:spacing w:before="366" w:after="0" w:line="274" w:lineRule="exact"/>
        <w:textAlignment w:val="baseline"/>
        <w:rPr>
          <w:rFonts w:ascii="Times New Roman" w:eastAsia="Times New Roman" w:hAnsi="Times New Roman" w:cs="Times New Roman"/>
          <w:b/>
          <w:color w:val="000000"/>
          <w:sz w:val="24"/>
          <w:lang w:val="en-US"/>
        </w:rPr>
      </w:pPr>
      <w:r w:rsidRPr="00206628">
        <w:rPr>
          <w:rFonts w:ascii="Times New Roman" w:eastAsia="Times New Roman" w:hAnsi="Times New Roman" w:cs="Times New Roman"/>
          <w:b/>
          <w:color w:val="000000"/>
          <w:sz w:val="24"/>
          <w:lang w:val="en-US"/>
        </w:rPr>
        <w:t>Right not to incriminate oneself – Article 14(3)(g) ICCPR</w:t>
      </w:r>
    </w:p>
    <w:p w14:paraId="607612A3" w14:textId="77777777" w:rsidR="00692939" w:rsidRPr="00206628" w:rsidRDefault="00692939" w:rsidP="00692939">
      <w:pPr>
        <w:spacing w:before="3" w:after="0" w:line="316" w:lineRule="exact"/>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While noting the matters referred to above regarding the fact the Rule</w:t>
      </w:r>
      <w:r w:rsidR="004C56EF"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will primarily regulate entities that are not individuals, for completeness consideration has been given to whether the obligations established under the Rule</w:t>
      </w:r>
      <w:r w:rsidR="004C56EF"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to </w:t>
      </w:r>
      <w:r w:rsidR="004C56EF" w:rsidRPr="00206628">
        <w:rPr>
          <w:rFonts w:ascii="Times New Roman" w:eastAsia="Times New Roman" w:hAnsi="Times New Roman" w:cs="Times New Roman"/>
          <w:color w:val="000000"/>
          <w:sz w:val="24"/>
          <w:lang w:val="en-US"/>
        </w:rPr>
        <w:t xml:space="preserve">include matters in an MSO compliance plan </w:t>
      </w:r>
      <w:r w:rsidRPr="00206628">
        <w:rPr>
          <w:rFonts w:ascii="Times New Roman" w:eastAsia="Times New Roman" w:hAnsi="Times New Roman" w:cs="Times New Roman"/>
          <w:color w:val="000000"/>
          <w:sz w:val="24"/>
          <w:lang w:val="en-US"/>
        </w:rPr>
        <w:t>potentially engage the right not to incriminate oneself.</w:t>
      </w:r>
    </w:p>
    <w:p w14:paraId="2CB5E908" w14:textId="77777777" w:rsidR="00692939" w:rsidRPr="00206628" w:rsidRDefault="00692939" w:rsidP="00692939">
      <w:pPr>
        <w:spacing w:before="3" w:after="0" w:line="316" w:lineRule="exact"/>
        <w:textAlignment w:val="baseline"/>
        <w:rPr>
          <w:rFonts w:ascii="Times New Roman" w:eastAsia="Times New Roman" w:hAnsi="Times New Roman" w:cs="Times New Roman"/>
          <w:color w:val="000000"/>
          <w:sz w:val="24"/>
          <w:lang w:val="en-US"/>
        </w:rPr>
      </w:pPr>
    </w:p>
    <w:p w14:paraId="59B9AE5F" w14:textId="77777777" w:rsidR="00692939" w:rsidRPr="00206628" w:rsidRDefault="00692939" w:rsidP="00692939">
      <w:pPr>
        <w:spacing w:before="5" w:after="0" w:line="316" w:lineRule="exact"/>
        <w:ind w:right="144"/>
        <w:textAlignment w:val="baseline"/>
        <w:rPr>
          <w:rFonts w:ascii="Times New Roman" w:eastAsia="Times New Roman" w:hAnsi="Times New Roman" w:cs="Times New Roman"/>
          <w:color w:val="000000"/>
          <w:sz w:val="24"/>
          <w:lang w:val="en-US"/>
        </w:rPr>
      </w:pPr>
      <w:r w:rsidRPr="00206628">
        <w:rPr>
          <w:rFonts w:ascii="Times New Roman" w:eastAsia="Times New Roman" w:hAnsi="Times New Roman" w:cs="Times New Roman"/>
          <w:color w:val="000000"/>
          <w:sz w:val="24"/>
          <w:lang w:val="en-US"/>
        </w:rPr>
        <w:t xml:space="preserve">It is noted that any obligation to </w:t>
      </w:r>
      <w:r w:rsidR="004C56EF" w:rsidRPr="00206628">
        <w:rPr>
          <w:rFonts w:ascii="Times New Roman" w:eastAsia="Times New Roman" w:hAnsi="Times New Roman" w:cs="Times New Roman"/>
          <w:color w:val="000000"/>
          <w:sz w:val="24"/>
          <w:lang w:val="en-US"/>
        </w:rPr>
        <w:t>include matters in an MSO compliance plan</w:t>
      </w:r>
      <w:r w:rsidRPr="00206628">
        <w:rPr>
          <w:rFonts w:ascii="Times New Roman" w:eastAsia="Times New Roman" w:hAnsi="Times New Roman" w:cs="Times New Roman"/>
          <w:color w:val="000000"/>
          <w:sz w:val="24"/>
          <w:lang w:val="en-US"/>
        </w:rPr>
        <w:t xml:space="preserve"> is intended to only relate to information relevant to the </w:t>
      </w:r>
      <w:r w:rsidR="004C56EF" w:rsidRPr="00206628">
        <w:rPr>
          <w:rFonts w:ascii="Times New Roman" w:eastAsia="Times New Roman" w:hAnsi="Times New Roman" w:cs="Times New Roman"/>
          <w:color w:val="000000"/>
          <w:sz w:val="24"/>
          <w:lang w:val="en-US"/>
        </w:rPr>
        <w:t>MSO</w:t>
      </w:r>
      <w:r w:rsidRPr="00206628">
        <w:rPr>
          <w:rFonts w:ascii="Times New Roman" w:eastAsia="Times New Roman" w:hAnsi="Times New Roman" w:cs="Times New Roman"/>
          <w:color w:val="000000"/>
          <w:sz w:val="24"/>
          <w:lang w:val="en-US"/>
        </w:rPr>
        <w:t xml:space="preserve"> scheme and it is not the policy intention that the relevant sections (see </w:t>
      </w:r>
      <w:r w:rsidR="004C56EF" w:rsidRPr="00206628">
        <w:rPr>
          <w:rFonts w:ascii="Times New Roman" w:eastAsia="Times New Roman" w:hAnsi="Times New Roman" w:cs="Times New Roman"/>
          <w:color w:val="000000"/>
          <w:sz w:val="24"/>
          <w:lang w:val="en-US"/>
        </w:rPr>
        <w:t>Part 9</w:t>
      </w:r>
      <w:r w:rsidRPr="00206628">
        <w:rPr>
          <w:rFonts w:ascii="Times New Roman" w:eastAsia="Times New Roman" w:hAnsi="Times New Roman" w:cs="Times New Roman"/>
          <w:color w:val="000000"/>
          <w:sz w:val="24"/>
          <w:lang w:val="en-US"/>
        </w:rPr>
        <w:t xml:space="preserve"> of the Rule</w:t>
      </w:r>
      <w:r w:rsidR="004C56EF"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would abrogate ordinary common law privileges, such as the privileges against self-incrimination, self-exposure to a civil penalty and legal professional privilege. Accordingly, the Rule</w:t>
      </w:r>
      <w:r w:rsidR="003349F0"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do not limit the right of individuals not to incriminate oneself.</w:t>
      </w:r>
    </w:p>
    <w:p w14:paraId="436363E1" w14:textId="77777777" w:rsidR="00692939" w:rsidRPr="00206628" w:rsidRDefault="00692939" w:rsidP="00692939">
      <w:pPr>
        <w:spacing w:before="240" w:after="0"/>
        <w:rPr>
          <w:rFonts w:ascii="Times New Roman" w:hAnsi="Times New Roman" w:cs="Times New Roman"/>
          <w:b/>
          <w:sz w:val="24"/>
          <w:szCs w:val="24"/>
        </w:rPr>
      </w:pPr>
      <w:r w:rsidRPr="00206628">
        <w:rPr>
          <w:rFonts w:ascii="Times New Roman" w:hAnsi="Times New Roman" w:cs="Times New Roman"/>
          <w:b/>
          <w:sz w:val="24"/>
          <w:szCs w:val="24"/>
        </w:rPr>
        <w:t>Conclusion</w:t>
      </w:r>
    </w:p>
    <w:p w14:paraId="56FB81C2" w14:textId="77777777" w:rsidR="00692939" w:rsidRPr="00206628" w:rsidRDefault="00692939" w:rsidP="0090624E">
      <w:pPr>
        <w:spacing w:after="758" w:line="315" w:lineRule="exact"/>
        <w:textAlignment w:val="baseline"/>
        <w:rPr>
          <w:rFonts w:ascii="Times New Roman" w:eastAsia="Times New Roman" w:hAnsi="Times New Roman" w:cs="Times New Roman"/>
          <w:color w:val="000000"/>
          <w:sz w:val="24"/>
          <w:lang w:val="en-US"/>
        </w:rPr>
      </w:pPr>
      <w:r w:rsidRPr="00206628">
        <w:rPr>
          <w:rFonts w:ascii="Times New Roman" w:hAnsi="Times New Roman" w:cs="Times New Roman"/>
          <w:sz w:val="24"/>
          <w:szCs w:val="24"/>
        </w:rPr>
        <w:t xml:space="preserve">This instrument is compatible with human rights </w:t>
      </w:r>
      <w:r w:rsidRPr="00206628">
        <w:rPr>
          <w:rFonts w:ascii="Times New Roman" w:eastAsia="Times New Roman" w:hAnsi="Times New Roman" w:cs="Times New Roman"/>
          <w:color w:val="000000"/>
          <w:sz w:val="24"/>
          <w:lang w:val="en-US"/>
        </w:rPr>
        <w:t>because it considerably promotes the protection of the rights to an adequate standard of living and to continuous improvement of living conditions. While there are very few provisions of the Rule</w:t>
      </w:r>
      <w:r w:rsidR="003349F0" w:rsidRPr="00206628">
        <w:rPr>
          <w:rFonts w:ascii="Times New Roman" w:eastAsia="Times New Roman" w:hAnsi="Times New Roman" w:cs="Times New Roman"/>
          <w:color w:val="000000"/>
          <w:sz w:val="24"/>
          <w:lang w:val="en-US"/>
        </w:rPr>
        <w:t>s</w:t>
      </w:r>
      <w:r w:rsidRPr="00206628">
        <w:rPr>
          <w:rFonts w:ascii="Times New Roman" w:eastAsia="Times New Roman" w:hAnsi="Times New Roman" w:cs="Times New Roman"/>
          <w:color w:val="000000"/>
          <w:sz w:val="24"/>
          <w:lang w:val="en-US"/>
        </w:rPr>
        <w:t xml:space="preserve"> that regulate or engage the human rights of individuals, to the extent that it may limit human rights, those limitations are reasonable, necessary and proportionate.</w:t>
      </w:r>
    </w:p>
    <w:p w14:paraId="09ADD336" w14:textId="77777777" w:rsidR="00D52B22" w:rsidRPr="00206628" w:rsidRDefault="00D52B22" w:rsidP="00692939">
      <w:pPr>
        <w:spacing w:before="120" w:after="120"/>
        <w:jc w:val="center"/>
        <w:rPr>
          <w:rFonts w:ascii="Times New Roman" w:hAnsi="Times New Roman" w:cs="Times New Roman"/>
          <w:b/>
          <w:sz w:val="24"/>
          <w:szCs w:val="24"/>
        </w:rPr>
      </w:pPr>
      <w:r w:rsidRPr="00206628">
        <w:rPr>
          <w:rFonts w:ascii="Times New Roman" w:hAnsi="Times New Roman" w:cs="Times New Roman"/>
          <w:b/>
          <w:sz w:val="24"/>
          <w:szCs w:val="24"/>
        </w:rPr>
        <w:t xml:space="preserve">The Hon Chris Bowen MP  </w:t>
      </w:r>
    </w:p>
    <w:p w14:paraId="44546C29" w14:textId="75B23619" w:rsidR="00C53BE0" w:rsidRPr="00C53BE0" w:rsidRDefault="00D52B22" w:rsidP="00C53BE0">
      <w:pPr>
        <w:spacing w:after="758" w:line="315" w:lineRule="exact"/>
        <w:jc w:val="center"/>
        <w:textAlignment w:val="baseline"/>
        <w:rPr>
          <w:rFonts w:ascii="Times New Roman" w:hAnsi="Times New Roman" w:cs="Times New Roman"/>
          <w:b/>
          <w:sz w:val="24"/>
          <w:szCs w:val="24"/>
        </w:rPr>
      </w:pPr>
      <w:r w:rsidRPr="00206628">
        <w:rPr>
          <w:rFonts w:ascii="Times New Roman" w:hAnsi="Times New Roman" w:cs="Times New Roman"/>
          <w:b/>
          <w:sz w:val="24"/>
          <w:szCs w:val="24"/>
        </w:rPr>
        <w:t>Minister for Climate Change and Energy</w:t>
      </w:r>
      <w:bookmarkStart w:id="2" w:name="_Toc117512012"/>
      <w:bookmarkStart w:id="3" w:name="_Toc117516962"/>
      <w:bookmarkStart w:id="4" w:name="_Toc117259527"/>
      <w:bookmarkStart w:id="5" w:name="_Toc117262226"/>
      <w:bookmarkStart w:id="6" w:name="_Toc117262585"/>
      <w:bookmarkStart w:id="7" w:name="_Toc19289643"/>
      <w:bookmarkStart w:id="8" w:name="_Toc19289776"/>
      <w:bookmarkStart w:id="9" w:name="_Toc107332311"/>
    </w:p>
    <w:p w14:paraId="3418F14F" w14:textId="1A7A83BA" w:rsidR="00C53BE0" w:rsidRDefault="00C53BE0" w:rsidP="00C53BE0">
      <w:pPr>
        <w:rPr>
          <w:rFonts w:ascii="Calibri" w:eastAsia="Calibri" w:hAnsi="Calibri" w:cs="Times New Roman"/>
        </w:rPr>
      </w:pPr>
    </w:p>
    <w:p w14:paraId="691C38CE" w14:textId="77777777" w:rsidR="00093241" w:rsidRPr="00C53BE0" w:rsidRDefault="00093241" w:rsidP="00C53BE0">
      <w:pPr>
        <w:rPr>
          <w:rFonts w:ascii="Calibri" w:eastAsia="Calibri" w:hAnsi="Calibri" w:cs="Times New Roman"/>
        </w:rPr>
        <w:sectPr w:rsidR="00093241" w:rsidRPr="00C53BE0" w:rsidSect="00631116">
          <w:headerReference w:type="even" r:id="rId24"/>
          <w:headerReference w:type="default" r:id="rId25"/>
          <w:footerReference w:type="even" r:id="rId26"/>
          <w:headerReference w:type="first" r:id="rId27"/>
          <w:footerReference w:type="first" r:id="rId28"/>
          <w:pgSz w:w="11906" w:h="16838" w:code="9"/>
          <w:pgMar w:top="1276" w:right="1440" w:bottom="1440" w:left="1440" w:header="851" w:footer="709" w:gutter="0"/>
          <w:cols w:space="708"/>
          <w:docGrid w:linePitch="360"/>
        </w:sectPr>
      </w:pPr>
    </w:p>
    <w:p w14:paraId="17C03BF9" w14:textId="1C7B288B" w:rsidR="00093241" w:rsidRPr="00631116" w:rsidRDefault="00631116" w:rsidP="00631116">
      <w:pPr>
        <w:jc w:val="right"/>
        <w:rPr>
          <w:rFonts w:ascii="Times New Roman" w:eastAsia="Calibri" w:hAnsi="Times New Roman" w:cs="Times New Roman"/>
          <w:sz w:val="24"/>
        </w:rPr>
      </w:pPr>
      <w:r w:rsidRPr="00D67142">
        <w:rPr>
          <w:rFonts w:ascii="Times New Roman" w:eastAsia="Calibri" w:hAnsi="Times New Roman" w:cs="Times New Roman"/>
          <w:b/>
          <w:noProof/>
          <w:color w:val="FFFFFF" w:themeColor="background1"/>
          <w:sz w:val="24"/>
          <w:lang w:eastAsia="en-AU"/>
        </w:rPr>
        <w:lastRenderedPageBreak/>
        <w:drawing>
          <wp:anchor distT="0" distB="0" distL="114300" distR="114300" simplePos="0" relativeHeight="251658243" behindDoc="0" locked="0" layoutInCell="1" allowOverlap="1" wp14:anchorId="12DCD0DC" wp14:editId="3BCF161E">
            <wp:simplePos x="0" y="0"/>
            <wp:positionH relativeFrom="column">
              <wp:posOffset>-133350</wp:posOffset>
            </wp:positionH>
            <wp:positionV relativeFrom="page">
              <wp:posOffset>430530</wp:posOffset>
            </wp:positionV>
            <wp:extent cx="3009900" cy="627380"/>
            <wp:effectExtent l="0" t="0" r="0" b="1270"/>
            <wp:wrapSquare wrapText="bothSides"/>
            <wp:docPr id="7" name="Picture 7"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009900" cy="62738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67142">
        <w:rPr>
          <w:rFonts w:ascii="Times New Roman" w:eastAsia="Calibri" w:hAnsi="Times New Roman" w:cs="Times New Roman"/>
          <w:b/>
          <w:color w:val="FFFFFF" w:themeColor="background1"/>
          <w:sz w:val="24"/>
        </w:rPr>
        <w:t>Attachment</w:t>
      </w:r>
      <w:r w:rsidRPr="00D67142">
        <w:rPr>
          <w:rFonts w:ascii="Times New Roman" w:eastAsia="Calibri" w:hAnsi="Times New Roman" w:cs="Times New Roman"/>
          <w:color w:val="FFFFFF" w:themeColor="background1"/>
          <w:sz w:val="24"/>
        </w:rPr>
        <w:t xml:space="preserve"> </w:t>
      </w:r>
      <w:r w:rsidRPr="00D67142">
        <w:rPr>
          <w:rFonts w:ascii="Times New Roman" w:eastAsia="Calibri" w:hAnsi="Times New Roman" w:cs="Times New Roman"/>
          <w:b/>
          <w:color w:val="FFFFFF" w:themeColor="background1"/>
          <w:sz w:val="24"/>
        </w:rPr>
        <w:t>C</w:t>
      </w:r>
    </w:p>
    <w:p w14:paraId="72C1051D" w14:textId="0B00AD46" w:rsidR="00093241" w:rsidRDefault="00093241" w:rsidP="00631116">
      <w:pPr>
        <w:jc w:val="center"/>
        <w:rPr>
          <w:rFonts w:ascii="Calibri" w:eastAsia="Calibri" w:hAnsi="Calibri" w:cs="Times New Roman"/>
        </w:rPr>
      </w:pPr>
    </w:p>
    <w:p w14:paraId="31C131B7" w14:textId="460B05B5" w:rsidR="00093241" w:rsidRDefault="00093241" w:rsidP="00093241">
      <w:pPr>
        <w:rPr>
          <w:rFonts w:ascii="Calibri" w:eastAsia="Calibri" w:hAnsi="Calibri" w:cs="Times New Roman"/>
        </w:rPr>
      </w:pPr>
    </w:p>
    <w:p w14:paraId="5B9D1471" w14:textId="4381BA7E" w:rsidR="00093241" w:rsidRDefault="00093241" w:rsidP="00093241">
      <w:pPr>
        <w:rPr>
          <w:rFonts w:ascii="Calibri" w:eastAsia="Calibri" w:hAnsi="Calibri" w:cs="Times New Roman"/>
        </w:rPr>
      </w:pPr>
    </w:p>
    <w:p w14:paraId="34262086" w14:textId="6A17E4EA" w:rsidR="00093241" w:rsidRDefault="00093241" w:rsidP="00093241">
      <w:pPr>
        <w:rPr>
          <w:rFonts w:ascii="Calibri" w:eastAsia="Calibri" w:hAnsi="Calibri" w:cs="Times New Roman"/>
        </w:rPr>
      </w:pPr>
    </w:p>
    <w:bookmarkStart w:id="10" w:name="_Toc117772286" w:displacedByCustomXml="next"/>
    <w:bookmarkStart w:id="11" w:name="_Toc117775502" w:displacedByCustomXml="next"/>
    <w:sdt>
      <w:sdtPr>
        <w:rPr>
          <w:rFonts w:ascii="Calibri" w:eastAsia="Calibri" w:hAnsi="Calibri" w:cs="Times New Roman"/>
        </w:rPr>
        <w:id w:val="-2088995269"/>
        <w:docPartObj>
          <w:docPartGallery w:val="Cover Pages"/>
          <w:docPartUnique/>
        </w:docPartObj>
      </w:sdtPr>
      <w:sdtEndPr/>
      <w:sdtConten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0" w:displacedByCustomXml="next"/>
        <w:bookmarkEnd w:id="11" w:displacedByCustomXml="next"/>
        <w:sdt>
          <w:sdtPr>
            <w:rPr>
              <w:rFonts w:ascii="Calibri" w:eastAsia="Times New Roman" w:hAnsi="Calibri" w:cs="Times New Roman"/>
              <w:color w:val="FFFFFF"/>
              <w:spacing w:val="-10"/>
              <w:kern w:val="28"/>
              <w:sz w:val="56"/>
              <w:szCs w:val="72"/>
            </w:rPr>
            <w:alias w:val="Title"/>
            <w:tag w:val=""/>
            <w:id w:val="-856345196"/>
            <w:placeholder>
              <w:docPart w:val="929DE06E437E42E99C12C94959B905FD"/>
            </w:placeholder>
            <w:dataBinding w:prefixMappings="xmlns:ns0='http://purl.org/dc/elements/1.1/' xmlns:ns1='http://schemas.openxmlformats.org/package/2006/metadata/core-properties' " w:xpath="/ns1:coreProperties[1]/ns0:title[1]" w:storeItemID="{6C3C8BC8-F283-45AE-878A-BAB7291924A1}"/>
            <w:text/>
          </w:sdtPr>
          <w:sdtEndPr/>
          <w:sdtContent>
            <w:p w14:paraId="2ECA32ED" w14:textId="72722E5E" w:rsidR="00093241" w:rsidRPr="00093241" w:rsidRDefault="00093241" w:rsidP="00093241">
              <w:pPr>
                <w:pBdr>
                  <w:bottom w:val="single" w:sz="8" w:space="1" w:color="FFFFFF"/>
                </w:pBdr>
                <w:spacing w:before="3600" w:after="120" w:line="240" w:lineRule="auto"/>
                <w:contextualSpacing/>
                <w:outlineLvl w:val="0"/>
                <w:rPr>
                  <w:rFonts w:ascii="Calibri" w:eastAsia="Times New Roman" w:hAnsi="Calibri" w:cs="Times New Roman"/>
                  <w:color w:val="FFFFFF"/>
                  <w:spacing w:val="-10"/>
                  <w:kern w:val="28"/>
                  <w:sz w:val="72"/>
                  <w:szCs w:val="72"/>
                </w:rPr>
              </w:pPr>
              <w:r>
                <w:rPr>
                  <w:rFonts w:ascii="Calibri" w:eastAsia="Times New Roman" w:hAnsi="Calibri" w:cs="Times New Roman"/>
                  <w:color w:val="FFFFFF"/>
                  <w:spacing w:val="-10"/>
                  <w:kern w:val="28"/>
                  <w:sz w:val="56"/>
                  <w:szCs w:val="72"/>
                </w:rPr>
                <w:t>Regulation Impact Statement (RIS) Addendum – Minimum Stockholding Obligation</w:t>
              </w:r>
            </w:p>
          </w:sdtContent>
        </w:sdt>
        <w:p w14:paraId="1E1074AF" w14:textId="31A97FC5" w:rsidR="00093241" w:rsidRPr="00093241" w:rsidRDefault="00093241" w:rsidP="00093241">
          <w:pPr>
            <w:numPr>
              <w:ilvl w:val="1"/>
              <w:numId w:val="0"/>
            </w:numPr>
            <w:rPr>
              <w:rFonts w:ascii="Calibri" w:eastAsia="Times New Roman" w:hAnsi="Calibri" w:cs="Times New Roman"/>
              <w:color w:val="FFFFFF"/>
              <w:sz w:val="40"/>
            </w:rPr>
          </w:pPr>
          <w:r w:rsidRPr="00093241">
            <w:rPr>
              <w:rFonts w:ascii="Calibri" w:eastAsia="Times New Roman" w:hAnsi="Calibri" w:cs="Times New Roman"/>
              <w:color w:val="FFFFFF"/>
              <w:sz w:val="40"/>
            </w:rPr>
            <w:t>Securing Australia’s Domestic Fuel Stocks and Refining Capacity</w:t>
          </w:r>
        </w:p>
        <w:p w14:paraId="78591518" w14:textId="5D91E31F" w:rsidR="00093241" w:rsidRPr="00093241" w:rsidRDefault="00093241" w:rsidP="00093241">
          <w:pPr>
            <w:numPr>
              <w:ilvl w:val="1"/>
              <w:numId w:val="0"/>
            </w:numPr>
            <w:rPr>
              <w:rFonts w:ascii="Calibri" w:eastAsia="Times New Roman" w:hAnsi="Calibri" w:cs="Times New Roman"/>
              <w:color w:val="FFFFFF"/>
              <w:sz w:val="40"/>
            </w:rPr>
          </w:pPr>
        </w:p>
        <w:p w14:paraId="0C8B2A6A" w14:textId="22C08AAF" w:rsidR="00093241" w:rsidRPr="00093241" w:rsidRDefault="00200E10" w:rsidP="00093241">
          <w:pPr>
            <w:numPr>
              <w:ilvl w:val="1"/>
              <w:numId w:val="0"/>
            </w:numPr>
            <w:rPr>
              <w:rFonts w:ascii="Calibri" w:eastAsia="Times New Roman" w:hAnsi="Calibri" w:cs="Times New Roman"/>
              <w:color w:val="FFFFFF"/>
              <w:sz w:val="40"/>
              <w:szCs w:val="40"/>
            </w:rPr>
          </w:pPr>
          <w:r>
            <w:rPr>
              <w:rFonts w:ascii="Calibri" w:eastAsia="Times New Roman" w:hAnsi="Calibri" w:cs="Times New Roman"/>
              <w:color w:val="FFFFFF"/>
              <w:sz w:val="40"/>
              <w:szCs w:val="40"/>
            </w:rPr>
            <w:t>October</w:t>
          </w:r>
          <w:r w:rsidR="00093241">
            <w:rPr>
              <w:rFonts w:ascii="Calibri" w:eastAsia="Times New Roman" w:hAnsi="Calibri" w:cs="Times New Roman"/>
              <w:color w:val="FFFFFF"/>
              <w:sz w:val="40"/>
              <w:szCs w:val="40"/>
            </w:rPr>
            <w:t xml:space="preserve"> </w:t>
          </w:r>
          <w:r w:rsidR="00093241" w:rsidRPr="00093241">
            <w:rPr>
              <w:rFonts w:ascii="Calibri" w:eastAsia="Times New Roman" w:hAnsi="Calibri" w:cs="Times New Roman"/>
              <w:color w:val="FFFFFF"/>
              <w:sz w:val="40"/>
              <w:szCs w:val="40"/>
            </w:rPr>
            <w:t>2022</w:t>
          </w:r>
        </w:p>
        <w:p w14:paraId="51E6DF2D" w14:textId="63375CBD" w:rsidR="00093241" w:rsidRPr="00093241" w:rsidRDefault="00093241" w:rsidP="00093241">
          <w:pPr>
            <w:numPr>
              <w:ilvl w:val="1"/>
              <w:numId w:val="0"/>
            </w:numPr>
            <w:rPr>
              <w:rFonts w:ascii="Calibri" w:eastAsia="Times New Roman" w:hAnsi="Calibri" w:cs="Times New Roman"/>
              <w:color w:val="FFFFFF"/>
              <w:sz w:val="40"/>
              <w:szCs w:val="40"/>
            </w:rPr>
          </w:pPr>
        </w:p>
        <w:p w14:paraId="210CA3CE" w14:textId="7001FEB0" w:rsidR="00093241" w:rsidRPr="00093241" w:rsidRDefault="00093241" w:rsidP="00093241">
          <w:pPr>
            <w:numPr>
              <w:ilvl w:val="1"/>
              <w:numId w:val="0"/>
            </w:numPr>
            <w:rPr>
              <w:rFonts w:ascii="Calibri" w:eastAsia="Times New Roman" w:hAnsi="Calibri" w:cs="Times New Roman"/>
              <w:color w:val="FFFFFF"/>
              <w:sz w:val="40"/>
              <w:szCs w:val="40"/>
            </w:rPr>
          </w:pPr>
        </w:p>
        <w:p w14:paraId="7CF4E33C" w14:textId="3C457DF0" w:rsidR="00093241" w:rsidRPr="00093241" w:rsidRDefault="00093241" w:rsidP="00093241">
          <w:pPr>
            <w:numPr>
              <w:ilvl w:val="1"/>
              <w:numId w:val="0"/>
            </w:numPr>
            <w:rPr>
              <w:rFonts w:ascii="Calibri" w:eastAsia="Calibri" w:hAnsi="Calibri" w:cs="Times New Roman"/>
              <w:sz w:val="28"/>
              <w:szCs w:val="32"/>
            </w:rPr>
          </w:pPr>
          <w:r w:rsidRPr="00093241">
            <w:rPr>
              <w:rFonts w:ascii="Calibri" w:eastAsia="Times New Roman" w:hAnsi="Calibri" w:cs="Times New Roman"/>
              <w:color w:val="FFFFFF"/>
              <w:sz w:val="28"/>
              <w:szCs w:val="32"/>
            </w:rPr>
            <w:t>Authors: Department of Climate Change, Energy, the Environment and Water and ACIL Allen</w:t>
          </w:r>
        </w:p>
        <w:p w14:paraId="59BE66FD" w14:textId="111FBA5F" w:rsidR="00093241" w:rsidRPr="00093241" w:rsidRDefault="00093241" w:rsidP="00093241">
          <w:pPr>
            <w:rPr>
              <w:rFonts w:ascii="Calibri" w:eastAsia="Calibri" w:hAnsi="Calibri" w:cs="Times New Roman"/>
            </w:rPr>
          </w:pPr>
          <w:r w:rsidRPr="00093241">
            <w:rPr>
              <w:rFonts w:ascii="Calibri" w:eastAsia="Calibri" w:hAnsi="Calibri" w:cs="Times New Roman"/>
            </w:rPr>
            <w:br w:type="page"/>
          </w:r>
        </w:p>
        <w:p w14:paraId="7881CADA" w14:textId="77777777" w:rsidR="00093241" w:rsidRPr="00093241" w:rsidRDefault="00093241" w:rsidP="00093241">
          <w:pPr>
            <w:rPr>
              <w:rFonts w:ascii="Calibri" w:eastAsia="Calibri" w:hAnsi="Calibri" w:cs="Times New Roman"/>
              <w:b/>
              <w:bCs/>
              <w:color w:val="083A42"/>
              <w:sz w:val="28"/>
            </w:rPr>
          </w:pPr>
          <w:r w:rsidRPr="00093241">
            <w:rPr>
              <w:rFonts w:ascii="Calibri" w:eastAsia="Calibri" w:hAnsi="Calibri" w:cs="Times New Roman"/>
              <w:b/>
              <w:bCs/>
              <w:color w:val="083A42"/>
              <w:sz w:val="28"/>
            </w:rPr>
            <w:lastRenderedPageBreak/>
            <w:t xml:space="preserve">Disclaimer: </w:t>
          </w:r>
        </w:p>
        <w:p w14:paraId="26501052" w14:textId="77777777" w:rsidR="00093241" w:rsidRPr="00093241" w:rsidRDefault="00093241" w:rsidP="00093241">
          <w:pPr>
            <w:rPr>
              <w:rFonts w:ascii="Calibri" w:eastAsia="Calibri" w:hAnsi="Calibri" w:cs="Times New Roman"/>
              <w:bCs/>
            </w:rPr>
          </w:pPr>
          <w:r w:rsidRPr="00093241">
            <w:rPr>
              <w:rFonts w:ascii="Calibri" w:eastAsia="Calibri" w:hAnsi="Calibri" w:cs="Times New Roman"/>
              <w:bCs/>
            </w:rPr>
            <w:t xml:space="preserve">The Australian Government as represented by the Department of Climate Change, Energy, the Environment and Water has exercised due care and skill in the preparation and compilation of the information and data in this publication. </w:t>
          </w:r>
        </w:p>
        <w:p w14:paraId="688EEED5" w14:textId="77777777" w:rsidR="00093241" w:rsidRPr="00093241" w:rsidRDefault="00093241" w:rsidP="00093241">
          <w:pPr>
            <w:rPr>
              <w:rFonts w:ascii="Calibri" w:eastAsia="Calibri" w:hAnsi="Calibri" w:cs="Times New Roman"/>
              <w:bCs/>
            </w:rPr>
          </w:pPr>
          <w:r w:rsidRPr="00093241">
            <w:rPr>
              <w:rFonts w:ascii="Calibri" w:eastAsia="Calibri" w:hAnsi="Calibri" w:cs="Times New Roman"/>
              <w:bCs/>
            </w:rPr>
            <w:t>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4E6D4170" w14:textId="77777777" w:rsidR="00093241" w:rsidRPr="00093241" w:rsidRDefault="00093241" w:rsidP="00093241">
          <w:pPr>
            <w:spacing w:after="40"/>
            <w:rPr>
              <w:rFonts w:ascii="Calibri" w:eastAsia="Calibri" w:hAnsi="Calibri" w:cs="Times New Roman"/>
              <w:b/>
              <w:bCs/>
              <w:sz w:val="24"/>
            </w:rPr>
          </w:pPr>
          <w:r w:rsidRPr="00093241">
            <w:rPr>
              <w:rFonts w:ascii="Calibri" w:eastAsia="Calibri" w:hAnsi="Calibri" w:cs="Times New Roman"/>
              <w:b/>
              <w:bCs/>
              <w:sz w:val="24"/>
            </w:rPr>
            <w:t>© Commonwealth of Australia 2022</w:t>
          </w:r>
        </w:p>
        <w:p w14:paraId="50743A48" w14:textId="77777777" w:rsidR="00093241" w:rsidRPr="00093241" w:rsidRDefault="00093241" w:rsidP="00093241">
          <w:pPr>
            <w:rPr>
              <w:rFonts w:ascii="Calibri" w:eastAsia="Calibri" w:hAnsi="Calibri" w:cs="Times New Roman"/>
              <w:b/>
              <w:bCs/>
              <w:sz w:val="24"/>
            </w:rPr>
          </w:pPr>
          <w:r w:rsidRPr="00093241">
            <w:rPr>
              <w:rFonts w:ascii="Calibri" w:eastAsia="Calibri" w:hAnsi="Calibri" w:cs="Times New Roman"/>
              <w:b/>
              <w:bCs/>
              <w:sz w:val="24"/>
            </w:rPr>
            <w:t>Ownership of intellectual property rights</w:t>
          </w:r>
        </w:p>
        <w:p w14:paraId="15ECB8C5"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Unless otherwise noted, copyright (and any other intellectual property rights, if any) in this publication is owned by the Commonwealth of Australia.</w:t>
          </w:r>
        </w:p>
        <w:p w14:paraId="35792486" w14:textId="77777777" w:rsidR="00093241" w:rsidRPr="00093241" w:rsidRDefault="00093241" w:rsidP="00093241">
          <w:pPr>
            <w:rPr>
              <w:rFonts w:ascii="Calibri" w:eastAsia="Calibri" w:hAnsi="Calibri" w:cs="Times New Roman"/>
            </w:rPr>
          </w:pPr>
        </w:p>
        <w:p w14:paraId="037B030C" w14:textId="77777777" w:rsidR="00093241" w:rsidRPr="00093241" w:rsidRDefault="00093241" w:rsidP="00093241">
          <w:pPr>
            <w:rPr>
              <w:rFonts w:ascii="Calibri" w:eastAsia="Calibri" w:hAnsi="Calibri" w:cs="Times New Roman"/>
              <w:b/>
              <w:bCs/>
            </w:rPr>
          </w:pPr>
          <w:r w:rsidRPr="00093241">
            <w:rPr>
              <w:rFonts w:ascii="Calibri" w:eastAsia="Calibri" w:hAnsi="Calibri" w:cs="Times New Roman"/>
              <w:b/>
              <w:bCs/>
              <w:sz w:val="24"/>
            </w:rPr>
            <w:t>Creative Commons licence</w:t>
          </w:r>
          <w:r w:rsidRPr="00093241">
            <w:rPr>
              <w:rFonts w:ascii="Calibri" w:eastAsia="Calibri" w:hAnsi="Calibri" w:cs="Times New Roman"/>
              <w:b/>
              <w:noProof/>
              <w:lang w:eastAsia="en-AU"/>
            </w:rPr>
            <w:drawing>
              <wp:anchor distT="0" distB="0" distL="114300" distR="114300" simplePos="0" relativeHeight="251658240" behindDoc="0" locked="0" layoutInCell="1" allowOverlap="1" wp14:anchorId="2EE1F71A" wp14:editId="2DD15D5D">
                <wp:simplePos x="0" y="0"/>
                <wp:positionH relativeFrom="column">
                  <wp:posOffset>0</wp:posOffset>
                </wp:positionH>
                <wp:positionV relativeFrom="paragraph">
                  <wp:posOffset>2540</wp:posOffset>
                </wp:positionV>
                <wp:extent cx="1128889" cy="440267"/>
                <wp:effectExtent l="0" t="0" r="0" b="0"/>
                <wp:wrapSquare wrapText="bothSides"/>
                <wp:docPr id="20" name="Picture 20"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1128889" cy="440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309916" w14:textId="77777777" w:rsidR="00093241" w:rsidRPr="00093241" w:rsidRDefault="00093241" w:rsidP="00093241">
          <w:pPr>
            <w:spacing w:after="80"/>
            <w:rPr>
              <w:rFonts w:ascii="Calibri" w:eastAsia="Calibri" w:hAnsi="Calibri" w:cs="Times New Roman"/>
              <w:b/>
              <w:bCs/>
              <w:sz w:val="24"/>
            </w:rPr>
          </w:pPr>
          <w:r w:rsidRPr="00093241">
            <w:rPr>
              <w:rFonts w:ascii="Calibri" w:eastAsia="Calibri" w:hAnsi="Calibri" w:cs="Times New Roman"/>
              <w:b/>
              <w:bCs/>
              <w:sz w:val="24"/>
            </w:rPr>
            <w:t>Attribution CC BY</w:t>
          </w:r>
        </w:p>
        <w:p w14:paraId="606D9D8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6841619D"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31" w:history="1">
            <w:r w:rsidRPr="00093241">
              <w:rPr>
                <w:rFonts w:ascii="Calibri" w:eastAsia="Calibri" w:hAnsi="Calibri" w:cs="Times New Roman"/>
                <w:color w:val="0563C1"/>
                <w:u w:val="single"/>
              </w:rPr>
              <w:t>https://creativecommons.org/licenses/by/4.0/</w:t>
            </w:r>
          </w:hyperlink>
        </w:p>
        <w:p w14:paraId="2F4AC3DD"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full licence terms are available from </w:t>
          </w:r>
          <w:hyperlink r:id="rId32" w:history="1">
            <w:r w:rsidRPr="00093241">
              <w:rPr>
                <w:rFonts w:ascii="Calibri" w:eastAsia="Calibri" w:hAnsi="Calibri" w:cs="Times New Roman"/>
                <w:color w:val="0563C1"/>
                <w:u w:val="single"/>
              </w:rPr>
              <w:t>https://creativecommons.org/licenses/by/4.0/legalcode</w:t>
            </w:r>
          </w:hyperlink>
        </w:p>
        <w:p w14:paraId="6248CA7A" w14:textId="54CE5F61"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Content contained herein should be attributed as Department of Climate Change, Energy, the Environment and Water 2022, </w:t>
          </w:r>
          <w:r w:rsidRPr="00093241">
            <w:rPr>
              <w:rFonts w:ascii="Calibri" w:eastAsia="Calibri" w:hAnsi="Calibri" w:cs="Times New Roman"/>
              <w:i/>
            </w:rPr>
            <w:t xml:space="preserve">Regulation Impact Statement Addendum – Minimum Stockholding Obligation, </w:t>
          </w:r>
          <w:r w:rsidR="00200E10">
            <w:rPr>
              <w:rFonts w:ascii="Calibri" w:eastAsia="Calibri" w:hAnsi="Calibri" w:cs="Times New Roman"/>
              <w:i/>
            </w:rPr>
            <w:t>October</w:t>
          </w:r>
          <w:r w:rsidRPr="00093241">
            <w:rPr>
              <w:rFonts w:ascii="Calibri" w:eastAsia="Calibri" w:hAnsi="Calibri" w:cs="Times New Roman"/>
            </w:rPr>
            <w:t xml:space="preserve"> 2022, DCCEEW.</w:t>
          </w:r>
        </w:p>
        <w:p w14:paraId="1D8C985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br w:type="page"/>
          </w:r>
        </w:p>
        <w:sdt>
          <w:sdtPr>
            <w:rPr>
              <w:rFonts w:ascii="Calibri" w:eastAsia="Calibri" w:hAnsi="Calibri" w:cs="Times New Roman"/>
            </w:rPr>
            <w:id w:val="1337343159"/>
            <w:docPartObj>
              <w:docPartGallery w:val="Table of Contents"/>
              <w:docPartUnique/>
            </w:docPartObj>
          </w:sdtPr>
          <w:sdtEndPr>
            <w:rPr>
              <w:b/>
              <w:bCs/>
              <w:noProof/>
            </w:rPr>
          </w:sdtEndPr>
          <w:sdtContent>
            <w:p w14:paraId="32D2B9EE" w14:textId="0E27F446" w:rsidR="002847C6" w:rsidRPr="002847C6" w:rsidRDefault="00093241" w:rsidP="002847C6">
              <w:pPr>
                <w:tabs>
                  <w:tab w:val="right" w:leader="dot" w:pos="9016"/>
                </w:tabs>
                <w:spacing w:after="100"/>
                <w:rPr>
                  <w:noProof/>
                </w:rPr>
              </w:pPr>
              <w:r w:rsidRPr="00093241">
                <w:rPr>
                  <w:rFonts w:ascii="Calibri" w:eastAsia="Times New Roman" w:hAnsi="Calibri" w:cs="Times New Roman"/>
                  <w:color w:val="083A42"/>
                  <w:sz w:val="36"/>
                  <w:szCs w:val="36"/>
                </w:rPr>
                <w:t>Contents</w:t>
              </w:r>
              <w:r w:rsidRPr="00093241">
                <w:rPr>
                  <w:rFonts w:ascii="Calibri" w:eastAsia="Calibri" w:hAnsi="Calibri" w:cs="Times New Roman"/>
                  <w:noProof/>
                </w:rPr>
                <w:fldChar w:fldCharType="begin"/>
              </w:r>
              <w:r w:rsidRPr="00093241">
                <w:rPr>
                  <w:rFonts w:ascii="Calibri" w:eastAsia="Calibri" w:hAnsi="Calibri" w:cs="Times New Roman"/>
                  <w:noProof/>
                </w:rPr>
                <w:instrText xml:space="preserve"> TOC \o "1-1" \h \z \u </w:instrText>
              </w:r>
              <w:r w:rsidRPr="00093241">
                <w:rPr>
                  <w:rFonts w:ascii="Calibri" w:eastAsia="Calibri" w:hAnsi="Calibri" w:cs="Times New Roman"/>
                  <w:noProof/>
                </w:rPr>
                <w:fldChar w:fldCharType="separate"/>
              </w:r>
              <w:hyperlink w:anchor="_Toc117775502" w:history="1"/>
            </w:p>
            <w:p w14:paraId="5933BE9E" w14:textId="77777777" w:rsidR="002847C6" w:rsidRDefault="000111E4">
              <w:pPr>
                <w:pStyle w:val="TOC1"/>
                <w:rPr>
                  <w:rFonts w:eastAsiaTheme="minorEastAsia"/>
                  <w:noProof/>
                  <w:lang w:eastAsia="en-AU"/>
                </w:rPr>
              </w:pPr>
              <w:hyperlink w:anchor="_Toc117775503" w:history="1">
                <w:r w:rsidR="002847C6" w:rsidRPr="0094722A">
                  <w:rPr>
                    <w:rStyle w:val="Hyperlink"/>
                    <w:rFonts w:ascii="Calibri" w:eastAsia="Times New Roman" w:hAnsi="Calibri" w:cs="Times New Roman"/>
                    <w:noProof/>
                  </w:rPr>
                  <w:t>Executive Summary</w:t>
                </w:r>
                <w:r w:rsidR="002847C6">
                  <w:rPr>
                    <w:noProof/>
                    <w:webHidden/>
                  </w:rPr>
                  <w:tab/>
                </w:r>
                <w:r w:rsidR="002847C6">
                  <w:rPr>
                    <w:noProof/>
                    <w:webHidden/>
                  </w:rPr>
                  <w:fldChar w:fldCharType="begin"/>
                </w:r>
                <w:r w:rsidR="002847C6">
                  <w:rPr>
                    <w:noProof/>
                    <w:webHidden/>
                  </w:rPr>
                  <w:instrText xml:space="preserve"> PAGEREF _Toc117775503 \h </w:instrText>
                </w:r>
                <w:r w:rsidR="002847C6">
                  <w:rPr>
                    <w:noProof/>
                    <w:webHidden/>
                  </w:rPr>
                </w:r>
                <w:r w:rsidR="002847C6">
                  <w:rPr>
                    <w:noProof/>
                    <w:webHidden/>
                  </w:rPr>
                  <w:fldChar w:fldCharType="separate"/>
                </w:r>
                <w:r w:rsidR="002847C6">
                  <w:rPr>
                    <w:noProof/>
                    <w:webHidden/>
                  </w:rPr>
                  <w:t>40</w:t>
                </w:r>
                <w:r w:rsidR="002847C6">
                  <w:rPr>
                    <w:noProof/>
                    <w:webHidden/>
                  </w:rPr>
                  <w:fldChar w:fldCharType="end"/>
                </w:r>
              </w:hyperlink>
            </w:p>
            <w:p w14:paraId="3124A777" w14:textId="77777777" w:rsidR="002847C6" w:rsidRDefault="000111E4">
              <w:pPr>
                <w:pStyle w:val="TOC1"/>
                <w:rPr>
                  <w:rFonts w:eastAsiaTheme="minorEastAsia"/>
                  <w:noProof/>
                  <w:lang w:eastAsia="en-AU"/>
                </w:rPr>
              </w:pPr>
              <w:hyperlink w:anchor="_Toc117775504" w:history="1">
                <w:r w:rsidR="002847C6" w:rsidRPr="0094722A">
                  <w:rPr>
                    <w:rStyle w:val="Hyperlink"/>
                    <w:rFonts w:ascii="Calibri" w:eastAsia="Times New Roman" w:hAnsi="Calibri" w:cs="Times New Roman"/>
                    <w:noProof/>
                  </w:rPr>
                  <w:t>Background</w:t>
                </w:r>
                <w:r w:rsidR="002847C6">
                  <w:rPr>
                    <w:noProof/>
                    <w:webHidden/>
                  </w:rPr>
                  <w:tab/>
                </w:r>
                <w:r w:rsidR="002847C6">
                  <w:rPr>
                    <w:noProof/>
                    <w:webHidden/>
                  </w:rPr>
                  <w:fldChar w:fldCharType="begin"/>
                </w:r>
                <w:r w:rsidR="002847C6">
                  <w:rPr>
                    <w:noProof/>
                    <w:webHidden/>
                  </w:rPr>
                  <w:instrText xml:space="preserve"> PAGEREF _Toc117775504 \h </w:instrText>
                </w:r>
                <w:r w:rsidR="002847C6">
                  <w:rPr>
                    <w:noProof/>
                    <w:webHidden/>
                  </w:rPr>
                </w:r>
                <w:r w:rsidR="002847C6">
                  <w:rPr>
                    <w:noProof/>
                    <w:webHidden/>
                  </w:rPr>
                  <w:fldChar w:fldCharType="separate"/>
                </w:r>
                <w:r w:rsidR="002847C6">
                  <w:rPr>
                    <w:noProof/>
                    <w:webHidden/>
                  </w:rPr>
                  <w:t>41</w:t>
                </w:r>
                <w:r w:rsidR="002847C6">
                  <w:rPr>
                    <w:noProof/>
                    <w:webHidden/>
                  </w:rPr>
                  <w:fldChar w:fldCharType="end"/>
                </w:r>
              </w:hyperlink>
            </w:p>
            <w:p w14:paraId="66394191" w14:textId="77777777" w:rsidR="002847C6" w:rsidRDefault="000111E4">
              <w:pPr>
                <w:pStyle w:val="TOC1"/>
                <w:rPr>
                  <w:rFonts w:eastAsiaTheme="minorEastAsia"/>
                  <w:noProof/>
                  <w:lang w:eastAsia="en-AU"/>
                </w:rPr>
              </w:pPr>
              <w:hyperlink w:anchor="_Toc117775505" w:history="1">
                <w:r w:rsidR="002847C6" w:rsidRPr="0094722A">
                  <w:rPr>
                    <w:rStyle w:val="Hyperlink"/>
                    <w:rFonts w:ascii="Calibri" w:eastAsia="Times New Roman" w:hAnsi="Calibri" w:cs="Times New Roman"/>
                    <w:noProof/>
                  </w:rPr>
                  <w:t>About the MSO policy</w:t>
                </w:r>
                <w:r w:rsidR="002847C6">
                  <w:rPr>
                    <w:noProof/>
                    <w:webHidden/>
                  </w:rPr>
                  <w:tab/>
                </w:r>
                <w:r w:rsidR="002847C6">
                  <w:rPr>
                    <w:noProof/>
                    <w:webHidden/>
                  </w:rPr>
                  <w:fldChar w:fldCharType="begin"/>
                </w:r>
                <w:r w:rsidR="002847C6">
                  <w:rPr>
                    <w:noProof/>
                    <w:webHidden/>
                  </w:rPr>
                  <w:instrText xml:space="preserve"> PAGEREF _Toc117775505 \h </w:instrText>
                </w:r>
                <w:r w:rsidR="002847C6">
                  <w:rPr>
                    <w:noProof/>
                    <w:webHidden/>
                  </w:rPr>
                </w:r>
                <w:r w:rsidR="002847C6">
                  <w:rPr>
                    <w:noProof/>
                    <w:webHidden/>
                  </w:rPr>
                  <w:fldChar w:fldCharType="separate"/>
                </w:r>
                <w:r w:rsidR="002847C6">
                  <w:rPr>
                    <w:noProof/>
                    <w:webHidden/>
                  </w:rPr>
                  <w:t>42</w:t>
                </w:r>
                <w:r w:rsidR="002847C6">
                  <w:rPr>
                    <w:noProof/>
                    <w:webHidden/>
                  </w:rPr>
                  <w:fldChar w:fldCharType="end"/>
                </w:r>
              </w:hyperlink>
            </w:p>
            <w:p w14:paraId="3D954080" w14:textId="77777777" w:rsidR="002847C6" w:rsidRDefault="000111E4">
              <w:pPr>
                <w:pStyle w:val="TOC1"/>
                <w:rPr>
                  <w:rFonts w:eastAsiaTheme="minorEastAsia"/>
                  <w:noProof/>
                  <w:lang w:eastAsia="en-AU"/>
                </w:rPr>
              </w:pPr>
              <w:hyperlink w:anchor="_Toc117775506" w:history="1">
                <w:r w:rsidR="002847C6" w:rsidRPr="0094722A">
                  <w:rPr>
                    <w:rStyle w:val="Hyperlink"/>
                    <w:rFonts w:ascii="Calibri" w:eastAsia="Times New Roman" w:hAnsi="Calibri" w:cs="Times New Roman"/>
                    <w:noProof/>
                  </w:rPr>
                  <w:t>Consultation on the MSO policy</w:t>
                </w:r>
                <w:r w:rsidR="002847C6">
                  <w:rPr>
                    <w:noProof/>
                    <w:webHidden/>
                  </w:rPr>
                  <w:tab/>
                </w:r>
                <w:r w:rsidR="002847C6">
                  <w:rPr>
                    <w:noProof/>
                    <w:webHidden/>
                  </w:rPr>
                  <w:fldChar w:fldCharType="begin"/>
                </w:r>
                <w:r w:rsidR="002847C6">
                  <w:rPr>
                    <w:noProof/>
                    <w:webHidden/>
                  </w:rPr>
                  <w:instrText xml:space="preserve"> PAGEREF _Toc117775506 \h </w:instrText>
                </w:r>
                <w:r w:rsidR="002847C6">
                  <w:rPr>
                    <w:noProof/>
                    <w:webHidden/>
                  </w:rPr>
                </w:r>
                <w:r w:rsidR="002847C6">
                  <w:rPr>
                    <w:noProof/>
                    <w:webHidden/>
                  </w:rPr>
                  <w:fldChar w:fldCharType="separate"/>
                </w:r>
                <w:r w:rsidR="002847C6">
                  <w:rPr>
                    <w:noProof/>
                    <w:webHidden/>
                  </w:rPr>
                  <w:t>43</w:t>
                </w:r>
                <w:r w:rsidR="002847C6">
                  <w:rPr>
                    <w:noProof/>
                    <w:webHidden/>
                  </w:rPr>
                  <w:fldChar w:fldCharType="end"/>
                </w:r>
              </w:hyperlink>
            </w:p>
            <w:p w14:paraId="21D84CC3" w14:textId="77777777" w:rsidR="002847C6" w:rsidRDefault="000111E4">
              <w:pPr>
                <w:pStyle w:val="TOC1"/>
                <w:rPr>
                  <w:rFonts w:eastAsiaTheme="minorEastAsia"/>
                  <w:noProof/>
                  <w:lang w:eastAsia="en-AU"/>
                </w:rPr>
              </w:pPr>
              <w:hyperlink w:anchor="_Toc117775507" w:history="1">
                <w:r w:rsidR="002847C6" w:rsidRPr="0094722A">
                  <w:rPr>
                    <w:rStyle w:val="Hyperlink"/>
                    <w:rFonts w:ascii="Calibri" w:eastAsia="Times New Roman" w:hAnsi="Calibri" w:cs="Times New Roman"/>
                    <w:noProof/>
                  </w:rPr>
                  <w:t>Key elements of the MSO policy settings and Rules</w:t>
                </w:r>
                <w:r w:rsidR="002847C6">
                  <w:rPr>
                    <w:noProof/>
                    <w:webHidden/>
                  </w:rPr>
                  <w:tab/>
                </w:r>
                <w:r w:rsidR="002847C6">
                  <w:rPr>
                    <w:noProof/>
                    <w:webHidden/>
                  </w:rPr>
                  <w:fldChar w:fldCharType="begin"/>
                </w:r>
                <w:r w:rsidR="002847C6">
                  <w:rPr>
                    <w:noProof/>
                    <w:webHidden/>
                  </w:rPr>
                  <w:instrText xml:space="preserve"> PAGEREF _Toc117775507 \h </w:instrText>
                </w:r>
                <w:r w:rsidR="002847C6">
                  <w:rPr>
                    <w:noProof/>
                    <w:webHidden/>
                  </w:rPr>
                </w:r>
                <w:r w:rsidR="002847C6">
                  <w:rPr>
                    <w:noProof/>
                    <w:webHidden/>
                  </w:rPr>
                  <w:fldChar w:fldCharType="separate"/>
                </w:r>
                <w:r w:rsidR="002847C6">
                  <w:rPr>
                    <w:noProof/>
                    <w:webHidden/>
                  </w:rPr>
                  <w:t>44</w:t>
                </w:r>
                <w:r w:rsidR="002847C6">
                  <w:rPr>
                    <w:noProof/>
                    <w:webHidden/>
                  </w:rPr>
                  <w:fldChar w:fldCharType="end"/>
                </w:r>
              </w:hyperlink>
            </w:p>
            <w:p w14:paraId="02059BA7" w14:textId="77777777" w:rsidR="002847C6" w:rsidRDefault="000111E4">
              <w:pPr>
                <w:pStyle w:val="TOC1"/>
                <w:rPr>
                  <w:rFonts w:eastAsiaTheme="minorEastAsia"/>
                  <w:noProof/>
                  <w:lang w:eastAsia="en-AU"/>
                </w:rPr>
              </w:pPr>
              <w:hyperlink w:anchor="_Toc117775508" w:history="1">
                <w:r w:rsidR="002847C6" w:rsidRPr="0094722A">
                  <w:rPr>
                    <w:rStyle w:val="Hyperlink"/>
                    <w:rFonts w:ascii="Calibri" w:eastAsia="Times New Roman" w:hAnsi="Calibri" w:cs="Times New Roman"/>
                    <w:noProof/>
                  </w:rPr>
                  <w:t>National benefits of the MSO scheme</w:t>
                </w:r>
                <w:r w:rsidR="002847C6">
                  <w:rPr>
                    <w:noProof/>
                    <w:webHidden/>
                  </w:rPr>
                  <w:tab/>
                </w:r>
                <w:r w:rsidR="002847C6">
                  <w:rPr>
                    <w:noProof/>
                    <w:webHidden/>
                  </w:rPr>
                  <w:fldChar w:fldCharType="begin"/>
                </w:r>
                <w:r w:rsidR="002847C6">
                  <w:rPr>
                    <w:noProof/>
                    <w:webHidden/>
                  </w:rPr>
                  <w:instrText xml:space="preserve"> PAGEREF _Toc117775508 \h </w:instrText>
                </w:r>
                <w:r w:rsidR="002847C6">
                  <w:rPr>
                    <w:noProof/>
                    <w:webHidden/>
                  </w:rPr>
                </w:r>
                <w:r w:rsidR="002847C6">
                  <w:rPr>
                    <w:noProof/>
                    <w:webHidden/>
                  </w:rPr>
                  <w:fldChar w:fldCharType="separate"/>
                </w:r>
                <w:r w:rsidR="002847C6">
                  <w:rPr>
                    <w:noProof/>
                    <w:webHidden/>
                  </w:rPr>
                  <w:t>45</w:t>
                </w:r>
                <w:r w:rsidR="002847C6">
                  <w:rPr>
                    <w:noProof/>
                    <w:webHidden/>
                  </w:rPr>
                  <w:fldChar w:fldCharType="end"/>
                </w:r>
              </w:hyperlink>
            </w:p>
            <w:p w14:paraId="2C30FBBC" w14:textId="77777777" w:rsidR="002847C6" w:rsidRDefault="000111E4">
              <w:pPr>
                <w:pStyle w:val="TOC1"/>
                <w:rPr>
                  <w:rFonts w:eastAsiaTheme="minorEastAsia"/>
                  <w:noProof/>
                  <w:lang w:eastAsia="en-AU"/>
                </w:rPr>
              </w:pPr>
              <w:hyperlink w:anchor="_Toc117775509" w:history="1">
                <w:r w:rsidR="002847C6" w:rsidRPr="0094722A">
                  <w:rPr>
                    <w:rStyle w:val="Hyperlink"/>
                    <w:rFonts w:ascii="Calibri" w:eastAsia="Times New Roman" w:hAnsi="Calibri" w:cs="Times New Roman"/>
                    <w:noProof/>
                  </w:rPr>
                  <w:t>Cost impacts</w:t>
                </w:r>
                <w:r w:rsidR="002847C6">
                  <w:rPr>
                    <w:noProof/>
                    <w:webHidden/>
                  </w:rPr>
                  <w:tab/>
                </w:r>
                <w:r w:rsidR="002847C6">
                  <w:rPr>
                    <w:noProof/>
                    <w:webHidden/>
                  </w:rPr>
                  <w:fldChar w:fldCharType="begin"/>
                </w:r>
                <w:r w:rsidR="002847C6">
                  <w:rPr>
                    <w:noProof/>
                    <w:webHidden/>
                  </w:rPr>
                  <w:instrText xml:space="preserve"> PAGEREF _Toc117775509 \h </w:instrText>
                </w:r>
                <w:r w:rsidR="002847C6">
                  <w:rPr>
                    <w:noProof/>
                    <w:webHidden/>
                  </w:rPr>
                </w:r>
                <w:r w:rsidR="002847C6">
                  <w:rPr>
                    <w:noProof/>
                    <w:webHidden/>
                  </w:rPr>
                  <w:fldChar w:fldCharType="separate"/>
                </w:r>
                <w:r w:rsidR="002847C6">
                  <w:rPr>
                    <w:noProof/>
                    <w:webHidden/>
                  </w:rPr>
                  <w:t>50</w:t>
                </w:r>
                <w:r w:rsidR="002847C6">
                  <w:rPr>
                    <w:noProof/>
                    <w:webHidden/>
                  </w:rPr>
                  <w:fldChar w:fldCharType="end"/>
                </w:r>
              </w:hyperlink>
            </w:p>
            <w:p w14:paraId="6E361943" w14:textId="77777777" w:rsidR="002847C6" w:rsidRDefault="000111E4">
              <w:pPr>
                <w:pStyle w:val="TOC1"/>
                <w:rPr>
                  <w:rFonts w:eastAsiaTheme="minorEastAsia"/>
                  <w:noProof/>
                  <w:lang w:eastAsia="en-AU"/>
                </w:rPr>
              </w:pPr>
              <w:hyperlink w:anchor="_Toc117775510" w:history="1">
                <w:r w:rsidR="002847C6" w:rsidRPr="0094722A">
                  <w:rPr>
                    <w:rStyle w:val="Hyperlink"/>
                    <w:rFonts w:ascii="Calibri" w:eastAsia="Times New Roman" w:hAnsi="Calibri" w:cs="Times New Roman"/>
                    <w:noProof/>
                  </w:rPr>
                  <w:t>Cost to consumer</w:t>
                </w:r>
                <w:r w:rsidR="002847C6">
                  <w:rPr>
                    <w:noProof/>
                    <w:webHidden/>
                  </w:rPr>
                  <w:tab/>
                </w:r>
                <w:r w:rsidR="002847C6">
                  <w:rPr>
                    <w:noProof/>
                    <w:webHidden/>
                  </w:rPr>
                  <w:fldChar w:fldCharType="begin"/>
                </w:r>
                <w:r w:rsidR="002847C6">
                  <w:rPr>
                    <w:noProof/>
                    <w:webHidden/>
                  </w:rPr>
                  <w:instrText xml:space="preserve"> PAGEREF _Toc117775510 \h </w:instrText>
                </w:r>
                <w:r w:rsidR="002847C6">
                  <w:rPr>
                    <w:noProof/>
                    <w:webHidden/>
                  </w:rPr>
                </w:r>
                <w:r w:rsidR="002847C6">
                  <w:rPr>
                    <w:noProof/>
                    <w:webHidden/>
                  </w:rPr>
                  <w:fldChar w:fldCharType="separate"/>
                </w:r>
                <w:r w:rsidR="002847C6">
                  <w:rPr>
                    <w:noProof/>
                    <w:webHidden/>
                  </w:rPr>
                  <w:t>52</w:t>
                </w:r>
                <w:r w:rsidR="002847C6">
                  <w:rPr>
                    <w:noProof/>
                    <w:webHidden/>
                  </w:rPr>
                  <w:fldChar w:fldCharType="end"/>
                </w:r>
              </w:hyperlink>
            </w:p>
            <w:p w14:paraId="2C741880" w14:textId="77777777" w:rsidR="002847C6" w:rsidRDefault="000111E4">
              <w:pPr>
                <w:pStyle w:val="TOC1"/>
                <w:rPr>
                  <w:rFonts w:eastAsiaTheme="minorEastAsia"/>
                  <w:noProof/>
                  <w:lang w:eastAsia="en-AU"/>
                </w:rPr>
              </w:pPr>
              <w:hyperlink w:anchor="_Toc117775511" w:history="1">
                <w:r w:rsidR="002847C6" w:rsidRPr="0094722A">
                  <w:rPr>
                    <w:rStyle w:val="Hyperlink"/>
                    <w:rFonts w:ascii="Calibri" w:eastAsia="Times New Roman" w:hAnsi="Calibri" w:cs="Times New Roman"/>
                    <w:noProof/>
                  </w:rPr>
                  <w:t>Functioning intermediary market</w:t>
                </w:r>
                <w:r w:rsidR="002847C6">
                  <w:rPr>
                    <w:noProof/>
                    <w:webHidden/>
                  </w:rPr>
                  <w:tab/>
                </w:r>
                <w:r w:rsidR="002847C6">
                  <w:rPr>
                    <w:noProof/>
                    <w:webHidden/>
                  </w:rPr>
                  <w:fldChar w:fldCharType="begin"/>
                </w:r>
                <w:r w:rsidR="002847C6">
                  <w:rPr>
                    <w:noProof/>
                    <w:webHidden/>
                  </w:rPr>
                  <w:instrText xml:space="preserve"> PAGEREF _Toc117775511 \h </w:instrText>
                </w:r>
                <w:r w:rsidR="002847C6">
                  <w:rPr>
                    <w:noProof/>
                    <w:webHidden/>
                  </w:rPr>
                </w:r>
                <w:r w:rsidR="002847C6">
                  <w:rPr>
                    <w:noProof/>
                    <w:webHidden/>
                  </w:rPr>
                  <w:fldChar w:fldCharType="separate"/>
                </w:r>
                <w:r w:rsidR="002847C6">
                  <w:rPr>
                    <w:noProof/>
                    <w:webHidden/>
                  </w:rPr>
                  <w:t>53</w:t>
                </w:r>
                <w:r w:rsidR="002847C6">
                  <w:rPr>
                    <w:noProof/>
                    <w:webHidden/>
                  </w:rPr>
                  <w:fldChar w:fldCharType="end"/>
                </w:r>
              </w:hyperlink>
            </w:p>
            <w:p w14:paraId="7CDCB565" w14:textId="77777777" w:rsidR="002847C6" w:rsidRDefault="000111E4">
              <w:pPr>
                <w:pStyle w:val="TOC1"/>
                <w:rPr>
                  <w:rFonts w:eastAsiaTheme="minorEastAsia"/>
                  <w:noProof/>
                  <w:lang w:eastAsia="en-AU"/>
                </w:rPr>
              </w:pPr>
              <w:hyperlink w:anchor="_Toc117775512" w:history="1">
                <w:r w:rsidR="002847C6" w:rsidRPr="0094722A">
                  <w:rPr>
                    <w:rStyle w:val="Hyperlink"/>
                    <w:rFonts w:ascii="Calibri" w:eastAsia="Times New Roman" w:hAnsi="Calibri" w:cs="Times New Roman"/>
                    <w:noProof/>
                  </w:rPr>
                  <w:t>Sensitivity analysis</w:t>
                </w:r>
                <w:r w:rsidR="002847C6">
                  <w:rPr>
                    <w:noProof/>
                    <w:webHidden/>
                  </w:rPr>
                  <w:tab/>
                </w:r>
                <w:r w:rsidR="002847C6">
                  <w:rPr>
                    <w:noProof/>
                    <w:webHidden/>
                  </w:rPr>
                  <w:fldChar w:fldCharType="begin"/>
                </w:r>
                <w:r w:rsidR="002847C6">
                  <w:rPr>
                    <w:noProof/>
                    <w:webHidden/>
                  </w:rPr>
                  <w:instrText xml:space="preserve"> PAGEREF _Toc117775512 \h </w:instrText>
                </w:r>
                <w:r w:rsidR="002847C6">
                  <w:rPr>
                    <w:noProof/>
                    <w:webHidden/>
                  </w:rPr>
                </w:r>
                <w:r w:rsidR="002847C6">
                  <w:rPr>
                    <w:noProof/>
                    <w:webHidden/>
                  </w:rPr>
                  <w:fldChar w:fldCharType="separate"/>
                </w:r>
                <w:r w:rsidR="002847C6">
                  <w:rPr>
                    <w:noProof/>
                    <w:webHidden/>
                  </w:rPr>
                  <w:t>54</w:t>
                </w:r>
                <w:r w:rsidR="002847C6">
                  <w:rPr>
                    <w:noProof/>
                    <w:webHidden/>
                  </w:rPr>
                  <w:fldChar w:fldCharType="end"/>
                </w:r>
              </w:hyperlink>
            </w:p>
            <w:p w14:paraId="3A27EE29" w14:textId="77777777" w:rsidR="002847C6" w:rsidRDefault="000111E4">
              <w:pPr>
                <w:pStyle w:val="TOC1"/>
                <w:rPr>
                  <w:rFonts w:eastAsiaTheme="minorEastAsia"/>
                  <w:noProof/>
                  <w:lang w:eastAsia="en-AU"/>
                </w:rPr>
              </w:pPr>
              <w:hyperlink w:anchor="_Toc117775513" w:history="1">
                <w:r w:rsidR="002847C6" w:rsidRPr="0094722A">
                  <w:rPr>
                    <w:rStyle w:val="Hyperlink"/>
                    <w:rFonts w:ascii="Calibri" w:eastAsia="Times New Roman" w:hAnsi="Calibri" w:cs="Times New Roman"/>
                    <w:noProof/>
                  </w:rPr>
                  <w:t>Implications for current market competition</w:t>
                </w:r>
                <w:r w:rsidR="002847C6">
                  <w:rPr>
                    <w:noProof/>
                    <w:webHidden/>
                  </w:rPr>
                  <w:tab/>
                </w:r>
                <w:r w:rsidR="002847C6">
                  <w:rPr>
                    <w:noProof/>
                    <w:webHidden/>
                  </w:rPr>
                  <w:fldChar w:fldCharType="begin"/>
                </w:r>
                <w:r w:rsidR="002847C6">
                  <w:rPr>
                    <w:noProof/>
                    <w:webHidden/>
                  </w:rPr>
                  <w:instrText xml:space="preserve"> PAGEREF _Toc117775513 \h </w:instrText>
                </w:r>
                <w:r w:rsidR="002847C6">
                  <w:rPr>
                    <w:noProof/>
                    <w:webHidden/>
                  </w:rPr>
                </w:r>
                <w:r w:rsidR="002847C6">
                  <w:rPr>
                    <w:noProof/>
                    <w:webHidden/>
                  </w:rPr>
                  <w:fldChar w:fldCharType="separate"/>
                </w:r>
                <w:r w:rsidR="002847C6">
                  <w:rPr>
                    <w:noProof/>
                    <w:webHidden/>
                  </w:rPr>
                  <w:t>56</w:t>
                </w:r>
                <w:r w:rsidR="002847C6">
                  <w:rPr>
                    <w:noProof/>
                    <w:webHidden/>
                  </w:rPr>
                  <w:fldChar w:fldCharType="end"/>
                </w:r>
              </w:hyperlink>
            </w:p>
            <w:p w14:paraId="28E86826" w14:textId="77777777" w:rsidR="002847C6" w:rsidRDefault="000111E4">
              <w:pPr>
                <w:pStyle w:val="TOC1"/>
                <w:rPr>
                  <w:rFonts w:eastAsiaTheme="minorEastAsia"/>
                  <w:noProof/>
                  <w:lang w:eastAsia="en-AU"/>
                </w:rPr>
              </w:pPr>
              <w:hyperlink w:anchor="_Toc117775514" w:history="1">
                <w:r w:rsidR="002847C6" w:rsidRPr="0094722A">
                  <w:rPr>
                    <w:rStyle w:val="Hyperlink"/>
                    <w:rFonts w:ascii="Calibri" w:eastAsia="Times New Roman" w:hAnsi="Calibri" w:cs="Times New Roman"/>
                    <w:noProof/>
                  </w:rPr>
                  <w:t>Regulation impact summary</w:t>
                </w:r>
                <w:r w:rsidR="002847C6">
                  <w:rPr>
                    <w:noProof/>
                    <w:webHidden/>
                  </w:rPr>
                  <w:tab/>
                </w:r>
                <w:r w:rsidR="002847C6">
                  <w:rPr>
                    <w:noProof/>
                    <w:webHidden/>
                  </w:rPr>
                  <w:fldChar w:fldCharType="begin"/>
                </w:r>
                <w:r w:rsidR="002847C6">
                  <w:rPr>
                    <w:noProof/>
                    <w:webHidden/>
                  </w:rPr>
                  <w:instrText xml:space="preserve"> PAGEREF _Toc117775514 \h </w:instrText>
                </w:r>
                <w:r w:rsidR="002847C6">
                  <w:rPr>
                    <w:noProof/>
                    <w:webHidden/>
                  </w:rPr>
                </w:r>
                <w:r w:rsidR="002847C6">
                  <w:rPr>
                    <w:noProof/>
                    <w:webHidden/>
                  </w:rPr>
                  <w:fldChar w:fldCharType="separate"/>
                </w:r>
                <w:r w:rsidR="002847C6">
                  <w:rPr>
                    <w:noProof/>
                    <w:webHidden/>
                  </w:rPr>
                  <w:t>58</w:t>
                </w:r>
                <w:r w:rsidR="002847C6">
                  <w:rPr>
                    <w:noProof/>
                    <w:webHidden/>
                  </w:rPr>
                  <w:fldChar w:fldCharType="end"/>
                </w:r>
              </w:hyperlink>
            </w:p>
            <w:p w14:paraId="76F037B1" w14:textId="77777777" w:rsidR="002847C6" w:rsidRDefault="000111E4">
              <w:pPr>
                <w:pStyle w:val="TOC1"/>
                <w:rPr>
                  <w:rFonts w:eastAsiaTheme="minorEastAsia"/>
                  <w:noProof/>
                  <w:lang w:eastAsia="en-AU"/>
                </w:rPr>
              </w:pPr>
              <w:hyperlink w:anchor="_Toc117775515" w:history="1">
                <w:r w:rsidR="002847C6" w:rsidRPr="0094722A">
                  <w:rPr>
                    <w:rStyle w:val="Hyperlink"/>
                    <w:rFonts w:ascii="Calibri" w:eastAsia="Times New Roman" w:hAnsi="Calibri" w:cs="Times New Roman"/>
                    <w:noProof/>
                  </w:rPr>
                  <w:t>Appendix A: Overview of key policy changes as result of industry consultation</w:t>
                </w:r>
                <w:r w:rsidR="002847C6">
                  <w:rPr>
                    <w:noProof/>
                    <w:webHidden/>
                  </w:rPr>
                  <w:tab/>
                </w:r>
                <w:r w:rsidR="002847C6">
                  <w:rPr>
                    <w:noProof/>
                    <w:webHidden/>
                  </w:rPr>
                  <w:fldChar w:fldCharType="begin"/>
                </w:r>
                <w:r w:rsidR="002847C6">
                  <w:rPr>
                    <w:noProof/>
                    <w:webHidden/>
                  </w:rPr>
                  <w:instrText xml:space="preserve"> PAGEREF _Toc117775515 \h </w:instrText>
                </w:r>
                <w:r w:rsidR="002847C6">
                  <w:rPr>
                    <w:noProof/>
                    <w:webHidden/>
                  </w:rPr>
                </w:r>
                <w:r w:rsidR="002847C6">
                  <w:rPr>
                    <w:noProof/>
                    <w:webHidden/>
                  </w:rPr>
                  <w:fldChar w:fldCharType="separate"/>
                </w:r>
                <w:r w:rsidR="002847C6">
                  <w:rPr>
                    <w:noProof/>
                    <w:webHidden/>
                  </w:rPr>
                  <w:t>59</w:t>
                </w:r>
                <w:r w:rsidR="002847C6">
                  <w:rPr>
                    <w:noProof/>
                    <w:webHidden/>
                  </w:rPr>
                  <w:fldChar w:fldCharType="end"/>
                </w:r>
              </w:hyperlink>
            </w:p>
            <w:p w14:paraId="789582D9" w14:textId="77777777" w:rsidR="002847C6" w:rsidRDefault="000111E4">
              <w:pPr>
                <w:pStyle w:val="TOC1"/>
                <w:rPr>
                  <w:rFonts w:eastAsiaTheme="minorEastAsia"/>
                  <w:noProof/>
                  <w:lang w:eastAsia="en-AU"/>
                </w:rPr>
              </w:pPr>
              <w:hyperlink w:anchor="_Toc117775516" w:history="1">
                <w:r w:rsidR="002847C6" w:rsidRPr="0094722A">
                  <w:rPr>
                    <w:rStyle w:val="Hyperlink"/>
                    <w:rFonts w:ascii="Calibri" w:eastAsia="Times New Roman" w:hAnsi="Calibri" w:cs="Times New Roman"/>
                    <w:noProof/>
                  </w:rPr>
                  <w:t>Appendix B: Overview of further changes as result of public consultation on exposure draft Rules</w:t>
                </w:r>
                <w:r w:rsidR="002847C6">
                  <w:rPr>
                    <w:noProof/>
                    <w:webHidden/>
                  </w:rPr>
                  <w:tab/>
                </w:r>
                <w:r w:rsidR="002847C6">
                  <w:rPr>
                    <w:noProof/>
                    <w:webHidden/>
                  </w:rPr>
                  <w:fldChar w:fldCharType="begin"/>
                </w:r>
                <w:r w:rsidR="002847C6">
                  <w:rPr>
                    <w:noProof/>
                    <w:webHidden/>
                  </w:rPr>
                  <w:instrText xml:space="preserve"> PAGEREF _Toc117775516 \h </w:instrText>
                </w:r>
                <w:r w:rsidR="002847C6">
                  <w:rPr>
                    <w:noProof/>
                    <w:webHidden/>
                  </w:rPr>
                </w:r>
                <w:r w:rsidR="002847C6">
                  <w:rPr>
                    <w:noProof/>
                    <w:webHidden/>
                  </w:rPr>
                  <w:fldChar w:fldCharType="separate"/>
                </w:r>
                <w:r w:rsidR="002847C6">
                  <w:rPr>
                    <w:noProof/>
                    <w:webHidden/>
                  </w:rPr>
                  <w:t>61</w:t>
                </w:r>
                <w:r w:rsidR="002847C6">
                  <w:rPr>
                    <w:noProof/>
                    <w:webHidden/>
                  </w:rPr>
                  <w:fldChar w:fldCharType="end"/>
                </w:r>
              </w:hyperlink>
            </w:p>
            <w:p w14:paraId="1AC9C149" w14:textId="77777777" w:rsidR="002847C6" w:rsidRDefault="000111E4">
              <w:pPr>
                <w:pStyle w:val="TOC1"/>
                <w:rPr>
                  <w:rFonts w:eastAsiaTheme="minorEastAsia"/>
                  <w:noProof/>
                  <w:lang w:eastAsia="en-AU"/>
                </w:rPr>
              </w:pPr>
              <w:hyperlink w:anchor="_Toc117775517" w:history="1">
                <w:r w:rsidR="002847C6" w:rsidRPr="0094722A">
                  <w:rPr>
                    <w:rStyle w:val="Hyperlink"/>
                    <w:rFonts w:ascii="Calibri" w:eastAsia="Times New Roman" w:hAnsi="Calibri" w:cs="Times New Roman"/>
                    <w:noProof/>
                  </w:rPr>
                  <w:t>Appendix C: Overview of changes arising from August 2022 consultation</w:t>
                </w:r>
                <w:r w:rsidR="002847C6">
                  <w:rPr>
                    <w:noProof/>
                    <w:webHidden/>
                  </w:rPr>
                  <w:tab/>
                </w:r>
                <w:r w:rsidR="002847C6">
                  <w:rPr>
                    <w:noProof/>
                    <w:webHidden/>
                  </w:rPr>
                  <w:fldChar w:fldCharType="begin"/>
                </w:r>
                <w:r w:rsidR="002847C6">
                  <w:rPr>
                    <w:noProof/>
                    <w:webHidden/>
                  </w:rPr>
                  <w:instrText xml:space="preserve"> PAGEREF _Toc117775517 \h </w:instrText>
                </w:r>
                <w:r w:rsidR="002847C6">
                  <w:rPr>
                    <w:noProof/>
                    <w:webHidden/>
                  </w:rPr>
                </w:r>
                <w:r w:rsidR="002847C6">
                  <w:rPr>
                    <w:noProof/>
                    <w:webHidden/>
                  </w:rPr>
                  <w:fldChar w:fldCharType="separate"/>
                </w:r>
                <w:r w:rsidR="002847C6">
                  <w:rPr>
                    <w:noProof/>
                    <w:webHidden/>
                  </w:rPr>
                  <w:t>63</w:t>
                </w:r>
                <w:r w:rsidR="002847C6">
                  <w:rPr>
                    <w:noProof/>
                    <w:webHidden/>
                  </w:rPr>
                  <w:fldChar w:fldCharType="end"/>
                </w:r>
              </w:hyperlink>
            </w:p>
            <w:p w14:paraId="4D5D239D" w14:textId="77777777" w:rsidR="00093241" w:rsidRPr="00093241" w:rsidRDefault="00093241" w:rsidP="00093241">
              <w:pPr>
                <w:rPr>
                  <w:rFonts w:ascii="Calibri" w:eastAsia="Calibri" w:hAnsi="Calibri" w:cs="Times New Roman"/>
                  <w:b/>
                  <w:bCs/>
                  <w:noProof/>
                </w:rPr>
              </w:pPr>
              <w:r w:rsidRPr="00093241">
                <w:rPr>
                  <w:rFonts w:ascii="Calibri" w:eastAsia="Calibri" w:hAnsi="Calibri" w:cs="Times New Roman"/>
                  <w:b/>
                </w:rPr>
                <w:fldChar w:fldCharType="end"/>
              </w:r>
            </w:p>
          </w:sdtContent>
        </w:sdt>
        <w:p w14:paraId="092C0A77" w14:textId="77777777" w:rsidR="00093241" w:rsidRPr="00093241" w:rsidRDefault="00093241" w:rsidP="00093241">
          <w:pPr>
            <w:rPr>
              <w:rFonts w:ascii="Calibri" w:eastAsia="Calibri" w:hAnsi="Calibri" w:cs="Times New Roman"/>
            </w:rPr>
          </w:pPr>
        </w:p>
        <w:p w14:paraId="799A3531" w14:textId="77777777" w:rsidR="00093241" w:rsidRPr="00093241" w:rsidRDefault="00093241" w:rsidP="00093241">
          <w:pPr>
            <w:keepNext/>
            <w:keepLines/>
            <w:spacing w:before="240" w:after="80"/>
            <w:outlineLvl w:val="0"/>
            <w:rPr>
              <w:rFonts w:ascii="Calibri" w:eastAsia="Times New Roman" w:hAnsi="Calibri" w:cs="Times New Roman"/>
              <w:color w:val="083A42"/>
              <w:sz w:val="48"/>
              <w:szCs w:val="32"/>
            </w:rPr>
          </w:pPr>
          <w:r w:rsidRPr="00093241">
            <w:rPr>
              <w:rFonts w:ascii="Calibri" w:eastAsia="Times New Roman" w:hAnsi="Calibri" w:cs="Times New Roman"/>
              <w:color w:val="083A42"/>
              <w:sz w:val="48"/>
              <w:szCs w:val="32"/>
            </w:rPr>
            <w:br w:type="page"/>
          </w:r>
          <w:bookmarkStart w:id="12" w:name="_Toc117259528"/>
          <w:bookmarkStart w:id="13" w:name="_Toc117262227"/>
          <w:bookmarkStart w:id="14" w:name="_Toc117262586"/>
          <w:bookmarkStart w:id="15" w:name="_Toc117512013"/>
          <w:bookmarkStart w:id="16" w:name="_Toc117516963"/>
          <w:bookmarkStart w:id="17" w:name="_Toc117775503"/>
          <w:r w:rsidRPr="00093241">
            <w:rPr>
              <w:rFonts w:ascii="Calibri" w:eastAsia="Times New Roman" w:hAnsi="Calibri" w:cs="Times New Roman"/>
              <w:color w:val="083A42"/>
              <w:sz w:val="36"/>
              <w:szCs w:val="32"/>
            </w:rPr>
            <w:lastRenderedPageBreak/>
            <w:t>Executive Summary</w:t>
          </w:r>
          <w:bookmarkEnd w:id="12"/>
          <w:bookmarkEnd w:id="13"/>
          <w:bookmarkEnd w:id="14"/>
          <w:bookmarkEnd w:id="15"/>
          <w:bookmarkEnd w:id="16"/>
          <w:bookmarkEnd w:id="17"/>
        </w:p>
        <w:p w14:paraId="2BF7A152" w14:textId="77777777" w:rsidR="00093241" w:rsidRPr="00093241" w:rsidRDefault="00093241" w:rsidP="00093241">
          <w:pPr>
            <w:spacing w:before="90" w:after="130" w:line="280" w:lineRule="atLeast"/>
            <w:rPr>
              <w:rFonts w:ascii="Calibri" w:eastAsia="Calibri" w:hAnsi="Calibri" w:cs="Calibri"/>
            </w:rPr>
          </w:pPr>
          <w:r w:rsidRPr="00093241">
            <w:rPr>
              <w:rFonts w:ascii="Calibri" w:eastAsia="Calibri" w:hAnsi="Calibri" w:cs="Calibri"/>
            </w:rPr>
            <w:t>The Minimum Stockholding Obligation (MSO) will quickly provide a positive financial impact to the national economy in the event of a major disruption to fuel supplies, with the benefits outweighing the expected relatively smaller costs.</w:t>
          </w:r>
        </w:p>
        <w:p w14:paraId="55F49ED4" w14:textId="77777777" w:rsidR="00093241" w:rsidRPr="00093241" w:rsidRDefault="00093241" w:rsidP="00093241">
          <w:pPr>
            <w:spacing w:before="90" w:after="130" w:line="280" w:lineRule="atLeast"/>
            <w:rPr>
              <w:rFonts w:ascii="Calibri" w:eastAsia="Calibri" w:hAnsi="Calibri" w:cs="Calibri"/>
            </w:rPr>
          </w:pPr>
          <w:r w:rsidRPr="00093241">
            <w:rPr>
              <w:rFonts w:ascii="Calibri" w:eastAsia="Calibri" w:hAnsi="Calibri" w:cs="Calibri"/>
            </w:rPr>
            <w:t xml:space="preserve">The MSO scheme is equivalent to comprehensive insurance. In the same way as asset owners insure their property against hazards, it involves a small ongoing cost to deliver adequate mitigation, providing resilience in instances where unpredictable events occur. </w:t>
          </w:r>
        </w:p>
        <w:p w14:paraId="247E1544" w14:textId="77777777" w:rsidR="00093241" w:rsidRPr="00093241" w:rsidRDefault="00093241" w:rsidP="00093241">
          <w:pPr>
            <w:spacing w:before="90" w:after="130" w:line="280" w:lineRule="atLeast"/>
            <w:rPr>
              <w:rFonts w:ascii="Calibri" w:eastAsia="Calibri" w:hAnsi="Calibri" w:cs="Calibri"/>
            </w:rPr>
          </w:pPr>
          <w:r w:rsidRPr="00093241">
            <w:rPr>
              <w:rFonts w:ascii="Calibri" w:eastAsia="Calibri" w:hAnsi="Calibri" w:cs="Calibri"/>
            </w:rPr>
            <w:t xml:space="preserve">The MSO aims to provide certainty of fuel stocks and confidence to fuel users and government about our resilience to potential supply disruptions. It delivers a level of assurance that when a significant disruption occurs, there is sufficient fuel stock in place to keep Australia and the economy going for longer. </w:t>
          </w:r>
        </w:p>
        <w:p w14:paraId="14029AE9" w14:textId="77777777" w:rsidR="00093241" w:rsidRPr="00093241" w:rsidRDefault="00093241" w:rsidP="00093241">
          <w:pPr>
            <w:spacing w:before="90" w:after="130" w:line="280" w:lineRule="atLeast"/>
            <w:rPr>
              <w:rFonts w:ascii="Calibri" w:eastAsia="Calibri" w:hAnsi="Calibri" w:cs="Calibri"/>
            </w:rPr>
          </w:pPr>
          <w:r w:rsidRPr="00093241">
            <w:rPr>
              <w:rFonts w:ascii="Calibri" w:eastAsia="Calibri" w:hAnsi="Calibri" w:cs="Calibri"/>
            </w:rPr>
            <w:t xml:space="preserve">The net benefits of the scheme can be derived through determining the anticipated benefits of the scheme during a hypothetical major disruption, and comparing them to estimated costs of industry compliance. </w:t>
          </w:r>
        </w:p>
        <w:p w14:paraId="42FDA1E1" w14:textId="77777777" w:rsidR="00093241" w:rsidRPr="00093241" w:rsidRDefault="00093241" w:rsidP="00093241">
          <w:pPr>
            <w:rPr>
              <w:rFonts w:ascii="Calibri" w:eastAsia="Calibri" w:hAnsi="Calibri" w:cs="Times New Roman"/>
            </w:rPr>
          </w:pPr>
        </w:p>
        <w:p w14:paraId="17380849" w14:textId="77777777" w:rsidR="00093241" w:rsidRPr="00093241" w:rsidRDefault="00093241" w:rsidP="00093241">
          <w:pPr>
            <w:keepNext/>
            <w:keepLines/>
            <w:spacing w:before="240" w:after="80"/>
            <w:outlineLvl w:val="0"/>
            <w:rPr>
              <w:rFonts w:ascii="Calibri" w:eastAsia="Times New Roman" w:hAnsi="Calibri" w:cs="Times New Roman"/>
              <w:color w:val="083A42"/>
              <w:sz w:val="48"/>
              <w:szCs w:val="32"/>
            </w:rPr>
          </w:pPr>
          <w:r w:rsidRPr="00093241">
            <w:rPr>
              <w:rFonts w:ascii="Calibri" w:eastAsia="Times New Roman" w:hAnsi="Calibri" w:cs="Times New Roman"/>
              <w:color w:val="083A42"/>
              <w:sz w:val="48"/>
              <w:szCs w:val="32"/>
            </w:rPr>
            <w:br w:type="page"/>
          </w:r>
          <w:bookmarkStart w:id="18" w:name="_Toc96091484"/>
          <w:bookmarkStart w:id="19" w:name="_Toc96504617"/>
          <w:bookmarkStart w:id="20" w:name="_Toc98512030"/>
          <w:bookmarkStart w:id="21" w:name="_Toc98518274"/>
          <w:bookmarkStart w:id="22" w:name="_Toc117259529"/>
          <w:bookmarkStart w:id="23" w:name="_Toc117262228"/>
          <w:bookmarkStart w:id="24" w:name="_Toc117262587"/>
          <w:bookmarkStart w:id="25" w:name="_Toc117512014"/>
          <w:bookmarkStart w:id="26" w:name="_Toc117516964"/>
          <w:bookmarkStart w:id="27" w:name="_Toc117775504"/>
          <w:r w:rsidRPr="00093241">
            <w:rPr>
              <w:rFonts w:ascii="Calibri" w:eastAsia="Times New Roman" w:hAnsi="Calibri" w:cs="Times New Roman"/>
              <w:color w:val="083A42"/>
              <w:sz w:val="36"/>
              <w:szCs w:val="32"/>
            </w:rPr>
            <w:lastRenderedPageBreak/>
            <w:t>Background</w:t>
          </w:r>
          <w:bookmarkEnd w:id="18"/>
          <w:bookmarkEnd w:id="19"/>
          <w:bookmarkEnd w:id="20"/>
          <w:bookmarkEnd w:id="21"/>
          <w:bookmarkEnd w:id="22"/>
          <w:bookmarkEnd w:id="23"/>
          <w:bookmarkEnd w:id="24"/>
          <w:bookmarkEnd w:id="25"/>
          <w:bookmarkEnd w:id="26"/>
          <w:bookmarkEnd w:id="27"/>
        </w:p>
        <w:p w14:paraId="5BA2A04D"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On 26 May 2021, the Australian Government published a Regulation Impact Statement (RIS) in relation to Australia’s Fuel Security Package and the </w:t>
          </w:r>
          <w:r w:rsidRPr="00093241">
            <w:rPr>
              <w:rFonts w:ascii="Calibri" w:eastAsia="Calibri" w:hAnsi="Calibri" w:cs="Times New Roman"/>
              <w:i/>
            </w:rPr>
            <w:t xml:space="preserve">Fuel Security Act 2021 </w:t>
          </w:r>
          <w:r w:rsidRPr="00093241">
            <w:rPr>
              <w:rFonts w:ascii="Calibri" w:eastAsia="Calibri" w:hAnsi="Calibri" w:cs="Times New Roman"/>
            </w:rPr>
            <w:t xml:space="preserve">(the Act). This RIS addendum provides additional information and analysis on one measure of the Act, the MSO. </w:t>
          </w:r>
        </w:p>
        <w:p w14:paraId="08EC8444"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While the Act introduces the legislative framework for the MSO, the </w:t>
          </w:r>
          <w:r w:rsidRPr="00093241">
            <w:rPr>
              <w:rFonts w:ascii="Calibri" w:eastAsia="Calibri" w:hAnsi="Calibri" w:cs="Times New Roman"/>
              <w:i/>
            </w:rPr>
            <w:t>Fuel Security (MSO) Rules 2022</w:t>
          </w:r>
          <w:r w:rsidRPr="00093241">
            <w:rPr>
              <w:rFonts w:ascii="Calibri" w:eastAsia="Calibri" w:hAnsi="Calibri" w:cs="Times New Roman"/>
            </w:rPr>
            <w:t xml:space="preserve"> (the Rules) provide further detailed policy settings related to the scheme.</w:t>
          </w:r>
        </w:p>
        <w:p w14:paraId="749AD375"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MSO is an important fuel security measure that will protect fuel consumers and the Australian economy by delivering a domestic fuel stockholding, improving Australia’s capability to respond to significant liquid fuel supply disruptions. The MSO has been specifically designed to safeguard minimum levels of key transport fuels to ensure the Australian economy is able to keep moving in the face of international or local supply issues. </w:t>
          </w:r>
        </w:p>
        <w:p w14:paraId="72AF168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MSO adds an extra ‘tool’ to the Australian Government’s emergency response options and gives greater oversight of actual fuel stock levels. This transparency is key in the lead up to and during an emergency situation. The fuel stocks established by the MSO can be relied upon in times of supply disruption, emergencies, and if fuel demand unexpectedly increases. It will provide certainty to fuel consumers and governments as to sovereign resilience and fuel availability.</w:t>
          </w:r>
          <w:r w:rsidRPr="00093241" w:rsidDel="004A371F">
            <w:rPr>
              <w:rFonts w:ascii="Calibri" w:eastAsia="Calibri" w:hAnsi="Calibri" w:cs="Times New Roman"/>
            </w:rPr>
            <w:t xml:space="preserve"> </w:t>
          </w:r>
          <w:r w:rsidRPr="00093241">
            <w:rPr>
              <w:rFonts w:ascii="Calibri" w:eastAsia="Calibri" w:hAnsi="Calibri" w:cs="Times New Roman"/>
            </w:rPr>
            <w:t xml:space="preserve">Setting a fuel </w:t>
          </w:r>
          <w:r w:rsidRPr="00093241" w:rsidDel="001A6FC1">
            <w:rPr>
              <w:rFonts w:ascii="Calibri" w:eastAsia="Calibri" w:hAnsi="Calibri" w:cs="Times New Roman"/>
            </w:rPr>
            <w:t xml:space="preserve">stockholding obligation </w:t>
          </w:r>
          <w:r w:rsidRPr="00093241">
            <w:rPr>
              <w:rFonts w:ascii="Calibri" w:eastAsia="Calibri" w:hAnsi="Calibri" w:cs="Times New Roman"/>
            </w:rPr>
            <w:t xml:space="preserve">is a common international practice. </w:t>
          </w:r>
        </w:p>
        <w:p w14:paraId="42002FF4"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As outlined in the main RIS in relation to the Act, liquid fuel security is about making sure Australia has the fuel it needs to meet its economic, environmental, social and national security objectives. For many Australians, fuel security means having the confidence there will be enough fuel for their journey to work, and ensuring businesses large and small can keep running day to day. It also means knowing when things go wrong, there is a plan in place to keep Australia moving.</w:t>
          </w:r>
        </w:p>
        <w:p w14:paraId="1C3C87AC"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This addendum sets out the key policy settings, outlines engagement with fuel industry in the development of the policy, and estimates and assesses the regulatory costs and benefits of the MSO to the Australian economy. </w:t>
          </w:r>
        </w:p>
        <w:p w14:paraId="592D97C4"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Modelling supporting the addendum draws from various sources, including departmental data and data provided by industry through formal reporting mechanisms and consultations. </w:t>
          </w:r>
        </w:p>
        <w:p w14:paraId="45242294" w14:textId="77777777" w:rsidR="00093241" w:rsidRPr="00093241" w:rsidRDefault="00093241" w:rsidP="00093241">
          <w:pPr>
            <w:rPr>
              <w:rFonts w:ascii="Calibri" w:eastAsia="Calibri" w:hAnsi="Calibri" w:cs="Times New Roman"/>
            </w:rPr>
          </w:pPr>
          <w:bookmarkStart w:id="28" w:name="_Toc92306603"/>
          <w:r w:rsidRPr="00093241">
            <w:rPr>
              <w:rFonts w:ascii="Calibri" w:eastAsia="Calibri" w:hAnsi="Calibri" w:cs="Times New Roman"/>
            </w:rPr>
            <w:br w:type="page"/>
          </w:r>
        </w:p>
        <w:p w14:paraId="164F6295" w14:textId="77777777" w:rsidR="00093241" w:rsidRPr="00093241" w:rsidRDefault="00093241" w:rsidP="00093241">
          <w:pPr>
            <w:keepNext/>
            <w:keepLines/>
            <w:spacing w:before="480" w:after="40"/>
            <w:outlineLvl w:val="0"/>
            <w:rPr>
              <w:rFonts w:ascii="Calibri" w:eastAsia="Times New Roman" w:hAnsi="Calibri" w:cs="Times New Roman"/>
              <w:color w:val="083A42"/>
              <w:sz w:val="36"/>
              <w:szCs w:val="36"/>
            </w:rPr>
          </w:pPr>
          <w:bookmarkStart w:id="29" w:name="_Toc96091485"/>
          <w:bookmarkStart w:id="30" w:name="_Toc96504618"/>
          <w:bookmarkStart w:id="31" w:name="_Toc98512031"/>
          <w:bookmarkStart w:id="32" w:name="_Toc98518275"/>
          <w:bookmarkStart w:id="33" w:name="_Toc117259530"/>
          <w:bookmarkStart w:id="34" w:name="_Toc117262229"/>
          <w:bookmarkStart w:id="35" w:name="_Toc117262588"/>
          <w:bookmarkStart w:id="36" w:name="_Toc117512015"/>
          <w:bookmarkStart w:id="37" w:name="_Toc117516965"/>
          <w:bookmarkStart w:id="38" w:name="_Toc117775505"/>
          <w:r w:rsidRPr="00093241">
            <w:rPr>
              <w:rFonts w:ascii="Calibri" w:eastAsia="Times New Roman" w:hAnsi="Calibri" w:cs="Times New Roman"/>
              <w:color w:val="083A42"/>
              <w:sz w:val="36"/>
              <w:szCs w:val="36"/>
            </w:rPr>
            <w:lastRenderedPageBreak/>
            <w:t xml:space="preserve">About the </w:t>
          </w:r>
          <w:bookmarkEnd w:id="28"/>
          <w:r w:rsidRPr="00093241">
            <w:rPr>
              <w:rFonts w:ascii="Calibri" w:eastAsia="Times New Roman" w:hAnsi="Calibri" w:cs="Times New Roman"/>
              <w:color w:val="083A42"/>
              <w:sz w:val="36"/>
              <w:szCs w:val="36"/>
            </w:rPr>
            <w:t>MSO policy</w:t>
          </w:r>
          <w:bookmarkEnd w:id="29"/>
          <w:bookmarkEnd w:id="30"/>
          <w:bookmarkEnd w:id="31"/>
          <w:bookmarkEnd w:id="32"/>
          <w:bookmarkEnd w:id="33"/>
          <w:bookmarkEnd w:id="34"/>
          <w:bookmarkEnd w:id="35"/>
          <w:bookmarkEnd w:id="36"/>
          <w:bookmarkEnd w:id="37"/>
          <w:bookmarkEnd w:id="38"/>
        </w:p>
        <w:p w14:paraId="7E85A74C"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Affected entities</w:t>
          </w:r>
        </w:p>
        <w:p w14:paraId="686FFF26"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scheme requires Australia’s largest fuel importers and refiners to maintain a certain level of key transport fuels comprising gasoline (petrol), kerosene (jet fuel) and diesel. Additionally, from mid-2024, a 40 per cent increase in diesel stockholdings will be required for importers. </w:t>
          </w:r>
        </w:p>
        <w:p w14:paraId="2B9C4E6A"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MSO introduces an ongoing regulatory requirement on Australia’s most significant fuel market entities—the entities who are currently responsible for supplying approximately 98 per cent of all imported and refined MSO products in each of the key transport fuel categories into the Australian market. </w:t>
          </w:r>
        </w:p>
        <w:p w14:paraId="26790AC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An entity will be subject to a MSO once its annual volumes (in megalitres (ML)), either importing or refining, exceed a threshold level (for each product) prescribed in the Rules. Threshold levels are set to ensure only entities in a position to meaningfully contribute to domestic fuel security are regulated, reduce regulatory burden on smaller entities, and ensure competition in the market is maintained. With this in mind, the threshold levels will be monitored closely and can be adjusted in the future to maintain the 98 per cent principle in order to reflect a changing fuel market and evolving security context.</w:t>
          </w:r>
        </w:p>
        <w:p w14:paraId="0C9F5F12"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How the MSO is calculated</w:t>
          </w:r>
        </w:p>
        <w:p w14:paraId="590EE2CB"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Each entity will have a fuel specific obligation, determined in reference to two factors:</w:t>
          </w:r>
        </w:p>
        <w:p w14:paraId="2B1F7ADC" w14:textId="77777777" w:rsidR="00093241" w:rsidRPr="00093241" w:rsidRDefault="00093241" w:rsidP="0037564F">
          <w:pPr>
            <w:numPr>
              <w:ilvl w:val="0"/>
              <w:numId w:val="16"/>
            </w:numPr>
            <w:contextualSpacing/>
            <w:rPr>
              <w:rFonts w:ascii="Calibri" w:eastAsia="Calibri" w:hAnsi="Calibri" w:cs="Times New Roman"/>
            </w:rPr>
          </w:pPr>
          <w:r w:rsidRPr="00093241">
            <w:rPr>
              <w:rFonts w:ascii="Calibri" w:eastAsia="Calibri" w:hAnsi="Calibri" w:cs="Times New Roman"/>
            </w:rPr>
            <w:t>the national Consumption Cover Day (CCD) target set by the Minister for Climate Change and Energy (the Minister)</w:t>
          </w:r>
        </w:p>
        <w:p w14:paraId="71B92016" w14:textId="77777777" w:rsidR="00093241" w:rsidRPr="00093241" w:rsidRDefault="00093241" w:rsidP="0037564F">
          <w:pPr>
            <w:numPr>
              <w:ilvl w:val="0"/>
              <w:numId w:val="16"/>
            </w:numPr>
            <w:contextualSpacing/>
            <w:rPr>
              <w:rFonts w:ascii="Calibri" w:eastAsia="Calibri" w:hAnsi="Calibri" w:cs="Times New Roman"/>
            </w:rPr>
          </w:pPr>
          <w:r w:rsidRPr="00093241">
            <w:rPr>
              <w:rFonts w:ascii="Calibri" w:eastAsia="Calibri" w:hAnsi="Calibri" w:cs="Times New Roman"/>
            </w:rPr>
            <w:t>their importing/production volumes from the previous calendar year.</w:t>
          </w:r>
        </w:p>
        <w:p w14:paraId="6610E7D9"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CCDs are an indicator of how long fuels would last under normal demand if all refining and import activity were to stop. The CCD metric is based on historical fuel consumption/supply and is easily relatable to maintaining fuel supply security.</w:t>
          </w:r>
        </w:p>
        <w:p w14:paraId="319B536A"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Figure 1 below represents how the MSO is calculated, which is based on an entity's total imports and/or production divided by 365, then multiplied by the CCD set by the Minister for each fuel type. </w:t>
          </w:r>
        </w:p>
        <w:p w14:paraId="2EDBCC58" w14:textId="77777777" w:rsidR="00093241" w:rsidRPr="00093241" w:rsidRDefault="00093241" w:rsidP="00093241">
          <w:pPr>
            <w:spacing w:before="240"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t>Figure 1: MSO formula</w:t>
          </w:r>
        </w:p>
        <w:p w14:paraId="413B26B5" w14:textId="77777777" w:rsidR="00093241" w:rsidRPr="00093241" w:rsidRDefault="00093241" w:rsidP="00093241">
          <w:pPr>
            <w:rPr>
              <w:rFonts w:ascii="Calibri" w:eastAsia="Calibri" w:hAnsi="Calibri" w:cs="Times New Roman"/>
            </w:rPr>
          </w:pPr>
          <w:r w:rsidRPr="00093241">
            <w:rPr>
              <w:rFonts w:ascii="Calibri" w:eastAsia="Calibri" w:hAnsi="Calibri" w:cs="Times New Roman"/>
              <w:noProof/>
              <w:lang w:eastAsia="en-AU"/>
            </w:rPr>
            <w:drawing>
              <wp:inline distT="0" distB="0" distL="0" distR="0" wp14:anchorId="53F7861C" wp14:editId="59E0CB65">
                <wp:extent cx="6120765" cy="810895"/>
                <wp:effectExtent l="0" t="0" r="0" b="8255"/>
                <wp:docPr id="21" name="Picture 21" descr="Figure 1 below represents how the MSO is calculated, which is based on an entity's total imports and/or production divided by 365 multiplied by the CCD set by the Minister for each fuel type. " title="MSO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846" cy="811038"/>
                        </a:xfrm>
                        <a:prstGeom prst="rect">
                          <a:avLst/>
                        </a:prstGeom>
                        <a:noFill/>
                      </pic:spPr>
                    </pic:pic>
                  </a:graphicData>
                </a:graphic>
              </wp:inline>
            </w:drawing>
          </w:r>
        </w:p>
        <w:p w14:paraId="1548C652"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Obligation day</w:t>
          </w:r>
        </w:p>
        <w:p w14:paraId="23ED061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Under the Act, the MSO quantity of a fuel required to be held by an entity must be confirmed on an ‘obligation day’. While it is possible for regulated entities to hold less than the required quantity of stock at other times, the minimum stock level must be held and recorded on this day. The obligation day frequency (explained below) is important in ensuring the national baseline is maintained in the event of a disruption, and does not enable significant periods of time where holdings could fall below the expected minimum holdings.</w:t>
          </w:r>
        </w:p>
        <w:p w14:paraId="570F7313"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lastRenderedPageBreak/>
            <w:t>Stocks able to be counted towards the MSO</w:t>
          </w:r>
        </w:p>
        <w:p w14:paraId="06BE8E20"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When</w:t>
          </w:r>
          <w:r w:rsidRPr="00093241" w:rsidDel="00E61918">
            <w:rPr>
              <w:rFonts w:ascii="Calibri" w:eastAsia="Calibri" w:hAnsi="Calibri" w:cs="Times New Roman"/>
            </w:rPr>
            <w:t xml:space="preserve"> </w:t>
          </w:r>
          <w:r w:rsidRPr="00093241">
            <w:rPr>
              <w:rFonts w:ascii="Calibri" w:eastAsia="Calibri" w:hAnsi="Calibri" w:cs="Times New Roman"/>
            </w:rPr>
            <w:t>recording stockholdings on an obligation day, holdings must be stored under defined parameters. MSO products are considered as stockholdings if they are:</w:t>
          </w:r>
        </w:p>
        <w:p w14:paraId="575F1C84" w14:textId="77777777" w:rsidR="00093241" w:rsidRPr="00093241" w:rsidRDefault="00093241" w:rsidP="0037564F">
          <w:pPr>
            <w:numPr>
              <w:ilvl w:val="0"/>
              <w:numId w:val="14"/>
            </w:numPr>
            <w:contextualSpacing/>
            <w:rPr>
              <w:rFonts w:ascii="Calibri" w:eastAsia="Calibri" w:hAnsi="Calibri" w:cs="Times New Roman"/>
            </w:rPr>
          </w:pPr>
          <w:r w:rsidRPr="00093241">
            <w:rPr>
              <w:rFonts w:ascii="Calibri" w:eastAsia="Calibri" w:hAnsi="Calibri" w:cs="Times New Roman"/>
            </w:rPr>
            <w:t>stored at a refinery, import terminal or inland storage facility</w:t>
          </w:r>
        </w:p>
        <w:p w14:paraId="76D5EB50" w14:textId="77777777" w:rsidR="00093241" w:rsidRPr="00093241" w:rsidRDefault="00093241" w:rsidP="0037564F">
          <w:pPr>
            <w:numPr>
              <w:ilvl w:val="0"/>
              <w:numId w:val="14"/>
            </w:numPr>
            <w:contextualSpacing/>
            <w:rPr>
              <w:rFonts w:ascii="Calibri" w:eastAsia="Calibri" w:hAnsi="Calibri" w:cs="Times New Roman"/>
            </w:rPr>
          </w:pPr>
          <w:r w:rsidRPr="00093241">
            <w:rPr>
              <w:rFonts w:ascii="Calibri" w:eastAsia="Calibri" w:hAnsi="Calibri" w:cs="Times New Roman"/>
            </w:rPr>
            <w:t>held on incoming vessels moored at/just outside port or within coastal shipping</w:t>
          </w:r>
        </w:p>
        <w:p w14:paraId="07B14378" w14:textId="77777777" w:rsidR="00093241" w:rsidRPr="00093241" w:rsidRDefault="00093241" w:rsidP="0037564F">
          <w:pPr>
            <w:numPr>
              <w:ilvl w:val="0"/>
              <w:numId w:val="14"/>
            </w:numPr>
            <w:contextualSpacing/>
            <w:rPr>
              <w:rFonts w:ascii="Calibri" w:eastAsia="Calibri" w:hAnsi="Calibri" w:cs="Times New Roman"/>
            </w:rPr>
          </w:pPr>
          <w:r w:rsidRPr="00093241">
            <w:rPr>
              <w:rFonts w:ascii="Calibri" w:eastAsia="Calibri" w:hAnsi="Calibri" w:cs="Times New Roman"/>
            </w:rPr>
            <w:t>held on incoming vessels entering Australia’s exclusive economic zone (EEZ), which may temporarily exit Australia’s EEZ while on route to an Australian port</w:t>
          </w:r>
        </w:p>
        <w:p w14:paraId="3675F92F" w14:textId="77777777" w:rsidR="00093241" w:rsidRPr="00093241" w:rsidRDefault="00093241" w:rsidP="0037564F">
          <w:pPr>
            <w:numPr>
              <w:ilvl w:val="0"/>
              <w:numId w:val="14"/>
            </w:numPr>
            <w:contextualSpacing/>
            <w:rPr>
              <w:rFonts w:ascii="Calibri" w:eastAsia="Calibri" w:hAnsi="Calibri" w:cs="Times New Roman"/>
            </w:rPr>
          </w:pPr>
          <w:r w:rsidRPr="00093241">
            <w:rPr>
              <w:rFonts w:ascii="Calibri" w:eastAsia="Calibri" w:hAnsi="Calibri" w:cs="Times New Roman"/>
            </w:rPr>
            <w:t>outside an entity’s direct control, but held by another entity under a legally enforceable arrangement</w:t>
          </w:r>
        </w:p>
        <w:p w14:paraId="66E54874" w14:textId="77777777" w:rsidR="00093241" w:rsidRPr="00093241" w:rsidRDefault="00093241" w:rsidP="0037564F">
          <w:pPr>
            <w:numPr>
              <w:ilvl w:val="0"/>
              <w:numId w:val="14"/>
            </w:numPr>
            <w:contextualSpacing/>
            <w:rPr>
              <w:rFonts w:ascii="Calibri" w:eastAsia="Calibri" w:hAnsi="Calibri" w:cs="Times New Roman"/>
            </w:rPr>
          </w:pPr>
          <w:r w:rsidRPr="00093241">
            <w:rPr>
              <w:rFonts w:ascii="Calibri" w:eastAsia="Calibri" w:hAnsi="Calibri" w:cs="Times New Roman"/>
            </w:rPr>
            <w:t>within pipelines where the fuel can be extracted if required.</w:t>
          </w:r>
        </w:p>
        <w:p w14:paraId="051975D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ability to count crude is limited to stockholdings at a refinery.</w:t>
          </w:r>
        </w:p>
        <w:p w14:paraId="3CC98714" w14:textId="77777777" w:rsidR="00093241" w:rsidRPr="00093241" w:rsidRDefault="00093241" w:rsidP="00093241">
          <w:pPr>
            <w:keepNext/>
            <w:keepLines/>
            <w:spacing w:before="480" w:after="40"/>
            <w:outlineLvl w:val="0"/>
            <w:rPr>
              <w:rFonts w:ascii="Calibri" w:eastAsia="Times New Roman" w:hAnsi="Calibri" w:cs="Times New Roman"/>
              <w:color w:val="083A42"/>
              <w:sz w:val="36"/>
              <w:szCs w:val="36"/>
            </w:rPr>
          </w:pPr>
          <w:bookmarkStart w:id="39" w:name="_Toc96091486"/>
          <w:bookmarkStart w:id="40" w:name="_Toc96504619"/>
          <w:bookmarkStart w:id="41" w:name="_Toc98512032"/>
          <w:bookmarkStart w:id="42" w:name="_Toc98518276"/>
          <w:bookmarkStart w:id="43" w:name="_Toc117259531"/>
          <w:bookmarkStart w:id="44" w:name="_Toc117262230"/>
          <w:bookmarkStart w:id="45" w:name="_Toc117262589"/>
          <w:bookmarkStart w:id="46" w:name="_Toc117512016"/>
          <w:bookmarkStart w:id="47" w:name="_Toc117516966"/>
          <w:bookmarkStart w:id="48" w:name="_Toc117775506"/>
          <w:r w:rsidRPr="00093241">
            <w:rPr>
              <w:rFonts w:ascii="Calibri" w:eastAsia="Times New Roman" w:hAnsi="Calibri" w:cs="Times New Roman"/>
              <w:color w:val="083A42"/>
              <w:sz w:val="36"/>
              <w:szCs w:val="36"/>
            </w:rPr>
            <w:t>Consultation on the MSO policy</w:t>
          </w:r>
          <w:bookmarkEnd w:id="39"/>
          <w:bookmarkEnd w:id="40"/>
          <w:bookmarkEnd w:id="41"/>
          <w:bookmarkEnd w:id="42"/>
          <w:bookmarkEnd w:id="43"/>
          <w:bookmarkEnd w:id="44"/>
          <w:bookmarkEnd w:id="45"/>
          <w:bookmarkEnd w:id="46"/>
          <w:bookmarkEnd w:id="47"/>
          <w:bookmarkEnd w:id="48"/>
        </w:p>
        <w:p w14:paraId="1A4FCDEE"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Department has engaged with the fuel industry and representative bodies on the MSO policy and design on a regular basis. The key inputs and assumptions underlying this RIS addendum, were also subject to industry consultation to confirm their appropriateness.</w:t>
          </w:r>
        </w:p>
        <w:p w14:paraId="029BD7C4"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Following the introduction of the Act, entities likely to be subject to the MSO were provided an opportunity to review and comment on key policy elements to be determined by the Rules. </w:t>
          </w:r>
        </w:p>
        <w:p w14:paraId="2FB12570"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All affected stakeholder entities and representative bodies engaged, provided written and/or verbal submissions on the key policy elements.</w:t>
          </w:r>
        </w:p>
        <w:p w14:paraId="39F60C1D"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Department also held ongoing regular discussions with the fuel industry throughout the policy development cycle. </w:t>
          </w:r>
        </w:p>
        <w:p w14:paraId="2F3B7786"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On 31 January 2022, a public exposure period on the draft Rules commenced for industry, consumers and state and territory governments to consider the proposed policy settings in their entirety. Public consultation was held for four weeks, concluding on 28 February 2022. Extensions were provided where stakeholders requested additional time. </w:t>
          </w:r>
        </w:p>
        <w:p w14:paraId="176511FE"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On 8 August 2022, affected stakeholders where provided the opportunity to comment on the key assumptions and inputs for the modelling of the RIS addendum. Views on an appropriate commencement date for the scheme were also sought.</w:t>
          </w:r>
        </w:p>
        <w:p w14:paraId="1B700D99"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Comments received through the consultation stages have informed the inputs for the RIS addendum’s financial modelling and the MSO Rules. </w:t>
          </w:r>
        </w:p>
        <w:p w14:paraId="34C675A2"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 xml:space="preserve">Industry feedback on policy settings </w:t>
          </w:r>
        </w:p>
        <w:p w14:paraId="3C9B938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majority of industry feedback related to a number of common themes. In general, industry comments sought to:</w:t>
          </w:r>
        </w:p>
        <w:p w14:paraId="37778D6B" w14:textId="77777777" w:rsidR="00093241" w:rsidRPr="00093241" w:rsidRDefault="00093241" w:rsidP="0037564F">
          <w:pPr>
            <w:numPr>
              <w:ilvl w:val="0"/>
              <w:numId w:val="13"/>
            </w:numPr>
            <w:contextualSpacing/>
            <w:rPr>
              <w:rFonts w:ascii="Calibri" w:eastAsia="Calibri" w:hAnsi="Calibri" w:cs="Times New Roman"/>
            </w:rPr>
          </w:pPr>
          <w:r w:rsidRPr="00093241">
            <w:rPr>
              <w:rFonts w:ascii="Calibri" w:eastAsia="Calibri" w:hAnsi="Calibri" w:cs="Times New Roman"/>
            </w:rPr>
            <w:t>minimise regulatory burden where possible</w:t>
          </w:r>
        </w:p>
        <w:p w14:paraId="00790084" w14:textId="77777777" w:rsidR="00093241" w:rsidRPr="00093241" w:rsidRDefault="00093241" w:rsidP="0037564F">
          <w:pPr>
            <w:numPr>
              <w:ilvl w:val="0"/>
              <w:numId w:val="13"/>
            </w:numPr>
            <w:contextualSpacing/>
            <w:rPr>
              <w:rFonts w:ascii="Calibri" w:eastAsia="Calibri" w:hAnsi="Calibri" w:cs="Times New Roman"/>
            </w:rPr>
          </w:pPr>
          <w:r w:rsidRPr="00093241">
            <w:rPr>
              <w:rFonts w:ascii="Calibri" w:eastAsia="Calibri" w:hAnsi="Calibri" w:cs="Times New Roman"/>
            </w:rPr>
            <w:t>seek sufficient flexibility in stockholding options to reduce impact on current operations</w:t>
          </w:r>
        </w:p>
        <w:p w14:paraId="3D1575BC" w14:textId="77777777" w:rsidR="00093241" w:rsidRPr="00093241" w:rsidRDefault="00093241" w:rsidP="0037564F">
          <w:pPr>
            <w:numPr>
              <w:ilvl w:val="0"/>
              <w:numId w:val="13"/>
            </w:numPr>
            <w:contextualSpacing/>
            <w:rPr>
              <w:rFonts w:ascii="Calibri" w:eastAsia="Calibri" w:hAnsi="Calibri" w:cs="Times New Roman"/>
            </w:rPr>
          </w:pPr>
          <w:r w:rsidRPr="00093241">
            <w:rPr>
              <w:rFonts w:ascii="Calibri" w:eastAsia="Calibri" w:hAnsi="Calibri" w:cs="Times New Roman"/>
            </w:rPr>
            <w:t>ensure existing competitive balance within the market is maintained.</w:t>
          </w:r>
        </w:p>
        <w:p w14:paraId="7B528676"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Within these themes, the main policy settings of interest were the:</w:t>
          </w:r>
        </w:p>
        <w:p w14:paraId="27FD4804" w14:textId="77777777" w:rsidR="00093241" w:rsidRPr="00093241" w:rsidRDefault="00093241" w:rsidP="0037564F">
          <w:pPr>
            <w:numPr>
              <w:ilvl w:val="0"/>
              <w:numId w:val="15"/>
            </w:numPr>
            <w:contextualSpacing/>
            <w:rPr>
              <w:rFonts w:ascii="Calibri" w:eastAsia="Calibri" w:hAnsi="Calibri" w:cs="Times New Roman"/>
            </w:rPr>
          </w:pPr>
          <w:r w:rsidRPr="00093241">
            <w:rPr>
              <w:rFonts w:ascii="Calibri" w:eastAsia="Calibri" w:hAnsi="Calibri" w:cs="Times New Roman"/>
            </w:rPr>
            <w:t>threshold levels for each fuel type</w:t>
          </w:r>
        </w:p>
        <w:p w14:paraId="3AC091B4" w14:textId="77777777" w:rsidR="00093241" w:rsidRPr="00093241" w:rsidRDefault="00093241" w:rsidP="0037564F">
          <w:pPr>
            <w:numPr>
              <w:ilvl w:val="0"/>
              <w:numId w:val="15"/>
            </w:numPr>
            <w:contextualSpacing/>
            <w:rPr>
              <w:rFonts w:ascii="Calibri" w:eastAsia="Calibri" w:hAnsi="Calibri" w:cs="Times New Roman"/>
            </w:rPr>
          </w:pPr>
          <w:r w:rsidRPr="00093241">
            <w:rPr>
              <w:rFonts w:ascii="Calibri" w:eastAsia="Calibri" w:hAnsi="Calibri" w:cs="Times New Roman"/>
            </w:rPr>
            <w:t>frequency of the obligation day</w:t>
          </w:r>
        </w:p>
        <w:p w14:paraId="08A26E7A" w14:textId="77777777" w:rsidR="00093241" w:rsidRPr="00093241" w:rsidRDefault="00093241" w:rsidP="0037564F">
          <w:pPr>
            <w:numPr>
              <w:ilvl w:val="0"/>
              <w:numId w:val="15"/>
            </w:numPr>
            <w:contextualSpacing/>
            <w:rPr>
              <w:rFonts w:ascii="Calibri" w:eastAsia="Calibri" w:hAnsi="Calibri" w:cs="Times New Roman"/>
            </w:rPr>
          </w:pPr>
          <w:r w:rsidRPr="00093241">
            <w:rPr>
              <w:rFonts w:ascii="Calibri" w:eastAsia="Calibri" w:hAnsi="Calibri" w:cs="Times New Roman"/>
            </w:rPr>
            <w:lastRenderedPageBreak/>
            <w:t>level of the national CCDs target</w:t>
          </w:r>
        </w:p>
        <w:p w14:paraId="5A74E7C1" w14:textId="77777777" w:rsidR="00093241" w:rsidRPr="00093241" w:rsidRDefault="00093241" w:rsidP="0037564F">
          <w:pPr>
            <w:numPr>
              <w:ilvl w:val="0"/>
              <w:numId w:val="15"/>
            </w:numPr>
            <w:contextualSpacing/>
            <w:rPr>
              <w:rFonts w:ascii="Calibri" w:eastAsia="Calibri" w:hAnsi="Calibri" w:cs="Times New Roman"/>
            </w:rPr>
          </w:pPr>
          <w:r w:rsidRPr="00093241">
            <w:rPr>
              <w:rFonts w:ascii="Calibri" w:eastAsia="Calibri" w:hAnsi="Calibri" w:cs="Times New Roman"/>
            </w:rPr>
            <w:t>stocks able to be counted toward the obligation (i.e. EEZ inclusion, stocks stored in pipelines)</w:t>
          </w:r>
        </w:p>
        <w:p w14:paraId="51EBC21C" w14:textId="77777777" w:rsidR="00093241" w:rsidRPr="00093241" w:rsidRDefault="00093241" w:rsidP="0037564F">
          <w:pPr>
            <w:numPr>
              <w:ilvl w:val="0"/>
              <w:numId w:val="15"/>
            </w:numPr>
            <w:contextualSpacing/>
            <w:rPr>
              <w:rFonts w:ascii="Calibri" w:eastAsia="Calibri" w:hAnsi="Calibri" w:cs="Times New Roman"/>
            </w:rPr>
          </w:pPr>
          <w:r w:rsidRPr="00093241">
            <w:rPr>
              <w:rFonts w:ascii="Calibri" w:eastAsia="Calibri" w:hAnsi="Calibri" w:cs="Times New Roman"/>
            </w:rPr>
            <w:t>depth and maturity of the intermediary trading market.</w:t>
          </w:r>
        </w:p>
        <w:p w14:paraId="5C8294B2" w14:textId="77777777" w:rsidR="00093241" w:rsidRPr="00093241" w:rsidRDefault="00093241" w:rsidP="00093241">
          <w:pPr>
            <w:keepNext/>
            <w:keepLines/>
            <w:spacing w:before="40" w:after="0"/>
            <w:outlineLvl w:val="2"/>
            <w:rPr>
              <w:rFonts w:ascii="Calibri" w:eastAsia="Times New Roman" w:hAnsi="Calibri" w:cs="Times New Roman"/>
              <w:color w:val="083A42"/>
              <w:sz w:val="32"/>
              <w:szCs w:val="40"/>
            </w:rPr>
          </w:pPr>
          <w:r w:rsidRPr="00093241">
            <w:rPr>
              <w:rFonts w:ascii="Calibri" w:eastAsia="Times New Roman" w:hAnsi="Calibri" w:cs="Times New Roman"/>
              <w:color w:val="083A42"/>
              <w:sz w:val="32"/>
              <w:szCs w:val="40"/>
            </w:rPr>
            <w:t xml:space="preserve">Response to industry feedback and changes </w:t>
          </w:r>
        </w:p>
        <w:p w14:paraId="188F596B"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In a number of instances industry feedback led directly to changes to the draft policy settings (see Appendix A, B and C).</w:t>
          </w:r>
        </w:p>
        <w:p w14:paraId="4E660ECC"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 key takeaway from industry consultation was the concern of differential impacts to entities. As such, recommendations from industry to address some of their concerns were often in conflict with each other. Differing views of entities stemmed from variations in business models, storage infrastructure and its availability, and contractual arrangements with clients, amongst other matters.</w:t>
          </w:r>
        </w:p>
        <w:p w14:paraId="3C52996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Given the variations in perspectives from across industry, the final settings are designed to deliver a balanced policy position, delivering on the fuel security objectives and ensuring competition impacts are minimised. </w:t>
          </w:r>
        </w:p>
        <w:p w14:paraId="47D3D07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key mechanisms to respond to industry concerns include transitional arrangements, which have been built into the settings. These arrangements are designed to reduce regulatory burden, allow time to adapt to the new scheme as necessary and assist industry to comply with an eased burden through the MSO’s infancy. </w:t>
          </w:r>
        </w:p>
        <w:p w14:paraId="23F17372" w14:textId="77777777" w:rsidR="00093241" w:rsidRPr="00093241" w:rsidRDefault="00093241" w:rsidP="00093241">
          <w:pPr>
            <w:keepNext/>
            <w:keepLines/>
            <w:spacing w:before="480" w:after="40"/>
            <w:outlineLvl w:val="0"/>
            <w:rPr>
              <w:rFonts w:ascii="Calibri" w:eastAsia="Times New Roman" w:hAnsi="Calibri" w:cs="Times New Roman"/>
              <w:color w:val="083A42"/>
              <w:sz w:val="36"/>
              <w:szCs w:val="36"/>
            </w:rPr>
          </w:pPr>
          <w:bookmarkStart w:id="49" w:name="_Toc96091487"/>
          <w:bookmarkStart w:id="50" w:name="_Toc96504620"/>
          <w:bookmarkStart w:id="51" w:name="_Toc98512033"/>
          <w:bookmarkStart w:id="52" w:name="_Toc98518277"/>
          <w:bookmarkStart w:id="53" w:name="_Toc117259532"/>
          <w:bookmarkStart w:id="54" w:name="_Toc117262231"/>
          <w:bookmarkStart w:id="55" w:name="_Toc117262590"/>
          <w:bookmarkStart w:id="56" w:name="_Toc117512017"/>
          <w:bookmarkStart w:id="57" w:name="_Toc117516967"/>
          <w:bookmarkStart w:id="58" w:name="_Toc117775507"/>
          <w:r w:rsidRPr="00093241">
            <w:rPr>
              <w:rFonts w:ascii="Calibri" w:eastAsia="Times New Roman" w:hAnsi="Calibri" w:cs="Times New Roman"/>
              <w:color w:val="083A42"/>
              <w:sz w:val="36"/>
              <w:szCs w:val="36"/>
            </w:rPr>
            <w:t xml:space="preserve">Key </w:t>
          </w:r>
          <w:bookmarkStart w:id="59" w:name="_Toc92306605"/>
          <w:r w:rsidRPr="00093241">
            <w:rPr>
              <w:rFonts w:ascii="Calibri" w:eastAsia="Times New Roman" w:hAnsi="Calibri" w:cs="Times New Roman"/>
              <w:color w:val="083A42"/>
              <w:sz w:val="36"/>
              <w:szCs w:val="36"/>
            </w:rPr>
            <w:t>elements of the MSO policy settings and Rules</w:t>
          </w:r>
          <w:bookmarkEnd w:id="49"/>
          <w:bookmarkEnd w:id="50"/>
          <w:bookmarkEnd w:id="51"/>
          <w:bookmarkEnd w:id="52"/>
          <w:bookmarkEnd w:id="53"/>
          <w:bookmarkEnd w:id="54"/>
          <w:bookmarkEnd w:id="55"/>
          <w:bookmarkEnd w:id="56"/>
          <w:bookmarkEnd w:id="57"/>
          <w:bookmarkEnd w:id="59"/>
          <w:bookmarkEnd w:id="58"/>
        </w:p>
        <w:p w14:paraId="00E6ACD1" w14:textId="77777777" w:rsidR="00093241" w:rsidRPr="00093241" w:rsidRDefault="00093241" w:rsidP="00093241">
          <w:pPr>
            <w:rPr>
              <w:rFonts w:ascii="Calibri" w:eastAsia="Calibri" w:hAnsi="Calibri" w:cs="Times New Roman"/>
              <w:iCs/>
            </w:rPr>
          </w:pPr>
          <w:r w:rsidRPr="00093241">
            <w:rPr>
              <w:rFonts w:ascii="Calibri" w:eastAsia="Calibri" w:hAnsi="Calibri" w:cs="Times New Roman"/>
            </w:rPr>
            <w:t>Transitional settings applicable from commencement until 30 June 2024 include:</w:t>
          </w:r>
        </w:p>
        <w:p w14:paraId="2C807D95" w14:textId="77777777" w:rsidR="00093241" w:rsidRPr="00093241" w:rsidRDefault="00093241" w:rsidP="0037564F">
          <w:pPr>
            <w:numPr>
              <w:ilvl w:val="0"/>
              <w:numId w:val="10"/>
            </w:numPr>
            <w:contextualSpacing/>
            <w:rPr>
              <w:rFonts w:ascii="Calibri" w:eastAsia="Calibri" w:hAnsi="Calibri" w:cs="Times New Roman"/>
            </w:rPr>
          </w:pPr>
          <w:r w:rsidRPr="00093241">
            <w:rPr>
              <w:rFonts w:ascii="Calibri" w:eastAsia="Calibri" w:hAnsi="Calibri" w:cs="Times New Roman"/>
            </w:rPr>
            <w:t>a fortnightly obligation day (Section 15)</w:t>
          </w:r>
        </w:p>
        <w:p w14:paraId="585E84AF" w14:textId="77777777" w:rsidR="00093241" w:rsidRPr="00093241" w:rsidRDefault="00093241" w:rsidP="0037564F">
          <w:pPr>
            <w:numPr>
              <w:ilvl w:val="0"/>
              <w:numId w:val="10"/>
            </w:numPr>
            <w:contextualSpacing/>
            <w:rPr>
              <w:rFonts w:ascii="Calibri" w:eastAsia="Calibri" w:hAnsi="Calibri" w:cs="Times New Roman"/>
            </w:rPr>
          </w:pPr>
          <w:r w:rsidRPr="00093241">
            <w:rPr>
              <w:rFonts w:ascii="Calibri" w:eastAsia="Calibri" w:hAnsi="Calibri" w:cs="Times New Roman"/>
            </w:rPr>
            <w:t xml:space="preserve">the CCD for importers and refiners: required to hold stocks of at least 24, 24, and 20 days of gasoline, kerosene and diesel, respectively. </w:t>
          </w:r>
        </w:p>
        <w:p w14:paraId="3D1524D3" w14:textId="77777777" w:rsidR="00093241" w:rsidRPr="00093241" w:rsidRDefault="00093241" w:rsidP="0037564F">
          <w:pPr>
            <w:numPr>
              <w:ilvl w:val="0"/>
              <w:numId w:val="10"/>
            </w:numPr>
            <w:contextualSpacing/>
            <w:rPr>
              <w:rFonts w:ascii="Calibri" w:eastAsia="Calibri" w:hAnsi="Calibri" w:cs="Times New Roman"/>
            </w:rPr>
          </w:pPr>
          <w:r w:rsidRPr="00093241">
            <w:rPr>
              <w:rFonts w:ascii="Calibri" w:eastAsia="Calibri" w:hAnsi="Calibri" w:cs="Times New Roman"/>
            </w:rPr>
            <w:t>EEZ stocks allowed to be counted toward MSO for imported product (excluding crude or condensate), without an increase to CCDs. (Section 9)</w:t>
          </w:r>
        </w:p>
        <w:p w14:paraId="6F327C6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Note: other application based transitional provisions have also been incorporated into the Rules and are available until 30 June 2025. </w:t>
          </w:r>
        </w:p>
        <w:p w14:paraId="7EDA8B3F" w14:textId="77777777" w:rsidR="00093241" w:rsidRPr="00093241" w:rsidRDefault="00093241" w:rsidP="00093241">
          <w:pPr>
            <w:rPr>
              <w:rFonts w:ascii="Calibri" w:eastAsia="Calibri" w:hAnsi="Calibri" w:cs="Times New Roman"/>
              <w:iCs/>
            </w:rPr>
          </w:pPr>
          <w:r w:rsidRPr="00093241">
            <w:rPr>
              <w:rFonts w:ascii="Calibri" w:eastAsia="Calibri" w:hAnsi="Calibri" w:cs="Times New Roman"/>
            </w:rPr>
            <w:t>From 1 July 2024, the key ongoing settings will include:</w:t>
          </w:r>
        </w:p>
        <w:p w14:paraId="211CF363" w14:textId="77777777" w:rsidR="00093241" w:rsidRPr="00093241" w:rsidRDefault="00093241" w:rsidP="0037564F">
          <w:pPr>
            <w:numPr>
              <w:ilvl w:val="0"/>
              <w:numId w:val="10"/>
            </w:numPr>
            <w:contextualSpacing/>
            <w:rPr>
              <w:rFonts w:ascii="Calibri" w:eastAsia="Calibri" w:hAnsi="Calibri" w:cs="Times New Roman"/>
            </w:rPr>
          </w:pPr>
          <w:r w:rsidRPr="00093241">
            <w:rPr>
              <w:rFonts w:ascii="Calibri" w:eastAsia="Calibri" w:hAnsi="Calibri" w:cs="Times New Roman"/>
            </w:rPr>
            <w:t>a weekly obligation day. (Section 15)</w:t>
          </w:r>
        </w:p>
        <w:p w14:paraId="6EB1EE69" w14:textId="77777777" w:rsidR="00093241" w:rsidRPr="00093241" w:rsidRDefault="00093241" w:rsidP="0037564F">
          <w:pPr>
            <w:numPr>
              <w:ilvl w:val="0"/>
              <w:numId w:val="10"/>
            </w:numPr>
            <w:contextualSpacing/>
            <w:rPr>
              <w:rFonts w:ascii="Calibri" w:eastAsia="Calibri" w:hAnsi="Calibri" w:cs="Times New Roman"/>
            </w:rPr>
          </w:pPr>
          <w:r w:rsidRPr="00093241">
            <w:rPr>
              <w:rFonts w:ascii="Calibri" w:eastAsia="Calibri" w:hAnsi="Calibri" w:cs="Times New Roman"/>
            </w:rPr>
            <w:t>the CCD (importers): required to hold stocks of at least 27, 27, and 32 days of gasoline, kerosene and diesel respectively. This includes:</w:t>
          </w:r>
        </w:p>
        <w:p w14:paraId="3B141CFE" w14:textId="77777777" w:rsidR="00093241" w:rsidRPr="00093241" w:rsidRDefault="00093241" w:rsidP="0037564F">
          <w:pPr>
            <w:numPr>
              <w:ilvl w:val="1"/>
              <w:numId w:val="10"/>
            </w:numPr>
            <w:contextualSpacing/>
            <w:rPr>
              <w:rFonts w:ascii="Calibri" w:eastAsia="Calibri" w:hAnsi="Calibri" w:cs="Times New Roman"/>
            </w:rPr>
          </w:pPr>
          <w:r w:rsidRPr="00093241">
            <w:rPr>
              <w:rFonts w:ascii="Calibri" w:eastAsia="Calibri" w:hAnsi="Calibri" w:cs="Times New Roman"/>
            </w:rPr>
            <w:t>an additional 3 CCDs for gasoline and kerosene accounting for stocks held in the EEZ</w:t>
          </w:r>
        </w:p>
        <w:p w14:paraId="0DA91704" w14:textId="77777777" w:rsidR="00093241" w:rsidRPr="00093241" w:rsidRDefault="00093241" w:rsidP="0037564F">
          <w:pPr>
            <w:numPr>
              <w:ilvl w:val="1"/>
              <w:numId w:val="10"/>
            </w:numPr>
            <w:contextualSpacing/>
            <w:rPr>
              <w:rFonts w:ascii="Calibri" w:eastAsia="Calibri" w:hAnsi="Calibri" w:cs="Times New Roman"/>
            </w:rPr>
          </w:pPr>
          <w:r w:rsidRPr="00093241">
            <w:rPr>
              <w:rFonts w:ascii="Calibri" w:eastAsia="Calibri" w:hAnsi="Calibri" w:cs="Times New Roman"/>
            </w:rPr>
            <w:t>an additional 12 CCDs for diesel comprising 8 CCDs as a 40 per cent uplift in stocks plus 4 CCDs accounting for stocks held in the EEZ.</w:t>
          </w:r>
        </w:p>
        <w:p w14:paraId="2AE4A6A8" w14:textId="77777777" w:rsidR="00093241" w:rsidRPr="00093241" w:rsidRDefault="00093241" w:rsidP="0037564F">
          <w:pPr>
            <w:numPr>
              <w:ilvl w:val="0"/>
              <w:numId w:val="10"/>
            </w:numPr>
            <w:contextualSpacing/>
            <w:rPr>
              <w:rFonts w:ascii="Calibri" w:eastAsia="Calibri" w:hAnsi="Calibri" w:cs="Times New Roman"/>
            </w:rPr>
          </w:pPr>
          <w:r w:rsidRPr="00093241">
            <w:rPr>
              <w:rFonts w:ascii="Calibri" w:eastAsia="Calibri" w:hAnsi="Calibri" w:cs="Times New Roman"/>
            </w:rPr>
            <w:t>the CCD (refiners): required to hold stocks of at least 24, 24, and 20 days of gasoline, kerosene and diesel respectively.</w:t>
          </w:r>
        </w:p>
        <w:p w14:paraId="20DA4955" w14:textId="77777777" w:rsidR="00093241" w:rsidRPr="00093241" w:rsidRDefault="00093241" w:rsidP="0037564F">
          <w:pPr>
            <w:numPr>
              <w:ilvl w:val="0"/>
              <w:numId w:val="10"/>
            </w:numPr>
            <w:contextualSpacing/>
            <w:rPr>
              <w:rFonts w:ascii="Calibri" w:eastAsia="Calibri" w:hAnsi="Calibri" w:cs="Times New Roman"/>
            </w:rPr>
          </w:pPr>
          <w:r w:rsidRPr="00093241">
            <w:rPr>
              <w:rFonts w:ascii="Calibri" w:eastAsia="Calibri" w:hAnsi="Calibri" w:cs="Times New Roman"/>
            </w:rPr>
            <w:t>EEZ stocks allowed to be counted toward MSO for imported product (excluding crude or condensate). (Section 9)</w:t>
          </w:r>
        </w:p>
        <w:p w14:paraId="713C1499" w14:textId="77777777" w:rsidR="00093241" w:rsidRPr="00093241" w:rsidRDefault="00093241" w:rsidP="0037564F">
          <w:pPr>
            <w:numPr>
              <w:ilvl w:val="0"/>
              <w:numId w:val="10"/>
            </w:numPr>
            <w:contextualSpacing/>
            <w:rPr>
              <w:rFonts w:ascii="Calibri" w:eastAsia="Calibri" w:hAnsi="Calibri" w:cs="Times New Roman"/>
              <w:iCs/>
            </w:rPr>
          </w:pPr>
          <w:r w:rsidRPr="00093241">
            <w:rPr>
              <w:rFonts w:ascii="Calibri" w:eastAsia="Calibri" w:hAnsi="Calibri" w:cs="Times New Roman"/>
            </w:rPr>
            <w:t>thresholds for affected entities remain at 200 ML, 250 ML and 250 ML gasoline, kerosene and diesel respectively. (Subsection 17(1))</w:t>
          </w:r>
          <w:r w:rsidRPr="00093241">
            <w:rPr>
              <w:rFonts w:ascii="Calibri" w:eastAsia="Calibri" w:hAnsi="Calibri" w:cs="Times New Roman"/>
            </w:rPr>
            <w:br w:type="page"/>
          </w:r>
        </w:p>
        <w:p w14:paraId="28EF1FCE" w14:textId="77777777" w:rsidR="00093241" w:rsidRPr="00093241" w:rsidRDefault="00093241" w:rsidP="00093241">
          <w:pPr>
            <w:spacing w:before="240"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lastRenderedPageBreak/>
            <w:t>Table 1: National Consumption Cover Day (CCD) target set by the Minister</w:t>
          </w:r>
        </w:p>
        <w:tbl>
          <w:tblPr>
            <w:tblStyle w:val="TableGrid12"/>
            <w:tblW w:w="9072" w:type="dxa"/>
            <w:tblInd w:w="-5" w:type="dxa"/>
            <w:tblLook w:val="04A0" w:firstRow="1" w:lastRow="0" w:firstColumn="1" w:lastColumn="0" w:noHBand="0" w:noVBand="1"/>
            <w:tblCaption w:val="Table 1: CCD targets"/>
            <w:tblDescription w:val="This table represents the Consumption Cover Day targets by product for importers and refiners."/>
          </w:tblPr>
          <w:tblGrid>
            <w:gridCol w:w="2835"/>
            <w:gridCol w:w="3261"/>
            <w:gridCol w:w="2976"/>
          </w:tblGrid>
          <w:tr w:rsidR="00093241" w:rsidRPr="00093241" w14:paraId="0ACBFA2F" w14:textId="77777777" w:rsidTr="00093241">
            <w:trPr>
              <w:tblHeader/>
            </w:trPr>
            <w:tc>
              <w:tcPr>
                <w:tcW w:w="2835" w:type="dxa"/>
                <w:tcBorders>
                  <w:bottom w:val="single" w:sz="4" w:space="0" w:color="auto"/>
                </w:tcBorders>
                <w:shd w:val="clear" w:color="auto" w:fill="D9D9D9"/>
              </w:tcPr>
              <w:p w14:paraId="78A3DCCD" w14:textId="77777777" w:rsidR="00093241" w:rsidRPr="00093241" w:rsidRDefault="00093241" w:rsidP="00093241">
                <w:pPr>
                  <w:spacing w:line="276" w:lineRule="auto"/>
                  <w:rPr>
                    <w:rFonts w:ascii="Calibri" w:hAnsi="Calibri" w:cs="Calibri"/>
                  </w:rPr>
                </w:pPr>
                <w:r w:rsidRPr="00093241">
                  <w:rPr>
                    <w:rFonts w:ascii="Calibri" w:hAnsi="Calibri" w:cs="Calibri"/>
                  </w:rPr>
                  <w:t>MSO Activity and MSO Product</w:t>
                </w:r>
              </w:p>
            </w:tc>
            <w:tc>
              <w:tcPr>
                <w:tcW w:w="3261" w:type="dxa"/>
                <w:tcBorders>
                  <w:bottom w:val="single" w:sz="4" w:space="0" w:color="auto"/>
                </w:tcBorders>
                <w:shd w:val="clear" w:color="auto" w:fill="D9D9D9"/>
              </w:tcPr>
              <w:p w14:paraId="415AA2CD"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CCD (1 July 2023 to 30 June 2024)</w:t>
                </w:r>
              </w:p>
            </w:tc>
            <w:tc>
              <w:tcPr>
                <w:tcW w:w="2976" w:type="dxa"/>
                <w:tcBorders>
                  <w:bottom w:val="single" w:sz="4" w:space="0" w:color="auto"/>
                </w:tcBorders>
                <w:shd w:val="clear" w:color="auto" w:fill="D9D9D9"/>
              </w:tcPr>
              <w:p w14:paraId="4D2475E7"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CCD (from 1 July 2024)</w:t>
                </w:r>
              </w:p>
            </w:tc>
          </w:tr>
          <w:tr w:rsidR="00093241" w:rsidRPr="00093241" w14:paraId="29206F2B" w14:textId="77777777" w:rsidTr="00093241">
            <w:tc>
              <w:tcPr>
                <w:tcW w:w="2835" w:type="dxa"/>
              </w:tcPr>
              <w:p w14:paraId="4E4999B1" w14:textId="77777777" w:rsidR="00093241" w:rsidRPr="00093241" w:rsidRDefault="00093241" w:rsidP="00093241">
                <w:pPr>
                  <w:spacing w:line="276" w:lineRule="auto"/>
                  <w:rPr>
                    <w:rFonts w:ascii="Calibri" w:hAnsi="Calibri" w:cs="Calibri"/>
                  </w:rPr>
                </w:pPr>
                <w:r w:rsidRPr="00093241">
                  <w:rPr>
                    <w:rFonts w:ascii="Calibri" w:hAnsi="Calibri" w:cs="Calibri"/>
                  </w:rPr>
                  <w:t>Importing—gasoline</w:t>
                </w:r>
              </w:p>
            </w:tc>
            <w:tc>
              <w:tcPr>
                <w:tcW w:w="3261" w:type="dxa"/>
                <w:shd w:val="clear" w:color="auto" w:fill="auto"/>
              </w:tcPr>
              <w:p w14:paraId="7899F31D"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24</w:t>
                </w:r>
              </w:p>
            </w:tc>
            <w:tc>
              <w:tcPr>
                <w:tcW w:w="2976" w:type="dxa"/>
                <w:shd w:val="clear" w:color="auto" w:fill="auto"/>
              </w:tcPr>
              <w:p w14:paraId="45109B3E"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27</w:t>
                </w:r>
              </w:p>
            </w:tc>
          </w:tr>
          <w:tr w:rsidR="00093241" w:rsidRPr="00093241" w14:paraId="212DCBF6" w14:textId="77777777" w:rsidTr="00093241">
            <w:tc>
              <w:tcPr>
                <w:tcW w:w="2835" w:type="dxa"/>
              </w:tcPr>
              <w:p w14:paraId="5C558FB3" w14:textId="77777777" w:rsidR="00093241" w:rsidRPr="00093241" w:rsidRDefault="00093241" w:rsidP="00093241">
                <w:pPr>
                  <w:spacing w:line="276" w:lineRule="auto"/>
                  <w:rPr>
                    <w:rFonts w:ascii="Calibri" w:hAnsi="Calibri" w:cs="Calibri"/>
                  </w:rPr>
                </w:pPr>
                <w:r w:rsidRPr="00093241">
                  <w:rPr>
                    <w:rFonts w:ascii="Calibri" w:hAnsi="Calibri" w:cs="Calibri"/>
                  </w:rPr>
                  <w:t>Importing—kerosene</w:t>
                </w:r>
              </w:p>
            </w:tc>
            <w:tc>
              <w:tcPr>
                <w:tcW w:w="3261" w:type="dxa"/>
                <w:shd w:val="clear" w:color="auto" w:fill="auto"/>
              </w:tcPr>
              <w:p w14:paraId="5976A004"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24</w:t>
                </w:r>
              </w:p>
            </w:tc>
            <w:tc>
              <w:tcPr>
                <w:tcW w:w="2976" w:type="dxa"/>
                <w:shd w:val="clear" w:color="auto" w:fill="auto"/>
              </w:tcPr>
              <w:p w14:paraId="36E59910"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27</w:t>
                </w:r>
              </w:p>
            </w:tc>
          </w:tr>
          <w:tr w:rsidR="00093241" w:rsidRPr="00093241" w14:paraId="36CF651B" w14:textId="77777777" w:rsidTr="00093241">
            <w:tc>
              <w:tcPr>
                <w:tcW w:w="2835" w:type="dxa"/>
              </w:tcPr>
              <w:p w14:paraId="74F66B57" w14:textId="77777777" w:rsidR="00093241" w:rsidRPr="00093241" w:rsidRDefault="00093241" w:rsidP="00093241">
                <w:pPr>
                  <w:spacing w:line="276" w:lineRule="auto"/>
                  <w:rPr>
                    <w:rFonts w:ascii="Calibri" w:hAnsi="Calibri" w:cs="Calibri"/>
                  </w:rPr>
                </w:pPr>
                <w:r w:rsidRPr="00093241">
                  <w:rPr>
                    <w:rFonts w:ascii="Calibri" w:hAnsi="Calibri" w:cs="Calibri"/>
                  </w:rPr>
                  <w:t>Importing—diesel</w:t>
                </w:r>
              </w:p>
            </w:tc>
            <w:tc>
              <w:tcPr>
                <w:tcW w:w="3261" w:type="dxa"/>
                <w:shd w:val="clear" w:color="auto" w:fill="auto"/>
              </w:tcPr>
              <w:p w14:paraId="2C80D3AE"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20</w:t>
                </w:r>
              </w:p>
            </w:tc>
            <w:tc>
              <w:tcPr>
                <w:tcW w:w="2976" w:type="dxa"/>
                <w:shd w:val="clear" w:color="auto" w:fill="auto"/>
              </w:tcPr>
              <w:p w14:paraId="6545836A"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32</w:t>
                </w:r>
              </w:p>
            </w:tc>
          </w:tr>
          <w:tr w:rsidR="00093241" w:rsidRPr="00093241" w14:paraId="5CA78BE2" w14:textId="77777777" w:rsidTr="00093241">
            <w:tc>
              <w:tcPr>
                <w:tcW w:w="2835" w:type="dxa"/>
              </w:tcPr>
              <w:p w14:paraId="4D66905A" w14:textId="77777777" w:rsidR="00093241" w:rsidRPr="00093241" w:rsidRDefault="00093241" w:rsidP="00093241">
                <w:pPr>
                  <w:spacing w:line="276" w:lineRule="auto"/>
                  <w:rPr>
                    <w:rFonts w:ascii="Calibri" w:hAnsi="Calibri" w:cs="Calibri"/>
                  </w:rPr>
                </w:pPr>
                <w:r w:rsidRPr="00093241">
                  <w:rPr>
                    <w:rFonts w:ascii="Calibri" w:hAnsi="Calibri" w:cs="Calibri"/>
                  </w:rPr>
                  <w:t>Refining—gasoline</w:t>
                </w:r>
              </w:p>
            </w:tc>
            <w:tc>
              <w:tcPr>
                <w:tcW w:w="3261" w:type="dxa"/>
                <w:shd w:val="clear" w:color="auto" w:fill="auto"/>
              </w:tcPr>
              <w:p w14:paraId="72BCBAD6"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24</w:t>
                </w:r>
              </w:p>
            </w:tc>
            <w:tc>
              <w:tcPr>
                <w:tcW w:w="2976" w:type="dxa"/>
                <w:shd w:val="clear" w:color="auto" w:fill="auto"/>
              </w:tcPr>
              <w:p w14:paraId="4D58A465"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24</w:t>
                </w:r>
              </w:p>
            </w:tc>
          </w:tr>
          <w:tr w:rsidR="00093241" w:rsidRPr="00093241" w14:paraId="2A53DCDA" w14:textId="77777777" w:rsidTr="00093241">
            <w:tc>
              <w:tcPr>
                <w:tcW w:w="2835" w:type="dxa"/>
              </w:tcPr>
              <w:p w14:paraId="22AE4B19" w14:textId="77777777" w:rsidR="00093241" w:rsidRPr="00093241" w:rsidRDefault="00093241" w:rsidP="00093241">
                <w:pPr>
                  <w:spacing w:line="276" w:lineRule="auto"/>
                  <w:rPr>
                    <w:rFonts w:ascii="Calibri" w:hAnsi="Calibri" w:cs="Calibri"/>
                  </w:rPr>
                </w:pPr>
                <w:r w:rsidRPr="00093241">
                  <w:rPr>
                    <w:rFonts w:ascii="Calibri" w:hAnsi="Calibri" w:cs="Calibri"/>
                  </w:rPr>
                  <w:t>Refining—kerosene</w:t>
                </w:r>
              </w:p>
            </w:tc>
            <w:tc>
              <w:tcPr>
                <w:tcW w:w="3261" w:type="dxa"/>
                <w:shd w:val="clear" w:color="auto" w:fill="auto"/>
              </w:tcPr>
              <w:p w14:paraId="1383CA70"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24</w:t>
                </w:r>
              </w:p>
            </w:tc>
            <w:tc>
              <w:tcPr>
                <w:tcW w:w="2976" w:type="dxa"/>
                <w:shd w:val="clear" w:color="auto" w:fill="auto"/>
              </w:tcPr>
              <w:p w14:paraId="41F9E1AF"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24</w:t>
                </w:r>
              </w:p>
            </w:tc>
          </w:tr>
          <w:tr w:rsidR="00093241" w:rsidRPr="00093241" w14:paraId="662AA25C" w14:textId="77777777" w:rsidTr="00093241">
            <w:tc>
              <w:tcPr>
                <w:tcW w:w="2835" w:type="dxa"/>
              </w:tcPr>
              <w:p w14:paraId="6E4C6EB6" w14:textId="77777777" w:rsidR="00093241" w:rsidRPr="00093241" w:rsidRDefault="00093241" w:rsidP="00093241">
                <w:pPr>
                  <w:spacing w:line="276" w:lineRule="auto"/>
                  <w:rPr>
                    <w:rFonts w:ascii="Calibri" w:hAnsi="Calibri" w:cs="Calibri"/>
                  </w:rPr>
                </w:pPr>
                <w:r w:rsidRPr="00093241">
                  <w:rPr>
                    <w:rFonts w:ascii="Calibri" w:hAnsi="Calibri" w:cs="Calibri"/>
                  </w:rPr>
                  <w:t>Refining—diesel</w:t>
                </w:r>
              </w:p>
            </w:tc>
            <w:tc>
              <w:tcPr>
                <w:tcW w:w="3261" w:type="dxa"/>
                <w:shd w:val="clear" w:color="auto" w:fill="auto"/>
              </w:tcPr>
              <w:p w14:paraId="05401BF4"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20</w:t>
                </w:r>
              </w:p>
            </w:tc>
            <w:tc>
              <w:tcPr>
                <w:tcW w:w="2976" w:type="dxa"/>
                <w:shd w:val="clear" w:color="auto" w:fill="auto"/>
              </w:tcPr>
              <w:p w14:paraId="077D1F69" w14:textId="77777777" w:rsidR="00093241" w:rsidRPr="00093241" w:rsidRDefault="00093241" w:rsidP="00093241">
                <w:pPr>
                  <w:spacing w:line="276" w:lineRule="auto"/>
                  <w:jc w:val="center"/>
                  <w:rPr>
                    <w:rFonts w:ascii="Calibri" w:hAnsi="Calibri" w:cs="Calibri"/>
                  </w:rPr>
                </w:pPr>
                <w:r w:rsidRPr="00093241">
                  <w:rPr>
                    <w:rFonts w:ascii="Calibri" w:hAnsi="Calibri" w:cs="Calibri"/>
                  </w:rPr>
                  <w:t>20</w:t>
                </w:r>
              </w:p>
            </w:tc>
          </w:tr>
        </w:tbl>
        <w:p w14:paraId="0CA38B80" w14:textId="77777777" w:rsidR="00093241" w:rsidRPr="00093241" w:rsidRDefault="00093241" w:rsidP="00093241">
          <w:pPr>
            <w:keepNext/>
            <w:keepLines/>
            <w:spacing w:before="480" w:after="40"/>
            <w:outlineLvl w:val="0"/>
            <w:rPr>
              <w:rFonts w:ascii="Calibri" w:eastAsia="Times New Roman" w:hAnsi="Calibri" w:cs="Times New Roman"/>
              <w:color w:val="083A42"/>
              <w:sz w:val="36"/>
              <w:szCs w:val="36"/>
            </w:rPr>
          </w:pPr>
          <w:bookmarkStart w:id="60" w:name="_Toc96091488"/>
          <w:bookmarkStart w:id="61" w:name="_Toc96504621"/>
          <w:bookmarkStart w:id="62" w:name="_Toc98512034"/>
          <w:bookmarkStart w:id="63" w:name="_Toc98518278"/>
          <w:bookmarkStart w:id="64" w:name="_Toc117259533"/>
          <w:bookmarkStart w:id="65" w:name="_Toc117262232"/>
          <w:bookmarkStart w:id="66" w:name="_Toc117262591"/>
          <w:bookmarkStart w:id="67" w:name="_Toc117512018"/>
          <w:bookmarkStart w:id="68" w:name="_Toc117516968"/>
          <w:bookmarkStart w:id="69" w:name="_Toc117775508"/>
          <w:r w:rsidRPr="00093241">
            <w:rPr>
              <w:rFonts w:ascii="Calibri" w:eastAsia="Times New Roman" w:hAnsi="Calibri" w:cs="Times New Roman"/>
              <w:color w:val="083A42"/>
              <w:sz w:val="36"/>
              <w:szCs w:val="36"/>
            </w:rPr>
            <w:t>National benefits of the MSO scheme</w:t>
          </w:r>
          <w:bookmarkEnd w:id="60"/>
          <w:bookmarkEnd w:id="61"/>
          <w:bookmarkEnd w:id="62"/>
          <w:bookmarkEnd w:id="63"/>
          <w:bookmarkEnd w:id="64"/>
          <w:bookmarkEnd w:id="65"/>
          <w:bookmarkEnd w:id="66"/>
          <w:bookmarkEnd w:id="67"/>
          <w:bookmarkEnd w:id="68"/>
          <w:bookmarkEnd w:id="69"/>
        </w:p>
        <w:p w14:paraId="792B6C70"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Australia’s diversified supply chain provides an effective buffer in the case of minor disruptions to fuel supplies. However, due to a largely demand driven importing model, fuel companies generally operate on a ‘just-in-time’ basis and do not hold sufficient stocks to cover moderate to severe disruption events. This places fuel users at risk of facing fuel restrictions and significant price disruptions during major stock interruptions.</w:t>
          </w:r>
        </w:p>
        <w:p w14:paraId="11EBF4B5"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Australia imports around 90 per cent of its fuel products. As a result, we are a price taker in the international fuel market. Refined product prices experienced at the bowser are linked to import parity pricing. During supply disruptions, Australia’s position as a price taker will remain. Additional stockholding through the MSO will simply ensure access to fuel lasts longer in instances where demand outweighs supply.</w:t>
          </w:r>
        </w:p>
        <w:p w14:paraId="24178C83"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MSO will ensure adequate levels of stocks are held in Australia. The availability of all the major transport fuels underpins our economy, including road and rail freight, mining and agriculture. A major supply disruption would have significant economic implications.</w:t>
          </w:r>
        </w:p>
        <w:p w14:paraId="36763F6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Providing additional days of coverage affords a significant financial benefit via avoidance of future loss to the economy, should a significant disruption occur. Temporary interruptions to supply can result in significant losses, the MSO will protect industries reliant on liquid fuels including agricultural, manufacturing, transport and emergency service sectors.</w:t>
          </w:r>
        </w:p>
        <w:p w14:paraId="716A3225"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Australia’s state and territory governments have constitutional responsibility for planning and co-ordinating the response to fuel shortages within their territorial boundaries and have appropriate legislation and associated response plans in place to manage such emergencies. </w:t>
          </w:r>
        </w:p>
        <w:p w14:paraId="1212A15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In the event of an actual or likely fuel shortage with national implications, the </w:t>
          </w:r>
          <w:r w:rsidRPr="00093241">
            <w:rPr>
              <w:rFonts w:ascii="Calibri" w:eastAsia="Calibri" w:hAnsi="Calibri" w:cs="Times New Roman"/>
              <w:i/>
            </w:rPr>
            <w:t>Liquid Fuel Emergency Act 1984</w:t>
          </w:r>
          <w:r w:rsidRPr="00093241">
            <w:rPr>
              <w:rFonts w:ascii="Calibri" w:eastAsia="Calibri" w:hAnsi="Calibri" w:cs="Times New Roman"/>
            </w:rPr>
            <w:t xml:space="preserve"> (LFE Act) enables the Government to take management action in the event of a national emergency. This includes suspending the MSO at a request of a state Energy Minister. </w:t>
          </w:r>
        </w:p>
        <w:p w14:paraId="6FC44FA8" w14:textId="77777777" w:rsidR="00093241" w:rsidRPr="00093241" w:rsidRDefault="00093241" w:rsidP="00093241">
          <w:pPr>
            <w:rPr>
              <w:rFonts w:ascii="Calibri" w:eastAsia="Times New Roman" w:hAnsi="Calibri" w:cs="Times New Roman"/>
              <w:color w:val="BB4E06"/>
              <w:sz w:val="28"/>
              <w:szCs w:val="28"/>
            </w:rPr>
          </w:pPr>
          <w:r w:rsidRPr="00093241">
            <w:rPr>
              <w:rFonts w:ascii="Calibri" w:eastAsia="Calibri" w:hAnsi="Calibri" w:cs="Times New Roman"/>
              <w:sz w:val="28"/>
              <w:szCs w:val="28"/>
            </w:rPr>
            <w:br w:type="page"/>
          </w:r>
        </w:p>
        <w:p w14:paraId="5930E40E"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lastRenderedPageBreak/>
            <w:t>Approach to determining the financial benefit of the MSO</w:t>
          </w:r>
        </w:p>
        <w:p w14:paraId="43A9C906"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benefits of the MSO will arise in a disruption event, where demand outpaces supply. To determine the financial benefits attributable to the MSO, a plausible non-specific major fuel supply disruption on a national level is envisaged as a reference case in two scenarios:</w:t>
          </w:r>
        </w:p>
        <w:p w14:paraId="6391C026" w14:textId="77777777" w:rsidR="00093241" w:rsidRPr="00093241" w:rsidRDefault="00093241" w:rsidP="0037564F">
          <w:pPr>
            <w:numPr>
              <w:ilvl w:val="0"/>
              <w:numId w:val="22"/>
            </w:numPr>
            <w:contextualSpacing/>
            <w:rPr>
              <w:rFonts w:ascii="Calibri" w:eastAsia="Calibri" w:hAnsi="Calibri" w:cs="Times New Roman"/>
            </w:rPr>
          </w:pPr>
          <w:r w:rsidRPr="00093241">
            <w:rPr>
              <w:rFonts w:ascii="Calibri" w:eastAsia="Calibri" w:hAnsi="Calibri" w:cs="Times New Roman"/>
            </w:rPr>
            <w:t xml:space="preserve">the first reference case assumes the MSO is not in place. </w:t>
          </w:r>
        </w:p>
        <w:p w14:paraId="69854AE4" w14:textId="77777777" w:rsidR="00093241" w:rsidRPr="00093241" w:rsidRDefault="00093241" w:rsidP="0037564F">
          <w:pPr>
            <w:numPr>
              <w:ilvl w:val="0"/>
              <w:numId w:val="22"/>
            </w:numPr>
            <w:contextualSpacing/>
            <w:rPr>
              <w:rFonts w:ascii="Calibri" w:eastAsia="Calibri" w:hAnsi="Calibri" w:cs="Times New Roman"/>
            </w:rPr>
          </w:pPr>
          <w:r w:rsidRPr="00093241">
            <w:rPr>
              <w:rFonts w:ascii="Calibri" w:eastAsia="Calibri" w:hAnsi="Calibri" w:cs="Times New Roman"/>
            </w:rPr>
            <w:t xml:space="preserve">the same event is then modelled assuming the MSO is in place, where the impact of the event or events are ameliorated by additional fuel held by the MSO being released into the market. </w:t>
          </w:r>
        </w:p>
        <w:p w14:paraId="39970BE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value of the additional number of days’ supply (demonstrated in the second scenario) is an indicator of the economic benefit of the MSO. The benefits are quantified as the expected avoidance loss in real GDP.</w:t>
          </w:r>
        </w:p>
        <w:p w14:paraId="72B09F84"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 non-specific supply disruption on a national level is used. Due to the nature of our reliance on imports, disruptions can arise from a number of international or domestic sources affecting supply, whether environmental, geopolitical, demand driven, etc.</w:t>
          </w:r>
        </w:p>
        <w:p w14:paraId="7CE47BCB" w14:textId="77777777" w:rsidR="00093241" w:rsidRPr="00093241" w:rsidRDefault="00093241" w:rsidP="00093241">
          <w:pPr>
            <w:spacing w:before="240" w:after="40"/>
            <w:rPr>
              <w:rFonts w:ascii="Calibri" w:eastAsia="Calibri" w:hAnsi="Calibri" w:cs="Times New Roman"/>
            </w:rPr>
          </w:pPr>
          <w:r w:rsidRPr="00093241">
            <w:rPr>
              <w:rFonts w:ascii="Calibri" w:eastAsia="Calibri" w:hAnsi="Calibri" w:cs="Times New Roman"/>
              <w:color w:val="083A42"/>
            </w:rPr>
            <w:t>Economic impacts are non-linear</w:t>
          </w:r>
        </w:p>
        <w:p w14:paraId="646E09DD"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economic impact of a supply disruption is non-linear with respect to the magnitude of the reduction and duration of the event. That is, a disruption event that reduces consumption by 25 per cent instead of 50 per cent will have less than half of the daily economic impact.</w:t>
          </w:r>
        </w:p>
        <w:p w14:paraId="6C7D4B82"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Assumptions of a reference disruption event</w:t>
          </w:r>
        </w:p>
        <w:p w14:paraId="1DC6AD7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Several assumptions have been applied in the modelling, including:</w:t>
          </w:r>
        </w:p>
        <w:p w14:paraId="69F99627" w14:textId="77777777" w:rsidR="00093241" w:rsidRPr="00093241" w:rsidRDefault="00093241" w:rsidP="0037564F">
          <w:pPr>
            <w:numPr>
              <w:ilvl w:val="0"/>
              <w:numId w:val="11"/>
            </w:numPr>
            <w:contextualSpacing/>
            <w:rPr>
              <w:rFonts w:ascii="Calibri" w:eastAsia="Calibri" w:hAnsi="Calibri" w:cs="Times New Roman"/>
            </w:rPr>
          </w:pPr>
          <w:r w:rsidRPr="00093241">
            <w:rPr>
              <w:rFonts w:ascii="Calibri" w:eastAsia="Calibri" w:hAnsi="Calibri" w:cs="Times New Roman"/>
            </w:rPr>
            <w:t>the event occurs in the near future (2027 has been assumed for modelling purposes)</w:t>
          </w:r>
        </w:p>
        <w:p w14:paraId="270253E6" w14:textId="77777777" w:rsidR="00093241" w:rsidRPr="00093241" w:rsidRDefault="00093241" w:rsidP="0037564F">
          <w:pPr>
            <w:numPr>
              <w:ilvl w:val="0"/>
              <w:numId w:val="11"/>
            </w:numPr>
            <w:contextualSpacing/>
            <w:rPr>
              <w:rFonts w:ascii="Calibri" w:eastAsia="Calibri" w:hAnsi="Calibri" w:cs="Times New Roman"/>
            </w:rPr>
          </w:pPr>
          <w:r w:rsidRPr="00093241">
            <w:rPr>
              <w:rFonts w:ascii="Calibri" w:eastAsia="Calibri" w:hAnsi="Calibri" w:cs="Times New Roman"/>
            </w:rPr>
            <w:t>the production and/or import of product are restricted for a period of time due to some event that causes a disruption in supplies to Australian consumers</w:t>
          </w:r>
        </w:p>
        <w:p w14:paraId="1F597074" w14:textId="77777777" w:rsidR="00093241" w:rsidRPr="00093241" w:rsidRDefault="00093241" w:rsidP="0037564F">
          <w:pPr>
            <w:numPr>
              <w:ilvl w:val="0"/>
              <w:numId w:val="11"/>
            </w:numPr>
            <w:contextualSpacing/>
            <w:rPr>
              <w:rFonts w:ascii="Calibri" w:eastAsia="Calibri" w:hAnsi="Calibri" w:cs="Times New Roman"/>
            </w:rPr>
          </w:pPr>
          <w:r w:rsidRPr="00093241">
            <w:rPr>
              <w:rFonts w:ascii="Calibri" w:eastAsia="Calibri" w:hAnsi="Calibri" w:cs="Times New Roman"/>
            </w:rPr>
            <w:t xml:space="preserve">liquid fuel supply to essential services, agriculture and mining will continue </w:t>
          </w:r>
        </w:p>
        <w:p w14:paraId="453BDA12" w14:textId="77777777" w:rsidR="00093241" w:rsidRPr="00093241" w:rsidRDefault="00093241" w:rsidP="0037564F">
          <w:pPr>
            <w:numPr>
              <w:ilvl w:val="0"/>
              <w:numId w:val="11"/>
            </w:numPr>
            <w:contextualSpacing/>
            <w:rPr>
              <w:rFonts w:ascii="Calibri" w:eastAsia="Calibri" w:hAnsi="Calibri" w:cs="Times New Roman"/>
            </w:rPr>
          </w:pPr>
          <w:r w:rsidRPr="00093241">
            <w:rPr>
              <w:rFonts w:ascii="Calibri" w:eastAsia="Calibri" w:hAnsi="Calibri" w:cs="Times New Roman"/>
            </w:rPr>
            <w:t>private household use of diesel will be disproportionately curtailed as with all other non-critical industries</w:t>
          </w:r>
        </w:p>
        <w:p w14:paraId="2429CCC4" w14:textId="77777777" w:rsidR="00093241" w:rsidRPr="00093241" w:rsidRDefault="00093241" w:rsidP="0037564F">
          <w:pPr>
            <w:numPr>
              <w:ilvl w:val="0"/>
              <w:numId w:val="11"/>
            </w:numPr>
            <w:contextualSpacing/>
            <w:rPr>
              <w:rFonts w:ascii="Calibri" w:eastAsia="Calibri" w:hAnsi="Calibri" w:cs="Times New Roman"/>
            </w:rPr>
          </w:pPr>
          <w:r w:rsidRPr="00093241">
            <w:rPr>
              <w:rFonts w:ascii="Calibri" w:eastAsia="Calibri" w:hAnsi="Calibri" w:cs="Times New Roman"/>
            </w:rPr>
            <w:t>the nature of the event is such that the Minister directs a suspension of the MSO under the Act and allows stocks to be drawn down for a period of time to meet product demand</w:t>
          </w:r>
        </w:p>
        <w:p w14:paraId="72A14814" w14:textId="77777777" w:rsidR="00093241" w:rsidRPr="00093241" w:rsidRDefault="00093241" w:rsidP="0037564F">
          <w:pPr>
            <w:numPr>
              <w:ilvl w:val="0"/>
              <w:numId w:val="11"/>
            </w:numPr>
            <w:contextualSpacing/>
            <w:rPr>
              <w:rFonts w:ascii="Calibri" w:eastAsia="Calibri" w:hAnsi="Calibri" w:cs="Times New Roman"/>
            </w:rPr>
          </w:pPr>
          <w:r w:rsidRPr="00093241">
            <w:rPr>
              <w:rFonts w:ascii="Calibri" w:eastAsia="Calibri" w:hAnsi="Calibri" w:cs="Times New Roman"/>
            </w:rPr>
            <w:t>the event lasts longer than can be supplied from pre-MSO BAU stocks.</w:t>
          </w:r>
        </w:p>
        <w:p w14:paraId="30570F0B"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Detailed formulations of the disruption were prepared, and price effects estimated using current oil prices and exchange rates.</w:t>
          </w:r>
        </w:p>
        <w:p w14:paraId="16E8E281"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 xml:space="preserve">Outcomes of modelled supply restrictions </w:t>
          </w:r>
        </w:p>
        <w:p w14:paraId="7F46299B"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Due to the various uncertainties of the magnitude of a potential disruption, elasticities between 20 per cent and 50 per cent were modelled for diesel at a normal consumption rate. Diesel is used as the main transport fuel as it is the fuel most affected by the MSO, with petrol and jet fuel levels less affected.</w:t>
          </w:r>
        </w:p>
        <w:p w14:paraId="41B708BC"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model estimates the benefit per additional day of consumption cover (expected avoidance of loss in GDP) ranges between:</w:t>
          </w:r>
        </w:p>
        <w:p w14:paraId="25D6DDA7" w14:textId="77777777" w:rsidR="00093241" w:rsidRPr="00093241" w:rsidRDefault="00093241" w:rsidP="0037564F">
          <w:pPr>
            <w:numPr>
              <w:ilvl w:val="0"/>
              <w:numId w:val="20"/>
            </w:numPr>
            <w:contextualSpacing/>
            <w:rPr>
              <w:rFonts w:ascii="Calibri" w:eastAsia="Calibri" w:hAnsi="Calibri" w:cs="Times New Roman"/>
            </w:rPr>
          </w:pPr>
          <w:r w:rsidRPr="00093241">
            <w:rPr>
              <w:rFonts w:ascii="Calibri" w:eastAsia="Calibri" w:hAnsi="Calibri" w:cs="Times New Roman"/>
            </w:rPr>
            <w:t xml:space="preserve">$232.0 million a day, based on a 20 per cent supply disruption to diesel </w:t>
          </w:r>
        </w:p>
        <w:p w14:paraId="3F0222D7" w14:textId="77777777" w:rsidR="00093241" w:rsidRPr="00093241" w:rsidRDefault="00093241" w:rsidP="0037564F">
          <w:pPr>
            <w:numPr>
              <w:ilvl w:val="0"/>
              <w:numId w:val="20"/>
            </w:numPr>
            <w:contextualSpacing/>
            <w:rPr>
              <w:rFonts w:ascii="Calibri" w:eastAsia="Calibri" w:hAnsi="Calibri" w:cs="Times New Roman"/>
            </w:rPr>
          </w:pPr>
          <w:r w:rsidRPr="00093241">
            <w:rPr>
              <w:rFonts w:ascii="Calibri" w:eastAsia="Calibri" w:hAnsi="Calibri" w:cs="Times New Roman"/>
            </w:rPr>
            <w:t xml:space="preserve">$305.5 million a day, based on 25 per cent supply disruption to diesel </w:t>
          </w:r>
        </w:p>
        <w:p w14:paraId="4FFF5D68" w14:textId="77777777" w:rsidR="00093241" w:rsidRPr="00093241" w:rsidRDefault="00093241" w:rsidP="0037564F">
          <w:pPr>
            <w:numPr>
              <w:ilvl w:val="0"/>
              <w:numId w:val="20"/>
            </w:numPr>
            <w:contextualSpacing/>
            <w:rPr>
              <w:rFonts w:ascii="Calibri" w:eastAsia="Calibri" w:hAnsi="Calibri" w:cs="Times New Roman"/>
            </w:rPr>
          </w:pPr>
          <w:r w:rsidRPr="00093241">
            <w:rPr>
              <w:rFonts w:ascii="Calibri" w:eastAsia="Calibri" w:hAnsi="Calibri" w:cs="Times New Roman"/>
            </w:rPr>
            <w:t>$918.2 million a day, based on a 50 per cent supply disruption to diesel.</w:t>
          </w:r>
        </w:p>
        <w:p w14:paraId="12AF4DAE"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In CCD terms, the MSO will permit Australians to continue to consume diesel for:</w:t>
          </w:r>
        </w:p>
        <w:p w14:paraId="6A43B917" w14:textId="77777777" w:rsidR="00093241" w:rsidRPr="00093241" w:rsidRDefault="00093241" w:rsidP="0037564F">
          <w:pPr>
            <w:numPr>
              <w:ilvl w:val="0"/>
              <w:numId w:val="21"/>
            </w:numPr>
            <w:contextualSpacing/>
            <w:rPr>
              <w:rFonts w:ascii="Calibri" w:eastAsia="Calibri" w:hAnsi="Calibri" w:cs="Times New Roman"/>
            </w:rPr>
          </w:pPr>
          <w:r w:rsidRPr="00093241">
            <w:rPr>
              <w:rFonts w:ascii="Calibri" w:eastAsia="Calibri" w:hAnsi="Calibri" w:cs="Times New Roman"/>
            </w:rPr>
            <w:lastRenderedPageBreak/>
            <w:t>an additional ~43 days of normal consumption in the event of a 20 per cent supply disruption beyond which could be accommodated from industry’s stocks without the MSO. Total value to the economy of $9.9b.</w:t>
          </w:r>
        </w:p>
        <w:p w14:paraId="43209FFD" w14:textId="77777777" w:rsidR="00093241" w:rsidRPr="00093241" w:rsidRDefault="00093241" w:rsidP="0037564F">
          <w:pPr>
            <w:numPr>
              <w:ilvl w:val="0"/>
              <w:numId w:val="21"/>
            </w:numPr>
            <w:contextualSpacing/>
            <w:rPr>
              <w:rFonts w:ascii="Calibri" w:eastAsia="Calibri" w:hAnsi="Calibri" w:cs="Times New Roman"/>
            </w:rPr>
          </w:pPr>
          <w:r w:rsidRPr="00093241">
            <w:rPr>
              <w:rFonts w:ascii="Calibri" w:eastAsia="Calibri" w:hAnsi="Calibri" w:cs="Times New Roman"/>
            </w:rPr>
            <w:t>an additional ~34 days of normal consumption in the event of a 25 per cent supply disruption beyond which could be accommodated from industry’s stocks without the MSO. Total value to the economy of $10.4b.</w:t>
          </w:r>
        </w:p>
        <w:p w14:paraId="55A697AF" w14:textId="77777777" w:rsidR="00093241" w:rsidRPr="00093241" w:rsidRDefault="00093241" w:rsidP="0037564F">
          <w:pPr>
            <w:numPr>
              <w:ilvl w:val="0"/>
              <w:numId w:val="21"/>
            </w:numPr>
            <w:contextualSpacing/>
            <w:rPr>
              <w:rFonts w:ascii="Calibri" w:eastAsia="Calibri" w:hAnsi="Calibri" w:cs="Times New Roman"/>
            </w:rPr>
          </w:pPr>
          <w:r w:rsidRPr="00093241">
            <w:rPr>
              <w:rFonts w:ascii="Calibri" w:eastAsia="Calibri" w:hAnsi="Calibri" w:cs="Times New Roman"/>
            </w:rPr>
            <w:t>an additional ~17 days of normal consumption in the event of a 50 per cent supply disruption beyond which could be accommodated from industry’s stocks without the MSO. Total value to the economy of $15.6b.</w:t>
          </w:r>
        </w:p>
        <w:p w14:paraId="7315E831" w14:textId="77777777" w:rsidR="00093241" w:rsidRPr="00093241" w:rsidRDefault="00093241" w:rsidP="00093241">
          <w:pPr>
            <w:rPr>
              <w:rFonts w:ascii="Calibri" w:eastAsia="Calibri" w:hAnsi="Calibri" w:cs="Times New Roman"/>
            </w:rPr>
          </w:pPr>
        </w:p>
        <w:p w14:paraId="2A7994EA"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Figure 2 below shows the results of the modelled supply reductions. The solid line is a fitted curve to the results of various simulations, with the greyed area around the solid line representing the range of outcomes based on changes to the assumptions. </w:t>
          </w:r>
        </w:p>
        <w:p w14:paraId="1552AB41" w14:textId="77777777" w:rsidR="00093241" w:rsidRPr="00093241" w:rsidRDefault="00093241" w:rsidP="00093241">
          <w:pPr>
            <w:keepNext/>
            <w:spacing w:before="240"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t xml:space="preserve">Figure 2: Daily economic benefit associated with holding stocks to cover various losses in diesel supply (estimated impact based on 2027 projected diesel consumption and economy) </w:t>
          </w:r>
        </w:p>
        <w:p w14:paraId="1F8092B7" w14:textId="77777777" w:rsidR="00093241" w:rsidRPr="00093241" w:rsidRDefault="00093241" w:rsidP="00093241">
          <w:pPr>
            <w:keepNext/>
            <w:rPr>
              <w:rFonts w:ascii="Calibri" w:eastAsia="Calibri" w:hAnsi="Calibri" w:cs="Times New Roman"/>
            </w:rPr>
          </w:pPr>
          <w:r w:rsidRPr="00093241">
            <w:rPr>
              <w:rFonts w:ascii="Calibri" w:eastAsia="Calibri" w:hAnsi="Calibri" w:cs="Times New Roman"/>
              <w:noProof/>
              <w:lang w:eastAsia="en-AU"/>
            </w:rPr>
            <w:drawing>
              <wp:inline distT="0" distB="0" distL="0" distR="0" wp14:anchorId="1FE7B8C3" wp14:editId="17A7C6DE">
                <wp:extent cx="5174541" cy="2782036"/>
                <wp:effectExtent l="0" t="0" r="7620" b="0"/>
                <wp:docPr id="9" name="Chart 9" descr="This graph shows the results of the modelled supply reductions. The results show there is signiciant benefit to the economy of holding stocks to cover temporary losses in fuel supply. " title="Figure 2: Daily economic benefit associated with holding stocks in comparison to losses in diesel supply">
                  <a:extLst xmlns:a="http://schemas.openxmlformats.org/drawingml/2006/main">
                    <a:ext uri="{FF2B5EF4-FFF2-40B4-BE49-F238E27FC236}">
                      <a16:creationId xmlns:a16="http://schemas.microsoft.com/office/drawing/2014/main" id="{A5883F92-1D7B-44DD-BAFF-1AC0678DF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2892F8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results show there is significant benefit to the economy of holding stocks to cover temporary losses in fuel supply. This is because temporary interruptions to supply can result in significant costs, including to importers and refiners themselves.</w:t>
          </w:r>
        </w:p>
        <w:p w14:paraId="03F0241C" w14:textId="77777777" w:rsidR="00093241" w:rsidRPr="00093241" w:rsidRDefault="00093241" w:rsidP="00093241">
          <w:pPr>
            <w:keepNext/>
            <w:keepLines/>
            <w:spacing w:before="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Breakeven analysis</w:t>
          </w:r>
        </w:p>
        <w:p w14:paraId="2EA5FB26"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In light of the number of variables of possible major disruption scenarios, a breakeven analysis has been conducted to identify the disruption points at which the MSO will provide a net benefit to the Australian economy. </w:t>
          </w:r>
        </w:p>
        <w:p w14:paraId="30A0A464"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This breakeven analysis provides an estimate of the severity of events where Australians will see a net benefit of the MSO out to 2040.</w:t>
          </w:r>
        </w:p>
        <w:p w14:paraId="1DCF640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In the case of a 25 per cent supply disruption</w:t>
          </w:r>
          <w:r w:rsidRPr="00093241" w:rsidDel="00716233">
            <w:rPr>
              <w:rFonts w:ascii="Calibri" w:eastAsia="Calibri" w:hAnsi="Calibri" w:cs="Times New Roman"/>
            </w:rPr>
            <w:t xml:space="preserve">, the benefit of one day of </w:t>
          </w:r>
          <w:r w:rsidRPr="00093241">
            <w:rPr>
              <w:rFonts w:ascii="Calibri" w:eastAsia="Calibri" w:hAnsi="Calibri" w:cs="Times New Roman"/>
            </w:rPr>
            <w:t xml:space="preserve">additional </w:t>
          </w:r>
          <w:r w:rsidRPr="00093241" w:rsidDel="00716233">
            <w:rPr>
              <w:rFonts w:ascii="Calibri" w:eastAsia="Calibri" w:hAnsi="Calibri" w:cs="Times New Roman"/>
            </w:rPr>
            <w:t xml:space="preserve">stockholdings </w:t>
          </w:r>
          <w:r w:rsidRPr="00093241">
            <w:rPr>
              <w:rFonts w:ascii="Calibri" w:eastAsia="Calibri" w:hAnsi="Calibri" w:cs="Times New Roman"/>
            </w:rPr>
            <w:t xml:space="preserve">is </w:t>
          </w:r>
          <w:r w:rsidRPr="00093241" w:rsidDel="00716233">
            <w:rPr>
              <w:rFonts w:ascii="Calibri" w:eastAsia="Calibri" w:hAnsi="Calibri" w:cs="Times New Roman"/>
            </w:rPr>
            <w:t>estimated to be $</w:t>
          </w:r>
          <w:r w:rsidRPr="00093241">
            <w:rPr>
              <w:rFonts w:ascii="Calibri" w:eastAsia="Calibri" w:hAnsi="Calibri" w:cs="Times New Roman"/>
            </w:rPr>
            <w:t>305.5</w:t>
          </w:r>
          <w:r w:rsidRPr="00093241" w:rsidDel="00716233">
            <w:rPr>
              <w:rFonts w:ascii="Calibri" w:eastAsia="Calibri" w:hAnsi="Calibri" w:cs="Times New Roman"/>
            </w:rPr>
            <w:t xml:space="preserve"> million</w:t>
          </w:r>
          <w:r w:rsidRPr="00093241">
            <w:rPr>
              <w:rFonts w:ascii="Calibri" w:eastAsia="Calibri" w:hAnsi="Calibri" w:cs="Times New Roman"/>
            </w:rPr>
            <w:t>. Taking the estimated total cost of complying with the MSO of $1066.9 million, this implies if the supply interruption lasts for more than 3.5 days beyond pre-MSO BAU levels (i.e. $1066.9 divided by $305.5), then the benefits of holding the additional days of stocks (achieved through the MSO) will outweigh the costs.</w:t>
          </w:r>
        </w:p>
        <w:p w14:paraId="383D0FE6"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lastRenderedPageBreak/>
            <w:t xml:space="preserve">As a further example, taking the estimated total cost of complying with the MSO, and comparing it to the daily economic benefits presented in Figure 2, it is possible to calculate the minimum number of days of MSO stocks (the additional stocks held compared to the BAU), needed to be released for the total costs to equal the total benefits across the range of supply interruptions modelled. This is presented in Figure 3 below. </w:t>
          </w:r>
        </w:p>
        <w:p w14:paraId="1997BC9B" w14:textId="77777777" w:rsidR="00093241" w:rsidRPr="00093241" w:rsidRDefault="00093241" w:rsidP="00093241">
          <w:pPr>
            <w:keepNext/>
            <w:rPr>
              <w:rFonts w:ascii="Calibri" w:eastAsia="Calibri" w:hAnsi="Calibri" w:cs="Times New Roman"/>
              <w:i/>
              <w:color w:val="005577"/>
            </w:rPr>
          </w:pPr>
          <w:r w:rsidRPr="00093241">
            <w:rPr>
              <w:rFonts w:ascii="Calibri" w:eastAsia="Calibri" w:hAnsi="Calibri" w:cs="Times New Roman"/>
              <w:i/>
              <w:noProof/>
              <w:color w:val="083A42"/>
              <w:lang w:eastAsia="en-AU"/>
            </w:rPr>
            <w:drawing>
              <wp:inline distT="0" distB="0" distL="0" distR="0" wp14:anchorId="1A84E4B4" wp14:editId="12FDC76D">
                <wp:extent cx="5407660" cy="2767965"/>
                <wp:effectExtent l="0" t="0" r="2540" b="0"/>
                <wp:docPr id="11" name="Picture 11" descr="This graph assesses the minimum number of days of MSO stocks needed to be released for the total costs to equal the total benefits. " title="Figure 3: Breakeven analy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7660" cy="2767965"/>
                        </a:xfrm>
                        <a:prstGeom prst="rect">
                          <a:avLst/>
                        </a:prstGeom>
                        <a:noFill/>
                      </pic:spPr>
                    </pic:pic>
                  </a:graphicData>
                </a:graphic>
              </wp:inline>
            </w:drawing>
          </w:r>
          <w:r w:rsidRPr="00093241">
            <w:rPr>
              <w:rFonts w:ascii="Calibri" w:eastAsia="Calibri" w:hAnsi="Calibri" w:cs="Times New Roman"/>
              <w:i/>
              <w:color w:val="083A42"/>
            </w:rPr>
            <w:t>Figure 3: Breakeven analysis of minimum number of days of MSO stocks needed to be released to cover the cost of complying with the MSO Rules (2023–2040)</w:t>
          </w:r>
        </w:p>
        <w:p w14:paraId="6D2B35D0" w14:textId="77777777" w:rsidR="00093241" w:rsidRPr="00093241" w:rsidRDefault="00093241" w:rsidP="00093241">
          <w:pPr>
            <w:keepNext/>
            <w:rPr>
              <w:rFonts w:ascii="Calibri" w:eastAsia="Calibri" w:hAnsi="Calibri" w:cs="Times New Roman"/>
            </w:rPr>
          </w:pPr>
        </w:p>
        <w:p w14:paraId="2DBC4C8C" w14:textId="77777777" w:rsidR="00093241" w:rsidRPr="00093241" w:rsidRDefault="00093241" w:rsidP="00093241">
          <w:pPr>
            <w:keepNext/>
            <w:keepLines/>
            <w:spacing w:before="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Considering the likelihood of disruptions in supplies</w:t>
          </w:r>
        </w:p>
        <w:p w14:paraId="2BD16490"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A key consideration in assessing the benefits of the MSO policy is the likelihood of a major disruption event in the future that requires the established stockholding to support a managed fuel release. </w:t>
          </w:r>
        </w:p>
        <w:p w14:paraId="1B0BA9A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In analysing the benefits of the MSO, it could be considered akin to a type of ‘comprehensive insurance’ covering a range of circumstances. The MSO puts arrangements in place to prepare for a situation, whether it be known or unknown to reduce the economic and social impact should an event (or culmination of events) occur. </w:t>
          </w:r>
        </w:p>
        <w:p w14:paraId="29782E22" w14:textId="77777777" w:rsidR="00093241" w:rsidRPr="00093241" w:rsidRDefault="00093241" w:rsidP="00093241">
          <w:pPr>
            <w:spacing w:before="240" w:after="40" w:line="240" w:lineRule="auto"/>
            <w:rPr>
              <w:rFonts w:ascii="Calibri" w:eastAsia="Calibri" w:hAnsi="Calibri" w:cs="Times New Roman"/>
              <w:i/>
              <w:iCs/>
              <w:color w:val="408479"/>
              <w:szCs w:val="18"/>
            </w:rPr>
          </w:pPr>
          <w:r w:rsidRPr="00093241">
            <w:rPr>
              <w:rFonts w:ascii="Calibri" w:eastAsia="Calibri" w:hAnsi="Calibri" w:cs="Times New Roman"/>
              <w:iCs/>
              <w:color w:val="408479"/>
              <w:szCs w:val="18"/>
            </w:rPr>
            <w:t>Global supply shocks</w:t>
          </w:r>
        </w:p>
        <w:p w14:paraId="028E864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History has demonstrated major fuel events do occur globally, and Australia is not immune from future disruptions. Events including natural disasters, geopolitical conflicts, and interruptions to global shipping can cause disruptions to the international fuel market.</w:t>
          </w:r>
        </w:p>
        <w:p w14:paraId="30C10C0F"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Australia’s fuel security has relied on the diversity of import supply chains and the availability of sufficient production capacity internationally to manage supply shocks when they occur. With Australia reliant on imports to support demand for fuels, it remains susceptible to global fuel crises, either as one-off events or as an occurrence of simultaneous conflating events.</w:t>
          </w:r>
        </w:p>
        <w:p w14:paraId="78F867E0" w14:textId="77777777" w:rsidR="00093241" w:rsidRPr="00093241" w:rsidRDefault="00093241" w:rsidP="00093241">
          <w:pPr>
            <w:rPr>
              <w:rFonts w:ascii="Calibri" w:eastAsia="Calibri" w:hAnsi="Calibri" w:cs="Times New Roman"/>
            </w:rPr>
          </w:pPr>
        </w:p>
        <w:p w14:paraId="6CB5F7B4" w14:textId="77777777" w:rsidR="00093241" w:rsidRPr="00093241" w:rsidRDefault="00093241" w:rsidP="00093241">
          <w:pPr>
            <w:rPr>
              <w:rFonts w:ascii="Calibri" w:eastAsia="Calibri" w:hAnsi="Calibri" w:cs="Times New Roman"/>
            </w:rPr>
          </w:pPr>
        </w:p>
        <w:p w14:paraId="1BECB3FF"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Over the past 50 years, there have been a number of incidents in oil markets that have affected the availability of global oil supplies. These include the:</w:t>
          </w:r>
        </w:p>
        <w:p w14:paraId="62C1FE00" w14:textId="77777777" w:rsidR="00093241" w:rsidRPr="00093241" w:rsidRDefault="00093241" w:rsidP="0037564F">
          <w:pPr>
            <w:numPr>
              <w:ilvl w:val="0"/>
              <w:numId w:val="17"/>
            </w:numPr>
            <w:contextualSpacing/>
            <w:rPr>
              <w:rFonts w:ascii="Calibri" w:eastAsia="Calibri" w:hAnsi="Calibri" w:cs="Times New Roman"/>
            </w:rPr>
          </w:pPr>
          <w:r w:rsidRPr="00093241">
            <w:rPr>
              <w:rFonts w:ascii="Calibri" w:eastAsia="Calibri" w:hAnsi="Calibri" w:cs="Times New Roman"/>
            </w:rPr>
            <w:lastRenderedPageBreak/>
            <w:t>first oil crisis: Arab-Israeli War and repudiation of agreements, 1973-74</w:t>
          </w:r>
        </w:p>
        <w:p w14:paraId="473A20F6" w14:textId="77777777" w:rsidR="00093241" w:rsidRPr="00093241" w:rsidRDefault="00093241" w:rsidP="0037564F">
          <w:pPr>
            <w:numPr>
              <w:ilvl w:val="0"/>
              <w:numId w:val="17"/>
            </w:numPr>
            <w:contextualSpacing/>
            <w:rPr>
              <w:rFonts w:ascii="Calibri" w:eastAsia="Calibri" w:hAnsi="Calibri" w:cs="Times New Roman"/>
            </w:rPr>
          </w:pPr>
          <w:r w:rsidRPr="00093241">
            <w:rPr>
              <w:rFonts w:ascii="Calibri" w:eastAsia="Calibri" w:hAnsi="Calibri" w:cs="Times New Roman"/>
            </w:rPr>
            <w:t>second oil crisis: Iranian revolution and Iran-Iraq war, 1979-80</w:t>
          </w:r>
        </w:p>
        <w:p w14:paraId="1C0F6AD7" w14:textId="77777777" w:rsidR="00093241" w:rsidRPr="00093241" w:rsidRDefault="00093241" w:rsidP="0037564F">
          <w:pPr>
            <w:numPr>
              <w:ilvl w:val="0"/>
              <w:numId w:val="17"/>
            </w:numPr>
            <w:contextualSpacing/>
            <w:rPr>
              <w:rFonts w:ascii="Calibri" w:eastAsia="Calibri" w:hAnsi="Calibri" w:cs="Times New Roman"/>
            </w:rPr>
          </w:pPr>
          <w:r w:rsidRPr="00093241">
            <w:rPr>
              <w:rFonts w:ascii="Calibri" w:eastAsia="Calibri" w:hAnsi="Calibri" w:cs="Times New Roman"/>
            </w:rPr>
            <w:t>withdrawal of Saudi Arabian support for oil price, 1985-86</w:t>
          </w:r>
        </w:p>
        <w:p w14:paraId="16827C0C" w14:textId="77777777" w:rsidR="00093241" w:rsidRPr="00093241" w:rsidRDefault="00093241" w:rsidP="0037564F">
          <w:pPr>
            <w:numPr>
              <w:ilvl w:val="0"/>
              <w:numId w:val="17"/>
            </w:numPr>
            <w:contextualSpacing/>
            <w:rPr>
              <w:rFonts w:ascii="Calibri" w:eastAsia="Calibri" w:hAnsi="Calibri" w:cs="Times New Roman"/>
            </w:rPr>
          </w:pPr>
          <w:r w:rsidRPr="00093241">
            <w:rPr>
              <w:rFonts w:ascii="Calibri" w:eastAsia="Calibri" w:hAnsi="Calibri" w:cs="Times New Roman"/>
            </w:rPr>
            <w:t>first Gulf war: Iraq’s invasion of Kuwait, 1990-91</w:t>
          </w:r>
        </w:p>
        <w:p w14:paraId="26DD85D8" w14:textId="77777777" w:rsidR="00093241" w:rsidRPr="00093241" w:rsidRDefault="00093241" w:rsidP="0037564F">
          <w:pPr>
            <w:numPr>
              <w:ilvl w:val="0"/>
              <w:numId w:val="17"/>
            </w:numPr>
            <w:contextualSpacing/>
            <w:rPr>
              <w:rFonts w:ascii="Calibri" w:eastAsia="Calibri" w:hAnsi="Calibri" w:cs="Times New Roman"/>
            </w:rPr>
          </w:pPr>
          <w:r w:rsidRPr="00093241">
            <w:rPr>
              <w:rFonts w:ascii="Calibri" w:eastAsia="Calibri" w:hAnsi="Calibri" w:cs="Times New Roman"/>
            </w:rPr>
            <w:t>Venezuelan oil supply disruption and invasion of Iraq (second Gulf war), 2002-03</w:t>
          </w:r>
        </w:p>
        <w:p w14:paraId="1B646CC3" w14:textId="77777777" w:rsidR="00093241" w:rsidRPr="00093241" w:rsidRDefault="00093241" w:rsidP="0037564F">
          <w:pPr>
            <w:numPr>
              <w:ilvl w:val="0"/>
              <w:numId w:val="17"/>
            </w:numPr>
            <w:contextualSpacing/>
            <w:rPr>
              <w:rFonts w:ascii="Calibri" w:eastAsia="Calibri" w:hAnsi="Calibri" w:cs="Times New Roman"/>
            </w:rPr>
          </w:pPr>
          <w:r w:rsidRPr="00093241">
            <w:rPr>
              <w:rFonts w:ascii="Calibri" w:eastAsia="Calibri" w:hAnsi="Calibri" w:cs="Times New Roman"/>
            </w:rPr>
            <w:t>multiple oil shocks, 2003-14 including</w:t>
          </w:r>
        </w:p>
        <w:p w14:paraId="76AD3EA4" w14:textId="77777777" w:rsidR="00093241" w:rsidRPr="00093241" w:rsidRDefault="00093241" w:rsidP="0037564F">
          <w:pPr>
            <w:numPr>
              <w:ilvl w:val="1"/>
              <w:numId w:val="17"/>
            </w:numPr>
            <w:contextualSpacing/>
            <w:rPr>
              <w:rFonts w:ascii="Calibri" w:eastAsia="Calibri" w:hAnsi="Calibri" w:cs="Times New Roman"/>
            </w:rPr>
          </w:pPr>
          <w:r w:rsidRPr="00093241">
            <w:rPr>
              <w:rFonts w:ascii="Calibri" w:eastAsia="Calibri" w:hAnsi="Calibri" w:cs="Times New Roman"/>
            </w:rPr>
            <w:t>loss of 1.5 million barrels per day which was 25 per cent of then US crude oil production with Hurricanes Katrina and Rita in 2002</w:t>
          </w:r>
          <w:r w:rsidRPr="00093241">
            <w:rPr>
              <w:rFonts w:ascii="Calibri" w:eastAsia="Calibri" w:hAnsi="Calibri" w:cs="Times New Roman"/>
              <w:vertAlign w:val="superscript"/>
            </w:rPr>
            <w:footnoteReference w:id="2"/>
          </w:r>
          <w:r w:rsidRPr="00093241">
            <w:rPr>
              <w:rFonts w:ascii="Calibri" w:eastAsia="Calibri" w:hAnsi="Calibri" w:cs="Times New Roman"/>
            </w:rPr>
            <w:t xml:space="preserve"> </w:t>
          </w:r>
        </w:p>
        <w:p w14:paraId="6F49168E" w14:textId="77777777" w:rsidR="00093241" w:rsidRPr="00093241" w:rsidRDefault="00093241" w:rsidP="0037564F">
          <w:pPr>
            <w:numPr>
              <w:ilvl w:val="1"/>
              <w:numId w:val="17"/>
            </w:numPr>
            <w:contextualSpacing/>
            <w:rPr>
              <w:rFonts w:ascii="Calibri" w:eastAsia="Calibri" w:hAnsi="Calibri" w:cs="Times New Roman"/>
            </w:rPr>
          </w:pPr>
          <w:r w:rsidRPr="00093241">
            <w:rPr>
              <w:rFonts w:ascii="Calibri" w:eastAsia="Calibri" w:hAnsi="Calibri" w:cs="Times New Roman"/>
            </w:rPr>
            <w:t>diesel shortfall in Victoria in 2012 from refinery problems</w:t>
          </w:r>
        </w:p>
        <w:p w14:paraId="61F344E3" w14:textId="77777777" w:rsidR="00093241" w:rsidRPr="00093241" w:rsidRDefault="00093241" w:rsidP="0037564F">
          <w:pPr>
            <w:numPr>
              <w:ilvl w:val="0"/>
              <w:numId w:val="17"/>
            </w:numPr>
            <w:contextualSpacing/>
            <w:rPr>
              <w:rFonts w:ascii="Calibri" w:eastAsia="Calibri" w:hAnsi="Calibri" w:cs="Times New Roman"/>
            </w:rPr>
          </w:pPr>
          <w:r w:rsidRPr="00093241">
            <w:rPr>
              <w:rFonts w:ascii="Calibri" w:eastAsia="Calibri" w:hAnsi="Calibri" w:cs="Times New Roman"/>
            </w:rPr>
            <w:t>50 per cent cut in production from Saudi Arabia after a drone attack in 2019</w:t>
          </w:r>
        </w:p>
        <w:p w14:paraId="4CA6A9AE" w14:textId="77777777" w:rsidR="00093241" w:rsidRPr="00093241" w:rsidRDefault="00093241" w:rsidP="0037564F">
          <w:pPr>
            <w:numPr>
              <w:ilvl w:val="0"/>
              <w:numId w:val="17"/>
            </w:numPr>
            <w:contextualSpacing/>
            <w:rPr>
              <w:rFonts w:ascii="Calibri" w:eastAsia="Calibri" w:hAnsi="Calibri" w:cs="Times New Roman"/>
            </w:rPr>
          </w:pPr>
          <w:r w:rsidRPr="00093241">
            <w:rPr>
              <w:rFonts w:ascii="Calibri" w:eastAsia="Calibri" w:hAnsi="Calibri" w:cs="Times New Roman"/>
            </w:rPr>
            <w:t>oil price war between Russia and Saudi Arabia (2020)</w:t>
          </w:r>
        </w:p>
        <w:p w14:paraId="30C863A9" w14:textId="77777777" w:rsidR="00093241" w:rsidRPr="00093241" w:rsidRDefault="00093241" w:rsidP="0037564F">
          <w:pPr>
            <w:numPr>
              <w:ilvl w:val="0"/>
              <w:numId w:val="17"/>
            </w:numPr>
            <w:contextualSpacing/>
            <w:rPr>
              <w:rFonts w:ascii="Calibri" w:eastAsia="Calibri" w:hAnsi="Calibri" w:cs="Times New Roman"/>
            </w:rPr>
          </w:pPr>
          <w:r w:rsidRPr="00093241">
            <w:rPr>
              <w:rFonts w:ascii="Calibri" w:eastAsia="Calibri" w:hAnsi="Calibri" w:cs="Times New Roman"/>
            </w:rPr>
            <w:t>Suez Canal obstruction (2021).</w:t>
          </w:r>
        </w:p>
        <w:p w14:paraId="12A41002" w14:textId="77777777" w:rsidR="00093241" w:rsidRPr="00093241" w:rsidRDefault="00093241" w:rsidP="00093241">
          <w:pPr>
            <w:ind w:left="1080"/>
            <w:contextualSpacing/>
            <w:rPr>
              <w:rFonts w:ascii="Calibri" w:eastAsia="Calibri" w:hAnsi="Calibri" w:cs="Times New Roman"/>
            </w:rPr>
          </w:pPr>
        </w:p>
        <w:p w14:paraId="3B06C663"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Hurricane Katrina significantly affected global fuel prices and supply chains. In a study undertaken shortly after Katrina, it was estimated there is a 4-7 per cent chance of a hurricane of that magnitude or greater occurring in any year along the US Gulf Coast and east coast respectively.</w:t>
          </w:r>
          <w:r w:rsidRPr="00093241">
            <w:rPr>
              <w:rFonts w:ascii="Calibri" w:eastAsia="Calibri" w:hAnsi="Calibri" w:cs="Times New Roman"/>
              <w:vertAlign w:val="superscript"/>
            </w:rPr>
            <w:footnoteReference w:id="3"/>
          </w:r>
          <w:r w:rsidRPr="00093241">
            <w:rPr>
              <w:rFonts w:ascii="Calibri" w:eastAsia="Calibri" w:hAnsi="Calibri" w:cs="Times New Roman"/>
            </w:rPr>
            <w:t xml:space="preserve"> </w:t>
          </w:r>
        </w:p>
        <w:p w14:paraId="0DF59D82"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Russia-Ukraine conflict has had an effect on international oil prices, rather than impacting Australian supply chains. </w:t>
          </w:r>
        </w:p>
        <w:p w14:paraId="22A83A0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While such events don’t always cause a shutdown or a disruption to Australian industry, it is one indicator of the probability of potential disruptions to oil supplies and its uncertainty. </w:t>
          </w:r>
        </w:p>
        <w:p w14:paraId="2AC6E20E" w14:textId="77777777" w:rsidR="00093241" w:rsidRPr="00093241" w:rsidRDefault="00093241" w:rsidP="00093241">
          <w:pPr>
            <w:spacing w:before="240" w:after="40" w:line="240" w:lineRule="auto"/>
            <w:rPr>
              <w:rFonts w:ascii="Calibri" w:eastAsia="Calibri" w:hAnsi="Calibri" w:cs="Times New Roman"/>
              <w:i/>
              <w:iCs/>
              <w:color w:val="408479"/>
              <w:szCs w:val="18"/>
            </w:rPr>
          </w:pPr>
          <w:r w:rsidRPr="00093241">
            <w:rPr>
              <w:rFonts w:ascii="Calibri" w:eastAsia="Calibri" w:hAnsi="Calibri" w:cs="Times New Roman"/>
              <w:iCs/>
              <w:color w:val="408479"/>
              <w:szCs w:val="18"/>
            </w:rPr>
            <w:t>Growing complexity in potential disruption events</w:t>
          </w:r>
        </w:p>
        <w:p w14:paraId="2ADAFFD0"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More recently, the COVID-19 pandemic has had implications for the global oil market and for supply chains. In 2020 this led the IEA to categorise the threat to the entire supply chain of oil refining, freight and storage as one of the most ferocious shocks to occur in the global oil market. </w:t>
          </w:r>
        </w:p>
        <w:p w14:paraId="2E94A86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While the latest outlook is more favourable, the experience with responses to the COVID-19 pandemic has exposed the importance of preparedness to support unforeseen fragility within supply chains, and the growing probability of disruption events occurring.</w:t>
          </w:r>
        </w:p>
        <w:p w14:paraId="180D491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Due to the growing interconnectedness of the global fuel market, it is becoming more and more difficult to predict the likelihood, origin or trigger of a major disruption in oil and liquid fuel supplies. However, given Australia’s strong reliance on imported fuel products, the current geopolitical climate and a history of global fuel disruption events, it is reasonable to expect and prepare for an event of significant magnitude in the near future. </w:t>
          </w:r>
        </w:p>
        <w:p w14:paraId="50B9D0BF" w14:textId="77777777" w:rsidR="00093241" w:rsidRPr="00093241" w:rsidRDefault="00093241" w:rsidP="00093241">
          <w:pPr>
            <w:spacing w:before="240" w:after="40"/>
            <w:rPr>
              <w:rFonts w:ascii="Calibri" w:eastAsia="Calibri" w:hAnsi="Calibri" w:cs="Times New Roman"/>
              <w:color w:val="005577"/>
            </w:rPr>
          </w:pPr>
          <w:r w:rsidRPr="00093241">
            <w:rPr>
              <w:rFonts w:ascii="Calibri" w:eastAsia="Calibri" w:hAnsi="Calibri" w:cs="Times New Roman"/>
              <w:color w:val="083A42"/>
            </w:rPr>
            <w:t>Benefits conclusion</w:t>
          </w:r>
        </w:p>
        <w:p w14:paraId="0389FD9E"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It is the Government’s role to ensure resilience to potential supply disruptions and to protect consumers and the economy. The MSO will bring with it a net benefit, through increased and prolonged resilience to a wider range of disruption events that will outweigh costs when a major event occurs.</w:t>
          </w:r>
        </w:p>
        <w:p w14:paraId="5FD33BC9"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lastRenderedPageBreak/>
            <w:t>The outcomes of the breakeven modelling conclude a supply disruption of 25 per cent only requires the drawdown of at least 3.5 days’ worth (i.e. $1,066.9 million divided by $305.5 million) of the additional stocks held due to the MSO to deliver a net benefit out to 2040.</w:t>
          </w:r>
        </w:p>
        <w:p w14:paraId="45A9805C"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Similarly, a supply disruption of 50 per cent requires a drawdown of only 1.2 days’ worth (i.e. $1,066.9 million divided by $918.2 million) of the additional stocks held due to the MSO for the benefits to outweigh the costs.</w:t>
          </w:r>
        </w:p>
        <w:p w14:paraId="12AE2A4F"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A greater frequency or magnitude of drawdowns will result in the benefits of the MSO significantly outweighing the costs. </w:t>
          </w:r>
        </w:p>
        <w:p w14:paraId="3E99C6DB"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Modelling does not include the additional benefits that may arise to business confidence from an increased reliability of fuel supply. These benefits persist regardless of an event occurring or not. </w:t>
          </w:r>
        </w:p>
        <w:p w14:paraId="2C6E9534" w14:textId="77777777" w:rsidR="00093241" w:rsidRPr="00093241" w:rsidRDefault="00093241" w:rsidP="00093241">
          <w:pPr>
            <w:keepNext/>
            <w:keepLines/>
            <w:spacing w:before="240" w:after="80"/>
            <w:outlineLvl w:val="0"/>
            <w:rPr>
              <w:rFonts w:ascii="Calibri" w:eastAsia="Times New Roman" w:hAnsi="Calibri" w:cs="Times New Roman"/>
              <w:color w:val="083A42"/>
              <w:sz w:val="36"/>
              <w:szCs w:val="36"/>
            </w:rPr>
          </w:pPr>
          <w:bookmarkStart w:id="70" w:name="_Toc92306606"/>
          <w:bookmarkStart w:id="71" w:name="_Toc96091489"/>
          <w:bookmarkStart w:id="72" w:name="_Toc96504622"/>
          <w:bookmarkStart w:id="73" w:name="_Toc98512035"/>
          <w:bookmarkStart w:id="74" w:name="_Toc98518279"/>
          <w:bookmarkStart w:id="75" w:name="_Toc117259534"/>
          <w:bookmarkStart w:id="76" w:name="_Toc117262233"/>
          <w:bookmarkStart w:id="77" w:name="_Toc117262592"/>
          <w:bookmarkStart w:id="78" w:name="_Toc117512019"/>
          <w:bookmarkStart w:id="79" w:name="_Toc117516969"/>
          <w:bookmarkStart w:id="80" w:name="_Toc117775509"/>
          <w:r w:rsidRPr="00093241">
            <w:rPr>
              <w:rFonts w:ascii="Calibri" w:eastAsia="Times New Roman" w:hAnsi="Calibri" w:cs="Times New Roman"/>
              <w:color w:val="083A42"/>
              <w:sz w:val="36"/>
              <w:szCs w:val="36"/>
            </w:rPr>
            <w:t>Cost impacts</w:t>
          </w:r>
          <w:bookmarkEnd w:id="70"/>
          <w:bookmarkEnd w:id="71"/>
          <w:bookmarkEnd w:id="72"/>
          <w:bookmarkEnd w:id="73"/>
          <w:bookmarkEnd w:id="74"/>
          <w:bookmarkEnd w:id="75"/>
          <w:bookmarkEnd w:id="76"/>
          <w:bookmarkEnd w:id="77"/>
          <w:bookmarkEnd w:id="78"/>
          <w:bookmarkEnd w:id="79"/>
          <w:bookmarkEnd w:id="80"/>
        </w:p>
        <w:p w14:paraId="295EB6F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This section provides an analysis of the estimated costs to potential affected entities resulting from the MSO. </w:t>
          </w:r>
        </w:p>
        <w:p w14:paraId="319E2215"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estimated cost of the MSO has been formulated by identifying likely additional regulatory, capital, and operating costs necessary for industry wide compliance. These costs are then compared to projected equivalent costs without the MSO. </w:t>
          </w:r>
        </w:p>
        <w:p w14:paraId="1A8E5F3D" w14:textId="77777777" w:rsidR="00093241" w:rsidRPr="00093241" w:rsidRDefault="00093241" w:rsidP="00093241">
          <w:pPr>
            <w:rPr>
              <w:rFonts w:ascii="Calibri" w:eastAsia="Calibri" w:hAnsi="Calibri" w:cs="Times New Roman"/>
              <w:sz w:val="18"/>
              <w:szCs w:val="18"/>
            </w:rPr>
          </w:pPr>
          <w:r w:rsidRPr="00093241">
            <w:rPr>
              <w:rFonts w:ascii="Calibri" w:eastAsia="Calibri" w:hAnsi="Calibri" w:cs="Times New Roman"/>
              <w:color w:val="000000"/>
            </w:rPr>
            <w:t xml:space="preserve">The additional capital costs are expected to be comprised of the purchasing and holding of additional stocks where required, and the cost of increasing storage capacity if required. Additional regulatory costs are also expected, due to the nature of increasing reporting and measuring requirements. </w:t>
          </w:r>
        </w:p>
        <w:p w14:paraId="62E8784E"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cost impacts are based on historical data and demand projections to 2040 and do not reflect those of a specific entity, but rather the average total costs expected.</w:t>
          </w:r>
        </w:p>
        <w:p w14:paraId="0B5C3DAD"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In conducting this analysis, care has been taken to appropriately reflect the cost of the MSO settings on entities based on:</w:t>
          </w:r>
        </w:p>
        <w:p w14:paraId="6CB6DA8E"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historical imports or production of gasoline, kerosene and diesel</w:t>
          </w:r>
        </w:p>
        <w:p w14:paraId="3DEB6914"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a projection of their future sales, based on each entity’s historical market share</w:t>
          </w:r>
        </w:p>
        <w:p w14:paraId="0B2B08E6"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future oil price assumptions</w:t>
          </w:r>
        </w:p>
        <w:p w14:paraId="0D0110DC"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 xml:space="preserve">current available estimated total storage capacity by product (including storage of crude, condensate and unfinished products for refiners) </w:t>
          </w:r>
        </w:p>
        <w:p w14:paraId="7CF08F53"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 xml:space="preserve">anticipated construction of new storage capacity (including storage capacity currently or expected to be built under the Australian Government’s </w:t>
          </w:r>
          <w:r w:rsidRPr="00093241">
            <w:rPr>
              <w:rFonts w:ascii="Calibri" w:eastAsia="Calibri" w:hAnsi="Calibri" w:cs="Times New Roman"/>
              <w:i/>
            </w:rPr>
            <w:t xml:space="preserve">Boosting Australia’s Diesel Storage Program </w:t>
          </w:r>
          <w:r w:rsidRPr="00093241">
            <w:rPr>
              <w:rFonts w:ascii="Calibri" w:eastAsia="Calibri" w:hAnsi="Calibri" w:cs="Times New Roman"/>
            </w:rPr>
            <w:t>(BADSP)).</w:t>
          </w:r>
        </w:p>
        <w:p w14:paraId="33B76754"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historically observed pattern of drawing down and refilling stocks based on market conditions</w:t>
          </w:r>
        </w:p>
        <w:p w14:paraId="1E03C4E1"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the ability for importers to count stocks of product stored on vessels within Australia’s EEZ</w:t>
          </w:r>
        </w:p>
        <w:p w14:paraId="11A4AA88"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the ability for refiners to count the volume able to be produced from crude and unfinished products held in storage at the refinery</w:t>
          </w:r>
        </w:p>
        <w:p w14:paraId="752EDF1F"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the ability for entities that are both a refiner and an importer to acquit stocks across both to meet their obligations</w:t>
          </w:r>
        </w:p>
        <w:p w14:paraId="22329F8D"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the ability of entities to trade stocks through a functioning intermediary market to meet their obligations</w:t>
          </w:r>
        </w:p>
        <w:p w14:paraId="0B1F9E4C"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lastRenderedPageBreak/>
            <w:t xml:space="preserve">the cost of entities building additional storage capacity and purchasing and holding additional stocks of product to meet their obligations. </w:t>
          </w:r>
        </w:p>
        <w:p w14:paraId="5708745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Elements not included in the cost analysis are:</w:t>
          </w:r>
        </w:p>
        <w:p w14:paraId="7A6335CB"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stocks held within pipelines – not considered material in volume</w:t>
          </w:r>
        </w:p>
        <w:p w14:paraId="4B139BF0"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storage capacity operated by entities without an MSO</w:t>
          </w:r>
        </w:p>
        <w:p w14:paraId="4A52354E" w14:textId="77777777" w:rsidR="00093241" w:rsidRPr="00093241" w:rsidRDefault="00093241" w:rsidP="0037564F">
          <w:pPr>
            <w:numPr>
              <w:ilvl w:val="0"/>
              <w:numId w:val="6"/>
            </w:numPr>
            <w:contextualSpacing/>
            <w:rPr>
              <w:rFonts w:ascii="Calibri" w:eastAsia="Calibri" w:hAnsi="Calibri" w:cs="Times New Roman"/>
            </w:rPr>
          </w:pPr>
          <w:r w:rsidRPr="00093241">
            <w:rPr>
              <w:rFonts w:ascii="Calibri" w:eastAsia="Calibri" w:hAnsi="Calibri" w:cs="Times New Roman"/>
            </w:rPr>
            <w:t>potential costs associated with the loss of flexibility by affected entities to manage their stockholdings below their MSO.</w:t>
          </w:r>
        </w:p>
        <w:p w14:paraId="4ED3D97C" w14:textId="77777777" w:rsidR="00093241" w:rsidRPr="00093241" w:rsidRDefault="00093241" w:rsidP="00093241">
          <w:pPr>
            <w:keepNext/>
            <w:keepLines/>
            <w:spacing w:before="40" w:after="40"/>
            <w:outlineLvl w:val="1"/>
            <w:rPr>
              <w:rFonts w:ascii="Calibri" w:eastAsia="Times New Roman" w:hAnsi="Calibri" w:cs="Times New Roman"/>
              <w:color w:val="005577"/>
              <w:sz w:val="28"/>
              <w:szCs w:val="28"/>
            </w:rPr>
          </w:pPr>
          <w:r w:rsidRPr="00093241">
            <w:rPr>
              <w:rFonts w:ascii="Calibri" w:eastAsia="Times New Roman" w:hAnsi="Calibri" w:cs="Times New Roman"/>
              <w:color w:val="BB4E06"/>
              <w:sz w:val="28"/>
              <w:szCs w:val="28"/>
            </w:rPr>
            <w:t>MSO total costs</w:t>
          </w:r>
        </w:p>
        <w:p w14:paraId="304B5652"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projected total cost to MSO entities for each product are presented in Table 2 below. </w:t>
          </w:r>
        </w:p>
        <w:p w14:paraId="553B4D52"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While Net Present Value (NPV) results are presented for a range of discount rates, when considering the results of the analysis, NPV figures of 7 per cent have been used for cost to the consumers.</w:t>
          </w:r>
        </w:p>
        <w:p w14:paraId="5F123235"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Over the period to 2040, the MSO settings are expected to add total costs of:</w:t>
          </w:r>
        </w:p>
        <w:p w14:paraId="581CF8EA" w14:textId="77777777" w:rsidR="00093241" w:rsidRPr="00093241" w:rsidRDefault="00093241" w:rsidP="0037564F">
          <w:pPr>
            <w:numPr>
              <w:ilvl w:val="0"/>
              <w:numId w:val="7"/>
            </w:numPr>
            <w:contextualSpacing/>
            <w:rPr>
              <w:rFonts w:ascii="Calibri" w:eastAsia="Calibri" w:hAnsi="Calibri" w:cs="Times New Roman"/>
            </w:rPr>
          </w:pPr>
          <w:r w:rsidRPr="00093241">
            <w:rPr>
              <w:rFonts w:ascii="Calibri" w:eastAsia="Calibri" w:hAnsi="Calibri" w:cs="Times New Roman"/>
            </w:rPr>
            <w:t xml:space="preserve">$136.8 million (with an NPV7 of $74.6 million) to </w:t>
          </w:r>
          <w:r w:rsidRPr="00093241">
            <w:rPr>
              <w:rFonts w:ascii="Calibri" w:eastAsia="Calibri" w:hAnsi="Calibri" w:cs="Times New Roman"/>
              <w:b/>
            </w:rPr>
            <w:t>gasoline</w:t>
          </w:r>
          <w:r w:rsidRPr="00093241">
            <w:rPr>
              <w:rFonts w:ascii="Calibri" w:eastAsia="Calibri" w:hAnsi="Calibri" w:cs="Times New Roman"/>
            </w:rPr>
            <w:t xml:space="preserve"> importers and refiners</w:t>
          </w:r>
        </w:p>
        <w:p w14:paraId="6A8604CB" w14:textId="77777777" w:rsidR="00093241" w:rsidRPr="00093241" w:rsidRDefault="00093241" w:rsidP="0037564F">
          <w:pPr>
            <w:numPr>
              <w:ilvl w:val="0"/>
              <w:numId w:val="7"/>
            </w:numPr>
            <w:contextualSpacing/>
            <w:rPr>
              <w:rFonts w:ascii="Calibri" w:eastAsia="Calibri" w:hAnsi="Calibri" w:cs="Times New Roman"/>
            </w:rPr>
          </w:pPr>
          <w:r w:rsidRPr="00093241">
            <w:rPr>
              <w:rFonts w:ascii="Calibri" w:eastAsia="Calibri" w:hAnsi="Calibri" w:cs="Times New Roman"/>
            </w:rPr>
            <w:t xml:space="preserve">$219.1 million (with an NPV7 of $140.5 million) to </w:t>
          </w:r>
          <w:r w:rsidRPr="00093241">
            <w:rPr>
              <w:rFonts w:ascii="Calibri" w:eastAsia="Calibri" w:hAnsi="Calibri" w:cs="Times New Roman"/>
              <w:b/>
            </w:rPr>
            <w:t>kerosene</w:t>
          </w:r>
          <w:r w:rsidRPr="00093241">
            <w:rPr>
              <w:rFonts w:ascii="Calibri" w:eastAsia="Calibri" w:hAnsi="Calibri" w:cs="Times New Roman"/>
            </w:rPr>
            <w:t xml:space="preserve"> importers and refiners </w:t>
          </w:r>
        </w:p>
        <w:p w14:paraId="3272CD24" w14:textId="77777777" w:rsidR="00093241" w:rsidRPr="00093241" w:rsidRDefault="00093241" w:rsidP="0037564F">
          <w:pPr>
            <w:numPr>
              <w:ilvl w:val="0"/>
              <w:numId w:val="7"/>
            </w:numPr>
            <w:contextualSpacing/>
            <w:rPr>
              <w:rFonts w:ascii="Calibri" w:eastAsia="Calibri" w:hAnsi="Calibri" w:cs="Times New Roman"/>
            </w:rPr>
          </w:pPr>
          <w:r w:rsidRPr="00093241">
            <w:rPr>
              <w:rFonts w:ascii="Calibri" w:eastAsia="Calibri" w:hAnsi="Calibri" w:cs="Times New Roman"/>
            </w:rPr>
            <w:t xml:space="preserve">$711.1 million (with an NPV7 of $562.9 million) to </w:t>
          </w:r>
          <w:r w:rsidRPr="00093241">
            <w:rPr>
              <w:rFonts w:ascii="Calibri" w:eastAsia="Calibri" w:hAnsi="Calibri" w:cs="Times New Roman"/>
              <w:b/>
            </w:rPr>
            <w:t>diesel</w:t>
          </w:r>
          <w:r w:rsidRPr="00093241">
            <w:rPr>
              <w:rFonts w:ascii="Calibri" w:eastAsia="Calibri" w:hAnsi="Calibri" w:cs="Times New Roman"/>
            </w:rPr>
            <w:t xml:space="preserve"> importers and refiners. </w:t>
          </w:r>
        </w:p>
        <w:p w14:paraId="7934BF68" w14:textId="77777777" w:rsidR="00093241" w:rsidRPr="00093241" w:rsidRDefault="00093241" w:rsidP="00093241">
          <w:pPr>
            <w:keepNext/>
            <w:keepLines/>
            <w:spacing w:before="40" w:after="40"/>
            <w:outlineLvl w:val="1"/>
            <w:rPr>
              <w:rFonts w:ascii="Calibri" w:eastAsia="Times New Roman" w:hAnsi="Calibri" w:cs="Times New Roman"/>
              <w:color w:val="BB4E06"/>
              <w:sz w:val="28"/>
              <w:szCs w:val="48"/>
            </w:rPr>
          </w:pPr>
          <w:r w:rsidRPr="00093241">
            <w:rPr>
              <w:rFonts w:ascii="Calibri" w:eastAsia="Times New Roman" w:hAnsi="Calibri" w:cs="Times New Roman"/>
              <w:color w:val="BB4E06"/>
              <w:sz w:val="28"/>
              <w:szCs w:val="48"/>
            </w:rPr>
            <w:t>Capital costs</w:t>
          </w:r>
        </w:p>
        <w:p w14:paraId="779FF71B"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At a national level, no additional product storage is expected to be required across the total group of MSO entities. A large part of this is due to the availability of storage industry-wide and the additional storage capacity being built under the BADSP. Storage availability is anticipated industry-wide through the expectation of a functioning intermediary market, and the flexibility borne by the ability to count stocks held on vessels within the EEZ. </w:t>
          </w:r>
        </w:p>
        <w:p w14:paraId="4ED7D09A"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In some cases, affected importers and refiners are likely to be required to increase the stocks of kerosene and diesel product they hold to ensure compliance with their respective MSO (business-as-usual stocks of gasoline are likely to be sufficient to meet their MSO). </w:t>
          </w:r>
        </w:p>
        <w:p w14:paraId="486A7F4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Over the period to 2040, it is expected the group of affected importers and refiners will be required to purchase an additional:</w:t>
          </w:r>
        </w:p>
        <w:p w14:paraId="38A1D71B" w14:textId="77777777" w:rsidR="00093241" w:rsidRPr="00093241" w:rsidRDefault="00093241" w:rsidP="0037564F">
          <w:pPr>
            <w:numPr>
              <w:ilvl w:val="0"/>
              <w:numId w:val="8"/>
            </w:numPr>
            <w:contextualSpacing/>
            <w:rPr>
              <w:rFonts w:ascii="Calibri" w:eastAsia="Calibri" w:hAnsi="Calibri" w:cs="Times New Roman"/>
            </w:rPr>
          </w:pPr>
          <w:r w:rsidRPr="00093241">
            <w:rPr>
              <w:rFonts w:ascii="Calibri" w:eastAsia="Calibri" w:hAnsi="Calibri" w:cs="Times New Roman"/>
            </w:rPr>
            <w:t xml:space="preserve">$102.7 million of </w:t>
          </w:r>
          <w:r w:rsidRPr="00093241">
            <w:rPr>
              <w:rFonts w:ascii="Calibri" w:eastAsia="Calibri" w:hAnsi="Calibri" w:cs="Times New Roman"/>
              <w:b/>
            </w:rPr>
            <w:t>kerosene</w:t>
          </w:r>
          <w:r w:rsidRPr="00093241">
            <w:rPr>
              <w:rFonts w:ascii="Calibri" w:eastAsia="Calibri" w:hAnsi="Calibri" w:cs="Times New Roman"/>
            </w:rPr>
            <w:t xml:space="preserve"> (with a NPV7 of $78.8 million) over 17 years to 2040. </w:t>
          </w:r>
        </w:p>
        <w:p w14:paraId="33C5FA81" w14:textId="77777777" w:rsidR="00093241" w:rsidRPr="00093241" w:rsidRDefault="00093241" w:rsidP="0037564F">
          <w:pPr>
            <w:numPr>
              <w:ilvl w:val="0"/>
              <w:numId w:val="8"/>
            </w:numPr>
            <w:contextualSpacing/>
            <w:rPr>
              <w:rFonts w:ascii="Calibri" w:eastAsia="Calibri" w:hAnsi="Calibri" w:cs="Times New Roman"/>
            </w:rPr>
          </w:pPr>
          <w:r w:rsidRPr="00093241">
            <w:rPr>
              <w:rFonts w:ascii="Calibri" w:eastAsia="Calibri" w:hAnsi="Calibri" w:cs="Times New Roman"/>
            </w:rPr>
            <w:t xml:space="preserve">$519.8 million of </w:t>
          </w:r>
          <w:r w:rsidRPr="00093241">
            <w:rPr>
              <w:rFonts w:ascii="Calibri" w:eastAsia="Calibri" w:hAnsi="Calibri" w:cs="Times New Roman"/>
              <w:b/>
            </w:rPr>
            <w:t>diesel</w:t>
          </w:r>
          <w:r w:rsidRPr="00093241">
            <w:rPr>
              <w:rFonts w:ascii="Calibri" w:eastAsia="Calibri" w:hAnsi="Calibri" w:cs="Times New Roman"/>
            </w:rPr>
            <w:t xml:space="preserve"> (with a NPV7 of $460.4 million) over 17 years to 2040. </w:t>
          </w:r>
        </w:p>
        <w:p w14:paraId="4D27FC95"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Additional operating costs associated with the holding of additional stocks have also been assumed.</w:t>
          </w:r>
        </w:p>
        <w:p w14:paraId="1211B22E"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Operating and regulatory costs</w:t>
          </w:r>
        </w:p>
        <w:p w14:paraId="4BED3E3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Regulatory costs (associated with undertaking set-up and ongoing reporting, auditing, etc.) will depend on the number of affected entities by product. </w:t>
          </w:r>
        </w:p>
        <w:p w14:paraId="6778A3F6"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For this analysis, the same unit costs have been assumed to be incurred irrespective of the number of products any individual entity has to comply with. In total, additional operating and regulatory costs over the period to 2040 are expected to be:</w:t>
          </w:r>
        </w:p>
        <w:p w14:paraId="1A37085C" w14:textId="77777777" w:rsidR="00093241" w:rsidRPr="00093241" w:rsidRDefault="00093241" w:rsidP="0037564F">
          <w:pPr>
            <w:numPr>
              <w:ilvl w:val="0"/>
              <w:numId w:val="8"/>
            </w:numPr>
            <w:contextualSpacing/>
            <w:rPr>
              <w:rFonts w:ascii="Calibri" w:eastAsia="Calibri" w:hAnsi="Calibri" w:cs="Times New Roman"/>
            </w:rPr>
          </w:pPr>
          <w:r w:rsidRPr="00093241">
            <w:rPr>
              <w:rFonts w:ascii="Calibri" w:eastAsia="Calibri" w:hAnsi="Calibri" w:cs="Times New Roman"/>
            </w:rPr>
            <w:t xml:space="preserve">$136.8 million for </w:t>
          </w:r>
          <w:r w:rsidRPr="00093241">
            <w:rPr>
              <w:rFonts w:ascii="Calibri" w:eastAsia="Calibri" w:hAnsi="Calibri" w:cs="Times New Roman"/>
              <w:b/>
            </w:rPr>
            <w:t>gasoline</w:t>
          </w:r>
          <w:r w:rsidRPr="00093241">
            <w:rPr>
              <w:rFonts w:ascii="Calibri" w:eastAsia="Calibri" w:hAnsi="Calibri" w:cs="Times New Roman"/>
            </w:rPr>
            <w:t xml:space="preserve"> (with a NPV7 of $76.9 million) over 17 years to 2040</w:t>
          </w:r>
        </w:p>
        <w:p w14:paraId="4C486BCA" w14:textId="77777777" w:rsidR="00093241" w:rsidRPr="00093241" w:rsidRDefault="00093241" w:rsidP="0037564F">
          <w:pPr>
            <w:numPr>
              <w:ilvl w:val="0"/>
              <w:numId w:val="8"/>
            </w:numPr>
            <w:contextualSpacing/>
            <w:rPr>
              <w:rFonts w:ascii="Calibri" w:eastAsia="Calibri" w:hAnsi="Calibri" w:cs="Times New Roman"/>
            </w:rPr>
          </w:pPr>
          <w:r w:rsidRPr="00093241">
            <w:rPr>
              <w:rFonts w:ascii="Calibri" w:eastAsia="Calibri" w:hAnsi="Calibri" w:cs="Times New Roman"/>
            </w:rPr>
            <w:t xml:space="preserve">$116.4million for </w:t>
          </w:r>
          <w:r w:rsidRPr="00093241">
            <w:rPr>
              <w:rFonts w:ascii="Calibri" w:eastAsia="Calibri" w:hAnsi="Calibri" w:cs="Times New Roman"/>
              <w:b/>
            </w:rPr>
            <w:t>kerosene</w:t>
          </w:r>
          <w:r w:rsidRPr="00093241">
            <w:rPr>
              <w:rFonts w:ascii="Calibri" w:eastAsia="Calibri" w:hAnsi="Calibri" w:cs="Times New Roman"/>
            </w:rPr>
            <w:t xml:space="preserve"> (with a NPV7 of $40.7 million) over 17 years to 2040</w:t>
          </w:r>
        </w:p>
        <w:p w14:paraId="115C1155" w14:textId="77777777" w:rsidR="00093241" w:rsidRPr="00093241" w:rsidRDefault="00093241" w:rsidP="0037564F">
          <w:pPr>
            <w:numPr>
              <w:ilvl w:val="0"/>
              <w:numId w:val="8"/>
            </w:numPr>
            <w:contextualSpacing/>
            <w:rPr>
              <w:rFonts w:ascii="Calibri" w:eastAsia="Calibri" w:hAnsi="Calibri" w:cs="Times New Roman"/>
            </w:rPr>
          </w:pPr>
          <w:r w:rsidRPr="00093241">
            <w:rPr>
              <w:rFonts w:ascii="Calibri" w:eastAsia="Calibri" w:hAnsi="Calibri" w:cs="Times New Roman"/>
            </w:rPr>
            <w:t xml:space="preserve">$191.3 million for </w:t>
          </w:r>
          <w:r w:rsidRPr="00093241">
            <w:rPr>
              <w:rFonts w:ascii="Calibri" w:eastAsia="Calibri" w:hAnsi="Calibri" w:cs="Times New Roman"/>
              <w:b/>
            </w:rPr>
            <w:t>diesel</w:t>
          </w:r>
          <w:r w:rsidRPr="00093241">
            <w:rPr>
              <w:rFonts w:ascii="Calibri" w:eastAsia="Calibri" w:hAnsi="Calibri" w:cs="Times New Roman"/>
            </w:rPr>
            <w:t xml:space="preserve"> (with a NPV7 of $102.5 million) over 17 years to 2040.</w:t>
          </w:r>
        </w:p>
        <w:p w14:paraId="1411A167" w14:textId="77777777" w:rsidR="00093241" w:rsidRPr="00093241" w:rsidRDefault="00093241" w:rsidP="00093241">
          <w:pPr>
            <w:keepNext/>
            <w:spacing w:before="240"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lastRenderedPageBreak/>
            <w:t>Table 2:</w:t>
          </w:r>
          <w:r w:rsidRPr="00093241">
            <w:rPr>
              <w:rFonts w:ascii="Calibri" w:eastAsia="Calibri" w:hAnsi="Calibri" w:cs="Times New Roman"/>
              <w:i/>
              <w:iCs/>
              <w:color w:val="408479"/>
              <w:szCs w:val="18"/>
            </w:rPr>
            <w:tab/>
            <w:t xml:space="preserve"> Estimated cost of the MSO Rules by product (industry wide)</w:t>
          </w:r>
        </w:p>
        <w:tbl>
          <w:tblPr>
            <w:tblStyle w:val="TableGrid3"/>
            <w:tblW w:w="0" w:type="auto"/>
            <w:tblLook w:val="04A0" w:firstRow="1" w:lastRow="0" w:firstColumn="1" w:lastColumn="0" w:noHBand="0" w:noVBand="1"/>
          </w:tblPr>
          <w:tblGrid>
            <w:gridCol w:w="2830"/>
            <w:gridCol w:w="1334"/>
            <w:gridCol w:w="1617"/>
            <w:gridCol w:w="1617"/>
            <w:gridCol w:w="1618"/>
          </w:tblGrid>
          <w:tr w:rsidR="00093241" w:rsidRPr="00093241" w14:paraId="04BFA4B9" w14:textId="77777777" w:rsidTr="00093241">
            <w:trPr>
              <w:tblHeader/>
            </w:trPr>
            <w:tc>
              <w:tcPr>
                <w:tcW w:w="2830" w:type="dxa"/>
                <w:shd w:val="clear" w:color="auto" w:fill="D9D9D9"/>
              </w:tcPr>
              <w:p w14:paraId="0369B6C0" w14:textId="77777777" w:rsidR="00093241" w:rsidRPr="00093241" w:rsidRDefault="00093241" w:rsidP="00093241">
                <w:pPr>
                  <w:keepNext/>
                  <w:rPr>
                    <w:rFonts w:ascii="Calibri" w:hAnsi="Calibri"/>
                  </w:rPr>
                </w:pPr>
              </w:p>
            </w:tc>
            <w:tc>
              <w:tcPr>
                <w:tcW w:w="1334" w:type="dxa"/>
                <w:shd w:val="clear" w:color="auto" w:fill="D9D9D9"/>
              </w:tcPr>
              <w:p w14:paraId="09949E6C" w14:textId="77777777" w:rsidR="00093241" w:rsidRPr="00093241" w:rsidRDefault="00093241" w:rsidP="00093241">
                <w:pPr>
                  <w:keepNext/>
                  <w:jc w:val="right"/>
                  <w:rPr>
                    <w:rFonts w:ascii="Calibri" w:hAnsi="Calibri"/>
                    <w:b/>
                  </w:rPr>
                </w:pPr>
                <w:r w:rsidRPr="00093241">
                  <w:rPr>
                    <w:rFonts w:ascii="Calibri" w:hAnsi="Calibri"/>
                    <w:b/>
                  </w:rPr>
                  <w:t>Total</w:t>
                </w:r>
              </w:p>
              <w:p w14:paraId="258E5154" w14:textId="77777777" w:rsidR="00093241" w:rsidRPr="00093241" w:rsidRDefault="00093241" w:rsidP="00093241">
                <w:pPr>
                  <w:keepNext/>
                  <w:jc w:val="right"/>
                  <w:rPr>
                    <w:rFonts w:ascii="Calibri" w:hAnsi="Calibri"/>
                    <w:b/>
                  </w:rPr>
                </w:pPr>
                <w:r w:rsidRPr="00093241">
                  <w:rPr>
                    <w:rFonts w:ascii="Calibri" w:hAnsi="Calibri"/>
                    <w:b/>
                  </w:rPr>
                  <w:t>(2023-2040)</w:t>
                </w:r>
              </w:p>
            </w:tc>
            <w:tc>
              <w:tcPr>
                <w:tcW w:w="1617" w:type="dxa"/>
                <w:shd w:val="clear" w:color="auto" w:fill="D9D9D9"/>
              </w:tcPr>
              <w:p w14:paraId="5FD2D0EA" w14:textId="77777777" w:rsidR="00093241" w:rsidRPr="00093241" w:rsidRDefault="00093241" w:rsidP="00093241">
                <w:pPr>
                  <w:keepNext/>
                  <w:jc w:val="right"/>
                  <w:rPr>
                    <w:rFonts w:ascii="Calibri" w:hAnsi="Calibri"/>
                    <w:b/>
                  </w:rPr>
                </w:pPr>
                <w:r w:rsidRPr="00093241">
                  <w:rPr>
                    <w:rFonts w:ascii="Calibri" w:hAnsi="Calibri"/>
                    <w:b/>
                  </w:rPr>
                  <w:t>NPV3</w:t>
                </w:r>
              </w:p>
            </w:tc>
            <w:tc>
              <w:tcPr>
                <w:tcW w:w="1617" w:type="dxa"/>
                <w:shd w:val="clear" w:color="auto" w:fill="D9D9D9"/>
              </w:tcPr>
              <w:p w14:paraId="35A59333" w14:textId="77777777" w:rsidR="00093241" w:rsidRPr="00093241" w:rsidRDefault="00093241" w:rsidP="00093241">
                <w:pPr>
                  <w:keepNext/>
                  <w:jc w:val="right"/>
                  <w:rPr>
                    <w:rFonts w:ascii="Calibri" w:hAnsi="Calibri"/>
                    <w:b/>
                  </w:rPr>
                </w:pPr>
                <w:r w:rsidRPr="00093241">
                  <w:rPr>
                    <w:rFonts w:ascii="Calibri" w:hAnsi="Calibri"/>
                    <w:b/>
                  </w:rPr>
                  <w:t>NPV7</w:t>
                </w:r>
              </w:p>
            </w:tc>
            <w:tc>
              <w:tcPr>
                <w:tcW w:w="1618" w:type="dxa"/>
                <w:shd w:val="clear" w:color="auto" w:fill="D9D9D9"/>
              </w:tcPr>
              <w:p w14:paraId="2C0CDE79" w14:textId="77777777" w:rsidR="00093241" w:rsidRPr="00093241" w:rsidRDefault="00093241" w:rsidP="00093241">
                <w:pPr>
                  <w:keepNext/>
                  <w:jc w:val="right"/>
                  <w:rPr>
                    <w:rFonts w:ascii="Calibri" w:hAnsi="Calibri"/>
                    <w:b/>
                  </w:rPr>
                </w:pPr>
                <w:r w:rsidRPr="00093241">
                  <w:rPr>
                    <w:rFonts w:ascii="Calibri" w:hAnsi="Calibri"/>
                    <w:b/>
                  </w:rPr>
                  <w:t>NPV10</w:t>
                </w:r>
              </w:p>
            </w:tc>
          </w:tr>
          <w:tr w:rsidR="00093241" w:rsidRPr="00093241" w14:paraId="3524DB31" w14:textId="77777777" w:rsidTr="00093241">
            <w:tc>
              <w:tcPr>
                <w:tcW w:w="2830" w:type="dxa"/>
              </w:tcPr>
              <w:p w14:paraId="471EFBBD" w14:textId="77777777" w:rsidR="00093241" w:rsidRPr="00093241" w:rsidRDefault="00093241" w:rsidP="00093241">
                <w:pPr>
                  <w:keepNext/>
                  <w:rPr>
                    <w:rFonts w:ascii="Calibri" w:hAnsi="Calibri" w:cs="Calibri"/>
                  </w:rPr>
                </w:pPr>
              </w:p>
            </w:tc>
            <w:tc>
              <w:tcPr>
                <w:tcW w:w="1334" w:type="dxa"/>
              </w:tcPr>
              <w:p w14:paraId="0AAC53C9" w14:textId="77777777" w:rsidR="00093241" w:rsidRPr="00093241" w:rsidRDefault="00093241" w:rsidP="00093241">
                <w:pPr>
                  <w:keepNext/>
                  <w:jc w:val="right"/>
                  <w:rPr>
                    <w:rFonts w:ascii="Calibri" w:hAnsi="Calibri"/>
                  </w:rPr>
                </w:pPr>
                <w:r w:rsidRPr="00093241">
                  <w:rPr>
                    <w:rFonts w:ascii="Calibri" w:hAnsi="Calibri"/>
                  </w:rPr>
                  <w:t>Real A$m</w:t>
                </w:r>
              </w:p>
            </w:tc>
            <w:tc>
              <w:tcPr>
                <w:tcW w:w="1617" w:type="dxa"/>
              </w:tcPr>
              <w:p w14:paraId="1016FC7F" w14:textId="77777777" w:rsidR="00093241" w:rsidRPr="00093241" w:rsidRDefault="00093241" w:rsidP="00093241">
                <w:pPr>
                  <w:keepNext/>
                  <w:jc w:val="right"/>
                  <w:rPr>
                    <w:rFonts w:ascii="Calibri" w:hAnsi="Calibri"/>
                  </w:rPr>
                </w:pPr>
                <w:r w:rsidRPr="00093241">
                  <w:rPr>
                    <w:rFonts w:ascii="Calibri" w:hAnsi="Calibri"/>
                  </w:rPr>
                  <w:t>Real A$m</w:t>
                </w:r>
              </w:p>
            </w:tc>
            <w:tc>
              <w:tcPr>
                <w:tcW w:w="1617" w:type="dxa"/>
              </w:tcPr>
              <w:p w14:paraId="5CE149A2" w14:textId="77777777" w:rsidR="00093241" w:rsidRPr="00093241" w:rsidRDefault="00093241" w:rsidP="00093241">
                <w:pPr>
                  <w:keepNext/>
                  <w:jc w:val="right"/>
                  <w:rPr>
                    <w:rFonts w:ascii="Calibri" w:hAnsi="Calibri"/>
                  </w:rPr>
                </w:pPr>
                <w:r w:rsidRPr="00093241">
                  <w:rPr>
                    <w:rFonts w:ascii="Calibri" w:hAnsi="Calibri"/>
                  </w:rPr>
                  <w:t>Real A$m</w:t>
                </w:r>
              </w:p>
            </w:tc>
            <w:tc>
              <w:tcPr>
                <w:tcW w:w="1618" w:type="dxa"/>
              </w:tcPr>
              <w:p w14:paraId="49D2C037" w14:textId="77777777" w:rsidR="00093241" w:rsidRPr="00093241" w:rsidRDefault="00093241" w:rsidP="00093241">
                <w:pPr>
                  <w:keepNext/>
                  <w:jc w:val="right"/>
                  <w:rPr>
                    <w:rFonts w:ascii="Calibri" w:hAnsi="Calibri"/>
                  </w:rPr>
                </w:pPr>
                <w:r w:rsidRPr="00093241">
                  <w:rPr>
                    <w:rFonts w:ascii="Calibri" w:hAnsi="Calibri"/>
                  </w:rPr>
                  <w:t>Real A$m</w:t>
                </w:r>
              </w:p>
            </w:tc>
          </w:tr>
          <w:tr w:rsidR="00093241" w:rsidRPr="00093241" w14:paraId="668682B4" w14:textId="77777777" w:rsidTr="00093241">
            <w:tc>
              <w:tcPr>
                <w:tcW w:w="2830" w:type="dxa"/>
                <w:shd w:val="clear" w:color="auto" w:fill="DDDDDE"/>
              </w:tcPr>
              <w:p w14:paraId="61F9BF24" w14:textId="77777777" w:rsidR="00093241" w:rsidRPr="00093241" w:rsidRDefault="00093241" w:rsidP="00093241">
                <w:pPr>
                  <w:keepNext/>
                  <w:rPr>
                    <w:rFonts w:ascii="Calibri" w:hAnsi="Calibri"/>
                  </w:rPr>
                </w:pPr>
                <w:r w:rsidRPr="00093241">
                  <w:rPr>
                    <w:rFonts w:ascii="Calibri" w:hAnsi="Calibri"/>
                    <w:b/>
                  </w:rPr>
                  <w:t>Gasoline</w:t>
                </w:r>
              </w:p>
            </w:tc>
            <w:tc>
              <w:tcPr>
                <w:tcW w:w="1334" w:type="dxa"/>
                <w:shd w:val="clear" w:color="auto" w:fill="DDDDDE"/>
                <w:vAlign w:val="bottom"/>
              </w:tcPr>
              <w:p w14:paraId="4526A7D6" w14:textId="77777777" w:rsidR="00093241" w:rsidRPr="00093241" w:rsidRDefault="00093241" w:rsidP="00093241">
                <w:pPr>
                  <w:keepNext/>
                  <w:jc w:val="right"/>
                  <w:rPr>
                    <w:rFonts w:ascii="Calibri" w:hAnsi="Calibri" w:cs="Calibri"/>
                  </w:rPr>
                </w:pPr>
              </w:p>
            </w:tc>
            <w:tc>
              <w:tcPr>
                <w:tcW w:w="1617" w:type="dxa"/>
                <w:shd w:val="clear" w:color="auto" w:fill="DDDDDE"/>
                <w:vAlign w:val="bottom"/>
              </w:tcPr>
              <w:p w14:paraId="77019BD3" w14:textId="77777777" w:rsidR="00093241" w:rsidRPr="00093241" w:rsidRDefault="00093241" w:rsidP="00093241">
                <w:pPr>
                  <w:keepNext/>
                  <w:jc w:val="right"/>
                  <w:rPr>
                    <w:rFonts w:ascii="Calibri" w:hAnsi="Calibri" w:cs="Calibri"/>
                  </w:rPr>
                </w:pPr>
              </w:p>
            </w:tc>
            <w:tc>
              <w:tcPr>
                <w:tcW w:w="1617" w:type="dxa"/>
                <w:shd w:val="clear" w:color="auto" w:fill="DDDDDE"/>
                <w:vAlign w:val="bottom"/>
              </w:tcPr>
              <w:p w14:paraId="13C3DAC0" w14:textId="77777777" w:rsidR="00093241" w:rsidRPr="00093241" w:rsidRDefault="00093241" w:rsidP="00093241">
                <w:pPr>
                  <w:keepNext/>
                  <w:jc w:val="right"/>
                  <w:rPr>
                    <w:rFonts w:ascii="Calibri" w:hAnsi="Calibri" w:cs="Calibri"/>
                  </w:rPr>
                </w:pPr>
              </w:p>
            </w:tc>
            <w:tc>
              <w:tcPr>
                <w:tcW w:w="1618" w:type="dxa"/>
                <w:shd w:val="clear" w:color="auto" w:fill="DDDDDE"/>
                <w:vAlign w:val="bottom"/>
              </w:tcPr>
              <w:p w14:paraId="5BABBD35" w14:textId="77777777" w:rsidR="00093241" w:rsidRPr="00093241" w:rsidRDefault="00093241" w:rsidP="00093241">
                <w:pPr>
                  <w:keepNext/>
                  <w:jc w:val="right"/>
                  <w:rPr>
                    <w:rFonts w:ascii="Calibri" w:hAnsi="Calibri" w:cs="Calibri"/>
                  </w:rPr>
                </w:pPr>
              </w:p>
            </w:tc>
          </w:tr>
          <w:tr w:rsidR="00093241" w:rsidRPr="00093241" w14:paraId="1E8E3CB6" w14:textId="77777777" w:rsidTr="00093241">
            <w:tc>
              <w:tcPr>
                <w:tcW w:w="2830" w:type="dxa"/>
              </w:tcPr>
              <w:p w14:paraId="5151152C" w14:textId="77777777" w:rsidR="00093241" w:rsidRPr="00093241" w:rsidRDefault="00093241" w:rsidP="00093241">
                <w:pPr>
                  <w:keepNext/>
                  <w:rPr>
                    <w:rFonts w:ascii="Calibri" w:hAnsi="Calibri"/>
                  </w:rPr>
                </w:pPr>
                <w:r w:rsidRPr="00093241">
                  <w:rPr>
                    <w:rFonts w:ascii="Calibri" w:hAnsi="Calibri"/>
                  </w:rPr>
                  <w:t>Capital costs – storage</w:t>
                </w:r>
              </w:p>
            </w:tc>
            <w:tc>
              <w:tcPr>
                <w:tcW w:w="1334" w:type="dxa"/>
                <w:vAlign w:val="bottom"/>
              </w:tcPr>
              <w:p w14:paraId="2EA61466"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3469579C"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4852CB3F" w14:textId="77777777" w:rsidR="00093241" w:rsidRPr="00093241" w:rsidRDefault="00093241" w:rsidP="00093241">
                <w:pPr>
                  <w:keepNext/>
                  <w:jc w:val="right"/>
                  <w:rPr>
                    <w:rFonts w:ascii="Calibri" w:hAnsi="Calibri"/>
                  </w:rPr>
                </w:pPr>
                <w:r w:rsidRPr="00093241">
                  <w:rPr>
                    <w:rFonts w:ascii="Calibri" w:hAnsi="Calibri"/>
                  </w:rPr>
                  <w:t>0</w:t>
                </w:r>
              </w:p>
            </w:tc>
            <w:tc>
              <w:tcPr>
                <w:tcW w:w="1618" w:type="dxa"/>
                <w:vAlign w:val="bottom"/>
              </w:tcPr>
              <w:p w14:paraId="2B4C05FB" w14:textId="77777777" w:rsidR="00093241" w:rsidRPr="00093241" w:rsidRDefault="00093241" w:rsidP="00093241">
                <w:pPr>
                  <w:keepNext/>
                  <w:jc w:val="right"/>
                  <w:rPr>
                    <w:rFonts w:ascii="Calibri" w:hAnsi="Calibri"/>
                  </w:rPr>
                </w:pPr>
                <w:r w:rsidRPr="00093241">
                  <w:rPr>
                    <w:rFonts w:ascii="Calibri" w:hAnsi="Calibri"/>
                  </w:rPr>
                  <w:t>0</w:t>
                </w:r>
              </w:p>
            </w:tc>
          </w:tr>
          <w:tr w:rsidR="00093241" w:rsidRPr="00093241" w14:paraId="5C1D9995" w14:textId="77777777" w:rsidTr="00093241">
            <w:tc>
              <w:tcPr>
                <w:tcW w:w="2830" w:type="dxa"/>
              </w:tcPr>
              <w:p w14:paraId="51BBD361" w14:textId="77777777" w:rsidR="00093241" w:rsidRPr="00093241" w:rsidRDefault="00093241" w:rsidP="00093241">
                <w:pPr>
                  <w:keepNext/>
                  <w:rPr>
                    <w:rFonts w:ascii="Calibri" w:hAnsi="Calibri"/>
                  </w:rPr>
                </w:pPr>
                <w:r w:rsidRPr="00093241">
                  <w:rPr>
                    <w:rFonts w:ascii="Calibri" w:hAnsi="Calibri"/>
                  </w:rPr>
                  <w:t>Capital costs – product stock</w:t>
                </w:r>
              </w:p>
            </w:tc>
            <w:tc>
              <w:tcPr>
                <w:tcW w:w="1334" w:type="dxa"/>
                <w:vAlign w:val="bottom"/>
              </w:tcPr>
              <w:p w14:paraId="2DA91219"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4A280519"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7C587CE0" w14:textId="77777777" w:rsidR="00093241" w:rsidRPr="00093241" w:rsidRDefault="00093241" w:rsidP="00093241">
                <w:pPr>
                  <w:keepNext/>
                  <w:jc w:val="right"/>
                  <w:rPr>
                    <w:rFonts w:ascii="Calibri" w:hAnsi="Calibri"/>
                  </w:rPr>
                </w:pPr>
                <w:r w:rsidRPr="00093241">
                  <w:rPr>
                    <w:rFonts w:ascii="Calibri" w:hAnsi="Calibri"/>
                  </w:rPr>
                  <w:t>0</w:t>
                </w:r>
              </w:p>
            </w:tc>
            <w:tc>
              <w:tcPr>
                <w:tcW w:w="1618" w:type="dxa"/>
                <w:vAlign w:val="bottom"/>
              </w:tcPr>
              <w:p w14:paraId="69BB93AF" w14:textId="77777777" w:rsidR="00093241" w:rsidRPr="00093241" w:rsidRDefault="00093241" w:rsidP="00093241">
                <w:pPr>
                  <w:keepNext/>
                  <w:jc w:val="right"/>
                  <w:rPr>
                    <w:rFonts w:ascii="Calibri" w:hAnsi="Calibri"/>
                  </w:rPr>
                </w:pPr>
                <w:r w:rsidRPr="00093241">
                  <w:rPr>
                    <w:rFonts w:ascii="Calibri" w:hAnsi="Calibri"/>
                  </w:rPr>
                  <w:t>0</w:t>
                </w:r>
              </w:p>
            </w:tc>
          </w:tr>
          <w:tr w:rsidR="00093241" w:rsidRPr="00093241" w14:paraId="3440AD0E" w14:textId="77777777" w:rsidTr="00093241">
            <w:tc>
              <w:tcPr>
                <w:tcW w:w="2830" w:type="dxa"/>
              </w:tcPr>
              <w:p w14:paraId="7699D061" w14:textId="77777777" w:rsidR="00093241" w:rsidRPr="00093241" w:rsidRDefault="00093241" w:rsidP="00093241">
                <w:pPr>
                  <w:keepNext/>
                  <w:rPr>
                    <w:rFonts w:ascii="Calibri" w:hAnsi="Calibri"/>
                  </w:rPr>
                </w:pPr>
                <w:r w:rsidRPr="00093241">
                  <w:rPr>
                    <w:rFonts w:ascii="Calibri" w:hAnsi="Calibri"/>
                  </w:rPr>
                  <w:t>Operating costs</w:t>
                </w:r>
              </w:p>
            </w:tc>
            <w:tc>
              <w:tcPr>
                <w:tcW w:w="1334" w:type="dxa"/>
                <w:vAlign w:val="bottom"/>
              </w:tcPr>
              <w:p w14:paraId="05DBFE9F"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63C3C418"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6846BE9C" w14:textId="77777777" w:rsidR="00093241" w:rsidRPr="00093241" w:rsidRDefault="00093241" w:rsidP="00093241">
                <w:pPr>
                  <w:keepNext/>
                  <w:jc w:val="right"/>
                  <w:rPr>
                    <w:rFonts w:ascii="Calibri" w:hAnsi="Calibri"/>
                  </w:rPr>
                </w:pPr>
                <w:r w:rsidRPr="00093241">
                  <w:rPr>
                    <w:rFonts w:ascii="Calibri" w:hAnsi="Calibri"/>
                  </w:rPr>
                  <w:t>0</w:t>
                </w:r>
              </w:p>
            </w:tc>
            <w:tc>
              <w:tcPr>
                <w:tcW w:w="1618" w:type="dxa"/>
                <w:vAlign w:val="bottom"/>
              </w:tcPr>
              <w:p w14:paraId="7D0B441B" w14:textId="77777777" w:rsidR="00093241" w:rsidRPr="00093241" w:rsidRDefault="00093241" w:rsidP="00093241">
                <w:pPr>
                  <w:keepNext/>
                  <w:jc w:val="right"/>
                  <w:rPr>
                    <w:rFonts w:ascii="Calibri" w:hAnsi="Calibri"/>
                  </w:rPr>
                </w:pPr>
                <w:r w:rsidRPr="00093241">
                  <w:rPr>
                    <w:rFonts w:ascii="Calibri" w:hAnsi="Calibri"/>
                  </w:rPr>
                  <w:t>0</w:t>
                </w:r>
              </w:p>
            </w:tc>
          </w:tr>
          <w:tr w:rsidR="00093241" w:rsidRPr="00093241" w14:paraId="7712BF7A" w14:textId="77777777" w:rsidTr="00093241">
            <w:tc>
              <w:tcPr>
                <w:tcW w:w="2830" w:type="dxa"/>
              </w:tcPr>
              <w:p w14:paraId="303BC5A2" w14:textId="77777777" w:rsidR="00093241" w:rsidRPr="00093241" w:rsidRDefault="00093241" w:rsidP="00093241">
                <w:pPr>
                  <w:keepNext/>
                  <w:rPr>
                    <w:rFonts w:ascii="Calibri" w:hAnsi="Calibri"/>
                  </w:rPr>
                </w:pPr>
                <w:r w:rsidRPr="00093241">
                  <w:rPr>
                    <w:rFonts w:ascii="Calibri" w:hAnsi="Calibri"/>
                  </w:rPr>
                  <w:t>Regulatory costs</w:t>
                </w:r>
              </w:p>
            </w:tc>
            <w:tc>
              <w:tcPr>
                <w:tcW w:w="1334" w:type="dxa"/>
                <w:vAlign w:val="bottom"/>
              </w:tcPr>
              <w:p w14:paraId="00199FA3" w14:textId="77777777" w:rsidR="00093241" w:rsidRPr="00093241" w:rsidRDefault="00093241" w:rsidP="00093241">
                <w:pPr>
                  <w:keepNext/>
                  <w:jc w:val="right"/>
                  <w:rPr>
                    <w:rFonts w:ascii="Calibri" w:hAnsi="Calibri"/>
                  </w:rPr>
                </w:pPr>
                <w:r w:rsidRPr="00093241">
                  <w:rPr>
                    <w:rFonts w:ascii="Calibri" w:hAnsi="Calibri" w:cs="Calibri"/>
                    <w:color w:val="000000"/>
                  </w:rPr>
                  <w:t>136.8</w:t>
                </w:r>
              </w:p>
            </w:tc>
            <w:tc>
              <w:tcPr>
                <w:tcW w:w="1617" w:type="dxa"/>
                <w:vAlign w:val="bottom"/>
              </w:tcPr>
              <w:p w14:paraId="720DE423" w14:textId="77777777" w:rsidR="00093241" w:rsidRPr="00093241" w:rsidRDefault="00093241" w:rsidP="00093241">
                <w:pPr>
                  <w:keepNext/>
                  <w:jc w:val="right"/>
                  <w:rPr>
                    <w:rFonts w:ascii="Calibri" w:hAnsi="Calibri"/>
                  </w:rPr>
                </w:pPr>
                <w:r w:rsidRPr="00093241">
                  <w:rPr>
                    <w:rFonts w:ascii="Calibri" w:hAnsi="Calibri" w:cs="Calibri"/>
                    <w:color w:val="000000"/>
                  </w:rPr>
                  <w:t>103.6</w:t>
                </w:r>
              </w:p>
            </w:tc>
            <w:tc>
              <w:tcPr>
                <w:tcW w:w="1617" w:type="dxa"/>
                <w:vAlign w:val="bottom"/>
              </w:tcPr>
              <w:p w14:paraId="19F60E33" w14:textId="77777777" w:rsidR="00093241" w:rsidRPr="00093241" w:rsidRDefault="00093241" w:rsidP="00093241">
                <w:pPr>
                  <w:keepNext/>
                  <w:jc w:val="right"/>
                  <w:rPr>
                    <w:rFonts w:ascii="Calibri" w:hAnsi="Calibri"/>
                  </w:rPr>
                </w:pPr>
                <w:r w:rsidRPr="00093241">
                  <w:rPr>
                    <w:rFonts w:ascii="Calibri" w:hAnsi="Calibri" w:cs="Calibri"/>
                    <w:color w:val="000000"/>
                  </w:rPr>
                  <w:t>74.6</w:t>
                </w:r>
              </w:p>
            </w:tc>
            <w:tc>
              <w:tcPr>
                <w:tcW w:w="1618" w:type="dxa"/>
                <w:vAlign w:val="bottom"/>
              </w:tcPr>
              <w:p w14:paraId="0F8B88FB" w14:textId="77777777" w:rsidR="00093241" w:rsidRPr="00093241" w:rsidRDefault="00093241" w:rsidP="00093241">
                <w:pPr>
                  <w:keepNext/>
                  <w:jc w:val="right"/>
                  <w:rPr>
                    <w:rFonts w:ascii="Calibri" w:hAnsi="Calibri"/>
                  </w:rPr>
                </w:pPr>
                <w:r w:rsidRPr="00093241">
                  <w:rPr>
                    <w:rFonts w:ascii="Calibri" w:hAnsi="Calibri" w:cs="Calibri"/>
                    <w:color w:val="000000"/>
                  </w:rPr>
                  <w:t>60.0</w:t>
                </w:r>
              </w:p>
            </w:tc>
          </w:tr>
          <w:tr w:rsidR="00093241" w:rsidRPr="00093241" w14:paraId="657E862C" w14:textId="77777777" w:rsidTr="00093241">
            <w:tc>
              <w:tcPr>
                <w:tcW w:w="2830" w:type="dxa"/>
              </w:tcPr>
              <w:p w14:paraId="2548914D" w14:textId="77777777" w:rsidR="00093241" w:rsidRPr="00093241" w:rsidRDefault="00093241" w:rsidP="00093241">
                <w:pPr>
                  <w:keepNext/>
                  <w:rPr>
                    <w:rFonts w:ascii="Calibri" w:hAnsi="Calibri"/>
                    <w:b/>
                  </w:rPr>
                </w:pPr>
                <w:r w:rsidRPr="00093241">
                  <w:rPr>
                    <w:rFonts w:ascii="Calibri" w:hAnsi="Calibri"/>
                    <w:b/>
                  </w:rPr>
                  <w:t>Total gasoline</w:t>
                </w:r>
              </w:p>
            </w:tc>
            <w:tc>
              <w:tcPr>
                <w:tcW w:w="1334" w:type="dxa"/>
                <w:vAlign w:val="bottom"/>
              </w:tcPr>
              <w:p w14:paraId="6BFAF2B0" w14:textId="77777777" w:rsidR="00093241" w:rsidRPr="00093241" w:rsidRDefault="00093241" w:rsidP="00093241">
                <w:pPr>
                  <w:keepNext/>
                  <w:jc w:val="right"/>
                  <w:rPr>
                    <w:rFonts w:ascii="Calibri" w:hAnsi="Calibri"/>
                    <w:b/>
                  </w:rPr>
                </w:pPr>
                <w:r w:rsidRPr="00093241">
                  <w:rPr>
                    <w:rFonts w:ascii="Calibri" w:hAnsi="Calibri" w:cs="Calibri"/>
                    <w:b/>
                    <w:bCs/>
                    <w:color w:val="000000"/>
                  </w:rPr>
                  <w:t>136.8</w:t>
                </w:r>
              </w:p>
            </w:tc>
            <w:tc>
              <w:tcPr>
                <w:tcW w:w="1617" w:type="dxa"/>
                <w:vAlign w:val="bottom"/>
              </w:tcPr>
              <w:p w14:paraId="153D413A" w14:textId="77777777" w:rsidR="00093241" w:rsidRPr="00093241" w:rsidRDefault="00093241" w:rsidP="00093241">
                <w:pPr>
                  <w:keepNext/>
                  <w:jc w:val="right"/>
                  <w:rPr>
                    <w:rFonts w:ascii="Calibri" w:hAnsi="Calibri"/>
                    <w:b/>
                  </w:rPr>
                </w:pPr>
                <w:r w:rsidRPr="00093241">
                  <w:rPr>
                    <w:rFonts w:ascii="Calibri" w:hAnsi="Calibri" w:cs="Calibri"/>
                    <w:b/>
                    <w:bCs/>
                    <w:color w:val="000000"/>
                  </w:rPr>
                  <w:t>103.6</w:t>
                </w:r>
              </w:p>
            </w:tc>
            <w:tc>
              <w:tcPr>
                <w:tcW w:w="1617" w:type="dxa"/>
                <w:vAlign w:val="bottom"/>
              </w:tcPr>
              <w:p w14:paraId="69FC0823" w14:textId="77777777" w:rsidR="00093241" w:rsidRPr="00093241" w:rsidRDefault="00093241" w:rsidP="00093241">
                <w:pPr>
                  <w:keepNext/>
                  <w:jc w:val="right"/>
                  <w:rPr>
                    <w:rFonts w:ascii="Calibri" w:hAnsi="Calibri"/>
                    <w:b/>
                  </w:rPr>
                </w:pPr>
                <w:r w:rsidRPr="00093241">
                  <w:rPr>
                    <w:rFonts w:ascii="Calibri" w:hAnsi="Calibri" w:cs="Calibri"/>
                    <w:b/>
                    <w:bCs/>
                    <w:color w:val="000000"/>
                  </w:rPr>
                  <w:t>74.6</w:t>
                </w:r>
              </w:p>
            </w:tc>
            <w:tc>
              <w:tcPr>
                <w:tcW w:w="1618" w:type="dxa"/>
                <w:vAlign w:val="bottom"/>
              </w:tcPr>
              <w:p w14:paraId="04D11E28" w14:textId="77777777" w:rsidR="00093241" w:rsidRPr="00093241" w:rsidRDefault="00093241" w:rsidP="00093241">
                <w:pPr>
                  <w:keepNext/>
                  <w:jc w:val="right"/>
                  <w:rPr>
                    <w:rFonts w:ascii="Calibri" w:hAnsi="Calibri"/>
                    <w:b/>
                  </w:rPr>
                </w:pPr>
                <w:r w:rsidRPr="00093241">
                  <w:rPr>
                    <w:rFonts w:ascii="Calibri" w:hAnsi="Calibri" w:cs="Calibri"/>
                    <w:b/>
                    <w:bCs/>
                    <w:color w:val="000000"/>
                  </w:rPr>
                  <w:t>60.0</w:t>
                </w:r>
              </w:p>
            </w:tc>
          </w:tr>
          <w:tr w:rsidR="00093241" w:rsidRPr="00093241" w14:paraId="1470DBAF" w14:textId="77777777" w:rsidTr="00093241">
            <w:tc>
              <w:tcPr>
                <w:tcW w:w="2830" w:type="dxa"/>
                <w:shd w:val="clear" w:color="auto" w:fill="DDDDDE"/>
              </w:tcPr>
              <w:p w14:paraId="41EE352E" w14:textId="77777777" w:rsidR="00093241" w:rsidRPr="00093241" w:rsidRDefault="00093241" w:rsidP="00093241">
                <w:pPr>
                  <w:keepNext/>
                  <w:rPr>
                    <w:rFonts w:ascii="Calibri" w:hAnsi="Calibri"/>
                  </w:rPr>
                </w:pPr>
                <w:r w:rsidRPr="00093241">
                  <w:rPr>
                    <w:rFonts w:ascii="Calibri" w:hAnsi="Calibri"/>
                    <w:b/>
                  </w:rPr>
                  <w:t>Kerosene</w:t>
                </w:r>
              </w:p>
            </w:tc>
            <w:tc>
              <w:tcPr>
                <w:tcW w:w="1334" w:type="dxa"/>
                <w:shd w:val="clear" w:color="auto" w:fill="DDDDDE"/>
                <w:vAlign w:val="bottom"/>
              </w:tcPr>
              <w:p w14:paraId="6A7AEE77" w14:textId="77777777" w:rsidR="00093241" w:rsidRPr="00093241" w:rsidRDefault="00093241" w:rsidP="00093241">
                <w:pPr>
                  <w:keepNext/>
                  <w:jc w:val="right"/>
                  <w:rPr>
                    <w:rFonts w:ascii="Calibri" w:hAnsi="Calibri" w:cs="Calibri"/>
                  </w:rPr>
                </w:pPr>
              </w:p>
            </w:tc>
            <w:tc>
              <w:tcPr>
                <w:tcW w:w="1617" w:type="dxa"/>
                <w:shd w:val="clear" w:color="auto" w:fill="DDDDDE"/>
                <w:vAlign w:val="bottom"/>
              </w:tcPr>
              <w:p w14:paraId="091B3362" w14:textId="77777777" w:rsidR="00093241" w:rsidRPr="00093241" w:rsidRDefault="00093241" w:rsidP="00093241">
                <w:pPr>
                  <w:keepNext/>
                  <w:jc w:val="right"/>
                  <w:rPr>
                    <w:rFonts w:ascii="Calibri" w:hAnsi="Calibri" w:cs="Calibri"/>
                  </w:rPr>
                </w:pPr>
              </w:p>
            </w:tc>
            <w:tc>
              <w:tcPr>
                <w:tcW w:w="1617" w:type="dxa"/>
                <w:shd w:val="clear" w:color="auto" w:fill="DDDDDE"/>
                <w:vAlign w:val="bottom"/>
              </w:tcPr>
              <w:p w14:paraId="738EFC82" w14:textId="77777777" w:rsidR="00093241" w:rsidRPr="00093241" w:rsidRDefault="00093241" w:rsidP="00093241">
                <w:pPr>
                  <w:keepNext/>
                  <w:jc w:val="right"/>
                  <w:rPr>
                    <w:rFonts w:ascii="Calibri" w:hAnsi="Calibri" w:cs="Calibri"/>
                  </w:rPr>
                </w:pPr>
              </w:p>
            </w:tc>
            <w:tc>
              <w:tcPr>
                <w:tcW w:w="1618" w:type="dxa"/>
                <w:shd w:val="clear" w:color="auto" w:fill="DDDDDE"/>
                <w:vAlign w:val="bottom"/>
              </w:tcPr>
              <w:p w14:paraId="4F79F31F" w14:textId="77777777" w:rsidR="00093241" w:rsidRPr="00093241" w:rsidRDefault="00093241" w:rsidP="00093241">
                <w:pPr>
                  <w:keepNext/>
                  <w:jc w:val="right"/>
                  <w:rPr>
                    <w:rFonts w:ascii="Calibri" w:hAnsi="Calibri" w:cs="Calibri"/>
                  </w:rPr>
                </w:pPr>
              </w:p>
            </w:tc>
          </w:tr>
          <w:tr w:rsidR="00093241" w:rsidRPr="00093241" w14:paraId="6A17C98D" w14:textId="77777777" w:rsidTr="00093241">
            <w:tc>
              <w:tcPr>
                <w:tcW w:w="2830" w:type="dxa"/>
              </w:tcPr>
              <w:p w14:paraId="48A87FDF" w14:textId="77777777" w:rsidR="00093241" w:rsidRPr="00093241" w:rsidRDefault="00093241" w:rsidP="00093241">
                <w:pPr>
                  <w:keepNext/>
                  <w:rPr>
                    <w:rFonts w:ascii="Calibri" w:hAnsi="Calibri"/>
                  </w:rPr>
                </w:pPr>
                <w:r w:rsidRPr="00093241">
                  <w:rPr>
                    <w:rFonts w:ascii="Calibri" w:hAnsi="Calibri"/>
                  </w:rPr>
                  <w:t>Capital costs – storage</w:t>
                </w:r>
              </w:p>
            </w:tc>
            <w:tc>
              <w:tcPr>
                <w:tcW w:w="1334" w:type="dxa"/>
                <w:vAlign w:val="bottom"/>
              </w:tcPr>
              <w:p w14:paraId="033E69CE"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0C6DA482"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654CCA32" w14:textId="77777777" w:rsidR="00093241" w:rsidRPr="00093241" w:rsidRDefault="00093241" w:rsidP="00093241">
                <w:pPr>
                  <w:keepNext/>
                  <w:jc w:val="right"/>
                  <w:rPr>
                    <w:rFonts w:ascii="Calibri" w:hAnsi="Calibri"/>
                  </w:rPr>
                </w:pPr>
                <w:r w:rsidRPr="00093241">
                  <w:rPr>
                    <w:rFonts w:ascii="Calibri" w:hAnsi="Calibri"/>
                  </w:rPr>
                  <w:t>0</w:t>
                </w:r>
              </w:p>
            </w:tc>
            <w:tc>
              <w:tcPr>
                <w:tcW w:w="1618" w:type="dxa"/>
                <w:vAlign w:val="bottom"/>
              </w:tcPr>
              <w:p w14:paraId="4DF5CF1F" w14:textId="77777777" w:rsidR="00093241" w:rsidRPr="00093241" w:rsidRDefault="00093241" w:rsidP="00093241">
                <w:pPr>
                  <w:keepNext/>
                  <w:jc w:val="right"/>
                  <w:rPr>
                    <w:rFonts w:ascii="Calibri" w:hAnsi="Calibri"/>
                  </w:rPr>
                </w:pPr>
                <w:r w:rsidRPr="00093241">
                  <w:rPr>
                    <w:rFonts w:ascii="Calibri" w:hAnsi="Calibri"/>
                  </w:rPr>
                  <w:t>0</w:t>
                </w:r>
              </w:p>
            </w:tc>
          </w:tr>
          <w:tr w:rsidR="00093241" w:rsidRPr="00093241" w14:paraId="04B97D22" w14:textId="77777777" w:rsidTr="00093241">
            <w:tc>
              <w:tcPr>
                <w:tcW w:w="2830" w:type="dxa"/>
              </w:tcPr>
              <w:p w14:paraId="2D9C18A4" w14:textId="77777777" w:rsidR="00093241" w:rsidRPr="00093241" w:rsidRDefault="00093241" w:rsidP="00093241">
                <w:pPr>
                  <w:keepNext/>
                  <w:rPr>
                    <w:rFonts w:ascii="Calibri" w:hAnsi="Calibri"/>
                  </w:rPr>
                </w:pPr>
                <w:r w:rsidRPr="00093241">
                  <w:rPr>
                    <w:rFonts w:ascii="Calibri" w:hAnsi="Calibri"/>
                  </w:rPr>
                  <w:t>Capital costs – product stock</w:t>
                </w:r>
              </w:p>
            </w:tc>
            <w:tc>
              <w:tcPr>
                <w:tcW w:w="1334" w:type="dxa"/>
                <w:vAlign w:val="bottom"/>
              </w:tcPr>
              <w:p w14:paraId="586A0D10" w14:textId="77777777" w:rsidR="00093241" w:rsidRPr="00093241" w:rsidRDefault="00093241" w:rsidP="00093241">
                <w:pPr>
                  <w:keepNext/>
                  <w:jc w:val="right"/>
                  <w:rPr>
                    <w:rFonts w:ascii="Calibri" w:hAnsi="Calibri"/>
                  </w:rPr>
                </w:pPr>
                <w:r w:rsidRPr="00093241">
                  <w:rPr>
                    <w:rFonts w:ascii="Calibri" w:hAnsi="Calibri" w:cs="Calibri"/>
                    <w:color w:val="000000"/>
                  </w:rPr>
                  <w:t>102.7</w:t>
                </w:r>
              </w:p>
            </w:tc>
            <w:tc>
              <w:tcPr>
                <w:tcW w:w="1617" w:type="dxa"/>
                <w:vAlign w:val="bottom"/>
              </w:tcPr>
              <w:p w14:paraId="77841592" w14:textId="77777777" w:rsidR="00093241" w:rsidRPr="00093241" w:rsidRDefault="00093241" w:rsidP="00093241">
                <w:pPr>
                  <w:keepNext/>
                  <w:jc w:val="right"/>
                  <w:rPr>
                    <w:rFonts w:ascii="Calibri" w:hAnsi="Calibri"/>
                  </w:rPr>
                </w:pPr>
                <w:r w:rsidRPr="00093241">
                  <w:rPr>
                    <w:rFonts w:ascii="Calibri" w:hAnsi="Calibri" w:cs="Calibri"/>
                    <w:color w:val="000000"/>
                  </w:rPr>
                  <w:t>92.0</w:t>
                </w:r>
              </w:p>
            </w:tc>
            <w:tc>
              <w:tcPr>
                <w:tcW w:w="1617" w:type="dxa"/>
                <w:vAlign w:val="bottom"/>
              </w:tcPr>
              <w:p w14:paraId="213C7E6C" w14:textId="77777777" w:rsidR="00093241" w:rsidRPr="00093241" w:rsidRDefault="00093241" w:rsidP="00093241">
                <w:pPr>
                  <w:keepNext/>
                  <w:jc w:val="right"/>
                  <w:rPr>
                    <w:rFonts w:ascii="Calibri" w:hAnsi="Calibri"/>
                  </w:rPr>
                </w:pPr>
                <w:r w:rsidRPr="00093241">
                  <w:rPr>
                    <w:rFonts w:ascii="Calibri" w:hAnsi="Calibri" w:cs="Calibri"/>
                    <w:color w:val="000000"/>
                  </w:rPr>
                  <w:t>78.8</w:t>
                </w:r>
              </w:p>
            </w:tc>
            <w:tc>
              <w:tcPr>
                <w:tcW w:w="1618" w:type="dxa"/>
                <w:vAlign w:val="bottom"/>
              </w:tcPr>
              <w:p w14:paraId="28CABCCB" w14:textId="77777777" w:rsidR="00093241" w:rsidRPr="00093241" w:rsidRDefault="00093241" w:rsidP="00093241">
                <w:pPr>
                  <w:keepNext/>
                  <w:jc w:val="right"/>
                  <w:rPr>
                    <w:rFonts w:ascii="Calibri" w:hAnsi="Calibri"/>
                  </w:rPr>
                </w:pPr>
                <w:r w:rsidRPr="00093241">
                  <w:rPr>
                    <w:rFonts w:ascii="Calibri" w:hAnsi="Calibri" w:cs="Calibri"/>
                    <w:color w:val="000000"/>
                  </w:rPr>
                  <w:t>70.0</w:t>
                </w:r>
              </w:p>
            </w:tc>
          </w:tr>
          <w:tr w:rsidR="00093241" w:rsidRPr="00093241" w14:paraId="404F9F9E" w14:textId="77777777" w:rsidTr="00093241">
            <w:tc>
              <w:tcPr>
                <w:tcW w:w="2830" w:type="dxa"/>
              </w:tcPr>
              <w:p w14:paraId="5B023C78" w14:textId="77777777" w:rsidR="00093241" w:rsidRPr="00093241" w:rsidRDefault="00093241" w:rsidP="00093241">
                <w:pPr>
                  <w:keepNext/>
                  <w:rPr>
                    <w:rFonts w:ascii="Calibri" w:hAnsi="Calibri"/>
                  </w:rPr>
                </w:pPr>
                <w:r w:rsidRPr="00093241">
                  <w:rPr>
                    <w:rFonts w:ascii="Calibri" w:hAnsi="Calibri"/>
                  </w:rPr>
                  <w:t>Operating costs</w:t>
                </w:r>
              </w:p>
            </w:tc>
            <w:tc>
              <w:tcPr>
                <w:tcW w:w="1334" w:type="dxa"/>
                <w:vAlign w:val="bottom"/>
              </w:tcPr>
              <w:p w14:paraId="7FD6AD7E" w14:textId="77777777" w:rsidR="00093241" w:rsidRPr="00093241" w:rsidRDefault="00093241" w:rsidP="00093241">
                <w:pPr>
                  <w:keepNext/>
                  <w:jc w:val="right"/>
                  <w:rPr>
                    <w:rFonts w:ascii="Calibri" w:hAnsi="Calibri"/>
                  </w:rPr>
                </w:pPr>
                <w:r w:rsidRPr="00093241">
                  <w:rPr>
                    <w:rFonts w:ascii="Calibri" w:hAnsi="Calibri" w:cs="Calibri"/>
                  </w:rPr>
                  <w:t>0</w:t>
                </w:r>
              </w:p>
            </w:tc>
            <w:tc>
              <w:tcPr>
                <w:tcW w:w="1617" w:type="dxa"/>
                <w:vAlign w:val="bottom"/>
              </w:tcPr>
              <w:p w14:paraId="69CABC2C" w14:textId="77777777" w:rsidR="00093241" w:rsidRPr="00093241" w:rsidRDefault="00093241" w:rsidP="00093241">
                <w:pPr>
                  <w:keepNext/>
                  <w:jc w:val="right"/>
                  <w:rPr>
                    <w:rFonts w:ascii="Calibri" w:hAnsi="Calibri" w:cs="Calibri"/>
                  </w:rPr>
                </w:pPr>
                <w:r w:rsidRPr="00093241">
                  <w:rPr>
                    <w:rFonts w:ascii="Calibri" w:hAnsi="Calibri" w:cs="Calibri"/>
                  </w:rPr>
                  <w:t>0</w:t>
                </w:r>
              </w:p>
            </w:tc>
            <w:tc>
              <w:tcPr>
                <w:tcW w:w="1617" w:type="dxa"/>
                <w:vAlign w:val="bottom"/>
              </w:tcPr>
              <w:p w14:paraId="21A1D880" w14:textId="77777777" w:rsidR="00093241" w:rsidRPr="00093241" w:rsidRDefault="00093241" w:rsidP="00093241">
                <w:pPr>
                  <w:keepNext/>
                  <w:jc w:val="right"/>
                  <w:rPr>
                    <w:rFonts w:ascii="Calibri" w:hAnsi="Calibri" w:cs="Calibri"/>
                  </w:rPr>
                </w:pPr>
                <w:r w:rsidRPr="00093241">
                  <w:rPr>
                    <w:rFonts w:ascii="Calibri" w:hAnsi="Calibri" w:cs="Calibri"/>
                  </w:rPr>
                  <w:t>0</w:t>
                </w:r>
              </w:p>
            </w:tc>
            <w:tc>
              <w:tcPr>
                <w:tcW w:w="1618" w:type="dxa"/>
                <w:vAlign w:val="bottom"/>
              </w:tcPr>
              <w:p w14:paraId="58FB6B48" w14:textId="77777777" w:rsidR="00093241" w:rsidRPr="00093241" w:rsidRDefault="00093241" w:rsidP="00093241">
                <w:pPr>
                  <w:keepNext/>
                  <w:jc w:val="right"/>
                  <w:rPr>
                    <w:rFonts w:ascii="Calibri" w:hAnsi="Calibri" w:cs="Calibri"/>
                  </w:rPr>
                </w:pPr>
                <w:r w:rsidRPr="00093241">
                  <w:rPr>
                    <w:rFonts w:ascii="Calibri" w:hAnsi="Calibri" w:cs="Calibri"/>
                  </w:rPr>
                  <w:t>0</w:t>
                </w:r>
              </w:p>
            </w:tc>
          </w:tr>
          <w:tr w:rsidR="00093241" w:rsidRPr="00093241" w14:paraId="7977BE26" w14:textId="77777777" w:rsidTr="00093241">
            <w:tc>
              <w:tcPr>
                <w:tcW w:w="2830" w:type="dxa"/>
              </w:tcPr>
              <w:p w14:paraId="49AB50E8" w14:textId="77777777" w:rsidR="00093241" w:rsidRPr="00093241" w:rsidRDefault="00093241" w:rsidP="00093241">
                <w:pPr>
                  <w:keepNext/>
                  <w:rPr>
                    <w:rFonts w:ascii="Calibri" w:hAnsi="Calibri"/>
                  </w:rPr>
                </w:pPr>
                <w:r w:rsidRPr="00093241">
                  <w:rPr>
                    <w:rFonts w:ascii="Calibri" w:hAnsi="Calibri"/>
                  </w:rPr>
                  <w:t>Regulatory costs</w:t>
                </w:r>
              </w:p>
            </w:tc>
            <w:tc>
              <w:tcPr>
                <w:tcW w:w="1334" w:type="dxa"/>
                <w:vAlign w:val="bottom"/>
              </w:tcPr>
              <w:p w14:paraId="4C4BAC52" w14:textId="77777777" w:rsidR="00093241" w:rsidRPr="00093241" w:rsidRDefault="00093241" w:rsidP="00093241">
                <w:pPr>
                  <w:keepNext/>
                  <w:jc w:val="right"/>
                  <w:rPr>
                    <w:rFonts w:ascii="Calibri" w:hAnsi="Calibri"/>
                  </w:rPr>
                </w:pPr>
                <w:r w:rsidRPr="00093241">
                  <w:rPr>
                    <w:rFonts w:ascii="Calibri" w:hAnsi="Calibri" w:cs="Calibri"/>
                    <w:color w:val="000000"/>
                  </w:rPr>
                  <w:t>116.4</w:t>
                </w:r>
              </w:p>
            </w:tc>
            <w:tc>
              <w:tcPr>
                <w:tcW w:w="1617" w:type="dxa"/>
                <w:vAlign w:val="bottom"/>
              </w:tcPr>
              <w:p w14:paraId="0E1EB00A" w14:textId="77777777" w:rsidR="00093241" w:rsidRPr="00093241" w:rsidRDefault="00093241" w:rsidP="00093241">
                <w:pPr>
                  <w:keepNext/>
                  <w:jc w:val="right"/>
                  <w:rPr>
                    <w:rFonts w:ascii="Calibri" w:hAnsi="Calibri"/>
                  </w:rPr>
                </w:pPr>
                <w:r w:rsidRPr="00093241">
                  <w:rPr>
                    <w:rFonts w:ascii="Calibri" w:hAnsi="Calibri" w:cs="Calibri"/>
                    <w:color w:val="000000"/>
                  </w:rPr>
                  <w:t>87.1</w:t>
                </w:r>
              </w:p>
            </w:tc>
            <w:tc>
              <w:tcPr>
                <w:tcW w:w="1617" w:type="dxa"/>
                <w:vAlign w:val="bottom"/>
              </w:tcPr>
              <w:p w14:paraId="4A5438D6" w14:textId="77777777" w:rsidR="00093241" w:rsidRPr="00093241" w:rsidRDefault="00093241" w:rsidP="00093241">
                <w:pPr>
                  <w:keepNext/>
                  <w:jc w:val="right"/>
                  <w:rPr>
                    <w:rFonts w:ascii="Calibri" w:hAnsi="Calibri"/>
                  </w:rPr>
                </w:pPr>
                <w:r w:rsidRPr="00093241">
                  <w:rPr>
                    <w:rFonts w:ascii="Calibri" w:hAnsi="Calibri" w:cs="Calibri"/>
                    <w:color w:val="000000"/>
                  </w:rPr>
                  <w:t>61.7</w:t>
                </w:r>
              </w:p>
            </w:tc>
            <w:tc>
              <w:tcPr>
                <w:tcW w:w="1618" w:type="dxa"/>
                <w:vAlign w:val="bottom"/>
              </w:tcPr>
              <w:p w14:paraId="1C155557" w14:textId="77777777" w:rsidR="00093241" w:rsidRPr="00093241" w:rsidRDefault="00093241" w:rsidP="00093241">
                <w:pPr>
                  <w:keepNext/>
                  <w:jc w:val="right"/>
                  <w:rPr>
                    <w:rFonts w:ascii="Calibri" w:hAnsi="Calibri"/>
                  </w:rPr>
                </w:pPr>
                <w:r w:rsidRPr="00093241">
                  <w:rPr>
                    <w:rFonts w:ascii="Calibri" w:hAnsi="Calibri" w:cs="Calibri"/>
                    <w:color w:val="000000"/>
                  </w:rPr>
                  <w:t>49.1</w:t>
                </w:r>
              </w:p>
            </w:tc>
          </w:tr>
          <w:tr w:rsidR="00093241" w:rsidRPr="00093241" w14:paraId="283F7594" w14:textId="77777777" w:rsidTr="00093241">
            <w:tc>
              <w:tcPr>
                <w:tcW w:w="2830" w:type="dxa"/>
              </w:tcPr>
              <w:p w14:paraId="01C6A5F4" w14:textId="77777777" w:rsidR="00093241" w:rsidRPr="00093241" w:rsidRDefault="00093241" w:rsidP="00093241">
                <w:pPr>
                  <w:keepNext/>
                  <w:rPr>
                    <w:rFonts w:ascii="Calibri" w:hAnsi="Calibri"/>
                    <w:b/>
                  </w:rPr>
                </w:pPr>
                <w:r w:rsidRPr="00093241">
                  <w:rPr>
                    <w:rFonts w:ascii="Calibri" w:hAnsi="Calibri"/>
                    <w:b/>
                  </w:rPr>
                  <w:t>Total kerosene</w:t>
                </w:r>
              </w:p>
            </w:tc>
            <w:tc>
              <w:tcPr>
                <w:tcW w:w="1334" w:type="dxa"/>
                <w:vAlign w:val="bottom"/>
              </w:tcPr>
              <w:p w14:paraId="3CD935B7" w14:textId="77777777" w:rsidR="00093241" w:rsidRPr="00093241" w:rsidRDefault="00093241" w:rsidP="00093241">
                <w:pPr>
                  <w:keepNext/>
                  <w:jc w:val="right"/>
                  <w:rPr>
                    <w:rFonts w:ascii="Calibri" w:hAnsi="Calibri"/>
                    <w:b/>
                    <w:bCs/>
                    <w:color w:val="000000"/>
                  </w:rPr>
                </w:pPr>
                <w:r w:rsidRPr="00093241">
                  <w:rPr>
                    <w:rFonts w:ascii="Calibri" w:hAnsi="Calibri" w:cs="Calibri"/>
                    <w:b/>
                    <w:bCs/>
                    <w:color w:val="000000"/>
                  </w:rPr>
                  <w:t>219.1</w:t>
                </w:r>
              </w:p>
            </w:tc>
            <w:tc>
              <w:tcPr>
                <w:tcW w:w="1617" w:type="dxa"/>
                <w:vAlign w:val="bottom"/>
              </w:tcPr>
              <w:p w14:paraId="73EE9089" w14:textId="77777777" w:rsidR="00093241" w:rsidRPr="00093241" w:rsidRDefault="00093241" w:rsidP="00093241">
                <w:pPr>
                  <w:keepNext/>
                  <w:jc w:val="right"/>
                  <w:rPr>
                    <w:rFonts w:ascii="Calibri" w:hAnsi="Calibri"/>
                    <w:b/>
                    <w:bCs/>
                    <w:color w:val="000000"/>
                  </w:rPr>
                </w:pPr>
                <w:r w:rsidRPr="00093241">
                  <w:rPr>
                    <w:rFonts w:ascii="Calibri" w:hAnsi="Calibri" w:cs="Calibri"/>
                    <w:b/>
                    <w:bCs/>
                    <w:color w:val="000000"/>
                  </w:rPr>
                  <w:t>179.1</w:t>
                </w:r>
              </w:p>
            </w:tc>
            <w:tc>
              <w:tcPr>
                <w:tcW w:w="1617" w:type="dxa"/>
                <w:vAlign w:val="bottom"/>
              </w:tcPr>
              <w:p w14:paraId="222BCD8F" w14:textId="77777777" w:rsidR="00093241" w:rsidRPr="00093241" w:rsidRDefault="00093241" w:rsidP="00093241">
                <w:pPr>
                  <w:keepNext/>
                  <w:jc w:val="right"/>
                  <w:rPr>
                    <w:rFonts w:ascii="Calibri" w:hAnsi="Calibri"/>
                    <w:b/>
                    <w:bCs/>
                    <w:color w:val="000000"/>
                  </w:rPr>
                </w:pPr>
                <w:r w:rsidRPr="00093241">
                  <w:rPr>
                    <w:rFonts w:ascii="Calibri" w:hAnsi="Calibri" w:cs="Calibri"/>
                    <w:b/>
                    <w:bCs/>
                    <w:color w:val="000000"/>
                  </w:rPr>
                  <w:t>140.5</w:t>
                </w:r>
              </w:p>
            </w:tc>
            <w:tc>
              <w:tcPr>
                <w:tcW w:w="1618" w:type="dxa"/>
                <w:vAlign w:val="bottom"/>
              </w:tcPr>
              <w:p w14:paraId="0579AF1C" w14:textId="77777777" w:rsidR="00093241" w:rsidRPr="00093241" w:rsidRDefault="00093241" w:rsidP="00093241">
                <w:pPr>
                  <w:keepNext/>
                  <w:jc w:val="right"/>
                  <w:rPr>
                    <w:rFonts w:ascii="Calibri" w:hAnsi="Calibri"/>
                    <w:b/>
                    <w:bCs/>
                    <w:color w:val="000000"/>
                  </w:rPr>
                </w:pPr>
                <w:r w:rsidRPr="00093241">
                  <w:rPr>
                    <w:rFonts w:ascii="Calibri" w:hAnsi="Calibri" w:cs="Calibri"/>
                    <w:b/>
                    <w:bCs/>
                    <w:color w:val="000000"/>
                  </w:rPr>
                  <w:t>119.1</w:t>
                </w:r>
              </w:p>
            </w:tc>
          </w:tr>
          <w:tr w:rsidR="00093241" w:rsidRPr="00093241" w14:paraId="6BF7EA32" w14:textId="77777777" w:rsidTr="00093241">
            <w:tc>
              <w:tcPr>
                <w:tcW w:w="2830" w:type="dxa"/>
                <w:shd w:val="clear" w:color="auto" w:fill="DDDDDE"/>
              </w:tcPr>
              <w:p w14:paraId="258E6F48" w14:textId="77777777" w:rsidR="00093241" w:rsidRPr="00093241" w:rsidRDefault="00093241" w:rsidP="00093241">
                <w:pPr>
                  <w:keepNext/>
                  <w:rPr>
                    <w:rFonts w:ascii="Calibri" w:hAnsi="Calibri"/>
                    <w:b/>
                  </w:rPr>
                </w:pPr>
                <w:r w:rsidRPr="00093241">
                  <w:rPr>
                    <w:rFonts w:ascii="Calibri" w:hAnsi="Calibri"/>
                    <w:b/>
                  </w:rPr>
                  <w:t>Diesel</w:t>
                </w:r>
              </w:p>
            </w:tc>
            <w:tc>
              <w:tcPr>
                <w:tcW w:w="1334" w:type="dxa"/>
                <w:shd w:val="clear" w:color="auto" w:fill="DDDDDE"/>
                <w:vAlign w:val="bottom"/>
              </w:tcPr>
              <w:p w14:paraId="644FDFB1" w14:textId="77777777" w:rsidR="00093241" w:rsidRPr="00093241" w:rsidRDefault="00093241" w:rsidP="00093241">
                <w:pPr>
                  <w:keepNext/>
                  <w:jc w:val="right"/>
                  <w:rPr>
                    <w:rFonts w:ascii="Calibri" w:hAnsi="Calibri" w:cs="Calibri"/>
                  </w:rPr>
                </w:pPr>
              </w:p>
            </w:tc>
            <w:tc>
              <w:tcPr>
                <w:tcW w:w="1617" w:type="dxa"/>
                <w:shd w:val="clear" w:color="auto" w:fill="DDDDDE"/>
                <w:vAlign w:val="bottom"/>
              </w:tcPr>
              <w:p w14:paraId="67456E87" w14:textId="77777777" w:rsidR="00093241" w:rsidRPr="00093241" w:rsidRDefault="00093241" w:rsidP="00093241">
                <w:pPr>
                  <w:keepNext/>
                  <w:jc w:val="right"/>
                  <w:rPr>
                    <w:rFonts w:ascii="Calibri" w:hAnsi="Calibri" w:cs="Calibri"/>
                  </w:rPr>
                </w:pPr>
              </w:p>
            </w:tc>
            <w:tc>
              <w:tcPr>
                <w:tcW w:w="1617" w:type="dxa"/>
                <w:shd w:val="clear" w:color="auto" w:fill="DDDDDE"/>
                <w:vAlign w:val="bottom"/>
              </w:tcPr>
              <w:p w14:paraId="6DAE1A17" w14:textId="77777777" w:rsidR="00093241" w:rsidRPr="00093241" w:rsidRDefault="00093241" w:rsidP="00093241">
                <w:pPr>
                  <w:keepNext/>
                  <w:jc w:val="right"/>
                  <w:rPr>
                    <w:rFonts w:ascii="Calibri" w:hAnsi="Calibri" w:cs="Calibri"/>
                  </w:rPr>
                </w:pPr>
              </w:p>
            </w:tc>
            <w:tc>
              <w:tcPr>
                <w:tcW w:w="1618" w:type="dxa"/>
                <w:shd w:val="clear" w:color="auto" w:fill="DDDDDE"/>
                <w:vAlign w:val="bottom"/>
              </w:tcPr>
              <w:p w14:paraId="4B2BD785" w14:textId="77777777" w:rsidR="00093241" w:rsidRPr="00093241" w:rsidRDefault="00093241" w:rsidP="00093241">
                <w:pPr>
                  <w:keepNext/>
                  <w:jc w:val="right"/>
                  <w:rPr>
                    <w:rFonts w:ascii="Calibri" w:hAnsi="Calibri" w:cs="Calibri"/>
                  </w:rPr>
                </w:pPr>
              </w:p>
            </w:tc>
          </w:tr>
          <w:tr w:rsidR="00093241" w:rsidRPr="00093241" w14:paraId="3502258B" w14:textId="77777777" w:rsidTr="00093241">
            <w:tc>
              <w:tcPr>
                <w:tcW w:w="2830" w:type="dxa"/>
              </w:tcPr>
              <w:p w14:paraId="20E07B0C" w14:textId="77777777" w:rsidR="00093241" w:rsidRPr="00093241" w:rsidRDefault="00093241" w:rsidP="00093241">
                <w:pPr>
                  <w:keepNext/>
                  <w:rPr>
                    <w:rFonts w:ascii="Calibri" w:hAnsi="Calibri"/>
                  </w:rPr>
                </w:pPr>
                <w:r w:rsidRPr="00093241">
                  <w:rPr>
                    <w:rFonts w:ascii="Calibri" w:hAnsi="Calibri"/>
                  </w:rPr>
                  <w:t>Capital costs – storage</w:t>
                </w:r>
              </w:p>
            </w:tc>
            <w:tc>
              <w:tcPr>
                <w:tcW w:w="1334" w:type="dxa"/>
                <w:vAlign w:val="bottom"/>
              </w:tcPr>
              <w:p w14:paraId="5EDD5100"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6B795E70" w14:textId="77777777" w:rsidR="00093241" w:rsidRPr="00093241" w:rsidRDefault="00093241" w:rsidP="00093241">
                <w:pPr>
                  <w:keepNext/>
                  <w:jc w:val="right"/>
                  <w:rPr>
                    <w:rFonts w:ascii="Calibri" w:hAnsi="Calibri"/>
                  </w:rPr>
                </w:pPr>
                <w:r w:rsidRPr="00093241">
                  <w:rPr>
                    <w:rFonts w:ascii="Calibri" w:hAnsi="Calibri"/>
                  </w:rPr>
                  <w:t>0</w:t>
                </w:r>
              </w:p>
            </w:tc>
            <w:tc>
              <w:tcPr>
                <w:tcW w:w="1617" w:type="dxa"/>
                <w:vAlign w:val="bottom"/>
              </w:tcPr>
              <w:p w14:paraId="2A28EF0B" w14:textId="77777777" w:rsidR="00093241" w:rsidRPr="00093241" w:rsidRDefault="00093241" w:rsidP="00093241">
                <w:pPr>
                  <w:keepNext/>
                  <w:jc w:val="right"/>
                  <w:rPr>
                    <w:rFonts w:ascii="Calibri" w:hAnsi="Calibri"/>
                  </w:rPr>
                </w:pPr>
                <w:r w:rsidRPr="00093241">
                  <w:rPr>
                    <w:rFonts w:ascii="Calibri" w:hAnsi="Calibri"/>
                  </w:rPr>
                  <w:t>0</w:t>
                </w:r>
              </w:p>
            </w:tc>
            <w:tc>
              <w:tcPr>
                <w:tcW w:w="1618" w:type="dxa"/>
                <w:vAlign w:val="bottom"/>
              </w:tcPr>
              <w:p w14:paraId="7F673250" w14:textId="77777777" w:rsidR="00093241" w:rsidRPr="00093241" w:rsidRDefault="00093241" w:rsidP="00093241">
                <w:pPr>
                  <w:keepNext/>
                  <w:jc w:val="right"/>
                  <w:rPr>
                    <w:rFonts w:ascii="Calibri" w:hAnsi="Calibri"/>
                  </w:rPr>
                </w:pPr>
                <w:r w:rsidRPr="00093241">
                  <w:rPr>
                    <w:rFonts w:ascii="Calibri" w:hAnsi="Calibri"/>
                  </w:rPr>
                  <w:t>0</w:t>
                </w:r>
              </w:p>
            </w:tc>
          </w:tr>
          <w:tr w:rsidR="00093241" w:rsidRPr="00093241" w14:paraId="2066DA56" w14:textId="77777777" w:rsidTr="00093241">
            <w:tc>
              <w:tcPr>
                <w:tcW w:w="2830" w:type="dxa"/>
              </w:tcPr>
              <w:p w14:paraId="2E67105A" w14:textId="77777777" w:rsidR="00093241" w:rsidRPr="00093241" w:rsidRDefault="00093241" w:rsidP="00093241">
                <w:pPr>
                  <w:keepNext/>
                  <w:rPr>
                    <w:rFonts w:ascii="Calibri" w:hAnsi="Calibri"/>
                  </w:rPr>
                </w:pPr>
                <w:r w:rsidRPr="00093241">
                  <w:rPr>
                    <w:rFonts w:ascii="Calibri" w:hAnsi="Calibri"/>
                  </w:rPr>
                  <w:t>Capital costs – product stock</w:t>
                </w:r>
              </w:p>
            </w:tc>
            <w:tc>
              <w:tcPr>
                <w:tcW w:w="1334" w:type="dxa"/>
                <w:vAlign w:val="bottom"/>
              </w:tcPr>
              <w:p w14:paraId="42EB11C8" w14:textId="77777777" w:rsidR="00093241" w:rsidRPr="00093241" w:rsidRDefault="00093241" w:rsidP="00093241">
                <w:pPr>
                  <w:keepNext/>
                  <w:jc w:val="right"/>
                  <w:rPr>
                    <w:rFonts w:ascii="Calibri" w:hAnsi="Calibri"/>
                  </w:rPr>
                </w:pPr>
                <w:r w:rsidRPr="00093241">
                  <w:rPr>
                    <w:rFonts w:ascii="Calibri" w:hAnsi="Calibri" w:cs="Calibri"/>
                    <w:color w:val="000000"/>
                  </w:rPr>
                  <w:t>519.8</w:t>
                </w:r>
              </w:p>
            </w:tc>
            <w:tc>
              <w:tcPr>
                <w:tcW w:w="1617" w:type="dxa"/>
                <w:vAlign w:val="bottom"/>
              </w:tcPr>
              <w:p w14:paraId="4F15EB44" w14:textId="77777777" w:rsidR="00093241" w:rsidRPr="00093241" w:rsidRDefault="00093241" w:rsidP="00093241">
                <w:pPr>
                  <w:keepNext/>
                  <w:jc w:val="right"/>
                  <w:rPr>
                    <w:rFonts w:ascii="Calibri" w:hAnsi="Calibri"/>
                  </w:rPr>
                </w:pPr>
                <w:r w:rsidRPr="00093241">
                  <w:rPr>
                    <w:rFonts w:ascii="Calibri" w:hAnsi="Calibri" w:cs="Calibri"/>
                    <w:color w:val="000000"/>
                  </w:rPr>
                  <w:t>497.8</w:t>
                </w:r>
              </w:p>
            </w:tc>
            <w:tc>
              <w:tcPr>
                <w:tcW w:w="1617" w:type="dxa"/>
                <w:vAlign w:val="bottom"/>
              </w:tcPr>
              <w:p w14:paraId="16EF5FBB" w14:textId="77777777" w:rsidR="00093241" w:rsidRPr="00093241" w:rsidRDefault="00093241" w:rsidP="00093241">
                <w:pPr>
                  <w:keepNext/>
                  <w:jc w:val="right"/>
                  <w:rPr>
                    <w:rFonts w:ascii="Calibri" w:hAnsi="Calibri"/>
                  </w:rPr>
                </w:pPr>
                <w:r w:rsidRPr="00093241">
                  <w:rPr>
                    <w:rFonts w:ascii="Calibri" w:hAnsi="Calibri" w:cs="Calibri"/>
                    <w:color w:val="000000"/>
                  </w:rPr>
                  <w:t>460.4</w:t>
                </w:r>
              </w:p>
            </w:tc>
            <w:tc>
              <w:tcPr>
                <w:tcW w:w="1618" w:type="dxa"/>
                <w:vAlign w:val="bottom"/>
              </w:tcPr>
              <w:p w14:paraId="78383C1B" w14:textId="77777777" w:rsidR="00093241" w:rsidRPr="00093241" w:rsidRDefault="00093241" w:rsidP="00093241">
                <w:pPr>
                  <w:keepNext/>
                  <w:jc w:val="right"/>
                  <w:rPr>
                    <w:rFonts w:ascii="Calibri" w:hAnsi="Calibri"/>
                  </w:rPr>
                </w:pPr>
                <w:r w:rsidRPr="00093241">
                  <w:rPr>
                    <w:rFonts w:ascii="Calibri" w:hAnsi="Calibri" w:cs="Calibri"/>
                    <w:color w:val="000000"/>
                  </w:rPr>
                  <w:t>430.8</w:t>
                </w:r>
              </w:p>
            </w:tc>
          </w:tr>
          <w:tr w:rsidR="00093241" w:rsidRPr="00093241" w14:paraId="7B3F5B23" w14:textId="77777777" w:rsidTr="00093241">
            <w:tc>
              <w:tcPr>
                <w:tcW w:w="2830" w:type="dxa"/>
              </w:tcPr>
              <w:p w14:paraId="24D2D8E8" w14:textId="77777777" w:rsidR="00093241" w:rsidRPr="00093241" w:rsidRDefault="00093241" w:rsidP="00093241">
                <w:pPr>
                  <w:keepNext/>
                  <w:rPr>
                    <w:rFonts w:ascii="Calibri" w:hAnsi="Calibri"/>
                  </w:rPr>
                </w:pPr>
                <w:r w:rsidRPr="00093241">
                  <w:rPr>
                    <w:rFonts w:ascii="Calibri" w:hAnsi="Calibri"/>
                  </w:rPr>
                  <w:t>Operating costs</w:t>
                </w:r>
              </w:p>
            </w:tc>
            <w:tc>
              <w:tcPr>
                <w:tcW w:w="1334" w:type="dxa"/>
                <w:vAlign w:val="bottom"/>
              </w:tcPr>
              <w:p w14:paraId="47D7F095" w14:textId="77777777" w:rsidR="00093241" w:rsidRPr="00093241" w:rsidRDefault="00093241" w:rsidP="00093241">
                <w:pPr>
                  <w:keepNext/>
                  <w:jc w:val="right"/>
                  <w:rPr>
                    <w:rFonts w:ascii="Calibri" w:hAnsi="Calibri" w:cs="Calibri"/>
                  </w:rPr>
                </w:pPr>
                <w:r w:rsidRPr="00093241">
                  <w:rPr>
                    <w:rFonts w:ascii="Calibri" w:hAnsi="Calibri" w:cs="Calibri"/>
                  </w:rPr>
                  <w:t>0</w:t>
                </w:r>
              </w:p>
            </w:tc>
            <w:tc>
              <w:tcPr>
                <w:tcW w:w="1617" w:type="dxa"/>
                <w:vAlign w:val="bottom"/>
              </w:tcPr>
              <w:p w14:paraId="423555BA" w14:textId="77777777" w:rsidR="00093241" w:rsidRPr="00093241" w:rsidRDefault="00093241" w:rsidP="00093241">
                <w:pPr>
                  <w:keepNext/>
                  <w:jc w:val="right"/>
                  <w:rPr>
                    <w:rFonts w:ascii="Calibri" w:hAnsi="Calibri" w:cs="Calibri"/>
                  </w:rPr>
                </w:pPr>
                <w:r w:rsidRPr="00093241">
                  <w:rPr>
                    <w:rFonts w:ascii="Calibri" w:hAnsi="Calibri" w:cs="Calibri"/>
                  </w:rPr>
                  <w:t>0</w:t>
                </w:r>
              </w:p>
            </w:tc>
            <w:tc>
              <w:tcPr>
                <w:tcW w:w="1617" w:type="dxa"/>
                <w:vAlign w:val="bottom"/>
              </w:tcPr>
              <w:p w14:paraId="132692FF" w14:textId="77777777" w:rsidR="00093241" w:rsidRPr="00093241" w:rsidRDefault="00093241" w:rsidP="00093241">
                <w:pPr>
                  <w:keepNext/>
                  <w:jc w:val="right"/>
                  <w:rPr>
                    <w:rFonts w:ascii="Calibri" w:hAnsi="Calibri" w:cs="Calibri"/>
                  </w:rPr>
                </w:pPr>
                <w:r w:rsidRPr="00093241">
                  <w:rPr>
                    <w:rFonts w:ascii="Calibri" w:hAnsi="Calibri" w:cs="Calibri"/>
                  </w:rPr>
                  <w:t>0</w:t>
                </w:r>
              </w:p>
            </w:tc>
            <w:tc>
              <w:tcPr>
                <w:tcW w:w="1618" w:type="dxa"/>
                <w:vAlign w:val="bottom"/>
              </w:tcPr>
              <w:p w14:paraId="49E1EC9F" w14:textId="77777777" w:rsidR="00093241" w:rsidRPr="00093241" w:rsidRDefault="00093241" w:rsidP="00093241">
                <w:pPr>
                  <w:keepNext/>
                  <w:jc w:val="right"/>
                  <w:rPr>
                    <w:rFonts w:ascii="Calibri" w:hAnsi="Calibri" w:cs="Calibri"/>
                  </w:rPr>
                </w:pPr>
                <w:r w:rsidRPr="00093241">
                  <w:rPr>
                    <w:rFonts w:ascii="Calibri" w:hAnsi="Calibri" w:cs="Calibri"/>
                  </w:rPr>
                  <w:t>0</w:t>
                </w:r>
              </w:p>
            </w:tc>
          </w:tr>
          <w:tr w:rsidR="00093241" w:rsidRPr="00093241" w14:paraId="0BCF71D9" w14:textId="77777777" w:rsidTr="00093241">
            <w:tc>
              <w:tcPr>
                <w:tcW w:w="2830" w:type="dxa"/>
              </w:tcPr>
              <w:p w14:paraId="48984394" w14:textId="77777777" w:rsidR="00093241" w:rsidRPr="00093241" w:rsidRDefault="00093241" w:rsidP="00093241">
                <w:pPr>
                  <w:keepNext/>
                  <w:rPr>
                    <w:rFonts w:ascii="Calibri" w:hAnsi="Calibri"/>
                  </w:rPr>
                </w:pPr>
                <w:r w:rsidRPr="00093241">
                  <w:rPr>
                    <w:rFonts w:ascii="Calibri" w:hAnsi="Calibri"/>
                  </w:rPr>
                  <w:t>Regulatory costs</w:t>
                </w:r>
              </w:p>
            </w:tc>
            <w:tc>
              <w:tcPr>
                <w:tcW w:w="1334" w:type="dxa"/>
                <w:vAlign w:val="bottom"/>
              </w:tcPr>
              <w:p w14:paraId="146553F8" w14:textId="77777777" w:rsidR="00093241" w:rsidRPr="00093241" w:rsidRDefault="00093241" w:rsidP="00093241">
                <w:pPr>
                  <w:keepNext/>
                  <w:jc w:val="right"/>
                  <w:rPr>
                    <w:rFonts w:ascii="Calibri" w:hAnsi="Calibri"/>
                  </w:rPr>
                </w:pPr>
                <w:r w:rsidRPr="00093241">
                  <w:rPr>
                    <w:rFonts w:ascii="Calibri" w:hAnsi="Calibri" w:cs="Calibri"/>
                    <w:color w:val="000000"/>
                  </w:rPr>
                  <w:t>191.3</w:t>
                </w:r>
              </w:p>
            </w:tc>
            <w:tc>
              <w:tcPr>
                <w:tcW w:w="1617" w:type="dxa"/>
                <w:vAlign w:val="bottom"/>
              </w:tcPr>
              <w:p w14:paraId="0E530459" w14:textId="77777777" w:rsidR="00093241" w:rsidRPr="00093241" w:rsidRDefault="00093241" w:rsidP="00093241">
                <w:pPr>
                  <w:keepNext/>
                  <w:jc w:val="right"/>
                  <w:rPr>
                    <w:rFonts w:ascii="Calibri" w:hAnsi="Calibri"/>
                  </w:rPr>
                </w:pPr>
                <w:r w:rsidRPr="00093241">
                  <w:rPr>
                    <w:rFonts w:ascii="Calibri" w:hAnsi="Calibri" w:cs="Calibri"/>
                    <w:color w:val="000000"/>
                  </w:rPr>
                  <w:t>143.7</w:t>
                </w:r>
              </w:p>
            </w:tc>
            <w:tc>
              <w:tcPr>
                <w:tcW w:w="1617" w:type="dxa"/>
                <w:vAlign w:val="bottom"/>
              </w:tcPr>
              <w:p w14:paraId="21DA871A" w14:textId="77777777" w:rsidR="00093241" w:rsidRPr="00093241" w:rsidRDefault="00093241" w:rsidP="00093241">
                <w:pPr>
                  <w:keepNext/>
                  <w:jc w:val="right"/>
                  <w:rPr>
                    <w:rFonts w:ascii="Calibri" w:hAnsi="Calibri"/>
                  </w:rPr>
                </w:pPr>
                <w:r w:rsidRPr="00093241">
                  <w:rPr>
                    <w:rFonts w:ascii="Calibri" w:hAnsi="Calibri" w:cs="Calibri"/>
                    <w:color w:val="000000"/>
                  </w:rPr>
                  <w:t>102.5</w:t>
                </w:r>
              </w:p>
            </w:tc>
            <w:tc>
              <w:tcPr>
                <w:tcW w:w="1618" w:type="dxa"/>
                <w:vAlign w:val="bottom"/>
              </w:tcPr>
              <w:p w14:paraId="577DAFD5" w14:textId="77777777" w:rsidR="00093241" w:rsidRPr="00093241" w:rsidRDefault="00093241" w:rsidP="00093241">
                <w:pPr>
                  <w:keepNext/>
                  <w:jc w:val="right"/>
                  <w:rPr>
                    <w:rFonts w:ascii="Calibri" w:hAnsi="Calibri"/>
                  </w:rPr>
                </w:pPr>
                <w:r w:rsidRPr="00093241">
                  <w:rPr>
                    <w:rFonts w:ascii="Calibri" w:hAnsi="Calibri" w:cs="Calibri"/>
                    <w:color w:val="000000"/>
                  </w:rPr>
                  <w:t>81.9</w:t>
                </w:r>
              </w:p>
            </w:tc>
          </w:tr>
          <w:tr w:rsidR="00093241" w:rsidRPr="00093241" w14:paraId="0A1DAE79" w14:textId="77777777" w:rsidTr="00093241">
            <w:tc>
              <w:tcPr>
                <w:tcW w:w="2830" w:type="dxa"/>
              </w:tcPr>
              <w:p w14:paraId="304F41CA" w14:textId="77777777" w:rsidR="00093241" w:rsidRPr="00093241" w:rsidRDefault="00093241" w:rsidP="00093241">
                <w:pPr>
                  <w:keepNext/>
                  <w:rPr>
                    <w:rFonts w:ascii="Calibri" w:hAnsi="Calibri"/>
                    <w:b/>
                  </w:rPr>
                </w:pPr>
                <w:r w:rsidRPr="00093241">
                  <w:rPr>
                    <w:rFonts w:ascii="Calibri" w:hAnsi="Calibri"/>
                    <w:b/>
                  </w:rPr>
                  <w:t>Total diesel</w:t>
                </w:r>
              </w:p>
            </w:tc>
            <w:tc>
              <w:tcPr>
                <w:tcW w:w="1334" w:type="dxa"/>
                <w:vAlign w:val="bottom"/>
              </w:tcPr>
              <w:p w14:paraId="6B9B9F72" w14:textId="77777777" w:rsidR="00093241" w:rsidRPr="00093241" w:rsidRDefault="00093241" w:rsidP="00093241">
                <w:pPr>
                  <w:keepNext/>
                  <w:jc w:val="right"/>
                  <w:rPr>
                    <w:rFonts w:ascii="Calibri" w:hAnsi="Calibri"/>
                    <w:b/>
                    <w:bCs/>
                  </w:rPr>
                </w:pPr>
                <w:r w:rsidRPr="00093241">
                  <w:rPr>
                    <w:rFonts w:ascii="Calibri" w:hAnsi="Calibri" w:cs="Calibri"/>
                    <w:b/>
                    <w:bCs/>
                    <w:color w:val="000000"/>
                  </w:rPr>
                  <w:t>711.1</w:t>
                </w:r>
              </w:p>
            </w:tc>
            <w:tc>
              <w:tcPr>
                <w:tcW w:w="1617" w:type="dxa"/>
                <w:vAlign w:val="bottom"/>
              </w:tcPr>
              <w:p w14:paraId="4C40DA0A" w14:textId="77777777" w:rsidR="00093241" w:rsidRPr="00093241" w:rsidRDefault="00093241" w:rsidP="00093241">
                <w:pPr>
                  <w:keepNext/>
                  <w:jc w:val="right"/>
                  <w:rPr>
                    <w:rFonts w:ascii="Calibri" w:hAnsi="Calibri"/>
                    <w:b/>
                    <w:bCs/>
                  </w:rPr>
                </w:pPr>
                <w:r w:rsidRPr="00093241">
                  <w:rPr>
                    <w:rFonts w:ascii="Calibri" w:hAnsi="Calibri" w:cs="Calibri"/>
                    <w:b/>
                    <w:bCs/>
                    <w:color w:val="000000"/>
                  </w:rPr>
                  <w:t>641.5</w:t>
                </w:r>
              </w:p>
            </w:tc>
            <w:tc>
              <w:tcPr>
                <w:tcW w:w="1617" w:type="dxa"/>
                <w:vAlign w:val="bottom"/>
              </w:tcPr>
              <w:p w14:paraId="6EF994C3" w14:textId="77777777" w:rsidR="00093241" w:rsidRPr="00093241" w:rsidRDefault="00093241" w:rsidP="00093241">
                <w:pPr>
                  <w:keepNext/>
                  <w:jc w:val="right"/>
                  <w:rPr>
                    <w:rFonts w:ascii="Calibri" w:hAnsi="Calibri"/>
                    <w:b/>
                    <w:bCs/>
                  </w:rPr>
                </w:pPr>
                <w:r w:rsidRPr="00093241">
                  <w:rPr>
                    <w:rFonts w:ascii="Calibri" w:hAnsi="Calibri" w:cs="Calibri"/>
                    <w:b/>
                    <w:bCs/>
                    <w:color w:val="000000"/>
                  </w:rPr>
                  <w:t>562.9</w:t>
                </w:r>
              </w:p>
            </w:tc>
            <w:tc>
              <w:tcPr>
                <w:tcW w:w="1618" w:type="dxa"/>
                <w:vAlign w:val="bottom"/>
              </w:tcPr>
              <w:p w14:paraId="77CCE297" w14:textId="77777777" w:rsidR="00093241" w:rsidRPr="00093241" w:rsidRDefault="00093241" w:rsidP="00093241">
                <w:pPr>
                  <w:keepNext/>
                  <w:jc w:val="right"/>
                  <w:rPr>
                    <w:rFonts w:ascii="Calibri" w:hAnsi="Calibri"/>
                    <w:b/>
                    <w:bCs/>
                  </w:rPr>
                </w:pPr>
                <w:r w:rsidRPr="00093241">
                  <w:rPr>
                    <w:rFonts w:ascii="Calibri" w:hAnsi="Calibri" w:cs="Calibri"/>
                    <w:b/>
                    <w:bCs/>
                    <w:color w:val="000000"/>
                  </w:rPr>
                  <w:t>512.8</w:t>
                </w:r>
              </w:p>
            </w:tc>
          </w:tr>
          <w:tr w:rsidR="00093241" w:rsidRPr="00093241" w14:paraId="7649A5AA" w14:textId="77777777" w:rsidTr="00093241">
            <w:tc>
              <w:tcPr>
                <w:tcW w:w="2830" w:type="dxa"/>
              </w:tcPr>
              <w:p w14:paraId="2FBB15ED" w14:textId="77777777" w:rsidR="00093241" w:rsidRPr="00093241" w:rsidRDefault="00093241" w:rsidP="00093241">
                <w:pPr>
                  <w:keepNext/>
                  <w:rPr>
                    <w:rFonts w:ascii="Calibri" w:hAnsi="Calibri" w:cs="Calibri"/>
                    <w:b/>
                    <w:bCs/>
                  </w:rPr>
                </w:pPr>
              </w:p>
            </w:tc>
            <w:tc>
              <w:tcPr>
                <w:tcW w:w="1334" w:type="dxa"/>
                <w:vAlign w:val="bottom"/>
              </w:tcPr>
              <w:p w14:paraId="3744E0E4" w14:textId="77777777" w:rsidR="00093241" w:rsidRPr="00093241" w:rsidRDefault="00093241" w:rsidP="00093241">
                <w:pPr>
                  <w:keepNext/>
                  <w:jc w:val="right"/>
                  <w:rPr>
                    <w:rFonts w:ascii="Calibri" w:hAnsi="Calibri" w:cs="Calibri"/>
                    <w:b/>
                    <w:bCs/>
                    <w:color w:val="000000"/>
                  </w:rPr>
                </w:pPr>
              </w:p>
            </w:tc>
            <w:tc>
              <w:tcPr>
                <w:tcW w:w="1617" w:type="dxa"/>
                <w:vAlign w:val="bottom"/>
              </w:tcPr>
              <w:p w14:paraId="687462B8" w14:textId="77777777" w:rsidR="00093241" w:rsidRPr="00093241" w:rsidRDefault="00093241" w:rsidP="00093241">
                <w:pPr>
                  <w:keepNext/>
                  <w:jc w:val="right"/>
                  <w:rPr>
                    <w:rFonts w:ascii="Calibri" w:hAnsi="Calibri" w:cs="Calibri"/>
                    <w:b/>
                    <w:bCs/>
                    <w:color w:val="000000"/>
                  </w:rPr>
                </w:pPr>
              </w:p>
            </w:tc>
            <w:tc>
              <w:tcPr>
                <w:tcW w:w="1617" w:type="dxa"/>
                <w:vAlign w:val="bottom"/>
              </w:tcPr>
              <w:p w14:paraId="53FC0928" w14:textId="77777777" w:rsidR="00093241" w:rsidRPr="00093241" w:rsidRDefault="00093241" w:rsidP="00093241">
                <w:pPr>
                  <w:keepNext/>
                  <w:jc w:val="right"/>
                  <w:rPr>
                    <w:rFonts w:ascii="Calibri" w:hAnsi="Calibri" w:cs="Calibri"/>
                    <w:b/>
                    <w:bCs/>
                    <w:color w:val="000000"/>
                  </w:rPr>
                </w:pPr>
              </w:p>
            </w:tc>
            <w:tc>
              <w:tcPr>
                <w:tcW w:w="1618" w:type="dxa"/>
                <w:vAlign w:val="bottom"/>
              </w:tcPr>
              <w:p w14:paraId="06F814FB" w14:textId="77777777" w:rsidR="00093241" w:rsidRPr="00093241" w:rsidRDefault="00093241" w:rsidP="00093241">
                <w:pPr>
                  <w:keepNext/>
                  <w:jc w:val="right"/>
                  <w:rPr>
                    <w:rFonts w:ascii="Calibri" w:hAnsi="Calibri" w:cs="Calibri"/>
                    <w:b/>
                    <w:bCs/>
                    <w:color w:val="000000"/>
                  </w:rPr>
                </w:pPr>
              </w:p>
            </w:tc>
          </w:tr>
          <w:tr w:rsidR="00093241" w:rsidRPr="00093241" w14:paraId="44485D64" w14:textId="77777777" w:rsidTr="00093241">
            <w:tc>
              <w:tcPr>
                <w:tcW w:w="2830" w:type="dxa"/>
              </w:tcPr>
              <w:p w14:paraId="02656BB7" w14:textId="77777777" w:rsidR="00093241" w:rsidRPr="00093241" w:rsidRDefault="00093241" w:rsidP="00093241">
                <w:pPr>
                  <w:keepNext/>
                  <w:rPr>
                    <w:rFonts w:ascii="Calibri" w:hAnsi="Calibri"/>
                    <w:b/>
                  </w:rPr>
                </w:pPr>
                <w:r w:rsidRPr="00093241">
                  <w:rPr>
                    <w:rFonts w:ascii="Calibri" w:hAnsi="Calibri"/>
                    <w:b/>
                  </w:rPr>
                  <w:t>Total all fuels</w:t>
                </w:r>
              </w:p>
            </w:tc>
            <w:tc>
              <w:tcPr>
                <w:tcW w:w="1334" w:type="dxa"/>
                <w:vAlign w:val="bottom"/>
              </w:tcPr>
              <w:p w14:paraId="07E1EFD3" w14:textId="77777777" w:rsidR="00093241" w:rsidRPr="00093241" w:rsidRDefault="00093241" w:rsidP="00093241">
                <w:pPr>
                  <w:keepNext/>
                  <w:jc w:val="right"/>
                  <w:rPr>
                    <w:rFonts w:ascii="Calibri" w:hAnsi="Calibri"/>
                    <w:b/>
                    <w:bCs/>
                    <w:color w:val="000000"/>
                  </w:rPr>
                </w:pPr>
                <w:r w:rsidRPr="00093241">
                  <w:rPr>
                    <w:rFonts w:ascii="Calibri" w:hAnsi="Calibri" w:cs="Calibri"/>
                    <w:b/>
                    <w:bCs/>
                    <w:color w:val="000000"/>
                  </w:rPr>
                  <w:t>1,066.9</w:t>
                </w:r>
              </w:p>
            </w:tc>
            <w:tc>
              <w:tcPr>
                <w:tcW w:w="1617" w:type="dxa"/>
                <w:vAlign w:val="bottom"/>
              </w:tcPr>
              <w:p w14:paraId="01BA28CE" w14:textId="77777777" w:rsidR="00093241" w:rsidRPr="00093241" w:rsidRDefault="00093241" w:rsidP="00093241">
                <w:pPr>
                  <w:keepNext/>
                  <w:jc w:val="right"/>
                  <w:rPr>
                    <w:rFonts w:ascii="Calibri" w:hAnsi="Calibri"/>
                    <w:b/>
                    <w:bCs/>
                    <w:color w:val="000000"/>
                  </w:rPr>
                </w:pPr>
                <w:r w:rsidRPr="00093241">
                  <w:rPr>
                    <w:rFonts w:ascii="Calibri" w:hAnsi="Calibri" w:cs="Calibri"/>
                    <w:b/>
                    <w:bCs/>
                    <w:color w:val="000000"/>
                  </w:rPr>
                  <w:t>924.2</w:t>
                </w:r>
              </w:p>
            </w:tc>
            <w:tc>
              <w:tcPr>
                <w:tcW w:w="1617" w:type="dxa"/>
                <w:vAlign w:val="bottom"/>
              </w:tcPr>
              <w:p w14:paraId="5DBC2551" w14:textId="77777777" w:rsidR="00093241" w:rsidRPr="00093241" w:rsidRDefault="00093241" w:rsidP="00093241">
                <w:pPr>
                  <w:keepNext/>
                  <w:jc w:val="right"/>
                  <w:rPr>
                    <w:rFonts w:ascii="Calibri" w:hAnsi="Calibri"/>
                    <w:b/>
                    <w:bCs/>
                    <w:color w:val="000000"/>
                  </w:rPr>
                </w:pPr>
                <w:r w:rsidRPr="00093241">
                  <w:rPr>
                    <w:rFonts w:ascii="Calibri" w:hAnsi="Calibri" w:cs="Calibri"/>
                    <w:b/>
                    <w:bCs/>
                    <w:color w:val="000000"/>
                  </w:rPr>
                  <w:t>778.0</w:t>
                </w:r>
              </w:p>
            </w:tc>
            <w:tc>
              <w:tcPr>
                <w:tcW w:w="1618" w:type="dxa"/>
                <w:vAlign w:val="bottom"/>
              </w:tcPr>
              <w:p w14:paraId="15F071BF" w14:textId="77777777" w:rsidR="00093241" w:rsidRPr="00093241" w:rsidRDefault="00093241" w:rsidP="00093241">
                <w:pPr>
                  <w:keepNext/>
                  <w:jc w:val="right"/>
                  <w:rPr>
                    <w:rFonts w:ascii="Calibri" w:hAnsi="Calibri"/>
                    <w:b/>
                    <w:bCs/>
                    <w:color w:val="000000"/>
                  </w:rPr>
                </w:pPr>
                <w:r w:rsidRPr="00093241">
                  <w:rPr>
                    <w:rFonts w:ascii="Calibri" w:hAnsi="Calibri" w:cs="Calibri"/>
                    <w:b/>
                    <w:bCs/>
                    <w:color w:val="000000"/>
                  </w:rPr>
                  <w:t>692.0</w:t>
                </w:r>
              </w:p>
            </w:tc>
          </w:tr>
        </w:tbl>
        <w:p w14:paraId="2733973A" w14:textId="77777777" w:rsidR="00093241" w:rsidRPr="00093241" w:rsidRDefault="00093241" w:rsidP="00093241">
          <w:pPr>
            <w:spacing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t>Notes: All years are financial years ending June 30. All dollar values are in real 2022 terms. Figures are rounded.</w:t>
          </w:r>
        </w:p>
        <w:p w14:paraId="013D5401" w14:textId="77777777" w:rsidR="00093241" w:rsidRPr="00093241" w:rsidRDefault="00093241" w:rsidP="00093241">
          <w:pPr>
            <w:rPr>
              <w:rFonts w:ascii="Calibri" w:eastAsia="Calibri" w:hAnsi="Calibri" w:cs="Times New Roman"/>
            </w:rPr>
          </w:pPr>
        </w:p>
        <w:p w14:paraId="28CC6C3A" w14:textId="77777777" w:rsidR="00093241" w:rsidRPr="00093241" w:rsidRDefault="00093241" w:rsidP="00093241">
          <w:pPr>
            <w:keepNext/>
            <w:keepLines/>
            <w:spacing w:before="240" w:after="80"/>
            <w:outlineLvl w:val="0"/>
            <w:rPr>
              <w:rFonts w:ascii="Calibri" w:eastAsia="Times New Roman" w:hAnsi="Calibri" w:cs="Times New Roman"/>
              <w:color w:val="083A42"/>
              <w:sz w:val="36"/>
              <w:szCs w:val="36"/>
            </w:rPr>
          </w:pPr>
          <w:bookmarkStart w:id="81" w:name="_Toc117259535"/>
          <w:bookmarkStart w:id="82" w:name="_Toc117262234"/>
          <w:bookmarkStart w:id="83" w:name="_Toc117262593"/>
          <w:bookmarkStart w:id="84" w:name="_Toc117512020"/>
          <w:bookmarkStart w:id="85" w:name="_Toc117516970"/>
          <w:bookmarkStart w:id="86" w:name="_Toc117775510"/>
          <w:r w:rsidRPr="00093241">
            <w:rPr>
              <w:rFonts w:ascii="Calibri" w:eastAsia="Times New Roman" w:hAnsi="Calibri" w:cs="Times New Roman"/>
              <w:color w:val="083A42"/>
              <w:sz w:val="36"/>
              <w:szCs w:val="36"/>
            </w:rPr>
            <w:t>Cost to consumer</w:t>
          </w:r>
          <w:bookmarkEnd w:id="81"/>
          <w:bookmarkEnd w:id="82"/>
          <w:bookmarkEnd w:id="83"/>
          <w:bookmarkEnd w:id="84"/>
          <w:bookmarkEnd w:id="85"/>
          <w:bookmarkEnd w:id="86"/>
        </w:p>
        <w:p w14:paraId="4560B9F3"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As outlined above, the MSO will mean some costs to industry.</w:t>
          </w:r>
          <w:r w:rsidRPr="00093241" w:rsidDel="0032099F">
            <w:rPr>
              <w:rFonts w:ascii="Calibri" w:eastAsia="Calibri" w:hAnsi="Calibri" w:cs="Times New Roman"/>
            </w:rPr>
            <w:t xml:space="preserve"> </w:t>
          </w:r>
          <w:r w:rsidRPr="00093241">
            <w:rPr>
              <w:rFonts w:ascii="Calibri" w:eastAsia="Calibri" w:hAnsi="Calibri" w:cs="Times New Roman"/>
            </w:rPr>
            <w:t>It is anticipated any additional financial cost to affected entities resulting from industry compliance with the MSO will be passed on to the consumer, ultimately impacting price at the bowser. In estimating the pass-through, operating costs have been passed through in the year they are incurred, while capital expenses have been assumed to be amortised over a period of 20 years with a real rate of return on capital assumed to be 7 per cent a year. GST of 10 per cent has been added.</w:t>
          </w:r>
        </w:p>
        <w:p w14:paraId="2ACA6C31" w14:textId="77777777" w:rsidR="00093241" w:rsidRPr="00093241" w:rsidRDefault="00093241" w:rsidP="00093241">
          <w:pPr>
            <w:keepNext/>
            <w:rPr>
              <w:rFonts w:ascii="Calibri" w:eastAsia="Calibri" w:hAnsi="Calibri" w:cs="Times New Roman"/>
            </w:rPr>
          </w:pPr>
          <w:r w:rsidRPr="00093241">
            <w:rPr>
              <w:rFonts w:ascii="Calibri" w:eastAsia="Calibri" w:hAnsi="Calibri" w:cs="Times New Roman"/>
            </w:rPr>
            <w:t>The average consumer price increase over the period to 2040 due to the MSO (including GST) is estimated to be:</w:t>
          </w:r>
        </w:p>
        <w:p w14:paraId="32A56BEB" w14:textId="0F6C03FF" w:rsidR="00093241" w:rsidRPr="00093241" w:rsidRDefault="00093241" w:rsidP="0037564F">
          <w:pPr>
            <w:numPr>
              <w:ilvl w:val="0"/>
              <w:numId w:val="9"/>
            </w:numPr>
            <w:contextualSpacing/>
            <w:rPr>
              <w:rFonts w:ascii="Calibri" w:eastAsia="Calibri" w:hAnsi="Calibri" w:cs="Times New Roman"/>
            </w:rPr>
          </w:pPr>
          <w:r w:rsidRPr="00093241">
            <w:rPr>
              <w:rFonts w:ascii="Calibri" w:eastAsia="Calibri" w:hAnsi="Calibri" w:cs="Times New Roman"/>
            </w:rPr>
            <w:t>0.</w:t>
          </w:r>
          <w:r w:rsidR="009861C6">
            <w:rPr>
              <w:rFonts w:ascii="Calibri" w:eastAsia="Calibri" w:hAnsi="Calibri" w:cs="Times New Roman"/>
            </w:rPr>
            <w:t>00</w:t>
          </w:r>
          <w:r w:rsidRPr="00093241">
            <w:rPr>
              <w:rFonts w:ascii="Calibri" w:eastAsia="Calibri" w:hAnsi="Calibri" w:cs="Times New Roman"/>
            </w:rPr>
            <w:t xml:space="preserve">15 </w:t>
          </w:r>
          <w:r w:rsidR="009861C6">
            <w:rPr>
              <w:rFonts w:ascii="Calibri" w:eastAsia="Calibri" w:hAnsi="Calibri" w:cs="Times New Roman"/>
            </w:rPr>
            <w:t>$</w:t>
          </w:r>
          <w:r w:rsidRPr="00093241">
            <w:rPr>
              <w:rFonts w:ascii="Calibri" w:eastAsia="Calibri" w:hAnsi="Calibri" w:cs="Times New Roman"/>
            </w:rPr>
            <w:t xml:space="preserve">/litre </w:t>
          </w:r>
          <w:r w:rsidR="009861C6">
            <w:rPr>
              <w:rFonts w:ascii="Calibri" w:eastAsia="Calibri" w:hAnsi="Calibri" w:cs="Times New Roman"/>
            </w:rPr>
            <w:t xml:space="preserve">(or 0.15 c/litre </w:t>
          </w:r>
          <w:r w:rsidRPr="00093241">
            <w:rPr>
              <w:rFonts w:ascii="Calibri" w:eastAsia="Calibri" w:hAnsi="Calibri" w:cs="Times New Roman"/>
            </w:rPr>
            <w:t>weighted average of all fuels).</w:t>
          </w:r>
          <w:r w:rsidRPr="00093241" w:rsidDel="00047B13">
            <w:rPr>
              <w:rFonts w:ascii="Calibri" w:eastAsia="Calibri" w:hAnsi="Calibri" w:cs="Times New Roman"/>
            </w:rPr>
            <w:t xml:space="preserve"> </w:t>
          </w:r>
        </w:p>
        <w:p w14:paraId="0F29E13A"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br w:type="page"/>
          </w:r>
          <w:bookmarkStart w:id="87" w:name="_Toc96091490"/>
          <w:bookmarkStart w:id="88" w:name="_Toc96504623"/>
        </w:p>
        <w:p w14:paraId="54B23327" w14:textId="77777777" w:rsidR="00093241" w:rsidRPr="00093241" w:rsidRDefault="00093241" w:rsidP="00093241">
          <w:pPr>
            <w:keepNext/>
            <w:keepLines/>
            <w:spacing w:before="240" w:after="80"/>
            <w:outlineLvl w:val="0"/>
            <w:rPr>
              <w:rFonts w:ascii="Calibri" w:eastAsia="Times New Roman" w:hAnsi="Calibri" w:cs="Times New Roman"/>
              <w:color w:val="083A42"/>
              <w:sz w:val="48"/>
              <w:szCs w:val="32"/>
            </w:rPr>
          </w:pPr>
          <w:bookmarkStart w:id="89" w:name="_Toc98512037"/>
          <w:bookmarkStart w:id="90" w:name="_Toc98518281"/>
          <w:bookmarkStart w:id="91" w:name="_Toc117259536"/>
          <w:bookmarkStart w:id="92" w:name="_Toc117262235"/>
          <w:bookmarkStart w:id="93" w:name="_Toc117262594"/>
          <w:bookmarkStart w:id="94" w:name="_Toc117512021"/>
          <w:bookmarkStart w:id="95" w:name="_Toc117516971"/>
          <w:bookmarkStart w:id="96" w:name="_Toc117775511"/>
          <w:r w:rsidRPr="00093241">
            <w:rPr>
              <w:rFonts w:ascii="Calibri" w:eastAsia="Times New Roman" w:hAnsi="Calibri" w:cs="Times New Roman"/>
              <w:color w:val="083A42"/>
              <w:sz w:val="36"/>
              <w:szCs w:val="36"/>
            </w:rPr>
            <w:lastRenderedPageBreak/>
            <w:t>Functioning intermediary market</w:t>
          </w:r>
          <w:bookmarkEnd w:id="87"/>
          <w:bookmarkEnd w:id="88"/>
          <w:bookmarkEnd w:id="89"/>
          <w:bookmarkEnd w:id="90"/>
          <w:bookmarkEnd w:id="91"/>
          <w:bookmarkEnd w:id="92"/>
          <w:bookmarkEnd w:id="93"/>
          <w:bookmarkEnd w:id="94"/>
          <w:bookmarkEnd w:id="95"/>
          <w:bookmarkEnd w:id="96"/>
        </w:p>
        <w:p w14:paraId="53614B24"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 xml:space="preserve">What is the intermediary market? </w:t>
          </w:r>
        </w:p>
        <w:p w14:paraId="568C741A"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To ease the burden of MSO compliance, the Act establishes an intermediary (or secondary trading) market for stocks outside of an entity’s direct control to be counted toward their MSO. (See Subsection 23(c) and Subsection 24(c) of the Act).</w:t>
          </w:r>
        </w:p>
        <w:p w14:paraId="654EE2FC"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Flexibility in meeting the MSO through third party arrangements will provide opportunity for companies to minimise compliance costs (mostly through reducing the need for capital costs such as additional storage) and/or adjust the size and location of their fuel stocks.</w:t>
          </w:r>
        </w:p>
        <w:p w14:paraId="1E66B9B6"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intermediary market will be industry led and not be heavily regulated in the first instance. Industry is considered best placed to establish and manage these arrangements through innovation and flexibility without additional costs imposed by market regulation. </w:t>
          </w:r>
        </w:p>
        <w:p w14:paraId="65EF3EA0"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An intermediary market for a stockholding obligation, is a common approach in overseas fuel markets, with several OECD countries like the United Kingdom and Sweden implementing an intermediary market scheme to balance surpluses and shortfalls in a regulated entity’s MSO. </w:t>
          </w:r>
        </w:p>
        <w:p w14:paraId="2642733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 number of international arms of Australian fuel stakeholders will have significant experience with similar intermediary market schemes.</w:t>
          </w:r>
        </w:p>
        <w:p w14:paraId="5E4ADED1"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 xml:space="preserve">Cost implications of a functioning intermediary market </w:t>
          </w:r>
        </w:p>
        <w:p w14:paraId="7952EFF5"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modelling suggests that where shortfalls arise, entities will be able to meet their obligations through the use of an efficiently operating intermediary market. </w:t>
          </w:r>
        </w:p>
        <w:p w14:paraId="7DCC89C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regulatory costs of utilising the intermediary market to meet an entity’s MSO are expected to be significantly lower than capital costs of building additional storage, de-optimising shipping cycles or holding additional stock. </w:t>
          </w:r>
        </w:p>
        <w:p w14:paraId="2ACDA5C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It is assumed each entity will rationally choose the lowest cost option if they have insufficient stocks to meet the MSO on an obligation day. That option will be to rely on the intermediary market. </w:t>
          </w:r>
        </w:p>
        <w:p w14:paraId="2E5D961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MSO’s</w:t>
          </w:r>
          <w:r w:rsidRPr="00093241" w:rsidDel="00674F34">
            <w:rPr>
              <w:rFonts w:ascii="Calibri" w:eastAsia="Calibri" w:hAnsi="Calibri" w:cs="Times New Roman"/>
            </w:rPr>
            <w:t xml:space="preserve"> </w:t>
          </w:r>
          <w:r w:rsidRPr="00093241">
            <w:rPr>
              <w:rFonts w:ascii="Calibri" w:eastAsia="Calibri" w:hAnsi="Calibri" w:cs="Times New Roman"/>
            </w:rPr>
            <w:t>transitional arrangements ensure significant surplus stocks are available for ‘trading’ through the market in the scheme’s infancy. Arrangements will allow time for the market to mature and operate effectively. But also provides governments an opportunity to monitor and evaluate its effectiveness.</w:t>
          </w:r>
        </w:p>
        <w:p w14:paraId="5753BF2E"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As such, the costs reflect a functioning intermediary market. </w:t>
          </w:r>
        </w:p>
        <w:p w14:paraId="42DA24D9"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bookmarkStart w:id="97" w:name="_Toc92306607"/>
          <w:r w:rsidRPr="00093241">
            <w:rPr>
              <w:rFonts w:ascii="Calibri" w:eastAsia="Times New Roman" w:hAnsi="Calibri" w:cs="Times New Roman"/>
              <w:color w:val="BB4E06"/>
              <w:sz w:val="28"/>
              <w:szCs w:val="28"/>
            </w:rPr>
            <w:t>Depth of the intermediary market</w:t>
          </w:r>
        </w:p>
        <w:p w14:paraId="45C46A34"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Forecasts on storage capacity, stockholdings and projected MSO figures modelled for this analysis show there will be sufficient storage and stockholding available in the intermediary market with adequate participation. (see Figure 4 below).</w:t>
          </w:r>
        </w:p>
        <w:p w14:paraId="1B2B30C6" w14:textId="77777777" w:rsidR="00093241" w:rsidRPr="00093241" w:rsidRDefault="00093241" w:rsidP="00093241">
          <w:pPr>
            <w:rPr>
              <w:rFonts w:ascii="Calibri" w:eastAsia="Calibri" w:hAnsi="Calibri" w:cs="Times New Roman"/>
              <w:iCs/>
              <w:color w:val="408479"/>
              <w:szCs w:val="18"/>
            </w:rPr>
          </w:pPr>
          <w:r w:rsidRPr="00093241">
            <w:rPr>
              <w:rFonts w:ascii="Calibri" w:eastAsia="Calibri" w:hAnsi="Calibri" w:cs="Times New Roman"/>
              <w:i/>
            </w:rPr>
            <w:br w:type="page"/>
          </w:r>
        </w:p>
        <w:p w14:paraId="62FAD446" w14:textId="77777777" w:rsidR="00093241" w:rsidRPr="00093241" w:rsidRDefault="00093241" w:rsidP="00093241">
          <w:pPr>
            <w:spacing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lastRenderedPageBreak/>
            <w:t xml:space="preserve">Figure 4: Forecast aggregate industry position against projected demand </w:t>
          </w:r>
        </w:p>
        <w:p w14:paraId="4BAE720C" w14:textId="77777777" w:rsidR="00093241" w:rsidRPr="00093241" w:rsidRDefault="00093241" w:rsidP="00093241">
          <w:pPr>
            <w:keepNext/>
            <w:rPr>
              <w:rFonts w:ascii="Calibri" w:eastAsia="Calibri" w:hAnsi="Calibri" w:cs="Times New Roman"/>
            </w:rPr>
          </w:pPr>
          <w:r w:rsidRPr="00093241">
            <w:rPr>
              <w:rFonts w:ascii="Calibri" w:eastAsia="Calibri" w:hAnsi="Calibri" w:cs="Times New Roman"/>
              <w:noProof/>
              <w:lang w:eastAsia="en-AU"/>
            </w:rPr>
            <w:drawing>
              <wp:inline distT="0" distB="0" distL="0" distR="0" wp14:anchorId="68B90013" wp14:editId="45658160">
                <wp:extent cx="5731510" cy="2460625"/>
                <wp:effectExtent l="0" t="0" r="2540" b="0"/>
                <wp:docPr id="12" name="Picture 12" descr="This graph shows the forecasted storage compared with aggregate  industry position on the MSO. " title="Figure 4: Forecast aggregate industry position against M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5731510" cy="2460625"/>
                        </a:xfrm>
                        <a:prstGeom prst="rect">
                          <a:avLst/>
                        </a:prstGeom>
                      </pic:spPr>
                    </pic:pic>
                  </a:graphicData>
                </a:graphic>
              </wp:inline>
            </w:drawing>
          </w:r>
        </w:p>
        <w:p w14:paraId="7E5A106B" w14:textId="77777777" w:rsidR="00093241" w:rsidRPr="00093241" w:rsidRDefault="00093241" w:rsidP="00093241">
          <w:pPr>
            <w:rPr>
              <w:rFonts w:ascii="Calibri" w:eastAsia="Calibri" w:hAnsi="Calibri" w:cs="Times New Roman"/>
              <w:sz w:val="20"/>
              <w:szCs w:val="20"/>
            </w:rPr>
          </w:pPr>
          <w:r w:rsidRPr="00093241">
            <w:rPr>
              <w:rFonts w:ascii="Calibri" w:eastAsia="Calibri" w:hAnsi="Calibri" w:cs="Times New Roman"/>
              <w:sz w:val="20"/>
              <w:szCs w:val="20"/>
            </w:rPr>
            <w:t>Source: ACIL Allen estimates based on data provided by the Department</w:t>
          </w:r>
        </w:p>
        <w:p w14:paraId="6034E5CF" w14:textId="77777777" w:rsidR="00093241" w:rsidRPr="00093241" w:rsidRDefault="00093241" w:rsidP="00093241">
          <w:pPr>
            <w:keepNext/>
            <w:keepLines/>
            <w:spacing w:before="480" w:after="40"/>
            <w:outlineLvl w:val="0"/>
            <w:rPr>
              <w:rFonts w:ascii="Calibri" w:eastAsia="Times New Roman" w:hAnsi="Calibri" w:cs="Times New Roman"/>
              <w:color w:val="083A42"/>
              <w:sz w:val="36"/>
              <w:szCs w:val="36"/>
            </w:rPr>
          </w:pPr>
          <w:bookmarkStart w:id="98" w:name="_Toc96091491"/>
          <w:bookmarkStart w:id="99" w:name="_Toc96504624"/>
          <w:bookmarkStart w:id="100" w:name="_Toc98512038"/>
          <w:bookmarkStart w:id="101" w:name="_Toc98518282"/>
          <w:bookmarkStart w:id="102" w:name="_Toc117259537"/>
          <w:bookmarkStart w:id="103" w:name="_Toc117262236"/>
          <w:bookmarkStart w:id="104" w:name="_Toc117262595"/>
          <w:bookmarkStart w:id="105" w:name="_Toc117512022"/>
          <w:bookmarkStart w:id="106" w:name="_Toc117516972"/>
          <w:bookmarkStart w:id="107" w:name="_Toc117775512"/>
          <w:r w:rsidRPr="00093241">
            <w:rPr>
              <w:rFonts w:ascii="Calibri" w:eastAsia="Times New Roman" w:hAnsi="Calibri" w:cs="Times New Roman"/>
              <w:color w:val="083A42"/>
              <w:sz w:val="36"/>
              <w:szCs w:val="36"/>
            </w:rPr>
            <w:t>Sensitivity analysis</w:t>
          </w:r>
          <w:bookmarkEnd w:id="97"/>
          <w:bookmarkEnd w:id="98"/>
          <w:bookmarkEnd w:id="99"/>
          <w:bookmarkEnd w:id="100"/>
          <w:bookmarkEnd w:id="101"/>
          <w:bookmarkEnd w:id="102"/>
          <w:bookmarkEnd w:id="103"/>
          <w:bookmarkEnd w:id="104"/>
          <w:bookmarkEnd w:id="105"/>
          <w:bookmarkEnd w:id="106"/>
          <w:bookmarkEnd w:id="107"/>
        </w:p>
        <w:p w14:paraId="686129A9" w14:textId="77777777" w:rsidR="00093241" w:rsidRPr="00093241" w:rsidRDefault="00093241" w:rsidP="00093241">
          <w:pPr>
            <w:rPr>
              <w:rFonts w:ascii="Calibri" w:eastAsia="Calibri" w:hAnsi="Calibri" w:cs="Times New Roman"/>
            </w:rPr>
          </w:pPr>
          <w:bookmarkStart w:id="108" w:name="_Hlk90631570"/>
          <w:r w:rsidRPr="00093241">
            <w:rPr>
              <w:rFonts w:ascii="Calibri" w:eastAsia="Calibri" w:hAnsi="Calibri" w:cs="Times New Roman"/>
            </w:rPr>
            <w:t xml:space="preserve">Throughout the development of the policy and this assessment, various sensitivity analysis were undertaken about various costs and alternatives to the MSO Rules. </w:t>
          </w:r>
        </w:p>
        <w:p w14:paraId="72883513"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This section presents the impacts on costs of two meaningful alternatives considered:</w:t>
          </w:r>
        </w:p>
        <w:bookmarkEnd w:id="108"/>
        <w:p w14:paraId="6E68FD54" w14:textId="77777777" w:rsidR="00093241" w:rsidRPr="00093241" w:rsidRDefault="00093241" w:rsidP="0037564F">
          <w:pPr>
            <w:numPr>
              <w:ilvl w:val="0"/>
              <w:numId w:val="12"/>
            </w:numPr>
            <w:contextualSpacing/>
            <w:rPr>
              <w:rFonts w:ascii="Calibri" w:eastAsia="Calibri" w:hAnsi="Calibri" w:cs="Times New Roman"/>
            </w:rPr>
          </w:pPr>
          <w:r w:rsidRPr="00093241">
            <w:rPr>
              <w:rFonts w:ascii="Calibri" w:eastAsia="Calibri" w:hAnsi="Calibri" w:cs="Times New Roman"/>
            </w:rPr>
            <w:t xml:space="preserve">removal of transitional arrangements for CCDs and obligation day in the period to 1 July 2024. </w:t>
          </w:r>
        </w:p>
        <w:p w14:paraId="4CCB8137" w14:textId="77777777" w:rsidR="00093241" w:rsidRPr="00093241" w:rsidRDefault="00093241" w:rsidP="0037564F">
          <w:pPr>
            <w:numPr>
              <w:ilvl w:val="0"/>
              <w:numId w:val="12"/>
            </w:numPr>
            <w:contextualSpacing/>
            <w:rPr>
              <w:rFonts w:ascii="Calibri" w:eastAsia="Calibri" w:hAnsi="Calibri" w:cs="Times New Roman"/>
            </w:rPr>
          </w:pPr>
          <w:r w:rsidRPr="00093241">
            <w:rPr>
              <w:rFonts w:ascii="Calibri" w:eastAsia="Calibri" w:hAnsi="Calibri" w:cs="Times New Roman"/>
            </w:rPr>
            <w:t>capping the ability for importers to count stocks of product stored on vessels within the EEZ boundary to no more than 4, 3 and 3 days of an entities required minimum consumption cover for diesel, gasoline and kerosene, respectively.</w:t>
          </w:r>
        </w:p>
        <w:p w14:paraId="3629050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A summary of the cumulative costs under these two alternatives to the MSO settings is shown in Table 5 below. Compared to the costs of the final settings, removing transitional arrangements would increase the costs of the MSO for:</w:t>
          </w:r>
        </w:p>
        <w:p w14:paraId="5EB1D206" w14:textId="77777777" w:rsidR="00093241" w:rsidRPr="00093241" w:rsidRDefault="00093241" w:rsidP="0037564F">
          <w:pPr>
            <w:numPr>
              <w:ilvl w:val="0"/>
              <w:numId w:val="7"/>
            </w:numPr>
            <w:contextualSpacing/>
            <w:rPr>
              <w:rFonts w:ascii="Calibri" w:eastAsia="Calibri" w:hAnsi="Calibri" w:cs="Times New Roman"/>
            </w:rPr>
          </w:pPr>
          <w:r w:rsidRPr="00093241">
            <w:rPr>
              <w:rFonts w:ascii="Calibri" w:eastAsia="Calibri" w:hAnsi="Calibri" w:cs="Times New Roman"/>
              <w:b/>
            </w:rPr>
            <w:t>gasoline</w:t>
          </w:r>
          <w:r w:rsidRPr="00093241">
            <w:rPr>
              <w:rFonts w:ascii="Calibri" w:eastAsia="Calibri" w:hAnsi="Calibri" w:cs="Times New Roman"/>
            </w:rPr>
            <w:t xml:space="preserve"> by $3.4 million, or an increase in costs of around 5 per cent</w:t>
          </w:r>
        </w:p>
        <w:p w14:paraId="66D32823" w14:textId="77777777" w:rsidR="00093241" w:rsidRPr="00093241" w:rsidRDefault="00093241" w:rsidP="0037564F">
          <w:pPr>
            <w:numPr>
              <w:ilvl w:val="0"/>
              <w:numId w:val="7"/>
            </w:numPr>
            <w:contextualSpacing/>
            <w:rPr>
              <w:rFonts w:ascii="Calibri" w:eastAsia="Calibri" w:hAnsi="Calibri" w:cs="Times New Roman"/>
            </w:rPr>
          </w:pPr>
          <w:r w:rsidRPr="00093241">
            <w:rPr>
              <w:rFonts w:ascii="Calibri" w:eastAsia="Calibri" w:hAnsi="Calibri" w:cs="Times New Roman"/>
              <w:b/>
            </w:rPr>
            <w:t>kerosene</w:t>
          </w:r>
          <w:r w:rsidRPr="00093241">
            <w:rPr>
              <w:rFonts w:ascii="Calibri" w:eastAsia="Calibri" w:hAnsi="Calibri" w:cs="Times New Roman"/>
            </w:rPr>
            <w:t xml:space="preserve"> by $2.3 million, or an increase in costs of around 2 per cent</w:t>
          </w:r>
        </w:p>
        <w:p w14:paraId="4DB7BF80" w14:textId="77777777" w:rsidR="00093241" w:rsidRPr="00093241" w:rsidRDefault="00093241" w:rsidP="0037564F">
          <w:pPr>
            <w:numPr>
              <w:ilvl w:val="0"/>
              <w:numId w:val="7"/>
            </w:numPr>
            <w:contextualSpacing/>
            <w:rPr>
              <w:rFonts w:ascii="Calibri" w:eastAsia="Calibri" w:hAnsi="Calibri" w:cs="Times New Roman"/>
            </w:rPr>
          </w:pPr>
          <w:r w:rsidRPr="00093241">
            <w:rPr>
              <w:rFonts w:ascii="Calibri" w:eastAsia="Calibri" w:hAnsi="Calibri" w:cs="Times New Roman"/>
              <w:b/>
            </w:rPr>
            <w:t>diesel</w:t>
          </w:r>
          <w:r w:rsidRPr="00093241">
            <w:rPr>
              <w:rFonts w:ascii="Calibri" w:eastAsia="Calibri" w:hAnsi="Calibri" w:cs="Times New Roman"/>
            </w:rPr>
            <w:t xml:space="preserve"> by $31.8 million, or an increase in costs of around 6 per cent.</w:t>
          </w:r>
        </w:p>
        <w:p w14:paraId="1D3A63D9"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In contrast, capping the ability for importers to count stocks of product stored on vessels within the EEZ would increase the cost of the rules by:</w:t>
          </w:r>
        </w:p>
        <w:p w14:paraId="64154735" w14:textId="77777777" w:rsidR="00093241" w:rsidRPr="00093241" w:rsidRDefault="00093241" w:rsidP="0037564F">
          <w:pPr>
            <w:numPr>
              <w:ilvl w:val="0"/>
              <w:numId w:val="7"/>
            </w:numPr>
            <w:contextualSpacing/>
            <w:rPr>
              <w:rFonts w:ascii="Calibri" w:eastAsia="Calibri" w:hAnsi="Calibri" w:cs="Times New Roman"/>
            </w:rPr>
          </w:pPr>
          <w:r w:rsidRPr="00093241">
            <w:rPr>
              <w:rFonts w:ascii="Calibri" w:eastAsia="Calibri" w:hAnsi="Calibri" w:cs="Times New Roman"/>
            </w:rPr>
            <w:t xml:space="preserve">$152.4 million in costs to </w:t>
          </w:r>
          <w:r w:rsidRPr="00093241">
            <w:rPr>
              <w:rFonts w:ascii="Calibri" w:eastAsia="Calibri" w:hAnsi="Calibri" w:cs="Times New Roman"/>
              <w:b/>
            </w:rPr>
            <w:t>kerosene</w:t>
          </w:r>
          <w:r w:rsidRPr="00093241">
            <w:rPr>
              <w:rFonts w:ascii="Calibri" w:eastAsia="Calibri" w:hAnsi="Calibri" w:cs="Times New Roman"/>
              <w:bCs/>
            </w:rPr>
            <w:t>, or an increase of 59 per cent</w:t>
          </w:r>
          <w:r w:rsidRPr="00093241">
            <w:rPr>
              <w:rFonts w:ascii="Calibri" w:eastAsia="Calibri" w:hAnsi="Calibri" w:cs="Times New Roman"/>
            </w:rPr>
            <w:t xml:space="preserve">. </w:t>
          </w:r>
        </w:p>
        <w:p w14:paraId="1F59B21E" w14:textId="77777777" w:rsidR="00093241" w:rsidRPr="00093241" w:rsidRDefault="00093241" w:rsidP="0037564F">
          <w:pPr>
            <w:numPr>
              <w:ilvl w:val="0"/>
              <w:numId w:val="7"/>
            </w:numPr>
            <w:contextualSpacing/>
            <w:rPr>
              <w:rFonts w:ascii="Calibri" w:eastAsia="Calibri" w:hAnsi="Calibri" w:cs="Times New Roman"/>
            </w:rPr>
          </w:pPr>
          <w:r w:rsidRPr="00093241">
            <w:rPr>
              <w:rFonts w:ascii="Calibri" w:eastAsia="Calibri" w:hAnsi="Calibri" w:cs="Times New Roman"/>
            </w:rPr>
            <w:t xml:space="preserve">$149.9 million in costs to </w:t>
          </w:r>
          <w:r w:rsidRPr="00093241">
            <w:rPr>
              <w:rFonts w:ascii="Calibri" w:eastAsia="Calibri" w:hAnsi="Calibri" w:cs="Times New Roman"/>
              <w:b/>
            </w:rPr>
            <w:t>diesel</w:t>
          </w:r>
          <w:r w:rsidRPr="00093241">
            <w:rPr>
              <w:rFonts w:ascii="Calibri" w:eastAsia="Calibri" w:hAnsi="Calibri" w:cs="Times New Roman"/>
            </w:rPr>
            <w:t>, or an increase in costs of 24 per cent.</w:t>
          </w:r>
        </w:p>
        <w:p w14:paraId="4F12F806" w14:textId="77777777" w:rsidR="00093241" w:rsidRPr="00093241" w:rsidRDefault="00093241" w:rsidP="0037564F">
          <w:pPr>
            <w:numPr>
              <w:ilvl w:val="0"/>
              <w:numId w:val="7"/>
            </w:numPr>
            <w:contextualSpacing/>
            <w:rPr>
              <w:rFonts w:ascii="Calibri" w:eastAsia="Calibri" w:hAnsi="Calibri" w:cs="Times New Roman"/>
            </w:rPr>
          </w:pPr>
          <w:r w:rsidRPr="00093241">
            <w:rPr>
              <w:rFonts w:ascii="Calibri" w:eastAsia="Calibri" w:hAnsi="Calibri" w:cs="Times New Roman"/>
            </w:rPr>
            <w:t xml:space="preserve">$0 in cost to </w:t>
          </w:r>
          <w:r w:rsidRPr="00093241">
            <w:rPr>
              <w:rFonts w:ascii="Calibri" w:eastAsia="Calibri" w:hAnsi="Calibri" w:cs="Times New Roman"/>
              <w:b/>
            </w:rPr>
            <w:t>gasoline</w:t>
          </w:r>
          <w:r w:rsidRPr="00093241">
            <w:rPr>
              <w:rFonts w:ascii="Calibri" w:eastAsia="Calibri" w:hAnsi="Calibri" w:cs="Times New Roman"/>
            </w:rPr>
            <w:t xml:space="preserve"> as their business-as-usual stocks of gasoline are likely to be sufficient to meet their MSO.</w:t>
          </w:r>
        </w:p>
        <w:p w14:paraId="25C1D0D4" w14:textId="77777777" w:rsidR="00093241" w:rsidRPr="00093241" w:rsidRDefault="00093241" w:rsidP="00093241">
          <w:pPr>
            <w:keepNext/>
            <w:spacing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lastRenderedPageBreak/>
            <w:t>Table 3:</w:t>
          </w:r>
          <w:r w:rsidRPr="00093241">
            <w:rPr>
              <w:rFonts w:ascii="Calibri" w:eastAsia="Calibri" w:hAnsi="Calibri" w:cs="Times New Roman"/>
              <w:i/>
              <w:iCs/>
              <w:color w:val="408479"/>
              <w:szCs w:val="18"/>
            </w:rPr>
            <w:tab/>
            <w:t xml:space="preserve"> Sensitivity analysis of two key changes to the MSO Rules</w:t>
          </w:r>
        </w:p>
        <w:tbl>
          <w:tblPr>
            <w:tblW w:w="9204" w:type="dxa"/>
            <w:tblCellMar>
              <w:left w:w="0" w:type="dxa"/>
              <w:right w:w="0" w:type="dxa"/>
            </w:tblCellMar>
            <w:tblLook w:val="04A0" w:firstRow="1" w:lastRow="0" w:firstColumn="1" w:lastColumn="0" w:noHBand="0" w:noVBand="1"/>
          </w:tblPr>
          <w:tblGrid>
            <w:gridCol w:w="1821"/>
            <w:gridCol w:w="1226"/>
            <w:gridCol w:w="1226"/>
            <w:gridCol w:w="1226"/>
            <w:gridCol w:w="1226"/>
            <w:gridCol w:w="1226"/>
            <w:gridCol w:w="1253"/>
          </w:tblGrid>
          <w:tr w:rsidR="00093241" w:rsidRPr="00093241" w14:paraId="1E819D9F" w14:textId="77777777" w:rsidTr="00093241">
            <w:trPr>
              <w:tblHeader/>
            </w:trPr>
            <w:tc>
              <w:tcPr>
                <w:tcW w:w="182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77515E8" w14:textId="77777777" w:rsidR="00093241" w:rsidRPr="00093241" w:rsidRDefault="00093241" w:rsidP="00093241">
                <w:pPr>
                  <w:keepNext/>
                  <w:rPr>
                    <w:rFonts w:ascii="Calibri" w:eastAsia="Calibri" w:hAnsi="Calibri" w:cs="Calibri"/>
                  </w:rPr>
                </w:pPr>
              </w:p>
            </w:tc>
            <w:tc>
              <w:tcPr>
                <w:tcW w:w="245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1D6244D" w14:textId="77777777" w:rsidR="00093241" w:rsidRPr="00093241" w:rsidRDefault="00093241" w:rsidP="00093241">
                <w:pPr>
                  <w:keepNext/>
                  <w:spacing w:after="0" w:line="240" w:lineRule="auto"/>
                  <w:jc w:val="center"/>
                  <w:rPr>
                    <w:rFonts w:ascii="Calibri" w:eastAsia="Calibri" w:hAnsi="Calibri" w:cs="Calibri"/>
                    <w:b/>
                    <w:bCs/>
                  </w:rPr>
                </w:pPr>
                <w:r w:rsidRPr="00093241">
                  <w:rPr>
                    <w:rFonts w:ascii="Calibri" w:eastAsia="Calibri" w:hAnsi="Calibri" w:cs="Calibri"/>
                    <w:b/>
                    <w:bCs/>
                  </w:rPr>
                  <w:t>MSO Rules</w:t>
                </w:r>
              </w:p>
            </w:tc>
            <w:tc>
              <w:tcPr>
                <w:tcW w:w="245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3B483C" w14:textId="77777777" w:rsidR="00093241" w:rsidRPr="00093241" w:rsidRDefault="00093241" w:rsidP="00093241">
                <w:pPr>
                  <w:keepNext/>
                  <w:spacing w:after="0" w:line="240" w:lineRule="auto"/>
                  <w:jc w:val="center"/>
                  <w:rPr>
                    <w:rFonts w:ascii="Calibri" w:eastAsia="Calibri" w:hAnsi="Calibri" w:cs="Calibri"/>
                    <w:b/>
                    <w:bCs/>
                  </w:rPr>
                </w:pPr>
                <w:r w:rsidRPr="00093241">
                  <w:rPr>
                    <w:rFonts w:ascii="Calibri" w:eastAsia="Calibri" w:hAnsi="Calibri" w:cs="Calibri"/>
                    <w:b/>
                    <w:bCs/>
                  </w:rPr>
                  <w:t>Without transitional arrangements</w:t>
                </w:r>
              </w:p>
            </w:tc>
            <w:tc>
              <w:tcPr>
                <w:tcW w:w="2479"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04EEA5B" w14:textId="77777777" w:rsidR="00093241" w:rsidRPr="00093241" w:rsidRDefault="00093241" w:rsidP="00093241">
                <w:pPr>
                  <w:keepNext/>
                  <w:spacing w:after="0" w:line="240" w:lineRule="auto"/>
                  <w:jc w:val="center"/>
                  <w:rPr>
                    <w:rFonts w:ascii="Calibri" w:eastAsia="Calibri" w:hAnsi="Calibri" w:cs="Calibri"/>
                    <w:b/>
                    <w:bCs/>
                  </w:rPr>
                </w:pPr>
                <w:r w:rsidRPr="00093241">
                  <w:rPr>
                    <w:rFonts w:ascii="Calibri" w:eastAsia="Calibri" w:hAnsi="Calibri" w:cs="Calibri"/>
                    <w:b/>
                    <w:bCs/>
                  </w:rPr>
                  <w:t>With capped allowance of EEZ stocks</w:t>
                </w:r>
              </w:p>
            </w:tc>
          </w:tr>
          <w:tr w:rsidR="00093241" w:rsidRPr="00093241" w14:paraId="31F541E2"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9A47" w14:textId="77777777" w:rsidR="00093241" w:rsidRPr="00093241" w:rsidRDefault="00093241" w:rsidP="00093241">
                <w:pPr>
                  <w:keepNext/>
                  <w:spacing w:after="0" w:line="240" w:lineRule="auto"/>
                  <w:rPr>
                    <w:rFonts w:ascii="Calibri" w:eastAsia="Calibri" w:hAnsi="Calibri" w:cs="Calibri"/>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2C937481"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Total</w:t>
                </w:r>
              </w:p>
              <w:p w14:paraId="2FE9431E"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(2023-2040)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22C0AFF7"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NPV7</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552B56F1"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Total</w:t>
                </w:r>
              </w:p>
              <w:p w14:paraId="7AB34EF0"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(2023-2040)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4BE842E6"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NPV7</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285B592F"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Total</w:t>
                </w:r>
              </w:p>
              <w:p w14:paraId="53791B91"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(2023-2040)</w:t>
                </w:r>
              </w:p>
            </w:tc>
            <w:tc>
              <w:tcPr>
                <w:tcW w:w="1253" w:type="dxa"/>
                <w:tcBorders>
                  <w:top w:val="nil"/>
                  <w:left w:val="nil"/>
                  <w:bottom w:val="single" w:sz="8" w:space="0" w:color="auto"/>
                  <w:right w:val="single" w:sz="8" w:space="0" w:color="auto"/>
                </w:tcBorders>
                <w:tcMar>
                  <w:top w:w="0" w:type="dxa"/>
                  <w:left w:w="108" w:type="dxa"/>
                  <w:bottom w:w="0" w:type="dxa"/>
                  <w:right w:w="108" w:type="dxa"/>
                </w:tcMar>
                <w:hideMark/>
              </w:tcPr>
              <w:p w14:paraId="68236C0E"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NPV7</w:t>
                </w:r>
              </w:p>
            </w:tc>
          </w:tr>
          <w:tr w:rsidR="00093241" w:rsidRPr="00093241" w14:paraId="50095A53"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ED4B0D" w14:textId="77777777" w:rsidR="00093241" w:rsidRPr="00093241" w:rsidRDefault="00093241" w:rsidP="00093241">
                <w:pPr>
                  <w:keepNext/>
                  <w:spacing w:after="0" w:line="240" w:lineRule="auto"/>
                  <w:rPr>
                    <w:rFonts w:ascii="Calibri" w:eastAsia="Calibri" w:hAnsi="Calibri" w:cs="Calibri"/>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3265044B"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Real A$m</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68629187"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Real A$m</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2875D18B"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Real A$m</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4AF491BE"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Real A$m</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14:paraId="23881478"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Real A$m</w:t>
                </w:r>
              </w:p>
            </w:tc>
            <w:tc>
              <w:tcPr>
                <w:tcW w:w="1253" w:type="dxa"/>
                <w:tcBorders>
                  <w:top w:val="nil"/>
                  <w:left w:val="nil"/>
                  <w:bottom w:val="single" w:sz="8" w:space="0" w:color="auto"/>
                  <w:right w:val="single" w:sz="8" w:space="0" w:color="auto"/>
                </w:tcBorders>
                <w:tcMar>
                  <w:top w:w="0" w:type="dxa"/>
                  <w:left w:w="108" w:type="dxa"/>
                  <w:bottom w:w="0" w:type="dxa"/>
                  <w:right w:w="108" w:type="dxa"/>
                </w:tcMar>
                <w:hideMark/>
              </w:tcPr>
              <w:p w14:paraId="36860F65"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Real A$m</w:t>
                </w:r>
              </w:p>
            </w:tc>
          </w:tr>
          <w:tr w:rsidR="00093241" w:rsidRPr="00093241" w14:paraId="09AAA02C" w14:textId="77777777" w:rsidTr="00093241">
            <w:tc>
              <w:tcPr>
                <w:tcW w:w="1821" w:type="dxa"/>
                <w:tcBorders>
                  <w:top w:val="nil"/>
                  <w:left w:val="single" w:sz="8" w:space="0" w:color="auto"/>
                  <w:bottom w:val="single" w:sz="8" w:space="0" w:color="auto"/>
                  <w:right w:val="single" w:sz="8" w:space="0" w:color="auto"/>
                </w:tcBorders>
                <w:shd w:val="clear" w:color="auto" w:fill="E9E9EA"/>
                <w:tcMar>
                  <w:top w:w="0" w:type="dxa"/>
                  <w:left w:w="108" w:type="dxa"/>
                  <w:bottom w:w="0" w:type="dxa"/>
                  <w:right w:w="108" w:type="dxa"/>
                </w:tcMar>
                <w:hideMark/>
              </w:tcPr>
              <w:p w14:paraId="11DB0AAE"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b/>
                    <w:bCs/>
                  </w:rPr>
                  <w:t>Gasoline</w:t>
                </w: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bottom"/>
              </w:tcPr>
              <w:p w14:paraId="1B35779A"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tcPr>
              <w:p w14:paraId="6D39FFDF"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bottom"/>
              </w:tcPr>
              <w:p w14:paraId="6519FF4D"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bottom"/>
              </w:tcPr>
              <w:p w14:paraId="31641F64"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tcPr>
              <w:p w14:paraId="691500D0" w14:textId="77777777" w:rsidR="00093241" w:rsidRPr="00093241" w:rsidRDefault="00093241" w:rsidP="00093241">
                <w:pPr>
                  <w:keepNext/>
                  <w:spacing w:after="0" w:line="240" w:lineRule="auto"/>
                  <w:jc w:val="right"/>
                  <w:rPr>
                    <w:rFonts w:ascii="Calibri" w:eastAsia="Calibri" w:hAnsi="Calibri" w:cs="Calibri"/>
                  </w:rPr>
                </w:pPr>
              </w:p>
            </w:tc>
            <w:tc>
              <w:tcPr>
                <w:tcW w:w="1253" w:type="dxa"/>
                <w:tcBorders>
                  <w:top w:val="nil"/>
                  <w:left w:val="nil"/>
                  <w:bottom w:val="single" w:sz="8" w:space="0" w:color="auto"/>
                  <w:right w:val="single" w:sz="8" w:space="0" w:color="auto"/>
                </w:tcBorders>
                <w:shd w:val="clear" w:color="auto" w:fill="E9E9EA"/>
                <w:tcMar>
                  <w:top w:w="0" w:type="dxa"/>
                  <w:left w:w="108" w:type="dxa"/>
                  <w:bottom w:w="0" w:type="dxa"/>
                  <w:right w:w="108" w:type="dxa"/>
                </w:tcMar>
              </w:tcPr>
              <w:p w14:paraId="65CD2252" w14:textId="77777777" w:rsidR="00093241" w:rsidRPr="00093241" w:rsidRDefault="00093241" w:rsidP="00093241">
                <w:pPr>
                  <w:keepNext/>
                  <w:spacing w:after="0" w:line="240" w:lineRule="auto"/>
                  <w:jc w:val="right"/>
                  <w:rPr>
                    <w:rFonts w:ascii="Calibri" w:eastAsia="Calibri" w:hAnsi="Calibri" w:cs="Calibri"/>
                  </w:rPr>
                </w:pPr>
              </w:p>
            </w:tc>
          </w:tr>
          <w:tr w:rsidR="00093241" w:rsidRPr="00093241" w14:paraId="7852F549"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F7F8A"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Capital costs – storage</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CBCE1"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6E55F"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A3AFD"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5CEB6"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7C494"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D3EE8"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r>
          <w:tr w:rsidR="00093241" w:rsidRPr="00093241" w14:paraId="10E03C61"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FBC4"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Capital costs – product stock</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F46A1"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53959"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5E147"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02161"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D761A"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8CAFD"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r>
          <w:tr w:rsidR="00093241" w:rsidRPr="00093241" w14:paraId="1343460B"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92172"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Operating costs</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BB7A"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8FF7A"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DC217"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BACDE"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3A98D"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C4517"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r>
          <w:tr w:rsidR="00093241" w:rsidRPr="00093241" w14:paraId="6E4B316A"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2E0CD"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Regulatory costs</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D2EB"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136.8</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64EED"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74.6</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E8D7F"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140.7</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73234"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78.0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DD266"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136.8</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D8745"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74.6</w:t>
                </w:r>
              </w:p>
            </w:tc>
          </w:tr>
          <w:tr w:rsidR="00093241" w:rsidRPr="00093241" w14:paraId="54EB05F1"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970F" w14:textId="77777777" w:rsidR="00093241" w:rsidRPr="00093241" w:rsidRDefault="00093241" w:rsidP="00093241">
                <w:pPr>
                  <w:keepNext/>
                  <w:spacing w:after="0" w:line="240" w:lineRule="auto"/>
                  <w:rPr>
                    <w:rFonts w:ascii="Calibri" w:eastAsia="Calibri" w:hAnsi="Calibri" w:cs="Calibri"/>
                    <w:b/>
                    <w:bCs/>
                  </w:rPr>
                </w:pPr>
                <w:r w:rsidRPr="00093241">
                  <w:rPr>
                    <w:rFonts w:ascii="Calibri" w:eastAsia="Calibri" w:hAnsi="Calibri" w:cs="Calibri"/>
                    <w:b/>
                    <w:bCs/>
                  </w:rPr>
                  <w:t xml:space="preserve">Gasoline – total </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6F57C"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136.8</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48A7C"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74.6</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19B39"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140.7</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CD44A"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78.0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8FB04"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136.8</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2A404"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74.6</w:t>
                </w:r>
              </w:p>
            </w:tc>
          </w:tr>
          <w:tr w:rsidR="00093241" w:rsidRPr="00093241" w14:paraId="0B8F5A1B" w14:textId="77777777" w:rsidTr="00093241">
            <w:tc>
              <w:tcPr>
                <w:tcW w:w="1821" w:type="dxa"/>
                <w:tcBorders>
                  <w:top w:val="nil"/>
                  <w:left w:val="single" w:sz="8" w:space="0" w:color="auto"/>
                  <w:bottom w:val="single" w:sz="8" w:space="0" w:color="auto"/>
                  <w:right w:val="single" w:sz="8" w:space="0" w:color="auto"/>
                </w:tcBorders>
                <w:shd w:val="clear" w:color="auto" w:fill="E9E9EA"/>
                <w:tcMar>
                  <w:top w:w="0" w:type="dxa"/>
                  <w:left w:w="108" w:type="dxa"/>
                  <w:bottom w:w="0" w:type="dxa"/>
                  <w:right w:w="108" w:type="dxa"/>
                </w:tcMar>
                <w:hideMark/>
              </w:tcPr>
              <w:p w14:paraId="574FDC3F"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b/>
                    <w:bCs/>
                  </w:rPr>
                  <w:t>Kerosene</w:t>
                </w: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2DC133BB"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67EA546A"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23B54B4A"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7D16151E"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53352BCA" w14:textId="77777777" w:rsidR="00093241" w:rsidRPr="00093241" w:rsidRDefault="00093241" w:rsidP="00093241">
                <w:pPr>
                  <w:keepNext/>
                  <w:spacing w:after="0" w:line="240" w:lineRule="auto"/>
                  <w:jc w:val="right"/>
                  <w:rPr>
                    <w:rFonts w:ascii="Calibri" w:eastAsia="Calibri" w:hAnsi="Calibri" w:cs="Calibri"/>
                  </w:rPr>
                </w:pPr>
              </w:p>
            </w:tc>
            <w:tc>
              <w:tcPr>
                <w:tcW w:w="1253"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39DDC305" w14:textId="77777777" w:rsidR="00093241" w:rsidRPr="00093241" w:rsidRDefault="00093241" w:rsidP="00093241">
                <w:pPr>
                  <w:keepNext/>
                  <w:spacing w:after="0" w:line="240" w:lineRule="auto"/>
                  <w:jc w:val="right"/>
                  <w:rPr>
                    <w:rFonts w:ascii="Calibri" w:eastAsia="Calibri" w:hAnsi="Calibri" w:cs="Calibri"/>
                  </w:rPr>
                </w:pPr>
              </w:p>
            </w:tc>
          </w:tr>
          <w:tr w:rsidR="00093241" w:rsidRPr="00093241" w14:paraId="21696B83"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075A2"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Capital costs – storage</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D87B0"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B61D8"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5A5DD"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8D5A6"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E3EB"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109.6</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CAB6D"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60.1</w:t>
                </w:r>
              </w:p>
            </w:tc>
          </w:tr>
          <w:tr w:rsidR="00093241" w:rsidRPr="00093241" w14:paraId="583F8F57"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E3E41"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Capital costs – product stock</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73043"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102.7</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33C5B"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78.8</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F2382"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102.7</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211C3"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78.8</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03005"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218.9</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F02E9"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164.3</w:t>
                </w:r>
              </w:p>
            </w:tc>
          </w:tr>
          <w:tr w:rsidR="00093241" w:rsidRPr="00093241" w14:paraId="6773E8EB"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AEFA0"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Operating costs</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779A2"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211A6"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BBFF5"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FEBC0"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4051C"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15.8</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4CD47"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6.8</w:t>
                </w:r>
              </w:p>
            </w:tc>
          </w:tr>
          <w:tr w:rsidR="00093241" w:rsidRPr="00093241" w14:paraId="47FB4B4E"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B6E30"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Regulatory costs</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F1A15"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116.4</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847A8"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61.7</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1E26E"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119.0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86D1A"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64.0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E61CD"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116.4</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AC9C5"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61.7</w:t>
                </w:r>
              </w:p>
            </w:tc>
          </w:tr>
          <w:tr w:rsidR="00093241" w:rsidRPr="00093241" w14:paraId="6E73F3A1"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4C6C8" w14:textId="77777777" w:rsidR="00093241" w:rsidRPr="00093241" w:rsidRDefault="00093241" w:rsidP="00093241">
                <w:pPr>
                  <w:keepNext/>
                  <w:spacing w:after="0" w:line="240" w:lineRule="auto"/>
                  <w:rPr>
                    <w:rFonts w:ascii="Calibri" w:eastAsia="Calibri" w:hAnsi="Calibri" w:cs="Calibri"/>
                    <w:b/>
                    <w:bCs/>
                  </w:rPr>
                </w:pPr>
                <w:r w:rsidRPr="00093241">
                  <w:rPr>
                    <w:rFonts w:ascii="Calibri" w:eastAsia="Calibri" w:hAnsi="Calibri" w:cs="Calibri"/>
                    <w:b/>
                    <w:bCs/>
                  </w:rPr>
                  <w:t xml:space="preserve">Kerosene – total </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9929"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219.1</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27DB4"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140.5</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D4AFD"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221.7</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2BBA2"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142.8</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4E2A8"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460.7</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838B2"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292.9</w:t>
                </w:r>
              </w:p>
            </w:tc>
          </w:tr>
          <w:tr w:rsidR="00093241" w:rsidRPr="00093241" w14:paraId="07651E45" w14:textId="77777777" w:rsidTr="00093241">
            <w:tc>
              <w:tcPr>
                <w:tcW w:w="1821" w:type="dxa"/>
                <w:tcBorders>
                  <w:top w:val="nil"/>
                  <w:left w:val="single" w:sz="8" w:space="0" w:color="auto"/>
                  <w:bottom w:val="single" w:sz="8" w:space="0" w:color="auto"/>
                  <w:right w:val="single" w:sz="8" w:space="0" w:color="auto"/>
                </w:tcBorders>
                <w:shd w:val="clear" w:color="auto" w:fill="E9E9EA"/>
                <w:tcMar>
                  <w:top w:w="0" w:type="dxa"/>
                  <w:left w:w="108" w:type="dxa"/>
                  <w:bottom w:w="0" w:type="dxa"/>
                  <w:right w:w="108" w:type="dxa"/>
                </w:tcMar>
                <w:hideMark/>
              </w:tcPr>
              <w:p w14:paraId="71566823" w14:textId="77777777" w:rsidR="00093241" w:rsidRPr="00093241" w:rsidRDefault="00093241" w:rsidP="00093241">
                <w:pPr>
                  <w:keepNext/>
                  <w:spacing w:after="0" w:line="240" w:lineRule="auto"/>
                  <w:rPr>
                    <w:rFonts w:ascii="Calibri" w:eastAsia="Calibri" w:hAnsi="Calibri" w:cs="Calibri"/>
                    <w:b/>
                    <w:bCs/>
                  </w:rPr>
                </w:pPr>
                <w:r w:rsidRPr="00093241">
                  <w:rPr>
                    <w:rFonts w:ascii="Calibri" w:eastAsia="Calibri" w:hAnsi="Calibri" w:cs="Calibri"/>
                    <w:b/>
                    <w:bCs/>
                  </w:rPr>
                  <w:t>Diesel</w:t>
                </w: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1AE60246"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04F1FF24"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52D5B509"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6B8EF382" w14:textId="77777777" w:rsidR="00093241" w:rsidRPr="00093241" w:rsidRDefault="00093241" w:rsidP="00093241">
                <w:pPr>
                  <w:keepNext/>
                  <w:spacing w:after="0" w:line="240" w:lineRule="auto"/>
                  <w:jc w:val="right"/>
                  <w:rPr>
                    <w:rFonts w:ascii="Calibri" w:eastAsia="Calibri" w:hAnsi="Calibri" w:cs="Calibri"/>
                  </w:rPr>
                </w:pPr>
              </w:p>
            </w:tc>
            <w:tc>
              <w:tcPr>
                <w:tcW w:w="1226"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6620A8E0" w14:textId="77777777" w:rsidR="00093241" w:rsidRPr="00093241" w:rsidRDefault="00093241" w:rsidP="00093241">
                <w:pPr>
                  <w:keepNext/>
                  <w:spacing w:after="0" w:line="240" w:lineRule="auto"/>
                  <w:jc w:val="right"/>
                  <w:rPr>
                    <w:rFonts w:ascii="Calibri" w:eastAsia="Calibri" w:hAnsi="Calibri" w:cs="Calibri"/>
                  </w:rPr>
                </w:pPr>
              </w:p>
            </w:tc>
            <w:tc>
              <w:tcPr>
                <w:tcW w:w="1253" w:type="dxa"/>
                <w:tcBorders>
                  <w:top w:val="nil"/>
                  <w:left w:val="nil"/>
                  <w:bottom w:val="single" w:sz="8" w:space="0" w:color="auto"/>
                  <w:right w:val="single" w:sz="8" w:space="0" w:color="auto"/>
                </w:tcBorders>
                <w:shd w:val="clear" w:color="auto" w:fill="E9E9EA"/>
                <w:tcMar>
                  <w:top w:w="0" w:type="dxa"/>
                  <w:left w:w="108" w:type="dxa"/>
                  <w:bottom w:w="0" w:type="dxa"/>
                  <w:right w:w="108" w:type="dxa"/>
                </w:tcMar>
                <w:vAlign w:val="center"/>
              </w:tcPr>
              <w:p w14:paraId="0DFB93E3" w14:textId="77777777" w:rsidR="00093241" w:rsidRPr="00093241" w:rsidRDefault="00093241" w:rsidP="00093241">
                <w:pPr>
                  <w:keepNext/>
                  <w:spacing w:after="0" w:line="240" w:lineRule="auto"/>
                  <w:jc w:val="right"/>
                  <w:rPr>
                    <w:rFonts w:ascii="Calibri" w:eastAsia="Calibri" w:hAnsi="Calibri" w:cs="Calibri"/>
                  </w:rPr>
                </w:pPr>
              </w:p>
            </w:tc>
          </w:tr>
          <w:tr w:rsidR="00093241" w:rsidRPr="00093241" w14:paraId="7C437DCF"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6F663"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Capital costs – storage</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70C15"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74C7C"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DF622"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83BF6"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11C64"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B01DF"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r>
          <w:tr w:rsidR="00093241" w:rsidRPr="00093241" w14:paraId="047679EE"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E5813"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Capital costs – product stock</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59DB5"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519.8</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FE334"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460.4</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BE914"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543.1</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97E07"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487.6</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4C39C"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704.0</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11530"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610.3</w:t>
                </w:r>
              </w:p>
            </w:tc>
          </w:tr>
          <w:tr w:rsidR="00093241" w:rsidRPr="00093241" w14:paraId="33BCAD8B"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485F"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Operating costs</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55097"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196E8"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72B42"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348D0"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D1220"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D492A"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rPr>
                  <w:t>0</w:t>
                </w:r>
              </w:p>
            </w:tc>
          </w:tr>
          <w:tr w:rsidR="00093241" w:rsidRPr="00093241" w14:paraId="3EDACF96"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A8CCE" w14:textId="77777777" w:rsidR="00093241" w:rsidRPr="00093241" w:rsidRDefault="00093241" w:rsidP="00093241">
                <w:pPr>
                  <w:keepNext/>
                  <w:spacing w:after="0" w:line="240" w:lineRule="auto"/>
                  <w:rPr>
                    <w:rFonts w:ascii="Calibri" w:eastAsia="Calibri" w:hAnsi="Calibri" w:cs="Calibri"/>
                  </w:rPr>
                </w:pPr>
                <w:r w:rsidRPr="00093241">
                  <w:rPr>
                    <w:rFonts w:ascii="Calibri" w:eastAsia="Calibri" w:hAnsi="Calibri" w:cs="Calibri"/>
                  </w:rPr>
                  <w:t>Regulatory costs</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89678"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191.3</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17F6B"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102.5</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1EF3C"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196.5</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38F96"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107.1</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84F93"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191.3</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18B53" w14:textId="77777777" w:rsidR="00093241" w:rsidRPr="00093241" w:rsidRDefault="00093241" w:rsidP="00093241">
                <w:pPr>
                  <w:keepNext/>
                  <w:spacing w:after="0" w:line="240" w:lineRule="auto"/>
                  <w:jc w:val="right"/>
                  <w:rPr>
                    <w:rFonts w:ascii="Calibri" w:eastAsia="Calibri" w:hAnsi="Calibri" w:cs="Calibri"/>
                  </w:rPr>
                </w:pPr>
                <w:r w:rsidRPr="00093241">
                  <w:rPr>
                    <w:rFonts w:ascii="Calibri" w:eastAsia="Calibri" w:hAnsi="Calibri" w:cs="Calibri"/>
                    <w:color w:val="000000"/>
                  </w:rPr>
                  <w:t>102.5</w:t>
                </w:r>
              </w:p>
            </w:tc>
          </w:tr>
          <w:tr w:rsidR="00093241" w:rsidRPr="00093241" w14:paraId="59DCBD48" w14:textId="77777777" w:rsidTr="00093241">
            <w:tc>
              <w:tcPr>
                <w:tcW w:w="1821" w:type="dxa"/>
                <w:tcBorders>
                  <w:top w:val="nil"/>
                  <w:left w:val="single" w:sz="8" w:space="0" w:color="auto"/>
                  <w:bottom w:val="nil"/>
                  <w:right w:val="single" w:sz="8" w:space="0" w:color="auto"/>
                </w:tcBorders>
                <w:tcMar>
                  <w:top w:w="0" w:type="dxa"/>
                  <w:left w:w="108" w:type="dxa"/>
                  <w:bottom w:w="0" w:type="dxa"/>
                  <w:right w:w="108" w:type="dxa"/>
                </w:tcMar>
                <w:hideMark/>
              </w:tcPr>
              <w:p w14:paraId="6B5A7E90" w14:textId="77777777" w:rsidR="00093241" w:rsidRPr="00093241" w:rsidRDefault="00093241" w:rsidP="00093241">
                <w:pPr>
                  <w:keepNext/>
                  <w:spacing w:after="0" w:line="240" w:lineRule="auto"/>
                  <w:rPr>
                    <w:rFonts w:ascii="Calibri" w:eastAsia="Calibri" w:hAnsi="Calibri" w:cs="Calibri"/>
                    <w:b/>
                    <w:bCs/>
                  </w:rPr>
                </w:pPr>
                <w:r w:rsidRPr="00093241">
                  <w:rPr>
                    <w:rFonts w:ascii="Calibri" w:eastAsia="Calibri" w:hAnsi="Calibri" w:cs="Calibri"/>
                    <w:b/>
                    <w:bCs/>
                  </w:rPr>
                  <w:t xml:space="preserve">Diesel – total </w:t>
                </w:r>
              </w:p>
            </w:tc>
            <w:tc>
              <w:tcPr>
                <w:tcW w:w="1226" w:type="dxa"/>
                <w:tcBorders>
                  <w:top w:val="nil"/>
                  <w:left w:val="nil"/>
                  <w:bottom w:val="nil"/>
                  <w:right w:val="single" w:sz="8" w:space="0" w:color="auto"/>
                </w:tcBorders>
                <w:tcMar>
                  <w:top w:w="0" w:type="dxa"/>
                  <w:left w:w="108" w:type="dxa"/>
                  <w:bottom w:w="0" w:type="dxa"/>
                  <w:right w:w="108" w:type="dxa"/>
                </w:tcMar>
                <w:vAlign w:val="center"/>
                <w:hideMark/>
              </w:tcPr>
              <w:p w14:paraId="09B648AF"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711.1</w:t>
                </w:r>
              </w:p>
            </w:tc>
            <w:tc>
              <w:tcPr>
                <w:tcW w:w="1226" w:type="dxa"/>
                <w:tcBorders>
                  <w:top w:val="nil"/>
                  <w:left w:val="nil"/>
                  <w:bottom w:val="nil"/>
                  <w:right w:val="single" w:sz="8" w:space="0" w:color="auto"/>
                </w:tcBorders>
                <w:tcMar>
                  <w:top w:w="0" w:type="dxa"/>
                  <w:left w:w="108" w:type="dxa"/>
                  <w:bottom w:w="0" w:type="dxa"/>
                  <w:right w:w="108" w:type="dxa"/>
                </w:tcMar>
                <w:vAlign w:val="center"/>
                <w:hideMark/>
              </w:tcPr>
              <w:p w14:paraId="310F2A7B"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562.9</w:t>
                </w:r>
              </w:p>
            </w:tc>
            <w:tc>
              <w:tcPr>
                <w:tcW w:w="1226" w:type="dxa"/>
                <w:tcBorders>
                  <w:top w:val="nil"/>
                  <w:left w:val="nil"/>
                  <w:bottom w:val="nil"/>
                  <w:right w:val="single" w:sz="8" w:space="0" w:color="auto"/>
                </w:tcBorders>
                <w:tcMar>
                  <w:top w:w="0" w:type="dxa"/>
                  <w:left w:w="108" w:type="dxa"/>
                  <w:bottom w:w="0" w:type="dxa"/>
                  <w:right w:w="108" w:type="dxa"/>
                </w:tcMar>
                <w:vAlign w:val="center"/>
                <w:hideMark/>
              </w:tcPr>
              <w:p w14:paraId="2DDD8069"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739.6</w:t>
                </w:r>
              </w:p>
            </w:tc>
            <w:tc>
              <w:tcPr>
                <w:tcW w:w="1226" w:type="dxa"/>
                <w:tcBorders>
                  <w:top w:val="nil"/>
                  <w:left w:val="nil"/>
                  <w:bottom w:val="nil"/>
                  <w:right w:val="single" w:sz="8" w:space="0" w:color="auto"/>
                </w:tcBorders>
                <w:tcMar>
                  <w:top w:w="0" w:type="dxa"/>
                  <w:left w:w="108" w:type="dxa"/>
                  <w:bottom w:w="0" w:type="dxa"/>
                  <w:right w:w="108" w:type="dxa"/>
                </w:tcMar>
                <w:vAlign w:val="center"/>
                <w:hideMark/>
              </w:tcPr>
              <w:p w14:paraId="2593F9D0"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594.7</w:t>
                </w:r>
              </w:p>
            </w:tc>
            <w:tc>
              <w:tcPr>
                <w:tcW w:w="1226" w:type="dxa"/>
                <w:tcBorders>
                  <w:top w:val="nil"/>
                  <w:left w:val="nil"/>
                  <w:bottom w:val="nil"/>
                  <w:right w:val="single" w:sz="8" w:space="0" w:color="auto"/>
                </w:tcBorders>
                <w:tcMar>
                  <w:top w:w="0" w:type="dxa"/>
                  <w:left w:w="108" w:type="dxa"/>
                  <w:bottom w:w="0" w:type="dxa"/>
                  <w:right w:w="108" w:type="dxa"/>
                </w:tcMar>
                <w:vAlign w:val="center"/>
                <w:hideMark/>
              </w:tcPr>
              <w:p w14:paraId="38E366D9"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818.8</w:t>
                </w:r>
              </w:p>
            </w:tc>
            <w:tc>
              <w:tcPr>
                <w:tcW w:w="1253" w:type="dxa"/>
                <w:tcBorders>
                  <w:top w:val="nil"/>
                  <w:left w:val="nil"/>
                  <w:bottom w:val="nil"/>
                  <w:right w:val="single" w:sz="8" w:space="0" w:color="auto"/>
                </w:tcBorders>
                <w:tcMar>
                  <w:top w:w="0" w:type="dxa"/>
                  <w:left w:w="108" w:type="dxa"/>
                  <w:bottom w:w="0" w:type="dxa"/>
                  <w:right w:w="108" w:type="dxa"/>
                </w:tcMar>
                <w:vAlign w:val="center"/>
                <w:hideMark/>
              </w:tcPr>
              <w:p w14:paraId="06ED54D9"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712.8</w:t>
                </w:r>
              </w:p>
            </w:tc>
          </w:tr>
          <w:tr w:rsidR="00093241" w:rsidRPr="00093241" w14:paraId="7C8F5CD8" w14:textId="77777777" w:rsidTr="00093241">
            <w:tc>
              <w:tcPr>
                <w:tcW w:w="1821" w:type="dxa"/>
                <w:tcBorders>
                  <w:top w:val="nil"/>
                  <w:left w:val="single" w:sz="8" w:space="0" w:color="auto"/>
                  <w:bottom w:val="nil"/>
                  <w:right w:val="single" w:sz="8" w:space="0" w:color="auto"/>
                </w:tcBorders>
                <w:tcMar>
                  <w:top w:w="0" w:type="dxa"/>
                  <w:left w:w="108" w:type="dxa"/>
                  <w:bottom w:w="0" w:type="dxa"/>
                  <w:right w:w="108" w:type="dxa"/>
                </w:tcMar>
              </w:tcPr>
              <w:p w14:paraId="045652B2" w14:textId="77777777" w:rsidR="00093241" w:rsidRPr="00093241" w:rsidRDefault="00093241" w:rsidP="00093241">
                <w:pPr>
                  <w:keepNext/>
                  <w:spacing w:after="0" w:line="240" w:lineRule="auto"/>
                  <w:rPr>
                    <w:rFonts w:ascii="Calibri" w:eastAsia="Calibri" w:hAnsi="Calibri" w:cs="Calibri"/>
                    <w:b/>
                    <w:bCs/>
                  </w:rPr>
                </w:pPr>
              </w:p>
            </w:tc>
            <w:tc>
              <w:tcPr>
                <w:tcW w:w="1226" w:type="dxa"/>
                <w:tcBorders>
                  <w:top w:val="nil"/>
                  <w:left w:val="nil"/>
                  <w:bottom w:val="nil"/>
                  <w:right w:val="single" w:sz="8" w:space="0" w:color="auto"/>
                </w:tcBorders>
                <w:tcMar>
                  <w:top w:w="0" w:type="dxa"/>
                  <w:left w:w="108" w:type="dxa"/>
                  <w:bottom w:w="0" w:type="dxa"/>
                  <w:right w:w="108" w:type="dxa"/>
                </w:tcMar>
                <w:vAlign w:val="bottom"/>
              </w:tcPr>
              <w:p w14:paraId="7EAF1A7A" w14:textId="77777777" w:rsidR="00093241" w:rsidRPr="00093241" w:rsidRDefault="00093241" w:rsidP="00093241">
                <w:pPr>
                  <w:keepNext/>
                  <w:spacing w:after="0" w:line="240" w:lineRule="auto"/>
                  <w:jc w:val="right"/>
                  <w:rPr>
                    <w:rFonts w:ascii="Calibri" w:eastAsia="Calibri" w:hAnsi="Calibri" w:cs="Calibri"/>
                    <w:b/>
                    <w:bCs/>
                  </w:rPr>
                </w:pPr>
              </w:p>
            </w:tc>
            <w:tc>
              <w:tcPr>
                <w:tcW w:w="1226" w:type="dxa"/>
                <w:tcBorders>
                  <w:top w:val="nil"/>
                  <w:left w:val="nil"/>
                  <w:bottom w:val="nil"/>
                  <w:right w:val="single" w:sz="8" w:space="0" w:color="auto"/>
                </w:tcBorders>
                <w:tcMar>
                  <w:top w:w="0" w:type="dxa"/>
                  <w:left w:w="108" w:type="dxa"/>
                  <w:bottom w:w="0" w:type="dxa"/>
                  <w:right w:w="108" w:type="dxa"/>
                </w:tcMar>
                <w:vAlign w:val="bottom"/>
              </w:tcPr>
              <w:p w14:paraId="1E97B3C8" w14:textId="77777777" w:rsidR="00093241" w:rsidRPr="00093241" w:rsidRDefault="00093241" w:rsidP="00093241">
                <w:pPr>
                  <w:keepNext/>
                  <w:spacing w:after="0" w:line="240" w:lineRule="auto"/>
                  <w:jc w:val="right"/>
                  <w:rPr>
                    <w:rFonts w:ascii="Calibri" w:eastAsia="Calibri" w:hAnsi="Calibri" w:cs="Calibri"/>
                    <w:b/>
                    <w:bCs/>
                  </w:rPr>
                </w:pPr>
              </w:p>
            </w:tc>
            <w:tc>
              <w:tcPr>
                <w:tcW w:w="1226" w:type="dxa"/>
                <w:tcBorders>
                  <w:top w:val="nil"/>
                  <w:left w:val="nil"/>
                  <w:bottom w:val="nil"/>
                  <w:right w:val="single" w:sz="8" w:space="0" w:color="auto"/>
                </w:tcBorders>
                <w:tcMar>
                  <w:top w:w="0" w:type="dxa"/>
                  <w:left w:w="108" w:type="dxa"/>
                  <w:bottom w:w="0" w:type="dxa"/>
                  <w:right w:w="108" w:type="dxa"/>
                </w:tcMar>
                <w:vAlign w:val="bottom"/>
              </w:tcPr>
              <w:p w14:paraId="3CD8C411" w14:textId="77777777" w:rsidR="00093241" w:rsidRPr="00093241" w:rsidRDefault="00093241" w:rsidP="00093241">
                <w:pPr>
                  <w:keepNext/>
                  <w:spacing w:after="0" w:line="240" w:lineRule="auto"/>
                  <w:jc w:val="right"/>
                  <w:rPr>
                    <w:rFonts w:ascii="Calibri" w:eastAsia="Calibri" w:hAnsi="Calibri" w:cs="Calibri"/>
                    <w:b/>
                    <w:bCs/>
                  </w:rPr>
                </w:pPr>
              </w:p>
            </w:tc>
            <w:tc>
              <w:tcPr>
                <w:tcW w:w="1226" w:type="dxa"/>
                <w:tcBorders>
                  <w:top w:val="nil"/>
                  <w:left w:val="nil"/>
                  <w:bottom w:val="nil"/>
                  <w:right w:val="single" w:sz="8" w:space="0" w:color="auto"/>
                </w:tcBorders>
                <w:tcMar>
                  <w:top w:w="0" w:type="dxa"/>
                  <w:left w:w="108" w:type="dxa"/>
                  <w:bottom w:w="0" w:type="dxa"/>
                  <w:right w:w="108" w:type="dxa"/>
                </w:tcMar>
                <w:vAlign w:val="bottom"/>
              </w:tcPr>
              <w:p w14:paraId="62E693CB" w14:textId="77777777" w:rsidR="00093241" w:rsidRPr="00093241" w:rsidRDefault="00093241" w:rsidP="00093241">
                <w:pPr>
                  <w:keepNext/>
                  <w:spacing w:after="0" w:line="240" w:lineRule="auto"/>
                  <w:jc w:val="right"/>
                  <w:rPr>
                    <w:rFonts w:ascii="Calibri" w:eastAsia="Calibri" w:hAnsi="Calibri" w:cs="Calibri"/>
                    <w:b/>
                    <w:bCs/>
                  </w:rPr>
                </w:pPr>
              </w:p>
            </w:tc>
            <w:tc>
              <w:tcPr>
                <w:tcW w:w="1226" w:type="dxa"/>
                <w:tcBorders>
                  <w:top w:val="nil"/>
                  <w:left w:val="nil"/>
                  <w:bottom w:val="nil"/>
                  <w:right w:val="single" w:sz="8" w:space="0" w:color="auto"/>
                </w:tcBorders>
                <w:tcMar>
                  <w:top w:w="0" w:type="dxa"/>
                  <w:left w:w="108" w:type="dxa"/>
                  <w:bottom w:w="0" w:type="dxa"/>
                  <w:right w:w="108" w:type="dxa"/>
                </w:tcMar>
                <w:vAlign w:val="bottom"/>
              </w:tcPr>
              <w:p w14:paraId="42C0C7DC" w14:textId="77777777" w:rsidR="00093241" w:rsidRPr="00093241" w:rsidRDefault="00093241" w:rsidP="00093241">
                <w:pPr>
                  <w:keepNext/>
                  <w:spacing w:after="0" w:line="240" w:lineRule="auto"/>
                  <w:jc w:val="right"/>
                  <w:rPr>
                    <w:rFonts w:ascii="Calibri" w:eastAsia="Calibri" w:hAnsi="Calibri" w:cs="Calibri"/>
                    <w:b/>
                    <w:bCs/>
                    <w:color w:val="000000"/>
                  </w:rPr>
                </w:pPr>
              </w:p>
            </w:tc>
            <w:tc>
              <w:tcPr>
                <w:tcW w:w="1253" w:type="dxa"/>
                <w:tcBorders>
                  <w:top w:val="nil"/>
                  <w:left w:val="nil"/>
                  <w:bottom w:val="nil"/>
                  <w:right w:val="single" w:sz="8" w:space="0" w:color="auto"/>
                </w:tcBorders>
                <w:tcMar>
                  <w:top w:w="0" w:type="dxa"/>
                  <w:left w:w="108" w:type="dxa"/>
                  <w:bottom w:w="0" w:type="dxa"/>
                  <w:right w:w="108" w:type="dxa"/>
                </w:tcMar>
                <w:vAlign w:val="bottom"/>
              </w:tcPr>
              <w:p w14:paraId="78C01916" w14:textId="77777777" w:rsidR="00093241" w:rsidRPr="00093241" w:rsidRDefault="00093241" w:rsidP="00093241">
                <w:pPr>
                  <w:keepNext/>
                  <w:spacing w:after="0" w:line="240" w:lineRule="auto"/>
                  <w:jc w:val="right"/>
                  <w:rPr>
                    <w:rFonts w:ascii="Calibri" w:eastAsia="Calibri" w:hAnsi="Calibri" w:cs="Calibri"/>
                    <w:b/>
                    <w:bCs/>
                    <w:color w:val="000000"/>
                  </w:rPr>
                </w:pPr>
              </w:p>
            </w:tc>
          </w:tr>
          <w:tr w:rsidR="00093241" w:rsidRPr="00093241" w14:paraId="5AFFC1E0" w14:textId="77777777" w:rsidTr="00093241">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E9D46A" w14:textId="77777777" w:rsidR="00093241" w:rsidRPr="00093241" w:rsidRDefault="00093241" w:rsidP="00093241">
                <w:pPr>
                  <w:keepNext/>
                  <w:spacing w:after="0" w:line="240" w:lineRule="auto"/>
                  <w:rPr>
                    <w:rFonts w:ascii="Calibri" w:eastAsia="Calibri" w:hAnsi="Calibri" w:cs="Calibri"/>
                    <w:b/>
                    <w:bCs/>
                  </w:rPr>
                </w:pPr>
                <w:r w:rsidRPr="00093241">
                  <w:rPr>
                    <w:rFonts w:ascii="Calibri" w:eastAsia="Calibri" w:hAnsi="Calibri" w:cs="Calibri"/>
                    <w:b/>
                    <w:bCs/>
                  </w:rPr>
                  <w:t xml:space="preserve">Total – all fuels </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bottom"/>
              </w:tcPr>
              <w:p w14:paraId="7F86A96A"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1066.9</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bottom"/>
              </w:tcPr>
              <w:p w14:paraId="6C1E4F93"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778.0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bottom"/>
              </w:tcPr>
              <w:p w14:paraId="61DFB535"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1,101.9</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bottom"/>
              </w:tcPr>
              <w:p w14:paraId="5E37A75E" w14:textId="77777777" w:rsidR="00093241" w:rsidRPr="00093241" w:rsidRDefault="00093241" w:rsidP="00093241">
                <w:pPr>
                  <w:keepNext/>
                  <w:spacing w:after="0" w:line="240" w:lineRule="auto"/>
                  <w:jc w:val="right"/>
                  <w:rPr>
                    <w:rFonts w:ascii="Calibri" w:eastAsia="Calibri" w:hAnsi="Calibri" w:cs="Calibri"/>
                    <w:b/>
                    <w:bCs/>
                  </w:rPr>
                </w:pPr>
                <w:r w:rsidRPr="00093241">
                  <w:rPr>
                    <w:rFonts w:ascii="Calibri" w:eastAsia="Calibri" w:hAnsi="Calibri" w:cs="Calibri"/>
                    <w:b/>
                    <w:bCs/>
                    <w:color w:val="000000"/>
                  </w:rPr>
                  <w:t>815.4</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bottom"/>
              </w:tcPr>
              <w:p w14:paraId="181C9752" w14:textId="77777777" w:rsidR="00093241" w:rsidRPr="00093241" w:rsidRDefault="00093241" w:rsidP="00093241">
                <w:pPr>
                  <w:keepNext/>
                  <w:spacing w:after="0" w:line="240" w:lineRule="auto"/>
                  <w:jc w:val="right"/>
                  <w:rPr>
                    <w:rFonts w:ascii="Calibri" w:eastAsia="Calibri" w:hAnsi="Calibri" w:cs="Calibri"/>
                    <w:b/>
                    <w:bCs/>
                    <w:color w:val="000000"/>
                  </w:rPr>
                </w:pPr>
                <w:r w:rsidRPr="00093241">
                  <w:rPr>
                    <w:rFonts w:ascii="Calibri" w:eastAsia="Calibri" w:hAnsi="Calibri" w:cs="Calibri"/>
                    <w:b/>
                    <w:bCs/>
                    <w:color w:val="000000"/>
                  </w:rPr>
                  <w:t>1,492.7</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bottom"/>
              </w:tcPr>
              <w:p w14:paraId="1BE5D3EC" w14:textId="77777777" w:rsidR="00093241" w:rsidRPr="00093241" w:rsidRDefault="00093241" w:rsidP="00093241">
                <w:pPr>
                  <w:keepNext/>
                  <w:spacing w:after="0" w:line="240" w:lineRule="auto"/>
                  <w:jc w:val="right"/>
                  <w:rPr>
                    <w:rFonts w:ascii="Calibri" w:eastAsia="Calibri" w:hAnsi="Calibri" w:cs="Calibri"/>
                    <w:b/>
                    <w:bCs/>
                    <w:color w:val="000000"/>
                  </w:rPr>
                </w:pPr>
                <w:r w:rsidRPr="00093241">
                  <w:rPr>
                    <w:rFonts w:ascii="Calibri" w:eastAsia="Calibri" w:hAnsi="Calibri" w:cs="Calibri"/>
                    <w:b/>
                    <w:bCs/>
                    <w:color w:val="000000"/>
                  </w:rPr>
                  <w:t>1,080.4</w:t>
                </w:r>
              </w:p>
            </w:tc>
          </w:tr>
        </w:tbl>
        <w:p w14:paraId="20BD909C" w14:textId="77777777" w:rsidR="00093241" w:rsidRPr="00093241" w:rsidRDefault="00093241" w:rsidP="00093241">
          <w:pPr>
            <w:spacing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t xml:space="preserve">Notes: All years are financial years ending June 30. All dollar values are in real 2022 terms. Figures are rounded </w:t>
          </w:r>
        </w:p>
        <w:p w14:paraId="2361692B" w14:textId="77777777" w:rsidR="00093241" w:rsidRPr="00093241" w:rsidRDefault="00093241" w:rsidP="00093241">
          <w:pPr>
            <w:rPr>
              <w:rFonts w:ascii="Calibri" w:eastAsia="Calibri" w:hAnsi="Calibri" w:cs="Times New Roman"/>
            </w:rPr>
          </w:pPr>
        </w:p>
        <w:p w14:paraId="6B0C6ECF"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br w:type="page"/>
          </w:r>
        </w:p>
        <w:p w14:paraId="5703F362"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lastRenderedPageBreak/>
            <w:t>In terms of the impact of these alternative scenarios on consumers, as shown in Table 4 below, the average increase in consumer prices over the period to 2040 (including GST) due to the MSO Rules is estimated to be:</w:t>
          </w:r>
        </w:p>
        <w:p w14:paraId="4D9CDDED" w14:textId="77777777" w:rsidR="00093241" w:rsidRPr="00093241" w:rsidRDefault="00093241" w:rsidP="0037564F">
          <w:pPr>
            <w:numPr>
              <w:ilvl w:val="0"/>
              <w:numId w:val="9"/>
            </w:numPr>
            <w:contextualSpacing/>
            <w:rPr>
              <w:rFonts w:ascii="Calibri" w:eastAsia="Calibri" w:hAnsi="Calibri" w:cs="Times New Roman"/>
            </w:rPr>
          </w:pPr>
          <w:r w:rsidRPr="00093241">
            <w:rPr>
              <w:rFonts w:ascii="Calibri" w:eastAsia="Calibri" w:hAnsi="Calibri" w:cs="Times New Roman"/>
              <w:b/>
            </w:rPr>
            <w:t>slightly higher</w:t>
          </w:r>
          <w:r w:rsidRPr="00093241">
            <w:rPr>
              <w:rFonts w:ascii="Calibri" w:eastAsia="Calibri" w:hAnsi="Calibri" w:cs="Times New Roman"/>
            </w:rPr>
            <w:t xml:space="preserve"> for all fuels if transitional arrangements are not allowed</w:t>
          </w:r>
        </w:p>
        <w:p w14:paraId="15FAB972" w14:textId="77777777" w:rsidR="00093241" w:rsidRPr="00093241" w:rsidRDefault="00093241" w:rsidP="0037564F">
          <w:pPr>
            <w:numPr>
              <w:ilvl w:val="0"/>
              <w:numId w:val="9"/>
            </w:numPr>
            <w:contextualSpacing/>
            <w:rPr>
              <w:rFonts w:ascii="Calibri" w:eastAsia="Calibri" w:hAnsi="Calibri" w:cs="Times New Roman"/>
            </w:rPr>
          </w:pPr>
          <w:r w:rsidRPr="00093241">
            <w:rPr>
              <w:rFonts w:ascii="Calibri" w:eastAsia="Calibri" w:hAnsi="Calibri" w:cs="Times New Roman"/>
              <w:b/>
            </w:rPr>
            <w:t xml:space="preserve">higher </w:t>
          </w:r>
          <w:r w:rsidRPr="00093241">
            <w:rPr>
              <w:rFonts w:ascii="Calibri" w:eastAsia="Calibri" w:hAnsi="Calibri" w:cs="Times New Roman"/>
            </w:rPr>
            <w:t>for diesel</w:t>
          </w:r>
          <w:r w:rsidRPr="00093241">
            <w:rPr>
              <w:rFonts w:ascii="Calibri" w:eastAsia="Calibri" w:hAnsi="Calibri" w:cs="Times New Roman"/>
              <w:b/>
            </w:rPr>
            <w:t xml:space="preserve"> (by 0.05 c/litre)</w:t>
          </w:r>
          <w:r w:rsidRPr="00093241">
            <w:rPr>
              <w:rFonts w:ascii="Calibri" w:eastAsia="Calibri" w:hAnsi="Calibri" w:cs="Times New Roman"/>
            </w:rPr>
            <w:t xml:space="preserve"> and kerosene </w:t>
          </w:r>
          <w:r w:rsidRPr="00093241">
            <w:rPr>
              <w:rFonts w:ascii="Calibri" w:eastAsia="Calibri" w:hAnsi="Calibri" w:cs="Times New Roman"/>
              <w:b/>
            </w:rPr>
            <w:t>(by 0.07 c/litre)</w:t>
          </w:r>
          <w:r w:rsidRPr="00093241">
            <w:rPr>
              <w:rFonts w:ascii="Calibri" w:eastAsia="Calibri" w:hAnsi="Calibri" w:cs="Times New Roman"/>
            </w:rPr>
            <w:t xml:space="preserve"> if caps are introduced for stocks of product stored on vessels within the EEZ boundary.</w:t>
          </w:r>
        </w:p>
        <w:p w14:paraId="4EA916EA" w14:textId="77777777" w:rsidR="00093241" w:rsidRPr="00093241" w:rsidRDefault="00093241" w:rsidP="00093241">
          <w:pPr>
            <w:keepNext/>
            <w:spacing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t>Table 4: Sensitivity of average consumer price change of tested sensitivities compared to the MSO Rules (including GST)</w:t>
          </w:r>
        </w:p>
        <w:tbl>
          <w:tblPr>
            <w:tblStyle w:val="TableGrid2"/>
            <w:tblW w:w="7740" w:type="dxa"/>
            <w:tblLook w:val="04A0" w:firstRow="1" w:lastRow="0" w:firstColumn="1" w:lastColumn="0" w:noHBand="0" w:noVBand="1"/>
          </w:tblPr>
          <w:tblGrid>
            <w:gridCol w:w="4340"/>
            <w:gridCol w:w="1355"/>
            <w:gridCol w:w="1188"/>
            <w:gridCol w:w="857"/>
          </w:tblGrid>
          <w:tr w:rsidR="00093241" w:rsidRPr="00093241" w14:paraId="34A5BBD6" w14:textId="77777777" w:rsidTr="00093241">
            <w:trPr>
              <w:trHeight w:val="319"/>
              <w:tblHeader/>
            </w:trPr>
            <w:tc>
              <w:tcPr>
                <w:tcW w:w="4340" w:type="dxa"/>
                <w:shd w:val="clear" w:color="auto" w:fill="D9D9D9"/>
              </w:tcPr>
              <w:p w14:paraId="47E0FA4E" w14:textId="77777777" w:rsidR="00093241" w:rsidRPr="00093241" w:rsidRDefault="00093241" w:rsidP="00093241">
                <w:pPr>
                  <w:keepNext/>
                  <w:rPr>
                    <w:rFonts w:ascii="Calibri" w:eastAsia="Calibri" w:hAnsi="Calibri" w:cs="Times New Roman"/>
                  </w:rPr>
                </w:pPr>
              </w:p>
            </w:tc>
            <w:tc>
              <w:tcPr>
                <w:tcW w:w="1355" w:type="dxa"/>
                <w:shd w:val="clear" w:color="auto" w:fill="D9D9D9"/>
              </w:tcPr>
              <w:p w14:paraId="1CEF6060" w14:textId="77777777" w:rsidR="00093241" w:rsidRPr="00093241" w:rsidRDefault="00093241" w:rsidP="00093241">
                <w:pPr>
                  <w:keepNext/>
                  <w:jc w:val="right"/>
                  <w:rPr>
                    <w:rFonts w:ascii="Calibri" w:eastAsia="Calibri" w:hAnsi="Calibri" w:cs="Times New Roman"/>
                    <w:b/>
                  </w:rPr>
                </w:pPr>
                <w:r w:rsidRPr="00093241">
                  <w:rPr>
                    <w:rFonts w:ascii="Calibri" w:eastAsia="Calibri" w:hAnsi="Calibri" w:cs="Times New Roman"/>
                    <w:b/>
                  </w:rPr>
                  <w:t>Gasoline</w:t>
                </w:r>
              </w:p>
            </w:tc>
            <w:tc>
              <w:tcPr>
                <w:tcW w:w="0" w:type="auto"/>
                <w:shd w:val="clear" w:color="auto" w:fill="D9D9D9"/>
              </w:tcPr>
              <w:p w14:paraId="2650F4C7" w14:textId="77777777" w:rsidR="00093241" w:rsidRPr="00093241" w:rsidRDefault="00093241" w:rsidP="00093241">
                <w:pPr>
                  <w:keepNext/>
                  <w:jc w:val="right"/>
                  <w:rPr>
                    <w:rFonts w:ascii="Calibri" w:eastAsia="Calibri" w:hAnsi="Calibri" w:cs="Times New Roman"/>
                    <w:b/>
                  </w:rPr>
                </w:pPr>
                <w:r w:rsidRPr="00093241">
                  <w:rPr>
                    <w:rFonts w:ascii="Calibri" w:eastAsia="Calibri" w:hAnsi="Calibri" w:cs="Times New Roman"/>
                    <w:b/>
                  </w:rPr>
                  <w:t>Kerosene</w:t>
                </w:r>
              </w:p>
            </w:tc>
            <w:tc>
              <w:tcPr>
                <w:tcW w:w="0" w:type="auto"/>
                <w:shd w:val="clear" w:color="auto" w:fill="D9D9D9"/>
              </w:tcPr>
              <w:p w14:paraId="0ACB4F16" w14:textId="77777777" w:rsidR="00093241" w:rsidRPr="00093241" w:rsidRDefault="00093241" w:rsidP="00093241">
                <w:pPr>
                  <w:keepNext/>
                  <w:jc w:val="right"/>
                  <w:rPr>
                    <w:rFonts w:ascii="Calibri" w:eastAsia="Calibri" w:hAnsi="Calibri" w:cs="Times New Roman"/>
                    <w:b/>
                  </w:rPr>
                </w:pPr>
                <w:r w:rsidRPr="00093241">
                  <w:rPr>
                    <w:rFonts w:ascii="Calibri" w:eastAsia="Calibri" w:hAnsi="Calibri" w:cs="Times New Roman"/>
                    <w:b/>
                  </w:rPr>
                  <w:t>Diesel</w:t>
                </w:r>
              </w:p>
            </w:tc>
          </w:tr>
          <w:tr w:rsidR="00093241" w:rsidRPr="00093241" w14:paraId="6950F967" w14:textId="77777777" w:rsidTr="00093241">
            <w:trPr>
              <w:trHeight w:val="543"/>
            </w:trPr>
            <w:tc>
              <w:tcPr>
                <w:tcW w:w="4340" w:type="dxa"/>
              </w:tcPr>
              <w:p w14:paraId="5523C719" w14:textId="77777777" w:rsidR="00093241" w:rsidRPr="00093241" w:rsidRDefault="00093241" w:rsidP="00093241">
                <w:pPr>
                  <w:keepNext/>
                  <w:rPr>
                    <w:rFonts w:ascii="Calibri" w:eastAsia="Calibri" w:hAnsi="Calibri" w:cs="Times New Roman"/>
                    <w:b/>
                  </w:rPr>
                </w:pPr>
                <w:r w:rsidRPr="00093241">
                  <w:rPr>
                    <w:rFonts w:ascii="Calibri" w:eastAsia="Calibri" w:hAnsi="Calibri" w:cs="Times New Roman"/>
                    <w:b/>
                  </w:rPr>
                  <w:t>Average price increase over period to 2040</w:t>
                </w:r>
              </w:p>
            </w:tc>
            <w:tc>
              <w:tcPr>
                <w:tcW w:w="1355" w:type="dxa"/>
              </w:tcPr>
              <w:p w14:paraId="5899F96D"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c/litre</w:t>
                </w:r>
              </w:p>
            </w:tc>
            <w:tc>
              <w:tcPr>
                <w:tcW w:w="0" w:type="auto"/>
              </w:tcPr>
              <w:p w14:paraId="2602A14B"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c/litre</w:t>
                </w:r>
              </w:p>
            </w:tc>
            <w:tc>
              <w:tcPr>
                <w:tcW w:w="0" w:type="auto"/>
              </w:tcPr>
              <w:p w14:paraId="4DF273CA"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c/litre</w:t>
                </w:r>
              </w:p>
            </w:tc>
          </w:tr>
          <w:tr w:rsidR="00093241" w:rsidRPr="00093241" w14:paraId="2053DBD3" w14:textId="77777777" w:rsidTr="00093241">
            <w:trPr>
              <w:trHeight w:val="319"/>
            </w:trPr>
            <w:tc>
              <w:tcPr>
                <w:tcW w:w="4340" w:type="dxa"/>
              </w:tcPr>
              <w:p w14:paraId="627CC945" w14:textId="77777777" w:rsidR="00093241" w:rsidRPr="00093241" w:rsidRDefault="00093241" w:rsidP="00093241">
                <w:pPr>
                  <w:keepNext/>
                  <w:rPr>
                    <w:rFonts w:ascii="Calibri" w:eastAsia="Calibri" w:hAnsi="Calibri" w:cs="Times New Roman"/>
                  </w:rPr>
                </w:pPr>
                <w:r w:rsidRPr="00093241">
                  <w:rPr>
                    <w:rFonts w:ascii="Calibri" w:eastAsia="Calibri" w:hAnsi="Calibri" w:cs="Times New Roman"/>
                  </w:rPr>
                  <w:t>MSO Rules</w:t>
                </w:r>
              </w:p>
            </w:tc>
            <w:tc>
              <w:tcPr>
                <w:tcW w:w="1355" w:type="dxa"/>
                <w:vAlign w:val="bottom"/>
              </w:tcPr>
              <w:p w14:paraId="684248A3"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0.07</w:t>
                </w:r>
              </w:p>
            </w:tc>
            <w:tc>
              <w:tcPr>
                <w:tcW w:w="0" w:type="auto"/>
                <w:vAlign w:val="center"/>
              </w:tcPr>
              <w:p w14:paraId="51E9769F"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0.15</w:t>
                </w:r>
              </w:p>
            </w:tc>
            <w:tc>
              <w:tcPr>
                <w:tcW w:w="0" w:type="auto"/>
                <w:vAlign w:val="center"/>
              </w:tcPr>
              <w:p w14:paraId="047890B3"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0.20</w:t>
                </w:r>
              </w:p>
            </w:tc>
          </w:tr>
          <w:tr w:rsidR="00093241" w:rsidRPr="00093241" w14:paraId="7D8AD4C9" w14:textId="77777777" w:rsidTr="00093241">
            <w:trPr>
              <w:trHeight w:val="194"/>
            </w:trPr>
            <w:tc>
              <w:tcPr>
                <w:tcW w:w="4340" w:type="dxa"/>
              </w:tcPr>
              <w:p w14:paraId="4C24FB5A" w14:textId="77777777" w:rsidR="00093241" w:rsidRPr="00093241" w:rsidRDefault="00093241" w:rsidP="00093241">
                <w:pPr>
                  <w:keepNext/>
                  <w:rPr>
                    <w:rFonts w:ascii="Calibri" w:eastAsia="Calibri" w:hAnsi="Calibri" w:cs="Times New Roman"/>
                  </w:rPr>
                </w:pPr>
                <w:r w:rsidRPr="00093241">
                  <w:rPr>
                    <w:rFonts w:ascii="Calibri" w:eastAsia="Calibri" w:hAnsi="Calibri" w:cs="Times New Roman"/>
                  </w:rPr>
                  <w:t>Without transitional arrangements</w:t>
                </w:r>
              </w:p>
            </w:tc>
            <w:tc>
              <w:tcPr>
                <w:tcW w:w="1355" w:type="dxa"/>
                <w:vAlign w:val="bottom"/>
              </w:tcPr>
              <w:p w14:paraId="41CB9365"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0.07</w:t>
                </w:r>
              </w:p>
            </w:tc>
            <w:tc>
              <w:tcPr>
                <w:tcW w:w="0" w:type="auto"/>
                <w:vAlign w:val="center"/>
              </w:tcPr>
              <w:p w14:paraId="39E27284"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0.15</w:t>
                </w:r>
              </w:p>
            </w:tc>
            <w:tc>
              <w:tcPr>
                <w:tcW w:w="0" w:type="auto"/>
                <w:vAlign w:val="center"/>
              </w:tcPr>
              <w:p w14:paraId="3F501037"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0.21</w:t>
                </w:r>
              </w:p>
            </w:tc>
          </w:tr>
          <w:tr w:rsidR="00093241" w:rsidRPr="00093241" w14:paraId="26786842" w14:textId="77777777" w:rsidTr="00093241">
            <w:trPr>
              <w:trHeight w:val="348"/>
            </w:trPr>
            <w:tc>
              <w:tcPr>
                <w:tcW w:w="4340" w:type="dxa"/>
              </w:tcPr>
              <w:p w14:paraId="521215CF" w14:textId="77777777" w:rsidR="00093241" w:rsidRPr="00093241" w:rsidRDefault="00093241" w:rsidP="00093241">
                <w:pPr>
                  <w:keepNext/>
                  <w:rPr>
                    <w:rFonts w:ascii="Calibri" w:eastAsia="Calibri" w:hAnsi="Calibri" w:cs="Times New Roman"/>
                  </w:rPr>
                </w:pPr>
                <w:r w:rsidRPr="00093241">
                  <w:rPr>
                    <w:rFonts w:ascii="Calibri" w:eastAsia="Calibri" w:hAnsi="Calibri" w:cs="Times New Roman"/>
                  </w:rPr>
                  <w:t>With capped allowance of EEZ stocks</w:t>
                </w:r>
              </w:p>
            </w:tc>
            <w:tc>
              <w:tcPr>
                <w:tcW w:w="1355" w:type="dxa"/>
                <w:vAlign w:val="bottom"/>
              </w:tcPr>
              <w:p w14:paraId="1ADB8A88"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0.07</w:t>
                </w:r>
              </w:p>
            </w:tc>
            <w:tc>
              <w:tcPr>
                <w:tcW w:w="0" w:type="auto"/>
                <w:vAlign w:val="center"/>
              </w:tcPr>
              <w:p w14:paraId="735E3F32"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0.22</w:t>
                </w:r>
              </w:p>
            </w:tc>
            <w:tc>
              <w:tcPr>
                <w:tcW w:w="0" w:type="auto"/>
                <w:vAlign w:val="center"/>
              </w:tcPr>
              <w:p w14:paraId="01AB5F6C" w14:textId="77777777" w:rsidR="00093241" w:rsidRPr="00093241" w:rsidRDefault="00093241" w:rsidP="00093241">
                <w:pPr>
                  <w:keepNext/>
                  <w:jc w:val="center"/>
                  <w:rPr>
                    <w:rFonts w:ascii="Calibri" w:eastAsia="Calibri" w:hAnsi="Calibri" w:cs="Times New Roman"/>
                  </w:rPr>
                </w:pPr>
                <w:r w:rsidRPr="00093241">
                  <w:rPr>
                    <w:rFonts w:ascii="Calibri" w:eastAsia="Calibri" w:hAnsi="Calibri" w:cs="Times New Roman"/>
                  </w:rPr>
                  <w:t>0.25</w:t>
                </w:r>
              </w:p>
            </w:tc>
          </w:tr>
        </w:tbl>
        <w:p w14:paraId="74448464" w14:textId="77777777" w:rsidR="00093241" w:rsidRPr="00093241" w:rsidRDefault="00093241" w:rsidP="00093241">
          <w:pPr>
            <w:spacing w:after="120" w:line="240" w:lineRule="auto"/>
            <w:rPr>
              <w:rFonts w:ascii="Calibri" w:eastAsia="Calibri" w:hAnsi="Calibri" w:cs="Times New Roman"/>
              <w:i/>
              <w:iCs/>
              <w:color w:val="408479"/>
              <w:szCs w:val="18"/>
            </w:rPr>
          </w:pPr>
          <w:r w:rsidRPr="00093241">
            <w:rPr>
              <w:rFonts w:ascii="Calibri" w:eastAsia="Calibri" w:hAnsi="Calibri" w:cs="Times New Roman"/>
              <w:i/>
              <w:iCs/>
              <w:color w:val="408479"/>
              <w:szCs w:val="18"/>
            </w:rPr>
            <w:t>Notes: All years are financial years ending June 30. All dollar values are in real 2022 terms</w:t>
          </w:r>
        </w:p>
        <w:p w14:paraId="0397EE10" w14:textId="77777777" w:rsidR="00093241" w:rsidRPr="00093241" w:rsidRDefault="00093241" w:rsidP="00093241">
          <w:pPr>
            <w:keepNext/>
            <w:keepLines/>
            <w:spacing w:before="480" w:after="40"/>
            <w:outlineLvl w:val="0"/>
            <w:rPr>
              <w:rFonts w:ascii="Calibri" w:eastAsia="Times New Roman" w:hAnsi="Calibri" w:cs="Times New Roman"/>
              <w:color w:val="083A42"/>
              <w:sz w:val="36"/>
              <w:szCs w:val="36"/>
            </w:rPr>
          </w:pPr>
          <w:bookmarkStart w:id="109" w:name="_Toc96091492"/>
          <w:bookmarkStart w:id="110" w:name="_Toc96504625"/>
          <w:bookmarkStart w:id="111" w:name="_Toc98512039"/>
          <w:bookmarkStart w:id="112" w:name="_Toc98518283"/>
          <w:bookmarkStart w:id="113" w:name="_Toc117259538"/>
          <w:bookmarkStart w:id="114" w:name="_Toc117262237"/>
          <w:bookmarkStart w:id="115" w:name="_Toc117262596"/>
          <w:bookmarkStart w:id="116" w:name="_Toc117512023"/>
          <w:bookmarkStart w:id="117" w:name="_Toc117516973"/>
          <w:bookmarkStart w:id="118" w:name="_Toc117775513"/>
          <w:r w:rsidRPr="00093241">
            <w:rPr>
              <w:rFonts w:ascii="Calibri" w:eastAsia="Times New Roman" w:hAnsi="Calibri" w:cs="Times New Roman"/>
              <w:color w:val="083A42"/>
              <w:sz w:val="36"/>
              <w:szCs w:val="36"/>
            </w:rPr>
            <w:t>Implications for current market competition</w:t>
          </w:r>
          <w:bookmarkEnd w:id="109"/>
          <w:bookmarkEnd w:id="110"/>
          <w:bookmarkEnd w:id="111"/>
          <w:bookmarkEnd w:id="112"/>
          <w:bookmarkEnd w:id="113"/>
          <w:bookmarkEnd w:id="114"/>
          <w:bookmarkEnd w:id="115"/>
          <w:bookmarkEnd w:id="116"/>
          <w:bookmarkEnd w:id="117"/>
          <w:bookmarkEnd w:id="118"/>
        </w:p>
        <w:p w14:paraId="7694877E"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scheme (and the Rules) has been designed to minimise, and provide pathways to mitigate disruptions to market competition. </w:t>
          </w:r>
        </w:p>
        <w:p w14:paraId="3B1EE90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cost impacts of the policy are seen as proportionate across the market and are expected to safeguard the continuation of the current competitive balance. This is supported by specific provisions to deter regulatory avoidance behaviour. </w:t>
          </w:r>
        </w:p>
        <w:p w14:paraId="2BDDAB7F"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Additional costs resulting from the MSO are likely to be incurred at differing rates due to the variations in operating models within the industry. </w:t>
          </w:r>
        </w:p>
        <w:p w14:paraId="720902B2"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Regulatory costs are expected to be proportionate to market share and are not seen as a material threat to the current competitive balance. </w:t>
          </w:r>
        </w:p>
        <w:p w14:paraId="5EB96584"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Individual transitional arrangement mechanisms also exist to maintain the current competitive balance and assist individual entities in meeting their obligation when faced with infrastructure or operational market constraints. </w:t>
          </w:r>
        </w:p>
        <w:p w14:paraId="097866BA"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Mechanisms to respond to regulatory avoidance behaviour also exist within the rules, allowing the Secretary to set thresholds for individual entities as low as 10ML. </w:t>
          </w:r>
        </w:p>
        <w:p w14:paraId="6B09A504"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In determining the level of impact from the MSO on the competitive balance with in the current market, it has been assumed:</w:t>
          </w:r>
        </w:p>
        <w:p w14:paraId="6C0C742D" w14:textId="77777777" w:rsidR="00093241" w:rsidRPr="00093241" w:rsidRDefault="00093241" w:rsidP="0037564F">
          <w:pPr>
            <w:numPr>
              <w:ilvl w:val="0"/>
              <w:numId w:val="18"/>
            </w:numPr>
            <w:contextualSpacing/>
            <w:rPr>
              <w:rFonts w:ascii="Calibri" w:eastAsia="Calibri" w:hAnsi="Calibri" w:cs="Times New Roman"/>
            </w:rPr>
          </w:pPr>
          <w:r w:rsidRPr="00093241">
            <w:rPr>
              <w:rFonts w:ascii="Calibri" w:eastAsia="Calibri" w:hAnsi="Calibri" w:cs="Times New Roman"/>
            </w:rPr>
            <w:t>industry participants manage their stockholdings efficiently within the constraints of meeting their MSO</w:t>
          </w:r>
        </w:p>
        <w:p w14:paraId="34D1C794" w14:textId="77777777" w:rsidR="00093241" w:rsidRPr="00093241" w:rsidRDefault="00093241" w:rsidP="0037564F">
          <w:pPr>
            <w:numPr>
              <w:ilvl w:val="0"/>
              <w:numId w:val="18"/>
            </w:numPr>
            <w:contextualSpacing/>
            <w:rPr>
              <w:rFonts w:ascii="Calibri" w:eastAsia="Calibri" w:hAnsi="Calibri" w:cs="Times New Roman"/>
            </w:rPr>
          </w:pPr>
          <w:r w:rsidRPr="00093241">
            <w:rPr>
              <w:rFonts w:ascii="Calibri" w:eastAsia="Calibri" w:hAnsi="Calibri" w:cs="Times New Roman"/>
            </w:rPr>
            <w:t>intermediary market functions efficiently</w:t>
          </w:r>
        </w:p>
        <w:p w14:paraId="6EE23B86" w14:textId="77777777" w:rsidR="00093241" w:rsidRPr="00093241" w:rsidRDefault="00093241" w:rsidP="0037564F">
          <w:pPr>
            <w:numPr>
              <w:ilvl w:val="0"/>
              <w:numId w:val="18"/>
            </w:numPr>
            <w:contextualSpacing/>
            <w:rPr>
              <w:rFonts w:ascii="Calibri" w:eastAsia="Calibri" w:hAnsi="Calibri" w:cs="Times New Roman"/>
            </w:rPr>
          </w:pPr>
          <w:r w:rsidRPr="00093241">
            <w:rPr>
              <w:rFonts w:ascii="Calibri" w:eastAsia="Calibri" w:hAnsi="Calibri" w:cs="Times New Roman"/>
            </w:rPr>
            <w:t>the entity market share remains similar to the 2018-2020 data, to provide a baseline for determining the impact of an entity withdrawing from the market.</w:t>
          </w:r>
        </w:p>
        <w:p w14:paraId="78127DCF"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Stock purchases</w:t>
          </w:r>
        </w:p>
        <w:p w14:paraId="78717165"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Where there is a need to purchase and hold additional fuel stocks, no significant competition impacts in the presence of an effective intermediary market are expected.</w:t>
          </w:r>
        </w:p>
        <w:p w14:paraId="331831FE"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lastRenderedPageBreak/>
            <w:t>Analysis shows the need for additional fuel stocks required is not likely to be materially disproportionate across relative smaller or larger groups of MSO-affected entities.</w:t>
          </w:r>
        </w:p>
        <w:p w14:paraId="4242B25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Given the transitional arrangements under the MSO Rules, much of the additional purchases of fuel stocks is expected to occur in the lead up to FY2024-25. Not all entities will be required to purchase additional product. The modelling indicates some entities, to be compliant, may be required to purchase an additional:</w:t>
          </w:r>
        </w:p>
        <w:p w14:paraId="13BFAD7D" w14:textId="77777777" w:rsidR="00093241" w:rsidRPr="00093241" w:rsidRDefault="00093241" w:rsidP="0037564F">
          <w:pPr>
            <w:numPr>
              <w:ilvl w:val="0"/>
              <w:numId w:val="19"/>
            </w:numPr>
            <w:contextualSpacing/>
            <w:rPr>
              <w:rFonts w:ascii="Calibri" w:eastAsia="Calibri" w:hAnsi="Calibri" w:cs="Times New Roman"/>
            </w:rPr>
          </w:pPr>
          <w:r w:rsidRPr="00093241">
            <w:rPr>
              <w:rFonts w:ascii="Calibri" w:eastAsia="Calibri" w:hAnsi="Calibri" w:cs="Times New Roman"/>
            </w:rPr>
            <w:t xml:space="preserve">0.6-0.7 per cent of their annual imports of </w:t>
          </w:r>
          <w:r w:rsidRPr="00093241">
            <w:rPr>
              <w:rFonts w:ascii="Calibri" w:eastAsia="Calibri" w:hAnsi="Calibri" w:cs="Times New Roman"/>
              <w:b/>
            </w:rPr>
            <w:t>gasoline</w:t>
          </w:r>
        </w:p>
        <w:p w14:paraId="3B6F42A4" w14:textId="77777777" w:rsidR="00093241" w:rsidRPr="00093241" w:rsidRDefault="00093241" w:rsidP="0037564F">
          <w:pPr>
            <w:numPr>
              <w:ilvl w:val="0"/>
              <w:numId w:val="19"/>
            </w:numPr>
            <w:contextualSpacing/>
            <w:rPr>
              <w:rFonts w:ascii="Calibri" w:eastAsia="Calibri" w:hAnsi="Calibri" w:cs="Times New Roman"/>
            </w:rPr>
          </w:pPr>
          <w:r w:rsidRPr="00093241">
            <w:rPr>
              <w:rFonts w:ascii="Calibri" w:eastAsia="Calibri" w:hAnsi="Calibri" w:cs="Times New Roman"/>
            </w:rPr>
            <w:t xml:space="preserve">just over 1 per cent of their annual imports of </w:t>
          </w:r>
          <w:r w:rsidRPr="00093241">
            <w:rPr>
              <w:rFonts w:ascii="Calibri" w:eastAsia="Calibri" w:hAnsi="Calibri" w:cs="Times New Roman"/>
              <w:b/>
            </w:rPr>
            <w:t>kerosene</w:t>
          </w:r>
        </w:p>
        <w:p w14:paraId="365C6A31" w14:textId="77777777" w:rsidR="00093241" w:rsidRPr="00093241" w:rsidRDefault="00093241" w:rsidP="0037564F">
          <w:pPr>
            <w:numPr>
              <w:ilvl w:val="0"/>
              <w:numId w:val="19"/>
            </w:numPr>
            <w:contextualSpacing/>
            <w:rPr>
              <w:rFonts w:ascii="Calibri" w:eastAsia="Calibri" w:hAnsi="Calibri" w:cs="Times New Roman"/>
              <w:b/>
            </w:rPr>
          </w:pPr>
          <w:r w:rsidRPr="00093241">
            <w:rPr>
              <w:rFonts w:ascii="Calibri" w:eastAsia="Calibri" w:hAnsi="Calibri" w:cs="Times New Roman"/>
            </w:rPr>
            <w:t xml:space="preserve">around 3 per cent of the annual imports of </w:t>
          </w:r>
          <w:r w:rsidRPr="00093241">
            <w:rPr>
              <w:rFonts w:ascii="Calibri" w:eastAsia="Calibri" w:hAnsi="Calibri" w:cs="Times New Roman"/>
              <w:b/>
            </w:rPr>
            <w:t>diesel.</w:t>
          </w:r>
        </w:p>
        <w:p w14:paraId="1262A0C3"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Need for additional storage capacity</w:t>
          </w:r>
        </w:p>
        <w:p w14:paraId="6CBE0CD6"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Analysis shows industry as a whole will have sufficient existing storage capacity to comply with the MSO in the first year. In order to comply, some entities will require access to additional storage capacity or stockholdings through leasing spare capacity of a third party or acquiring stocks in a third party’s facility through the intermediary market. </w:t>
          </w:r>
        </w:p>
        <w:p w14:paraId="51FF7031"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It is expected with sufficient product within the intermediary market, those with existing spare capacity and those that need to acquire additional capacity will seek a return on capital employed. It is more likely than not, there will be limited disadvantage and limited impact on competition, noting in the early years of the scheme, transitional arrangements will reduce the overall necessity for the intermediary market by individual regulated entities.</w:t>
          </w:r>
        </w:p>
        <w:p w14:paraId="4F7FEAC8" w14:textId="77777777" w:rsidR="00093241" w:rsidRPr="00093241" w:rsidRDefault="00093241" w:rsidP="00093241">
          <w:pPr>
            <w:keepNext/>
            <w:keepLines/>
            <w:spacing w:before="240" w:after="40"/>
            <w:outlineLvl w:val="1"/>
            <w:rPr>
              <w:rFonts w:ascii="Calibri" w:eastAsia="Times New Roman" w:hAnsi="Calibri" w:cs="Times New Roman"/>
              <w:color w:val="BB4E06"/>
              <w:sz w:val="28"/>
              <w:szCs w:val="28"/>
            </w:rPr>
          </w:pPr>
          <w:r w:rsidRPr="00093241">
            <w:rPr>
              <w:rFonts w:ascii="Calibri" w:eastAsia="Times New Roman" w:hAnsi="Calibri" w:cs="Times New Roman"/>
              <w:color w:val="BB4E06"/>
              <w:sz w:val="28"/>
              <w:szCs w:val="28"/>
            </w:rPr>
            <w:t>Impact on shipping cycles</w:t>
          </w:r>
        </w:p>
        <w:p w14:paraId="795ED27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economics of import terminals requires a balance between the cost of storage and the cost of shipping. Under commercial operations an importer will increase shipping cycles up to the point where the marginal cost of increased shipping cycles exceeds the marginal cost of investing in or acquiring access to additional storage.</w:t>
          </w:r>
        </w:p>
        <w:p w14:paraId="45BD414D"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presence of an effective intermediary market should reduce the need for a shift in the commercial operations deemed to be optimal. This is based on industry feedback, demonstrating de-optimisation costs would be significantly larger than the costs of operating in the intermediary market. </w:t>
          </w:r>
        </w:p>
        <w:p w14:paraId="087EFC9F" w14:textId="77777777" w:rsidR="00093241" w:rsidRPr="00093241" w:rsidRDefault="00093241" w:rsidP="00093241">
          <w:pPr>
            <w:rPr>
              <w:rFonts w:ascii="Calibri" w:eastAsia="Times New Roman" w:hAnsi="Calibri" w:cs="Times New Roman"/>
              <w:color w:val="083A42"/>
            </w:rPr>
          </w:pPr>
        </w:p>
        <w:p w14:paraId="0AAE047B" w14:textId="77777777" w:rsidR="00093241" w:rsidRPr="00093241" w:rsidRDefault="00093241" w:rsidP="00093241">
          <w:pPr>
            <w:rPr>
              <w:rFonts w:ascii="Calibri" w:eastAsia="Times New Roman" w:hAnsi="Calibri" w:cs="Times New Roman"/>
              <w:color w:val="083A42"/>
            </w:rPr>
          </w:pPr>
          <w:r w:rsidRPr="00093241">
            <w:rPr>
              <w:rFonts w:ascii="Calibri" w:eastAsia="Times New Roman" w:hAnsi="Calibri" w:cs="Times New Roman"/>
              <w:color w:val="083A42"/>
            </w:rPr>
            <w:br w:type="page"/>
          </w:r>
        </w:p>
        <w:p w14:paraId="50EE964F" w14:textId="77777777" w:rsidR="00093241" w:rsidRPr="00093241" w:rsidRDefault="00093241" w:rsidP="00093241">
          <w:pPr>
            <w:keepNext/>
            <w:keepLines/>
            <w:spacing w:before="480" w:after="40"/>
            <w:outlineLvl w:val="0"/>
            <w:rPr>
              <w:rFonts w:ascii="Calibri" w:eastAsia="Times New Roman" w:hAnsi="Calibri" w:cs="Times New Roman"/>
              <w:color w:val="083A42"/>
              <w:sz w:val="36"/>
              <w:szCs w:val="36"/>
            </w:rPr>
          </w:pPr>
          <w:bookmarkStart w:id="119" w:name="_Toc96091493"/>
          <w:bookmarkStart w:id="120" w:name="_Toc96504626"/>
          <w:bookmarkStart w:id="121" w:name="_Toc98512040"/>
          <w:bookmarkStart w:id="122" w:name="_Toc98518284"/>
          <w:bookmarkStart w:id="123" w:name="_Toc117259539"/>
          <w:bookmarkStart w:id="124" w:name="_Toc117262238"/>
          <w:bookmarkStart w:id="125" w:name="_Toc117262597"/>
          <w:bookmarkStart w:id="126" w:name="_Toc117512024"/>
          <w:bookmarkStart w:id="127" w:name="_Toc117516974"/>
          <w:bookmarkStart w:id="128" w:name="_Toc117775514"/>
          <w:r w:rsidRPr="00093241">
            <w:rPr>
              <w:rFonts w:ascii="Calibri" w:eastAsia="Times New Roman" w:hAnsi="Calibri" w:cs="Times New Roman"/>
              <w:color w:val="083A42"/>
              <w:sz w:val="36"/>
              <w:szCs w:val="36"/>
            </w:rPr>
            <w:lastRenderedPageBreak/>
            <w:t>Regulation impact summary</w:t>
          </w:r>
          <w:bookmarkEnd w:id="119"/>
          <w:bookmarkEnd w:id="120"/>
          <w:bookmarkEnd w:id="121"/>
          <w:bookmarkEnd w:id="122"/>
          <w:bookmarkEnd w:id="123"/>
          <w:bookmarkEnd w:id="124"/>
          <w:bookmarkEnd w:id="125"/>
          <w:bookmarkEnd w:id="126"/>
          <w:bookmarkEnd w:id="127"/>
          <w:bookmarkEnd w:id="128"/>
          <w:r w:rsidRPr="00093241">
            <w:rPr>
              <w:rFonts w:ascii="Calibri" w:eastAsia="Times New Roman" w:hAnsi="Calibri" w:cs="Times New Roman"/>
              <w:color w:val="083A42"/>
              <w:sz w:val="36"/>
              <w:szCs w:val="36"/>
            </w:rPr>
            <w:t xml:space="preserve"> </w:t>
          </w:r>
        </w:p>
        <w:p w14:paraId="6C09344E" w14:textId="77777777" w:rsidR="00093241" w:rsidRPr="00093241" w:rsidRDefault="00093241" w:rsidP="00093241">
          <w:pPr>
            <w:rPr>
              <w:rFonts w:ascii="Calibri" w:eastAsia="Calibri" w:hAnsi="Calibri" w:cs="Times New Roman"/>
              <w:lang w:val="en-US"/>
            </w:rPr>
          </w:pPr>
          <w:r w:rsidRPr="00093241">
            <w:rPr>
              <w:rFonts w:ascii="Calibri" w:eastAsia="Calibri" w:hAnsi="Calibri" w:cs="Times New Roman"/>
              <w:lang w:val="en-US"/>
            </w:rPr>
            <w:t xml:space="preserve">The aim of the MSO is to protect fuel consumers and the economy by ensuring fuel availability in the event of significant liquid fuel supply disruptions. </w:t>
          </w:r>
        </w:p>
        <w:p w14:paraId="38288BD9" w14:textId="77777777" w:rsidR="00093241" w:rsidRPr="00093241" w:rsidRDefault="00093241" w:rsidP="00093241">
          <w:pPr>
            <w:rPr>
              <w:rFonts w:ascii="Calibri" w:eastAsia="Calibri" w:hAnsi="Calibri" w:cs="Times New Roman"/>
              <w:lang w:val="en-US"/>
            </w:rPr>
          </w:pPr>
          <w:r w:rsidRPr="00093241">
            <w:rPr>
              <w:rFonts w:ascii="Calibri" w:eastAsia="Calibri" w:hAnsi="Calibri" w:cs="Times New Roman"/>
              <w:lang w:val="en-US"/>
            </w:rPr>
            <w:t xml:space="preserve">The MSO will quickly provide a positive financial impact to the national economy in the event of a major disruption to fuel supplies, with the potential benefits far outweighing the relatively smaller costs. The MSO is equivalent to comprehensive insurance, providing national resilience in the event of an extended disruption to fuel supplies. </w:t>
          </w:r>
        </w:p>
        <w:p w14:paraId="0689D2E3" w14:textId="77777777" w:rsidR="00093241" w:rsidRPr="00093241" w:rsidRDefault="00093241" w:rsidP="00093241">
          <w:pPr>
            <w:rPr>
              <w:rFonts w:ascii="Calibri" w:eastAsia="Calibri" w:hAnsi="Calibri" w:cs="Times New Roman"/>
              <w:lang w:val="en-US"/>
            </w:rPr>
          </w:pPr>
          <w:r w:rsidRPr="00093241">
            <w:rPr>
              <w:rFonts w:ascii="Calibri" w:eastAsia="Calibri" w:hAnsi="Calibri" w:cs="Times New Roman"/>
              <w:lang w:val="en-US"/>
            </w:rPr>
            <w:t>Given Australia’s strong reliance on imported fuel products, the current geopolitical climate and a history of global fuel disruption events, it is reasonable to expect and prepare for an event of significant magnitude in the near future.</w:t>
          </w:r>
        </w:p>
        <w:p w14:paraId="706BF3C7" w14:textId="77777777" w:rsidR="00093241" w:rsidRPr="00093241" w:rsidRDefault="00093241" w:rsidP="00093241">
          <w:pPr>
            <w:rPr>
              <w:rFonts w:ascii="Calibri" w:eastAsia="Calibri" w:hAnsi="Calibri" w:cs="Times New Roman"/>
              <w:lang w:val="en-US"/>
            </w:rPr>
          </w:pPr>
          <w:r w:rsidRPr="00093241">
            <w:rPr>
              <w:rFonts w:ascii="Calibri" w:eastAsia="Calibri" w:hAnsi="Calibri" w:cs="Times New Roman"/>
              <w:lang w:val="en-US"/>
            </w:rPr>
            <w:t xml:space="preserve">This addendum to the main fuel security RIS determines: </w:t>
          </w:r>
        </w:p>
        <w:p w14:paraId="787404A9" w14:textId="77777777" w:rsidR="00093241" w:rsidRDefault="00093241" w:rsidP="0037564F">
          <w:pPr>
            <w:numPr>
              <w:ilvl w:val="0"/>
              <w:numId w:val="19"/>
            </w:numPr>
            <w:contextualSpacing/>
            <w:rPr>
              <w:rFonts w:ascii="Calibri" w:eastAsia="Calibri" w:hAnsi="Calibri" w:cs="Times New Roman"/>
              <w:lang w:val="en-US"/>
            </w:rPr>
          </w:pPr>
          <w:r w:rsidRPr="00093241">
            <w:rPr>
              <w:rFonts w:ascii="Calibri" w:eastAsia="Calibri" w:hAnsi="Calibri" w:cs="Times New Roman"/>
              <w:lang w:val="en-US"/>
            </w:rPr>
            <w:t>a $305.5 million benefit per day (calculated as the costs to GDP avoided) in the case of a 25 per cent disruption to fuel supplies, for each extra day of fuel delivered through the MSO.</w:t>
          </w:r>
        </w:p>
        <w:p w14:paraId="15E3D2D7" w14:textId="7D86F381" w:rsidR="00093241" w:rsidRDefault="00093241" w:rsidP="00AB08EC">
          <w:pPr>
            <w:numPr>
              <w:ilvl w:val="0"/>
              <w:numId w:val="19"/>
            </w:numPr>
            <w:contextualSpacing/>
            <w:rPr>
              <w:rFonts w:ascii="Calibri" w:eastAsia="Calibri" w:hAnsi="Calibri" w:cs="Times New Roman"/>
              <w:lang w:val="en-US"/>
            </w:rPr>
          </w:pPr>
          <w:r w:rsidRPr="00AB08EC">
            <w:rPr>
              <w:rFonts w:ascii="Calibri" w:eastAsia="Calibri" w:hAnsi="Calibri" w:cs="Times New Roman"/>
              <w:lang w:val="en-US"/>
            </w:rPr>
            <w:t>in a situation where Australia is subject to an extended disruption of a 25 per cent supply loss exhausting all stockholdings, the present value of the benefit would be $10.4 billion</w:t>
          </w:r>
          <w:r w:rsidRPr="00AB08EC" w:rsidDel="00660534">
            <w:rPr>
              <w:rFonts w:ascii="Calibri" w:eastAsia="Calibri" w:hAnsi="Calibri" w:cs="Times New Roman"/>
              <w:lang w:val="en-US"/>
            </w:rPr>
            <w:t>.</w:t>
          </w:r>
        </w:p>
        <w:p w14:paraId="601C36EE" w14:textId="28C2D6E4" w:rsidR="00093241" w:rsidRDefault="00093241" w:rsidP="00AB08EC">
          <w:pPr>
            <w:numPr>
              <w:ilvl w:val="0"/>
              <w:numId w:val="19"/>
            </w:numPr>
            <w:contextualSpacing/>
            <w:rPr>
              <w:rFonts w:ascii="Calibri" w:eastAsia="Calibri" w:hAnsi="Calibri" w:cs="Times New Roman"/>
              <w:lang w:val="en-US"/>
            </w:rPr>
          </w:pPr>
          <w:r w:rsidRPr="00AB08EC">
            <w:rPr>
              <w:rFonts w:ascii="Calibri" w:eastAsia="Calibri" w:hAnsi="Calibri" w:cs="Times New Roman"/>
              <w:lang w:val="en-US"/>
            </w:rPr>
            <w:t>in comparison, the total cost of the scheme is estimated to be $1,066.9 million in absolute terms and $691.8 million in NPV terms discounted at 7 per cent (real) to 2040.</w:t>
          </w:r>
        </w:p>
        <w:p w14:paraId="35742479" w14:textId="23A4B7F3" w:rsidR="00093241" w:rsidRPr="00AB08EC" w:rsidRDefault="00093241" w:rsidP="00AB08EC">
          <w:pPr>
            <w:numPr>
              <w:ilvl w:val="0"/>
              <w:numId w:val="19"/>
            </w:numPr>
            <w:contextualSpacing/>
            <w:rPr>
              <w:rFonts w:ascii="Calibri" w:eastAsia="Calibri" w:hAnsi="Calibri" w:cs="Times New Roman"/>
              <w:lang w:val="en-US"/>
            </w:rPr>
          </w:pPr>
          <w:r w:rsidRPr="00AB08EC">
            <w:rPr>
              <w:rFonts w:ascii="Calibri" w:eastAsia="Calibri" w:hAnsi="Calibri" w:cs="Times New Roman"/>
              <w:lang w:val="en-US"/>
            </w:rPr>
            <w:t xml:space="preserve">on average fuel users pay an additional </w:t>
          </w:r>
          <w:r w:rsidR="009861C6">
            <w:rPr>
              <w:rFonts w:ascii="Calibri" w:eastAsia="Calibri" w:hAnsi="Calibri" w:cs="Times New Roman"/>
              <w:lang w:val="en-US"/>
            </w:rPr>
            <w:t>0.0</w:t>
          </w:r>
          <w:r w:rsidRPr="00AB08EC">
            <w:rPr>
              <w:rFonts w:ascii="Calibri" w:eastAsia="Calibri" w:hAnsi="Calibri" w:cs="Times New Roman"/>
              <w:lang w:val="en-US"/>
            </w:rPr>
            <w:t xml:space="preserve">015 </w:t>
          </w:r>
          <w:r w:rsidR="009861C6">
            <w:rPr>
              <w:rFonts w:ascii="Calibri" w:eastAsia="Calibri" w:hAnsi="Calibri" w:cs="Times New Roman"/>
              <w:lang w:val="en-US"/>
            </w:rPr>
            <w:t>$</w:t>
          </w:r>
          <w:r w:rsidRPr="00AB08EC">
            <w:rPr>
              <w:rFonts w:ascii="Calibri" w:eastAsia="Calibri" w:hAnsi="Calibri" w:cs="Times New Roman"/>
              <w:lang w:val="en-US"/>
            </w:rPr>
            <w:t>/litre out to 2040</w:t>
          </w:r>
          <w:r w:rsidR="009861C6">
            <w:rPr>
              <w:rFonts w:ascii="Calibri" w:eastAsia="Calibri" w:hAnsi="Calibri" w:cs="Times New Roman"/>
              <w:lang w:val="en-US"/>
            </w:rPr>
            <w:t>.</w:t>
          </w:r>
        </w:p>
        <w:p w14:paraId="43A811E5" w14:textId="77777777" w:rsidR="00093241" w:rsidRPr="00093241" w:rsidRDefault="00093241" w:rsidP="00093241">
          <w:pPr>
            <w:rPr>
              <w:rFonts w:ascii="Calibri" w:eastAsia="Calibri" w:hAnsi="Calibri" w:cs="Times New Roman"/>
            </w:rPr>
          </w:pPr>
        </w:p>
        <w:p w14:paraId="21C3532A"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br w:type="page"/>
          </w:r>
        </w:p>
        <w:p w14:paraId="5D5A24FC" w14:textId="77777777" w:rsidR="00093241" w:rsidRPr="00093241" w:rsidRDefault="00093241" w:rsidP="00093241">
          <w:pPr>
            <w:keepNext/>
            <w:keepLines/>
            <w:spacing w:before="240" w:after="80"/>
            <w:outlineLvl w:val="0"/>
            <w:rPr>
              <w:rFonts w:ascii="Calibri" w:eastAsia="Times New Roman" w:hAnsi="Calibri" w:cs="Times New Roman"/>
              <w:color w:val="083A42"/>
              <w:sz w:val="36"/>
              <w:szCs w:val="36"/>
            </w:rPr>
          </w:pPr>
          <w:bookmarkStart w:id="129" w:name="_Toc98512041"/>
          <w:bookmarkStart w:id="130" w:name="_Toc98518285"/>
          <w:bookmarkStart w:id="131" w:name="_Toc117516975"/>
          <w:bookmarkStart w:id="132" w:name="_Toc117259540"/>
          <w:bookmarkStart w:id="133" w:name="_Toc117262239"/>
          <w:bookmarkStart w:id="134" w:name="_Toc117262598"/>
          <w:bookmarkStart w:id="135" w:name="_Toc117775515"/>
          <w:bookmarkStart w:id="136" w:name="_Toc117512025"/>
          <w:r w:rsidRPr="00093241">
            <w:rPr>
              <w:rFonts w:ascii="Calibri" w:eastAsia="Times New Roman" w:hAnsi="Calibri" w:cs="Times New Roman"/>
              <w:color w:val="083A42"/>
              <w:sz w:val="36"/>
              <w:szCs w:val="36"/>
            </w:rPr>
            <w:lastRenderedPageBreak/>
            <w:t>Appendix A: Overview of key policy changes as result of industry consultation</w:t>
          </w:r>
          <w:bookmarkEnd w:id="129"/>
          <w:bookmarkEnd w:id="130"/>
          <w:bookmarkEnd w:id="131"/>
          <w:bookmarkEnd w:id="132"/>
          <w:bookmarkEnd w:id="133"/>
          <w:bookmarkEnd w:id="134"/>
          <w:bookmarkEnd w:id="135"/>
        </w:p>
        <w:bookmarkEnd w:id="136"/>
        <w:p w14:paraId="6649B043"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The below policy amendments were made as result of industry engagement on a policy paper issued to industry in September 2021.</w:t>
          </w:r>
        </w:p>
        <w:p w14:paraId="33FBD694"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Obligation day</w:t>
          </w:r>
        </w:p>
        <w:p w14:paraId="5F63B63E"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Stock measurement day</w:t>
          </w:r>
          <w:r w:rsidRPr="00093241">
            <w:rPr>
              <w:rFonts w:ascii="Calibri" w:eastAsia="Calibri" w:hAnsi="Calibri" w:cs="Times New Roman"/>
            </w:rPr>
            <w:t xml:space="preserve"> (section 15) – in response to industry feedback that a ‘weekly’ obligation day would be too onerous from day 1 of the scheme, a transitional arrangement was included to give industry time to adjust to the new reporting scheme. </w:t>
          </w:r>
        </w:p>
        <w:p w14:paraId="0F53577F"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rPr>
            <w:t xml:space="preserve">The obligation day is set to fortnightly until 30 June 2024, reverting to an ongoing position of weekly from 1 July 2024. </w:t>
          </w:r>
        </w:p>
        <w:p w14:paraId="0B5056FE"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Holding stock</w:t>
          </w:r>
        </w:p>
        <w:p w14:paraId="2425F610"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Exclusive Economic Zone (EEZ) stocks</w:t>
          </w:r>
          <w:r w:rsidRPr="00093241">
            <w:rPr>
              <w:rFonts w:ascii="Calibri" w:eastAsia="Calibri" w:hAnsi="Calibri" w:cs="Times New Roman"/>
            </w:rPr>
            <w:t xml:space="preserve"> (section 9) – ability to count stocks on water within the EEZ was incorporated. 100 per cent of refined MSO products under the ownership/control of an entity can now be counted toward an entity’s MSO. </w:t>
          </w:r>
        </w:p>
        <w:p w14:paraId="5F5D8898" w14:textId="77777777" w:rsidR="00093241" w:rsidRPr="00093241" w:rsidRDefault="00093241" w:rsidP="0037564F">
          <w:pPr>
            <w:numPr>
              <w:ilvl w:val="1"/>
              <w:numId w:val="23"/>
            </w:numPr>
            <w:contextualSpacing/>
            <w:rPr>
              <w:rFonts w:ascii="Calibri" w:eastAsia="Calibri" w:hAnsi="Calibri" w:cs="Times New Roman"/>
            </w:rPr>
          </w:pPr>
          <w:r w:rsidRPr="00093241">
            <w:rPr>
              <w:rFonts w:ascii="Calibri" w:eastAsia="Calibri" w:hAnsi="Calibri" w:cs="Times New Roman"/>
            </w:rPr>
            <w:t>Products that have entered the EEZ, but due to shipping routes have temporarily left the EEZ on course for an Australian port, are now considered to be within the EEZ.</w:t>
          </w:r>
        </w:p>
        <w:p w14:paraId="224E25AF" w14:textId="77777777" w:rsidR="00093241" w:rsidRPr="00093241" w:rsidRDefault="00093241" w:rsidP="0037564F">
          <w:pPr>
            <w:numPr>
              <w:ilvl w:val="1"/>
              <w:numId w:val="23"/>
            </w:numPr>
            <w:contextualSpacing/>
            <w:rPr>
              <w:rFonts w:ascii="Calibri" w:eastAsia="Calibri" w:hAnsi="Calibri" w:cs="Times New Roman"/>
            </w:rPr>
          </w:pPr>
          <w:r w:rsidRPr="00093241">
            <w:rPr>
              <w:rFonts w:ascii="Calibri" w:eastAsia="Calibri" w:hAnsi="Calibri" w:cs="Times New Roman"/>
            </w:rPr>
            <w:t xml:space="preserve">The CCD instrument was changed to include a transitional period where the allowance of EEZ stock to be counted towards an MSO will not correspond to an increase in CCDs until 1 July 2024. See the ‘consumption cover days’ section below. </w:t>
          </w:r>
        </w:p>
        <w:p w14:paraId="2B0864B8"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Pipeline stocks</w:t>
          </w:r>
          <w:r w:rsidRPr="00093241">
            <w:rPr>
              <w:rFonts w:ascii="Calibri" w:eastAsia="Calibri" w:hAnsi="Calibri" w:cs="Times New Roman"/>
            </w:rPr>
            <w:t xml:space="preserve"> (section 7) – in response to requests for all stocks held within a pipeline under the control of an entity to be counted toward an entity’s MSO, this is now reflected within the Rules. </w:t>
          </w:r>
        </w:p>
        <w:p w14:paraId="7C0CBEE2" w14:textId="77777777" w:rsidR="00093241" w:rsidRPr="00093241" w:rsidRDefault="00093241" w:rsidP="0037564F">
          <w:pPr>
            <w:numPr>
              <w:ilvl w:val="1"/>
              <w:numId w:val="23"/>
            </w:numPr>
            <w:contextualSpacing/>
            <w:rPr>
              <w:rFonts w:ascii="Calibri" w:eastAsia="Calibri" w:hAnsi="Calibri" w:cs="Times New Roman"/>
            </w:rPr>
          </w:pPr>
          <w:r w:rsidRPr="00093241">
            <w:rPr>
              <w:rFonts w:ascii="Calibri" w:eastAsia="Calibri" w:hAnsi="Calibri" w:cs="Times New Roman"/>
            </w:rPr>
            <w:t>The Rules allow MSO products within a pipeline to be included towards an entity’s MSO where entities confirm adequate arrangements for access to the stocks in the event of a fuel emergency, and accurate reporting capabilities within their MSO plans.</w:t>
          </w:r>
        </w:p>
        <w:p w14:paraId="1003CE5A"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Thresholds</w:t>
          </w:r>
        </w:p>
        <w:p w14:paraId="7D101C0C"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Provision to protect against entities purposely avoiding the threshold</w:t>
          </w:r>
          <w:r w:rsidRPr="00093241">
            <w:rPr>
              <w:rFonts w:ascii="Calibri" w:eastAsia="Calibri" w:hAnsi="Calibri" w:cs="Times New Roman"/>
            </w:rPr>
            <w:t xml:space="preserve"> (subsection 17(2)) – the Rules now introduce a mechanism for the Secretary to change the threshold for an individual entity down to 10ML (for each MSO product) if the entity’s refining or importing is considered to be carried out with a purpose or object of purposely avoiding the threshold.</w:t>
          </w:r>
        </w:p>
        <w:p w14:paraId="6E10F1E4"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Ensuring entities are captured based on pre COVID-19 import/refining activity</w:t>
          </w:r>
          <w:r w:rsidRPr="00093241">
            <w:rPr>
              <w:rFonts w:ascii="Calibri" w:eastAsia="Calibri" w:hAnsi="Calibri" w:cs="Times New Roman"/>
            </w:rPr>
            <w:t xml:space="preserve"> (section 16) – for the first year of the scheme, whether or not an entity meets the threshold (and is subject to an MSO) is determined from both the 2019 and 2021 entity import/refining volumes, while the actual volume obligation will be based on 2021 import/refining data. </w:t>
          </w:r>
        </w:p>
        <w:p w14:paraId="1B1CA9A6" w14:textId="77777777" w:rsidR="00093241" w:rsidRPr="00093241" w:rsidRDefault="00093241" w:rsidP="0037564F">
          <w:pPr>
            <w:numPr>
              <w:ilvl w:val="1"/>
              <w:numId w:val="23"/>
            </w:numPr>
            <w:contextualSpacing/>
            <w:rPr>
              <w:rFonts w:ascii="Calibri" w:eastAsia="Calibri" w:hAnsi="Calibri" w:cs="Times New Roman"/>
            </w:rPr>
          </w:pPr>
          <w:r w:rsidRPr="00093241">
            <w:rPr>
              <w:rFonts w:ascii="Calibri" w:eastAsia="Calibri" w:hAnsi="Calibri" w:cs="Times New Roman"/>
            </w:rPr>
            <w:t xml:space="preserve">This ensures significant market participants are not excluded from the scheme in the first year, as result of reduced importing or refining activity due to COVID-19. </w:t>
          </w:r>
        </w:p>
        <w:p w14:paraId="35A4F57C" w14:textId="77777777" w:rsidR="00093241" w:rsidRPr="00093241" w:rsidRDefault="00093241" w:rsidP="0037564F">
          <w:pPr>
            <w:numPr>
              <w:ilvl w:val="1"/>
              <w:numId w:val="23"/>
            </w:numPr>
            <w:contextualSpacing/>
            <w:rPr>
              <w:rFonts w:ascii="Calibri" w:eastAsia="Calibri" w:hAnsi="Calibri" w:cs="Times New Roman"/>
            </w:rPr>
          </w:pPr>
          <w:r w:rsidRPr="00093241">
            <w:rPr>
              <w:rFonts w:ascii="Calibri" w:eastAsia="Calibri" w:hAnsi="Calibri" w:cs="Times New Roman"/>
            </w:rPr>
            <w:t xml:space="preserve">However, entities will benefit from a reduced obligation through the scheme’s infancy/transitional period where they imported or refined less than normal during 2021.   </w:t>
          </w:r>
        </w:p>
        <w:p w14:paraId="146A6805"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Ensuring the principle that 98 per cent of all products are captured by the MSO is maintained post COVID-19, and further disincentives for avoidance behaviour</w:t>
          </w:r>
          <w:r w:rsidRPr="00093241">
            <w:rPr>
              <w:rFonts w:ascii="Calibri" w:eastAsia="Calibri" w:hAnsi="Calibri" w:cs="Times New Roman"/>
            </w:rPr>
            <w:t xml:space="preserve"> – the Explanatory Statement supporting the Rules now makes it clear the target aim of capturing the majority (defined as approximately 98 per cent) of total products in the market is to be </w:t>
          </w:r>
          <w:r w:rsidRPr="00093241">
            <w:rPr>
              <w:rFonts w:ascii="Calibri" w:eastAsia="Calibri" w:hAnsi="Calibri" w:cs="Times New Roman"/>
            </w:rPr>
            <w:lastRenderedPageBreak/>
            <w:t xml:space="preserve">maintained, and thresholds should be reviewed periodically to ensure this principle is achieved.  </w:t>
          </w:r>
        </w:p>
        <w:p w14:paraId="512556B7" w14:textId="77777777" w:rsidR="00093241" w:rsidRPr="00093241" w:rsidRDefault="00093241" w:rsidP="0037564F">
          <w:pPr>
            <w:numPr>
              <w:ilvl w:val="1"/>
              <w:numId w:val="23"/>
            </w:numPr>
            <w:contextualSpacing/>
            <w:rPr>
              <w:rFonts w:ascii="Calibri" w:eastAsia="Calibri" w:hAnsi="Calibri" w:cs="Times New Roman"/>
            </w:rPr>
          </w:pPr>
          <w:r w:rsidRPr="00093241">
            <w:rPr>
              <w:rFonts w:ascii="Calibri" w:eastAsia="Calibri" w:hAnsi="Calibri" w:cs="Times New Roman"/>
            </w:rPr>
            <w:t>This provides a mechanism to address a concern that currently smaller importers of fuels (existing or new entrants) could increase their market share up to the thresholds for each fuel type, or that several new entrants could access the market with a view to remaining below the thresholds at all times, resulting in a larger proportion of the market not being covered by the obligation.</w:t>
          </w:r>
        </w:p>
        <w:p w14:paraId="207C8E96"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Consumption cover days</w:t>
          </w:r>
        </w:p>
        <w:p w14:paraId="6576DDBE"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Additional CCDs relating to crude at refineries</w:t>
          </w:r>
          <w:r w:rsidRPr="00093241">
            <w:rPr>
              <w:rFonts w:ascii="Calibri" w:eastAsia="Calibri" w:hAnsi="Calibri" w:cs="Times New Roman"/>
            </w:rPr>
            <w:t xml:space="preserve"> – in response to concerns around increased burden, the previously proposed additional CCDs relating to the allowance of crude (held at a refinery) to be counted as stock held by refiners is not included in the CCDs. </w:t>
          </w:r>
        </w:p>
        <w:p w14:paraId="1C25A648"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Additional CCDs relating to EEZ Stocks</w:t>
          </w:r>
          <w:r w:rsidRPr="00093241">
            <w:rPr>
              <w:rFonts w:ascii="Calibri" w:eastAsia="Calibri" w:hAnsi="Calibri" w:cs="Times New Roman"/>
            </w:rPr>
            <w:t xml:space="preserve"> (refer draft notifiable instrument, also listed below) – in response to concerns around ensuring appropriate transitional provisions are provided, the increase of CCDs related to the inclusion of refined products within the EEZ in stocks counted towards the MSO is moved from commencement to 1 July 2024. This transitional period will afford industry a significantly reduced regulatory burden through the scheme’s infancy and provide flexibility for industry meeting the obligation in the first year.</w:t>
          </w:r>
        </w:p>
        <w:p w14:paraId="6B68CCFA"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 xml:space="preserve">Reductions/adjustments to an entity’s MSO </w:t>
          </w:r>
        </w:p>
        <w:p w14:paraId="2E8C9532"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 xml:space="preserve">Temporary reductions due to maintenance, repair, shipping delays and off-spec fuel </w:t>
          </w:r>
          <w:r w:rsidRPr="00093241">
            <w:rPr>
              <w:rFonts w:ascii="Calibri" w:eastAsia="Calibri" w:hAnsi="Calibri" w:cs="Times New Roman"/>
            </w:rPr>
            <w:t xml:space="preserve">(sections 25 and 26) – provisions are now included in the Rules to support a temporary reduction (by application) of the MSO for certain scheduled and unscheduled occurrences. </w:t>
          </w:r>
        </w:p>
        <w:p w14:paraId="62447B19"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Process to ensure the first year MSO is able to be adjusted if import/refining data was inaccurate</w:t>
          </w:r>
          <w:r w:rsidRPr="00093241">
            <w:rPr>
              <w:rFonts w:ascii="Calibri" w:eastAsia="Calibri" w:hAnsi="Calibri" w:cs="Times New Roman"/>
            </w:rPr>
            <w:t xml:space="preserve"> (section 27) – noting the first year of the MSO is be based on Customs data instead of data reported directly through POFR, some inaccuracies may arise. As such, the Rules now enable a mechanism to adjust the MSO for an entity based on supporting evidence that demonstrates the right figures. </w:t>
          </w:r>
        </w:p>
        <w:p w14:paraId="78336969" w14:textId="77777777" w:rsidR="00093241" w:rsidRPr="00093241" w:rsidRDefault="00093241" w:rsidP="0037564F">
          <w:pPr>
            <w:numPr>
              <w:ilvl w:val="0"/>
              <w:numId w:val="23"/>
            </w:numPr>
            <w:contextualSpacing/>
            <w:rPr>
              <w:rFonts w:ascii="Calibri" w:eastAsia="Calibri" w:hAnsi="Calibri" w:cs="Times New Roman"/>
            </w:rPr>
          </w:pPr>
          <w:r w:rsidRPr="00093241">
            <w:rPr>
              <w:rFonts w:ascii="Calibri" w:eastAsia="Calibri" w:hAnsi="Calibri" w:cs="Times New Roman"/>
              <w:u w:val="single"/>
            </w:rPr>
            <w:t>Process to reduce the MSO over the transitional period where entities are unable to meet the MSO due to physical storage constraints and where the intermediary market is not a viable option</w:t>
          </w:r>
          <w:r w:rsidRPr="00093241">
            <w:rPr>
              <w:rFonts w:ascii="Calibri" w:eastAsia="Calibri" w:hAnsi="Calibri" w:cs="Times New Roman"/>
            </w:rPr>
            <w:t xml:space="preserve"> (section 23) – an entity’s MSO can now be reduced subject to the criteria in the Rules. This provides further support and flexibility where a path toward full compliance is evidenced.  </w:t>
          </w:r>
        </w:p>
        <w:p w14:paraId="675FE098"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br w:type="page"/>
          </w:r>
        </w:p>
        <w:p w14:paraId="6438265F" w14:textId="77777777" w:rsidR="00093241" w:rsidRPr="00093241" w:rsidRDefault="00093241" w:rsidP="00093241">
          <w:pPr>
            <w:keepNext/>
            <w:keepLines/>
            <w:spacing w:before="240" w:after="80"/>
            <w:outlineLvl w:val="0"/>
            <w:rPr>
              <w:rFonts w:ascii="Calibri" w:eastAsia="Times New Roman" w:hAnsi="Calibri" w:cs="Times New Roman"/>
              <w:color w:val="083A42"/>
              <w:sz w:val="36"/>
              <w:szCs w:val="36"/>
            </w:rPr>
          </w:pPr>
          <w:bookmarkStart w:id="137" w:name="_Toc98512042"/>
          <w:bookmarkStart w:id="138" w:name="_Toc98518286"/>
          <w:bookmarkStart w:id="139" w:name="_Toc117259541"/>
          <w:bookmarkStart w:id="140" w:name="_Toc117262240"/>
          <w:bookmarkStart w:id="141" w:name="_Toc117262599"/>
          <w:bookmarkStart w:id="142" w:name="_Toc117512026"/>
          <w:bookmarkStart w:id="143" w:name="_Toc117516976"/>
          <w:bookmarkStart w:id="144" w:name="_Toc117775516"/>
          <w:r w:rsidRPr="00093241">
            <w:rPr>
              <w:rFonts w:ascii="Calibri" w:eastAsia="Times New Roman" w:hAnsi="Calibri" w:cs="Times New Roman"/>
              <w:color w:val="083A42"/>
              <w:sz w:val="36"/>
              <w:szCs w:val="36"/>
            </w:rPr>
            <w:lastRenderedPageBreak/>
            <w:t>Appendix B: Overview of further changes as result of public consultation on exposure draft Rules</w:t>
          </w:r>
          <w:bookmarkEnd w:id="137"/>
          <w:bookmarkEnd w:id="138"/>
          <w:bookmarkEnd w:id="139"/>
          <w:bookmarkEnd w:id="140"/>
          <w:bookmarkEnd w:id="141"/>
          <w:bookmarkEnd w:id="142"/>
          <w:bookmarkEnd w:id="143"/>
          <w:bookmarkEnd w:id="144"/>
        </w:p>
        <w:p w14:paraId="5924EDB7" w14:textId="77777777" w:rsidR="00093241" w:rsidRPr="00093241" w:rsidRDefault="00093241" w:rsidP="00093241">
          <w:pPr>
            <w:rPr>
              <w:rFonts w:ascii="Calibri" w:eastAsia="Calibri" w:hAnsi="Calibri" w:cs="Calibri"/>
            </w:rPr>
          </w:pPr>
          <w:r w:rsidRPr="00093241">
            <w:rPr>
              <w:rFonts w:ascii="Calibri" w:eastAsia="Calibri" w:hAnsi="Calibri" w:cs="Calibri"/>
            </w:rPr>
            <w:t xml:space="preserve">The below policy changes were incorporated into the MSO Rules as amendments in response to 31 January – 28 February 2022 public consultation. </w:t>
          </w:r>
        </w:p>
        <w:p w14:paraId="78C07233"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Importer definition</w:t>
          </w:r>
        </w:p>
        <w:p w14:paraId="09E9FDE0" w14:textId="77777777" w:rsidR="00093241" w:rsidRPr="00093241" w:rsidRDefault="00093241" w:rsidP="0037564F">
          <w:pPr>
            <w:numPr>
              <w:ilvl w:val="0"/>
              <w:numId w:val="24"/>
            </w:numPr>
            <w:contextualSpacing/>
            <w:rPr>
              <w:rFonts w:ascii="Calibri" w:eastAsia="Calibri" w:hAnsi="Calibri" w:cs="Calibri"/>
              <w:u w:val="single"/>
            </w:rPr>
          </w:pPr>
          <w:r w:rsidRPr="00093241">
            <w:rPr>
              <w:rFonts w:ascii="Calibri" w:eastAsia="Calibri" w:hAnsi="Calibri" w:cs="Calibri"/>
              <w:u w:val="single"/>
            </w:rPr>
            <w:t>Additional clarification on the importing definition</w:t>
          </w:r>
          <w:r w:rsidRPr="00093241">
            <w:rPr>
              <w:rFonts w:ascii="Calibri" w:eastAsia="Calibri" w:hAnsi="Calibri" w:cs="Calibri"/>
            </w:rPr>
            <w:t xml:space="preserve"> (section 5) – where importation of an MSO product is done on behalf of a second entity, a provision is now included to allow the ability of the imported quantity to be shifted from the first party if mutually agreed by both parties. </w:t>
          </w:r>
        </w:p>
        <w:p w14:paraId="70BD2ADA" w14:textId="77777777" w:rsidR="00093241" w:rsidRPr="00093241" w:rsidRDefault="00093241" w:rsidP="0037564F">
          <w:pPr>
            <w:numPr>
              <w:ilvl w:val="1"/>
              <w:numId w:val="24"/>
            </w:numPr>
            <w:contextualSpacing/>
            <w:rPr>
              <w:rFonts w:ascii="Calibri" w:eastAsia="Calibri" w:hAnsi="Calibri" w:cs="Calibri"/>
            </w:rPr>
          </w:pPr>
          <w:r w:rsidRPr="00093241">
            <w:rPr>
              <w:rFonts w:ascii="Calibri" w:eastAsia="Calibri" w:hAnsi="Calibri" w:cs="Calibri"/>
            </w:rPr>
            <w:t xml:space="preserve">For these commercial practices to be covered, the Rules introduce that the Secretary must not have informed both parties that their actions are considered a means to avoid the threshold amount. </w:t>
          </w:r>
        </w:p>
        <w:p w14:paraId="2421DB0B" w14:textId="77777777" w:rsidR="00093241" w:rsidRPr="00093241" w:rsidRDefault="00093241" w:rsidP="0037564F">
          <w:pPr>
            <w:numPr>
              <w:ilvl w:val="1"/>
              <w:numId w:val="24"/>
            </w:numPr>
            <w:contextualSpacing/>
            <w:rPr>
              <w:rFonts w:ascii="Calibri" w:eastAsia="Calibri" w:hAnsi="Calibri" w:cs="Calibri"/>
            </w:rPr>
          </w:pPr>
          <w:r w:rsidRPr="00093241">
            <w:rPr>
              <w:rFonts w:ascii="Calibri" w:eastAsia="Calibri" w:hAnsi="Calibri" w:cs="Calibri"/>
            </w:rPr>
            <w:t>If both MSO parties do not agree in writing with the change in importing quantities, the importing amount attributed to the MSO will be the signee of the N10 and N30 forms. </w:t>
          </w:r>
        </w:p>
        <w:p w14:paraId="41DCF390"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Holding stock</w:t>
          </w:r>
        </w:p>
        <w:p w14:paraId="5478A87D" w14:textId="77777777" w:rsidR="00093241" w:rsidRPr="00093241" w:rsidRDefault="00093241" w:rsidP="0037564F">
          <w:pPr>
            <w:numPr>
              <w:ilvl w:val="0"/>
              <w:numId w:val="26"/>
            </w:numPr>
            <w:contextualSpacing/>
            <w:rPr>
              <w:rFonts w:ascii="Calibri" w:eastAsia="Calibri" w:hAnsi="Calibri" w:cs="Calibri"/>
            </w:rPr>
          </w:pPr>
          <w:r w:rsidRPr="00093241">
            <w:rPr>
              <w:rFonts w:ascii="Calibri" w:eastAsia="Calibri" w:hAnsi="Calibri" w:cs="Calibri"/>
              <w:u w:val="single"/>
            </w:rPr>
            <w:t>Yield rates for refineries</w:t>
          </w:r>
          <w:r w:rsidRPr="00093241">
            <w:rPr>
              <w:rFonts w:ascii="Calibri" w:eastAsia="Calibri" w:hAnsi="Calibri" w:cs="Calibri"/>
            </w:rPr>
            <w:t xml:space="preserve"> (section 13) – provisions are now included to provide refiners flexibility to use either their current refining yields or the FSSP Rule yields.</w:t>
          </w:r>
        </w:p>
        <w:p w14:paraId="33E4A0B2" w14:textId="77777777" w:rsidR="00093241" w:rsidRPr="00093241" w:rsidRDefault="00093241" w:rsidP="0037564F">
          <w:pPr>
            <w:numPr>
              <w:ilvl w:val="1"/>
              <w:numId w:val="26"/>
            </w:numPr>
            <w:contextualSpacing/>
            <w:rPr>
              <w:rFonts w:ascii="Calibri" w:eastAsia="Calibri" w:hAnsi="Calibri" w:cs="Calibri"/>
            </w:rPr>
          </w:pPr>
          <w:r w:rsidRPr="00093241">
            <w:rPr>
              <w:rFonts w:ascii="Calibri" w:eastAsia="Calibri" w:hAnsi="Calibri" w:cs="Calibri"/>
            </w:rPr>
            <w:t xml:space="preserve">Yield rates are required in a refiner’s MSO compliance plan and adjusted accordingly with any changes to the yield rates. The Rules require the current yield rates to be based on at least a month of production volumes. </w:t>
          </w:r>
        </w:p>
        <w:p w14:paraId="64F5ABF9" w14:textId="77777777" w:rsidR="00093241" w:rsidRPr="00093241" w:rsidRDefault="00093241" w:rsidP="00093241">
          <w:pPr>
            <w:spacing w:before="240" w:after="40"/>
            <w:rPr>
              <w:rFonts w:ascii="Calibri" w:eastAsia="Calibri" w:hAnsi="Calibri" w:cs="Times New Roman"/>
              <w:color w:val="083A42"/>
              <w:highlight w:val="yellow"/>
            </w:rPr>
          </w:pPr>
          <w:r w:rsidRPr="00093241">
            <w:rPr>
              <w:rFonts w:ascii="Calibri" w:eastAsia="Calibri" w:hAnsi="Calibri" w:cs="Times New Roman"/>
              <w:color w:val="083A42"/>
            </w:rPr>
            <w:t xml:space="preserve">Obligation day </w:t>
          </w:r>
        </w:p>
        <w:p w14:paraId="3FD34B18" w14:textId="77777777" w:rsidR="00093241" w:rsidRPr="00093241" w:rsidRDefault="00093241" w:rsidP="0037564F">
          <w:pPr>
            <w:numPr>
              <w:ilvl w:val="0"/>
              <w:numId w:val="24"/>
            </w:numPr>
            <w:contextualSpacing/>
            <w:rPr>
              <w:rFonts w:ascii="Calibri" w:eastAsia="Calibri" w:hAnsi="Calibri" w:cs="Calibri"/>
            </w:rPr>
          </w:pPr>
          <w:r w:rsidRPr="00093241">
            <w:rPr>
              <w:rFonts w:ascii="Calibri" w:eastAsia="Calibri" w:hAnsi="Calibri" w:cs="Calibri"/>
              <w:u w:val="single"/>
            </w:rPr>
            <w:t>Obligation day changed to Tuesday</w:t>
          </w:r>
          <w:r w:rsidRPr="00093241">
            <w:rPr>
              <w:rFonts w:ascii="Calibri" w:eastAsia="Calibri" w:hAnsi="Calibri" w:cs="Calibri"/>
            </w:rPr>
            <w:t xml:space="preserve"> (subsection 15(1)) – the obligation day is shifted from Monday to Tuesday at the request of industry. </w:t>
          </w:r>
        </w:p>
        <w:p w14:paraId="27F4B72E"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Thresholds</w:t>
          </w:r>
        </w:p>
        <w:p w14:paraId="722422EB" w14:textId="77777777" w:rsidR="00093241" w:rsidRPr="00093241" w:rsidRDefault="00093241" w:rsidP="0037564F">
          <w:pPr>
            <w:numPr>
              <w:ilvl w:val="0"/>
              <w:numId w:val="24"/>
            </w:numPr>
            <w:contextualSpacing/>
            <w:rPr>
              <w:rFonts w:ascii="Calibri" w:eastAsia="Calibri" w:hAnsi="Calibri" w:cs="Calibri"/>
            </w:rPr>
          </w:pPr>
          <w:r w:rsidRPr="00093241">
            <w:rPr>
              <w:rFonts w:ascii="Calibri" w:eastAsia="Calibri" w:hAnsi="Calibri" w:cs="Calibri"/>
              <w:u w:val="single"/>
            </w:rPr>
            <w:t>Volumes lowered for each fuel product</w:t>
          </w:r>
          <w:r w:rsidRPr="00093241">
            <w:rPr>
              <w:rFonts w:ascii="Calibri" w:eastAsia="Calibri" w:hAnsi="Calibri" w:cs="Calibri"/>
            </w:rPr>
            <w:t xml:space="preserve"> (subsection 17(1)) – in response to industry concerns on the thresholds being too high, they were reduced by 100ML for gasoline and diesel, and reduced by 150ML for kerosene. This has no material impact on the number of entities at commencement. </w:t>
          </w:r>
        </w:p>
        <w:p w14:paraId="6F5C8EF3"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Transitional arrangements and temporary reductions</w:t>
          </w:r>
        </w:p>
        <w:p w14:paraId="4CE4EA9A" w14:textId="77777777" w:rsidR="00093241" w:rsidRPr="00093241" w:rsidRDefault="00093241" w:rsidP="0037564F">
          <w:pPr>
            <w:numPr>
              <w:ilvl w:val="0"/>
              <w:numId w:val="27"/>
            </w:numPr>
            <w:contextualSpacing/>
            <w:rPr>
              <w:rFonts w:ascii="Calibri" w:eastAsia="Calibri" w:hAnsi="Calibri" w:cs="Calibri"/>
              <w:u w:val="single"/>
            </w:rPr>
          </w:pPr>
          <w:r w:rsidRPr="00093241">
            <w:rPr>
              <w:rFonts w:ascii="Calibri" w:eastAsia="Calibri" w:hAnsi="Calibri" w:cs="Calibri"/>
              <w:u w:val="single"/>
            </w:rPr>
            <w:t>Percentages increased for transitional arrangements</w:t>
          </w:r>
          <w:r w:rsidRPr="00093241">
            <w:rPr>
              <w:rFonts w:ascii="Calibri" w:eastAsia="Calibri" w:hAnsi="Calibri" w:cs="Calibri"/>
            </w:rPr>
            <w:t xml:space="preserve"> (subsection 23(2)) – to support industry adjust to the new scheme, the amount an entity may apply for a temporary reduction has increased from 20 per cent to 25 per cent, with the 15ML cap remaining. </w:t>
          </w:r>
        </w:p>
        <w:p w14:paraId="0508E633" w14:textId="77777777" w:rsidR="00093241" w:rsidRPr="00093241" w:rsidRDefault="00093241" w:rsidP="0037564F">
          <w:pPr>
            <w:numPr>
              <w:ilvl w:val="0"/>
              <w:numId w:val="27"/>
            </w:numPr>
            <w:contextualSpacing/>
            <w:rPr>
              <w:rFonts w:ascii="Calibri" w:eastAsia="Calibri" w:hAnsi="Calibri" w:cs="Calibri"/>
            </w:rPr>
          </w:pPr>
          <w:r w:rsidRPr="00093241">
            <w:rPr>
              <w:rFonts w:ascii="Calibri" w:eastAsia="Calibri" w:hAnsi="Calibri" w:cs="Calibri"/>
              <w:u w:val="single"/>
            </w:rPr>
            <w:t>MSO reduction as result of loss of contract</w:t>
          </w:r>
          <w:r w:rsidRPr="00093241">
            <w:rPr>
              <w:rFonts w:ascii="Calibri" w:eastAsia="Calibri" w:hAnsi="Calibri" w:cs="Calibri"/>
            </w:rPr>
            <w:t xml:space="preserve"> (subsection 22(1)) – an amendment was added to the Rules so that larger MSO regulated entities are not disproportionately affected by the percentage threshold values for the loss of contract/s. </w:t>
          </w:r>
        </w:p>
        <w:p w14:paraId="4173D43F" w14:textId="77777777" w:rsidR="00093241" w:rsidRPr="00093241" w:rsidRDefault="00093241" w:rsidP="0037564F">
          <w:pPr>
            <w:numPr>
              <w:ilvl w:val="1"/>
              <w:numId w:val="27"/>
            </w:numPr>
            <w:contextualSpacing/>
            <w:rPr>
              <w:rFonts w:ascii="Calibri" w:eastAsia="Calibri" w:hAnsi="Calibri" w:cs="Calibri"/>
            </w:rPr>
          </w:pPr>
          <w:r w:rsidRPr="00093241">
            <w:rPr>
              <w:rFonts w:ascii="Calibri" w:eastAsia="Calibri" w:hAnsi="Calibri" w:cs="Calibri"/>
            </w:rPr>
            <w:t xml:space="preserve">The Rules were amended to include either a 100ML change in future importing volumes for the MSO period to be considered a significant loss of contract or a 20 per cent reduction (whichever is the lesser). </w:t>
          </w:r>
        </w:p>
        <w:p w14:paraId="13A244B0" w14:textId="77777777" w:rsidR="00093241" w:rsidRPr="00093241" w:rsidRDefault="00093241" w:rsidP="00093241">
          <w:pPr>
            <w:rPr>
              <w:rFonts w:ascii="Calibri" w:eastAsia="Times New Roman" w:hAnsi="Calibri" w:cs="Calibri"/>
              <w:color w:val="2E74B5"/>
              <w:sz w:val="26"/>
              <w:szCs w:val="26"/>
            </w:rPr>
          </w:pPr>
          <w:r w:rsidRPr="00093241">
            <w:rPr>
              <w:rFonts w:ascii="Calibri" w:eastAsia="Times New Roman" w:hAnsi="Calibri" w:cs="Calibri"/>
              <w:color w:val="2E74B5"/>
              <w:sz w:val="26"/>
              <w:szCs w:val="26"/>
            </w:rPr>
            <w:br w:type="page"/>
          </w:r>
        </w:p>
        <w:p w14:paraId="5331D892"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lastRenderedPageBreak/>
            <w:t xml:space="preserve">Intermediary market monitoring </w:t>
          </w:r>
        </w:p>
        <w:p w14:paraId="3A4E4191" w14:textId="77777777" w:rsidR="00093241" w:rsidRPr="00093241" w:rsidRDefault="00093241" w:rsidP="0037564F">
          <w:pPr>
            <w:numPr>
              <w:ilvl w:val="0"/>
              <w:numId w:val="26"/>
            </w:numPr>
            <w:contextualSpacing/>
            <w:rPr>
              <w:rFonts w:ascii="Calibri" w:eastAsia="Calibri" w:hAnsi="Calibri" w:cs="Calibri"/>
            </w:rPr>
          </w:pPr>
          <w:r w:rsidRPr="00093241">
            <w:rPr>
              <w:rFonts w:ascii="Calibri" w:eastAsia="Calibri" w:hAnsi="Calibri" w:cs="Calibri"/>
              <w:u w:val="single"/>
            </w:rPr>
            <w:t>Provisions monitoring the intermediary market</w:t>
          </w:r>
          <w:r w:rsidRPr="00093241">
            <w:rPr>
              <w:rFonts w:ascii="Calibri" w:eastAsia="Calibri" w:hAnsi="Calibri" w:cs="Calibri"/>
            </w:rPr>
            <w:t xml:space="preserve"> (subsection 42(1)) – additional provisions require the Secretary to take reasonable steps to monitor the price and availability of stock available on the intermediary market.</w:t>
          </w:r>
        </w:p>
        <w:p w14:paraId="67361A0F" w14:textId="77777777" w:rsidR="00093241" w:rsidRPr="00093241" w:rsidRDefault="00093241" w:rsidP="0037564F">
          <w:pPr>
            <w:numPr>
              <w:ilvl w:val="0"/>
              <w:numId w:val="26"/>
            </w:numPr>
            <w:contextualSpacing/>
            <w:rPr>
              <w:rFonts w:ascii="Calibri" w:eastAsia="Calibri" w:hAnsi="Calibri" w:cs="Calibri"/>
              <w:u w:val="single"/>
            </w:rPr>
          </w:pPr>
          <w:r w:rsidRPr="00093241">
            <w:rPr>
              <w:rFonts w:ascii="Calibri" w:eastAsia="Calibri" w:hAnsi="Calibri" w:cs="Calibri"/>
              <w:u w:val="single"/>
            </w:rPr>
            <w:t>Publication of intermediary market information</w:t>
          </w:r>
          <w:r w:rsidRPr="00093241">
            <w:rPr>
              <w:rFonts w:ascii="Calibri" w:eastAsia="Calibri" w:hAnsi="Calibri" w:cs="Calibri"/>
            </w:rPr>
            <w:t xml:space="preserve"> (subsection 42(2)) – to assist entities with their MSO compliance, the Rules provide that the Secretary may publish information about the intermediary market. </w:t>
          </w:r>
        </w:p>
        <w:p w14:paraId="2192AF1B"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Publication of information by the Secretary</w:t>
          </w:r>
        </w:p>
        <w:p w14:paraId="135469BD" w14:textId="77777777" w:rsidR="00093241" w:rsidRPr="00093241" w:rsidRDefault="00093241" w:rsidP="0037564F">
          <w:pPr>
            <w:numPr>
              <w:ilvl w:val="0"/>
              <w:numId w:val="25"/>
            </w:numPr>
            <w:contextualSpacing/>
            <w:rPr>
              <w:rFonts w:ascii="Calibri" w:eastAsia="Calibri" w:hAnsi="Calibri" w:cs="Calibri"/>
            </w:rPr>
          </w:pPr>
          <w:r w:rsidRPr="00093241">
            <w:rPr>
              <w:rFonts w:ascii="Calibri" w:eastAsia="Calibri" w:hAnsi="Calibri" w:cs="Calibri"/>
              <w:u w:val="single"/>
            </w:rPr>
            <w:t>Publication of aggregate MSO products</w:t>
          </w:r>
          <w:r w:rsidRPr="00093241">
            <w:rPr>
              <w:rFonts w:ascii="Calibri" w:eastAsia="Calibri" w:hAnsi="Calibri" w:cs="Calibri"/>
            </w:rPr>
            <w:t xml:space="preserve"> (subsection 43(1)) – to provide transparency for industry and consumers, the Rules now establish a requirement for the Secretary to publish:</w:t>
          </w:r>
        </w:p>
        <w:p w14:paraId="286943B7" w14:textId="77777777" w:rsidR="00093241" w:rsidRPr="00093241" w:rsidRDefault="00093241" w:rsidP="0037564F">
          <w:pPr>
            <w:numPr>
              <w:ilvl w:val="1"/>
              <w:numId w:val="25"/>
            </w:numPr>
            <w:contextualSpacing/>
            <w:rPr>
              <w:rFonts w:ascii="Calibri" w:eastAsia="Calibri" w:hAnsi="Calibri" w:cs="Calibri"/>
            </w:rPr>
          </w:pPr>
          <w:r w:rsidRPr="00093241">
            <w:rPr>
              <w:rFonts w:ascii="Calibri" w:eastAsia="Calibri" w:hAnsi="Calibri" w:cs="Calibri"/>
            </w:rPr>
            <w:t>The number of entities subject to the MSO.</w:t>
          </w:r>
        </w:p>
        <w:p w14:paraId="695784F7" w14:textId="77777777" w:rsidR="00093241" w:rsidRPr="00093241" w:rsidRDefault="00093241" w:rsidP="0037564F">
          <w:pPr>
            <w:numPr>
              <w:ilvl w:val="1"/>
              <w:numId w:val="25"/>
            </w:numPr>
            <w:contextualSpacing/>
            <w:rPr>
              <w:rFonts w:ascii="Calibri" w:eastAsia="Calibri" w:hAnsi="Calibri" w:cs="Calibri"/>
            </w:rPr>
          </w:pPr>
          <w:r w:rsidRPr="00093241">
            <w:rPr>
              <w:rFonts w:ascii="Calibri" w:eastAsia="Calibri" w:hAnsi="Calibri" w:cs="Calibri"/>
            </w:rPr>
            <w:t xml:space="preserve">The aggregate MSO volume of product required to be held be all entities in the previous financial year. </w:t>
          </w:r>
        </w:p>
        <w:p w14:paraId="5D94EE7E" w14:textId="77777777" w:rsidR="00093241" w:rsidRPr="00093241" w:rsidRDefault="00093241" w:rsidP="0037564F">
          <w:pPr>
            <w:numPr>
              <w:ilvl w:val="1"/>
              <w:numId w:val="25"/>
            </w:numPr>
            <w:contextualSpacing/>
            <w:rPr>
              <w:rFonts w:ascii="Calibri" w:eastAsia="Calibri" w:hAnsi="Calibri" w:cs="Calibri"/>
            </w:rPr>
          </w:pPr>
          <w:r w:rsidRPr="00093241">
            <w:rPr>
              <w:rFonts w:ascii="Calibri" w:eastAsia="Calibri" w:hAnsi="Calibri" w:cs="Calibri"/>
            </w:rPr>
            <w:t xml:space="preserve">An estimate of the percentage of each MSO product captured in the previous financial year and the entities captured to reach this percentage. This enables industry to have visibility whether 98 per cent of the fuel market has been captured, with the understanding that thresholds will be periodically reviewed to ensure the principle is maintained. </w:t>
          </w:r>
        </w:p>
        <w:p w14:paraId="358E2DCB" w14:textId="77777777" w:rsidR="00093241" w:rsidRPr="00093241" w:rsidRDefault="00093241" w:rsidP="0037564F">
          <w:pPr>
            <w:numPr>
              <w:ilvl w:val="0"/>
              <w:numId w:val="25"/>
            </w:numPr>
            <w:contextualSpacing/>
            <w:rPr>
              <w:rFonts w:ascii="Calibri" w:eastAsia="Calibri" w:hAnsi="Calibri" w:cs="Calibri"/>
              <w:u w:val="single"/>
            </w:rPr>
          </w:pPr>
          <w:r w:rsidRPr="00093241">
            <w:rPr>
              <w:rFonts w:ascii="Calibri" w:eastAsia="Calibri" w:hAnsi="Calibri" w:cs="Calibri"/>
              <w:u w:val="single"/>
            </w:rPr>
            <w:t>Inclusion of publication of Secretary’s decision of reducing or suspending the MSO</w:t>
          </w:r>
          <w:r w:rsidRPr="00093241">
            <w:rPr>
              <w:rFonts w:ascii="Calibri" w:eastAsia="Calibri" w:hAnsi="Calibri" w:cs="Calibri"/>
            </w:rPr>
            <w:t xml:space="preserve"> (subsection 43(2)) – new provisions in the Rules include that the Secretary may publish general information relating to a temporary reduction of an entity’s MSO or a suspension of the MSO. </w:t>
          </w:r>
        </w:p>
        <w:p w14:paraId="2A7F8C4E"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 xml:space="preserve">Other minor changes </w:t>
          </w:r>
        </w:p>
        <w:p w14:paraId="7A3651B7" w14:textId="77777777" w:rsidR="00093241" w:rsidRPr="00093241" w:rsidRDefault="00093241" w:rsidP="0037564F">
          <w:pPr>
            <w:numPr>
              <w:ilvl w:val="0"/>
              <w:numId w:val="28"/>
            </w:numPr>
            <w:contextualSpacing/>
            <w:rPr>
              <w:rFonts w:ascii="Calibri" w:eastAsia="Calibri" w:hAnsi="Calibri" w:cs="Calibri"/>
              <w:u w:val="single"/>
            </w:rPr>
          </w:pPr>
          <w:r w:rsidRPr="00093241">
            <w:rPr>
              <w:rFonts w:ascii="Calibri" w:eastAsia="Calibri" w:hAnsi="Calibri" w:cs="Calibri"/>
              <w:u w:val="single"/>
            </w:rPr>
            <w:t>Adjustments to MSO from outages stemming from standards upgrades</w:t>
          </w:r>
          <w:r w:rsidRPr="00093241">
            <w:rPr>
              <w:rFonts w:ascii="Calibri" w:eastAsia="Calibri" w:hAnsi="Calibri" w:cs="Calibri"/>
            </w:rPr>
            <w:t xml:space="preserve"> (subsection 21(5)) – in recognition of circumstances relating specifically to the Refinery Upgrades Program curtailing production, the Rules provide that an entity who refines and imports can subtract the difference between their previous refining trigger assessment period and their current importing MSO.  </w:t>
          </w:r>
        </w:p>
        <w:p w14:paraId="10E9E154" w14:textId="77777777" w:rsidR="00093241" w:rsidRPr="00093241" w:rsidRDefault="00093241" w:rsidP="0037564F">
          <w:pPr>
            <w:numPr>
              <w:ilvl w:val="1"/>
              <w:numId w:val="28"/>
            </w:numPr>
            <w:contextualSpacing/>
            <w:rPr>
              <w:rFonts w:ascii="Calibri" w:eastAsia="Calibri" w:hAnsi="Calibri" w:cs="Calibri"/>
              <w:u w:val="single"/>
            </w:rPr>
          </w:pPr>
          <w:r w:rsidRPr="00093241">
            <w:rPr>
              <w:rFonts w:ascii="Calibri" w:eastAsia="Calibri" w:hAnsi="Calibri" w:cs="Calibri"/>
            </w:rPr>
            <w:t xml:space="preserve">The entity must provide in writing the length of the outage and written notice informing when the upgrades are occurring. </w:t>
          </w:r>
        </w:p>
        <w:p w14:paraId="77761320" w14:textId="77777777" w:rsidR="00093241" w:rsidRPr="00093241" w:rsidRDefault="00093241" w:rsidP="0037564F">
          <w:pPr>
            <w:numPr>
              <w:ilvl w:val="0"/>
              <w:numId w:val="28"/>
            </w:numPr>
            <w:contextualSpacing/>
            <w:rPr>
              <w:rFonts w:ascii="Calibri" w:eastAsia="Calibri" w:hAnsi="Calibri" w:cs="Calibri"/>
            </w:rPr>
          </w:pPr>
          <w:r w:rsidRPr="00093241">
            <w:rPr>
              <w:rFonts w:ascii="Calibri" w:eastAsia="Calibri" w:hAnsi="Calibri" w:cs="Calibri"/>
              <w:u w:val="single"/>
            </w:rPr>
            <w:t>Scheduled maintenance information within MSO compliance plans</w:t>
          </w:r>
          <w:r w:rsidRPr="00093241">
            <w:rPr>
              <w:rFonts w:ascii="Calibri" w:eastAsia="Calibri" w:hAnsi="Calibri" w:cs="Calibri"/>
            </w:rPr>
            <w:t xml:space="preserve"> (section 39) – this section introduces that if an entity is anticipating applying for a temporary reduction relating to scheduled maintenance, the entity must provide the known future outages in the MSO compliance plan.</w:t>
          </w:r>
        </w:p>
        <w:p w14:paraId="07C8BB00" w14:textId="77777777" w:rsidR="00093241" w:rsidRPr="00093241" w:rsidRDefault="000111E4" w:rsidP="00093241">
          <w:pPr>
            <w:rPr>
              <w:rFonts w:ascii="Calibri" w:eastAsia="Calibri" w:hAnsi="Calibri" w:cs="Times New Roman"/>
            </w:rPr>
          </w:pPr>
        </w:p>
      </w:sdtContent>
    </w:sdt>
    <w:p w14:paraId="3ABA9297"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br w:type="page"/>
      </w:r>
    </w:p>
    <w:p w14:paraId="22968F69" w14:textId="77777777" w:rsidR="00093241" w:rsidRPr="00093241" w:rsidRDefault="00093241" w:rsidP="00093241">
      <w:pPr>
        <w:keepNext/>
        <w:keepLines/>
        <w:spacing w:before="240" w:after="80"/>
        <w:outlineLvl w:val="0"/>
        <w:rPr>
          <w:rFonts w:ascii="Calibri" w:eastAsia="Times New Roman" w:hAnsi="Calibri" w:cs="Times New Roman"/>
          <w:color w:val="083A42"/>
          <w:sz w:val="36"/>
          <w:szCs w:val="36"/>
        </w:rPr>
      </w:pPr>
      <w:bookmarkStart w:id="145" w:name="_Toc117259542"/>
      <w:bookmarkStart w:id="146" w:name="_Toc117262241"/>
      <w:bookmarkStart w:id="147" w:name="_Toc117262600"/>
      <w:bookmarkStart w:id="148" w:name="_Toc117512027"/>
      <w:bookmarkStart w:id="149" w:name="_Toc117516977"/>
      <w:bookmarkStart w:id="150" w:name="_Toc117775517"/>
      <w:r w:rsidRPr="00093241">
        <w:rPr>
          <w:rFonts w:ascii="Calibri" w:eastAsia="Times New Roman" w:hAnsi="Calibri" w:cs="Times New Roman"/>
          <w:color w:val="083A42"/>
          <w:sz w:val="36"/>
          <w:szCs w:val="36"/>
        </w:rPr>
        <w:lastRenderedPageBreak/>
        <w:t>Appendix C: Overview of changes arising from August 2022 consultation</w:t>
      </w:r>
      <w:bookmarkEnd w:id="145"/>
      <w:bookmarkEnd w:id="146"/>
      <w:bookmarkEnd w:id="147"/>
      <w:bookmarkEnd w:id="148"/>
      <w:bookmarkEnd w:id="149"/>
      <w:bookmarkEnd w:id="150"/>
      <w:r w:rsidRPr="00093241">
        <w:rPr>
          <w:rFonts w:ascii="Calibri" w:eastAsia="Times New Roman" w:hAnsi="Calibri" w:cs="Times New Roman"/>
          <w:color w:val="083A42"/>
          <w:sz w:val="36"/>
          <w:szCs w:val="36"/>
        </w:rPr>
        <w:t xml:space="preserve"> </w:t>
      </w:r>
    </w:p>
    <w:p w14:paraId="05087FD9" w14:textId="77777777" w:rsidR="00093241" w:rsidRPr="00093241" w:rsidRDefault="00093241" w:rsidP="00093241">
      <w:pPr>
        <w:rPr>
          <w:rFonts w:ascii="Calibri" w:eastAsia="Calibri" w:hAnsi="Calibri" w:cs="Times New Roman"/>
        </w:rPr>
      </w:pPr>
      <w:r w:rsidRPr="00093241">
        <w:rPr>
          <w:rFonts w:ascii="Calibri" w:eastAsia="Calibri" w:hAnsi="Calibri" w:cs="Times New Roman"/>
        </w:rPr>
        <w:t xml:space="preserve">The below policy amendments were made as result of final industry engagement in August 2022. </w:t>
      </w:r>
    </w:p>
    <w:p w14:paraId="321D4CFF"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Commencement date</w:t>
      </w:r>
    </w:p>
    <w:p w14:paraId="291FB013" w14:textId="77777777" w:rsidR="00093241" w:rsidRPr="00093241" w:rsidRDefault="00093241" w:rsidP="00835176">
      <w:pPr>
        <w:numPr>
          <w:ilvl w:val="0"/>
          <w:numId w:val="28"/>
        </w:numPr>
        <w:contextualSpacing/>
        <w:rPr>
          <w:rFonts w:ascii="Calibri" w:eastAsia="Calibri" w:hAnsi="Calibri" w:cs="Times New Roman"/>
        </w:rPr>
      </w:pPr>
      <w:r w:rsidRPr="00835176">
        <w:rPr>
          <w:rFonts w:ascii="Calibri" w:eastAsia="Calibri" w:hAnsi="Calibri" w:cs="Calibri"/>
          <w:u w:val="single"/>
        </w:rPr>
        <w:t>Commencement</w:t>
      </w:r>
      <w:r w:rsidRPr="00093241">
        <w:rPr>
          <w:rFonts w:ascii="Calibri" w:eastAsia="Calibri" w:hAnsi="Calibri" w:cs="Times New Roman"/>
          <w:u w:val="single"/>
        </w:rPr>
        <w:t xml:space="preserve"> date changed to 1 July 2023</w:t>
      </w:r>
      <w:r w:rsidRPr="00093241">
        <w:rPr>
          <w:rFonts w:ascii="Calibri" w:eastAsia="Calibri" w:hAnsi="Calibri" w:cs="Times New Roman"/>
        </w:rPr>
        <w:t xml:space="preserve"> – The scheme will begin from 1 July 2023, which will align with the standard contracting cycle, where long-term commitments typically commence in line with the new financial year. </w:t>
      </w:r>
    </w:p>
    <w:p w14:paraId="3FB28FC9" w14:textId="77777777" w:rsidR="00093241" w:rsidRPr="00093241" w:rsidRDefault="00093241" w:rsidP="0037564F">
      <w:pPr>
        <w:numPr>
          <w:ilvl w:val="0"/>
          <w:numId w:val="56"/>
        </w:numPr>
        <w:contextualSpacing/>
        <w:rPr>
          <w:rFonts w:ascii="Calibri" w:eastAsia="Calibri" w:hAnsi="Calibri" w:cs="Times New Roman"/>
        </w:rPr>
      </w:pPr>
      <w:r w:rsidRPr="00093241">
        <w:rPr>
          <w:rFonts w:ascii="Calibri" w:eastAsia="Calibri" w:hAnsi="Calibri" w:cs="Times New Roman"/>
        </w:rPr>
        <w:t>The 1 July 2023 start date will also provide sufficient time to prepare for the necessary reporting, compliance systems and market information.</w:t>
      </w:r>
    </w:p>
    <w:p w14:paraId="4042E56A" w14:textId="77777777" w:rsidR="00093241" w:rsidRPr="00093241" w:rsidRDefault="00093241" w:rsidP="00093241">
      <w:pPr>
        <w:spacing w:before="240" w:after="40"/>
        <w:rPr>
          <w:rFonts w:ascii="Calibri" w:eastAsia="Calibri" w:hAnsi="Calibri" w:cs="Times New Roman"/>
          <w:color w:val="083A42"/>
        </w:rPr>
      </w:pPr>
      <w:r w:rsidRPr="00093241">
        <w:rPr>
          <w:rFonts w:ascii="Calibri" w:eastAsia="Calibri" w:hAnsi="Calibri" w:cs="Times New Roman"/>
          <w:color w:val="083A42"/>
        </w:rPr>
        <w:t xml:space="preserve">Reductions/adjustments to an entity’s MSO </w:t>
      </w:r>
    </w:p>
    <w:p w14:paraId="6167F3B7" w14:textId="77777777" w:rsidR="00093241" w:rsidRPr="00093241" w:rsidRDefault="00093241" w:rsidP="00835176">
      <w:pPr>
        <w:numPr>
          <w:ilvl w:val="0"/>
          <w:numId w:val="28"/>
        </w:numPr>
        <w:contextualSpacing/>
        <w:rPr>
          <w:rFonts w:ascii="Calibri" w:eastAsia="Calibri" w:hAnsi="Calibri" w:cs="Times New Roman"/>
        </w:rPr>
      </w:pPr>
      <w:r w:rsidRPr="00093241">
        <w:rPr>
          <w:rFonts w:ascii="Calibri" w:eastAsia="Calibri" w:hAnsi="Calibri" w:cs="Times New Roman"/>
          <w:u w:val="single"/>
        </w:rPr>
        <w:t>Extension of section 23 transitional arrangements to be applicable until 30 June 2025</w:t>
      </w:r>
      <w:r w:rsidRPr="00093241">
        <w:rPr>
          <w:rFonts w:ascii="Calibri" w:eastAsia="Calibri" w:hAnsi="Calibri" w:cs="Times New Roman"/>
        </w:rPr>
        <w:t xml:space="preserve"> –</w:t>
      </w:r>
      <w:r w:rsidRPr="00093241">
        <w:rPr>
          <w:rFonts w:ascii="Calibri" w:eastAsia="Calibri" w:hAnsi="Calibri" w:cs="Times New Roman"/>
          <w:u w:val="single"/>
        </w:rPr>
        <w:t xml:space="preserve"> </w:t>
      </w:r>
      <w:r w:rsidRPr="00093241">
        <w:rPr>
          <w:rFonts w:ascii="Calibri" w:eastAsia="Calibri" w:hAnsi="Calibri" w:cs="Times New Roman"/>
        </w:rPr>
        <w:t xml:space="preserve">Section 23 arrangements have been extended for a further 12 months in order to support industry through a transitional period. </w:t>
      </w:r>
    </w:p>
    <w:p w14:paraId="6BFD9602" w14:textId="77777777" w:rsidR="00093241" w:rsidRPr="00093241" w:rsidRDefault="00093241" w:rsidP="00835176">
      <w:pPr>
        <w:numPr>
          <w:ilvl w:val="0"/>
          <w:numId w:val="28"/>
        </w:numPr>
        <w:contextualSpacing/>
        <w:rPr>
          <w:rFonts w:ascii="Calibri" w:eastAsia="Calibri" w:hAnsi="Calibri" w:cs="Times New Roman"/>
        </w:rPr>
      </w:pPr>
      <w:r w:rsidRPr="00093241">
        <w:rPr>
          <w:rFonts w:ascii="Calibri" w:eastAsia="Calibri" w:hAnsi="Calibri" w:cs="Times New Roman"/>
          <w:u w:val="single"/>
        </w:rPr>
        <w:t>Arrangements able to be further reduced where an entity’s compliance is depended on the finalisation of capital investment</w:t>
      </w:r>
      <w:r w:rsidRPr="00093241">
        <w:rPr>
          <w:rFonts w:ascii="Calibri" w:eastAsia="Calibri" w:hAnsi="Calibri" w:cs="Times New Roman"/>
        </w:rPr>
        <w:t xml:space="preserve"> (subsection 23(2)) – An MSO may be reduced by greater than 15ml for any fuel type (but less than 25 per cent of an entities MSO) under the circumstance where the entity is making a capital investment relating to building or upgrading storage infrastructure, and their compliance is dependent on these works being completed. </w:t>
      </w:r>
    </w:p>
    <w:p w14:paraId="7A70C575" w14:textId="77777777" w:rsidR="00093241" w:rsidRPr="00093241" w:rsidRDefault="00093241" w:rsidP="00835176">
      <w:pPr>
        <w:numPr>
          <w:ilvl w:val="0"/>
          <w:numId w:val="28"/>
        </w:numPr>
        <w:contextualSpacing/>
        <w:rPr>
          <w:rFonts w:ascii="Calibri" w:eastAsia="Calibri" w:hAnsi="Calibri" w:cs="Times New Roman"/>
        </w:rPr>
      </w:pPr>
      <w:r w:rsidRPr="00093241">
        <w:rPr>
          <w:rFonts w:ascii="Calibri" w:eastAsia="Calibri" w:hAnsi="Calibri" w:cs="Times New Roman"/>
          <w:u w:val="single"/>
        </w:rPr>
        <w:t>Loss of major customer during an MSO assessment period</w:t>
      </w:r>
      <w:r w:rsidRPr="00093241">
        <w:rPr>
          <w:rFonts w:ascii="Calibri" w:eastAsia="Calibri" w:hAnsi="Calibri" w:cs="Times New Roman"/>
        </w:rPr>
        <w:t xml:space="preserve"> (subsection 22(2)) – Process introduced to enable a reduction to an entity’s MSO where entities lose one or more major customer during an MSO assessment period in order to more accurately determine their obligation for the new MSO period. </w:t>
      </w:r>
    </w:p>
    <w:p w14:paraId="535407B9" w14:textId="77777777" w:rsidR="00093241" w:rsidRPr="00093241" w:rsidRDefault="00093241" w:rsidP="00093241">
      <w:pPr>
        <w:rPr>
          <w:rFonts w:ascii="Calibri" w:eastAsia="Calibri" w:hAnsi="Calibri" w:cs="Times New Roman"/>
          <w:u w:val="single"/>
        </w:rPr>
      </w:pPr>
      <w:r w:rsidRPr="00093241" w:rsidDel="003E17E6">
        <w:rPr>
          <w:rFonts w:ascii="Calibri" w:eastAsia="Calibri" w:hAnsi="Calibri" w:cs="Times New Roman"/>
          <w:highlight w:val="yellow"/>
          <w:u w:val="single"/>
        </w:rPr>
        <w:t xml:space="preserve"> </w:t>
      </w:r>
    </w:p>
    <w:p w14:paraId="59B9258A" w14:textId="77777777" w:rsidR="00093241" w:rsidRPr="00093241" w:rsidRDefault="00093241" w:rsidP="00093241">
      <w:pPr>
        <w:rPr>
          <w:rFonts w:ascii="Calibri" w:eastAsia="Calibri" w:hAnsi="Calibri" w:cs="Times New Roman"/>
        </w:rPr>
      </w:pPr>
    </w:p>
    <w:p w14:paraId="0AB1ED16" w14:textId="4CF27FF8" w:rsidR="00093241" w:rsidRPr="00692939" w:rsidRDefault="00093241" w:rsidP="00692939">
      <w:pPr>
        <w:spacing w:after="758" w:line="315" w:lineRule="exact"/>
        <w:jc w:val="center"/>
        <w:textAlignment w:val="baseline"/>
        <w:rPr>
          <w:rFonts w:ascii="Times New Roman" w:eastAsia="Calibri" w:hAnsi="Times New Roman" w:cs="Times New Roman"/>
          <w:sz w:val="24"/>
          <w:szCs w:val="24"/>
        </w:rPr>
      </w:pPr>
    </w:p>
    <w:sectPr w:rsidR="00093241" w:rsidRPr="00692939" w:rsidSect="00FB745F">
      <w:footerReference w:type="default" r:id="rId37"/>
      <w:footerReference w:type="first" r:id="rId38"/>
      <w:pgSz w:w="11906" w:h="16838" w:code="9"/>
      <w:pgMar w:top="1276"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B7C6" w14:textId="77777777" w:rsidR="009861C6" w:rsidRDefault="009861C6" w:rsidP="00033FDE">
      <w:pPr>
        <w:spacing w:after="0" w:line="240" w:lineRule="auto"/>
      </w:pPr>
      <w:r>
        <w:separator/>
      </w:r>
    </w:p>
  </w:endnote>
  <w:endnote w:type="continuationSeparator" w:id="0">
    <w:p w14:paraId="2981C872" w14:textId="77777777" w:rsidR="009861C6" w:rsidRDefault="009861C6" w:rsidP="00033FDE">
      <w:pPr>
        <w:spacing w:after="0" w:line="240" w:lineRule="auto"/>
      </w:pPr>
      <w:r>
        <w:continuationSeparator/>
      </w:r>
    </w:p>
  </w:endnote>
  <w:endnote w:type="continuationNotice" w:id="1">
    <w:p w14:paraId="024CB4D6" w14:textId="77777777" w:rsidR="009861C6" w:rsidRDefault="00986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53921"/>
      <w:docPartObj>
        <w:docPartGallery w:val="Page Numbers (Bottom of Page)"/>
        <w:docPartUnique/>
      </w:docPartObj>
    </w:sdtPr>
    <w:sdtEndPr>
      <w:rPr>
        <w:noProof/>
      </w:rPr>
    </w:sdtEndPr>
    <w:sdtContent>
      <w:p w14:paraId="3043E6BA" w14:textId="20D802B8" w:rsidR="009861C6" w:rsidRDefault="009861C6">
        <w:pPr>
          <w:pStyle w:val="Footer"/>
          <w:jc w:val="right"/>
        </w:pPr>
        <w:r>
          <w:fldChar w:fldCharType="begin"/>
        </w:r>
        <w:r>
          <w:instrText xml:space="preserve"> PAGE   \* MERGEFORMAT </w:instrText>
        </w:r>
        <w:r>
          <w:fldChar w:fldCharType="separate"/>
        </w:r>
        <w:r w:rsidR="008C273E">
          <w:rPr>
            <w:noProof/>
          </w:rPr>
          <w:t>36</w:t>
        </w:r>
        <w:r>
          <w:rPr>
            <w:noProof/>
          </w:rPr>
          <w:fldChar w:fldCharType="end"/>
        </w:r>
      </w:p>
    </w:sdtContent>
  </w:sdt>
  <w:p w14:paraId="54ADB34F" w14:textId="5766BF0E" w:rsidR="009861C6" w:rsidRDefault="009861C6" w:rsidP="00C1742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ED99" w14:textId="77777777" w:rsidR="009861C6" w:rsidRDefault="00986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0FA2" w14:textId="5588B281" w:rsidR="009861C6" w:rsidRPr="00631116" w:rsidRDefault="009861C6" w:rsidP="00631116">
    <w:pPr>
      <w:pStyle w:val="Footer"/>
      <w:jc w:val="center"/>
      <w:rPr>
        <w:szCs w:val="26"/>
      </w:rPr>
    </w:pPr>
    <w:r>
      <w:rPr>
        <w:szCs w:val="2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30143"/>
      <w:docPartObj>
        <w:docPartGallery w:val="Page Numbers (Bottom of Page)"/>
        <w:docPartUnique/>
      </w:docPartObj>
    </w:sdtPr>
    <w:sdtEndPr>
      <w:rPr>
        <w:noProof/>
      </w:rPr>
    </w:sdtEndPr>
    <w:sdtContent>
      <w:p w14:paraId="10D1A1EC" w14:textId="77777777" w:rsidR="009861C6" w:rsidRDefault="009861C6">
        <w:pPr>
          <w:pStyle w:val="Footer"/>
          <w:jc w:val="right"/>
        </w:pPr>
        <w:r>
          <w:fldChar w:fldCharType="begin"/>
        </w:r>
        <w:r>
          <w:instrText xml:space="preserve"> PAGE   \* MERGEFORMAT </w:instrText>
        </w:r>
        <w:r>
          <w:fldChar w:fldCharType="separate"/>
        </w:r>
        <w:r w:rsidR="008C273E">
          <w:rPr>
            <w:noProof/>
          </w:rPr>
          <w:t>59</w:t>
        </w:r>
        <w:r>
          <w:rPr>
            <w:noProof/>
          </w:rPr>
          <w:fldChar w:fldCharType="end"/>
        </w:r>
      </w:p>
    </w:sdtContent>
  </w:sdt>
  <w:p w14:paraId="553D896A" w14:textId="77777777" w:rsidR="009861C6" w:rsidRDefault="009861C6" w:rsidP="00C1742F">
    <w:pPr>
      <w:pStyle w:val="Footer"/>
      <w:jc w:val="center"/>
    </w:pPr>
    <w:r w:rsidRPr="00C1742F">
      <w:t>DCCEEW.gov.au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ECCB" w14:textId="2A08B4EC" w:rsidR="009861C6" w:rsidRPr="00C53BE0" w:rsidRDefault="009861C6" w:rsidP="00C53BE0">
    <w:pPr>
      <w:pStyle w:val="Footer"/>
      <w:jc w:val="center"/>
      <w:rPr>
        <w:b/>
        <w:color w:val="FFFFFF" w:themeColor="background1"/>
        <w:sz w:val="26"/>
        <w:szCs w:val="26"/>
      </w:rPr>
    </w:pPr>
    <w:r w:rsidRPr="00C53BE0">
      <w:rPr>
        <w:b/>
        <w:color w:val="FFFFFF" w:themeColor="background1"/>
        <w:sz w:val="26"/>
        <w:szCs w:val="26"/>
      </w:rPr>
      <w:t>DCCEEW.gov.au</w:t>
    </w:r>
  </w:p>
  <w:p w14:paraId="289F36B9" w14:textId="59BB6F55" w:rsidR="009861C6" w:rsidRDefault="009861C6" w:rsidP="00C53BE0">
    <w:pPr>
      <w:tabs>
        <w:tab w:val="left" w:pos="6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3365" w14:textId="77777777" w:rsidR="009861C6" w:rsidRDefault="009861C6" w:rsidP="00033FDE">
      <w:pPr>
        <w:spacing w:after="0" w:line="240" w:lineRule="auto"/>
      </w:pPr>
      <w:r>
        <w:separator/>
      </w:r>
    </w:p>
  </w:footnote>
  <w:footnote w:type="continuationSeparator" w:id="0">
    <w:p w14:paraId="69CD3D08" w14:textId="77777777" w:rsidR="009861C6" w:rsidRDefault="009861C6" w:rsidP="00033FDE">
      <w:pPr>
        <w:spacing w:after="0" w:line="240" w:lineRule="auto"/>
      </w:pPr>
      <w:r>
        <w:continuationSeparator/>
      </w:r>
    </w:p>
  </w:footnote>
  <w:footnote w:type="continuationNotice" w:id="1">
    <w:p w14:paraId="22059D5E" w14:textId="77777777" w:rsidR="009861C6" w:rsidRDefault="009861C6">
      <w:pPr>
        <w:spacing w:after="0" w:line="240" w:lineRule="auto"/>
      </w:pPr>
    </w:p>
  </w:footnote>
  <w:footnote w:id="2">
    <w:p w14:paraId="1580D28E" w14:textId="77777777" w:rsidR="009861C6" w:rsidRDefault="009861C6" w:rsidP="00093241">
      <w:pPr>
        <w:pStyle w:val="FootnoteText"/>
      </w:pPr>
      <w:r>
        <w:rPr>
          <w:rStyle w:val="FootnoteReference"/>
        </w:rPr>
        <w:footnoteRef/>
      </w:r>
      <w:r>
        <w:t xml:space="preserve"> </w:t>
      </w:r>
      <w:r w:rsidRPr="00865889">
        <w:rPr>
          <w:sz w:val="18"/>
          <w:szCs w:val="18"/>
          <w:lang w:val="en-US"/>
        </w:rPr>
        <w:t>Energy Information Administration, Data,</w:t>
      </w:r>
      <w:r w:rsidRPr="000F01B2">
        <w:t xml:space="preserve"> </w:t>
      </w:r>
      <w:r w:rsidRPr="003239F6">
        <w:rPr>
          <w:sz w:val="18"/>
        </w:rPr>
        <w:t>https://www.eia.gov/dnav/pet/hist/LeafHandler.ashx?n=pet&amp;s=mcrfpus2&amp;f=m</w:t>
      </w:r>
      <w:r w:rsidRPr="003239F6">
        <w:rPr>
          <w:sz w:val="16"/>
          <w:szCs w:val="18"/>
          <w:lang w:val="en-US"/>
        </w:rPr>
        <w:t>accessed 13 February 2022</w:t>
      </w:r>
    </w:p>
  </w:footnote>
  <w:footnote w:id="3">
    <w:p w14:paraId="0A1A5D31" w14:textId="77777777" w:rsidR="009861C6" w:rsidRDefault="009861C6" w:rsidP="00093241">
      <w:pPr>
        <w:pStyle w:val="FootnoteText"/>
      </w:pPr>
      <w:r>
        <w:rPr>
          <w:rStyle w:val="FootnoteReference"/>
        </w:rPr>
        <w:footnoteRef/>
      </w:r>
      <w:r>
        <w:t xml:space="preserve"> </w:t>
      </w:r>
      <w:r w:rsidRPr="00865889">
        <w:rPr>
          <w:sz w:val="18"/>
          <w:szCs w:val="18"/>
        </w:rPr>
        <w:t>Elesner et al, Hurricane Katrina Return Period, Geophysical Research Letters, Vol 33, April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6A44" w14:textId="77777777" w:rsidR="009861C6" w:rsidRDefault="009861C6">
    <w:pPr>
      <w:pStyle w:val="Header"/>
    </w:pPr>
  </w:p>
  <w:p w14:paraId="6BE28127" w14:textId="77777777" w:rsidR="009861C6" w:rsidRDefault="00986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7634" w14:textId="77777777" w:rsidR="009861C6" w:rsidRDefault="009861C6">
    <w:pPr>
      <w:pStyle w:val="Header"/>
    </w:pPr>
    <w:r>
      <w:rPr>
        <w:noProof/>
        <w:lang w:eastAsia="en-AU"/>
      </w:rPr>
      <w:drawing>
        <wp:inline distT="0" distB="0" distL="0" distR="0" wp14:anchorId="0AF792C5" wp14:editId="56C64CEE">
          <wp:extent cx="2678430" cy="694055"/>
          <wp:effectExtent l="0" t="0" r="7620" b="0"/>
          <wp:docPr id="1" name="Picture 1"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E4A" w14:textId="77777777" w:rsidR="009861C6" w:rsidRDefault="009861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FAF8" w14:textId="77777777" w:rsidR="009861C6" w:rsidRDefault="009861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48DE" w14:textId="2B117D27" w:rsidR="009861C6" w:rsidRDefault="009861C6" w:rsidP="00846A37">
    <w:pPr>
      <w:pStyle w:val="Header"/>
      <w:tabs>
        <w:tab w:val="clear" w:pos="4513"/>
        <w:tab w:val="clear" w:pos="9026"/>
        <w:tab w:val="left" w:pos="4658"/>
      </w:tabs>
    </w:pPr>
    <w:r>
      <w:rPr>
        <w:b/>
        <w:noProof/>
        <w:color w:val="FFFFFF" w:themeColor="background1"/>
        <w:sz w:val="26"/>
        <w:szCs w:val="26"/>
        <w:lang w:eastAsia="en-AU"/>
      </w:rPr>
      <w:drawing>
        <wp:anchor distT="0" distB="0" distL="114300" distR="114300" simplePos="0" relativeHeight="251658240" behindDoc="1" locked="0" layoutInCell="1" allowOverlap="1" wp14:anchorId="75A29F4B" wp14:editId="137D4CC6">
          <wp:simplePos x="0" y="0"/>
          <wp:positionH relativeFrom="column">
            <wp:posOffset>-914400</wp:posOffset>
          </wp:positionH>
          <wp:positionV relativeFrom="paragraph">
            <wp:posOffset>-540385</wp:posOffset>
          </wp:positionV>
          <wp:extent cx="7571740" cy="107054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546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0E756E81" w14:textId="77777777" w:rsidR="009861C6" w:rsidRDefault="009861C6" w:rsidP="00846A37">
    <w:pPr>
      <w:pStyle w:val="Header"/>
      <w:tabs>
        <w:tab w:val="clear" w:pos="4513"/>
        <w:tab w:val="clear" w:pos="9026"/>
        <w:tab w:val="left" w:pos="46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CA7"/>
    <w:multiLevelType w:val="hybridMultilevel"/>
    <w:tmpl w:val="1F62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10E4C"/>
    <w:multiLevelType w:val="hybridMultilevel"/>
    <w:tmpl w:val="3C969B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97969"/>
    <w:multiLevelType w:val="hybridMultilevel"/>
    <w:tmpl w:val="FD6CD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A2BE8"/>
    <w:multiLevelType w:val="hybridMultilevel"/>
    <w:tmpl w:val="238E7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14DC1"/>
    <w:multiLevelType w:val="hybridMultilevel"/>
    <w:tmpl w:val="4112E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B5117"/>
    <w:multiLevelType w:val="hybridMultilevel"/>
    <w:tmpl w:val="C75454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8015F9"/>
    <w:multiLevelType w:val="hybridMultilevel"/>
    <w:tmpl w:val="56C641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0614E"/>
    <w:multiLevelType w:val="hybridMultilevel"/>
    <w:tmpl w:val="4F640A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114AA"/>
    <w:multiLevelType w:val="hybridMultilevel"/>
    <w:tmpl w:val="07C2F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D0B37"/>
    <w:multiLevelType w:val="hybridMultilevel"/>
    <w:tmpl w:val="C28AD7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EB0F4A"/>
    <w:multiLevelType w:val="hybridMultilevel"/>
    <w:tmpl w:val="7D022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33E5E"/>
    <w:multiLevelType w:val="hybridMultilevel"/>
    <w:tmpl w:val="9812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71075"/>
    <w:multiLevelType w:val="hybridMultilevel"/>
    <w:tmpl w:val="F982A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120BF"/>
    <w:multiLevelType w:val="hybridMultilevel"/>
    <w:tmpl w:val="29D424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41B7A"/>
    <w:multiLevelType w:val="hybridMultilevel"/>
    <w:tmpl w:val="BC325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5573F"/>
    <w:multiLevelType w:val="hybridMultilevel"/>
    <w:tmpl w:val="CDE41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0E1595"/>
    <w:multiLevelType w:val="hybridMultilevel"/>
    <w:tmpl w:val="498E2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FE29DA"/>
    <w:multiLevelType w:val="hybridMultilevel"/>
    <w:tmpl w:val="B5725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7979B0"/>
    <w:multiLevelType w:val="hybridMultilevel"/>
    <w:tmpl w:val="48C4F8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2C2D32"/>
    <w:multiLevelType w:val="hybridMultilevel"/>
    <w:tmpl w:val="237A50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291D51"/>
    <w:multiLevelType w:val="hybridMultilevel"/>
    <w:tmpl w:val="AD345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E15947"/>
    <w:multiLevelType w:val="hybridMultilevel"/>
    <w:tmpl w:val="668A52FE"/>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3C1938DC"/>
    <w:multiLevelType w:val="hybridMultilevel"/>
    <w:tmpl w:val="2EC0D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300909"/>
    <w:multiLevelType w:val="hybridMultilevel"/>
    <w:tmpl w:val="87EE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C3C7A"/>
    <w:multiLevelType w:val="hybridMultilevel"/>
    <w:tmpl w:val="C760274E"/>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782562"/>
    <w:multiLevelType w:val="hybridMultilevel"/>
    <w:tmpl w:val="98046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5D6DA1"/>
    <w:multiLevelType w:val="hybridMultilevel"/>
    <w:tmpl w:val="14266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981EA4"/>
    <w:multiLevelType w:val="hybridMultilevel"/>
    <w:tmpl w:val="484866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4B11119D"/>
    <w:multiLevelType w:val="hybridMultilevel"/>
    <w:tmpl w:val="E9C49CA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6225BE"/>
    <w:multiLevelType w:val="hybridMultilevel"/>
    <w:tmpl w:val="5582B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C56AB9"/>
    <w:multiLevelType w:val="hybridMultilevel"/>
    <w:tmpl w:val="F592717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15:restartNumberingAfterBreak="0">
    <w:nsid w:val="55C127E6"/>
    <w:multiLevelType w:val="hybridMultilevel"/>
    <w:tmpl w:val="1CCC3870"/>
    <w:lvl w:ilvl="0" w:tplc="C066C0B2">
      <w:start w:val="7"/>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960A78"/>
    <w:multiLevelType w:val="hybridMultilevel"/>
    <w:tmpl w:val="2B00E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051DEC"/>
    <w:multiLevelType w:val="hybridMultilevel"/>
    <w:tmpl w:val="6BA8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BE34E2"/>
    <w:multiLevelType w:val="hybridMultilevel"/>
    <w:tmpl w:val="1CE26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851886"/>
    <w:multiLevelType w:val="hybridMultilevel"/>
    <w:tmpl w:val="D83AE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064F06"/>
    <w:multiLevelType w:val="hybridMultilevel"/>
    <w:tmpl w:val="50B8F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5A3587"/>
    <w:multiLevelType w:val="hybridMultilevel"/>
    <w:tmpl w:val="99802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FC767B"/>
    <w:multiLevelType w:val="hybridMultilevel"/>
    <w:tmpl w:val="A82AD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CB132E"/>
    <w:multiLevelType w:val="hybridMultilevel"/>
    <w:tmpl w:val="0EBE1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295C9D"/>
    <w:multiLevelType w:val="hybridMultilevel"/>
    <w:tmpl w:val="6ED8A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6E4680"/>
    <w:multiLevelType w:val="hybridMultilevel"/>
    <w:tmpl w:val="A5C64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C70CF6"/>
    <w:multiLevelType w:val="hybridMultilevel"/>
    <w:tmpl w:val="EA181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2A276F"/>
    <w:multiLevelType w:val="hybridMultilevel"/>
    <w:tmpl w:val="07EE9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D95726"/>
    <w:multiLevelType w:val="hybridMultilevel"/>
    <w:tmpl w:val="1D048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5B3558"/>
    <w:multiLevelType w:val="hybridMultilevel"/>
    <w:tmpl w:val="6870E8D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6" w15:restartNumberingAfterBreak="0">
    <w:nsid w:val="6A6456D1"/>
    <w:multiLevelType w:val="hybridMultilevel"/>
    <w:tmpl w:val="CE02B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534921"/>
    <w:multiLevelType w:val="hybridMultilevel"/>
    <w:tmpl w:val="579A1E40"/>
    <w:lvl w:ilvl="0" w:tplc="C066C0B2">
      <w:start w:val="7"/>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75024A"/>
    <w:multiLevelType w:val="hybridMultilevel"/>
    <w:tmpl w:val="DAD48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9D0EA8"/>
    <w:multiLevelType w:val="hybridMultilevel"/>
    <w:tmpl w:val="E9389ACE"/>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981903"/>
    <w:multiLevelType w:val="hybridMultilevel"/>
    <w:tmpl w:val="60BC9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1D521F"/>
    <w:multiLevelType w:val="hybridMultilevel"/>
    <w:tmpl w:val="8FB6D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124E77"/>
    <w:multiLevelType w:val="hybridMultilevel"/>
    <w:tmpl w:val="F5C29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3E45CD"/>
    <w:multiLevelType w:val="hybridMultilevel"/>
    <w:tmpl w:val="E61680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7A0575D9"/>
    <w:multiLevelType w:val="hybridMultilevel"/>
    <w:tmpl w:val="BB926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2A6E07"/>
    <w:multiLevelType w:val="hybridMultilevel"/>
    <w:tmpl w:val="8C8C4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9475777">
    <w:abstractNumId w:val="25"/>
  </w:num>
  <w:num w:numId="2" w16cid:durableId="184835136">
    <w:abstractNumId w:val="31"/>
  </w:num>
  <w:num w:numId="3" w16cid:durableId="1585382026">
    <w:abstractNumId w:val="33"/>
  </w:num>
  <w:num w:numId="4" w16cid:durableId="2045132815">
    <w:abstractNumId w:val="47"/>
  </w:num>
  <w:num w:numId="5" w16cid:durableId="1355230357">
    <w:abstractNumId w:val="11"/>
  </w:num>
  <w:num w:numId="6" w16cid:durableId="789402248">
    <w:abstractNumId w:val="30"/>
  </w:num>
  <w:num w:numId="7" w16cid:durableId="1732997260">
    <w:abstractNumId w:val="21"/>
  </w:num>
  <w:num w:numId="8" w16cid:durableId="1376156389">
    <w:abstractNumId w:val="45"/>
  </w:num>
  <w:num w:numId="9" w16cid:durableId="98646860">
    <w:abstractNumId w:val="42"/>
  </w:num>
  <w:num w:numId="10" w16cid:durableId="989603623">
    <w:abstractNumId w:val="32"/>
  </w:num>
  <w:num w:numId="11" w16cid:durableId="1552424440">
    <w:abstractNumId w:val="0"/>
  </w:num>
  <w:num w:numId="12" w16cid:durableId="461002270">
    <w:abstractNumId w:val="5"/>
  </w:num>
  <w:num w:numId="13" w16cid:durableId="1093551136">
    <w:abstractNumId w:val="10"/>
  </w:num>
  <w:num w:numId="14" w16cid:durableId="461577281">
    <w:abstractNumId w:val="8"/>
  </w:num>
  <w:num w:numId="15" w16cid:durableId="43065708">
    <w:abstractNumId w:val="27"/>
  </w:num>
  <w:num w:numId="16" w16cid:durableId="645819617">
    <w:abstractNumId w:val="13"/>
  </w:num>
  <w:num w:numId="17" w16cid:durableId="1205825364">
    <w:abstractNumId w:val="4"/>
  </w:num>
  <w:num w:numId="18" w16cid:durableId="495419382">
    <w:abstractNumId w:val="39"/>
  </w:num>
  <w:num w:numId="19" w16cid:durableId="1351253861">
    <w:abstractNumId w:val="16"/>
  </w:num>
  <w:num w:numId="20" w16cid:durableId="2053457968">
    <w:abstractNumId w:val="44"/>
  </w:num>
  <w:num w:numId="21" w16cid:durableId="1210532923">
    <w:abstractNumId w:val="26"/>
  </w:num>
  <w:num w:numId="22" w16cid:durableId="796292074">
    <w:abstractNumId w:val="9"/>
  </w:num>
  <w:num w:numId="23" w16cid:durableId="1812744138">
    <w:abstractNumId w:val="36"/>
  </w:num>
  <w:num w:numId="24" w16cid:durableId="201333540">
    <w:abstractNumId w:val="38"/>
  </w:num>
  <w:num w:numId="25" w16cid:durableId="1796560504">
    <w:abstractNumId w:val="55"/>
  </w:num>
  <w:num w:numId="26" w16cid:durableId="1528837479">
    <w:abstractNumId w:val="37"/>
  </w:num>
  <w:num w:numId="27" w16cid:durableId="146367714">
    <w:abstractNumId w:val="29"/>
  </w:num>
  <w:num w:numId="28" w16cid:durableId="1230463967">
    <w:abstractNumId w:val="35"/>
  </w:num>
  <w:num w:numId="29" w16cid:durableId="832335831">
    <w:abstractNumId w:val="12"/>
  </w:num>
  <w:num w:numId="30" w16cid:durableId="816268171">
    <w:abstractNumId w:val="50"/>
  </w:num>
  <w:num w:numId="31" w16cid:durableId="400951443">
    <w:abstractNumId w:val="15"/>
  </w:num>
  <w:num w:numId="32" w16cid:durableId="612204282">
    <w:abstractNumId w:val="52"/>
  </w:num>
  <w:num w:numId="33" w16cid:durableId="1947810847">
    <w:abstractNumId w:val="34"/>
  </w:num>
  <w:num w:numId="34" w16cid:durableId="649017160">
    <w:abstractNumId w:val="48"/>
  </w:num>
  <w:num w:numId="35" w16cid:durableId="976954996">
    <w:abstractNumId w:val="49"/>
  </w:num>
  <w:num w:numId="36" w16cid:durableId="779297704">
    <w:abstractNumId w:val="14"/>
  </w:num>
  <w:num w:numId="37" w16cid:durableId="573930662">
    <w:abstractNumId w:val="51"/>
  </w:num>
  <w:num w:numId="38" w16cid:durableId="1768966189">
    <w:abstractNumId w:val="41"/>
  </w:num>
  <w:num w:numId="39" w16cid:durableId="387997176">
    <w:abstractNumId w:val="54"/>
  </w:num>
  <w:num w:numId="40" w16cid:durableId="1610157852">
    <w:abstractNumId w:val="28"/>
  </w:num>
  <w:num w:numId="41" w16cid:durableId="1142229294">
    <w:abstractNumId w:val="1"/>
  </w:num>
  <w:num w:numId="42" w16cid:durableId="1723676443">
    <w:abstractNumId w:val="6"/>
  </w:num>
  <w:num w:numId="43" w16cid:durableId="2134325802">
    <w:abstractNumId w:val="19"/>
  </w:num>
  <w:num w:numId="44" w16cid:durableId="291055557">
    <w:abstractNumId w:val="24"/>
  </w:num>
  <w:num w:numId="45" w16cid:durableId="1407921728">
    <w:abstractNumId w:val="7"/>
  </w:num>
  <w:num w:numId="46" w16cid:durableId="297731542">
    <w:abstractNumId w:val="20"/>
  </w:num>
  <w:num w:numId="47" w16cid:durableId="2069917915">
    <w:abstractNumId w:val="23"/>
  </w:num>
  <w:num w:numId="48" w16cid:durableId="179391119">
    <w:abstractNumId w:val="18"/>
  </w:num>
  <w:num w:numId="49" w16cid:durableId="318310402">
    <w:abstractNumId w:val="40"/>
  </w:num>
  <w:num w:numId="50" w16cid:durableId="338050120">
    <w:abstractNumId w:val="43"/>
  </w:num>
  <w:num w:numId="51" w16cid:durableId="1500853201">
    <w:abstractNumId w:val="17"/>
  </w:num>
  <w:num w:numId="52" w16cid:durableId="7416802">
    <w:abstractNumId w:val="3"/>
  </w:num>
  <w:num w:numId="53" w16cid:durableId="106387751">
    <w:abstractNumId w:val="22"/>
  </w:num>
  <w:num w:numId="54" w16cid:durableId="2145075828">
    <w:abstractNumId w:val="46"/>
  </w:num>
  <w:num w:numId="55" w16cid:durableId="6250304">
    <w:abstractNumId w:val="2"/>
  </w:num>
  <w:num w:numId="56" w16cid:durableId="141747981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C3"/>
    <w:rsid w:val="00000D2D"/>
    <w:rsid w:val="0000564E"/>
    <w:rsid w:val="000111E4"/>
    <w:rsid w:val="0001796C"/>
    <w:rsid w:val="00017BBA"/>
    <w:rsid w:val="00022B8D"/>
    <w:rsid w:val="00024401"/>
    <w:rsid w:val="0002522B"/>
    <w:rsid w:val="00033FDE"/>
    <w:rsid w:val="00034CF0"/>
    <w:rsid w:val="0003574E"/>
    <w:rsid w:val="00041373"/>
    <w:rsid w:val="00042053"/>
    <w:rsid w:val="00042127"/>
    <w:rsid w:val="00042C94"/>
    <w:rsid w:val="00042D0C"/>
    <w:rsid w:val="0004404E"/>
    <w:rsid w:val="00044A22"/>
    <w:rsid w:val="000479E6"/>
    <w:rsid w:val="000505B3"/>
    <w:rsid w:val="00051B28"/>
    <w:rsid w:val="000553DC"/>
    <w:rsid w:val="0005660A"/>
    <w:rsid w:val="000577CC"/>
    <w:rsid w:val="0006026B"/>
    <w:rsid w:val="000611C3"/>
    <w:rsid w:val="00064B8A"/>
    <w:rsid w:val="0007289A"/>
    <w:rsid w:val="00074186"/>
    <w:rsid w:val="00075B8E"/>
    <w:rsid w:val="00080D44"/>
    <w:rsid w:val="0008294B"/>
    <w:rsid w:val="000839C4"/>
    <w:rsid w:val="0009094A"/>
    <w:rsid w:val="00093241"/>
    <w:rsid w:val="000974A1"/>
    <w:rsid w:val="000A1339"/>
    <w:rsid w:val="000A1828"/>
    <w:rsid w:val="000A298C"/>
    <w:rsid w:val="000A35CF"/>
    <w:rsid w:val="000A6869"/>
    <w:rsid w:val="000B3685"/>
    <w:rsid w:val="000B3C39"/>
    <w:rsid w:val="000B4DF1"/>
    <w:rsid w:val="000B6786"/>
    <w:rsid w:val="000B7F44"/>
    <w:rsid w:val="000C0D99"/>
    <w:rsid w:val="000C0FE7"/>
    <w:rsid w:val="000C181C"/>
    <w:rsid w:val="000C39A8"/>
    <w:rsid w:val="000C7702"/>
    <w:rsid w:val="000D22BD"/>
    <w:rsid w:val="000E0622"/>
    <w:rsid w:val="000E0EC0"/>
    <w:rsid w:val="000E3571"/>
    <w:rsid w:val="000F7C71"/>
    <w:rsid w:val="001009B7"/>
    <w:rsid w:val="00101ECB"/>
    <w:rsid w:val="0010273B"/>
    <w:rsid w:val="00103C66"/>
    <w:rsid w:val="001074AC"/>
    <w:rsid w:val="00110C80"/>
    <w:rsid w:val="00111F39"/>
    <w:rsid w:val="00112E00"/>
    <w:rsid w:val="00114650"/>
    <w:rsid w:val="00120CC2"/>
    <w:rsid w:val="00121FA1"/>
    <w:rsid w:val="0012390D"/>
    <w:rsid w:val="00124F01"/>
    <w:rsid w:val="00131E6F"/>
    <w:rsid w:val="00135104"/>
    <w:rsid w:val="00140CFB"/>
    <w:rsid w:val="00144B7D"/>
    <w:rsid w:val="00145C95"/>
    <w:rsid w:val="00147108"/>
    <w:rsid w:val="00147FD6"/>
    <w:rsid w:val="00151768"/>
    <w:rsid w:val="00153A15"/>
    <w:rsid w:val="001605FA"/>
    <w:rsid w:val="001614E2"/>
    <w:rsid w:val="00164562"/>
    <w:rsid w:val="00164F8E"/>
    <w:rsid w:val="0016559A"/>
    <w:rsid w:val="00167788"/>
    <w:rsid w:val="001717D3"/>
    <w:rsid w:val="001777B4"/>
    <w:rsid w:val="0018057A"/>
    <w:rsid w:val="001806EB"/>
    <w:rsid w:val="0018191B"/>
    <w:rsid w:val="00182C4B"/>
    <w:rsid w:val="00182EBE"/>
    <w:rsid w:val="00187BB7"/>
    <w:rsid w:val="0019182C"/>
    <w:rsid w:val="00193C81"/>
    <w:rsid w:val="0019433D"/>
    <w:rsid w:val="001A014E"/>
    <w:rsid w:val="001A0EB7"/>
    <w:rsid w:val="001A1789"/>
    <w:rsid w:val="001B4F79"/>
    <w:rsid w:val="001C3124"/>
    <w:rsid w:val="001D33DA"/>
    <w:rsid w:val="001D4D37"/>
    <w:rsid w:val="001D7A91"/>
    <w:rsid w:val="001E1662"/>
    <w:rsid w:val="001E793F"/>
    <w:rsid w:val="001F1EF7"/>
    <w:rsid w:val="001F328D"/>
    <w:rsid w:val="001F3694"/>
    <w:rsid w:val="001F4106"/>
    <w:rsid w:val="0020008F"/>
    <w:rsid w:val="00200E10"/>
    <w:rsid w:val="00205443"/>
    <w:rsid w:val="00206628"/>
    <w:rsid w:val="0021090C"/>
    <w:rsid w:val="00211B7A"/>
    <w:rsid w:val="00213364"/>
    <w:rsid w:val="00215A2F"/>
    <w:rsid w:val="0022266B"/>
    <w:rsid w:val="00225E11"/>
    <w:rsid w:val="002317BA"/>
    <w:rsid w:val="0023293C"/>
    <w:rsid w:val="00233C6D"/>
    <w:rsid w:val="00244A16"/>
    <w:rsid w:val="00245508"/>
    <w:rsid w:val="00246285"/>
    <w:rsid w:val="002474EA"/>
    <w:rsid w:val="0025335B"/>
    <w:rsid w:val="00255A0B"/>
    <w:rsid w:val="00257199"/>
    <w:rsid w:val="00257B05"/>
    <w:rsid w:val="002605AF"/>
    <w:rsid w:val="0026209B"/>
    <w:rsid w:val="00262184"/>
    <w:rsid w:val="00263FB5"/>
    <w:rsid w:val="00265FE4"/>
    <w:rsid w:val="002713E1"/>
    <w:rsid w:val="00273956"/>
    <w:rsid w:val="0027715F"/>
    <w:rsid w:val="0028391D"/>
    <w:rsid w:val="00283A9B"/>
    <w:rsid w:val="002847C6"/>
    <w:rsid w:val="00286CC6"/>
    <w:rsid w:val="002877A6"/>
    <w:rsid w:val="002907E6"/>
    <w:rsid w:val="0029193C"/>
    <w:rsid w:val="00292732"/>
    <w:rsid w:val="002938E0"/>
    <w:rsid w:val="0029519C"/>
    <w:rsid w:val="00296E00"/>
    <w:rsid w:val="002A359D"/>
    <w:rsid w:val="002A43A8"/>
    <w:rsid w:val="002B3B92"/>
    <w:rsid w:val="002B677A"/>
    <w:rsid w:val="002B6FFA"/>
    <w:rsid w:val="002C02D8"/>
    <w:rsid w:val="002C02E7"/>
    <w:rsid w:val="002C4AAF"/>
    <w:rsid w:val="002C52C3"/>
    <w:rsid w:val="002D0DD6"/>
    <w:rsid w:val="002D5657"/>
    <w:rsid w:val="002D6C18"/>
    <w:rsid w:val="002E0112"/>
    <w:rsid w:val="002E329F"/>
    <w:rsid w:val="002E5F0D"/>
    <w:rsid w:val="002F0415"/>
    <w:rsid w:val="002F0FDE"/>
    <w:rsid w:val="002F1BE4"/>
    <w:rsid w:val="002F2F90"/>
    <w:rsid w:val="002F3547"/>
    <w:rsid w:val="002F7D81"/>
    <w:rsid w:val="003026FE"/>
    <w:rsid w:val="003029F2"/>
    <w:rsid w:val="00302F17"/>
    <w:rsid w:val="00303469"/>
    <w:rsid w:val="00310D46"/>
    <w:rsid w:val="00313A88"/>
    <w:rsid w:val="00315CCD"/>
    <w:rsid w:val="0031633C"/>
    <w:rsid w:val="003169DC"/>
    <w:rsid w:val="003177E6"/>
    <w:rsid w:val="003220A3"/>
    <w:rsid w:val="003230A4"/>
    <w:rsid w:val="00324759"/>
    <w:rsid w:val="00326EFA"/>
    <w:rsid w:val="00331A45"/>
    <w:rsid w:val="00333E7D"/>
    <w:rsid w:val="003349F0"/>
    <w:rsid w:val="00337820"/>
    <w:rsid w:val="00341AEB"/>
    <w:rsid w:val="00344134"/>
    <w:rsid w:val="00344AA4"/>
    <w:rsid w:val="00345958"/>
    <w:rsid w:val="00347228"/>
    <w:rsid w:val="0035067B"/>
    <w:rsid w:val="00352EB1"/>
    <w:rsid w:val="00360128"/>
    <w:rsid w:val="00360748"/>
    <w:rsid w:val="003610BF"/>
    <w:rsid w:val="00361778"/>
    <w:rsid w:val="00361CEF"/>
    <w:rsid w:val="00363860"/>
    <w:rsid w:val="00364873"/>
    <w:rsid w:val="00366DEE"/>
    <w:rsid w:val="00367931"/>
    <w:rsid w:val="0037380B"/>
    <w:rsid w:val="0037564F"/>
    <w:rsid w:val="00376310"/>
    <w:rsid w:val="003805D6"/>
    <w:rsid w:val="00381747"/>
    <w:rsid w:val="00383373"/>
    <w:rsid w:val="00387F3B"/>
    <w:rsid w:val="00391CC9"/>
    <w:rsid w:val="00392517"/>
    <w:rsid w:val="00396BA7"/>
    <w:rsid w:val="003A0110"/>
    <w:rsid w:val="003A0341"/>
    <w:rsid w:val="003A0BBE"/>
    <w:rsid w:val="003A17CA"/>
    <w:rsid w:val="003A37C4"/>
    <w:rsid w:val="003A4B52"/>
    <w:rsid w:val="003A72A4"/>
    <w:rsid w:val="003B016E"/>
    <w:rsid w:val="003B0D57"/>
    <w:rsid w:val="003B2A24"/>
    <w:rsid w:val="003C0A34"/>
    <w:rsid w:val="003C3117"/>
    <w:rsid w:val="003C4FC8"/>
    <w:rsid w:val="003D2593"/>
    <w:rsid w:val="003D66FB"/>
    <w:rsid w:val="003E351C"/>
    <w:rsid w:val="003E717C"/>
    <w:rsid w:val="003E73AA"/>
    <w:rsid w:val="003F33E5"/>
    <w:rsid w:val="003F3C9C"/>
    <w:rsid w:val="00400FE5"/>
    <w:rsid w:val="0040103C"/>
    <w:rsid w:val="004011DF"/>
    <w:rsid w:val="00406009"/>
    <w:rsid w:val="00410F60"/>
    <w:rsid w:val="00411A74"/>
    <w:rsid w:val="004135F1"/>
    <w:rsid w:val="00420785"/>
    <w:rsid w:val="0042488A"/>
    <w:rsid w:val="0043572E"/>
    <w:rsid w:val="0044141B"/>
    <w:rsid w:val="00443CFD"/>
    <w:rsid w:val="00447560"/>
    <w:rsid w:val="004512BF"/>
    <w:rsid w:val="004522F6"/>
    <w:rsid w:val="004529D7"/>
    <w:rsid w:val="00452AD1"/>
    <w:rsid w:val="004533A7"/>
    <w:rsid w:val="004545FA"/>
    <w:rsid w:val="00470C95"/>
    <w:rsid w:val="00471157"/>
    <w:rsid w:val="004723AA"/>
    <w:rsid w:val="004827E8"/>
    <w:rsid w:val="0048368A"/>
    <w:rsid w:val="00483B63"/>
    <w:rsid w:val="00486FD2"/>
    <w:rsid w:val="004871DC"/>
    <w:rsid w:val="00490145"/>
    <w:rsid w:val="00492C0E"/>
    <w:rsid w:val="0049553A"/>
    <w:rsid w:val="00495852"/>
    <w:rsid w:val="00496900"/>
    <w:rsid w:val="004A4ED9"/>
    <w:rsid w:val="004A730D"/>
    <w:rsid w:val="004B0154"/>
    <w:rsid w:val="004B2897"/>
    <w:rsid w:val="004C24D7"/>
    <w:rsid w:val="004C5614"/>
    <w:rsid w:val="004C56EF"/>
    <w:rsid w:val="004D0237"/>
    <w:rsid w:val="004D0249"/>
    <w:rsid w:val="004D14C4"/>
    <w:rsid w:val="004D1B44"/>
    <w:rsid w:val="004D1FA3"/>
    <w:rsid w:val="004D5AEE"/>
    <w:rsid w:val="004D78F1"/>
    <w:rsid w:val="004E27C0"/>
    <w:rsid w:val="004E2F8C"/>
    <w:rsid w:val="004E7E39"/>
    <w:rsid w:val="004F24F3"/>
    <w:rsid w:val="004F440F"/>
    <w:rsid w:val="00502832"/>
    <w:rsid w:val="00512473"/>
    <w:rsid w:val="00513753"/>
    <w:rsid w:val="00516B57"/>
    <w:rsid w:val="005178ED"/>
    <w:rsid w:val="00520672"/>
    <w:rsid w:val="00520753"/>
    <w:rsid w:val="00521C05"/>
    <w:rsid w:val="005246BE"/>
    <w:rsid w:val="00526658"/>
    <w:rsid w:val="00533A4A"/>
    <w:rsid w:val="00533E21"/>
    <w:rsid w:val="0054079D"/>
    <w:rsid w:val="00540AF7"/>
    <w:rsid w:val="00541A23"/>
    <w:rsid w:val="00542C02"/>
    <w:rsid w:val="0054551C"/>
    <w:rsid w:val="00546357"/>
    <w:rsid w:val="0055715F"/>
    <w:rsid w:val="005611D2"/>
    <w:rsid w:val="005664DB"/>
    <w:rsid w:val="005671EA"/>
    <w:rsid w:val="00567EC3"/>
    <w:rsid w:val="00571C38"/>
    <w:rsid w:val="0057359F"/>
    <w:rsid w:val="0057700B"/>
    <w:rsid w:val="00577913"/>
    <w:rsid w:val="00577E36"/>
    <w:rsid w:val="0059303E"/>
    <w:rsid w:val="005932FD"/>
    <w:rsid w:val="00595710"/>
    <w:rsid w:val="005A043C"/>
    <w:rsid w:val="005A0C6D"/>
    <w:rsid w:val="005A2B61"/>
    <w:rsid w:val="005A524B"/>
    <w:rsid w:val="005A6AF1"/>
    <w:rsid w:val="005B4259"/>
    <w:rsid w:val="005C1EBD"/>
    <w:rsid w:val="005C3E13"/>
    <w:rsid w:val="005C4470"/>
    <w:rsid w:val="005D31C0"/>
    <w:rsid w:val="005D7499"/>
    <w:rsid w:val="005E3145"/>
    <w:rsid w:val="005F0573"/>
    <w:rsid w:val="005F1578"/>
    <w:rsid w:val="005F3488"/>
    <w:rsid w:val="005F3BC0"/>
    <w:rsid w:val="005F4814"/>
    <w:rsid w:val="005F5A40"/>
    <w:rsid w:val="005F6572"/>
    <w:rsid w:val="00600B18"/>
    <w:rsid w:val="00600EFF"/>
    <w:rsid w:val="00600F35"/>
    <w:rsid w:val="006026FD"/>
    <w:rsid w:val="00605645"/>
    <w:rsid w:val="00611932"/>
    <w:rsid w:val="00613B0D"/>
    <w:rsid w:val="006152D8"/>
    <w:rsid w:val="0061600E"/>
    <w:rsid w:val="00625BC6"/>
    <w:rsid w:val="00631116"/>
    <w:rsid w:val="00633F69"/>
    <w:rsid w:val="0063572C"/>
    <w:rsid w:val="006401F2"/>
    <w:rsid w:val="006423C1"/>
    <w:rsid w:val="00642C2F"/>
    <w:rsid w:val="006433CE"/>
    <w:rsid w:val="0064485B"/>
    <w:rsid w:val="00645F17"/>
    <w:rsid w:val="006620B2"/>
    <w:rsid w:val="00666B99"/>
    <w:rsid w:val="0067323B"/>
    <w:rsid w:val="00677ADC"/>
    <w:rsid w:val="00677B8F"/>
    <w:rsid w:val="00677DBF"/>
    <w:rsid w:val="0068241D"/>
    <w:rsid w:val="00682783"/>
    <w:rsid w:val="00684C25"/>
    <w:rsid w:val="00685903"/>
    <w:rsid w:val="00690FB3"/>
    <w:rsid w:val="00691CB3"/>
    <w:rsid w:val="00692939"/>
    <w:rsid w:val="00694096"/>
    <w:rsid w:val="00694F1C"/>
    <w:rsid w:val="006A0663"/>
    <w:rsid w:val="006A3706"/>
    <w:rsid w:val="006A3CD9"/>
    <w:rsid w:val="006A4043"/>
    <w:rsid w:val="006A41DB"/>
    <w:rsid w:val="006B26FD"/>
    <w:rsid w:val="006B478A"/>
    <w:rsid w:val="006C310A"/>
    <w:rsid w:val="006C7B0E"/>
    <w:rsid w:val="006D022F"/>
    <w:rsid w:val="006D0798"/>
    <w:rsid w:val="006D09FE"/>
    <w:rsid w:val="006D476D"/>
    <w:rsid w:val="006D4D17"/>
    <w:rsid w:val="006D62BB"/>
    <w:rsid w:val="006E01E5"/>
    <w:rsid w:val="006E06B0"/>
    <w:rsid w:val="006E1AB5"/>
    <w:rsid w:val="006E5576"/>
    <w:rsid w:val="006F35A0"/>
    <w:rsid w:val="006F45EC"/>
    <w:rsid w:val="006F4F19"/>
    <w:rsid w:val="006F72A4"/>
    <w:rsid w:val="006F78D6"/>
    <w:rsid w:val="00700E90"/>
    <w:rsid w:val="00703F19"/>
    <w:rsid w:val="007123AA"/>
    <w:rsid w:val="007140AC"/>
    <w:rsid w:val="00715DBC"/>
    <w:rsid w:val="0071663A"/>
    <w:rsid w:val="00720698"/>
    <w:rsid w:val="007208BC"/>
    <w:rsid w:val="0072133E"/>
    <w:rsid w:val="007217CB"/>
    <w:rsid w:val="007241C8"/>
    <w:rsid w:val="007259B5"/>
    <w:rsid w:val="00726392"/>
    <w:rsid w:val="00735A45"/>
    <w:rsid w:val="0073681E"/>
    <w:rsid w:val="00737067"/>
    <w:rsid w:val="00737189"/>
    <w:rsid w:val="007423B8"/>
    <w:rsid w:val="007517D8"/>
    <w:rsid w:val="00751D67"/>
    <w:rsid w:val="00756587"/>
    <w:rsid w:val="00760FB1"/>
    <w:rsid w:val="00761A61"/>
    <w:rsid w:val="00763593"/>
    <w:rsid w:val="00764215"/>
    <w:rsid w:val="007672F6"/>
    <w:rsid w:val="00770329"/>
    <w:rsid w:val="0077462E"/>
    <w:rsid w:val="00775ED3"/>
    <w:rsid w:val="00776F31"/>
    <w:rsid w:val="00783E42"/>
    <w:rsid w:val="0078611F"/>
    <w:rsid w:val="00787781"/>
    <w:rsid w:val="007909D1"/>
    <w:rsid w:val="00791267"/>
    <w:rsid w:val="007950F7"/>
    <w:rsid w:val="00796D7D"/>
    <w:rsid w:val="007A3DC3"/>
    <w:rsid w:val="007A77F8"/>
    <w:rsid w:val="007B0A33"/>
    <w:rsid w:val="007B0AE1"/>
    <w:rsid w:val="007B151A"/>
    <w:rsid w:val="007B33C5"/>
    <w:rsid w:val="007C302D"/>
    <w:rsid w:val="007C5283"/>
    <w:rsid w:val="007C5EEC"/>
    <w:rsid w:val="007C7DD7"/>
    <w:rsid w:val="007D0AFF"/>
    <w:rsid w:val="007D111F"/>
    <w:rsid w:val="007D1584"/>
    <w:rsid w:val="007D185A"/>
    <w:rsid w:val="007D1A1F"/>
    <w:rsid w:val="007D27D0"/>
    <w:rsid w:val="007D2C5C"/>
    <w:rsid w:val="007D379D"/>
    <w:rsid w:val="007D6540"/>
    <w:rsid w:val="007D7ACA"/>
    <w:rsid w:val="007E0A97"/>
    <w:rsid w:val="007E1580"/>
    <w:rsid w:val="007E185B"/>
    <w:rsid w:val="007E233E"/>
    <w:rsid w:val="007F05EF"/>
    <w:rsid w:val="007F14C9"/>
    <w:rsid w:val="007F32CD"/>
    <w:rsid w:val="007F5047"/>
    <w:rsid w:val="00807569"/>
    <w:rsid w:val="00807C0D"/>
    <w:rsid w:val="0081104F"/>
    <w:rsid w:val="00813ADE"/>
    <w:rsid w:val="008141D3"/>
    <w:rsid w:val="00817E9D"/>
    <w:rsid w:val="008238AD"/>
    <w:rsid w:val="0083028E"/>
    <w:rsid w:val="00835067"/>
    <w:rsid w:val="00835176"/>
    <w:rsid w:val="00835BEA"/>
    <w:rsid w:val="0084214C"/>
    <w:rsid w:val="00844EB7"/>
    <w:rsid w:val="00846671"/>
    <w:rsid w:val="00846A37"/>
    <w:rsid w:val="00846B4C"/>
    <w:rsid w:val="00852C7A"/>
    <w:rsid w:val="008577C4"/>
    <w:rsid w:val="00860D7B"/>
    <w:rsid w:val="00862C57"/>
    <w:rsid w:val="00865386"/>
    <w:rsid w:val="00867586"/>
    <w:rsid w:val="00870641"/>
    <w:rsid w:val="00872797"/>
    <w:rsid w:val="00875E79"/>
    <w:rsid w:val="008763A1"/>
    <w:rsid w:val="00877773"/>
    <w:rsid w:val="00881AE4"/>
    <w:rsid w:val="00883F01"/>
    <w:rsid w:val="00884FB0"/>
    <w:rsid w:val="00891A6C"/>
    <w:rsid w:val="008959E3"/>
    <w:rsid w:val="008A6A42"/>
    <w:rsid w:val="008B1E2C"/>
    <w:rsid w:val="008B70F8"/>
    <w:rsid w:val="008C273E"/>
    <w:rsid w:val="008C36B3"/>
    <w:rsid w:val="008C36CC"/>
    <w:rsid w:val="008C3908"/>
    <w:rsid w:val="008D14CA"/>
    <w:rsid w:val="008D4E05"/>
    <w:rsid w:val="008D4F05"/>
    <w:rsid w:val="008E1640"/>
    <w:rsid w:val="008F5AB7"/>
    <w:rsid w:val="008F6027"/>
    <w:rsid w:val="008F6ECB"/>
    <w:rsid w:val="009008B5"/>
    <w:rsid w:val="009010FE"/>
    <w:rsid w:val="009013DA"/>
    <w:rsid w:val="009039DC"/>
    <w:rsid w:val="0090624E"/>
    <w:rsid w:val="009075BC"/>
    <w:rsid w:val="00907B76"/>
    <w:rsid w:val="00910835"/>
    <w:rsid w:val="009111CC"/>
    <w:rsid w:val="00912D36"/>
    <w:rsid w:val="00916E6A"/>
    <w:rsid w:val="00917AC2"/>
    <w:rsid w:val="009220EE"/>
    <w:rsid w:val="0092284F"/>
    <w:rsid w:val="00922B24"/>
    <w:rsid w:val="00923079"/>
    <w:rsid w:val="00924BCE"/>
    <w:rsid w:val="00925804"/>
    <w:rsid w:val="009264B2"/>
    <w:rsid w:val="0093166F"/>
    <w:rsid w:val="00934C01"/>
    <w:rsid w:val="00935432"/>
    <w:rsid w:val="0093669B"/>
    <w:rsid w:val="009410DF"/>
    <w:rsid w:val="009410E6"/>
    <w:rsid w:val="00943A43"/>
    <w:rsid w:val="009457EF"/>
    <w:rsid w:val="00945FD3"/>
    <w:rsid w:val="00950A82"/>
    <w:rsid w:val="0095121B"/>
    <w:rsid w:val="00952D04"/>
    <w:rsid w:val="009577BC"/>
    <w:rsid w:val="00957F0E"/>
    <w:rsid w:val="00960076"/>
    <w:rsid w:val="00960E7D"/>
    <w:rsid w:val="00962201"/>
    <w:rsid w:val="009673B8"/>
    <w:rsid w:val="009674DD"/>
    <w:rsid w:val="00970C8B"/>
    <w:rsid w:val="00972A22"/>
    <w:rsid w:val="00975367"/>
    <w:rsid w:val="0097740F"/>
    <w:rsid w:val="009804DF"/>
    <w:rsid w:val="00980B2A"/>
    <w:rsid w:val="00980F77"/>
    <w:rsid w:val="0098258E"/>
    <w:rsid w:val="00985A26"/>
    <w:rsid w:val="009861C6"/>
    <w:rsid w:val="0099129B"/>
    <w:rsid w:val="0099507F"/>
    <w:rsid w:val="00997E23"/>
    <w:rsid w:val="009A19B8"/>
    <w:rsid w:val="009A3D88"/>
    <w:rsid w:val="009A4239"/>
    <w:rsid w:val="009B2BB2"/>
    <w:rsid w:val="009B34B2"/>
    <w:rsid w:val="009B44A3"/>
    <w:rsid w:val="009B7430"/>
    <w:rsid w:val="009B7572"/>
    <w:rsid w:val="009C04FD"/>
    <w:rsid w:val="009C57D4"/>
    <w:rsid w:val="009C67B2"/>
    <w:rsid w:val="009C6C76"/>
    <w:rsid w:val="009D132C"/>
    <w:rsid w:val="009D1799"/>
    <w:rsid w:val="009D1896"/>
    <w:rsid w:val="009D61A6"/>
    <w:rsid w:val="009E7C0A"/>
    <w:rsid w:val="009F37DD"/>
    <w:rsid w:val="009F7B1D"/>
    <w:rsid w:val="00A02888"/>
    <w:rsid w:val="00A028B3"/>
    <w:rsid w:val="00A1056A"/>
    <w:rsid w:val="00A110DA"/>
    <w:rsid w:val="00A14214"/>
    <w:rsid w:val="00A1568D"/>
    <w:rsid w:val="00A228C4"/>
    <w:rsid w:val="00A261B9"/>
    <w:rsid w:val="00A30DB6"/>
    <w:rsid w:val="00A329CC"/>
    <w:rsid w:val="00A32BE1"/>
    <w:rsid w:val="00A35781"/>
    <w:rsid w:val="00A36C28"/>
    <w:rsid w:val="00A3733C"/>
    <w:rsid w:val="00A3792F"/>
    <w:rsid w:val="00A40F8A"/>
    <w:rsid w:val="00A42F00"/>
    <w:rsid w:val="00A43DF3"/>
    <w:rsid w:val="00A43E86"/>
    <w:rsid w:val="00A45817"/>
    <w:rsid w:val="00A45821"/>
    <w:rsid w:val="00A4769E"/>
    <w:rsid w:val="00A47B0B"/>
    <w:rsid w:val="00A55EEE"/>
    <w:rsid w:val="00A56768"/>
    <w:rsid w:val="00A57A46"/>
    <w:rsid w:val="00A57BED"/>
    <w:rsid w:val="00A6055B"/>
    <w:rsid w:val="00A70350"/>
    <w:rsid w:val="00A710FA"/>
    <w:rsid w:val="00A71E46"/>
    <w:rsid w:val="00A72BD7"/>
    <w:rsid w:val="00A73910"/>
    <w:rsid w:val="00A75A45"/>
    <w:rsid w:val="00A83A9B"/>
    <w:rsid w:val="00A864EA"/>
    <w:rsid w:val="00A866A6"/>
    <w:rsid w:val="00A9111C"/>
    <w:rsid w:val="00A95253"/>
    <w:rsid w:val="00AA23AF"/>
    <w:rsid w:val="00AB08EC"/>
    <w:rsid w:val="00AB28B5"/>
    <w:rsid w:val="00AB3D78"/>
    <w:rsid w:val="00AB5BAE"/>
    <w:rsid w:val="00AB6D76"/>
    <w:rsid w:val="00AB75FF"/>
    <w:rsid w:val="00AC0025"/>
    <w:rsid w:val="00AC04A1"/>
    <w:rsid w:val="00AC2DBC"/>
    <w:rsid w:val="00AC5017"/>
    <w:rsid w:val="00AC7439"/>
    <w:rsid w:val="00AD249F"/>
    <w:rsid w:val="00AD37A0"/>
    <w:rsid w:val="00AD442C"/>
    <w:rsid w:val="00AE0F1D"/>
    <w:rsid w:val="00AE2929"/>
    <w:rsid w:val="00AE61A9"/>
    <w:rsid w:val="00AF5B3E"/>
    <w:rsid w:val="00AF61E1"/>
    <w:rsid w:val="00AF65AE"/>
    <w:rsid w:val="00B00F7F"/>
    <w:rsid w:val="00B00FE0"/>
    <w:rsid w:val="00B03FF1"/>
    <w:rsid w:val="00B04C86"/>
    <w:rsid w:val="00B05C68"/>
    <w:rsid w:val="00B14F26"/>
    <w:rsid w:val="00B15162"/>
    <w:rsid w:val="00B15FA3"/>
    <w:rsid w:val="00B1688D"/>
    <w:rsid w:val="00B16C0C"/>
    <w:rsid w:val="00B17F0C"/>
    <w:rsid w:val="00B24117"/>
    <w:rsid w:val="00B24C39"/>
    <w:rsid w:val="00B250A6"/>
    <w:rsid w:val="00B25D71"/>
    <w:rsid w:val="00B27472"/>
    <w:rsid w:val="00B30518"/>
    <w:rsid w:val="00B30AFF"/>
    <w:rsid w:val="00B34833"/>
    <w:rsid w:val="00B37519"/>
    <w:rsid w:val="00B40B5A"/>
    <w:rsid w:val="00B43539"/>
    <w:rsid w:val="00B5015F"/>
    <w:rsid w:val="00B50381"/>
    <w:rsid w:val="00B62FBD"/>
    <w:rsid w:val="00B63CA1"/>
    <w:rsid w:val="00B6668A"/>
    <w:rsid w:val="00B67DEE"/>
    <w:rsid w:val="00B7049D"/>
    <w:rsid w:val="00B73A4A"/>
    <w:rsid w:val="00B75ECF"/>
    <w:rsid w:val="00B76477"/>
    <w:rsid w:val="00B80369"/>
    <w:rsid w:val="00B82A81"/>
    <w:rsid w:val="00B844C8"/>
    <w:rsid w:val="00B926BC"/>
    <w:rsid w:val="00B95C1F"/>
    <w:rsid w:val="00B979DE"/>
    <w:rsid w:val="00BA4289"/>
    <w:rsid w:val="00BA5696"/>
    <w:rsid w:val="00BA6DC4"/>
    <w:rsid w:val="00BB0D87"/>
    <w:rsid w:val="00BB1CBB"/>
    <w:rsid w:val="00BB4CDB"/>
    <w:rsid w:val="00BB7A37"/>
    <w:rsid w:val="00BC0018"/>
    <w:rsid w:val="00BC1F4D"/>
    <w:rsid w:val="00BC2614"/>
    <w:rsid w:val="00BC6EA9"/>
    <w:rsid w:val="00BD20EF"/>
    <w:rsid w:val="00BD35F0"/>
    <w:rsid w:val="00BD4DEC"/>
    <w:rsid w:val="00BD51C5"/>
    <w:rsid w:val="00BD6AF2"/>
    <w:rsid w:val="00BE01CA"/>
    <w:rsid w:val="00BE2324"/>
    <w:rsid w:val="00BE24CB"/>
    <w:rsid w:val="00BE3CB9"/>
    <w:rsid w:val="00BF121A"/>
    <w:rsid w:val="00BF6390"/>
    <w:rsid w:val="00C02E55"/>
    <w:rsid w:val="00C0337F"/>
    <w:rsid w:val="00C04F91"/>
    <w:rsid w:val="00C052EF"/>
    <w:rsid w:val="00C06984"/>
    <w:rsid w:val="00C073A6"/>
    <w:rsid w:val="00C1209B"/>
    <w:rsid w:val="00C13223"/>
    <w:rsid w:val="00C15DDD"/>
    <w:rsid w:val="00C16A19"/>
    <w:rsid w:val="00C1703F"/>
    <w:rsid w:val="00C1742F"/>
    <w:rsid w:val="00C20C04"/>
    <w:rsid w:val="00C23984"/>
    <w:rsid w:val="00C23EFD"/>
    <w:rsid w:val="00C25B42"/>
    <w:rsid w:val="00C25D29"/>
    <w:rsid w:val="00C279FF"/>
    <w:rsid w:val="00C34270"/>
    <w:rsid w:val="00C35FFC"/>
    <w:rsid w:val="00C453BD"/>
    <w:rsid w:val="00C53BE0"/>
    <w:rsid w:val="00C548D9"/>
    <w:rsid w:val="00C60366"/>
    <w:rsid w:val="00C606A6"/>
    <w:rsid w:val="00C60D24"/>
    <w:rsid w:val="00C71A77"/>
    <w:rsid w:val="00C71DFA"/>
    <w:rsid w:val="00C731B1"/>
    <w:rsid w:val="00C75BE2"/>
    <w:rsid w:val="00C769F8"/>
    <w:rsid w:val="00C86E22"/>
    <w:rsid w:val="00C86FCC"/>
    <w:rsid w:val="00C87B57"/>
    <w:rsid w:val="00C92536"/>
    <w:rsid w:val="00C959D5"/>
    <w:rsid w:val="00C9634D"/>
    <w:rsid w:val="00CA28F1"/>
    <w:rsid w:val="00CA2958"/>
    <w:rsid w:val="00CB5BE1"/>
    <w:rsid w:val="00CB5EB2"/>
    <w:rsid w:val="00CC10C6"/>
    <w:rsid w:val="00CC1444"/>
    <w:rsid w:val="00CC20EF"/>
    <w:rsid w:val="00CC38AC"/>
    <w:rsid w:val="00CC3AB8"/>
    <w:rsid w:val="00CC6FCC"/>
    <w:rsid w:val="00CC75F5"/>
    <w:rsid w:val="00CD1CB1"/>
    <w:rsid w:val="00CD2B2E"/>
    <w:rsid w:val="00CD6248"/>
    <w:rsid w:val="00CD7E7A"/>
    <w:rsid w:val="00CE31AA"/>
    <w:rsid w:val="00CE40D3"/>
    <w:rsid w:val="00CE449B"/>
    <w:rsid w:val="00CE4CEF"/>
    <w:rsid w:val="00CF0A8B"/>
    <w:rsid w:val="00CF0FC6"/>
    <w:rsid w:val="00CF181D"/>
    <w:rsid w:val="00CF4059"/>
    <w:rsid w:val="00CF447A"/>
    <w:rsid w:val="00CF6A52"/>
    <w:rsid w:val="00CF6BFE"/>
    <w:rsid w:val="00D01479"/>
    <w:rsid w:val="00D03B97"/>
    <w:rsid w:val="00D05888"/>
    <w:rsid w:val="00D07C09"/>
    <w:rsid w:val="00D12408"/>
    <w:rsid w:val="00D13161"/>
    <w:rsid w:val="00D20570"/>
    <w:rsid w:val="00D213D6"/>
    <w:rsid w:val="00D21650"/>
    <w:rsid w:val="00D21A96"/>
    <w:rsid w:val="00D377CB"/>
    <w:rsid w:val="00D42871"/>
    <w:rsid w:val="00D46119"/>
    <w:rsid w:val="00D46B36"/>
    <w:rsid w:val="00D51D7C"/>
    <w:rsid w:val="00D5237E"/>
    <w:rsid w:val="00D52924"/>
    <w:rsid w:val="00D52B22"/>
    <w:rsid w:val="00D53F80"/>
    <w:rsid w:val="00D6014F"/>
    <w:rsid w:val="00D610AC"/>
    <w:rsid w:val="00D62F75"/>
    <w:rsid w:val="00D643CC"/>
    <w:rsid w:val="00D65CDA"/>
    <w:rsid w:val="00D67142"/>
    <w:rsid w:val="00D67DA2"/>
    <w:rsid w:val="00D67FF3"/>
    <w:rsid w:val="00D73A86"/>
    <w:rsid w:val="00D74E96"/>
    <w:rsid w:val="00D75805"/>
    <w:rsid w:val="00D75F18"/>
    <w:rsid w:val="00D812A9"/>
    <w:rsid w:val="00D81ABE"/>
    <w:rsid w:val="00D878AD"/>
    <w:rsid w:val="00D908B0"/>
    <w:rsid w:val="00D968E9"/>
    <w:rsid w:val="00D97FD6"/>
    <w:rsid w:val="00DA201C"/>
    <w:rsid w:val="00DA503D"/>
    <w:rsid w:val="00DB1642"/>
    <w:rsid w:val="00DB3D1A"/>
    <w:rsid w:val="00DB3DB2"/>
    <w:rsid w:val="00DB4D65"/>
    <w:rsid w:val="00DB5D85"/>
    <w:rsid w:val="00DB7136"/>
    <w:rsid w:val="00DB7DAD"/>
    <w:rsid w:val="00DC1423"/>
    <w:rsid w:val="00DC526E"/>
    <w:rsid w:val="00DC593F"/>
    <w:rsid w:val="00DC5EFB"/>
    <w:rsid w:val="00DD1E68"/>
    <w:rsid w:val="00DD3BD1"/>
    <w:rsid w:val="00DD4940"/>
    <w:rsid w:val="00DD52FB"/>
    <w:rsid w:val="00DE2716"/>
    <w:rsid w:val="00DE2C1B"/>
    <w:rsid w:val="00DE5F58"/>
    <w:rsid w:val="00DE6F4C"/>
    <w:rsid w:val="00DF3626"/>
    <w:rsid w:val="00DF6373"/>
    <w:rsid w:val="00DF7926"/>
    <w:rsid w:val="00E00DEB"/>
    <w:rsid w:val="00E010FE"/>
    <w:rsid w:val="00E02F8A"/>
    <w:rsid w:val="00E032F9"/>
    <w:rsid w:val="00E034AD"/>
    <w:rsid w:val="00E03E1B"/>
    <w:rsid w:val="00E104BE"/>
    <w:rsid w:val="00E112F8"/>
    <w:rsid w:val="00E12CBE"/>
    <w:rsid w:val="00E13096"/>
    <w:rsid w:val="00E154A9"/>
    <w:rsid w:val="00E1651E"/>
    <w:rsid w:val="00E17D4F"/>
    <w:rsid w:val="00E216CA"/>
    <w:rsid w:val="00E22FAF"/>
    <w:rsid w:val="00E31128"/>
    <w:rsid w:val="00E359BB"/>
    <w:rsid w:val="00E3784F"/>
    <w:rsid w:val="00E37964"/>
    <w:rsid w:val="00E43466"/>
    <w:rsid w:val="00E43BCD"/>
    <w:rsid w:val="00E44BA1"/>
    <w:rsid w:val="00E44BD3"/>
    <w:rsid w:val="00E52BCA"/>
    <w:rsid w:val="00E53174"/>
    <w:rsid w:val="00E534E8"/>
    <w:rsid w:val="00E54023"/>
    <w:rsid w:val="00E57041"/>
    <w:rsid w:val="00E645D4"/>
    <w:rsid w:val="00E65BE1"/>
    <w:rsid w:val="00E65EEF"/>
    <w:rsid w:val="00E66F85"/>
    <w:rsid w:val="00E7047F"/>
    <w:rsid w:val="00E751F5"/>
    <w:rsid w:val="00E7664A"/>
    <w:rsid w:val="00E801A7"/>
    <w:rsid w:val="00E80902"/>
    <w:rsid w:val="00E811B6"/>
    <w:rsid w:val="00E83971"/>
    <w:rsid w:val="00E84DFE"/>
    <w:rsid w:val="00E853BF"/>
    <w:rsid w:val="00EA171D"/>
    <w:rsid w:val="00EA22E2"/>
    <w:rsid w:val="00EA4880"/>
    <w:rsid w:val="00EA52D8"/>
    <w:rsid w:val="00EB12AA"/>
    <w:rsid w:val="00EB7327"/>
    <w:rsid w:val="00EC03D7"/>
    <w:rsid w:val="00EC1A12"/>
    <w:rsid w:val="00EC1DF1"/>
    <w:rsid w:val="00EC33FB"/>
    <w:rsid w:val="00EC4BEC"/>
    <w:rsid w:val="00ED20C1"/>
    <w:rsid w:val="00ED2288"/>
    <w:rsid w:val="00EE441D"/>
    <w:rsid w:val="00EF2036"/>
    <w:rsid w:val="00EF4A81"/>
    <w:rsid w:val="00EF6FAD"/>
    <w:rsid w:val="00F0240D"/>
    <w:rsid w:val="00F02999"/>
    <w:rsid w:val="00F0414E"/>
    <w:rsid w:val="00F055DF"/>
    <w:rsid w:val="00F11C46"/>
    <w:rsid w:val="00F11E31"/>
    <w:rsid w:val="00F14EB3"/>
    <w:rsid w:val="00F15491"/>
    <w:rsid w:val="00F2562A"/>
    <w:rsid w:val="00F27CF4"/>
    <w:rsid w:val="00F32C10"/>
    <w:rsid w:val="00F41784"/>
    <w:rsid w:val="00F4185D"/>
    <w:rsid w:val="00F44512"/>
    <w:rsid w:val="00F45CB2"/>
    <w:rsid w:val="00F469B6"/>
    <w:rsid w:val="00F528FE"/>
    <w:rsid w:val="00F56E95"/>
    <w:rsid w:val="00F606B0"/>
    <w:rsid w:val="00F60A5E"/>
    <w:rsid w:val="00F62D68"/>
    <w:rsid w:val="00F70151"/>
    <w:rsid w:val="00F73963"/>
    <w:rsid w:val="00F761A7"/>
    <w:rsid w:val="00F767DC"/>
    <w:rsid w:val="00F76B55"/>
    <w:rsid w:val="00F81951"/>
    <w:rsid w:val="00F831C0"/>
    <w:rsid w:val="00F864D6"/>
    <w:rsid w:val="00F87A44"/>
    <w:rsid w:val="00F87FA8"/>
    <w:rsid w:val="00F90E1A"/>
    <w:rsid w:val="00F91A48"/>
    <w:rsid w:val="00F96B42"/>
    <w:rsid w:val="00FA0CD3"/>
    <w:rsid w:val="00FA0E08"/>
    <w:rsid w:val="00FA3733"/>
    <w:rsid w:val="00FA6A5C"/>
    <w:rsid w:val="00FA79BF"/>
    <w:rsid w:val="00FB168A"/>
    <w:rsid w:val="00FB1D38"/>
    <w:rsid w:val="00FB278C"/>
    <w:rsid w:val="00FB745F"/>
    <w:rsid w:val="00FC005E"/>
    <w:rsid w:val="00FC0D9A"/>
    <w:rsid w:val="00FC13C3"/>
    <w:rsid w:val="00FC20C6"/>
    <w:rsid w:val="00FD385B"/>
    <w:rsid w:val="00FE0374"/>
    <w:rsid w:val="00FE15FD"/>
    <w:rsid w:val="00FE2DB8"/>
    <w:rsid w:val="00FE6B1E"/>
    <w:rsid w:val="00FF5B22"/>
    <w:rsid w:val="00FF626F"/>
    <w:rsid w:val="00FF652B"/>
    <w:rsid w:val="00FF7453"/>
    <w:rsid w:val="010262BF"/>
    <w:rsid w:val="0315B737"/>
    <w:rsid w:val="05A6DE22"/>
    <w:rsid w:val="4523AE5C"/>
    <w:rsid w:val="6C21EC60"/>
    <w:rsid w:val="7A37929F"/>
    <w:rsid w:val="7D6A7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793C3C"/>
  <w15:chartTrackingRefBased/>
  <w15:docId w15:val="{F780EBFA-1087-4D21-AC42-8F884992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8B"/>
  </w:style>
  <w:style w:type="paragraph" w:styleId="Heading1">
    <w:name w:val="heading 1"/>
    <w:basedOn w:val="Normal"/>
    <w:next w:val="Normal"/>
    <w:link w:val="Heading1Char"/>
    <w:uiPriority w:val="9"/>
    <w:qFormat/>
    <w:rsid w:val="00846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6A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77C4"/>
    <w:pPr>
      <w:keepNext/>
      <w:keepLines/>
      <w:spacing w:before="40" w:after="0" w:line="276" w:lineRule="auto"/>
      <w:outlineLvl w:val="2"/>
    </w:pPr>
    <w:rPr>
      <w:rFonts w:ascii="Times New Roman" w:eastAsiaTheme="majorEastAsia" w:hAnsi="Times New Roman" w:cstheme="majorBidi"/>
      <w:b/>
      <w:sz w:val="24"/>
      <w:szCs w:val="24"/>
      <w:u w:val="single"/>
    </w:rPr>
  </w:style>
  <w:style w:type="paragraph" w:styleId="Heading4">
    <w:name w:val="heading 4"/>
    <w:basedOn w:val="Normal"/>
    <w:next w:val="Normal"/>
    <w:link w:val="Heading4Char"/>
    <w:uiPriority w:val="9"/>
    <w:unhideWhenUsed/>
    <w:qFormat/>
    <w:rsid w:val="00033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46A37"/>
    <w:pPr>
      <w:keepNext/>
      <w:keepLines/>
      <w:spacing w:before="40" w:after="0"/>
      <w:outlineLvl w:val="4"/>
    </w:pPr>
    <w:rPr>
      <w:rFonts w:ascii="Calibri" w:eastAsia="Times New Roman" w:hAnsi="Calibri" w:cs="Times New Roman"/>
      <w:color w:val="005677"/>
      <w:sz w:val="26"/>
      <w:szCs w:val="26"/>
    </w:rPr>
  </w:style>
  <w:style w:type="paragraph" w:styleId="Heading6">
    <w:name w:val="heading 6"/>
    <w:basedOn w:val="Normal"/>
    <w:next w:val="Normal"/>
    <w:link w:val="Heading6Char"/>
    <w:uiPriority w:val="9"/>
    <w:unhideWhenUsed/>
    <w:qFormat/>
    <w:rsid w:val="00033F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93241"/>
    <w:pPr>
      <w:keepNext/>
      <w:keepLines/>
      <w:spacing w:before="40" w:after="0"/>
      <w:outlineLvl w:val="6"/>
    </w:pPr>
    <w:rPr>
      <w:rFonts w:ascii="Calibri" w:eastAsia="Times New Roman" w:hAnsi="Calibri" w:cs="Times New Roman"/>
      <w:i/>
      <w:iCs/>
      <w:color w:val="083A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611C3"/>
  </w:style>
  <w:style w:type="paragraph" w:styleId="ListParagraph">
    <w:name w:val="List Paragraph"/>
    <w:aliases w:val="List Bullet Cab,CAB - List Bullet,Recommendation,List Paragraph1,Bulleted Para,NFP GP Bulleted List,bullet point list,Bulletr List Paragraph,FooterText,L,List Paragraph11,List Paragraph2,List Paragraph21,Listeafsnit1,Paragraphe de liste1"/>
    <w:basedOn w:val="Normal"/>
    <w:link w:val="ListParagraphChar"/>
    <w:uiPriority w:val="34"/>
    <w:qFormat/>
    <w:rsid w:val="000611C3"/>
    <w:pPr>
      <w:spacing w:after="200" w:line="276" w:lineRule="auto"/>
      <w:ind w:left="720"/>
      <w:contextualSpacing/>
    </w:pPr>
  </w:style>
  <w:style w:type="paragraph" w:styleId="FootnoteText">
    <w:name w:val="footnote text"/>
    <w:basedOn w:val="Normal"/>
    <w:link w:val="FootnoteTextChar"/>
    <w:uiPriority w:val="99"/>
    <w:semiHidden/>
    <w:unhideWhenUsed/>
    <w:rsid w:val="00061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1C3"/>
    <w:rPr>
      <w:sz w:val="20"/>
      <w:szCs w:val="20"/>
    </w:rPr>
  </w:style>
  <w:style w:type="character" w:styleId="FootnoteReference">
    <w:name w:val="footnote reference"/>
    <w:basedOn w:val="DefaultParagraphFont"/>
    <w:uiPriority w:val="99"/>
    <w:semiHidden/>
    <w:unhideWhenUsed/>
    <w:rsid w:val="000611C3"/>
    <w:rPr>
      <w:vertAlign w:val="superscript"/>
    </w:rPr>
  </w:style>
  <w:style w:type="character" w:styleId="CommentReference">
    <w:name w:val="annotation reference"/>
    <w:basedOn w:val="DefaultParagraphFont"/>
    <w:uiPriority w:val="99"/>
    <w:semiHidden/>
    <w:unhideWhenUsed/>
    <w:rsid w:val="000611C3"/>
    <w:rPr>
      <w:sz w:val="16"/>
      <w:szCs w:val="16"/>
    </w:rPr>
  </w:style>
  <w:style w:type="paragraph" w:styleId="CommentText">
    <w:name w:val="annotation text"/>
    <w:basedOn w:val="Normal"/>
    <w:link w:val="CommentTextChar"/>
    <w:uiPriority w:val="99"/>
    <w:unhideWhenUsed/>
    <w:rsid w:val="000611C3"/>
    <w:pPr>
      <w:spacing w:after="200" w:line="240" w:lineRule="auto"/>
    </w:pPr>
    <w:rPr>
      <w:sz w:val="20"/>
      <w:szCs w:val="20"/>
    </w:rPr>
  </w:style>
  <w:style w:type="character" w:customStyle="1" w:styleId="CommentTextChar">
    <w:name w:val="Comment Text Char"/>
    <w:basedOn w:val="DefaultParagraphFont"/>
    <w:link w:val="CommentText"/>
    <w:uiPriority w:val="99"/>
    <w:rsid w:val="000611C3"/>
    <w:rPr>
      <w:sz w:val="20"/>
      <w:szCs w:val="20"/>
    </w:rPr>
  </w:style>
  <w:style w:type="paragraph" w:styleId="CommentSubject">
    <w:name w:val="annotation subject"/>
    <w:basedOn w:val="CommentText"/>
    <w:next w:val="CommentText"/>
    <w:link w:val="CommentSubjectChar"/>
    <w:uiPriority w:val="99"/>
    <w:semiHidden/>
    <w:unhideWhenUsed/>
    <w:rsid w:val="000611C3"/>
    <w:rPr>
      <w:b/>
      <w:bCs/>
    </w:rPr>
  </w:style>
  <w:style w:type="character" w:customStyle="1" w:styleId="CommentSubjectChar">
    <w:name w:val="Comment Subject Char"/>
    <w:basedOn w:val="CommentTextChar"/>
    <w:link w:val="CommentSubject"/>
    <w:uiPriority w:val="99"/>
    <w:semiHidden/>
    <w:rsid w:val="000611C3"/>
    <w:rPr>
      <w:b/>
      <w:bCs/>
      <w:sz w:val="20"/>
      <w:szCs w:val="20"/>
    </w:rPr>
  </w:style>
  <w:style w:type="paragraph" w:styleId="BalloonText">
    <w:name w:val="Balloon Text"/>
    <w:basedOn w:val="Normal"/>
    <w:link w:val="BalloonTextChar"/>
    <w:uiPriority w:val="99"/>
    <w:semiHidden/>
    <w:unhideWhenUsed/>
    <w:rsid w:val="00061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C3"/>
    <w:rPr>
      <w:rFonts w:ascii="Segoe UI" w:hAnsi="Segoe UI" w:cs="Segoe UI"/>
      <w:sz w:val="18"/>
      <w:szCs w:val="18"/>
    </w:rPr>
  </w:style>
  <w:style w:type="character" w:customStyle="1" w:styleId="Heading3Char">
    <w:name w:val="Heading 3 Char"/>
    <w:basedOn w:val="DefaultParagraphFont"/>
    <w:link w:val="Heading3"/>
    <w:uiPriority w:val="9"/>
    <w:rsid w:val="008577C4"/>
    <w:rPr>
      <w:rFonts w:ascii="Times New Roman" w:eastAsiaTheme="majorEastAsia" w:hAnsi="Times New Roman" w:cstheme="majorBidi"/>
      <w:b/>
      <w:sz w:val="24"/>
      <w:szCs w:val="24"/>
      <w:u w:val="singl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210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21090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739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033FDE"/>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033FDE"/>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FC0D9A"/>
    <w:pPr>
      <w:pBdr>
        <w:bottom w:val="single" w:sz="8" w:space="1" w:color="44546A" w:themeColor="text2"/>
      </w:pBdr>
      <w:spacing w:before="360" w:after="120" w:line="240" w:lineRule="auto"/>
      <w:contextualSpacing/>
      <w:outlineLvl w:val="0"/>
    </w:pPr>
    <w:rPr>
      <w:rFonts w:ascii="Calibri" w:eastAsiaTheme="majorEastAsia" w:hAnsi="Calibri" w:cstheme="majorBidi"/>
      <w:color w:val="44546A" w:themeColor="text2"/>
      <w:spacing w:val="-10"/>
      <w:kern w:val="28"/>
      <w:sz w:val="36"/>
      <w:szCs w:val="72"/>
    </w:rPr>
  </w:style>
  <w:style w:type="character" w:customStyle="1" w:styleId="TitleChar">
    <w:name w:val="Title Char"/>
    <w:basedOn w:val="DefaultParagraphFont"/>
    <w:link w:val="Title"/>
    <w:uiPriority w:val="10"/>
    <w:rsid w:val="00FC0D9A"/>
    <w:rPr>
      <w:rFonts w:ascii="Calibri" w:eastAsiaTheme="majorEastAsia" w:hAnsi="Calibri" w:cstheme="majorBidi"/>
      <w:color w:val="44546A" w:themeColor="text2"/>
      <w:spacing w:val="-10"/>
      <w:kern w:val="28"/>
      <w:sz w:val="36"/>
      <w:szCs w:val="72"/>
    </w:rPr>
  </w:style>
  <w:style w:type="paragraph" w:styleId="Header">
    <w:name w:val="header"/>
    <w:basedOn w:val="Normal"/>
    <w:link w:val="HeaderChar"/>
    <w:uiPriority w:val="99"/>
    <w:unhideWhenUsed/>
    <w:rsid w:val="0003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DE"/>
  </w:style>
  <w:style w:type="paragraph" w:styleId="Footer">
    <w:name w:val="footer"/>
    <w:basedOn w:val="Normal"/>
    <w:link w:val="FooterChar"/>
    <w:uiPriority w:val="99"/>
    <w:unhideWhenUsed/>
    <w:rsid w:val="0003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DE"/>
  </w:style>
  <w:style w:type="character" w:styleId="FollowedHyperlink">
    <w:name w:val="FollowedHyperlink"/>
    <w:basedOn w:val="DefaultParagraphFont"/>
    <w:uiPriority w:val="99"/>
    <w:semiHidden/>
    <w:unhideWhenUsed/>
    <w:rsid w:val="004D14C4"/>
    <w:rPr>
      <w:color w:val="954F72" w:themeColor="followedHyperlink"/>
      <w:u w:val="single"/>
    </w:rPr>
  </w:style>
  <w:style w:type="table" w:styleId="GridTable1Light-Accent5">
    <w:name w:val="Grid Table 1 Light Accent 5"/>
    <w:basedOn w:val="TableNormal"/>
    <w:uiPriority w:val="46"/>
    <w:rsid w:val="002877A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2877A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877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Defn">
    <w:name w:val="t_Defn"/>
    <w:aliases w:val="Definition,dd"/>
    <w:basedOn w:val="Normal"/>
    <w:rsid w:val="00AE61A9"/>
    <w:pPr>
      <w:spacing w:before="180" w:after="0" w:line="240" w:lineRule="auto"/>
      <w:ind w:left="1134"/>
    </w:pPr>
    <w:rPr>
      <w:rFonts w:ascii="Times New Roman" w:eastAsia="Times New Roman" w:hAnsi="Times New Roman" w:cs="Times New Roman"/>
      <w:szCs w:val="20"/>
      <w:lang w:eastAsia="en-AU"/>
    </w:rPr>
  </w:style>
  <w:style w:type="paragraph" w:styleId="NormalWeb">
    <w:name w:val="Normal (Web)"/>
    <w:basedOn w:val="Normal"/>
    <w:uiPriority w:val="99"/>
    <w:semiHidden/>
    <w:unhideWhenUsed/>
    <w:rsid w:val="003B2A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846A3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6A37"/>
    <w:rPr>
      <w:rFonts w:asciiTheme="majorHAnsi" w:eastAsiaTheme="majorEastAsia" w:hAnsiTheme="majorHAnsi" w:cstheme="majorBidi"/>
      <w:color w:val="2E74B5" w:themeColor="accent1" w:themeShade="BF"/>
      <w:sz w:val="26"/>
      <w:szCs w:val="26"/>
    </w:rPr>
  </w:style>
  <w:style w:type="paragraph" w:customStyle="1" w:styleId="Heading51">
    <w:name w:val="Heading 51"/>
    <w:basedOn w:val="Normal"/>
    <w:next w:val="Normal"/>
    <w:uiPriority w:val="9"/>
    <w:unhideWhenUsed/>
    <w:qFormat/>
    <w:rsid w:val="00846A37"/>
    <w:pPr>
      <w:keepNext/>
      <w:keepLines/>
      <w:spacing w:before="40" w:after="0"/>
      <w:outlineLvl w:val="4"/>
    </w:pPr>
    <w:rPr>
      <w:rFonts w:ascii="Calibri" w:eastAsia="Times New Roman" w:hAnsi="Calibri" w:cs="Times New Roman"/>
      <w:color w:val="005677"/>
      <w:sz w:val="26"/>
      <w:szCs w:val="26"/>
    </w:rPr>
  </w:style>
  <w:style w:type="numbering" w:customStyle="1" w:styleId="NoList2">
    <w:name w:val="No List2"/>
    <w:next w:val="NoList"/>
    <w:uiPriority w:val="99"/>
    <w:semiHidden/>
    <w:unhideWhenUsed/>
    <w:rsid w:val="00846A37"/>
  </w:style>
  <w:style w:type="paragraph" w:customStyle="1" w:styleId="Subtitle1">
    <w:name w:val="Subtitle1"/>
    <w:basedOn w:val="Normal"/>
    <w:next w:val="Normal"/>
    <w:uiPriority w:val="11"/>
    <w:qFormat/>
    <w:rsid w:val="00846A37"/>
    <w:pPr>
      <w:numPr>
        <w:ilvl w:val="1"/>
      </w:numPr>
    </w:pPr>
    <w:rPr>
      <w:rFonts w:eastAsia="Times New Roman"/>
      <w:color w:val="FFFFFF"/>
      <w:sz w:val="40"/>
    </w:rPr>
  </w:style>
  <w:style w:type="character" w:customStyle="1" w:styleId="SubtitleChar">
    <w:name w:val="Subtitle Char"/>
    <w:basedOn w:val="DefaultParagraphFont"/>
    <w:link w:val="Subtitle"/>
    <w:uiPriority w:val="11"/>
    <w:rsid w:val="00846A37"/>
    <w:rPr>
      <w:rFonts w:eastAsia="Times New Roman"/>
      <w:color w:val="FFFFFF"/>
      <w:sz w:val="40"/>
    </w:rPr>
  </w:style>
  <w:style w:type="character" w:customStyle="1" w:styleId="Heading5Char">
    <w:name w:val="Heading 5 Char"/>
    <w:basedOn w:val="DefaultParagraphFont"/>
    <w:link w:val="Heading5"/>
    <w:uiPriority w:val="9"/>
    <w:rsid w:val="00846A37"/>
    <w:rPr>
      <w:rFonts w:ascii="Calibri" w:eastAsia="Times New Roman" w:hAnsi="Calibri" w:cs="Times New Roman"/>
      <w:color w:val="005677"/>
      <w:sz w:val="26"/>
      <w:szCs w:val="26"/>
    </w:rPr>
  </w:style>
  <w:style w:type="paragraph" w:customStyle="1" w:styleId="Quote1">
    <w:name w:val="Quote1"/>
    <w:basedOn w:val="Normal"/>
    <w:next w:val="Normal"/>
    <w:uiPriority w:val="29"/>
    <w:qFormat/>
    <w:rsid w:val="00846A37"/>
    <w:pPr>
      <w:pBdr>
        <w:top w:val="single" w:sz="4" w:space="6" w:color="auto"/>
        <w:bottom w:val="single" w:sz="4" w:space="6" w:color="auto"/>
      </w:pBdr>
      <w:spacing w:before="200"/>
      <w:ind w:left="720" w:right="864"/>
      <w:jc w:val="center"/>
    </w:pPr>
    <w:rPr>
      <w:i/>
      <w:iCs/>
      <w:color w:val="000000"/>
      <w:szCs w:val="24"/>
    </w:rPr>
  </w:style>
  <w:style w:type="character" w:customStyle="1" w:styleId="QuoteChar">
    <w:name w:val="Quote Char"/>
    <w:basedOn w:val="DefaultParagraphFont"/>
    <w:link w:val="Quote"/>
    <w:uiPriority w:val="29"/>
    <w:rsid w:val="00846A37"/>
    <w:rPr>
      <w:i/>
      <w:iCs/>
      <w:color w:val="000000"/>
      <w:szCs w:val="24"/>
    </w:rPr>
  </w:style>
  <w:style w:type="character" w:styleId="Strong">
    <w:name w:val="Strong"/>
    <w:basedOn w:val="DefaultParagraphFont"/>
    <w:uiPriority w:val="22"/>
    <w:qFormat/>
    <w:rsid w:val="00846A37"/>
    <w:rPr>
      <w:b/>
      <w:bCs/>
    </w:rPr>
  </w:style>
  <w:style w:type="character" w:styleId="Emphasis">
    <w:name w:val="Emphasis"/>
    <w:basedOn w:val="DefaultParagraphFont"/>
    <w:uiPriority w:val="20"/>
    <w:qFormat/>
    <w:rsid w:val="00846A37"/>
    <w:rPr>
      <w:i/>
      <w:iCs/>
    </w:rPr>
  </w:style>
  <w:style w:type="table" w:customStyle="1" w:styleId="TableGrid1">
    <w:name w:val="Table Grid1"/>
    <w:basedOn w:val="TableNormal"/>
    <w:next w:val="TableGrid"/>
    <w:uiPriority w:val="39"/>
    <w:rsid w:val="0084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846A37"/>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uiPriority w:val="46"/>
    <w:rsid w:val="00846A37"/>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846A37"/>
    <w:pPr>
      <w:spacing w:after="120" w:line="240" w:lineRule="auto"/>
    </w:pPr>
    <w:rPr>
      <w:i/>
      <w:iCs/>
      <w:color w:val="005677"/>
      <w:szCs w:val="18"/>
    </w:rPr>
  </w:style>
  <w:style w:type="character" w:styleId="PlaceholderText">
    <w:name w:val="Placeholder Text"/>
    <w:basedOn w:val="DefaultParagraphFont"/>
    <w:uiPriority w:val="99"/>
    <w:semiHidden/>
    <w:rsid w:val="00846A37"/>
    <w:rPr>
      <w:color w:val="808080"/>
    </w:rPr>
  </w:style>
  <w:style w:type="paragraph" w:customStyle="1" w:styleId="NoSpacing1">
    <w:name w:val="No Spacing1"/>
    <w:next w:val="NoSpacing"/>
    <w:link w:val="NoSpacingChar"/>
    <w:uiPriority w:val="1"/>
    <w:qFormat/>
    <w:rsid w:val="00846A37"/>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46A37"/>
    <w:rPr>
      <w:rFonts w:eastAsia="Times New Roman"/>
      <w:lang w:val="en-US"/>
    </w:rPr>
  </w:style>
  <w:style w:type="paragraph" w:styleId="TOCHeading">
    <w:name w:val="TOC Heading"/>
    <w:basedOn w:val="Heading1"/>
    <w:next w:val="Normal"/>
    <w:uiPriority w:val="39"/>
    <w:unhideWhenUsed/>
    <w:qFormat/>
    <w:rsid w:val="00846A37"/>
    <w:pPr>
      <w:spacing w:after="480"/>
      <w:outlineLvl w:val="9"/>
    </w:pPr>
    <w:rPr>
      <w:color w:val="005677"/>
      <w:sz w:val="48"/>
      <w:lang w:val="en-US"/>
    </w:rPr>
  </w:style>
  <w:style w:type="paragraph" w:styleId="TOC1">
    <w:name w:val="toc 1"/>
    <w:basedOn w:val="Normal"/>
    <w:next w:val="Normal"/>
    <w:autoRedefine/>
    <w:uiPriority w:val="39"/>
    <w:unhideWhenUsed/>
    <w:rsid w:val="00846A37"/>
    <w:pPr>
      <w:tabs>
        <w:tab w:val="right" w:leader="dot" w:pos="9016"/>
      </w:tabs>
      <w:spacing w:after="100"/>
    </w:pPr>
  </w:style>
  <w:style w:type="paragraph" w:styleId="TOC2">
    <w:name w:val="toc 2"/>
    <w:basedOn w:val="Normal"/>
    <w:next w:val="Normal"/>
    <w:autoRedefine/>
    <w:uiPriority w:val="39"/>
    <w:unhideWhenUsed/>
    <w:rsid w:val="00846A37"/>
    <w:pPr>
      <w:spacing w:after="100"/>
      <w:ind w:left="220"/>
    </w:pPr>
  </w:style>
  <w:style w:type="paragraph" w:styleId="TOC3">
    <w:name w:val="toc 3"/>
    <w:basedOn w:val="Normal"/>
    <w:next w:val="Normal"/>
    <w:autoRedefine/>
    <w:uiPriority w:val="39"/>
    <w:unhideWhenUsed/>
    <w:rsid w:val="00846A37"/>
    <w:pPr>
      <w:spacing w:after="100"/>
      <w:ind w:left="440"/>
    </w:pPr>
  </w:style>
  <w:style w:type="paragraph" w:customStyle="1" w:styleId="Address">
    <w:name w:val="Address"/>
    <w:basedOn w:val="Subtitle"/>
    <w:qFormat/>
    <w:rsid w:val="00846A37"/>
    <w:pPr>
      <w:spacing w:after="0"/>
    </w:pPr>
    <w:rPr>
      <w:sz w:val="24"/>
    </w:rPr>
  </w:style>
  <w:style w:type="table" w:customStyle="1" w:styleId="ListTable3-Accent21">
    <w:name w:val="List Table 3 - Accent 21"/>
    <w:basedOn w:val="TableNormal"/>
    <w:next w:val="ListTable3-Accent2"/>
    <w:uiPriority w:val="48"/>
    <w:rsid w:val="00846A37"/>
    <w:pPr>
      <w:spacing w:after="0" w:line="240" w:lineRule="auto"/>
    </w:pPr>
    <w:tblPr>
      <w:tblStyleRowBandSize w:val="1"/>
      <w:tblStyleColBandSize w:val="1"/>
      <w:tblBorders>
        <w:top w:val="single" w:sz="4" w:space="0" w:color="00283E"/>
        <w:left w:val="single" w:sz="4" w:space="0" w:color="00283E"/>
        <w:bottom w:val="single" w:sz="4" w:space="0" w:color="00283E"/>
        <w:right w:val="single" w:sz="4" w:space="0" w:color="00283E"/>
      </w:tblBorders>
    </w:tblPr>
    <w:tblStylePr w:type="firstRow">
      <w:rPr>
        <w:b/>
        <w:bCs/>
        <w:color w:val="FFFFFF"/>
      </w:rPr>
      <w:tblPr/>
      <w:tcPr>
        <w:shd w:val="clear" w:color="auto" w:fill="00283E"/>
      </w:tcPr>
    </w:tblStylePr>
    <w:tblStylePr w:type="lastRow">
      <w:rPr>
        <w:b/>
        <w:bCs/>
      </w:rPr>
      <w:tblPr/>
      <w:tcPr>
        <w:tcBorders>
          <w:top w:val="double" w:sz="4" w:space="0" w:color="00283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283E"/>
          <w:right w:val="single" w:sz="4" w:space="0" w:color="00283E"/>
        </w:tcBorders>
      </w:tcPr>
    </w:tblStylePr>
    <w:tblStylePr w:type="band1Horz">
      <w:tblPr/>
      <w:tcPr>
        <w:tcBorders>
          <w:top w:val="single" w:sz="4" w:space="0" w:color="00283E"/>
          <w:bottom w:val="single" w:sz="4" w:space="0" w:color="00283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left w:val="nil"/>
        </w:tcBorders>
      </w:tcPr>
    </w:tblStylePr>
    <w:tblStylePr w:type="swCell">
      <w:tblPr/>
      <w:tcPr>
        <w:tcBorders>
          <w:top w:val="double" w:sz="4" w:space="0" w:color="00283E"/>
          <w:right w:val="nil"/>
        </w:tcBorders>
      </w:tcPr>
    </w:tblStylePr>
  </w:style>
  <w:style w:type="table" w:customStyle="1" w:styleId="ListTable3-Accent31">
    <w:name w:val="List Table 3 - Accent 31"/>
    <w:basedOn w:val="TableNormal"/>
    <w:next w:val="ListTable3-Accent3"/>
    <w:uiPriority w:val="48"/>
    <w:rsid w:val="00846A37"/>
    <w:pPr>
      <w:spacing w:after="0" w:line="240" w:lineRule="auto"/>
    </w:pPr>
    <w:tblPr>
      <w:tblStyleRowBandSize w:val="1"/>
      <w:tblStyleColBandSize w:val="1"/>
      <w:tblBorders>
        <w:top w:val="single" w:sz="4" w:space="0" w:color="1B9590"/>
        <w:left w:val="single" w:sz="4" w:space="0" w:color="1B9590"/>
        <w:bottom w:val="single" w:sz="4" w:space="0" w:color="1B9590"/>
        <w:right w:val="single" w:sz="4" w:space="0" w:color="1B9590"/>
      </w:tblBorders>
    </w:tblPr>
    <w:tblStylePr w:type="firstRow">
      <w:rPr>
        <w:b/>
        <w:bCs/>
        <w:color w:val="FFFFFF"/>
      </w:rPr>
      <w:tblPr/>
      <w:tcPr>
        <w:shd w:val="clear" w:color="auto" w:fill="1B9590"/>
      </w:tcPr>
    </w:tblStylePr>
    <w:tblStylePr w:type="lastRow">
      <w:rPr>
        <w:b/>
        <w:bCs/>
      </w:rPr>
      <w:tblPr/>
      <w:tcPr>
        <w:tcBorders>
          <w:top w:val="double" w:sz="4" w:space="0" w:color="1B959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9590"/>
          <w:right w:val="single" w:sz="4" w:space="0" w:color="1B9590"/>
        </w:tcBorders>
      </w:tcPr>
    </w:tblStylePr>
    <w:tblStylePr w:type="band1Horz">
      <w:tblPr/>
      <w:tcPr>
        <w:tcBorders>
          <w:top w:val="single" w:sz="4" w:space="0" w:color="1B9590"/>
          <w:bottom w:val="single" w:sz="4" w:space="0" w:color="1B959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left w:val="nil"/>
        </w:tcBorders>
      </w:tcPr>
    </w:tblStylePr>
    <w:tblStylePr w:type="swCell">
      <w:tblPr/>
      <w:tcPr>
        <w:tcBorders>
          <w:top w:val="double" w:sz="4" w:space="0" w:color="1B9590"/>
          <w:right w:val="nil"/>
        </w:tcBorders>
      </w:tcPr>
    </w:tblStylePr>
  </w:style>
  <w:style w:type="paragraph" w:customStyle="1" w:styleId="IntenseQuote1">
    <w:name w:val="Intense Quote1"/>
    <w:basedOn w:val="Normal"/>
    <w:next w:val="Normal"/>
    <w:uiPriority w:val="30"/>
    <w:qFormat/>
    <w:rsid w:val="00846A37"/>
    <w:pPr>
      <w:pBdr>
        <w:top w:val="single" w:sz="4" w:space="6" w:color="DFF3F3"/>
        <w:left w:val="single" w:sz="4" w:space="4" w:color="DFF3F3"/>
        <w:bottom w:val="single" w:sz="4" w:space="6" w:color="DFF3F3"/>
        <w:right w:val="single" w:sz="4" w:space="4" w:color="DFF3F3"/>
      </w:pBdr>
      <w:shd w:val="clear" w:color="auto" w:fill="DFF3F3"/>
      <w:spacing w:before="360" w:after="360"/>
      <w:ind w:left="864" w:right="864"/>
      <w:jc w:val="center"/>
    </w:pPr>
    <w:rPr>
      <w:i/>
      <w:iCs/>
    </w:rPr>
  </w:style>
  <w:style w:type="character" w:customStyle="1" w:styleId="IntenseQuoteChar">
    <w:name w:val="Intense Quote Char"/>
    <w:basedOn w:val="DefaultParagraphFont"/>
    <w:link w:val="IntenseQuote"/>
    <w:uiPriority w:val="30"/>
    <w:rsid w:val="00846A37"/>
    <w:rPr>
      <w:i/>
      <w:iCs/>
      <w:shd w:val="clear" w:color="auto" w:fill="DFF3F3"/>
    </w:rPr>
  </w:style>
  <w:style w:type="paragraph" w:customStyle="1" w:styleId="Calloutbox">
    <w:name w:val="Call out box"/>
    <w:basedOn w:val="Normal"/>
    <w:qFormat/>
    <w:rsid w:val="00846A37"/>
    <w:pPr>
      <w:pBdr>
        <w:top w:val="single" w:sz="4" w:space="6" w:color="DFF3F3"/>
        <w:left w:val="single" w:sz="4" w:space="4" w:color="DFF3F3"/>
        <w:bottom w:val="single" w:sz="4" w:space="6" w:color="DFF3F3"/>
        <w:right w:val="single" w:sz="4" w:space="4" w:color="DFF3F3"/>
      </w:pBdr>
      <w:shd w:val="clear" w:color="auto" w:fill="DFF3F3"/>
      <w:contextualSpacing/>
    </w:pPr>
  </w:style>
  <w:style w:type="table" w:customStyle="1" w:styleId="GridTable4-Accent21">
    <w:name w:val="Grid Table 4 - Accent 21"/>
    <w:basedOn w:val="TableNormal"/>
    <w:next w:val="GridTable4-Accent2"/>
    <w:uiPriority w:val="49"/>
    <w:rsid w:val="00846A37"/>
    <w:pPr>
      <w:spacing w:after="0" w:line="240" w:lineRule="auto"/>
    </w:pPr>
    <w:tblPr>
      <w:tblStyleRowBandSize w:val="1"/>
      <w:tblStyleColBandSize w:val="1"/>
      <w:tblBorders>
        <w:top w:val="single" w:sz="4" w:space="0" w:color="009AF1"/>
        <w:left w:val="single" w:sz="4" w:space="0" w:color="009AF1"/>
        <w:bottom w:val="single" w:sz="4" w:space="0" w:color="009AF1"/>
        <w:right w:val="single" w:sz="4" w:space="0" w:color="009AF1"/>
        <w:insideH w:val="single" w:sz="4" w:space="0" w:color="009AF1"/>
        <w:insideV w:val="single" w:sz="4" w:space="0" w:color="009AF1"/>
      </w:tblBorders>
    </w:tblPr>
    <w:tblStylePr w:type="firstRow">
      <w:rPr>
        <w:b/>
        <w:bCs/>
        <w:color w:val="FFFFFF"/>
      </w:rPr>
      <w:tblPr/>
      <w:tcPr>
        <w:tcBorders>
          <w:top w:val="single" w:sz="4" w:space="0" w:color="00283E"/>
          <w:left w:val="single" w:sz="4" w:space="0" w:color="00283E"/>
          <w:bottom w:val="single" w:sz="4" w:space="0" w:color="00283E"/>
          <w:right w:val="single" w:sz="4" w:space="0" w:color="00283E"/>
          <w:insideH w:val="nil"/>
          <w:insideV w:val="nil"/>
        </w:tcBorders>
        <w:shd w:val="clear" w:color="auto" w:fill="00283E"/>
      </w:tcPr>
    </w:tblStylePr>
    <w:tblStylePr w:type="lastRow">
      <w:rPr>
        <w:b/>
        <w:bCs/>
      </w:rPr>
      <w:tblPr/>
      <w:tcPr>
        <w:tcBorders>
          <w:top w:val="double" w:sz="4" w:space="0" w:color="00283E"/>
        </w:tcBorders>
      </w:tcPr>
    </w:tblStylePr>
    <w:tblStylePr w:type="firstCol">
      <w:rPr>
        <w:b/>
        <w:bCs/>
      </w:rPr>
    </w:tblStylePr>
    <w:tblStylePr w:type="lastCol">
      <w:rPr>
        <w:b/>
        <w:bCs/>
      </w:rPr>
    </w:tblStylePr>
    <w:tblStylePr w:type="band1Vert">
      <w:tblPr/>
      <w:tcPr>
        <w:shd w:val="clear" w:color="auto" w:fill="A5DFFF"/>
      </w:tcPr>
    </w:tblStylePr>
    <w:tblStylePr w:type="band1Horz">
      <w:tblPr/>
      <w:tcPr>
        <w:shd w:val="clear" w:color="auto" w:fill="A5DFFF"/>
      </w:tcPr>
    </w:tblStylePr>
  </w:style>
  <w:style w:type="table" w:customStyle="1" w:styleId="GridTable1Light-Accent21">
    <w:name w:val="Grid Table 1 Light - Accent 21"/>
    <w:basedOn w:val="TableNormal"/>
    <w:next w:val="GridTable1Light-Accent2"/>
    <w:uiPriority w:val="46"/>
    <w:rsid w:val="00846A37"/>
    <w:pPr>
      <w:spacing w:after="0" w:line="240" w:lineRule="auto"/>
    </w:pPr>
    <w:tblPr>
      <w:tblStyleRowBandSize w:val="1"/>
      <w:tblStyleColBandSize w:val="1"/>
      <w:tblBorders>
        <w:top w:val="single" w:sz="4" w:space="0" w:color="4BBFFF"/>
        <w:left w:val="single" w:sz="4" w:space="0" w:color="4BBFFF"/>
        <w:bottom w:val="single" w:sz="4" w:space="0" w:color="4BBFFF"/>
        <w:right w:val="single" w:sz="4" w:space="0" w:color="4BBFFF"/>
        <w:insideH w:val="single" w:sz="4" w:space="0" w:color="4BBFFF"/>
        <w:insideV w:val="single" w:sz="4" w:space="0" w:color="4BBFFF"/>
      </w:tblBorders>
    </w:tblPr>
    <w:tblStylePr w:type="firstRow">
      <w:rPr>
        <w:b/>
        <w:bCs/>
      </w:rPr>
      <w:tblPr/>
      <w:tcPr>
        <w:tcBorders>
          <w:bottom w:val="single" w:sz="12" w:space="0" w:color="009AF1"/>
        </w:tcBorders>
      </w:tcPr>
    </w:tblStylePr>
    <w:tblStylePr w:type="lastRow">
      <w:rPr>
        <w:b/>
        <w:bCs/>
      </w:rPr>
      <w:tblPr/>
      <w:tcPr>
        <w:tcBorders>
          <w:top w:val="double" w:sz="2" w:space="0" w:color="009AF1"/>
        </w:tcBorders>
      </w:tcPr>
    </w:tblStylePr>
    <w:tblStylePr w:type="firstCol">
      <w:rPr>
        <w:b/>
        <w:bCs/>
      </w:rPr>
    </w:tblStylePr>
    <w:tblStylePr w:type="lastCol">
      <w:rPr>
        <w:b/>
        <w:bCs/>
      </w:rPr>
    </w:tblStylePr>
  </w:style>
  <w:style w:type="table" w:customStyle="1" w:styleId="GridTable5Dark-Accent11">
    <w:name w:val="Grid Table 5 Dark - Accent 11"/>
    <w:basedOn w:val="TableNormal"/>
    <w:next w:val="GridTable5Dark-Accent1"/>
    <w:uiPriority w:val="50"/>
    <w:rsid w:val="00846A3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9E9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395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395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395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39598"/>
      </w:tcPr>
    </w:tblStylePr>
    <w:tblStylePr w:type="band1Vert">
      <w:tblPr/>
      <w:tcPr>
        <w:shd w:val="clear" w:color="auto" w:fill="D3D4D5"/>
      </w:tcPr>
    </w:tblStylePr>
    <w:tblStylePr w:type="band1Horz">
      <w:tblPr/>
      <w:tcPr>
        <w:shd w:val="clear" w:color="auto" w:fill="D3D4D5"/>
      </w:tcPr>
    </w:tblStylePr>
  </w:style>
  <w:style w:type="table" w:customStyle="1" w:styleId="GridTable4-Accent11">
    <w:name w:val="Grid Table 4 - Accent 11"/>
    <w:basedOn w:val="TableNormal"/>
    <w:next w:val="GridTable4-Accent1"/>
    <w:uiPriority w:val="49"/>
    <w:rsid w:val="00846A37"/>
    <w:pPr>
      <w:spacing w:after="0" w:line="240" w:lineRule="auto"/>
    </w:pPr>
    <w:tblPr>
      <w:tblStyleRowBandSize w:val="1"/>
      <w:tblStyleColBandSize w:val="1"/>
      <w:tblBorders>
        <w:top w:val="single" w:sz="4" w:space="0" w:color="BEBFC1"/>
        <w:left w:val="single" w:sz="4" w:space="0" w:color="BEBFC1"/>
        <w:bottom w:val="single" w:sz="4" w:space="0" w:color="BEBFC1"/>
        <w:right w:val="single" w:sz="4" w:space="0" w:color="BEBFC1"/>
        <w:insideH w:val="single" w:sz="4" w:space="0" w:color="BEBFC1"/>
        <w:insideV w:val="single" w:sz="4" w:space="0" w:color="BEBFC1"/>
      </w:tblBorders>
    </w:tblPr>
    <w:tblStylePr w:type="firstRow">
      <w:rPr>
        <w:b/>
        <w:bCs/>
        <w:color w:val="FFFFFF"/>
      </w:rPr>
      <w:tblPr/>
      <w:tcPr>
        <w:tcBorders>
          <w:top w:val="single" w:sz="4" w:space="0" w:color="939598"/>
          <w:left w:val="single" w:sz="4" w:space="0" w:color="939598"/>
          <w:bottom w:val="single" w:sz="4" w:space="0" w:color="939598"/>
          <w:right w:val="single" w:sz="4" w:space="0" w:color="939598"/>
          <w:insideH w:val="nil"/>
          <w:insideV w:val="nil"/>
        </w:tcBorders>
        <w:shd w:val="clear" w:color="auto" w:fill="939598"/>
      </w:tcPr>
    </w:tblStylePr>
    <w:tblStylePr w:type="lastRow">
      <w:rPr>
        <w:b/>
        <w:bCs/>
      </w:rPr>
      <w:tblPr/>
      <w:tcPr>
        <w:tcBorders>
          <w:top w:val="double" w:sz="4" w:space="0" w:color="939598"/>
        </w:tcBorders>
      </w:tcPr>
    </w:tblStylePr>
    <w:tblStylePr w:type="firstCol">
      <w:rPr>
        <w:b/>
        <w:bCs/>
      </w:rPr>
    </w:tblStylePr>
    <w:tblStylePr w:type="lastCol">
      <w:rPr>
        <w:b/>
        <w:bCs/>
      </w:rPr>
    </w:tblStylePr>
    <w:tblStylePr w:type="band1Vert">
      <w:tblPr/>
      <w:tcPr>
        <w:shd w:val="clear" w:color="auto" w:fill="E9E9EA"/>
      </w:tcPr>
    </w:tblStylePr>
    <w:tblStylePr w:type="band1Horz">
      <w:tblPr/>
      <w:tcPr>
        <w:shd w:val="clear" w:color="auto" w:fill="E9E9EA"/>
      </w:tcPr>
    </w:tblStylePr>
  </w:style>
  <w:style w:type="table" w:customStyle="1" w:styleId="GridTable4-Accent51">
    <w:name w:val="Grid Table 4 - Accent 51"/>
    <w:basedOn w:val="TableNormal"/>
    <w:next w:val="GridTable4-Accent5"/>
    <w:uiPriority w:val="49"/>
    <w:rsid w:val="00846A37"/>
    <w:pPr>
      <w:spacing w:after="0" w:line="240" w:lineRule="auto"/>
    </w:pPr>
    <w:tblPr>
      <w:tblStyleRowBandSize w:val="1"/>
      <w:tblStyleColBandSize w:val="1"/>
      <w:tblBorders>
        <w:top w:val="single" w:sz="4" w:space="0" w:color="C3E8EC"/>
        <w:left w:val="single" w:sz="4" w:space="0" w:color="C3E8EC"/>
        <w:bottom w:val="single" w:sz="4" w:space="0" w:color="C3E8EC"/>
        <w:right w:val="single" w:sz="4" w:space="0" w:color="C3E8EC"/>
        <w:insideH w:val="single" w:sz="4" w:space="0" w:color="C3E8EC"/>
        <w:insideV w:val="single" w:sz="4" w:space="0" w:color="C3E8EC"/>
      </w:tblBorders>
    </w:tblPr>
    <w:tblStylePr w:type="firstRow">
      <w:rPr>
        <w:b/>
        <w:bCs/>
        <w:color w:val="FFFFFF"/>
      </w:rPr>
      <w:tblPr/>
      <w:tcPr>
        <w:tcBorders>
          <w:top w:val="single" w:sz="4" w:space="0" w:color="9CD9E0"/>
          <w:left w:val="single" w:sz="4" w:space="0" w:color="9CD9E0"/>
          <w:bottom w:val="single" w:sz="4" w:space="0" w:color="9CD9E0"/>
          <w:right w:val="single" w:sz="4" w:space="0" w:color="9CD9E0"/>
          <w:insideH w:val="nil"/>
          <w:insideV w:val="nil"/>
        </w:tcBorders>
        <w:shd w:val="clear" w:color="auto" w:fill="9CD9E0"/>
      </w:tcPr>
    </w:tblStylePr>
    <w:tblStylePr w:type="lastRow">
      <w:rPr>
        <w:b/>
        <w:bCs/>
      </w:rPr>
      <w:tblPr/>
      <w:tcPr>
        <w:tcBorders>
          <w:top w:val="double" w:sz="4" w:space="0" w:color="9CD9E0"/>
        </w:tcBorders>
      </w:tcPr>
    </w:tblStylePr>
    <w:tblStylePr w:type="firstCol">
      <w:rPr>
        <w:b/>
        <w:bCs/>
      </w:rPr>
    </w:tblStylePr>
    <w:tblStylePr w:type="lastCol">
      <w:rPr>
        <w:b/>
        <w:bCs/>
      </w:rPr>
    </w:tblStylePr>
    <w:tblStylePr w:type="band1Vert">
      <w:tblPr/>
      <w:tcPr>
        <w:shd w:val="clear" w:color="auto" w:fill="EBF7F8"/>
      </w:tcPr>
    </w:tblStylePr>
    <w:tblStylePr w:type="band1Horz">
      <w:tblPr/>
      <w:tcPr>
        <w:shd w:val="clear" w:color="auto" w:fill="EBF7F8"/>
      </w:tcPr>
    </w:tblStylePr>
  </w:style>
  <w:style w:type="table" w:customStyle="1" w:styleId="GridTable4-Accent41">
    <w:name w:val="Grid Table 4 - Accent 41"/>
    <w:basedOn w:val="TableNormal"/>
    <w:next w:val="GridTable4-Accent4"/>
    <w:uiPriority w:val="49"/>
    <w:rsid w:val="00846A37"/>
    <w:pPr>
      <w:spacing w:after="0" w:line="240" w:lineRule="auto"/>
    </w:pPr>
    <w:tblPr>
      <w:tblStyleRowBandSize w:val="1"/>
      <w:tblStyleColBandSize w:val="1"/>
      <w:tblBorders>
        <w:top w:val="single" w:sz="4" w:space="0" w:color="A0DCDC"/>
        <w:left w:val="single" w:sz="4" w:space="0" w:color="A0DCDC"/>
        <w:bottom w:val="single" w:sz="4" w:space="0" w:color="A0DCDC"/>
        <w:right w:val="single" w:sz="4" w:space="0" w:color="A0DCDC"/>
        <w:insideH w:val="single" w:sz="4" w:space="0" w:color="A0DCDC"/>
        <w:insideV w:val="single" w:sz="4" w:space="0" w:color="A0DCDC"/>
      </w:tblBorders>
    </w:tblPr>
    <w:tblStylePr w:type="firstRow">
      <w:rPr>
        <w:b/>
        <w:bCs/>
        <w:color w:val="FFFFFF"/>
      </w:rPr>
      <w:tblPr/>
      <w:tcPr>
        <w:tcBorders>
          <w:top w:val="single" w:sz="4" w:space="0" w:color="61C6C6"/>
          <w:left w:val="single" w:sz="4" w:space="0" w:color="61C6C6"/>
          <w:bottom w:val="single" w:sz="4" w:space="0" w:color="61C6C6"/>
          <w:right w:val="single" w:sz="4" w:space="0" w:color="61C6C6"/>
          <w:insideH w:val="nil"/>
          <w:insideV w:val="nil"/>
        </w:tcBorders>
        <w:shd w:val="clear" w:color="auto" w:fill="61C6C6"/>
      </w:tcPr>
    </w:tblStylePr>
    <w:tblStylePr w:type="lastRow">
      <w:rPr>
        <w:b/>
        <w:bCs/>
      </w:rPr>
      <w:tblPr/>
      <w:tcPr>
        <w:tcBorders>
          <w:top w:val="double" w:sz="4" w:space="0" w:color="61C6C6"/>
        </w:tcBorders>
      </w:tcPr>
    </w:tblStylePr>
    <w:tblStylePr w:type="firstCol">
      <w:rPr>
        <w:b/>
        <w:bCs/>
      </w:rPr>
    </w:tblStylePr>
    <w:tblStylePr w:type="lastCol">
      <w:rPr>
        <w:b/>
        <w:bCs/>
      </w:rPr>
    </w:tblStylePr>
    <w:tblStylePr w:type="band1Vert">
      <w:tblPr/>
      <w:tcPr>
        <w:shd w:val="clear" w:color="auto" w:fill="DFF3F3"/>
      </w:tcPr>
    </w:tblStylePr>
    <w:tblStylePr w:type="band1Horz">
      <w:tblPr/>
      <w:tcPr>
        <w:shd w:val="clear" w:color="auto" w:fill="DFF3F3"/>
      </w:tcPr>
    </w:tblStylePr>
  </w:style>
  <w:style w:type="table" w:customStyle="1" w:styleId="GridTable4-Accent31">
    <w:name w:val="Grid Table 4 - Accent 31"/>
    <w:basedOn w:val="TableNormal"/>
    <w:next w:val="GridTable4-Accent3"/>
    <w:uiPriority w:val="49"/>
    <w:rsid w:val="00846A37"/>
    <w:pPr>
      <w:spacing w:after="0" w:line="240" w:lineRule="auto"/>
    </w:pPr>
    <w:tblPr>
      <w:tblStyleRowBandSize w:val="1"/>
      <w:tblStyleColBandSize w:val="1"/>
      <w:tblBorders>
        <w:top w:val="single" w:sz="4" w:space="0" w:color="55E0DA"/>
        <w:left w:val="single" w:sz="4" w:space="0" w:color="55E0DA"/>
        <w:bottom w:val="single" w:sz="4" w:space="0" w:color="55E0DA"/>
        <w:right w:val="single" w:sz="4" w:space="0" w:color="55E0DA"/>
        <w:insideH w:val="single" w:sz="4" w:space="0" w:color="55E0DA"/>
        <w:insideV w:val="single" w:sz="4" w:space="0" w:color="55E0DA"/>
      </w:tblBorders>
    </w:tblPr>
    <w:tblStylePr w:type="firstRow">
      <w:rPr>
        <w:b/>
        <w:bCs/>
        <w:color w:val="FFFFFF"/>
      </w:rPr>
      <w:tblPr/>
      <w:tcPr>
        <w:tcBorders>
          <w:top w:val="single" w:sz="4" w:space="0" w:color="1B9590"/>
          <w:left w:val="single" w:sz="4" w:space="0" w:color="1B9590"/>
          <w:bottom w:val="single" w:sz="4" w:space="0" w:color="1B9590"/>
          <w:right w:val="single" w:sz="4" w:space="0" w:color="1B9590"/>
          <w:insideH w:val="nil"/>
          <w:insideV w:val="nil"/>
        </w:tcBorders>
        <w:shd w:val="clear" w:color="auto" w:fill="1B9590"/>
      </w:tcPr>
    </w:tblStylePr>
    <w:tblStylePr w:type="lastRow">
      <w:rPr>
        <w:b/>
        <w:bCs/>
      </w:rPr>
      <w:tblPr/>
      <w:tcPr>
        <w:tcBorders>
          <w:top w:val="double" w:sz="4" w:space="0" w:color="1B9590"/>
        </w:tcBorders>
      </w:tcPr>
    </w:tblStylePr>
    <w:tblStylePr w:type="firstCol">
      <w:rPr>
        <w:b/>
        <w:bCs/>
      </w:rPr>
    </w:tblStylePr>
    <w:tblStylePr w:type="lastCol">
      <w:rPr>
        <w:b/>
        <w:bCs/>
      </w:rPr>
    </w:tblStylePr>
    <w:tblStylePr w:type="band1Vert">
      <w:tblPr/>
      <w:tcPr>
        <w:shd w:val="clear" w:color="auto" w:fill="C6F4F2"/>
      </w:tcPr>
    </w:tblStylePr>
    <w:tblStylePr w:type="band1Horz">
      <w:tblPr/>
      <w:tcPr>
        <w:shd w:val="clear" w:color="auto" w:fill="C6F4F2"/>
      </w:tcPr>
    </w:tblStylePr>
  </w:style>
  <w:style w:type="paragraph" w:customStyle="1" w:styleId="Authoranddate">
    <w:name w:val="Author and date"/>
    <w:basedOn w:val="Subtitle"/>
    <w:link w:val="AuthoranddateChar"/>
    <w:qFormat/>
    <w:rsid w:val="00846A37"/>
    <w:rPr>
      <w:szCs w:val="40"/>
    </w:rPr>
  </w:style>
  <w:style w:type="character" w:customStyle="1" w:styleId="AuthoranddateChar">
    <w:name w:val="Author and date Char"/>
    <w:basedOn w:val="SubtitleChar"/>
    <w:link w:val="Authoranddate"/>
    <w:rsid w:val="00846A37"/>
    <w:rPr>
      <w:rFonts w:eastAsia="Times New Roman"/>
      <w:color w:val="FFFFFF"/>
      <w:sz w:val="40"/>
      <w:szCs w:val="40"/>
    </w:rPr>
  </w:style>
  <w:style w:type="paragraph" w:styleId="Revision">
    <w:name w:val="Revision"/>
    <w:hidden/>
    <w:uiPriority w:val="99"/>
    <w:semiHidden/>
    <w:rsid w:val="00846A37"/>
    <w:pPr>
      <w:spacing w:after="0" w:line="240" w:lineRule="auto"/>
    </w:pPr>
  </w:style>
  <w:style w:type="table" w:customStyle="1" w:styleId="TableGrid11">
    <w:name w:val="Table Grid11"/>
    <w:basedOn w:val="TableNormal"/>
    <w:next w:val="TableGrid"/>
    <w:uiPriority w:val="39"/>
    <w:rsid w:val="00846A37"/>
    <w:pPr>
      <w:spacing w:after="0" w:line="240" w:lineRule="auto"/>
    </w:pPr>
    <w:rPr>
      <w:rFonts w:ascii="Arial" w:eastAsia="Calibri" w:hAnsi="Arial" w:cs="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Bullet Cab Char,CAB - List Bullet Char,Recommendation Char,List Paragraph1 Char,Bulleted Para Char,NFP GP Bulleted List Char,bullet point list Char,Bulletr List Paragraph Char,FooterText Char,L Char,List Paragraph11 Char"/>
    <w:basedOn w:val="DefaultParagraphFont"/>
    <w:link w:val="ListParagraph"/>
    <w:uiPriority w:val="34"/>
    <w:qFormat/>
    <w:rsid w:val="00846A37"/>
  </w:style>
  <w:style w:type="paragraph" w:customStyle="1" w:styleId="CABBackGround">
    <w:name w:val="CABBackGround"/>
    <w:basedOn w:val="Normal"/>
    <w:link w:val="CABBackGroundChar1"/>
    <w:rsid w:val="00846A37"/>
    <w:pPr>
      <w:spacing w:after="0" w:line="360" w:lineRule="auto"/>
    </w:pPr>
    <w:rPr>
      <w:rFonts w:ascii="Times New Roman" w:eastAsia="Times New Roman" w:hAnsi="Times New Roman" w:cs="Times New Roman"/>
      <w:sz w:val="24"/>
      <w:szCs w:val="20"/>
      <w:lang w:eastAsia="en-AU"/>
    </w:rPr>
  </w:style>
  <w:style w:type="character" w:customStyle="1" w:styleId="CABBackGroundChar1">
    <w:name w:val="CABBackGround Char1"/>
    <w:basedOn w:val="DefaultParagraphFont"/>
    <w:link w:val="CABBackGround"/>
    <w:rsid w:val="00846A37"/>
    <w:rPr>
      <w:rFonts w:ascii="Times New Roman" w:eastAsia="Times New Roman" w:hAnsi="Times New Roman" w:cs="Times New Roman"/>
      <w:sz w:val="24"/>
      <w:szCs w:val="20"/>
      <w:lang w:eastAsia="en-AU"/>
    </w:rPr>
  </w:style>
  <w:style w:type="table" w:customStyle="1" w:styleId="TableGrid2">
    <w:name w:val="Table Grid2"/>
    <w:basedOn w:val="TableNormal"/>
    <w:next w:val="TableGrid"/>
    <w:uiPriority w:val="39"/>
    <w:rsid w:val="0084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6A37"/>
    <w:rPr>
      <w:color w:val="605E5C"/>
      <w:shd w:val="clear" w:color="auto" w:fill="E1DFDD"/>
    </w:rPr>
  </w:style>
  <w:style w:type="paragraph" w:styleId="BodyText">
    <w:name w:val="Body Text"/>
    <w:basedOn w:val="Normal"/>
    <w:link w:val="BodyTextChar"/>
    <w:uiPriority w:val="99"/>
    <w:rsid w:val="00846A37"/>
    <w:pPr>
      <w:spacing w:before="90" w:after="130" w:line="280" w:lineRule="atLeast"/>
    </w:pPr>
    <w:rPr>
      <w:rFonts w:ascii="Arial Narrow" w:hAnsi="Arial Narrow" w:cs="Arial"/>
    </w:rPr>
  </w:style>
  <w:style w:type="character" w:customStyle="1" w:styleId="BodyTextChar">
    <w:name w:val="Body Text Char"/>
    <w:basedOn w:val="DefaultParagraphFont"/>
    <w:link w:val="BodyText"/>
    <w:uiPriority w:val="99"/>
    <w:rsid w:val="00846A37"/>
    <w:rPr>
      <w:rFonts w:ascii="Arial Narrow" w:hAnsi="Arial Narrow" w:cs="Arial"/>
    </w:rPr>
  </w:style>
  <w:style w:type="paragraph" w:customStyle="1" w:styleId="spacer">
    <w:name w:val="spacer"/>
    <w:basedOn w:val="Normal"/>
    <w:qFormat/>
    <w:rsid w:val="00846A37"/>
    <w:pPr>
      <w:spacing w:after="0" w:line="240" w:lineRule="auto"/>
    </w:pPr>
    <w:rPr>
      <w:rFonts w:ascii="Arial Narrow" w:hAnsi="Arial Narrow" w:cs="Arial"/>
      <w:color w:val="000100"/>
      <w:sz w:val="4"/>
    </w:rPr>
  </w:style>
  <w:style w:type="paragraph" w:customStyle="1" w:styleId="Tabletext">
    <w:name w:val="Table text"/>
    <w:basedOn w:val="Normal"/>
    <w:qFormat/>
    <w:rsid w:val="00846A37"/>
    <w:pPr>
      <w:spacing w:before="60" w:after="0" w:line="240" w:lineRule="atLeast"/>
      <w:ind w:right="119"/>
    </w:pPr>
    <w:rPr>
      <w:rFonts w:ascii="Arial Narrow" w:hAnsi="Arial Narrow" w:cs="Arial"/>
      <w:color w:val="000100"/>
      <w:sz w:val="20"/>
    </w:rPr>
  </w:style>
  <w:style w:type="paragraph" w:customStyle="1" w:styleId="Tableunitsrow">
    <w:name w:val="Table units row"/>
    <w:basedOn w:val="Normal"/>
    <w:qFormat/>
    <w:rsid w:val="00846A37"/>
    <w:pPr>
      <w:spacing w:before="60" w:after="0" w:line="240" w:lineRule="atLeast"/>
      <w:ind w:right="119"/>
    </w:pPr>
    <w:rPr>
      <w:rFonts w:ascii="Arial Narrow" w:hAnsi="Arial Narrow" w:cs="Arial"/>
      <w:color w:val="000100"/>
      <w:sz w:val="20"/>
    </w:rPr>
  </w:style>
  <w:style w:type="paragraph" w:customStyle="1" w:styleId="Tablecolumnheadings">
    <w:name w:val="Table column headings"/>
    <w:basedOn w:val="Tabletext"/>
    <w:qFormat/>
    <w:rsid w:val="00846A37"/>
    <w:pPr>
      <w:keepNext/>
      <w:spacing w:before="40" w:after="40"/>
    </w:pPr>
    <w:rPr>
      <w:b/>
      <w:color w:val="FFFFFF"/>
    </w:rPr>
  </w:style>
  <w:style w:type="paragraph" w:customStyle="1" w:styleId="Source">
    <w:name w:val="Source"/>
    <w:basedOn w:val="Normal"/>
    <w:link w:val="SourceChar"/>
    <w:qFormat/>
    <w:rsid w:val="00846A37"/>
    <w:pPr>
      <w:keepNext/>
      <w:spacing w:before="52" w:after="0" w:line="240" w:lineRule="auto"/>
    </w:pPr>
    <w:rPr>
      <w:rFonts w:ascii="Arial Narrow" w:hAnsi="Arial Narrow" w:cs="Arial"/>
      <w:i/>
      <w:color w:val="000100"/>
      <w:sz w:val="16"/>
    </w:rPr>
  </w:style>
  <w:style w:type="character" w:customStyle="1" w:styleId="CaptionLabel">
    <w:name w:val="Caption Label"/>
    <w:basedOn w:val="DefaultParagraphFont"/>
    <w:uiPriority w:val="1"/>
    <w:qFormat/>
    <w:rsid w:val="00846A37"/>
    <w:rPr>
      <w:b/>
      <w:color w:val="000100"/>
    </w:rPr>
  </w:style>
  <w:style w:type="character" w:customStyle="1" w:styleId="SourceChar">
    <w:name w:val="Source Char"/>
    <w:basedOn w:val="DefaultParagraphFont"/>
    <w:link w:val="Source"/>
    <w:locked/>
    <w:rsid w:val="00846A37"/>
    <w:rPr>
      <w:rFonts w:ascii="Arial Narrow" w:hAnsi="Arial Narrow" w:cs="Arial"/>
      <w:i/>
      <w:color w:val="000100"/>
      <w:sz w:val="16"/>
    </w:rPr>
  </w:style>
  <w:style w:type="paragraph" w:styleId="Subtitle">
    <w:name w:val="Subtitle"/>
    <w:basedOn w:val="Normal"/>
    <w:next w:val="Normal"/>
    <w:link w:val="SubtitleChar"/>
    <w:uiPriority w:val="11"/>
    <w:qFormat/>
    <w:rsid w:val="00846A37"/>
    <w:pPr>
      <w:numPr>
        <w:ilvl w:val="1"/>
      </w:numPr>
    </w:pPr>
    <w:rPr>
      <w:rFonts w:eastAsia="Times New Roman"/>
      <w:color w:val="FFFFFF"/>
      <w:sz w:val="40"/>
    </w:rPr>
  </w:style>
  <w:style w:type="character" w:customStyle="1" w:styleId="SubtitleChar1">
    <w:name w:val="Subtitle Char1"/>
    <w:basedOn w:val="DefaultParagraphFont"/>
    <w:uiPriority w:val="11"/>
    <w:rsid w:val="00846A37"/>
    <w:rPr>
      <w:rFonts w:eastAsiaTheme="minorEastAsia"/>
      <w:color w:val="5A5A5A" w:themeColor="text1" w:themeTint="A5"/>
      <w:spacing w:val="15"/>
    </w:rPr>
  </w:style>
  <w:style w:type="character" w:customStyle="1" w:styleId="Heading5Char1">
    <w:name w:val="Heading 5 Char1"/>
    <w:basedOn w:val="DefaultParagraphFont"/>
    <w:uiPriority w:val="9"/>
    <w:semiHidden/>
    <w:rsid w:val="00846A37"/>
    <w:rPr>
      <w:rFonts w:asciiTheme="majorHAnsi" w:eastAsiaTheme="majorEastAsia" w:hAnsiTheme="majorHAnsi" w:cstheme="majorBidi"/>
      <w:color w:val="2E74B5" w:themeColor="accent1" w:themeShade="BF"/>
    </w:rPr>
  </w:style>
  <w:style w:type="paragraph" w:styleId="Quote">
    <w:name w:val="Quote"/>
    <w:basedOn w:val="Normal"/>
    <w:next w:val="Normal"/>
    <w:link w:val="QuoteChar"/>
    <w:uiPriority w:val="29"/>
    <w:qFormat/>
    <w:rsid w:val="00846A37"/>
    <w:pPr>
      <w:spacing w:before="200"/>
      <w:ind w:left="864" w:right="864"/>
      <w:jc w:val="center"/>
    </w:pPr>
    <w:rPr>
      <w:i/>
      <w:iCs/>
      <w:color w:val="000000"/>
      <w:szCs w:val="24"/>
    </w:rPr>
  </w:style>
  <w:style w:type="character" w:customStyle="1" w:styleId="QuoteChar1">
    <w:name w:val="Quote Char1"/>
    <w:basedOn w:val="DefaultParagraphFont"/>
    <w:uiPriority w:val="29"/>
    <w:rsid w:val="00846A37"/>
    <w:rPr>
      <w:i/>
      <w:iCs/>
      <w:color w:val="404040" w:themeColor="text1" w:themeTint="BF"/>
    </w:rPr>
  </w:style>
  <w:style w:type="table" w:styleId="PlainTable2">
    <w:name w:val="Plain Table 2"/>
    <w:basedOn w:val="TableNormal"/>
    <w:uiPriority w:val="42"/>
    <w:rsid w:val="00846A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846A37"/>
    <w:pPr>
      <w:spacing w:after="0" w:line="240" w:lineRule="auto"/>
    </w:pPr>
  </w:style>
  <w:style w:type="table" w:styleId="ListTable3-Accent2">
    <w:name w:val="List Table 3 Accent 2"/>
    <w:basedOn w:val="TableNormal"/>
    <w:uiPriority w:val="48"/>
    <w:rsid w:val="00846A3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46A3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IntenseQuote">
    <w:name w:val="Intense Quote"/>
    <w:basedOn w:val="Normal"/>
    <w:next w:val="Normal"/>
    <w:link w:val="IntenseQuoteChar"/>
    <w:uiPriority w:val="30"/>
    <w:qFormat/>
    <w:rsid w:val="00846A37"/>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1">
    <w:name w:val="Intense Quote Char1"/>
    <w:basedOn w:val="DefaultParagraphFont"/>
    <w:uiPriority w:val="30"/>
    <w:rsid w:val="00846A37"/>
    <w:rPr>
      <w:i/>
      <w:iCs/>
      <w:color w:val="5B9BD5" w:themeColor="accent1"/>
    </w:rPr>
  </w:style>
  <w:style w:type="table" w:styleId="GridTable4-Accent2">
    <w:name w:val="Grid Table 4 Accent 2"/>
    <w:basedOn w:val="TableNormal"/>
    <w:uiPriority w:val="49"/>
    <w:rsid w:val="00846A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846A3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846A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846A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846A3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4">
    <w:name w:val="Grid Table 4 Accent 4"/>
    <w:basedOn w:val="TableNormal"/>
    <w:uiPriority w:val="49"/>
    <w:rsid w:val="00846A3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846A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4SchSubdiv">
    <w:name w:val="h4_Sch_Subdiv"/>
    <w:basedOn w:val="Normal"/>
    <w:qFormat/>
    <w:rsid w:val="00B6668A"/>
    <w:pPr>
      <w:keepNext/>
      <w:keepLines/>
      <w:spacing w:before="200" w:after="0" w:line="240" w:lineRule="auto"/>
      <w:ind w:left="2693" w:hanging="2693"/>
    </w:pPr>
    <w:rPr>
      <w:rFonts w:ascii="Arial" w:eastAsia="Times New Roman" w:hAnsi="Arial" w:cs="Arial"/>
      <w:b/>
      <w:bCs/>
      <w:kern w:val="32"/>
      <w:sz w:val="28"/>
      <w:szCs w:val="32"/>
      <w:lang w:eastAsia="en-AU"/>
    </w:rPr>
  </w:style>
  <w:style w:type="paragraph" w:customStyle="1" w:styleId="Heading71">
    <w:name w:val="Heading 71"/>
    <w:basedOn w:val="Normal"/>
    <w:next w:val="Normal"/>
    <w:uiPriority w:val="9"/>
    <w:semiHidden/>
    <w:unhideWhenUsed/>
    <w:qFormat/>
    <w:rsid w:val="00093241"/>
    <w:pPr>
      <w:keepNext/>
      <w:keepLines/>
      <w:spacing w:before="40" w:after="0"/>
      <w:outlineLvl w:val="6"/>
    </w:pPr>
    <w:rPr>
      <w:rFonts w:ascii="Calibri" w:eastAsia="Times New Roman" w:hAnsi="Calibri" w:cs="Times New Roman"/>
      <w:i/>
      <w:iCs/>
      <w:color w:val="083A42"/>
    </w:rPr>
  </w:style>
  <w:style w:type="character" w:customStyle="1" w:styleId="Heading7Char">
    <w:name w:val="Heading 7 Char"/>
    <w:basedOn w:val="DefaultParagraphFont"/>
    <w:link w:val="Heading7"/>
    <w:uiPriority w:val="9"/>
    <w:semiHidden/>
    <w:rsid w:val="00093241"/>
    <w:rPr>
      <w:rFonts w:ascii="Calibri" w:eastAsia="Times New Roman" w:hAnsi="Calibri" w:cs="Times New Roman"/>
      <w:i/>
      <w:iCs/>
      <w:color w:val="083A42"/>
    </w:rPr>
  </w:style>
  <w:style w:type="table" w:customStyle="1" w:styleId="TableGrid4">
    <w:name w:val="Table Grid4"/>
    <w:basedOn w:val="TableNormal"/>
    <w:next w:val="TableGrid"/>
    <w:uiPriority w:val="39"/>
    <w:rsid w:val="0009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093241"/>
    <w:pPr>
      <w:spacing w:after="120" w:line="240" w:lineRule="auto"/>
    </w:pPr>
    <w:rPr>
      <w:i/>
      <w:iCs/>
      <w:color w:val="408479"/>
      <w:szCs w:val="18"/>
    </w:rPr>
  </w:style>
  <w:style w:type="table" w:customStyle="1" w:styleId="ListTable3-Accent32">
    <w:name w:val="List Table 3 - Accent 32"/>
    <w:basedOn w:val="TableNormal"/>
    <w:next w:val="ListTable3-Accent3"/>
    <w:uiPriority w:val="48"/>
    <w:rsid w:val="00093241"/>
    <w:pPr>
      <w:spacing w:after="0" w:line="240" w:lineRule="auto"/>
    </w:pPr>
    <w:tblPr>
      <w:tblStyleRowBandSize w:val="1"/>
      <w:tblStyleColBandSize w:val="1"/>
      <w:tblBorders>
        <w:top w:val="single" w:sz="4" w:space="0" w:color="562403"/>
        <w:left w:val="single" w:sz="4" w:space="0" w:color="562403"/>
        <w:bottom w:val="single" w:sz="4" w:space="0" w:color="562403"/>
        <w:right w:val="single" w:sz="4" w:space="0" w:color="562403"/>
      </w:tblBorders>
    </w:tblPr>
    <w:tblStylePr w:type="firstRow">
      <w:rPr>
        <w:b/>
        <w:bCs/>
        <w:color w:val="FFFFFF"/>
      </w:rPr>
      <w:tblPr/>
      <w:tcPr>
        <w:shd w:val="clear" w:color="auto" w:fill="BB4E06"/>
      </w:tcPr>
    </w:tblStylePr>
    <w:tblStylePr w:type="lastRow">
      <w:rPr>
        <w:b/>
        <w:bCs/>
      </w:rPr>
      <w:tblPr/>
      <w:tcPr>
        <w:tcBorders>
          <w:top w:val="double" w:sz="4" w:space="0" w:color="56240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62403"/>
          <w:right w:val="single" w:sz="4" w:space="0" w:color="562403"/>
        </w:tcBorders>
      </w:tcPr>
    </w:tblStylePr>
    <w:tblStylePr w:type="band1Horz">
      <w:tblPr/>
      <w:tcPr>
        <w:tcBorders>
          <w:top w:val="single" w:sz="4" w:space="0" w:color="562403"/>
          <w:bottom w:val="single" w:sz="4" w:space="0" w:color="56240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left w:val="nil"/>
        </w:tcBorders>
      </w:tcPr>
    </w:tblStylePr>
    <w:tblStylePr w:type="swCell">
      <w:tblPr/>
      <w:tcPr>
        <w:tcBorders>
          <w:top w:val="double" w:sz="4" w:space="0" w:color="562403"/>
          <w:right w:val="nil"/>
        </w:tcBorders>
      </w:tcPr>
    </w:tblStylePr>
  </w:style>
  <w:style w:type="character" w:customStyle="1" w:styleId="CommentSubjectChar1">
    <w:name w:val="Comment Subject Char1"/>
    <w:basedOn w:val="CommentTextChar"/>
    <w:uiPriority w:val="99"/>
    <w:semiHidden/>
    <w:rsid w:val="00093241"/>
    <w:rPr>
      <w:b/>
      <w:bCs/>
      <w:sz w:val="20"/>
      <w:szCs w:val="20"/>
    </w:rPr>
  </w:style>
  <w:style w:type="table" w:customStyle="1" w:styleId="TableGrid12">
    <w:name w:val="Table Grid12"/>
    <w:basedOn w:val="TableNormal"/>
    <w:next w:val="TableGrid"/>
    <w:uiPriority w:val="39"/>
    <w:rsid w:val="00093241"/>
    <w:pPr>
      <w:spacing w:after="0" w:line="240" w:lineRule="auto"/>
    </w:pPr>
    <w:rPr>
      <w:rFonts w:ascii="Arial" w:eastAsia="Calibri" w:hAnsi="Arial" w:cs="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1">
    <w:name w:val="Heading 7 Char1"/>
    <w:basedOn w:val="DefaultParagraphFont"/>
    <w:uiPriority w:val="9"/>
    <w:semiHidden/>
    <w:rsid w:val="00093241"/>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8190">
      <w:bodyDiv w:val="1"/>
      <w:marLeft w:val="0"/>
      <w:marRight w:val="0"/>
      <w:marTop w:val="0"/>
      <w:marBottom w:val="0"/>
      <w:divBdr>
        <w:top w:val="none" w:sz="0" w:space="0" w:color="auto"/>
        <w:left w:val="none" w:sz="0" w:space="0" w:color="auto"/>
        <w:bottom w:val="none" w:sz="0" w:space="0" w:color="auto"/>
        <w:right w:val="none" w:sz="0" w:space="0" w:color="auto"/>
      </w:divBdr>
    </w:div>
    <w:div w:id="954407882">
      <w:bodyDiv w:val="1"/>
      <w:marLeft w:val="0"/>
      <w:marRight w:val="0"/>
      <w:marTop w:val="0"/>
      <w:marBottom w:val="0"/>
      <w:divBdr>
        <w:top w:val="none" w:sz="0" w:space="0" w:color="auto"/>
        <w:left w:val="none" w:sz="0" w:space="0" w:color="auto"/>
        <w:bottom w:val="none" w:sz="0" w:space="0" w:color="auto"/>
        <w:right w:val="none" w:sz="0" w:space="0" w:color="auto"/>
      </w:divBdr>
    </w:div>
    <w:div w:id="1339649720">
      <w:bodyDiv w:val="1"/>
      <w:marLeft w:val="0"/>
      <w:marRight w:val="0"/>
      <w:marTop w:val="0"/>
      <w:marBottom w:val="0"/>
      <w:divBdr>
        <w:top w:val="none" w:sz="0" w:space="0" w:color="auto"/>
        <w:left w:val="none" w:sz="0" w:space="0" w:color="auto"/>
        <w:bottom w:val="none" w:sz="0" w:space="0" w:color="auto"/>
        <w:right w:val="none" w:sz="0" w:space="0" w:color="auto"/>
      </w:divBdr>
    </w:div>
    <w:div w:id="1355957505">
      <w:bodyDiv w:val="1"/>
      <w:marLeft w:val="0"/>
      <w:marRight w:val="0"/>
      <w:marTop w:val="0"/>
      <w:marBottom w:val="0"/>
      <w:divBdr>
        <w:top w:val="none" w:sz="0" w:space="0" w:color="auto"/>
        <w:left w:val="none" w:sz="0" w:space="0" w:color="auto"/>
        <w:bottom w:val="none" w:sz="0" w:space="0" w:color="auto"/>
        <w:right w:val="none" w:sz="0" w:space="0" w:color="auto"/>
      </w:divBdr>
    </w:div>
    <w:div w:id="1488746083">
      <w:bodyDiv w:val="1"/>
      <w:marLeft w:val="0"/>
      <w:marRight w:val="0"/>
      <w:marTop w:val="0"/>
      <w:marBottom w:val="0"/>
      <w:divBdr>
        <w:top w:val="none" w:sz="0" w:space="0" w:color="auto"/>
        <w:left w:val="none" w:sz="0" w:space="0" w:color="auto"/>
        <w:bottom w:val="none" w:sz="0" w:space="0" w:color="auto"/>
        <w:right w:val="none" w:sz="0" w:space="0" w:color="auto"/>
      </w:divBdr>
    </w:div>
    <w:div w:id="1726174819">
      <w:bodyDiv w:val="1"/>
      <w:marLeft w:val="0"/>
      <w:marRight w:val="0"/>
      <w:marTop w:val="0"/>
      <w:marBottom w:val="0"/>
      <w:divBdr>
        <w:top w:val="none" w:sz="0" w:space="0" w:color="auto"/>
        <w:left w:val="none" w:sz="0" w:space="0" w:color="auto"/>
        <w:bottom w:val="none" w:sz="0" w:space="0" w:color="auto"/>
        <w:right w:val="none" w:sz="0" w:space="0" w:color="auto"/>
      </w:divBdr>
    </w:div>
    <w:div w:id="20800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G"/><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G"/><Relationship Id="rId34"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islation.gov.au" TargetMode="External"/><Relationship Id="rId25" Type="http://schemas.openxmlformats.org/officeDocument/2006/relationships/header" Target="header4.xml"/><Relationship Id="rId33" Type="http://schemas.openxmlformats.org/officeDocument/2006/relationships/image" Target="media/image9.pn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JPG"/><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creativecommons.org/licenses/by/4.0/legalcode" TargetMode="External"/><Relationship Id="rId37" Type="http://schemas.openxmlformats.org/officeDocument/2006/relationships/footer" Target="foot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ph.gov.au/Parliamentary_Business/Committees/Joint/Human_Rights/Guidance_Notes_and_Resources" TargetMode="External"/><Relationship Id="rId28" Type="http://schemas.openxmlformats.org/officeDocument/2006/relationships/footer" Target="footer3.xm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f.gov.au/imports/Pages/How-to-import/Import-declarations.aspx" TargetMode="External"/><Relationship Id="rId22" Type="http://schemas.openxmlformats.org/officeDocument/2006/relationships/hyperlink" Target="http://www.legislation.gov.au" TargetMode="External"/><Relationship Id="rId27" Type="http://schemas.openxmlformats.org/officeDocument/2006/relationships/header" Target="header5.xml"/><Relationship Id="rId30" Type="http://schemas.openxmlformats.org/officeDocument/2006/relationships/image" Target="media/image8.png"/><Relationship Id="rId35"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0"/>
          <c:order val="1"/>
          <c:tx>
            <c:strRef>
              <c:f>'Benefits (FY2022)'!$D$4</c:f>
              <c:strCache>
                <c:ptCount val="1"/>
                <c:pt idx="0">
                  <c:v>Daily benefit</c:v>
                </c:pt>
              </c:strCache>
            </c:strRef>
          </c:tx>
          <c:spPr>
            <a:noFill/>
            <a:ln>
              <a:noFill/>
            </a:ln>
            <a:effectLst/>
          </c:spPr>
          <c:cat>
            <c:numRef>
              <c:f>'Benefits (FY2022)'!$B$6:$B$12</c:f>
              <c:numCache>
                <c:formatCode>0%</c:formatCode>
                <c:ptCount val="7"/>
                <c:pt idx="0">
                  <c:v>0.2</c:v>
                </c:pt>
                <c:pt idx="1">
                  <c:v>0.25</c:v>
                </c:pt>
                <c:pt idx="2">
                  <c:v>0.3</c:v>
                </c:pt>
                <c:pt idx="3">
                  <c:v>0.35</c:v>
                </c:pt>
                <c:pt idx="4">
                  <c:v>0.4</c:v>
                </c:pt>
                <c:pt idx="5">
                  <c:v>0.45</c:v>
                </c:pt>
                <c:pt idx="6">
                  <c:v>0.5</c:v>
                </c:pt>
              </c:numCache>
            </c:numRef>
          </c:cat>
          <c:val>
            <c:numRef>
              <c:f>'Benefits (FY2022)'!$D$6:$D$12</c:f>
              <c:numCache>
                <c:formatCode>#,##0.0;[Red]\-#,##0.0;[Blue]0</c:formatCode>
                <c:ptCount val="7"/>
                <c:pt idx="0">
                  <c:v>200.76885749653397</c:v>
                </c:pt>
                <c:pt idx="1">
                  <c:v>256.66635385719945</c:v>
                </c:pt>
                <c:pt idx="2">
                  <c:v>325.02836942958999</c:v>
                </c:pt>
                <c:pt idx="3">
                  <c:v>405.85490421370554</c:v>
                </c:pt>
                <c:pt idx="4">
                  <c:v>499.14595820954651</c:v>
                </c:pt>
                <c:pt idx="5">
                  <c:v>604.90153141711244</c:v>
                </c:pt>
                <c:pt idx="6">
                  <c:v>723.12162383640327</c:v>
                </c:pt>
              </c:numCache>
            </c:numRef>
          </c:val>
          <c:extLst>
            <c:ext xmlns:c16="http://schemas.microsoft.com/office/drawing/2014/chart" uri="{C3380CC4-5D6E-409C-BE32-E72D297353CC}">
              <c16:uniqueId val="{00000000-8DED-4916-B6C6-8A63699248C6}"/>
            </c:ext>
          </c:extLst>
        </c:ser>
        <c:ser>
          <c:idx val="1"/>
          <c:order val="2"/>
          <c:tx>
            <c:strRef>
              <c:f>'Benefits (FY2022)'!$E$4</c:f>
              <c:strCache>
                <c:ptCount val="1"/>
                <c:pt idx="0">
                  <c:v>Daily benefit</c:v>
                </c:pt>
              </c:strCache>
            </c:strRef>
          </c:tx>
          <c:spPr>
            <a:solidFill>
              <a:schemeClr val="accent1">
                <a:lumMod val="40000"/>
                <a:lumOff val="60000"/>
              </a:schemeClr>
            </a:solidFill>
            <a:ln>
              <a:noFill/>
            </a:ln>
            <a:effectLst/>
          </c:spPr>
          <c:cat>
            <c:numRef>
              <c:f>'Benefits (FY2022)'!$B$6:$B$12</c:f>
              <c:numCache>
                <c:formatCode>0%</c:formatCode>
                <c:ptCount val="7"/>
                <c:pt idx="0">
                  <c:v>0.2</c:v>
                </c:pt>
                <c:pt idx="1">
                  <c:v>0.25</c:v>
                </c:pt>
                <c:pt idx="2">
                  <c:v>0.3</c:v>
                </c:pt>
                <c:pt idx="3">
                  <c:v>0.35</c:v>
                </c:pt>
                <c:pt idx="4">
                  <c:v>0.4</c:v>
                </c:pt>
                <c:pt idx="5">
                  <c:v>0.45</c:v>
                </c:pt>
                <c:pt idx="6">
                  <c:v>0.5</c:v>
                </c:pt>
              </c:numCache>
            </c:numRef>
          </c:cat>
          <c:val>
            <c:numRef>
              <c:f>'Benefits (FY2022)'!$E$6:$E$12</c:f>
              <c:numCache>
                <c:formatCode>#,##0.00;[Red]\-#,##0.00;[Blue]0</c:formatCode>
                <c:ptCount val="7"/>
                <c:pt idx="0">
                  <c:v>31.219053277876839</c:v>
                </c:pt>
                <c:pt idx="1">
                  <c:v>48.779770746682402</c:v>
                </c:pt>
                <c:pt idx="2">
                  <c:v>70.242869875222766</c:v>
                </c:pt>
                <c:pt idx="3">
                  <c:v>95.608350663497788</c:v>
                </c:pt>
                <c:pt idx="4">
                  <c:v>124.87621311150735</c:v>
                </c:pt>
                <c:pt idx="5">
                  <c:v>158.04645721925124</c:v>
                </c:pt>
                <c:pt idx="6">
                  <c:v>195.11908298672995</c:v>
                </c:pt>
              </c:numCache>
            </c:numRef>
          </c:val>
          <c:extLst>
            <c:ext xmlns:c16="http://schemas.microsoft.com/office/drawing/2014/chart" uri="{C3380CC4-5D6E-409C-BE32-E72D297353CC}">
              <c16:uniqueId val="{00000001-8DED-4916-B6C6-8A63699248C6}"/>
            </c:ext>
          </c:extLst>
        </c:ser>
        <c:ser>
          <c:idx val="3"/>
          <c:order val="3"/>
          <c:tx>
            <c:strRef>
              <c:f>'Benefits (FY2022)'!$F$4</c:f>
              <c:strCache>
                <c:ptCount val="1"/>
                <c:pt idx="0">
                  <c:v>Daily benefit</c:v>
                </c:pt>
              </c:strCache>
            </c:strRef>
          </c:tx>
          <c:spPr>
            <a:solidFill>
              <a:schemeClr val="accent1">
                <a:lumMod val="40000"/>
                <a:lumOff val="60000"/>
              </a:schemeClr>
            </a:solidFill>
            <a:ln>
              <a:noFill/>
            </a:ln>
            <a:effectLst/>
          </c:spPr>
          <c:cat>
            <c:numRef>
              <c:f>'Benefits (FY2022)'!$B$6:$B$12</c:f>
              <c:numCache>
                <c:formatCode>0%</c:formatCode>
                <c:ptCount val="7"/>
                <c:pt idx="0">
                  <c:v>0.2</c:v>
                </c:pt>
                <c:pt idx="1">
                  <c:v>0.25</c:v>
                </c:pt>
                <c:pt idx="2">
                  <c:v>0.3</c:v>
                </c:pt>
                <c:pt idx="3">
                  <c:v>0.35</c:v>
                </c:pt>
                <c:pt idx="4">
                  <c:v>0.4</c:v>
                </c:pt>
                <c:pt idx="5">
                  <c:v>0.45</c:v>
                </c:pt>
                <c:pt idx="6">
                  <c:v>0.5</c:v>
                </c:pt>
              </c:numCache>
            </c:numRef>
          </c:cat>
          <c:val>
            <c:numRef>
              <c:f>'Benefits (FY2022)'!$F$6:$F$12</c:f>
              <c:numCache>
                <c:formatCode>#,##0.00;[Red]\-#,##0.00;[Blue]0</c:formatCode>
                <c:ptCount val="7"/>
                <c:pt idx="0">
                  <c:v>31.21905327787681</c:v>
                </c:pt>
                <c:pt idx="1">
                  <c:v>48.779770746682573</c:v>
                </c:pt>
                <c:pt idx="2">
                  <c:v>70.242869875222823</c:v>
                </c:pt>
                <c:pt idx="3">
                  <c:v>95.608350663497617</c:v>
                </c:pt>
                <c:pt idx="4">
                  <c:v>124.87621311150724</c:v>
                </c:pt>
                <c:pt idx="5">
                  <c:v>158.04645721925147</c:v>
                </c:pt>
                <c:pt idx="6">
                  <c:v>195.11908298672984</c:v>
                </c:pt>
              </c:numCache>
            </c:numRef>
          </c:val>
          <c:extLst>
            <c:ext xmlns:c16="http://schemas.microsoft.com/office/drawing/2014/chart" uri="{C3380CC4-5D6E-409C-BE32-E72D297353CC}">
              <c16:uniqueId val="{00000002-8DED-4916-B6C6-8A63699248C6}"/>
            </c:ext>
          </c:extLst>
        </c:ser>
        <c:dLbls>
          <c:showLegendKey val="0"/>
          <c:showVal val="0"/>
          <c:showCatName val="0"/>
          <c:showSerName val="0"/>
          <c:showPercent val="0"/>
          <c:showBubbleSize val="0"/>
        </c:dLbls>
        <c:axId val="369174568"/>
        <c:axId val="369174952"/>
      </c:areaChart>
      <c:lineChart>
        <c:grouping val="standard"/>
        <c:varyColors val="0"/>
        <c:ser>
          <c:idx val="2"/>
          <c:order val="0"/>
          <c:tx>
            <c:strRef>
              <c:f>'Benefits (FY2022)'!$C$4</c:f>
              <c:strCache>
                <c:ptCount val="1"/>
                <c:pt idx="0">
                  <c:v>Daily benefit</c:v>
                </c:pt>
              </c:strCache>
            </c:strRef>
          </c:tx>
          <c:spPr>
            <a:ln w="28575" cap="rnd">
              <a:solidFill>
                <a:schemeClr val="accent3"/>
              </a:solidFill>
              <a:round/>
            </a:ln>
            <a:effectLst/>
          </c:spPr>
          <c:marker>
            <c:symbol val="none"/>
          </c:marker>
          <c:cat>
            <c:numRef>
              <c:f>'Benefits (FY2022)'!$B$6:$B$12</c:f>
              <c:numCache>
                <c:formatCode>0%</c:formatCode>
                <c:ptCount val="7"/>
                <c:pt idx="0">
                  <c:v>0.2</c:v>
                </c:pt>
                <c:pt idx="1">
                  <c:v>0.25</c:v>
                </c:pt>
                <c:pt idx="2">
                  <c:v>0.3</c:v>
                </c:pt>
                <c:pt idx="3">
                  <c:v>0.35</c:v>
                </c:pt>
                <c:pt idx="4">
                  <c:v>0.4</c:v>
                </c:pt>
                <c:pt idx="5">
                  <c:v>0.45</c:v>
                </c:pt>
                <c:pt idx="6">
                  <c:v>0.5</c:v>
                </c:pt>
              </c:numCache>
            </c:numRef>
          </c:cat>
          <c:val>
            <c:numRef>
              <c:f>'Benefits (FY2022)'!$C$6:$C$12</c:f>
              <c:numCache>
                <c:formatCode>#,##0.00;[Red]\-#,##0.00;[Blue]0</c:formatCode>
                <c:ptCount val="7"/>
                <c:pt idx="0">
                  <c:v>231.98791077441081</c:v>
                </c:pt>
                <c:pt idx="1">
                  <c:v>305.44612460388186</c:v>
                </c:pt>
                <c:pt idx="2">
                  <c:v>395.27123930481275</c:v>
                </c:pt>
                <c:pt idx="3">
                  <c:v>501.46325487720333</c:v>
                </c:pt>
                <c:pt idx="4">
                  <c:v>624.02217132105386</c:v>
                </c:pt>
                <c:pt idx="5">
                  <c:v>762.94798863636368</c:v>
                </c:pt>
                <c:pt idx="6">
                  <c:v>918.24070682313322</c:v>
                </c:pt>
              </c:numCache>
            </c:numRef>
          </c:val>
          <c:smooth val="0"/>
          <c:extLst>
            <c:ext xmlns:c16="http://schemas.microsoft.com/office/drawing/2014/chart" uri="{C3380CC4-5D6E-409C-BE32-E72D297353CC}">
              <c16:uniqueId val="{00000003-8DED-4916-B6C6-8A63699248C6}"/>
            </c:ext>
          </c:extLst>
        </c:ser>
        <c:dLbls>
          <c:showLegendKey val="0"/>
          <c:showVal val="0"/>
          <c:showCatName val="0"/>
          <c:showSerName val="0"/>
          <c:showPercent val="0"/>
          <c:showBubbleSize val="0"/>
        </c:dLbls>
        <c:marker val="1"/>
        <c:smooth val="0"/>
        <c:axId val="369174568"/>
        <c:axId val="369174952"/>
      </c:lineChart>
      <c:catAx>
        <c:axId val="369174568"/>
        <c:scaling>
          <c:orientation val="minMax"/>
        </c:scaling>
        <c:delete val="0"/>
        <c:axPos val="b"/>
        <c:title>
          <c:tx>
            <c:rich>
              <a:bodyPr rot="0" spcFirstLastPara="1" vertOverflow="ellipsis" vert="horz" wrap="square" anchor="ctr" anchorCtr="1"/>
              <a:lstStyle/>
              <a:p>
                <a:pPr>
                  <a:defRPr sz="800" b="0" i="0" u="none" strike="noStrike" kern="1200" baseline="0">
                    <a:solidFill>
                      <a:srgbClr val="000000"/>
                    </a:solidFill>
                    <a:latin typeface="Arial Narrow"/>
                    <a:ea typeface="Arial Narrow"/>
                    <a:cs typeface="Arial Narrow"/>
                  </a:defRPr>
                </a:pPr>
                <a:r>
                  <a:rPr lang="en-AU"/>
                  <a:t>Percentage loss in diesel supply</a:t>
                </a:r>
              </a:p>
            </c:rich>
          </c:tx>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Narrow"/>
                  <a:ea typeface="Arial Narrow"/>
                  <a:cs typeface="Arial Narrow"/>
                </a:defRPr>
              </a:pPr>
              <a:endParaRPr lang="en-US"/>
            </a:p>
          </c:txPr>
        </c:title>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0000"/>
                </a:solidFill>
                <a:latin typeface="Arial Narrow"/>
                <a:ea typeface="Arial Narrow"/>
                <a:cs typeface="Arial Narrow"/>
              </a:defRPr>
            </a:pPr>
            <a:endParaRPr lang="en-US"/>
          </a:p>
        </c:txPr>
        <c:crossAx val="369174952"/>
        <c:crosses val="autoZero"/>
        <c:auto val="1"/>
        <c:lblAlgn val="ctr"/>
        <c:lblOffset val="100"/>
        <c:tickMarkSkip val="1"/>
        <c:noMultiLvlLbl val="0"/>
      </c:catAx>
      <c:valAx>
        <c:axId val="369174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000000"/>
                    </a:solidFill>
                    <a:latin typeface="Arial Narrow"/>
                    <a:ea typeface="Arial Narrow"/>
                    <a:cs typeface="Arial Narrow"/>
                  </a:defRPr>
                </a:pPr>
                <a:r>
                  <a:rPr lang="en-AU"/>
                  <a:t>Daily</a:t>
                </a:r>
                <a:r>
                  <a:rPr lang="en-AU" baseline="0"/>
                  <a:t> benefit to Australian GDP of stocks</a:t>
                </a:r>
                <a:endParaRPr lang="en-AU"/>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000000"/>
                  </a:solidFill>
                  <a:latin typeface="Arial Narrow"/>
                  <a:ea typeface="Arial Narrow"/>
                  <a:cs typeface="Arial Narrow"/>
                </a:defRPr>
              </a:pPr>
              <a:endParaRPr lang="en-US"/>
            </a:p>
          </c:txPr>
        </c:title>
        <c:numFmt formatCode="#,##0;[Red]\-#,##0;&quot;A$m&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0000"/>
                </a:solidFill>
                <a:latin typeface="Arial Narrow"/>
                <a:ea typeface="Arial Narrow"/>
                <a:cs typeface="Arial Narrow"/>
              </a:defRPr>
            </a:pPr>
            <a:endParaRPr lang="en-US"/>
          </a:p>
        </c:txPr>
        <c:crossAx val="369174568"/>
        <c:crossesAt val="1"/>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cap="flat" cmpd="sng" algn="ctr">
      <a:noFill/>
      <a:round/>
    </a:ln>
    <a:effectLst/>
  </c:spPr>
  <c:txPr>
    <a:bodyPr/>
    <a:lstStyle/>
    <a:p>
      <a:pPr>
        <a:defRPr sz="800">
          <a:solidFill>
            <a:srgbClr val="000000"/>
          </a:solidFill>
          <a:latin typeface="Arial Narrow"/>
          <a:ea typeface="Arial Narrow"/>
          <a:cs typeface="Arial Narrow"/>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DE06E437E42E99C12C94959B905FD"/>
        <w:category>
          <w:name w:val="General"/>
          <w:gallery w:val="placeholder"/>
        </w:category>
        <w:types>
          <w:type w:val="bbPlcHdr"/>
        </w:types>
        <w:behaviors>
          <w:behavior w:val="content"/>
        </w:behaviors>
        <w:guid w:val="{CA74F923-BBAC-46F3-9D1B-263C4F05A65F}"/>
      </w:docPartPr>
      <w:docPartBody>
        <w:p w:rsidR="00E94B1E" w:rsidRDefault="00E94B1E" w:rsidP="00E94B1E">
          <w:pPr>
            <w:pStyle w:val="929DE06E437E42E99C12C94959B905F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7E"/>
    <w:rsid w:val="00161A97"/>
    <w:rsid w:val="00202D37"/>
    <w:rsid w:val="00216201"/>
    <w:rsid w:val="00286C29"/>
    <w:rsid w:val="002E0702"/>
    <w:rsid w:val="002F4E67"/>
    <w:rsid w:val="00397423"/>
    <w:rsid w:val="00484EDF"/>
    <w:rsid w:val="00584BB8"/>
    <w:rsid w:val="006409B5"/>
    <w:rsid w:val="007D6EA3"/>
    <w:rsid w:val="0093521D"/>
    <w:rsid w:val="00AC2E44"/>
    <w:rsid w:val="00C63739"/>
    <w:rsid w:val="00D15E7E"/>
    <w:rsid w:val="00E82048"/>
    <w:rsid w:val="00E94B1E"/>
    <w:rsid w:val="00F20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B1E"/>
    <w:rPr>
      <w:color w:val="808080"/>
    </w:rPr>
  </w:style>
  <w:style w:type="paragraph" w:customStyle="1" w:styleId="929DE06E437E42E99C12C94959B905FD">
    <w:name w:val="929DE06E437E42E99C12C94959B905FD"/>
    <w:rsid w:val="00E94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Props1.xml><?xml version="1.0" encoding="utf-8"?>
<ds:datastoreItem xmlns:ds="http://schemas.openxmlformats.org/officeDocument/2006/customXml" ds:itemID="{25F9BFC3-3754-4B37-B5F5-4D2CC5D52133}">
  <ds:schemaRefs>
    <ds:schemaRef ds:uri="http://schemas.microsoft.com/sharepoint/v3/contenttype/forms"/>
  </ds:schemaRefs>
</ds:datastoreItem>
</file>

<file path=customXml/itemProps2.xml><?xml version="1.0" encoding="utf-8"?>
<ds:datastoreItem xmlns:ds="http://schemas.openxmlformats.org/officeDocument/2006/customXml" ds:itemID="{986ECAD6-4409-4355-8A34-25B14DA3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713F8-D395-4048-9E4E-1C3056F4C509}">
  <ds:schemaRefs>
    <ds:schemaRef ds:uri="http://schemas.openxmlformats.org/officeDocument/2006/bibliography"/>
  </ds:schemaRefs>
</ds:datastoreItem>
</file>

<file path=customXml/itemProps4.xml><?xml version="1.0" encoding="utf-8"?>
<ds:datastoreItem xmlns:ds="http://schemas.openxmlformats.org/officeDocument/2006/customXml" ds:itemID="{698DFEFC-07AD-4DF9-AF16-E383BF79165C}">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8EFBE35A-2247-4BD3-AE4A-6287ACEB8C2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63</Pages>
  <Words>23020</Words>
  <Characters>131217</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Regulation Impact Statement (RIS) Addendum – Minimum Stockholding Obligation</vt:lpstr>
    </vt:vector>
  </TitlesOfParts>
  <Company>Department of Industry, Innovation and Science</Company>
  <LinksUpToDate>false</LinksUpToDate>
  <CharactersWithSpaces>153930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 (RIS) Addendum – Minimum Stockholding Obligation</dc:title>
  <dc:subject/>
  <dc:creator>Stuart, Sarah</dc:creator>
  <cp:keywords/>
  <dc:description/>
  <cp:lastModifiedBy>Kwan, Kelvin</cp:lastModifiedBy>
  <cp:revision>8</cp:revision>
  <cp:lastPrinted>2021-06-28T01:44:00Z</cp:lastPrinted>
  <dcterms:created xsi:type="dcterms:W3CDTF">2022-11-08T03:00:00Z</dcterms:created>
  <dcterms:modified xsi:type="dcterms:W3CDTF">2022-11-10T06:22:00Z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0x010100266966F133664895A6EE3632470D45F5006D803B69088F3B4BB452B237C76FFFB2</vt:lpwstr>
  </property>
  <property fmtid="{D5CDD505-2E9C-101B-9397-08002B2CF9AE}" pid="3" name="DocHub_FuelSecurityLegislationWorkTopics">
    <vt:lpwstr>2215;#Drafting Instructions|def35bca-22a5-4329-be86-7fa7841fc24c</vt:lpwstr>
  </property>
  <property fmtid="{D5CDD505-2E9C-101B-9397-08002B2CF9AE}" pid="4" name="DocHub_Year">
    <vt:lpwstr>8;#2021|712d5b50-1b62-44de-9d3e-74234783b265</vt:lpwstr>
  </property>
  <property fmtid="{D5CDD505-2E9C-101B-9397-08002B2CF9AE}" pid="5" name="DocHub_WorkActivity">
    <vt:lpwstr>95;#Legislation and Regulation|6cbc66f5-f4a2-4565-a58b-d5f2d2ac9bd0</vt:lpwstr>
  </property>
  <property fmtid="{D5CDD505-2E9C-101B-9397-08002B2CF9AE}" pid="6" name="DocHub_Keywords">
    <vt:lpwstr>38;#fuel security|88db6dbe-e821-4567-9df6-8571a42d69ce;#343;#Legislative Instrument|9f59c980-65f4-4d19-8c7c-81c379cca7b2</vt:lpwstr>
  </property>
  <property fmtid="{D5CDD505-2E9C-101B-9397-08002B2CF9AE}" pid="7" name="DocHub_DocumentType">
    <vt:lpwstr>340;#Legislative Instrument|edbe159b-95f5-40e7-bf23-9dfb62f2e7f0</vt:lpwstr>
  </property>
  <property fmtid="{D5CDD505-2E9C-101B-9397-08002B2CF9AE}" pid="8" name="DocHub_SecurityClassification">
    <vt:lpwstr>208;#Legislative secrecy|7696ab49-fa39-45c8-8833-1b0d93fa11aa</vt:lpwstr>
  </property>
</Properties>
</file>