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C9FF" w14:textId="77777777" w:rsidR="006C4A30" w:rsidRPr="00C1264C" w:rsidRDefault="006C4A30" w:rsidP="006C4A30">
      <w:pPr>
        <w:pStyle w:val="ttCrest"/>
        <w:rPr>
          <w:sz w:val="19"/>
        </w:rPr>
      </w:pPr>
      <w:r w:rsidRPr="00C1264C">
        <w:rPr>
          <w:noProof/>
          <w:lang w:eastAsia="en-AU"/>
        </w:rPr>
        <w:drawing>
          <wp:inline distT="0" distB="0" distL="0" distR="0" wp14:anchorId="3F5678C4" wp14:editId="05B41D70">
            <wp:extent cx="1498600" cy="1101725"/>
            <wp:effectExtent l="19050" t="0" r="635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2"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14:paraId="4EFA0298" w14:textId="77777777" w:rsidR="00F81A21" w:rsidRPr="00C1264C" w:rsidRDefault="00634D19" w:rsidP="00F81A21">
      <w:pPr>
        <w:pStyle w:val="ShortT"/>
      </w:pPr>
      <w:r w:rsidRPr="00C1264C">
        <w:t>Fuel Security</w:t>
      </w:r>
      <w:r w:rsidR="00225D68" w:rsidRPr="00C1264C">
        <w:t xml:space="preserve"> (</w:t>
      </w:r>
      <w:r w:rsidR="00FB0A77" w:rsidRPr="00C1264C">
        <w:t>Minimum Stockholding Obligation</w:t>
      </w:r>
      <w:r w:rsidR="00225D68" w:rsidRPr="00C1264C">
        <w:t xml:space="preserve">) </w:t>
      </w:r>
      <w:r w:rsidR="001E0380" w:rsidRPr="00C1264C">
        <w:t>Rule</w:t>
      </w:r>
      <w:r w:rsidR="00FB0A77" w:rsidRPr="00C1264C">
        <w:t>s</w:t>
      </w:r>
      <w:r w:rsidRPr="00C1264C">
        <w:t xml:space="preserve"> 202</w:t>
      </w:r>
      <w:r w:rsidR="003E41CB" w:rsidRPr="00C1264C">
        <w:t>2</w:t>
      </w:r>
    </w:p>
    <w:p w14:paraId="68425B95" w14:textId="41B39630" w:rsidR="00F81A21" w:rsidRPr="00C1264C" w:rsidRDefault="00F81A21" w:rsidP="00F81A21">
      <w:pPr>
        <w:pStyle w:val="SignCoverPageStart"/>
        <w:rPr>
          <w:szCs w:val="22"/>
        </w:rPr>
      </w:pPr>
      <w:bookmarkStart w:id="0" w:name="_Hlk116386172"/>
      <w:r w:rsidRPr="00C1264C">
        <w:rPr>
          <w:szCs w:val="22"/>
        </w:rPr>
        <w:t xml:space="preserve">I, </w:t>
      </w:r>
      <w:r w:rsidR="004E1BAA" w:rsidRPr="00C1264C">
        <w:rPr>
          <w:szCs w:val="22"/>
        </w:rPr>
        <w:t>the Hon Chris Bowen MP</w:t>
      </w:r>
      <w:r w:rsidRPr="00C1264C">
        <w:rPr>
          <w:szCs w:val="22"/>
        </w:rPr>
        <w:t xml:space="preserve">, </w:t>
      </w:r>
      <w:r w:rsidRPr="00C1264C">
        <w:t xml:space="preserve">Minister for </w:t>
      </w:r>
      <w:r w:rsidR="004E1BAA" w:rsidRPr="00C1264C">
        <w:rPr>
          <w:szCs w:val="22"/>
        </w:rPr>
        <w:t>Climate Change and</w:t>
      </w:r>
      <w:r w:rsidR="00FB0A77" w:rsidRPr="00C1264C">
        <w:rPr>
          <w:szCs w:val="22"/>
        </w:rPr>
        <w:t xml:space="preserve"> </w:t>
      </w:r>
      <w:r w:rsidR="00634D19" w:rsidRPr="00C1264C">
        <w:t>Energy</w:t>
      </w:r>
      <w:r w:rsidRPr="00C1264C">
        <w:rPr>
          <w:szCs w:val="22"/>
        </w:rPr>
        <w:t xml:space="preserve">, make the following </w:t>
      </w:r>
      <w:r w:rsidR="00634D19" w:rsidRPr="00C1264C">
        <w:rPr>
          <w:szCs w:val="22"/>
        </w:rPr>
        <w:t>instrument</w:t>
      </w:r>
      <w:r w:rsidRPr="00C1264C">
        <w:rPr>
          <w:szCs w:val="22"/>
        </w:rPr>
        <w:t>.</w:t>
      </w:r>
    </w:p>
    <w:p w14:paraId="54C03F37" w14:textId="0DDF8A23" w:rsidR="00F81A21" w:rsidRPr="00C1264C" w:rsidRDefault="00F81A21" w:rsidP="00F81A21">
      <w:pPr>
        <w:keepNext/>
        <w:spacing w:before="300" w:line="240" w:lineRule="atLeast"/>
        <w:ind w:right="397"/>
        <w:jc w:val="both"/>
        <w:rPr>
          <w:szCs w:val="22"/>
        </w:rPr>
      </w:pPr>
      <w:r w:rsidRPr="00C1264C">
        <w:rPr>
          <w:szCs w:val="22"/>
        </w:rPr>
        <w:t>Dated</w:t>
      </w:r>
      <w:r w:rsidRPr="00C1264C">
        <w:rPr>
          <w:szCs w:val="22"/>
        </w:rPr>
        <w:tab/>
      </w:r>
      <w:r w:rsidR="009F565F" w:rsidRPr="00C1264C">
        <w:rPr>
          <w:szCs w:val="22"/>
        </w:rPr>
        <w:t>08/11/2022</w:t>
      </w:r>
      <w:r w:rsidRPr="00C1264C">
        <w:rPr>
          <w:szCs w:val="22"/>
        </w:rPr>
        <w:tab/>
      </w:r>
      <w:r w:rsidRPr="00C1264C">
        <w:rPr>
          <w:szCs w:val="22"/>
        </w:rPr>
        <w:tab/>
      </w:r>
      <w:r w:rsidRPr="00C1264C">
        <w:rPr>
          <w:szCs w:val="22"/>
        </w:rPr>
        <w:tab/>
      </w:r>
      <w:bookmarkStart w:id="1" w:name="BKCheck15B_1"/>
      <w:bookmarkEnd w:id="1"/>
    </w:p>
    <w:p w14:paraId="0F0FEC51" w14:textId="37C02E09" w:rsidR="00F81A21" w:rsidRPr="00C1264C" w:rsidRDefault="004E1BAA" w:rsidP="009121A5">
      <w:pPr>
        <w:keepNext/>
        <w:tabs>
          <w:tab w:val="left" w:pos="3402"/>
        </w:tabs>
        <w:spacing w:before="1440" w:line="300" w:lineRule="atLeast"/>
        <w:ind w:right="397"/>
        <w:rPr>
          <w:szCs w:val="22"/>
        </w:rPr>
      </w:pPr>
      <w:r w:rsidRPr="00C1264C">
        <w:rPr>
          <w:szCs w:val="22"/>
        </w:rPr>
        <w:t>Chris Bowen</w:t>
      </w:r>
    </w:p>
    <w:p w14:paraId="70E99299" w14:textId="51760265" w:rsidR="00F81A21" w:rsidRPr="00C1264C" w:rsidRDefault="00F81A21" w:rsidP="00F81A21">
      <w:pPr>
        <w:pStyle w:val="SignCoverPageEnd"/>
        <w:rPr>
          <w:szCs w:val="22"/>
        </w:rPr>
      </w:pPr>
      <w:r w:rsidRPr="00C1264C">
        <w:t xml:space="preserve">Minister for </w:t>
      </w:r>
      <w:r w:rsidR="004E1BAA" w:rsidRPr="00C1264C">
        <w:rPr>
          <w:szCs w:val="22"/>
        </w:rPr>
        <w:t xml:space="preserve">Climate Change and </w:t>
      </w:r>
      <w:r w:rsidR="004E1BAA" w:rsidRPr="00C1264C">
        <w:t>Energy</w:t>
      </w:r>
      <w:r w:rsidR="004E1BAA" w:rsidRPr="00C1264C" w:rsidDel="004E1BAA">
        <w:rPr>
          <w:szCs w:val="22"/>
        </w:rPr>
        <w:t xml:space="preserve"> </w:t>
      </w:r>
    </w:p>
    <w:bookmarkEnd w:id="0"/>
    <w:p w14:paraId="4BA9FA1B" w14:textId="77777777" w:rsidR="00F47AAB" w:rsidRPr="00C1264C" w:rsidRDefault="00F47AAB">
      <w:pPr>
        <w:spacing w:line="240" w:lineRule="auto"/>
      </w:pPr>
      <w:r w:rsidRPr="00C1264C">
        <w:br w:type="page"/>
      </w:r>
    </w:p>
    <w:p w14:paraId="52ECC7D5" w14:textId="77777777" w:rsidR="00F81A21" w:rsidRPr="00C1264C" w:rsidRDefault="00F81A21" w:rsidP="00F81A21"/>
    <w:p w14:paraId="60BB110A" w14:textId="77777777" w:rsidR="00F81A21" w:rsidRPr="00C1264C" w:rsidRDefault="00F81A21" w:rsidP="00F81A21">
      <w:pPr>
        <w:pStyle w:val="Header"/>
        <w:tabs>
          <w:tab w:val="clear" w:pos="4150"/>
          <w:tab w:val="clear" w:pos="8307"/>
        </w:tabs>
      </w:pPr>
      <w:r w:rsidRPr="00C1264C">
        <w:rPr>
          <w:rStyle w:val="CharChapNo"/>
        </w:rPr>
        <w:t xml:space="preserve"> </w:t>
      </w:r>
      <w:r w:rsidRPr="00C1264C">
        <w:rPr>
          <w:rStyle w:val="CharChapText"/>
        </w:rPr>
        <w:t xml:space="preserve"> </w:t>
      </w:r>
    </w:p>
    <w:p w14:paraId="0389A499" w14:textId="77777777" w:rsidR="00F47AAB" w:rsidRPr="00C1264C" w:rsidRDefault="00F47AAB" w:rsidP="00F47AAB">
      <w:pPr>
        <w:rPr>
          <w:sz w:val="36"/>
        </w:rPr>
      </w:pPr>
      <w:r w:rsidRPr="00C1264C">
        <w:rPr>
          <w:sz w:val="36"/>
        </w:rPr>
        <w:t>Contents</w:t>
      </w:r>
    </w:p>
    <w:bookmarkStart w:id="2" w:name="BKCheck15B_2"/>
    <w:bookmarkEnd w:id="2"/>
    <w:p w14:paraId="0202F746" w14:textId="664E649A" w:rsidR="00186962" w:rsidRPr="00C1264C" w:rsidRDefault="002309B3">
      <w:pPr>
        <w:pStyle w:val="TOC2"/>
        <w:rPr>
          <w:rFonts w:asciiTheme="minorHAnsi" w:eastAsiaTheme="minorEastAsia" w:hAnsiTheme="minorHAnsi" w:cstheme="minorBidi"/>
          <w:b w:val="0"/>
          <w:noProof/>
          <w:kern w:val="0"/>
          <w:sz w:val="22"/>
          <w:szCs w:val="22"/>
        </w:rPr>
      </w:pPr>
      <w:r w:rsidRPr="00C1264C">
        <w:fldChar w:fldCharType="begin"/>
      </w:r>
      <w:r w:rsidR="00CC1C01" w:rsidRPr="00C1264C">
        <w:instrText xml:space="preserve"> TOC \o1-9 </w:instrText>
      </w:r>
      <w:r w:rsidRPr="00C1264C">
        <w:fldChar w:fldCharType="separate"/>
      </w:r>
      <w:r w:rsidR="00186962" w:rsidRPr="00C1264C">
        <w:rPr>
          <w:noProof/>
        </w:rPr>
        <w:t>Part 1 —Preliminary</w:t>
      </w:r>
      <w:r w:rsidR="00186962" w:rsidRPr="00C1264C">
        <w:rPr>
          <w:noProof/>
        </w:rPr>
        <w:tab/>
      </w:r>
      <w:r w:rsidR="00186962" w:rsidRPr="00C1264C">
        <w:rPr>
          <w:noProof/>
        </w:rPr>
        <w:fldChar w:fldCharType="begin"/>
      </w:r>
      <w:r w:rsidR="00186962" w:rsidRPr="00C1264C">
        <w:rPr>
          <w:noProof/>
        </w:rPr>
        <w:instrText xml:space="preserve"> PAGEREF _Toc117516960 \h </w:instrText>
      </w:r>
      <w:r w:rsidR="00186962" w:rsidRPr="00C1264C">
        <w:rPr>
          <w:noProof/>
        </w:rPr>
      </w:r>
      <w:r w:rsidR="00186962" w:rsidRPr="00C1264C">
        <w:rPr>
          <w:noProof/>
        </w:rPr>
        <w:fldChar w:fldCharType="separate"/>
      </w:r>
      <w:r w:rsidR="001E7A96" w:rsidRPr="00C1264C">
        <w:rPr>
          <w:noProof/>
        </w:rPr>
        <w:t>4</w:t>
      </w:r>
      <w:r w:rsidR="00186962" w:rsidRPr="00C1264C">
        <w:rPr>
          <w:noProof/>
        </w:rPr>
        <w:fldChar w:fldCharType="end"/>
      </w:r>
    </w:p>
    <w:p w14:paraId="46D4F69F" w14:textId="2097B636" w:rsidR="00186962" w:rsidRPr="00C1264C" w:rsidRDefault="00186962">
      <w:pPr>
        <w:pStyle w:val="TOC5"/>
        <w:rPr>
          <w:rFonts w:asciiTheme="minorHAnsi" w:eastAsiaTheme="minorEastAsia" w:hAnsiTheme="minorHAnsi" w:cstheme="minorBidi"/>
          <w:noProof/>
          <w:kern w:val="0"/>
          <w:sz w:val="22"/>
          <w:szCs w:val="22"/>
        </w:rPr>
      </w:pPr>
      <w:r w:rsidRPr="00C1264C">
        <w:rPr>
          <w:noProof/>
        </w:rPr>
        <w:t>1  Name</w:t>
      </w:r>
      <w:r w:rsidRPr="00C1264C">
        <w:rPr>
          <w:noProof/>
        </w:rPr>
        <w:tab/>
      </w:r>
      <w:r w:rsidRPr="00C1264C">
        <w:rPr>
          <w:noProof/>
        </w:rPr>
        <w:fldChar w:fldCharType="begin"/>
      </w:r>
      <w:r w:rsidRPr="00C1264C">
        <w:rPr>
          <w:noProof/>
        </w:rPr>
        <w:instrText xml:space="preserve"> PAGEREF _Toc117516961 \h </w:instrText>
      </w:r>
      <w:r w:rsidRPr="00C1264C">
        <w:rPr>
          <w:noProof/>
        </w:rPr>
      </w:r>
      <w:r w:rsidRPr="00C1264C">
        <w:rPr>
          <w:noProof/>
        </w:rPr>
        <w:fldChar w:fldCharType="separate"/>
      </w:r>
      <w:r w:rsidR="001E7A96" w:rsidRPr="00C1264C">
        <w:rPr>
          <w:noProof/>
        </w:rPr>
        <w:t>4</w:t>
      </w:r>
      <w:r w:rsidRPr="00C1264C">
        <w:rPr>
          <w:noProof/>
        </w:rPr>
        <w:fldChar w:fldCharType="end"/>
      </w:r>
    </w:p>
    <w:p w14:paraId="73060276" w14:textId="6F6EF383" w:rsidR="00186962" w:rsidRPr="00C1264C" w:rsidRDefault="00186962">
      <w:pPr>
        <w:pStyle w:val="TOC5"/>
        <w:rPr>
          <w:rFonts w:asciiTheme="minorHAnsi" w:eastAsiaTheme="minorEastAsia" w:hAnsiTheme="minorHAnsi" w:cstheme="minorBidi"/>
          <w:noProof/>
          <w:kern w:val="0"/>
          <w:sz w:val="22"/>
          <w:szCs w:val="22"/>
        </w:rPr>
      </w:pPr>
      <w:r w:rsidRPr="00C1264C">
        <w:rPr>
          <w:noProof/>
        </w:rPr>
        <w:t>2  Commencement</w:t>
      </w:r>
      <w:r w:rsidRPr="00C1264C">
        <w:rPr>
          <w:noProof/>
        </w:rPr>
        <w:tab/>
      </w:r>
      <w:r w:rsidRPr="00C1264C">
        <w:rPr>
          <w:noProof/>
        </w:rPr>
        <w:fldChar w:fldCharType="begin"/>
      </w:r>
      <w:r w:rsidRPr="00C1264C">
        <w:rPr>
          <w:noProof/>
        </w:rPr>
        <w:instrText xml:space="preserve"> PAGEREF _Toc117516962 \h </w:instrText>
      </w:r>
      <w:r w:rsidRPr="00C1264C">
        <w:rPr>
          <w:noProof/>
        </w:rPr>
      </w:r>
      <w:r w:rsidRPr="00C1264C">
        <w:rPr>
          <w:noProof/>
        </w:rPr>
        <w:fldChar w:fldCharType="separate"/>
      </w:r>
      <w:r w:rsidR="001E7A96" w:rsidRPr="00C1264C">
        <w:rPr>
          <w:noProof/>
        </w:rPr>
        <w:t>4</w:t>
      </w:r>
      <w:r w:rsidRPr="00C1264C">
        <w:rPr>
          <w:noProof/>
        </w:rPr>
        <w:fldChar w:fldCharType="end"/>
      </w:r>
    </w:p>
    <w:p w14:paraId="48994B66" w14:textId="7E2576E4" w:rsidR="00186962" w:rsidRPr="00C1264C" w:rsidRDefault="00186962">
      <w:pPr>
        <w:pStyle w:val="TOC5"/>
        <w:rPr>
          <w:rFonts w:asciiTheme="minorHAnsi" w:eastAsiaTheme="minorEastAsia" w:hAnsiTheme="minorHAnsi" w:cstheme="minorBidi"/>
          <w:noProof/>
          <w:kern w:val="0"/>
          <w:sz w:val="22"/>
          <w:szCs w:val="22"/>
        </w:rPr>
      </w:pPr>
      <w:r w:rsidRPr="00C1264C">
        <w:rPr>
          <w:noProof/>
        </w:rPr>
        <w:t>3  Authority</w:t>
      </w:r>
      <w:r w:rsidRPr="00C1264C">
        <w:rPr>
          <w:noProof/>
        </w:rPr>
        <w:tab/>
      </w:r>
      <w:r w:rsidRPr="00C1264C">
        <w:rPr>
          <w:noProof/>
        </w:rPr>
        <w:fldChar w:fldCharType="begin"/>
      </w:r>
      <w:r w:rsidRPr="00C1264C">
        <w:rPr>
          <w:noProof/>
        </w:rPr>
        <w:instrText xml:space="preserve"> PAGEREF _Toc117516963 \h </w:instrText>
      </w:r>
      <w:r w:rsidRPr="00C1264C">
        <w:rPr>
          <w:noProof/>
        </w:rPr>
      </w:r>
      <w:r w:rsidRPr="00C1264C">
        <w:rPr>
          <w:noProof/>
        </w:rPr>
        <w:fldChar w:fldCharType="separate"/>
      </w:r>
      <w:r w:rsidR="001E7A96" w:rsidRPr="00C1264C">
        <w:rPr>
          <w:noProof/>
        </w:rPr>
        <w:t>4</w:t>
      </w:r>
      <w:r w:rsidRPr="00C1264C">
        <w:rPr>
          <w:noProof/>
        </w:rPr>
        <w:fldChar w:fldCharType="end"/>
      </w:r>
    </w:p>
    <w:p w14:paraId="3BEE5C80" w14:textId="3A481C00" w:rsidR="00186962" w:rsidRPr="00C1264C" w:rsidRDefault="00186962">
      <w:pPr>
        <w:pStyle w:val="TOC5"/>
        <w:rPr>
          <w:rFonts w:asciiTheme="minorHAnsi" w:eastAsiaTheme="minorEastAsia" w:hAnsiTheme="minorHAnsi" w:cstheme="minorBidi"/>
          <w:noProof/>
          <w:kern w:val="0"/>
          <w:sz w:val="22"/>
          <w:szCs w:val="22"/>
        </w:rPr>
      </w:pPr>
      <w:r w:rsidRPr="00C1264C">
        <w:rPr>
          <w:noProof/>
        </w:rPr>
        <w:t>4  Definitions</w:t>
      </w:r>
      <w:r w:rsidRPr="00C1264C">
        <w:rPr>
          <w:noProof/>
        </w:rPr>
        <w:tab/>
      </w:r>
      <w:r w:rsidRPr="00C1264C">
        <w:rPr>
          <w:noProof/>
        </w:rPr>
        <w:fldChar w:fldCharType="begin"/>
      </w:r>
      <w:r w:rsidRPr="00C1264C">
        <w:rPr>
          <w:noProof/>
        </w:rPr>
        <w:instrText xml:space="preserve"> PAGEREF _Toc117516964 \h </w:instrText>
      </w:r>
      <w:r w:rsidRPr="00C1264C">
        <w:rPr>
          <w:noProof/>
        </w:rPr>
      </w:r>
      <w:r w:rsidRPr="00C1264C">
        <w:rPr>
          <w:noProof/>
        </w:rPr>
        <w:fldChar w:fldCharType="separate"/>
      </w:r>
      <w:r w:rsidR="001E7A96" w:rsidRPr="00C1264C">
        <w:rPr>
          <w:noProof/>
        </w:rPr>
        <w:t>4</w:t>
      </w:r>
      <w:r w:rsidRPr="00C1264C">
        <w:rPr>
          <w:noProof/>
        </w:rPr>
        <w:fldChar w:fldCharType="end"/>
      </w:r>
    </w:p>
    <w:p w14:paraId="425F692D" w14:textId="38AE6DEB" w:rsidR="00186962" w:rsidRPr="00C1264C" w:rsidRDefault="00186962">
      <w:pPr>
        <w:pStyle w:val="TOC2"/>
        <w:rPr>
          <w:rFonts w:asciiTheme="minorHAnsi" w:eastAsiaTheme="minorEastAsia" w:hAnsiTheme="minorHAnsi" w:cstheme="minorBidi"/>
          <w:b w:val="0"/>
          <w:noProof/>
          <w:kern w:val="0"/>
          <w:sz w:val="22"/>
          <w:szCs w:val="22"/>
        </w:rPr>
      </w:pPr>
      <w:r w:rsidRPr="00C1264C">
        <w:rPr>
          <w:noProof/>
        </w:rPr>
        <w:t>Part 2 —Importing, MSO products and stock holding</w:t>
      </w:r>
      <w:r w:rsidRPr="00C1264C">
        <w:rPr>
          <w:noProof/>
        </w:rPr>
        <w:tab/>
      </w:r>
      <w:r w:rsidRPr="00C1264C">
        <w:rPr>
          <w:noProof/>
        </w:rPr>
        <w:fldChar w:fldCharType="begin"/>
      </w:r>
      <w:r w:rsidRPr="00C1264C">
        <w:rPr>
          <w:noProof/>
        </w:rPr>
        <w:instrText xml:space="preserve"> PAGEREF _Toc117516965 \h </w:instrText>
      </w:r>
      <w:r w:rsidRPr="00C1264C">
        <w:rPr>
          <w:noProof/>
        </w:rPr>
      </w:r>
      <w:r w:rsidRPr="00C1264C">
        <w:rPr>
          <w:noProof/>
        </w:rPr>
        <w:fldChar w:fldCharType="separate"/>
      </w:r>
      <w:r w:rsidR="001E7A96" w:rsidRPr="00C1264C">
        <w:rPr>
          <w:noProof/>
        </w:rPr>
        <w:t>5</w:t>
      </w:r>
      <w:r w:rsidRPr="00C1264C">
        <w:rPr>
          <w:noProof/>
        </w:rPr>
        <w:fldChar w:fldCharType="end"/>
      </w:r>
    </w:p>
    <w:p w14:paraId="6152B28C" w14:textId="37DCB288" w:rsidR="00186962" w:rsidRPr="00C1264C" w:rsidRDefault="00186962">
      <w:pPr>
        <w:pStyle w:val="TOC5"/>
        <w:rPr>
          <w:rFonts w:asciiTheme="minorHAnsi" w:eastAsiaTheme="minorEastAsia" w:hAnsiTheme="minorHAnsi" w:cstheme="minorBidi"/>
          <w:noProof/>
          <w:kern w:val="0"/>
          <w:sz w:val="22"/>
          <w:szCs w:val="22"/>
        </w:rPr>
      </w:pPr>
      <w:r w:rsidRPr="00C1264C">
        <w:rPr>
          <w:noProof/>
        </w:rPr>
        <w:t>5  Importing</w:t>
      </w:r>
      <w:r w:rsidRPr="00C1264C">
        <w:rPr>
          <w:noProof/>
        </w:rPr>
        <w:tab/>
      </w:r>
      <w:r w:rsidRPr="00C1264C">
        <w:rPr>
          <w:noProof/>
        </w:rPr>
        <w:fldChar w:fldCharType="begin"/>
      </w:r>
      <w:r w:rsidRPr="00C1264C">
        <w:rPr>
          <w:noProof/>
        </w:rPr>
        <w:instrText xml:space="preserve"> PAGEREF _Toc117516966 \h </w:instrText>
      </w:r>
      <w:r w:rsidRPr="00C1264C">
        <w:rPr>
          <w:noProof/>
        </w:rPr>
      </w:r>
      <w:r w:rsidRPr="00C1264C">
        <w:rPr>
          <w:noProof/>
        </w:rPr>
        <w:fldChar w:fldCharType="separate"/>
      </w:r>
      <w:r w:rsidR="001E7A96" w:rsidRPr="00C1264C">
        <w:rPr>
          <w:noProof/>
        </w:rPr>
        <w:t>5</w:t>
      </w:r>
      <w:r w:rsidRPr="00C1264C">
        <w:rPr>
          <w:noProof/>
        </w:rPr>
        <w:fldChar w:fldCharType="end"/>
      </w:r>
    </w:p>
    <w:p w14:paraId="3C987E79" w14:textId="7EA2334C" w:rsidR="00186962" w:rsidRPr="00C1264C" w:rsidRDefault="00186962">
      <w:pPr>
        <w:pStyle w:val="TOC5"/>
        <w:rPr>
          <w:rFonts w:asciiTheme="minorHAnsi" w:eastAsiaTheme="minorEastAsia" w:hAnsiTheme="minorHAnsi" w:cstheme="minorBidi"/>
          <w:noProof/>
          <w:kern w:val="0"/>
          <w:sz w:val="22"/>
          <w:szCs w:val="22"/>
        </w:rPr>
      </w:pPr>
      <w:r w:rsidRPr="00C1264C">
        <w:rPr>
          <w:noProof/>
        </w:rPr>
        <w:t>6  MSO products</w:t>
      </w:r>
      <w:r w:rsidRPr="00C1264C">
        <w:rPr>
          <w:noProof/>
        </w:rPr>
        <w:tab/>
      </w:r>
      <w:r w:rsidRPr="00C1264C">
        <w:rPr>
          <w:noProof/>
        </w:rPr>
        <w:fldChar w:fldCharType="begin"/>
      </w:r>
      <w:r w:rsidRPr="00C1264C">
        <w:rPr>
          <w:noProof/>
        </w:rPr>
        <w:instrText xml:space="preserve"> PAGEREF _Toc117516967 \h </w:instrText>
      </w:r>
      <w:r w:rsidRPr="00C1264C">
        <w:rPr>
          <w:noProof/>
        </w:rPr>
      </w:r>
      <w:r w:rsidRPr="00C1264C">
        <w:rPr>
          <w:noProof/>
        </w:rPr>
        <w:fldChar w:fldCharType="separate"/>
      </w:r>
      <w:r w:rsidR="001E7A96" w:rsidRPr="00C1264C">
        <w:rPr>
          <w:noProof/>
        </w:rPr>
        <w:t>5</w:t>
      </w:r>
      <w:r w:rsidRPr="00C1264C">
        <w:rPr>
          <w:noProof/>
        </w:rPr>
        <w:fldChar w:fldCharType="end"/>
      </w:r>
    </w:p>
    <w:p w14:paraId="4138CB16" w14:textId="4A6D8E50" w:rsidR="00186962" w:rsidRPr="00C1264C" w:rsidRDefault="00186962">
      <w:pPr>
        <w:pStyle w:val="TOC5"/>
        <w:rPr>
          <w:rFonts w:asciiTheme="minorHAnsi" w:eastAsiaTheme="minorEastAsia" w:hAnsiTheme="minorHAnsi" w:cstheme="minorBidi"/>
          <w:noProof/>
          <w:kern w:val="0"/>
          <w:sz w:val="22"/>
          <w:szCs w:val="22"/>
        </w:rPr>
      </w:pPr>
      <w:r w:rsidRPr="00C1264C">
        <w:rPr>
          <w:noProof/>
        </w:rPr>
        <w:t>7  Pipeline stocks</w:t>
      </w:r>
      <w:r w:rsidRPr="00C1264C">
        <w:rPr>
          <w:noProof/>
        </w:rPr>
        <w:tab/>
      </w:r>
      <w:r w:rsidRPr="00C1264C">
        <w:rPr>
          <w:noProof/>
        </w:rPr>
        <w:fldChar w:fldCharType="begin"/>
      </w:r>
      <w:r w:rsidRPr="00C1264C">
        <w:rPr>
          <w:noProof/>
        </w:rPr>
        <w:instrText xml:space="preserve"> PAGEREF _Toc117516968 \h </w:instrText>
      </w:r>
      <w:r w:rsidRPr="00C1264C">
        <w:rPr>
          <w:noProof/>
        </w:rPr>
      </w:r>
      <w:r w:rsidRPr="00C1264C">
        <w:rPr>
          <w:noProof/>
        </w:rPr>
        <w:fldChar w:fldCharType="separate"/>
      </w:r>
      <w:r w:rsidR="001E7A96" w:rsidRPr="00C1264C">
        <w:rPr>
          <w:noProof/>
        </w:rPr>
        <w:t>5</w:t>
      </w:r>
      <w:r w:rsidRPr="00C1264C">
        <w:rPr>
          <w:noProof/>
        </w:rPr>
        <w:fldChar w:fldCharType="end"/>
      </w:r>
    </w:p>
    <w:p w14:paraId="3AD3F0BF" w14:textId="64B46408" w:rsidR="00186962" w:rsidRPr="00C1264C" w:rsidRDefault="00186962">
      <w:pPr>
        <w:pStyle w:val="TOC5"/>
        <w:rPr>
          <w:rFonts w:asciiTheme="minorHAnsi" w:eastAsiaTheme="minorEastAsia" w:hAnsiTheme="minorHAnsi" w:cstheme="minorBidi"/>
          <w:noProof/>
          <w:kern w:val="0"/>
          <w:sz w:val="22"/>
          <w:szCs w:val="22"/>
        </w:rPr>
      </w:pPr>
      <w:r w:rsidRPr="00C1264C">
        <w:rPr>
          <w:noProof/>
        </w:rPr>
        <w:t>8  Excluded stocks</w:t>
      </w:r>
      <w:r w:rsidRPr="00C1264C">
        <w:rPr>
          <w:noProof/>
        </w:rPr>
        <w:tab/>
      </w:r>
      <w:r w:rsidRPr="00C1264C">
        <w:rPr>
          <w:noProof/>
        </w:rPr>
        <w:fldChar w:fldCharType="begin"/>
      </w:r>
      <w:r w:rsidRPr="00C1264C">
        <w:rPr>
          <w:noProof/>
        </w:rPr>
        <w:instrText xml:space="preserve"> PAGEREF _Toc117516969 \h </w:instrText>
      </w:r>
      <w:r w:rsidRPr="00C1264C">
        <w:rPr>
          <w:noProof/>
        </w:rPr>
      </w:r>
      <w:r w:rsidRPr="00C1264C">
        <w:rPr>
          <w:noProof/>
        </w:rPr>
        <w:fldChar w:fldCharType="separate"/>
      </w:r>
      <w:r w:rsidR="001E7A96" w:rsidRPr="00C1264C">
        <w:rPr>
          <w:noProof/>
        </w:rPr>
        <w:t>5</w:t>
      </w:r>
      <w:r w:rsidRPr="00C1264C">
        <w:rPr>
          <w:noProof/>
        </w:rPr>
        <w:fldChar w:fldCharType="end"/>
      </w:r>
    </w:p>
    <w:p w14:paraId="6FC79C7C" w14:textId="622E9DCA" w:rsidR="00186962" w:rsidRPr="00C1264C" w:rsidRDefault="00186962">
      <w:pPr>
        <w:pStyle w:val="TOC5"/>
        <w:rPr>
          <w:rFonts w:asciiTheme="minorHAnsi" w:eastAsiaTheme="minorEastAsia" w:hAnsiTheme="minorHAnsi" w:cstheme="minorBidi"/>
          <w:noProof/>
          <w:kern w:val="0"/>
          <w:sz w:val="22"/>
          <w:szCs w:val="22"/>
        </w:rPr>
      </w:pPr>
      <w:r w:rsidRPr="00C1264C">
        <w:rPr>
          <w:noProof/>
        </w:rPr>
        <w:t>9  Stocks within exclusive economic zone boundary</w:t>
      </w:r>
      <w:r w:rsidRPr="00C1264C">
        <w:rPr>
          <w:noProof/>
        </w:rPr>
        <w:tab/>
      </w:r>
      <w:r w:rsidRPr="00C1264C">
        <w:rPr>
          <w:noProof/>
        </w:rPr>
        <w:fldChar w:fldCharType="begin"/>
      </w:r>
      <w:r w:rsidRPr="00C1264C">
        <w:rPr>
          <w:noProof/>
        </w:rPr>
        <w:instrText xml:space="preserve"> PAGEREF _Toc117516970 \h </w:instrText>
      </w:r>
      <w:r w:rsidRPr="00C1264C">
        <w:rPr>
          <w:noProof/>
        </w:rPr>
      </w:r>
      <w:r w:rsidRPr="00C1264C">
        <w:rPr>
          <w:noProof/>
        </w:rPr>
        <w:fldChar w:fldCharType="separate"/>
      </w:r>
      <w:r w:rsidR="001E7A96" w:rsidRPr="00C1264C">
        <w:rPr>
          <w:noProof/>
        </w:rPr>
        <w:t>6</w:t>
      </w:r>
      <w:r w:rsidRPr="00C1264C">
        <w:rPr>
          <w:noProof/>
        </w:rPr>
        <w:fldChar w:fldCharType="end"/>
      </w:r>
    </w:p>
    <w:p w14:paraId="57CB3DBA" w14:textId="03C4E56B" w:rsidR="00186962" w:rsidRPr="00C1264C" w:rsidRDefault="00186962">
      <w:pPr>
        <w:pStyle w:val="TOC5"/>
        <w:rPr>
          <w:rFonts w:asciiTheme="minorHAnsi" w:eastAsiaTheme="minorEastAsia" w:hAnsiTheme="minorHAnsi" w:cstheme="minorBidi"/>
          <w:noProof/>
          <w:kern w:val="0"/>
          <w:sz w:val="22"/>
          <w:szCs w:val="22"/>
        </w:rPr>
      </w:pPr>
      <w:r w:rsidRPr="00C1264C">
        <w:rPr>
          <w:noProof/>
        </w:rPr>
        <w:t>10  Jointly owned stocks</w:t>
      </w:r>
      <w:r w:rsidRPr="00C1264C">
        <w:rPr>
          <w:noProof/>
        </w:rPr>
        <w:tab/>
      </w:r>
      <w:r w:rsidRPr="00C1264C">
        <w:rPr>
          <w:noProof/>
        </w:rPr>
        <w:fldChar w:fldCharType="begin"/>
      </w:r>
      <w:r w:rsidRPr="00C1264C">
        <w:rPr>
          <w:noProof/>
        </w:rPr>
        <w:instrText xml:space="preserve"> PAGEREF _Toc117516971 \h </w:instrText>
      </w:r>
      <w:r w:rsidRPr="00C1264C">
        <w:rPr>
          <w:noProof/>
        </w:rPr>
      </w:r>
      <w:r w:rsidRPr="00C1264C">
        <w:rPr>
          <w:noProof/>
        </w:rPr>
        <w:fldChar w:fldCharType="separate"/>
      </w:r>
      <w:r w:rsidR="001E7A96" w:rsidRPr="00C1264C">
        <w:rPr>
          <w:noProof/>
        </w:rPr>
        <w:t>6</w:t>
      </w:r>
      <w:r w:rsidRPr="00C1264C">
        <w:rPr>
          <w:noProof/>
        </w:rPr>
        <w:fldChar w:fldCharType="end"/>
      </w:r>
    </w:p>
    <w:p w14:paraId="2B0BEC00" w14:textId="653B0B17" w:rsidR="00186962" w:rsidRPr="00C1264C" w:rsidRDefault="00186962">
      <w:pPr>
        <w:pStyle w:val="TOC5"/>
        <w:rPr>
          <w:rFonts w:asciiTheme="minorHAnsi" w:eastAsiaTheme="minorEastAsia" w:hAnsiTheme="minorHAnsi" w:cstheme="minorBidi"/>
          <w:noProof/>
          <w:kern w:val="0"/>
          <w:sz w:val="22"/>
          <w:szCs w:val="22"/>
        </w:rPr>
      </w:pPr>
      <w:r w:rsidRPr="00C1264C">
        <w:rPr>
          <w:noProof/>
        </w:rPr>
        <w:t>11  Entity entitled to take ownership of stocks</w:t>
      </w:r>
      <w:r w:rsidRPr="00C1264C">
        <w:rPr>
          <w:noProof/>
        </w:rPr>
        <w:tab/>
      </w:r>
      <w:r w:rsidRPr="00C1264C">
        <w:rPr>
          <w:noProof/>
        </w:rPr>
        <w:fldChar w:fldCharType="begin"/>
      </w:r>
      <w:r w:rsidRPr="00C1264C">
        <w:rPr>
          <w:noProof/>
        </w:rPr>
        <w:instrText xml:space="preserve"> PAGEREF _Toc117516972 \h </w:instrText>
      </w:r>
      <w:r w:rsidRPr="00C1264C">
        <w:rPr>
          <w:noProof/>
        </w:rPr>
      </w:r>
      <w:r w:rsidRPr="00C1264C">
        <w:rPr>
          <w:noProof/>
        </w:rPr>
        <w:fldChar w:fldCharType="separate"/>
      </w:r>
      <w:r w:rsidR="001E7A96" w:rsidRPr="00C1264C">
        <w:rPr>
          <w:noProof/>
        </w:rPr>
        <w:t>6</w:t>
      </w:r>
      <w:r w:rsidRPr="00C1264C">
        <w:rPr>
          <w:noProof/>
        </w:rPr>
        <w:fldChar w:fldCharType="end"/>
      </w:r>
    </w:p>
    <w:p w14:paraId="03699744" w14:textId="24DEF686" w:rsidR="00186962" w:rsidRPr="00C1264C" w:rsidRDefault="00186962">
      <w:pPr>
        <w:pStyle w:val="TOC5"/>
        <w:rPr>
          <w:rFonts w:asciiTheme="minorHAnsi" w:eastAsiaTheme="minorEastAsia" w:hAnsiTheme="minorHAnsi" w:cstheme="minorBidi"/>
          <w:noProof/>
          <w:kern w:val="0"/>
          <w:sz w:val="22"/>
          <w:szCs w:val="22"/>
        </w:rPr>
      </w:pPr>
      <w:r w:rsidRPr="00C1264C">
        <w:rPr>
          <w:noProof/>
        </w:rPr>
        <w:t>12  Reserved stocks</w:t>
      </w:r>
      <w:r w:rsidRPr="00C1264C">
        <w:rPr>
          <w:noProof/>
        </w:rPr>
        <w:tab/>
      </w:r>
      <w:r w:rsidRPr="00C1264C">
        <w:rPr>
          <w:noProof/>
        </w:rPr>
        <w:fldChar w:fldCharType="begin"/>
      </w:r>
      <w:r w:rsidRPr="00C1264C">
        <w:rPr>
          <w:noProof/>
        </w:rPr>
        <w:instrText xml:space="preserve"> PAGEREF _Toc117516973 \h </w:instrText>
      </w:r>
      <w:r w:rsidRPr="00C1264C">
        <w:rPr>
          <w:noProof/>
        </w:rPr>
      </w:r>
      <w:r w:rsidRPr="00C1264C">
        <w:rPr>
          <w:noProof/>
        </w:rPr>
        <w:fldChar w:fldCharType="separate"/>
      </w:r>
      <w:r w:rsidR="001E7A96" w:rsidRPr="00C1264C">
        <w:rPr>
          <w:noProof/>
        </w:rPr>
        <w:t>6</w:t>
      </w:r>
      <w:r w:rsidRPr="00C1264C">
        <w:rPr>
          <w:noProof/>
        </w:rPr>
        <w:fldChar w:fldCharType="end"/>
      </w:r>
    </w:p>
    <w:p w14:paraId="04DCC853" w14:textId="70E7A9B2" w:rsidR="00186962" w:rsidRPr="00C1264C" w:rsidRDefault="00186962">
      <w:pPr>
        <w:pStyle w:val="TOC5"/>
        <w:rPr>
          <w:rFonts w:asciiTheme="minorHAnsi" w:eastAsiaTheme="minorEastAsia" w:hAnsiTheme="minorHAnsi" w:cstheme="minorBidi"/>
          <w:noProof/>
          <w:kern w:val="0"/>
          <w:sz w:val="22"/>
          <w:szCs w:val="22"/>
        </w:rPr>
      </w:pPr>
      <w:r w:rsidRPr="00C1264C">
        <w:rPr>
          <w:noProof/>
        </w:rPr>
        <w:t>13  Refinery feedstocks—crude oil</w:t>
      </w:r>
      <w:r w:rsidRPr="00C1264C">
        <w:rPr>
          <w:noProof/>
        </w:rPr>
        <w:tab/>
      </w:r>
      <w:r w:rsidRPr="00C1264C">
        <w:rPr>
          <w:noProof/>
        </w:rPr>
        <w:fldChar w:fldCharType="begin"/>
      </w:r>
      <w:r w:rsidRPr="00C1264C">
        <w:rPr>
          <w:noProof/>
        </w:rPr>
        <w:instrText xml:space="preserve"> PAGEREF _Toc117516974 \h </w:instrText>
      </w:r>
      <w:r w:rsidRPr="00C1264C">
        <w:rPr>
          <w:noProof/>
        </w:rPr>
      </w:r>
      <w:r w:rsidRPr="00C1264C">
        <w:rPr>
          <w:noProof/>
        </w:rPr>
        <w:fldChar w:fldCharType="separate"/>
      </w:r>
      <w:r w:rsidR="001E7A96" w:rsidRPr="00C1264C">
        <w:rPr>
          <w:noProof/>
        </w:rPr>
        <w:t>6</w:t>
      </w:r>
      <w:r w:rsidRPr="00C1264C">
        <w:rPr>
          <w:noProof/>
        </w:rPr>
        <w:fldChar w:fldCharType="end"/>
      </w:r>
    </w:p>
    <w:p w14:paraId="24FDC99B" w14:textId="1D306CC8" w:rsidR="00186962" w:rsidRPr="00C1264C" w:rsidRDefault="00186962">
      <w:pPr>
        <w:pStyle w:val="TOC5"/>
        <w:rPr>
          <w:rFonts w:asciiTheme="minorHAnsi" w:eastAsiaTheme="minorEastAsia" w:hAnsiTheme="minorHAnsi" w:cstheme="minorBidi"/>
          <w:noProof/>
          <w:kern w:val="0"/>
          <w:sz w:val="22"/>
          <w:szCs w:val="22"/>
        </w:rPr>
      </w:pPr>
      <w:r w:rsidRPr="00C1264C">
        <w:rPr>
          <w:noProof/>
        </w:rPr>
        <w:t>14  Refinery feedstocks—unfinished refinery product</w:t>
      </w:r>
      <w:r w:rsidRPr="00C1264C">
        <w:rPr>
          <w:noProof/>
        </w:rPr>
        <w:tab/>
      </w:r>
      <w:r w:rsidRPr="00C1264C">
        <w:rPr>
          <w:noProof/>
        </w:rPr>
        <w:fldChar w:fldCharType="begin"/>
      </w:r>
      <w:r w:rsidRPr="00C1264C">
        <w:rPr>
          <w:noProof/>
        </w:rPr>
        <w:instrText xml:space="preserve"> PAGEREF _Toc117516975 \h </w:instrText>
      </w:r>
      <w:r w:rsidRPr="00C1264C">
        <w:rPr>
          <w:noProof/>
        </w:rPr>
      </w:r>
      <w:r w:rsidRPr="00C1264C">
        <w:rPr>
          <w:noProof/>
        </w:rPr>
        <w:fldChar w:fldCharType="separate"/>
      </w:r>
      <w:r w:rsidR="001E7A96" w:rsidRPr="00C1264C">
        <w:rPr>
          <w:noProof/>
        </w:rPr>
        <w:t>6</w:t>
      </w:r>
      <w:r w:rsidRPr="00C1264C">
        <w:rPr>
          <w:noProof/>
        </w:rPr>
        <w:fldChar w:fldCharType="end"/>
      </w:r>
    </w:p>
    <w:p w14:paraId="372C14A7" w14:textId="10FD44F3" w:rsidR="00186962" w:rsidRPr="00C1264C" w:rsidRDefault="00186962">
      <w:pPr>
        <w:pStyle w:val="TOC2"/>
        <w:rPr>
          <w:rFonts w:asciiTheme="minorHAnsi" w:eastAsiaTheme="minorEastAsia" w:hAnsiTheme="minorHAnsi" w:cstheme="minorBidi"/>
          <w:b w:val="0"/>
          <w:noProof/>
          <w:kern w:val="0"/>
          <w:sz w:val="22"/>
          <w:szCs w:val="22"/>
        </w:rPr>
      </w:pPr>
      <w:r w:rsidRPr="00C1264C">
        <w:rPr>
          <w:noProof/>
        </w:rPr>
        <w:t>Part 3 —Application of MSO</w:t>
      </w:r>
      <w:r w:rsidRPr="00C1264C">
        <w:rPr>
          <w:noProof/>
        </w:rPr>
        <w:tab/>
      </w:r>
      <w:r w:rsidRPr="00C1264C">
        <w:rPr>
          <w:noProof/>
        </w:rPr>
        <w:fldChar w:fldCharType="begin"/>
      </w:r>
      <w:r w:rsidRPr="00C1264C">
        <w:rPr>
          <w:noProof/>
        </w:rPr>
        <w:instrText xml:space="preserve"> PAGEREF _Toc117516976 \h </w:instrText>
      </w:r>
      <w:r w:rsidRPr="00C1264C">
        <w:rPr>
          <w:noProof/>
        </w:rPr>
      </w:r>
      <w:r w:rsidRPr="00C1264C">
        <w:rPr>
          <w:noProof/>
        </w:rPr>
        <w:fldChar w:fldCharType="separate"/>
      </w:r>
      <w:r w:rsidR="001E7A96" w:rsidRPr="00C1264C">
        <w:rPr>
          <w:noProof/>
        </w:rPr>
        <w:t>8</w:t>
      </w:r>
      <w:r w:rsidRPr="00C1264C">
        <w:rPr>
          <w:noProof/>
        </w:rPr>
        <w:fldChar w:fldCharType="end"/>
      </w:r>
    </w:p>
    <w:p w14:paraId="3121203D" w14:textId="531BB945" w:rsidR="00186962" w:rsidRPr="00C1264C" w:rsidRDefault="00186962">
      <w:pPr>
        <w:pStyle w:val="TOC5"/>
        <w:rPr>
          <w:rFonts w:asciiTheme="minorHAnsi" w:eastAsiaTheme="minorEastAsia" w:hAnsiTheme="minorHAnsi" w:cstheme="minorBidi"/>
          <w:noProof/>
          <w:kern w:val="0"/>
          <w:sz w:val="22"/>
          <w:szCs w:val="22"/>
        </w:rPr>
      </w:pPr>
      <w:r w:rsidRPr="00C1264C">
        <w:rPr>
          <w:noProof/>
        </w:rPr>
        <w:t>15  Obligation days</w:t>
      </w:r>
      <w:r w:rsidRPr="00C1264C">
        <w:rPr>
          <w:noProof/>
        </w:rPr>
        <w:tab/>
      </w:r>
      <w:r w:rsidRPr="00C1264C">
        <w:rPr>
          <w:noProof/>
        </w:rPr>
        <w:fldChar w:fldCharType="begin"/>
      </w:r>
      <w:r w:rsidRPr="00C1264C">
        <w:rPr>
          <w:noProof/>
        </w:rPr>
        <w:instrText xml:space="preserve"> PAGEREF _Toc117516977 \h </w:instrText>
      </w:r>
      <w:r w:rsidRPr="00C1264C">
        <w:rPr>
          <w:noProof/>
        </w:rPr>
      </w:r>
      <w:r w:rsidRPr="00C1264C">
        <w:rPr>
          <w:noProof/>
        </w:rPr>
        <w:fldChar w:fldCharType="separate"/>
      </w:r>
      <w:r w:rsidR="001E7A96" w:rsidRPr="00C1264C">
        <w:rPr>
          <w:noProof/>
        </w:rPr>
        <w:t>8</w:t>
      </w:r>
      <w:r w:rsidRPr="00C1264C">
        <w:rPr>
          <w:noProof/>
        </w:rPr>
        <w:fldChar w:fldCharType="end"/>
      </w:r>
    </w:p>
    <w:p w14:paraId="5EDE8845" w14:textId="233205A9" w:rsidR="00186962" w:rsidRPr="00C1264C" w:rsidRDefault="00186962">
      <w:pPr>
        <w:pStyle w:val="TOC5"/>
        <w:rPr>
          <w:rFonts w:asciiTheme="minorHAnsi" w:eastAsiaTheme="minorEastAsia" w:hAnsiTheme="minorHAnsi" w:cstheme="minorBidi"/>
          <w:noProof/>
          <w:kern w:val="0"/>
          <w:sz w:val="22"/>
          <w:szCs w:val="22"/>
        </w:rPr>
      </w:pPr>
      <w:r w:rsidRPr="00C1264C">
        <w:rPr>
          <w:noProof/>
        </w:rPr>
        <w:t>16  Trigger assessment period</w:t>
      </w:r>
      <w:r w:rsidRPr="00C1264C">
        <w:rPr>
          <w:noProof/>
        </w:rPr>
        <w:tab/>
      </w:r>
      <w:r w:rsidRPr="00C1264C">
        <w:rPr>
          <w:noProof/>
        </w:rPr>
        <w:fldChar w:fldCharType="begin"/>
      </w:r>
      <w:r w:rsidRPr="00C1264C">
        <w:rPr>
          <w:noProof/>
        </w:rPr>
        <w:instrText xml:space="preserve"> PAGEREF _Toc117516978 \h </w:instrText>
      </w:r>
      <w:r w:rsidRPr="00C1264C">
        <w:rPr>
          <w:noProof/>
        </w:rPr>
      </w:r>
      <w:r w:rsidRPr="00C1264C">
        <w:rPr>
          <w:noProof/>
        </w:rPr>
        <w:fldChar w:fldCharType="separate"/>
      </w:r>
      <w:r w:rsidR="001E7A96" w:rsidRPr="00C1264C">
        <w:rPr>
          <w:noProof/>
        </w:rPr>
        <w:t>8</w:t>
      </w:r>
      <w:r w:rsidRPr="00C1264C">
        <w:rPr>
          <w:noProof/>
        </w:rPr>
        <w:fldChar w:fldCharType="end"/>
      </w:r>
    </w:p>
    <w:p w14:paraId="1A1E9D2E" w14:textId="6D1A9B28" w:rsidR="00186962" w:rsidRPr="00C1264C" w:rsidRDefault="00186962">
      <w:pPr>
        <w:pStyle w:val="TOC5"/>
        <w:rPr>
          <w:rFonts w:asciiTheme="minorHAnsi" w:eastAsiaTheme="minorEastAsia" w:hAnsiTheme="minorHAnsi" w:cstheme="minorBidi"/>
          <w:noProof/>
          <w:kern w:val="0"/>
          <w:sz w:val="22"/>
          <w:szCs w:val="22"/>
        </w:rPr>
      </w:pPr>
      <w:r w:rsidRPr="00C1264C">
        <w:rPr>
          <w:noProof/>
        </w:rPr>
        <w:t>17  Thresholds to trigger MSO</w:t>
      </w:r>
      <w:r w:rsidRPr="00C1264C">
        <w:rPr>
          <w:noProof/>
        </w:rPr>
        <w:tab/>
      </w:r>
      <w:r w:rsidRPr="00C1264C">
        <w:rPr>
          <w:noProof/>
        </w:rPr>
        <w:fldChar w:fldCharType="begin"/>
      </w:r>
      <w:r w:rsidRPr="00C1264C">
        <w:rPr>
          <w:noProof/>
        </w:rPr>
        <w:instrText xml:space="preserve"> PAGEREF _Toc117516979 \h </w:instrText>
      </w:r>
      <w:r w:rsidRPr="00C1264C">
        <w:rPr>
          <w:noProof/>
        </w:rPr>
      </w:r>
      <w:r w:rsidRPr="00C1264C">
        <w:rPr>
          <w:noProof/>
        </w:rPr>
        <w:fldChar w:fldCharType="separate"/>
      </w:r>
      <w:r w:rsidR="001E7A96" w:rsidRPr="00C1264C">
        <w:rPr>
          <w:noProof/>
        </w:rPr>
        <w:t>8</w:t>
      </w:r>
      <w:r w:rsidRPr="00C1264C">
        <w:rPr>
          <w:noProof/>
        </w:rPr>
        <w:fldChar w:fldCharType="end"/>
      </w:r>
    </w:p>
    <w:p w14:paraId="2380A695" w14:textId="347249ED" w:rsidR="00186962" w:rsidRPr="00C1264C" w:rsidRDefault="00186962">
      <w:pPr>
        <w:pStyle w:val="TOC5"/>
        <w:rPr>
          <w:rFonts w:asciiTheme="minorHAnsi" w:eastAsiaTheme="minorEastAsia" w:hAnsiTheme="minorHAnsi" w:cstheme="minorBidi"/>
          <w:noProof/>
          <w:kern w:val="0"/>
          <w:sz w:val="22"/>
          <w:szCs w:val="22"/>
        </w:rPr>
      </w:pPr>
      <w:r w:rsidRPr="00C1264C">
        <w:rPr>
          <w:noProof/>
        </w:rPr>
        <w:t>18  Notice window and advice window</w:t>
      </w:r>
      <w:r w:rsidRPr="00C1264C">
        <w:rPr>
          <w:noProof/>
        </w:rPr>
        <w:tab/>
      </w:r>
      <w:r w:rsidRPr="00C1264C">
        <w:rPr>
          <w:noProof/>
        </w:rPr>
        <w:fldChar w:fldCharType="begin"/>
      </w:r>
      <w:r w:rsidRPr="00C1264C">
        <w:rPr>
          <w:noProof/>
        </w:rPr>
        <w:instrText xml:space="preserve"> PAGEREF _Toc117516980 \h </w:instrText>
      </w:r>
      <w:r w:rsidRPr="00C1264C">
        <w:rPr>
          <w:noProof/>
        </w:rPr>
      </w:r>
      <w:r w:rsidRPr="00C1264C">
        <w:rPr>
          <w:noProof/>
        </w:rPr>
        <w:fldChar w:fldCharType="separate"/>
      </w:r>
      <w:r w:rsidR="001E7A96" w:rsidRPr="00C1264C">
        <w:rPr>
          <w:noProof/>
        </w:rPr>
        <w:t>8</w:t>
      </w:r>
      <w:r w:rsidRPr="00C1264C">
        <w:rPr>
          <w:noProof/>
        </w:rPr>
        <w:fldChar w:fldCharType="end"/>
      </w:r>
    </w:p>
    <w:p w14:paraId="198376CD" w14:textId="1561AE15" w:rsidR="00186962" w:rsidRPr="00C1264C" w:rsidRDefault="00186962">
      <w:pPr>
        <w:pStyle w:val="TOC5"/>
        <w:rPr>
          <w:rFonts w:asciiTheme="minorHAnsi" w:eastAsiaTheme="minorEastAsia" w:hAnsiTheme="minorHAnsi" w:cstheme="minorBidi"/>
          <w:noProof/>
          <w:kern w:val="0"/>
          <w:sz w:val="22"/>
          <w:szCs w:val="22"/>
        </w:rPr>
      </w:pPr>
      <w:r w:rsidRPr="00C1264C">
        <w:rPr>
          <w:noProof/>
        </w:rPr>
        <w:t>19  Notices to Australian controlling corporation</w:t>
      </w:r>
      <w:r w:rsidRPr="00C1264C">
        <w:rPr>
          <w:noProof/>
        </w:rPr>
        <w:tab/>
      </w:r>
      <w:r w:rsidRPr="00C1264C">
        <w:rPr>
          <w:noProof/>
        </w:rPr>
        <w:fldChar w:fldCharType="begin"/>
      </w:r>
      <w:r w:rsidRPr="00C1264C">
        <w:rPr>
          <w:noProof/>
        </w:rPr>
        <w:instrText xml:space="preserve"> PAGEREF _Toc117516981 \h </w:instrText>
      </w:r>
      <w:r w:rsidRPr="00C1264C">
        <w:rPr>
          <w:noProof/>
        </w:rPr>
      </w:r>
      <w:r w:rsidRPr="00C1264C">
        <w:rPr>
          <w:noProof/>
        </w:rPr>
        <w:fldChar w:fldCharType="separate"/>
      </w:r>
      <w:r w:rsidR="001E7A96" w:rsidRPr="00C1264C">
        <w:rPr>
          <w:noProof/>
        </w:rPr>
        <w:t>9</w:t>
      </w:r>
      <w:r w:rsidRPr="00C1264C">
        <w:rPr>
          <w:noProof/>
        </w:rPr>
        <w:fldChar w:fldCharType="end"/>
      </w:r>
    </w:p>
    <w:p w14:paraId="637153B0" w14:textId="5F602761" w:rsidR="00186962" w:rsidRPr="00C1264C" w:rsidRDefault="00186962">
      <w:pPr>
        <w:pStyle w:val="TOC2"/>
        <w:rPr>
          <w:rFonts w:asciiTheme="minorHAnsi" w:eastAsiaTheme="minorEastAsia" w:hAnsiTheme="minorHAnsi" w:cstheme="minorBidi"/>
          <w:b w:val="0"/>
          <w:noProof/>
          <w:kern w:val="0"/>
          <w:sz w:val="22"/>
          <w:szCs w:val="22"/>
        </w:rPr>
      </w:pPr>
      <w:r w:rsidRPr="00C1264C">
        <w:rPr>
          <w:noProof/>
        </w:rPr>
        <w:t>Part 4 —Designated quantity</w:t>
      </w:r>
      <w:r w:rsidRPr="00C1264C">
        <w:rPr>
          <w:noProof/>
        </w:rPr>
        <w:tab/>
      </w:r>
      <w:r w:rsidRPr="00C1264C">
        <w:rPr>
          <w:noProof/>
        </w:rPr>
        <w:fldChar w:fldCharType="begin"/>
      </w:r>
      <w:r w:rsidRPr="00C1264C">
        <w:rPr>
          <w:noProof/>
        </w:rPr>
        <w:instrText xml:space="preserve"> PAGEREF _Toc117516982 \h </w:instrText>
      </w:r>
      <w:r w:rsidRPr="00C1264C">
        <w:rPr>
          <w:noProof/>
        </w:rPr>
      </w:r>
      <w:r w:rsidRPr="00C1264C">
        <w:rPr>
          <w:noProof/>
        </w:rPr>
        <w:fldChar w:fldCharType="separate"/>
      </w:r>
      <w:r w:rsidR="001E7A96" w:rsidRPr="00C1264C">
        <w:rPr>
          <w:noProof/>
        </w:rPr>
        <w:t>10</w:t>
      </w:r>
      <w:r w:rsidRPr="00C1264C">
        <w:rPr>
          <w:noProof/>
        </w:rPr>
        <w:fldChar w:fldCharType="end"/>
      </w:r>
    </w:p>
    <w:p w14:paraId="0DA47024" w14:textId="06D3A695" w:rsidR="00186962" w:rsidRPr="00C1264C" w:rsidRDefault="00186962">
      <w:pPr>
        <w:pStyle w:val="TOC5"/>
        <w:rPr>
          <w:rFonts w:asciiTheme="minorHAnsi" w:eastAsiaTheme="minorEastAsia" w:hAnsiTheme="minorHAnsi" w:cstheme="minorBidi"/>
          <w:noProof/>
          <w:kern w:val="0"/>
          <w:sz w:val="22"/>
          <w:szCs w:val="22"/>
        </w:rPr>
      </w:pPr>
      <w:r w:rsidRPr="00C1264C">
        <w:rPr>
          <w:noProof/>
        </w:rPr>
        <w:t>20  Designated quantity to be specified</w:t>
      </w:r>
      <w:r w:rsidRPr="00C1264C">
        <w:rPr>
          <w:noProof/>
        </w:rPr>
        <w:tab/>
      </w:r>
      <w:r w:rsidRPr="00C1264C">
        <w:rPr>
          <w:noProof/>
        </w:rPr>
        <w:fldChar w:fldCharType="begin"/>
      </w:r>
      <w:r w:rsidRPr="00C1264C">
        <w:rPr>
          <w:noProof/>
        </w:rPr>
        <w:instrText xml:space="preserve"> PAGEREF _Toc117516983 \h </w:instrText>
      </w:r>
      <w:r w:rsidRPr="00C1264C">
        <w:rPr>
          <w:noProof/>
        </w:rPr>
      </w:r>
      <w:r w:rsidRPr="00C1264C">
        <w:rPr>
          <w:noProof/>
        </w:rPr>
        <w:fldChar w:fldCharType="separate"/>
      </w:r>
      <w:r w:rsidR="001E7A96" w:rsidRPr="00C1264C">
        <w:rPr>
          <w:noProof/>
        </w:rPr>
        <w:t>10</w:t>
      </w:r>
      <w:r w:rsidRPr="00C1264C">
        <w:rPr>
          <w:noProof/>
        </w:rPr>
        <w:fldChar w:fldCharType="end"/>
      </w:r>
    </w:p>
    <w:p w14:paraId="786EC973" w14:textId="00AA5CA7" w:rsidR="00186962" w:rsidRPr="00C1264C" w:rsidRDefault="00186962">
      <w:pPr>
        <w:pStyle w:val="TOC5"/>
        <w:rPr>
          <w:rFonts w:asciiTheme="minorHAnsi" w:eastAsiaTheme="minorEastAsia" w:hAnsiTheme="minorHAnsi" w:cstheme="minorBidi"/>
          <w:noProof/>
          <w:kern w:val="0"/>
          <w:sz w:val="22"/>
          <w:szCs w:val="22"/>
        </w:rPr>
      </w:pPr>
      <w:r w:rsidRPr="00C1264C">
        <w:rPr>
          <w:noProof/>
        </w:rPr>
        <w:t>21  Designated quantity—general</w:t>
      </w:r>
      <w:r w:rsidRPr="00C1264C">
        <w:rPr>
          <w:noProof/>
        </w:rPr>
        <w:tab/>
      </w:r>
      <w:r w:rsidRPr="00C1264C">
        <w:rPr>
          <w:noProof/>
        </w:rPr>
        <w:fldChar w:fldCharType="begin"/>
      </w:r>
      <w:r w:rsidRPr="00C1264C">
        <w:rPr>
          <w:noProof/>
        </w:rPr>
        <w:instrText xml:space="preserve"> PAGEREF _Toc117516984 \h </w:instrText>
      </w:r>
      <w:r w:rsidRPr="00C1264C">
        <w:rPr>
          <w:noProof/>
        </w:rPr>
      </w:r>
      <w:r w:rsidRPr="00C1264C">
        <w:rPr>
          <w:noProof/>
        </w:rPr>
        <w:fldChar w:fldCharType="separate"/>
      </w:r>
      <w:r w:rsidR="001E7A96" w:rsidRPr="00C1264C">
        <w:rPr>
          <w:noProof/>
        </w:rPr>
        <w:t>10</w:t>
      </w:r>
      <w:r w:rsidRPr="00C1264C">
        <w:rPr>
          <w:noProof/>
        </w:rPr>
        <w:fldChar w:fldCharType="end"/>
      </w:r>
    </w:p>
    <w:p w14:paraId="4D333FB5" w14:textId="22B120D3" w:rsidR="00186962" w:rsidRPr="00C1264C" w:rsidRDefault="00186962">
      <w:pPr>
        <w:pStyle w:val="TOC5"/>
        <w:rPr>
          <w:rFonts w:asciiTheme="minorHAnsi" w:eastAsiaTheme="minorEastAsia" w:hAnsiTheme="minorHAnsi" w:cstheme="minorBidi"/>
          <w:noProof/>
          <w:kern w:val="0"/>
          <w:sz w:val="22"/>
          <w:szCs w:val="22"/>
        </w:rPr>
      </w:pPr>
      <w:r w:rsidRPr="00C1264C">
        <w:rPr>
          <w:noProof/>
        </w:rPr>
        <w:t>22   Designated quantity—circumstances impacting MSO entity during trigger assessment period</w:t>
      </w:r>
      <w:r w:rsidRPr="00C1264C">
        <w:rPr>
          <w:noProof/>
        </w:rPr>
        <w:tab/>
      </w:r>
      <w:r w:rsidRPr="00C1264C">
        <w:rPr>
          <w:noProof/>
        </w:rPr>
        <w:fldChar w:fldCharType="begin"/>
      </w:r>
      <w:r w:rsidRPr="00C1264C">
        <w:rPr>
          <w:noProof/>
        </w:rPr>
        <w:instrText xml:space="preserve"> PAGEREF _Toc117516985 \h </w:instrText>
      </w:r>
      <w:r w:rsidRPr="00C1264C">
        <w:rPr>
          <w:noProof/>
        </w:rPr>
      </w:r>
      <w:r w:rsidRPr="00C1264C">
        <w:rPr>
          <w:noProof/>
        </w:rPr>
        <w:fldChar w:fldCharType="separate"/>
      </w:r>
      <w:r w:rsidR="001E7A96" w:rsidRPr="00C1264C">
        <w:rPr>
          <w:noProof/>
        </w:rPr>
        <w:t>11</w:t>
      </w:r>
      <w:r w:rsidRPr="00C1264C">
        <w:rPr>
          <w:noProof/>
        </w:rPr>
        <w:fldChar w:fldCharType="end"/>
      </w:r>
    </w:p>
    <w:p w14:paraId="421FD134" w14:textId="0045144D" w:rsidR="00186962" w:rsidRPr="00C1264C" w:rsidRDefault="00186962">
      <w:pPr>
        <w:pStyle w:val="TOC5"/>
        <w:rPr>
          <w:rFonts w:asciiTheme="minorHAnsi" w:eastAsiaTheme="minorEastAsia" w:hAnsiTheme="minorHAnsi" w:cstheme="minorBidi"/>
          <w:noProof/>
          <w:kern w:val="0"/>
          <w:sz w:val="22"/>
          <w:szCs w:val="22"/>
        </w:rPr>
      </w:pPr>
      <w:r w:rsidRPr="00C1264C">
        <w:rPr>
          <w:noProof/>
        </w:rPr>
        <w:t>23  Designated quantity—circumstances impacting MSO entity at commencement</w:t>
      </w:r>
      <w:r w:rsidRPr="00C1264C">
        <w:rPr>
          <w:noProof/>
        </w:rPr>
        <w:tab/>
      </w:r>
      <w:r w:rsidRPr="00C1264C">
        <w:rPr>
          <w:noProof/>
        </w:rPr>
        <w:fldChar w:fldCharType="begin"/>
      </w:r>
      <w:r w:rsidRPr="00C1264C">
        <w:rPr>
          <w:noProof/>
        </w:rPr>
        <w:instrText xml:space="preserve"> PAGEREF _Toc117516986 \h </w:instrText>
      </w:r>
      <w:r w:rsidRPr="00C1264C">
        <w:rPr>
          <w:noProof/>
        </w:rPr>
      </w:r>
      <w:r w:rsidRPr="00C1264C">
        <w:rPr>
          <w:noProof/>
        </w:rPr>
        <w:fldChar w:fldCharType="separate"/>
      </w:r>
      <w:r w:rsidR="001E7A96" w:rsidRPr="00C1264C">
        <w:rPr>
          <w:noProof/>
        </w:rPr>
        <w:t>12</w:t>
      </w:r>
      <w:r w:rsidRPr="00C1264C">
        <w:rPr>
          <w:noProof/>
        </w:rPr>
        <w:fldChar w:fldCharType="end"/>
      </w:r>
    </w:p>
    <w:p w14:paraId="59A9988C" w14:textId="75287E30" w:rsidR="00186962" w:rsidRPr="00C1264C" w:rsidRDefault="00186962">
      <w:pPr>
        <w:pStyle w:val="TOC5"/>
        <w:rPr>
          <w:rFonts w:asciiTheme="minorHAnsi" w:eastAsiaTheme="minorEastAsia" w:hAnsiTheme="minorHAnsi" w:cstheme="minorBidi"/>
          <w:noProof/>
          <w:kern w:val="0"/>
          <w:sz w:val="22"/>
          <w:szCs w:val="22"/>
        </w:rPr>
      </w:pPr>
      <w:r w:rsidRPr="00C1264C">
        <w:rPr>
          <w:noProof/>
        </w:rPr>
        <w:t>24  Designated quantity—consistently below threshold entity</w:t>
      </w:r>
      <w:r w:rsidRPr="00C1264C">
        <w:rPr>
          <w:noProof/>
        </w:rPr>
        <w:tab/>
      </w:r>
      <w:r w:rsidRPr="00C1264C">
        <w:rPr>
          <w:noProof/>
        </w:rPr>
        <w:fldChar w:fldCharType="begin"/>
      </w:r>
      <w:r w:rsidRPr="00C1264C">
        <w:rPr>
          <w:noProof/>
        </w:rPr>
        <w:instrText xml:space="preserve"> PAGEREF _Toc117516987 \h </w:instrText>
      </w:r>
      <w:r w:rsidRPr="00C1264C">
        <w:rPr>
          <w:noProof/>
        </w:rPr>
      </w:r>
      <w:r w:rsidRPr="00C1264C">
        <w:rPr>
          <w:noProof/>
        </w:rPr>
        <w:fldChar w:fldCharType="separate"/>
      </w:r>
      <w:r w:rsidR="001E7A96" w:rsidRPr="00C1264C">
        <w:rPr>
          <w:noProof/>
        </w:rPr>
        <w:t>13</w:t>
      </w:r>
      <w:r w:rsidRPr="00C1264C">
        <w:rPr>
          <w:noProof/>
        </w:rPr>
        <w:fldChar w:fldCharType="end"/>
      </w:r>
    </w:p>
    <w:p w14:paraId="5A4E18D6" w14:textId="2D7DE014" w:rsidR="00186962" w:rsidRPr="00C1264C" w:rsidRDefault="00186962">
      <w:pPr>
        <w:pStyle w:val="TOC2"/>
        <w:rPr>
          <w:rFonts w:asciiTheme="minorHAnsi" w:eastAsiaTheme="minorEastAsia" w:hAnsiTheme="minorHAnsi" w:cstheme="minorBidi"/>
          <w:b w:val="0"/>
          <w:noProof/>
          <w:kern w:val="0"/>
          <w:sz w:val="22"/>
          <w:szCs w:val="22"/>
        </w:rPr>
      </w:pPr>
      <w:r w:rsidRPr="00C1264C">
        <w:rPr>
          <w:noProof/>
        </w:rPr>
        <w:t>Part 5 —Temporary reduction in designated quantities</w:t>
      </w:r>
      <w:r w:rsidRPr="00C1264C">
        <w:rPr>
          <w:noProof/>
        </w:rPr>
        <w:tab/>
      </w:r>
      <w:r w:rsidRPr="00C1264C">
        <w:rPr>
          <w:noProof/>
        </w:rPr>
        <w:fldChar w:fldCharType="begin"/>
      </w:r>
      <w:r w:rsidRPr="00C1264C">
        <w:rPr>
          <w:noProof/>
        </w:rPr>
        <w:instrText xml:space="preserve"> PAGEREF _Toc117516988 \h </w:instrText>
      </w:r>
      <w:r w:rsidRPr="00C1264C">
        <w:rPr>
          <w:noProof/>
        </w:rPr>
      </w:r>
      <w:r w:rsidRPr="00C1264C">
        <w:rPr>
          <w:noProof/>
        </w:rPr>
        <w:fldChar w:fldCharType="separate"/>
      </w:r>
      <w:r w:rsidR="001E7A96" w:rsidRPr="00C1264C">
        <w:rPr>
          <w:noProof/>
        </w:rPr>
        <w:t>14</w:t>
      </w:r>
      <w:r w:rsidRPr="00C1264C">
        <w:rPr>
          <w:noProof/>
        </w:rPr>
        <w:fldChar w:fldCharType="end"/>
      </w:r>
    </w:p>
    <w:p w14:paraId="011BABC1" w14:textId="510A276C" w:rsidR="00186962" w:rsidRPr="00C1264C" w:rsidRDefault="00186962">
      <w:pPr>
        <w:pStyle w:val="TOC5"/>
        <w:rPr>
          <w:rFonts w:asciiTheme="minorHAnsi" w:eastAsiaTheme="minorEastAsia" w:hAnsiTheme="minorHAnsi" w:cstheme="minorBidi"/>
          <w:noProof/>
          <w:kern w:val="0"/>
          <w:sz w:val="22"/>
          <w:szCs w:val="22"/>
        </w:rPr>
      </w:pPr>
      <w:r w:rsidRPr="00C1264C">
        <w:rPr>
          <w:noProof/>
        </w:rPr>
        <w:t>25  Applications for temporary reduction in quantity of stocks</w:t>
      </w:r>
      <w:r w:rsidRPr="00C1264C">
        <w:rPr>
          <w:noProof/>
        </w:rPr>
        <w:tab/>
      </w:r>
      <w:r w:rsidRPr="00C1264C">
        <w:rPr>
          <w:noProof/>
        </w:rPr>
        <w:fldChar w:fldCharType="begin"/>
      </w:r>
      <w:r w:rsidRPr="00C1264C">
        <w:rPr>
          <w:noProof/>
        </w:rPr>
        <w:instrText xml:space="preserve"> PAGEREF _Toc117516989 \h </w:instrText>
      </w:r>
      <w:r w:rsidRPr="00C1264C">
        <w:rPr>
          <w:noProof/>
        </w:rPr>
      </w:r>
      <w:r w:rsidRPr="00C1264C">
        <w:rPr>
          <w:noProof/>
        </w:rPr>
        <w:fldChar w:fldCharType="separate"/>
      </w:r>
      <w:r w:rsidR="001E7A96" w:rsidRPr="00C1264C">
        <w:rPr>
          <w:noProof/>
        </w:rPr>
        <w:t>14</w:t>
      </w:r>
      <w:r w:rsidRPr="00C1264C">
        <w:rPr>
          <w:noProof/>
        </w:rPr>
        <w:fldChar w:fldCharType="end"/>
      </w:r>
    </w:p>
    <w:p w14:paraId="1D98AEB5" w14:textId="0D973101" w:rsidR="00186962" w:rsidRPr="00C1264C" w:rsidRDefault="00186962">
      <w:pPr>
        <w:pStyle w:val="TOC5"/>
        <w:rPr>
          <w:rFonts w:asciiTheme="minorHAnsi" w:eastAsiaTheme="minorEastAsia" w:hAnsiTheme="minorHAnsi" w:cstheme="minorBidi"/>
          <w:noProof/>
          <w:kern w:val="0"/>
          <w:sz w:val="22"/>
          <w:szCs w:val="22"/>
        </w:rPr>
      </w:pPr>
      <w:r w:rsidRPr="00C1264C">
        <w:rPr>
          <w:noProof/>
        </w:rPr>
        <w:t>26  Criteria for temporary reduction in quantity of stocks</w:t>
      </w:r>
      <w:r w:rsidRPr="00C1264C">
        <w:rPr>
          <w:noProof/>
        </w:rPr>
        <w:tab/>
      </w:r>
      <w:r w:rsidRPr="00C1264C">
        <w:rPr>
          <w:noProof/>
        </w:rPr>
        <w:fldChar w:fldCharType="begin"/>
      </w:r>
      <w:r w:rsidRPr="00C1264C">
        <w:rPr>
          <w:noProof/>
        </w:rPr>
        <w:instrText xml:space="preserve"> PAGEREF _Toc117516990 \h </w:instrText>
      </w:r>
      <w:r w:rsidRPr="00C1264C">
        <w:rPr>
          <w:noProof/>
        </w:rPr>
      </w:r>
      <w:r w:rsidRPr="00C1264C">
        <w:rPr>
          <w:noProof/>
        </w:rPr>
        <w:fldChar w:fldCharType="separate"/>
      </w:r>
      <w:r w:rsidR="001E7A96" w:rsidRPr="00C1264C">
        <w:rPr>
          <w:noProof/>
        </w:rPr>
        <w:t>14</w:t>
      </w:r>
      <w:r w:rsidRPr="00C1264C">
        <w:rPr>
          <w:noProof/>
        </w:rPr>
        <w:fldChar w:fldCharType="end"/>
      </w:r>
    </w:p>
    <w:p w14:paraId="057313F3" w14:textId="7C3FB3E0" w:rsidR="00186962" w:rsidRPr="00C1264C" w:rsidRDefault="00186962">
      <w:pPr>
        <w:pStyle w:val="TOC5"/>
        <w:rPr>
          <w:rFonts w:asciiTheme="minorHAnsi" w:eastAsiaTheme="minorEastAsia" w:hAnsiTheme="minorHAnsi" w:cstheme="minorBidi"/>
          <w:noProof/>
          <w:kern w:val="0"/>
          <w:sz w:val="22"/>
          <w:szCs w:val="22"/>
        </w:rPr>
      </w:pPr>
      <w:r w:rsidRPr="00C1264C">
        <w:rPr>
          <w:noProof/>
        </w:rPr>
        <w:t>27  Additional transitional reduction in quantity of stocks</w:t>
      </w:r>
      <w:r w:rsidRPr="00C1264C">
        <w:rPr>
          <w:noProof/>
        </w:rPr>
        <w:tab/>
      </w:r>
      <w:r w:rsidRPr="00C1264C">
        <w:rPr>
          <w:noProof/>
        </w:rPr>
        <w:fldChar w:fldCharType="begin"/>
      </w:r>
      <w:r w:rsidRPr="00C1264C">
        <w:rPr>
          <w:noProof/>
        </w:rPr>
        <w:instrText xml:space="preserve"> PAGEREF _Toc117516991 \h </w:instrText>
      </w:r>
      <w:r w:rsidRPr="00C1264C">
        <w:rPr>
          <w:noProof/>
        </w:rPr>
      </w:r>
      <w:r w:rsidRPr="00C1264C">
        <w:rPr>
          <w:noProof/>
        </w:rPr>
        <w:fldChar w:fldCharType="separate"/>
      </w:r>
      <w:r w:rsidR="001E7A96" w:rsidRPr="00C1264C">
        <w:rPr>
          <w:noProof/>
        </w:rPr>
        <w:t>14</w:t>
      </w:r>
      <w:r w:rsidRPr="00C1264C">
        <w:rPr>
          <w:noProof/>
        </w:rPr>
        <w:fldChar w:fldCharType="end"/>
      </w:r>
    </w:p>
    <w:p w14:paraId="2AD1071D" w14:textId="32E48147" w:rsidR="00186962" w:rsidRPr="00C1264C" w:rsidRDefault="00186962">
      <w:pPr>
        <w:pStyle w:val="TOC2"/>
        <w:rPr>
          <w:rFonts w:asciiTheme="minorHAnsi" w:eastAsiaTheme="minorEastAsia" w:hAnsiTheme="minorHAnsi" w:cstheme="minorBidi"/>
          <w:b w:val="0"/>
          <w:noProof/>
          <w:kern w:val="0"/>
          <w:sz w:val="22"/>
          <w:szCs w:val="22"/>
        </w:rPr>
      </w:pPr>
      <w:r w:rsidRPr="00C1264C">
        <w:rPr>
          <w:noProof/>
        </w:rPr>
        <w:t>Part 6 —Suspension of MSO</w:t>
      </w:r>
      <w:r w:rsidRPr="00C1264C">
        <w:rPr>
          <w:noProof/>
        </w:rPr>
        <w:tab/>
      </w:r>
      <w:r w:rsidRPr="00C1264C">
        <w:rPr>
          <w:noProof/>
        </w:rPr>
        <w:fldChar w:fldCharType="begin"/>
      </w:r>
      <w:r w:rsidRPr="00C1264C">
        <w:rPr>
          <w:noProof/>
        </w:rPr>
        <w:instrText xml:space="preserve"> PAGEREF _Toc117516992 \h </w:instrText>
      </w:r>
      <w:r w:rsidRPr="00C1264C">
        <w:rPr>
          <w:noProof/>
        </w:rPr>
      </w:r>
      <w:r w:rsidRPr="00C1264C">
        <w:rPr>
          <w:noProof/>
        </w:rPr>
        <w:fldChar w:fldCharType="separate"/>
      </w:r>
      <w:r w:rsidR="001E7A96" w:rsidRPr="00C1264C">
        <w:rPr>
          <w:noProof/>
        </w:rPr>
        <w:t>15</w:t>
      </w:r>
      <w:r w:rsidRPr="00C1264C">
        <w:rPr>
          <w:noProof/>
        </w:rPr>
        <w:fldChar w:fldCharType="end"/>
      </w:r>
    </w:p>
    <w:p w14:paraId="300ABDB6" w14:textId="03403FA9" w:rsidR="00186962" w:rsidRPr="00C1264C" w:rsidRDefault="00186962">
      <w:pPr>
        <w:pStyle w:val="TOC5"/>
        <w:rPr>
          <w:rFonts w:asciiTheme="minorHAnsi" w:eastAsiaTheme="minorEastAsia" w:hAnsiTheme="minorHAnsi" w:cstheme="minorBidi"/>
          <w:noProof/>
          <w:kern w:val="0"/>
          <w:sz w:val="22"/>
          <w:szCs w:val="22"/>
        </w:rPr>
      </w:pPr>
      <w:r w:rsidRPr="00C1264C">
        <w:rPr>
          <w:noProof/>
        </w:rPr>
        <w:t>28  Suspension by Minister</w:t>
      </w:r>
      <w:r w:rsidRPr="00C1264C">
        <w:rPr>
          <w:noProof/>
        </w:rPr>
        <w:tab/>
      </w:r>
      <w:r w:rsidRPr="00C1264C">
        <w:rPr>
          <w:noProof/>
        </w:rPr>
        <w:fldChar w:fldCharType="begin"/>
      </w:r>
      <w:r w:rsidRPr="00C1264C">
        <w:rPr>
          <w:noProof/>
        </w:rPr>
        <w:instrText xml:space="preserve"> PAGEREF _Toc117516993 \h </w:instrText>
      </w:r>
      <w:r w:rsidRPr="00C1264C">
        <w:rPr>
          <w:noProof/>
        </w:rPr>
      </w:r>
      <w:r w:rsidRPr="00C1264C">
        <w:rPr>
          <w:noProof/>
        </w:rPr>
        <w:fldChar w:fldCharType="separate"/>
      </w:r>
      <w:r w:rsidR="001E7A96" w:rsidRPr="00C1264C">
        <w:rPr>
          <w:noProof/>
        </w:rPr>
        <w:t>15</w:t>
      </w:r>
      <w:r w:rsidRPr="00C1264C">
        <w:rPr>
          <w:noProof/>
        </w:rPr>
        <w:fldChar w:fldCharType="end"/>
      </w:r>
    </w:p>
    <w:p w14:paraId="271CCCF7" w14:textId="52D6F914" w:rsidR="00186962" w:rsidRPr="00C1264C" w:rsidRDefault="00186962">
      <w:pPr>
        <w:pStyle w:val="TOC5"/>
        <w:rPr>
          <w:rFonts w:asciiTheme="minorHAnsi" w:eastAsiaTheme="minorEastAsia" w:hAnsiTheme="minorHAnsi" w:cstheme="minorBidi"/>
          <w:noProof/>
          <w:kern w:val="0"/>
          <w:sz w:val="22"/>
          <w:szCs w:val="22"/>
        </w:rPr>
      </w:pPr>
      <w:r w:rsidRPr="00C1264C">
        <w:rPr>
          <w:noProof/>
        </w:rPr>
        <w:t>29  Application for suspension by Secretary</w:t>
      </w:r>
      <w:r w:rsidRPr="00C1264C">
        <w:rPr>
          <w:noProof/>
        </w:rPr>
        <w:tab/>
      </w:r>
      <w:r w:rsidRPr="00C1264C">
        <w:rPr>
          <w:noProof/>
        </w:rPr>
        <w:fldChar w:fldCharType="begin"/>
      </w:r>
      <w:r w:rsidRPr="00C1264C">
        <w:rPr>
          <w:noProof/>
        </w:rPr>
        <w:instrText xml:space="preserve"> PAGEREF _Toc117516994 \h </w:instrText>
      </w:r>
      <w:r w:rsidRPr="00C1264C">
        <w:rPr>
          <w:noProof/>
        </w:rPr>
      </w:r>
      <w:r w:rsidRPr="00C1264C">
        <w:rPr>
          <w:noProof/>
        </w:rPr>
        <w:fldChar w:fldCharType="separate"/>
      </w:r>
      <w:r w:rsidR="001E7A96" w:rsidRPr="00C1264C">
        <w:rPr>
          <w:noProof/>
        </w:rPr>
        <w:t>15</w:t>
      </w:r>
      <w:r w:rsidRPr="00C1264C">
        <w:rPr>
          <w:noProof/>
        </w:rPr>
        <w:fldChar w:fldCharType="end"/>
      </w:r>
    </w:p>
    <w:p w14:paraId="16EFF9C2" w14:textId="1C1E676F" w:rsidR="00186962" w:rsidRPr="00C1264C" w:rsidRDefault="00186962">
      <w:pPr>
        <w:pStyle w:val="TOC5"/>
        <w:rPr>
          <w:rFonts w:asciiTheme="minorHAnsi" w:eastAsiaTheme="minorEastAsia" w:hAnsiTheme="minorHAnsi" w:cstheme="minorBidi"/>
          <w:noProof/>
          <w:kern w:val="0"/>
          <w:sz w:val="22"/>
          <w:szCs w:val="22"/>
        </w:rPr>
      </w:pPr>
      <w:r w:rsidRPr="00C1264C">
        <w:rPr>
          <w:noProof/>
        </w:rPr>
        <w:t>30  Secretary’s decision on suspension</w:t>
      </w:r>
      <w:r w:rsidRPr="00C1264C">
        <w:rPr>
          <w:noProof/>
        </w:rPr>
        <w:tab/>
      </w:r>
      <w:r w:rsidRPr="00C1264C">
        <w:rPr>
          <w:noProof/>
        </w:rPr>
        <w:fldChar w:fldCharType="begin"/>
      </w:r>
      <w:r w:rsidRPr="00C1264C">
        <w:rPr>
          <w:noProof/>
        </w:rPr>
        <w:instrText xml:space="preserve"> PAGEREF _Toc117516995 \h </w:instrText>
      </w:r>
      <w:r w:rsidRPr="00C1264C">
        <w:rPr>
          <w:noProof/>
        </w:rPr>
      </w:r>
      <w:r w:rsidRPr="00C1264C">
        <w:rPr>
          <w:noProof/>
        </w:rPr>
        <w:fldChar w:fldCharType="separate"/>
      </w:r>
      <w:r w:rsidR="001E7A96" w:rsidRPr="00C1264C">
        <w:rPr>
          <w:noProof/>
        </w:rPr>
        <w:t>15</w:t>
      </w:r>
      <w:r w:rsidRPr="00C1264C">
        <w:rPr>
          <w:noProof/>
        </w:rPr>
        <w:fldChar w:fldCharType="end"/>
      </w:r>
    </w:p>
    <w:p w14:paraId="0F4D5764" w14:textId="5572DEC5" w:rsidR="00186962" w:rsidRPr="00C1264C" w:rsidRDefault="00186962">
      <w:pPr>
        <w:pStyle w:val="TOC5"/>
        <w:rPr>
          <w:rFonts w:asciiTheme="minorHAnsi" w:eastAsiaTheme="minorEastAsia" w:hAnsiTheme="minorHAnsi" w:cstheme="minorBidi"/>
          <w:noProof/>
          <w:kern w:val="0"/>
          <w:sz w:val="22"/>
          <w:szCs w:val="22"/>
        </w:rPr>
      </w:pPr>
      <w:r w:rsidRPr="00C1264C">
        <w:rPr>
          <w:noProof/>
        </w:rPr>
        <w:t>31  Class of entities included in a suspension</w:t>
      </w:r>
      <w:r w:rsidRPr="00C1264C">
        <w:rPr>
          <w:noProof/>
        </w:rPr>
        <w:tab/>
      </w:r>
      <w:r w:rsidRPr="00C1264C">
        <w:rPr>
          <w:noProof/>
        </w:rPr>
        <w:fldChar w:fldCharType="begin"/>
      </w:r>
      <w:r w:rsidRPr="00C1264C">
        <w:rPr>
          <w:noProof/>
        </w:rPr>
        <w:instrText xml:space="preserve"> PAGEREF _Toc117516996 \h </w:instrText>
      </w:r>
      <w:r w:rsidRPr="00C1264C">
        <w:rPr>
          <w:noProof/>
        </w:rPr>
      </w:r>
      <w:r w:rsidRPr="00C1264C">
        <w:rPr>
          <w:noProof/>
        </w:rPr>
        <w:fldChar w:fldCharType="separate"/>
      </w:r>
      <w:r w:rsidR="001E7A96" w:rsidRPr="00C1264C">
        <w:rPr>
          <w:noProof/>
        </w:rPr>
        <w:t>16</w:t>
      </w:r>
      <w:r w:rsidRPr="00C1264C">
        <w:rPr>
          <w:noProof/>
        </w:rPr>
        <w:fldChar w:fldCharType="end"/>
      </w:r>
    </w:p>
    <w:p w14:paraId="251E533C" w14:textId="32D9166A" w:rsidR="00186962" w:rsidRPr="00C1264C" w:rsidRDefault="00186962">
      <w:pPr>
        <w:pStyle w:val="TOC2"/>
        <w:rPr>
          <w:rFonts w:asciiTheme="minorHAnsi" w:eastAsiaTheme="minorEastAsia" w:hAnsiTheme="minorHAnsi" w:cstheme="minorBidi"/>
          <w:b w:val="0"/>
          <w:noProof/>
          <w:kern w:val="0"/>
          <w:sz w:val="22"/>
          <w:szCs w:val="22"/>
        </w:rPr>
      </w:pPr>
      <w:r w:rsidRPr="00C1264C">
        <w:rPr>
          <w:noProof/>
        </w:rPr>
        <w:t>Part 7 —Notice of intention to cease all MSO activities in relation to MSO product</w:t>
      </w:r>
      <w:r w:rsidRPr="00C1264C">
        <w:rPr>
          <w:noProof/>
        </w:rPr>
        <w:tab/>
      </w:r>
      <w:r w:rsidRPr="00C1264C">
        <w:rPr>
          <w:noProof/>
        </w:rPr>
        <w:fldChar w:fldCharType="begin"/>
      </w:r>
      <w:r w:rsidRPr="00C1264C">
        <w:rPr>
          <w:noProof/>
        </w:rPr>
        <w:instrText xml:space="preserve"> PAGEREF _Toc117516997 \h </w:instrText>
      </w:r>
      <w:r w:rsidRPr="00C1264C">
        <w:rPr>
          <w:noProof/>
        </w:rPr>
      </w:r>
      <w:r w:rsidRPr="00C1264C">
        <w:rPr>
          <w:noProof/>
        </w:rPr>
        <w:fldChar w:fldCharType="separate"/>
      </w:r>
      <w:r w:rsidR="001E7A96" w:rsidRPr="00C1264C">
        <w:rPr>
          <w:noProof/>
        </w:rPr>
        <w:t>17</w:t>
      </w:r>
      <w:r w:rsidRPr="00C1264C">
        <w:rPr>
          <w:noProof/>
        </w:rPr>
        <w:fldChar w:fldCharType="end"/>
      </w:r>
    </w:p>
    <w:p w14:paraId="176BF3F6" w14:textId="4D3DBB18" w:rsidR="00186962" w:rsidRPr="00C1264C" w:rsidRDefault="00186962">
      <w:pPr>
        <w:pStyle w:val="TOC5"/>
        <w:rPr>
          <w:rFonts w:asciiTheme="minorHAnsi" w:eastAsiaTheme="minorEastAsia" w:hAnsiTheme="minorHAnsi" w:cstheme="minorBidi"/>
          <w:noProof/>
          <w:kern w:val="0"/>
          <w:sz w:val="22"/>
          <w:szCs w:val="22"/>
        </w:rPr>
      </w:pPr>
      <w:r w:rsidRPr="00C1264C">
        <w:rPr>
          <w:noProof/>
        </w:rPr>
        <w:t>32  Requirements for notice of intention to cease MSO activities</w:t>
      </w:r>
      <w:r w:rsidRPr="00C1264C">
        <w:rPr>
          <w:noProof/>
        </w:rPr>
        <w:tab/>
      </w:r>
      <w:r w:rsidRPr="00C1264C">
        <w:rPr>
          <w:noProof/>
        </w:rPr>
        <w:fldChar w:fldCharType="begin"/>
      </w:r>
      <w:r w:rsidRPr="00C1264C">
        <w:rPr>
          <w:noProof/>
        </w:rPr>
        <w:instrText xml:space="preserve"> PAGEREF _Toc117516998 \h </w:instrText>
      </w:r>
      <w:r w:rsidRPr="00C1264C">
        <w:rPr>
          <w:noProof/>
        </w:rPr>
      </w:r>
      <w:r w:rsidRPr="00C1264C">
        <w:rPr>
          <w:noProof/>
        </w:rPr>
        <w:fldChar w:fldCharType="separate"/>
      </w:r>
      <w:r w:rsidR="001E7A96" w:rsidRPr="00C1264C">
        <w:rPr>
          <w:noProof/>
        </w:rPr>
        <w:t>17</w:t>
      </w:r>
      <w:r w:rsidRPr="00C1264C">
        <w:rPr>
          <w:noProof/>
        </w:rPr>
        <w:fldChar w:fldCharType="end"/>
      </w:r>
    </w:p>
    <w:p w14:paraId="237AE751" w14:textId="543F78B6" w:rsidR="00186962" w:rsidRPr="00C1264C" w:rsidRDefault="00186962">
      <w:pPr>
        <w:pStyle w:val="TOC2"/>
        <w:rPr>
          <w:rFonts w:asciiTheme="minorHAnsi" w:eastAsiaTheme="minorEastAsia" w:hAnsiTheme="minorHAnsi" w:cstheme="minorBidi"/>
          <w:b w:val="0"/>
          <w:noProof/>
          <w:kern w:val="0"/>
          <w:sz w:val="22"/>
          <w:szCs w:val="22"/>
        </w:rPr>
      </w:pPr>
      <w:r w:rsidRPr="00C1264C">
        <w:rPr>
          <w:noProof/>
        </w:rPr>
        <w:t>Part 8 —Audit</w:t>
      </w:r>
      <w:r w:rsidRPr="00C1264C">
        <w:rPr>
          <w:noProof/>
        </w:rPr>
        <w:tab/>
      </w:r>
      <w:r w:rsidRPr="00C1264C">
        <w:rPr>
          <w:noProof/>
        </w:rPr>
        <w:fldChar w:fldCharType="begin"/>
      </w:r>
      <w:r w:rsidRPr="00C1264C">
        <w:rPr>
          <w:noProof/>
        </w:rPr>
        <w:instrText xml:space="preserve"> PAGEREF _Toc117516999 \h </w:instrText>
      </w:r>
      <w:r w:rsidRPr="00C1264C">
        <w:rPr>
          <w:noProof/>
        </w:rPr>
      </w:r>
      <w:r w:rsidRPr="00C1264C">
        <w:rPr>
          <w:noProof/>
        </w:rPr>
        <w:fldChar w:fldCharType="separate"/>
      </w:r>
      <w:r w:rsidR="001E7A96" w:rsidRPr="00C1264C">
        <w:rPr>
          <w:noProof/>
        </w:rPr>
        <w:t>18</w:t>
      </w:r>
      <w:r w:rsidRPr="00C1264C">
        <w:rPr>
          <w:noProof/>
        </w:rPr>
        <w:fldChar w:fldCharType="end"/>
      </w:r>
    </w:p>
    <w:p w14:paraId="3D08E06F" w14:textId="2206B4A9" w:rsidR="00186962" w:rsidRPr="00C1264C" w:rsidRDefault="00186962">
      <w:pPr>
        <w:pStyle w:val="TOC5"/>
        <w:rPr>
          <w:rFonts w:asciiTheme="minorHAnsi" w:eastAsiaTheme="minorEastAsia" w:hAnsiTheme="minorHAnsi" w:cstheme="minorBidi"/>
          <w:noProof/>
          <w:kern w:val="0"/>
          <w:sz w:val="22"/>
          <w:szCs w:val="22"/>
        </w:rPr>
      </w:pPr>
      <w:r w:rsidRPr="00C1264C">
        <w:rPr>
          <w:noProof/>
        </w:rPr>
        <w:t>33  Conduct of audits under section 33 or section 34 of the Act</w:t>
      </w:r>
      <w:r w:rsidRPr="00C1264C">
        <w:rPr>
          <w:noProof/>
        </w:rPr>
        <w:tab/>
      </w:r>
      <w:r w:rsidRPr="00C1264C">
        <w:rPr>
          <w:noProof/>
        </w:rPr>
        <w:fldChar w:fldCharType="begin"/>
      </w:r>
      <w:r w:rsidRPr="00C1264C">
        <w:rPr>
          <w:noProof/>
        </w:rPr>
        <w:instrText xml:space="preserve"> PAGEREF _Toc117517000 \h </w:instrText>
      </w:r>
      <w:r w:rsidRPr="00C1264C">
        <w:rPr>
          <w:noProof/>
        </w:rPr>
      </w:r>
      <w:r w:rsidRPr="00C1264C">
        <w:rPr>
          <w:noProof/>
        </w:rPr>
        <w:fldChar w:fldCharType="separate"/>
      </w:r>
      <w:r w:rsidR="001E7A96" w:rsidRPr="00C1264C">
        <w:rPr>
          <w:noProof/>
        </w:rPr>
        <w:t>18</w:t>
      </w:r>
      <w:r w:rsidRPr="00C1264C">
        <w:rPr>
          <w:noProof/>
        </w:rPr>
        <w:fldChar w:fldCharType="end"/>
      </w:r>
    </w:p>
    <w:p w14:paraId="1896E7E4" w14:textId="764D895D" w:rsidR="00186962" w:rsidRPr="00C1264C" w:rsidRDefault="00186962">
      <w:pPr>
        <w:pStyle w:val="TOC2"/>
        <w:rPr>
          <w:rFonts w:asciiTheme="minorHAnsi" w:eastAsiaTheme="minorEastAsia" w:hAnsiTheme="minorHAnsi" w:cstheme="minorBidi"/>
          <w:b w:val="0"/>
          <w:noProof/>
          <w:kern w:val="0"/>
          <w:sz w:val="22"/>
          <w:szCs w:val="22"/>
        </w:rPr>
      </w:pPr>
      <w:r w:rsidRPr="00C1264C">
        <w:rPr>
          <w:noProof/>
        </w:rPr>
        <w:t>Part 9 —MSO compliance plan</w:t>
      </w:r>
      <w:r w:rsidRPr="00C1264C">
        <w:rPr>
          <w:noProof/>
        </w:rPr>
        <w:tab/>
      </w:r>
      <w:r w:rsidRPr="00C1264C">
        <w:rPr>
          <w:noProof/>
        </w:rPr>
        <w:fldChar w:fldCharType="begin"/>
      </w:r>
      <w:r w:rsidRPr="00C1264C">
        <w:rPr>
          <w:noProof/>
        </w:rPr>
        <w:instrText xml:space="preserve"> PAGEREF _Toc117517001 \h </w:instrText>
      </w:r>
      <w:r w:rsidRPr="00C1264C">
        <w:rPr>
          <w:noProof/>
        </w:rPr>
      </w:r>
      <w:r w:rsidRPr="00C1264C">
        <w:rPr>
          <w:noProof/>
        </w:rPr>
        <w:fldChar w:fldCharType="separate"/>
      </w:r>
      <w:r w:rsidR="001E7A96" w:rsidRPr="00C1264C">
        <w:rPr>
          <w:noProof/>
        </w:rPr>
        <w:t>19</w:t>
      </w:r>
      <w:r w:rsidRPr="00C1264C">
        <w:rPr>
          <w:noProof/>
        </w:rPr>
        <w:fldChar w:fldCharType="end"/>
      </w:r>
    </w:p>
    <w:p w14:paraId="704AE4A6" w14:textId="179BAA0D" w:rsidR="00186962" w:rsidRPr="00C1264C" w:rsidRDefault="00186962">
      <w:pPr>
        <w:pStyle w:val="TOC5"/>
        <w:rPr>
          <w:rFonts w:asciiTheme="minorHAnsi" w:eastAsiaTheme="minorEastAsia" w:hAnsiTheme="minorHAnsi" w:cstheme="minorBidi"/>
          <w:noProof/>
          <w:kern w:val="0"/>
          <w:sz w:val="22"/>
          <w:szCs w:val="22"/>
        </w:rPr>
      </w:pPr>
      <w:r w:rsidRPr="00C1264C">
        <w:rPr>
          <w:noProof/>
        </w:rPr>
        <w:t>34  Operation of this Part</w:t>
      </w:r>
      <w:r w:rsidRPr="00C1264C">
        <w:rPr>
          <w:noProof/>
        </w:rPr>
        <w:tab/>
      </w:r>
      <w:r w:rsidRPr="00C1264C">
        <w:rPr>
          <w:noProof/>
        </w:rPr>
        <w:fldChar w:fldCharType="begin"/>
      </w:r>
      <w:r w:rsidRPr="00C1264C">
        <w:rPr>
          <w:noProof/>
        </w:rPr>
        <w:instrText xml:space="preserve"> PAGEREF _Toc117517002 \h </w:instrText>
      </w:r>
      <w:r w:rsidRPr="00C1264C">
        <w:rPr>
          <w:noProof/>
        </w:rPr>
      </w:r>
      <w:r w:rsidRPr="00C1264C">
        <w:rPr>
          <w:noProof/>
        </w:rPr>
        <w:fldChar w:fldCharType="separate"/>
      </w:r>
      <w:r w:rsidR="001E7A96" w:rsidRPr="00C1264C">
        <w:rPr>
          <w:noProof/>
        </w:rPr>
        <w:t>19</w:t>
      </w:r>
      <w:r w:rsidRPr="00C1264C">
        <w:rPr>
          <w:noProof/>
        </w:rPr>
        <w:fldChar w:fldCharType="end"/>
      </w:r>
    </w:p>
    <w:p w14:paraId="0432B7CF" w14:textId="49D7728A" w:rsidR="00186962" w:rsidRPr="00C1264C" w:rsidRDefault="00186962">
      <w:pPr>
        <w:pStyle w:val="TOC5"/>
        <w:rPr>
          <w:rFonts w:asciiTheme="minorHAnsi" w:eastAsiaTheme="minorEastAsia" w:hAnsiTheme="minorHAnsi" w:cstheme="minorBidi"/>
          <w:noProof/>
          <w:kern w:val="0"/>
          <w:sz w:val="22"/>
          <w:szCs w:val="22"/>
        </w:rPr>
      </w:pPr>
      <w:r w:rsidRPr="00C1264C">
        <w:rPr>
          <w:noProof/>
        </w:rPr>
        <w:t>35  What an MSO compliance plan must contain—outline</w:t>
      </w:r>
      <w:r w:rsidRPr="00C1264C">
        <w:rPr>
          <w:noProof/>
        </w:rPr>
        <w:tab/>
      </w:r>
      <w:r w:rsidRPr="00C1264C">
        <w:rPr>
          <w:noProof/>
        </w:rPr>
        <w:fldChar w:fldCharType="begin"/>
      </w:r>
      <w:r w:rsidRPr="00C1264C">
        <w:rPr>
          <w:noProof/>
        </w:rPr>
        <w:instrText xml:space="preserve"> PAGEREF _Toc117517003 \h </w:instrText>
      </w:r>
      <w:r w:rsidRPr="00C1264C">
        <w:rPr>
          <w:noProof/>
        </w:rPr>
      </w:r>
      <w:r w:rsidRPr="00C1264C">
        <w:rPr>
          <w:noProof/>
        </w:rPr>
        <w:fldChar w:fldCharType="separate"/>
      </w:r>
      <w:r w:rsidR="001E7A96" w:rsidRPr="00C1264C">
        <w:rPr>
          <w:noProof/>
        </w:rPr>
        <w:t>19</w:t>
      </w:r>
      <w:r w:rsidRPr="00C1264C">
        <w:rPr>
          <w:noProof/>
        </w:rPr>
        <w:fldChar w:fldCharType="end"/>
      </w:r>
    </w:p>
    <w:p w14:paraId="28C22B49" w14:textId="6951EC5A" w:rsidR="00186962" w:rsidRPr="00C1264C" w:rsidRDefault="00186962">
      <w:pPr>
        <w:pStyle w:val="TOC5"/>
        <w:rPr>
          <w:rFonts w:asciiTheme="minorHAnsi" w:eastAsiaTheme="minorEastAsia" w:hAnsiTheme="minorHAnsi" w:cstheme="minorBidi"/>
          <w:noProof/>
          <w:kern w:val="0"/>
          <w:sz w:val="22"/>
          <w:szCs w:val="22"/>
        </w:rPr>
      </w:pPr>
      <w:r w:rsidRPr="00C1264C">
        <w:rPr>
          <w:noProof/>
        </w:rPr>
        <w:t>36  What an MSO compliance plan must contain—overview of current practices</w:t>
      </w:r>
      <w:r w:rsidRPr="00C1264C">
        <w:rPr>
          <w:noProof/>
        </w:rPr>
        <w:tab/>
      </w:r>
      <w:r w:rsidRPr="00C1264C">
        <w:rPr>
          <w:noProof/>
        </w:rPr>
        <w:fldChar w:fldCharType="begin"/>
      </w:r>
      <w:r w:rsidRPr="00C1264C">
        <w:rPr>
          <w:noProof/>
        </w:rPr>
        <w:instrText xml:space="preserve"> PAGEREF _Toc117517004 \h </w:instrText>
      </w:r>
      <w:r w:rsidRPr="00C1264C">
        <w:rPr>
          <w:noProof/>
        </w:rPr>
      </w:r>
      <w:r w:rsidRPr="00C1264C">
        <w:rPr>
          <w:noProof/>
        </w:rPr>
        <w:fldChar w:fldCharType="separate"/>
      </w:r>
      <w:r w:rsidR="001E7A96" w:rsidRPr="00C1264C">
        <w:rPr>
          <w:noProof/>
        </w:rPr>
        <w:t>19</w:t>
      </w:r>
      <w:r w:rsidRPr="00C1264C">
        <w:rPr>
          <w:noProof/>
        </w:rPr>
        <w:fldChar w:fldCharType="end"/>
      </w:r>
    </w:p>
    <w:p w14:paraId="3C035401" w14:textId="06E518D5" w:rsidR="00186962" w:rsidRPr="00C1264C" w:rsidRDefault="00186962">
      <w:pPr>
        <w:pStyle w:val="TOC5"/>
        <w:rPr>
          <w:rFonts w:asciiTheme="minorHAnsi" w:eastAsiaTheme="minorEastAsia" w:hAnsiTheme="minorHAnsi" w:cstheme="minorBidi"/>
          <w:noProof/>
          <w:kern w:val="0"/>
          <w:sz w:val="22"/>
          <w:szCs w:val="22"/>
        </w:rPr>
      </w:pPr>
      <w:r w:rsidRPr="00C1264C">
        <w:rPr>
          <w:noProof/>
        </w:rPr>
        <w:lastRenderedPageBreak/>
        <w:t>37  What an MSO compliance plan must contain—compliance pathway</w:t>
      </w:r>
      <w:r w:rsidRPr="00C1264C">
        <w:rPr>
          <w:noProof/>
        </w:rPr>
        <w:tab/>
      </w:r>
      <w:r w:rsidRPr="00C1264C">
        <w:rPr>
          <w:noProof/>
        </w:rPr>
        <w:fldChar w:fldCharType="begin"/>
      </w:r>
      <w:r w:rsidRPr="00C1264C">
        <w:rPr>
          <w:noProof/>
        </w:rPr>
        <w:instrText xml:space="preserve"> PAGEREF _Toc117517005 \h </w:instrText>
      </w:r>
      <w:r w:rsidRPr="00C1264C">
        <w:rPr>
          <w:noProof/>
        </w:rPr>
      </w:r>
      <w:r w:rsidRPr="00C1264C">
        <w:rPr>
          <w:noProof/>
        </w:rPr>
        <w:fldChar w:fldCharType="separate"/>
      </w:r>
      <w:r w:rsidR="001E7A96" w:rsidRPr="00C1264C">
        <w:rPr>
          <w:noProof/>
        </w:rPr>
        <w:t>19</w:t>
      </w:r>
      <w:r w:rsidRPr="00C1264C">
        <w:rPr>
          <w:noProof/>
        </w:rPr>
        <w:fldChar w:fldCharType="end"/>
      </w:r>
    </w:p>
    <w:p w14:paraId="66BA84F3" w14:textId="1DF65895" w:rsidR="00186962" w:rsidRPr="00C1264C" w:rsidRDefault="00186962">
      <w:pPr>
        <w:pStyle w:val="TOC5"/>
        <w:rPr>
          <w:rFonts w:asciiTheme="minorHAnsi" w:eastAsiaTheme="minorEastAsia" w:hAnsiTheme="minorHAnsi" w:cstheme="minorBidi"/>
          <w:noProof/>
          <w:kern w:val="0"/>
          <w:sz w:val="22"/>
          <w:szCs w:val="22"/>
        </w:rPr>
      </w:pPr>
      <w:r w:rsidRPr="00C1264C">
        <w:rPr>
          <w:noProof/>
        </w:rPr>
        <w:t>38  What an MSO compliance plan must contain—data collection, reporting and record keeping</w:t>
      </w:r>
      <w:r w:rsidRPr="00C1264C">
        <w:rPr>
          <w:noProof/>
        </w:rPr>
        <w:tab/>
      </w:r>
      <w:r w:rsidRPr="00C1264C">
        <w:rPr>
          <w:noProof/>
        </w:rPr>
        <w:fldChar w:fldCharType="begin"/>
      </w:r>
      <w:r w:rsidRPr="00C1264C">
        <w:rPr>
          <w:noProof/>
        </w:rPr>
        <w:instrText xml:space="preserve"> PAGEREF _Toc117517006 \h </w:instrText>
      </w:r>
      <w:r w:rsidRPr="00C1264C">
        <w:rPr>
          <w:noProof/>
        </w:rPr>
      </w:r>
      <w:r w:rsidRPr="00C1264C">
        <w:rPr>
          <w:noProof/>
        </w:rPr>
        <w:fldChar w:fldCharType="separate"/>
      </w:r>
      <w:r w:rsidR="001E7A96" w:rsidRPr="00C1264C">
        <w:rPr>
          <w:noProof/>
        </w:rPr>
        <w:t>20</w:t>
      </w:r>
      <w:r w:rsidRPr="00C1264C">
        <w:rPr>
          <w:noProof/>
        </w:rPr>
        <w:fldChar w:fldCharType="end"/>
      </w:r>
    </w:p>
    <w:p w14:paraId="1C8B4F46" w14:textId="0EB0FE42" w:rsidR="00186962" w:rsidRPr="00C1264C" w:rsidRDefault="00186962">
      <w:pPr>
        <w:pStyle w:val="TOC5"/>
        <w:rPr>
          <w:rFonts w:asciiTheme="minorHAnsi" w:eastAsiaTheme="minorEastAsia" w:hAnsiTheme="minorHAnsi" w:cstheme="minorBidi"/>
          <w:noProof/>
          <w:kern w:val="0"/>
          <w:sz w:val="22"/>
          <w:szCs w:val="22"/>
        </w:rPr>
      </w:pPr>
      <w:r w:rsidRPr="00C1264C">
        <w:rPr>
          <w:noProof/>
        </w:rPr>
        <w:t>39  What an MSO compliance plan must contain—schedule of future outages</w:t>
      </w:r>
      <w:r w:rsidRPr="00C1264C">
        <w:rPr>
          <w:noProof/>
        </w:rPr>
        <w:tab/>
      </w:r>
      <w:r w:rsidRPr="00C1264C">
        <w:rPr>
          <w:noProof/>
        </w:rPr>
        <w:fldChar w:fldCharType="begin"/>
      </w:r>
      <w:r w:rsidRPr="00C1264C">
        <w:rPr>
          <w:noProof/>
        </w:rPr>
        <w:instrText xml:space="preserve"> PAGEREF _Toc117517007 \h </w:instrText>
      </w:r>
      <w:r w:rsidRPr="00C1264C">
        <w:rPr>
          <w:noProof/>
        </w:rPr>
      </w:r>
      <w:r w:rsidRPr="00C1264C">
        <w:rPr>
          <w:noProof/>
        </w:rPr>
        <w:fldChar w:fldCharType="separate"/>
      </w:r>
      <w:r w:rsidR="001E7A96" w:rsidRPr="00C1264C">
        <w:rPr>
          <w:noProof/>
        </w:rPr>
        <w:t>20</w:t>
      </w:r>
      <w:r w:rsidRPr="00C1264C">
        <w:rPr>
          <w:noProof/>
        </w:rPr>
        <w:fldChar w:fldCharType="end"/>
      </w:r>
    </w:p>
    <w:p w14:paraId="276CE09C" w14:textId="3716F14F" w:rsidR="00186962" w:rsidRPr="00C1264C" w:rsidRDefault="00186962">
      <w:pPr>
        <w:pStyle w:val="TOC5"/>
        <w:rPr>
          <w:rFonts w:asciiTheme="minorHAnsi" w:eastAsiaTheme="minorEastAsia" w:hAnsiTheme="minorHAnsi" w:cstheme="minorBidi"/>
          <w:noProof/>
          <w:kern w:val="0"/>
          <w:sz w:val="22"/>
          <w:szCs w:val="22"/>
        </w:rPr>
      </w:pPr>
      <w:r w:rsidRPr="00C1264C">
        <w:rPr>
          <w:noProof/>
        </w:rPr>
        <w:t>40  Provision of MSO compliance plan to Secretary</w:t>
      </w:r>
      <w:r w:rsidRPr="00C1264C">
        <w:rPr>
          <w:noProof/>
        </w:rPr>
        <w:tab/>
      </w:r>
      <w:r w:rsidRPr="00C1264C">
        <w:rPr>
          <w:noProof/>
        </w:rPr>
        <w:fldChar w:fldCharType="begin"/>
      </w:r>
      <w:r w:rsidRPr="00C1264C">
        <w:rPr>
          <w:noProof/>
        </w:rPr>
        <w:instrText xml:space="preserve"> PAGEREF _Toc117517008 \h </w:instrText>
      </w:r>
      <w:r w:rsidRPr="00C1264C">
        <w:rPr>
          <w:noProof/>
        </w:rPr>
      </w:r>
      <w:r w:rsidRPr="00C1264C">
        <w:rPr>
          <w:noProof/>
        </w:rPr>
        <w:fldChar w:fldCharType="separate"/>
      </w:r>
      <w:r w:rsidR="001E7A96" w:rsidRPr="00C1264C">
        <w:rPr>
          <w:noProof/>
        </w:rPr>
        <w:t>20</w:t>
      </w:r>
      <w:r w:rsidRPr="00C1264C">
        <w:rPr>
          <w:noProof/>
        </w:rPr>
        <w:fldChar w:fldCharType="end"/>
      </w:r>
    </w:p>
    <w:p w14:paraId="16F192A5" w14:textId="06343A8C" w:rsidR="00186962" w:rsidRPr="00C1264C" w:rsidRDefault="00186962">
      <w:pPr>
        <w:pStyle w:val="TOC2"/>
        <w:rPr>
          <w:rFonts w:asciiTheme="minorHAnsi" w:eastAsiaTheme="minorEastAsia" w:hAnsiTheme="minorHAnsi" w:cstheme="minorBidi"/>
          <w:b w:val="0"/>
          <w:noProof/>
          <w:kern w:val="0"/>
          <w:sz w:val="22"/>
          <w:szCs w:val="22"/>
        </w:rPr>
      </w:pPr>
      <w:r w:rsidRPr="00C1264C">
        <w:rPr>
          <w:noProof/>
        </w:rPr>
        <w:t>Part 10 —Assumption or division of MSO</w:t>
      </w:r>
      <w:r w:rsidRPr="00C1264C">
        <w:rPr>
          <w:noProof/>
        </w:rPr>
        <w:tab/>
      </w:r>
      <w:r w:rsidRPr="00C1264C">
        <w:rPr>
          <w:noProof/>
        </w:rPr>
        <w:fldChar w:fldCharType="begin"/>
      </w:r>
      <w:r w:rsidRPr="00C1264C">
        <w:rPr>
          <w:noProof/>
        </w:rPr>
        <w:instrText xml:space="preserve"> PAGEREF _Toc117517009 \h </w:instrText>
      </w:r>
      <w:r w:rsidRPr="00C1264C">
        <w:rPr>
          <w:noProof/>
        </w:rPr>
      </w:r>
      <w:r w:rsidRPr="00C1264C">
        <w:rPr>
          <w:noProof/>
        </w:rPr>
        <w:fldChar w:fldCharType="separate"/>
      </w:r>
      <w:r w:rsidR="001E7A96" w:rsidRPr="00C1264C">
        <w:rPr>
          <w:noProof/>
        </w:rPr>
        <w:t>21</w:t>
      </w:r>
      <w:r w:rsidRPr="00C1264C">
        <w:rPr>
          <w:noProof/>
        </w:rPr>
        <w:fldChar w:fldCharType="end"/>
      </w:r>
    </w:p>
    <w:p w14:paraId="4C9392D7" w14:textId="1CB6ADFB" w:rsidR="00186962" w:rsidRPr="00C1264C" w:rsidRDefault="00186962">
      <w:pPr>
        <w:pStyle w:val="TOC5"/>
        <w:rPr>
          <w:rFonts w:asciiTheme="minorHAnsi" w:eastAsiaTheme="minorEastAsia" w:hAnsiTheme="minorHAnsi" w:cstheme="minorBidi"/>
          <w:noProof/>
          <w:kern w:val="0"/>
          <w:sz w:val="22"/>
          <w:szCs w:val="22"/>
        </w:rPr>
      </w:pPr>
      <w:r w:rsidRPr="00C1264C">
        <w:rPr>
          <w:noProof/>
        </w:rPr>
        <w:t>41  Assumption or division</w:t>
      </w:r>
      <w:r w:rsidRPr="00C1264C">
        <w:rPr>
          <w:noProof/>
        </w:rPr>
        <w:tab/>
      </w:r>
      <w:r w:rsidRPr="00C1264C">
        <w:rPr>
          <w:noProof/>
        </w:rPr>
        <w:fldChar w:fldCharType="begin"/>
      </w:r>
      <w:r w:rsidRPr="00C1264C">
        <w:rPr>
          <w:noProof/>
        </w:rPr>
        <w:instrText xml:space="preserve"> PAGEREF _Toc117517010 \h </w:instrText>
      </w:r>
      <w:r w:rsidRPr="00C1264C">
        <w:rPr>
          <w:noProof/>
        </w:rPr>
      </w:r>
      <w:r w:rsidRPr="00C1264C">
        <w:rPr>
          <w:noProof/>
        </w:rPr>
        <w:fldChar w:fldCharType="separate"/>
      </w:r>
      <w:r w:rsidR="001E7A96" w:rsidRPr="00C1264C">
        <w:rPr>
          <w:noProof/>
        </w:rPr>
        <w:t>21</w:t>
      </w:r>
      <w:r w:rsidRPr="00C1264C">
        <w:rPr>
          <w:noProof/>
        </w:rPr>
        <w:fldChar w:fldCharType="end"/>
      </w:r>
    </w:p>
    <w:p w14:paraId="54752635" w14:textId="273D349A" w:rsidR="00186962" w:rsidRPr="00C1264C" w:rsidRDefault="00186962">
      <w:pPr>
        <w:pStyle w:val="TOC2"/>
        <w:rPr>
          <w:rFonts w:asciiTheme="minorHAnsi" w:eastAsiaTheme="minorEastAsia" w:hAnsiTheme="minorHAnsi" w:cstheme="minorBidi"/>
          <w:b w:val="0"/>
          <w:noProof/>
          <w:kern w:val="0"/>
          <w:sz w:val="22"/>
          <w:szCs w:val="22"/>
        </w:rPr>
      </w:pPr>
      <w:r w:rsidRPr="00C1264C">
        <w:rPr>
          <w:noProof/>
        </w:rPr>
        <w:t>Part 11 —Monitoring secondary markets and assisting compliance</w:t>
      </w:r>
      <w:r w:rsidRPr="00C1264C">
        <w:rPr>
          <w:noProof/>
        </w:rPr>
        <w:tab/>
      </w:r>
      <w:r w:rsidRPr="00C1264C">
        <w:rPr>
          <w:noProof/>
        </w:rPr>
        <w:fldChar w:fldCharType="begin"/>
      </w:r>
      <w:r w:rsidRPr="00C1264C">
        <w:rPr>
          <w:noProof/>
        </w:rPr>
        <w:instrText xml:space="preserve"> PAGEREF _Toc117517011 \h </w:instrText>
      </w:r>
      <w:r w:rsidRPr="00C1264C">
        <w:rPr>
          <w:noProof/>
        </w:rPr>
      </w:r>
      <w:r w:rsidRPr="00C1264C">
        <w:rPr>
          <w:noProof/>
        </w:rPr>
        <w:fldChar w:fldCharType="separate"/>
      </w:r>
      <w:r w:rsidR="001E7A96" w:rsidRPr="00C1264C">
        <w:rPr>
          <w:noProof/>
        </w:rPr>
        <w:t>22</w:t>
      </w:r>
      <w:r w:rsidRPr="00C1264C">
        <w:rPr>
          <w:noProof/>
        </w:rPr>
        <w:fldChar w:fldCharType="end"/>
      </w:r>
    </w:p>
    <w:p w14:paraId="2D47B2DF" w14:textId="7217B72F" w:rsidR="00186962" w:rsidRPr="00C1264C" w:rsidRDefault="00186962">
      <w:pPr>
        <w:pStyle w:val="TOC5"/>
        <w:rPr>
          <w:rFonts w:asciiTheme="minorHAnsi" w:eastAsiaTheme="minorEastAsia" w:hAnsiTheme="minorHAnsi" w:cstheme="minorBidi"/>
          <w:noProof/>
          <w:kern w:val="0"/>
          <w:sz w:val="22"/>
          <w:szCs w:val="22"/>
        </w:rPr>
      </w:pPr>
      <w:r w:rsidRPr="00C1264C">
        <w:rPr>
          <w:noProof/>
        </w:rPr>
        <w:t>42  Monitoring of secondary market activity and assisting compliance</w:t>
      </w:r>
      <w:r w:rsidRPr="00C1264C">
        <w:rPr>
          <w:noProof/>
        </w:rPr>
        <w:tab/>
      </w:r>
      <w:r w:rsidRPr="00C1264C">
        <w:rPr>
          <w:noProof/>
        </w:rPr>
        <w:fldChar w:fldCharType="begin"/>
      </w:r>
      <w:r w:rsidRPr="00C1264C">
        <w:rPr>
          <w:noProof/>
        </w:rPr>
        <w:instrText xml:space="preserve"> PAGEREF _Toc117517012 \h </w:instrText>
      </w:r>
      <w:r w:rsidRPr="00C1264C">
        <w:rPr>
          <w:noProof/>
        </w:rPr>
      </w:r>
      <w:r w:rsidRPr="00C1264C">
        <w:rPr>
          <w:noProof/>
        </w:rPr>
        <w:fldChar w:fldCharType="separate"/>
      </w:r>
      <w:r w:rsidR="001E7A96" w:rsidRPr="00C1264C">
        <w:rPr>
          <w:noProof/>
        </w:rPr>
        <w:t>22</w:t>
      </w:r>
      <w:r w:rsidRPr="00C1264C">
        <w:rPr>
          <w:noProof/>
        </w:rPr>
        <w:fldChar w:fldCharType="end"/>
      </w:r>
    </w:p>
    <w:p w14:paraId="32A5D2E7" w14:textId="12DB6B9B" w:rsidR="00186962" w:rsidRPr="00C1264C" w:rsidRDefault="00186962">
      <w:pPr>
        <w:pStyle w:val="TOC2"/>
        <w:rPr>
          <w:rFonts w:asciiTheme="minorHAnsi" w:eastAsiaTheme="minorEastAsia" w:hAnsiTheme="minorHAnsi" w:cstheme="minorBidi"/>
          <w:b w:val="0"/>
          <w:noProof/>
          <w:kern w:val="0"/>
          <w:sz w:val="22"/>
          <w:szCs w:val="22"/>
        </w:rPr>
      </w:pPr>
      <w:r w:rsidRPr="00C1264C">
        <w:rPr>
          <w:noProof/>
        </w:rPr>
        <w:t>Part 12 —Publication of information</w:t>
      </w:r>
      <w:r w:rsidRPr="00C1264C">
        <w:rPr>
          <w:noProof/>
        </w:rPr>
        <w:tab/>
      </w:r>
      <w:r w:rsidRPr="00C1264C">
        <w:rPr>
          <w:noProof/>
        </w:rPr>
        <w:fldChar w:fldCharType="begin"/>
      </w:r>
      <w:r w:rsidRPr="00C1264C">
        <w:rPr>
          <w:noProof/>
        </w:rPr>
        <w:instrText xml:space="preserve"> PAGEREF _Toc117517013 \h </w:instrText>
      </w:r>
      <w:r w:rsidRPr="00C1264C">
        <w:rPr>
          <w:noProof/>
        </w:rPr>
      </w:r>
      <w:r w:rsidRPr="00C1264C">
        <w:rPr>
          <w:noProof/>
        </w:rPr>
        <w:fldChar w:fldCharType="separate"/>
      </w:r>
      <w:r w:rsidR="001E7A96" w:rsidRPr="00C1264C">
        <w:rPr>
          <w:noProof/>
        </w:rPr>
        <w:t>23</w:t>
      </w:r>
      <w:r w:rsidRPr="00C1264C">
        <w:rPr>
          <w:noProof/>
        </w:rPr>
        <w:fldChar w:fldCharType="end"/>
      </w:r>
    </w:p>
    <w:p w14:paraId="1E98C31C" w14:textId="06BBD195" w:rsidR="00186962" w:rsidRPr="00C1264C" w:rsidRDefault="00186962">
      <w:pPr>
        <w:pStyle w:val="TOC5"/>
        <w:rPr>
          <w:rFonts w:asciiTheme="minorHAnsi" w:eastAsiaTheme="minorEastAsia" w:hAnsiTheme="minorHAnsi" w:cstheme="minorBidi"/>
          <w:noProof/>
          <w:kern w:val="0"/>
          <w:sz w:val="22"/>
          <w:szCs w:val="22"/>
        </w:rPr>
      </w:pPr>
      <w:r w:rsidRPr="00C1264C">
        <w:rPr>
          <w:noProof/>
        </w:rPr>
        <w:t>43  Information publication</w:t>
      </w:r>
      <w:r w:rsidRPr="00C1264C">
        <w:rPr>
          <w:noProof/>
        </w:rPr>
        <w:tab/>
      </w:r>
      <w:r w:rsidRPr="00C1264C">
        <w:rPr>
          <w:noProof/>
        </w:rPr>
        <w:fldChar w:fldCharType="begin"/>
      </w:r>
      <w:r w:rsidRPr="00C1264C">
        <w:rPr>
          <w:noProof/>
        </w:rPr>
        <w:instrText xml:space="preserve"> PAGEREF _Toc117517014 \h </w:instrText>
      </w:r>
      <w:r w:rsidRPr="00C1264C">
        <w:rPr>
          <w:noProof/>
        </w:rPr>
      </w:r>
      <w:r w:rsidRPr="00C1264C">
        <w:rPr>
          <w:noProof/>
        </w:rPr>
        <w:fldChar w:fldCharType="separate"/>
      </w:r>
      <w:r w:rsidR="001E7A96" w:rsidRPr="00C1264C">
        <w:rPr>
          <w:noProof/>
        </w:rPr>
        <w:t>23</w:t>
      </w:r>
      <w:r w:rsidRPr="00C1264C">
        <w:rPr>
          <w:noProof/>
        </w:rPr>
        <w:fldChar w:fldCharType="end"/>
      </w:r>
    </w:p>
    <w:p w14:paraId="6C504E43" w14:textId="25E94B85" w:rsidR="00536929" w:rsidRPr="00C1264C" w:rsidRDefault="002309B3" w:rsidP="00536929">
      <w:pPr>
        <w:spacing w:line="240" w:lineRule="auto"/>
      </w:pPr>
      <w:r w:rsidRPr="00C1264C">
        <w:fldChar w:fldCharType="end"/>
      </w:r>
      <w:r w:rsidR="00536929" w:rsidRPr="00C1264C">
        <w:br w:type="page"/>
      </w:r>
    </w:p>
    <w:p w14:paraId="5FD763EA" w14:textId="77777777" w:rsidR="00F47AAB" w:rsidRPr="00C1264C" w:rsidRDefault="002309B3" w:rsidP="00C46149">
      <w:pPr>
        <w:pStyle w:val="h2Part"/>
      </w:pPr>
      <w:r w:rsidRPr="00C1264C">
        <w:lastRenderedPageBreak/>
        <w:fldChar w:fldCharType="begin"/>
      </w:r>
      <w:bookmarkStart w:id="3" w:name="_Ref412104339"/>
      <w:bookmarkEnd w:id="3"/>
      <w:r w:rsidR="00C46149" w:rsidRPr="00C1264C">
        <w:instrText xml:space="preserve">  LISTNUM "main numbering" \l 2 \* MERGEFORMAT </w:instrText>
      </w:r>
      <w:bookmarkStart w:id="4" w:name="_Toc117516960"/>
      <w:r w:rsidRPr="00C1264C">
        <w:fldChar w:fldCharType="end"/>
      </w:r>
      <w:r w:rsidR="00C46149" w:rsidRPr="00C1264C">
        <w:t>—</w:t>
      </w:r>
      <w:bookmarkStart w:id="5" w:name="_Toc405889304"/>
      <w:r w:rsidR="00F47AAB" w:rsidRPr="00C1264C">
        <w:t>Preliminary</w:t>
      </w:r>
      <w:bookmarkEnd w:id="4"/>
      <w:bookmarkEnd w:id="5"/>
    </w:p>
    <w:p w14:paraId="6520E059" w14:textId="77777777" w:rsidR="00F47AAB" w:rsidRPr="00C1264C" w:rsidRDefault="002309B3" w:rsidP="00AD7BE4">
      <w:pPr>
        <w:pStyle w:val="h5Section"/>
      </w:pPr>
      <w:r w:rsidRPr="00C1264C">
        <w:fldChar w:fldCharType="begin"/>
      </w:r>
      <w:r w:rsidR="00AD7BE4" w:rsidRPr="00C1264C">
        <w:instrText xml:space="preserve">  LISTNUM "main numbering" \l 5 \* MERGEFORMAT </w:instrText>
      </w:r>
      <w:bookmarkStart w:id="6" w:name="_Toc405889305"/>
      <w:bookmarkStart w:id="7" w:name="_Toc117516961"/>
      <w:r w:rsidRPr="00C1264C">
        <w:fldChar w:fldCharType="end"/>
      </w:r>
      <w:r w:rsidR="00AD7BE4" w:rsidRPr="00C1264C">
        <w:t xml:space="preserve"> </w:t>
      </w:r>
      <w:r w:rsidR="004040B2" w:rsidRPr="00C1264C">
        <w:t xml:space="preserve"> </w:t>
      </w:r>
      <w:r w:rsidR="00F47AAB" w:rsidRPr="00C1264C">
        <w:t>Name</w:t>
      </w:r>
      <w:bookmarkEnd w:id="6"/>
      <w:bookmarkEnd w:id="7"/>
    </w:p>
    <w:p w14:paraId="394B9617" w14:textId="7FC39A2C" w:rsidR="00F47AAB" w:rsidRPr="00C1264C" w:rsidRDefault="00F47AAB" w:rsidP="00F47AAB">
      <w:pPr>
        <w:pStyle w:val="tMain"/>
      </w:pPr>
      <w:r w:rsidRPr="00C1264C">
        <w:tab/>
      </w:r>
      <w:r w:rsidRPr="00C1264C">
        <w:tab/>
        <w:t>This</w:t>
      </w:r>
      <w:r w:rsidR="001E0380" w:rsidRPr="00C1264C">
        <w:t xml:space="preserve"> instrument</w:t>
      </w:r>
      <w:r w:rsidRPr="00C1264C">
        <w:t xml:space="preserve"> is the </w:t>
      </w:r>
      <w:bookmarkStart w:id="8" w:name="BKCheck15B_3"/>
      <w:bookmarkEnd w:id="8"/>
      <w:r w:rsidR="002309B3" w:rsidRPr="00C1264C">
        <w:rPr>
          <w:i/>
        </w:rPr>
        <w:fldChar w:fldCharType="begin"/>
      </w:r>
      <w:r w:rsidRPr="00C1264C">
        <w:rPr>
          <w:i/>
        </w:rPr>
        <w:instrText xml:space="preserve"> STYLEREF  ShortT </w:instrText>
      </w:r>
      <w:r w:rsidR="002309B3" w:rsidRPr="00C1264C">
        <w:rPr>
          <w:i/>
        </w:rPr>
        <w:fldChar w:fldCharType="separate"/>
      </w:r>
      <w:r w:rsidR="001E7A96" w:rsidRPr="00C1264C">
        <w:rPr>
          <w:i/>
          <w:noProof/>
        </w:rPr>
        <w:t>Fuel Security (Minimum Stockholding Obligation) Rules 2022</w:t>
      </w:r>
      <w:r w:rsidR="002309B3" w:rsidRPr="00C1264C">
        <w:rPr>
          <w:i/>
        </w:rPr>
        <w:fldChar w:fldCharType="end"/>
      </w:r>
      <w:r w:rsidRPr="00C1264C">
        <w:t>.</w:t>
      </w:r>
    </w:p>
    <w:p w14:paraId="23C9CF71" w14:textId="77777777" w:rsidR="00AD7BE4" w:rsidRPr="00C1264C" w:rsidRDefault="002309B3" w:rsidP="00AD7BE4">
      <w:pPr>
        <w:pStyle w:val="h5Section"/>
      </w:pPr>
      <w:r w:rsidRPr="00C1264C">
        <w:fldChar w:fldCharType="begin"/>
      </w:r>
      <w:r w:rsidR="00AD7BE4" w:rsidRPr="00C1264C">
        <w:instrText xml:space="preserve">  LISTNUM "main numbering" \l 5 \* MERGEFORMAT </w:instrText>
      </w:r>
      <w:bookmarkStart w:id="9" w:name="_Toc405889306"/>
      <w:bookmarkStart w:id="10" w:name="_Toc117516962"/>
      <w:r w:rsidRPr="00C1264C">
        <w:fldChar w:fldCharType="end"/>
      </w:r>
      <w:r w:rsidR="00AD7BE4" w:rsidRPr="00C1264C">
        <w:t xml:space="preserve">  Commencement</w:t>
      </w:r>
      <w:bookmarkEnd w:id="9"/>
      <w:bookmarkEnd w:id="10"/>
    </w:p>
    <w:p w14:paraId="1027E8C9" w14:textId="77777777" w:rsidR="00AD7BE4" w:rsidRPr="00C1264C" w:rsidRDefault="00AD7BE4" w:rsidP="00AD7BE4">
      <w:pPr>
        <w:pStyle w:val="tMain"/>
      </w:pPr>
      <w:r w:rsidRPr="00C1264C">
        <w:tab/>
      </w:r>
      <w:r w:rsidRPr="00C1264C">
        <w:tab/>
        <w:t xml:space="preserve">This </w:t>
      </w:r>
      <w:r w:rsidR="00634D19" w:rsidRPr="00C1264C">
        <w:t>instrument</w:t>
      </w:r>
      <w:r w:rsidRPr="00C1264C">
        <w:t xml:space="preserve"> commences on the day after it is registered.</w:t>
      </w:r>
    </w:p>
    <w:p w14:paraId="661A2C7A" w14:textId="77777777" w:rsidR="00AD7BE4" w:rsidRPr="00C1264C" w:rsidRDefault="002309B3" w:rsidP="00AD7BE4">
      <w:pPr>
        <w:pStyle w:val="h5Section"/>
      </w:pPr>
      <w:r w:rsidRPr="00C1264C">
        <w:fldChar w:fldCharType="begin"/>
      </w:r>
      <w:r w:rsidR="00AD7BE4" w:rsidRPr="00C1264C">
        <w:instrText xml:space="preserve">  LISTNUM "main numbering" \l 5 \* MERGEFORMAT </w:instrText>
      </w:r>
      <w:bookmarkStart w:id="11" w:name="_Toc405889307"/>
      <w:bookmarkStart w:id="12" w:name="_Toc117516963"/>
      <w:r w:rsidRPr="00C1264C">
        <w:fldChar w:fldCharType="end"/>
      </w:r>
      <w:r w:rsidR="00AD7BE4" w:rsidRPr="00C1264C">
        <w:t xml:space="preserve">  Authority</w:t>
      </w:r>
      <w:bookmarkEnd w:id="11"/>
      <w:bookmarkEnd w:id="12"/>
    </w:p>
    <w:p w14:paraId="15292CC6" w14:textId="77777777" w:rsidR="00AD7BE4" w:rsidRPr="00C1264C" w:rsidRDefault="00AD7BE4" w:rsidP="00AD7BE4">
      <w:pPr>
        <w:pStyle w:val="tMain"/>
      </w:pPr>
      <w:r w:rsidRPr="00C1264C">
        <w:tab/>
      </w:r>
      <w:r w:rsidRPr="00C1264C">
        <w:tab/>
        <w:t xml:space="preserve">This </w:t>
      </w:r>
      <w:r w:rsidR="00634D19" w:rsidRPr="00C1264C">
        <w:t xml:space="preserve">instrument is made </w:t>
      </w:r>
      <w:r w:rsidR="000B3F0C" w:rsidRPr="00C1264C">
        <w:t>under subsection 84</w:t>
      </w:r>
      <w:r w:rsidRPr="00C1264C">
        <w:t xml:space="preserve">(1) of the </w:t>
      </w:r>
      <w:r w:rsidR="00634D19" w:rsidRPr="00C1264C">
        <w:rPr>
          <w:i/>
        </w:rPr>
        <w:t>Fuel Security Act 2021</w:t>
      </w:r>
      <w:r w:rsidRPr="00C1264C">
        <w:t>.</w:t>
      </w:r>
    </w:p>
    <w:p w14:paraId="67A76359" w14:textId="77777777" w:rsidR="00AD7BE4" w:rsidRPr="00C1264C" w:rsidRDefault="002309B3" w:rsidP="00AD7BE4">
      <w:pPr>
        <w:pStyle w:val="h5Section"/>
      </w:pPr>
      <w:r w:rsidRPr="00C1264C">
        <w:fldChar w:fldCharType="begin"/>
      </w:r>
      <w:r w:rsidR="00AD7BE4" w:rsidRPr="00C1264C">
        <w:instrText xml:space="preserve">  LISTNUM "main numbering" \l 5 \* MERGEFORMAT </w:instrText>
      </w:r>
      <w:bookmarkStart w:id="13" w:name="_Toc405889309"/>
      <w:bookmarkStart w:id="14" w:name="_Toc117516964"/>
      <w:r w:rsidRPr="00C1264C">
        <w:fldChar w:fldCharType="end"/>
      </w:r>
      <w:r w:rsidR="00AD7BE4" w:rsidRPr="00C1264C">
        <w:t xml:space="preserve">  Definitions</w:t>
      </w:r>
      <w:bookmarkEnd w:id="13"/>
      <w:bookmarkEnd w:id="14"/>
    </w:p>
    <w:p w14:paraId="1B9B28BF" w14:textId="77777777" w:rsidR="00BC4926" w:rsidRPr="00C1264C" w:rsidRDefault="00BC4926" w:rsidP="00BC4926">
      <w:pPr>
        <w:pStyle w:val="notetext"/>
        <w:shd w:val="clear" w:color="auto" w:fill="FFFFFF"/>
        <w:spacing w:before="122" w:beforeAutospacing="0" w:after="0" w:afterAutospacing="0"/>
        <w:ind w:left="1985" w:hanging="851"/>
        <w:rPr>
          <w:sz w:val="18"/>
          <w:szCs w:val="18"/>
        </w:rPr>
      </w:pPr>
      <w:r w:rsidRPr="00C1264C">
        <w:rPr>
          <w:sz w:val="18"/>
          <w:szCs w:val="18"/>
        </w:rPr>
        <w:t>Note:          A number of expressions used in this instrument are defined in the Act, including the following:</w:t>
      </w:r>
    </w:p>
    <w:p w14:paraId="2A76F1F1" w14:textId="77777777" w:rsidR="000B4043" w:rsidRPr="00C1264C" w:rsidRDefault="00BC4926" w:rsidP="00BC4926">
      <w:pPr>
        <w:pStyle w:val="notepara"/>
        <w:shd w:val="clear" w:color="auto" w:fill="FFFFFF"/>
        <w:spacing w:before="40" w:beforeAutospacing="0" w:after="0" w:afterAutospacing="0" w:line="198" w:lineRule="atLeast"/>
        <w:ind w:left="2354" w:hanging="369"/>
        <w:rPr>
          <w:sz w:val="18"/>
          <w:szCs w:val="18"/>
        </w:rPr>
      </w:pPr>
      <w:r w:rsidRPr="00C1264C">
        <w:rPr>
          <w:sz w:val="18"/>
          <w:szCs w:val="18"/>
        </w:rPr>
        <w:t>(a)</w:t>
      </w:r>
      <w:r w:rsidR="000B4043" w:rsidRPr="00C1264C">
        <w:rPr>
          <w:sz w:val="18"/>
          <w:szCs w:val="18"/>
        </w:rPr>
        <w:tab/>
        <w:t>Australian controlling corporation;</w:t>
      </w:r>
    </w:p>
    <w:p w14:paraId="302C7A20" w14:textId="77777777" w:rsidR="00F75A9C" w:rsidRPr="00C1264C" w:rsidRDefault="00F75A9C" w:rsidP="00BC4926">
      <w:pPr>
        <w:pStyle w:val="notepara"/>
        <w:shd w:val="clear" w:color="auto" w:fill="FFFFFF"/>
        <w:spacing w:before="40" w:beforeAutospacing="0" w:after="0" w:afterAutospacing="0" w:line="198" w:lineRule="atLeast"/>
        <w:ind w:left="2354" w:hanging="369"/>
        <w:rPr>
          <w:sz w:val="18"/>
          <w:szCs w:val="18"/>
        </w:rPr>
      </w:pPr>
      <w:r w:rsidRPr="00C1264C">
        <w:rPr>
          <w:sz w:val="18"/>
          <w:szCs w:val="18"/>
        </w:rPr>
        <w:t>(b)</w:t>
      </w:r>
      <w:r w:rsidRPr="00C1264C">
        <w:rPr>
          <w:sz w:val="18"/>
          <w:szCs w:val="18"/>
        </w:rPr>
        <w:tab/>
        <w:t>MSO;</w:t>
      </w:r>
    </w:p>
    <w:p w14:paraId="3555F3B8" w14:textId="77777777" w:rsidR="00F75A9C" w:rsidRPr="00C1264C" w:rsidRDefault="00F75A9C" w:rsidP="00BC4926">
      <w:pPr>
        <w:pStyle w:val="notepara"/>
        <w:shd w:val="clear" w:color="auto" w:fill="FFFFFF"/>
        <w:spacing w:before="40" w:beforeAutospacing="0" w:after="0" w:afterAutospacing="0" w:line="198" w:lineRule="atLeast"/>
        <w:ind w:left="2354" w:hanging="369"/>
        <w:rPr>
          <w:sz w:val="18"/>
          <w:szCs w:val="18"/>
        </w:rPr>
      </w:pPr>
      <w:r w:rsidRPr="00C1264C">
        <w:rPr>
          <w:sz w:val="18"/>
          <w:szCs w:val="18"/>
        </w:rPr>
        <w:t>(c)</w:t>
      </w:r>
      <w:r w:rsidRPr="00C1264C">
        <w:rPr>
          <w:sz w:val="18"/>
          <w:szCs w:val="18"/>
        </w:rPr>
        <w:tab/>
        <w:t>MSO activity;</w:t>
      </w:r>
    </w:p>
    <w:p w14:paraId="3D73A85E" w14:textId="77777777" w:rsidR="00BC4926" w:rsidRPr="00C1264C" w:rsidRDefault="00F75A9C" w:rsidP="00BC4926">
      <w:pPr>
        <w:pStyle w:val="notepara"/>
        <w:shd w:val="clear" w:color="auto" w:fill="FFFFFF"/>
        <w:spacing w:before="40" w:beforeAutospacing="0" w:after="0" w:afterAutospacing="0" w:line="198" w:lineRule="atLeast"/>
        <w:ind w:left="2354" w:hanging="369"/>
        <w:rPr>
          <w:sz w:val="18"/>
          <w:szCs w:val="18"/>
        </w:rPr>
      </w:pPr>
      <w:r w:rsidRPr="00C1264C">
        <w:rPr>
          <w:sz w:val="18"/>
          <w:szCs w:val="18"/>
        </w:rPr>
        <w:t>(d</w:t>
      </w:r>
      <w:r w:rsidR="000B4043" w:rsidRPr="00C1264C">
        <w:rPr>
          <w:sz w:val="18"/>
          <w:szCs w:val="18"/>
        </w:rPr>
        <w:t>)</w:t>
      </w:r>
      <w:r w:rsidR="00BC4926" w:rsidRPr="00C1264C">
        <w:rPr>
          <w:sz w:val="18"/>
          <w:szCs w:val="18"/>
        </w:rPr>
        <w:t xml:space="preserve">    MSO </w:t>
      </w:r>
      <w:r w:rsidRPr="00C1264C">
        <w:rPr>
          <w:sz w:val="18"/>
          <w:szCs w:val="18"/>
        </w:rPr>
        <w:t>product.</w:t>
      </w:r>
    </w:p>
    <w:p w14:paraId="190F05C7" w14:textId="77777777" w:rsidR="00380FB2" w:rsidRPr="00C1264C" w:rsidRDefault="00AD7BE4" w:rsidP="00DF0EE1">
      <w:pPr>
        <w:pStyle w:val="tMain"/>
      </w:pPr>
      <w:r w:rsidRPr="00C1264C">
        <w:tab/>
      </w:r>
      <w:r w:rsidRPr="00C1264C">
        <w:tab/>
        <w:t xml:space="preserve">In this </w:t>
      </w:r>
      <w:r w:rsidR="00372DF1" w:rsidRPr="00C1264C">
        <w:t>instrument</w:t>
      </w:r>
      <w:r w:rsidRPr="00C1264C">
        <w:t>:</w:t>
      </w:r>
    </w:p>
    <w:p w14:paraId="705D5EC9" w14:textId="77777777" w:rsidR="00380FB2" w:rsidRPr="00C1264C" w:rsidRDefault="00380FB2" w:rsidP="00380FB2">
      <w:pPr>
        <w:pStyle w:val="tDefn"/>
      </w:pPr>
      <w:r w:rsidRPr="00C1264C">
        <w:rPr>
          <w:b/>
          <w:i/>
        </w:rPr>
        <w:t>Act</w:t>
      </w:r>
      <w:r w:rsidRPr="00C1264C">
        <w:t xml:space="preserve"> means the </w:t>
      </w:r>
      <w:r w:rsidR="00634D19" w:rsidRPr="00C1264C">
        <w:rPr>
          <w:i/>
        </w:rPr>
        <w:t>Fuel Security Act 2021</w:t>
      </w:r>
      <w:r w:rsidRPr="00C1264C">
        <w:t>.</w:t>
      </w:r>
    </w:p>
    <w:p w14:paraId="490A2766" w14:textId="77777777" w:rsidR="00DF0EE1" w:rsidRPr="00C1264C" w:rsidRDefault="00DF0EE1" w:rsidP="00380FB2">
      <w:pPr>
        <w:pStyle w:val="tDefn"/>
        <w:rPr>
          <w:b/>
        </w:rPr>
      </w:pPr>
      <w:r w:rsidRPr="00C1264C">
        <w:rPr>
          <w:b/>
          <w:i/>
        </w:rPr>
        <w:t>FQS Act</w:t>
      </w:r>
      <w:r w:rsidRPr="00C1264C">
        <w:rPr>
          <w:b/>
        </w:rPr>
        <w:t xml:space="preserve"> </w:t>
      </w:r>
      <w:r w:rsidRPr="00C1264C">
        <w:t xml:space="preserve">means the </w:t>
      </w:r>
      <w:r w:rsidRPr="00C1264C">
        <w:rPr>
          <w:i/>
        </w:rPr>
        <w:t>Fuel Quality Standards Act 2000</w:t>
      </w:r>
      <w:r w:rsidR="00397CC2" w:rsidRPr="00C1264C">
        <w:rPr>
          <w:i/>
        </w:rPr>
        <w:t>.</w:t>
      </w:r>
    </w:p>
    <w:p w14:paraId="259660ED" w14:textId="77777777" w:rsidR="005F0D83" w:rsidRPr="00C1264C" w:rsidRDefault="005F0D83" w:rsidP="00380FB2">
      <w:pPr>
        <w:pStyle w:val="tDefn"/>
      </w:pPr>
      <w:r w:rsidRPr="00C1264C">
        <w:rPr>
          <w:b/>
          <w:i/>
        </w:rPr>
        <w:t xml:space="preserve">FSSP Rule </w:t>
      </w:r>
      <w:r w:rsidRPr="00C1264C">
        <w:t xml:space="preserve">means the </w:t>
      </w:r>
      <w:r w:rsidRPr="00C1264C">
        <w:rPr>
          <w:i/>
          <w:iCs/>
          <w:szCs w:val="22"/>
          <w:shd w:val="clear" w:color="auto" w:fill="FFFFFF"/>
        </w:rPr>
        <w:t>Fuel Security (Fuel Security Services Payment) Rule 2021.</w:t>
      </w:r>
    </w:p>
    <w:p w14:paraId="15113B04" w14:textId="77777777" w:rsidR="005960AC" w:rsidRPr="00C1264C" w:rsidRDefault="005960AC" w:rsidP="00380FB2">
      <w:pPr>
        <w:pStyle w:val="tDefn"/>
      </w:pPr>
      <w:r w:rsidRPr="00C1264C">
        <w:rPr>
          <w:b/>
          <w:i/>
        </w:rPr>
        <w:t>MSO compliance plan</w:t>
      </w:r>
      <w:r w:rsidRPr="00C1264C">
        <w:t xml:space="preserve"> means a plan prepared and kept up to date for section 36 of the Act.</w:t>
      </w:r>
    </w:p>
    <w:p w14:paraId="5111D6E7" w14:textId="77777777" w:rsidR="003542C9" w:rsidRPr="00C1264C" w:rsidRDefault="003542C9" w:rsidP="00380FB2">
      <w:pPr>
        <w:pStyle w:val="tDefn"/>
        <w:rPr>
          <w:b/>
        </w:rPr>
      </w:pPr>
      <w:r w:rsidRPr="00C1264C">
        <w:rPr>
          <w:b/>
          <w:i/>
        </w:rPr>
        <w:t>N10 form</w:t>
      </w:r>
      <w:r w:rsidRPr="00C1264C">
        <w:rPr>
          <w:b/>
        </w:rPr>
        <w:t xml:space="preserve"> </w:t>
      </w:r>
      <w:r w:rsidRPr="00C1264C">
        <w:t xml:space="preserve">means the </w:t>
      </w:r>
      <w:r w:rsidRPr="00C1264C">
        <w:rPr>
          <w:i/>
        </w:rPr>
        <w:t>Import declaration (N10)</w:t>
      </w:r>
      <w:r w:rsidRPr="00C1264C">
        <w:t xml:space="preserve"> form approved under section 71K of the </w:t>
      </w:r>
      <w:r w:rsidRPr="00C1264C">
        <w:rPr>
          <w:i/>
        </w:rPr>
        <w:t xml:space="preserve">Customs Act 1901, </w:t>
      </w:r>
      <w:r w:rsidRPr="00C1264C">
        <w:t>as in force from time to time.</w:t>
      </w:r>
    </w:p>
    <w:p w14:paraId="346E3C94" w14:textId="77777777" w:rsidR="003542C9" w:rsidRPr="00C1264C" w:rsidRDefault="003542C9" w:rsidP="00380FB2">
      <w:pPr>
        <w:pStyle w:val="tDefn"/>
      </w:pPr>
      <w:r w:rsidRPr="00C1264C">
        <w:rPr>
          <w:b/>
          <w:i/>
        </w:rPr>
        <w:t xml:space="preserve">N30 form </w:t>
      </w:r>
      <w:r w:rsidRPr="00C1264C">
        <w:t xml:space="preserve">means the </w:t>
      </w:r>
      <w:r w:rsidRPr="00C1264C">
        <w:rPr>
          <w:i/>
        </w:rPr>
        <w:t>Import declaration out of warehouse (Import declaration N30)</w:t>
      </w:r>
      <w:r w:rsidRPr="00C1264C">
        <w:t xml:space="preserve"> form approved under section 71K of the </w:t>
      </w:r>
      <w:r w:rsidRPr="00C1264C">
        <w:rPr>
          <w:i/>
        </w:rPr>
        <w:t>Customs Act 1901,</w:t>
      </w:r>
      <w:r w:rsidRPr="00C1264C">
        <w:t xml:space="preserve"> as in force from time to time.</w:t>
      </w:r>
    </w:p>
    <w:p w14:paraId="0416B962" w14:textId="77777777" w:rsidR="00260B33" w:rsidRPr="00C1264C" w:rsidRDefault="00260B33" w:rsidP="00380FB2">
      <w:pPr>
        <w:pStyle w:val="tDefn"/>
        <w:rPr>
          <w:b/>
          <w:i/>
        </w:rPr>
      </w:pPr>
      <w:r w:rsidRPr="00C1264C">
        <w:rPr>
          <w:b/>
          <w:bCs/>
          <w:i/>
          <w:iCs/>
          <w:szCs w:val="22"/>
          <w:shd w:val="clear" w:color="auto" w:fill="FFFFFF"/>
        </w:rPr>
        <w:t>NGER (Audit) Determination </w:t>
      </w:r>
      <w:r w:rsidRPr="00C1264C">
        <w:rPr>
          <w:szCs w:val="22"/>
          <w:shd w:val="clear" w:color="auto" w:fill="FFFFFF"/>
        </w:rPr>
        <w:t>means the</w:t>
      </w:r>
      <w:r w:rsidRPr="00C1264C">
        <w:rPr>
          <w:b/>
          <w:bCs/>
          <w:szCs w:val="22"/>
          <w:shd w:val="clear" w:color="auto" w:fill="FFFFFF"/>
        </w:rPr>
        <w:t> </w:t>
      </w:r>
      <w:r w:rsidRPr="00C1264C">
        <w:rPr>
          <w:i/>
          <w:iCs/>
          <w:szCs w:val="22"/>
          <w:shd w:val="clear" w:color="auto" w:fill="FFFFFF"/>
        </w:rPr>
        <w:t>National Greenhouse and Energy Reporting (Audit) Determination 2009.</w:t>
      </w:r>
    </w:p>
    <w:p w14:paraId="76D2A03E" w14:textId="77777777" w:rsidR="00B8447E" w:rsidRPr="00C1264C" w:rsidRDefault="00B8447E" w:rsidP="00380FB2">
      <w:pPr>
        <w:pStyle w:val="tDefn"/>
      </w:pPr>
      <w:r w:rsidRPr="00C1264C">
        <w:rPr>
          <w:b/>
          <w:i/>
        </w:rPr>
        <w:t>POFR Act</w:t>
      </w:r>
      <w:r w:rsidRPr="00C1264C">
        <w:t xml:space="preserve"> means the </w:t>
      </w:r>
      <w:r w:rsidRPr="00C1264C">
        <w:rPr>
          <w:i/>
        </w:rPr>
        <w:t>Petroleum and Other Fuels Reporting Act 2017.</w:t>
      </w:r>
    </w:p>
    <w:p w14:paraId="095A5AD8" w14:textId="77777777" w:rsidR="00B47F12" w:rsidRPr="00C1264C" w:rsidRDefault="00B47F12" w:rsidP="00380FB2">
      <w:pPr>
        <w:pStyle w:val="tDefn"/>
        <w:rPr>
          <w:i/>
        </w:rPr>
      </w:pPr>
      <w:r w:rsidRPr="00C1264C">
        <w:rPr>
          <w:b/>
          <w:i/>
        </w:rPr>
        <w:t>POFR rules</w:t>
      </w:r>
      <w:r w:rsidRPr="00C1264C">
        <w:t xml:space="preserve"> means the </w:t>
      </w:r>
      <w:r w:rsidRPr="00C1264C">
        <w:rPr>
          <w:i/>
        </w:rPr>
        <w:t>Petroleum and Other Fuels Reporting Rules 2017</w:t>
      </w:r>
      <w:r w:rsidR="00DF0EE1" w:rsidRPr="00C1264C">
        <w:rPr>
          <w:i/>
        </w:rPr>
        <w:t>.</w:t>
      </w:r>
    </w:p>
    <w:p w14:paraId="6A5BCEBB" w14:textId="77777777" w:rsidR="003A3751" w:rsidRPr="00C1264C" w:rsidRDefault="003A3751" w:rsidP="00380FB2">
      <w:pPr>
        <w:pStyle w:val="tDefn"/>
      </w:pPr>
      <w:r w:rsidRPr="00C1264C">
        <w:rPr>
          <w:b/>
          <w:i/>
        </w:rPr>
        <w:t xml:space="preserve">Refinery Upgrades Program </w:t>
      </w:r>
      <w:r w:rsidRPr="00C1264C">
        <w:t xml:space="preserve">means the program established by the </w:t>
      </w:r>
      <w:r w:rsidRPr="00C1264C">
        <w:rPr>
          <w:i/>
        </w:rPr>
        <w:t>Industry Research and Development (Refinery Upgrades Program) Instrument 2021</w:t>
      </w:r>
      <w:r w:rsidRPr="00C1264C">
        <w:t xml:space="preserve">. </w:t>
      </w:r>
    </w:p>
    <w:p w14:paraId="5F16D9F6" w14:textId="77777777" w:rsidR="007B7040" w:rsidRPr="00C1264C" w:rsidRDefault="007B7040" w:rsidP="00380FB2">
      <w:pPr>
        <w:pStyle w:val="tDefn"/>
      </w:pPr>
      <w:r w:rsidRPr="00C1264C">
        <w:rPr>
          <w:b/>
          <w:i/>
        </w:rPr>
        <w:t>section 24 arrangement</w:t>
      </w:r>
      <w:r w:rsidRPr="00C1264C">
        <w:t xml:space="preserve"> </w:t>
      </w:r>
      <w:r w:rsidR="00BC4926" w:rsidRPr="00C1264C">
        <w:t xml:space="preserve">means </w:t>
      </w:r>
      <w:r w:rsidRPr="00C1264C">
        <w:t>an arrangement with effect under section 24 of the Act that MSO product is held for another entity.</w:t>
      </w:r>
    </w:p>
    <w:p w14:paraId="549C2316" w14:textId="046BD4FB" w:rsidR="00592CEC" w:rsidRPr="00C1264C" w:rsidRDefault="00445A2F" w:rsidP="00380FB2">
      <w:pPr>
        <w:pStyle w:val="tDefn"/>
        <w:sectPr w:rsidR="00592CEC" w:rsidRPr="00C1264C" w:rsidSect="00B1356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titlePg/>
          <w:docGrid w:linePitch="360"/>
        </w:sectPr>
      </w:pPr>
      <w:r w:rsidRPr="00C1264C">
        <w:rPr>
          <w:b/>
          <w:i/>
        </w:rPr>
        <w:t>trigger assessment period</w:t>
      </w:r>
      <w:r w:rsidR="00C965C7" w:rsidRPr="00C1264C">
        <w:t xml:space="preserve">: </w:t>
      </w:r>
      <w:r w:rsidRPr="00C1264C">
        <w:t xml:space="preserve">see section </w:t>
      </w:r>
      <w:r w:rsidR="005B0B73" w:rsidRPr="00C1264C">
        <w:fldChar w:fldCharType="begin"/>
      </w:r>
      <w:r w:rsidR="005B0B73" w:rsidRPr="00C1264C">
        <w:instrText xml:space="preserve"> REF _Ref86430010 \n \h </w:instrText>
      </w:r>
      <w:r w:rsidR="00C1264C">
        <w:instrText xml:space="preserve"> \* MERGEFORMAT </w:instrText>
      </w:r>
      <w:r w:rsidR="005B0B73" w:rsidRPr="00C1264C">
        <w:fldChar w:fldCharType="separate"/>
      </w:r>
      <w:r w:rsidR="001E7A96" w:rsidRPr="00C1264C">
        <w:t>16</w:t>
      </w:r>
      <w:r w:rsidR="005B0B73" w:rsidRPr="00C1264C">
        <w:fldChar w:fldCharType="end"/>
      </w:r>
      <w:r w:rsidRPr="00C1264C">
        <w:t>.</w:t>
      </w:r>
    </w:p>
    <w:p w14:paraId="4E703C86" w14:textId="77777777" w:rsidR="00380FB2" w:rsidRPr="00C1264C" w:rsidRDefault="002309B3" w:rsidP="00372DF1">
      <w:pPr>
        <w:pStyle w:val="h2Part"/>
        <w:rPr>
          <w:rStyle w:val="CharDivText"/>
        </w:rPr>
      </w:pPr>
      <w:r w:rsidRPr="00C1264C">
        <w:rPr>
          <w:rStyle w:val="CharPartNo"/>
        </w:rPr>
        <w:lastRenderedPageBreak/>
        <w:fldChar w:fldCharType="begin"/>
      </w:r>
      <w:r w:rsidR="00380FB2" w:rsidRPr="00C1264C">
        <w:rPr>
          <w:rStyle w:val="CharPartNo"/>
        </w:rPr>
        <w:instrText xml:space="preserve">  LISTNUM "main numbering" \l 2 \* MERGEFORMAT </w:instrText>
      </w:r>
      <w:bookmarkStart w:id="15" w:name="_Toc405889310"/>
      <w:bookmarkStart w:id="16" w:name="_Toc117516965"/>
      <w:r w:rsidRPr="00C1264C">
        <w:rPr>
          <w:rStyle w:val="CharPartNo"/>
        </w:rPr>
        <w:fldChar w:fldCharType="end"/>
      </w:r>
      <w:r w:rsidR="00380FB2" w:rsidRPr="00C1264C">
        <w:rPr>
          <w:rStyle w:val="CharPartNo"/>
        </w:rPr>
        <w:t>—</w:t>
      </w:r>
      <w:bookmarkEnd w:id="15"/>
      <w:r w:rsidR="00C551F0" w:rsidRPr="00C1264C">
        <w:rPr>
          <w:rStyle w:val="CharPartNo"/>
        </w:rPr>
        <w:t xml:space="preserve">Importing, </w:t>
      </w:r>
      <w:r w:rsidR="0002648C" w:rsidRPr="00C1264C">
        <w:rPr>
          <w:rStyle w:val="CharPartText"/>
        </w:rPr>
        <w:t>MSO products</w:t>
      </w:r>
      <w:r w:rsidR="00380FB2" w:rsidRPr="00C1264C">
        <w:rPr>
          <w:rStyle w:val="CharDivText"/>
        </w:rPr>
        <w:t xml:space="preserve"> </w:t>
      </w:r>
      <w:r w:rsidR="00F261B9" w:rsidRPr="00C1264C">
        <w:rPr>
          <w:rStyle w:val="CharDivText"/>
        </w:rPr>
        <w:t>and stock holding</w:t>
      </w:r>
      <w:bookmarkEnd w:id="16"/>
    </w:p>
    <w:p w14:paraId="42CECA67" w14:textId="77777777" w:rsidR="00C551F0" w:rsidRPr="00C1264C" w:rsidRDefault="00C551F0" w:rsidP="00C551F0">
      <w:pPr>
        <w:pStyle w:val="h5Section"/>
      </w:pPr>
      <w:r w:rsidRPr="00C1264C">
        <w:fldChar w:fldCharType="begin"/>
      </w:r>
      <w:bookmarkStart w:id="17" w:name="_Ref96430594"/>
      <w:bookmarkEnd w:id="17"/>
      <w:r w:rsidRPr="00C1264C">
        <w:instrText xml:space="preserve">  LISTNUM "main numbering" \l 5 \* MERGEFORMAT </w:instrText>
      </w:r>
      <w:bookmarkStart w:id="18" w:name="_Toc117516966"/>
      <w:r w:rsidRPr="00C1264C">
        <w:fldChar w:fldCharType="end"/>
      </w:r>
      <w:r w:rsidRPr="00C1264C">
        <w:t xml:space="preserve">  </w:t>
      </w:r>
      <w:r w:rsidR="00697AFB" w:rsidRPr="00C1264C">
        <w:t>Importing</w:t>
      </w:r>
      <w:bookmarkEnd w:id="18"/>
    </w:p>
    <w:p w14:paraId="1237B693" w14:textId="77777777" w:rsidR="00C551F0" w:rsidRPr="00C1264C" w:rsidRDefault="008F7AE4" w:rsidP="008F7AE4">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r>
      <w:r w:rsidR="00C551F0" w:rsidRPr="00C1264C">
        <w:t xml:space="preserve">This section prescribes </w:t>
      </w:r>
      <w:r w:rsidRPr="00C1264C">
        <w:t>acts that constitute the importation of an MSO product for paragraph (b) of the definition of “import” in section 5 of the Act</w:t>
      </w:r>
      <w:r w:rsidR="00C551F0" w:rsidRPr="00C1264C">
        <w:t>.</w:t>
      </w:r>
    </w:p>
    <w:p w14:paraId="7E63E11E" w14:textId="77777777" w:rsidR="008F7AE4" w:rsidRPr="00C1264C" w:rsidRDefault="008F7AE4" w:rsidP="008F7AE4">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 xml:space="preserve">If an MSO product is imported by an entity </w:t>
      </w:r>
      <w:r w:rsidR="00804194" w:rsidRPr="00C1264C">
        <w:t xml:space="preserve">(the </w:t>
      </w:r>
      <w:r w:rsidR="00804194" w:rsidRPr="00C1264C">
        <w:rPr>
          <w:b/>
          <w:i/>
        </w:rPr>
        <w:t>first entity</w:t>
      </w:r>
      <w:r w:rsidR="00804194" w:rsidRPr="00C1264C">
        <w:t xml:space="preserve">) </w:t>
      </w:r>
      <w:r w:rsidRPr="00C1264C">
        <w:t xml:space="preserve">under paragraph </w:t>
      </w:r>
      <w:r w:rsidR="00804194" w:rsidRPr="00C1264C">
        <w:t>(a</w:t>
      </w:r>
      <w:r w:rsidRPr="00C1264C">
        <w:t xml:space="preserve">) of the definition of </w:t>
      </w:r>
      <w:r w:rsidR="00804194" w:rsidRPr="00C1264C">
        <w:t>“</w:t>
      </w:r>
      <w:r w:rsidRPr="00C1264C">
        <w:t>import</w:t>
      </w:r>
      <w:r w:rsidR="00804194" w:rsidRPr="00C1264C">
        <w:t>”</w:t>
      </w:r>
      <w:r w:rsidRPr="00C1264C">
        <w:t xml:space="preserve"> on behalf of a</w:t>
      </w:r>
      <w:r w:rsidR="00804194" w:rsidRPr="00C1264C">
        <w:t>nother</w:t>
      </w:r>
      <w:r w:rsidRPr="00C1264C">
        <w:t xml:space="preserve"> entity</w:t>
      </w:r>
      <w:r w:rsidR="00804194" w:rsidRPr="00C1264C">
        <w:t xml:space="preserve"> (the </w:t>
      </w:r>
      <w:r w:rsidR="00804194" w:rsidRPr="00C1264C">
        <w:rPr>
          <w:b/>
          <w:i/>
        </w:rPr>
        <w:t>second entity</w:t>
      </w:r>
      <w:r w:rsidR="00804194" w:rsidRPr="00C1264C">
        <w:t>)</w:t>
      </w:r>
      <w:r w:rsidRPr="00C1264C">
        <w:t xml:space="preserve"> in circumstances covered by subsection (</w:t>
      </w:r>
      <w:r w:rsidR="00E416AC" w:rsidRPr="00C1264C">
        <w:t>3</w:t>
      </w:r>
      <w:r w:rsidRPr="00C1264C">
        <w:t xml:space="preserve">), the second entity has </w:t>
      </w:r>
      <w:r w:rsidR="00804194" w:rsidRPr="00C1264C">
        <w:t xml:space="preserve">also </w:t>
      </w:r>
      <w:r w:rsidRPr="00C1264C">
        <w:t>imported the MSO product.</w:t>
      </w:r>
    </w:p>
    <w:p w14:paraId="58C0332F" w14:textId="77777777" w:rsidR="008F7AE4" w:rsidRPr="00C1264C" w:rsidRDefault="008F7AE4" w:rsidP="008F7AE4">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For subsection (2), the circumstances are that:</w:t>
      </w:r>
    </w:p>
    <w:p w14:paraId="60787281" w14:textId="77777777" w:rsidR="008F7AE4" w:rsidRPr="00C1264C" w:rsidRDefault="008F7AE4" w:rsidP="008F7AE4">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there is an arrangement agreed between each entity that MSO products </w:t>
      </w:r>
      <w:r w:rsidR="00DA1972" w:rsidRPr="00C1264C">
        <w:t xml:space="preserve">are, or </w:t>
      </w:r>
      <w:r w:rsidRPr="00C1264C">
        <w:t>will be</w:t>
      </w:r>
      <w:r w:rsidR="00DA1972" w:rsidRPr="00C1264C">
        <w:t>,</w:t>
      </w:r>
      <w:r w:rsidRPr="00C1264C">
        <w:t xml:space="preserve"> imported on behalf of the second entity;</w:t>
      </w:r>
      <w:r w:rsidR="00804194" w:rsidRPr="00C1264C">
        <w:t xml:space="preserve"> and</w:t>
      </w:r>
    </w:p>
    <w:p w14:paraId="07CDB64D" w14:textId="77777777" w:rsidR="009771C4" w:rsidRPr="00C1264C" w:rsidRDefault="004044A3" w:rsidP="009771C4">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under the arrangement the second entity is to own the imported MSO product and is responsible for meeting relevant fees and charges relating to the importation; and</w:t>
      </w:r>
    </w:p>
    <w:p w14:paraId="79D76FFA" w14:textId="77777777" w:rsidR="008F7AE4" w:rsidRPr="00C1264C" w:rsidRDefault="008F7AE4" w:rsidP="008F7AE4">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the arrangement is notified in writing to the Secretary by both entities;</w:t>
      </w:r>
      <w:r w:rsidR="00804194" w:rsidRPr="00C1264C">
        <w:t xml:space="preserve"> and</w:t>
      </w:r>
    </w:p>
    <w:p w14:paraId="58EFB903" w14:textId="77777777" w:rsidR="009771C4" w:rsidRPr="00C1264C" w:rsidRDefault="009771C4" w:rsidP="008F7AE4">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the Secretary has not notified the entities that arrangement is </w:t>
      </w:r>
      <w:r w:rsidR="00610A51" w:rsidRPr="00C1264C">
        <w:t xml:space="preserve">considered to be </w:t>
      </w:r>
      <w:r w:rsidRPr="00C1264C">
        <w:t>a mechanism to avoid the application of the thresholds in section 17; and</w:t>
      </w:r>
    </w:p>
    <w:p w14:paraId="7F999734" w14:textId="77777777" w:rsidR="008F7AE4" w:rsidRPr="00C1264C" w:rsidRDefault="008F7AE4" w:rsidP="008F7AE4">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the importatio</w:t>
      </w:r>
      <w:r w:rsidR="00804194" w:rsidRPr="00C1264C">
        <w:t>n is covered by the arrangement</w:t>
      </w:r>
      <w:r w:rsidR="009771C4" w:rsidRPr="00C1264C">
        <w:t>.</w:t>
      </w:r>
    </w:p>
    <w:p w14:paraId="424AB468" w14:textId="77777777" w:rsidR="00942DB2" w:rsidRPr="00C1264C" w:rsidRDefault="00942DB2" w:rsidP="00942DB2">
      <w:pPr>
        <w:pStyle w:val="h5Section"/>
      </w:pPr>
      <w:r w:rsidRPr="00C1264C">
        <w:fldChar w:fldCharType="begin"/>
      </w:r>
      <w:bookmarkStart w:id="19" w:name="_Ref73104692"/>
      <w:bookmarkEnd w:id="19"/>
      <w:r w:rsidRPr="00C1264C">
        <w:instrText xml:space="preserve">  LISTNUM "main numbering" \l 5 \* MERGEFORMAT </w:instrText>
      </w:r>
      <w:bookmarkStart w:id="20" w:name="_Toc117516967"/>
      <w:r w:rsidRPr="00C1264C">
        <w:fldChar w:fldCharType="end"/>
      </w:r>
      <w:r w:rsidRPr="00C1264C">
        <w:t xml:space="preserve">  </w:t>
      </w:r>
      <w:r w:rsidR="005D393E" w:rsidRPr="00C1264C">
        <w:t>MSO products</w:t>
      </w:r>
      <w:bookmarkEnd w:id="20"/>
    </w:p>
    <w:p w14:paraId="46F7BFD7" w14:textId="1C1C2BE8" w:rsidR="00942DB2" w:rsidRPr="00C1264C" w:rsidRDefault="00942DB2" w:rsidP="00942DB2">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 xml:space="preserve">This section prescribes requirements to be met </w:t>
      </w:r>
      <w:r w:rsidR="00BC4926" w:rsidRPr="00C1264C">
        <w:t>by</w:t>
      </w:r>
      <w:r w:rsidRPr="00C1264C">
        <w:t xml:space="preserve"> MSO products for the definition of </w:t>
      </w:r>
      <w:r w:rsidRPr="00C1264C">
        <w:rPr>
          <w:b/>
          <w:i/>
        </w:rPr>
        <w:t>MSO product</w:t>
      </w:r>
      <w:r w:rsidRPr="00C1264C">
        <w:t xml:space="preserve"> in </w:t>
      </w:r>
      <w:r w:rsidR="000B4043" w:rsidRPr="00C1264C">
        <w:t xml:space="preserve">section 5 of </w:t>
      </w:r>
      <w:r w:rsidRPr="00C1264C">
        <w:t>the Act.</w:t>
      </w:r>
    </w:p>
    <w:p w14:paraId="29876E94" w14:textId="77777777" w:rsidR="00811F00" w:rsidRPr="00C1264C" w:rsidRDefault="00942DB2" w:rsidP="00811F00">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Gasoline and diesel must be able to be supplied and used for road transport consistent with the FQS Act.</w:t>
      </w:r>
    </w:p>
    <w:p w14:paraId="4BA9E494" w14:textId="77777777" w:rsidR="00811F00" w:rsidRPr="00C1264C" w:rsidRDefault="00811F00" w:rsidP="00811F00">
      <w:pPr>
        <w:pStyle w:val="nMain"/>
      </w:pPr>
      <w:r w:rsidRPr="00C1264C">
        <w:t>Note:</w:t>
      </w:r>
      <w:r w:rsidRPr="00C1264C">
        <w:tab/>
        <w:t>Gasoline and diesel reported under the POFR Act include various ethanol and biodiesel blends which meet this definition.</w:t>
      </w:r>
    </w:p>
    <w:p w14:paraId="4FB2E02D" w14:textId="7C4D7DDC" w:rsidR="005D393E" w:rsidRPr="00C1264C" w:rsidRDefault="005D393E" w:rsidP="005D393E">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 xml:space="preserve">Gasoline and diesel are taken to comply with subsection (2) </w:t>
      </w:r>
      <w:r w:rsidR="00057CCF" w:rsidRPr="00C1264C">
        <w:t xml:space="preserve">at a particular time if </w:t>
      </w:r>
      <w:r w:rsidRPr="00C1264C">
        <w:t>relevant requirements for supply under the FQS Act</w:t>
      </w:r>
      <w:r w:rsidR="00057CCF" w:rsidRPr="00C1264C">
        <w:t xml:space="preserve"> are not met at that time, but</w:t>
      </w:r>
      <w:r w:rsidRPr="00C1264C">
        <w:t xml:space="preserve"> will be met within 48 hours</w:t>
      </w:r>
      <w:r w:rsidR="00057CCF" w:rsidRPr="00C1264C">
        <w:t xml:space="preserve"> after that time</w:t>
      </w:r>
      <w:r w:rsidRPr="00C1264C">
        <w:t>.</w:t>
      </w:r>
    </w:p>
    <w:p w14:paraId="1C4EF318" w14:textId="77777777" w:rsidR="005D393E" w:rsidRPr="00C1264C" w:rsidRDefault="005D393E" w:rsidP="005D393E">
      <w:pPr>
        <w:pStyle w:val="nMain"/>
      </w:pPr>
      <w:r w:rsidRPr="00C1264C">
        <w:t>Note:</w:t>
      </w:r>
      <w:r w:rsidRPr="00C1264C">
        <w:tab/>
        <w:t>An example of such a situation is where a fuel settles to meet water and sediment standards.</w:t>
      </w:r>
    </w:p>
    <w:p w14:paraId="1BD0A3E8" w14:textId="77777777" w:rsidR="00942DB2" w:rsidRPr="00C1264C" w:rsidRDefault="00942DB2" w:rsidP="00942DB2">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 xml:space="preserve">Kerosene must be: </w:t>
      </w:r>
    </w:p>
    <w:p w14:paraId="2E2CB9FF" w14:textId="77777777" w:rsidR="00942DB2" w:rsidRPr="00C1264C" w:rsidRDefault="00942DB2" w:rsidP="00942DB2">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jet fuel as reported under the POFR rules; and</w:t>
      </w:r>
    </w:p>
    <w:p w14:paraId="04E846C1" w14:textId="77777777" w:rsidR="00942DB2" w:rsidRPr="00C1264C" w:rsidRDefault="00942DB2" w:rsidP="00942DB2">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saleable for air transport purposes in Australia.</w:t>
      </w:r>
    </w:p>
    <w:p w14:paraId="1E460EE7" w14:textId="386750D9" w:rsidR="006B67F7" w:rsidRPr="00C1264C" w:rsidRDefault="00950478" w:rsidP="006B4D6E">
      <w:pPr>
        <w:pStyle w:val="h5Section"/>
        <w:tabs>
          <w:tab w:val="center" w:pos="4513"/>
        </w:tabs>
      </w:pPr>
      <w:r w:rsidRPr="00C1264C">
        <w:fldChar w:fldCharType="begin"/>
      </w:r>
      <w:bookmarkStart w:id="21" w:name="_Ref117600761"/>
      <w:bookmarkEnd w:id="21"/>
      <w:r w:rsidRPr="00C1264C">
        <w:instrText xml:space="preserve">  LISTNUM "main numbering" \l 5 \* MERGEFORMAT </w:instrText>
      </w:r>
      <w:r w:rsidRPr="00C1264C">
        <w:fldChar w:fldCharType="end"/>
      </w:r>
      <w:bookmarkStart w:id="22" w:name="_Toc117516968"/>
      <w:r w:rsidR="00186962" w:rsidRPr="00C1264C">
        <w:t xml:space="preserve">  Pipeline stocks</w:t>
      </w:r>
      <w:bookmarkEnd w:id="22"/>
    </w:p>
    <w:p w14:paraId="00B682BF" w14:textId="7F59ACB7" w:rsidR="006B67F7" w:rsidRPr="00C1264C" w:rsidRDefault="006B67F7" w:rsidP="006B67F7">
      <w:pPr>
        <w:pStyle w:val="tMain"/>
      </w:pPr>
      <w:r w:rsidRPr="00C1264C">
        <w:tab/>
      </w:r>
      <w:r w:rsidRPr="00C1264C">
        <w:tab/>
        <w:t>For subparagraph 20(1)(b)(iii) of the Act, the circumstances are:</w:t>
      </w:r>
    </w:p>
    <w:p w14:paraId="74C29028" w14:textId="77777777" w:rsidR="006B67F7" w:rsidRPr="00C1264C" w:rsidRDefault="006B67F7" w:rsidP="006B67F7">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the MSO product is under the ownership and control of the entity covered by section 19 of the Act; and</w:t>
      </w:r>
    </w:p>
    <w:p w14:paraId="67214644" w14:textId="77777777" w:rsidR="006B67F7" w:rsidRPr="00C1264C" w:rsidRDefault="006B67F7" w:rsidP="006B67F7">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the MSO product is able to be accessed to assist mitigate a fuel security event; and</w:t>
      </w:r>
    </w:p>
    <w:p w14:paraId="02918E20" w14:textId="77777777" w:rsidR="006B67F7" w:rsidRPr="00C1264C" w:rsidRDefault="006B67F7" w:rsidP="006B67F7">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the accounting and reporting of these products is provided for in an MSO compliance plan.</w:t>
      </w:r>
    </w:p>
    <w:p w14:paraId="5DEF08CB" w14:textId="2E43D92D" w:rsidR="005C47DA" w:rsidRPr="00C1264C" w:rsidRDefault="006B67F7" w:rsidP="005C47DA">
      <w:pPr>
        <w:pStyle w:val="h5Section"/>
      </w:pPr>
      <w:r w:rsidRPr="00C1264C">
        <w:fldChar w:fldCharType="begin"/>
      </w:r>
      <w:r w:rsidRPr="00C1264C">
        <w:instrText xml:space="preserve">  LISTNUM "main numbering" \l 5 \* MERGEFORMAT </w:instrText>
      </w:r>
      <w:bookmarkStart w:id="23" w:name="_Toc117516969"/>
      <w:r w:rsidRPr="00C1264C">
        <w:fldChar w:fldCharType="end"/>
      </w:r>
      <w:r w:rsidRPr="00C1264C">
        <w:t xml:space="preserve">  </w:t>
      </w:r>
      <w:r w:rsidR="005C47DA" w:rsidRPr="00C1264C">
        <w:t>Excluded stocks</w:t>
      </w:r>
      <w:bookmarkEnd w:id="23"/>
    </w:p>
    <w:p w14:paraId="31790242" w14:textId="37D65303" w:rsidR="00241666" w:rsidRPr="00C1264C" w:rsidRDefault="005C47DA" w:rsidP="00186962">
      <w:pPr>
        <w:pStyle w:val="tMain"/>
      </w:pPr>
      <w:r w:rsidRPr="00C1264C">
        <w:tab/>
      </w:r>
      <w:r w:rsidRPr="00C1264C">
        <w:tab/>
        <w:t>For subsection 20(</w:t>
      </w:r>
      <w:r w:rsidR="00752C1E" w:rsidRPr="00C1264C">
        <w:t xml:space="preserve">2) of the Act, </w:t>
      </w:r>
      <w:r w:rsidR="00703953" w:rsidRPr="00C1264C">
        <w:t xml:space="preserve">stocks of </w:t>
      </w:r>
      <w:r w:rsidR="00752C1E" w:rsidRPr="00C1264C">
        <w:t xml:space="preserve">an MSO product </w:t>
      </w:r>
      <w:r w:rsidR="00703953" w:rsidRPr="00C1264C">
        <w:t xml:space="preserve">are </w:t>
      </w:r>
      <w:r w:rsidRPr="00C1264C">
        <w:t xml:space="preserve">excluded if </w:t>
      </w:r>
      <w:r w:rsidR="00703953" w:rsidRPr="00C1264C">
        <w:t xml:space="preserve">the stocks do </w:t>
      </w:r>
      <w:r w:rsidRPr="00C1264C">
        <w:t>not meet the standards r</w:t>
      </w:r>
      <w:r w:rsidR="00DA1972" w:rsidRPr="00C1264C">
        <w:t xml:space="preserve">equired to comply with section </w:t>
      </w:r>
      <w:r w:rsidR="00DA1972" w:rsidRPr="00C1264C">
        <w:fldChar w:fldCharType="begin"/>
      </w:r>
      <w:r w:rsidR="00DA1972" w:rsidRPr="00C1264C">
        <w:instrText xml:space="preserve"> REF _Ref73104692 \n \h </w:instrText>
      </w:r>
      <w:r w:rsidR="00C1264C">
        <w:instrText xml:space="preserve"> \* MERGEFORMAT </w:instrText>
      </w:r>
      <w:r w:rsidR="00DA1972" w:rsidRPr="00C1264C">
        <w:fldChar w:fldCharType="separate"/>
      </w:r>
      <w:r w:rsidR="001E7A96" w:rsidRPr="00C1264C">
        <w:t>6</w:t>
      </w:r>
      <w:r w:rsidR="00DA1972" w:rsidRPr="00C1264C">
        <w:fldChar w:fldCharType="end"/>
      </w:r>
      <w:r w:rsidRPr="00C1264C">
        <w:t>.</w:t>
      </w:r>
    </w:p>
    <w:p w14:paraId="0A586875" w14:textId="77777777" w:rsidR="00241666" w:rsidRPr="00C1264C" w:rsidRDefault="00241666" w:rsidP="00241666">
      <w:pPr>
        <w:pStyle w:val="h5Section"/>
      </w:pPr>
      <w:r w:rsidRPr="00C1264C">
        <w:lastRenderedPageBreak/>
        <w:fldChar w:fldCharType="begin"/>
      </w:r>
      <w:bookmarkStart w:id="24" w:name="_Ref88232931"/>
      <w:bookmarkEnd w:id="24"/>
      <w:r w:rsidRPr="00C1264C">
        <w:instrText xml:space="preserve">  LISTNUM "main numbering" \l 5 \* MERGEFORMAT </w:instrText>
      </w:r>
      <w:bookmarkStart w:id="25" w:name="_Toc117516970"/>
      <w:r w:rsidRPr="00C1264C">
        <w:fldChar w:fldCharType="end"/>
      </w:r>
      <w:r w:rsidRPr="00C1264C">
        <w:t xml:space="preserve">  Stocks </w:t>
      </w:r>
      <w:r w:rsidR="00767ED8" w:rsidRPr="00C1264C">
        <w:t>within</w:t>
      </w:r>
      <w:r w:rsidR="00F96E02" w:rsidRPr="00C1264C">
        <w:t xml:space="preserve"> exclusive economic z</w:t>
      </w:r>
      <w:r w:rsidRPr="00C1264C">
        <w:t>one</w:t>
      </w:r>
      <w:r w:rsidR="00767ED8" w:rsidRPr="00C1264C">
        <w:t xml:space="preserve"> boundary</w:t>
      </w:r>
      <w:bookmarkEnd w:id="25"/>
    </w:p>
    <w:p w14:paraId="7CAC191B" w14:textId="46997825" w:rsidR="00241666" w:rsidRPr="00C1264C" w:rsidRDefault="00241666" w:rsidP="00241666">
      <w:pPr>
        <w:pStyle w:val="tMain"/>
      </w:pPr>
      <w:r w:rsidRPr="00C1264C">
        <w:tab/>
      </w:r>
      <w:r w:rsidRPr="00C1264C">
        <w:tab/>
        <w:t>F</w:t>
      </w:r>
      <w:r w:rsidR="00767ED8" w:rsidRPr="00C1264C">
        <w:t>or sub</w:t>
      </w:r>
      <w:r w:rsidR="00E416AC" w:rsidRPr="00C1264C">
        <w:t>paragraph</w:t>
      </w:r>
      <w:r w:rsidR="00767ED8" w:rsidRPr="00C1264C">
        <w:t xml:space="preserve"> 21(b)(iv</w:t>
      </w:r>
      <w:r w:rsidRPr="00C1264C">
        <w:t>) of the Act, the circumstances</w:t>
      </w:r>
      <w:r w:rsidR="00752C1E" w:rsidRPr="00C1264C">
        <w:t xml:space="preserve"> </w:t>
      </w:r>
      <w:r w:rsidRPr="00C1264C">
        <w:t>are:</w:t>
      </w:r>
    </w:p>
    <w:p w14:paraId="714C2162" w14:textId="77777777" w:rsidR="00767ED8" w:rsidRPr="00C1264C" w:rsidRDefault="00767ED8" w:rsidP="00767ED8">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the vessel is within the outer limits of Australia’s exclusive economic zone</w:t>
      </w:r>
      <w:r w:rsidR="00F96E02" w:rsidRPr="00C1264C">
        <w:t>; or</w:t>
      </w:r>
    </w:p>
    <w:p w14:paraId="10A9A11E" w14:textId="77777777" w:rsidR="00F96E02" w:rsidRPr="00C1264C" w:rsidRDefault="00767ED8" w:rsidP="00F96E02">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r>
      <w:r w:rsidR="00F96E02" w:rsidRPr="00C1264C">
        <w:t>the vessel:</w:t>
      </w:r>
    </w:p>
    <w:p w14:paraId="5696C0C2" w14:textId="77777777" w:rsidR="00F96E02" w:rsidRPr="00C1264C" w:rsidRDefault="00F96E02" w:rsidP="00F96E02">
      <w:pPr>
        <w:pStyle w:val="tSubpara"/>
      </w:pPr>
      <w:r w:rsidRPr="00C1264C">
        <w:tab/>
      </w:r>
      <w:r w:rsidRPr="00C1264C">
        <w:fldChar w:fldCharType="begin"/>
      </w:r>
      <w:r w:rsidRPr="00C1264C">
        <w:instrText xml:space="preserve">  LISTNUM "main numbering" \l 8 \* MERGEFORMAT </w:instrText>
      </w:r>
      <w:r w:rsidRPr="00C1264C">
        <w:fldChar w:fldCharType="end"/>
      </w:r>
      <w:r w:rsidRPr="00C1264C">
        <w:tab/>
        <w:t>is travelling directly to an Australian port; and</w:t>
      </w:r>
    </w:p>
    <w:p w14:paraId="706DA98A" w14:textId="77777777" w:rsidR="00F96E02" w:rsidRPr="00C1264C" w:rsidRDefault="00F96E02" w:rsidP="00F96E02">
      <w:pPr>
        <w:pStyle w:val="tSubpara"/>
      </w:pPr>
      <w:r w:rsidRPr="00C1264C">
        <w:tab/>
      </w:r>
      <w:r w:rsidRPr="00C1264C">
        <w:fldChar w:fldCharType="begin"/>
      </w:r>
      <w:r w:rsidRPr="00C1264C">
        <w:instrText xml:space="preserve">  LISTNUM "main numbering" \l 8 \* MERGEFORMAT </w:instrText>
      </w:r>
      <w:r w:rsidRPr="00C1264C">
        <w:fldChar w:fldCharType="end"/>
      </w:r>
      <w:r w:rsidRPr="00C1264C">
        <w:tab/>
        <w:t>has entered Australia’s exclusive economic zone as part of the voyage under subparagraph (i); and</w:t>
      </w:r>
    </w:p>
    <w:p w14:paraId="3A0E15E2" w14:textId="08A30407" w:rsidR="00E85F69" w:rsidRPr="00C1264C" w:rsidRDefault="00F96E02" w:rsidP="00E85F69">
      <w:pPr>
        <w:pStyle w:val="tSubpara"/>
      </w:pPr>
      <w:r w:rsidRPr="00C1264C">
        <w:tab/>
      </w:r>
      <w:r w:rsidRPr="00C1264C">
        <w:fldChar w:fldCharType="begin"/>
      </w:r>
      <w:r w:rsidRPr="00C1264C">
        <w:instrText xml:space="preserve">  LISTNUM "main numbering" \l 8 \* MERGEFORMAT </w:instrText>
      </w:r>
      <w:r w:rsidRPr="00C1264C">
        <w:fldChar w:fldCharType="end"/>
      </w:r>
      <w:r w:rsidRPr="00C1264C">
        <w:tab/>
        <w:t xml:space="preserve">has temporarily exited Australia’s exclusive economic zone while </w:t>
      </w:r>
      <w:r w:rsidR="006B67F7" w:rsidRPr="00C1264C">
        <w:t>e</w:t>
      </w:r>
      <w:r w:rsidRPr="00C1264C">
        <w:t>n route to the Australian port.</w:t>
      </w:r>
    </w:p>
    <w:p w14:paraId="496A5797" w14:textId="2268A055" w:rsidR="00E85F69" w:rsidRPr="00C1264C" w:rsidRDefault="00E85F69" w:rsidP="00E85F69">
      <w:pPr>
        <w:pStyle w:val="nMain"/>
      </w:pPr>
      <w:r w:rsidRPr="00C1264C">
        <w:t>Note:</w:t>
      </w:r>
      <w:r w:rsidRPr="00C1264C">
        <w:tab/>
        <w:t xml:space="preserve">The </w:t>
      </w:r>
      <w:r w:rsidR="006B67F7" w:rsidRPr="00C1264C">
        <w:t xml:space="preserve">expression </w:t>
      </w:r>
      <w:r w:rsidRPr="00C1264C">
        <w:rPr>
          <w:b/>
          <w:i/>
        </w:rPr>
        <w:t>exclusive economic zone</w:t>
      </w:r>
      <w:r w:rsidRPr="00C1264C">
        <w:t xml:space="preserve"> </w:t>
      </w:r>
      <w:r w:rsidR="006B67F7" w:rsidRPr="00C1264C">
        <w:t xml:space="preserve">is defined in </w:t>
      </w:r>
      <w:r w:rsidRPr="00C1264C">
        <w:t xml:space="preserve">section 2B of the </w:t>
      </w:r>
      <w:r w:rsidRPr="00C1264C">
        <w:rPr>
          <w:i/>
        </w:rPr>
        <w:t>Acts Interpretation Act 1901</w:t>
      </w:r>
      <w:r w:rsidRPr="00C1264C">
        <w:t>.</w:t>
      </w:r>
    </w:p>
    <w:p w14:paraId="0FAF298E" w14:textId="77777777" w:rsidR="00F261B9" w:rsidRPr="00C1264C" w:rsidRDefault="00F261B9" w:rsidP="00F261B9">
      <w:pPr>
        <w:pStyle w:val="h5Section"/>
      </w:pPr>
      <w:r w:rsidRPr="00C1264C">
        <w:fldChar w:fldCharType="begin"/>
      </w:r>
      <w:r w:rsidRPr="00C1264C">
        <w:instrText xml:space="preserve">  LISTNUM "main numbering" \l 5 \* MERGEFORMAT </w:instrText>
      </w:r>
      <w:bookmarkStart w:id="26" w:name="_Toc117516971"/>
      <w:r w:rsidRPr="00C1264C">
        <w:fldChar w:fldCharType="end"/>
      </w:r>
      <w:r w:rsidRPr="00C1264C">
        <w:t xml:space="preserve">  Jointly owned stocks</w:t>
      </w:r>
      <w:bookmarkEnd w:id="26"/>
    </w:p>
    <w:p w14:paraId="4DD9DD10" w14:textId="77777777" w:rsidR="00F261B9" w:rsidRPr="00C1264C" w:rsidRDefault="00F261B9" w:rsidP="00F261B9">
      <w:pPr>
        <w:pStyle w:val="tMain"/>
      </w:pPr>
      <w:r w:rsidRPr="00C1264C">
        <w:tab/>
      </w:r>
      <w:r w:rsidRPr="00C1264C">
        <w:tab/>
        <w:t>For subsection 22(2) of the Act, if more than one entity would be the holder of the same stocks of an MSO product under subsection 22(1) of the Act, the amount of stock held by each entity is to be:</w:t>
      </w:r>
    </w:p>
    <w:p w14:paraId="3A029CA8" w14:textId="77777777" w:rsidR="00F261B9" w:rsidRPr="00C1264C" w:rsidRDefault="00F261B9" w:rsidP="00F261B9">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if a written agreement </w:t>
      </w:r>
      <w:r w:rsidR="004412D6" w:rsidRPr="00C1264C">
        <w:t>is in place between the entities which provides</w:t>
      </w:r>
      <w:r w:rsidRPr="00C1264C">
        <w:t xml:space="preserve"> an allocation of stocks by the entities</w:t>
      </w:r>
      <w:r w:rsidR="004412D6" w:rsidRPr="00C1264C">
        <w:t xml:space="preserve"> expressly for this paragraph</w:t>
      </w:r>
      <w:r w:rsidRPr="00C1264C">
        <w:t>—determined in accordance with that agreement; or</w:t>
      </w:r>
    </w:p>
    <w:p w14:paraId="1140BDD0" w14:textId="77777777" w:rsidR="00F261B9" w:rsidRPr="00C1264C" w:rsidRDefault="00F261B9" w:rsidP="00F261B9">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otherwise—allocated to each entity based on their share of the ownership of the stocks.</w:t>
      </w:r>
    </w:p>
    <w:p w14:paraId="7BBE93CC" w14:textId="7863851F" w:rsidR="00F261B9" w:rsidRPr="00C1264C" w:rsidRDefault="00F261B9" w:rsidP="00F261B9">
      <w:pPr>
        <w:pStyle w:val="h5Section"/>
      </w:pPr>
      <w:r w:rsidRPr="00C1264C">
        <w:fldChar w:fldCharType="begin"/>
      </w:r>
      <w:r w:rsidRPr="00C1264C">
        <w:instrText xml:space="preserve">  LISTNUM "main numbering" \l 5 \* MERGEFORMAT </w:instrText>
      </w:r>
      <w:bookmarkStart w:id="27" w:name="_Toc117516972"/>
      <w:r w:rsidRPr="00C1264C">
        <w:fldChar w:fldCharType="end"/>
      </w:r>
      <w:r w:rsidR="006B67F7" w:rsidRPr="00C1264C">
        <w:t xml:space="preserve"> </w:t>
      </w:r>
      <w:r w:rsidRPr="00C1264C">
        <w:t xml:space="preserve"> Entity entitled to take ownership of stocks</w:t>
      </w:r>
      <w:bookmarkEnd w:id="27"/>
    </w:p>
    <w:p w14:paraId="59390500" w14:textId="77777777" w:rsidR="006F194C" w:rsidRPr="00C1264C" w:rsidRDefault="00F261B9" w:rsidP="00F261B9">
      <w:pPr>
        <w:pStyle w:val="tMain"/>
      </w:pPr>
      <w:r w:rsidRPr="00C1264C">
        <w:tab/>
      </w:r>
      <w:r w:rsidRPr="00C1264C">
        <w:tab/>
        <w:t xml:space="preserve">For paragraph 23(c) of the Act, the legally enforceable arrangement </w:t>
      </w:r>
      <w:r w:rsidR="003047C9" w:rsidRPr="00C1264C">
        <w:t>must</w:t>
      </w:r>
      <w:r w:rsidR="006F194C" w:rsidRPr="00C1264C">
        <w:t>:</w:t>
      </w:r>
      <w:r w:rsidRPr="00C1264C">
        <w:t xml:space="preserve"> </w:t>
      </w:r>
    </w:p>
    <w:p w14:paraId="7B81AFA2" w14:textId="77777777" w:rsidR="006F194C" w:rsidRPr="00C1264C" w:rsidRDefault="006F194C" w:rsidP="006F194C">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be in writing; and</w:t>
      </w:r>
    </w:p>
    <w:p w14:paraId="393BC380" w14:textId="77777777" w:rsidR="00B45C3A" w:rsidRPr="00C1264C" w:rsidRDefault="006F194C" w:rsidP="006F194C">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r>
      <w:r w:rsidR="00F261B9" w:rsidRPr="00C1264C">
        <w:t>provide entity 1 under section 23 of the Act a contractual right to take possession of the stocks and remove them from storage</w:t>
      </w:r>
      <w:r w:rsidR="00B45C3A" w:rsidRPr="00C1264C">
        <w:t>.</w:t>
      </w:r>
    </w:p>
    <w:p w14:paraId="44C7E3D6" w14:textId="2F8B0C9A" w:rsidR="006F194C" w:rsidRPr="00C1264C" w:rsidRDefault="006F194C" w:rsidP="006F194C">
      <w:pPr>
        <w:pStyle w:val="h5Section"/>
      </w:pPr>
      <w:r w:rsidRPr="00C1264C">
        <w:fldChar w:fldCharType="begin"/>
      </w:r>
      <w:r w:rsidRPr="00C1264C">
        <w:instrText xml:space="preserve">  LISTNUM "main numbering" \l 5 \* MERGEFORMAT </w:instrText>
      </w:r>
      <w:bookmarkStart w:id="28" w:name="_Toc117516973"/>
      <w:r w:rsidRPr="00C1264C">
        <w:fldChar w:fldCharType="end"/>
      </w:r>
      <w:r w:rsidR="006B67F7" w:rsidRPr="00C1264C">
        <w:t xml:space="preserve"> </w:t>
      </w:r>
      <w:r w:rsidRPr="00C1264C">
        <w:t xml:space="preserve"> Reserved stocks</w:t>
      </w:r>
      <w:bookmarkEnd w:id="28"/>
    </w:p>
    <w:p w14:paraId="437C5685" w14:textId="77777777" w:rsidR="006F194C" w:rsidRPr="00C1264C" w:rsidRDefault="006F194C" w:rsidP="006F194C">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 xml:space="preserve">For paragraph 24(c) of the Act, the legally enforceable arrangement </w:t>
      </w:r>
      <w:r w:rsidR="00A03752" w:rsidRPr="00C1264C">
        <w:t>must</w:t>
      </w:r>
      <w:r w:rsidRPr="00C1264C">
        <w:t>:</w:t>
      </w:r>
    </w:p>
    <w:p w14:paraId="140FF4A0" w14:textId="77777777" w:rsidR="006F194C" w:rsidRPr="00C1264C" w:rsidRDefault="006F194C" w:rsidP="006F194C">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be in writing;</w:t>
      </w:r>
      <w:r w:rsidR="00BF362A" w:rsidRPr="00C1264C">
        <w:t xml:space="preserve"> and</w:t>
      </w:r>
    </w:p>
    <w:p w14:paraId="43285C77" w14:textId="77777777" w:rsidR="006F194C" w:rsidRPr="00C1264C" w:rsidRDefault="006F194C" w:rsidP="006F194C">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expressly allocate the stock to entity 1 under section 24 of the Act;</w:t>
      </w:r>
      <w:r w:rsidR="00BF362A" w:rsidRPr="00C1264C">
        <w:t xml:space="preserve"> and</w:t>
      </w:r>
    </w:p>
    <w:p w14:paraId="7E701FDD" w14:textId="77777777" w:rsidR="006F194C" w:rsidRPr="00C1264C" w:rsidRDefault="006F194C" w:rsidP="006F194C">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specify a period for which they are allocated.</w:t>
      </w:r>
    </w:p>
    <w:p w14:paraId="2E834AEF" w14:textId="77777777" w:rsidR="007B7040" w:rsidRPr="00C1264C" w:rsidRDefault="007B7040" w:rsidP="00EE0F76">
      <w:pPr>
        <w:pStyle w:val="tMain"/>
      </w:pPr>
      <w:r w:rsidRPr="00C1264C">
        <w:tab/>
      </w:r>
      <w:r w:rsidRPr="00C1264C">
        <w:fldChar w:fldCharType="begin"/>
      </w:r>
      <w:r w:rsidRPr="00C1264C">
        <w:instrText xml:space="preserve">  LISTNUM "main numbering" \l 6 \* MERGEFORMAT </w:instrText>
      </w:r>
      <w:r w:rsidRPr="00C1264C">
        <w:fldChar w:fldCharType="end"/>
      </w:r>
      <w:r w:rsidR="00EE0F76" w:rsidRPr="00C1264C">
        <w:tab/>
        <w:t>However, a legally enforceable arrangement must not allocate stock that is a feedstock under section 25 of the Act to an entity outside of the corporate group of the entity covered by paragraph 25(1)(a) of the Act</w:t>
      </w:r>
      <w:r w:rsidRPr="00C1264C">
        <w:t>.</w:t>
      </w:r>
    </w:p>
    <w:p w14:paraId="7DDE9128" w14:textId="77777777" w:rsidR="00252A5C" w:rsidRPr="00C1264C" w:rsidRDefault="00C16E4D" w:rsidP="00252A5C">
      <w:pPr>
        <w:pStyle w:val="h5Section"/>
      </w:pPr>
      <w:r w:rsidRPr="00C1264C">
        <w:fldChar w:fldCharType="begin"/>
      </w:r>
      <w:r w:rsidRPr="00C1264C">
        <w:instrText xml:space="preserve">  LISTNUM "main numbering" \l 5 \* MERGEFORMAT </w:instrText>
      </w:r>
      <w:bookmarkStart w:id="29" w:name="_Toc117516974"/>
      <w:r w:rsidRPr="00C1264C">
        <w:fldChar w:fldCharType="end"/>
      </w:r>
      <w:r w:rsidR="00252A5C" w:rsidRPr="00C1264C">
        <w:t xml:space="preserve">  Refinery feedstocks—crude oil</w:t>
      </w:r>
      <w:bookmarkEnd w:id="29"/>
    </w:p>
    <w:p w14:paraId="5E739FAB" w14:textId="77777777" w:rsidR="00252A5C" w:rsidRPr="00C1264C" w:rsidRDefault="00252A5C" w:rsidP="00CF6370">
      <w:pPr>
        <w:pStyle w:val="tMain"/>
      </w:pPr>
      <w:r w:rsidRPr="00C1264C">
        <w:tab/>
      </w:r>
      <w:r w:rsidRPr="00C1264C">
        <w:tab/>
        <w:t xml:space="preserve">For subsection 25(1) of the Act, the quantity of diesel, gasoline and kerosene </w:t>
      </w:r>
      <w:r w:rsidR="005F0D83" w:rsidRPr="00C1264C">
        <w:t xml:space="preserve">per </w:t>
      </w:r>
      <w:r w:rsidR="00AC19DB" w:rsidRPr="00C1264C">
        <w:t>mega</w:t>
      </w:r>
      <w:r w:rsidR="005F0D83" w:rsidRPr="00C1264C">
        <w:t>litre of crude oil is to be calculated by applying</w:t>
      </w:r>
      <w:r w:rsidR="00D24B47" w:rsidRPr="00C1264C">
        <w:t xml:space="preserve">: </w:t>
      </w:r>
    </w:p>
    <w:p w14:paraId="14C151F1" w14:textId="77777777" w:rsidR="00D24B47" w:rsidRPr="00C1264C" w:rsidRDefault="00D24B47" w:rsidP="00D24B47">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the yields for the refinery applicable under section 12 of the FSSP Rule; or</w:t>
      </w:r>
    </w:p>
    <w:p w14:paraId="577156D4" w14:textId="2FAB0C03" w:rsidR="00D24B47" w:rsidRPr="00C1264C" w:rsidRDefault="00D24B47" w:rsidP="00D24B47">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the current yields for the refinery, based on at least a month of production volumes. </w:t>
      </w:r>
    </w:p>
    <w:p w14:paraId="321CD969" w14:textId="77777777" w:rsidR="005F0D83" w:rsidRPr="00C1264C" w:rsidRDefault="005F0D83" w:rsidP="005F0D83">
      <w:pPr>
        <w:pStyle w:val="h5Section"/>
      </w:pPr>
      <w:r w:rsidRPr="00C1264C">
        <w:fldChar w:fldCharType="begin"/>
      </w:r>
      <w:bookmarkStart w:id="30" w:name="_Ref88233088"/>
      <w:bookmarkEnd w:id="30"/>
      <w:r w:rsidRPr="00C1264C">
        <w:instrText xml:space="preserve">  LISTNUM "main numbering" \l 5 \* MERGEFORMAT </w:instrText>
      </w:r>
      <w:bookmarkStart w:id="31" w:name="_Toc117516975"/>
      <w:r w:rsidRPr="00C1264C">
        <w:fldChar w:fldCharType="end"/>
      </w:r>
      <w:r w:rsidRPr="00C1264C">
        <w:t xml:space="preserve">  Refinery feedstocks—unfinished refinery product</w:t>
      </w:r>
      <w:bookmarkEnd w:id="31"/>
    </w:p>
    <w:p w14:paraId="17CD552F" w14:textId="3C87ECC4" w:rsidR="000813FB" w:rsidRPr="00C1264C" w:rsidRDefault="005F0D83" w:rsidP="000813FB">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 xml:space="preserve">For paragraph 25(3)(c) of the Act, </w:t>
      </w:r>
      <w:r w:rsidR="00592CEC" w:rsidRPr="00C1264C">
        <w:t xml:space="preserve">an </w:t>
      </w:r>
      <w:r w:rsidRPr="00C1264C">
        <w:t xml:space="preserve">unfinished refinery product </w:t>
      </w:r>
      <w:r w:rsidR="00592CEC" w:rsidRPr="00C1264C">
        <w:t>is</w:t>
      </w:r>
      <w:r w:rsidRPr="00C1264C">
        <w:t xml:space="preserve"> prescribed</w:t>
      </w:r>
      <w:r w:rsidR="00CF6370" w:rsidRPr="00C1264C">
        <w:t xml:space="preserve"> if</w:t>
      </w:r>
      <w:r w:rsidR="000813FB" w:rsidRPr="00C1264C">
        <w:t>:</w:t>
      </w:r>
    </w:p>
    <w:p w14:paraId="3B499CDA" w14:textId="324DF2FB" w:rsidR="000813FB" w:rsidRPr="00C1264C" w:rsidRDefault="000813FB" w:rsidP="000813FB">
      <w:pPr>
        <w:pStyle w:val="tPara"/>
      </w:pPr>
      <w:r w:rsidRPr="00C1264C">
        <w:lastRenderedPageBreak/>
        <w:tab/>
      </w:r>
      <w:r w:rsidRPr="00C1264C">
        <w:fldChar w:fldCharType="begin"/>
      </w:r>
      <w:r w:rsidRPr="00C1264C">
        <w:instrText xml:space="preserve">  LISTNUM "main numbering" \l 7 \* MERGEFORMAT </w:instrText>
      </w:r>
      <w:r w:rsidRPr="00C1264C">
        <w:fldChar w:fldCharType="end"/>
      </w:r>
      <w:r w:rsidRPr="00C1264C">
        <w:tab/>
        <w:t>the</w:t>
      </w:r>
      <w:r w:rsidR="00592CEC" w:rsidRPr="00C1264C">
        <w:t xml:space="preserve"> product</w:t>
      </w:r>
      <w:r w:rsidRPr="00C1264C">
        <w:t xml:space="preserve"> </w:t>
      </w:r>
      <w:r w:rsidR="00592CEC" w:rsidRPr="00C1264C">
        <w:t>is</w:t>
      </w:r>
      <w:r w:rsidRPr="00C1264C">
        <w:t xml:space="preserve"> reasonably expected to be transformed into </w:t>
      </w:r>
      <w:r w:rsidR="00592CEC" w:rsidRPr="00C1264C">
        <w:t xml:space="preserve">an </w:t>
      </w:r>
      <w:r w:rsidRPr="00C1264C">
        <w:t>MSO product at the refinery; and</w:t>
      </w:r>
    </w:p>
    <w:p w14:paraId="12133A8E" w14:textId="7C6A6411" w:rsidR="000813FB" w:rsidRPr="00C1264C" w:rsidRDefault="000813FB" w:rsidP="000813FB">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after transformation into </w:t>
      </w:r>
      <w:r w:rsidR="00592CEC" w:rsidRPr="00C1264C">
        <w:t xml:space="preserve">an </w:t>
      </w:r>
      <w:r w:rsidRPr="00C1264C">
        <w:t>MSO product, the volume of the MSO product is</w:t>
      </w:r>
      <w:r w:rsidR="00D20251" w:rsidRPr="00C1264C">
        <w:t xml:space="preserve"> </w:t>
      </w:r>
      <w:r w:rsidRPr="00C1264C">
        <w:t xml:space="preserve">expected to be </w:t>
      </w:r>
      <w:r w:rsidR="00811F00" w:rsidRPr="00C1264C">
        <w:t xml:space="preserve">more </w:t>
      </w:r>
      <w:r w:rsidRPr="00C1264C">
        <w:t xml:space="preserve">than 80% of the volume of the unfinished refinery product being stored at the refinery. </w:t>
      </w:r>
    </w:p>
    <w:p w14:paraId="06BA0785" w14:textId="188DED1E" w:rsidR="005F0D83" w:rsidRPr="00C1264C" w:rsidRDefault="005F0D83" w:rsidP="005F0D83">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 xml:space="preserve">For subsection 25(1) of the Act, the quantity of diesel, gasoline and kerosene per </w:t>
      </w:r>
      <w:r w:rsidR="00AC19DB" w:rsidRPr="00C1264C">
        <w:t>mega</w:t>
      </w:r>
      <w:r w:rsidRPr="00C1264C">
        <w:t>litre of unfinished refinery product is to be calculated by applying a methodology set out in the entity</w:t>
      </w:r>
      <w:r w:rsidR="00CF6370" w:rsidRPr="00C1264C">
        <w:t>’s</w:t>
      </w:r>
      <w:r w:rsidRPr="00C1264C">
        <w:t xml:space="preserve"> MSO compliance plan.</w:t>
      </w:r>
    </w:p>
    <w:p w14:paraId="29BF3A0E" w14:textId="77777777" w:rsidR="00CF6370" w:rsidRPr="00C1264C" w:rsidRDefault="005F0D83" w:rsidP="00CF6370">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The methodology under subsection (2) must</w:t>
      </w:r>
      <w:r w:rsidR="00CF6370" w:rsidRPr="00C1264C">
        <w:t>:</w:t>
      </w:r>
    </w:p>
    <w:p w14:paraId="28230287" w14:textId="77777777" w:rsidR="00CF6370" w:rsidRPr="00C1264C" w:rsidRDefault="00CF6370" w:rsidP="00CF6370">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be consistent with the composition and expected transformation of the unfinished refinery product; and</w:t>
      </w:r>
    </w:p>
    <w:p w14:paraId="6EB2A961" w14:textId="17CE6501" w:rsidR="00592CEC" w:rsidRPr="00C1264C" w:rsidRDefault="00CF6370" w:rsidP="005F0D34">
      <w:pPr>
        <w:pStyle w:val="tPara"/>
        <w:sectPr w:rsidR="00592CEC" w:rsidRPr="00C1264C" w:rsidSect="00B13564">
          <w:pgSz w:w="11906" w:h="16838"/>
          <w:pgMar w:top="1440" w:right="1440" w:bottom="1440" w:left="1440" w:header="709" w:footer="709" w:gutter="0"/>
          <w:cols w:space="708"/>
          <w:titlePg/>
          <w:docGrid w:linePitch="360"/>
        </w:sectPr>
      </w:pPr>
      <w:r w:rsidRPr="00C1264C">
        <w:tab/>
      </w:r>
      <w:r w:rsidRPr="00C1264C">
        <w:fldChar w:fldCharType="begin"/>
      </w:r>
      <w:r w:rsidRPr="00C1264C">
        <w:instrText xml:space="preserve">  LISTNUM "main numbering" \l 7 \* MERGEFORMAT </w:instrText>
      </w:r>
      <w:r w:rsidRPr="00C1264C">
        <w:fldChar w:fldCharType="end"/>
      </w:r>
      <w:r w:rsidRPr="00C1264C">
        <w:tab/>
        <w:t>not result in a total quantity of diesel, gasoline or kerosene that is greater than the quantity of t</w:t>
      </w:r>
      <w:r w:rsidR="005F0D34" w:rsidRPr="00C1264C">
        <w:t>he unfinished refinery product.</w:t>
      </w:r>
    </w:p>
    <w:p w14:paraId="38FC2775" w14:textId="77777777" w:rsidR="00CF6370" w:rsidRPr="00C1264C" w:rsidRDefault="00CF6370" w:rsidP="00CF6370">
      <w:pPr>
        <w:pStyle w:val="h2Part"/>
        <w:rPr>
          <w:rStyle w:val="CharDivText"/>
        </w:rPr>
      </w:pPr>
      <w:r w:rsidRPr="00C1264C">
        <w:rPr>
          <w:rStyle w:val="CharPartNo"/>
        </w:rPr>
        <w:lastRenderedPageBreak/>
        <w:fldChar w:fldCharType="begin"/>
      </w:r>
      <w:r w:rsidRPr="00C1264C">
        <w:rPr>
          <w:rStyle w:val="CharPartNo"/>
        </w:rPr>
        <w:instrText xml:space="preserve">  LISTNUM "main numbering" \l 2 \* MERGEFORMAT </w:instrText>
      </w:r>
      <w:bookmarkStart w:id="32" w:name="_Toc117516976"/>
      <w:r w:rsidRPr="00C1264C">
        <w:rPr>
          <w:rStyle w:val="CharPartNo"/>
        </w:rPr>
        <w:fldChar w:fldCharType="end"/>
      </w:r>
      <w:r w:rsidRPr="00C1264C">
        <w:rPr>
          <w:rStyle w:val="CharPartNo"/>
        </w:rPr>
        <w:t xml:space="preserve">—Application of </w:t>
      </w:r>
      <w:r w:rsidRPr="00C1264C">
        <w:rPr>
          <w:rStyle w:val="CharPartText"/>
        </w:rPr>
        <w:t>MSO</w:t>
      </w:r>
      <w:bookmarkEnd w:id="32"/>
      <w:r w:rsidRPr="00C1264C">
        <w:rPr>
          <w:rStyle w:val="CharPartText"/>
        </w:rPr>
        <w:t xml:space="preserve"> </w:t>
      </w:r>
    </w:p>
    <w:p w14:paraId="3C8275BE" w14:textId="77777777" w:rsidR="00CF6370" w:rsidRPr="00C1264C" w:rsidRDefault="00CF6370" w:rsidP="00CF6370">
      <w:pPr>
        <w:pStyle w:val="h5Section"/>
      </w:pPr>
      <w:r w:rsidRPr="00C1264C">
        <w:fldChar w:fldCharType="begin"/>
      </w:r>
      <w:r w:rsidRPr="00C1264C">
        <w:instrText xml:space="preserve">  LISTNUM "main numbering" \l 5 \* MERGEFORMAT </w:instrText>
      </w:r>
      <w:bookmarkStart w:id="33" w:name="_Toc117516977"/>
      <w:r w:rsidRPr="00C1264C">
        <w:fldChar w:fldCharType="end"/>
      </w:r>
      <w:r w:rsidRPr="00C1264C">
        <w:t xml:space="preserve">  O</w:t>
      </w:r>
      <w:r w:rsidR="003E6FC9" w:rsidRPr="00C1264C">
        <w:t>bligation days</w:t>
      </w:r>
      <w:bookmarkEnd w:id="33"/>
    </w:p>
    <w:p w14:paraId="73EBC360" w14:textId="432511DB" w:rsidR="00CF6370" w:rsidRPr="00C1264C" w:rsidRDefault="00CF6370" w:rsidP="00CF6370">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F</w:t>
      </w:r>
      <w:r w:rsidR="003E6FC9" w:rsidRPr="00C1264C">
        <w:t xml:space="preserve">or definition of </w:t>
      </w:r>
      <w:r w:rsidR="003E6FC9" w:rsidRPr="00C1264C">
        <w:rPr>
          <w:b/>
          <w:i/>
        </w:rPr>
        <w:t>obligation day</w:t>
      </w:r>
      <w:r w:rsidR="003E6FC9" w:rsidRPr="00C1264C">
        <w:t xml:space="preserve"> in</w:t>
      </w:r>
      <w:r w:rsidRPr="00C1264C">
        <w:t xml:space="preserve"> </w:t>
      </w:r>
      <w:r w:rsidR="00BF362A" w:rsidRPr="00C1264C">
        <w:t xml:space="preserve">section 5 of </w:t>
      </w:r>
      <w:r w:rsidRPr="00C1264C">
        <w:t>the Act</w:t>
      </w:r>
      <w:r w:rsidR="00BF362A" w:rsidRPr="00C1264C">
        <w:t>,</w:t>
      </w:r>
      <w:r w:rsidRPr="00C1264C">
        <w:t xml:space="preserve"> the following </w:t>
      </w:r>
      <w:r w:rsidR="003E6FC9" w:rsidRPr="00C1264C">
        <w:t>days</w:t>
      </w:r>
      <w:r w:rsidRPr="00C1264C">
        <w:t xml:space="preserve"> are prescribed:</w:t>
      </w:r>
    </w:p>
    <w:p w14:paraId="36B33369" w14:textId="06F33046" w:rsidR="00CF6370" w:rsidRPr="00C1264C" w:rsidRDefault="00CF6370" w:rsidP="00CF6370">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r>
      <w:r w:rsidR="00CC30A8" w:rsidRPr="00C1264C">
        <w:t>4</w:t>
      </w:r>
      <w:r w:rsidR="004E1BAA" w:rsidRPr="00C1264C">
        <w:t xml:space="preserve"> July 2023</w:t>
      </w:r>
      <w:r w:rsidRPr="00C1264C">
        <w:t>;</w:t>
      </w:r>
    </w:p>
    <w:p w14:paraId="13C80E9A" w14:textId="77777777" w:rsidR="00B3132E" w:rsidRPr="00C1264C" w:rsidRDefault="00CF6370" w:rsidP="003E6FC9">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r>
      <w:r w:rsidR="003E6FC9" w:rsidRPr="00C1264C">
        <w:t xml:space="preserve">each </w:t>
      </w:r>
      <w:r w:rsidR="003A7D40" w:rsidRPr="00C1264C">
        <w:t>Tuesday</w:t>
      </w:r>
      <w:r w:rsidR="00B3132E" w:rsidRPr="00C1264C">
        <w:t xml:space="preserve"> two weeks after the previous obligation day until 1 July 2024;</w:t>
      </w:r>
    </w:p>
    <w:p w14:paraId="7CE4DA0C" w14:textId="77777777" w:rsidR="00CF6370" w:rsidRPr="00C1264C" w:rsidRDefault="00B3132E" w:rsidP="00B3132E">
      <w:pPr>
        <w:pStyle w:val="tPara"/>
      </w:pPr>
      <w:r w:rsidRPr="00C1264C">
        <w:tab/>
      </w:r>
      <w:r w:rsidRPr="00C1264C">
        <w:fldChar w:fldCharType="begin"/>
      </w:r>
      <w:r w:rsidRPr="00C1264C">
        <w:instrText xml:space="preserve">  LISTNUM "main numbering" \l 7 \* MERGEFORMAT </w:instrText>
      </w:r>
      <w:r w:rsidRPr="00C1264C">
        <w:fldChar w:fldCharType="end"/>
      </w:r>
      <w:r w:rsidR="003A7D40" w:rsidRPr="00C1264C">
        <w:tab/>
        <w:t>each subsequent Tuesday</w:t>
      </w:r>
      <w:r w:rsidRPr="00C1264C">
        <w:t xml:space="preserve"> after 1 July 2024.</w:t>
      </w:r>
    </w:p>
    <w:p w14:paraId="728DEFB9" w14:textId="77777777" w:rsidR="00CF6370" w:rsidRPr="00C1264C" w:rsidRDefault="003E6FC9" w:rsidP="00AC19DB">
      <w:pPr>
        <w:pStyle w:val="tMain"/>
      </w:pPr>
      <w:r w:rsidRPr="00C1264C">
        <w:tab/>
      </w:r>
      <w:r w:rsidRPr="00C1264C">
        <w:fldChar w:fldCharType="begin"/>
      </w:r>
      <w:r w:rsidRPr="00C1264C">
        <w:instrText xml:space="preserve">  LISTNUM "main numbering" \l 6 \* MERGEFORMAT </w:instrText>
      </w:r>
      <w:r w:rsidRPr="00C1264C">
        <w:fldChar w:fldCharType="end"/>
      </w:r>
      <w:r w:rsidR="003A7D40" w:rsidRPr="00C1264C">
        <w:tab/>
        <w:t>However, if the Tuesday</w:t>
      </w:r>
      <w:r w:rsidRPr="00C1264C">
        <w:t xml:space="preserve"> is a public holiday in the Australian Capital Territory</w:t>
      </w:r>
      <w:r w:rsidR="00445A2F" w:rsidRPr="00C1264C">
        <w:t>,</w:t>
      </w:r>
      <w:r w:rsidRPr="00C1264C">
        <w:t xml:space="preserve"> the obligation day is the next day which is not a public holiday. </w:t>
      </w:r>
    </w:p>
    <w:p w14:paraId="4A3285AA" w14:textId="77777777" w:rsidR="003E6FC9" w:rsidRPr="00C1264C" w:rsidRDefault="003E6FC9" w:rsidP="003E6FC9">
      <w:pPr>
        <w:pStyle w:val="h5Section"/>
      </w:pPr>
      <w:r w:rsidRPr="00C1264C">
        <w:fldChar w:fldCharType="begin"/>
      </w:r>
      <w:bookmarkStart w:id="34" w:name="_Ref86430010"/>
      <w:bookmarkEnd w:id="34"/>
      <w:r w:rsidRPr="00C1264C">
        <w:instrText xml:space="preserve">  LISTNUM "main numbering" \l 5 \* MERGEFORMAT </w:instrText>
      </w:r>
      <w:bookmarkStart w:id="35" w:name="_Toc117516978"/>
      <w:r w:rsidRPr="00C1264C">
        <w:fldChar w:fldCharType="end"/>
      </w:r>
      <w:r w:rsidRPr="00C1264C">
        <w:t xml:space="preserve">  Trigger assessment period</w:t>
      </w:r>
      <w:bookmarkEnd w:id="35"/>
    </w:p>
    <w:p w14:paraId="0F3EB589" w14:textId="50378B24" w:rsidR="003E6FC9" w:rsidRPr="00C1264C" w:rsidRDefault="003E6FC9" w:rsidP="003E6FC9">
      <w:pPr>
        <w:pStyle w:val="tMain"/>
      </w:pPr>
      <w:r w:rsidRPr="00C1264C">
        <w:tab/>
      </w:r>
      <w:r w:rsidRPr="00C1264C">
        <w:tab/>
        <w:t xml:space="preserve">For paragraph 10(1)(b) of the Act, the </w:t>
      </w:r>
      <w:r w:rsidR="00592CEC" w:rsidRPr="00C1264C">
        <w:t xml:space="preserve">following </w:t>
      </w:r>
      <w:r w:rsidRPr="00C1264C">
        <w:t xml:space="preserve">periods </w:t>
      </w:r>
      <w:r w:rsidR="00445A2F" w:rsidRPr="00C1264C">
        <w:t>(</w:t>
      </w:r>
      <w:r w:rsidR="00445A2F" w:rsidRPr="00C1264C">
        <w:rPr>
          <w:b/>
          <w:i/>
        </w:rPr>
        <w:t>trigger assessment period</w:t>
      </w:r>
      <w:r w:rsidR="00592CEC" w:rsidRPr="00C1264C">
        <w:rPr>
          <w:b/>
          <w:i/>
        </w:rPr>
        <w:t>s</w:t>
      </w:r>
      <w:r w:rsidR="00445A2F" w:rsidRPr="00C1264C">
        <w:t>)</w:t>
      </w:r>
      <w:r w:rsidRPr="00C1264C">
        <w:t xml:space="preserve"> </w:t>
      </w:r>
      <w:r w:rsidR="00B32415" w:rsidRPr="00C1264C">
        <w:t>are</w:t>
      </w:r>
      <w:r w:rsidR="00592CEC" w:rsidRPr="00C1264C">
        <w:t xml:space="preserve"> prescribed</w:t>
      </w:r>
      <w:r w:rsidRPr="00C1264C">
        <w:t>:</w:t>
      </w:r>
    </w:p>
    <w:p w14:paraId="73C6F606" w14:textId="7DE1B479" w:rsidR="003E6FC9" w:rsidRPr="00C1264C" w:rsidRDefault="003E6FC9" w:rsidP="003E6FC9">
      <w:pPr>
        <w:pStyle w:val="tPara"/>
      </w:pPr>
      <w:r w:rsidRPr="00C1264C">
        <w:tab/>
      </w:r>
      <w:r w:rsidRPr="00C1264C">
        <w:fldChar w:fldCharType="begin"/>
      </w:r>
      <w:r w:rsidRPr="00C1264C">
        <w:instrText xml:space="preserve">  LISTNUM "main numbering" \l 7 \* MERGEFORMAT </w:instrText>
      </w:r>
      <w:r w:rsidRPr="00C1264C">
        <w:fldChar w:fldCharType="end"/>
      </w:r>
      <w:r w:rsidR="002220B3" w:rsidRPr="00C1264C">
        <w:tab/>
        <w:t>the 2019</w:t>
      </w:r>
      <w:r w:rsidRPr="00C1264C">
        <w:t xml:space="preserve"> calendar year;</w:t>
      </w:r>
    </w:p>
    <w:p w14:paraId="32D9394B" w14:textId="57F60B29" w:rsidR="002220B3" w:rsidRPr="00C1264C" w:rsidRDefault="002220B3" w:rsidP="002220B3">
      <w:pPr>
        <w:pStyle w:val="tPara"/>
      </w:pPr>
      <w:r w:rsidRPr="00C1264C">
        <w:tab/>
      </w:r>
      <w:r w:rsidRPr="00C1264C">
        <w:fldChar w:fldCharType="begin"/>
      </w:r>
      <w:r w:rsidRPr="00C1264C">
        <w:instrText xml:space="preserve">  LISTNUM "main numbering" \l 7 \* MERGEFORMAT </w:instrText>
      </w:r>
      <w:r w:rsidRPr="00C1264C">
        <w:fldChar w:fldCharType="end"/>
      </w:r>
      <w:r w:rsidR="000B3269" w:rsidRPr="00C1264C">
        <w:tab/>
        <w:t>the 202</w:t>
      </w:r>
      <w:r w:rsidR="00592CEC" w:rsidRPr="00C1264C">
        <w:t>2</w:t>
      </w:r>
      <w:r w:rsidRPr="00C1264C">
        <w:t xml:space="preserve"> calendar year;</w:t>
      </w:r>
    </w:p>
    <w:p w14:paraId="5277C87D" w14:textId="62AD508C" w:rsidR="002220B3" w:rsidRPr="00C1264C" w:rsidRDefault="002220B3" w:rsidP="002220B3">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each subsequent calendar year. </w:t>
      </w:r>
    </w:p>
    <w:p w14:paraId="58533FDF" w14:textId="77777777" w:rsidR="003E6FC9" w:rsidRPr="00C1264C" w:rsidRDefault="003E6FC9" w:rsidP="003E6FC9">
      <w:pPr>
        <w:pStyle w:val="h5Section"/>
      </w:pPr>
      <w:r w:rsidRPr="00C1264C">
        <w:fldChar w:fldCharType="begin"/>
      </w:r>
      <w:bookmarkStart w:id="36" w:name="_Ref89158286"/>
      <w:bookmarkEnd w:id="36"/>
      <w:r w:rsidRPr="00C1264C">
        <w:instrText xml:space="preserve">  LISTNUM "main numbering" \l 5 \* MERGEFORMAT </w:instrText>
      </w:r>
      <w:bookmarkStart w:id="37" w:name="_Toc117516979"/>
      <w:r w:rsidRPr="00C1264C">
        <w:fldChar w:fldCharType="end"/>
      </w:r>
      <w:r w:rsidRPr="00C1264C">
        <w:t xml:space="preserve">  Thresholds to trigger MSO</w:t>
      </w:r>
      <w:bookmarkEnd w:id="37"/>
    </w:p>
    <w:p w14:paraId="0CC62D66" w14:textId="77777777" w:rsidR="003E6FC9" w:rsidRPr="00C1264C" w:rsidRDefault="003E6FC9" w:rsidP="003E6FC9">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For subparagraph 10(1)(b)(ii) of the Act,</w:t>
      </w:r>
      <w:r w:rsidR="00120B4E" w:rsidRPr="00C1264C">
        <w:t xml:space="preserve"> unless subsection </w:t>
      </w:r>
      <w:r w:rsidR="00120B4E" w:rsidRPr="00C1264C">
        <w:fldChar w:fldCharType="begin"/>
      </w:r>
      <w:r w:rsidR="00120B4E" w:rsidRPr="00C1264C">
        <w:instrText xml:space="preserve"> LISTNUM \l 6  </w:instrText>
      </w:r>
      <w:r w:rsidR="00120B4E" w:rsidRPr="00C1264C">
        <w:fldChar w:fldCharType="end"/>
      </w:r>
      <w:r w:rsidR="00120B4E" w:rsidRPr="00C1264C">
        <w:t xml:space="preserve"> </w:t>
      </w:r>
      <w:r w:rsidR="009771C4" w:rsidRPr="00C1264C">
        <w:t>applies,</w:t>
      </w:r>
      <w:r w:rsidRPr="00C1264C">
        <w:t xml:space="preserve"> </w:t>
      </w:r>
      <w:r w:rsidR="00B32415" w:rsidRPr="00C1264C">
        <w:t xml:space="preserve">the </w:t>
      </w:r>
      <w:r w:rsidRPr="00C1264C">
        <w:t>volume of each MSO product necessary to trigger the MSO</w:t>
      </w:r>
      <w:r w:rsidR="00AC19DB" w:rsidRPr="00C1264C">
        <w:t xml:space="preserve"> for the activity of refining or importing</w:t>
      </w:r>
      <w:r w:rsidRPr="00C1264C">
        <w:t xml:space="preserve"> is as follows:</w:t>
      </w:r>
    </w:p>
    <w:p w14:paraId="29C85E4C" w14:textId="77777777" w:rsidR="003E6FC9" w:rsidRPr="00C1264C" w:rsidRDefault="003E6FC9" w:rsidP="003E6FC9">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gasoline—</w:t>
      </w:r>
      <w:r w:rsidR="009771C4" w:rsidRPr="00C1264C">
        <w:t>2</w:t>
      </w:r>
      <w:r w:rsidRPr="00C1264C">
        <w:t>00 megalitres;</w:t>
      </w:r>
    </w:p>
    <w:p w14:paraId="06D664F3" w14:textId="77777777" w:rsidR="003E6FC9" w:rsidRPr="00C1264C" w:rsidRDefault="003E6FC9" w:rsidP="003E6FC9">
      <w:pPr>
        <w:pStyle w:val="tPara"/>
      </w:pPr>
      <w:r w:rsidRPr="00C1264C">
        <w:tab/>
      </w:r>
      <w:r w:rsidRPr="00C1264C">
        <w:fldChar w:fldCharType="begin"/>
      </w:r>
      <w:r w:rsidRPr="00C1264C">
        <w:instrText xml:space="preserve">  LISTNUM "main numbering" \l 7 \* MERGEFORMAT </w:instrText>
      </w:r>
      <w:r w:rsidRPr="00C1264C">
        <w:fldChar w:fldCharType="end"/>
      </w:r>
      <w:r w:rsidR="00D7478C" w:rsidRPr="00C1264C">
        <w:tab/>
        <w:t>diesel—</w:t>
      </w:r>
      <w:r w:rsidR="009771C4" w:rsidRPr="00C1264C">
        <w:t>2</w:t>
      </w:r>
      <w:r w:rsidR="00D7478C" w:rsidRPr="00C1264C">
        <w:t>5</w:t>
      </w:r>
      <w:r w:rsidRPr="00C1264C">
        <w:t xml:space="preserve">0 megalitres; </w:t>
      </w:r>
    </w:p>
    <w:p w14:paraId="0AE1CEFC" w14:textId="6DA320E3" w:rsidR="00AD1E2F" w:rsidRPr="00C1264C" w:rsidRDefault="003E6FC9" w:rsidP="003E6FC9">
      <w:pPr>
        <w:pStyle w:val="tPara"/>
      </w:pPr>
      <w:r w:rsidRPr="00C1264C">
        <w:tab/>
      </w:r>
      <w:r w:rsidRPr="00C1264C">
        <w:fldChar w:fldCharType="begin"/>
      </w:r>
      <w:r w:rsidRPr="00C1264C">
        <w:instrText xml:space="preserve">  LISTNUM "main numbering" \l 7 \* MERGEFORMAT </w:instrText>
      </w:r>
      <w:r w:rsidRPr="00C1264C">
        <w:fldChar w:fldCharType="end"/>
      </w:r>
      <w:r w:rsidR="00D7478C" w:rsidRPr="00C1264C">
        <w:tab/>
        <w:t>kerosene—</w:t>
      </w:r>
      <w:r w:rsidR="009771C4" w:rsidRPr="00C1264C">
        <w:t>25</w:t>
      </w:r>
      <w:r w:rsidRPr="00C1264C">
        <w:t>0 megalitres.</w:t>
      </w:r>
    </w:p>
    <w:p w14:paraId="13CE48E8" w14:textId="77777777" w:rsidR="001D3530" w:rsidRPr="00C1264C" w:rsidRDefault="00120B4E" w:rsidP="00120B4E">
      <w:pPr>
        <w:pStyle w:val="tMain"/>
      </w:pPr>
      <w:r w:rsidRPr="00C1264C">
        <w:tab/>
      </w:r>
      <w:r w:rsidR="009771C4" w:rsidRPr="00C1264C">
        <w:fldChar w:fldCharType="begin"/>
      </w:r>
      <w:r w:rsidR="009771C4" w:rsidRPr="00C1264C">
        <w:instrText xml:space="preserve"> LISTNUM  "main numbering" \l 6 \s 2 </w:instrText>
      </w:r>
      <w:r w:rsidR="009771C4" w:rsidRPr="00C1264C">
        <w:fldChar w:fldCharType="end"/>
      </w:r>
      <w:r w:rsidRPr="00C1264C">
        <w:tab/>
        <w:t>I</w:t>
      </w:r>
      <w:r w:rsidR="001D3530" w:rsidRPr="00C1264C">
        <w:t xml:space="preserve">f the Secretary is satisfied that the entity’s refining or importing is carried out with a purpose or object of avoiding the threshold in subsection (1), </w:t>
      </w:r>
      <w:r w:rsidR="00B32415" w:rsidRPr="00C1264C">
        <w:t xml:space="preserve">the </w:t>
      </w:r>
      <w:r w:rsidR="001D3530" w:rsidRPr="00C1264C">
        <w:t>volume of each MSO product necessary to trigger the MSO for the activity of refining or importing is as follows:</w:t>
      </w:r>
    </w:p>
    <w:p w14:paraId="6BCF97F6" w14:textId="77777777" w:rsidR="001D3530" w:rsidRPr="00C1264C" w:rsidRDefault="001D3530" w:rsidP="001D3530">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gasoline—10 megalitres;</w:t>
      </w:r>
    </w:p>
    <w:p w14:paraId="1605B49A" w14:textId="77777777" w:rsidR="001D3530" w:rsidRPr="00C1264C" w:rsidRDefault="001D3530" w:rsidP="001D3530">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diesel—10 megalitres; </w:t>
      </w:r>
    </w:p>
    <w:p w14:paraId="73EE31B6" w14:textId="77777777" w:rsidR="008F0B40" w:rsidRPr="00C1264C" w:rsidRDefault="001D3530" w:rsidP="00A607F4">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kerosene—10 megalitres.</w:t>
      </w:r>
    </w:p>
    <w:p w14:paraId="13F6150C" w14:textId="30BFE810" w:rsidR="008F0B40" w:rsidRPr="00C1264C" w:rsidRDefault="008F0B40" w:rsidP="008F0B40">
      <w:pPr>
        <w:pStyle w:val="h5Section"/>
      </w:pPr>
      <w:r w:rsidRPr="00C1264C">
        <w:fldChar w:fldCharType="begin"/>
      </w:r>
      <w:r w:rsidRPr="00C1264C">
        <w:instrText xml:space="preserve">  LISTNUM "main numbering" \l 5 \* MERGEFORMAT </w:instrText>
      </w:r>
      <w:bookmarkStart w:id="38" w:name="_Toc117516980"/>
      <w:r w:rsidRPr="00C1264C">
        <w:fldChar w:fldCharType="end"/>
      </w:r>
      <w:r w:rsidRPr="00C1264C">
        <w:t xml:space="preserve">  N</w:t>
      </w:r>
      <w:r w:rsidR="001D3530" w:rsidRPr="00C1264C">
        <w:t>otice</w:t>
      </w:r>
      <w:r w:rsidR="00AC19DB" w:rsidRPr="00C1264C">
        <w:t xml:space="preserve"> </w:t>
      </w:r>
      <w:r w:rsidR="00235974" w:rsidRPr="00C1264C">
        <w:t xml:space="preserve">window </w:t>
      </w:r>
      <w:r w:rsidR="00AC19DB" w:rsidRPr="00C1264C">
        <w:t xml:space="preserve">and advice </w:t>
      </w:r>
      <w:r w:rsidRPr="00C1264C">
        <w:t>window</w:t>
      </w:r>
      <w:bookmarkEnd w:id="38"/>
    </w:p>
    <w:p w14:paraId="62921FA2" w14:textId="77777777" w:rsidR="008F0B40" w:rsidRPr="00C1264C" w:rsidRDefault="008F0B40" w:rsidP="00AC19DB">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For sub</w:t>
      </w:r>
      <w:r w:rsidR="00AC19DB" w:rsidRPr="00C1264C">
        <w:t>section 15(5)</w:t>
      </w:r>
      <w:r w:rsidRPr="00C1264C">
        <w:t xml:space="preserve"> of the Act, </w:t>
      </w:r>
      <w:r w:rsidR="00B32415" w:rsidRPr="00C1264C">
        <w:t xml:space="preserve">a </w:t>
      </w:r>
      <w:r w:rsidR="00AC19DB" w:rsidRPr="00C1264C">
        <w:rPr>
          <w:b/>
          <w:i/>
        </w:rPr>
        <w:t>notice window</w:t>
      </w:r>
      <w:r w:rsidR="00AC19DB" w:rsidRPr="00C1264C">
        <w:t xml:space="preserve"> is:</w:t>
      </w:r>
    </w:p>
    <w:p w14:paraId="1AD4857C" w14:textId="011BC0C9" w:rsidR="00AC19DB" w:rsidRPr="00C1264C" w:rsidRDefault="00AC19DB" w:rsidP="00AC19DB">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r>
      <w:r w:rsidR="00B32415" w:rsidRPr="00C1264C">
        <w:t xml:space="preserve">the period </w:t>
      </w:r>
      <w:r w:rsidR="00592CEC" w:rsidRPr="00C1264C">
        <w:t>that begins on</w:t>
      </w:r>
      <w:r w:rsidR="00B32415" w:rsidRPr="00C1264C">
        <w:t xml:space="preserve"> </w:t>
      </w:r>
      <w:r w:rsidRPr="00C1264C">
        <w:t>1 March 202</w:t>
      </w:r>
      <w:r w:rsidR="00F87B20" w:rsidRPr="00C1264C">
        <w:t>4</w:t>
      </w:r>
      <w:r w:rsidRPr="00C1264C">
        <w:t xml:space="preserve"> </w:t>
      </w:r>
      <w:r w:rsidR="00592CEC" w:rsidRPr="00C1264C">
        <w:t>and ends on</w:t>
      </w:r>
      <w:r w:rsidRPr="00C1264C">
        <w:t xml:space="preserve"> 30 June 202</w:t>
      </w:r>
      <w:r w:rsidR="00F87B20" w:rsidRPr="00C1264C">
        <w:t>4</w:t>
      </w:r>
      <w:r w:rsidRPr="00C1264C">
        <w:t>;</w:t>
      </w:r>
      <w:r w:rsidR="00B32415" w:rsidRPr="00C1264C">
        <w:t xml:space="preserve"> and</w:t>
      </w:r>
    </w:p>
    <w:p w14:paraId="6611B4A5" w14:textId="729A2A54" w:rsidR="00AC19DB" w:rsidRPr="00C1264C" w:rsidRDefault="00AC19DB" w:rsidP="00AC19DB">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each subsequent period </w:t>
      </w:r>
      <w:r w:rsidR="00592CEC" w:rsidRPr="00C1264C">
        <w:t xml:space="preserve">that begins on </w:t>
      </w:r>
      <w:r w:rsidRPr="00C1264C">
        <w:t xml:space="preserve">1 March </w:t>
      </w:r>
      <w:r w:rsidR="00154251" w:rsidRPr="00C1264C">
        <w:t xml:space="preserve">of a particular year </w:t>
      </w:r>
      <w:r w:rsidR="00592CEC" w:rsidRPr="00C1264C">
        <w:t>and ends on</w:t>
      </w:r>
      <w:r w:rsidRPr="00C1264C">
        <w:t xml:space="preserve"> 30 June</w:t>
      </w:r>
      <w:r w:rsidR="00154251" w:rsidRPr="00C1264C">
        <w:t xml:space="preserve"> of that year</w:t>
      </w:r>
      <w:r w:rsidRPr="00C1264C">
        <w:t>.</w:t>
      </w:r>
    </w:p>
    <w:p w14:paraId="333DAEE4" w14:textId="210BAB3A" w:rsidR="00B231FE" w:rsidRPr="00C1264C" w:rsidRDefault="00AC19DB" w:rsidP="006D0E76">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 xml:space="preserve">For subsection 16(4) of the Act, </w:t>
      </w:r>
      <w:r w:rsidR="00B231FE" w:rsidRPr="00C1264C">
        <w:t xml:space="preserve">an </w:t>
      </w:r>
      <w:r w:rsidRPr="00C1264C">
        <w:t xml:space="preserve">advice window is </w:t>
      </w:r>
      <w:r w:rsidR="00B231FE" w:rsidRPr="00C1264C">
        <w:t>a period of</w:t>
      </w:r>
      <w:r w:rsidRPr="00C1264C">
        <w:t xml:space="preserve"> </w:t>
      </w:r>
      <w:r w:rsidR="004D2C9C" w:rsidRPr="00C1264C">
        <w:t>2</w:t>
      </w:r>
      <w:r w:rsidRPr="00C1264C">
        <w:t xml:space="preserve"> month</w:t>
      </w:r>
      <w:r w:rsidR="00B231FE" w:rsidRPr="00C1264C">
        <w:t>s.</w:t>
      </w:r>
    </w:p>
    <w:p w14:paraId="504C0C89" w14:textId="4799B051" w:rsidR="00AC19DB" w:rsidRPr="00C1264C" w:rsidRDefault="00B231FE" w:rsidP="006B4D6E">
      <w:pPr>
        <w:pStyle w:val="nMain"/>
      </w:pPr>
      <w:r w:rsidRPr="00C1264C">
        <w:t xml:space="preserve">Note: </w:t>
      </w:r>
      <w:r w:rsidRPr="00C1264C">
        <w:tab/>
        <w:t xml:space="preserve">An advice window ends at the start </w:t>
      </w:r>
      <w:r w:rsidR="00AC19DB" w:rsidRPr="00C1264C">
        <w:t xml:space="preserve">of </w:t>
      </w:r>
      <w:r w:rsidRPr="00C1264C">
        <w:t xml:space="preserve">a </w:t>
      </w:r>
      <w:r w:rsidR="00AC19DB" w:rsidRPr="00C1264C">
        <w:t>notice window</w:t>
      </w:r>
      <w:r w:rsidRPr="00C1264C">
        <w:t xml:space="preserve"> (subsection 16(4) of the Act)</w:t>
      </w:r>
      <w:r w:rsidR="00AC19DB" w:rsidRPr="00C1264C">
        <w:t>.</w:t>
      </w:r>
    </w:p>
    <w:p w14:paraId="1089C182" w14:textId="77777777" w:rsidR="00E87ED5" w:rsidRPr="00C1264C" w:rsidRDefault="00E87ED5" w:rsidP="00E87ED5">
      <w:pPr>
        <w:pStyle w:val="h5Section"/>
      </w:pPr>
      <w:r w:rsidRPr="00C1264C">
        <w:lastRenderedPageBreak/>
        <w:fldChar w:fldCharType="begin"/>
      </w:r>
      <w:r w:rsidRPr="00C1264C">
        <w:instrText xml:space="preserve">  LISTNUM "main numbering" \l 5 \* MERGEFORMAT </w:instrText>
      </w:r>
      <w:bookmarkStart w:id="39" w:name="_Toc117516981"/>
      <w:r w:rsidRPr="00C1264C">
        <w:fldChar w:fldCharType="end"/>
      </w:r>
      <w:r w:rsidRPr="00C1264C">
        <w:t xml:space="preserve">  Notices to Australian controlling corporation</w:t>
      </w:r>
      <w:bookmarkEnd w:id="39"/>
    </w:p>
    <w:p w14:paraId="028F5518" w14:textId="73EE2E1D" w:rsidR="00592CEC" w:rsidRPr="00C1264C" w:rsidRDefault="00E87ED5" w:rsidP="005F0D34">
      <w:pPr>
        <w:pStyle w:val="tMain"/>
        <w:sectPr w:rsidR="00592CEC" w:rsidRPr="00C1264C" w:rsidSect="00B13564">
          <w:pgSz w:w="11906" w:h="16838"/>
          <w:pgMar w:top="1440" w:right="1440" w:bottom="1440" w:left="1440" w:header="709" w:footer="709" w:gutter="0"/>
          <w:cols w:space="708"/>
          <w:titlePg/>
          <w:docGrid w:linePitch="360"/>
        </w:sectPr>
      </w:pPr>
      <w:r w:rsidRPr="00C1264C">
        <w:tab/>
      </w:r>
      <w:r w:rsidRPr="00C1264C">
        <w:tab/>
        <w:t xml:space="preserve">If the Secretary </w:t>
      </w:r>
      <w:r w:rsidR="004D2C9C" w:rsidRPr="00C1264C">
        <w:t>gives</w:t>
      </w:r>
      <w:r w:rsidRPr="00C1264C">
        <w:t xml:space="preserve"> a notice to an entity under subsections 10(1), 15(1)</w:t>
      </w:r>
      <w:r w:rsidR="006D0E76" w:rsidRPr="00C1264C">
        <w:t>, 18(2), 18(5),</w:t>
      </w:r>
      <w:r w:rsidR="00445A2F" w:rsidRPr="00C1264C">
        <w:t xml:space="preserve"> </w:t>
      </w:r>
      <w:r w:rsidR="006D0E76" w:rsidRPr="00C1264C">
        <w:t>29(2), 29(7), 29(8) or 32(3) of the Act, the Secretary must</w:t>
      </w:r>
      <w:r w:rsidR="004412D6" w:rsidRPr="00C1264C">
        <w:t xml:space="preserve"> take reasonable steps to</w:t>
      </w:r>
      <w:r w:rsidR="006D0E76" w:rsidRPr="00C1264C">
        <w:t xml:space="preserve"> also </w:t>
      </w:r>
      <w:r w:rsidR="004D2C9C" w:rsidRPr="00C1264C">
        <w:t>give</w:t>
      </w:r>
      <w:r w:rsidR="006D0E76" w:rsidRPr="00C1264C">
        <w:t xml:space="preserve"> a copy of the notice to any Australian controlling corporation of the entity. </w:t>
      </w:r>
    </w:p>
    <w:p w14:paraId="6CA81AAC" w14:textId="77777777" w:rsidR="00A607F4" w:rsidRPr="00C1264C" w:rsidRDefault="00A607F4" w:rsidP="00A607F4">
      <w:pPr>
        <w:pStyle w:val="h2Part"/>
        <w:rPr>
          <w:rStyle w:val="CharDivText"/>
        </w:rPr>
      </w:pPr>
      <w:r w:rsidRPr="00C1264C">
        <w:rPr>
          <w:rStyle w:val="CharPartNo"/>
        </w:rPr>
        <w:lastRenderedPageBreak/>
        <w:fldChar w:fldCharType="begin"/>
      </w:r>
      <w:r w:rsidRPr="00C1264C">
        <w:rPr>
          <w:rStyle w:val="CharPartNo"/>
        </w:rPr>
        <w:instrText xml:space="preserve">  LISTNUM "main numbering" \l 2 \* MERGEFORMAT </w:instrText>
      </w:r>
      <w:bookmarkStart w:id="40" w:name="_Toc117516982"/>
      <w:r w:rsidRPr="00C1264C">
        <w:rPr>
          <w:rStyle w:val="CharPartNo"/>
        </w:rPr>
        <w:fldChar w:fldCharType="end"/>
      </w:r>
      <w:r w:rsidRPr="00C1264C">
        <w:rPr>
          <w:rStyle w:val="CharPartNo"/>
        </w:rPr>
        <w:t>—Designated quantity</w:t>
      </w:r>
      <w:bookmarkEnd w:id="40"/>
      <w:r w:rsidRPr="00C1264C">
        <w:rPr>
          <w:rStyle w:val="CharPartText"/>
        </w:rPr>
        <w:t xml:space="preserve"> </w:t>
      </w:r>
    </w:p>
    <w:p w14:paraId="08141A32" w14:textId="77777777" w:rsidR="00A607F4" w:rsidRPr="00C1264C" w:rsidRDefault="00A607F4" w:rsidP="00A607F4">
      <w:pPr>
        <w:pStyle w:val="h5Section"/>
      </w:pPr>
      <w:r w:rsidRPr="00C1264C">
        <w:fldChar w:fldCharType="begin"/>
      </w:r>
      <w:r w:rsidRPr="00C1264C">
        <w:instrText xml:space="preserve">  LISTNUM "main numbering" \l 5 \* MERGEFORMAT </w:instrText>
      </w:r>
      <w:bookmarkStart w:id="41" w:name="_Toc117516983"/>
      <w:r w:rsidRPr="00C1264C">
        <w:fldChar w:fldCharType="end"/>
      </w:r>
      <w:r w:rsidRPr="00C1264C">
        <w:t xml:space="preserve">  Designated quantity to be specified</w:t>
      </w:r>
      <w:bookmarkEnd w:id="41"/>
    </w:p>
    <w:p w14:paraId="063D9E40" w14:textId="18114122" w:rsidR="00CF6370" w:rsidRPr="00C1264C" w:rsidRDefault="00A607F4" w:rsidP="00E87ED5">
      <w:pPr>
        <w:pStyle w:val="tMain"/>
      </w:pPr>
      <w:r w:rsidRPr="00C1264C">
        <w:tab/>
      </w:r>
      <w:r w:rsidRPr="00C1264C">
        <w:tab/>
      </w:r>
      <w:r w:rsidR="00E87ED5" w:rsidRPr="00C1264C">
        <w:t>For subsections 10(3), 15(3) and 16(3)</w:t>
      </w:r>
      <w:r w:rsidR="00B32415" w:rsidRPr="00C1264C">
        <w:t xml:space="preserve"> of the Act</w:t>
      </w:r>
      <w:r w:rsidR="00E87ED5" w:rsidRPr="00C1264C">
        <w:t>, the designated quantity</w:t>
      </w:r>
      <w:r w:rsidR="00040D2E" w:rsidRPr="00C1264C">
        <w:t xml:space="preserve"> of stocks of each MSO product the entity must hold</w:t>
      </w:r>
      <w:r w:rsidR="00EC7EBC" w:rsidRPr="00C1264C">
        <w:t xml:space="preserve"> </w:t>
      </w:r>
      <w:r w:rsidR="00040D2E" w:rsidRPr="00C1264C">
        <w:t>on obligation days for which the notice is in force</w:t>
      </w:r>
      <w:r w:rsidR="00EC7EBC" w:rsidRPr="00C1264C">
        <w:t xml:space="preserve">, or </w:t>
      </w:r>
      <w:r w:rsidR="00DB6D00" w:rsidRPr="00C1264C">
        <w:t>expects to be notified of</w:t>
      </w:r>
      <w:r w:rsidR="00F75A9C" w:rsidRPr="00C1264C">
        <w:t xml:space="preserve"> for </w:t>
      </w:r>
      <w:r w:rsidR="00EC7EBC" w:rsidRPr="00C1264C">
        <w:t>section 16</w:t>
      </w:r>
      <w:r w:rsidR="00DA1972" w:rsidRPr="00C1264C">
        <w:t xml:space="preserve"> of the Act</w:t>
      </w:r>
      <w:r w:rsidR="00EC7EBC" w:rsidRPr="00C1264C">
        <w:t xml:space="preserve">, </w:t>
      </w:r>
      <w:r w:rsidR="00E87ED5" w:rsidRPr="00C1264C">
        <w:t>must be calculat</w:t>
      </w:r>
      <w:r w:rsidR="006D0E76" w:rsidRPr="00C1264C">
        <w:t xml:space="preserve">ed in accordance with </w:t>
      </w:r>
      <w:r w:rsidR="004D2C9C" w:rsidRPr="00C1264C">
        <w:t>this Part</w:t>
      </w:r>
      <w:r w:rsidR="00E87ED5" w:rsidRPr="00C1264C">
        <w:t xml:space="preserve">. </w:t>
      </w:r>
    </w:p>
    <w:p w14:paraId="04ECA591" w14:textId="77777777" w:rsidR="00942DB2" w:rsidRPr="00C1264C" w:rsidRDefault="00A607F4" w:rsidP="00E87ED5">
      <w:pPr>
        <w:pStyle w:val="h5Section"/>
      </w:pPr>
      <w:r w:rsidRPr="00C1264C">
        <w:fldChar w:fldCharType="begin"/>
      </w:r>
      <w:bookmarkStart w:id="42" w:name="_Ref86423524"/>
      <w:bookmarkEnd w:id="42"/>
      <w:r w:rsidRPr="00C1264C">
        <w:instrText xml:space="preserve">  LISTNUM "main numbering" \l 5 \* MERGEFORMAT </w:instrText>
      </w:r>
      <w:bookmarkStart w:id="43" w:name="_Toc117516984"/>
      <w:r w:rsidRPr="00C1264C">
        <w:fldChar w:fldCharType="end"/>
      </w:r>
      <w:r w:rsidRPr="00C1264C">
        <w:t xml:space="preserve">  Designated quantity—general</w:t>
      </w:r>
      <w:bookmarkEnd w:id="43"/>
    </w:p>
    <w:p w14:paraId="05985484" w14:textId="77777777" w:rsidR="002150E5" w:rsidRPr="00C1264C" w:rsidRDefault="00EC5385" w:rsidP="002F5F38">
      <w:pPr>
        <w:pStyle w:val="tMain"/>
      </w:pPr>
      <w:r w:rsidRPr="00C1264C">
        <w:tab/>
      </w:r>
      <w:r w:rsidRPr="00C1264C">
        <w:fldChar w:fldCharType="begin"/>
      </w:r>
      <w:r w:rsidRPr="00C1264C">
        <w:instrText xml:space="preserve">  LISTNUM "main numbering" \l 6 \* MERGEFORMAT </w:instrText>
      </w:r>
      <w:r w:rsidRPr="00C1264C">
        <w:fldChar w:fldCharType="end"/>
      </w:r>
      <w:r w:rsidR="003B2DC6" w:rsidRPr="00C1264C">
        <w:tab/>
      </w:r>
      <w:r w:rsidR="00A607F4" w:rsidRPr="00C1264C">
        <w:t>For each MSO product, the designated quantity is the sum of the quantities required for importing the product under subsection (2) and the quantities required for refining the product under subsection (3)</w:t>
      </w:r>
      <w:r w:rsidR="00280F64" w:rsidRPr="00C1264C">
        <w:t>, rounded to the nearest megalitre</w:t>
      </w:r>
      <w:r w:rsidR="00A607F4" w:rsidRPr="00C1264C">
        <w:t>.</w:t>
      </w:r>
    </w:p>
    <w:p w14:paraId="3FEEFF34" w14:textId="77777777" w:rsidR="00A607F4" w:rsidRPr="00C1264C" w:rsidRDefault="00A607F4" w:rsidP="00A607F4">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If the MSO is triggered for the activity of importing an MSO product (p), the quantity for that product is given by the following formula:</w:t>
      </w:r>
    </w:p>
    <w:p w14:paraId="4EC15105" w14:textId="6B727986" w:rsidR="002150E5" w:rsidRPr="00C1264C" w:rsidRDefault="00C829BC" w:rsidP="002150E5">
      <w:pPr>
        <w:pStyle w:val="tDefn"/>
        <w:rPr>
          <w:sz w:val="28"/>
          <w:szCs w:val="28"/>
        </w:rPr>
      </w:pPr>
      <w:r w:rsidRPr="00C1264C">
        <w:rPr>
          <w:noProof/>
          <w:sz w:val="28"/>
          <w:szCs w:val="28"/>
        </w:rPr>
        <w:drawing>
          <wp:inline distT="0" distB="0" distL="0" distR="0" wp14:anchorId="1E9DE639" wp14:editId="267F641C">
            <wp:extent cx="1628775" cy="514350"/>
            <wp:effectExtent l="0" t="0" r="9525" b="0"/>
            <wp:docPr id="2" name="Picture 2" descr="Qp equals TDIp times TIp over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p equals TDIp times TIp over 365"/>
                    <pic:cNvPicPr/>
                  </pic:nvPicPr>
                  <pic:blipFill>
                    <a:blip r:embed="rId19">
                      <a:extLst>
                        <a:ext uri="{28A0092B-C50C-407E-A947-70E740481C1C}">
                          <a14:useLocalDpi xmlns:a14="http://schemas.microsoft.com/office/drawing/2010/main" val="0"/>
                        </a:ext>
                      </a:extLst>
                    </a:blip>
                    <a:stretch>
                      <a:fillRect/>
                    </a:stretch>
                  </pic:blipFill>
                  <pic:spPr>
                    <a:xfrm>
                      <a:off x="0" y="0"/>
                      <a:ext cx="1628775" cy="514350"/>
                    </a:xfrm>
                    <a:prstGeom prst="rect">
                      <a:avLst/>
                    </a:prstGeom>
                  </pic:spPr>
                </pic:pic>
              </a:graphicData>
            </a:graphic>
          </wp:inline>
        </w:drawing>
      </w:r>
    </w:p>
    <w:p w14:paraId="694E1291" w14:textId="77777777" w:rsidR="00511AA9" w:rsidRPr="00C1264C" w:rsidRDefault="002150E5" w:rsidP="00511AA9">
      <w:pPr>
        <w:pStyle w:val="subsection2"/>
        <w:shd w:val="clear" w:color="auto" w:fill="FFFFFF"/>
        <w:rPr>
          <w:szCs w:val="22"/>
        </w:rPr>
      </w:pPr>
      <w:r w:rsidRPr="00C1264C">
        <w:rPr>
          <w:szCs w:val="22"/>
        </w:rPr>
        <w:t>where:</w:t>
      </w:r>
    </w:p>
    <w:p w14:paraId="732B3823" w14:textId="77777777" w:rsidR="00511AA9" w:rsidRPr="00C1264C" w:rsidRDefault="00A607F4" w:rsidP="00511AA9">
      <w:pPr>
        <w:pStyle w:val="tDefn"/>
      </w:pPr>
      <w:r w:rsidRPr="00C1264C">
        <w:rPr>
          <w:b/>
          <w:i/>
        </w:rPr>
        <w:t>Q</w:t>
      </w:r>
      <w:r w:rsidR="00445A2F" w:rsidRPr="00C1264C">
        <w:rPr>
          <w:b/>
          <w:i/>
          <w:vertAlign w:val="subscript"/>
        </w:rPr>
        <w:t>p</w:t>
      </w:r>
      <w:r w:rsidR="00511AA9" w:rsidRPr="00C1264C">
        <w:rPr>
          <w:b/>
          <w:i/>
          <w:vertAlign w:val="subscript"/>
        </w:rPr>
        <w:t xml:space="preserve"> </w:t>
      </w:r>
      <w:r w:rsidRPr="00C1264C">
        <w:t>is the designated quantity of the MSO product</w:t>
      </w:r>
      <w:r w:rsidR="00445A2F" w:rsidRPr="00C1264C">
        <w:t xml:space="preserve"> p, in megalitres.</w:t>
      </w:r>
      <w:r w:rsidRPr="00C1264C">
        <w:t xml:space="preserve"> </w:t>
      </w:r>
    </w:p>
    <w:p w14:paraId="5C159365" w14:textId="68FC677A" w:rsidR="00511AA9" w:rsidRPr="00C1264C" w:rsidRDefault="00A607F4" w:rsidP="00511AA9">
      <w:pPr>
        <w:pStyle w:val="tDefn"/>
      </w:pPr>
      <w:r w:rsidRPr="00C1264C">
        <w:rPr>
          <w:b/>
          <w:i/>
        </w:rPr>
        <w:t>TD</w:t>
      </w:r>
      <w:r w:rsidR="00752C1E" w:rsidRPr="00C1264C">
        <w:rPr>
          <w:b/>
          <w:i/>
        </w:rPr>
        <w:t>I</w:t>
      </w:r>
      <w:r w:rsidRPr="00C1264C">
        <w:rPr>
          <w:b/>
          <w:i/>
          <w:vertAlign w:val="subscript"/>
        </w:rPr>
        <w:t>p</w:t>
      </w:r>
      <w:r w:rsidR="00511AA9" w:rsidRPr="00C1264C">
        <w:t xml:space="preserve"> is </w:t>
      </w:r>
      <w:r w:rsidRPr="00C1264C">
        <w:t>target days for the importing of the MSO product</w:t>
      </w:r>
      <w:r w:rsidR="00752C1E" w:rsidRPr="00C1264C">
        <w:t xml:space="preserve"> p</w:t>
      </w:r>
      <w:r w:rsidRPr="00C1264C">
        <w:t xml:space="preserve"> </w:t>
      </w:r>
      <w:r w:rsidR="004D2C9C" w:rsidRPr="00C1264C">
        <w:t>declared</w:t>
      </w:r>
      <w:r w:rsidRPr="00C1264C">
        <w:t xml:space="preserve"> under section 14 of the Act</w:t>
      </w:r>
      <w:r w:rsidR="004412D6" w:rsidRPr="00C1264C">
        <w:t xml:space="preserve"> and applicable to the start of the period when the designated quantity will apply</w:t>
      </w:r>
      <w:r w:rsidRPr="00C1264C">
        <w:t>.</w:t>
      </w:r>
    </w:p>
    <w:p w14:paraId="42C46D1F" w14:textId="77777777" w:rsidR="00D7478C" w:rsidRPr="00C1264C" w:rsidRDefault="00A607F4" w:rsidP="00D7478C">
      <w:pPr>
        <w:pStyle w:val="tDefn"/>
      </w:pPr>
      <w:r w:rsidRPr="00C1264C">
        <w:rPr>
          <w:b/>
          <w:i/>
        </w:rPr>
        <w:t>T</w:t>
      </w:r>
      <w:r w:rsidR="00445A2F" w:rsidRPr="00C1264C">
        <w:rPr>
          <w:b/>
          <w:i/>
        </w:rPr>
        <w:t>I</w:t>
      </w:r>
      <w:r w:rsidRPr="00C1264C">
        <w:rPr>
          <w:b/>
          <w:i/>
          <w:vertAlign w:val="subscript"/>
        </w:rPr>
        <w:t xml:space="preserve">p </w:t>
      </w:r>
      <w:r w:rsidRPr="00C1264C">
        <w:t>is</w:t>
      </w:r>
      <w:r w:rsidR="00804194" w:rsidRPr="00C1264C">
        <w:t>, subject to subsection</w:t>
      </w:r>
      <w:r w:rsidR="004044A3" w:rsidRPr="00C1264C">
        <w:t>s</w:t>
      </w:r>
      <w:r w:rsidR="00804194" w:rsidRPr="00C1264C">
        <w:t xml:space="preserve"> (5) and (6),</w:t>
      </w:r>
      <w:r w:rsidR="00BF362A" w:rsidRPr="00C1264C">
        <w:t xml:space="preserve"> the</w:t>
      </w:r>
      <w:r w:rsidRPr="00C1264C">
        <w:t xml:space="preserve"> t</w:t>
      </w:r>
      <w:r w:rsidR="00445A2F" w:rsidRPr="00C1264C">
        <w:t>otal amount</w:t>
      </w:r>
      <w:r w:rsidRPr="00C1264C">
        <w:t xml:space="preserve"> </w:t>
      </w:r>
      <w:r w:rsidR="00445A2F" w:rsidRPr="00C1264C">
        <w:t xml:space="preserve">of </w:t>
      </w:r>
      <w:r w:rsidRPr="00C1264C">
        <w:t xml:space="preserve">the MSO product </w:t>
      </w:r>
      <w:r w:rsidR="00445A2F" w:rsidRPr="00C1264C">
        <w:t xml:space="preserve">imported </w:t>
      </w:r>
      <w:r w:rsidRPr="00C1264C">
        <w:t xml:space="preserve">by the entity for the most recent </w:t>
      </w:r>
      <w:r w:rsidR="00040D2E" w:rsidRPr="00C1264C">
        <w:t>completed</w:t>
      </w:r>
      <w:r w:rsidR="006F269E" w:rsidRPr="00C1264C">
        <w:t xml:space="preserve"> </w:t>
      </w:r>
      <w:r w:rsidRPr="00C1264C">
        <w:t>trigger assessment period</w:t>
      </w:r>
      <w:r w:rsidR="003542C9" w:rsidRPr="00C1264C">
        <w:t>,</w:t>
      </w:r>
      <w:r w:rsidR="00D7478C" w:rsidRPr="00C1264C">
        <w:t xml:space="preserve"> in megalitres:</w:t>
      </w:r>
      <w:r w:rsidR="003542C9" w:rsidRPr="00C1264C">
        <w:t xml:space="preserve"> </w:t>
      </w:r>
    </w:p>
    <w:p w14:paraId="049B1987" w14:textId="77777777" w:rsidR="00D7478C" w:rsidRPr="00C1264C" w:rsidRDefault="00D7478C" w:rsidP="00D7478C">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r>
      <w:r w:rsidR="006F269E" w:rsidRPr="00C1264C">
        <w:t xml:space="preserve">as </w:t>
      </w:r>
      <w:r w:rsidRPr="00C1264C">
        <w:t>reported under section 19</w:t>
      </w:r>
      <w:r w:rsidR="003206E8" w:rsidRPr="00C1264C">
        <w:t>F</w:t>
      </w:r>
      <w:r w:rsidR="00856D7F" w:rsidRPr="00C1264C">
        <w:t xml:space="preserve"> of</w:t>
      </w:r>
      <w:r w:rsidRPr="00C1264C">
        <w:t xml:space="preserve"> the POFR rules; or</w:t>
      </w:r>
    </w:p>
    <w:p w14:paraId="4D2F0CA9" w14:textId="353879FC" w:rsidR="00D7478C" w:rsidRPr="00C1264C" w:rsidRDefault="00D7478C" w:rsidP="00D7478C">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if not so reported—calculated for the trigger assessment period based on </w:t>
      </w:r>
      <w:r w:rsidR="003542C9" w:rsidRPr="00C1264C">
        <w:t xml:space="preserve">relevant N10 </w:t>
      </w:r>
      <w:r w:rsidR="00235974" w:rsidRPr="00C1264C">
        <w:t xml:space="preserve">forms </w:t>
      </w:r>
      <w:r w:rsidR="003542C9" w:rsidRPr="00C1264C">
        <w:t>and N30 forms for the period</w:t>
      </w:r>
      <w:r w:rsidR="00A607F4" w:rsidRPr="00C1264C">
        <w:t>.</w:t>
      </w:r>
    </w:p>
    <w:p w14:paraId="21058736" w14:textId="77777777" w:rsidR="00A607F4" w:rsidRPr="00C1264C" w:rsidRDefault="00A607F4" w:rsidP="00A607F4">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If the MSO is triggered for the activity of refining an MSO product (p), the quantity for that product is given by the following formula:</w:t>
      </w:r>
    </w:p>
    <w:p w14:paraId="6C20F7F5" w14:textId="29228092" w:rsidR="00A607F4" w:rsidRPr="00C1264C" w:rsidRDefault="00C829BC" w:rsidP="00A607F4">
      <w:pPr>
        <w:pStyle w:val="tDefn"/>
        <w:rPr>
          <w:sz w:val="28"/>
          <w:szCs w:val="28"/>
        </w:rPr>
      </w:pPr>
      <w:r w:rsidRPr="00C1264C">
        <w:rPr>
          <w:noProof/>
          <w:sz w:val="28"/>
          <w:szCs w:val="28"/>
        </w:rPr>
        <w:drawing>
          <wp:inline distT="0" distB="0" distL="0" distR="0" wp14:anchorId="322E8F48" wp14:editId="0910426C">
            <wp:extent cx="1724025" cy="590550"/>
            <wp:effectExtent l="0" t="0" r="9525" b="0"/>
            <wp:docPr id="3" name="Picture 3" descr="Qp equals TDRp times TRp over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p equals TDRp times TRp over 365"/>
                    <pic:cNvPicPr/>
                  </pic:nvPicPr>
                  <pic:blipFill>
                    <a:blip r:embed="rId20">
                      <a:extLst>
                        <a:ext uri="{28A0092B-C50C-407E-A947-70E740481C1C}">
                          <a14:useLocalDpi xmlns:a14="http://schemas.microsoft.com/office/drawing/2010/main" val="0"/>
                        </a:ext>
                      </a:extLst>
                    </a:blip>
                    <a:stretch>
                      <a:fillRect/>
                    </a:stretch>
                  </pic:blipFill>
                  <pic:spPr>
                    <a:xfrm>
                      <a:off x="0" y="0"/>
                      <a:ext cx="1724025" cy="590550"/>
                    </a:xfrm>
                    <a:prstGeom prst="rect">
                      <a:avLst/>
                    </a:prstGeom>
                  </pic:spPr>
                </pic:pic>
              </a:graphicData>
            </a:graphic>
          </wp:inline>
        </w:drawing>
      </w:r>
    </w:p>
    <w:p w14:paraId="47D56DEF" w14:textId="77777777" w:rsidR="00A607F4" w:rsidRPr="00C1264C" w:rsidRDefault="00A607F4" w:rsidP="00A607F4">
      <w:pPr>
        <w:pStyle w:val="subsection2"/>
        <w:shd w:val="clear" w:color="auto" w:fill="FFFFFF"/>
        <w:rPr>
          <w:szCs w:val="22"/>
        </w:rPr>
      </w:pPr>
      <w:r w:rsidRPr="00C1264C">
        <w:rPr>
          <w:szCs w:val="22"/>
        </w:rPr>
        <w:t>where:</w:t>
      </w:r>
    </w:p>
    <w:p w14:paraId="61E75472" w14:textId="77777777" w:rsidR="00A607F4" w:rsidRPr="00C1264C" w:rsidRDefault="00A607F4" w:rsidP="00A607F4">
      <w:pPr>
        <w:pStyle w:val="tDefn"/>
      </w:pPr>
      <w:r w:rsidRPr="00C1264C">
        <w:rPr>
          <w:b/>
          <w:i/>
        </w:rPr>
        <w:t>Q</w:t>
      </w:r>
      <w:r w:rsidR="00856D7F" w:rsidRPr="00C1264C">
        <w:rPr>
          <w:b/>
          <w:i/>
          <w:vertAlign w:val="subscript"/>
        </w:rPr>
        <w:t>p</w:t>
      </w:r>
      <w:r w:rsidRPr="00C1264C">
        <w:rPr>
          <w:b/>
          <w:i/>
          <w:vertAlign w:val="subscript"/>
        </w:rPr>
        <w:t xml:space="preserve"> </w:t>
      </w:r>
      <w:r w:rsidRPr="00C1264C">
        <w:t xml:space="preserve">is the designated quantity of the MSO product </w:t>
      </w:r>
      <w:r w:rsidR="00445A2F" w:rsidRPr="00C1264C">
        <w:t>p, in megalitres.</w:t>
      </w:r>
    </w:p>
    <w:p w14:paraId="029F8577" w14:textId="361AA104" w:rsidR="00A607F4" w:rsidRPr="00C1264C" w:rsidRDefault="00A607F4" w:rsidP="00A607F4">
      <w:pPr>
        <w:pStyle w:val="tDefn"/>
      </w:pPr>
      <w:r w:rsidRPr="00C1264C">
        <w:rPr>
          <w:b/>
          <w:i/>
        </w:rPr>
        <w:t>TD</w:t>
      </w:r>
      <w:r w:rsidR="00752C1E" w:rsidRPr="00C1264C">
        <w:rPr>
          <w:b/>
          <w:i/>
        </w:rPr>
        <w:t>R</w:t>
      </w:r>
      <w:r w:rsidRPr="00C1264C">
        <w:rPr>
          <w:b/>
          <w:i/>
          <w:vertAlign w:val="subscript"/>
        </w:rPr>
        <w:t>p</w:t>
      </w:r>
      <w:r w:rsidRPr="00C1264C">
        <w:t xml:space="preserve"> is target days for the refining of the MSO product</w:t>
      </w:r>
      <w:r w:rsidR="00752C1E" w:rsidRPr="00C1264C">
        <w:t xml:space="preserve"> p</w:t>
      </w:r>
      <w:r w:rsidRPr="00C1264C">
        <w:t xml:space="preserve"> </w:t>
      </w:r>
      <w:r w:rsidR="004D2C9C" w:rsidRPr="00C1264C">
        <w:t xml:space="preserve">declared </w:t>
      </w:r>
      <w:r w:rsidRPr="00C1264C">
        <w:t>under section 14 of the Act</w:t>
      </w:r>
      <w:r w:rsidR="004412D6" w:rsidRPr="00C1264C">
        <w:t xml:space="preserve"> and applicable to the start of the period when the designated quantity will apply</w:t>
      </w:r>
      <w:r w:rsidRPr="00C1264C">
        <w:t>.</w:t>
      </w:r>
    </w:p>
    <w:p w14:paraId="3CCFD6DC" w14:textId="77777777" w:rsidR="00DC5D2E" w:rsidRPr="00C1264C" w:rsidRDefault="00A607F4" w:rsidP="00DC5D2E">
      <w:pPr>
        <w:pStyle w:val="tDefn"/>
      </w:pPr>
      <w:r w:rsidRPr="00C1264C">
        <w:rPr>
          <w:b/>
          <w:i/>
        </w:rPr>
        <w:t>T</w:t>
      </w:r>
      <w:r w:rsidR="00445A2F" w:rsidRPr="00C1264C">
        <w:rPr>
          <w:b/>
          <w:i/>
        </w:rPr>
        <w:t>R</w:t>
      </w:r>
      <w:r w:rsidRPr="00C1264C">
        <w:rPr>
          <w:b/>
          <w:i/>
          <w:vertAlign w:val="subscript"/>
        </w:rPr>
        <w:t xml:space="preserve">p </w:t>
      </w:r>
      <w:r w:rsidRPr="00C1264C">
        <w:t>is</w:t>
      </w:r>
      <w:r w:rsidR="00804194" w:rsidRPr="00C1264C">
        <w:t>, subject to subsection (5),</w:t>
      </w:r>
      <w:r w:rsidRPr="00C1264C">
        <w:t xml:space="preserve"> </w:t>
      </w:r>
      <w:r w:rsidR="00BF362A" w:rsidRPr="00C1264C">
        <w:t xml:space="preserve">the </w:t>
      </w:r>
      <w:r w:rsidRPr="00C1264C">
        <w:t xml:space="preserve">total </w:t>
      </w:r>
      <w:r w:rsidR="00445A2F" w:rsidRPr="00C1264C">
        <w:t>amount of</w:t>
      </w:r>
      <w:r w:rsidRPr="00C1264C">
        <w:t xml:space="preserve"> MSO product </w:t>
      </w:r>
      <w:r w:rsidR="00445A2F" w:rsidRPr="00C1264C">
        <w:t xml:space="preserve">refined </w:t>
      </w:r>
      <w:r w:rsidRPr="00C1264C">
        <w:t xml:space="preserve">by the entity for the most recent </w:t>
      </w:r>
      <w:r w:rsidR="00040D2E" w:rsidRPr="00C1264C">
        <w:t>completed</w:t>
      </w:r>
      <w:r w:rsidR="006F269E" w:rsidRPr="00C1264C">
        <w:t xml:space="preserve"> </w:t>
      </w:r>
      <w:r w:rsidRPr="00C1264C">
        <w:t>trigger assessment period</w:t>
      </w:r>
      <w:r w:rsidR="00C6559D" w:rsidRPr="00C1264C">
        <w:t>, in megalitres</w:t>
      </w:r>
      <w:r w:rsidRPr="00C1264C">
        <w:t>.</w:t>
      </w:r>
    </w:p>
    <w:p w14:paraId="0C728B59" w14:textId="77777777" w:rsidR="00DC5D2E" w:rsidRPr="00C1264C" w:rsidRDefault="00DC5D2E" w:rsidP="00280F64">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In this section, the volumes of MSO product imported or refined under subsections (2) and (3) include gasoline, diesel or kerosene which is intended to be sold as an MSO product, but does not yet meet the relevant specifications to be an MSO product.</w:t>
      </w:r>
    </w:p>
    <w:p w14:paraId="21587C26" w14:textId="77777777" w:rsidR="00695109" w:rsidRPr="00C1264C" w:rsidRDefault="00695109" w:rsidP="00695109">
      <w:pPr>
        <w:pStyle w:val="tMain"/>
      </w:pPr>
      <w:r w:rsidRPr="00C1264C">
        <w:lastRenderedPageBreak/>
        <w:tab/>
      </w:r>
      <w:r w:rsidRPr="00C1264C">
        <w:fldChar w:fldCharType="begin"/>
      </w:r>
      <w:r w:rsidRPr="00C1264C">
        <w:instrText xml:space="preserve">  LISTNUM "main numbering" \l 6 \* MERGEFORMAT </w:instrText>
      </w:r>
      <w:r w:rsidRPr="00C1264C">
        <w:fldChar w:fldCharType="end"/>
      </w:r>
      <w:r w:rsidR="00804194" w:rsidRPr="00C1264C">
        <w:tab/>
        <w:t>I</w:t>
      </w:r>
      <w:r w:rsidRPr="00C1264C">
        <w:t>f during a trigger assessment period the production of an MSO product at a refinery was curtailed for one or more months due to the Refinery Upgrades Program and the entity is subject to the MSO for the activity of importing and refining:</w:t>
      </w:r>
    </w:p>
    <w:p w14:paraId="5A9F74BA" w14:textId="77777777" w:rsidR="00695109" w:rsidRPr="00C1264C" w:rsidRDefault="00695109" w:rsidP="00AF3455">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r>
      <w:r w:rsidR="00AF3455" w:rsidRPr="00C1264C">
        <w:rPr>
          <w:b/>
          <w:i/>
        </w:rPr>
        <w:t>TR</w:t>
      </w:r>
      <w:r w:rsidR="00AF3455" w:rsidRPr="00C1264C">
        <w:rPr>
          <w:b/>
          <w:i/>
          <w:vertAlign w:val="subscript"/>
        </w:rPr>
        <w:t xml:space="preserve">p </w:t>
      </w:r>
      <w:r w:rsidR="00AF3455" w:rsidRPr="00C1264C">
        <w:t>under subsection (3) must be calculated based on the previous trigger assessment period; and</w:t>
      </w:r>
    </w:p>
    <w:p w14:paraId="324DE2E1" w14:textId="77777777" w:rsidR="00695109" w:rsidRPr="00C1264C" w:rsidRDefault="00695109" w:rsidP="00695109">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r>
      <w:r w:rsidR="00AF3455" w:rsidRPr="00C1264C">
        <w:t xml:space="preserve">the difference between the refining of the MSO product in the trigger assessment period and the refining of the MSO product in the previous assessment period must be deducted from </w:t>
      </w:r>
      <w:r w:rsidR="00AF3455" w:rsidRPr="00C1264C">
        <w:rPr>
          <w:b/>
          <w:i/>
        </w:rPr>
        <w:t>TI</w:t>
      </w:r>
      <w:r w:rsidR="00AF3455" w:rsidRPr="00C1264C">
        <w:rPr>
          <w:b/>
          <w:i/>
          <w:vertAlign w:val="subscript"/>
        </w:rPr>
        <w:t xml:space="preserve">p </w:t>
      </w:r>
      <w:r w:rsidR="00AF3455" w:rsidRPr="00C1264C">
        <w:t>under subsection (2).</w:t>
      </w:r>
    </w:p>
    <w:p w14:paraId="7105AD5F" w14:textId="343B6BEA" w:rsidR="00695109" w:rsidRPr="00C1264C" w:rsidRDefault="00804194" w:rsidP="00804194">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r>
      <w:r w:rsidR="003A3751" w:rsidRPr="00C1264C">
        <w:t>If a volume of</w:t>
      </w:r>
      <w:r w:rsidRPr="00C1264C">
        <w:t xml:space="preserve"> MSO product is imported by two entities in the circumstances covered by section </w:t>
      </w:r>
      <w:r w:rsidRPr="00C1264C">
        <w:fldChar w:fldCharType="begin"/>
      </w:r>
      <w:r w:rsidRPr="00C1264C">
        <w:instrText xml:space="preserve"> REF _Ref96430594 \n \h </w:instrText>
      </w:r>
      <w:r w:rsidR="00C1264C">
        <w:instrText xml:space="preserve"> \* MERGEFORMAT </w:instrText>
      </w:r>
      <w:r w:rsidRPr="00C1264C">
        <w:fldChar w:fldCharType="separate"/>
      </w:r>
      <w:r w:rsidR="001E7A96" w:rsidRPr="00C1264C">
        <w:t>5</w:t>
      </w:r>
      <w:r w:rsidRPr="00C1264C">
        <w:fldChar w:fldCharType="end"/>
      </w:r>
      <w:r w:rsidRPr="00C1264C">
        <w:t>, the amount imported by the first entity is to be disregarded.</w:t>
      </w:r>
    </w:p>
    <w:bookmarkStart w:id="44" w:name="_Hlk116661069"/>
    <w:p w14:paraId="06937759" w14:textId="04A06221" w:rsidR="002C40EE" w:rsidRPr="00C1264C" w:rsidRDefault="002C40EE" w:rsidP="002C40EE">
      <w:pPr>
        <w:pStyle w:val="h5Section"/>
      </w:pPr>
      <w:r w:rsidRPr="00C1264C">
        <w:fldChar w:fldCharType="begin"/>
      </w:r>
      <w:r w:rsidRPr="00C1264C">
        <w:instrText xml:space="preserve">  LISTNUM "main numbering" \l 5 \* MERGEFORMAT </w:instrText>
      </w:r>
      <w:bookmarkStart w:id="45" w:name="_Toc116982675"/>
      <w:bookmarkStart w:id="46" w:name="_Toc117516985"/>
      <w:r w:rsidRPr="00C1264C">
        <w:fldChar w:fldCharType="end"/>
      </w:r>
      <w:r w:rsidRPr="00C1264C">
        <w:t xml:space="preserve">   Designated quantity—circumstances impacting entity during trigger assessment period</w:t>
      </w:r>
      <w:bookmarkEnd w:id="45"/>
      <w:bookmarkEnd w:id="46"/>
    </w:p>
    <w:p w14:paraId="62563885" w14:textId="66A7B0F8" w:rsidR="002C40EE" w:rsidRPr="00C1264C" w:rsidRDefault="002C40EE" w:rsidP="002C40EE">
      <w:pPr>
        <w:pStyle w:val="tMain"/>
      </w:pPr>
      <w:r w:rsidRPr="00C1264C">
        <w:tab/>
        <w:t>(1)</w:t>
      </w:r>
      <w:r w:rsidRPr="00C1264C">
        <w:tab/>
        <w:t xml:space="preserve">If the Secretary is satisfied that all of the following apply, the designated quantity for each MSO product calculated under section </w:t>
      </w:r>
      <w:r w:rsidRPr="00C1264C">
        <w:fldChar w:fldCharType="begin"/>
      </w:r>
      <w:r w:rsidRPr="00C1264C">
        <w:instrText xml:space="preserve"> REF _Ref86423524 \n \h </w:instrText>
      </w:r>
      <w:r w:rsidR="00C1264C">
        <w:instrText xml:space="preserve"> \* MERGEFORMAT </w:instrText>
      </w:r>
      <w:r w:rsidRPr="00C1264C">
        <w:fldChar w:fldCharType="separate"/>
      </w:r>
      <w:r w:rsidR="001E7A96" w:rsidRPr="00C1264C">
        <w:t>21</w:t>
      </w:r>
      <w:r w:rsidRPr="00C1264C">
        <w:fldChar w:fldCharType="end"/>
      </w:r>
      <w:r w:rsidRPr="00C1264C">
        <w:t xml:space="preserve"> may be reduced by no more than the amount calculated under subsections (2) and (3):</w:t>
      </w:r>
    </w:p>
    <w:p w14:paraId="20C32015" w14:textId="12C42B82" w:rsidR="002C40EE" w:rsidRPr="00C1264C" w:rsidRDefault="002C40EE" w:rsidP="002C40EE">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during the most recent trigger assessment period, the entity lost a major customer for one or more MSO products;</w:t>
      </w:r>
    </w:p>
    <w:p w14:paraId="78B29054" w14:textId="13804F9D" w:rsidR="002C40EE" w:rsidRPr="00C1264C" w:rsidRDefault="002C40EE" w:rsidP="002C40EE">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the entity’s need to import or refine one or more MSO products for the remainder of the period was reduced as a result of the circumstances in paragraph (a) by more than the lesser of</w:t>
      </w:r>
      <w:r w:rsidR="00D65336" w:rsidRPr="00C1264C">
        <w:t xml:space="preserve"> the following</w:t>
      </w:r>
      <w:r w:rsidRPr="00C1264C">
        <w:t>:</w:t>
      </w:r>
    </w:p>
    <w:p w14:paraId="7557EA63" w14:textId="77777777" w:rsidR="002C40EE" w:rsidRPr="00C1264C" w:rsidRDefault="002C40EE" w:rsidP="002C40EE">
      <w:pPr>
        <w:pStyle w:val="tSubpara"/>
      </w:pPr>
      <w:r w:rsidRPr="00C1264C">
        <w:tab/>
      </w:r>
      <w:r w:rsidRPr="00C1264C">
        <w:fldChar w:fldCharType="begin"/>
      </w:r>
      <w:r w:rsidRPr="00C1264C">
        <w:instrText xml:space="preserve">  LISTNUM "main numbering" \l 8 \* MERGEFORMAT </w:instrText>
      </w:r>
      <w:r w:rsidRPr="00C1264C">
        <w:fldChar w:fldCharType="end"/>
      </w:r>
      <w:r w:rsidRPr="00C1264C">
        <w:tab/>
        <w:t xml:space="preserve">20% of the entity’s importing and refining; </w:t>
      </w:r>
    </w:p>
    <w:p w14:paraId="48C7CC2E" w14:textId="77777777" w:rsidR="002C40EE" w:rsidRPr="00C1264C" w:rsidRDefault="002C40EE" w:rsidP="002C40EE">
      <w:pPr>
        <w:pStyle w:val="tSubpara"/>
      </w:pPr>
      <w:r w:rsidRPr="00C1264C">
        <w:tab/>
      </w:r>
      <w:r w:rsidRPr="00C1264C">
        <w:fldChar w:fldCharType="begin"/>
      </w:r>
      <w:r w:rsidRPr="00C1264C">
        <w:instrText xml:space="preserve">  LISTNUM "main numbering" \l 8 \* MERGEFORMAT </w:instrText>
      </w:r>
      <w:r w:rsidRPr="00C1264C">
        <w:fldChar w:fldCharType="end"/>
      </w:r>
      <w:r w:rsidRPr="00C1264C">
        <w:tab/>
        <w:t>100 megalitres.</w:t>
      </w:r>
    </w:p>
    <w:p w14:paraId="33F0D010" w14:textId="77777777" w:rsidR="002C40EE" w:rsidRPr="00C1264C" w:rsidRDefault="002C40EE" w:rsidP="002C40EE">
      <w:pPr>
        <w:pStyle w:val="tMain"/>
      </w:pPr>
      <w:r w:rsidRPr="00C1264C">
        <w:tab/>
        <w:t>(2)</w:t>
      </w:r>
      <w:r w:rsidRPr="00C1264C">
        <w:tab/>
        <w:t>If the MSO is triggered for the activity of importing an MSO product (p), the amount is given by the following formula:</w:t>
      </w:r>
    </w:p>
    <w:p w14:paraId="386AB700" w14:textId="47AF0759" w:rsidR="002C40EE" w:rsidRPr="00C1264C" w:rsidRDefault="00400C25" w:rsidP="002C40EE">
      <w:pPr>
        <w:pStyle w:val="tDefn"/>
        <w:rPr>
          <w:sz w:val="28"/>
          <w:szCs w:val="28"/>
        </w:rPr>
      </w:pPr>
      <w:r w:rsidRPr="00C1264C">
        <w:rPr>
          <w:noProof/>
          <w:sz w:val="28"/>
          <w:szCs w:val="28"/>
        </w:rPr>
        <w:drawing>
          <wp:inline distT="0" distB="0" distL="0" distR="0" wp14:anchorId="4FFB4EEF" wp14:editId="28F726A4">
            <wp:extent cx="2038350" cy="619125"/>
            <wp:effectExtent l="0" t="0" r="0" b="9525"/>
            <wp:docPr id="4" name="Picture 4" descr="Cp equals TDIp times TIc over 365 times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p equals TDIp times TIc over 365 times T"/>
                    <pic:cNvPicPr/>
                  </pic:nvPicPr>
                  <pic:blipFill>
                    <a:blip r:embed="rId21">
                      <a:extLst>
                        <a:ext uri="{28A0092B-C50C-407E-A947-70E740481C1C}">
                          <a14:useLocalDpi xmlns:a14="http://schemas.microsoft.com/office/drawing/2010/main" val="0"/>
                        </a:ext>
                      </a:extLst>
                    </a:blip>
                    <a:stretch>
                      <a:fillRect/>
                    </a:stretch>
                  </pic:blipFill>
                  <pic:spPr>
                    <a:xfrm>
                      <a:off x="0" y="0"/>
                      <a:ext cx="2038350" cy="619125"/>
                    </a:xfrm>
                    <a:prstGeom prst="rect">
                      <a:avLst/>
                    </a:prstGeom>
                  </pic:spPr>
                </pic:pic>
              </a:graphicData>
            </a:graphic>
          </wp:inline>
        </w:drawing>
      </w:r>
    </w:p>
    <w:p w14:paraId="70FB55E3" w14:textId="77777777" w:rsidR="002C40EE" w:rsidRPr="00C1264C" w:rsidRDefault="002C40EE" w:rsidP="002C40EE">
      <w:pPr>
        <w:pStyle w:val="subsection2"/>
        <w:shd w:val="clear" w:color="auto" w:fill="FFFFFF"/>
        <w:rPr>
          <w:szCs w:val="22"/>
        </w:rPr>
      </w:pPr>
      <w:r w:rsidRPr="00C1264C">
        <w:rPr>
          <w:szCs w:val="22"/>
        </w:rPr>
        <w:t>where:</w:t>
      </w:r>
    </w:p>
    <w:p w14:paraId="751ACBF7" w14:textId="77777777" w:rsidR="002C40EE" w:rsidRPr="00C1264C" w:rsidRDefault="002C40EE" w:rsidP="002C40EE">
      <w:pPr>
        <w:pStyle w:val="tDefn"/>
      </w:pPr>
      <w:r w:rsidRPr="00C1264C">
        <w:rPr>
          <w:b/>
          <w:i/>
        </w:rPr>
        <w:t>C</w:t>
      </w:r>
      <w:r w:rsidRPr="00C1264C">
        <w:rPr>
          <w:b/>
          <w:i/>
          <w:vertAlign w:val="subscript"/>
        </w:rPr>
        <w:t xml:space="preserve">p </w:t>
      </w:r>
      <w:r w:rsidRPr="00C1264C">
        <w:t>is the amount by which the designated quantity may be reduced for the MSO product p.</w:t>
      </w:r>
    </w:p>
    <w:p w14:paraId="200FAF27" w14:textId="0AC5E7A2" w:rsidR="002C40EE" w:rsidRPr="00C1264C" w:rsidRDefault="002C40EE" w:rsidP="002C40EE">
      <w:pPr>
        <w:pStyle w:val="tDefn"/>
      </w:pPr>
      <w:bookmarkStart w:id="47" w:name="_Hlk116984421"/>
      <w:r w:rsidRPr="00C1264C">
        <w:rPr>
          <w:b/>
          <w:i/>
        </w:rPr>
        <w:t>TDI</w:t>
      </w:r>
      <w:r w:rsidRPr="00C1264C">
        <w:rPr>
          <w:b/>
          <w:i/>
          <w:vertAlign w:val="subscript"/>
        </w:rPr>
        <w:t>p</w:t>
      </w:r>
      <w:bookmarkEnd w:id="47"/>
      <w:r w:rsidRPr="00C1264C">
        <w:t xml:space="preserve"> is target days for importing the MSO product p </w:t>
      </w:r>
      <w:r w:rsidR="00D65336" w:rsidRPr="00C1264C">
        <w:t>declared</w:t>
      </w:r>
      <w:r w:rsidRPr="00C1264C">
        <w:t xml:space="preserve"> under section 14 of the Act and applicable to the start of the period when the designated quantity will apply.</w:t>
      </w:r>
    </w:p>
    <w:p w14:paraId="14BF3EB7" w14:textId="77777777" w:rsidR="002C40EE" w:rsidRPr="00C1264C" w:rsidRDefault="002C40EE" w:rsidP="002C40EE">
      <w:pPr>
        <w:pStyle w:val="tDefn"/>
      </w:pPr>
      <w:bookmarkStart w:id="48" w:name="_Hlk116984457"/>
      <w:r w:rsidRPr="00C1264C">
        <w:rPr>
          <w:b/>
          <w:i/>
        </w:rPr>
        <w:t>TI</w:t>
      </w:r>
      <w:r w:rsidRPr="00C1264C">
        <w:rPr>
          <w:b/>
          <w:i/>
          <w:vertAlign w:val="subscript"/>
        </w:rPr>
        <w:t xml:space="preserve">c </w:t>
      </w:r>
      <w:bookmarkEnd w:id="48"/>
      <w:r w:rsidRPr="00C1264C">
        <w:t>is the total amount of MSO product p that the entity would have imported for the purpose of the contract with the major customer that was lost, in megalitres.</w:t>
      </w:r>
    </w:p>
    <w:p w14:paraId="07D5BA44" w14:textId="72405F07" w:rsidR="002C40EE" w:rsidRPr="00C1264C" w:rsidRDefault="002C40EE" w:rsidP="002C40EE">
      <w:pPr>
        <w:pStyle w:val="tDefn"/>
      </w:pPr>
      <w:r w:rsidRPr="00C1264C">
        <w:rPr>
          <w:b/>
          <w:i/>
        </w:rPr>
        <w:t xml:space="preserve">T </w:t>
      </w:r>
      <w:r w:rsidRPr="00C1264C">
        <w:t>is equal to 12 minus the number corresponding to the month of the year in which the entity lost the contract with the major customer, divided by 12.</w:t>
      </w:r>
    </w:p>
    <w:p w14:paraId="2D5776A1" w14:textId="77777777" w:rsidR="002C40EE" w:rsidRPr="00C1264C" w:rsidRDefault="002C40EE" w:rsidP="002C40EE">
      <w:pPr>
        <w:pStyle w:val="nMain"/>
      </w:pPr>
      <w:r w:rsidRPr="00C1264C">
        <w:t>Note:</w:t>
      </w:r>
      <w:r w:rsidRPr="00C1264C">
        <w:tab/>
      </w:r>
      <w:r w:rsidRPr="00C1264C">
        <w:rPr>
          <w:b/>
          <w:i/>
        </w:rPr>
        <w:t xml:space="preserve">T </w:t>
      </w:r>
      <w:r w:rsidRPr="00C1264C">
        <w:t>corresponds to the number of full months during the trigger assessment period in which the entity would have ceased importing the MSO product for the purpose of the contract with the major customer that was lost.</w:t>
      </w:r>
    </w:p>
    <w:p w14:paraId="0F6ED39C" w14:textId="477E23A1" w:rsidR="002C40EE" w:rsidRPr="00C1264C" w:rsidRDefault="002C40EE" w:rsidP="002C40EE">
      <w:pPr>
        <w:pStyle w:val="nMain"/>
      </w:pPr>
      <w:r w:rsidRPr="00C1264C">
        <w:t>Example:</w:t>
      </w:r>
      <w:r w:rsidRPr="00C1264C">
        <w:tab/>
        <w:t xml:space="preserve">If the entity lost the contract with a major customer in April, the number corresponding to the month of the year in which the entity lost the contract with the major customer would be 4, and </w:t>
      </w:r>
      <w:r w:rsidRPr="00C1264C">
        <w:rPr>
          <w:b/>
          <w:i/>
        </w:rPr>
        <w:t xml:space="preserve">T </w:t>
      </w:r>
      <w:r w:rsidRPr="00C1264C">
        <w:t xml:space="preserve">would equal </w:t>
      </w:r>
      <w:r w:rsidR="001F3DBF" w:rsidRPr="00C1264C">
        <w:rPr>
          <w:noProof/>
        </w:rPr>
        <w:drawing>
          <wp:inline distT="0" distB="0" distL="0" distR="0" wp14:anchorId="1789ADAE" wp14:editId="2BD61950">
            <wp:extent cx="267462" cy="247650"/>
            <wp:effectExtent l="0" t="0" r="0" b="0"/>
            <wp:docPr id="6" name="Picture 6" descr="Twelve minus four, divided by twel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welve minus four, divided by twelve"/>
                    <pic:cNvPicPr/>
                  </pic:nvPicPr>
                  <pic:blipFill>
                    <a:blip r:embed="rId22">
                      <a:extLst>
                        <a:ext uri="{28A0092B-C50C-407E-A947-70E740481C1C}">
                          <a14:useLocalDpi xmlns:a14="http://schemas.microsoft.com/office/drawing/2010/main" val="0"/>
                        </a:ext>
                      </a:extLst>
                    </a:blip>
                    <a:stretch>
                      <a:fillRect/>
                    </a:stretch>
                  </pic:blipFill>
                  <pic:spPr>
                    <a:xfrm>
                      <a:off x="0" y="0"/>
                      <a:ext cx="274988" cy="254618"/>
                    </a:xfrm>
                    <a:prstGeom prst="rect">
                      <a:avLst/>
                    </a:prstGeom>
                  </pic:spPr>
                </pic:pic>
              </a:graphicData>
            </a:graphic>
          </wp:inline>
        </w:drawing>
      </w:r>
      <w:r w:rsidR="001F3DBF" w:rsidRPr="00C1264C">
        <w:t>.</w:t>
      </w:r>
    </w:p>
    <w:p w14:paraId="29B8C856" w14:textId="18B0A4FE" w:rsidR="002C40EE" w:rsidRPr="00C1264C" w:rsidRDefault="002C40EE" w:rsidP="002C40EE">
      <w:pPr>
        <w:pStyle w:val="tMain"/>
      </w:pPr>
      <w:r w:rsidRPr="00C1264C">
        <w:tab/>
        <w:t>(3)</w:t>
      </w:r>
      <w:r w:rsidRPr="00C1264C">
        <w:tab/>
        <w:t>If the MSO is triggered for the activity of refining an MSO product (p), the amount is given by the following formula:</w:t>
      </w:r>
    </w:p>
    <w:p w14:paraId="30EA5BB7" w14:textId="670AEE0B" w:rsidR="002C40EE" w:rsidRPr="00C1264C" w:rsidRDefault="001A620B" w:rsidP="002C40EE">
      <w:pPr>
        <w:pStyle w:val="tDefn"/>
        <w:rPr>
          <w:sz w:val="28"/>
          <w:szCs w:val="28"/>
        </w:rPr>
      </w:pPr>
      <w:r w:rsidRPr="00C1264C">
        <w:rPr>
          <w:noProof/>
          <w:sz w:val="28"/>
          <w:szCs w:val="28"/>
        </w:rPr>
        <w:lastRenderedPageBreak/>
        <w:drawing>
          <wp:inline distT="0" distB="0" distL="0" distR="0" wp14:anchorId="085E2DC0" wp14:editId="7DD31B34">
            <wp:extent cx="2085975" cy="552450"/>
            <wp:effectExtent l="0" t="0" r="9525" b="0"/>
            <wp:docPr id="5" name="Picture 5" descr="Cp equals TDRp times TRc over 365 times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p equals TDRp times TRc over 365 times T"/>
                    <pic:cNvPicPr/>
                  </pic:nvPicPr>
                  <pic:blipFill>
                    <a:blip r:embed="rId23">
                      <a:extLst>
                        <a:ext uri="{28A0092B-C50C-407E-A947-70E740481C1C}">
                          <a14:useLocalDpi xmlns:a14="http://schemas.microsoft.com/office/drawing/2010/main" val="0"/>
                        </a:ext>
                      </a:extLst>
                    </a:blip>
                    <a:stretch>
                      <a:fillRect/>
                    </a:stretch>
                  </pic:blipFill>
                  <pic:spPr>
                    <a:xfrm>
                      <a:off x="0" y="0"/>
                      <a:ext cx="2085975" cy="552450"/>
                    </a:xfrm>
                    <a:prstGeom prst="rect">
                      <a:avLst/>
                    </a:prstGeom>
                  </pic:spPr>
                </pic:pic>
              </a:graphicData>
            </a:graphic>
          </wp:inline>
        </w:drawing>
      </w:r>
    </w:p>
    <w:p w14:paraId="29CD5878" w14:textId="77777777" w:rsidR="002C40EE" w:rsidRPr="00C1264C" w:rsidRDefault="002C40EE" w:rsidP="002C40EE">
      <w:pPr>
        <w:pStyle w:val="subsection2"/>
        <w:shd w:val="clear" w:color="auto" w:fill="FFFFFF"/>
        <w:rPr>
          <w:szCs w:val="22"/>
        </w:rPr>
      </w:pPr>
      <w:r w:rsidRPr="00C1264C">
        <w:rPr>
          <w:szCs w:val="22"/>
        </w:rPr>
        <w:t>where:</w:t>
      </w:r>
    </w:p>
    <w:p w14:paraId="45C7B707" w14:textId="77777777" w:rsidR="002C40EE" w:rsidRPr="00C1264C" w:rsidRDefault="002C40EE" w:rsidP="002C40EE">
      <w:pPr>
        <w:pStyle w:val="tDefn"/>
      </w:pPr>
      <w:r w:rsidRPr="00C1264C">
        <w:rPr>
          <w:b/>
          <w:i/>
        </w:rPr>
        <w:t>C</w:t>
      </w:r>
      <w:r w:rsidRPr="00C1264C">
        <w:rPr>
          <w:b/>
          <w:i/>
          <w:vertAlign w:val="subscript"/>
        </w:rPr>
        <w:t xml:space="preserve">p </w:t>
      </w:r>
      <w:r w:rsidRPr="00C1264C">
        <w:t>is the amount by which the designated quantity may be reduced for the MSO product p.</w:t>
      </w:r>
    </w:p>
    <w:p w14:paraId="19C573AB" w14:textId="6553D750" w:rsidR="002C40EE" w:rsidRPr="00C1264C" w:rsidRDefault="002C40EE" w:rsidP="002C40EE">
      <w:pPr>
        <w:pStyle w:val="tDefn"/>
      </w:pPr>
      <w:r w:rsidRPr="00C1264C">
        <w:rPr>
          <w:b/>
          <w:i/>
        </w:rPr>
        <w:t>TDR</w:t>
      </w:r>
      <w:r w:rsidRPr="00C1264C">
        <w:rPr>
          <w:b/>
          <w:i/>
          <w:vertAlign w:val="subscript"/>
        </w:rPr>
        <w:t>p</w:t>
      </w:r>
      <w:r w:rsidRPr="00C1264C">
        <w:t xml:space="preserve"> is target days for refining the MSO product p </w:t>
      </w:r>
      <w:r w:rsidR="00B81A9F" w:rsidRPr="00C1264C">
        <w:t>declared</w:t>
      </w:r>
      <w:r w:rsidRPr="00C1264C">
        <w:t xml:space="preserve"> under section 14 of the Act and applicable to the start of the period when the designated quantity will apply.</w:t>
      </w:r>
    </w:p>
    <w:p w14:paraId="46F31EB8" w14:textId="77777777" w:rsidR="002C40EE" w:rsidRPr="00C1264C" w:rsidRDefault="002C40EE" w:rsidP="002C40EE">
      <w:pPr>
        <w:pStyle w:val="tDefn"/>
      </w:pPr>
      <w:r w:rsidRPr="00C1264C">
        <w:rPr>
          <w:b/>
          <w:i/>
        </w:rPr>
        <w:t>TR</w:t>
      </w:r>
      <w:r w:rsidRPr="00C1264C">
        <w:rPr>
          <w:b/>
          <w:i/>
          <w:vertAlign w:val="subscript"/>
        </w:rPr>
        <w:t xml:space="preserve">c </w:t>
      </w:r>
      <w:r w:rsidRPr="00C1264C">
        <w:t>is the total amount of MSO product p that the entity would have refined for the purpose of the contract with the major customer that was lost, in megalitres.</w:t>
      </w:r>
    </w:p>
    <w:p w14:paraId="77EE4A23" w14:textId="77777777" w:rsidR="002C40EE" w:rsidRPr="00C1264C" w:rsidRDefault="002C40EE" w:rsidP="002C40EE">
      <w:pPr>
        <w:pStyle w:val="tDefn"/>
      </w:pPr>
      <w:r w:rsidRPr="00C1264C">
        <w:rPr>
          <w:b/>
          <w:i/>
        </w:rPr>
        <w:t xml:space="preserve">T </w:t>
      </w:r>
      <w:r w:rsidRPr="00C1264C">
        <w:t>is equal to 12 minus the number corresponding to the month of the year in which the entity lost the contract with the major customer, divided by 12.</w:t>
      </w:r>
    </w:p>
    <w:p w14:paraId="0B9F23FE" w14:textId="77777777" w:rsidR="002C40EE" w:rsidRPr="00C1264C" w:rsidRDefault="002C40EE" w:rsidP="002C40EE">
      <w:pPr>
        <w:pStyle w:val="nMain"/>
      </w:pPr>
      <w:r w:rsidRPr="00C1264C">
        <w:t>Note:</w:t>
      </w:r>
      <w:r w:rsidRPr="00C1264C">
        <w:tab/>
      </w:r>
      <w:r w:rsidRPr="00C1264C">
        <w:rPr>
          <w:b/>
          <w:i/>
        </w:rPr>
        <w:t xml:space="preserve">T </w:t>
      </w:r>
      <w:r w:rsidRPr="00C1264C">
        <w:t>corresponds to the number of full months during the trigger assessment period in which the entity would have ceased refining the MSO product for the purpose of the contract with the major customer that was lost.</w:t>
      </w:r>
    </w:p>
    <w:p w14:paraId="733483BD" w14:textId="3C2EC5B4" w:rsidR="002C40EE" w:rsidRPr="00C1264C" w:rsidRDefault="002C40EE" w:rsidP="002C40EE">
      <w:pPr>
        <w:pStyle w:val="nMain"/>
      </w:pPr>
      <w:r w:rsidRPr="00C1264C">
        <w:t>Example:</w:t>
      </w:r>
      <w:r w:rsidRPr="00C1264C">
        <w:tab/>
        <w:t xml:space="preserve">If the entity lost the contract with a major customer in October, the number corresponding to the month of the year in which the entity lost the contract with the major customer would be 10, and </w:t>
      </w:r>
      <w:r w:rsidRPr="00C1264C">
        <w:rPr>
          <w:b/>
          <w:i/>
        </w:rPr>
        <w:t xml:space="preserve">T </w:t>
      </w:r>
      <w:r w:rsidRPr="00C1264C">
        <w:t xml:space="preserve">would equal </w:t>
      </w:r>
      <w:r w:rsidR="001F3DBF" w:rsidRPr="00C1264C">
        <w:rPr>
          <w:noProof/>
        </w:rPr>
        <w:drawing>
          <wp:inline distT="0" distB="0" distL="0" distR="0" wp14:anchorId="6445F422" wp14:editId="2D211020">
            <wp:extent cx="366022" cy="281354"/>
            <wp:effectExtent l="0" t="0" r="0" b="4445"/>
            <wp:docPr id="7" name="Picture 7" descr="Twelve minus ten, divided by twel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welve minus ten, divided by twelve"/>
                    <pic:cNvPicPr/>
                  </pic:nvPicPr>
                  <pic:blipFill>
                    <a:blip r:embed="rId24">
                      <a:extLst>
                        <a:ext uri="{28A0092B-C50C-407E-A947-70E740481C1C}">
                          <a14:useLocalDpi xmlns:a14="http://schemas.microsoft.com/office/drawing/2010/main" val="0"/>
                        </a:ext>
                      </a:extLst>
                    </a:blip>
                    <a:stretch>
                      <a:fillRect/>
                    </a:stretch>
                  </pic:blipFill>
                  <pic:spPr>
                    <a:xfrm>
                      <a:off x="0" y="0"/>
                      <a:ext cx="382910" cy="294336"/>
                    </a:xfrm>
                    <a:prstGeom prst="rect">
                      <a:avLst/>
                    </a:prstGeom>
                  </pic:spPr>
                </pic:pic>
              </a:graphicData>
            </a:graphic>
          </wp:inline>
        </w:drawing>
      </w:r>
      <w:r w:rsidR="001F3DBF" w:rsidRPr="00C1264C">
        <w:t>.</w:t>
      </w:r>
    </w:p>
    <w:p w14:paraId="40AED9E7" w14:textId="77777777" w:rsidR="002C40EE" w:rsidRPr="00C1264C" w:rsidRDefault="002C40EE" w:rsidP="002C40EE">
      <w:pPr>
        <w:pStyle w:val="tMain"/>
      </w:pPr>
      <w:r w:rsidRPr="00C1264C">
        <w:tab/>
        <w:t>(4)</w:t>
      </w:r>
      <w:r w:rsidRPr="00C1264C">
        <w:tab/>
        <w:t xml:space="preserve">If the entity lost more than 1 major customer during the most recent trigger assessment period, the total value of </w:t>
      </w:r>
      <w:r w:rsidRPr="00C1264C">
        <w:rPr>
          <w:b/>
          <w:i/>
        </w:rPr>
        <w:t>C</w:t>
      </w:r>
      <w:r w:rsidRPr="00C1264C">
        <w:rPr>
          <w:b/>
          <w:i/>
          <w:vertAlign w:val="subscript"/>
        </w:rPr>
        <w:t>p</w:t>
      </w:r>
      <w:r w:rsidRPr="00C1264C">
        <w:t xml:space="preserve"> may be calculated by applying the formula mentioned in subsection (2) or (3), as applicable, in respect of each major customer lost, and adding together the values of </w:t>
      </w:r>
      <w:r w:rsidRPr="00C1264C">
        <w:rPr>
          <w:b/>
          <w:i/>
        </w:rPr>
        <w:t>C</w:t>
      </w:r>
      <w:r w:rsidRPr="00C1264C">
        <w:rPr>
          <w:b/>
          <w:i/>
          <w:vertAlign w:val="subscript"/>
        </w:rPr>
        <w:t>p</w:t>
      </w:r>
      <w:r w:rsidRPr="00C1264C">
        <w:rPr>
          <w:b/>
          <w:vertAlign w:val="subscript"/>
        </w:rPr>
        <w:t>.</w:t>
      </w:r>
    </w:p>
    <w:bookmarkEnd w:id="44"/>
    <w:p w14:paraId="0EEA50A8" w14:textId="77777777" w:rsidR="002C40EE" w:rsidRPr="00C1264C" w:rsidRDefault="002C40EE" w:rsidP="002C40EE">
      <w:pPr>
        <w:pStyle w:val="h5Section"/>
      </w:pPr>
      <w:r w:rsidRPr="00C1264C">
        <w:fldChar w:fldCharType="begin"/>
      </w:r>
      <w:bookmarkStart w:id="49" w:name="_Ref89157914"/>
      <w:bookmarkEnd w:id="49"/>
      <w:r w:rsidRPr="00C1264C">
        <w:instrText xml:space="preserve">  LISTNUM "main numbering" \l 5 \* MERGEFORMAT </w:instrText>
      </w:r>
      <w:bookmarkStart w:id="50" w:name="_Toc117516986"/>
      <w:r w:rsidRPr="00C1264C">
        <w:fldChar w:fldCharType="end"/>
      </w:r>
      <w:r w:rsidRPr="00C1264C">
        <w:t xml:space="preserve">  Designated quantity—circumstances impacting MSO entity at commencement</w:t>
      </w:r>
      <w:bookmarkEnd w:id="50"/>
    </w:p>
    <w:p w14:paraId="4E24F96C" w14:textId="4A3D0671" w:rsidR="002C40EE" w:rsidRPr="00C1264C" w:rsidRDefault="002C40EE" w:rsidP="002C40EE">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 xml:space="preserve">If the Secretary is satisfied that all of the following apply, the designated quantity for each MSO product calculated under section </w:t>
      </w:r>
      <w:r w:rsidRPr="00C1264C">
        <w:fldChar w:fldCharType="begin"/>
      </w:r>
      <w:r w:rsidRPr="00C1264C">
        <w:instrText xml:space="preserve"> REF _Ref86423524 \n \h </w:instrText>
      </w:r>
      <w:r w:rsidR="00C1264C">
        <w:instrText xml:space="preserve"> \* MERGEFORMAT </w:instrText>
      </w:r>
      <w:r w:rsidRPr="00C1264C">
        <w:fldChar w:fldCharType="separate"/>
      </w:r>
      <w:r w:rsidR="001E7A96" w:rsidRPr="00C1264C">
        <w:t>21</w:t>
      </w:r>
      <w:r w:rsidRPr="00C1264C">
        <w:fldChar w:fldCharType="end"/>
      </w:r>
      <w:r w:rsidRPr="00C1264C">
        <w:t xml:space="preserve"> may be reduced by no more than the amount calculated under subsection (2):</w:t>
      </w:r>
    </w:p>
    <w:p w14:paraId="7B818D81" w14:textId="4222728E" w:rsidR="002C40EE" w:rsidRPr="00C1264C" w:rsidRDefault="002C40EE" w:rsidP="002C40EE">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the designated quantity is to apply in a period before 1 July 2025; </w:t>
      </w:r>
    </w:p>
    <w:p w14:paraId="341E95EF" w14:textId="77777777" w:rsidR="002C40EE" w:rsidRPr="00C1264C" w:rsidRDefault="002C40EE" w:rsidP="002C40EE">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the entity has taken all reasonable steps since the commencement of this section to prepare for meeting the MSO;</w:t>
      </w:r>
    </w:p>
    <w:p w14:paraId="146AC645" w14:textId="222CE98E" w:rsidR="002C40EE" w:rsidRPr="00C1264C" w:rsidRDefault="002C40EE" w:rsidP="002C40EE">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the entity will be unable to meet the MSO if calculated under section </w:t>
      </w:r>
      <w:r w:rsidRPr="00C1264C">
        <w:fldChar w:fldCharType="begin"/>
      </w:r>
      <w:r w:rsidRPr="00C1264C">
        <w:instrText xml:space="preserve"> REF _Ref86423524 \n \h </w:instrText>
      </w:r>
      <w:r w:rsidR="00C1264C">
        <w:instrText xml:space="preserve"> \* MERGEFORMAT </w:instrText>
      </w:r>
      <w:r w:rsidRPr="00C1264C">
        <w:fldChar w:fldCharType="separate"/>
      </w:r>
      <w:r w:rsidR="001E7A96" w:rsidRPr="00C1264C">
        <w:t>21</w:t>
      </w:r>
      <w:r w:rsidRPr="00C1264C">
        <w:fldChar w:fldCharType="end"/>
      </w:r>
      <w:r w:rsidRPr="00C1264C">
        <w:t xml:space="preserve"> because:</w:t>
      </w:r>
    </w:p>
    <w:p w14:paraId="5F4513BD" w14:textId="77777777" w:rsidR="002C40EE" w:rsidRPr="00C1264C" w:rsidRDefault="002C40EE" w:rsidP="002C40EE">
      <w:pPr>
        <w:pStyle w:val="tSubpara"/>
      </w:pPr>
      <w:r w:rsidRPr="00C1264C">
        <w:tab/>
      </w:r>
      <w:r w:rsidRPr="00C1264C">
        <w:fldChar w:fldCharType="begin"/>
      </w:r>
      <w:r w:rsidRPr="00C1264C">
        <w:instrText xml:space="preserve">  LISTNUM "main numbering" \l 8 \* MERGEFORMAT </w:instrText>
      </w:r>
      <w:r w:rsidRPr="00C1264C">
        <w:fldChar w:fldCharType="end"/>
      </w:r>
      <w:r w:rsidRPr="00C1264C">
        <w:tab/>
        <w:t>the storage owned, leased or otherwise available for the entity to use for one or more MSO products is unable to hold sufficient MSO products to meet the MSO; and</w:t>
      </w:r>
    </w:p>
    <w:p w14:paraId="78132F38" w14:textId="77777777" w:rsidR="002C40EE" w:rsidRPr="00C1264C" w:rsidRDefault="002C40EE" w:rsidP="002C40EE">
      <w:pPr>
        <w:pStyle w:val="tSubpara"/>
      </w:pPr>
      <w:r w:rsidRPr="00C1264C">
        <w:tab/>
      </w:r>
      <w:r w:rsidRPr="00C1264C">
        <w:fldChar w:fldCharType="begin"/>
      </w:r>
      <w:r w:rsidRPr="00C1264C">
        <w:instrText xml:space="preserve">  LISTNUM "main numbering" \l 8 \* MERGEFORMAT </w:instrText>
      </w:r>
      <w:r w:rsidRPr="00C1264C">
        <w:fldChar w:fldCharType="end"/>
      </w:r>
      <w:r w:rsidRPr="00C1264C">
        <w:tab/>
        <w:t>after market testing by the entity, there are no cost effective options for the entity to use section 24 arrangements to meet its obligations;</w:t>
      </w:r>
    </w:p>
    <w:p w14:paraId="13077753" w14:textId="77777777" w:rsidR="002C40EE" w:rsidRPr="00C1264C" w:rsidRDefault="002C40EE" w:rsidP="002C40EE">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the MSO compliance plan for the entity provides a credible path to compliance within the next 2 years;</w:t>
      </w:r>
    </w:p>
    <w:p w14:paraId="207967EC" w14:textId="3E9191DF" w:rsidR="002C40EE" w:rsidRPr="00C1264C" w:rsidRDefault="002C40EE" w:rsidP="002C40EE">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evidence has been provided to the Secretary to support each of the above paragraphs; </w:t>
      </w:r>
    </w:p>
    <w:p w14:paraId="6C94881F" w14:textId="77777777" w:rsidR="002C40EE" w:rsidRPr="00C1264C" w:rsidRDefault="002C40EE" w:rsidP="002C40EE">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the entity has provided information to the Secretary on the prices paid, or offered to it, for section 24 arrangements;</w:t>
      </w:r>
    </w:p>
    <w:p w14:paraId="193700BB" w14:textId="666C0E3D" w:rsidR="002C40EE" w:rsidRPr="00C1264C" w:rsidRDefault="002C40EE" w:rsidP="002C40EE">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if the designated quantity is to apply before 1 July 2024—the entity has made a written request to the Secretary for this section to apply </w:t>
      </w:r>
      <w:r w:rsidR="001E7A96" w:rsidRPr="00C1264C">
        <w:t xml:space="preserve">on or </w:t>
      </w:r>
      <w:r w:rsidRPr="00C1264C">
        <w:t xml:space="preserve">before </w:t>
      </w:r>
      <w:r w:rsidR="00950478" w:rsidRPr="00C1264C">
        <w:t>28 February</w:t>
      </w:r>
      <w:r w:rsidRPr="00C1264C">
        <w:t xml:space="preserve"> 2023;</w:t>
      </w:r>
    </w:p>
    <w:p w14:paraId="6E23B5F6" w14:textId="5A6B374A" w:rsidR="002C40EE" w:rsidRPr="00C1264C" w:rsidRDefault="002C40EE" w:rsidP="002C40EE">
      <w:pPr>
        <w:pStyle w:val="tPara"/>
      </w:pPr>
      <w:r w:rsidRPr="00C1264C">
        <w:lastRenderedPageBreak/>
        <w:tab/>
      </w:r>
      <w:r w:rsidRPr="00C1264C">
        <w:fldChar w:fldCharType="begin"/>
      </w:r>
      <w:r w:rsidRPr="00C1264C">
        <w:instrText xml:space="preserve">  LISTNUM "main numbering" \l 7 \* MERGEFORMAT </w:instrText>
      </w:r>
      <w:r w:rsidRPr="00C1264C">
        <w:fldChar w:fldCharType="end"/>
      </w:r>
      <w:r w:rsidRPr="00C1264C">
        <w:tab/>
        <w:t>if the designated quantity is to apply on or after 1 July 2024—a request for this section to apply was included in the advice provided for subsection 16(1) of the Act.</w:t>
      </w:r>
    </w:p>
    <w:p w14:paraId="6B0888C3" w14:textId="31381361" w:rsidR="002C40EE" w:rsidRPr="00C1264C" w:rsidRDefault="002C40EE" w:rsidP="002C40EE">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The amount is:</w:t>
      </w:r>
    </w:p>
    <w:p w14:paraId="41739E58" w14:textId="08FD8B69" w:rsidR="002C40EE" w:rsidRPr="00C1264C" w:rsidRDefault="002C40EE" w:rsidP="002C40EE">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if the Secretary is satisfied that the entity has given a credible commitment to construct additional storage infrastructure to enable the entity to comply with the MSO</w:t>
      </w:r>
      <w:r w:rsidR="006D0586" w:rsidRPr="00C1264C">
        <w:t>—</w:t>
      </w:r>
      <w:r w:rsidRPr="00C1264C">
        <w:t>25% of the amount calculated under section 21, rounded to the nearest megalitre; or</w:t>
      </w:r>
    </w:p>
    <w:p w14:paraId="0B8E7967" w14:textId="77777777" w:rsidR="002C40EE" w:rsidRPr="00C1264C" w:rsidRDefault="002C40EE" w:rsidP="002C40EE">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otherwise, the lesser of:</w:t>
      </w:r>
    </w:p>
    <w:p w14:paraId="73D41951" w14:textId="4F4C2F1A" w:rsidR="002C40EE" w:rsidRPr="00C1264C" w:rsidRDefault="002C40EE" w:rsidP="00EF562F">
      <w:pPr>
        <w:pStyle w:val="tSubpara"/>
        <w:tabs>
          <w:tab w:val="clear" w:pos="1985"/>
          <w:tab w:val="right" w:pos="1843"/>
        </w:tabs>
        <w:ind w:left="1985" w:hanging="284"/>
      </w:pPr>
      <w:r w:rsidRPr="00C1264C">
        <w:fldChar w:fldCharType="begin"/>
      </w:r>
      <w:r w:rsidRPr="00C1264C">
        <w:instrText xml:space="preserve">  LISTNUM "main numbering" \l 8 \* MERGEFORMAT </w:instrText>
      </w:r>
      <w:r w:rsidRPr="00C1264C">
        <w:fldChar w:fldCharType="end"/>
      </w:r>
      <w:r w:rsidRPr="00C1264C">
        <w:tab/>
        <w:t xml:space="preserve">25% of the amount calculated under section </w:t>
      </w:r>
      <w:r w:rsidRPr="00C1264C">
        <w:fldChar w:fldCharType="begin"/>
      </w:r>
      <w:r w:rsidRPr="00C1264C">
        <w:instrText xml:space="preserve"> REF _Ref86423524 \n \h  \* MERGEFORMAT </w:instrText>
      </w:r>
      <w:r w:rsidRPr="00C1264C">
        <w:fldChar w:fldCharType="separate"/>
      </w:r>
      <w:r w:rsidR="001E7A96" w:rsidRPr="00C1264C">
        <w:t>21</w:t>
      </w:r>
      <w:r w:rsidRPr="00C1264C">
        <w:fldChar w:fldCharType="end"/>
      </w:r>
      <w:r w:rsidRPr="00C1264C">
        <w:t>, rounded to the nearest megalitre; and</w:t>
      </w:r>
    </w:p>
    <w:p w14:paraId="2ADC1B68" w14:textId="57B584FE" w:rsidR="002C40EE" w:rsidRPr="00C1264C" w:rsidRDefault="002C40EE" w:rsidP="006B4D6E">
      <w:pPr>
        <w:pStyle w:val="tSubpara"/>
        <w:tabs>
          <w:tab w:val="clear" w:pos="1985"/>
          <w:tab w:val="right" w:pos="1843"/>
        </w:tabs>
        <w:ind w:left="1985" w:hanging="284"/>
      </w:pPr>
      <w:r w:rsidRPr="00C1264C">
        <w:fldChar w:fldCharType="begin"/>
      </w:r>
      <w:r w:rsidRPr="00C1264C">
        <w:instrText xml:space="preserve">  LISTNUM "main numbering" \l 8 \* MERGEFORMAT </w:instrText>
      </w:r>
      <w:r w:rsidRPr="00C1264C">
        <w:fldChar w:fldCharType="end"/>
      </w:r>
      <w:r w:rsidRPr="00C1264C">
        <w:t xml:space="preserve"> the following amounts for each MSO product:</w:t>
      </w:r>
    </w:p>
    <w:p w14:paraId="59143CAC" w14:textId="3F6418CF" w:rsidR="002C40EE" w:rsidRPr="00C1264C" w:rsidRDefault="002C40EE" w:rsidP="006B4D6E">
      <w:pPr>
        <w:pStyle w:val="tSubsub"/>
        <w:numPr>
          <w:ilvl w:val="0"/>
          <w:numId w:val="24"/>
        </w:numPr>
        <w:tabs>
          <w:tab w:val="clear" w:pos="2722"/>
          <w:tab w:val="right" w:pos="2552"/>
        </w:tabs>
        <w:ind w:left="2552" w:hanging="425"/>
      </w:pPr>
      <w:r w:rsidRPr="00C1264C">
        <w:t>gasoline—15 megalitres;</w:t>
      </w:r>
    </w:p>
    <w:p w14:paraId="78686ECB" w14:textId="49CC60AE" w:rsidR="002C40EE" w:rsidRPr="00C1264C" w:rsidRDefault="002C40EE" w:rsidP="006B4D6E">
      <w:pPr>
        <w:pStyle w:val="tSubsub"/>
        <w:numPr>
          <w:ilvl w:val="0"/>
          <w:numId w:val="24"/>
        </w:numPr>
        <w:tabs>
          <w:tab w:val="clear" w:pos="2722"/>
          <w:tab w:val="right" w:pos="2552"/>
        </w:tabs>
        <w:ind w:left="2552" w:hanging="425"/>
      </w:pPr>
      <w:r w:rsidRPr="00C1264C">
        <w:t>diesel—15 megalitres;</w:t>
      </w:r>
    </w:p>
    <w:p w14:paraId="596F598E" w14:textId="3DBACDC3" w:rsidR="002C40EE" w:rsidRPr="00C1264C" w:rsidRDefault="002C40EE" w:rsidP="006B4D6E">
      <w:pPr>
        <w:pStyle w:val="tSubsub"/>
        <w:numPr>
          <w:ilvl w:val="0"/>
          <w:numId w:val="24"/>
        </w:numPr>
        <w:tabs>
          <w:tab w:val="clear" w:pos="2722"/>
          <w:tab w:val="right" w:pos="2552"/>
        </w:tabs>
        <w:ind w:left="2552" w:hanging="425"/>
      </w:pPr>
      <w:r w:rsidRPr="00C1264C">
        <w:t>kerosene—15 megalitres.</w:t>
      </w:r>
    </w:p>
    <w:p w14:paraId="1302A93D" w14:textId="42747C65" w:rsidR="00C6559D" w:rsidRPr="00C1264C" w:rsidRDefault="00C6559D" w:rsidP="00C6559D">
      <w:pPr>
        <w:pStyle w:val="h5Section"/>
      </w:pPr>
      <w:r w:rsidRPr="00C1264C">
        <w:fldChar w:fldCharType="begin"/>
      </w:r>
      <w:bookmarkStart w:id="51" w:name="_Ref89157932"/>
      <w:bookmarkEnd w:id="51"/>
      <w:r w:rsidRPr="00C1264C">
        <w:instrText xml:space="preserve">  LISTNUM "main numbering" \l 5 \* MERGEFORMAT </w:instrText>
      </w:r>
      <w:bookmarkStart w:id="52" w:name="_Toc117516987"/>
      <w:r w:rsidRPr="00C1264C">
        <w:fldChar w:fldCharType="end"/>
      </w:r>
      <w:r w:rsidRPr="00C1264C">
        <w:t xml:space="preserve">  Designated quantity—</w:t>
      </w:r>
      <w:r w:rsidR="00B27422" w:rsidRPr="00C1264C">
        <w:t xml:space="preserve">entity </w:t>
      </w:r>
      <w:r w:rsidRPr="00C1264C">
        <w:t xml:space="preserve">consistently below threshold </w:t>
      </w:r>
      <w:bookmarkEnd w:id="52"/>
    </w:p>
    <w:p w14:paraId="1D93213E" w14:textId="588F195A" w:rsidR="00592CEC" w:rsidRPr="00C1264C" w:rsidRDefault="00C6559D" w:rsidP="00C6559D">
      <w:pPr>
        <w:pStyle w:val="tMain"/>
        <w:sectPr w:rsidR="00592CEC" w:rsidRPr="00C1264C" w:rsidSect="00B13564">
          <w:pgSz w:w="11906" w:h="16838"/>
          <w:pgMar w:top="1440" w:right="1440" w:bottom="1440" w:left="1440" w:header="709" w:footer="709" w:gutter="0"/>
          <w:cols w:space="708"/>
          <w:titlePg/>
          <w:docGrid w:linePitch="360"/>
        </w:sectPr>
      </w:pPr>
      <w:r w:rsidRPr="00C1264C">
        <w:tab/>
      </w:r>
      <w:r w:rsidRPr="00C1264C">
        <w:tab/>
        <w:t>If the total amount of an MSO product imported and refined by an entity in each of the three previous trigger assessment periods is below the threshold for that fuel</w:t>
      </w:r>
      <w:r w:rsidR="00AD1E2F" w:rsidRPr="00C1264C">
        <w:t xml:space="preserve"> applicable</w:t>
      </w:r>
      <w:r w:rsidRPr="00C1264C">
        <w:t xml:space="preserve"> in subsection </w:t>
      </w:r>
      <w:r w:rsidR="008050DD" w:rsidRPr="00C1264C">
        <w:fldChar w:fldCharType="begin"/>
      </w:r>
      <w:r w:rsidR="008050DD" w:rsidRPr="00C1264C">
        <w:instrText xml:space="preserve"> REF _Ref89158286 \n \h </w:instrText>
      </w:r>
      <w:r w:rsidR="00C1264C">
        <w:instrText xml:space="preserve"> \* MERGEFORMAT </w:instrText>
      </w:r>
      <w:r w:rsidR="008050DD" w:rsidRPr="00C1264C">
        <w:fldChar w:fldCharType="separate"/>
      </w:r>
      <w:r w:rsidR="001E7A96" w:rsidRPr="00C1264C">
        <w:t>17</w:t>
      </w:r>
      <w:r w:rsidR="008050DD" w:rsidRPr="00C1264C">
        <w:fldChar w:fldCharType="end"/>
      </w:r>
      <w:r w:rsidRPr="00C1264C">
        <w:t>(1)</w:t>
      </w:r>
      <w:r w:rsidR="00807738" w:rsidRPr="00C1264C">
        <w:t>,</w:t>
      </w:r>
      <w:r w:rsidR="00AD1E2F" w:rsidRPr="00C1264C">
        <w:t xml:space="preserve"> </w:t>
      </w:r>
      <w:r w:rsidR="003A3751" w:rsidRPr="00C1264C">
        <w:t xml:space="preserve">and </w:t>
      </w:r>
      <w:r w:rsidR="00807738" w:rsidRPr="00C1264C">
        <w:t>sub</w:t>
      </w:r>
      <w:r w:rsidR="003A3751" w:rsidRPr="00C1264C">
        <w:t xml:space="preserve">section </w:t>
      </w:r>
      <w:r w:rsidR="003A3751" w:rsidRPr="00C1264C">
        <w:fldChar w:fldCharType="begin"/>
      </w:r>
      <w:r w:rsidR="003A3751" w:rsidRPr="00C1264C">
        <w:instrText xml:space="preserve"> REF _Ref89158286 \n \h </w:instrText>
      </w:r>
      <w:r w:rsidR="00C1264C">
        <w:instrText xml:space="preserve"> \* MERGEFORMAT </w:instrText>
      </w:r>
      <w:r w:rsidR="003A3751" w:rsidRPr="00C1264C">
        <w:fldChar w:fldCharType="separate"/>
      </w:r>
      <w:r w:rsidR="001E7A96" w:rsidRPr="00C1264C">
        <w:t>17</w:t>
      </w:r>
      <w:r w:rsidR="003A3751" w:rsidRPr="00C1264C">
        <w:fldChar w:fldCharType="end"/>
      </w:r>
      <w:r w:rsidR="00AD1E2F" w:rsidRPr="00C1264C">
        <w:t>(</w:t>
      </w:r>
      <w:r w:rsidR="00F655AD" w:rsidRPr="00C1264C">
        <w:t>2</w:t>
      </w:r>
      <w:r w:rsidR="003A3751" w:rsidRPr="00C1264C">
        <w:t>) does not apply</w:t>
      </w:r>
      <w:r w:rsidRPr="00C1264C">
        <w:t xml:space="preserve">, the designed quantity for that MSO product is calculated under section </w:t>
      </w:r>
      <w:r w:rsidR="00D4041B" w:rsidRPr="00C1264C">
        <w:t>21</w:t>
      </w:r>
      <w:r w:rsidRPr="00C1264C">
        <w:t xml:space="preserve"> as if the quantity of that MSO product imported or refined is zero in the most recent trigger assessment period. </w:t>
      </w:r>
    </w:p>
    <w:p w14:paraId="2CD11442" w14:textId="77777777" w:rsidR="006D0E76" w:rsidRPr="00C1264C" w:rsidRDefault="006D0E76" w:rsidP="006D0E76">
      <w:pPr>
        <w:pStyle w:val="h2Part"/>
        <w:rPr>
          <w:rStyle w:val="CharDivText"/>
        </w:rPr>
      </w:pPr>
      <w:r w:rsidRPr="00C1264C">
        <w:rPr>
          <w:rStyle w:val="CharPartNo"/>
        </w:rPr>
        <w:lastRenderedPageBreak/>
        <w:fldChar w:fldCharType="begin"/>
      </w:r>
      <w:r w:rsidRPr="00C1264C">
        <w:rPr>
          <w:rStyle w:val="CharPartNo"/>
        </w:rPr>
        <w:instrText xml:space="preserve">  LISTNUM "main numbering" \l 2 \* MERGEFORMAT </w:instrText>
      </w:r>
      <w:bookmarkStart w:id="53" w:name="_Toc117516988"/>
      <w:r w:rsidRPr="00C1264C">
        <w:rPr>
          <w:rStyle w:val="CharPartNo"/>
        </w:rPr>
        <w:fldChar w:fldCharType="end"/>
      </w:r>
      <w:r w:rsidRPr="00C1264C">
        <w:rPr>
          <w:rStyle w:val="CharPartNo"/>
        </w:rPr>
        <w:t>—Temporary reduction in designated quantities</w:t>
      </w:r>
      <w:bookmarkEnd w:id="53"/>
      <w:r w:rsidRPr="00C1264C">
        <w:rPr>
          <w:rStyle w:val="CharPartText"/>
        </w:rPr>
        <w:t xml:space="preserve"> </w:t>
      </w:r>
    </w:p>
    <w:p w14:paraId="6C02E2B8" w14:textId="77777777" w:rsidR="006D0E76" w:rsidRPr="00C1264C" w:rsidRDefault="006D0E76" w:rsidP="006D0E76">
      <w:pPr>
        <w:pStyle w:val="h5Section"/>
      </w:pPr>
      <w:r w:rsidRPr="00C1264C">
        <w:fldChar w:fldCharType="begin"/>
      </w:r>
      <w:r w:rsidRPr="00C1264C">
        <w:instrText xml:space="preserve">  LISTNUM "main numbering" \l 5 \* MERGEFORMAT </w:instrText>
      </w:r>
      <w:bookmarkStart w:id="54" w:name="_Toc117516989"/>
      <w:r w:rsidRPr="00C1264C">
        <w:fldChar w:fldCharType="end"/>
      </w:r>
      <w:r w:rsidRPr="00C1264C">
        <w:t xml:space="preserve">  </w:t>
      </w:r>
      <w:r w:rsidR="00C625BC" w:rsidRPr="00C1264C">
        <w:t>Applications for temporary reduction in quantity of stocks</w:t>
      </w:r>
      <w:bookmarkEnd w:id="54"/>
    </w:p>
    <w:p w14:paraId="45C09645" w14:textId="536BD1F3" w:rsidR="00752C1E" w:rsidRPr="00C1264C" w:rsidRDefault="006D0E76" w:rsidP="006D0E76">
      <w:pPr>
        <w:pStyle w:val="tMain"/>
      </w:pPr>
      <w:r w:rsidRPr="00C1264C">
        <w:tab/>
      </w:r>
      <w:r w:rsidRPr="00C1264C">
        <w:tab/>
      </w:r>
      <w:r w:rsidR="00C625BC" w:rsidRPr="00C1264C">
        <w:t xml:space="preserve">For paragraph 17(2)(c) of the Act, the </w:t>
      </w:r>
      <w:r w:rsidR="004D2C9C" w:rsidRPr="00C1264C">
        <w:t xml:space="preserve">requirements are that the </w:t>
      </w:r>
      <w:r w:rsidR="00C625BC" w:rsidRPr="00C1264C">
        <w:t>application</w:t>
      </w:r>
      <w:r w:rsidR="00752C1E" w:rsidRPr="00C1264C">
        <w:t>:</w:t>
      </w:r>
      <w:r w:rsidR="00C625BC" w:rsidRPr="00C1264C">
        <w:t xml:space="preserve"> </w:t>
      </w:r>
    </w:p>
    <w:p w14:paraId="08519E6D" w14:textId="77777777" w:rsidR="006D0E76" w:rsidRPr="00C1264C" w:rsidRDefault="00752C1E" w:rsidP="00752C1E">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r>
      <w:r w:rsidR="00C625BC" w:rsidRPr="00C1264C">
        <w:t>be in a form approved in writing by t</w:t>
      </w:r>
      <w:r w:rsidRPr="00C1264C">
        <w:t>he Secretary; and</w:t>
      </w:r>
    </w:p>
    <w:p w14:paraId="3E376868" w14:textId="3109DB29" w:rsidR="00752C1E" w:rsidRPr="00C1264C" w:rsidRDefault="00752C1E" w:rsidP="00752C1E">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include evidence that the criteria in section </w:t>
      </w:r>
      <w:r w:rsidRPr="00C1264C">
        <w:fldChar w:fldCharType="begin"/>
      </w:r>
      <w:r w:rsidRPr="00C1264C">
        <w:instrText xml:space="preserve"> REF _Ref88136022 \n \h </w:instrText>
      </w:r>
      <w:r w:rsidR="00C1264C">
        <w:instrText xml:space="preserve"> \* MERGEFORMAT </w:instrText>
      </w:r>
      <w:r w:rsidRPr="00C1264C">
        <w:fldChar w:fldCharType="separate"/>
      </w:r>
      <w:r w:rsidR="001E7A96" w:rsidRPr="00C1264C">
        <w:t>26</w:t>
      </w:r>
      <w:r w:rsidRPr="00C1264C">
        <w:fldChar w:fldCharType="end"/>
      </w:r>
      <w:r w:rsidRPr="00C1264C">
        <w:t xml:space="preserve"> </w:t>
      </w:r>
      <w:r w:rsidR="004F04BC" w:rsidRPr="00C1264C">
        <w:t xml:space="preserve">or </w:t>
      </w:r>
      <w:r w:rsidR="009E1C10" w:rsidRPr="00C1264C">
        <w:t>section </w:t>
      </w:r>
      <w:r w:rsidR="004F04BC" w:rsidRPr="00C1264C">
        <w:fldChar w:fldCharType="begin"/>
      </w:r>
      <w:r w:rsidR="004F04BC" w:rsidRPr="00C1264C">
        <w:instrText xml:space="preserve"> REF _Ref89255241 \n \h </w:instrText>
      </w:r>
      <w:r w:rsidR="00C1264C">
        <w:instrText xml:space="preserve"> \* MERGEFORMAT </w:instrText>
      </w:r>
      <w:r w:rsidR="004F04BC" w:rsidRPr="00C1264C">
        <w:fldChar w:fldCharType="separate"/>
      </w:r>
      <w:r w:rsidR="001E7A96" w:rsidRPr="00C1264C">
        <w:t>27</w:t>
      </w:r>
      <w:r w:rsidR="004F04BC" w:rsidRPr="00C1264C">
        <w:fldChar w:fldCharType="end"/>
      </w:r>
      <w:r w:rsidR="004F04BC" w:rsidRPr="00C1264C">
        <w:t xml:space="preserve"> </w:t>
      </w:r>
      <w:r w:rsidRPr="00C1264C">
        <w:t>are met.</w:t>
      </w:r>
    </w:p>
    <w:p w14:paraId="6EAD2915" w14:textId="77777777" w:rsidR="00C625BC" w:rsidRPr="00C1264C" w:rsidRDefault="00C625BC" w:rsidP="00C625BC">
      <w:pPr>
        <w:pStyle w:val="h5Section"/>
      </w:pPr>
      <w:r w:rsidRPr="00C1264C">
        <w:fldChar w:fldCharType="begin"/>
      </w:r>
      <w:bookmarkStart w:id="55" w:name="_Ref88136022"/>
      <w:bookmarkEnd w:id="55"/>
      <w:r w:rsidRPr="00C1264C">
        <w:instrText xml:space="preserve">  LISTNUM "main numbering" \l 5 \* MERGEFORMAT </w:instrText>
      </w:r>
      <w:bookmarkStart w:id="56" w:name="_Toc117516990"/>
      <w:r w:rsidRPr="00C1264C">
        <w:fldChar w:fldCharType="end"/>
      </w:r>
      <w:r w:rsidRPr="00C1264C">
        <w:t xml:space="preserve">  Criteria for temporary reduction in quantity of stocks</w:t>
      </w:r>
      <w:bookmarkEnd w:id="56"/>
    </w:p>
    <w:p w14:paraId="040DF987" w14:textId="622970BC" w:rsidR="006208BA" w:rsidRPr="00C1264C" w:rsidRDefault="00C625BC" w:rsidP="00C625BC">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 xml:space="preserve">For </w:t>
      </w:r>
      <w:r w:rsidR="00856D7F" w:rsidRPr="00C1264C">
        <w:t xml:space="preserve">subsection </w:t>
      </w:r>
      <w:r w:rsidRPr="00C1264C">
        <w:t xml:space="preserve">18(6) of the Act, the Secretary may </w:t>
      </w:r>
      <w:r w:rsidR="0093769D" w:rsidRPr="00C1264C">
        <w:t>grant</w:t>
      </w:r>
      <w:r w:rsidRPr="00C1264C">
        <w:t xml:space="preserve"> </w:t>
      </w:r>
      <w:r w:rsidR="0093769D" w:rsidRPr="00C1264C">
        <w:t>the</w:t>
      </w:r>
      <w:r w:rsidRPr="00C1264C">
        <w:t xml:space="preserve"> application </w:t>
      </w:r>
      <w:r w:rsidR="006F269E" w:rsidRPr="00C1264C">
        <w:t xml:space="preserve">only </w:t>
      </w:r>
      <w:r w:rsidRPr="00C1264C">
        <w:t xml:space="preserve">if satisfied </w:t>
      </w:r>
      <w:r w:rsidR="006208BA" w:rsidRPr="00C1264C">
        <w:t>under subsection (2) or (3)</w:t>
      </w:r>
      <w:r w:rsidR="004F04BC" w:rsidRPr="00C1264C">
        <w:t xml:space="preserve"> or section </w:t>
      </w:r>
      <w:r w:rsidR="004F04BC" w:rsidRPr="00C1264C">
        <w:fldChar w:fldCharType="begin"/>
      </w:r>
      <w:r w:rsidR="004F04BC" w:rsidRPr="00C1264C">
        <w:instrText xml:space="preserve"> REF _Ref89255241 \n \h </w:instrText>
      </w:r>
      <w:r w:rsidR="00C1264C">
        <w:instrText xml:space="preserve"> \* MERGEFORMAT </w:instrText>
      </w:r>
      <w:r w:rsidR="004F04BC" w:rsidRPr="00C1264C">
        <w:fldChar w:fldCharType="separate"/>
      </w:r>
      <w:r w:rsidR="001E7A96" w:rsidRPr="00C1264C">
        <w:t>27</w:t>
      </w:r>
      <w:r w:rsidR="004F04BC" w:rsidRPr="00C1264C">
        <w:fldChar w:fldCharType="end"/>
      </w:r>
      <w:r w:rsidR="006208BA" w:rsidRPr="00C1264C">
        <w:t xml:space="preserve">. </w:t>
      </w:r>
    </w:p>
    <w:p w14:paraId="272A5CED" w14:textId="357F1B91" w:rsidR="00C625BC" w:rsidRPr="00C1264C" w:rsidRDefault="006208BA" w:rsidP="006208BA">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 xml:space="preserve">The Secretary may </w:t>
      </w:r>
      <w:r w:rsidR="0093769D" w:rsidRPr="00C1264C">
        <w:t>grant</w:t>
      </w:r>
      <w:r w:rsidRPr="00C1264C">
        <w:t xml:space="preserve"> an application if satisfied </w:t>
      </w:r>
      <w:r w:rsidR="00C625BC" w:rsidRPr="00C1264C">
        <w:t>that the reduction is necessary because of one of t</w:t>
      </w:r>
      <w:r w:rsidR="007F7B17" w:rsidRPr="00C1264C">
        <w:t>he following circumstances that</w:t>
      </w:r>
      <w:r w:rsidR="00C625BC" w:rsidRPr="00C1264C">
        <w:t xml:space="preserve"> was beyond the reasonable control of the entity:</w:t>
      </w:r>
    </w:p>
    <w:p w14:paraId="1F3BC25F" w14:textId="77777777" w:rsidR="00C625BC" w:rsidRPr="00C1264C" w:rsidRDefault="00C625BC" w:rsidP="00C625BC">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to carry out a tank inspection required by law or to comply with relevant maintenance standards for the equipment;</w:t>
      </w:r>
    </w:p>
    <w:p w14:paraId="529C7AEC" w14:textId="77777777" w:rsidR="00C625BC" w:rsidRPr="00C1264C" w:rsidRDefault="00C625BC" w:rsidP="00C625BC">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a significant shipping disruption due to unforeseen circumstances;</w:t>
      </w:r>
    </w:p>
    <w:p w14:paraId="5824835A" w14:textId="5F57AB03" w:rsidR="00C625BC" w:rsidRPr="00C1264C" w:rsidRDefault="00C625BC" w:rsidP="00C625BC">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to repair infrastructure damaged where the applicant is not responsible</w:t>
      </w:r>
      <w:r w:rsidR="009B3637" w:rsidRPr="00C1264C">
        <w:t xml:space="preserve"> for</w:t>
      </w:r>
      <w:r w:rsidRPr="00C1264C">
        <w:t>, or did not contribute to, the damage;</w:t>
      </w:r>
    </w:p>
    <w:p w14:paraId="0BD008D0" w14:textId="4A781E08" w:rsidR="00C625BC" w:rsidRPr="00C1264C" w:rsidRDefault="00C625BC" w:rsidP="009460A9">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where a supplier of imported fuel is required to comply with the requirements to be an MSO product, but supplies fuel to the entity which is not compliant.</w:t>
      </w:r>
    </w:p>
    <w:p w14:paraId="46EEC35E" w14:textId="68514E4F" w:rsidR="006208BA" w:rsidRPr="00C1264C" w:rsidRDefault="006208BA" w:rsidP="006208BA">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 xml:space="preserve">The Secretary may </w:t>
      </w:r>
      <w:r w:rsidR="0093769D" w:rsidRPr="00C1264C">
        <w:t>grant</w:t>
      </w:r>
      <w:r w:rsidRPr="00C1264C">
        <w:t xml:space="preserve"> an application if satisfied that:</w:t>
      </w:r>
    </w:p>
    <w:p w14:paraId="50C9C2A4" w14:textId="77777777" w:rsidR="006208BA" w:rsidRPr="00C1264C" w:rsidRDefault="006208BA" w:rsidP="006208BA">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the applicant has lost one or more major customers for one or more MSO products; and</w:t>
      </w:r>
    </w:p>
    <w:p w14:paraId="673CF115" w14:textId="77777777" w:rsidR="00A97F06" w:rsidRPr="00C1264C" w:rsidRDefault="006208BA" w:rsidP="006208BA">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the applicant’s need to import or refine one or more MSO products for the remainder of the period is reduced as a result of the circumstances in paragraph (a)</w:t>
      </w:r>
      <w:r w:rsidR="00A97F06" w:rsidRPr="00C1264C">
        <w:t xml:space="preserve"> by more than the less</w:t>
      </w:r>
      <w:r w:rsidR="004044A3" w:rsidRPr="00C1264C">
        <w:t>e</w:t>
      </w:r>
      <w:r w:rsidR="00A97F06" w:rsidRPr="00C1264C">
        <w:t>r of:</w:t>
      </w:r>
    </w:p>
    <w:p w14:paraId="27F994DD" w14:textId="77777777" w:rsidR="00A97F06" w:rsidRPr="00C1264C" w:rsidRDefault="00A97F06" w:rsidP="00A97F06">
      <w:pPr>
        <w:pStyle w:val="tSubpara"/>
      </w:pPr>
      <w:r w:rsidRPr="00C1264C">
        <w:tab/>
      </w:r>
      <w:r w:rsidRPr="00C1264C">
        <w:fldChar w:fldCharType="begin"/>
      </w:r>
      <w:r w:rsidRPr="00C1264C">
        <w:instrText xml:space="preserve">  LISTNUM "main numbering" \l 8 \* MERGEFORMAT </w:instrText>
      </w:r>
      <w:r w:rsidRPr="00C1264C">
        <w:fldChar w:fldCharType="end"/>
      </w:r>
      <w:r w:rsidRPr="00C1264C">
        <w:tab/>
        <w:t xml:space="preserve">20% of the applicant’s importing and refining; and </w:t>
      </w:r>
    </w:p>
    <w:p w14:paraId="2CD09AC8" w14:textId="77777777" w:rsidR="006208BA" w:rsidRPr="00C1264C" w:rsidRDefault="00A97F06" w:rsidP="00A97F06">
      <w:pPr>
        <w:pStyle w:val="tSubpara"/>
      </w:pPr>
      <w:r w:rsidRPr="00C1264C">
        <w:tab/>
      </w:r>
      <w:r w:rsidRPr="00C1264C">
        <w:fldChar w:fldCharType="begin"/>
      </w:r>
      <w:r w:rsidRPr="00C1264C">
        <w:instrText xml:space="preserve">  LISTNUM "main numbering" \l 8 \* MERGEFORMAT </w:instrText>
      </w:r>
      <w:r w:rsidRPr="00C1264C">
        <w:fldChar w:fldCharType="end"/>
      </w:r>
      <w:r w:rsidRPr="00C1264C">
        <w:tab/>
        <w:t>100 megalitres</w:t>
      </w:r>
      <w:r w:rsidR="006208BA" w:rsidRPr="00C1264C">
        <w:t>.</w:t>
      </w:r>
    </w:p>
    <w:p w14:paraId="6C15D0A7" w14:textId="1D53DDE7" w:rsidR="00C625BC" w:rsidRPr="00C1264C" w:rsidRDefault="00C625BC" w:rsidP="00F261B9">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r>
      <w:r w:rsidR="007F7B17" w:rsidRPr="00C1264C">
        <w:t xml:space="preserve">The reduction in the quantity </w:t>
      </w:r>
      <w:r w:rsidR="006208BA" w:rsidRPr="00C1264C">
        <w:t xml:space="preserve">under subsection (2) </w:t>
      </w:r>
      <w:r w:rsidR="007F7B17" w:rsidRPr="00C1264C">
        <w:t xml:space="preserve">must be no more than necessary, and for no longer than is necessary, to address the circumstance covered by </w:t>
      </w:r>
      <w:r w:rsidR="006208BA" w:rsidRPr="00C1264C">
        <w:t>that subsection</w:t>
      </w:r>
      <w:r w:rsidR="007F7B17" w:rsidRPr="00C1264C">
        <w:t xml:space="preserve">. </w:t>
      </w:r>
    </w:p>
    <w:p w14:paraId="1BF27DFF" w14:textId="77777777" w:rsidR="004F04BC" w:rsidRPr="00C1264C" w:rsidRDefault="004F04BC" w:rsidP="004F04BC">
      <w:pPr>
        <w:pStyle w:val="h5Section"/>
      </w:pPr>
      <w:r w:rsidRPr="00C1264C">
        <w:fldChar w:fldCharType="begin"/>
      </w:r>
      <w:bookmarkStart w:id="57" w:name="_Ref89255241"/>
      <w:bookmarkEnd w:id="57"/>
      <w:r w:rsidRPr="00C1264C">
        <w:instrText xml:space="preserve">  LISTNUM "main numbering" \l 5 \* MERGEFORMAT </w:instrText>
      </w:r>
      <w:bookmarkStart w:id="58" w:name="_Toc117516991"/>
      <w:r w:rsidRPr="00C1264C">
        <w:fldChar w:fldCharType="end"/>
      </w:r>
      <w:r w:rsidRPr="00C1264C">
        <w:t xml:space="preserve">  </w:t>
      </w:r>
      <w:r w:rsidR="008046D1" w:rsidRPr="00C1264C">
        <w:t>Additional t</w:t>
      </w:r>
      <w:r w:rsidRPr="00C1264C">
        <w:t>ransitional reduction in quantity of stocks</w:t>
      </w:r>
      <w:bookmarkEnd w:id="58"/>
    </w:p>
    <w:p w14:paraId="40D865B2" w14:textId="0418033E" w:rsidR="004F04BC" w:rsidRPr="00C1264C" w:rsidRDefault="004F04BC" w:rsidP="00CB17FF">
      <w:pPr>
        <w:pStyle w:val="tMain"/>
      </w:pPr>
      <w:r w:rsidRPr="00C1264C">
        <w:tab/>
      </w:r>
      <w:r w:rsidRPr="00C1264C">
        <w:tab/>
        <w:t xml:space="preserve">For </w:t>
      </w:r>
      <w:r w:rsidR="00856D7F" w:rsidRPr="00C1264C">
        <w:t xml:space="preserve">subsection </w:t>
      </w:r>
      <w:r w:rsidRPr="00C1264C">
        <w:t xml:space="preserve">18(6) of the Act, the Secretary may </w:t>
      </w:r>
      <w:r w:rsidR="00482350" w:rsidRPr="00C1264C">
        <w:t xml:space="preserve">also </w:t>
      </w:r>
      <w:r w:rsidR="009B3637" w:rsidRPr="00C1264C">
        <w:t xml:space="preserve">grant </w:t>
      </w:r>
      <w:r w:rsidR="00CB17FF" w:rsidRPr="00C1264C">
        <w:t>an application if satisfied that:</w:t>
      </w:r>
    </w:p>
    <w:p w14:paraId="48C23122" w14:textId="77777777" w:rsidR="004F04BC" w:rsidRPr="00C1264C" w:rsidRDefault="004F04BC" w:rsidP="00B16F57">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the designated quantity </w:t>
      </w:r>
      <w:r w:rsidR="001D5653" w:rsidRPr="00C1264C">
        <w:t xml:space="preserve">to be reduced </w:t>
      </w:r>
      <w:r w:rsidRPr="00C1264C">
        <w:t xml:space="preserve">relates to a period before 1 July 2024; </w:t>
      </w:r>
      <w:r w:rsidR="00BF362A" w:rsidRPr="00C1264C">
        <w:t>and</w:t>
      </w:r>
    </w:p>
    <w:p w14:paraId="5CE3CC87" w14:textId="77777777" w:rsidR="004F04BC" w:rsidRPr="00C1264C" w:rsidRDefault="004F04BC" w:rsidP="004F04BC">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the designated quantity was set based on information or data that the Secretary is satisfied was incorrect;</w:t>
      </w:r>
      <w:r w:rsidR="00BF362A" w:rsidRPr="00C1264C">
        <w:t xml:space="preserve"> and</w:t>
      </w:r>
    </w:p>
    <w:p w14:paraId="2A2A3574" w14:textId="28411CA5" w:rsidR="00040D2E" w:rsidRPr="00C1264C" w:rsidRDefault="004F04BC" w:rsidP="00040D2E">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the reduction in quantity is consistent with that which would have been set if the correct information or data </w:t>
      </w:r>
      <w:r w:rsidR="009E1C10" w:rsidRPr="00C1264C">
        <w:t xml:space="preserve">had been </w:t>
      </w:r>
      <w:r w:rsidRPr="00C1264C">
        <w:t xml:space="preserve">used. </w:t>
      </w:r>
    </w:p>
    <w:p w14:paraId="60087246" w14:textId="187D3AB9" w:rsidR="00592CEC" w:rsidRPr="00C1264C" w:rsidRDefault="00040D2E" w:rsidP="00040D2E">
      <w:pPr>
        <w:pStyle w:val="nMain"/>
        <w:sectPr w:rsidR="00592CEC" w:rsidRPr="00C1264C" w:rsidSect="00B13564">
          <w:pgSz w:w="11906" w:h="16838"/>
          <w:pgMar w:top="1440" w:right="1440" w:bottom="1440" w:left="1440" w:header="709" w:footer="709" w:gutter="0"/>
          <w:cols w:space="708"/>
          <w:titlePg/>
          <w:docGrid w:linePitch="360"/>
        </w:sectPr>
      </w:pPr>
      <w:r w:rsidRPr="00C1264C">
        <w:t>Example:</w:t>
      </w:r>
      <w:r w:rsidRPr="00C1264C">
        <w:tab/>
        <w:t>If the Secretary has triggered the MSO for an entity in relation to an MSO product under section</w:t>
      </w:r>
      <w:r w:rsidR="00CB0B0D" w:rsidRPr="00C1264C">
        <w:t> </w:t>
      </w:r>
      <w:r w:rsidRPr="00C1264C">
        <w:t xml:space="preserve">10 of the Act based on incorrect data on the quantity of product imported or refined by the entity, the Secretary may decide to reduce the quantity after receiving an application under section 17 of the Act. This section also applies to notices of quantity of MSO product under sections 15 or 18 of the Act that are based on incorrect information about amount of MSO products imported or refined by the entity. </w:t>
      </w:r>
    </w:p>
    <w:p w14:paraId="407103A6" w14:textId="77777777" w:rsidR="006D0E76" w:rsidRPr="00C1264C" w:rsidRDefault="006D0E76" w:rsidP="006D0E76">
      <w:pPr>
        <w:pStyle w:val="h2Part"/>
        <w:rPr>
          <w:rStyle w:val="CharPartNo"/>
        </w:rPr>
      </w:pPr>
      <w:r w:rsidRPr="00C1264C">
        <w:rPr>
          <w:rStyle w:val="CharPartNo"/>
        </w:rPr>
        <w:lastRenderedPageBreak/>
        <w:fldChar w:fldCharType="begin"/>
      </w:r>
      <w:r w:rsidRPr="00C1264C">
        <w:rPr>
          <w:rStyle w:val="CharPartNo"/>
        </w:rPr>
        <w:instrText xml:space="preserve">  LISTNUM "main numbering" \l 2 \* MERGEFORMAT </w:instrText>
      </w:r>
      <w:bookmarkStart w:id="59" w:name="_Toc117516992"/>
      <w:r w:rsidRPr="00C1264C">
        <w:rPr>
          <w:rStyle w:val="CharPartNo"/>
        </w:rPr>
        <w:fldChar w:fldCharType="end"/>
      </w:r>
      <w:r w:rsidRPr="00C1264C">
        <w:rPr>
          <w:rStyle w:val="CharPartNo"/>
        </w:rPr>
        <w:t>—Suspension of MSO</w:t>
      </w:r>
      <w:bookmarkEnd w:id="59"/>
    </w:p>
    <w:p w14:paraId="4AA5DC62" w14:textId="77777777" w:rsidR="00B05F7D" w:rsidRPr="00C1264C" w:rsidRDefault="00B05F7D" w:rsidP="00B05F7D">
      <w:pPr>
        <w:pStyle w:val="h5Section"/>
      </w:pPr>
      <w:r w:rsidRPr="00C1264C">
        <w:fldChar w:fldCharType="begin"/>
      </w:r>
      <w:r w:rsidRPr="00C1264C">
        <w:instrText xml:space="preserve">  LISTNUM "main numbering" \l 5 \* MERGEFORMAT </w:instrText>
      </w:r>
      <w:bookmarkStart w:id="60" w:name="_Toc117516993"/>
      <w:r w:rsidRPr="00C1264C">
        <w:fldChar w:fldCharType="end"/>
      </w:r>
      <w:r w:rsidRPr="00C1264C">
        <w:t xml:space="preserve">  Suspension by Minister</w:t>
      </w:r>
      <w:bookmarkEnd w:id="60"/>
    </w:p>
    <w:p w14:paraId="580476B7" w14:textId="70FF4355" w:rsidR="00B05F7D" w:rsidRPr="00C1264C" w:rsidRDefault="001D5653" w:rsidP="001D5653">
      <w:pPr>
        <w:pStyle w:val="tMain"/>
      </w:pPr>
      <w:r w:rsidRPr="00C1264C">
        <w:tab/>
      </w:r>
      <w:r w:rsidRPr="00C1264C">
        <w:tab/>
      </w:r>
      <w:r w:rsidR="00B05F7D" w:rsidRPr="00C1264C">
        <w:t>For paragraph 27(1)(b) of the Act, the following requirements are</w:t>
      </w:r>
      <w:r w:rsidR="00570B96" w:rsidRPr="00C1264C">
        <w:t xml:space="preserve"> prescribed</w:t>
      </w:r>
      <w:r w:rsidR="006F194C" w:rsidRPr="00C1264C">
        <w:t>:</w:t>
      </w:r>
    </w:p>
    <w:p w14:paraId="3E4B1F86" w14:textId="0BC70E77" w:rsidR="00B05F7D" w:rsidRPr="00C1264C" w:rsidRDefault="00B05F7D" w:rsidP="00B05F7D">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the suspension </w:t>
      </w:r>
      <w:r w:rsidR="009E1C10" w:rsidRPr="00C1264C">
        <w:t xml:space="preserve">is </w:t>
      </w:r>
      <w:r w:rsidRPr="00C1264C">
        <w:t xml:space="preserve">no longer than is reasonably necessary to prevent or alleviate the disruption or likely disruption to supply; </w:t>
      </w:r>
    </w:p>
    <w:p w14:paraId="630537BC" w14:textId="6DDEF22A" w:rsidR="00B05F7D" w:rsidRPr="00C1264C" w:rsidRDefault="00B05F7D" w:rsidP="00202433">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Energy Ministers (within the meaning of the </w:t>
      </w:r>
      <w:r w:rsidRPr="00C1264C">
        <w:rPr>
          <w:i/>
        </w:rPr>
        <w:t>Liquid Fuel Emergency Act 1984</w:t>
      </w:r>
      <w:r w:rsidRPr="00C1264C">
        <w:t xml:space="preserve">) have been </w:t>
      </w:r>
      <w:r w:rsidR="001E5FC8" w:rsidRPr="00C1264C">
        <w:t>informed of</w:t>
      </w:r>
      <w:r w:rsidRPr="00C1264C">
        <w:t xml:space="preserve"> the </w:t>
      </w:r>
      <w:r w:rsidR="0093769D" w:rsidRPr="00C1264C">
        <w:t xml:space="preserve">proposed </w:t>
      </w:r>
      <w:r w:rsidRPr="00C1264C">
        <w:t xml:space="preserve">suspension. </w:t>
      </w:r>
    </w:p>
    <w:p w14:paraId="5A382241" w14:textId="6E82A4FF" w:rsidR="006D0E76" w:rsidRPr="00C1264C" w:rsidRDefault="006D0E76" w:rsidP="006D0E76">
      <w:pPr>
        <w:pStyle w:val="h5Section"/>
      </w:pPr>
      <w:r w:rsidRPr="00C1264C">
        <w:fldChar w:fldCharType="begin"/>
      </w:r>
      <w:r w:rsidRPr="00C1264C">
        <w:instrText xml:space="preserve">  LISTNUM "main numbering" \l 5 \* MERGEFORMAT </w:instrText>
      </w:r>
      <w:bookmarkStart w:id="61" w:name="_Toc117516994"/>
      <w:r w:rsidRPr="00C1264C">
        <w:fldChar w:fldCharType="end"/>
      </w:r>
      <w:r w:rsidRPr="00C1264C">
        <w:t xml:space="preserve">  </w:t>
      </w:r>
      <w:r w:rsidR="007F7B17" w:rsidRPr="00C1264C">
        <w:t>Application</w:t>
      </w:r>
      <w:r w:rsidR="006208BA" w:rsidRPr="00C1264C">
        <w:t xml:space="preserve"> for suspension by Secretary</w:t>
      </w:r>
      <w:bookmarkEnd w:id="61"/>
    </w:p>
    <w:p w14:paraId="3686F43A" w14:textId="33F783C9" w:rsidR="00B05F7D" w:rsidRPr="00C1264C" w:rsidRDefault="001D5653" w:rsidP="001D5653">
      <w:pPr>
        <w:pStyle w:val="tMain"/>
      </w:pPr>
      <w:r w:rsidRPr="00C1264C">
        <w:tab/>
      </w:r>
      <w:r w:rsidRPr="00C1264C">
        <w:tab/>
      </w:r>
      <w:r w:rsidR="006D0E76" w:rsidRPr="00C1264C">
        <w:t>For sub</w:t>
      </w:r>
      <w:r w:rsidR="007F7B17" w:rsidRPr="00C1264C">
        <w:t xml:space="preserve">section 28(2) of the Act, </w:t>
      </w:r>
      <w:r w:rsidR="0093769D" w:rsidRPr="00C1264C">
        <w:t xml:space="preserve">the requirements are that the </w:t>
      </w:r>
      <w:r w:rsidR="00B05F7D" w:rsidRPr="00C1264C">
        <w:t>application:</w:t>
      </w:r>
    </w:p>
    <w:p w14:paraId="72541C06" w14:textId="77777777" w:rsidR="006208BA" w:rsidRPr="00C1264C" w:rsidRDefault="006208BA" w:rsidP="006208BA">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set out the proposed end date for the suspension;</w:t>
      </w:r>
      <w:r w:rsidR="00BF362A" w:rsidRPr="00C1264C">
        <w:t xml:space="preserve"> and</w:t>
      </w:r>
    </w:p>
    <w:p w14:paraId="1FC412E9" w14:textId="69D42BCE" w:rsidR="006D0E76" w:rsidRPr="00C1264C" w:rsidRDefault="00B05F7D" w:rsidP="00B05F7D">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set out the reasons why the MSO should be suspended for the entity</w:t>
      </w:r>
      <w:r w:rsidR="008206F4" w:rsidRPr="00C1264C">
        <w:t xml:space="preserve">, having regard to section </w:t>
      </w:r>
      <w:r w:rsidR="008206F4" w:rsidRPr="00C1264C">
        <w:fldChar w:fldCharType="begin"/>
      </w:r>
      <w:r w:rsidR="008206F4" w:rsidRPr="00C1264C">
        <w:instrText xml:space="preserve"> REF _Ref89162228 \n \h </w:instrText>
      </w:r>
      <w:r w:rsidR="00BF362A" w:rsidRPr="00C1264C">
        <w:instrText xml:space="preserve"> \* MERGEFORMAT </w:instrText>
      </w:r>
      <w:r w:rsidR="008206F4" w:rsidRPr="00C1264C">
        <w:fldChar w:fldCharType="separate"/>
      </w:r>
      <w:r w:rsidR="001E7A96" w:rsidRPr="00C1264C">
        <w:t>30</w:t>
      </w:r>
      <w:r w:rsidR="008206F4" w:rsidRPr="00C1264C">
        <w:fldChar w:fldCharType="end"/>
      </w:r>
      <w:r w:rsidRPr="00C1264C">
        <w:t>; and</w:t>
      </w:r>
    </w:p>
    <w:p w14:paraId="40162A85" w14:textId="39879435" w:rsidR="006208BA" w:rsidRPr="00C1264C" w:rsidRDefault="006208BA" w:rsidP="006208BA">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provide an estimate of when stock would be held consistent with the MSO if the suspension </w:t>
      </w:r>
      <w:r w:rsidR="00B12635" w:rsidRPr="00C1264C">
        <w:t xml:space="preserve">were </w:t>
      </w:r>
      <w:r w:rsidRPr="00C1264C">
        <w:t>granted</w:t>
      </w:r>
      <w:r w:rsidR="00B12635" w:rsidRPr="00C1264C">
        <w:t>,</w:t>
      </w:r>
      <w:r w:rsidRPr="00C1264C">
        <w:t xml:space="preserve"> and the reasons for this estimate;</w:t>
      </w:r>
      <w:r w:rsidR="00BF362A" w:rsidRPr="00C1264C">
        <w:t xml:space="preserve"> and</w:t>
      </w:r>
    </w:p>
    <w:p w14:paraId="2D69FACC" w14:textId="5B55CE00" w:rsidR="00B05F7D" w:rsidRPr="00C1264C" w:rsidRDefault="00B05F7D" w:rsidP="00B05F7D">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provide evidence to substantiate </w:t>
      </w:r>
      <w:r w:rsidR="007C7247" w:rsidRPr="00C1264C">
        <w:t xml:space="preserve">the matters referred to in </w:t>
      </w:r>
      <w:r w:rsidRPr="00C1264C">
        <w:t>paragraph</w:t>
      </w:r>
      <w:r w:rsidR="006208BA" w:rsidRPr="00C1264C">
        <w:t>s (b</w:t>
      </w:r>
      <w:r w:rsidRPr="00C1264C">
        <w:t>)</w:t>
      </w:r>
      <w:r w:rsidR="006208BA" w:rsidRPr="00C1264C">
        <w:t xml:space="preserve"> and (c)</w:t>
      </w:r>
      <w:r w:rsidRPr="00C1264C">
        <w:t>;</w:t>
      </w:r>
      <w:r w:rsidR="008206F4" w:rsidRPr="00C1264C">
        <w:t xml:space="preserve"> and</w:t>
      </w:r>
    </w:p>
    <w:p w14:paraId="55C72CB7" w14:textId="77777777" w:rsidR="00B05F7D" w:rsidRPr="00C1264C" w:rsidRDefault="00B05F7D" w:rsidP="00B05F7D">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provide details </w:t>
      </w:r>
      <w:r w:rsidR="00207E22" w:rsidRPr="00C1264C">
        <w:t xml:space="preserve">of </w:t>
      </w:r>
      <w:r w:rsidRPr="00C1264C">
        <w:t>any other entities who should, or should not, be included in a class of entities covered by the suspension;</w:t>
      </w:r>
      <w:r w:rsidR="008206F4" w:rsidRPr="00C1264C">
        <w:t xml:space="preserve"> and</w:t>
      </w:r>
    </w:p>
    <w:p w14:paraId="550B42B1" w14:textId="77777777" w:rsidR="00B05F7D" w:rsidRPr="00C1264C" w:rsidRDefault="00B05F7D" w:rsidP="00B05F7D">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include the latest MSO compliance plan for the entity; </w:t>
      </w:r>
      <w:r w:rsidR="008206F4" w:rsidRPr="00C1264C">
        <w:t>and</w:t>
      </w:r>
    </w:p>
    <w:p w14:paraId="2C0A74D1" w14:textId="77777777" w:rsidR="00B05F7D" w:rsidRPr="00C1264C" w:rsidRDefault="00B05F7D" w:rsidP="00B05F7D">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set out why</w:t>
      </w:r>
      <w:r w:rsidR="008206F4" w:rsidRPr="00C1264C">
        <w:t xml:space="preserve"> implementing their MSO compliance plan would not avoid a breach of the MSO without the suspension; and</w:t>
      </w:r>
    </w:p>
    <w:p w14:paraId="28303AB6" w14:textId="77777777" w:rsidR="008206F4" w:rsidRPr="00C1264C" w:rsidRDefault="008206F4" w:rsidP="008206F4">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be in a form approved by the Secretary.</w:t>
      </w:r>
    </w:p>
    <w:p w14:paraId="5D492837" w14:textId="45477E82" w:rsidR="008206F4" w:rsidRPr="00C1264C" w:rsidRDefault="008206F4" w:rsidP="008206F4">
      <w:pPr>
        <w:pStyle w:val="h5Section"/>
      </w:pPr>
      <w:r w:rsidRPr="00C1264C">
        <w:fldChar w:fldCharType="begin"/>
      </w:r>
      <w:bookmarkStart w:id="62" w:name="_Ref89162228"/>
      <w:bookmarkEnd w:id="62"/>
      <w:r w:rsidRPr="00C1264C">
        <w:instrText xml:space="preserve">  LISTNUM "main numbering" \l 5 \* MERGEFORMAT </w:instrText>
      </w:r>
      <w:bookmarkStart w:id="63" w:name="_Toc117516995"/>
      <w:r w:rsidRPr="00C1264C">
        <w:fldChar w:fldCharType="end"/>
      </w:r>
      <w:r w:rsidR="006B67F7" w:rsidRPr="00C1264C">
        <w:t xml:space="preserve"> </w:t>
      </w:r>
      <w:r w:rsidRPr="00C1264C">
        <w:t xml:space="preserve"> Secretary’s decision on suspension</w:t>
      </w:r>
      <w:bookmarkEnd w:id="63"/>
    </w:p>
    <w:p w14:paraId="5A98A67D" w14:textId="77777777" w:rsidR="008206F4" w:rsidRPr="00C1264C" w:rsidRDefault="008206F4" w:rsidP="008206F4">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This section prescribes requirements for subsection 29(2) of the Act.</w:t>
      </w:r>
    </w:p>
    <w:p w14:paraId="2D37E174" w14:textId="77777777" w:rsidR="00634D19" w:rsidRPr="00C1264C" w:rsidRDefault="008206F4" w:rsidP="008206F4">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 xml:space="preserve">The Secretary may grant an application </w:t>
      </w:r>
      <w:r w:rsidR="004236F6" w:rsidRPr="00C1264C">
        <w:t xml:space="preserve">only </w:t>
      </w:r>
      <w:r w:rsidRPr="00C1264C">
        <w:t>if satisfied</w:t>
      </w:r>
      <w:r w:rsidR="008A5956" w:rsidRPr="00C1264C">
        <w:t xml:space="preserve"> that</w:t>
      </w:r>
      <w:r w:rsidRPr="00C1264C">
        <w:t>:</w:t>
      </w:r>
    </w:p>
    <w:p w14:paraId="53D0E306" w14:textId="77777777" w:rsidR="008206F4" w:rsidRPr="00C1264C" w:rsidRDefault="008206F4" w:rsidP="008206F4">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r>
      <w:r w:rsidR="0021111B" w:rsidRPr="00C1264C">
        <w:t xml:space="preserve">compliance with the MSO would mean that the </w:t>
      </w:r>
      <w:r w:rsidR="001E42F6" w:rsidRPr="00C1264C">
        <w:t>supply of one or more MSO products</w:t>
      </w:r>
      <w:r w:rsidRPr="00C1264C">
        <w:t xml:space="preserve"> to fuel users </w:t>
      </w:r>
      <w:r w:rsidR="00207E22" w:rsidRPr="00C1264C">
        <w:t xml:space="preserve">has been, or </w:t>
      </w:r>
      <w:r w:rsidR="0021111B" w:rsidRPr="00C1264C">
        <w:t>is</w:t>
      </w:r>
      <w:r w:rsidRPr="00C1264C">
        <w:t xml:space="preserve"> likely to be</w:t>
      </w:r>
      <w:r w:rsidR="00207E22" w:rsidRPr="00C1264C">
        <w:t>,</w:t>
      </w:r>
      <w:r w:rsidRPr="00C1264C">
        <w:t xml:space="preserve"> disrupted; and</w:t>
      </w:r>
    </w:p>
    <w:p w14:paraId="0FA24CC0" w14:textId="014775E3" w:rsidR="008206F4" w:rsidRPr="00C1264C" w:rsidRDefault="008206F4" w:rsidP="008206F4">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the applica</w:t>
      </w:r>
      <w:r w:rsidR="0093769D" w:rsidRPr="00C1264C">
        <w:t>nt</w:t>
      </w:r>
      <w:r w:rsidRPr="00C1264C">
        <w:t xml:space="preserve"> substantiates the need to suspend the MSO.</w:t>
      </w:r>
    </w:p>
    <w:p w14:paraId="606726FB" w14:textId="2D823E43" w:rsidR="008206F4" w:rsidRPr="00C1264C" w:rsidRDefault="008206F4" w:rsidP="008206F4">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 xml:space="preserve">The Secretary must </w:t>
      </w:r>
      <w:r w:rsidR="0093769D" w:rsidRPr="00C1264C">
        <w:t>refuse</w:t>
      </w:r>
      <w:r w:rsidRPr="00C1264C">
        <w:t xml:space="preserve"> an application if satisfied</w:t>
      </w:r>
      <w:r w:rsidR="00CB17FF" w:rsidRPr="00C1264C">
        <w:t xml:space="preserve"> that</w:t>
      </w:r>
      <w:r w:rsidRPr="00C1264C">
        <w:t>:</w:t>
      </w:r>
    </w:p>
    <w:p w14:paraId="704F6517" w14:textId="77777777" w:rsidR="008206F4" w:rsidRPr="00C1264C" w:rsidRDefault="008206F4" w:rsidP="008206F4">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the likely</w:t>
      </w:r>
      <w:r w:rsidR="0021111B" w:rsidRPr="00C1264C">
        <w:t xml:space="preserve"> breach of the MSO by the applicant</w:t>
      </w:r>
      <w:r w:rsidRPr="00C1264C">
        <w:t xml:space="preserve"> was caused, wholly or partially, by deficiencies in the entity’s MSO compliance plan;</w:t>
      </w:r>
      <w:r w:rsidR="00166836" w:rsidRPr="00C1264C">
        <w:t xml:space="preserve"> or</w:t>
      </w:r>
    </w:p>
    <w:p w14:paraId="30E61180" w14:textId="77777777" w:rsidR="001E42F6" w:rsidRPr="00C1264C" w:rsidRDefault="008206F4" w:rsidP="001E42F6">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the reasons for the suspension would be more appropriately dealt with by a decision under section 18 of the Act to reduce the quantity of stocks for one or more entities under the MSO.</w:t>
      </w:r>
    </w:p>
    <w:p w14:paraId="053A35F1" w14:textId="77777777" w:rsidR="001E42F6" w:rsidRPr="00C1264C" w:rsidRDefault="001E42F6" w:rsidP="001E42F6">
      <w:pPr>
        <w:pStyle w:val="nMain"/>
      </w:pPr>
      <w:r w:rsidRPr="00C1264C">
        <w:t>Note:</w:t>
      </w:r>
      <w:r w:rsidRPr="00C1264C">
        <w:tab/>
        <w:t xml:space="preserve">Each entity would need to make their own application under section 17 of the Act for this to occur. </w:t>
      </w:r>
    </w:p>
    <w:p w14:paraId="25341B3F" w14:textId="789B5E0A" w:rsidR="008206F4" w:rsidRPr="00C1264C" w:rsidRDefault="008206F4" w:rsidP="008206F4">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 xml:space="preserve">In deciding whether to grant </w:t>
      </w:r>
      <w:r w:rsidR="0093769D" w:rsidRPr="00C1264C">
        <w:t xml:space="preserve">or refuse </w:t>
      </w:r>
      <w:r w:rsidRPr="00C1264C">
        <w:t>an application in circumst</w:t>
      </w:r>
      <w:r w:rsidR="00166836" w:rsidRPr="00C1264C">
        <w:t>ances covered by subsection (2</w:t>
      </w:r>
      <w:r w:rsidRPr="00C1264C">
        <w:t>), the Secretary must take into account:</w:t>
      </w:r>
    </w:p>
    <w:p w14:paraId="5B05F84E" w14:textId="77777777" w:rsidR="008206F4" w:rsidRPr="00C1264C" w:rsidRDefault="008206F4" w:rsidP="008206F4">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the likelihood and impacts of disruption to fuel supply without a suspension;</w:t>
      </w:r>
      <w:r w:rsidR="00166836" w:rsidRPr="00C1264C">
        <w:t xml:space="preserve"> and</w:t>
      </w:r>
    </w:p>
    <w:p w14:paraId="0F13BFED" w14:textId="7B7398D5" w:rsidR="008206F4" w:rsidRPr="00C1264C" w:rsidRDefault="008206F4" w:rsidP="008206F4">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whether the applicant has taken all reasonable steps to avoid the need to suspend the MSO</w:t>
      </w:r>
      <w:r w:rsidR="00207E22" w:rsidRPr="00C1264C">
        <w:t>, including through arrangements under section 24 of the Act</w:t>
      </w:r>
      <w:r w:rsidRPr="00C1264C">
        <w:t>;</w:t>
      </w:r>
      <w:r w:rsidR="00166836" w:rsidRPr="00C1264C">
        <w:t xml:space="preserve"> and</w:t>
      </w:r>
    </w:p>
    <w:p w14:paraId="03B696AE" w14:textId="77777777" w:rsidR="008206F4" w:rsidRPr="00C1264C" w:rsidRDefault="008206F4" w:rsidP="008206F4">
      <w:pPr>
        <w:pStyle w:val="tPara"/>
      </w:pPr>
      <w:r w:rsidRPr="00C1264C">
        <w:lastRenderedPageBreak/>
        <w:tab/>
      </w:r>
      <w:r w:rsidRPr="00C1264C">
        <w:fldChar w:fldCharType="begin"/>
      </w:r>
      <w:r w:rsidRPr="00C1264C">
        <w:instrText xml:space="preserve">  LISTNUM "main numbering" \l 7 \* MERGEFORMAT </w:instrText>
      </w:r>
      <w:r w:rsidRPr="00C1264C">
        <w:fldChar w:fldCharType="end"/>
      </w:r>
      <w:r w:rsidRPr="00C1264C">
        <w:tab/>
        <w:t>any impacts on competition in the markets for MSO products from the suspension</w:t>
      </w:r>
      <w:r w:rsidR="00166836" w:rsidRPr="00C1264C">
        <w:t>; and</w:t>
      </w:r>
    </w:p>
    <w:p w14:paraId="0EBF51CD" w14:textId="77777777" w:rsidR="00166836" w:rsidRPr="00C1264C" w:rsidRDefault="00166836" w:rsidP="00166836">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that the period of any suspension should be no longer than </w:t>
      </w:r>
      <w:r w:rsidR="006B641B" w:rsidRPr="00C1264C">
        <w:t xml:space="preserve">reasonably </w:t>
      </w:r>
      <w:r w:rsidRPr="00C1264C">
        <w:t>necessary to address the reasons for suspension; and</w:t>
      </w:r>
    </w:p>
    <w:p w14:paraId="5CB1EEFA" w14:textId="77777777" w:rsidR="00166836" w:rsidRPr="00C1264C" w:rsidRDefault="00166836" w:rsidP="00166836">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whether implementing the MSO compliance plan will bring the applicant back into compliance in a timely manner; and</w:t>
      </w:r>
    </w:p>
    <w:p w14:paraId="3129CDEE" w14:textId="77777777" w:rsidR="00166836" w:rsidRPr="00C1264C" w:rsidRDefault="00166836" w:rsidP="00166836">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any other matters the Secretary considers relevant.</w:t>
      </w:r>
    </w:p>
    <w:p w14:paraId="2BCDE686" w14:textId="77777777" w:rsidR="00207E22" w:rsidRPr="00C1264C" w:rsidRDefault="00207E22" w:rsidP="00207E22">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The Secretary must take all reasonable steps to make a decision on an application:</w:t>
      </w:r>
    </w:p>
    <w:p w14:paraId="15116BF6" w14:textId="1CBB1AE4" w:rsidR="00207E22" w:rsidRPr="00C1264C" w:rsidRDefault="00207E22" w:rsidP="00207E22">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if further information has been requ</w:t>
      </w:r>
      <w:r w:rsidR="0093769D" w:rsidRPr="00C1264C">
        <w:t>ired</w:t>
      </w:r>
      <w:r w:rsidRPr="00C1264C">
        <w:t>—within 30 days of that information being provided; and</w:t>
      </w:r>
    </w:p>
    <w:p w14:paraId="58678891" w14:textId="77777777" w:rsidR="00207E22" w:rsidRPr="00C1264C" w:rsidRDefault="00207E22" w:rsidP="00207E22">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otherwise—within 30 days after the application was made.</w:t>
      </w:r>
    </w:p>
    <w:p w14:paraId="16EF1877" w14:textId="77777777" w:rsidR="00207E22" w:rsidRPr="00C1264C" w:rsidRDefault="00207E22" w:rsidP="0036617E">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 xml:space="preserve">If appropriate, the Secretary may start the suspension period from a time after the </w:t>
      </w:r>
      <w:r w:rsidR="001E42F6" w:rsidRPr="00C1264C">
        <w:t>reason for the suspension arose</w:t>
      </w:r>
      <w:r w:rsidRPr="00C1264C">
        <w:t xml:space="preserve"> but before the decision on the suspension is made. </w:t>
      </w:r>
    </w:p>
    <w:p w14:paraId="6D8A5562" w14:textId="0CDC6BEF" w:rsidR="008206F4" w:rsidRPr="00C1264C" w:rsidRDefault="008206F4" w:rsidP="008206F4">
      <w:pPr>
        <w:pStyle w:val="h5Section"/>
      </w:pPr>
      <w:r w:rsidRPr="00C1264C">
        <w:fldChar w:fldCharType="begin"/>
      </w:r>
      <w:r w:rsidRPr="00C1264C">
        <w:instrText xml:space="preserve">  LISTNUM "main numbering" \l 5 \* MERGEFORMAT </w:instrText>
      </w:r>
      <w:bookmarkStart w:id="64" w:name="_Toc117516996"/>
      <w:r w:rsidRPr="00C1264C">
        <w:fldChar w:fldCharType="end"/>
      </w:r>
      <w:r w:rsidRPr="00C1264C">
        <w:t xml:space="preserve"> </w:t>
      </w:r>
      <w:r w:rsidR="006B67F7" w:rsidRPr="00C1264C">
        <w:t xml:space="preserve"> </w:t>
      </w:r>
      <w:r w:rsidR="008046D1" w:rsidRPr="00C1264C">
        <w:t>Class of entities included in a suspension</w:t>
      </w:r>
      <w:bookmarkEnd w:id="64"/>
    </w:p>
    <w:p w14:paraId="6EFA8DBB" w14:textId="77777777" w:rsidR="008206F4" w:rsidRPr="00C1264C" w:rsidRDefault="008206F4" w:rsidP="008206F4">
      <w:pPr>
        <w:pStyle w:val="tMain"/>
      </w:pPr>
      <w:r w:rsidRPr="00C1264C">
        <w:tab/>
      </w:r>
      <w:r w:rsidRPr="00C1264C">
        <w:tab/>
        <w:t>For subsection 29(3) of the Act, the Secretary may include a class of entities in the suspension if satisfied</w:t>
      </w:r>
      <w:r w:rsidR="00CB17FF" w:rsidRPr="00C1264C">
        <w:t xml:space="preserve"> that</w:t>
      </w:r>
      <w:r w:rsidRPr="00C1264C">
        <w:t>:</w:t>
      </w:r>
    </w:p>
    <w:p w14:paraId="1D1C25F6" w14:textId="77777777" w:rsidR="008206F4" w:rsidRPr="00C1264C" w:rsidRDefault="008206F4" w:rsidP="008206F4">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the entities are in the same situation as the applicant</w:t>
      </w:r>
      <w:r w:rsidR="0036617E" w:rsidRPr="00C1264C">
        <w:t xml:space="preserve"> or are likely to be similarly affected</w:t>
      </w:r>
      <w:r w:rsidRPr="00C1264C">
        <w:t>;</w:t>
      </w:r>
      <w:r w:rsidR="00166836" w:rsidRPr="00C1264C">
        <w:t xml:space="preserve"> and</w:t>
      </w:r>
    </w:p>
    <w:p w14:paraId="5BE91EEA" w14:textId="77777777" w:rsidR="008206F4" w:rsidRPr="00C1264C" w:rsidRDefault="008206F4" w:rsidP="00202433">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not including the entities in the class</w:t>
      </w:r>
      <w:r w:rsidR="00166836" w:rsidRPr="00C1264C">
        <w:t xml:space="preserve"> could impact competition in one or more</w:t>
      </w:r>
      <w:r w:rsidRPr="00C1264C">
        <w:t xml:space="preserve"> markets for MSO products</w:t>
      </w:r>
      <w:r w:rsidR="00202433" w:rsidRPr="00C1264C">
        <w:t>.</w:t>
      </w:r>
    </w:p>
    <w:p w14:paraId="71E3B908" w14:textId="14BF78B5" w:rsidR="00592CEC" w:rsidRPr="00C1264C" w:rsidRDefault="004F04BC" w:rsidP="004F04BC">
      <w:pPr>
        <w:pStyle w:val="nMain"/>
        <w:sectPr w:rsidR="00592CEC" w:rsidRPr="00C1264C" w:rsidSect="00B13564">
          <w:pgSz w:w="11906" w:h="16838"/>
          <w:pgMar w:top="1440" w:right="1440" w:bottom="1440" w:left="1440" w:header="709" w:footer="709" w:gutter="0"/>
          <w:cols w:space="708"/>
          <w:titlePg/>
          <w:docGrid w:linePitch="360"/>
        </w:sectPr>
      </w:pPr>
      <w:r w:rsidRPr="00C1264C">
        <w:t>Note:</w:t>
      </w:r>
      <w:r w:rsidRPr="00C1264C">
        <w:tab/>
        <w:t xml:space="preserve">Under subsection 29(3) of the Act, the Secretary may do this on their own initiative, irrespective of who the applicant seeks to be included in a class of entities. </w:t>
      </w:r>
    </w:p>
    <w:p w14:paraId="4103F50C" w14:textId="77777777" w:rsidR="003E41CB" w:rsidRPr="00C1264C" w:rsidRDefault="003E41CB" w:rsidP="003E41CB">
      <w:pPr>
        <w:pStyle w:val="h2Part"/>
      </w:pPr>
      <w:r w:rsidRPr="00C1264C">
        <w:rPr>
          <w:rStyle w:val="CharPartNo"/>
        </w:rPr>
        <w:lastRenderedPageBreak/>
        <w:fldChar w:fldCharType="begin"/>
      </w:r>
      <w:r w:rsidRPr="00C1264C">
        <w:rPr>
          <w:rStyle w:val="CharPartNo"/>
        </w:rPr>
        <w:instrText xml:space="preserve">  LISTNUM "main numbering" \l 2 \* MERGEFORMAT </w:instrText>
      </w:r>
      <w:bookmarkStart w:id="65" w:name="_Toc117516997"/>
      <w:r w:rsidRPr="00C1264C">
        <w:rPr>
          <w:rStyle w:val="CharPartNo"/>
        </w:rPr>
        <w:fldChar w:fldCharType="end"/>
      </w:r>
      <w:r w:rsidRPr="00C1264C">
        <w:rPr>
          <w:rStyle w:val="CharPartNo"/>
        </w:rPr>
        <w:t>—Notice of intention to cease all MSO activities in relation to MSO product</w:t>
      </w:r>
      <w:bookmarkEnd w:id="65"/>
    </w:p>
    <w:p w14:paraId="4FDC937E" w14:textId="77777777" w:rsidR="003E41CB" w:rsidRPr="00C1264C" w:rsidRDefault="003E41CB" w:rsidP="003E41CB">
      <w:pPr>
        <w:pStyle w:val="h5Section"/>
        <w:ind w:left="0" w:firstLine="0"/>
      </w:pPr>
      <w:r w:rsidRPr="00C1264C">
        <w:fldChar w:fldCharType="begin"/>
      </w:r>
      <w:r w:rsidRPr="00C1264C">
        <w:instrText xml:space="preserve">  LISTNUM "main numbering" \l 5 \* MERGEFORMAT </w:instrText>
      </w:r>
      <w:bookmarkStart w:id="66" w:name="_Toc117516998"/>
      <w:r w:rsidRPr="00C1264C">
        <w:fldChar w:fldCharType="end"/>
      </w:r>
      <w:r w:rsidRPr="00C1264C">
        <w:t xml:space="preserve">  </w:t>
      </w:r>
      <w:r w:rsidR="00F71AF6" w:rsidRPr="00C1264C">
        <w:t>Requirements for notice of intention to cease MSO activities</w:t>
      </w:r>
      <w:bookmarkEnd w:id="66"/>
    </w:p>
    <w:p w14:paraId="5C132336" w14:textId="77777777" w:rsidR="003E41CB" w:rsidRPr="00C1264C" w:rsidRDefault="003E41CB" w:rsidP="003E41CB">
      <w:pPr>
        <w:pStyle w:val="tMain"/>
      </w:pPr>
      <w:r w:rsidRPr="00C1264C">
        <w:tab/>
      </w:r>
      <w:r w:rsidRPr="00C1264C">
        <w:tab/>
        <w:t>For subsection 31(2) of the Act, a notice that the entity intends to permanently or indefinitely cease undertaking all MSO activities in relation to one or more MSO products must:</w:t>
      </w:r>
    </w:p>
    <w:p w14:paraId="653AB1AC" w14:textId="77777777" w:rsidR="003E41CB" w:rsidRPr="00C1264C" w:rsidRDefault="003E41CB" w:rsidP="003E41CB">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set out which MSO products the entity will cease to refine or import; and</w:t>
      </w:r>
    </w:p>
    <w:p w14:paraId="17BEF245" w14:textId="77777777" w:rsidR="003E41CB" w:rsidRPr="00C1264C" w:rsidRDefault="003E41CB" w:rsidP="003E41CB">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explain the reasons and timeframe for paragraph (a); and</w:t>
      </w:r>
    </w:p>
    <w:p w14:paraId="1361124B" w14:textId="77777777" w:rsidR="003E41CB" w:rsidRPr="00C1264C" w:rsidRDefault="003E41CB" w:rsidP="003E41CB">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set out the names of any entity likely to carry on the MSO activity in place of the entity providing the notice and</w:t>
      </w:r>
      <w:r w:rsidR="0036617E" w:rsidRPr="00C1264C">
        <w:t>, to the extent practicable,</w:t>
      </w:r>
      <w:r w:rsidRPr="00C1264C">
        <w:t xml:space="preserve"> what level of obligation should be allocated to each entity under a determination under section 3</w:t>
      </w:r>
      <w:r w:rsidR="00DE6B69" w:rsidRPr="00C1264C">
        <w:t>7</w:t>
      </w:r>
      <w:r w:rsidRPr="00C1264C">
        <w:t xml:space="preserve"> of the Act; and</w:t>
      </w:r>
    </w:p>
    <w:p w14:paraId="09480F70" w14:textId="2ADD2D75" w:rsidR="00592CEC" w:rsidRPr="00C1264C" w:rsidRDefault="003E41CB" w:rsidP="00F75A9C">
      <w:pPr>
        <w:pStyle w:val="tPara"/>
        <w:sectPr w:rsidR="00592CEC" w:rsidRPr="00C1264C" w:rsidSect="00B13564">
          <w:pgSz w:w="11906" w:h="16838"/>
          <w:pgMar w:top="1440" w:right="1440" w:bottom="1440" w:left="1440" w:header="709" w:footer="709" w:gutter="0"/>
          <w:cols w:space="708"/>
          <w:titlePg/>
          <w:docGrid w:linePitch="360"/>
        </w:sectPr>
      </w:pPr>
      <w:r w:rsidRPr="00C1264C">
        <w:tab/>
      </w:r>
      <w:r w:rsidRPr="00C1264C">
        <w:fldChar w:fldCharType="begin"/>
      </w:r>
      <w:r w:rsidRPr="00C1264C">
        <w:instrText xml:space="preserve">  LISTNUM "main numbering" \l 7 \* MERGEFORMAT </w:instrText>
      </w:r>
      <w:r w:rsidRPr="00C1264C">
        <w:fldChar w:fldCharType="end"/>
      </w:r>
      <w:r w:rsidRPr="00C1264C">
        <w:tab/>
        <w:t>provide evidence to substantiate the claims made in the notice.</w:t>
      </w:r>
    </w:p>
    <w:p w14:paraId="4F66639A" w14:textId="77777777" w:rsidR="00482350" w:rsidRPr="00C1264C" w:rsidRDefault="00482350" w:rsidP="00482350">
      <w:pPr>
        <w:pStyle w:val="h2Part"/>
      </w:pPr>
      <w:r w:rsidRPr="00C1264C">
        <w:rPr>
          <w:rStyle w:val="CharPartNo"/>
        </w:rPr>
        <w:lastRenderedPageBreak/>
        <w:fldChar w:fldCharType="begin"/>
      </w:r>
      <w:r w:rsidRPr="00C1264C">
        <w:rPr>
          <w:rStyle w:val="CharPartNo"/>
        </w:rPr>
        <w:instrText xml:space="preserve">  LISTNUM "main numbering" \l 2 \* MERGEFORMAT </w:instrText>
      </w:r>
      <w:bookmarkStart w:id="67" w:name="_Toc117516999"/>
      <w:r w:rsidRPr="00C1264C">
        <w:rPr>
          <w:rStyle w:val="CharPartNo"/>
        </w:rPr>
        <w:fldChar w:fldCharType="end"/>
      </w:r>
      <w:r w:rsidRPr="00C1264C">
        <w:rPr>
          <w:rStyle w:val="CharPartNo"/>
        </w:rPr>
        <w:t>—Audit</w:t>
      </w:r>
      <w:bookmarkEnd w:id="67"/>
    </w:p>
    <w:p w14:paraId="2607FAD1" w14:textId="367DACA5" w:rsidR="00482350" w:rsidRPr="00C1264C" w:rsidRDefault="00482350" w:rsidP="00482350">
      <w:pPr>
        <w:pStyle w:val="h5Section"/>
        <w:ind w:left="0" w:firstLine="0"/>
        <w:rPr>
          <w:rStyle w:val="CharSectno"/>
        </w:rPr>
      </w:pPr>
      <w:r w:rsidRPr="00C1264C">
        <w:fldChar w:fldCharType="begin"/>
      </w:r>
      <w:r w:rsidRPr="00C1264C">
        <w:instrText xml:space="preserve">  LISTNUM "main numbering" \l 5 \* MERGEFORMAT </w:instrText>
      </w:r>
      <w:bookmarkStart w:id="68" w:name="_Toc117517000"/>
      <w:r w:rsidRPr="00C1264C">
        <w:fldChar w:fldCharType="end"/>
      </w:r>
      <w:r w:rsidRPr="00C1264C">
        <w:t xml:space="preserve">  Conduct of audits under section 33 or </w:t>
      </w:r>
      <w:r w:rsidR="00190ABB" w:rsidRPr="00C1264C">
        <w:t>section </w:t>
      </w:r>
      <w:r w:rsidRPr="00C1264C">
        <w:t>34 of the Act</w:t>
      </w:r>
      <w:bookmarkEnd w:id="68"/>
    </w:p>
    <w:p w14:paraId="1B2DDEAC" w14:textId="536E8B69" w:rsidR="00482350" w:rsidRPr="00C1264C" w:rsidRDefault="00482350" w:rsidP="00482350">
      <w:pPr>
        <w:pStyle w:val="tMain"/>
      </w:pPr>
      <w:r w:rsidRPr="00C1264C">
        <w:tab/>
      </w:r>
      <w:r w:rsidRPr="00C1264C">
        <w:fldChar w:fldCharType="begin"/>
      </w:r>
      <w:r w:rsidRPr="00C1264C">
        <w:instrText xml:space="preserve"> LISTNUM  "main numbering" \l 6 \s 1 </w:instrText>
      </w:r>
      <w:r w:rsidRPr="00C1264C">
        <w:fldChar w:fldCharType="end"/>
      </w:r>
      <w:r w:rsidRPr="00C1264C">
        <w:tab/>
        <w:t xml:space="preserve">For the purposes of subsection 35(1) of the Act, this section prescribes requirements to be met by registered greenhouse and energy auditors in carrying out audits under section 33 or </w:t>
      </w:r>
      <w:r w:rsidR="00190ABB" w:rsidRPr="00C1264C">
        <w:t>section </w:t>
      </w:r>
      <w:r w:rsidRPr="00C1264C">
        <w:t>34 of the Act.</w:t>
      </w:r>
    </w:p>
    <w:p w14:paraId="49C42F8C" w14:textId="16A793C3" w:rsidR="00482350" w:rsidRPr="00C1264C" w:rsidRDefault="00482350" w:rsidP="00482350">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 xml:space="preserve">The audit report must be prepared by a registered greenhouse and energy auditor in accordance with the requirements for reasonable assurance engagements or limited assurance engagements under the NGER (Audit) Determination, as specified in the relevant notice for paragraph 33(3)(a) or </w:t>
      </w:r>
      <w:r w:rsidR="00BA37E3" w:rsidRPr="00C1264C">
        <w:t xml:space="preserve">paragraph </w:t>
      </w:r>
      <w:r w:rsidRPr="00C1264C">
        <w:t>34(2)(c) of the Act.</w:t>
      </w:r>
    </w:p>
    <w:p w14:paraId="07C6D4C5" w14:textId="2E879036" w:rsidR="00592CEC" w:rsidRPr="00C1264C" w:rsidRDefault="00482350" w:rsidP="00482350">
      <w:pPr>
        <w:pStyle w:val="tMain"/>
        <w:sectPr w:rsidR="00592CEC" w:rsidRPr="00C1264C" w:rsidSect="00B13564">
          <w:pgSz w:w="11906" w:h="16838"/>
          <w:pgMar w:top="1440" w:right="1440" w:bottom="1440" w:left="1440" w:header="709" w:footer="709" w:gutter="0"/>
          <w:cols w:space="708"/>
          <w:titlePg/>
          <w:docGrid w:linePitch="360"/>
        </w:sectPr>
      </w:pPr>
      <w:r w:rsidRPr="00C1264C">
        <w:tab/>
      </w:r>
      <w:r w:rsidRPr="00C1264C">
        <w:fldChar w:fldCharType="begin"/>
      </w:r>
      <w:r w:rsidRPr="00C1264C">
        <w:instrText xml:space="preserve">  LISTNUM "main numbering" \l 6 \* MERGEFORMAT </w:instrText>
      </w:r>
      <w:r w:rsidRPr="00C1264C">
        <w:fldChar w:fldCharType="end"/>
      </w:r>
      <w:r w:rsidRPr="00C1264C">
        <w:tab/>
        <w:t>The registered greenhouse and energy auditor must take all reasonable steps to prevent unauthorised use or disclosure of information obtained when conducting an audit.</w:t>
      </w:r>
    </w:p>
    <w:p w14:paraId="4C2A4C48" w14:textId="77777777" w:rsidR="00320B57" w:rsidRPr="00C1264C" w:rsidRDefault="00320B57" w:rsidP="00320B57">
      <w:pPr>
        <w:pStyle w:val="h2Part"/>
      </w:pPr>
      <w:r w:rsidRPr="00C1264C">
        <w:rPr>
          <w:rStyle w:val="CharPartNo"/>
        </w:rPr>
        <w:lastRenderedPageBreak/>
        <w:fldChar w:fldCharType="begin"/>
      </w:r>
      <w:r w:rsidRPr="00C1264C">
        <w:rPr>
          <w:rStyle w:val="CharPartNo"/>
        </w:rPr>
        <w:instrText xml:space="preserve">  LISTNUM "main numbering" \l 2 \* MERGEFORMAT </w:instrText>
      </w:r>
      <w:bookmarkStart w:id="69" w:name="_Toc117517001"/>
      <w:r w:rsidRPr="00C1264C">
        <w:rPr>
          <w:rStyle w:val="CharPartNo"/>
        </w:rPr>
        <w:fldChar w:fldCharType="end"/>
      </w:r>
      <w:r w:rsidRPr="00C1264C">
        <w:rPr>
          <w:rStyle w:val="CharPartNo"/>
        </w:rPr>
        <w:t>—MSO compliance plan</w:t>
      </w:r>
      <w:bookmarkEnd w:id="69"/>
    </w:p>
    <w:p w14:paraId="0DBD3595" w14:textId="77777777" w:rsidR="00320B57" w:rsidRPr="00C1264C" w:rsidRDefault="00320B57" w:rsidP="00320B57">
      <w:pPr>
        <w:pStyle w:val="h5Section"/>
        <w:ind w:left="0" w:firstLine="0"/>
      </w:pPr>
      <w:r w:rsidRPr="00C1264C">
        <w:fldChar w:fldCharType="begin"/>
      </w:r>
      <w:r w:rsidRPr="00C1264C">
        <w:instrText xml:space="preserve">  LISTNUM "main numbering" \l 5 \* MERGEFORMAT </w:instrText>
      </w:r>
      <w:bookmarkStart w:id="70" w:name="_Toc117517002"/>
      <w:r w:rsidRPr="00C1264C">
        <w:fldChar w:fldCharType="end"/>
      </w:r>
      <w:r w:rsidRPr="00C1264C">
        <w:t xml:space="preserve">  Operation of this Part</w:t>
      </w:r>
      <w:bookmarkEnd w:id="70"/>
    </w:p>
    <w:p w14:paraId="2EBD5D49" w14:textId="77777777" w:rsidR="00E85F69" w:rsidRPr="00C1264C" w:rsidRDefault="00320B57" w:rsidP="00E85F69">
      <w:pPr>
        <w:pStyle w:val="tMain"/>
      </w:pPr>
      <w:r w:rsidRPr="00C1264C">
        <w:tab/>
      </w:r>
      <w:r w:rsidRPr="00C1264C">
        <w:tab/>
        <w:t>For paragraph 36(1)(a) of the Act, this Part prescribes matters that must be deal</w:t>
      </w:r>
      <w:r w:rsidR="004F04BC" w:rsidRPr="00C1264C">
        <w:t>t</w:t>
      </w:r>
      <w:r w:rsidRPr="00C1264C">
        <w:t xml:space="preserve"> with by an MSO compliance plan prepared, and kept up to date, by an entity subject to the MSO. </w:t>
      </w:r>
    </w:p>
    <w:p w14:paraId="31B0904A" w14:textId="77777777" w:rsidR="00E85F69" w:rsidRPr="00C1264C" w:rsidRDefault="00E85F69" w:rsidP="00E85F69">
      <w:pPr>
        <w:pStyle w:val="nMain"/>
      </w:pPr>
      <w:r w:rsidRPr="00C1264C">
        <w:t>Note:</w:t>
      </w:r>
      <w:r w:rsidRPr="00C1264C">
        <w:tab/>
        <w:t>Subsection 36(2) of the Act requires these plans to also deal with any matters requested by the Secretary under that subsection.</w:t>
      </w:r>
    </w:p>
    <w:p w14:paraId="5D9C2765" w14:textId="77777777" w:rsidR="00320B57" w:rsidRPr="00C1264C" w:rsidRDefault="00320B57" w:rsidP="00320B57">
      <w:pPr>
        <w:pStyle w:val="h5Section"/>
      </w:pPr>
      <w:r w:rsidRPr="00C1264C">
        <w:fldChar w:fldCharType="begin"/>
      </w:r>
      <w:r w:rsidRPr="00C1264C">
        <w:instrText xml:space="preserve">  LISTNUM "main numbering" \l 5 \* MERGEFORMAT </w:instrText>
      </w:r>
      <w:bookmarkStart w:id="71" w:name="_Toc117517003"/>
      <w:r w:rsidRPr="00C1264C">
        <w:fldChar w:fldCharType="end"/>
      </w:r>
      <w:r w:rsidRPr="00C1264C">
        <w:t xml:space="preserve">  What an MSO compliance plan must contain—outline</w:t>
      </w:r>
      <w:bookmarkEnd w:id="71"/>
      <w:r w:rsidRPr="00C1264C">
        <w:t xml:space="preserve"> </w:t>
      </w:r>
    </w:p>
    <w:p w14:paraId="4AA03697" w14:textId="77777777" w:rsidR="00320B57" w:rsidRPr="00C1264C" w:rsidRDefault="00320B57" w:rsidP="00320B57">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An MSO compliance plan must include the following:</w:t>
      </w:r>
    </w:p>
    <w:p w14:paraId="7F5B2414" w14:textId="77777777" w:rsidR="00320B57" w:rsidRPr="00C1264C" w:rsidRDefault="00320B57" w:rsidP="00320B57">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an outline of the organisational structure of the entity; </w:t>
      </w:r>
    </w:p>
    <w:p w14:paraId="668422AD" w14:textId="77777777" w:rsidR="009771C4" w:rsidRPr="00C1264C" w:rsidRDefault="00320B57" w:rsidP="009771C4">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a list of key people in the entity, their role and contact details</w:t>
      </w:r>
      <w:r w:rsidR="009771C4" w:rsidRPr="00C1264C">
        <w:t xml:space="preserve">; </w:t>
      </w:r>
    </w:p>
    <w:p w14:paraId="76333A29" w14:textId="77777777" w:rsidR="009771C4" w:rsidRPr="00C1264C" w:rsidRDefault="009771C4" w:rsidP="00F71AF6">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a check list of where the plan implements the requirements in this instrument. </w:t>
      </w:r>
    </w:p>
    <w:p w14:paraId="264B25A4" w14:textId="77777777" w:rsidR="00320B57" w:rsidRPr="00C1264C" w:rsidRDefault="00320B57" w:rsidP="00320B57">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An MSO compliance plan must set out the processes for review of the plan and keeping the plan up to date.</w:t>
      </w:r>
      <w:r w:rsidRPr="00C1264C" w:rsidDel="00472C5A">
        <w:t xml:space="preserve"> </w:t>
      </w:r>
    </w:p>
    <w:p w14:paraId="2BEFCA0A" w14:textId="21B42D0A" w:rsidR="00320B57" w:rsidRPr="00C1264C" w:rsidRDefault="00320B57" w:rsidP="00320B57">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 xml:space="preserve">An MSO compliance plan must contain a statement signed </w:t>
      </w:r>
      <w:r w:rsidR="00BA37E3" w:rsidRPr="00C1264C">
        <w:t xml:space="preserve">on behalf of </w:t>
      </w:r>
      <w:r w:rsidRPr="00C1264C">
        <w:t xml:space="preserve">the entity subject to the </w:t>
      </w:r>
      <w:r w:rsidR="001E42F6" w:rsidRPr="00C1264C">
        <w:t>MSO</w:t>
      </w:r>
      <w:r w:rsidRPr="00C1264C">
        <w:t xml:space="preserve"> acknowledging its organisational commitment to the plan.</w:t>
      </w:r>
    </w:p>
    <w:p w14:paraId="2926A3B9" w14:textId="77777777" w:rsidR="00320B57" w:rsidRPr="00C1264C" w:rsidRDefault="00320B57" w:rsidP="00320B57">
      <w:pPr>
        <w:pStyle w:val="h5Section"/>
      </w:pPr>
      <w:r w:rsidRPr="00C1264C">
        <w:fldChar w:fldCharType="begin"/>
      </w:r>
      <w:r w:rsidRPr="00C1264C">
        <w:instrText xml:space="preserve">  LISTNUM "main numbering" \l 5 \* MERGEFORMAT </w:instrText>
      </w:r>
      <w:bookmarkStart w:id="72" w:name="_Toc117517004"/>
      <w:r w:rsidRPr="00C1264C">
        <w:fldChar w:fldCharType="end"/>
      </w:r>
      <w:r w:rsidRPr="00C1264C">
        <w:t xml:space="preserve">  What an MSO compliance plan must contain—overview of current practices</w:t>
      </w:r>
      <w:bookmarkEnd w:id="72"/>
    </w:p>
    <w:p w14:paraId="4A63ABA0" w14:textId="77777777" w:rsidR="00320B57" w:rsidRPr="00C1264C" w:rsidRDefault="00320B57" w:rsidP="00320B57">
      <w:pPr>
        <w:pStyle w:val="tMain"/>
      </w:pPr>
      <w:r w:rsidRPr="00C1264C">
        <w:tab/>
      </w:r>
      <w:r w:rsidRPr="00C1264C">
        <w:tab/>
        <w:t>An MSO compliance plan must set out the entity’s current procedures for managing each MSO activity they undertake, including:</w:t>
      </w:r>
    </w:p>
    <w:p w14:paraId="6CBBF489" w14:textId="77777777" w:rsidR="00320B57" w:rsidRPr="00C1264C" w:rsidRDefault="00320B57" w:rsidP="00320B57">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a description of the frequency with which MSO products are imported; and</w:t>
      </w:r>
    </w:p>
    <w:p w14:paraId="01A11CB1" w14:textId="77777777" w:rsidR="00320B57" w:rsidRPr="00C1264C" w:rsidRDefault="00320B57" w:rsidP="00320B57">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the volume of the entity’s capacity to store </w:t>
      </w:r>
      <w:r w:rsidR="004F04BC" w:rsidRPr="00C1264C">
        <w:t>each MSO product</w:t>
      </w:r>
      <w:r w:rsidRPr="00C1264C">
        <w:t>; and</w:t>
      </w:r>
    </w:p>
    <w:p w14:paraId="1CD65B97" w14:textId="77777777" w:rsidR="00320B57" w:rsidRPr="00C1264C" w:rsidRDefault="00320B57" w:rsidP="00320B57">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the location of facilities at which the entity stores MSO products; and</w:t>
      </w:r>
    </w:p>
    <w:p w14:paraId="6684668D" w14:textId="77777777" w:rsidR="00320B57" w:rsidRPr="00C1264C" w:rsidRDefault="00320B57" w:rsidP="00320B57">
      <w:pPr>
        <w:pStyle w:val="tPara"/>
      </w:pPr>
      <w:r w:rsidRPr="00C1264C">
        <w:tab/>
      </w:r>
      <w:r w:rsidRPr="00C1264C">
        <w:fldChar w:fldCharType="begin"/>
      </w:r>
      <w:r w:rsidRPr="00C1264C">
        <w:instrText xml:space="preserve">  LISTNUM "main numbering" \l 7 \* MERGEFORMAT </w:instrText>
      </w:r>
      <w:r w:rsidRPr="00C1264C">
        <w:fldChar w:fldCharType="end"/>
      </w:r>
      <w:r w:rsidR="00176C0F" w:rsidRPr="00C1264C">
        <w:tab/>
        <w:t>details of usual fluctuations in the storage</w:t>
      </w:r>
      <w:r w:rsidRPr="00C1264C">
        <w:t xml:space="preserve"> of MSO products; and</w:t>
      </w:r>
    </w:p>
    <w:p w14:paraId="005F2B7F" w14:textId="77777777" w:rsidR="00E85F69" w:rsidRPr="00C1264C" w:rsidRDefault="00320B57" w:rsidP="00E85F69">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a description of the entity’s obligations under </w:t>
      </w:r>
      <w:r w:rsidR="00176C0F" w:rsidRPr="00C1264C">
        <w:t xml:space="preserve">any significant </w:t>
      </w:r>
      <w:r w:rsidRPr="00C1264C">
        <w:t>ongoing contracts</w:t>
      </w:r>
      <w:r w:rsidR="00E85F69" w:rsidRPr="00C1264C">
        <w:t xml:space="preserve"> for</w:t>
      </w:r>
      <w:r w:rsidR="00B2609C" w:rsidRPr="00C1264C">
        <w:t xml:space="preserve"> the supply of MSO products.</w:t>
      </w:r>
    </w:p>
    <w:p w14:paraId="5E145118" w14:textId="77777777" w:rsidR="00320B57" w:rsidRPr="00C1264C" w:rsidRDefault="00320B57" w:rsidP="00320B57">
      <w:pPr>
        <w:pStyle w:val="h5Section"/>
      </w:pPr>
      <w:r w:rsidRPr="00C1264C">
        <w:fldChar w:fldCharType="begin"/>
      </w:r>
      <w:r w:rsidRPr="00C1264C">
        <w:instrText xml:space="preserve">  LISTNUM "main numbering" \l 5 \* MERGEFORMAT </w:instrText>
      </w:r>
      <w:bookmarkStart w:id="73" w:name="_Toc117517005"/>
      <w:r w:rsidRPr="00C1264C">
        <w:fldChar w:fldCharType="end"/>
      </w:r>
      <w:r w:rsidRPr="00C1264C">
        <w:t xml:space="preserve">  What an MSO compliance plan must contain—compliance pathway</w:t>
      </w:r>
      <w:bookmarkEnd w:id="73"/>
    </w:p>
    <w:p w14:paraId="4C77FB22" w14:textId="77777777" w:rsidR="00320B57" w:rsidRPr="00C1264C" w:rsidRDefault="00320B57" w:rsidP="00320B57">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r>
      <w:r w:rsidRPr="00C1264C" w:rsidDel="006165B1">
        <w:t xml:space="preserve"> </w:t>
      </w:r>
      <w:r w:rsidR="00EB6AA3" w:rsidRPr="00C1264C">
        <w:t xml:space="preserve">An </w:t>
      </w:r>
      <w:r w:rsidRPr="00C1264C">
        <w:t xml:space="preserve">MSO compliance plan must list </w:t>
      </w:r>
      <w:r w:rsidR="00F75A9C" w:rsidRPr="00C1264C">
        <w:t>the</w:t>
      </w:r>
      <w:r w:rsidR="00EB6AA3" w:rsidRPr="00C1264C">
        <w:t xml:space="preserve"> </w:t>
      </w:r>
      <w:r w:rsidRPr="00C1264C">
        <w:t>steps and strategies the entity:</w:t>
      </w:r>
    </w:p>
    <w:p w14:paraId="31EA216B" w14:textId="77777777" w:rsidR="00320B57" w:rsidRPr="00C1264C" w:rsidRDefault="00320B57" w:rsidP="00320B57">
      <w:pPr>
        <w:pStyle w:val="tPara"/>
      </w:pPr>
      <w:r w:rsidRPr="00C1264C">
        <w:tab/>
      </w:r>
      <w:r w:rsidRPr="00C1264C">
        <w:fldChar w:fldCharType="begin"/>
      </w:r>
      <w:r w:rsidRPr="00C1264C">
        <w:instrText xml:space="preserve">  LISTNUM "main numbering" \l 7 \* MERGEFORMAT </w:instrText>
      </w:r>
      <w:r w:rsidRPr="00C1264C">
        <w:fldChar w:fldCharType="end"/>
      </w:r>
      <w:r w:rsidR="002202B2" w:rsidRPr="00C1264C">
        <w:tab/>
        <w:t>is</w:t>
      </w:r>
      <w:r w:rsidRPr="00C1264C">
        <w:t xml:space="preserve"> taking to comply with its </w:t>
      </w:r>
      <w:r w:rsidR="00350D85" w:rsidRPr="00C1264C">
        <w:t>MSO</w:t>
      </w:r>
      <w:r w:rsidRPr="00C1264C">
        <w:t>; and</w:t>
      </w:r>
    </w:p>
    <w:p w14:paraId="7E10C615" w14:textId="77777777" w:rsidR="00E85F69" w:rsidRPr="00C1264C" w:rsidRDefault="00320B57" w:rsidP="00E85F69">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intends to take if it becomes aware of future or current non-compliance, inclu</w:t>
      </w:r>
      <w:r w:rsidR="00E85F69" w:rsidRPr="00C1264C">
        <w:t>ding relevant contingency plans; and</w:t>
      </w:r>
    </w:p>
    <w:p w14:paraId="648C0704" w14:textId="77777777" w:rsidR="00E85F69" w:rsidRPr="00C1264C" w:rsidRDefault="00E85F69" w:rsidP="002202B2">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r>
      <w:r w:rsidR="002202B2" w:rsidRPr="00C1264C">
        <w:t>if the entity is not compliant—is taking</w:t>
      </w:r>
      <w:r w:rsidRPr="00C1264C">
        <w:t xml:space="preserve"> to bring the entity back into compliance and avoid future non-compliance.</w:t>
      </w:r>
    </w:p>
    <w:p w14:paraId="6AF61A2A" w14:textId="77777777" w:rsidR="00320B57" w:rsidRPr="00C1264C" w:rsidRDefault="00320B57" w:rsidP="00320B57">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r>
      <w:r w:rsidR="00F75A9C" w:rsidRPr="00C1264C">
        <w:t>The s</w:t>
      </w:r>
      <w:r w:rsidRPr="00C1264C">
        <w:t xml:space="preserve">teps and strategies the entity is taking to comply with its </w:t>
      </w:r>
      <w:r w:rsidR="00350D85" w:rsidRPr="00C1264C">
        <w:t>MSO</w:t>
      </w:r>
      <w:r w:rsidRPr="00C1264C">
        <w:t xml:space="preserve"> may include any of the following:</w:t>
      </w:r>
    </w:p>
    <w:p w14:paraId="7E56A4CE" w14:textId="77777777" w:rsidR="00320B57" w:rsidRPr="00C1264C" w:rsidRDefault="00320B57" w:rsidP="00320B57">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building more storage;</w:t>
      </w:r>
    </w:p>
    <w:p w14:paraId="5CFD743C" w14:textId="77777777" w:rsidR="00320B57" w:rsidRPr="00C1264C" w:rsidRDefault="00320B57" w:rsidP="00320B57">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increasing import frequency;</w:t>
      </w:r>
    </w:p>
    <w:p w14:paraId="02611650" w14:textId="77777777" w:rsidR="00320B57" w:rsidRPr="00C1264C" w:rsidRDefault="00320B57" w:rsidP="00320B57">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arrangements to hold stocks under sections 23 or 24 of the Act;</w:t>
      </w:r>
    </w:p>
    <w:p w14:paraId="61A1BFD8" w14:textId="77777777" w:rsidR="00320B57" w:rsidRPr="00C1264C" w:rsidRDefault="00320B57" w:rsidP="00320B57">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adapting current business practices.</w:t>
      </w:r>
    </w:p>
    <w:p w14:paraId="1549B7F0" w14:textId="77777777" w:rsidR="00B2609C" w:rsidRPr="00C1264C" w:rsidRDefault="00B2609C" w:rsidP="00B2609C">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If the entity intends to allow its stock to be held by another under</w:t>
      </w:r>
      <w:r w:rsidR="00EB6AA3" w:rsidRPr="00C1264C">
        <w:t xml:space="preserve"> </w:t>
      </w:r>
      <w:r w:rsidRPr="00C1264C">
        <w:t xml:space="preserve">section 23 or 24 of the Act, </w:t>
      </w:r>
      <w:r w:rsidR="00EB6AA3" w:rsidRPr="00C1264C">
        <w:t xml:space="preserve">the </w:t>
      </w:r>
      <w:r w:rsidRPr="00C1264C">
        <w:t>MSO compliance plan must set out the entity’s approach and processes for that to occur.</w:t>
      </w:r>
    </w:p>
    <w:p w14:paraId="48221CF9" w14:textId="77777777" w:rsidR="00320B57" w:rsidRPr="00C1264C" w:rsidRDefault="00320B57" w:rsidP="00320B57">
      <w:pPr>
        <w:pStyle w:val="h5Section"/>
      </w:pPr>
      <w:r w:rsidRPr="00C1264C">
        <w:lastRenderedPageBreak/>
        <w:fldChar w:fldCharType="begin"/>
      </w:r>
      <w:r w:rsidRPr="00C1264C">
        <w:instrText xml:space="preserve">  LISTNUM "main numbering" \l 5 \* MERGEFORMAT </w:instrText>
      </w:r>
      <w:bookmarkStart w:id="74" w:name="_Toc117517006"/>
      <w:r w:rsidRPr="00C1264C">
        <w:fldChar w:fldCharType="end"/>
      </w:r>
      <w:r w:rsidRPr="00C1264C">
        <w:t xml:space="preserve">  What an MSO compliance plan </w:t>
      </w:r>
      <w:r w:rsidR="0036617E" w:rsidRPr="00C1264C">
        <w:t>must contain—data collection,</w:t>
      </w:r>
      <w:r w:rsidRPr="00C1264C">
        <w:t xml:space="preserve"> reporting</w:t>
      </w:r>
      <w:r w:rsidR="0036617E" w:rsidRPr="00C1264C">
        <w:t xml:space="preserve"> and record keeping</w:t>
      </w:r>
      <w:bookmarkEnd w:id="74"/>
    </w:p>
    <w:p w14:paraId="5FBE4B6E" w14:textId="77777777" w:rsidR="00B2609C" w:rsidRPr="00C1264C" w:rsidRDefault="00320B57" w:rsidP="00B2609C">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An MSO compliance plan must set out the entity’s current methodology and practice for counting stock, including</w:t>
      </w:r>
      <w:r w:rsidR="00B2609C" w:rsidRPr="00C1264C">
        <w:t>:</w:t>
      </w:r>
      <w:r w:rsidRPr="00C1264C">
        <w:t xml:space="preserve"> </w:t>
      </w:r>
    </w:p>
    <w:p w14:paraId="2260A609" w14:textId="77777777" w:rsidR="00B2609C" w:rsidRPr="00C1264C" w:rsidRDefault="00B2609C" w:rsidP="00B2609C">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a comment on the accuracy of data; and</w:t>
      </w:r>
    </w:p>
    <w:p w14:paraId="70CE7066" w14:textId="4CEA8DCC" w:rsidR="00B2609C" w:rsidRPr="00C1264C" w:rsidRDefault="00B2609C" w:rsidP="00B2609C">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if stock is held in reliance upon section</w:t>
      </w:r>
      <w:r w:rsidR="0060753B" w:rsidRPr="00C1264C">
        <w:t xml:space="preserve">s </w:t>
      </w:r>
      <w:r w:rsidR="00950478" w:rsidRPr="00C1264C">
        <w:fldChar w:fldCharType="begin"/>
      </w:r>
      <w:r w:rsidR="00950478" w:rsidRPr="00C1264C">
        <w:instrText xml:space="preserve"> REF _Ref117600761 \n \h </w:instrText>
      </w:r>
      <w:r w:rsidR="00C1264C">
        <w:instrText xml:space="preserve"> \* MERGEFORMAT </w:instrText>
      </w:r>
      <w:r w:rsidR="00950478" w:rsidRPr="00C1264C">
        <w:fldChar w:fldCharType="separate"/>
      </w:r>
      <w:r w:rsidR="001E7A96" w:rsidRPr="00C1264C">
        <w:t>7</w:t>
      </w:r>
      <w:r w:rsidR="00950478" w:rsidRPr="00C1264C">
        <w:fldChar w:fldCharType="end"/>
      </w:r>
      <w:r w:rsidR="0060753B" w:rsidRPr="00C1264C">
        <w:t xml:space="preserve"> or </w:t>
      </w:r>
      <w:r w:rsidRPr="00C1264C">
        <w:fldChar w:fldCharType="begin"/>
      </w:r>
      <w:r w:rsidRPr="00C1264C">
        <w:instrText xml:space="preserve"> REF _Ref88232931 \n \h </w:instrText>
      </w:r>
      <w:r w:rsidR="00C1264C">
        <w:instrText xml:space="preserve"> \* MERGEFORMAT </w:instrText>
      </w:r>
      <w:r w:rsidRPr="00C1264C">
        <w:fldChar w:fldCharType="separate"/>
      </w:r>
      <w:r w:rsidR="001E7A96" w:rsidRPr="00C1264C">
        <w:t>9</w:t>
      </w:r>
      <w:r w:rsidRPr="00C1264C">
        <w:fldChar w:fldCharType="end"/>
      </w:r>
      <w:r w:rsidRPr="00C1264C">
        <w:t>—the arrangements to ensure the accuracy of these amounts; and</w:t>
      </w:r>
    </w:p>
    <w:p w14:paraId="3ABADDAF" w14:textId="5D4EA1F3" w:rsidR="00B2609C" w:rsidRPr="00C1264C" w:rsidRDefault="00B2609C" w:rsidP="00B2609C">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if a methodology is required under subsection </w:t>
      </w:r>
      <w:r w:rsidR="008050DD" w:rsidRPr="00C1264C">
        <w:fldChar w:fldCharType="begin"/>
      </w:r>
      <w:r w:rsidR="008050DD" w:rsidRPr="00C1264C">
        <w:instrText xml:space="preserve"> REF _Ref88233088 \n \h </w:instrText>
      </w:r>
      <w:r w:rsidR="00C1264C">
        <w:instrText xml:space="preserve"> \* MERGEFORMAT </w:instrText>
      </w:r>
      <w:r w:rsidR="008050DD" w:rsidRPr="00C1264C">
        <w:fldChar w:fldCharType="separate"/>
      </w:r>
      <w:r w:rsidR="001E7A96" w:rsidRPr="00C1264C">
        <w:t>14</w:t>
      </w:r>
      <w:r w:rsidR="008050DD" w:rsidRPr="00C1264C">
        <w:fldChar w:fldCharType="end"/>
      </w:r>
      <w:r w:rsidRPr="00C1264C">
        <w:t>(2)—that methodology.</w:t>
      </w:r>
    </w:p>
    <w:p w14:paraId="2DD75A51" w14:textId="77777777" w:rsidR="00320B57" w:rsidRPr="00C1264C" w:rsidRDefault="00320B57" w:rsidP="00320B57">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 xml:space="preserve">An MSO compliance plan must set out the entity’s reporting </w:t>
      </w:r>
      <w:r w:rsidR="0036617E" w:rsidRPr="00C1264C">
        <w:t xml:space="preserve">and recordkeeping </w:t>
      </w:r>
      <w:r w:rsidRPr="00C1264C">
        <w:t>framework, including:</w:t>
      </w:r>
    </w:p>
    <w:p w14:paraId="39B0A3CD" w14:textId="77777777" w:rsidR="00320B57" w:rsidRPr="00C1264C" w:rsidRDefault="00320B57" w:rsidP="00320B57">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a description of the quality assurance process; and</w:t>
      </w:r>
    </w:p>
    <w:p w14:paraId="4888C929" w14:textId="77777777" w:rsidR="00320B57" w:rsidRPr="00C1264C" w:rsidRDefault="00320B57" w:rsidP="00320B57">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a description of reporting approvals required; and</w:t>
      </w:r>
    </w:p>
    <w:p w14:paraId="429A13FE" w14:textId="77777777" w:rsidR="00320B57" w:rsidRPr="00C1264C" w:rsidRDefault="00320B57" w:rsidP="00320B57">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how reporting of arrangements under sections 23 and 24 of the Act are managed; and</w:t>
      </w:r>
    </w:p>
    <w:p w14:paraId="2BFDD8E8" w14:textId="77777777" w:rsidR="0036617E" w:rsidRPr="00C1264C" w:rsidRDefault="00320B57" w:rsidP="0036617E">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the process for providing advice re</w:t>
      </w:r>
      <w:r w:rsidR="0036617E" w:rsidRPr="00C1264C">
        <w:t>quired by section 16 of the Act; and</w:t>
      </w:r>
    </w:p>
    <w:p w14:paraId="447709C2" w14:textId="77777777" w:rsidR="0036617E" w:rsidRPr="00C1264C" w:rsidRDefault="0036617E" w:rsidP="0036617E">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the arrangements for keeping records in an auditable form and how those records can be accessed.</w:t>
      </w:r>
    </w:p>
    <w:p w14:paraId="25BE2A46" w14:textId="77777777" w:rsidR="00320B57" w:rsidRPr="00C1264C" w:rsidRDefault="00320B57" w:rsidP="00320B57">
      <w:pPr>
        <w:pStyle w:val="h5Section"/>
      </w:pPr>
      <w:r w:rsidRPr="00C1264C">
        <w:fldChar w:fldCharType="begin"/>
      </w:r>
      <w:r w:rsidRPr="00C1264C">
        <w:instrText xml:space="preserve">  LISTNUM "main numbering" \l 5 \* MERGEFORMAT </w:instrText>
      </w:r>
      <w:bookmarkStart w:id="75" w:name="_Toc117517007"/>
      <w:r w:rsidRPr="00C1264C">
        <w:fldChar w:fldCharType="end"/>
      </w:r>
      <w:r w:rsidRPr="00C1264C">
        <w:t xml:space="preserve">  What an MSO compliance plan must contain—schedule of future outages</w:t>
      </w:r>
      <w:bookmarkEnd w:id="75"/>
    </w:p>
    <w:p w14:paraId="0B688E42" w14:textId="77777777" w:rsidR="00E85F69" w:rsidRPr="00C1264C" w:rsidRDefault="00320B57" w:rsidP="005367F9">
      <w:pPr>
        <w:pStyle w:val="tMain"/>
      </w:pPr>
      <w:r w:rsidRPr="00C1264C">
        <w:tab/>
      </w:r>
      <w:r w:rsidRPr="00C1264C">
        <w:tab/>
        <w:t>An MSO compliance plan must set out any known future scheduled maintenance for any refineries, storage tanks or pipelines</w:t>
      </w:r>
      <w:r w:rsidR="00D24B47" w:rsidRPr="00C1264C">
        <w:t xml:space="preserve"> where it may lead to an application under section 17 of the Act</w:t>
      </w:r>
      <w:r w:rsidRPr="00C1264C">
        <w:t>.</w:t>
      </w:r>
    </w:p>
    <w:p w14:paraId="452630C0" w14:textId="77777777" w:rsidR="00E85F69" w:rsidRPr="00C1264C" w:rsidRDefault="00E85F69" w:rsidP="00E85F69">
      <w:pPr>
        <w:pStyle w:val="h5Section"/>
      </w:pPr>
      <w:r w:rsidRPr="00C1264C">
        <w:fldChar w:fldCharType="begin"/>
      </w:r>
      <w:r w:rsidRPr="00C1264C">
        <w:instrText xml:space="preserve">  LISTNUM "main numbering" \l 5 \* MERGEFORMAT </w:instrText>
      </w:r>
      <w:bookmarkStart w:id="76" w:name="_Toc117517008"/>
      <w:r w:rsidRPr="00C1264C">
        <w:fldChar w:fldCharType="end"/>
      </w:r>
      <w:r w:rsidRPr="00C1264C">
        <w:t xml:space="preserve">  Provision of MSO compliance plan to Secretary</w:t>
      </w:r>
      <w:bookmarkEnd w:id="76"/>
    </w:p>
    <w:p w14:paraId="19C9EAED" w14:textId="34A9942A" w:rsidR="00592CEC" w:rsidRPr="00C1264C" w:rsidRDefault="00E85F69" w:rsidP="00E85F69">
      <w:pPr>
        <w:pStyle w:val="tMain"/>
        <w:sectPr w:rsidR="00592CEC" w:rsidRPr="00C1264C" w:rsidSect="00B13564">
          <w:pgSz w:w="11906" w:h="16838"/>
          <w:pgMar w:top="1440" w:right="1440" w:bottom="1440" w:left="1440" w:header="709" w:footer="709" w:gutter="0"/>
          <w:cols w:space="708"/>
          <w:titlePg/>
          <w:docGrid w:linePitch="360"/>
        </w:sectPr>
      </w:pPr>
      <w:r w:rsidRPr="00C1264C">
        <w:tab/>
      </w:r>
      <w:r w:rsidRPr="00C1264C">
        <w:tab/>
        <w:t xml:space="preserve">For subsection 36(3) of the Act, an entity required to </w:t>
      </w:r>
      <w:r w:rsidR="0036617E" w:rsidRPr="00C1264C">
        <w:t>have a</w:t>
      </w:r>
      <w:r w:rsidR="00263960" w:rsidRPr="00C1264C">
        <w:t xml:space="preserve">n MSO compliance plan on </w:t>
      </w:r>
      <w:r w:rsidR="00CB0B0D" w:rsidRPr="00C1264C">
        <w:t>4 </w:t>
      </w:r>
      <w:r w:rsidR="003D255C" w:rsidRPr="00C1264C">
        <w:t>July 2023</w:t>
      </w:r>
      <w:r w:rsidRPr="00C1264C">
        <w:t xml:space="preserve"> must make available to the Secretary a copy of that plan by </w:t>
      </w:r>
      <w:r w:rsidR="00CB0B0D" w:rsidRPr="00C1264C">
        <w:t>3</w:t>
      </w:r>
      <w:r w:rsidR="00B27422" w:rsidRPr="00C1264C">
        <w:t>1</w:t>
      </w:r>
      <w:r w:rsidR="00CB0B0D" w:rsidRPr="00C1264C">
        <w:t xml:space="preserve"> July </w:t>
      </w:r>
      <w:r w:rsidRPr="00C1264C">
        <w:t>202</w:t>
      </w:r>
      <w:r w:rsidR="003D255C" w:rsidRPr="00C1264C">
        <w:t>3</w:t>
      </w:r>
      <w:r w:rsidRPr="00C1264C">
        <w:t>.</w:t>
      </w:r>
    </w:p>
    <w:p w14:paraId="72031423" w14:textId="77777777" w:rsidR="00EE0F76" w:rsidRPr="00C1264C" w:rsidRDefault="00EE0F76" w:rsidP="00EE0F76">
      <w:pPr>
        <w:pStyle w:val="h2Part"/>
      </w:pPr>
      <w:r w:rsidRPr="00C1264C">
        <w:rPr>
          <w:rStyle w:val="CharPartNo"/>
        </w:rPr>
        <w:lastRenderedPageBreak/>
        <w:fldChar w:fldCharType="begin"/>
      </w:r>
      <w:r w:rsidRPr="00C1264C">
        <w:rPr>
          <w:rStyle w:val="CharPartNo"/>
        </w:rPr>
        <w:instrText xml:space="preserve">  LISTNUM "main numbering" \l 2 \* MERGEFORMAT </w:instrText>
      </w:r>
      <w:bookmarkStart w:id="77" w:name="_Toc117517009"/>
      <w:r w:rsidRPr="00C1264C">
        <w:rPr>
          <w:rStyle w:val="CharPartNo"/>
        </w:rPr>
        <w:fldChar w:fldCharType="end"/>
      </w:r>
      <w:r w:rsidRPr="00C1264C">
        <w:rPr>
          <w:rStyle w:val="CharPartNo"/>
        </w:rPr>
        <w:t>—Assumption or division of MSO</w:t>
      </w:r>
      <w:bookmarkEnd w:id="77"/>
    </w:p>
    <w:p w14:paraId="7B2887C9" w14:textId="77777777" w:rsidR="00EE0F76" w:rsidRPr="00C1264C" w:rsidRDefault="00EE0F76" w:rsidP="00EE0F76">
      <w:pPr>
        <w:pStyle w:val="h5Section"/>
        <w:ind w:left="0" w:firstLine="0"/>
      </w:pPr>
      <w:r w:rsidRPr="00C1264C">
        <w:fldChar w:fldCharType="begin"/>
      </w:r>
      <w:r w:rsidRPr="00C1264C">
        <w:instrText xml:space="preserve">  LISTNUM "main numbering" \l 5 \* MERGEFORMAT </w:instrText>
      </w:r>
      <w:bookmarkStart w:id="78" w:name="_Toc117517010"/>
      <w:r w:rsidRPr="00C1264C">
        <w:fldChar w:fldCharType="end"/>
      </w:r>
      <w:r w:rsidRPr="00C1264C">
        <w:t xml:space="preserve">  Assumption or division</w:t>
      </w:r>
      <w:bookmarkEnd w:id="78"/>
    </w:p>
    <w:p w14:paraId="5CEE1AA3" w14:textId="68A5ED4A" w:rsidR="00EE0F76" w:rsidRPr="00C1264C" w:rsidRDefault="00EE0F76" w:rsidP="00EE0F76">
      <w:pPr>
        <w:pStyle w:val="tMain"/>
      </w:pPr>
      <w:r w:rsidRPr="00C1264C">
        <w:tab/>
      </w:r>
      <w:r w:rsidRPr="00C1264C">
        <w:fldChar w:fldCharType="begin"/>
      </w:r>
      <w:r w:rsidRPr="00C1264C">
        <w:instrText xml:space="preserve">  LISTNUM "main numbering" \l 6 \* MERGEFORMAT </w:instrText>
      </w:r>
      <w:r w:rsidRPr="00C1264C">
        <w:fldChar w:fldCharType="end"/>
      </w:r>
      <w:r w:rsidR="00BF362A" w:rsidRPr="00C1264C">
        <w:tab/>
        <w:t xml:space="preserve">For </w:t>
      </w:r>
      <w:r w:rsidR="00190ABB" w:rsidRPr="00C1264C">
        <w:t xml:space="preserve">subsection </w:t>
      </w:r>
      <w:r w:rsidR="00BF362A" w:rsidRPr="00C1264C">
        <w:t>37</w:t>
      </w:r>
      <w:r w:rsidRPr="00C1264C">
        <w:t>(7) of the Act, the Secretary may provide</w:t>
      </w:r>
      <w:r w:rsidR="00BF362A" w:rsidRPr="00C1264C">
        <w:t xml:space="preserve"> one or more of the following</w:t>
      </w:r>
      <w:r w:rsidRPr="00C1264C">
        <w:t xml:space="preserve"> in a d</w:t>
      </w:r>
      <w:r w:rsidR="00BF362A" w:rsidRPr="00C1264C">
        <w:t>etermination under subsection 37(1) of the Act</w:t>
      </w:r>
      <w:r w:rsidRPr="00C1264C">
        <w:t>:</w:t>
      </w:r>
    </w:p>
    <w:p w14:paraId="3580B95B" w14:textId="77777777" w:rsidR="00EE0F76" w:rsidRPr="00C1264C" w:rsidRDefault="00EE0F76" w:rsidP="00EE0F76">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r>
      <w:r w:rsidR="00BF362A" w:rsidRPr="00C1264C">
        <w:t xml:space="preserve">that </w:t>
      </w:r>
      <w:r w:rsidRPr="00C1264C">
        <w:t>a notice is taken to have been given to more than one entity;</w:t>
      </w:r>
    </w:p>
    <w:p w14:paraId="26539F3E" w14:textId="77777777" w:rsidR="00EE0F76" w:rsidRPr="00C1264C" w:rsidRDefault="00EE0F76" w:rsidP="00EE0F76">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r>
      <w:r w:rsidR="00BF362A" w:rsidRPr="00C1264C">
        <w:t xml:space="preserve">that </w:t>
      </w:r>
      <w:r w:rsidRPr="00C1264C">
        <w:t>a notice is taken to have been given to a different entity;</w:t>
      </w:r>
    </w:p>
    <w:p w14:paraId="7110D66D" w14:textId="77777777" w:rsidR="00EE0F76" w:rsidRPr="00C1264C" w:rsidRDefault="00EE0F76" w:rsidP="00EE0F76">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r>
      <w:r w:rsidR="00BF362A" w:rsidRPr="00C1264C">
        <w:t xml:space="preserve">that </w:t>
      </w:r>
      <w:r w:rsidRPr="00C1264C">
        <w:t>a notice is taken to specify a different quantity.</w:t>
      </w:r>
    </w:p>
    <w:p w14:paraId="2DFF09B0" w14:textId="77777777" w:rsidR="00EE0F76" w:rsidRPr="00C1264C" w:rsidRDefault="00EE0F76" w:rsidP="00EE0F76">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The Secretary must take the following into account in making a determination:</w:t>
      </w:r>
    </w:p>
    <w:p w14:paraId="2C23629B" w14:textId="77777777" w:rsidR="00EE0F76" w:rsidRPr="00C1264C" w:rsidRDefault="00EE0F76" w:rsidP="00EE0F76">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the principle that the level of MSO should reflect the likely importing and refining activity of each entity; </w:t>
      </w:r>
    </w:p>
    <w:p w14:paraId="6A65034F" w14:textId="408D2E83" w:rsidR="00592CEC" w:rsidRPr="00C1264C" w:rsidRDefault="00EE0F76" w:rsidP="00EE0F76">
      <w:pPr>
        <w:pStyle w:val="tPara"/>
        <w:sectPr w:rsidR="00592CEC" w:rsidRPr="00C1264C" w:rsidSect="00B13564">
          <w:pgSz w:w="11906" w:h="16838"/>
          <w:pgMar w:top="1440" w:right="1440" w:bottom="1440" w:left="1440" w:header="709" w:footer="709" w:gutter="0"/>
          <w:cols w:space="708"/>
          <w:titlePg/>
          <w:docGrid w:linePitch="360"/>
        </w:sectPr>
      </w:pPr>
      <w:r w:rsidRPr="00C1264C">
        <w:tab/>
      </w:r>
      <w:r w:rsidRPr="00C1264C">
        <w:fldChar w:fldCharType="begin"/>
      </w:r>
      <w:r w:rsidRPr="00C1264C">
        <w:instrText xml:space="preserve">  LISTNUM "main numbering" \l 7 \* MERGEFORMAT </w:instrText>
      </w:r>
      <w:r w:rsidRPr="00C1264C">
        <w:fldChar w:fldCharType="end"/>
      </w:r>
      <w:r w:rsidR="00BF362A" w:rsidRPr="00C1264C">
        <w:tab/>
        <w:t>the desirability that</w:t>
      </w:r>
      <w:r w:rsidRPr="00C1264C">
        <w:t xml:space="preserve"> the total level of MSO from all not</w:t>
      </w:r>
      <w:r w:rsidR="00BF362A" w:rsidRPr="00C1264C">
        <w:t>ices after the determination</w:t>
      </w:r>
      <w:r w:rsidRPr="00C1264C">
        <w:t xml:space="preserve"> be</w:t>
      </w:r>
      <w:r w:rsidR="00BF362A" w:rsidRPr="00C1264C">
        <w:t xml:space="preserve"> no</w:t>
      </w:r>
      <w:r w:rsidRPr="00C1264C">
        <w:t xml:space="preserve"> less than the total level of the MSO before the determination. </w:t>
      </w:r>
    </w:p>
    <w:p w14:paraId="34597B3B" w14:textId="77777777" w:rsidR="0068099B" w:rsidRPr="00C1264C" w:rsidRDefault="0068099B" w:rsidP="0068099B">
      <w:pPr>
        <w:pStyle w:val="h2Part"/>
      </w:pPr>
      <w:r w:rsidRPr="00C1264C">
        <w:rPr>
          <w:rStyle w:val="CharPartNo"/>
        </w:rPr>
        <w:lastRenderedPageBreak/>
        <w:fldChar w:fldCharType="begin"/>
      </w:r>
      <w:r w:rsidRPr="00C1264C">
        <w:rPr>
          <w:rStyle w:val="CharPartNo"/>
        </w:rPr>
        <w:instrText xml:space="preserve">  LISTNUM "main numbering" \l 2 \* MERGEFORMAT </w:instrText>
      </w:r>
      <w:bookmarkStart w:id="79" w:name="_Toc117517011"/>
      <w:r w:rsidRPr="00C1264C">
        <w:rPr>
          <w:rStyle w:val="CharPartNo"/>
        </w:rPr>
        <w:fldChar w:fldCharType="end"/>
      </w:r>
      <w:r w:rsidRPr="00C1264C">
        <w:rPr>
          <w:rStyle w:val="CharPartNo"/>
        </w:rPr>
        <w:t>—Monitoring secondary markets</w:t>
      </w:r>
      <w:r w:rsidR="003A7D40" w:rsidRPr="00C1264C">
        <w:rPr>
          <w:rStyle w:val="CharPartNo"/>
        </w:rPr>
        <w:t xml:space="preserve"> and assisting compliance</w:t>
      </w:r>
      <w:bookmarkEnd w:id="79"/>
    </w:p>
    <w:p w14:paraId="67D9613F" w14:textId="77777777" w:rsidR="0068099B" w:rsidRPr="00C1264C" w:rsidRDefault="0068099B" w:rsidP="0068099B">
      <w:pPr>
        <w:pStyle w:val="h5Section"/>
        <w:ind w:left="0" w:firstLine="0"/>
      </w:pPr>
      <w:r w:rsidRPr="00C1264C">
        <w:fldChar w:fldCharType="begin"/>
      </w:r>
      <w:r w:rsidRPr="00C1264C">
        <w:instrText xml:space="preserve">  LISTNUM "main numbering" \l 5 \* MERGEFORMAT </w:instrText>
      </w:r>
      <w:bookmarkStart w:id="80" w:name="_Toc117517012"/>
      <w:r w:rsidRPr="00C1264C">
        <w:fldChar w:fldCharType="end"/>
      </w:r>
      <w:r w:rsidRPr="00C1264C">
        <w:t xml:space="preserve">  Monitoring of secondary market activity</w:t>
      </w:r>
      <w:r w:rsidR="003A7D40" w:rsidRPr="00C1264C">
        <w:t xml:space="preserve"> and assisting compliance</w:t>
      </w:r>
      <w:bookmarkEnd w:id="80"/>
    </w:p>
    <w:p w14:paraId="19748D6C" w14:textId="033E3062" w:rsidR="0068099B" w:rsidRPr="00C1264C" w:rsidRDefault="0068099B" w:rsidP="0068099B">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The Secretary must take reasonable steps to monitor the availability and price of section</w:t>
      </w:r>
      <w:r w:rsidR="00912755" w:rsidRPr="00C1264C">
        <w:t> </w:t>
      </w:r>
      <w:r w:rsidRPr="00C1264C">
        <w:t xml:space="preserve">24 arrangements to assist entities </w:t>
      </w:r>
      <w:r w:rsidR="004044A3" w:rsidRPr="00C1264C">
        <w:t xml:space="preserve">to </w:t>
      </w:r>
      <w:r w:rsidRPr="00C1264C">
        <w:t>comply with the MSO.</w:t>
      </w:r>
    </w:p>
    <w:p w14:paraId="517923F3" w14:textId="03D2DC73" w:rsidR="00592CEC" w:rsidRPr="00C1264C" w:rsidRDefault="0068099B" w:rsidP="0068099B">
      <w:pPr>
        <w:pStyle w:val="tMain"/>
        <w:sectPr w:rsidR="00592CEC" w:rsidRPr="00C1264C" w:rsidSect="00B13564">
          <w:pgSz w:w="11906" w:h="16838"/>
          <w:pgMar w:top="1440" w:right="1440" w:bottom="1440" w:left="1440" w:header="709" w:footer="709" w:gutter="0"/>
          <w:cols w:space="708"/>
          <w:titlePg/>
          <w:docGrid w:linePitch="360"/>
        </w:sectPr>
      </w:pPr>
      <w:r w:rsidRPr="00C1264C">
        <w:tab/>
      </w:r>
      <w:r w:rsidRPr="00C1264C">
        <w:fldChar w:fldCharType="begin"/>
      </w:r>
      <w:r w:rsidRPr="00C1264C">
        <w:instrText xml:space="preserve">  LISTNUM "main numbering" \l 6 \* MERGEFORMAT </w:instrText>
      </w:r>
      <w:r w:rsidRPr="00C1264C">
        <w:fldChar w:fldCharType="end"/>
      </w:r>
      <w:r w:rsidRPr="00C1264C">
        <w:tab/>
        <w:t>The Secretary may publish information or provide assistance to entities relating to their compliance with the MSO.</w:t>
      </w:r>
    </w:p>
    <w:p w14:paraId="7D34DF9A" w14:textId="77777777" w:rsidR="00B16F57" w:rsidRPr="00C1264C" w:rsidRDefault="00B16F57" w:rsidP="00B16F57">
      <w:pPr>
        <w:pStyle w:val="h2Part"/>
      </w:pPr>
      <w:r w:rsidRPr="00C1264C">
        <w:rPr>
          <w:rStyle w:val="CharPartNo"/>
        </w:rPr>
        <w:lastRenderedPageBreak/>
        <w:fldChar w:fldCharType="begin"/>
      </w:r>
      <w:r w:rsidRPr="00C1264C">
        <w:rPr>
          <w:rStyle w:val="CharPartNo"/>
        </w:rPr>
        <w:instrText xml:space="preserve">  LISTNUM "main numbering" \l 2 \* MERGEFORMAT </w:instrText>
      </w:r>
      <w:bookmarkStart w:id="81" w:name="_Toc117517013"/>
      <w:r w:rsidRPr="00C1264C">
        <w:rPr>
          <w:rStyle w:val="CharPartNo"/>
        </w:rPr>
        <w:fldChar w:fldCharType="end"/>
      </w:r>
      <w:r w:rsidRPr="00C1264C">
        <w:rPr>
          <w:rStyle w:val="CharPartNo"/>
        </w:rPr>
        <w:t>—Publication of information</w:t>
      </w:r>
      <w:bookmarkEnd w:id="81"/>
    </w:p>
    <w:p w14:paraId="707301A4" w14:textId="77777777" w:rsidR="00B16F57" w:rsidRPr="00C1264C" w:rsidRDefault="00B16F57" w:rsidP="00B16F57">
      <w:pPr>
        <w:pStyle w:val="h5Section"/>
        <w:ind w:left="0" w:firstLine="0"/>
      </w:pPr>
      <w:r w:rsidRPr="00C1264C">
        <w:fldChar w:fldCharType="begin"/>
      </w:r>
      <w:r w:rsidRPr="00C1264C">
        <w:instrText xml:space="preserve">  LISTNUM "main numbering" \l 5 \* MERGEFORMAT </w:instrText>
      </w:r>
      <w:bookmarkStart w:id="82" w:name="_Toc117517014"/>
      <w:r w:rsidRPr="00C1264C">
        <w:fldChar w:fldCharType="end"/>
      </w:r>
      <w:r w:rsidRPr="00C1264C">
        <w:t xml:space="preserve">  Information publication</w:t>
      </w:r>
      <w:bookmarkEnd w:id="82"/>
    </w:p>
    <w:p w14:paraId="0712E399" w14:textId="4B5FC7C6" w:rsidR="00B16F57" w:rsidRPr="00C1264C" w:rsidRDefault="00B16F57" w:rsidP="00B16F57">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As soon a</w:t>
      </w:r>
      <w:r w:rsidR="008B6754" w:rsidRPr="00C1264C">
        <w:t xml:space="preserve">s practicable before each 1 </w:t>
      </w:r>
      <w:r w:rsidR="00912755" w:rsidRPr="00C1264C">
        <w:t>July</w:t>
      </w:r>
      <w:r w:rsidRPr="00C1264C">
        <w:t>, the Secretary must publish on the Department’s website:</w:t>
      </w:r>
    </w:p>
    <w:p w14:paraId="7AB21129" w14:textId="77777777" w:rsidR="00B16F57" w:rsidRPr="00C1264C" w:rsidRDefault="00B16F57" w:rsidP="00B16F57">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the number of entities subject to the MSO for each MSO product; </w:t>
      </w:r>
      <w:r w:rsidR="00D24B47" w:rsidRPr="00C1264C">
        <w:t>and</w:t>
      </w:r>
    </w:p>
    <w:p w14:paraId="1C495506" w14:textId="347FD6E8" w:rsidR="00B16F57" w:rsidRPr="00C1264C" w:rsidRDefault="00B16F57" w:rsidP="00A97F06">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 xml:space="preserve">the total </w:t>
      </w:r>
      <w:r w:rsidR="005B512F" w:rsidRPr="00C1264C">
        <w:t>volume in megalitres</w:t>
      </w:r>
      <w:r w:rsidRPr="00C1264C">
        <w:t xml:space="preserve"> of each MSO product that is required to be held on the first obligation day of the financial year</w:t>
      </w:r>
      <w:r w:rsidR="008F2D79" w:rsidRPr="00C1264C">
        <w:t xml:space="preserve"> by all entities subject to the MSO</w:t>
      </w:r>
      <w:r w:rsidRPr="00C1264C">
        <w:t>;</w:t>
      </w:r>
      <w:r w:rsidR="00A97F06" w:rsidRPr="00C1264C">
        <w:t xml:space="preserve"> and</w:t>
      </w:r>
    </w:p>
    <w:p w14:paraId="444F75DC" w14:textId="77777777" w:rsidR="008B6754" w:rsidRPr="00C1264C" w:rsidRDefault="00B16F57" w:rsidP="00B663A3">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an estimate of the</w:t>
      </w:r>
      <w:r w:rsidR="00610A51" w:rsidRPr="00C1264C">
        <w:t xml:space="preserve"> aggregate</w:t>
      </w:r>
      <w:r w:rsidRPr="00C1264C">
        <w:t xml:space="preserve"> percentage of </w:t>
      </w:r>
      <w:r w:rsidR="00610A51" w:rsidRPr="00C1264C">
        <w:t xml:space="preserve">all </w:t>
      </w:r>
      <w:r w:rsidRPr="00C1264C">
        <w:t>importing and refining</w:t>
      </w:r>
      <w:r w:rsidR="00610A51" w:rsidRPr="00C1264C">
        <w:t xml:space="preserve"> of</w:t>
      </w:r>
      <w:r w:rsidRPr="00C1264C">
        <w:t xml:space="preserve"> each MSO product undertaken by entities subject to the MSO for that product</w:t>
      </w:r>
      <w:r w:rsidR="008B6754" w:rsidRPr="00C1264C">
        <w:t xml:space="preserve"> based upon:</w:t>
      </w:r>
    </w:p>
    <w:p w14:paraId="376958FB" w14:textId="77777777" w:rsidR="00B16F57" w:rsidRPr="00C1264C" w:rsidRDefault="008B6754" w:rsidP="008B6754">
      <w:pPr>
        <w:pStyle w:val="tSubpara"/>
      </w:pPr>
      <w:r w:rsidRPr="00C1264C">
        <w:tab/>
      </w:r>
      <w:r w:rsidRPr="00C1264C">
        <w:fldChar w:fldCharType="begin"/>
      </w:r>
      <w:r w:rsidRPr="00C1264C">
        <w:instrText xml:space="preserve">  LISTNUM "main numbering" \l 8 \* MERGEFORMAT </w:instrText>
      </w:r>
      <w:r w:rsidRPr="00C1264C">
        <w:fldChar w:fldCharType="end"/>
      </w:r>
      <w:r w:rsidR="005C44F3" w:rsidRPr="00C1264C">
        <w:tab/>
        <w:t>the volumes of imported and refined MSO products</w:t>
      </w:r>
      <w:r w:rsidRPr="00C1264C">
        <w:t xml:space="preserve"> from the previous </w:t>
      </w:r>
      <w:r w:rsidR="00610A51" w:rsidRPr="00C1264C">
        <w:t xml:space="preserve">financial </w:t>
      </w:r>
      <w:r w:rsidRPr="00C1264C">
        <w:t>year; and</w:t>
      </w:r>
    </w:p>
    <w:p w14:paraId="5F8769C7" w14:textId="77777777" w:rsidR="008B6754" w:rsidRPr="00C1264C" w:rsidRDefault="008B6754" w:rsidP="008B6754">
      <w:pPr>
        <w:pStyle w:val="tSubpara"/>
      </w:pPr>
      <w:r w:rsidRPr="00C1264C">
        <w:tab/>
      </w:r>
      <w:r w:rsidRPr="00C1264C">
        <w:fldChar w:fldCharType="begin"/>
      </w:r>
      <w:r w:rsidRPr="00C1264C">
        <w:instrText xml:space="preserve">  LISTNUM "main numbering" \l 8 \* MERGEFORMAT </w:instrText>
      </w:r>
      <w:r w:rsidRPr="00C1264C">
        <w:fldChar w:fldCharType="end"/>
      </w:r>
      <w:r w:rsidRPr="00C1264C">
        <w:tab/>
        <w:t xml:space="preserve">the entities subject to the MSO </w:t>
      </w:r>
      <w:r w:rsidR="001B1338" w:rsidRPr="00C1264C">
        <w:t xml:space="preserve">during the previous </w:t>
      </w:r>
      <w:r w:rsidR="00610A51" w:rsidRPr="00C1264C">
        <w:t xml:space="preserve">financial </w:t>
      </w:r>
      <w:r w:rsidR="001B1338" w:rsidRPr="00C1264C">
        <w:t>year</w:t>
      </w:r>
      <w:r w:rsidRPr="00C1264C">
        <w:t>.</w:t>
      </w:r>
    </w:p>
    <w:p w14:paraId="68F1D3E7" w14:textId="7343DBDE" w:rsidR="00B16F57" w:rsidRPr="00C1264C" w:rsidRDefault="00B16F57" w:rsidP="00B16F57">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 xml:space="preserve">If the </w:t>
      </w:r>
      <w:r w:rsidR="00D24B47" w:rsidRPr="00C1264C">
        <w:t>Secretary makes a decision to reduce a quantity under section 18 of the Act or to suspend the MSO under section 29 of the Act, the Secretary may publish general information about the decision on the Department’s website.</w:t>
      </w:r>
    </w:p>
    <w:p w14:paraId="43AAFF14" w14:textId="201188DB" w:rsidR="007059CA" w:rsidRPr="00C1264C" w:rsidRDefault="007059CA" w:rsidP="007059CA">
      <w:pPr>
        <w:pStyle w:val="tMain"/>
      </w:pPr>
      <w:r w:rsidRPr="00C1264C">
        <w:tab/>
      </w:r>
      <w:r w:rsidRPr="00C1264C">
        <w:fldChar w:fldCharType="begin"/>
      </w:r>
      <w:r w:rsidRPr="00C1264C">
        <w:instrText xml:space="preserve">  LISTNUM "main numbering" \l 6 \* MERGEFORMAT </w:instrText>
      </w:r>
      <w:r w:rsidRPr="00C1264C">
        <w:fldChar w:fldCharType="end"/>
      </w:r>
      <w:r w:rsidRPr="00C1264C">
        <w:tab/>
        <w:t>The Secretary must not cause to be published or made available information under this section if the information is:</w:t>
      </w:r>
    </w:p>
    <w:p w14:paraId="1C960296" w14:textId="3E644369" w:rsidR="007059CA" w:rsidRPr="00C1264C" w:rsidRDefault="007059CA" w:rsidP="007059CA">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likely to enable the identification of a person; or</w:t>
      </w:r>
    </w:p>
    <w:p w14:paraId="41EDFB4D" w14:textId="79D7E6F0" w:rsidR="007059CA" w:rsidRPr="00E416AC" w:rsidRDefault="007059CA" w:rsidP="007059CA">
      <w:pPr>
        <w:pStyle w:val="tPara"/>
      </w:pPr>
      <w:r w:rsidRPr="00C1264C">
        <w:tab/>
      </w:r>
      <w:r w:rsidRPr="00C1264C">
        <w:fldChar w:fldCharType="begin"/>
      </w:r>
      <w:r w:rsidRPr="00C1264C">
        <w:instrText xml:space="preserve">  LISTNUM "main numbering" \l 7 \* MERGEFORMAT </w:instrText>
      </w:r>
      <w:r w:rsidRPr="00C1264C">
        <w:fldChar w:fldCharType="end"/>
      </w:r>
      <w:r w:rsidRPr="00C1264C">
        <w:tab/>
        <w:t>commercial-in-confidence.</w:t>
      </w:r>
      <w:r>
        <w:t xml:space="preserve"> </w:t>
      </w:r>
    </w:p>
    <w:p w14:paraId="0D56D3A1" w14:textId="77777777" w:rsidR="007059CA" w:rsidRPr="00E416AC" w:rsidRDefault="007059CA" w:rsidP="00B16F57">
      <w:pPr>
        <w:pStyle w:val="tMain"/>
      </w:pPr>
    </w:p>
    <w:p w14:paraId="205B323E" w14:textId="77777777" w:rsidR="00B16F57" w:rsidRPr="00E416AC" w:rsidRDefault="00B16F57" w:rsidP="00B16F57">
      <w:pPr>
        <w:pStyle w:val="tPara"/>
      </w:pPr>
      <w:r w:rsidRPr="00E416AC">
        <w:tab/>
        <w:t xml:space="preserve"> </w:t>
      </w:r>
    </w:p>
    <w:p w14:paraId="65A32886" w14:textId="77777777" w:rsidR="007D6E07" w:rsidRPr="00B8447E" w:rsidRDefault="007D6E07" w:rsidP="005E6942">
      <w:pPr>
        <w:spacing w:line="240" w:lineRule="auto"/>
        <w:rPr>
          <w:rFonts w:ascii="Arial" w:hAnsi="Arial"/>
          <w:b/>
          <w:color w:val="7030A0"/>
          <w:sz w:val="28"/>
          <w:szCs w:val="28"/>
        </w:rPr>
      </w:pPr>
    </w:p>
    <w:sectPr w:rsidR="007D6E07" w:rsidRPr="00B8447E" w:rsidSect="00B1356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EE26F" w14:textId="77777777" w:rsidR="00123F3C" w:rsidRDefault="00123F3C">
      <w:r>
        <w:separator/>
      </w:r>
    </w:p>
  </w:endnote>
  <w:endnote w:type="continuationSeparator" w:id="0">
    <w:p w14:paraId="699609DB" w14:textId="77777777" w:rsidR="00123F3C" w:rsidRDefault="00123F3C">
      <w:r>
        <w:continuationSeparator/>
      </w:r>
    </w:p>
  </w:endnote>
  <w:endnote w:type="continuationNotice" w:id="1">
    <w:p w14:paraId="293314EE" w14:textId="77777777" w:rsidR="00123F3C" w:rsidRDefault="00123F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1EFB" w14:textId="77777777" w:rsidR="00EF562F" w:rsidRDefault="00EF5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7939"/>
      <w:docPartObj>
        <w:docPartGallery w:val="Page Numbers (Bottom of Page)"/>
        <w:docPartUnique/>
      </w:docPartObj>
    </w:sdtPr>
    <w:sdtEndPr/>
    <w:sdtContent>
      <w:p w14:paraId="7AF79FBC" w14:textId="77777777" w:rsidR="00EF562F" w:rsidRDefault="00EF562F" w:rsidP="009818F6">
        <w:pPr>
          <w:pStyle w:val="Footer"/>
          <w:pBdr>
            <w:top w:val="single" w:sz="4" w:space="1" w:color="auto"/>
          </w:pBdr>
          <w:jc w:val="right"/>
        </w:pPr>
        <w:r>
          <w:rPr>
            <w:noProof/>
          </w:rPr>
          <w:fldChar w:fldCharType="begin"/>
        </w:r>
        <w:r>
          <w:rPr>
            <w:noProof/>
          </w:rPr>
          <w:instrText xml:space="preserve"> PAGE   \* MERGEFORMAT </w:instrText>
        </w:r>
        <w:r>
          <w:rPr>
            <w:noProof/>
          </w:rPr>
          <w:fldChar w:fldCharType="separate"/>
        </w:r>
        <w:r w:rsidR="003B7E3D">
          <w:rPr>
            <w:noProof/>
          </w:rPr>
          <w:t>2</w:t>
        </w:r>
        <w:r>
          <w:rPr>
            <w:noProof/>
          </w:rPr>
          <w:fldChar w:fldCharType="end"/>
        </w:r>
      </w:p>
    </w:sdtContent>
  </w:sdt>
  <w:p w14:paraId="08B7E191" w14:textId="29C9A1BF" w:rsidR="00EF562F" w:rsidRPr="00FA6156" w:rsidRDefault="00EF562F" w:rsidP="00E416AC">
    <w:pPr>
      <w:pStyle w:val="Header"/>
    </w:pPr>
    <w:r>
      <w:rPr>
        <w:noProof/>
      </w:rPr>
      <w:fldChar w:fldCharType="begin"/>
    </w:r>
    <w:r>
      <w:rPr>
        <w:noProof/>
      </w:rPr>
      <w:instrText xml:space="preserve"> STYLEREF  ShortT  \* MERGEFORMAT </w:instrText>
    </w:r>
    <w:r>
      <w:rPr>
        <w:noProof/>
      </w:rPr>
      <w:fldChar w:fldCharType="separate"/>
    </w:r>
    <w:r w:rsidR="00C1264C">
      <w:rPr>
        <w:noProof/>
      </w:rPr>
      <w:t>Fuel Security (Minimum Stockholding Obligation) Rules 2022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2D87" w14:textId="77777777" w:rsidR="00EF562F" w:rsidRDefault="00EF5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8F42" w14:textId="77777777" w:rsidR="00123F3C" w:rsidRDefault="00123F3C">
      <w:r>
        <w:separator/>
      </w:r>
    </w:p>
  </w:footnote>
  <w:footnote w:type="continuationSeparator" w:id="0">
    <w:p w14:paraId="092950C2" w14:textId="77777777" w:rsidR="00123F3C" w:rsidRDefault="00123F3C">
      <w:r>
        <w:continuationSeparator/>
      </w:r>
    </w:p>
  </w:footnote>
  <w:footnote w:type="continuationNotice" w:id="1">
    <w:p w14:paraId="0BF3DC26" w14:textId="77777777" w:rsidR="00123F3C" w:rsidRDefault="00123F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BEB5" w14:textId="77777777" w:rsidR="00EF562F" w:rsidRDefault="00EF5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A6A" w14:textId="77777777" w:rsidR="00EF562F" w:rsidRDefault="00EF5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8912" w14:textId="77777777" w:rsidR="00EF562F" w:rsidRDefault="00EF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FA819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FDA2FC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700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1" w15:restartNumberingAfterBreak="0">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ind w:left="0" w:firstLine="0"/>
      </w:pPr>
      <w:rPr>
        <w:rFonts w:hint="default"/>
      </w:rPr>
    </w:lvl>
  </w:abstractNum>
  <w:abstractNum w:abstractNumId="12" w15:restartNumberingAfterBreak="0">
    <w:nsid w:val="1B0F4CDB"/>
    <w:multiLevelType w:val="hybridMultilevel"/>
    <w:tmpl w:val="7A0A5FA4"/>
    <w:lvl w:ilvl="0" w:tplc="87E04070">
      <w:start w:val="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8"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A4E7422"/>
    <w:multiLevelType w:val="hybridMultilevel"/>
    <w:tmpl w:val="1840D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07E718F"/>
    <w:multiLevelType w:val="hybridMultilevel"/>
    <w:tmpl w:val="5EE25BB0"/>
    <w:lvl w:ilvl="0" w:tplc="9C6C7EFE">
      <w:start w:val="1"/>
      <w:numFmt w:val="upperLetter"/>
      <w:lvlText w:val="(%1)"/>
      <w:lvlJc w:val="left"/>
      <w:pPr>
        <w:ind w:left="560" w:hanging="360"/>
      </w:pPr>
      <w:rPr>
        <w:rFonts w:hint="default"/>
      </w:rPr>
    </w:lvl>
    <w:lvl w:ilvl="1" w:tplc="0C090019" w:tentative="1">
      <w:start w:val="1"/>
      <w:numFmt w:val="lowerLetter"/>
      <w:lvlText w:val="%2."/>
      <w:lvlJc w:val="left"/>
      <w:pPr>
        <w:ind w:left="1280" w:hanging="360"/>
      </w:pPr>
    </w:lvl>
    <w:lvl w:ilvl="2" w:tplc="0C09001B" w:tentative="1">
      <w:start w:val="1"/>
      <w:numFmt w:val="lowerRoman"/>
      <w:lvlText w:val="%3."/>
      <w:lvlJc w:val="right"/>
      <w:pPr>
        <w:ind w:left="2000" w:hanging="180"/>
      </w:pPr>
    </w:lvl>
    <w:lvl w:ilvl="3" w:tplc="0C09000F" w:tentative="1">
      <w:start w:val="1"/>
      <w:numFmt w:val="decimal"/>
      <w:lvlText w:val="%4."/>
      <w:lvlJc w:val="left"/>
      <w:pPr>
        <w:ind w:left="2720" w:hanging="360"/>
      </w:pPr>
    </w:lvl>
    <w:lvl w:ilvl="4" w:tplc="0C090019" w:tentative="1">
      <w:start w:val="1"/>
      <w:numFmt w:val="lowerLetter"/>
      <w:lvlText w:val="%5."/>
      <w:lvlJc w:val="left"/>
      <w:pPr>
        <w:ind w:left="3440" w:hanging="360"/>
      </w:pPr>
    </w:lvl>
    <w:lvl w:ilvl="5" w:tplc="0C09001B" w:tentative="1">
      <w:start w:val="1"/>
      <w:numFmt w:val="lowerRoman"/>
      <w:lvlText w:val="%6."/>
      <w:lvlJc w:val="right"/>
      <w:pPr>
        <w:ind w:left="4160" w:hanging="180"/>
      </w:pPr>
    </w:lvl>
    <w:lvl w:ilvl="6" w:tplc="0C09000F" w:tentative="1">
      <w:start w:val="1"/>
      <w:numFmt w:val="decimal"/>
      <w:lvlText w:val="%7."/>
      <w:lvlJc w:val="left"/>
      <w:pPr>
        <w:ind w:left="4880" w:hanging="360"/>
      </w:pPr>
    </w:lvl>
    <w:lvl w:ilvl="7" w:tplc="0C090019" w:tentative="1">
      <w:start w:val="1"/>
      <w:numFmt w:val="lowerLetter"/>
      <w:lvlText w:val="%8."/>
      <w:lvlJc w:val="left"/>
      <w:pPr>
        <w:ind w:left="5600" w:hanging="360"/>
      </w:pPr>
    </w:lvl>
    <w:lvl w:ilvl="8" w:tplc="0C09001B" w:tentative="1">
      <w:start w:val="1"/>
      <w:numFmt w:val="lowerRoman"/>
      <w:lvlText w:val="%9."/>
      <w:lvlJc w:val="right"/>
      <w:pPr>
        <w:ind w:left="6320" w:hanging="180"/>
      </w:pPr>
    </w:lvl>
  </w:abstractNum>
  <w:abstractNum w:abstractNumId="34"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7688671">
    <w:abstractNumId w:val="2"/>
  </w:num>
  <w:num w:numId="2" w16cid:durableId="114950574">
    <w:abstractNumId w:val="1"/>
  </w:num>
  <w:num w:numId="3" w16cid:durableId="992678995">
    <w:abstractNumId w:val="11"/>
  </w:num>
  <w:num w:numId="4" w16cid:durableId="132217984">
    <w:abstractNumId w:val="34"/>
  </w:num>
  <w:num w:numId="5" w16cid:durableId="682708182">
    <w:abstractNumId w:val="27"/>
  </w:num>
  <w:num w:numId="6" w16cid:durableId="578714171">
    <w:abstractNumId w:val="21"/>
  </w:num>
  <w:num w:numId="7" w16cid:durableId="278185">
    <w:abstractNumId w:val="14"/>
  </w:num>
  <w:num w:numId="8" w16cid:durableId="1376465498">
    <w:abstractNumId w:val="20"/>
  </w:num>
  <w:num w:numId="9" w16cid:durableId="1056733559">
    <w:abstractNumId w:val="35"/>
  </w:num>
  <w:num w:numId="10" w16cid:durableId="1479609811">
    <w:abstractNumId w:val="19"/>
  </w:num>
  <w:num w:numId="11" w16cid:durableId="1738822377">
    <w:abstractNumId w:val="9"/>
  </w:num>
  <w:num w:numId="12" w16cid:durableId="1425154549">
    <w:abstractNumId w:val="7"/>
  </w:num>
  <w:num w:numId="13" w16cid:durableId="412750497">
    <w:abstractNumId w:val="6"/>
  </w:num>
  <w:num w:numId="14" w16cid:durableId="1893031887">
    <w:abstractNumId w:val="5"/>
  </w:num>
  <w:num w:numId="15" w16cid:durableId="1655062805">
    <w:abstractNumId w:val="4"/>
  </w:num>
  <w:num w:numId="16" w16cid:durableId="1276595167">
    <w:abstractNumId w:val="8"/>
  </w:num>
  <w:num w:numId="17" w16cid:durableId="276720754">
    <w:abstractNumId w:val="3"/>
  </w:num>
  <w:num w:numId="18" w16cid:durableId="57824939">
    <w:abstractNumId w:val="0"/>
  </w:num>
  <w:num w:numId="19" w16cid:durableId="1997565937">
    <w:abstractNumId w:val="10"/>
  </w:num>
  <w:num w:numId="20" w16cid:durableId="524365549">
    <w:abstractNumId w:val="13"/>
  </w:num>
  <w:num w:numId="21" w16cid:durableId="677734936">
    <w:abstractNumId w:val="18"/>
  </w:num>
  <w:num w:numId="22" w16cid:durableId="1505314253">
    <w:abstractNumId w:val="31"/>
  </w:num>
  <w:num w:numId="23" w16cid:durableId="490873066">
    <w:abstractNumId w:val="12"/>
  </w:num>
  <w:num w:numId="24" w16cid:durableId="562638736">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hideGrammatical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EB"/>
    <w:rsid w:val="00001B29"/>
    <w:rsid w:val="00002024"/>
    <w:rsid w:val="00002C04"/>
    <w:rsid w:val="000039D7"/>
    <w:rsid w:val="00012088"/>
    <w:rsid w:val="00012B72"/>
    <w:rsid w:val="0001348B"/>
    <w:rsid w:val="00014257"/>
    <w:rsid w:val="00014523"/>
    <w:rsid w:val="000248C7"/>
    <w:rsid w:val="000258A0"/>
    <w:rsid w:val="0002648C"/>
    <w:rsid w:val="00027721"/>
    <w:rsid w:val="00030FCF"/>
    <w:rsid w:val="00031189"/>
    <w:rsid w:val="000320F2"/>
    <w:rsid w:val="00036984"/>
    <w:rsid w:val="0003757F"/>
    <w:rsid w:val="0003764D"/>
    <w:rsid w:val="00040D2E"/>
    <w:rsid w:val="00041037"/>
    <w:rsid w:val="00041E62"/>
    <w:rsid w:val="0004373B"/>
    <w:rsid w:val="0004479F"/>
    <w:rsid w:val="00044D8C"/>
    <w:rsid w:val="000453D0"/>
    <w:rsid w:val="00046216"/>
    <w:rsid w:val="00050664"/>
    <w:rsid w:val="00051826"/>
    <w:rsid w:val="00051EA8"/>
    <w:rsid w:val="0005423E"/>
    <w:rsid w:val="00056020"/>
    <w:rsid w:val="00057CCF"/>
    <w:rsid w:val="00057DAB"/>
    <w:rsid w:val="00057DAD"/>
    <w:rsid w:val="00060287"/>
    <w:rsid w:val="00063C97"/>
    <w:rsid w:val="00064F51"/>
    <w:rsid w:val="00065D8C"/>
    <w:rsid w:val="00065E05"/>
    <w:rsid w:val="00066A91"/>
    <w:rsid w:val="0007088E"/>
    <w:rsid w:val="00071808"/>
    <w:rsid w:val="000731B2"/>
    <w:rsid w:val="00073AE9"/>
    <w:rsid w:val="00074AB4"/>
    <w:rsid w:val="000813F8"/>
    <w:rsid w:val="000813FB"/>
    <w:rsid w:val="00082BCD"/>
    <w:rsid w:val="00090D8B"/>
    <w:rsid w:val="00095435"/>
    <w:rsid w:val="000967FA"/>
    <w:rsid w:val="00097203"/>
    <w:rsid w:val="000974E1"/>
    <w:rsid w:val="000978C5"/>
    <w:rsid w:val="000A25C2"/>
    <w:rsid w:val="000A4314"/>
    <w:rsid w:val="000A71D4"/>
    <w:rsid w:val="000A7903"/>
    <w:rsid w:val="000B042A"/>
    <w:rsid w:val="000B0704"/>
    <w:rsid w:val="000B177D"/>
    <w:rsid w:val="000B1CC9"/>
    <w:rsid w:val="000B2B15"/>
    <w:rsid w:val="000B3269"/>
    <w:rsid w:val="000B3F0C"/>
    <w:rsid w:val="000B4043"/>
    <w:rsid w:val="000B4DA5"/>
    <w:rsid w:val="000B58A6"/>
    <w:rsid w:val="000B5DCB"/>
    <w:rsid w:val="000B6E1F"/>
    <w:rsid w:val="000C077B"/>
    <w:rsid w:val="000C10EF"/>
    <w:rsid w:val="000C2287"/>
    <w:rsid w:val="000C2440"/>
    <w:rsid w:val="000C61CF"/>
    <w:rsid w:val="000D117C"/>
    <w:rsid w:val="000D2D22"/>
    <w:rsid w:val="000D2FFA"/>
    <w:rsid w:val="000D40E2"/>
    <w:rsid w:val="000D5F02"/>
    <w:rsid w:val="000D628D"/>
    <w:rsid w:val="000D7205"/>
    <w:rsid w:val="000E2406"/>
    <w:rsid w:val="000E2AF3"/>
    <w:rsid w:val="000E2E9E"/>
    <w:rsid w:val="000E2F82"/>
    <w:rsid w:val="000E4D39"/>
    <w:rsid w:val="000E750C"/>
    <w:rsid w:val="000F0319"/>
    <w:rsid w:val="000F081D"/>
    <w:rsid w:val="000F2EBE"/>
    <w:rsid w:val="000F3049"/>
    <w:rsid w:val="000F31F8"/>
    <w:rsid w:val="000F39FE"/>
    <w:rsid w:val="001002F7"/>
    <w:rsid w:val="001008C7"/>
    <w:rsid w:val="00102896"/>
    <w:rsid w:val="001032F0"/>
    <w:rsid w:val="001055A9"/>
    <w:rsid w:val="001055F9"/>
    <w:rsid w:val="00107E81"/>
    <w:rsid w:val="001104D5"/>
    <w:rsid w:val="0011343D"/>
    <w:rsid w:val="00115AB3"/>
    <w:rsid w:val="0011776A"/>
    <w:rsid w:val="00120518"/>
    <w:rsid w:val="00120B4E"/>
    <w:rsid w:val="00121A23"/>
    <w:rsid w:val="00123118"/>
    <w:rsid w:val="00123F3C"/>
    <w:rsid w:val="00124559"/>
    <w:rsid w:val="001245D0"/>
    <w:rsid w:val="001300B0"/>
    <w:rsid w:val="00133C9C"/>
    <w:rsid w:val="001369B9"/>
    <w:rsid w:val="00137A06"/>
    <w:rsid w:val="00140EBC"/>
    <w:rsid w:val="00142EC4"/>
    <w:rsid w:val="0014387D"/>
    <w:rsid w:val="001443B4"/>
    <w:rsid w:val="00144E82"/>
    <w:rsid w:val="001476F6"/>
    <w:rsid w:val="001532D6"/>
    <w:rsid w:val="00154251"/>
    <w:rsid w:val="00154AA1"/>
    <w:rsid w:val="0015548C"/>
    <w:rsid w:val="00156688"/>
    <w:rsid w:val="0016259E"/>
    <w:rsid w:val="00163388"/>
    <w:rsid w:val="00164F9B"/>
    <w:rsid w:val="00166836"/>
    <w:rsid w:val="00170675"/>
    <w:rsid w:val="001719D0"/>
    <w:rsid w:val="0017212D"/>
    <w:rsid w:val="0017277C"/>
    <w:rsid w:val="00172839"/>
    <w:rsid w:val="00174847"/>
    <w:rsid w:val="0017505D"/>
    <w:rsid w:val="00176C0F"/>
    <w:rsid w:val="001776B2"/>
    <w:rsid w:val="00182E3C"/>
    <w:rsid w:val="00182E6C"/>
    <w:rsid w:val="00184268"/>
    <w:rsid w:val="00184B5E"/>
    <w:rsid w:val="001859C6"/>
    <w:rsid w:val="00186962"/>
    <w:rsid w:val="00187A61"/>
    <w:rsid w:val="00190042"/>
    <w:rsid w:val="00190AB5"/>
    <w:rsid w:val="00190ABB"/>
    <w:rsid w:val="00194039"/>
    <w:rsid w:val="00195069"/>
    <w:rsid w:val="00195AD9"/>
    <w:rsid w:val="00196DA5"/>
    <w:rsid w:val="001979DC"/>
    <w:rsid w:val="001A0018"/>
    <w:rsid w:val="001A0737"/>
    <w:rsid w:val="001A15AC"/>
    <w:rsid w:val="001A562A"/>
    <w:rsid w:val="001A5CB2"/>
    <w:rsid w:val="001A620B"/>
    <w:rsid w:val="001B0571"/>
    <w:rsid w:val="001B0B41"/>
    <w:rsid w:val="001B1338"/>
    <w:rsid w:val="001B2D72"/>
    <w:rsid w:val="001B4173"/>
    <w:rsid w:val="001B4954"/>
    <w:rsid w:val="001B644D"/>
    <w:rsid w:val="001B7250"/>
    <w:rsid w:val="001B7C15"/>
    <w:rsid w:val="001C0768"/>
    <w:rsid w:val="001C1A73"/>
    <w:rsid w:val="001C1D02"/>
    <w:rsid w:val="001C3392"/>
    <w:rsid w:val="001C344A"/>
    <w:rsid w:val="001C3788"/>
    <w:rsid w:val="001C54FB"/>
    <w:rsid w:val="001C6AD2"/>
    <w:rsid w:val="001D07AE"/>
    <w:rsid w:val="001D19DD"/>
    <w:rsid w:val="001D3530"/>
    <w:rsid w:val="001D45A8"/>
    <w:rsid w:val="001D5653"/>
    <w:rsid w:val="001D61EF"/>
    <w:rsid w:val="001E0380"/>
    <w:rsid w:val="001E0958"/>
    <w:rsid w:val="001E0960"/>
    <w:rsid w:val="001E1B02"/>
    <w:rsid w:val="001E2866"/>
    <w:rsid w:val="001E3998"/>
    <w:rsid w:val="001E42F6"/>
    <w:rsid w:val="001E47C5"/>
    <w:rsid w:val="001E4824"/>
    <w:rsid w:val="001E5FC8"/>
    <w:rsid w:val="001E647F"/>
    <w:rsid w:val="001E7A96"/>
    <w:rsid w:val="001F130C"/>
    <w:rsid w:val="001F373E"/>
    <w:rsid w:val="001F3DBF"/>
    <w:rsid w:val="001F43D4"/>
    <w:rsid w:val="001F50EC"/>
    <w:rsid w:val="001F5128"/>
    <w:rsid w:val="001F5AF2"/>
    <w:rsid w:val="001F710D"/>
    <w:rsid w:val="00201A33"/>
    <w:rsid w:val="00202433"/>
    <w:rsid w:val="002055BE"/>
    <w:rsid w:val="00207E22"/>
    <w:rsid w:val="00210328"/>
    <w:rsid w:val="00210C28"/>
    <w:rsid w:val="0021111B"/>
    <w:rsid w:val="0021145F"/>
    <w:rsid w:val="00213788"/>
    <w:rsid w:val="002146BA"/>
    <w:rsid w:val="002150E5"/>
    <w:rsid w:val="0021764C"/>
    <w:rsid w:val="00217A90"/>
    <w:rsid w:val="00217C89"/>
    <w:rsid w:val="002202B2"/>
    <w:rsid w:val="00220F1C"/>
    <w:rsid w:val="00221B3D"/>
    <w:rsid w:val="002220B3"/>
    <w:rsid w:val="002221BC"/>
    <w:rsid w:val="00223A01"/>
    <w:rsid w:val="00225D68"/>
    <w:rsid w:val="0022621E"/>
    <w:rsid w:val="00226E7C"/>
    <w:rsid w:val="002274CF"/>
    <w:rsid w:val="002309B3"/>
    <w:rsid w:val="00232329"/>
    <w:rsid w:val="002323DB"/>
    <w:rsid w:val="0023373A"/>
    <w:rsid w:val="00233BC0"/>
    <w:rsid w:val="00234173"/>
    <w:rsid w:val="002348C5"/>
    <w:rsid w:val="00235521"/>
    <w:rsid w:val="00235974"/>
    <w:rsid w:val="00235E1E"/>
    <w:rsid w:val="00236630"/>
    <w:rsid w:val="00240E9E"/>
    <w:rsid w:val="0024155A"/>
    <w:rsid w:val="00241666"/>
    <w:rsid w:val="00241798"/>
    <w:rsid w:val="002432A9"/>
    <w:rsid w:val="00243924"/>
    <w:rsid w:val="00245446"/>
    <w:rsid w:val="00246A83"/>
    <w:rsid w:val="00246C4C"/>
    <w:rsid w:val="002472BC"/>
    <w:rsid w:val="00252A5C"/>
    <w:rsid w:val="0025365A"/>
    <w:rsid w:val="00254817"/>
    <w:rsid w:val="00255070"/>
    <w:rsid w:val="00255165"/>
    <w:rsid w:val="00257896"/>
    <w:rsid w:val="00260B33"/>
    <w:rsid w:val="00263960"/>
    <w:rsid w:val="002642D5"/>
    <w:rsid w:val="00265192"/>
    <w:rsid w:val="00265CB8"/>
    <w:rsid w:val="00266DC8"/>
    <w:rsid w:val="00274E2B"/>
    <w:rsid w:val="00280B8E"/>
    <w:rsid w:val="00280F64"/>
    <w:rsid w:val="002832F4"/>
    <w:rsid w:val="002834D0"/>
    <w:rsid w:val="0028502C"/>
    <w:rsid w:val="00286557"/>
    <w:rsid w:val="0028786B"/>
    <w:rsid w:val="00292CF5"/>
    <w:rsid w:val="00293143"/>
    <w:rsid w:val="00293320"/>
    <w:rsid w:val="00294058"/>
    <w:rsid w:val="00294245"/>
    <w:rsid w:val="00294DE8"/>
    <w:rsid w:val="002A0538"/>
    <w:rsid w:val="002A053A"/>
    <w:rsid w:val="002A0596"/>
    <w:rsid w:val="002A07AB"/>
    <w:rsid w:val="002A18C9"/>
    <w:rsid w:val="002A2B34"/>
    <w:rsid w:val="002A2E80"/>
    <w:rsid w:val="002A3283"/>
    <w:rsid w:val="002A5322"/>
    <w:rsid w:val="002A6992"/>
    <w:rsid w:val="002A7E6F"/>
    <w:rsid w:val="002B0EAC"/>
    <w:rsid w:val="002B172D"/>
    <w:rsid w:val="002B292B"/>
    <w:rsid w:val="002B3521"/>
    <w:rsid w:val="002B49F4"/>
    <w:rsid w:val="002C037D"/>
    <w:rsid w:val="002C3465"/>
    <w:rsid w:val="002C39A1"/>
    <w:rsid w:val="002C40EE"/>
    <w:rsid w:val="002C5E7F"/>
    <w:rsid w:val="002C7581"/>
    <w:rsid w:val="002D1FDA"/>
    <w:rsid w:val="002D675F"/>
    <w:rsid w:val="002E2E64"/>
    <w:rsid w:val="002E39E0"/>
    <w:rsid w:val="002E7EE0"/>
    <w:rsid w:val="002F0C47"/>
    <w:rsid w:val="002F11C8"/>
    <w:rsid w:val="002F242B"/>
    <w:rsid w:val="002F467E"/>
    <w:rsid w:val="002F4A68"/>
    <w:rsid w:val="002F5F38"/>
    <w:rsid w:val="002F664A"/>
    <w:rsid w:val="00301367"/>
    <w:rsid w:val="00301C22"/>
    <w:rsid w:val="00302C59"/>
    <w:rsid w:val="00304507"/>
    <w:rsid w:val="003047C9"/>
    <w:rsid w:val="00306EFA"/>
    <w:rsid w:val="003075F1"/>
    <w:rsid w:val="0031117B"/>
    <w:rsid w:val="003127F8"/>
    <w:rsid w:val="00314C71"/>
    <w:rsid w:val="003206E8"/>
    <w:rsid w:val="00320B57"/>
    <w:rsid w:val="00321884"/>
    <w:rsid w:val="00322CCD"/>
    <w:rsid w:val="0032396F"/>
    <w:rsid w:val="003257CA"/>
    <w:rsid w:val="0032598E"/>
    <w:rsid w:val="00327822"/>
    <w:rsid w:val="00331757"/>
    <w:rsid w:val="0033258A"/>
    <w:rsid w:val="00332B31"/>
    <w:rsid w:val="00332C68"/>
    <w:rsid w:val="00333A4F"/>
    <w:rsid w:val="00335540"/>
    <w:rsid w:val="00335B8A"/>
    <w:rsid w:val="0033741E"/>
    <w:rsid w:val="00340AA4"/>
    <w:rsid w:val="0034760F"/>
    <w:rsid w:val="00350078"/>
    <w:rsid w:val="00350D85"/>
    <w:rsid w:val="0035186D"/>
    <w:rsid w:val="00351EB1"/>
    <w:rsid w:val="00352B83"/>
    <w:rsid w:val="00352DE5"/>
    <w:rsid w:val="003542C9"/>
    <w:rsid w:val="00354E4F"/>
    <w:rsid w:val="0036220E"/>
    <w:rsid w:val="00364922"/>
    <w:rsid w:val="0036617E"/>
    <w:rsid w:val="00371E2D"/>
    <w:rsid w:val="00372DF1"/>
    <w:rsid w:val="00377DAC"/>
    <w:rsid w:val="00380FB2"/>
    <w:rsid w:val="00382156"/>
    <w:rsid w:val="00382276"/>
    <w:rsid w:val="00386680"/>
    <w:rsid w:val="0039016F"/>
    <w:rsid w:val="00390572"/>
    <w:rsid w:val="00390A97"/>
    <w:rsid w:val="00390B03"/>
    <w:rsid w:val="003939A2"/>
    <w:rsid w:val="0039749E"/>
    <w:rsid w:val="00397CC2"/>
    <w:rsid w:val="003A080E"/>
    <w:rsid w:val="003A34AE"/>
    <w:rsid w:val="003A3751"/>
    <w:rsid w:val="003A4CFF"/>
    <w:rsid w:val="003A5620"/>
    <w:rsid w:val="003A6158"/>
    <w:rsid w:val="003A644D"/>
    <w:rsid w:val="003A64F7"/>
    <w:rsid w:val="003A6E75"/>
    <w:rsid w:val="003A72A8"/>
    <w:rsid w:val="003A7D40"/>
    <w:rsid w:val="003B114C"/>
    <w:rsid w:val="003B2DC6"/>
    <w:rsid w:val="003B3DB9"/>
    <w:rsid w:val="003B4E23"/>
    <w:rsid w:val="003B7386"/>
    <w:rsid w:val="003B777A"/>
    <w:rsid w:val="003B7E3D"/>
    <w:rsid w:val="003C1581"/>
    <w:rsid w:val="003C1E61"/>
    <w:rsid w:val="003C243D"/>
    <w:rsid w:val="003C32EE"/>
    <w:rsid w:val="003C452F"/>
    <w:rsid w:val="003D1415"/>
    <w:rsid w:val="003D1FE2"/>
    <w:rsid w:val="003D230F"/>
    <w:rsid w:val="003D255C"/>
    <w:rsid w:val="003D7C75"/>
    <w:rsid w:val="003E0AF3"/>
    <w:rsid w:val="003E1765"/>
    <w:rsid w:val="003E2DCB"/>
    <w:rsid w:val="003E3108"/>
    <w:rsid w:val="003E352A"/>
    <w:rsid w:val="003E41CB"/>
    <w:rsid w:val="003E49CC"/>
    <w:rsid w:val="003E5C76"/>
    <w:rsid w:val="003E6641"/>
    <w:rsid w:val="003E6FC9"/>
    <w:rsid w:val="003E7BF9"/>
    <w:rsid w:val="003F0951"/>
    <w:rsid w:val="003F58A1"/>
    <w:rsid w:val="003F61C0"/>
    <w:rsid w:val="003F7EF1"/>
    <w:rsid w:val="00400C25"/>
    <w:rsid w:val="0040186F"/>
    <w:rsid w:val="00402812"/>
    <w:rsid w:val="004040B2"/>
    <w:rsid w:val="004044A3"/>
    <w:rsid w:val="00404E41"/>
    <w:rsid w:val="0040665C"/>
    <w:rsid w:val="00406C4A"/>
    <w:rsid w:val="004074D0"/>
    <w:rsid w:val="004077A2"/>
    <w:rsid w:val="00407A73"/>
    <w:rsid w:val="00412098"/>
    <w:rsid w:val="00412EE5"/>
    <w:rsid w:val="00416635"/>
    <w:rsid w:val="004209C2"/>
    <w:rsid w:val="004236F6"/>
    <w:rsid w:val="00423DA5"/>
    <w:rsid w:val="00430D5F"/>
    <w:rsid w:val="0043183D"/>
    <w:rsid w:val="004327A6"/>
    <w:rsid w:val="00433AE2"/>
    <w:rsid w:val="00435726"/>
    <w:rsid w:val="00435DA0"/>
    <w:rsid w:val="00436098"/>
    <w:rsid w:val="00436219"/>
    <w:rsid w:val="00436C5C"/>
    <w:rsid w:val="00437592"/>
    <w:rsid w:val="004412D6"/>
    <w:rsid w:val="00441379"/>
    <w:rsid w:val="00442227"/>
    <w:rsid w:val="00442759"/>
    <w:rsid w:val="004428F7"/>
    <w:rsid w:val="00442D45"/>
    <w:rsid w:val="00444507"/>
    <w:rsid w:val="00444584"/>
    <w:rsid w:val="004459AF"/>
    <w:rsid w:val="00445A2F"/>
    <w:rsid w:val="004503EC"/>
    <w:rsid w:val="00452C13"/>
    <w:rsid w:val="00461441"/>
    <w:rsid w:val="00463E97"/>
    <w:rsid w:val="004649D1"/>
    <w:rsid w:val="00466515"/>
    <w:rsid w:val="004708F4"/>
    <w:rsid w:val="00475C7C"/>
    <w:rsid w:val="00475CF2"/>
    <w:rsid w:val="00476141"/>
    <w:rsid w:val="00476C74"/>
    <w:rsid w:val="00477BB5"/>
    <w:rsid w:val="004803D4"/>
    <w:rsid w:val="00482350"/>
    <w:rsid w:val="004833DB"/>
    <w:rsid w:val="004842E7"/>
    <w:rsid w:val="004850CA"/>
    <w:rsid w:val="004854EA"/>
    <w:rsid w:val="00487B34"/>
    <w:rsid w:val="00491433"/>
    <w:rsid w:val="004938A3"/>
    <w:rsid w:val="004971E4"/>
    <w:rsid w:val="004A05F0"/>
    <w:rsid w:val="004A0C1B"/>
    <w:rsid w:val="004A37E5"/>
    <w:rsid w:val="004A4686"/>
    <w:rsid w:val="004A7E66"/>
    <w:rsid w:val="004B2951"/>
    <w:rsid w:val="004B4EA7"/>
    <w:rsid w:val="004B5B4A"/>
    <w:rsid w:val="004B644E"/>
    <w:rsid w:val="004C1309"/>
    <w:rsid w:val="004C144E"/>
    <w:rsid w:val="004C1A87"/>
    <w:rsid w:val="004C2F1E"/>
    <w:rsid w:val="004C5AFE"/>
    <w:rsid w:val="004C63C6"/>
    <w:rsid w:val="004C6902"/>
    <w:rsid w:val="004D256F"/>
    <w:rsid w:val="004D2C9C"/>
    <w:rsid w:val="004D534C"/>
    <w:rsid w:val="004E1067"/>
    <w:rsid w:val="004E1BAA"/>
    <w:rsid w:val="004E66D6"/>
    <w:rsid w:val="004F0122"/>
    <w:rsid w:val="004F04BC"/>
    <w:rsid w:val="004F17F7"/>
    <w:rsid w:val="004F2FAE"/>
    <w:rsid w:val="004F5362"/>
    <w:rsid w:val="004F6F96"/>
    <w:rsid w:val="00500012"/>
    <w:rsid w:val="00502DD0"/>
    <w:rsid w:val="00505FCA"/>
    <w:rsid w:val="00507791"/>
    <w:rsid w:val="00510D57"/>
    <w:rsid w:val="00511AA9"/>
    <w:rsid w:val="00511EAF"/>
    <w:rsid w:val="00515E60"/>
    <w:rsid w:val="00515F6B"/>
    <w:rsid w:val="00517E97"/>
    <w:rsid w:val="00521933"/>
    <w:rsid w:val="00522647"/>
    <w:rsid w:val="00526A27"/>
    <w:rsid w:val="005276E4"/>
    <w:rsid w:val="00530518"/>
    <w:rsid w:val="00531C0C"/>
    <w:rsid w:val="00532D74"/>
    <w:rsid w:val="00533215"/>
    <w:rsid w:val="005352DD"/>
    <w:rsid w:val="005367F9"/>
    <w:rsid w:val="00536929"/>
    <w:rsid w:val="00537B4E"/>
    <w:rsid w:val="00540465"/>
    <w:rsid w:val="00540E0E"/>
    <w:rsid w:val="00547E30"/>
    <w:rsid w:val="00550ED8"/>
    <w:rsid w:val="0055370A"/>
    <w:rsid w:val="00554B06"/>
    <w:rsid w:val="00555654"/>
    <w:rsid w:val="005556A2"/>
    <w:rsid w:val="00556A40"/>
    <w:rsid w:val="00560C8D"/>
    <w:rsid w:val="00562634"/>
    <w:rsid w:val="00567070"/>
    <w:rsid w:val="00570B96"/>
    <w:rsid w:val="00571ACA"/>
    <w:rsid w:val="00573155"/>
    <w:rsid w:val="0057498E"/>
    <w:rsid w:val="00574D2B"/>
    <w:rsid w:val="00582C28"/>
    <w:rsid w:val="00583629"/>
    <w:rsid w:val="00584F3F"/>
    <w:rsid w:val="0058653A"/>
    <w:rsid w:val="00586C23"/>
    <w:rsid w:val="00592607"/>
    <w:rsid w:val="00592CEC"/>
    <w:rsid w:val="00594537"/>
    <w:rsid w:val="005949C0"/>
    <w:rsid w:val="00595849"/>
    <w:rsid w:val="005960AC"/>
    <w:rsid w:val="005973C4"/>
    <w:rsid w:val="0059783B"/>
    <w:rsid w:val="005A0240"/>
    <w:rsid w:val="005A0606"/>
    <w:rsid w:val="005A0814"/>
    <w:rsid w:val="005A3905"/>
    <w:rsid w:val="005A6EA9"/>
    <w:rsid w:val="005B0B73"/>
    <w:rsid w:val="005B20D2"/>
    <w:rsid w:val="005B29AD"/>
    <w:rsid w:val="005B42FE"/>
    <w:rsid w:val="005B4588"/>
    <w:rsid w:val="005B45A0"/>
    <w:rsid w:val="005B5048"/>
    <w:rsid w:val="005B512F"/>
    <w:rsid w:val="005B52E3"/>
    <w:rsid w:val="005B5536"/>
    <w:rsid w:val="005B63B2"/>
    <w:rsid w:val="005B7033"/>
    <w:rsid w:val="005C44F3"/>
    <w:rsid w:val="005C47DA"/>
    <w:rsid w:val="005D010C"/>
    <w:rsid w:val="005D1FCA"/>
    <w:rsid w:val="005D34EA"/>
    <w:rsid w:val="005D393E"/>
    <w:rsid w:val="005D4CA5"/>
    <w:rsid w:val="005D62BA"/>
    <w:rsid w:val="005D6868"/>
    <w:rsid w:val="005D7C25"/>
    <w:rsid w:val="005D7F69"/>
    <w:rsid w:val="005E017E"/>
    <w:rsid w:val="005E0910"/>
    <w:rsid w:val="005E3F4F"/>
    <w:rsid w:val="005E4601"/>
    <w:rsid w:val="005E5DF3"/>
    <w:rsid w:val="005E6942"/>
    <w:rsid w:val="005E736A"/>
    <w:rsid w:val="005F0D34"/>
    <w:rsid w:val="005F0D83"/>
    <w:rsid w:val="005F1B55"/>
    <w:rsid w:val="005F1DF4"/>
    <w:rsid w:val="005F253E"/>
    <w:rsid w:val="005F27EF"/>
    <w:rsid w:val="005F60DB"/>
    <w:rsid w:val="006006CF"/>
    <w:rsid w:val="00601F58"/>
    <w:rsid w:val="00602E88"/>
    <w:rsid w:val="00604125"/>
    <w:rsid w:val="00605ADC"/>
    <w:rsid w:val="00606ADD"/>
    <w:rsid w:val="0060753B"/>
    <w:rsid w:val="00610A51"/>
    <w:rsid w:val="00610DA3"/>
    <w:rsid w:val="006111A7"/>
    <w:rsid w:val="006122E1"/>
    <w:rsid w:val="006147BE"/>
    <w:rsid w:val="006161F8"/>
    <w:rsid w:val="00616491"/>
    <w:rsid w:val="006208BA"/>
    <w:rsid w:val="006235E3"/>
    <w:rsid w:val="00623FA5"/>
    <w:rsid w:val="0062440A"/>
    <w:rsid w:val="0062512C"/>
    <w:rsid w:val="006269CE"/>
    <w:rsid w:val="00630D06"/>
    <w:rsid w:val="00633EEB"/>
    <w:rsid w:val="0063445A"/>
    <w:rsid w:val="00634D19"/>
    <w:rsid w:val="006376CC"/>
    <w:rsid w:val="00641007"/>
    <w:rsid w:val="00641244"/>
    <w:rsid w:val="00642695"/>
    <w:rsid w:val="00642C1E"/>
    <w:rsid w:val="006448E4"/>
    <w:rsid w:val="0064647A"/>
    <w:rsid w:val="0064667D"/>
    <w:rsid w:val="00646D73"/>
    <w:rsid w:val="0065130D"/>
    <w:rsid w:val="00652BBE"/>
    <w:rsid w:val="00653F9B"/>
    <w:rsid w:val="0065413D"/>
    <w:rsid w:val="006574AB"/>
    <w:rsid w:val="00661ABE"/>
    <w:rsid w:val="00662B72"/>
    <w:rsid w:val="006630BA"/>
    <w:rsid w:val="00663ADA"/>
    <w:rsid w:val="00665AEC"/>
    <w:rsid w:val="00666AB2"/>
    <w:rsid w:val="0066733F"/>
    <w:rsid w:val="00671A7E"/>
    <w:rsid w:val="0067237D"/>
    <w:rsid w:val="006738A8"/>
    <w:rsid w:val="006775C7"/>
    <w:rsid w:val="0068099B"/>
    <w:rsid w:val="00680B7C"/>
    <w:rsid w:val="0068239C"/>
    <w:rsid w:val="006829B7"/>
    <w:rsid w:val="00682D4D"/>
    <w:rsid w:val="0068442B"/>
    <w:rsid w:val="00685942"/>
    <w:rsid w:val="00685DC9"/>
    <w:rsid w:val="00691D8F"/>
    <w:rsid w:val="00692892"/>
    <w:rsid w:val="006937F1"/>
    <w:rsid w:val="00693FB5"/>
    <w:rsid w:val="006948D4"/>
    <w:rsid w:val="00695109"/>
    <w:rsid w:val="00695E89"/>
    <w:rsid w:val="006961BC"/>
    <w:rsid w:val="00697AFB"/>
    <w:rsid w:val="006A0E83"/>
    <w:rsid w:val="006A1924"/>
    <w:rsid w:val="006A37A5"/>
    <w:rsid w:val="006A44B5"/>
    <w:rsid w:val="006A45FF"/>
    <w:rsid w:val="006B17DB"/>
    <w:rsid w:val="006B404D"/>
    <w:rsid w:val="006B4D6E"/>
    <w:rsid w:val="006B641B"/>
    <w:rsid w:val="006B67F7"/>
    <w:rsid w:val="006C030F"/>
    <w:rsid w:val="006C1EA8"/>
    <w:rsid w:val="006C2838"/>
    <w:rsid w:val="006C4A30"/>
    <w:rsid w:val="006C5823"/>
    <w:rsid w:val="006C676E"/>
    <w:rsid w:val="006C685B"/>
    <w:rsid w:val="006C7992"/>
    <w:rsid w:val="006C7EEA"/>
    <w:rsid w:val="006D0586"/>
    <w:rsid w:val="006D0A68"/>
    <w:rsid w:val="006D0E76"/>
    <w:rsid w:val="006D315F"/>
    <w:rsid w:val="006D6000"/>
    <w:rsid w:val="006D7611"/>
    <w:rsid w:val="006E12A9"/>
    <w:rsid w:val="006E2406"/>
    <w:rsid w:val="006E29CF"/>
    <w:rsid w:val="006E538C"/>
    <w:rsid w:val="006E75CF"/>
    <w:rsid w:val="006F05FC"/>
    <w:rsid w:val="006F166C"/>
    <w:rsid w:val="006F194C"/>
    <w:rsid w:val="006F1BB4"/>
    <w:rsid w:val="006F269E"/>
    <w:rsid w:val="006F335D"/>
    <w:rsid w:val="006F39FC"/>
    <w:rsid w:val="006F3F95"/>
    <w:rsid w:val="006F59B9"/>
    <w:rsid w:val="006F6CBF"/>
    <w:rsid w:val="006F7EF6"/>
    <w:rsid w:val="00700043"/>
    <w:rsid w:val="00701FD7"/>
    <w:rsid w:val="00703953"/>
    <w:rsid w:val="007042B4"/>
    <w:rsid w:val="007059CA"/>
    <w:rsid w:val="00711DAC"/>
    <w:rsid w:val="00714247"/>
    <w:rsid w:val="00720B8F"/>
    <w:rsid w:val="00722E06"/>
    <w:rsid w:val="0072459D"/>
    <w:rsid w:val="007249E6"/>
    <w:rsid w:val="0072656B"/>
    <w:rsid w:val="007275FE"/>
    <w:rsid w:val="0073065D"/>
    <w:rsid w:val="00730DC0"/>
    <w:rsid w:val="007330A3"/>
    <w:rsid w:val="00734B97"/>
    <w:rsid w:val="00734F95"/>
    <w:rsid w:val="007351F3"/>
    <w:rsid w:val="00736F58"/>
    <w:rsid w:val="00741677"/>
    <w:rsid w:val="00741738"/>
    <w:rsid w:val="00746DC8"/>
    <w:rsid w:val="00747952"/>
    <w:rsid w:val="00747AD3"/>
    <w:rsid w:val="00752C1E"/>
    <w:rsid w:val="00754E6A"/>
    <w:rsid w:val="007551B7"/>
    <w:rsid w:val="007557A9"/>
    <w:rsid w:val="00756155"/>
    <w:rsid w:val="00757BFF"/>
    <w:rsid w:val="00762B2A"/>
    <w:rsid w:val="007661CD"/>
    <w:rsid w:val="00767ED8"/>
    <w:rsid w:val="00767F90"/>
    <w:rsid w:val="007701BF"/>
    <w:rsid w:val="007707A0"/>
    <w:rsid w:val="007710D7"/>
    <w:rsid w:val="0077116C"/>
    <w:rsid w:val="0077150B"/>
    <w:rsid w:val="0077308C"/>
    <w:rsid w:val="00773D6D"/>
    <w:rsid w:val="00774156"/>
    <w:rsid w:val="00774287"/>
    <w:rsid w:val="00775C14"/>
    <w:rsid w:val="00775E22"/>
    <w:rsid w:val="007760FD"/>
    <w:rsid w:val="00777BB6"/>
    <w:rsid w:val="007813AA"/>
    <w:rsid w:val="00783B24"/>
    <w:rsid w:val="00785341"/>
    <w:rsid w:val="007856B2"/>
    <w:rsid w:val="007934F1"/>
    <w:rsid w:val="0079534B"/>
    <w:rsid w:val="007963EC"/>
    <w:rsid w:val="00797355"/>
    <w:rsid w:val="007A15D9"/>
    <w:rsid w:val="007A2B63"/>
    <w:rsid w:val="007A337B"/>
    <w:rsid w:val="007A4C5E"/>
    <w:rsid w:val="007A567A"/>
    <w:rsid w:val="007A5A4C"/>
    <w:rsid w:val="007A6FD4"/>
    <w:rsid w:val="007A79C4"/>
    <w:rsid w:val="007A7A1F"/>
    <w:rsid w:val="007B0407"/>
    <w:rsid w:val="007B1945"/>
    <w:rsid w:val="007B1C64"/>
    <w:rsid w:val="007B5D87"/>
    <w:rsid w:val="007B6A59"/>
    <w:rsid w:val="007B7040"/>
    <w:rsid w:val="007C1C1D"/>
    <w:rsid w:val="007C31EF"/>
    <w:rsid w:val="007C4721"/>
    <w:rsid w:val="007C5D94"/>
    <w:rsid w:val="007C6401"/>
    <w:rsid w:val="007C6E3D"/>
    <w:rsid w:val="007C7247"/>
    <w:rsid w:val="007D6E07"/>
    <w:rsid w:val="007D6E81"/>
    <w:rsid w:val="007D7127"/>
    <w:rsid w:val="007D729A"/>
    <w:rsid w:val="007D798D"/>
    <w:rsid w:val="007E238A"/>
    <w:rsid w:val="007E4FBF"/>
    <w:rsid w:val="007E6966"/>
    <w:rsid w:val="007E753F"/>
    <w:rsid w:val="007F096A"/>
    <w:rsid w:val="007F11B3"/>
    <w:rsid w:val="007F3D55"/>
    <w:rsid w:val="007F434A"/>
    <w:rsid w:val="007F7B17"/>
    <w:rsid w:val="0080020C"/>
    <w:rsid w:val="00804194"/>
    <w:rsid w:val="008046D1"/>
    <w:rsid w:val="008050DD"/>
    <w:rsid w:val="00805150"/>
    <w:rsid w:val="0080541C"/>
    <w:rsid w:val="00805D15"/>
    <w:rsid w:val="00806905"/>
    <w:rsid w:val="00807738"/>
    <w:rsid w:val="008077BA"/>
    <w:rsid w:val="00810255"/>
    <w:rsid w:val="00811F00"/>
    <w:rsid w:val="00812F65"/>
    <w:rsid w:val="008136FA"/>
    <w:rsid w:val="008142D4"/>
    <w:rsid w:val="008145A8"/>
    <w:rsid w:val="0081483E"/>
    <w:rsid w:val="00814DB1"/>
    <w:rsid w:val="00815805"/>
    <w:rsid w:val="0081779B"/>
    <w:rsid w:val="008205BA"/>
    <w:rsid w:val="008206F4"/>
    <w:rsid w:val="00821543"/>
    <w:rsid w:val="0082171E"/>
    <w:rsid w:val="0082191F"/>
    <w:rsid w:val="00822056"/>
    <w:rsid w:val="0082432A"/>
    <w:rsid w:val="00824B62"/>
    <w:rsid w:val="008300B2"/>
    <w:rsid w:val="00831BAE"/>
    <w:rsid w:val="0083235A"/>
    <w:rsid w:val="00832BF7"/>
    <w:rsid w:val="00834A7E"/>
    <w:rsid w:val="00843ACB"/>
    <w:rsid w:val="008441F4"/>
    <w:rsid w:val="00851234"/>
    <w:rsid w:val="00851E2D"/>
    <w:rsid w:val="00852773"/>
    <w:rsid w:val="00852794"/>
    <w:rsid w:val="00855C05"/>
    <w:rsid w:val="00855DE5"/>
    <w:rsid w:val="00855EFC"/>
    <w:rsid w:val="00856D7F"/>
    <w:rsid w:val="00856E2A"/>
    <w:rsid w:val="00857B4E"/>
    <w:rsid w:val="00862F94"/>
    <w:rsid w:val="00863979"/>
    <w:rsid w:val="00866271"/>
    <w:rsid w:val="008671B1"/>
    <w:rsid w:val="008678EB"/>
    <w:rsid w:val="00870761"/>
    <w:rsid w:val="00870824"/>
    <w:rsid w:val="00872A40"/>
    <w:rsid w:val="00873E84"/>
    <w:rsid w:val="00876AE2"/>
    <w:rsid w:val="00877559"/>
    <w:rsid w:val="00880AB9"/>
    <w:rsid w:val="008858BF"/>
    <w:rsid w:val="00886D9E"/>
    <w:rsid w:val="00895A75"/>
    <w:rsid w:val="00897BB9"/>
    <w:rsid w:val="008A10B5"/>
    <w:rsid w:val="008A1585"/>
    <w:rsid w:val="008A17E3"/>
    <w:rsid w:val="008A28B4"/>
    <w:rsid w:val="008A4262"/>
    <w:rsid w:val="008A5956"/>
    <w:rsid w:val="008A71F9"/>
    <w:rsid w:val="008B23EF"/>
    <w:rsid w:val="008B3176"/>
    <w:rsid w:val="008B3541"/>
    <w:rsid w:val="008B3830"/>
    <w:rsid w:val="008B3BA5"/>
    <w:rsid w:val="008B5D95"/>
    <w:rsid w:val="008B6754"/>
    <w:rsid w:val="008B75AC"/>
    <w:rsid w:val="008C4A9D"/>
    <w:rsid w:val="008C6C78"/>
    <w:rsid w:val="008C706B"/>
    <w:rsid w:val="008C7668"/>
    <w:rsid w:val="008D3B2B"/>
    <w:rsid w:val="008D6654"/>
    <w:rsid w:val="008D6A9D"/>
    <w:rsid w:val="008E1B23"/>
    <w:rsid w:val="008E1C73"/>
    <w:rsid w:val="008E24DA"/>
    <w:rsid w:val="008E38D7"/>
    <w:rsid w:val="008E4AE3"/>
    <w:rsid w:val="008E7758"/>
    <w:rsid w:val="008F0B40"/>
    <w:rsid w:val="008F2D79"/>
    <w:rsid w:val="008F3A94"/>
    <w:rsid w:val="008F55EC"/>
    <w:rsid w:val="008F58D2"/>
    <w:rsid w:val="008F7AE4"/>
    <w:rsid w:val="0090080B"/>
    <w:rsid w:val="00902A2B"/>
    <w:rsid w:val="00902AC2"/>
    <w:rsid w:val="00903370"/>
    <w:rsid w:val="00904115"/>
    <w:rsid w:val="0090466A"/>
    <w:rsid w:val="00905441"/>
    <w:rsid w:val="00910CDE"/>
    <w:rsid w:val="009121A5"/>
    <w:rsid w:val="00912755"/>
    <w:rsid w:val="00912F84"/>
    <w:rsid w:val="00913A47"/>
    <w:rsid w:val="00913D7D"/>
    <w:rsid w:val="00915D39"/>
    <w:rsid w:val="009163ED"/>
    <w:rsid w:val="0091668E"/>
    <w:rsid w:val="0091674D"/>
    <w:rsid w:val="00917469"/>
    <w:rsid w:val="00917C4D"/>
    <w:rsid w:val="009218BA"/>
    <w:rsid w:val="00921ED6"/>
    <w:rsid w:val="009249F0"/>
    <w:rsid w:val="00926D9B"/>
    <w:rsid w:val="00931772"/>
    <w:rsid w:val="009317A2"/>
    <w:rsid w:val="0093199E"/>
    <w:rsid w:val="009319D5"/>
    <w:rsid w:val="00933869"/>
    <w:rsid w:val="0093516C"/>
    <w:rsid w:val="0093569B"/>
    <w:rsid w:val="009359F9"/>
    <w:rsid w:val="0093769D"/>
    <w:rsid w:val="00942DB2"/>
    <w:rsid w:val="00944957"/>
    <w:rsid w:val="00945645"/>
    <w:rsid w:val="00945E70"/>
    <w:rsid w:val="009460A9"/>
    <w:rsid w:val="00950478"/>
    <w:rsid w:val="00952109"/>
    <w:rsid w:val="00953469"/>
    <w:rsid w:val="0095384A"/>
    <w:rsid w:val="00953ABB"/>
    <w:rsid w:val="00961DD9"/>
    <w:rsid w:val="00962A76"/>
    <w:rsid w:val="009646BA"/>
    <w:rsid w:val="00964948"/>
    <w:rsid w:val="009676EF"/>
    <w:rsid w:val="009679CE"/>
    <w:rsid w:val="00971535"/>
    <w:rsid w:val="0097390B"/>
    <w:rsid w:val="00974EE4"/>
    <w:rsid w:val="009768DD"/>
    <w:rsid w:val="009771C4"/>
    <w:rsid w:val="0097758B"/>
    <w:rsid w:val="009778BB"/>
    <w:rsid w:val="009817E2"/>
    <w:rsid w:val="009818F6"/>
    <w:rsid w:val="00981B44"/>
    <w:rsid w:val="00981CED"/>
    <w:rsid w:val="00982331"/>
    <w:rsid w:val="00982D68"/>
    <w:rsid w:val="0098596B"/>
    <w:rsid w:val="009917F3"/>
    <w:rsid w:val="00993854"/>
    <w:rsid w:val="00996158"/>
    <w:rsid w:val="009975D7"/>
    <w:rsid w:val="009A0F10"/>
    <w:rsid w:val="009A0FFB"/>
    <w:rsid w:val="009A274B"/>
    <w:rsid w:val="009A2840"/>
    <w:rsid w:val="009B0BA1"/>
    <w:rsid w:val="009B0CCE"/>
    <w:rsid w:val="009B3637"/>
    <w:rsid w:val="009B36F4"/>
    <w:rsid w:val="009B4188"/>
    <w:rsid w:val="009C2745"/>
    <w:rsid w:val="009C4BDB"/>
    <w:rsid w:val="009C6F1A"/>
    <w:rsid w:val="009D0428"/>
    <w:rsid w:val="009D3CC2"/>
    <w:rsid w:val="009D7DF2"/>
    <w:rsid w:val="009E012E"/>
    <w:rsid w:val="009E1396"/>
    <w:rsid w:val="009E1A71"/>
    <w:rsid w:val="009E1C10"/>
    <w:rsid w:val="009E5AE6"/>
    <w:rsid w:val="009E5F58"/>
    <w:rsid w:val="009E7EF5"/>
    <w:rsid w:val="009F02DE"/>
    <w:rsid w:val="009F1611"/>
    <w:rsid w:val="009F3A92"/>
    <w:rsid w:val="009F565F"/>
    <w:rsid w:val="009F6BF2"/>
    <w:rsid w:val="009F75F7"/>
    <w:rsid w:val="00A0120A"/>
    <w:rsid w:val="00A03752"/>
    <w:rsid w:val="00A03D2A"/>
    <w:rsid w:val="00A1077C"/>
    <w:rsid w:val="00A11EA3"/>
    <w:rsid w:val="00A14C78"/>
    <w:rsid w:val="00A170DC"/>
    <w:rsid w:val="00A20C49"/>
    <w:rsid w:val="00A22771"/>
    <w:rsid w:val="00A22C2F"/>
    <w:rsid w:val="00A230BB"/>
    <w:rsid w:val="00A2382C"/>
    <w:rsid w:val="00A24756"/>
    <w:rsid w:val="00A252F3"/>
    <w:rsid w:val="00A265A4"/>
    <w:rsid w:val="00A26CFB"/>
    <w:rsid w:val="00A362C4"/>
    <w:rsid w:val="00A3639A"/>
    <w:rsid w:val="00A41D37"/>
    <w:rsid w:val="00A42666"/>
    <w:rsid w:val="00A42F93"/>
    <w:rsid w:val="00A431C9"/>
    <w:rsid w:val="00A44801"/>
    <w:rsid w:val="00A44F49"/>
    <w:rsid w:val="00A46D59"/>
    <w:rsid w:val="00A477C4"/>
    <w:rsid w:val="00A5656D"/>
    <w:rsid w:val="00A56B83"/>
    <w:rsid w:val="00A607E1"/>
    <w:rsid w:val="00A607F4"/>
    <w:rsid w:val="00A60A98"/>
    <w:rsid w:val="00A66511"/>
    <w:rsid w:val="00A67FE0"/>
    <w:rsid w:val="00A71C73"/>
    <w:rsid w:val="00A7495D"/>
    <w:rsid w:val="00A7572D"/>
    <w:rsid w:val="00A76A86"/>
    <w:rsid w:val="00A77A5B"/>
    <w:rsid w:val="00A80659"/>
    <w:rsid w:val="00A81153"/>
    <w:rsid w:val="00A812E3"/>
    <w:rsid w:val="00A81445"/>
    <w:rsid w:val="00A81C2C"/>
    <w:rsid w:val="00A82DA0"/>
    <w:rsid w:val="00A8320B"/>
    <w:rsid w:val="00A853AC"/>
    <w:rsid w:val="00A8563B"/>
    <w:rsid w:val="00A85E28"/>
    <w:rsid w:val="00A86030"/>
    <w:rsid w:val="00A86F09"/>
    <w:rsid w:val="00A87458"/>
    <w:rsid w:val="00A874C1"/>
    <w:rsid w:val="00A95342"/>
    <w:rsid w:val="00A97217"/>
    <w:rsid w:val="00A97F06"/>
    <w:rsid w:val="00AA013F"/>
    <w:rsid w:val="00AA1056"/>
    <w:rsid w:val="00AA1B9A"/>
    <w:rsid w:val="00AA27E9"/>
    <w:rsid w:val="00AA43C8"/>
    <w:rsid w:val="00AA4A1A"/>
    <w:rsid w:val="00AA59CD"/>
    <w:rsid w:val="00AA5BA0"/>
    <w:rsid w:val="00AA795C"/>
    <w:rsid w:val="00AB20E2"/>
    <w:rsid w:val="00AB24D7"/>
    <w:rsid w:val="00AB33F3"/>
    <w:rsid w:val="00AB3A76"/>
    <w:rsid w:val="00AB55B1"/>
    <w:rsid w:val="00AB6123"/>
    <w:rsid w:val="00AC07CA"/>
    <w:rsid w:val="00AC19DB"/>
    <w:rsid w:val="00AC2FC4"/>
    <w:rsid w:val="00AC386C"/>
    <w:rsid w:val="00AC4663"/>
    <w:rsid w:val="00AC5CE2"/>
    <w:rsid w:val="00AC7BFF"/>
    <w:rsid w:val="00AD012D"/>
    <w:rsid w:val="00AD1E2F"/>
    <w:rsid w:val="00AD2D6F"/>
    <w:rsid w:val="00AD69C3"/>
    <w:rsid w:val="00AD6B86"/>
    <w:rsid w:val="00AD7325"/>
    <w:rsid w:val="00AD7BE4"/>
    <w:rsid w:val="00AD7C65"/>
    <w:rsid w:val="00AE0494"/>
    <w:rsid w:val="00AE0499"/>
    <w:rsid w:val="00AE1A22"/>
    <w:rsid w:val="00AE34A9"/>
    <w:rsid w:val="00AE5361"/>
    <w:rsid w:val="00AF0943"/>
    <w:rsid w:val="00AF1FE5"/>
    <w:rsid w:val="00AF2964"/>
    <w:rsid w:val="00AF2EE9"/>
    <w:rsid w:val="00AF3455"/>
    <w:rsid w:val="00AF61A3"/>
    <w:rsid w:val="00AF6396"/>
    <w:rsid w:val="00B011A0"/>
    <w:rsid w:val="00B0289B"/>
    <w:rsid w:val="00B035A6"/>
    <w:rsid w:val="00B035DD"/>
    <w:rsid w:val="00B03609"/>
    <w:rsid w:val="00B041FA"/>
    <w:rsid w:val="00B0477A"/>
    <w:rsid w:val="00B05F7D"/>
    <w:rsid w:val="00B07066"/>
    <w:rsid w:val="00B077C6"/>
    <w:rsid w:val="00B11161"/>
    <w:rsid w:val="00B11DFD"/>
    <w:rsid w:val="00B1217F"/>
    <w:rsid w:val="00B12635"/>
    <w:rsid w:val="00B12B69"/>
    <w:rsid w:val="00B131A2"/>
    <w:rsid w:val="00B13564"/>
    <w:rsid w:val="00B14C0F"/>
    <w:rsid w:val="00B16F57"/>
    <w:rsid w:val="00B213B0"/>
    <w:rsid w:val="00B22122"/>
    <w:rsid w:val="00B231FE"/>
    <w:rsid w:val="00B242D8"/>
    <w:rsid w:val="00B2609C"/>
    <w:rsid w:val="00B26513"/>
    <w:rsid w:val="00B27422"/>
    <w:rsid w:val="00B27A86"/>
    <w:rsid w:val="00B3132E"/>
    <w:rsid w:val="00B32415"/>
    <w:rsid w:val="00B335C9"/>
    <w:rsid w:val="00B34972"/>
    <w:rsid w:val="00B34B31"/>
    <w:rsid w:val="00B3769C"/>
    <w:rsid w:val="00B427F4"/>
    <w:rsid w:val="00B429AE"/>
    <w:rsid w:val="00B435E8"/>
    <w:rsid w:val="00B4554B"/>
    <w:rsid w:val="00B45C3A"/>
    <w:rsid w:val="00B47F12"/>
    <w:rsid w:val="00B50554"/>
    <w:rsid w:val="00B50DE8"/>
    <w:rsid w:val="00B515EC"/>
    <w:rsid w:val="00B51D1C"/>
    <w:rsid w:val="00B52136"/>
    <w:rsid w:val="00B57BDA"/>
    <w:rsid w:val="00B63CFC"/>
    <w:rsid w:val="00B65044"/>
    <w:rsid w:val="00B66073"/>
    <w:rsid w:val="00B663A3"/>
    <w:rsid w:val="00B674DA"/>
    <w:rsid w:val="00B67AB5"/>
    <w:rsid w:val="00B67F74"/>
    <w:rsid w:val="00B74C48"/>
    <w:rsid w:val="00B75580"/>
    <w:rsid w:val="00B81A9F"/>
    <w:rsid w:val="00B81F73"/>
    <w:rsid w:val="00B82CAA"/>
    <w:rsid w:val="00B83263"/>
    <w:rsid w:val="00B83E51"/>
    <w:rsid w:val="00B8447E"/>
    <w:rsid w:val="00B85F75"/>
    <w:rsid w:val="00B9319C"/>
    <w:rsid w:val="00B93555"/>
    <w:rsid w:val="00B9396B"/>
    <w:rsid w:val="00B94452"/>
    <w:rsid w:val="00B949E1"/>
    <w:rsid w:val="00B95097"/>
    <w:rsid w:val="00B9645B"/>
    <w:rsid w:val="00B9648D"/>
    <w:rsid w:val="00B97EC5"/>
    <w:rsid w:val="00BA270D"/>
    <w:rsid w:val="00BA2BA8"/>
    <w:rsid w:val="00BA37E3"/>
    <w:rsid w:val="00BA538F"/>
    <w:rsid w:val="00BB0081"/>
    <w:rsid w:val="00BB5DAF"/>
    <w:rsid w:val="00BB5E10"/>
    <w:rsid w:val="00BB66BB"/>
    <w:rsid w:val="00BB6C06"/>
    <w:rsid w:val="00BC08D8"/>
    <w:rsid w:val="00BC1CEF"/>
    <w:rsid w:val="00BC2A25"/>
    <w:rsid w:val="00BC3CF2"/>
    <w:rsid w:val="00BC4926"/>
    <w:rsid w:val="00BC5541"/>
    <w:rsid w:val="00BC5BAD"/>
    <w:rsid w:val="00BD028E"/>
    <w:rsid w:val="00BD0966"/>
    <w:rsid w:val="00BD1DEF"/>
    <w:rsid w:val="00BD3EFC"/>
    <w:rsid w:val="00BD4771"/>
    <w:rsid w:val="00BD6B67"/>
    <w:rsid w:val="00BE19D1"/>
    <w:rsid w:val="00BE2F59"/>
    <w:rsid w:val="00BE3866"/>
    <w:rsid w:val="00BE4B17"/>
    <w:rsid w:val="00BE4D1D"/>
    <w:rsid w:val="00BE5C95"/>
    <w:rsid w:val="00BE5ECB"/>
    <w:rsid w:val="00BF07BF"/>
    <w:rsid w:val="00BF0B49"/>
    <w:rsid w:val="00BF22AD"/>
    <w:rsid w:val="00BF267A"/>
    <w:rsid w:val="00BF3151"/>
    <w:rsid w:val="00BF362A"/>
    <w:rsid w:val="00BF57AB"/>
    <w:rsid w:val="00BF5A69"/>
    <w:rsid w:val="00BF63C8"/>
    <w:rsid w:val="00C015F9"/>
    <w:rsid w:val="00C0452A"/>
    <w:rsid w:val="00C1001D"/>
    <w:rsid w:val="00C10809"/>
    <w:rsid w:val="00C10D9D"/>
    <w:rsid w:val="00C1264C"/>
    <w:rsid w:val="00C12C8D"/>
    <w:rsid w:val="00C14CD0"/>
    <w:rsid w:val="00C15E51"/>
    <w:rsid w:val="00C16E4D"/>
    <w:rsid w:val="00C24192"/>
    <w:rsid w:val="00C24200"/>
    <w:rsid w:val="00C24437"/>
    <w:rsid w:val="00C25DDA"/>
    <w:rsid w:val="00C30B6A"/>
    <w:rsid w:val="00C32253"/>
    <w:rsid w:val="00C3317E"/>
    <w:rsid w:val="00C354F5"/>
    <w:rsid w:val="00C4311A"/>
    <w:rsid w:val="00C43CEF"/>
    <w:rsid w:val="00C448DB"/>
    <w:rsid w:val="00C46149"/>
    <w:rsid w:val="00C4661A"/>
    <w:rsid w:val="00C46DB1"/>
    <w:rsid w:val="00C4706E"/>
    <w:rsid w:val="00C4756B"/>
    <w:rsid w:val="00C5092B"/>
    <w:rsid w:val="00C51861"/>
    <w:rsid w:val="00C53AF7"/>
    <w:rsid w:val="00C551F0"/>
    <w:rsid w:val="00C557D7"/>
    <w:rsid w:val="00C557E3"/>
    <w:rsid w:val="00C55AEA"/>
    <w:rsid w:val="00C56940"/>
    <w:rsid w:val="00C625BC"/>
    <w:rsid w:val="00C6559D"/>
    <w:rsid w:val="00C65A78"/>
    <w:rsid w:val="00C67F3E"/>
    <w:rsid w:val="00C70056"/>
    <w:rsid w:val="00C70CF1"/>
    <w:rsid w:val="00C70F97"/>
    <w:rsid w:val="00C71407"/>
    <w:rsid w:val="00C746A5"/>
    <w:rsid w:val="00C75496"/>
    <w:rsid w:val="00C75BDA"/>
    <w:rsid w:val="00C761B9"/>
    <w:rsid w:val="00C76958"/>
    <w:rsid w:val="00C81CA4"/>
    <w:rsid w:val="00C823F0"/>
    <w:rsid w:val="00C829BC"/>
    <w:rsid w:val="00C84119"/>
    <w:rsid w:val="00C84723"/>
    <w:rsid w:val="00C84788"/>
    <w:rsid w:val="00C857AB"/>
    <w:rsid w:val="00C919B2"/>
    <w:rsid w:val="00C93E91"/>
    <w:rsid w:val="00C9544E"/>
    <w:rsid w:val="00C958CD"/>
    <w:rsid w:val="00C965C7"/>
    <w:rsid w:val="00C96C6E"/>
    <w:rsid w:val="00CA010F"/>
    <w:rsid w:val="00CA18FA"/>
    <w:rsid w:val="00CA201E"/>
    <w:rsid w:val="00CA38F1"/>
    <w:rsid w:val="00CA63C6"/>
    <w:rsid w:val="00CA6694"/>
    <w:rsid w:val="00CA7091"/>
    <w:rsid w:val="00CA72BF"/>
    <w:rsid w:val="00CB0B0D"/>
    <w:rsid w:val="00CB0DAA"/>
    <w:rsid w:val="00CB17FF"/>
    <w:rsid w:val="00CB1905"/>
    <w:rsid w:val="00CB5128"/>
    <w:rsid w:val="00CB57BD"/>
    <w:rsid w:val="00CB6981"/>
    <w:rsid w:val="00CB6BA5"/>
    <w:rsid w:val="00CC0A47"/>
    <w:rsid w:val="00CC1713"/>
    <w:rsid w:val="00CC1C01"/>
    <w:rsid w:val="00CC30A8"/>
    <w:rsid w:val="00CC4FB2"/>
    <w:rsid w:val="00CC525F"/>
    <w:rsid w:val="00CC66AF"/>
    <w:rsid w:val="00CC7A76"/>
    <w:rsid w:val="00CC7D50"/>
    <w:rsid w:val="00CD18AA"/>
    <w:rsid w:val="00CD41FC"/>
    <w:rsid w:val="00CD52AD"/>
    <w:rsid w:val="00CD718B"/>
    <w:rsid w:val="00CD7982"/>
    <w:rsid w:val="00CE0E1B"/>
    <w:rsid w:val="00CE4770"/>
    <w:rsid w:val="00CE53C6"/>
    <w:rsid w:val="00CF0278"/>
    <w:rsid w:val="00CF0D0C"/>
    <w:rsid w:val="00CF1717"/>
    <w:rsid w:val="00CF6370"/>
    <w:rsid w:val="00D037C8"/>
    <w:rsid w:val="00D07184"/>
    <w:rsid w:val="00D11105"/>
    <w:rsid w:val="00D11416"/>
    <w:rsid w:val="00D1186A"/>
    <w:rsid w:val="00D11A96"/>
    <w:rsid w:val="00D13024"/>
    <w:rsid w:val="00D130AB"/>
    <w:rsid w:val="00D14D2D"/>
    <w:rsid w:val="00D15268"/>
    <w:rsid w:val="00D1660C"/>
    <w:rsid w:val="00D17C79"/>
    <w:rsid w:val="00D20251"/>
    <w:rsid w:val="00D22A70"/>
    <w:rsid w:val="00D24B47"/>
    <w:rsid w:val="00D27AE6"/>
    <w:rsid w:val="00D3052B"/>
    <w:rsid w:val="00D34349"/>
    <w:rsid w:val="00D34C75"/>
    <w:rsid w:val="00D36752"/>
    <w:rsid w:val="00D4041B"/>
    <w:rsid w:val="00D43D17"/>
    <w:rsid w:val="00D45207"/>
    <w:rsid w:val="00D45CD7"/>
    <w:rsid w:val="00D518B9"/>
    <w:rsid w:val="00D52416"/>
    <w:rsid w:val="00D52AF5"/>
    <w:rsid w:val="00D5344A"/>
    <w:rsid w:val="00D5358F"/>
    <w:rsid w:val="00D613F8"/>
    <w:rsid w:val="00D62499"/>
    <w:rsid w:val="00D65336"/>
    <w:rsid w:val="00D65D78"/>
    <w:rsid w:val="00D669AF"/>
    <w:rsid w:val="00D67B29"/>
    <w:rsid w:val="00D71798"/>
    <w:rsid w:val="00D7186D"/>
    <w:rsid w:val="00D7478C"/>
    <w:rsid w:val="00D74CD2"/>
    <w:rsid w:val="00D76B53"/>
    <w:rsid w:val="00D77B2A"/>
    <w:rsid w:val="00D80172"/>
    <w:rsid w:val="00D8284B"/>
    <w:rsid w:val="00D84041"/>
    <w:rsid w:val="00D863DB"/>
    <w:rsid w:val="00D8655D"/>
    <w:rsid w:val="00D868F7"/>
    <w:rsid w:val="00D87FA9"/>
    <w:rsid w:val="00D91AFB"/>
    <w:rsid w:val="00D91EF7"/>
    <w:rsid w:val="00D925D3"/>
    <w:rsid w:val="00D95B92"/>
    <w:rsid w:val="00DA1972"/>
    <w:rsid w:val="00DA741B"/>
    <w:rsid w:val="00DA75F3"/>
    <w:rsid w:val="00DB1461"/>
    <w:rsid w:val="00DB33AC"/>
    <w:rsid w:val="00DB4705"/>
    <w:rsid w:val="00DB51E8"/>
    <w:rsid w:val="00DB6A32"/>
    <w:rsid w:val="00DB6D00"/>
    <w:rsid w:val="00DC1DD3"/>
    <w:rsid w:val="00DC26AB"/>
    <w:rsid w:val="00DC518B"/>
    <w:rsid w:val="00DC51B8"/>
    <w:rsid w:val="00DC5391"/>
    <w:rsid w:val="00DC5D2E"/>
    <w:rsid w:val="00DC7F39"/>
    <w:rsid w:val="00DD179D"/>
    <w:rsid w:val="00DD1855"/>
    <w:rsid w:val="00DD19B7"/>
    <w:rsid w:val="00DD2247"/>
    <w:rsid w:val="00DD320E"/>
    <w:rsid w:val="00DD409F"/>
    <w:rsid w:val="00DD465F"/>
    <w:rsid w:val="00DD6301"/>
    <w:rsid w:val="00DD7FCE"/>
    <w:rsid w:val="00DE004B"/>
    <w:rsid w:val="00DE0439"/>
    <w:rsid w:val="00DE155B"/>
    <w:rsid w:val="00DE26BB"/>
    <w:rsid w:val="00DE2A48"/>
    <w:rsid w:val="00DE398E"/>
    <w:rsid w:val="00DE4D9D"/>
    <w:rsid w:val="00DE54F4"/>
    <w:rsid w:val="00DE6B69"/>
    <w:rsid w:val="00DE6D67"/>
    <w:rsid w:val="00DE763F"/>
    <w:rsid w:val="00DE781C"/>
    <w:rsid w:val="00DF0EE1"/>
    <w:rsid w:val="00DF4B1F"/>
    <w:rsid w:val="00DF4D58"/>
    <w:rsid w:val="00DF6B41"/>
    <w:rsid w:val="00DF6D02"/>
    <w:rsid w:val="00E03555"/>
    <w:rsid w:val="00E0397C"/>
    <w:rsid w:val="00E05CDC"/>
    <w:rsid w:val="00E062EC"/>
    <w:rsid w:val="00E071E3"/>
    <w:rsid w:val="00E1180C"/>
    <w:rsid w:val="00E126A8"/>
    <w:rsid w:val="00E1295F"/>
    <w:rsid w:val="00E12E15"/>
    <w:rsid w:val="00E1350C"/>
    <w:rsid w:val="00E15365"/>
    <w:rsid w:val="00E161D0"/>
    <w:rsid w:val="00E1642F"/>
    <w:rsid w:val="00E21569"/>
    <w:rsid w:val="00E223E4"/>
    <w:rsid w:val="00E24217"/>
    <w:rsid w:val="00E24EB7"/>
    <w:rsid w:val="00E2567C"/>
    <w:rsid w:val="00E257E1"/>
    <w:rsid w:val="00E2756B"/>
    <w:rsid w:val="00E3004D"/>
    <w:rsid w:val="00E3018C"/>
    <w:rsid w:val="00E31FB7"/>
    <w:rsid w:val="00E33A81"/>
    <w:rsid w:val="00E34DE9"/>
    <w:rsid w:val="00E4038B"/>
    <w:rsid w:val="00E416AC"/>
    <w:rsid w:val="00E44A6C"/>
    <w:rsid w:val="00E456B7"/>
    <w:rsid w:val="00E46F0A"/>
    <w:rsid w:val="00E4776F"/>
    <w:rsid w:val="00E47F4A"/>
    <w:rsid w:val="00E500A9"/>
    <w:rsid w:val="00E53849"/>
    <w:rsid w:val="00E55AAA"/>
    <w:rsid w:val="00E61DB3"/>
    <w:rsid w:val="00E62522"/>
    <w:rsid w:val="00E66C13"/>
    <w:rsid w:val="00E67D61"/>
    <w:rsid w:val="00E70D20"/>
    <w:rsid w:val="00E71606"/>
    <w:rsid w:val="00E71850"/>
    <w:rsid w:val="00E721F7"/>
    <w:rsid w:val="00E751CC"/>
    <w:rsid w:val="00E75C0C"/>
    <w:rsid w:val="00E76371"/>
    <w:rsid w:val="00E77A18"/>
    <w:rsid w:val="00E85790"/>
    <w:rsid w:val="00E85F69"/>
    <w:rsid w:val="00E86BC7"/>
    <w:rsid w:val="00E86D84"/>
    <w:rsid w:val="00E87ED5"/>
    <w:rsid w:val="00E91055"/>
    <w:rsid w:val="00E91CA9"/>
    <w:rsid w:val="00E91FFD"/>
    <w:rsid w:val="00E929A7"/>
    <w:rsid w:val="00E95A42"/>
    <w:rsid w:val="00E95AD0"/>
    <w:rsid w:val="00EA1C89"/>
    <w:rsid w:val="00EA2681"/>
    <w:rsid w:val="00EB1039"/>
    <w:rsid w:val="00EB3CF3"/>
    <w:rsid w:val="00EB46A7"/>
    <w:rsid w:val="00EB5317"/>
    <w:rsid w:val="00EB580C"/>
    <w:rsid w:val="00EB6664"/>
    <w:rsid w:val="00EB6AA3"/>
    <w:rsid w:val="00EC1DDF"/>
    <w:rsid w:val="00EC3426"/>
    <w:rsid w:val="00EC4093"/>
    <w:rsid w:val="00EC4E1C"/>
    <w:rsid w:val="00EC5385"/>
    <w:rsid w:val="00EC5E3C"/>
    <w:rsid w:val="00EC69E0"/>
    <w:rsid w:val="00EC7EBC"/>
    <w:rsid w:val="00ED045B"/>
    <w:rsid w:val="00ED3ACF"/>
    <w:rsid w:val="00ED3F58"/>
    <w:rsid w:val="00ED7811"/>
    <w:rsid w:val="00ED7A59"/>
    <w:rsid w:val="00EE0535"/>
    <w:rsid w:val="00EE0F76"/>
    <w:rsid w:val="00EE21DA"/>
    <w:rsid w:val="00EE252D"/>
    <w:rsid w:val="00EE2A83"/>
    <w:rsid w:val="00EE4924"/>
    <w:rsid w:val="00EE680B"/>
    <w:rsid w:val="00EF158B"/>
    <w:rsid w:val="00EF1AA1"/>
    <w:rsid w:val="00EF2985"/>
    <w:rsid w:val="00EF2A67"/>
    <w:rsid w:val="00EF2A6C"/>
    <w:rsid w:val="00EF3ED7"/>
    <w:rsid w:val="00EF562F"/>
    <w:rsid w:val="00EF577F"/>
    <w:rsid w:val="00F00132"/>
    <w:rsid w:val="00F00AF4"/>
    <w:rsid w:val="00F01417"/>
    <w:rsid w:val="00F02887"/>
    <w:rsid w:val="00F036E7"/>
    <w:rsid w:val="00F05AF8"/>
    <w:rsid w:val="00F071AA"/>
    <w:rsid w:val="00F07FCE"/>
    <w:rsid w:val="00F1019A"/>
    <w:rsid w:val="00F10AF5"/>
    <w:rsid w:val="00F11AA5"/>
    <w:rsid w:val="00F154C9"/>
    <w:rsid w:val="00F23209"/>
    <w:rsid w:val="00F24565"/>
    <w:rsid w:val="00F258D4"/>
    <w:rsid w:val="00F261B9"/>
    <w:rsid w:val="00F27A4B"/>
    <w:rsid w:val="00F31F0D"/>
    <w:rsid w:val="00F32661"/>
    <w:rsid w:val="00F363D1"/>
    <w:rsid w:val="00F36BF5"/>
    <w:rsid w:val="00F36BF7"/>
    <w:rsid w:val="00F36D5D"/>
    <w:rsid w:val="00F44F07"/>
    <w:rsid w:val="00F47AAB"/>
    <w:rsid w:val="00F53F72"/>
    <w:rsid w:val="00F5456F"/>
    <w:rsid w:val="00F54777"/>
    <w:rsid w:val="00F55476"/>
    <w:rsid w:val="00F56B03"/>
    <w:rsid w:val="00F607B3"/>
    <w:rsid w:val="00F616CC"/>
    <w:rsid w:val="00F655AD"/>
    <w:rsid w:val="00F67704"/>
    <w:rsid w:val="00F70555"/>
    <w:rsid w:val="00F7166E"/>
    <w:rsid w:val="00F71AF6"/>
    <w:rsid w:val="00F71C56"/>
    <w:rsid w:val="00F71F19"/>
    <w:rsid w:val="00F72871"/>
    <w:rsid w:val="00F72BBC"/>
    <w:rsid w:val="00F72E4B"/>
    <w:rsid w:val="00F74580"/>
    <w:rsid w:val="00F74A75"/>
    <w:rsid w:val="00F75A9C"/>
    <w:rsid w:val="00F75E3A"/>
    <w:rsid w:val="00F76C83"/>
    <w:rsid w:val="00F77994"/>
    <w:rsid w:val="00F81A21"/>
    <w:rsid w:val="00F821B6"/>
    <w:rsid w:val="00F8292D"/>
    <w:rsid w:val="00F82AEF"/>
    <w:rsid w:val="00F852F2"/>
    <w:rsid w:val="00F86E27"/>
    <w:rsid w:val="00F874F7"/>
    <w:rsid w:val="00F87B20"/>
    <w:rsid w:val="00F87CFE"/>
    <w:rsid w:val="00F87E5A"/>
    <w:rsid w:val="00F9005A"/>
    <w:rsid w:val="00F91213"/>
    <w:rsid w:val="00F91E13"/>
    <w:rsid w:val="00F945E4"/>
    <w:rsid w:val="00F96E02"/>
    <w:rsid w:val="00F9743A"/>
    <w:rsid w:val="00F976C7"/>
    <w:rsid w:val="00FA07AA"/>
    <w:rsid w:val="00FA2B48"/>
    <w:rsid w:val="00FA59B5"/>
    <w:rsid w:val="00FA5BB2"/>
    <w:rsid w:val="00FA6156"/>
    <w:rsid w:val="00FA77A6"/>
    <w:rsid w:val="00FB0858"/>
    <w:rsid w:val="00FB0A77"/>
    <w:rsid w:val="00FB19D9"/>
    <w:rsid w:val="00FB2137"/>
    <w:rsid w:val="00FB6A2B"/>
    <w:rsid w:val="00FC06EF"/>
    <w:rsid w:val="00FC08C9"/>
    <w:rsid w:val="00FC10AD"/>
    <w:rsid w:val="00FC2312"/>
    <w:rsid w:val="00FC2581"/>
    <w:rsid w:val="00FC3534"/>
    <w:rsid w:val="00FC4D72"/>
    <w:rsid w:val="00FC56C6"/>
    <w:rsid w:val="00FC6116"/>
    <w:rsid w:val="00FC65E1"/>
    <w:rsid w:val="00FC7871"/>
    <w:rsid w:val="00FD1BA2"/>
    <w:rsid w:val="00FD1E85"/>
    <w:rsid w:val="00FD279E"/>
    <w:rsid w:val="00FD34EC"/>
    <w:rsid w:val="00FD3A91"/>
    <w:rsid w:val="00FD3F90"/>
    <w:rsid w:val="00FD5602"/>
    <w:rsid w:val="00FD6428"/>
    <w:rsid w:val="00FD6C39"/>
    <w:rsid w:val="00FD7512"/>
    <w:rsid w:val="00FE005B"/>
    <w:rsid w:val="00FE46F7"/>
    <w:rsid w:val="00FE522A"/>
    <w:rsid w:val="00FE63E0"/>
    <w:rsid w:val="00FF167D"/>
    <w:rsid w:val="00FF1DCE"/>
    <w:rsid w:val="00FF1EB0"/>
    <w:rsid w:val="00FF47BD"/>
    <w:rsid w:val="00FF5C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5A06F5E"/>
  <w15:docId w15:val="{79D09ACD-C3A7-4F7E-BD84-E68A228F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8"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7B29"/>
    <w:pPr>
      <w:spacing w:line="260" w:lineRule="atLeast"/>
    </w:pPr>
    <w:rPr>
      <w:rFonts w:eastAsia="Calibri"/>
      <w:sz w:val="22"/>
      <w:lang w:eastAsia="en-US"/>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D67B2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7B2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67B2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67B2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121A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67B2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7B2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67B2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67B29"/>
    <w:pPr>
      <w:keepLines/>
      <w:tabs>
        <w:tab w:val="right" w:pos="8278"/>
      </w:tabs>
      <w:spacing w:before="80" w:line="240" w:lineRule="auto"/>
      <w:ind w:left="851" w:right="567"/>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aliases w:val="List Bullet Cab,CAB - List Bullet,Recommendation,List Paragraph1,Bulleted Para,NFP GP Bulleted List,bullet point list,Bulletr List Paragraph,FooterText,L,List Paragraph11,List Paragraph2,List Paragraph21,Listeafsnit1,Paragraphe de liste1"/>
    <w:basedOn w:val="Normal"/>
    <w:link w:val="ListParagraphChar"/>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D67B29"/>
    <w:pPr>
      <w:keepNext/>
      <w:keepLines/>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link w:val="ActHead5Char"/>
    <w:qFormat/>
    <w:rsid w:val="00D67B29"/>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semiHidden/>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
    <w:basedOn w:val="OPCParaBase"/>
    <w:rsid w:val="00F67704"/>
    <w:pPr>
      <w:tabs>
        <w:tab w:val="left" w:pos="709"/>
      </w:tabs>
      <w:spacing w:before="120" w:line="240" w:lineRule="auto"/>
      <w:ind w:left="709" w:hanging="709"/>
    </w:pPr>
    <w:rPr>
      <w:sz w:val="18"/>
    </w:rPr>
  </w:style>
  <w:style w:type="paragraph" w:customStyle="1" w:styleId="nPara">
    <w:name w:val="n_Para"/>
    <w:aliases w:val="n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
    <w:basedOn w:val="OPCParaBase"/>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
    <w:basedOn w:val="OPCParaBase"/>
    <w:rsid w:val="00D67B29"/>
    <w:pPr>
      <w:tabs>
        <w:tab w:val="right" w:pos="1985"/>
      </w:tabs>
      <w:spacing w:before="40" w:line="240" w:lineRule="auto"/>
      <w:ind w:left="2098" w:hanging="2098"/>
    </w:pPr>
  </w:style>
  <w:style w:type="paragraph" w:customStyle="1" w:styleId="tSubsub">
    <w:name w:val="t_Subsub"/>
    <w:aliases w:val="paragraph(sub-sub)"/>
    <w:basedOn w:val="OPCParaBase"/>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
    <w:basedOn w:val="OPCParaBase"/>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Subsection"/>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semiHidden/>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semiHidden/>
    <w:unhideWhenUsed/>
    <w:rsid w:val="00DC518B"/>
    <w:pPr>
      <w:spacing w:line="240" w:lineRule="auto"/>
    </w:pPr>
    <w:rPr>
      <w:sz w:val="20"/>
    </w:rPr>
  </w:style>
  <w:style w:type="character" w:customStyle="1" w:styleId="CommentTextChar">
    <w:name w:val="Comment Text Char"/>
    <w:basedOn w:val="DefaultParagraphFont"/>
    <w:link w:val="CommentText"/>
    <w:uiPriority w:val="99"/>
    <w:semiHidden/>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semiHidden/>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character" w:customStyle="1" w:styleId="subsectionChar">
    <w:name w:val="subsection Char"/>
    <w:aliases w:val="ss Char"/>
    <w:link w:val="tMain"/>
    <w:locked/>
    <w:rsid w:val="00783B24"/>
    <w:rPr>
      <w:sz w:val="22"/>
    </w:rPr>
  </w:style>
  <w:style w:type="character" w:customStyle="1" w:styleId="charSubscript">
    <w:name w:val="charSubscript"/>
    <w:rsid w:val="00783B24"/>
    <w:rPr>
      <w:color w:val="auto"/>
      <w:sz w:val="20"/>
      <w:vertAlign w:val="subscript"/>
    </w:rPr>
  </w:style>
  <w:style w:type="character" w:styleId="CommentReference">
    <w:name w:val="annotation reference"/>
    <w:basedOn w:val="DefaultParagraphFont"/>
    <w:uiPriority w:val="99"/>
    <w:semiHidden/>
    <w:unhideWhenUsed/>
    <w:rsid w:val="00ED3ACF"/>
    <w:rPr>
      <w:sz w:val="16"/>
      <w:szCs w:val="16"/>
    </w:rPr>
  </w:style>
  <w:style w:type="character" w:customStyle="1" w:styleId="ListParagraphChar">
    <w:name w:val="List Paragraph Char"/>
    <w:aliases w:val="List Bullet Cab Char,CAB - List Bullet Char,Recommendation Char,List Paragraph1 Char,Bulleted Para Char,NFP GP Bulleted List Char,bullet point list Char,Bulletr List Paragraph Char,FooterText Char,L Char,List Paragraph11 Char"/>
    <w:basedOn w:val="DefaultParagraphFont"/>
    <w:link w:val="ListParagraph"/>
    <w:uiPriority w:val="34"/>
    <w:qFormat/>
    <w:locked/>
    <w:rsid w:val="00C625BC"/>
    <w:rPr>
      <w:rFonts w:eastAsia="Calibri"/>
      <w:sz w:val="22"/>
      <w:lang w:eastAsia="en-US"/>
    </w:rPr>
  </w:style>
  <w:style w:type="paragraph" w:customStyle="1" w:styleId="definition">
    <w:name w:val="definition"/>
    <w:basedOn w:val="Normal"/>
    <w:rsid w:val="008050DD"/>
    <w:pPr>
      <w:spacing w:before="100" w:beforeAutospacing="1" w:after="100" w:afterAutospacing="1" w:line="240" w:lineRule="auto"/>
    </w:pPr>
    <w:rPr>
      <w:rFonts w:eastAsia="Times New Roman"/>
      <w:sz w:val="24"/>
      <w:szCs w:val="24"/>
      <w:lang w:eastAsia="en-AU"/>
    </w:rPr>
  </w:style>
  <w:style w:type="character" w:customStyle="1" w:styleId="ActHead5Char">
    <w:name w:val="ActHead 5 Char"/>
    <w:aliases w:val="s Char"/>
    <w:link w:val="h5Section"/>
    <w:rsid w:val="00482350"/>
    <w:rPr>
      <w:b/>
      <w:kern w:val="28"/>
      <w:sz w:val="24"/>
    </w:rPr>
  </w:style>
  <w:style w:type="paragraph" w:customStyle="1" w:styleId="notetext">
    <w:name w:val="notetext"/>
    <w:basedOn w:val="Normal"/>
    <w:rsid w:val="00BC4926"/>
    <w:pPr>
      <w:spacing w:before="100" w:beforeAutospacing="1" w:after="100" w:afterAutospacing="1" w:line="240" w:lineRule="auto"/>
    </w:pPr>
    <w:rPr>
      <w:rFonts w:eastAsia="Times New Roman"/>
      <w:sz w:val="24"/>
      <w:szCs w:val="24"/>
      <w:lang w:eastAsia="en-AU"/>
    </w:rPr>
  </w:style>
  <w:style w:type="paragraph" w:customStyle="1" w:styleId="notepara">
    <w:name w:val="notepara"/>
    <w:basedOn w:val="Normal"/>
    <w:rsid w:val="00BC4926"/>
    <w:pPr>
      <w:spacing w:before="100" w:beforeAutospacing="1" w:after="100" w:afterAutospacing="1" w:line="240" w:lineRule="auto"/>
    </w:pPr>
    <w:rPr>
      <w:rFonts w:eastAsia="Times New Roman"/>
      <w:sz w:val="24"/>
      <w:szCs w:val="24"/>
      <w:lang w:eastAsia="en-AU"/>
    </w:rPr>
  </w:style>
  <w:style w:type="paragraph" w:styleId="Revision">
    <w:name w:val="Revision"/>
    <w:hidden/>
    <w:uiPriority w:val="99"/>
    <w:semiHidden/>
    <w:rsid w:val="007C7247"/>
    <w:rPr>
      <w:rFonts w:eastAsia="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2956">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552081574">
      <w:bodyDiv w:val="1"/>
      <w:marLeft w:val="0"/>
      <w:marRight w:val="0"/>
      <w:marTop w:val="0"/>
      <w:marBottom w:val="0"/>
      <w:divBdr>
        <w:top w:val="none" w:sz="0" w:space="0" w:color="auto"/>
        <w:left w:val="none" w:sz="0" w:space="0" w:color="auto"/>
        <w:bottom w:val="none" w:sz="0" w:space="0" w:color="auto"/>
        <w:right w:val="none" w:sz="0" w:space="0" w:color="auto"/>
      </w:divBdr>
    </w:div>
    <w:div w:id="861893345">
      <w:bodyDiv w:val="1"/>
      <w:marLeft w:val="0"/>
      <w:marRight w:val="0"/>
      <w:marTop w:val="0"/>
      <w:marBottom w:val="0"/>
      <w:divBdr>
        <w:top w:val="none" w:sz="0" w:space="0" w:color="auto"/>
        <w:left w:val="none" w:sz="0" w:space="0" w:color="auto"/>
        <w:bottom w:val="none" w:sz="0" w:space="0" w:color="auto"/>
        <w:right w:val="none" w:sz="0" w:space="0" w:color="auto"/>
      </w:divBdr>
    </w:div>
    <w:div w:id="1178689817">
      <w:bodyDiv w:val="1"/>
      <w:marLeft w:val="0"/>
      <w:marRight w:val="0"/>
      <w:marTop w:val="0"/>
      <w:marBottom w:val="0"/>
      <w:divBdr>
        <w:top w:val="none" w:sz="0" w:space="0" w:color="auto"/>
        <w:left w:val="none" w:sz="0" w:space="0" w:color="auto"/>
        <w:bottom w:val="none" w:sz="0" w:space="0" w:color="auto"/>
        <w:right w:val="none" w:sz="0" w:space="0" w:color="auto"/>
      </w:divBdr>
    </w:div>
    <w:div w:id="1244222442">
      <w:bodyDiv w:val="1"/>
      <w:marLeft w:val="0"/>
      <w:marRight w:val="0"/>
      <w:marTop w:val="0"/>
      <w:marBottom w:val="0"/>
      <w:divBdr>
        <w:top w:val="none" w:sz="0" w:space="0" w:color="auto"/>
        <w:left w:val="none" w:sz="0" w:space="0" w:color="auto"/>
        <w:bottom w:val="none" w:sz="0" w:space="0" w:color="auto"/>
        <w:right w:val="none" w:sz="0" w:space="0" w:color="auto"/>
      </w:divBdr>
    </w:div>
    <w:div w:id="1623458728">
      <w:bodyDiv w:val="1"/>
      <w:marLeft w:val="0"/>
      <w:marRight w:val="0"/>
      <w:marTop w:val="0"/>
      <w:marBottom w:val="0"/>
      <w:divBdr>
        <w:top w:val="none" w:sz="0" w:space="0" w:color="auto"/>
        <w:left w:val="none" w:sz="0" w:space="0" w:color="auto"/>
        <w:bottom w:val="none" w:sz="0" w:space="0" w:color="auto"/>
        <w:right w:val="none" w:sz="0" w:space="0" w:color="auto"/>
      </w:divBdr>
    </w:div>
    <w:div w:id="1658849294">
      <w:bodyDiv w:val="1"/>
      <w:marLeft w:val="0"/>
      <w:marRight w:val="0"/>
      <w:marTop w:val="0"/>
      <w:marBottom w:val="0"/>
      <w:divBdr>
        <w:top w:val="none" w:sz="0" w:space="0" w:color="auto"/>
        <w:left w:val="none" w:sz="0" w:space="0" w:color="auto"/>
        <w:bottom w:val="none" w:sz="0" w:space="0" w:color="auto"/>
        <w:right w:val="none" w:sz="0" w:space="0" w:color="auto"/>
      </w:divBdr>
    </w:div>
    <w:div w:id="174152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JP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JP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6.JPG"/><Relationship Id="rId10" Type="http://schemas.openxmlformats.org/officeDocument/2006/relationships/footnotes" Target="foot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EFBE35A-2247-4BD3-AE4A-6287ACEB8C2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 D O C U M E N T S ! 4 6 2 0 8 0 1 9 . 1 < / d o c u m e n t i d >  
     < s e n d e r i d > B U S S I M < / s e n d e r i d >  
     < s e n d e r e m a i l > M I C H A E L . B U S S I N G @ A G S . G O V . A U < / s e n d e r e m a i l >  
     < l a s t m o d i f i e d > 2 0 2 2 - 1 0 - 2 5 T 1 7 : 2 2 : 0 0 . 0 0 0 0 0 0 0 + 1 1 : 0 0 < / l a s t m o d i f i e d >  
     < d a t a b a s e > D O C U M E N T S < / d a t a b a s e >  
 < / p r o p e r t i e s > 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D803B69088F3B4BB452B237C76FFFB2" ma:contentTypeVersion="" ma:contentTypeDescription="PDMS Document Site Content Type" ma:contentTypeScope="" ma:versionID="980f62522e57c74de3933b190de8704c">
  <xsd:schema xmlns:xsd="http://www.w3.org/2001/XMLSchema" xmlns:xs="http://www.w3.org/2001/XMLSchema" xmlns:p="http://schemas.microsoft.com/office/2006/metadata/properties" xmlns:ns2="8EFBE35A-2247-4BD3-AE4A-6287ACEB8C20" targetNamespace="http://schemas.microsoft.com/office/2006/metadata/properties" ma:root="true" ma:fieldsID="6f048e8043cb8059414958677918c1d0" ns2:_="">
    <xsd:import namespace="8EFBE35A-2247-4BD3-AE4A-6287ACEB8C2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E35A-2247-4BD3-AE4A-6287ACEB8C2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AD5D0-7EB9-4618-B84F-813374FEF785}">
  <ds:schemaRefs>
    <ds:schemaRef ds:uri="http://schemas.microsoft.com/sharepoint/v3/contenttype/forms"/>
  </ds:schemaRefs>
</ds:datastoreItem>
</file>

<file path=customXml/itemProps2.xml><?xml version="1.0" encoding="utf-8"?>
<ds:datastoreItem xmlns:ds="http://schemas.openxmlformats.org/officeDocument/2006/customXml" ds:itemID="{04AE7591-3886-4757-9F03-E15077F789D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EFBE35A-2247-4BD3-AE4A-6287ACEB8C20"/>
    <ds:schemaRef ds:uri="http://www.w3.org/XML/1998/namespace"/>
    <ds:schemaRef ds:uri="http://purl.org/dc/dcmitype/"/>
  </ds:schemaRefs>
</ds:datastoreItem>
</file>

<file path=customXml/itemProps3.xml><?xml version="1.0" encoding="utf-8"?>
<ds:datastoreItem xmlns:ds="http://schemas.openxmlformats.org/officeDocument/2006/customXml" ds:itemID="{BC8264B5-B3A0-4DBE-B8AB-BCEDB225E4E9}">
  <ds:schemaRefs>
    <ds:schemaRef ds:uri="http://schemas.openxmlformats.org/officeDocument/2006/bibliography"/>
  </ds:schemaRefs>
</ds:datastoreItem>
</file>

<file path=customXml/itemProps4.xml><?xml version="1.0" encoding="utf-8"?>
<ds:datastoreItem xmlns:ds="http://schemas.openxmlformats.org/officeDocument/2006/customXml" ds:itemID="{BDE89AF4-7B40-4E61-BA3B-453CCF32C7D0}">
  <ds:schemaRefs>
    <ds:schemaRef ds:uri="http://www.imanage.com/work/xmlschema"/>
  </ds:schemaRefs>
</ds:datastoreItem>
</file>

<file path=customXml/itemProps5.xml><?xml version="1.0" encoding="utf-8"?>
<ds:datastoreItem xmlns:ds="http://schemas.openxmlformats.org/officeDocument/2006/customXml" ds:itemID="{47DDC6A2-CBF7-49AA-9D61-95E62AF2E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E35A-2247-4BD3-AE4A-6287ACEB8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23</Pages>
  <Words>7365</Words>
  <Characters>41982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Peter</dc:creator>
  <cp:keywords/>
  <cp:lastModifiedBy>Kwan, Kelvin</cp:lastModifiedBy>
  <cp:revision>13</cp:revision>
  <dcterms:created xsi:type="dcterms:W3CDTF">2022-11-08T23:19:00Z</dcterms:created>
  <dcterms:modified xsi:type="dcterms:W3CDTF">2022-11-10T06:26:00Z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ContentTypeId">
    <vt:lpwstr>0x010100266966F133664895A6EE3632470D45F5006D803B69088F3B4BB452B237C76FFFB2</vt:lpwstr>
  </property>
  <property fmtid="{D5CDD505-2E9C-101B-9397-08002B2CF9AE}" pid="7" name="DocHub_Year">
    <vt:lpwstr/>
  </property>
  <property fmtid="{D5CDD505-2E9C-101B-9397-08002B2CF9AE}" pid="8" name="DocHub_WorkActivity">
    <vt:lpwstr/>
  </property>
  <property fmtid="{D5CDD505-2E9C-101B-9397-08002B2CF9AE}" pid="9" name="DocHub_Keywords">
    <vt:lpwstr/>
  </property>
  <property fmtid="{D5CDD505-2E9C-101B-9397-08002B2CF9AE}" pid="10" name="DocHub_DocumentType">
    <vt:lpwstr>340;#Legislative Instrument|edbe159b-95f5-40e7-bf23-9dfb62f2e7f0</vt:lpwstr>
  </property>
  <property fmtid="{D5CDD505-2E9C-101B-9397-08002B2CF9AE}" pid="11" name="DocHub_SecurityClassification">
    <vt:lpwstr>14;#OFFICIAL:Sensitive|11f6fb0b-52ce-4109-8f7f-521b2a62f692</vt:lpwstr>
  </property>
  <property fmtid="{D5CDD505-2E9C-101B-9397-08002B2CF9AE}" pid="12" name="WSFooter">
    <vt:lpwstr>43381180</vt:lpwstr>
  </property>
</Properties>
</file>